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B42" w:rsidRPr="00F40C05" w:rsidRDefault="00B46B42" w:rsidP="00726EC3">
      <w:pPr>
        <w:pStyle w:val="p0"/>
        <w:adjustRightInd w:val="0"/>
        <w:snapToGrid w:val="0"/>
        <w:spacing w:line="360" w:lineRule="auto"/>
        <w:jc w:val="both"/>
        <w:rPr>
          <w:rFonts w:ascii="Book Antiqua" w:hAnsi="Book Antiqua"/>
          <w:color w:val="000000"/>
          <w:sz w:val="24"/>
          <w:szCs w:val="24"/>
        </w:rPr>
      </w:pPr>
      <w:bookmarkStart w:id="0" w:name="OLE_LINK452"/>
      <w:bookmarkStart w:id="1" w:name="OLE_LINK598"/>
      <w:bookmarkStart w:id="2" w:name="OLE_LINK760"/>
      <w:bookmarkStart w:id="3" w:name="OLE_LINK923"/>
      <w:r w:rsidRPr="00F40C05">
        <w:rPr>
          <w:rFonts w:ascii="Book Antiqua" w:hAnsi="Book Antiqua"/>
          <w:b/>
          <w:color w:val="0033CC"/>
          <w:sz w:val="24"/>
          <w:szCs w:val="24"/>
        </w:rPr>
        <w:t>Name of journal:</w:t>
      </w:r>
      <w:r w:rsidRPr="00F40C05">
        <w:rPr>
          <w:rFonts w:ascii="Book Antiqua" w:hAnsi="Book Antiqua"/>
          <w:b/>
          <w:color w:val="000000"/>
          <w:sz w:val="24"/>
          <w:szCs w:val="24"/>
        </w:rPr>
        <w:t xml:space="preserve"> </w:t>
      </w:r>
      <w:bookmarkStart w:id="4" w:name="OLE_LINK718"/>
      <w:bookmarkStart w:id="5" w:name="OLE_LINK719"/>
      <w:r w:rsidRPr="00F40C05">
        <w:rPr>
          <w:rFonts w:ascii="Book Antiqua" w:hAnsi="Book Antiqua"/>
          <w:i/>
          <w:color w:val="000000"/>
          <w:sz w:val="24"/>
          <w:szCs w:val="24"/>
        </w:rPr>
        <w:t>World Journal of Gastroenterology</w:t>
      </w:r>
      <w:bookmarkEnd w:id="4"/>
      <w:bookmarkEnd w:id="5"/>
    </w:p>
    <w:p w:rsidR="00B46B42" w:rsidRPr="00F40C05" w:rsidRDefault="00B46B42" w:rsidP="00726EC3">
      <w:pPr>
        <w:adjustRightInd w:val="0"/>
        <w:snapToGrid w:val="0"/>
        <w:spacing w:after="0" w:line="360" w:lineRule="auto"/>
        <w:jc w:val="both"/>
        <w:rPr>
          <w:rFonts w:ascii="Book Antiqua" w:hAnsi="Book Antiqua" w:cs="宋体"/>
          <w:b/>
          <w:i/>
          <w:color w:val="000000"/>
          <w:sz w:val="24"/>
          <w:szCs w:val="24"/>
          <w:lang w:eastAsia="zh-CN"/>
        </w:rPr>
      </w:pPr>
      <w:r w:rsidRPr="00F40C05">
        <w:rPr>
          <w:rFonts w:ascii="Book Antiqua" w:hAnsi="Book Antiqua" w:cs="Arial"/>
          <w:b/>
          <w:color w:val="0033CC"/>
          <w:sz w:val="24"/>
          <w:szCs w:val="24"/>
        </w:rPr>
        <w:t>ESPS Manuscript NO:</w:t>
      </w:r>
      <w:r w:rsidRPr="00F40C05">
        <w:rPr>
          <w:rFonts w:ascii="Book Antiqua" w:hAnsi="Book Antiqua" w:cs="Arial"/>
          <w:b/>
          <w:color w:val="222222"/>
          <w:sz w:val="24"/>
          <w:szCs w:val="24"/>
        </w:rPr>
        <w:t xml:space="preserve"> </w:t>
      </w:r>
      <w:r w:rsidRPr="00F40C05">
        <w:rPr>
          <w:rFonts w:ascii="Book Antiqua" w:hAnsi="Book Antiqua" w:cs="Arial"/>
          <w:b/>
          <w:color w:val="222222"/>
          <w:sz w:val="24"/>
          <w:szCs w:val="24"/>
          <w:lang w:eastAsia="zh-CN"/>
        </w:rPr>
        <w:t>5480</w:t>
      </w:r>
    </w:p>
    <w:p w:rsidR="00B46B42" w:rsidRPr="00F40C05" w:rsidRDefault="00B46B42" w:rsidP="00726EC3">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bookmarkStart w:id="6" w:name="OLE_LINK1617"/>
      <w:bookmarkStart w:id="7" w:name="OLE_LINK1618"/>
      <w:bookmarkStart w:id="8" w:name="OLE_LINK1966"/>
      <w:bookmarkStart w:id="9" w:name="OLE_LINK2328"/>
      <w:bookmarkStart w:id="10" w:name="OLE_LINK2329"/>
      <w:bookmarkStart w:id="11" w:name="OLE_LINK2330"/>
      <w:bookmarkStart w:id="12" w:name="OLE_LINK2335"/>
      <w:bookmarkStart w:id="13" w:name="OLE_LINK2357"/>
      <w:bookmarkStart w:id="14" w:name="OLE_LINK2358"/>
      <w:r w:rsidRPr="00F40C05">
        <w:rPr>
          <w:rFonts w:ascii="Book Antiqua" w:hAnsi="Book Antiqua"/>
          <w:b/>
          <w:color w:val="0033CC"/>
          <w:sz w:val="24"/>
          <w:szCs w:val="24"/>
        </w:rPr>
        <w:t>Columns:</w:t>
      </w:r>
      <w:r w:rsidRPr="00F40C05">
        <w:rPr>
          <w:rFonts w:ascii="Book Antiqua" w:hAnsi="Book Antiqua"/>
          <w:b/>
          <w:color w:val="000000"/>
          <w:sz w:val="24"/>
          <w:szCs w:val="24"/>
        </w:rPr>
        <w:t xml:space="preserve"> </w:t>
      </w:r>
      <w:r w:rsidRPr="00F40C05">
        <w:rPr>
          <w:rFonts w:ascii="Book Antiqua" w:hAnsi="Book Antiqua"/>
          <w:b/>
          <w:color w:val="000000"/>
          <w:sz w:val="24"/>
          <w:szCs w:val="24"/>
          <w:lang w:eastAsia="zh-CN"/>
        </w:rPr>
        <w:t>CASE REPORT</w:t>
      </w:r>
    </w:p>
    <w:bookmarkEnd w:id="0"/>
    <w:bookmarkEnd w:id="1"/>
    <w:bookmarkEnd w:id="2"/>
    <w:bookmarkEnd w:id="3"/>
    <w:bookmarkEnd w:id="6"/>
    <w:bookmarkEnd w:id="7"/>
    <w:bookmarkEnd w:id="8"/>
    <w:bookmarkEnd w:id="9"/>
    <w:bookmarkEnd w:id="10"/>
    <w:bookmarkEnd w:id="11"/>
    <w:bookmarkEnd w:id="12"/>
    <w:bookmarkEnd w:id="13"/>
    <w:bookmarkEnd w:id="14"/>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Pr="00F40C05" w:rsidRDefault="00B46B42" w:rsidP="00726EC3">
      <w:pPr>
        <w:snapToGrid w:val="0"/>
        <w:spacing w:after="0" w:line="360" w:lineRule="auto"/>
        <w:jc w:val="both"/>
        <w:rPr>
          <w:rFonts w:ascii="Book Antiqua" w:hAnsi="Book Antiqua"/>
          <w:b/>
          <w:sz w:val="24"/>
          <w:szCs w:val="24"/>
          <w:lang w:val="en-US" w:eastAsia="zh-CN"/>
        </w:rPr>
      </w:pPr>
      <w:r w:rsidRPr="00F40C05">
        <w:rPr>
          <w:rFonts w:ascii="Book Antiqua" w:hAnsi="Book Antiqua"/>
          <w:b/>
          <w:sz w:val="24"/>
          <w:szCs w:val="24"/>
          <w:lang w:val="en-US"/>
        </w:rPr>
        <w:t>Primary esophageal sclerosing mucoepidermoid carcinoma with “tissue eosinophilia”</w:t>
      </w:r>
    </w:p>
    <w:p w:rsidR="00B46B42" w:rsidRPr="00F40C05" w:rsidRDefault="00B46B42" w:rsidP="00726EC3">
      <w:pPr>
        <w:snapToGrid w:val="0"/>
        <w:spacing w:after="0" w:line="360" w:lineRule="auto"/>
        <w:jc w:val="both"/>
        <w:rPr>
          <w:rFonts w:ascii="Book Antiqua" w:hAnsi="Book Antiqua"/>
          <w:b/>
          <w:sz w:val="24"/>
          <w:szCs w:val="24"/>
          <w:lang w:val="en-US" w:eastAsia="zh-CN"/>
        </w:rPr>
      </w:pPr>
    </w:p>
    <w:p w:rsidR="00B46B42" w:rsidRPr="00F40C05" w:rsidRDefault="00B46B42" w:rsidP="00726EC3">
      <w:pPr>
        <w:snapToGrid w:val="0"/>
        <w:spacing w:after="0" w:line="360" w:lineRule="auto"/>
        <w:jc w:val="both"/>
        <w:rPr>
          <w:rFonts w:ascii="Book Antiqua" w:hAnsi="Book Antiqua"/>
          <w:sz w:val="24"/>
          <w:szCs w:val="24"/>
          <w:lang w:val="en-US"/>
        </w:rPr>
      </w:pPr>
      <w:r w:rsidRPr="00F40C05">
        <w:rPr>
          <w:rFonts w:ascii="Book Antiqua" w:hAnsi="Book Antiqua"/>
          <w:sz w:val="24"/>
          <w:szCs w:val="24"/>
          <w:lang w:val="en-US"/>
        </w:rPr>
        <w:t xml:space="preserve">Suman </w:t>
      </w:r>
      <w:r w:rsidRPr="00F40C05">
        <w:rPr>
          <w:rFonts w:ascii="Book Antiqua" w:hAnsi="Book Antiqua"/>
          <w:sz w:val="24"/>
          <w:szCs w:val="24"/>
          <w:lang w:val="en-US" w:eastAsia="zh-CN"/>
        </w:rPr>
        <w:t xml:space="preserve">MK </w:t>
      </w:r>
      <w:r w:rsidRPr="00F40C05">
        <w:rPr>
          <w:rFonts w:ascii="Book Antiqua" w:hAnsi="Book Antiqua"/>
          <w:i/>
          <w:sz w:val="24"/>
          <w:szCs w:val="24"/>
          <w:lang w:val="en-US" w:eastAsia="zh-CN"/>
        </w:rPr>
        <w:t>et al</w:t>
      </w:r>
      <w:r w:rsidRPr="00F40C05">
        <w:rPr>
          <w:rFonts w:ascii="Book Antiqua" w:hAnsi="Book Antiqua"/>
          <w:sz w:val="24"/>
          <w:szCs w:val="24"/>
          <w:lang w:val="en-US" w:eastAsia="zh-CN"/>
        </w:rPr>
        <w:t xml:space="preserve">. </w:t>
      </w:r>
      <w:r w:rsidRPr="00F40C05">
        <w:rPr>
          <w:rFonts w:ascii="Book Antiqua" w:hAnsi="Book Antiqua"/>
          <w:sz w:val="24"/>
          <w:szCs w:val="24"/>
          <w:lang w:val="en-US"/>
        </w:rPr>
        <w:t>Esophageal sclerosing mucoepidermoid carcinoma</w:t>
      </w:r>
    </w:p>
    <w:p w:rsidR="00B46B42" w:rsidRPr="00F40C05" w:rsidRDefault="00B46B42" w:rsidP="00726EC3">
      <w:pPr>
        <w:snapToGrid w:val="0"/>
        <w:spacing w:after="0" w:line="360" w:lineRule="auto"/>
        <w:jc w:val="both"/>
        <w:rPr>
          <w:rFonts w:ascii="Book Antiqua" w:hAnsi="Book Antiqua"/>
          <w:b/>
          <w:sz w:val="24"/>
          <w:szCs w:val="24"/>
          <w:lang w:val="en-US" w:eastAsia="zh-CN"/>
        </w:rPr>
      </w:pP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sz w:val="24"/>
          <w:szCs w:val="24"/>
          <w:lang w:val="en-US"/>
        </w:rPr>
        <w:t>Mewa Kinoo Suman, Maharaj Kapil, Singh Bhugwan, Govender Michelle, Ramdial Pratistadevi Kanaye</w:t>
      </w:r>
    </w:p>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b/>
          <w:sz w:val="24"/>
          <w:szCs w:val="24"/>
          <w:lang w:val="en-US"/>
        </w:rPr>
        <w:t xml:space="preserve">Mewa Kinoo Suman, Maharaj Kapil, Singh Bhugwan, </w:t>
      </w:r>
      <w:r w:rsidRPr="00F40C05">
        <w:rPr>
          <w:rFonts w:ascii="Book Antiqua" w:hAnsi="Book Antiqua"/>
          <w:sz w:val="24"/>
          <w:szCs w:val="24"/>
          <w:lang w:val="en-US"/>
        </w:rPr>
        <w:t>Department of Surgery, Nelson R Mandela School of Medicine, University of Kwazulu Natal, Durban</w:t>
      </w:r>
      <w:r w:rsidRPr="00F40C05">
        <w:rPr>
          <w:rFonts w:ascii="Book Antiqua" w:hAnsi="Book Antiqua"/>
          <w:sz w:val="24"/>
          <w:szCs w:val="24"/>
          <w:lang w:val="en-US" w:eastAsia="zh-CN"/>
        </w:rPr>
        <w:t xml:space="preserve"> </w:t>
      </w:r>
      <w:r w:rsidRPr="00F40C05">
        <w:rPr>
          <w:rFonts w:ascii="Book Antiqua" w:hAnsi="Book Antiqua"/>
          <w:sz w:val="24"/>
          <w:szCs w:val="24"/>
          <w:lang w:val="en-US"/>
        </w:rPr>
        <w:t>4013, South Africa</w:t>
      </w:r>
    </w:p>
    <w:p w:rsidR="00B46B42" w:rsidRPr="00F40C05" w:rsidRDefault="00B46B42" w:rsidP="00726EC3">
      <w:pPr>
        <w:snapToGrid w:val="0"/>
        <w:spacing w:after="0" w:line="360" w:lineRule="auto"/>
        <w:jc w:val="both"/>
        <w:rPr>
          <w:rFonts w:ascii="Book Antiqua" w:hAnsi="Book Antiqua"/>
          <w:b/>
          <w:sz w:val="24"/>
          <w:szCs w:val="24"/>
          <w:lang w:val="en-US" w:eastAsia="zh-CN"/>
        </w:rPr>
      </w:pP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b/>
          <w:sz w:val="24"/>
          <w:szCs w:val="24"/>
          <w:lang w:val="en-US"/>
        </w:rPr>
        <w:t xml:space="preserve">Govender Michelle, Ramdial Pratistadevi Kanaye, </w:t>
      </w:r>
      <w:r w:rsidRPr="00F40C05">
        <w:rPr>
          <w:rFonts w:ascii="Book Antiqua" w:hAnsi="Book Antiqua"/>
          <w:sz w:val="24"/>
          <w:szCs w:val="24"/>
          <w:lang w:val="en-US"/>
        </w:rPr>
        <w:t>Department of Anatomical Pathology, School of Laboratory Medicine and Medical Sciences, University of Kwazulu Natal and National Health Laboratory Service, Durban</w:t>
      </w:r>
      <w:r w:rsidRPr="00F40C05">
        <w:rPr>
          <w:rFonts w:ascii="Book Antiqua" w:hAnsi="Book Antiqua"/>
          <w:sz w:val="24"/>
          <w:szCs w:val="24"/>
          <w:lang w:val="en-US" w:eastAsia="zh-CN"/>
        </w:rPr>
        <w:t xml:space="preserve"> </w:t>
      </w:r>
      <w:r w:rsidRPr="00F40C05">
        <w:rPr>
          <w:rFonts w:ascii="Book Antiqua" w:hAnsi="Book Antiqua"/>
          <w:sz w:val="24"/>
          <w:szCs w:val="24"/>
          <w:lang w:val="en-US"/>
        </w:rPr>
        <w:t>4013</w:t>
      </w:r>
      <w:r>
        <w:rPr>
          <w:rFonts w:ascii="Book Antiqua" w:hAnsi="Book Antiqua"/>
          <w:sz w:val="24"/>
          <w:szCs w:val="24"/>
          <w:lang w:val="en-US"/>
        </w:rPr>
        <w:t>, South Africa</w:t>
      </w:r>
    </w:p>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b/>
          <w:sz w:val="24"/>
          <w:szCs w:val="24"/>
          <w:lang w:val="en-US"/>
        </w:rPr>
        <w:t>Author contributions:</w:t>
      </w:r>
      <w:r w:rsidRPr="00F40C05">
        <w:rPr>
          <w:rFonts w:ascii="Book Antiqua" w:hAnsi="Book Antiqua"/>
          <w:sz w:val="24"/>
          <w:szCs w:val="24"/>
          <w:lang w:val="en-US"/>
        </w:rPr>
        <w:t xml:space="preserve"> All authors contributed equally to this work</w:t>
      </w:r>
      <w:r w:rsidRPr="00F40C05">
        <w:rPr>
          <w:rFonts w:ascii="Book Antiqua" w:hAnsi="Book Antiqua"/>
          <w:sz w:val="24"/>
          <w:szCs w:val="24"/>
          <w:lang w:val="en-US" w:eastAsia="zh-CN"/>
        </w:rPr>
        <w:t>;</w:t>
      </w:r>
      <w:r w:rsidRPr="00F40C05">
        <w:rPr>
          <w:rFonts w:ascii="Book Antiqua" w:hAnsi="Book Antiqua"/>
          <w:sz w:val="24"/>
          <w:szCs w:val="24"/>
          <w:lang w:val="en-US"/>
        </w:rPr>
        <w:t xml:space="preserve"> The authors from the Department of Surgery provided the clinical features</w:t>
      </w:r>
      <w:r w:rsidRPr="00F40C05">
        <w:rPr>
          <w:rFonts w:ascii="Book Antiqua" w:hAnsi="Book Antiqua"/>
          <w:sz w:val="24"/>
          <w:szCs w:val="24"/>
          <w:lang w:val="en-US" w:eastAsia="zh-CN"/>
        </w:rPr>
        <w:t>;</w:t>
      </w:r>
      <w:r w:rsidRPr="00F40C05">
        <w:rPr>
          <w:rFonts w:ascii="Book Antiqua" w:hAnsi="Book Antiqua"/>
          <w:sz w:val="24"/>
          <w:szCs w:val="24"/>
          <w:lang w:val="en-US"/>
        </w:rPr>
        <w:t xml:space="preserve"> The authors from the Department of Anatomical Pathology provided the pathological features. All authors contributed equally to the discussion and writing of the manuscript.</w:t>
      </w:r>
    </w:p>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b/>
          <w:sz w:val="24"/>
          <w:szCs w:val="24"/>
          <w:lang w:val="en-US"/>
        </w:rPr>
        <w:t>Correspondence to: Singh Bhugwan, MD</w:t>
      </w:r>
      <w:r w:rsidRPr="00F40C05">
        <w:rPr>
          <w:rFonts w:ascii="Book Antiqua" w:hAnsi="Book Antiqua"/>
          <w:b/>
          <w:sz w:val="24"/>
          <w:szCs w:val="24"/>
          <w:lang w:val="en-US" w:eastAsia="zh-CN"/>
        </w:rPr>
        <w:t xml:space="preserve">, </w:t>
      </w:r>
      <w:r w:rsidRPr="00F40C05">
        <w:rPr>
          <w:rFonts w:ascii="Book Antiqua" w:hAnsi="Book Antiqua"/>
          <w:b/>
          <w:sz w:val="24"/>
          <w:szCs w:val="24"/>
          <w:lang w:val="en-US"/>
        </w:rPr>
        <w:t>Professor</w:t>
      </w:r>
      <w:r w:rsidRPr="00F40C05">
        <w:rPr>
          <w:rFonts w:ascii="Book Antiqua" w:hAnsi="Book Antiqua"/>
          <w:b/>
          <w:sz w:val="24"/>
          <w:szCs w:val="24"/>
          <w:lang w:val="en-US" w:eastAsia="zh-CN"/>
        </w:rPr>
        <w:t>,</w:t>
      </w:r>
      <w:r w:rsidRPr="00F40C05">
        <w:rPr>
          <w:rFonts w:ascii="Book Antiqua" w:hAnsi="Book Antiqua"/>
          <w:b/>
          <w:sz w:val="24"/>
          <w:szCs w:val="24"/>
          <w:lang w:val="en-US"/>
        </w:rPr>
        <w:t xml:space="preserve"> </w:t>
      </w:r>
      <w:r w:rsidRPr="00F40C05">
        <w:rPr>
          <w:rFonts w:ascii="Book Antiqua" w:hAnsi="Book Antiqua"/>
          <w:sz w:val="24"/>
          <w:szCs w:val="24"/>
          <w:lang w:val="en-US"/>
        </w:rPr>
        <w:t>Department of Surgery, Nelson R Mandela School of Medicine, University of Kwazulu-Natal, 719 Umbilo Road, Congella 4013, Durban</w:t>
      </w:r>
      <w:r w:rsidRPr="00F40C05">
        <w:rPr>
          <w:rFonts w:ascii="Book Antiqua" w:hAnsi="Book Antiqua"/>
          <w:sz w:val="24"/>
          <w:szCs w:val="24"/>
          <w:lang w:val="en-US" w:eastAsia="zh-CN"/>
        </w:rPr>
        <w:t xml:space="preserve"> </w:t>
      </w:r>
      <w:r w:rsidRPr="00F40C05">
        <w:rPr>
          <w:rFonts w:ascii="Book Antiqua" w:hAnsi="Book Antiqua"/>
          <w:sz w:val="24"/>
          <w:szCs w:val="24"/>
          <w:lang w:val="en-US"/>
        </w:rPr>
        <w:t xml:space="preserve">4013, South Africa. </w:t>
      </w:r>
      <w:hyperlink r:id="rId8" w:history="1">
        <w:r w:rsidRPr="00F40C05">
          <w:rPr>
            <w:rStyle w:val="a6"/>
            <w:rFonts w:ascii="Book Antiqua" w:hAnsi="Book Antiqua"/>
            <w:color w:val="auto"/>
            <w:sz w:val="24"/>
            <w:szCs w:val="24"/>
            <w:lang w:val="en-US"/>
          </w:rPr>
          <w:t>singhb3@ukzn.ac.za</w:t>
        </w:r>
      </w:hyperlink>
      <w:bookmarkStart w:id="15" w:name="OLE_LINK65"/>
      <w:bookmarkStart w:id="16" w:name="OLE_LINK106"/>
      <w:bookmarkStart w:id="17" w:name="OLE_LINK331"/>
      <w:bookmarkStart w:id="18" w:name="OLE_LINK2444"/>
      <w:bookmarkStart w:id="19" w:name="OLE_LINK2772"/>
      <w:bookmarkStart w:id="20" w:name="OLE_LINK207"/>
      <w:bookmarkStart w:id="21" w:name="OLE_LINK208"/>
      <w:bookmarkStart w:id="22" w:name="OLE_LINK143"/>
      <w:bookmarkStart w:id="23" w:name="OLE_LINK429"/>
      <w:bookmarkStart w:id="24" w:name="OLE_LINK724"/>
      <w:bookmarkStart w:id="25" w:name="OLE_LINK601"/>
      <w:bookmarkStart w:id="26" w:name="OLE_LINK570"/>
      <w:bookmarkStart w:id="27" w:name="OLE_LINK788"/>
      <w:bookmarkStart w:id="28" w:name="OLE_LINK978"/>
      <w:bookmarkStart w:id="29" w:name="OLE_LINK503"/>
      <w:bookmarkStart w:id="30" w:name="OLE_LINK542"/>
      <w:bookmarkStart w:id="31" w:name="OLE_LINK636"/>
      <w:bookmarkStart w:id="32" w:name="OLE_LINK659"/>
      <w:bookmarkStart w:id="33" w:name="OLE_LINK567"/>
      <w:bookmarkStart w:id="34" w:name="OLE_LINK737"/>
      <w:bookmarkStart w:id="35" w:name="OLE_LINK786"/>
      <w:bookmarkStart w:id="36" w:name="OLE_LINK842"/>
      <w:bookmarkStart w:id="37" w:name="OLE_LINK858"/>
      <w:bookmarkStart w:id="38" w:name="OLE_LINK873"/>
      <w:bookmarkStart w:id="39" w:name="OLE_LINK924"/>
      <w:bookmarkStart w:id="40" w:name="OLE_LINK761"/>
      <w:bookmarkStart w:id="41" w:name="OLE_LINK848"/>
      <w:bookmarkStart w:id="42" w:name="OLE_LINK1020"/>
      <w:bookmarkStart w:id="43" w:name="OLE_LINK1066"/>
      <w:bookmarkStart w:id="44" w:name="OLE_LINK1085"/>
      <w:bookmarkStart w:id="45" w:name="OLE_LINK1115"/>
      <w:bookmarkStart w:id="46" w:name="OLE_LINK1162"/>
      <w:bookmarkStart w:id="47" w:name="OLE_LINK1243"/>
      <w:bookmarkStart w:id="48" w:name="OLE_LINK1264"/>
      <w:bookmarkStart w:id="49" w:name="OLE_LINK1283"/>
      <w:bookmarkStart w:id="50" w:name="OLE_LINK1311"/>
      <w:bookmarkStart w:id="51" w:name="OLE_LINK1360"/>
      <w:bookmarkStart w:id="52" w:name="OLE_LINK1383"/>
      <w:bookmarkStart w:id="53" w:name="OLE_LINK1430"/>
      <w:bookmarkStart w:id="54" w:name="OLE_LINK1453"/>
      <w:bookmarkStart w:id="55" w:name="OLE_LINK913"/>
      <w:bookmarkStart w:id="56" w:name="OLE_LINK1228"/>
      <w:bookmarkStart w:id="57" w:name="OLE_LINK1356"/>
      <w:bookmarkStart w:id="58" w:name="OLE_LINK1359"/>
      <w:bookmarkStart w:id="59" w:name="OLE_LINK1629"/>
      <w:bookmarkStart w:id="60" w:name="OLE_LINK1630"/>
      <w:bookmarkStart w:id="61" w:name="OLE_LINK1631"/>
      <w:bookmarkStart w:id="62" w:name="OLE_LINK1632"/>
      <w:bookmarkStart w:id="63" w:name="OLE_LINK1837"/>
      <w:bookmarkStart w:id="64" w:name="OLE_LINK1532"/>
      <w:bookmarkStart w:id="65" w:name="OLE_LINK1533"/>
      <w:bookmarkStart w:id="66" w:name="OLE_LINK1534"/>
      <w:bookmarkStart w:id="67" w:name="OLE_LINK1535"/>
      <w:bookmarkStart w:id="68" w:name="OLE_LINK1525"/>
      <w:bookmarkStart w:id="69" w:name="OLE_LINK1567"/>
      <w:bookmarkStart w:id="70" w:name="OLE_LINK1728"/>
      <w:bookmarkStart w:id="71" w:name="OLE_LINK1768"/>
      <w:bookmarkStart w:id="72" w:name="OLE_LINK1857"/>
      <w:bookmarkStart w:id="73" w:name="OLE_LINK1968"/>
      <w:bookmarkStart w:id="74" w:name="OLE_LINK1969"/>
      <w:bookmarkStart w:id="75" w:name="OLE_LINK1970"/>
      <w:bookmarkStart w:id="76" w:name="OLE_LINK1971"/>
      <w:bookmarkStart w:id="77" w:name="OLE_LINK1904"/>
      <w:bookmarkStart w:id="78" w:name="OLE_LINK1940"/>
      <w:bookmarkStart w:id="79" w:name="OLE_LINK1933"/>
      <w:bookmarkStart w:id="80" w:name="OLE_LINK1991"/>
      <w:bookmarkStart w:id="81" w:name="OLE_LINK2074"/>
      <w:bookmarkStart w:id="82" w:name="OLE_LINK1916"/>
      <w:bookmarkStart w:id="83" w:name="OLE_LINK1961"/>
      <w:bookmarkStart w:id="84" w:name="OLE_LINK2003"/>
      <w:bookmarkStart w:id="85" w:name="OLE_LINK2404"/>
      <w:bookmarkStart w:id="86" w:name="OLE_LINK2185"/>
      <w:bookmarkStart w:id="87" w:name="OLE_LINK2302"/>
      <w:bookmarkStart w:id="88" w:name="OLE_LINK2311"/>
      <w:bookmarkStart w:id="89" w:name="OLE_LINK2528"/>
      <w:bookmarkStart w:id="90" w:name="OLE_LINK2421"/>
      <w:bookmarkStart w:id="91" w:name="OLE_LINK2434"/>
      <w:bookmarkStart w:id="92" w:name="OLE_LINK2438"/>
      <w:bookmarkStart w:id="93" w:name="OLE_LINK2649"/>
      <w:bookmarkStart w:id="94" w:name="OLE_LINK3139"/>
      <w:bookmarkStart w:id="95" w:name="OLE_LINK2633"/>
      <w:bookmarkStart w:id="96" w:name="OLE_LINK2755"/>
      <w:bookmarkStart w:id="97" w:name="OLE_LINK2867"/>
      <w:bookmarkStart w:id="98" w:name="OLE_LINK23"/>
      <w:r w:rsidRPr="00F40C05">
        <w:rPr>
          <w:rFonts w:ascii="Book Antiqua" w:hAnsi="Book Antiqua"/>
          <w:sz w:val="24"/>
          <w:szCs w:val="24"/>
          <w:lang w:val="en-US"/>
        </w:rPr>
        <w:t xml:space="preserve"> </w:t>
      </w:r>
    </w:p>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b/>
          <w:bCs/>
          <w:sz w:val="24"/>
          <w:szCs w:val="24"/>
          <w:lang w:val="en-US"/>
        </w:rPr>
        <w:t xml:space="preserve">Telephone: </w:t>
      </w:r>
      <w:bookmarkStart w:id="99" w:name="OLE_LINK42"/>
      <w:bookmarkStart w:id="100" w:name="OLE_LINK128"/>
      <w:bookmarkStart w:id="101" w:name="OLE_LINK951"/>
      <w:bookmarkStart w:id="102" w:name="OLE_LINK955"/>
      <w:r w:rsidRPr="00F40C05">
        <w:rPr>
          <w:rFonts w:ascii="Book Antiqua" w:hAnsi="Book Antiqua"/>
          <w:sz w:val="24"/>
          <w:szCs w:val="24"/>
          <w:lang w:val="en-US"/>
        </w:rPr>
        <w:t>+27</w:t>
      </w:r>
      <w:r w:rsidRPr="00F40C05">
        <w:rPr>
          <w:rFonts w:ascii="Book Antiqua" w:hAnsi="Book Antiqua"/>
          <w:sz w:val="24"/>
          <w:szCs w:val="24"/>
          <w:lang w:val="en-US" w:eastAsia="zh-CN"/>
        </w:rPr>
        <w:t>-</w:t>
      </w:r>
      <w:r w:rsidRPr="00F40C05">
        <w:rPr>
          <w:rFonts w:ascii="Book Antiqua" w:hAnsi="Book Antiqua"/>
          <w:sz w:val="24"/>
          <w:szCs w:val="24"/>
          <w:lang w:val="en-US"/>
        </w:rPr>
        <w:t>31</w:t>
      </w:r>
      <w:r w:rsidRPr="00F40C05">
        <w:rPr>
          <w:rFonts w:ascii="Book Antiqua" w:hAnsi="Book Antiqua"/>
          <w:sz w:val="24"/>
          <w:szCs w:val="24"/>
          <w:lang w:val="en-US" w:eastAsia="zh-CN"/>
        </w:rPr>
        <w:t>-</w:t>
      </w:r>
      <w:r w:rsidRPr="00F40C05">
        <w:rPr>
          <w:rFonts w:ascii="Book Antiqua" w:hAnsi="Book Antiqua"/>
          <w:sz w:val="24"/>
          <w:szCs w:val="24"/>
          <w:lang w:val="en-US"/>
        </w:rPr>
        <w:t>2604257</w:t>
      </w:r>
      <w:r w:rsidRPr="00F40C05">
        <w:rPr>
          <w:rFonts w:ascii="Book Antiqua" w:hAnsi="Book Antiqua"/>
          <w:sz w:val="24"/>
          <w:szCs w:val="24"/>
          <w:lang w:val="en-US" w:eastAsia="zh-CN"/>
        </w:rPr>
        <w:t xml:space="preserve">        </w:t>
      </w:r>
      <w:r w:rsidRPr="00F40C05">
        <w:rPr>
          <w:rFonts w:ascii="Book Antiqua" w:hAnsi="Book Antiqua"/>
          <w:sz w:val="24"/>
          <w:szCs w:val="24"/>
          <w:lang w:val="en-US"/>
        </w:rPr>
        <w:t xml:space="preserve">  </w:t>
      </w:r>
      <w:bookmarkStart w:id="103" w:name="OLE_LINK440"/>
      <w:r w:rsidRPr="00F40C05">
        <w:rPr>
          <w:rFonts w:ascii="Book Antiqua" w:hAnsi="Book Antiqua"/>
          <w:b/>
          <w:bCs/>
          <w:sz w:val="24"/>
          <w:szCs w:val="24"/>
          <w:lang w:val="en-US"/>
        </w:rPr>
        <w:t>Fax:</w:t>
      </w:r>
      <w:r w:rsidRPr="00F40C05">
        <w:rPr>
          <w:rFonts w:ascii="Book Antiqua" w:hAnsi="Book Antiqua"/>
          <w:b/>
          <w:sz w:val="24"/>
          <w:szCs w:val="24"/>
          <w:lang w:val="en-US"/>
        </w:rPr>
        <w:t xml:space="preserve"> </w:t>
      </w:r>
      <w:bookmarkEnd w:id="15"/>
      <w:bookmarkEnd w:id="16"/>
      <w:bookmarkEnd w:id="99"/>
      <w:bookmarkEnd w:id="100"/>
      <w:bookmarkEnd w:id="103"/>
      <w:r w:rsidRPr="00F40C05">
        <w:rPr>
          <w:rFonts w:ascii="Book Antiqua" w:hAnsi="Book Antiqua"/>
          <w:sz w:val="24"/>
          <w:szCs w:val="24"/>
          <w:lang w:val="en-US"/>
        </w:rPr>
        <w:t>+27</w:t>
      </w:r>
      <w:r w:rsidRPr="00F40C05">
        <w:rPr>
          <w:rFonts w:ascii="Book Antiqua" w:hAnsi="Book Antiqua"/>
          <w:sz w:val="24"/>
          <w:szCs w:val="24"/>
          <w:lang w:val="en-US" w:eastAsia="zh-CN"/>
        </w:rPr>
        <w:t>-</w:t>
      </w:r>
      <w:r w:rsidRPr="00F40C05">
        <w:rPr>
          <w:rFonts w:ascii="Book Antiqua" w:hAnsi="Book Antiqua"/>
          <w:sz w:val="24"/>
          <w:szCs w:val="24"/>
          <w:lang w:val="en-US"/>
        </w:rPr>
        <w:t>31</w:t>
      </w:r>
      <w:r w:rsidRPr="00F40C05">
        <w:rPr>
          <w:rFonts w:ascii="Book Antiqua" w:hAnsi="Book Antiqua"/>
          <w:sz w:val="24"/>
          <w:szCs w:val="24"/>
          <w:lang w:val="en-US" w:eastAsia="zh-CN"/>
        </w:rPr>
        <w:t>-</w:t>
      </w:r>
      <w:r w:rsidRPr="00F40C05">
        <w:rPr>
          <w:rFonts w:ascii="Book Antiqua" w:hAnsi="Book Antiqua"/>
          <w:sz w:val="24"/>
          <w:szCs w:val="24"/>
          <w:lang w:val="en-US"/>
        </w:rPr>
        <w:t>2604389</w:t>
      </w:r>
    </w:p>
    <w:p w:rsidR="00B46B42" w:rsidRPr="00F40C05" w:rsidRDefault="00B46B42" w:rsidP="00726EC3">
      <w:pPr>
        <w:adjustRightInd w:val="0"/>
        <w:snapToGrid w:val="0"/>
        <w:spacing w:after="0" w:line="360" w:lineRule="auto"/>
        <w:jc w:val="both"/>
        <w:rPr>
          <w:rFonts w:ascii="Book Antiqua" w:hAnsi="Book Antiqua"/>
          <w:b/>
          <w:sz w:val="24"/>
          <w:szCs w:val="24"/>
          <w:lang w:val="en-US"/>
        </w:rPr>
      </w:pPr>
      <w:bookmarkStart w:id="104" w:name="OLE_LINK25"/>
      <w:bookmarkStart w:id="105" w:name="OLE_LINK26"/>
      <w:bookmarkStart w:id="106" w:name="OLE_LINK145"/>
      <w:bookmarkStart w:id="107" w:name="OLE_LINK215"/>
      <w:bookmarkStart w:id="108" w:name="OLE_LINK352"/>
      <w:bookmarkStart w:id="109" w:name="OLE_LINK364"/>
      <w:bookmarkStart w:id="110" w:name="OLE_LINK383"/>
      <w:bookmarkStart w:id="111" w:name="OLE_LINK361"/>
      <w:bookmarkStart w:id="112" w:name="OLE_LINK444"/>
      <w:bookmarkStart w:id="113" w:name="OLE_LINK501"/>
      <w:bookmarkStart w:id="114" w:name="OLE_LINK572"/>
      <w:bookmarkStart w:id="115" w:name="OLE_LINK573"/>
      <w:bookmarkStart w:id="116" w:name="OLE_LINK756"/>
      <w:bookmarkStart w:id="117" w:name="OLE_LINK757"/>
      <w:bookmarkStart w:id="118" w:name="OLE_LINK805"/>
      <w:bookmarkStart w:id="119" w:name="OLE_LINK806"/>
      <w:bookmarkStart w:id="120" w:name="OLE_LINK958"/>
      <w:bookmarkStart w:id="121" w:name="OLE_LINK1018"/>
      <w:bookmarkStart w:id="122" w:name="OLE_LINK1059"/>
      <w:bookmarkStart w:id="123" w:name="OLE_LINK1122"/>
      <w:bookmarkStart w:id="124" w:name="OLE_LINK1123"/>
      <w:bookmarkStart w:id="125" w:name="OLE_LINK1402"/>
      <w:bookmarkStart w:id="126" w:name="OLE_LINK1750"/>
      <w:bookmarkStart w:id="127" w:name="OLE_LINK1751"/>
      <w:bookmarkStart w:id="128" w:name="OLE_LINK1832"/>
      <w:bookmarkStart w:id="129" w:name="OLE_LINK1878"/>
      <w:bookmarkStart w:id="130" w:name="OLE_LINK1917"/>
      <w:bookmarkStart w:id="131" w:name="OLE_LINK1918"/>
      <w:bookmarkStart w:id="132" w:name="OLE_LINK1985"/>
      <w:bookmarkStart w:id="133" w:name="OLE_LINK1986"/>
      <w:bookmarkStart w:id="134" w:name="OLE_LINK1927"/>
      <w:bookmarkStart w:id="135" w:name="OLE_LINK1928"/>
      <w:bookmarkStart w:id="136" w:name="OLE_LINK2044"/>
      <w:bookmarkStart w:id="137" w:name="OLE_LINK2352"/>
      <w:bookmarkStart w:id="138" w:name="OLE_LINK2220"/>
      <w:bookmarkStart w:id="139" w:name="OLE_LINK2344"/>
      <w:bookmarkStart w:id="140" w:name="OLE_LINK2347"/>
      <w:bookmarkStart w:id="141" w:name="OLE_LINK2626"/>
      <w:bookmarkStart w:id="142" w:name="OLE_LINK2390"/>
      <w:bookmarkStart w:id="143" w:name="OLE_LINK2752"/>
      <w:bookmarkStart w:id="144" w:name="OLE_LINK2753"/>
      <w:bookmarkStart w:id="145" w:name="OLE_LINK2855"/>
      <w:bookmarkStart w:id="146" w:name="OLE_LINK2992"/>
      <w:bookmarkStart w:id="147" w:name="OLE_LINK3241"/>
      <w:bookmarkStart w:id="148" w:name="OLE_LINK2682"/>
      <w:bookmarkEnd w:id="17"/>
      <w:bookmarkEnd w:id="18"/>
      <w:bookmarkEnd w:id="19"/>
      <w:r w:rsidRPr="00F40C05">
        <w:rPr>
          <w:rFonts w:ascii="Book Antiqua" w:hAnsi="Book Antiqua"/>
          <w:b/>
          <w:sz w:val="24"/>
          <w:szCs w:val="24"/>
          <w:lang w:val="en-US"/>
        </w:rPr>
        <w:t xml:space="preserve">Received: </w:t>
      </w:r>
      <w:r w:rsidRPr="00F40C05">
        <w:rPr>
          <w:rFonts w:ascii="Book Antiqua" w:hAnsi="Book Antiqua"/>
          <w:sz w:val="24"/>
          <w:szCs w:val="24"/>
          <w:lang w:val="en-US" w:eastAsia="zh-CN"/>
        </w:rPr>
        <w:t xml:space="preserve">September 10, 2013  </w:t>
      </w:r>
      <w:r w:rsidRPr="00F40C05">
        <w:rPr>
          <w:rFonts w:ascii="Book Antiqua" w:hAnsi="Book Antiqua"/>
          <w:b/>
          <w:sz w:val="24"/>
          <w:szCs w:val="24"/>
          <w:lang w:val="en-US"/>
        </w:rPr>
        <w:t xml:space="preserve"> Revised:</w:t>
      </w:r>
      <w:r w:rsidRPr="00F40C05">
        <w:rPr>
          <w:rFonts w:ascii="Book Antiqua" w:hAnsi="Book Antiqua"/>
          <w:b/>
          <w:sz w:val="24"/>
          <w:szCs w:val="24"/>
          <w:lang w:val="en-US" w:eastAsia="zh-CN"/>
        </w:rPr>
        <w:t xml:space="preserve"> </w:t>
      </w:r>
      <w:r w:rsidRPr="00F40C05">
        <w:rPr>
          <w:rFonts w:ascii="Book Antiqua" w:hAnsi="Book Antiqua"/>
          <w:sz w:val="24"/>
          <w:szCs w:val="24"/>
          <w:lang w:val="en-US" w:eastAsia="zh-CN"/>
        </w:rPr>
        <w:t>December 5, 2013</w:t>
      </w:r>
      <w:bookmarkEnd w:id="104"/>
      <w:bookmarkEnd w:id="105"/>
      <w:r w:rsidRPr="00F40C05">
        <w:rPr>
          <w:rFonts w:ascii="Book Antiqua" w:hAnsi="Book Antiqua"/>
          <w:sz w:val="24"/>
          <w:szCs w:val="24"/>
          <w:lang w:val="en-US"/>
        </w:rPr>
        <w:t xml:space="preserve"> </w:t>
      </w:r>
      <w:bookmarkStart w:id="149" w:name="OLE_LINK103"/>
      <w:bookmarkStart w:id="150" w:name="OLE_LINK104"/>
      <w:bookmarkStart w:id="151" w:name="OLE_LINK69"/>
      <w:bookmarkStart w:id="152" w:name="OLE_LINK70"/>
    </w:p>
    <w:p w:rsidR="003D0FE8" w:rsidRPr="008E1700" w:rsidRDefault="00B46B42" w:rsidP="003D0FE8">
      <w:pPr>
        <w:rPr>
          <w:rFonts w:ascii="Book Antiqua" w:hAnsi="Book Antiqua"/>
          <w:sz w:val="24"/>
          <w:szCs w:val="24"/>
        </w:rPr>
      </w:pPr>
      <w:bookmarkStart w:id="153" w:name="OLE_LINK303"/>
      <w:bookmarkStart w:id="154" w:name="OLE_LINK304"/>
      <w:bookmarkStart w:id="155" w:name="OLE_LINK1382"/>
      <w:bookmarkStart w:id="156" w:name="OLE_LINK2188"/>
      <w:bookmarkStart w:id="157" w:name="OLE_LINK2189"/>
      <w:bookmarkStart w:id="158" w:name="OLE_LINK2615"/>
      <w:r w:rsidRPr="00F40C05">
        <w:rPr>
          <w:rFonts w:ascii="Book Antiqua" w:hAnsi="Book Antiqua"/>
          <w:b/>
          <w:sz w:val="24"/>
          <w:szCs w:val="24"/>
          <w:lang w:val="en-US"/>
        </w:rPr>
        <w:lastRenderedPageBreak/>
        <w:t xml:space="preserve">Accepted: </w:t>
      </w:r>
      <w:bookmarkStart w:id="159" w:name="OLE_LINK1"/>
      <w:bookmarkStart w:id="160" w:name="OLE_LINK2"/>
      <w:r w:rsidR="003D0FE8" w:rsidRPr="008E1700">
        <w:rPr>
          <w:rFonts w:ascii="Book Antiqua" w:hAnsi="Book Antiqua"/>
          <w:sz w:val="24"/>
          <w:szCs w:val="24"/>
        </w:rPr>
        <w:t>January 6, 2014</w:t>
      </w:r>
      <w:bookmarkEnd w:id="159"/>
      <w:bookmarkEnd w:id="160"/>
    </w:p>
    <w:p w:rsidR="00B46B42" w:rsidRPr="00F40C05" w:rsidRDefault="00B46B42" w:rsidP="00726EC3">
      <w:pPr>
        <w:adjustRightInd w:val="0"/>
        <w:snapToGrid w:val="0"/>
        <w:spacing w:after="0" w:line="360" w:lineRule="auto"/>
        <w:jc w:val="both"/>
        <w:rPr>
          <w:rFonts w:ascii="Book Antiqua" w:hAnsi="Book Antiqua"/>
          <w:b/>
          <w:sz w:val="24"/>
          <w:szCs w:val="24"/>
          <w:lang w:val="en-US" w:eastAsia="zh-CN"/>
        </w:rPr>
      </w:pPr>
      <w:bookmarkStart w:id="161" w:name="_GoBack"/>
      <w:bookmarkEnd w:id="161"/>
      <w:r w:rsidRPr="00F40C05">
        <w:rPr>
          <w:rFonts w:ascii="Book Antiqua" w:hAnsi="Book Antiqua"/>
          <w:b/>
          <w:sz w:val="24"/>
          <w:szCs w:val="24"/>
          <w:lang w:val="en-US"/>
        </w:rPr>
        <w:t xml:space="preserve">Published online: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01"/>
      <w:bookmarkEnd w:id="102"/>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B46B42" w:rsidRPr="00F40C05" w:rsidRDefault="00B46B42" w:rsidP="00726EC3">
      <w:pPr>
        <w:adjustRightInd w:val="0"/>
        <w:snapToGrid w:val="0"/>
        <w:spacing w:after="0" w:line="360" w:lineRule="auto"/>
        <w:jc w:val="both"/>
        <w:rPr>
          <w:rFonts w:ascii="Book Antiqua" w:hAnsi="Book Antiqua"/>
          <w:b/>
          <w:sz w:val="24"/>
          <w:szCs w:val="24"/>
          <w:lang w:val="en-US" w:eastAsia="zh-CN"/>
        </w:rPr>
      </w:pPr>
    </w:p>
    <w:p w:rsidR="00B46B42" w:rsidRPr="00F40C05" w:rsidRDefault="00B46B42" w:rsidP="00726EC3">
      <w:pPr>
        <w:adjustRightInd w:val="0"/>
        <w:snapToGrid w:val="0"/>
        <w:spacing w:after="0" w:line="360" w:lineRule="auto"/>
        <w:jc w:val="both"/>
        <w:rPr>
          <w:rFonts w:ascii="Book Antiqua" w:hAnsi="Book Antiqua"/>
          <w:b/>
          <w:sz w:val="24"/>
          <w:szCs w:val="24"/>
          <w:lang w:val="en-US" w:eastAsia="zh-CN"/>
        </w:rPr>
      </w:pPr>
    </w:p>
    <w:p w:rsidR="00B46B42" w:rsidRPr="00F40C05" w:rsidRDefault="00B46B42" w:rsidP="00726EC3">
      <w:pPr>
        <w:adjustRightInd w:val="0"/>
        <w:snapToGrid w:val="0"/>
        <w:spacing w:after="0" w:line="360" w:lineRule="auto"/>
        <w:jc w:val="both"/>
        <w:rPr>
          <w:rFonts w:ascii="Book Antiqua" w:hAnsi="Book Antiqua"/>
          <w:b/>
          <w:sz w:val="24"/>
          <w:szCs w:val="24"/>
          <w:lang w:val="en-US"/>
        </w:rPr>
      </w:pPr>
      <w:r w:rsidRPr="00F40C05">
        <w:rPr>
          <w:rFonts w:ascii="Book Antiqua" w:hAnsi="Book Antiqua"/>
          <w:b/>
          <w:sz w:val="24"/>
          <w:szCs w:val="24"/>
          <w:lang w:val="en-US"/>
        </w:rPr>
        <w:t>Abstract</w:t>
      </w: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sz w:val="24"/>
          <w:szCs w:val="24"/>
          <w:lang w:val="en-US"/>
        </w:rPr>
        <w:t>Mucoepidermoid carcinoma (MEC) is a rare primary esophageal malignancy. It is characterized by poor clinical recognition, pre-operative diagnostic challenges and a lack of standardized therapeutic guidelines. We report the clinicopathological features of a hitherto unreported variant of esophageal MEC, sclerosing MEC with “tissue eosinophilia”, in a mid-esophageal location in a 51-year-old female. The diagnosis of the initial biopsy was challenging, because of the small size, poor orientation and inadequate representation of the MEC components. Recognition of the resectability of the tumor prompted surgical resection and enabled a demonstration of the low grade foci containing intermediate cells, mucin pools and the hitherto undescribed presence of stromal sclerosis and tissue eosinophils in esophageal MEC. Heightened clinicopathological awareness of esophageal MEC facilitated a definitive diagnosis and patient management. Increased recognition and global documentation of esophageal sclerosing MEC with “tissue eosinophilia” is necessary to improve the understanding and diagnosis of this malignancy in this location and to improve management guidelines.</w:t>
      </w:r>
    </w:p>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Pr="00F40C05" w:rsidRDefault="00B46B42" w:rsidP="00726EC3">
      <w:pPr>
        <w:adjustRightInd w:val="0"/>
        <w:snapToGrid w:val="0"/>
        <w:spacing w:after="0" w:line="360" w:lineRule="auto"/>
        <w:jc w:val="both"/>
        <w:rPr>
          <w:rFonts w:ascii="Book Antiqua" w:hAnsi="Book Antiqua"/>
          <w:sz w:val="24"/>
          <w:szCs w:val="24"/>
        </w:rPr>
      </w:pPr>
      <w:bookmarkStart w:id="162" w:name="OLE_LINK98"/>
      <w:bookmarkStart w:id="163" w:name="OLE_LINK156"/>
      <w:bookmarkStart w:id="164" w:name="OLE_LINK196"/>
      <w:bookmarkStart w:id="165" w:name="OLE_LINK217"/>
      <w:bookmarkStart w:id="166" w:name="OLE_LINK242"/>
      <w:bookmarkStart w:id="167" w:name="OLE_LINK247"/>
      <w:bookmarkStart w:id="168" w:name="OLE_LINK311"/>
      <w:bookmarkStart w:id="169" w:name="OLE_LINK312"/>
      <w:bookmarkStart w:id="170" w:name="OLE_LINK325"/>
      <w:bookmarkStart w:id="171" w:name="OLE_LINK330"/>
      <w:bookmarkStart w:id="172" w:name="OLE_LINK513"/>
      <w:bookmarkStart w:id="173" w:name="OLE_LINK514"/>
      <w:bookmarkStart w:id="174" w:name="OLE_LINK464"/>
      <w:bookmarkStart w:id="175" w:name="OLE_LINK465"/>
      <w:bookmarkStart w:id="176" w:name="OLE_LINK466"/>
      <w:bookmarkStart w:id="177" w:name="OLE_LINK470"/>
      <w:bookmarkStart w:id="178" w:name="OLE_LINK471"/>
      <w:bookmarkStart w:id="179" w:name="OLE_LINK472"/>
      <w:bookmarkStart w:id="180" w:name="OLE_LINK474"/>
      <w:bookmarkStart w:id="181" w:name="OLE_LINK512"/>
      <w:bookmarkStart w:id="182" w:name="OLE_LINK800"/>
      <w:bookmarkStart w:id="183" w:name="OLE_LINK982"/>
      <w:bookmarkStart w:id="184" w:name="OLE_LINK1027"/>
      <w:bookmarkStart w:id="185" w:name="OLE_LINK504"/>
      <w:bookmarkStart w:id="186" w:name="OLE_LINK546"/>
      <w:bookmarkStart w:id="187" w:name="OLE_LINK547"/>
      <w:bookmarkStart w:id="188" w:name="OLE_LINK575"/>
      <w:bookmarkStart w:id="189" w:name="OLE_LINK640"/>
      <w:bookmarkStart w:id="190" w:name="OLE_LINK672"/>
      <w:bookmarkStart w:id="191" w:name="OLE_LINK714"/>
      <w:bookmarkStart w:id="192" w:name="OLE_LINK651"/>
      <w:bookmarkStart w:id="193" w:name="OLE_LINK652"/>
      <w:bookmarkStart w:id="194" w:name="OLE_LINK744"/>
      <w:bookmarkStart w:id="195" w:name="OLE_LINK758"/>
      <w:bookmarkStart w:id="196" w:name="OLE_LINK787"/>
      <w:bookmarkStart w:id="197" w:name="OLE_LINK807"/>
      <w:bookmarkStart w:id="198" w:name="OLE_LINK820"/>
      <w:bookmarkStart w:id="199" w:name="OLE_LINK862"/>
      <w:bookmarkStart w:id="200" w:name="OLE_LINK879"/>
      <w:bookmarkStart w:id="201" w:name="OLE_LINK906"/>
      <w:bookmarkStart w:id="202" w:name="OLE_LINK928"/>
      <w:bookmarkStart w:id="203" w:name="OLE_LINK960"/>
      <w:bookmarkStart w:id="204" w:name="OLE_LINK861"/>
      <w:bookmarkStart w:id="205" w:name="OLE_LINK983"/>
      <w:bookmarkStart w:id="206" w:name="OLE_LINK1334"/>
      <w:bookmarkStart w:id="207" w:name="OLE_LINK1029"/>
      <w:bookmarkStart w:id="208" w:name="OLE_LINK1060"/>
      <w:bookmarkStart w:id="209" w:name="OLE_LINK1061"/>
      <w:bookmarkStart w:id="210" w:name="OLE_LINK1348"/>
      <w:bookmarkStart w:id="211" w:name="OLE_LINK1086"/>
      <w:bookmarkStart w:id="212" w:name="OLE_LINK1100"/>
      <w:bookmarkStart w:id="213" w:name="OLE_LINK1125"/>
      <w:bookmarkStart w:id="214" w:name="OLE_LINK1163"/>
      <w:bookmarkStart w:id="215" w:name="OLE_LINK1193"/>
      <w:bookmarkStart w:id="216" w:name="OLE_LINK1219"/>
      <w:bookmarkStart w:id="217" w:name="OLE_LINK1247"/>
      <w:bookmarkStart w:id="218" w:name="OLE_LINK1284"/>
      <w:bookmarkStart w:id="219" w:name="OLE_LINK1313"/>
      <w:bookmarkStart w:id="220" w:name="OLE_LINK1361"/>
      <w:bookmarkStart w:id="221" w:name="OLE_LINK1384"/>
      <w:bookmarkStart w:id="222" w:name="OLE_LINK1403"/>
      <w:bookmarkStart w:id="223" w:name="OLE_LINK1437"/>
      <w:bookmarkStart w:id="224" w:name="OLE_LINK1454"/>
      <w:bookmarkStart w:id="225" w:name="OLE_LINK1480"/>
      <w:bookmarkStart w:id="226" w:name="OLE_LINK1504"/>
      <w:bookmarkStart w:id="227" w:name="OLE_LINK1516"/>
      <w:bookmarkStart w:id="228" w:name="OLE_LINK135"/>
      <w:bookmarkStart w:id="229" w:name="OLE_LINK216"/>
      <w:bookmarkStart w:id="230" w:name="OLE_LINK259"/>
      <w:bookmarkStart w:id="231" w:name="OLE_LINK1186"/>
      <w:bookmarkStart w:id="232" w:name="OLE_LINK1265"/>
      <w:bookmarkStart w:id="233" w:name="OLE_LINK1373"/>
      <w:bookmarkStart w:id="234" w:name="OLE_LINK1478"/>
      <w:bookmarkStart w:id="235" w:name="OLE_LINK1644"/>
      <w:bookmarkStart w:id="236" w:name="OLE_LINK1884"/>
      <w:bookmarkStart w:id="237" w:name="OLE_LINK1885"/>
      <w:bookmarkStart w:id="238" w:name="OLE_LINK1538"/>
      <w:bookmarkStart w:id="239" w:name="OLE_LINK1539"/>
      <w:bookmarkStart w:id="240" w:name="OLE_LINK1543"/>
      <w:bookmarkStart w:id="241" w:name="OLE_LINK1549"/>
      <w:bookmarkStart w:id="242" w:name="OLE_LINK1778"/>
      <w:bookmarkStart w:id="243" w:name="OLE_LINK1756"/>
      <w:bookmarkStart w:id="244" w:name="OLE_LINK1776"/>
      <w:bookmarkStart w:id="245" w:name="OLE_LINK1777"/>
      <w:bookmarkStart w:id="246" w:name="OLE_LINK1868"/>
      <w:bookmarkStart w:id="247" w:name="OLE_LINK1744"/>
      <w:bookmarkStart w:id="248" w:name="OLE_LINK1817"/>
      <w:bookmarkStart w:id="249" w:name="OLE_LINK1835"/>
      <w:bookmarkStart w:id="250" w:name="OLE_LINK1866"/>
      <w:bookmarkStart w:id="251" w:name="OLE_LINK1882"/>
      <w:bookmarkStart w:id="252" w:name="OLE_LINK1901"/>
      <w:bookmarkStart w:id="253" w:name="OLE_LINK1902"/>
      <w:bookmarkStart w:id="254" w:name="OLE_LINK2013"/>
      <w:bookmarkStart w:id="255" w:name="OLE_LINK1894"/>
      <w:bookmarkStart w:id="256" w:name="OLE_LINK1929"/>
      <w:bookmarkStart w:id="257" w:name="OLE_LINK1941"/>
      <w:bookmarkStart w:id="258" w:name="OLE_LINK1995"/>
      <w:bookmarkStart w:id="259" w:name="OLE_LINK1938"/>
      <w:bookmarkStart w:id="260" w:name="OLE_LINK2081"/>
      <w:bookmarkStart w:id="261" w:name="OLE_LINK2082"/>
      <w:bookmarkStart w:id="262" w:name="OLE_LINK2292"/>
      <w:bookmarkStart w:id="263" w:name="OLE_LINK1931"/>
      <w:bookmarkStart w:id="264" w:name="OLE_LINK1964"/>
      <w:bookmarkStart w:id="265" w:name="OLE_LINK2020"/>
      <w:bookmarkStart w:id="266" w:name="OLE_LINK2071"/>
      <w:bookmarkStart w:id="267" w:name="OLE_LINK2134"/>
      <w:bookmarkStart w:id="268" w:name="OLE_LINK2265"/>
      <w:bookmarkStart w:id="269" w:name="OLE_LINK2562"/>
      <w:bookmarkStart w:id="270" w:name="OLE_LINK1923"/>
      <w:bookmarkStart w:id="271" w:name="OLE_LINK2192"/>
      <w:bookmarkStart w:id="272" w:name="OLE_LINK2110"/>
      <w:bookmarkStart w:id="273" w:name="OLE_LINK2445"/>
      <w:bookmarkStart w:id="274" w:name="OLE_LINK2446"/>
      <w:bookmarkStart w:id="275" w:name="OLE_LINK2169"/>
      <w:bookmarkStart w:id="276" w:name="OLE_LINK2190"/>
      <w:bookmarkStart w:id="277" w:name="OLE_LINK2331"/>
      <w:bookmarkStart w:id="278" w:name="OLE_LINK2345"/>
      <w:bookmarkStart w:id="279" w:name="OLE_LINK2467"/>
      <w:bookmarkStart w:id="280" w:name="OLE_LINK2484"/>
      <w:bookmarkStart w:id="281" w:name="OLE_LINK2157"/>
      <w:bookmarkStart w:id="282" w:name="OLE_LINK2221"/>
      <w:bookmarkStart w:id="283" w:name="OLE_LINK2252"/>
      <w:bookmarkStart w:id="284" w:name="OLE_LINK2348"/>
      <w:bookmarkStart w:id="285" w:name="OLE_LINK2451"/>
      <w:bookmarkStart w:id="286" w:name="OLE_LINK2627"/>
      <w:bookmarkStart w:id="287" w:name="OLE_LINK2482"/>
      <w:bookmarkStart w:id="288" w:name="OLE_LINK2663"/>
      <w:bookmarkStart w:id="289" w:name="OLE_LINK2761"/>
      <w:bookmarkStart w:id="290" w:name="OLE_LINK2856"/>
      <w:bookmarkStart w:id="291" w:name="OLE_LINK2993"/>
      <w:bookmarkStart w:id="292" w:name="OLE_LINK2643"/>
      <w:bookmarkStart w:id="293" w:name="OLE_LINK2583"/>
      <w:bookmarkStart w:id="294" w:name="OLE_LINK2762"/>
      <w:bookmarkStart w:id="295" w:name="OLE_LINK2962"/>
      <w:bookmarkStart w:id="296" w:name="OLE_LINK2582"/>
      <w:r w:rsidRPr="00F40C05">
        <w:rPr>
          <w:rFonts w:ascii="Book Antiqua" w:hAnsi="Book Antiqua"/>
          <w:sz w:val="24"/>
          <w:szCs w:val="24"/>
        </w:rPr>
        <w:t>© 201</w:t>
      </w:r>
      <w:r>
        <w:rPr>
          <w:rFonts w:ascii="Book Antiqua" w:hAnsi="Book Antiqua"/>
          <w:sz w:val="24"/>
          <w:szCs w:val="24"/>
        </w:rPr>
        <w:t>4</w:t>
      </w:r>
      <w:r w:rsidRPr="00F40C05">
        <w:rPr>
          <w:rFonts w:ascii="Book Antiqua" w:hAnsi="Book Antiqua"/>
          <w:sz w:val="24"/>
          <w:szCs w:val="24"/>
        </w:rPr>
        <w:t xml:space="preserve"> Baishideng Publishing Group Co., Limited. All rights reserved.  </w:t>
      </w:r>
    </w:p>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b/>
          <w:sz w:val="24"/>
          <w:szCs w:val="24"/>
          <w:lang w:val="en-US"/>
        </w:rPr>
        <w:t>Key words:</w:t>
      </w:r>
      <w:r w:rsidRPr="00F40C05">
        <w:rPr>
          <w:rFonts w:ascii="Book Antiqua" w:hAnsi="Book Antiqua"/>
          <w:b/>
          <w:sz w:val="24"/>
          <w:szCs w:val="24"/>
          <w:lang w:val="en-US" w:eastAsia="zh-CN"/>
        </w:rPr>
        <w:t xml:space="preserve"> </w:t>
      </w:r>
      <w:r w:rsidRPr="00F40C05">
        <w:rPr>
          <w:rFonts w:ascii="Book Antiqua" w:hAnsi="Book Antiqua"/>
          <w:sz w:val="24"/>
          <w:szCs w:val="24"/>
          <w:lang w:val="en-US"/>
        </w:rPr>
        <w:t>Mucoepidermoid</w:t>
      </w:r>
      <w:r w:rsidRPr="00F40C05">
        <w:rPr>
          <w:rFonts w:ascii="Book Antiqua" w:hAnsi="Book Antiqua"/>
          <w:sz w:val="24"/>
          <w:szCs w:val="24"/>
          <w:lang w:val="en-US" w:eastAsia="zh-CN"/>
        </w:rPr>
        <w:t>;</w:t>
      </w:r>
      <w:r w:rsidRPr="00F40C05">
        <w:rPr>
          <w:rFonts w:ascii="Book Antiqua" w:hAnsi="Book Antiqua"/>
          <w:sz w:val="24"/>
          <w:szCs w:val="24"/>
          <w:lang w:val="en-US"/>
        </w:rPr>
        <w:t xml:space="preserve"> Carcinoma</w:t>
      </w:r>
      <w:r w:rsidRPr="00F40C05">
        <w:rPr>
          <w:rFonts w:ascii="Book Antiqua" w:hAnsi="Book Antiqua"/>
          <w:sz w:val="24"/>
          <w:szCs w:val="24"/>
          <w:lang w:val="en-US" w:eastAsia="zh-CN"/>
        </w:rPr>
        <w:t>;</w:t>
      </w:r>
      <w:r w:rsidRPr="00F40C05">
        <w:rPr>
          <w:rFonts w:ascii="Book Antiqua" w:hAnsi="Book Antiqua"/>
          <w:sz w:val="24"/>
          <w:szCs w:val="24"/>
          <w:lang w:val="en-US"/>
        </w:rPr>
        <w:t xml:space="preserve"> Sclerosing</w:t>
      </w:r>
      <w:r w:rsidRPr="00F40C05">
        <w:rPr>
          <w:rFonts w:ascii="Book Antiqua" w:hAnsi="Book Antiqua"/>
          <w:sz w:val="24"/>
          <w:szCs w:val="24"/>
          <w:lang w:val="en-US" w:eastAsia="zh-CN"/>
        </w:rPr>
        <w:t>;</w:t>
      </w:r>
      <w:r w:rsidRPr="00F40C05">
        <w:rPr>
          <w:rFonts w:ascii="Book Antiqua" w:hAnsi="Book Antiqua"/>
          <w:sz w:val="24"/>
          <w:szCs w:val="24"/>
          <w:lang w:val="en-US"/>
        </w:rPr>
        <w:t xml:space="preserve"> Tissue eosinophilia</w:t>
      </w:r>
      <w:r w:rsidRPr="00F40C05">
        <w:rPr>
          <w:rFonts w:ascii="Book Antiqua" w:hAnsi="Book Antiqua"/>
          <w:sz w:val="24"/>
          <w:szCs w:val="24"/>
          <w:lang w:val="en-US" w:eastAsia="zh-CN"/>
        </w:rPr>
        <w:t>;</w:t>
      </w:r>
      <w:r w:rsidRPr="00F40C05">
        <w:rPr>
          <w:rFonts w:ascii="Book Antiqua" w:hAnsi="Book Antiqua"/>
          <w:sz w:val="24"/>
          <w:szCs w:val="24"/>
          <w:lang w:val="en-US"/>
        </w:rPr>
        <w:t xml:space="preserve"> Esophagus</w:t>
      </w:r>
    </w:p>
    <w:p w:rsidR="00B46B42" w:rsidRPr="00F40C05" w:rsidRDefault="00B46B42" w:rsidP="00726EC3">
      <w:pPr>
        <w:snapToGrid w:val="0"/>
        <w:spacing w:after="0" w:line="360" w:lineRule="auto"/>
        <w:jc w:val="both"/>
        <w:rPr>
          <w:rFonts w:ascii="Book Antiqua" w:hAnsi="Book Antiqua"/>
          <w:b/>
          <w:sz w:val="24"/>
          <w:szCs w:val="24"/>
          <w:lang w:val="en-US" w:eastAsia="zh-CN"/>
        </w:rPr>
      </w:pPr>
    </w:p>
    <w:p w:rsidR="00B46B42" w:rsidRPr="00F40C05" w:rsidRDefault="00B46B42" w:rsidP="00726EC3">
      <w:pPr>
        <w:adjustRightInd w:val="0"/>
        <w:snapToGrid w:val="0"/>
        <w:spacing w:after="0" w:line="360" w:lineRule="auto"/>
        <w:jc w:val="both"/>
        <w:rPr>
          <w:rFonts w:ascii="Book Antiqua" w:hAnsi="Book Antiqua" w:cs="宋体"/>
          <w:b/>
          <w:sz w:val="24"/>
          <w:szCs w:val="24"/>
          <w:lang w:val="en-US"/>
        </w:rPr>
      </w:pPr>
      <w:bookmarkStart w:id="297" w:name="OLE_LINK1196"/>
      <w:bookmarkStart w:id="298" w:name="OLE_LINK1154"/>
      <w:bookmarkStart w:id="299" w:name="OLE_LINK1155"/>
      <w:bookmarkStart w:id="300" w:name="OLE_LINK1322"/>
      <w:bookmarkStart w:id="301" w:name="OLE_LINK1044"/>
      <w:bookmarkStart w:id="302" w:name="OLE_LINK1224"/>
      <w:bookmarkStart w:id="303" w:name="OLE_LINK1225"/>
      <w:bookmarkStart w:id="304" w:name="OLE_LINK1634"/>
      <w:bookmarkStart w:id="305" w:name="OLE_LINK1635"/>
      <w:bookmarkStart w:id="306" w:name="OLE_LINK1762"/>
      <w:bookmarkStart w:id="307" w:name="OLE_LINK1763"/>
      <w:bookmarkStart w:id="308" w:name="OLE_LINK1764"/>
      <w:bookmarkStart w:id="309" w:name="OLE_LINK1939"/>
      <w:bookmarkStart w:id="310" w:name="OLE_LINK2194"/>
      <w:bookmarkStart w:id="311" w:name="OLE_LINK2878"/>
      <w:bookmarkStart w:id="312" w:name="OLE_LINK576"/>
      <w:bookmarkStart w:id="313" w:name="OLE_LINK579"/>
      <w:bookmarkStart w:id="314" w:name="OLE_LINK580"/>
      <w:bookmarkStart w:id="315" w:name="OLE_LINK521"/>
      <w:bookmarkStart w:id="316" w:name="OLE_LINK1043"/>
      <w:bookmarkStart w:id="317" w:name="OLE_LINK1886"/>
      <w:bookmarkStart w:id="318" w:name="OLE_LINK1887"/>
      <w:bookmarkStart w:id="319" w:name="OLE_LINK1888"/>
      <w:bookmarkStart w:id="320" w:name="OLE_LINK1889"/>
      <w:bookmarkStart w:id="321" w:name="OLE_LINK1903"/>
      <w:bookmarkStart w:id="322" w:name="OLE_LINK2083"/>
      <w:bookmarkStart w:id="323" w:name="OLE_LINK2084"/>
      <w:bookmarkStart w:id="324" w:name="OLE_LINK1977"/>
      <w:bookmarkStart w:id="325" w:name="OLE_LINK3258"/>
      <w:bookmarkStart w:id="326" w:name="OLE_LINK581"/>
      <w:bookmarkStart w:id="327" w:name="OLE_LINK582"/>
      <w:bookmarkStart w:id="328" w:name="OLE_LINK994"/>
      <w:bookmarkStart w:id="329" w:name="OLE_LINK995"/>
      <w:bookmarkStart w:id="330" w:name="OLE_LINK1074"/>
      <w:bookmarkStart w:id="331" w:name="OLE_LINK1140"/>
      <w:bookmarkStart w:id="332" w:name="OLE_LINK1127"/>
      <w:bookmarkStart w:id="333" w:name="OLE_LINK1266"/>
      <w:bookmarkStart w:id="334" w:name="OLE_LINK1540"/>
      <w:bookmarkStart w:id="335" w:name="OLE_LINK1541"/>
      <w:bookmarkStart w:id="336" w:name="OLE_LINK1551"/>
      <w:bookmarkStart w:id="337" w:name="OLE_LINK1587"/>
      <w:bookmarkStart w:id="338" w:name="OLE_LINK1601"/>
      <w:bookmarkStart w:id="339" w:name="OLE_LINK1731"/>
      <w:bookmarkStart w:id="340" w:name="OLE_LINK1818"/>
      <w:bookmarkStart w:id="341" w:name="OLE_LINK1965"/>
      <w:bookmarkStart w:id="342" w:name="OLE_LINK1967"/>
      <w:bookmarkStart w:id="343" w:name="OLE_LINK1972"/>
      <w:bookmarkStart w:id="344" w:name="OLE_LINK1973"/>
      <w:bookmarkStart w:id="345" w:name="OLE_LINK2041"/>
      <w:bookmarkStart w:id="346" w:name="OLE_LINK2042"/>
      <w:bookmarkStart w:id="347" w:name="OLE_LINK2063"/>
      <w:bookmarkStart w:id="348" w:name="OLE_LINK2120"/>
      <w:bookmarkStart w:id="349" w:name="OLE_LINK2158"/>
      <w:bookmarkStart w:id="350" w:name="OLE_LINK2180"/>
      <w:bookmarkStart w:id="351" w:name="OLE_LINK2253"/>
      <w:bookmarkStart w:id="352" w:name="OLE_LINK2217"/>
      <w:bookmarkStart w:id="353" w:name="OLE_LINK2236"/>
      <w:bookmarkStart w:id="354" w:name="OLE_LINK2268"/>
      <w:bookmarkStart w:id="355" w:name="OLE_LINK2279"/>
      <w:bookmarkStart w:id="356" w:name="OLE_LINK2313"/>
      <w:bookmarkStart w:id="357" w:name="OLE_LINK2319"/>
      <w:bookmarkStart w:id="358" w:name="OLE_LINK2320"/>
      <w:bookmarkStart w:id="359" w:name="OLE_LINK2366"/>
      <w:bookmarkStart w:id="360" w:name="OLE_LINK2372"/>
      <w:bookmarkStart w:id="361" w:name="OLE_LINK2384"/>
      <w:bookmarkStart w:id="362" w:name="OLE_LINK2464"/>
      <w:bookmarkStart w:id="363" w:name="OLE_LINK2492"/>
      <w:bookmarkStart w:id="364" w:name="OLE_LINK2532"/>
      <w:bookmarkStart w:id="365" w:name="OLE_LINK2405"/>
      <w:bookmarkStart w:id="366" w:name="OLE_LINK2406"/>
      <w:bookmarkStart w:id="367" w:name="OLE_LINK2425"/>
      <w:bookmarkStart w:id="368" w:name="OLE_LINK2478"/>
      <w:r w:rsidRPr="00F40C05">
        <w:rPr>
          <w:rFonts w:ascii="Book Antiqua" w:hAnsi="Book Antiqua" w:cs="宋体"/>
          <w:b/>
          <w:sz w:val="24"/>
          <w:szCs w:val="24"/>
          <w:lang w:val="en-US"/>
        </w:rPr>
        <w:t>Core tip</w:t>
      </w:r>
      <w:bookmarkStart w:id="369" w:name="OLE_LINK2554"/>
      <w:bookmarkStart w:id="370" w:name="OLE_LINK255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F40C05">
        <w:rPr>
          <w:rFonts w:ascii="Book Antiqua" w:hAnsi="Book Antiqua" w:cs="宋体"/>
          <w:b/>
          <w:sz w:val="24"/>
          <w:szCs w:val="24"/>
          <w:lang w:val="en-US" w:eastAsia="zh-CN"/>
        </w:rPr>
        <w:t xml:space="preserve">: </w:t>
      </w:r>
      <w:r w:rsidRPr="00F40C05">
        <w:rPr>
          <w:rFonts w:ascii="Book Antiqua" w:hAnsi="Book Antiqua" w:cs="宋体"/>
          <w:sz w:val="24"/>
          <w:szCs w:val="24"/>
          <w:lang w:val="en-US"/>
        </w:rPr>
        <w:t xml:space="preserve">Primary mucoepidermoid cancer (MEC) of the esophagus, including the sclerosing variant, is rarely reported, and sclerosing MEC with “tissue eosinophilia” has never been reported in this location. The rarity of this latter condition has precluded a thorough understanding of esophageal MEC. Heightened recognition of MEC in this location is also necessary to distinguish MEC from squamous </w:t>
      </w:r>
      <w:r w:rsidRPr="00F40C05">
        <w:rPr>
          <w:rFonts w:ascii="Book Antiqua" w:hAnsi="Book Antiqua" w:cs="宋体"/>
          <w:sz w:val="24"/>
          <w:szCs w:val="24"/>
          <w:lang w:val="en-US"/>
        </w:rPr>
        <w:lastRenderedPageBreak/>
        <w:t>carcinoma, adenocarcinoma or adenosquamous carcinoma. This distinction has therapeutic implications. Based largely on past experience managing tumors in the salivary gland, MEC is characterized by a poor response to adjuvant chemotherapy and radiotherapy; notwithstanding a poor response to surgery, this treatment approach remains the mainstay of management.</w:t>
      </w:r>
    </w:p>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sz w:val="24"/>
          <w:szCs w:val="24"/>
          <w:lang w:val="en-US"/>
        </w:rPr>
        <w:t>Suman</w:t>
      </w:r>
      <w:r w:rsidRPr="00F40C05">
        <w:rPr>
          <w:rFonts w:ascii="Book Antiqua" w:hAnsi="Book Antiqua"/>
          <w:sz w:val="24"/>
          <w:szCs w:val="24"/>
          <w:lang w:val="en-US" w:eastAsia="zh-CN"/>
        </w:rPr>
        <w:t xml:space="preserve"> MK</w:t>
      </w:r>
      <w:r w:rsidRPr="00F40C05">
        <w:rPr>
          <w:rFonts w:ascii="Book Antiqua" w:hAnsi="Book Antiqua"/>
          <w:sz w:val="24"/>
          <w:szCs w:val="24"/>
          <w:lang w:val="en-US"/>
        </w:rPr>
        <w:t>, Kapil</w:t>
      </w:r>
      <w:r w:rsidRPr="00F40C05">
        <w:rPr>
          <w:rFonts w:ascii="Book Antiqua" w:hAnsi="Book Antiqua"/>
          <w:sz w:val="24"/>
          <w:szCs w:val="24"/>
          <w:lang w:val="en-US" w:eastAsia="zh-CN"/>
        </w:rPr>
        <w:t xml:space="preserve"> M</w:t>
      </w:r>
      <w:r w:rsidRPr="00F40C05">
        <w:rPr>
          <w:rFonts w:ascii="Book Antiqua" w:hAnsi="Book Antiqua"/>
          <w:sz w:val="24"/>
          <w:szCs w:val="24"/>
          <w:lang w:val="en-US"/>
        </w:rPr>
        <w:t>, Bhugwan</w:t>
      </w:r>
      <w:r w:rsidRPr="00F40C05">
        <w:rPr>
          <w:rFonts w:ascii="Book Antiqua" w:hAnsi="Book Antiqua"/>
          <w:sz w:val="24"/>
          <w:szCs w:val="24"/>
          <w:lang w:val="en-US" w:eastAsia="zh-CN"/>
        </w:rPr>
        <w:t xml:space="preserve"> S</w:t>
      </w:r>
      <w:r w:rsidRPr="00F40C05">
        <w:rPr>
          <w:rFonts w:ascii="Book Antiqua" w:hAnsi="Book Antiqua"/>
          <w:sz w:val="24"/>
          <w:szCs w:val="24"/>
          <w:lang w:val="en-US"/>
        </w:rPr>
        <w:t>, Michelle</w:t>
      </w:r>
      <w:r w:rsidRPr="00F40C05">
        <w:rPr>
          <w:rFonts w:ascii="Book Antiqua" w:hAnsi="Book Antiqua"/>
          <w:sz w:val="24"/>
          <w:szCs w:val="24"/>
          <w:lang w:val="en-US" w:eastAsia="zh-CN"/>
        </w:rPr>
        <w:t xml:space="preserve"> G</w:t>
      </w:r>
      <w:r w:rsidRPr="00F40C05">
        <w:rPr>
          <w:rFonts w:ascii="Book Antiqua" w:hAnsi="Book Antiqua"/>
          <w:sz w:val="24"/>
          <w:szCs w:val="24"/>
          <w:lang w:val="en-US"/>
        </w:rPr>
        <w:t>, Kanaye</w:t>
      </w:r>
      <w:r w:rsidRPr="00F40C05">
        <w:rPr>
          <w:rFonts w:ascii="Book Antiqua" w:hAnsi="Book Antiqua"/>
          <w:sz w:val="24"/>
          <w:szCs w:val="24"/>
          <w:lang w:val="en-US" w:eastAsia="zh-CN"/>
        </w:rPr>
        <w:t xml:space="preserve"> RP. </w:t>
      </w:r>
      <w:r w:rsidRPr="00F40C05">
        <w:rPr>
          <w:rFonts w:ascii="Book Antiqua" w:hAnsi="Book Antiqua"/>
          <w:sz w:val="24"/>
          <w:szCs w:val="24"/>
          <w:lang w:val="en-US"/>
        </w:rPr>
        <w:t>Primary esophageal sclerosing mucoepidermoid carcinoma with “tissue eosinophilia”</w:t>
      </w:r>
      <w:bookmarkStart w:id="371" w:name="OLE_LINK335"/>
      <w:bookmarkStart w:id="372" w:name="OLE_LINK336"/>
      <w:bookmarkStart w:id="373" w:name="OLE_LINK87"/>
      <w:bookmarkStart w:id="374" w:name="OLE_LINK97"/>
      <w:bookmarkStart w:id="375" w:name="OLE_LINK1297"/>
      <w:bookmarkStart w:id="376" w:name="OLE_LINK1298"/>
      <w:bookmarkStart w:id="377" w:name="OLE_LINK1689"/>
      <w:bookmarkStart w:id="378" w:name="OLE_LINK144"/>
      <w:bookmarkStart w:id="379" w:name="OLE_LINK152"/>
      <w:bookmarkStart w:id="380" w:name="OLE_LINK163"/>
      <w:bookmarkStart w:id="381" w:name="OLE_LINK1895"/>
      <w:bookmarkStart w:id="382" w:name="OLE_LINK1897"/>
      <w:bookmarkStart w:id="383" w:name="OLE_LINK1937"/>
      <w:bookmarkStart w:id="384" w:name="OLE_LINK2087"/>
      <w:bookmarkStart w:id="385" w:name="OLE_LINK2088"/>
      <w:bookmarkStart w:id="386" w:name="OLE_LINK2569"/>
      <w:bookmarkStart w:id="387" w:name="OLE_LINK2570"/>
      <w:bookmarkStart w:id="388" w:name="OLE_LINK2127"/>
      <w:bookmarkStart w:id="389" w:name="OLE_LINK2128"/>
      <w:bookmarkStart w:id="390" w:name="OLE_LINK2200"/>
      <w:bookmarkStart w:id="391" w:name="OLE_LINK2113"/>
      <w:bookmarkStart w:id="392" w:name="OLE_LINK2391"/>
      <w:bookmarkStart w:id="393" w:name="OLE_LINK2392"/>
      <w:bookmarkStart w:id="394" w:name="OLE_LINK2499"/>
      <w:bookmarkStart w:id="395" w:name="OLE_LINK2782"/>
      <w:bookmarkStart w:id="396" w:name="OLE_LINK2783"/>
      <w:bookmarkStart w:id="397" w:name="OLE_LINK2667"/>
      <w:bookmarkStart w:id="398" w:name="OLE_LINK2668"/>
      <w:bookmarkStart w:id="399" w:name="OLE_LINK2766"/>
      <w:bookmarkStart w:id="400" w:name="OLE_LINK3008"/>
      <w:bookmarkStart w:id="401" w:name="OLE_LINK3156"/>
      <w:bookmarkStart w:id="402" w:name="OLE_LINK3303"/>
      <w:bookmarkStart w:id="403" w:name="OLE_LINK3304"/>
      <w:bookmarkStart w:id="404" w:name="OLE_LINK2689"/>
      <w:bookmarkStart w:id="405" w:name="OLE_LINK2588"/>
      <w:bookmarkStart w:id="406" w:name="OLE_LINK2769"/>
      <w:bookmarkStart w:id="407" w:name="OLE_LINK3019"/>
      <w:bookmarkStart w:id="408" w:name="OLE_LINK3020"/>
      <w:r w:rsidRPr="00F40C05">
        <w:rPr>
          <w:rFonts w:ascii="Book Antiqua" w:hAnsi="Book Antiqua"/>
          <w:sz w:val="24"/>
          <w:szCs w:val="24"/>
          <w:lang w:val="en-US" w:eastAsia="zh-CN"/>
        </w:rPr>
        <w:t>.</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sz w:val="24"/>
          <w:szCs w:val="24"/>
          <w:lang w:val="en-US"/>
        </w:rPr>
        <w:br w:type="page"/>
      </w:r>
    </w:p>
    <w:p w:rsidR="00B46B42" w:rsidRPr="00F40C05" w:rsidRDefault="00B46B42" w:rsidP="00726EC3">
      <w:pPr>
        <w:snapToGrid w:val="0"/>
        <w:spacing w:after="0" w:line="360" w:lineRule="auto"/>
        <w:jc w:val="both"/>
        <w:rPr>
          <w:rFonts w:ascii="Book Antiqua" w:hAnsi="Book Antiqua"/>
          <w:b/>
          <w:sz w:val="24"/>
          <w:szCs w:val="24"/>
          <w:lang w:val="en-US"/>
        </w:rPr>
      </w:pPr>
      <w:r w:rsidRPr="00F40C05">
        <w:rPr>
          <w:rFonts w:ascii="Book Antiqua" w:hAnsi="Book Antiqua"/>
          <w:b/>
          <w:sz w:val="24"/>
          <w:szCs w:val="24"/>
          <w:lang w:val="en-US"/>
        </w:rPr>
        <w:t>INTRODUCTION</w:t>
      </w:r>
    </w:p>
    <w:p w:rsidR="00B46B42" w:rsidRPr="00F40C05" w:rsidRDefault="00B46B42" w:rsidP="00726EC3">
      <w:pPr>
        <w:snapToGrid w:val="0"/>
        <w:spacing w:after="0" w:line="360" w:lineRule="auto"/>
        <w:jc w:val="both"/>
        <w:rPr>
          <w:rFonts w:ascii="Book Antiqua" w:hAnsi="Book Antiqua"/>
          <w:sz w:val="24"/>
          <w:szCs w:val="24"/>
          <w:lang w:val="en-US"/>
        </w:rPr>
      </w:pPr>
      <w:r w:rsidRPr="00F40C05">
        <w:rPr>
          <w:rFonts w:ascii="Book Antiqua" w:hAnsi="Book Antiqua"/>
          <w:sz w:val="24"/>
          <w:szCs w:val="24"/>
          <w:lang w:val="en-US"/>
        </w:rPr>
        <w:t>Mucoepidermoid carcinoma (MEC) is the most common malignant neoplasm in the major and minor salivary glands</w:t>
      </w:r>
      <w:r w:rsidRPr="00F40C05">
        <w:rPr>
          <w:rFonts w:ascii="Book Antiqua" w:hAnsi="Book Antiqua"/>
          <w:sz w:val="24"/>
          <w:szCs w:val="24"/>
          <w:vertAlign w:val="superscript"/>
          <w:lang w:val="en-US"/>
        </w:rPr>
        <w:t>[1]</w:t>
      </w:r>
      <w:r w:rsidRPr="00F40C05">
        <w:rPr>
          <w:rFonts w:ascii="Book Antiqua" w:hAnsi="Book Antiqua"/>
          <w:sz w:val="24"/>
          <w:szCs w:val="24"/>
          <w:lang w:val="en-US"/>
        </w:rPr>
        <w:t>. It may also arise in other organs, including the bronchi, lacrimal sac, thyroid gland and, rarely, the esophagus. While MEC is characterized by variable proportions of malignant squamoid, mucous and intermediate cells, several histopathological variants, including the clear cell, oncocytic, sebaceous, spindle cell and psammomatous types, have been documented</w:t>
      </w:r>
      <w:r w:rsidRPr="00F40C05">
        <w:rPr>
          <w:rFonts w:ascii="Book Antiqua" w:hAnsi="Book Antiqua"/>
          <w:sz w:val="24"/>
          <w:szCs w:val="24"/>
          <w:vertAlign w:val="superscript"/>
          <w:lang w:val="en-US"/>
        </w:rPr>
        <w:t>[2]</w:t>
      </w:r>
      <w:r w:rsidRPr="00F40C05">
        <w:rPr>
          <w:rFonts w:ascii="Book Antiqua" w:hAnsi="Book Antiqua"/>
          <w:sz w:val="24"/>
          <w:szCs w:val="24"/>
          <w:lang w:val="en-US"/>
        </w:rPr>
        <w:t>. More recently, sclerosing MEC with an intense sclerosing pattern has been documented</w:t>
      </w:r>
      <w:r w:rsidRPr="00F40C05">
        <w:rPr>
          <w:rFonts w:ascii="Book Antiqua" w:hAnsi="Book Antiqua"/>
          <w:sz w:val="24"/>
          <w:szCs w:val="24"/>
          <w:vertAlign w:val="superscript"/>
          <w:lang w:val="en-US"/>
        </w:rPr>
        <w:t>[3]</w:t>
      </w:r>
      <w:r w:rsidRPr="00F40C05">
        <w:rPr>
          <w:rFonts w:ascii="Book Antiqua" w:hAnsi="Book Antiqua"/>
          <w:sz w:val="24"/>
          <w:szCs w:val="24"/>
          <w:lang w:val="en-US"/>
        </w:rPr>
        <w:t>. In this subtype, some tumors may also demonstrate an infiltrate of eosinophils, which have been labelled “sclerosing MEC with eosinophilia”.</w:t>
      </w:r>
      <w:r w:rsidRPr="00F40C05">
        <w:rPr>
          <w:rFonts w:ascii="Book Antiqua" w:hAnsi="Book Antiqua"/>
          <w:sz w:val="24"/>
          <w:szCs w:val="24"/>
          <w:lang w:val="en-US" w:eastAsia="zh-CN"/>
        </w:rPr>
        <w:t xml:space="preserve"> </w:t>
      </w:r>
      <w:r w:rsidRPr="00F40C05">
        <w:rPr>
          <w:rFonts w:ascii="Book Antiqua" w:hAnsi="Book Antiqua"/>
          <w:sz w:val="24"/>
          <w:szCs w:val="24"/>
          <w:lang w:val="en-US"/>
        </w:rPr>
        <w:t>Primary MEC of the esophagus is reported uncommonly, accounting for less than 1% of all primary esophageal cancers</w:t>
      </w:r>
      <w:r w:rsidRPr="00F40C05">
        <w:rPr>
          <w:rFonts w:ascii="Book Antiqua" w:hAnsi="Book Antiqua"/>
          <w:sz w:val="24"/>
          <w:szCs w:val="24"/>
          <w:vertAlign w:val="superscript"/>
          <w:lang w:val="en-US"/>
        </w:rPr>
        <w:t>[4]</w:t>
      </w:r>
      <w:r w:rsidRPr="00F40C05">
        <w:rPr>
          <w:rFonts w:ascii="Book Antiqua" w:hAnsi="Book Antiqua"/>
          <w:sz w:val="24"/>
          <w:szCs w:val="24"/>
          <w:lang w:val="en-US"/>
        </w:rPr>
        <w:t>.</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While the rarely described, sclerosing variant of esophageal MEC has been reported in 4 patients</w:t>
      </w:r>
      <w:r w:rsidRPr="00F40C05">
        <w:rPr>
          <w:rFonts w:ascii="Book Antiqua" w:hAnsi="Book Antiqua"/>
          <w:sz w:val="24"/>
          <w:szCs w:val="24"/>
          <w:vertAlign w:val="superscript"/>
          <w:lang w:val="en-US"/>
        </w:rPr>
        <w:t>[5]</w:t>
      </w:r>
      <w:r w:rsidRPr="00F40C05">
        <w:rPr>
          <w:rFonts w:ascii="Book Antiqua" w:hAnsi="Book Antiqua"/>
          <w:sz w:val="24"/>
          <w:szCs w:val="24"/>
          <w:lang w:val="en-US"/>
        </w:rPr>
        <w:t>, to date, sclerosing MEC of the esophagus with “tissue eosinophilia” is undocumented in the literature. In reporting for the first time a primary esophageal sclerosing mucoepidermoid carcinoma with “tissue eosinophilia” (SMCE), we describe the clinicopathological features and also compare and contrast the features of the index tumor with those of other sclerosing esophageal MECs in the world literature. In addition, the pathogenesis of sclerosis and stricture formation in SMCE are discussed.</w:t>
      </w:r>
    </w:p>
    <w:p w:rsidR="00B46B42" w:rsidRPr="00F40C05" w:rsidRDefault="00B46B42" w:rsidP="00726EC3">
      <w:pPr>
        <w:snapToGrid w:val="0"/>
        <w:spacing w:after="0" w:line="360" w:lineRule="auto"/>
        <w:jc w:val="both"/>
        <w:rPr>
          <w:rFonts w:ascii="Book Antiqua" w:hAnsi="Book Antiqua"/>
          <w:sz w:val="24"/>
          <w:szCs w:val="24"/>
          <w:lang w:val="en-US"/>
        </w:rPr>
      </w:pPr>
    </w:p>
    <w:p w:rsidR="00B46B42" w:rsidRPr="00F40C05" w:rsidRDefault="00B46B42" w:rsidP="00726EC3">
      <w:pPr>
        <w:snapToGrid w:val="0"/>
        <w:spacing w:after="0" w:line="360" w:lineRule="auto"/>
        <w:jc w:val="both"/>
        <w:rPr>
          <w:rFonts w:ascii="Book Antiqua" w:hAnsi="Book Antiqua"/>
          <w:b/>
          <w:sz w:val="24"/>
          <w:szCs w:val="24"/>
          <w:lang w:val="en-US" w:eastAsia="zh-CN"/>
        </w:rPr>
      </w:pPr>
      <w:r w:rsidRPr="00F40C05">
        <w:rPr>
          <w:rFonts w:ascii="Book Antiqua" w:hAnsi="Book Antiqua"/>
          <w:b/>
          <w:sz w:val="24"/>
          <w:szCs w:val="24"/>
          <w:lang w:val="en-US" w:eastAsia="zh-CN"/>
        </w:rPr>
        <w:t>CASE REPORT</w:t>
      </w:r>
    </w:p>
    <w:p w:rsidR="00B46B42" w:rsidRPr="00F40C05" w:rsidRDefault="00B46B42" w:rsidP="00726EC3">
      <w:pPr>
        <w:snapToGrid w:val="0"/>
        <w:spacing w:after="0" w:line="360" w:lineRule="auto"/>
        <w:jc w:val="both"/>
        <w:rPr>
          <w:rFonts w:ascii="Book Antiqua" w:hAnsi="Book Antiqua"/>
          <w:b/>
          <w:i/>
          <w:sz w:val="24"/>
          <w:szCs w:val="24"/>
          <w:lang w:val="en-US" w:eastAsia="zh-CN"/>
        </w:rPr>
      </w:pPr>
      <w:r w:rsidRPr="00F40C05">
        <w:rPr>
          <w:rFonts w:ascii="Book Antiqua" w:hAnsi="Book Antiqua"/>
          <w:b/>
          <w:i/>
          <w:sz w:val="24"/>
          <w:szCs w:val="24"/>
          <w:lang w:val="en-US"/>
        </w:rPr>
        <w:t>Clinical features</w:t>
      </w:r>
    </w:p>
    <w:p w:rsidR="00B46B42" w:rsidRPr="00F40C05" w:rsidRDefault="00B46B42" w:rsidP="00726EC3">
      <w:pPr>
        <w:snapToGrid w:val="0"/>
        <w:spacing w:after="0" w:line="360" w:lineRule="auto"/>
        <w:jc w:val="both"/>
        <w:rPr>
          <w:rFonts w:ascii="Book Antiqua" w:hAnsi="Book Antiqua"/>
          <w:sz w:val="24"/>
          <w:szCs w:val="24"/>
          <w:lang w:val="en-US" w:eastAsia="zh-CN"/>
        </w:rPr>
      </w:pPr>
      <w:r w:rsidRPr="00F40C05">
        <w:rPr>
          <w:rFonts w:ascii="Book Antiqua" w:hAnsi="Book Antiqua"/>
          <w:sz w:val="24"/>
          <w:szCs w:val="24"/>
          <w:lang w:val="en-US"/>
        </w:rPr>
        <w:t>A 51-year-old Indian female presented to our institution with a 2 mo history of progressive dysphagia. She was able to tolerate a soft diet on presentation. Barium swallow revealed a malignant-appearing stricture in the mid-thoracic region (Fig</w:t>
      </w:r>
      <w:r w:rsidRPr="00F40C05">
        <w:rPr>
          <w:rFonts w:ascii="Book Antiqua" w:hAnsi="Book Antiqua"/>
          <w:sz w:val="24"/>
          <w:szCs w:val="24"/>
          <w:lang w:val="en-US" w:eastAsia="zh-CN"/>
        </w:rPr>
        <w:t>ure</w:t>
      </w:r>
      <w:r w:rsidRPr="00F40C05">
        <w:rPr>
          <w:rFonts w:ascii="Book Antiqua" w:hAnsi="Book Antiqua"/>
          <w:sz w:val="24"/>
          <w:szCs w:val="24"/>
          <w:lang w:val="en-US"/>
        </w:rPr>
        <w:t xml:space="preserve"> 1A). Endoscopic assessment revealed an ulcerated lesion at 31 cm. Biopsy of the lesion demonstrated a mucoepidermoid carcinoma of the esophagus. The tumor was deemed resectable on </w:t>
      </w:r>
      <w:r w:rsidRPr="00F40C05">
        <w:rPr>
          <w:rFonts w:ascii="Book Antiqua" w:hAnsi="Book Antiqua"/>
          <w:sz w:val="24"/>
          <w:szCs w:val="24"/>
          <w:lang w:val="en-US" w:eastAsia="zh-CN"/>
        </w:rPr>
        <w:t>computed tomography</w:t>
      </w:r>
      <w:r w:rsidRPr="00F40C05">
        <w:rPr>
          <w:rFonts w:ascii="Book Antiqua" w:hAnsi="Book Antiqua"/>
          <w:sz w:val="24"/>
          <w:szCs w:val="24"/>
          <w:lang w:val="en-US"/>
        </w:rPr>
        <w:t xml:space="preserve"> scan, and the patient was found to be medically fit for an esophageal resection. She was subjected to an exploration. Intra-</w:t>
      </w:r>
      <w:r w:rsidRPr="00F40C05">
        <w:rPr>
          <w:rFonts w:ascii="Book Antiqua" w:hAnsi="Book Antiqua"/>
          <w:sz w:val="24"/>
          <w:szCs w:val="24"/>
          <w:lang w:val="en-US"/>
        </w:rPr>
        <w:lastRenderedPageBreak/>
        <w:t>operatively, tumor adherence to the descending aorta was noted. A 3-stage total esophagectomy was performed by shaving the tumor off the aorta, followed by performing a gastric pull-up and esophago-gastrostomy in the neck. The tumor bed was clipped with titanium clips. Our patient had an uneventful recovery post operatively and was referred to our local oncology unit for further management.</w:t>
      </w:r>
    </w:p>
    <w:p w:rsidR="00B46B42" w:rsidRPr="00F40C05" w:rsidRDefault="00B46B42" w:rsidP="00726EC3">
      <w:pPr>
        <w:snapToGrid w:val="0"/>
        <w:spacing w:after="0" w:line="360" w:lineRule="auto"/>
        <w:jc w:val="both"/>
        <w:rPr>
          <w:rFonts w:ascii="Book Antiqua" w:hAnsi="Book Antiqua"/>
          <w:sz w:val="24"/>
          <w:szCs w:val="24"/>
          <w:lang w:val="en-US" w:eastAsia="zh-CN"/>
        </w:rPr>
      </w:pPr>
    </w:p>
    <w:p w:rsidR="00B46B42" w:rsidRPr="00F40C05" w:rsidRDefault="00B46B42" w:rsidP="00726EC3">
      <w:pPr>
        <w:snapToGrid w:val="0"/>
        <w:spacing w:after="0" w:line="360" w:lineRule="auto"/>
        <w:jc w:val="both"/>
        <w:rPr>
          <w:rFonts w:ascii="Book Antiqua" w:hAnsi="Book Antiqua"/>
          <w:b/>
          <w:i/>
          <w:sz w:val="24"/>
          <w:szCs w:val="24"/>
          <w:lang w:val="en-US" w:eastAsia="zh-CN"/>
        </w:rPr>
      </w:pPr>
      <w:r w:rsidRPr="00F40C05">
        <w:rPr>
          <w:rFonts w:ascii="Book Antiqua" w:hAnsi="Book Antiqua"/>
          <w:b/>
          <w:i/>
          <w:sz w:val="24"/>
          <w:szCs w:val="24"/>
          <w:lang w:val="en-US"/>
        </w:rPr>
        <w:t>Pathological features</w:t>
      </w:r>
    </w:p>
    <w:p w:rsidR="00B46B42" w:rsidRPr="00F40C05" w:rsidRDefault="00B46B42" w:rsidP="00726EC3">
      <w:pPr>
        <w:snapToGrid w:val="0"/>
        <w:spacing w:after="0" w:line="360" w:lineRule="auto"/>
        <w:jc w:val="both"/>
        <w:rPr>
          <w:rFonts w:ascii="Book Antiqua" w:hAnsi="Book Antiqua"/>
          <w:sz w:val="24"/>
          <w:szCs w:val="24"/>
          <w:lang w:val="en-US"/>
        </w:rPr>
      </w:pPr>
      <w:r w:rsidRPr="00F40C05">
        <w:rPr>
          <w:rFonts w:ascii="Book Antiqua" w:hAnsi="Book Antiqua"/>
          <w:sz w:val="24"/>
          <w:szCs w:val="24"/>
          <w:lang w:val="en-US"/>
        </w:rPr>
        <w:t>The resected esophagectomy specimen contained a fungating tumor that measured 52 and 70 mm in the cross-sectional and longitudinal dimensions (Figure 1B). Luminal stenosis and mural thickening were noted in the area of the tumor. A single serosal lymph node was identified. Microscopic assessment confirmed an infiltrative tumor that was composed of a variable admixture of squamoid (Figure 2A), glandular (Figure 2B) and intermediate cells (Figure 2C). High-grade foci demonstrated pleomorphic solid islands of cells with a squamoid appearance characterized by intercellular bridges, focal squamous pearls and dyskeratotic cells; prominent apoptosis and brisk, including atypical, mitotic activity. Intraepithelial neutrophilic aggregates and mucin pools were noted (Figure 2C). Intracytoplasmic and luminal mucin production was confirmed on Southgate mucicarmine staining (Figure 2D). Rupture of the mucin pools and stromal extravasation of the mucin were noted. Discrete, separate glandular structures were not observed. In addition, there were large areas of fibrosis, keloid-like sclerosis (Figure 2E), desmoplasia and an inflammatory infiltrate composed of a prominence of eosinophils (Figure 2A), neutrophils, plasma cells and lymphoid aggregates. Perineurial invasion was observed, but lymphovascular invasion was absent. The diagnosis of the sclerosing variant of mucoepidermoid carcinoma with “tissue eosinophilia” was confirmed.</w:t>
      </w:r>
    </w:p>
    <w:p w:rsidR="00B46B42" w:rsidRPr="00F40C05" w:rsidRDefault="00B46B42" w:rsidP="00726EC3">
      <w:pPr>
        <w:snapToGrid w:val="0"/>
        <w:spacing w:after="0" w:line="360" w:lineRule="auto"/>
        <w:jc w:val="both"/>
        <w:rPr>
          <w:rFonts w:ascii="Book Antiqua" w:hAnsi="Book Antiqua"/>
          <w:sz w:val="24"/>
          <w:szCs w:val="24"/>
          <w:lang w:val="en-US"/>
        </w:rPr>
      </w:pPr>
    </w:p>
    <w:p w:rsidR="00B46B42" w:rsidRPr="00F40C05" w:rsidRDefault="00B46B42" w:rsidP="00726EC3">
      <w:pPr>
        <w:snapToGrid w:val="0"/>
        <w:spacing w:after="0" w:line="360" w:lineRule="auto"/>
        <w:jc w:val="both"/>
        <w:rPr>
          <w:rFonts w:ascii="Book Antiqua" w:hAnsi="Book Antiqua"/>
          <w:b/>
          <w:sz w:val="24"/>
          <w:szCs w:val="24"/>
          <w:lang w:val="en-US"/>
        </w:rPr>
      </w:pPr>
      <w:r w:rsidRPr="00F40C05">
        <w:rPr>
          <w:rFonts w:ascii="Book Antiqua" w:hAnsi="Book Antiqua"/>
          <w:b/>
          <w:sz w:val="24"/>
          <w:szCs w:val="24"/>
          <w:lang w:val="en-US"/>
        </w:rPr>
        <w:t>DISCUSSION</w:t>
      </w:r>
    </w:p>
    <w:p w:rsidR="00B46B42" w:rsidRPr="00F40C05" w:rsidRDefault="00B46B42" w:rsidP="00726EC3">
      <w:pPr>
        <w:snapToGrid w:val="0"/>
        <w:spacing w:after="0" w:line="360" w:lineRule="auto"/>
        <w:jc w:val="both"/>
        <w:rPr>
          <w:rFonts w:ascii="Book Antiqua" w:hAnsi="Book Antiqua"/>
          <w:sz w:val="24"/>
          <w:szCs w:val="24"/>
          <w:lang w:val="en-US"/>
        </w:rPr>
      </w:pPr>
      <w:r w:rsidRPr="00F40C05">
        <w:rPr>
          <w:rFonts w:ascii="Book Antiqua" w:hAnsi="Book Antiqua"/>
          <w:sz w:val="24"/>
          <w:szCs w:val="24"/>
          <w:lang w:val="en-US"/>
        </w:rPr>
        <w:t>Esophageal MEC occurs mainly in men in their sixth decades. Characterized by the predominant involvement of the middle and lower thirds of the esophagus</w:t>
      </w:r>
      <w:r w:rsidRPr="00F40C05">
        <w:rPr>
          <w:rFonts w:ascii="Book Antiqua" w:hAnsi="Book Antiqua"/>
          <w:sz w:val="24"/>
          <w:szCs w:val="24"/>
          <w:vertAlign w:val="superscript"/>
          <w:lang w:val="en-US"/>
        </w:rPr>
        <w:t>[6]</w:t>
      </w:r>
      <w:r w:rsidRPr="00F40C05">
        <w:rPr>
          <w:rFonts w:ascii="Book Antiqua" w:hAnsi="Book Antiqua"/>
          <w:sz w:val="24"/>
          <w:szCs w:val="24"/>
          <w:lang w:val="en-US"/>
        </w:rPr>
        <w:t>, the exact micro-anatomic origins of these tumors are debatable. The hypothesis that these tumors arise from the esophageal glandular or ductal epithelium</w:t>
      </w:r>
      <w:r w:rsidRPr="00F40C05">
        <w:rPr>
          <w:rFonts w:ascii="Book Antiqua" w:hAnsi="Book Antiqua"/>
          <w:sz w:val="24"/>
          <w:szCs w:val="24"/>
          <w:vertAlign w:val="superscript"/>
          <w:lang w:val="en-US"/>
        </w:rPr>
        <w:t>[7]</w:t>
      </w:r>
      <w:r w:rsidRPr="00F40C05">
        <w:rPr>
          <w:rFonts w:ascii="Book Antiqua" w:hAnsi="Book Antiqua"/>
          <w:sz w:val="24"/>
          <w:szCs w:val="24"/>
          <w:lang w:val="en-US"/>
        </w:rPr>
        <w:t xml:space="preserve"> is </w:t>
      </w:r>
      <w:r w:rsidRPr="00F40C05">
        <w:rPr>
          <w:rFonts w:ascii="Book Antiqua" w:hAnsi="Book Antiqua"/>
          <w:sz w:val="24"/>
          <w:szCs w:val="24"/>
          <w:lang w:val="en-US"/>
        </w:rPr>
        <w:lastRenderedPageBreak/>
        <w:t>supported by their submucosal location, microscopic findings of normal stratified squamous epithelium overlying the MEC</w:t>
      </w:r>
      <w:r w:rsidRPr="00F40C05">
        <w:rPr>
          <w:rFonts w:ascii="Book Antiqua" w:hAnsi="Book Antiqua"/>
          <w:sz w:val="24"/>
          <w:szCs w:val="24"/>
          <w:vertAlign w:val="superscript"/>
          <w:lang w:val="en-US"/>
        </w:rPr>
        <w:t>[8]</w:t>
      </w:r>
      <w:r w:rsidRPr="00F40C05">
        <w:rPr>
          <w:rFonts w:ascii="Book Antiqua" w:hAnsi="Book Antiqua"/>
          <w:sz w:val="24"/>
          <w:szCs w:val="24"/>
          <w:lang w:val="en-US"/>
        </w:rPr>
        <w:t xml:space="preserve"> and the common embryological derivation of esophageal and salivary glands</w:t>
      </w:r>
      <w:r w:rsidRPr="00F40C05">
        <w:rPr>
          <w:rFonts w:ascii="Book Antiqua" w:hAnsi="Book Antiqua"/>
          <w:sz w:val="24"/>
          <w:szCs w:val="24"/>
          <w:vertAlign w:val="superscript"/>
          <w:lang w:val="en-US"/>
        </w:rPr>
        <w:t>[6]</w:t>
      </w:r>
      <w:r w:rsidRPr="00F40C05">
        <w:rPr>
          <w:rFonts w:ascii="Book Antiqua" w:hAnsi="Book Antiqua"/>
          <w:sz w:val="24"/>
          <w:szCs w:val="24"/>
          <w:lang w:val="en-US"/>
        </w:rPr>
        <w:t>. In contrast, the view of some authors, that MEC arises through dysplasia in metaplastic surface squamous epithelia, is supported by documented dysplastic alterations in the surface epithelium</w:t>
      </w:r>
      <w:r w:rsidRPr="00F40C05">
        <w:rPr>
          <w:rFonts w:ascii="Book Antiqua" w:hAnsi="Book Antiqua"/>
          <w:sz w:val="24"/>
          <w:szCs w:val="24"/>
          <w:vertAlign w:val="superscript"/>
          <w:lang w:val="en-US"/>
        </w:rPr>
        <w:t>[5]</w:t>
      </w:r>
      <w:r w:rsidRPr="00F40C05">
        <w:rPr>
          <w:rFonts w:ascii="Book Antiqua" w:hAnsi="Book Antiqua"/>
          <w:sz w:val="24"/>
          <w:szCs w:val="24"/>
          <w:lang w:val="en-US"/>
        </w:rPr>
        <w:t>.</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Sclerosing MEC, which was first described in 1987 in the salivary gland</w:t>
      </w:r>
      <w:r w:rsidRPr="00F40C05">
        <w:rPr>
          <w:rFonts w:ascii="Book Antiqua" w:hAnsi="Book Antiqua"/>
          <w:sz w:val="24"/>
          <w:szCs w:val="24"/>
          <w:vertAlign w:val="superscript"/>
          <w:lang w:val="en-US"/>
        </w:rPr>
        <w:t>[9]</w:t>
      </w:r>
      <w:r w:rsidRPr="00F40C05">
        <w:rPr>
          <w:rFonts w:ascii="Book Antiqua" w:hAnsi="Book Antiqua"/>
          <w:sz w:val="24"/>
          <w:szCs w:val="24"/>
          <w:lang w:val="en-US"/>
        </w:rPr>
        <w:t>, is typified by its occurrence across a wide age range and a male predilection. While intratumoral eosinophils and peripheral lymphoid aggregates are variable findings in sclerosing MEC, the widespread and obliterative keloidal-type sclerosis that sets it apart from other sclerosing conditions in this location</w:t>
      </w:r>
      <w:r w:rsidRPr="00F40C05">
        <w:rPr>
          <w:rFonts w:ascii="Book Antiqua" w:hAnsi="Book Antiqua"/>
          <w:sz w:val="24"/>
          <w:szCs w:val="24"/>
          <w:vertAlign w:val="superscript"/>
          <w:lang w:val="en-US"/>
        </w:rPr>
        <w:t>[2,3]</w:t>
      </w:r>
      <w:r w:rsidRPr="00F40C05">
        <w:rPr>
          <w:rFonts w:ascii="Book Antiqua" w:hAnsi="Book Antiqua"/>
          <w:sz w:val="24"/>
          <w:szCs w:val="24"/>
          <w:lang w:val="en-US"/>
        </w:rPr>
        <w:t>. Sclerosing MEC of the esophagus has been reported in 4 patients, but sclerosing SMCE of the esophagus is unreported to date. All reported sclerosing MECs and the index case have mid-esophageal involvement, with variable proximal or distal extension in two patients. Dysphagia and stenosing lesions were common findings in all patients. While all reported tumors and the index case demonstrated stromal sclerosis, the exact etiopathogenesis of this sclerosing phenomenon is unresolved. Some authors have speculated that the sclerosing process is a bystander effect</w:t>
      </w:r>
      <w:r w:rsidRPr="00F40C05">
        <w:rPr>
          <w:rFonts w:ascii="Book Antiqua" w:hAnsi="Book Antiqua"/>
          <w:sz w:val="24"/>
          <w:szCs w:val="24"/>
          <w:vertAlign w:val="superscript"/>
          <w:lang w:val="en-US"/>
        </w:rPr>
        <w:t>[10]</w:t>
      </w:r>
      <w:r w:rsidRPr="00F40C05">
        <w:rPr>
          <w:rFonts w:ascii="Book Antiqua" w:hAnsi="Book Antiqua"/>
          <w:sz w:val="24"/>
          <w:szCs w:val="24"/>
          <w:lang w:val="en-US"/>
        </w:rPr>
        <w:t>, while others have suggested an ischaemic pathomechanism</w:t>
      </w:r>
      <w:r w:rsidRPr="00F40C05">
        <w:rPr>
          <w:rFonts w:ascii="Book Antiqua" w:hAnsi="Book Antiqua"/>
          <w:sz w:val="24"/>
          <w:szCs w:val="24"/>
          <w:vertAlign w:val="superscript"/>
          <w:lang w:val="en-US"/>
        </w:rPr>
        <w:t>[9]</w:t>
      </w:r>
      <w:r w:rsidRPr="00F40C05">
        <w:rPr>
          <w:rFonts w:ascii="Book Antiqua" w:hAnsi="Book Antiqua"/>
          <w:sz w:val="24"/>
          <w:szCs w:val="24"/>
          <w:lang w:val="en-US"/>
        </w:rPr>
        <w:t>. In addition, the presence of extravasated mucin pools throughout the tumor underpins the mucin extravasation theory that posits the temporal sequence of mucin extravasation, an associated inflammatory reaction and subsequent fibrosis</w:t>
      </w:r>
      <w:r w:rsidRPr="00F40C05">
        <w:rPr>
          <w:rFonts w:ascii="Book Antiqua" w:hAnsi="Book Antiqua"/>
          <w:sz w:val="24"/>
          <w:szCs w:val="24"/>
          <w:vertAlign w:val="superscript"/>
          <w:lang w:val="en-US"/>
        </w:rPr>
        <w:t>[9,11]</w:t>
      </w:r>
      <w:r w:rsidRPr="00F40C05">
        <w:rPr>
          <w:rFonts w:ascii="Book Antiqua" w:hAnsi="Book Antiqua"/>
          <w:sz w:val="24"/>
          <w:szCs w:val="24"/>
          <w:lang w:val="en-US"/>
        </w:rPr>
        <w:t>. More recently eosinophils have been identified in sclerosing MEC of the salivary and thyroid gland, in association with lymphocytic thyroiditis</w:t>
      </w:r>
      <w:r w:rsidRPr="00F40C05">
        <w:rPr>
          <w:rFonts w:ascii="Book Antiqua" w:hAnsi="Book Antiqua"/>
          <w:sz w:val="24"/>
          <w:szCs w:val="24"/>
          <w:vertAlign w:val="superscript"/>
          <w:lang w:val="en-US"/>
        </w:rPr>
        <w:t>[12]</w:t>
      </w:r>
      <w:r w:rsidRPr="00F40C05">
        <w:rPr>
          <w:rFonts w:ascii="Book Antiqua" w:hAnsi="Book Antiqua"/>
          <w:sz w:val="24"/>
          <w:szCs w:val="24"/>
          <w:lang w:val="en-US"/>
        </w:rPr>
        <w:t>. In the former location, a role for immunoglobulin G4 (IgG4)-positive plasma cells has also been proposed with pathogenetic extension to include a role for IgG-4 related chronic sclerosing inflammation</w:t>
      </w:r>
      <w:r w:rsidRPr="00F40C05">
        <w:rPr>
          <w:rFonts w:ascii="Book Antiqua" w:hAnsi="Book Antiqua"/>
          <w:sz w:val="24"/>
          <w:szCs w:val="24"/>
          <w:vertAlign w:val="superscript"/>
          <w:lang w:val="en-US"/>
        </w:rPr>
        <w:t>[13]</w:t>
      </w:r>
      <w:r w:rsidRPr="00F40C05">
        <w:rPr>
          <w:rFonts w:ascii="Book Antiqua" w:hAnsi="Book Antiqua"/>
          <w:sz w:val="24"/>
          <w:szCs w:val="24"/>
          <w:lang w:val="en-US"/>
        </w:rPr>
        <w:t>.</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The exact etiology and pathogenesis of eosinophilic infiltration of cancer in general, and MEC in particular, remain unclear</w:t>
      </w:r>
      <w:r w:rsidRPr="00F40C05">
        <w:rPr>
          <w:rFonts w:ascii="Book Antiqua" w:hAnsi="Book Antiqua"/>
          <w:sz w:val="24"/>
          <w:szCs w:val="24"/>
          <w:vertAlign w:val="superscript"/>
          <w:lang w:val="en-US"/>
        </w:rPr>
        <w:t>[10,14,15]</w:t>
      </w:r>
      <w:r w:rsidRPr="00F40C05">
        <w:rPr>
          <w:rFonts w:ascii="Book Antiqua" w:hAnsi="Book Antiqua"/>
          <w:sz w:val="24"/>
          <w:szCs w:val="24"/>
          <w:lang w:val="en-US"/>
        </w:rPr>
        <w:t>. The neoplastic milieu contains tumor-associated secretions and released factors that orchestrate qualitative differences in inflammatory cells, recruited stem cells and reparative angiogenic and stromagenic responses</w:t>
      </w:r>
      <w:r w:rsidRPr="00F40C05">
        <w:rPr>
          <w:rFonts w:ascii="Book Antiqua" w:hAnsi="Book Antiqua"/>
          <w:sz w:val="24"/>
          <w:szCs w:val="24"/>
          <w:vertAlign w:val="superscript"/>
          <w:lang w:val="en-US"/>
        </w:rPr>
        <w:t>[14]</w:t>
      </w:r>
      <w:r w:rsidRPr="00F40C05">
        <w:rPr>
          <w:rFonts w:ascii="Book Antiqua" w:hAnsi="Book Antiqua"/>
          <w:sz w:val="24"/>
          <w:szCs w:val="24"/>
          <w:lang w:val="en-US"/>
        </w:rPr>
        <w:t xml:space="preserve">. The regulation of the recruitment of eosinophils in cancer </w:t>
      </w:r>
      <w:r w:rsidRPr="00F40C05">
        <w:rPr>
          <w:rFonts w:ascii="Book Antiqua" w:hAnsi="Book Antiqua"/>
          <w:sz w:val="24"/>
          <w:szCs w:val="24"/>
          <w:lang w:val="en-US"/>
        </w:rPr>
        <w:lastRenderedPageBreak/>
        <w:t>is controversial. Some workers hypothesize an interplay of innate and adaptive immune reactions, mainly those elicited by the cytokine activity of T</w:t>
      </w:r>
      <w:r w:rsidRPr="00F40C05">
        <w:rPr>
          <w:rFonts w:ascii="Book Antiqua" w:hAnsi="Book Antiqua"/>
          <w:sz w:val="24"/>
          <w:szCs w:val="24"/>
          <w:lang w:val="en-US" w:eastAsia="zh-CN"/>
        </w:rPr>
        <w:t xml:space="preserve">-helper </w:t>
      </w:r>
      <w:r w:rsidRPr="00F40C05">
        <w:rPr>
          <w:rFonts w:ascii="Book Antiqua" w:hAnsi="Book Antiqua"/>
          <w:sz w:val="24"/>
          <w:szCs w:val="24"/>
          <w:lang w:val="en-US"/>
        </w:rPr>
        <w:t>2 and mast cells</w:t>
      </w:r>
      <w:r w:rsidRPr="00F40C05">
        <w:rPr>
          <w:rFonts w:ascii="Book Antiqua" w:hAnsi="Book Antiqua"/>
          <w:sz w:val="24"/>
          <w:szCs w:val="24"/>
          <w:vertAlign w:val="superscript"/>
          <w:lang w:val="en-US"/>
        </w:rPr>
        <w:t>[16,17]</w:t>
      </w:r>
      <w:r w:rsidRPr="00F40C05">
        <w:rPr>
          <w:rFonts w:ascii="Book Antiqua" w:hAnsi="Book Antiqua"/>
          <w:sz w:val="24"/>
          <w:szCs w:val="24"/>
          <w:lang w:val="en-US"/>
        </w:rPr>
        <w:t>. Although “tumor-associated tissue eosinophilia” (TATE) is defined as eosinophilic infiltration of a tumor not associated with tumor necrosis or ulceration</w:t>
      </w:r>
      <w:r w:rsidRPr="00F40C05">
        <w:rPr>
          <w:rFonts w:ascii="Book Antiqua" w:hAnsi="Book Antiqua"/>
          <w:sz w:val="24"/>
          <w:szCs w:val="24"/>
          <w:vertAlign w:val="superscript"/>
          <w:lang w:val="en-US"/>
        </w:rPr>
        <w:t>[18]</w:t>
      </w:r>
      <w:r w:rsidRPr="00F40C05">
        <w:rPr>
          <w:rFonts w:ascii="Book Antiqua" w:hAnsi="Book Antiqua"/>
          <w:sz w:val="24"/>
          <w:szCs w:val="24"/>
          <w:lang w:val="en-US"/>
        </w:rPr>
        <w:t>, some workers advocate that necrotic foci within tumors release eosinophil-chemotactic factors</w:t>
      </w:r>
      <w:r w:rsidRPr="00F40C05">
        <w:rPr>
          <w:rFonts w:ascii="Book Antiqua" w:hAnsi="Book Antiqua"/>
          <w:sz w:val="24"/>
          <w:szCs w:val="24"/>
          <w:vertAlign w:val="superscript"/>
          <w:lang w:val="en-US"/>
        </w:rPr>
        <w:t>[19]</w:t>
      </w:r>
      <w:r w:rsidRPr="00F40C05">
        <w:rPr>
          <w:rFonts w:ascii="Book Antiqua" w:hAnsi="Book Antiqua"/>
          <w:sz w:val="24"/>
          <w:szCs w:val="24"/>
          <w:lang w:val="en-US"/>
        </w:rPr>
        <w:t>, including eotoxin, a selective eosinophil chemo-attractant, that mediates eosinophil recruitment</w:t>
      </w:r>
      <w:r w:rsidRPr="00F40C05">
        <w:rPr>
          <w:rFonts w:ascii="Book Antiqua" w:hAnsi="Book Antiqua"/>
          <w:sz w:val="24"/>
          <w:szCs w:val="24"/>
          <w:vertAlign w:val="superscript"/>
          <w:lang w:val="en-US"/>
        </w:rPr>
        <w:t>[15</w:t>
      </w:r>
      <w:r w:rsidRPr="00F40C05">
        <w:rPr>
          <w:rFonts w:ascii="Book Antiqua" w:hAnsi="Book Antiqua"/>
          <w:sz w:val="24"/>
          <w:szCs w:val="24"/>
          <w:vertAlign w:val="superscript"/>
          <w:lang w:val="en-US" w:eastAsia="zh-CN"/>
        </w:rPr>
        <w:t>-</w:t>
      </w:r>
      <w:r w:rsidRPr="00F40C05">
        <w:rPr>
          <w:rFonts w:ascii="Book Antiqua" w:hAnsi="Book Antiqua"/>
          <w:sz w:val="24"/>
          <w:szCs w:val="24"/>
          <w:vertAlign w:val="superscript"/>
          <w:lang w:val="en-US"/>
        </w:rPr>
        <w:t>17]</w:t>
      </w:r>
      <w:r w:rsidRPr="00F40C05">
        <w:rPr>
          <w:rFonts w:ascii="Book Antiqua" w:hAnsi="Book Antiqua"/>
          <w:sz w:val="24"/>
          <w:szCs w:val="24"/>
          <w:lang w:val="en-US"/>
        </w:rPr>
        <w:t xml:space="preserve">. Sclerosing MEC with eosinophilia of the thyroid gland is associated with lymphocytic thyroiditis. In this setting, it is remains to be seen whether the eosinophils are part of an auto-immune process or are tumor-induced. Fadare </w:t>
      </w:r>
      <w:r w:rsidRPr="00F40C05">
        <w:rPr>
          <w:rFonts w:ascii="Book Antiqua" w:hAnsi="Book Antiqua"/>
          <w:i/>
          <w:sz w:val="24"/>
          <w:szCs w:val="24"/>
          <w:lang w:val="en-US"/>
        </w:rPr>
        <w:t>et al</w:t>
      </w:r>
      <w:r w:rsidRPr="00F40C05">
        <w:rPr>
          <w:rFonts w:ascii="Book Antiqua" w:hAnsi="Book Antiqua"/>
          <w:sz w:val="24"/>
          <w:szCs w:val="24"/>
          <w:vertAlign w:val="superscript"/>
          <w:lang w:val="en-US"/>
        </w:rPr>
        <w:t>[3]</w:t>
      </w:r>
      <w:r w:rsidRPr="00F40C05">
        <w:rPr>
          <w:rFonts w:ascii="Book Antiqua" w:hAnsi="Book Antiqua"/>
          <w:sz w:val="24"/>
          <w:szCs w:val="24"/>
          <w:lang w:val="en-US"/>
        </w:rPr>
        <w:t xml:space="preserve"> hypothesized that the stromal fibrocellular response was characterized by a “temporal evolutionary spectrum”</w:t>
      </w:r>
      <w:r w:rsidRPr="00F40C05">
        <w:rPr>
          <w:rFonts w:ascii="Book Antiqua" w:hAnsi="Book Antiqua"/>
          <w:sz w:val="24"/>
          <w:szCs w:val="24"/>
          <w:vertAlign w:val="superscript"/>
          <w:lang w:val="en-US"/>
        </w:rPr>
        <w:t>[3]</w:t>
      </w:r>
      <w:r w:rsidRPr="00F40C05">
        <w:rPr>
          <w:rFonts w:ascii="Book Antiqua" w:hAnsi="Book Antiqua"/>
          <w:sz w:val="24"/>
          <w:szCs w:val="24"/>
          <w:lang w:val="en-US"/>
        </w:rPr>
        <w:t xml:space="preserve"> in which a predominance of inflammatory cells and sclerosis represented the early and late stages of the spectrum, respectively. In index esophageal MEC, ruptured mucinous cysts, extravasation of mucin and an associated inflammatory reaction were noted focally, but the sclerosing stromal response with eosinophils that intimately associated with and surrounded the high-grade tumor nests lacked stromal mucin when analyzed using routine and special stains. Based on the theory of Fadare </w:t>
      </w:r>
      <w:r w:rsidRPr="00F40C05">
        <w:rPr>
          <w:rFonts w:ascii="Book Antiqua" w:hAnsi="Book Antiqua"/>
          <w:i/>
          <w:sz w:val="24"/>
          <w:szCs w:val="24"/>
          <w:lang w:val="en-US"/>
        </w:rPr>
        <w:t>et al</w:t>
      </w:r>
      <w:r w:rsidRPr="00F40C05">
        <w:rPr>
          <w:rFonts w:ascii="Book Antiqua" w:hAnsi="Book Antiqua"/>
          <w:sz w:val="24"/>
          <w:szCs w:val="24"/>
          <w:vertAlign w:val="superscript"/>
          <w:lang w:val="en-US"/>
        </w:rPr>
        <w:t>[3]</w:t>
      </w:r>
      <w:r w:rsidRPr="00F40C05">
        <w:rPr>
          <w:rFonts w:ascii="Book Antiqua" w:hAnsi="Book Antiqua"/>
          <w:sz w:val="24"/>
          <w:szCs w:val="24"/>
          <w:lang w:val="en-US"/>
        </w:rPr>
        <w:t xml:space="preserve">, we hypothesized that, even within a single SMEC with eosinophilia, including the index esophageal SMEC, the “temporal evolutionary spectrum” applies, with mucin being identified in the lower grade areas with less stromal fibrosis, while mucin is absent in the densely sclerotic foci with inflammatory cells, including eosinophils. </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The relationship between TATE and prognosis is debatable and varies in tumors within a single anatomical location and in different locations</w:t>
      </w:r>
      <w:r w:rsidRPr="00F40C05">
        <w:rPr>
          <w:rFonts w:ascii="Book Antiqua" w:hAnsi="Book Antiqua"/>
          <w:sz w:val="24"/>
          <w:szCs w:val="24"/>
          <w:vertAlign w:val="superscript"/>
          <w:lang w:val="en-US"/>
        </w:rPr>
        <w:t>[18,20</w:t>
      </w:r>
      <w:r w:rsidRPr="00F40C05">
        <w:rPr>
          <w:rFonts w:ascii="Book Antiqua" w:hAnsi="Book Antiqua"/>
          <w:sz w:val="24"/>
          <w:szCs w:val="24"/>
          <w:vertAlign w:val="superscript"/>
          <w:lang w:val="en-US" w:eastAsia="zh-CN"/>
        </w:rPr>
        <w:t>-</w:t>
      </w:r>
      <w:r w:rsidRPr="00F40C05">
        <w:rPr>
          <w:rFonts w:ascii="Book Antiqua" w:hAnsi="Book Antiqua"/>
          <w:sz w:val="24"/>
          <w:szCs w:val="24"/>
          <w:vertAlign w:val="superscript"/>
          <w:lang w:val="en-US"/>
        </w:rPr>
        <w:t>23]</w:t>
      </w:r>
      <w:r w:rsidRPr="00F40C05">
        <w:rPr>
          <w:rFonts w:ascii="Book Antiqua" w:hAnsi="Book Antiqua"/>
          <w:sz w:val="24"/>
          <w:szCs w:val="24"/>
          <w:lang w:val="en-US"/>
        </w:rPr>
        <w:t>. Some authors have demonstrated an association between TATE and advanced patient age in laryngeal carcinoma, stromal invasion in advanced clinical stage oral squamous carcinoma</w:t>
      </w:r>
      <w:r w:rsidRPr="00F40C05">
        <w:rPr>
          <w:rFonts w:ascii="Book Antiqua" w:hAnsi="Book Antiqua"/>
          <w:sz w:val="24"/>
          <w:szCs w:val="24"/>
          <w:vertAlign w:val="superscript"/>
          <w:lang w:val="en-US"/>
        </w:rPr>
        <w:t>[22]</w:t>
      </w:r>
      <w:r w:rsidRPr="00F40C05">
        <w:rPr>
          <w:rFonts w:ascii="Book Antiqua" w:hAnsi="Book Antiqua"/>
          <w:sz w:val="24"/>
          <w:szCs w:val="24"/>
          <w:lang w:val="en-US"/>
        </w:rPr>
        <w:t xml:space="preserve"> and an association among specific histopathological carcinoma subtypes</w:t>
      </w:r>
      <w:r w:rsidRPr="00F40C05">
        <w:rPr>
          <w:rFonts w:ascii="Book Antiqua" w:hAnsi="Book Antiqua"/>
          <w:sz w:val="24"/>
          <w:szCs w:val="24"/>
          <w:vertAlign w:val="superscript"/>
          <w:lang w:val="en-US"/>
        </w:rPr>
        <w:t>[24]</w:t>
      </w:r>
      <w:r w:rsidRPr="00F40C05">
        <w:rPr>
          <w:rFonts w:ascii="Book Antiqua" w:hAnsi="Book Antiqua"/>
          <w:sz w:val="24"/>
          <w:szCs w:val="24"/>
          <w:lang w:val="en-US"/>
        </w:rPr>
        <w:t>. TATE has also been associated with variable patient survival outcomes</w:t>
      </w:r>
      <w:r w:rsidRPr="00F40C05">
        <w:rPr>
          <w:rFonts w:ascii="Book Antiqua" w:hAnsi="Book Antiqua"/>
          <w:sz w:val="24"/>
          <w:szCs w:val="24"/>
          <w:vertAlign w:val="superscript"/>
          <w:lang w:val="en-US"/>
        </w:rPr>
        <w:t>[20</w:t>
      </w:r>
      <w:r w:rsidRPr="00F40C05">
        <w:rPr>
          <w:rFonts w:ascii="Book Antiqua" w:hAnsi="Book Antiqua"/>
          <w:sz w:val="24"/>
          <w:szCs w:val="24"/>
          <w:vertAlign w:val="superscript"/>
          <w:lang w:val="en-US" w:eastAsia="zh-CN"/>
        </w:rPr>
        <w:t>-</w:t>
      </w:r>
      <w:r w:rsidRPr="00F40C05">
        <w:rPr>
          <w:rFonts w:ascii="Book Antiqua" w:hAnsi="Book Antiqua"/>
          <w:sz w:val="24"/>
          <w:szCs w:val="24"/>
          <w:vertAlign w:val="superscript"/>
          <w:lang w:val="en-US"/>
        </w:rPr>
        <w:t>23]</w:t>
      </w:r>
      <w:r w:rsidRPr="00F40C05">
        <w:rPr>
          <w:rFonts w:ascii="Book Antiqua" w:hAnsi="Book Antiqua"/>
          <w:sz w:val="24"/>
          <w:szCs w:val="24"/>
          <w:lang w:val="en-US"/>
        </w:rPr>
        <w:t>. The prognostic significance not only of eosinophils but also of the sclerosis in SMEC is poorly elucidated. This is mainly a function of the rarity of MECs with these histomorphological attributes</w:t>
      </w:r>
      <w:r w:rsidRPr="00F40C05">
        <w:rPr>
          <w:rFonts w:ascii="Book Antiqua" w:hAnsi="Book Antiqua"/>
          <w:sz w:val="24"/>
          <w:szCs w:val="24"/>
          <w:vertAlign w:val="superscript"/>
          <w:lang w:val="en-US"/>
        </w:rPr>
        <w:t>[3]</w:t>
      </w:r>
      <w:r w:rsidRPr="00F40C05">
        <w:rPr>
          <w:rFonts w:ascii="Book Antiqua" w:hAnsi="Book Antiqua"/>
          <w:sz w:val="24"/>
          <w:szCs w:val="24"/>
          <w:lang w:val="en-US"/>
        </w:rPr>
        <w:t xml:space="preserve">. Urano </w:t>
      </w:r>
      <w:r w:rsidRPr="00F40C05">
        <w:rPr>
          <w:rFonts w:ascii="Book Antiqua" w:hAnsi="Book Antiqua"/>
          <w:i/>
          <w:sz w:val="24"/>
          <w:szCs w:val="24"/>
          <w:lang w:val="en-US"/>
        </w:rPr>
        <w:t>et al</w:t>
      </w:r>
      <w:r w:rsidRPr="00F40C05">
        <w:rPr>
          <w:rFonts w:ascii="Book Antiqua" w:hAnsi="Book Antiqua"/>
          <w:sz w:val="24"/>
          <w:szCs w:val="24"/>
          <w:vertAlign w:val="superscript"/>
          <w:lang w:val="en-US"/>
        </w:rPr>
        <w:t>[10]</w:t>
      </w:r>
      <w:r w:rsidRPr="00F40C05">
        <w:rPr>
          <w:rFonts w:ascii="Book Antiqua" w:hAnsi="Book Antiqua"/>
          <w:sz w:val="24"/>
          <w:szCs w:val="24"/>
          <w:lang w:val="en-US"/>
        </w:rPr>
        <w:t xml:space="preserve"> suggested that the </w:t>
      </w:r>
      <w:r w:rsidRPr="00F40C05">
        <w:rPr>
          <w:rFonts w:ascii="Book Antiqua" w:hAnsi="Book Antiqua"/>
          <w:sz w:val="24"/>
          <w:szCs w:val="24"/>
          <w:lang w:val="en-US"/>
        </w:rPr>
        <w:lastRenderedPageBreak/>
        <w:t xml:space="preserve">eosinophilic infiltrate in SMEC was responsible for the stromal fibrosis and the decrease in the epithelial component. The former was attributed to the impact of eosinophils on transforming growth factor </w:t>
      </w:r>
      <w:r w:rsidRPr="00F40C05">
        <w:rPr>
          <w:rFonts w:ascii="Book Antiqua" w:hAnsi="Book Antiqua"/>
          <w:sz w:val="24"/>
          <w:szCs w:val="24"/>
          <w:lang w:val="en-US" w:eastAsia="zh-CN"/>
        </w:rPr>
        <w:t>(</w:t>
      </w:r>
      <w:r w:rsidRPr="00F40C05">
        <w:rPr>
          <w:rFonts w:ascii="Book Antiqua" w:hAnsi="Book Antiqua"/>
          <w:sz w:val="24"/>
          <w:szCs w:val="24"/>
          <w:lang w:val="en-US"/>
        </w:rPr>
        <w:t>TGF</w:t>
      </w:r>
      <w:r w:rsidRPr="00F40C05">
        <w:rPr>
          <w:rFonts w:ascii="Book Antiqua" w:hAnsi="Book Antiqua"/>
          <w:sz w:val="24"/>
          <w:szCs w:val="24"/>
          <w:lang w:val="en-US" w:eastAsia="zh-CN"/>
        </w:rPr>
        <w:t>)</w:t>
      </w:r>
      <w:r w:rsidRPr="00F40C05">
        <w:rPr>
          <w:rFonts w:ascii="Book Antiqua" w:hAnsi="Book Antiqua"/>
          <w:sz w:val="24"/>
          <w:szCs w:val="24"/>
          <w:lang w:val="en-US"/>
        </w:rPr>
        <w:t>-β1-accelerated synthesis of DNA by fibroblasts. Additionally, eosinophils produce angiogenic factors, including vascular endothelial growth factor, fibroblast growth factor-2 and TGF-α, that induce stromal neovascularization</w:t>
      </w:r>
      <w:r w:rsidRPr="00F40C05">
        <w:rPr>
          <w:rFonts w:ascii="Book Antiqua" w:hAnsi="Book Antiqua"/>
          <w:sz w:val="24"/>
          <w:szCs w:val="24"/>
          <w:vertAlign w:val="superscript"/>
          <w:lang w:val="en-US"/>
        </w:rPr>
        <w:t>[10,23]</w:t>
      </w:r>
      <w:r w:rsidRPr="00F40C05">
        <w:rPr>
          <w:rFonts w:ascii="Book Antiqua" w:hAnsi="Book Antiqua"/>
          <w:sz w:val="24"/>
          <w:szCs w:val="24"/>
          <w:lang w:val="en-US"/>
        </w:rPr>
        <w:t>. Eosinophils influence interleukin-4-mediated tumor destruction in mice</w:t>
      </w:r>
      <w:r w:rsidRPr="00F40C05">
        <w:rPr>
          <w:rFonts w:ascii="Book Antiqua" w:hAnsi="Book Antiqua"/>
          <w:sz w:val="24"/>
          <w:szCs w:val="24"/>
          <w:vertAlign w:val="superscript"/>
          <w:lang w:val="en-US"/>
        </w:rPr>
        <w:t>[25]</w:t>
      </w:r>
      <w:r w:rsidRPr="00F40C05">
        <w:rPr>
          <w:rFonts w:ascii="Book Antiqua" w:hAnsi="Book Antiqua"/>
          <w:sz w:val="24"/>
          <w:szCs w:val="24"/>
          <w:lang w:val="en-US"/>
        </w:rPr>
        <w:t>. It remains debatable whether eosinophils in cancers, including index SMEC, represent part of the host’s immunosurveillance armamentarium against the tumor or whether they promote cancer growth by immunoregulation and remodeling of the stromal-epithelial interface</w:t>
      </w:r>
      <w:r w:rsidRPr="00F40C05">
        <w:rPr>
          <w:rFonts w:ascii="Book Antiqua" w:hAnsi="Book Antiqua"/>
          <w:sz w:val="24"/>
          <w:szCs w:val="24"/>
          <w:vertAlign w:val="superscript"/>
          <w:lang w:val="en-US"/>
        </w:rPr>
        <w:t>[23]</w:t>
      </w:r>
      <w:r w:rsidRPr="00F40C05">
        <w:rPr>
          <w:rFonts w:ascii="Book Antiqua" w:hAnsi="Book Antiqua"/>
          <w:sz w:val="24"/>
          <w:szCs w:val="24"/>
          <w:lang w:val="en-US"/>
        </w:rPr>
        <w:t>.</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 xml:space="preserve">The main diagnostic hurdles include diagnostic confirmation and distinction of MEC from adenosquamous cell carcinoma. Because esophageal MEC is not recognizable as a distinct entity clinically, esophageal biopsy and histopathological appraisal are the gold standard for diagnosis. In a review of 20 patients with esophageal MEC diagnosed over a 20 year period, Chen </w:t>
      </w:r>
      <w:r w:rsidRPr="00F40C05">
        <w:rPr>
          <w:rFonts w:ascii="Book Antiqua" w:hAnsi="Book Antiqua"/>
          <w:i/>
          <w:sz w:val="24"/>
          <w:szCs w:val="24"/>
          <w:lang w:val="en-US"/>
        </w:rPr>
        <w:t>et al</w:t>
      </w:r>
      <w:r w:rsidRPr="00F40C05">
        <w:rPr>
          <w:rFonts w:ascii="Book Antiqua" w:hAnsi="Book Antiqua"/>
          <w:sz w:val="24"/>
          <w:szCs w:val="24"/>
          <w:vertAlign w:val="superscript"/>
          <w:lang w:val="en-US"/>
        </w:rPr>
        <w:t>[6]</w:t>
      </w:r>
      <w:r w:rsidRPr="00F40C05">
        <w:rPr>
          <w:rFonts w:ascii="Book Antiqua" w:hAnsi="Book Antiqua"/>
          <w:sz w:val="24"/>
          <w:szCs w:val="24"/>
          <w:lang w:val="en-US"/>
        </w:rPr>
        <w:t xml:space="preserve"> demonstrated a 100% false pre-operative diagnoses; 18 were misdiagnosed as squamous cell carcinoma, and the remaining 2, as adenosquamous carcinoma. The ductoglandular origin and deeper submucosal location of MEC pose challenges to endoscopic sampling, adequate tumor representation and the interpretation of the architectural and cellular features. Diagnostic difficulties are attributed to poor attention to the exact anatomic location of the tumor, surface epithelial dysplastic alterations and the range of terminology encompassing tumors that contain squamous and glandular elements. A proposal that tumors with squamous and glandular differentiation be labelled “squamous cell carcinoma with prominent mucin-secreting components” does not address the histogenesis of the tumors. In addition, the understanding and management of esophageal MEC has been stymied by the rarity of reported cases. Grouping tumors as “squamous cell carcinoma with prominent mucin-secreting components” will not address these shortcomings.</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 xml:space="preserve">The challenges associated with the distinction between adenosquamous carcinoma and MEC are multiple and emerge mainly in the context of salivary glands. In the low-grade component of MECs of the salivary gland, squamoid foci are </w:t>
      </w:r>
      <w:r w:rsidRPr="00F40C05">
        <w:rPr>
          <w:rFonts w:ascii="Book Antiqua" w:hAnsi="Book Antiqua"/>
          <w:sz w:val="24"/>
          <w:szCs w:val="24"/>
          <w:lang w:val="en-US"/>
        </w:rPr>
        <w:lastRenderedPageBreak/>
        <w:t>characterized by nests of cells with a stratified morphology</w:t>
      </w:r>
      <w:r w:rsidRPr="00F40C05">
        <w:rPr>
          <w:rFonts w:ascii="Book Antiqua" w:hAnsi="Book Antiqua"/>
          <w:sz w:val="24"/>
          <w:szCs w:val="24"/>
          <w:vertAlign w:val="superscript"/>
          <w:lang w:val="en-US"/>
        </w:rPr>
        <w:t>[26]</w:t>
      </w:r>
      <w:r w:rsidRPr="00F40C05">
        <w:rPr>
          <w:rFonts w:ascii="Book Antiqua" w:hAnsi="Book Antiqua"/>
          <w:sz w:val="24"/>
          <w:szCs w:val="24"/>
          <w:lang w:val="en-US"/>
        </w:rPr>
        <w:t>. Intercellular bridges are inconspicuous, and keratinization or keratin pearls are not a usual finding</w:t>
      </w:r>
      <w:r w:rsidRPr="00F40C05">
        <w:rPr>
          <w:rFonts w:ascii="Book Antiqua" w:hAnsi="Book Antiqua"/>
          <w:sz w:val="24"/>
          <w:szCs w:val="24"/>
          <w:vertAlign w:val="superscript"/>
          <w:lang w:val="en-US"/>
        </w:rPr>
        <w:t>[26]</w:t>
      </w:r>
      <w:r w:rsidRPr="00F40C05">
        <w:rPr>
          <w:rFonts w:ascii="Book Antiqua" w:hAnsi="Book Antiqua"/>
          <w:sz w:val="24"/>
          <w:szCs w:val="24"/>
          <w:lang w:val="en-US"/>
        </w:rPr>
        <w:t>. Higher-grade tumors demonstrate established features of squamous differentiation, including intercellular bridges and single cell keratinization</w:t>
      </w:r>
      <w:r w:rsidRPr="00F40C05">
        <w:rPr>
          <w:rFonts w:ascii="Book Antiqua" w:hAnsi="Book Antiqua"/>
          <w:sz w:val="24"/>
          <w:szCs w:val="24"/>
          <w:vertAlign w:val="superscript"/>
          <w:lang w:val="en-US"/>
        </w:rPr>
        <w:t>[26]</w:t>
      </w:r>
      <w:r w:rsidRPr="00F40C05">
        <w:rPr>
          <w:rFonts w:ascii="Book Antiqua" w:hAnsi="Book Antiqua"/>
          <w:sz w:val="24"/>
          <w:szCs w:val="24"/>
          <w:lang w:val="en-US"/>
        </w:rPr>
        <w:t>. Recognition of these squamoid and glandular components on endoscopic esophageal biopsies is critical for the identification of the divergent squamoid and glandular differentiation. The identification of intermediate cells may be an unrealistic expectation in small biopsies, and histochemical mucin stains are not helpful in differentiating between MEC and adenosquamous cell carcinoma. In the described extrasalivary MECs, advanced squamous differentiation and pleomorphism of squamous, glandular and solid cell growth have been documented</w:t>
      </w:r>
      <w:r w:rsidRPr="00F40C05">
        <w:rPr>
          <w:rFonts w:ascii="Book Antiqua" w:hAnsi="Book Antiqua"/>
          <w:sz w:val="24"/>
          <w:szCs w:val="24"/>
          <w:vertAlign w:val="superscript"/>
          <w:lang w:val="en-US"/>
        </w:rPr>
        <w:t>[2,3,5</w:t>
      </w:r>
      <w:r w:rsidRPr="00F40C05">
        <w:rPr>
          <w:rFonts w:ascii="Book Antiqua" w:hAnsi="Book Antiqua"/>
          <w:sz w:val="24"/>
          <w:szCs w:val="24"/>
          <w:vertAlign w:val="superscript"/>
          <w:lang w:val="en-US" w:eastAsia="zh-CN"/>
        </w:rPr>
        <w:t>-</w:t>
      </w:r>
      <w:r w:rsidRPr="00F40C05">
        <w:rPr>
          <w:rFonts w:ascii="Book Antiqua" w:hAnsi="Book Antiqua"/>
          <w:sz w:val="24"/>
          <w:szCs w:val="24"/>
          <w:vertAlign w:val="superscript"/>
          <w:lang w:val="en-US"/>
        </w:rPr>
        <w:t>7]</w:t>
      </w:r>
      <w:r w:rsidRPr="00F40C05">
        <w:rPr>
          <w:rFonts w:ascii="Book Antiqua" w:hAnsi="Book Antiqua"/>
          <w:sz w:val="24"/>
          <w:szCs w:val="24"/>
          <w:lang w:val="en-US"/>
        </w:rPr>
        <w:t>.</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Helpful morphological features of MEC that may aid their diagnostic distinction from adenosquamous carcinoma include the presence of mucin pools, extravasation of mucin, intermediate cells and the deep location of the tumor. While the absence of surface epithelial dysplasia is a helpful diagnostic feature, its identification does not exclude MEC. Because of the glandular and squamous co-differentiation of MEC, immunohistochemical markers of glandular or squamous origins are not helpful in the distinction. There is variable S100 protein staining in salivary MEC</w:t>
      </w:r>
      <w:r w:rsidRPr="00F40C05">
        <w:rPr>
          <w:rFonts w:ascii="Book Antiqua" w:hAnsi="Book Antiqua"/>
          <w:sz w:val="24"/>
          <w:szCs w:val="24"/>
          <w:vertAlign w:val="superscript"/>
          <w:lang w:val="en-US"/>
        </w:rPr>
        <w:t>[26]</w:t>
      </w:r>
      <w:r w:rsidRPr="00F40C05">
        <w:rPr>
          <w:rFonts w:ascii="Book Antiqua" w:hAnsi="Book Antiqua"/>
          <w:sz w:val="24"/>
          <w:szCs w:val="24"/>
          <w:lang w:val="en-US"/>
        </w:rPr>
        <w:t>. However, S100 immunopositivity in an esophageal tumor with glandular and squamous elements may favor a mucous glandular origin and a diagnosis of MEC. Technological and molecular advances have advocated the role of fusion genes in the diagnosis and prognosis of MEC from salivary and extrasalivary locations, including the uterine cervix</w:t>
      </w:r>
      <w:r w:rsidRPr="00F40C05">
        <w:rPr>
          <w:rFonts w:ascii="Book Antiqua" w:hAnsi="Book Antiqua"/>
          <w:sz w:val="24"/>
          <w:szCs w:val="24"/>
          <w:vertAlign w:val="superscript"/>
          <w:lang w:val="en-US"/>
        </w:rPr>
        <w:t>[27]</w:t>
      </w:r>
      <w:r w:rsidRPr="00F40C05">
        <w:rPr>
          <w:rFonts w:ascii="Book Antiqua" w:hAnsi="Book Antiqua"/>
          <w:sz w:val="24"/>
          <w:szCs w:val="24"/>
          <w:lang w:val="en-US"/>
        </w:rPr>
        <w:t xml:space="preserve">. MEC is typified by a specific translocation, t(11;19) (q12;p13), which results in the fusion of the </w:t>
      </w:r>
      <w:r w:rsidRPr="00F40C05">
        <w:rPr>
          <w:rFonts w:ascii="Book Antiqua" w:hAnsi="Book Antiqua"/>
          <w:i/>
          <w:sz w:val="24"/>
          <w:szCs w:val="24"/>
          <w:lang w:val="en-US"/>
        </w:rPr>
        <w:t>MECT1</w:t>
      </w:r>
      <w:r w:rsidRPr="00F40C05">
        <w:rPr>
          <w:rFonts w:ascii="Book Antiqua" w:hAnsi="Book Antiqua"/>
          <w:sz w:val="24"/>
          <w:szCs w:val="24"/>
          <w:lang w:val="en-US"/>
        </w:rPr>
        <w:t xml:space="preserve"> and </w:t>
      </w:r>
      <w:r w:rsidRPr="00F40C05">
        <w:rPr>
          <w:rFonts w:ascii="Book Antiqua" w:hAnsi="Book Antiqua"/>
          <w:i/>
          <w:sz w:val="24"/>
          <w:szCs w:val="24"/>
          <w:lang w:val="en-US"/>
        </w:rPr>
        <w:t>MAML2</w:t>
      </w:r>
      <w:r w:rsidRPr="00F40C05">
        <w:rPr>
          <w:rFonts w:ascii="Book Antiqua" w:hAnsi="Book Antiqua"/>
          <w:sz w:val="24"/>
          <w:szCs w:val="24"/>
          <w:lang w:val="en-US"/>
        </w:rPr>
        <w:t xml:space="preserve"> genes. The CRTC family includes 3 human genes: </w:t>
      </w:r>
      <w:r w:rsidRPr="00F40C05">
        <w:rPr>
          <w:rFonts w:ascii="Book Antiqua" w:hAnsi="Book Antiqua"/>
          <w:i/>
          <w:sz w:val="24"/>
          <w:szCs w:val="24"/>
          <w:lang w:val="en-US"/>
        </w:rPr>
        <w:t>CRTC1</w:t>
      </w:r>
      <w:r w:rsidRPr="00F40C05">
        <w:rPr>
          <w:rFonts w:ascii="Book Antiqua" w:hAnsi="Book Antiqua"/>
          <w:sz w:val="24"/>
          <w:szCs w:val="24"/>
          <w:lang w:val="en-US"/>
        </w:rPr>
        <w:t xml:space="preserve"> (</w:t>
      </w:r>
      <w:r w:rsidRPr="00F40C05">
        <w:rPr>
          <w:rFonts w:ascii="Book Antiqua" w:hAnsi="Book Antiqua"/>
          <w:i/>
          <w:sz w:val="24"/>
          <w:szCs w:val="24"/>
          <w:lang w:val="en-US"/>
        </w:rPr>
        <w:t>MECT1</w:t>
      </w:r>
      <w:r w:rsidRPr="00F40C05">
        <w:rPr>
          <w:rFonts w:ascii="Book Antiqua" w:hAnsi="Book Antiqua"/>
          <w:sz w:val="24"/>
          <w:szCs w:val="24"/>
          <w:lang w:val="en-US"/>
        </w:rPr>
        <w:t xml:space="preserve">), </w:t>
      </w:r>
      <w:r w:rsidRPr="00F40C05">
        <w:rPr>
          <w:rFonts w:ascii="Book Antiqua" w:hAnsi="Book Antiqua"/>
          <w:i/>
          <w:sz w:val="24"/>
          <w:szCs w:val="24"/>
          <w:lang w:val="en-US"/>
        </w:rPr>
        <w:t>CRTC2</w:t>
      </w:r>
      <w:r w:rsidRPr="00F40C05">
        <w:rPr>
          <w:rFonts w:ascii="Book Antiqua" w:hAnsi="Book Antiqua"/>
          <w:sz w:val="24"/>
          <w:szCs w:val="24"/>
          <w:lang w:val="en-US"/>
        </w:rPr>
        <w:t xml:space="preserve"> at 1q21 and </w:t>
      </w:r>
      <w:r w:rsidRPr="00F40C05">
        <w:rPr>
          <w:rFonts w:ascii="Book Antiqua" w:hAnsi="Book Antiqua"/>
          <w:i/>
          <w:sz w:val="24"/>
          <w:szCs w:val="24"/>
          <w:lang w:val="en-US"/>
        </w:rPr>
        <w:t>CRTC3</w:t>
      </w:r>
      <w:r w:rsidRPr="00F40C05">
        <w:rPr>
          <w:rFonts w:ascii="Book Antiqua" w:hAnsi="Book Antiqua"/>
          <w:sz w:val="24"/>
          <w:szCs w:val="24"/>
          <w:lang w:val="en-US"/>
        </w:rPr>
        <w:t xml:space="preserve"> at 15q26. MAML2 (mastermind-like 2) is a 125kD protein that is involved in Notch signaling pathways</w:t>
      </w:r>
      <w:r w:rsidRPr="00F40C05">
        <w:rPr>
          <w:rFonts w:ascii="Book Antiqua" w:hAnsi="Book Antiqua"/>
          <w:sz w:val="24"/>
          <w:szCs w:val="24"/>
          <w:vertAlign w:val="superscript"/>
          <w:lang w:val="en-US"/>
        </w:rPr>
        <w:t>[28]</w:t>
      </w:r>
      <w:r w:rsidRPr="00F40C05">
        <w:rPr>
          <w:rFonts w:ascii="Book Antiqua" w:hAnsi="Book Antiqua"/>
          <w:sz w:val="24"/>
          <w:szCs w:val="24"/>
          <w:lang w:val="en-US"/>
        </w:rPr>
        <w:t xml:space="preserve">. The incidence of this fusion varies, but more than 50% of MEC demonstrate </w:t>
      </w:r>
      <w:r w:rsidRPr="00F40C05">
        <w:rPr>
          <w:rFonts w:ascii="Book Antiqua" w:hAnsi="Book Antiqua"/>
          <w:i/>
          <w:sz w:val="24"/>
          <w:szCs w:val="24"/>
          <w:lang w:val="en-US"/>
        </w:rPr>
        <w:t>MECT1-MAML2</w:t>
      </w:r>
      <w:r w:rsidRPr="00F40C05">
        <w:rPr>
          <w:rFonts w:ascii="Book Antiqua" w:hAnsi="Book Antiqua"/>
          <w:sz w:val="24"/>
          <w:szCs w:val="24"/>
          <w:lang w:val="en-US"/>
        </w:rPr>
        <w:t xml:space="preserve"> fusion. Other fusions include </w:t>
      </w:r>
      <w:r w:rsidRPr="00F40C05">
        <w:rPr>
          <w:rFonts w:ascii="Book Antiqua" w:hAnsi="Book Antiqua"/>
          <w:i/>
          <w:sz w:val="24"/>
          <w:szCs w:val="24"/>
          <w:lang w:val="en-US"/>
        </w:rPr>
        <w:t>MECT1-MAML2</w:t>
      </w:r>
      <w:r w:rsidRPr="00F40C05">
        <w:rPr>
          <w:rFonts w:ascii="Book Antiqua" w:hAnsi="Book Antiqua"/>
          <w:sz w:val="24"/>
          <w:szCs w:val="24"/>
          <w:lang w:val="en-US"/>
        </w:rPr>
        <w:t xml:space="preserve"> and </w:t>
      </w:r>
      <w:r w:rsidRPr="00F40C05">
        <w:rPr>
          <w:rFonts w:ascii="Book Antiqua" w:hAnsi="Book Antiqua"/>
          <w:i/>
          <w:sz w:val="24"/>
          <w:szCs w:val="24"/>
          <w:lang w:val="en-US"/>
        </w:rPr>
        <w:t>CRTC3-MAML2</w:t>
      </w:r>
      <w:r w:rsidRPr="00F40C05">
        <w:rPr>
          <w:rFonts w:ascii="Book Antiqua" w:hAnsi="Book Antiqua"/>
          <w:sz w:val="24"/>
          <w:szCs w:val="24"/>
          <w:lang w:val="en-US"/>
        </w:rPr>
        <w:t xml:space="preserve">. </w:t>
      </w:r>
      <w:r w:rsidRPr="00F40C05">
        <w:rPr>
          <w:rFonts w:ascii="Book Antiqua" w:hAnsi="Book Antiqua"/>
          <w:i/>
          <w:sz w:val="24"/>
          <w:szCs w:val="24"/>
          <w:lang w:val="en-US"/>
        </w:rPr>
        <w:t>MECT1-MAML2</w:t>
      </w:r>
      <w:r w:rsidRPr="00F40C05">
        <w:rPr>
          <w:rFonts w:ascii="Book Antiqua" w:hAnsi="Book Antiqua"/>
          <w:sz w:val="24"/>
          <w:szCs w:val="24"/>
          <w:lang w:val="en-US"/>
        </w:rPr>
        <w:t xml:space="preserve"> fusion transcript is present less frequently in high-grade than in low- or intermediate-grade tumors and may be regarded as a </w:t>
      </w:r>
      <w:r w:rsidRPr="00F40C05">
        <w:rPr>
          <w:rFonts w:ascii="Book Antiqua" w:hAnsi="Book Antiqua"/>
          <w:sz w:val="24"/>
          <w:szCs w:val="24"/>
          <w:lang w:val="en-US"/>
        </w:rPr>
        <w:lastRenderedPageBreak/>
        <w:t>diagnostic and prognostic biomarker for MEC. Gene fusion studies were not undertaken in the index case.</w:t>
      </w:r>
    </w:p>
    <w:p w:rsidR="00B46B42" w:rsidRPr="00F40C05" w:rsidRDefault="00B46B42" w:rsidP="00726EC3">
      <w:pPr>
        <w:snapToGrid w:val="0"/>
        <w:spacing w:after="0" w:line="360" w:lineRule="auto"/>
        <w:jc w:val="both"/>
        <w:rPr>
          <w:rFonts w:ascii="Book Antiqua" w:hAnsi="Book Antiqua"/>
          <w:sz w:val="24"/>
          <w:szCs w:val="24"/>
          <w:lang w:val="en-US"/>
        </w:rPr>
      </w:pP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 xml:space="preserve">In the index case, not only were glandular and squamoid components identified in the initial biopsy, but solid cellular nests with focal intracytoplasmic mucin production were also observed. Intermediate cells, however, were absent. In the resected tumor, the absence of adjacent surface epithelial dysplasia, spectrum of low intermediate and high grade features, focal representation of intermediate cells, mucinous pools, extravasated mucus and focal S100 protein immunopositivity supported the diagnosis of esophageal MEC. In addition, the presence of stromal sclerosis with foci of keloid-like sclerosis and eosinophils facilitated the definitive diagnosis. </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rPr>
        <w:t>In common with the reported outcome of MEC, radiation and chemotherapy are not highly effective as adjunctive therapies in the management of MEC in the salivary glands</w:t>
      </w:r>
      <w:r w:rsidRPr="00F40C05">
        <w:rPr>
          <w:rFonts w:ascii="Book Antiqua" w:hAnsi="Book Antiqua"/>
          <w:sz w:val="24"/>
          <w:szCs w:val="24"/>
          <w:vertAlign w:val="superscript"/>
          <w:lang w:val="en-US"/>
        </w:rPr>
        <w:t>[29]</w:t>
      </w:r>
      <w:r w:rsidRPr="00F40C05">
        <w:rPr>
          <w:rFonts w:ascii="Book Antiqua" w:hAnsi="Book Antiqua"/>
          <w:sz w:val="24"/>
          <w:szCs w:val="24"/>
          <w:lang w:val="en-US"/>
        </w:rPr>
        <w:t>. It is thus not surprising that the response to radiation and chemotherapy in the esophagus is poor or that the prognosis for this tumor remains dismal</w:t>
      </w:r>
      <w:r w:rsidRPr="00F40C05">
        <w:rPr>
          <w:rFonts w:ascii="Book Antiqua" w:hAnsi="Book Antiqua"/>
          <w:sz w:val="24"/>
          <w:szCs w:val="24"/>
          <w:vertAlign w:val="superscript"/>
          <w:lang w:val="en-US"/>
        </w:rPr>
        <w:t>[30]</w:t>
      </w:r>
      <w:r w:rsidRPr="00F40C05">
        <w:rPr>
          <w:rFonts w:ascii="Book Antiqua" w:hAnsi="Book Antiqua"/>
          <w:sz w:val="24"/>
          <w:szCs w:val="24"/>
          <w:lang w:val="en-US"/>
        </w:rPr>
        <w:t xml:space="preserve">. Therefore, surgery remains the best option for a reasonably improved survival in a patient who is physically fit enough to withstand an esophagectomy </w:t>
      </w:r>
      <w:r w:rsidRPr="00F40C05">
        <w:rPr>
          <w:rFonts w:ascii="Book Antiqua" w:hAnsi="Book Antiqua"/>
          <w:sz w:val="24"/>
          <w:szCs w:val="24"/>
          <w:vertAlign w:val="superscript"/>
          <w:lang w:val="en-US"/>
        </w:rPr>
        <w:t>[31]</w:t>
      </w:r>
      <w:r w:rsidRPr="00F40C05">
        <w:rPr>
          <w:rFonts w:ascii="Book Antiqua" w:hAnsi="Book Antiqua"/>
          <w:sz w:val="24"/>
          <w:szCs w:val="24"/>
          <w:lang w:val="en-US"/>
        </w:rPr>
        <w:t xml:space="preserve">. In an attempt to appraise independent prognostic factors influencing survival, Chen </w:t>
      </w:r>
      <w:r w:rsidRPr="00F40C05">
        <w:rPr>
          <w:rFonts w:ascii="Book Antiqua" w:hAnsi="Book Antiqua"/>
          <w:i/>
          <w:sz w:val="24"/>
          <w:szCs w:val="24"/>
          <w:lang w:val="en-US"/>
        </w:rPr>
        <w:t>et al</w:t>
      </w:r>
      <w:r w:rsidRPr="00F40C05">
        <w:rPr>
          <w:rFonts w:ascii="Book Antiqua" w:hAnsi="Book Antiqua"/>
          <w:sz w:val="24"/>
          <w:szCs w:val="24"/>
          <w:vertAlign w:val="superscript"/>
          <w:lang w:val="en-US"/>
        </w:rPr>
        <w:t>[6]</w:t>
      </w:r>
      <w:r w:rsidRPr="00F40C05">
        <w:rPr>
          <w:rFonts w:ascii="Book Antiqua" w:hAnsi="Book Antiqua"/>
          <w:sz w:val="24"/>
          <w:szCs w:val="24"/>
          <w:lang w:val="en-US"/>
        </w:rPr>
        <w:t xml:space="preserve"> reviewed 36 patients with MECs of the esophagus over a 20-year period in their institution. Their findings were as follows: most tumors occurred in the middle third of the thoracic esophagus; the median length of the tumor was 5.0 cm; 22% had lymph node metastases; the median survival time was 29 months; and the 5-year survival rate post-resection was 25%. The median survival time was higher in patients without lymph node metastases compared to those with lymph node metastases. The median survival was also higher in patients who underwent a radical operation compared to those who had a palliative procedure. The age, gender, length of tumor, location of tumor and post-operative radiotherapy did not show a statistically significant correlation with prognosis. </w:t>
      </w:r>
    </w:p>
    <w:p w:rsidR="00B46B42" w:rsidRPr="00F40C05" w:rsidRDefault="00B46B42" w:rsidP="00726EC3">
      <w:pPr>
        <w:snapToGrid w:val="0"/>
        <w:spacing w:after="0" w:line="360" w:lineRule="auto"/>
        <w:ind w:firstLineChars="100" w:firstLine="240"/>
        <w:jc w:val="both"/>
        <w:rPr>
          <w:rFonts w:ascii="Book Antiqua" w:hAnsi="Book Antiqua"/>
          <w:sz w:val="24"/>
          <w:szCs w:val="24"/>
          <w:lang w:val="en-US"/>
        </w:rPr>
      </w:pPr>
      <w:r w:rsidRPr="00F40C05">
        <w:rPr>
          <w:rFonts w:ascii="Book Antiqua" w:hAnsi="Book Antiqua"/>
          <w:sz w:val="24"/>
          <w:szCs w:val="24"/>
          <w:lang w:val="en-US" w:eastAsia="zh-CN"/>
        </w:rPr>
        <w:t xml:space="preserve">In conclusion, </w:t>
      </w:r>
      <w:r w:rsidRPr="00F40C05">
        <w:rPr>
          <w:rFonts w:ascii="Book Antiqua" w:hAnsi="Book Antiqua"/>
          <w:sz w:val="24"/>
          <w:szCs w:val="24"/>
          <w:lang w:val="en-US"/>
        </w:rPr>
        <w:t xml:space="preserve">primary MEC of the esophagus, including the sclerosing variant, is rarely reported, but sclerosing MEC with “tissue eosinophilia” has never been </w:t>
      </w:r>
      <w:r w:rsidRPr="00F40C05">
        <w:rPr>
          <w:rFonts w:ascii="Book Antiqua" w:hAnsi="Book Antiqua"/>
          <w:sz w:val="24"/>
          <w:szCs w:val="24"/>
          <w:lang w:val="en-US"/>
        </w:rPr>
        <w:lastRenderedPageBreak/>
        <w:t>reported in this location. The rarity of this situation has precluded a thorough understanding of esophageal MEC. While the deeper, submucosal location of the tumor poses challenges in diagnostic sampling to adequately represent the spectrum of histopathological features, a heightened recognition of MEC in this location is also necessary to distinguish MEC from squamous carcinoma, adenocarcinoma or adenosquamous carcinoma. This distinction has therapeutic implications. Based largely on past experience managing tumors in the salivary gland, MEC is characterized by a poor response to adjuvant chemotherapy and radiotherapy; notwithstanding a poor response to surgery, this procedure remains the mainstay of management. Heightened clinicopathological recognition of the occurrence of MEC in the esophagus and fastidious reporting of the clinicopathological profiles of additional cases are pivotal, not only to facilitate improved understanding of the biological features of this tumor in this location but also to supplement the global diagnostic and management approaches to esophageal MEC, including rare variants.</w:t>
      </w:r>
    </w:p>
    <w:p w:rsidR="00B46B42" w:rsidRPr="00F40C05" w:rsidRDefault="00B46B42" w:rsidP="00726EC3">
      <w:pPr>
        <w:snapToGrid w:val="0"/>
        <w:spacing w:after="0" w:line="360" w:lineRule="auto"/>
        <w:jc w:val="both"/>
        <w:rPr>
          <w:rFonts w:ascii="Book Antiqua" w:hAnsi="Book Antiqua"/>
          <w:b/>
          <w:bCs/>
          <w:sz w:val="24"/>
          <w:szCs w:val="24"/>
          <w:lang w:val="en-US" w:eastAsia="zh-CN"/>
        </w:rPr>
      </w:pP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b/>
          <w:bCs/>
          <w:color w:val="000000"/>
          <w:sz w:val="24"/>
          <w:szCs w:val="24"/>
          <w:lang w:val="en-US" w:eastAsia="zh-CN"/>
        </w:rPr>
        <w:t>COMMENTS</w:t>
      </w: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t>Case characteristics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Progressive dysphagia of 2 mo duration in a 51-year-old patient.</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p>
    <w:p w:rsidR="00B46B42" w:rsidRPr="00726EC3" w:rsidRDefault="00B46B42" w:rsidP="00726EC3">
      <w:pPr>
        <w:snapToGrid w:val="0"/>
        <w:spacing w:after="0" w:line="360" w:lineRule="auto"/>
        <w:jc w:val="both"/>
        <w:rPr>
          <w:rFonts w:ascii="Book Antiqua" w:hAnsi="Book Antiqua"/>
          <w:b/>
          <w:bCs/>
          <w:i/>
          <w:color w:val="000000"/>
          <w:sz w:val="24"/>
          <w:szCs w:val="24"/>
          <w:lang w:val="en-US" w:eastAsia="zh-CN"/>
        </w:rPr>
      </w:pPr>
      <w:r w:rsidRPr="00726EC3">
        <w:rPr>
          <w:rFonts w:ascii="Book Antiqua" w:hAnsi="Book Antiqua"/>
          <w:b/>
          <w:bCs/>
          <w:i/>
          <w:color w:val="000000"/>
          <w:sz w:val="24"/>
          <w:szCs w:val="24"/>
          <w:lang w:val="en-US" w:eastAsia="zh-CN"/>
        </w:rPr>
        <w:t>Clinical diagnosis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A mid-thoracic malignant-appearing stricture was identified on endoscopic assessment.</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t>Differential diagnosis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The differential diagnosis, that included malignant causes for the stricture, would require biopsy and histopathological appraisal for definitive diagnosis.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t>Laboratory diagnosis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Histopathological assessment of biopsied tissue demonstrated features of mucoepidermoid carcinoma, stromal sclerosis and increased eosinophils.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lastRenderedPageBreak/>
        <w:t>Imaging diagnosis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Barium swallow demonstrated a malignant-appearing stricture in the mid-thoracic region.</w:t>
      </w: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t>Pathological diagnosis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The features of a sclerosing mucopepidermoid carcinoma with “tissue eosinophilia” on routine haematoxylin and eosin-stained sections, that encompassed squamoid, glandular and intermediate cells in a sclerosing stromal background rich in eosinophils was supported by positive Southgate mucicarmine demonstration of intracytoplasmic and luminal mucin production.</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t>Treatment</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A 3-stage total oesophagectomy that included shaving the tumour of the aorta, performance of a gastric pull-up and oesophago-gastrostomy in the neck, was undertaken.</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t>Related reports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Oesophageal mucoepidermoid carcinoma must be differentiated from adenosquamous carcinoma. The ductoglandular origin and deep submucosal location of the oesophageal mucoepidermoid carcinoma poses challenges to endoscopic sampling, adequate tumour representation and interprestation of architectural and cellular det</w:t>
      </w:r>
      <w:r>
        <w:rPr>
          <w:rFonts w:ascii="Book Antiqua" w:hAnsi="Book Antiqua"/>
          <w:color w:val="000000"/>
          <w:sz w:val="24"/>
          <w:szCs w:val="24"/>
          <w:lang w:val="en-US" w:eastAsia="zh-CN"/>
        </w:rPr>
        <w:t>ails on pathological appraisal.</w:t>
      </w:r>
      <w:r w:rsidRPr="00726EC3">
        <w:rPr>
          <w:rFonts w:ascii="Book Antiqua" w:hAnsi="Book Antiqua"/>
          <w:color w:val="000000"/>
          <w:sz w:val="24"/>
          <w:szCs w:val="24"/>
          <w:lang w:val="en-US" w:eastAsia="zh-CN"/>
        </w:rPr>
        <w:t xml:space="preserve"> The presence of intermediate cells, mucin pools and deep tumour location aid the distinction from adenosquamous carcinoma.</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t xml:space="preserve">Term explanation </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 xml:space="preserve"> “Tissue eosinophilia” refers to eosinophilic infiltration of a tumour not associated with tumour necrosis and ulceration.  </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p>
    <w:p w:rsidR="00B46B42" w:rsidRPr="00726EC3" w:rsidRDefault="00B46B42" w:rsidP="00726EC3">
      <w:pPr>
        <w:snapToGrid w:val="0"/>
        <w:spacing w:after="0" w:line="360" w:lineRule="auto"/>
        <w:jc w:val="both"/>
        <w:rPr>
          <w:rFonts w:ascii="Book Antiqua" w:hAnsi="Book Antiqua"/>
          <w:i/>
          <w:color w:val="000000"/>
          <w:sz w:val="24"/>
          <w:szCs w:val="24"/>
          <w:lang w:val="en-US" w:eastAsia="zh-CN"/>
        </w:rPr>
      </w:pPr>
      <w:r w:rsidRPr="00726EC3">
        <w:rPr>
          <w:rFonts w:ascii="Book Antiqua" w:hAnsi="Book Antiqua"/>
          <w:b/>
          <w:bCs/>
          <w:i/>
          <w:color w:val="000000"/>
          <w:sz w:val="24"/>
          <w:szCs w:val="24"/>
          <w:lang w:val="en-US" w:eastAsia="zh-CN"/>
        </w:rPr>
        <w:t>Experiences and lessons</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lastRenderedPageBreak/>
        <w:t>Mucoepidermoid carcinoma is diagnosed rarely in the oesophagus but heightened awareness of the entity is pivotal to optimal diagnosis, which in turn underpins appropriate management.</w:t>
      </w:r>
    </w:p>
    <w:p w:rsidR="00B46B42" w:rsidRPr="00726EC3" w:rsidRDefault="00B46B42" w:rsidP="00726EC3">
      <w:pPr>
        <w:snapToGrid w:val="0"/>
        <w:spacing w:after="0" w:line="360" w:lineRule="auto"/>
        <w:jc w:val="both"/>
        <w:rPr>
          <w:rFonts w:ascii="Book Antiqua" w:hAnsi="Book Antiqua"/>
          <w:b/>
          <w:bCs/>
          <w:color w:val="000000"/>
          <w:sz w:val="24"/>
          <w:szCs w:val="24"/>
          <w:lang w:val="en-US" w:eastAsia="zh-CN"/>
        </w:rPr>
      </w:pPr>
    </w:p>
    <w:p w:rsidR="00B46B42" w:rsidRDefault="00B46B42" w:rsidP="00726EC3">
      <w:pPr>
        <w:snapToGrid w:val="0"/>
        <w:spacing w:after="0" w:line="360" w:lineRule="auto"/>
        <w:jc w:val="both"/>
        <w:rPr>
          <w:rFonts w:ascii="Book Antiqua" w:hAnsi="Book Antiqua"/>
          <w:b/>
          <w:bCs/>
          <w:i/>
          <w:color w:val="000000"/>
          <w:sz w:val="24"/>
          <w:szCs w:val="24"/>
          <w:lang w:val="en-US" w:eastAsia="zh-CN"/>
        </w:rPr>
      </w:pPr>
      <w:r w:rsidRPr="00726EC3">
        <w:rPr>
          <w:rFonts w:ascii="Book Antiqua" w:hAnsi="Book Antiqua"/>
          <w:b/>
          <w:bCs/>
          <w:i/>
          <w:color w:val="000000"/>
          <w:sz w:val="24"/>
          <w:szCs w:val="24"/>
          <w:lang w:val="en-US" w:eastAsia="zh-CN"/>
        </w:rPr>
        <w:t>Peer review</w:t>
      </w:r>
    </w:p>
    <w:p w:rsidR="00B46B42" w:rsidRPr="00726EC3" w:rsidRDefault="00B46B42" w:rsidP="00726EC3">
      <w:pPr>
        <w:snapToGrid w:val="0"/>
        <w:spacing w:after="0" w:line="360" w:lineRule="auto"/>
        <w:jc w:val="both"/>
        <w:rPr>
          <w:rFonts w:ascii="Book Antiqua" w:hAnsi="Book Antiqua"/>
          <w:color w:val="000000"/>
          <w:sz w:val="24"/>
          <w:szCs w:val="24"/>
          <w:lang w:val="en-US" w:eastAsia="zh-CN"/>
        </w:rPr>
      </w:pPr>
      <w:r w:rsidRPr="00726EC3">
        <w:rPr>
          <w:rFonts w:ascii="Book Antiqua" w:hAnsi="Book Antiqua"/>
          <w:color w:val="000000"/>
          <w:sz w:val="24"/>
          <w:szCs w:val="24"/>
          <w:lang w:val="en-US" w:eastAsia="zh-CN"/>
        </w:rPr>
        <w:t>This article reviews epidemiology literatures on Cronh’s disease from four aspects as follow: “disease location, behavior and overall disease activity", "hospitalization", "surgery in Crohn's disease" and "Mortality". The authors draw a conclusion that the natural history of Crohn’s disease might change by analyzing the results from recently and previously published literatures. Conclusions are objective and interesting.</w:t>
      </w:r>
    </w:p>
    <w:p w:rsidR="00B46B42" w:rsidRPr="00F40C05" w:rsidRDefault="00B46B42" w:rsidP="00726EC3">
      <w:pPr>
        <w:snapToGrid w:val="0"/>
        <w:spacing w:after="0" w:line="360" w:lineRule="auto"/>
        <w:jc w:val="both"/>
        <w:rPr>
          <w:rFonts w:ascii="Book Antiqua" w:hAnsi="Book Antiqua"/>
          <w:b/>
          <w:sz w:val="24"/>
          <w:szCs w:val="24"/>
          <w:lang w:val="en-US" w:eastAsia="zh-CN"/>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r w:rsidRPr="00F40C05">
        <w:rPr>
          <w:rFonts w:ascii="Book Antiqua" w:hAnsi="Book Antiqua"/>
          <w:b/>
          <w:sz w:val="24"/>
          <w:szCs w:val="24"/>
        </w:rPr>
        <w:t>REFERENCES</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 </w:t>
      </w:r>
      <w:r w:rsidRPr="00F40C05">
        <w:rPr>
          <w:rFonts w:ascii="Book Antiqua" w:hAnsi="Book Antiqua" w:cs="宋体"/>
          <w:b/>
          <w:bCs/>
          <w:sz w:val="24"/>
          <w:szCs w:val="24"/>
          <w:lang w:val="en-US" w:eastAsia="zh-CN"/>
        </w:rPr>
        <w:t>Pinkston JA</w:t>
      </w:r>
      <w:r w:rsidRPr="00F40C05">
        <w:rPr>
          <w:rFonts w:ascii="Book Antiqua" w:hAnsi="Book Antiqua" w:cs="宋体"/>
          <w:sz w:val="24"/>
          <w:szCs w:val="24"/>
          <w:lang w:val="en-US" w:eastAsia="zh-CN"/>
        </w:rPr>
        <w:t xml:space="preserve">, Cole P. Incidence rates of salivary gland tumors: results from a population-based study. </w:t>
      </w:r>
      <w:r w:rsidRPr="00F40C05">
        <w:rPr>
          <w:rFonts w:ascii="Book Antiqua" w:hAnsi="Book Antiqua" w:cs="宋体"/>
          <w:i/>
          <w:iCs/>
          <w:sz w:val="24"/>
          <w:szCs w:val="24"/>
          <w:lang w:val="en-US" w:eastAsia="zh-CN"/>
        </w:rPr>
        <w:t>Otolaryngol Head Neck Surg</w:t>
      </w:r>
      <w:r w:rsidRPr="00F40C05">
        <w:rPr>
          <w:rFonts w:ascii="Book Antiqua" w:hAnsi="Book Antiqua" w:cs="宋体"/>
          <w:sz w:val="24"/>
          <w:szCs w:val="24"/>
          <w:lang w:val="en-US" w:eastAsia="zh-CN"/>
        </w:rPr>
        <w:t xml:space="preserve"> 1999; </w:t>
      </w:r>
      <w:r w:rsidRPr="00F40C05">
        <w:rPr>
          <w:rFonts w:ascii="Book Antiqua" w:hAnsi="Book Antiqua" w:cs="宋体"/>
          <w:b/>
          <w:bCs/>
          <w:sz w:val="24"/>
          <w:szCs w:val="24"/>
          <w:lang w:val="en-US" w:eastAsia="zh-CN"/>
        </w:rPr>
        <w:t>120</w:t>
      </w:r>
      <w:r w:rsidRPr="00F40C05">
        <w:rPr>
          <w:rFonts w:ascii="Book Antiqua" w:hAnsi="Book Antiqua" w:cs="宋体"/>
          <w:sz w:val="24"/>
          <w:szCs w:val="24"/>
          <w:lang w:val="en-US" w:eastAsia="zh-CN"/>
        </w:rPr>
        <w:t>: 834-840 [PMID: 10352436</w:t>
      </w:r>
      <w:r>
        <w:rPr>
          <w:rFonts w:ascii="Book Antiqua" w:hAnsi="Book Antiqua" w:cs="宋体"/>
          <w:sz w:val="24"/>
          <w:szCs w:val="24"/>
          <w:lang w:val="en-US" w:eastAsia="zh-CN"/>
        </w:rPr>
        <w:t xml:space="preserve"> DOI: </w:t>
      </w:r>
      <w:r w:rsidRPr="00374699">
        <w:rPr>
          <w:rFonts w:ascii="Book Antiqua" w:hAnsi="Book Antiqua" w:cs="宋体"/>
          <w:sz w:val="24"/>
          <w:szCs w:val="24"/>
          <w:lang w:val="en-US" w:eastAsia="zh-CN"/>
        </w:rPr>
        <w:t>10.1016/S0194-5998(99)70323-2</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 </w:t>
      </w:r>
      <w:r w:rsidRPr="00F40C05">
        <w:rPr>
          <w:rFonts w:ascii="Book Antiqua" w:hAnsi="Book Antiqua" w:cs="宋体"/>
          <w:b/>
          <w:bCs/>
          <w:sz w:val="24"/>
          <w:szCs w:val="24"/>
          <w:lang w:val="en-US" w:eastAsia="zh-CN"/>
        </w:rPr>
        <w:t>Veras EF</w:t>
      </w:r>
      <w:r w:rsidRPr="00F40C05">
        <w:rPr>
          <w:rFonts w:ascii="Book Antiqua" w:hAnsi="Book Antiqua" w:cs="宋体"/>
          <w:sz w:val="24"/>
          <w:szCs w:val="24"/>
          <w:lang w:val="en-US" w:eastAsia="zh-CN"/>
        </w:rPr>
        <w:t xml:space="preserve">, Sturgis E, Luna MA. Sclerosing mucoepidermoid carcinoma of the salivary glands. </w:t>
      </w:r>
      <w:r w:rsidRPr="00F40C05">
        <w:rPr>
          <w:rFonts w:ascii="Book Antiqua" w:hAnsi="Book Antiqua" w:cs="宋体"/>
          <w:i/>
          <w:iCs/>
          <w:sz w:val="24"/>
          <w:szCs w:val="24"/>
          <w:lang w:val="en-US" w:eastAsia="zh-CN"/>
        </w:rPr>
        <w:t>Ann Diagn Pathol</w:t>
      </w:r>
      <w:r w:rsidRPr="00F40C05">
        <w:rPr>
          <w:rFonts w:ascii="Book Antiqua" w:hAnsi="Book Antiqua" w:cs="宋体"/>
          <w:sz w:val="24"/>
          <w:szCs w:val="24"/>
          <w:lang w:val="en-US" w:eastAsia="zh-CN"/>
        </w:rPr>
        <w:t xml:space="preserve"> 2007; </w:t>
      </w:r>
      <w:r w:rsidRPr="00F40C05">
        <w:rPr>
          <w:rFonts w:ascii="Book Antiqua" w:hAnsi="Book Antiqua" w:cs="宋体"/>
          <w:b/>
          <w:bCs/>
          <w:sz w:val="24"/>
          <w:szCs w:val="24"/>
          <w:lang w:val="en-US" w:eastAsia="zh-CN"/>
        </w:rPr>
        <w:t>11</w:t>
      </w:r>
      <w:r w:rsidRPr="00F40C05">
        <w:rPr>
          <w:rFonts w:ascii="Book Antiqua" w:hAnsi="Book Antiqua" w:cs="宋体"/>
          <w:sz w:val="24"/>
          <w:szCs w:val="24"/>
          <w:lang w:val="en-US" w:eastAsia="zh-CN"/>
        </w:rPr>
        <w:t>: 407-412 [PMID: 18022124</w:t>
      </w:r>
      <w:r>
        <w:rPr>
          <w:rFonts w:ascii="Book Antiqua" w:hAnsi="Book Antiqua" w:cs="宋体"/>
          <w:sz w:val="24"/>
          <w:szCs w:val="24"/>
          <w:lang w:val="en-US" w:eastAsia="zh-CN"/>
        </w:rPr>
        <w:t xml:space="preserve"> DOI: </w:t>
      </w:r>
      <w:r w:rsidRPr="00374699">
        <w:rPr>
          <w:rFonts w:ascii="Book Antiqua" w:hAnsi="Book Antiqua" w:cs="宋体"/>
          <w:sz w:val="24"/>
          <w:szCs w:val="24"/>
          <w:lang w:val="en-US" w:eastAsia="zh-CN"/>
        </w:rPr>
        <w:t>10.1016/j.anndiagpath.2006.12.013</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3 </w:t>
      </w:r>
      <w:r w:rsidRPr="00F40C05">
        <w:rPr>
          <w:rFonts w:ascii="Book Antiqua" w:hAnsi="Book Antiqua" w:cs="宋体"/>
          <w:b/>
          <w:bCs/>
          <w:sz w:val="24"/>
          <w:szCs w:val="24"/>
          <w:lang w:val="en-US" w:eastAsia="zh-CN"/>
        </w:rPr>
        <w:t>Fadare O</w:t>
      </w:r>
      <w:r w:rsidRPr="00F40C05">
        <w:rPr>
          <w:rFonts w:ascii="Book Antiqua" w:hAnsi="Book Antiqua" w:cs="宋体"/>
          <w:sz w:val="24"/>
          <w:szCs w:val="24"/>
          <w:lang w:val="en-US" w:eastAsia="zh-CN"/>
        </w:rPr>
        <w:t xml:space="preserve">, Hileeto D, Gruddin YL, Mariappan MR. Sclerosing mucoepidermoid carcinoma of the parotid gland. </w:t>
      </w:r>
      <w:r w:rsidRPr="00F40C05">
        <w:rPr>
          <w:rFonts w:ascii="Book Antiqua" w:hAnsi="Book Antiqua" w:cs="宋体"/>
          <w:i/>
          <w:iCs/>
          <w:sz w:val="24"/>
          <w:szCs w:val="24"/>
          <w:lang w:val="en-US" w:eastAsia="zh-CN"/>
        </w:rPr>
        <w:t>Arch Pathol Lab Med</w:t>
      </w:r>
      <w:r w:rsidRPr="00F40C05">
        <w:rPr>
          <w:rFonts w:ascii="Book Antiqua" w:hAnsi="Book Antiqua" w:cs="宋体"/>
          <w:sz w:val="24"/>
          <w:szCs w:val="24"/>
          <w:lang w:val="en-US" w:eastAsia="zh-CN"/>
        </w:rPr>
        <w:t xml:space="preserve"> 2004; </w:t>
      </w:r>
      <w:r w:rsidRPr="00F40C05">
        <w:rPr>
          <w:rFonts w:ascii="Book Antiqua" w:hAnsi="Book Antiqua" w:cs="宋体"/>
          <w:b/>
          <w:bCs/>
          <w:sz w:val="24"/>
          <w:szCs w:val="24"/>
          <w:lang w:val="en-US" w:eastAsia="zh-CN"/>
        </w:rPr>
        <w:t>128</w:t>
      </w:r>
      <w:r w:rsidRPr="00F40C05">
        <w:rPr>
          <w:rFonts w:ascii="Book Antiqua" w:hAnsi="Book Antiqua" w:cs="宋体"/>
          <w:sz w:val="24"/>
          <w:szCs w:val="24"/>
          <w:lang w:val="en-US" w:eastAsia="zh-CN"/>
        </w:rPr>
        <w:t>: 1046-1049 [PMID: 15338560]</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4 </w:t>
      </w:r>
      <w:r w:rsidRPr="00F40C05">
        <w:rPr>
          <w:rFonts w:ascii="Book Antiqua" w:hAnsi="Book Antiqua" w:cs="宋体"/>
          <w:b/>
          <w:bCs/>
          <w:sz w:val="24"/>
          <w:szCs w:val="24"/>
          <w:lang w:val="en-US" w:eastAsia="zh-CN"/>
        </w:rPr>
        <w:t>Hagiwara N</w:t>
      </w:r>
      <w:r w:rsidRPr="00F40C05">
        <w:rPr>
          <w:rFonts w:ascii="Book Antiqua" w:hAnsi="Book Antiqua" w:cs="宋体"/>
          <w:sz w:val="24"/>
          <w:szCs w:val="24"/>
          <w:lang w:val="en-US" w:eastAsia="zh-CN"/>
        </w:rPr>
        <w:t xml:space="preserve">, Tajiri T, Tajiri T, Miyashita M, Sasajima K, Makino H, Matsutani T, Tsuchiya Y, Takubo K, Yamashita K. Biological behavior of mucoepidermoid carcinoma of the esophagus. </w:t>
      </w:r>
      <w:r w:rsidRPr="00F40C05">
        <w:rPr>
          <w:rFonts w:ascii="Book Antiqua" w:hAnsi="Book Antiqua" w:cs="宋体"/>
          <w:i/>
          <w:iCs/>
          <w:sz w:val="24"/>
          <w:szCs w:val="24"/>
          <w:lang w:val="en-US" w:eastAsia="zh-CN"/>
        </w:rPr>
        <w:t>J Nippon Med Sch</w:t>
      </w:r>
      <w:r w:rsidRPr="00F40C05">
        <w:rPr>
          <w:rFonts w:ascii="Book Antiqua" w:hAnsi="Book Antiqua" w:cs="宋体"/>
          <w:sz w:val="24"/>
          <w:szCs w:val="24"/>
          <w:lang w:val="en-US" w:eastAsia="zh-CN"/>
        </w:rPr>
        <w:t xml:space="preserve"> 2003; </w:t>
      </w:r>
      <w:r w:rsidRPr="00F40C05">
        <w:rPr>
          <w:rFonts w:ascii="Book Antiqua" w:hAnsi="Book Antiqua" w:cs="宋体"/>
          <w:b/>
          <w:bCs/>
          <w:sz w:val="24"/>
          <w:szCs w:val="24"/>
          <w:lang w:val="en-US" w:eastAsia="zh-CN"/>
        </w:rPr>
        <w:t>70</w:t>
      </w:r>
      <w:r w:rsidRPr="00F40C05">
        <w:rPr>
          <w:rFonts w:ascii="Book Antiqua" w:hAnsi="Book Antiqua" w:cs="宋体"/>
          <w:sz w:val="24"/>
          <w:szCs w:val="24"/>
          <w:lang w:val="en-US" w:eastAsia="zh-CN"/>
        </w:rPr>
        <w:t>: 401-407 [PMID: 14578940</w:t>
      </w:r>
      <w:r>
        <w:rPr>
          <w:rFonts w:ascii="Book Antiqua" w:hAnsi="Book Antiqua" w:cs="宋体"/>
          <w:sz w:val="24"/>
          <w:szCs w:val="24"/>
          <w:lang w:val="en-US" w:eastAsia="zh-CN"/>
        </w:rPr>
        <w:t xml:space="preserve"> DOI: </w:t>
      </w:r>
      <w:r w:rsidRPr="00374699">
        <w:rPr>
          <w:rFonts w:ascii="Book Antiqua" w:hAnsi="Book Antiqua" w:cs="宋体"/>
          <w:sz w:val="24"/>
          <w:szCs w:val="24"/>
          <w:lang w:val="en-US" w:eastAsia="zh-CN"/>
        </w:rPr>
        <w:t>10.1272/jnms.70.401</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5 </w:t>
      </w:r>
      <w:r w:rsidRPr="00F40C05">
        <w:rPr>
          <w:rFonts w:ascii="Book Antiqua" w:hAnsi="Book Antiqua" w:cs="宋体"/>
          <w:b/>
          <w:bCs/>
          <w:sz w:val="24"/>
          <w:szCs w:val="24"/>
          <w:lang w:val="en-US" w:eastAsia="zh-CN"/>
        </w:rPr>
        <w:t>Mafune K</w:t>
      </w:r>
      <w:r w:rsidRPr="00F40C05">
        <w:rPr>
          <w:rFonts w:ascii="Book Antiqua" w:hAnsi="Book Antiqua" w:cs="宋体"/>
          <w:sz w:val="24"/>
          <w:szCs w:val="24"/>
          <w:lang w:val="en-US" w:eastAsia="zh-CN"/>
        </w:rPr>
        <w:t xml:space="preserve">, Takubo K, Tanaka Y, Fujita K. Sclerosing mucoepidermoid carcinoma of the esophagus with intraepithelial carcinoma or dysplastic epithelium. </w:t>
      </w:r>
      <w:r w:rsidRPr="00F40C05">
        <w:rPr>
          <w:rFonts w:ascii="Book Antiqua" w:hAnsi="Book Antiqua" w:cs="宋体"/>
          <w:i/>
          <w:iCs/>
          <w:sz w:val="24"/>
          <w:szCs w:val="24"/>
          <w:lang w:val="en-US" w:eastAsia="zh-CN"/>
        </w:rPr>
        <w:t>J Surg Oncol</w:t>
      </w:r>
      <w:r w:rsidRPr="00F40C05">
        <w:rPr>
          <w:rFonts w:ascii="Book Antiqua" w:hAnsi="Book Antiqua" w:cs="宋体"/>
          <w:sz w:val="24"/>
          <w:szCs w:val="24"/>
          <w:lang w:val="en-US" w:eastAsia="zh-CN"/>
        </w:rPr>
        <w:t xml:space="preserve"> 1995; </w:t>
      </w:r>
      <w:r w:rsidRPr="00F40C05">
        <w:rPr>
          <w:rFonts w:ascii="Book Antiqua" w:hAnsi="Book Antiqua" w:cs="宋体"/>
          <w:b/>
          <w:bCs/>
          <w:sz w:val="24"/>
          <w:szCs w:val="24"/>
          <w:lang w:val="en-US" w:eastAsia="zh-CN"/>
        </w:rPr>
        <w:t>58</w:t>
      </w:r>
      <w:r w:rsidRPr="00F40C05">
        <w:rPr>
          <w:rFonts w:ascii="Book Antiqua" w:hAnsi="Book Antiqua" w:cs="宋体"/>
          <w:sz w:val="24"/>
          <w:szCs w:val="24"/>
          <w:lang w:val="en-US" w:eastAsia="zh-CN"/>
        </w:rPr>
        <w:t>: 184-190 [PMID: 7898115</w:t>
      </w:r>
      <w:r>
        <w:rPr>
          <w:rFonts w:ascii="Book Antiqua" w:hAnsi="Book Antiqua" w:cs="宋体"/>
          <w:sz w:val="24"/>
          <w:szCs w:val="24"/>
          <w:lang w:val="en-US" w:eastAsia="zh-CN"/>
        </w:rPr>
        <w:t xml:space="preserve"> DOI: </w:t>
      </w:r>
      <w:r w:rsidRPr="00374699">
        <w:rPr>
          <w:rFonts w:ascii="Book Antiqua" w:hAnsi="Book Antiqua" w:cs="宋体"/>
          <w:sz w:val="24"/>
          <w:szCs w:val="24"/>
          <w:lang w:val="en-US" w:eastAsia="zh-CN"/>
        </w:rPr>
        <w:t>10.1002/jso.2930580309</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lastRenderedPageBreak/>
        <w:t xml:space="preserve">6 </w:t>
      </w:r>
      <w:r w:rsidRPr="00F40C05">
        <w:rPr>
          <w:rFonts w:ascii="Book Antiqua" w:hAnsi="Book Antiqua" w:cs="宋体"/>
          <w:b/>
          <w:bCs/>
          <w:sz w:val="24"/>
          <w:szCs w:val="24"/>
          <w:lang w:val="en-US" w:eastAsia="zh-CN"/>
        </w:rPr>
        <w:t>Chen S</w:t>
      </w:r>
      <w:r w:rsidRPr="00F40C05">
        <w:rPr>
          <w:rFonts w:ascii="Book Antiqua" w:hAnsi="Book Antiqua" w:cs="宋体"/>
          <w:sz w:val="24"/>
          <w:szCs w:val="24"/>
          <w:lang w:val="en-US" w:eastAsia="zh-CN"/>
        </w:rPr>
        <w:t xml:space="preserve">, Chen Y, Yang J, Yang W, Weng H, Li H, Liu D. Primary mucoepidermoid carcinoma of the esophagus. </w:t>
      </w:r>
      <w:r w:rsidRPr="00F40C05">
        <w:rPr>
          <w:rFonts w:ascii="Book Antiqua" w:hAnsi="Book Antiqua" w:cs="宋体"/>
          <w:i/>
          <w:iCs/>
          <w:sz w:val="24"/>
          <w:szCs w:val="24"/>
          <w:lang w:val="en-US" w:eastAsia="zh-CN"/>
        </w:rPr>
        <w:t>J Thorac Oncol</w:t>
      </w:r>
      <w:r w:rsidRPr="00F40C05">
        <w:rPr>
          <w:rFonts w:ascii="Book Antiqua" w:hAnsi="Book Antiqua" w:cs="宋体"/>
          <w:sz w:val="24"/>
          <w:szCs w:val="24"/>
          <w:lang w:val="en-US" w:eastAsia="zh-CN"/>
        </w:rPr>
        <w:t xml:space="preserve"> 2011; </w:t>
      </w:r>
      <w:r w:rsidRPr="00F40C05">
        <w:rPr>
          <w:rFonts w:ascii="Book Antiqua" w:hAnsi="Book Antiqua" w:cs="宋体"/>
          <w:b/>
          <w:bCs/>
          <w:sz w:val="24"/>
          <w:szCs w:val="24"/>
          <w:lang w:val="en-US" w:eastAsia="zh-CN"/>
        </w:rPr>
        <w:t>6</w:t>
      </w:r>
      <w:r w:rsidRPr="00F40C05">
        <w:rPr>
          <w:rFonts w:ascii="Book Antiqua" w:hAnsi="Book Antiqua" w:cs="宋体"/>
          <w:sz w:val="24"/>
          <w:szCs w:val="24"/>
          <w:lang w:val="en-US" w:eastAsia="zh-CN"/>
        </w:rPr>
        <w:t>: 1426-1431 [PMID: 21587086 DOI: 10.1097/JTO.0b013e31821cfb96]</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7 </w:t>
      </w:r>
      <w:r w:rsidRPr="00F40C05">
        <w:rPr>
          <w:rFonts w:ascii="Book Antiqua" w:hAnsi="Book Antiqua" w:cs="宋体"/>
          <w:b/>
          <w:bCs/>
          <w:sz w:val="24"/>
          <w:szCs w:val="24"/>
          <w:lang w:val="en-US" w:eastAsia="zh-CN"/>
        </w:rPr>
        <w:t>Tamura S</w:t>
      </w:r>
      <w:r w:rsidRPr="00F40C05">
        <w:rPr>
          <w:rFonts w:ascii="Book Antiqua" w:hAnsi="Book Antiqua" w:cs="宋体"/>
          <w:sz w:val="24"/>
          <w:szCs w:val="24"/>
          <w:lang w:val="en-US" w:eastAsia="zh-CN"/>
        </w:rPr>
        <w:t xml:space="preserve">, Kobayashi K, Seki Y, Matsuyama J, Kagara N, Ukei T, Uemura Y, Miyauchi K, Kaneko T. Mucoepidermoid carcinoma of the esophagus treated by endoscopic mucosal resection. </w:t>
      </w:r>
      <w:r w:rsidRPr="00F40C05">
        <w:rPr>
          <w:rFonts w:ascii="Book Antiqua" w:hAnsi="Book Antiqua" w:cs="宋体"/>
          <w:i/>
          <w:iCs/>
          <w:sz w:val="24"/>
          <w:szCs w:val="24"/>
          <w:lang w:val="en-US" w:eastAsia="zh-CN"/>
        </w:rPr>
        <w:t>Dis Esophagus</w:t>
      </w:r>
      <w:r w:rsidRPr="00F40C05">
        <w:rPr>
          <w:rFonts w:ascii="Book Antiqua" w:hAnsi="Book Antiqua" w:cs="宋体"/>
          <w:sz w:val="24"/>
          <w:szCs w:val="24"/>
          <w:lang w:val="en-US" w:eastAsia="zh-CN"/>
        </w:rPr>
        <w:t xml:space="preserve"> 2003; </w:t>
      </w:r>
      <w:r w:rsidRPr="00F40C05">
        <w:rPr>
          <w:rFonts w:ascii="Book Antiqua" w:hAnsi="Book Antiqua" w:cs="宋体"/>
          <w:b/>
          <w:bCs/>
          <w:sz w:val="24"/>
          <w:szCs w:val="24"/>
          <w:lang w:val="en-US" w:eastAsia="zh-CN"/>
        </w:rPr>
        <w:t>16</w:t>
      </w:r>
      <w:r w:rsidRPr="00F40C05">
        <w:rPr>
          <w:rFonts w:ascii="Book Antiqua" w:hAnsi="Book Antiqua" w:cs="宋体"/>
          <w:sz w:val="24"/>
          <w:szCs w:val="24"/>
          <w:lang w:val="en-US" w:eastAsia="zh-CN"/>
        </w:rPr>
        <w:t>: 265-267 [PMID: 14641323</w:t>
      </w:r>
      <w:r>
        <w:rPr>
          <w:rFonts w:ascii="Book Antiqua" w:hAnsi="Book Antiqua" w:cs="宋体"/>
          <w:sz w:val="24"/>
          <w:szCs w:val="24"/>
          <w:lang w:val="en-US" w:eastAsia="zh-CN"/>
        </w:rPr>
        <w:t xml:space="preserve"> DOI: </w:t>
      </w:r>
      <w:r w:rsidRPr="00374699">
        <w:rPr>
          <w:rFonts w:ascii="Book Antiqua" w:hAnsi="Book Antiqua" w:cs="宋体"/>
          <w:sz w:val="24"/>
          <w:szCs w:val="24"/>
          <w:lang w:val="en-US" w:eastAsia="zh-CN"/>
        </w:rPr>
        <w:t>10.1046/j.1442-2050.2003.00342.x</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8 </w:t>
      </w:r>
      <w:r w:rsidRPr="00F40C05">
        <w:rPr>
          <w:rFonts w:ascii="Book Antiqua" w:hAnsi="Book Antiqua" w:cs="宋体"/>
          <w:b/>
          <w:bCs/>
          <w:sz w:val="24"/>
          <w:szCs w:val="24"/>
          <w:lang w:val="en-US" w:eastAsia="zh-CN"/>
        </w:rPr>
        <w:t>Liu ZJ</w:t>
      </w:r>
      <w:r w:rsidRPr="00F40C05">
        <w:rPr>
          <w:rFonts w:ascii="Book Antiqua" w:hAnsi="Book Antiqua" w:cs="宋体"/>
          <w:sz w:val="24"/>
          <w:szCs w:val="24"/>
          <w:lang w:val="en-US" w:eastAsia="zh-CN"/>
        </w:rPr>
        <w:t xml:space="preserve">, Sun SY, Guo JT, Wang S, Ge N, Liu X, Wang GX, Yang XH. A primary esophageal mucoepidermoid carcinoma mimicking a benign submucosal tumor. </w:t>
      </w:r>
      <w:r w:rsidRPr="00F40C05">
        <w:rPr>
          <w:rFonts w:ascii="Book Antiqua" w:hAnsi="Book Antiqua" w:cs="宋体"/>
          <w:i/>
          <w:iCs/>
          <w:sz w:val="24"/>
          <w:szCs w:val="24"/>
          <w:lang w:val="en-US" w:eastAsia="zh-CN"/>
        </w:rPr>
        <w:t>Dis Esophagus</w:t>
      </w:r>
      <w:r w:rsidRPr="00F40C05">
        <w:rPr>
          <w:rFonts w:ascii="Book Antiqua" w:hAnsi="Book Antiqua" w:cs="宋体"/>
          <w:sz w:val="24"/>
          <w:szCs w:val="24"/>
          <w:lang w:val="en-US" w:eastAsia="zh-CN"/>
        </w:rPr>
        <w:t xml:space="preserve"> 2012; </w:t>
      </w:r>
      <w:r w:rsidRPr="00F40C05">
        <w:rPr>
          <w:rFonts w:ascii="Book Antiqua" w:hAnsi="Book Antiqua" w:cs="宋体"/>
          <w:b/>
          <w:bCs/>
          <w:sz w:val="24"/>
          <w:szCs w:val="24"/>
          <w:lang w:val="en-US" w:eastAsia="zh-CN"/>
        </w:rPr>
        <w:t>25</w:t>
      </w:r>
      <w:r w:rsidRPr="00F40C05">
        <w:rPr>
          <w:rFonts w:ascii="Book Antiqua" w:hAnsi="Book Antiqua" w:cs="宋体"/>
          <w:sz w:val="24"/>
          <w:szCs w:val="24"/>
          <w:lang w:val="en-US" w:eastAsia="zh-CN"/>
        </w:rPr>
        <w:t>: 178-179 [PMID: 22335203 DOI: 10.1111/j.1442-2050.2010.01158.x]</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9 </w:t>
      </w:r>
      <w:r w:rsidRPr="00F40C05">
        <w:rPr>
          <w:rFonts w:ascii="Book Antiqua" w:hAnsi="Book Antiqua" w:cs="宋体"/>
          <w:b/>
          <w:bCs/>
          <w:sz w:val="24"/>
          <w:szCs w:val="24"/>
          <w:lang w:val="en-US" w:eastAsia="zh-CN"/>
        </w:rPr>
        <w:t>Chan JK</w:t>
      </w:r>
      <w:r w:rsidRPr="00F40C05">
        <w:rPr>
          <w:rFonts w:ascii="Book Antiqua" w:hAnsi="Book Antiqua" w:cs="宋体"/>
          <w:sz w:val="24"/>
          <w:szCs w:val="24"/>
          <w:lang w:val="en-US" w:eastAsia="zh-CN"/>
        </w:rPr>
        <w:t xml:space="preserve">, Saw D. Sclerosing mucoepidermoid tumour of the parotid gland: report of a case. </w:t>
      </w:r>
      <w:r w:rsidRPr="00F40C05">
        <w:rPr>
          <w:rFonts w:ascii="Book Antiqua" w:hAnsi="Book Antiqua" w:cs="宋体"/>
          <w:i/>
          <w:iCs/>
          <w:sz w:val="24"/>
          <w:szCs w:val="24"/>
          <w:lang w:val="en-US" w:eastAsia="zh-CN"/>
        </w:rPr>
        <w:t>Histopathology</w:t>
      </w:r>
      <w:r w:rsidRPr="00F40C05">
        <w:rPr>
          <w:rFonts w:ascii="Book Antiqua" w:hAnsi="Book Antiqua" w:cs="宋体"/>
          <w:sz w:val="24"/>
          <w:szCs w:val="24"/>
          <w:lang w:val="en-US" w:eastAsia="zh-CN"/>
        </w:rPr>
        <w:t xml:space="preserve"> 1987; </w:t>
      </w:r>
      <w:r w:rsidRPr="00F40C05">
        <w:rPr>
          <w:rFonts w:ascii="Book Antiqua" w:hAnsi="Book Antiqua" w:cs="宋体"/>
          <w:b/>
          <w:bCs/>
          <w:sz w:val="24"/>
          <w:szCs w:val="24"/>
          <w:lang w:val="en-US" w:eastAsia="zh-CN"/>
        </w:rPr>
        <w:t>11</w:t>
      </w:r>
      <w:r w:rsidRPr="00F40C05">
        <w:rPr>
          <w:rFonts w:ascii="Book Antiqua" w:hAnsi="Book Antiqua" w:cs="宋体"/>
          <w:sz w:val="24"/>
          <w:szCs w:val="24"/>
          <w:lang w:val="en-US" w:eastAsia="zh-CN"/>
        </w:rPr>
        <w:t>: 203-207 [PMID: 3570178</w:t>
      </w:r>
      <w:r>
        <w:rPr>
          <w:rFonts w:ascii="Book Antiqua" w:hAnsi="Book Antiqua" w:cs="宋体"/>
          <w:sz w:val="24"/>
          <w:szCs w:val="24"/>
          <w:lang w:val="en-US" w:eastAsia="zh-CN"/>
        </w:rPr>
        <w:t xml:space="preserve"> DOI: </w:t>
      </w:r>
      <w:r w:rsidRPr="00374699">
        <w:rPr>
          <w:rFonts w:ascii="Book Antiqua" w:hAnsi="Book Antiqua" w:cs="宋体"/>
          <w:sz w:val="24"/>
          <w:szCs w:val="24"/>
          <w:lang w:val="en-US" w:eastAsia="zh-CN"/>
        </w:rPr>
        <w:t>10.1111/j.1365-2559.1987.tb02623.x</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10 </w:t>
      </w:r>
      <w:r w:rsidRPr="00F40C05">
        <w:rPr>
          <w:rFonts w:ascii="Book Antiqua" w:hAnsi="Book Antiqua" w:cs="宋体"/>
          <w:b/>
          <w:bCs/>
          <w:sz w:val="24"/>
          <w:szCs w:val="24"/>
          <w:lang w:val="en-US" w:eastAsia="zh-CN"/>
        </w:rPr>
        <w:t>Urano M</w:t>
      </w:r>
      <w:r w:rsidRPr="00F40C05">
        <w:rPr>
          <w:rFonts w:ascii="Book Antiqua" w:hAnsi="Book Antiqua" w:cs="宋体"/>
          <w:sz w:val="24"/>
          <w:szCs w:val="24"/>
          <w:lang w:val="en-US" w:eastAsia="zh-CN"/>
        </w:rPr>
        <w:t xml:space="preserve">, Abe M, Horibe Y, Kuroda M, Mizoguchi Y, Sakurai K, Naito K. Sclerosing mucoepidermoid carcinoma with eosinophilia of the salivary glands. </w:t>
      </w:r>
      <w:r w:rsidRPr="00F40C05">
        <w:rPr>
          <w:rFonts w:ascii="Book Antiqua" w:hAnsi="Book Antiqua" w:cs="宋体"/>
          <w:i/>
          <w:iCs/>
          <w:sz w:val="24"/>
          <w:szCs w:val="24"/>
          <w:lang w:val="en-US" w:eastAsia="zh-CN"/>
        </w:rPr>
        <w:t>Pathol Res Pract</w:t>
      </w:r>
      <w:r w:rsidRPr="00F40C05">
        <w:rPr>
          <w:rFonts w:ascii="Book Antiqua" w:hAnsi="Book Antiqua" w:cs="宋体"/>
          <w:sz w:val="24"/>
          <w:szCs w:val="24"/>
          <w:lang w:val="en-US" w:eastAsia="zh-CN"/>
        </w:rPr>
        <w:t xml:space="preserve"> 2002; </w:t>
      </w:r>
      <w:r w:rsidRPr="00F40C05">
        <w:rPr>
          <w:rFonts w:ascii="Book Antiqua" w:hAnsi="Book Antiqua" w:cs="宋体"/>
          <w:b/>
          <w:bCs/>
          <w:sz w:val="24"/>
          <w:szCs w:val="24"/>
          <w:lang w:val="en-US" w:eastAsia="zh-CN"/>
        </w:rPr>
        <w:t>198</w:t>
      </w:r>
      <w:r w:rsidRPr="00F40C05">
        <w:rPr>
          <w:rFonts w:ascii="Book Antiqua" w:hAnsi="Book Antiqua" w:cs="宋体"/>
          <w:sz w:val="24"/>
          <w:szCs w:val="24"/>
          <w:lang w:val="en-US" w:eastAsia="zh-CN"/>
        </w:rPr>
        <w:t>: 305-310 [PMID: 12049340</w:t>
      </w:r>
      <w:r>
        <w:rPr>
          <w:rFonts w:ascii="Book Antiqua" w:hAnsi="Book Antiqua" w:cs="宋体"/>
          <w:sz w:val="24"/>
          <w:szCs w:val="24"/>
          <w:lang w:val="en-US" w:eastAsia="zh-CN"/>
        </w:rPr>
        <w:t xml:space="preserve"> DOI: </w:t>
      </w:r>
      <w:r w:rsidRPr="00374699">
        <w:rPr>
          <w:rFonts w:ascii="Book Antiqua" w:hAnsi="Book Antiqua" w:cs="宋体"/>
          <w:sz w:val="24"/>
          <w:szCs w:val="24"/>
          <w:lang w:val="en-US" w:eastAsia="zh-CN"/>
        </w:rPr>
        <w:t>10.1078/0344-0338-00259</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11 </w:t>
      </w:r>
      <w:r w:rsidRPr="00F40C05">
        <w:rPr>
          <w:rFonts w:ascii="Book Antiqua" w:hAnsi="Book Antiqua" w:cs="宋体"/>
          <w:b/>
          <w:bCs/>
          <w:sz w:val="24"/>
          <w:szCs w:val="24"/>
          <w:lang w:val="en-US" w:eastAsia="zh-CN"/>
        </w:rPr>
        <w:t>Muller S</w:t>
      </w:r>
      <w:r w:rsidRPr="00F40C05">
        <w:rPr>
          <w:rFonts w:ascii="Book Antiqua" w:hAnsi="Book Antiqua" w:cs="宋体"/>
          <w:sz w:val="24"/>
          <w:szCs w:val="24"/>
          <w:lang w:val="en-US" w:eastAsia="zh-CN"/>
        </w:rPr>
        <w:t xml:space="preserve">, Barnes L, Goodurn WJ. Sclerosing mucoepidermoid carcinoma of the parotid. </w:t>
      </w:r>
      <w:r w:rsidRPr="00F40C05">
        <w:rPr>
          <w:rFonts w:ascii="Book Antiqua" w:hAnsi="Book Antiqua" w:cs="宋体"/>
          <w:i/>
          <w:iCs/>
          <w:sz w:val="24"/>
          <w:szCs w:val="24"/>
          <w:lang w:val="en-US" w:eastAsia="zh-CN"/>
        </w:rPr>
        <w:t>Oral Surg Oral Med Oral Pathol Oral Radiol Endod</w:t>
      </w:r>
      <w:r w:rsidRPr="00F40C05">
        <w:rPr>
          <w:rFonts w:ascii="Book Antiqua" w:hAnsi="Book Antiqua" w:cs="宋体"/>
          <w:sz w:val="24"/>
          <w:szCs w:val="24"/>
          <w:lang w:val="en-US" w:eastAsia="zh-CN"/>
        </w:rPr>
        <w:t xml:space="preserve"> 1997; </w:t>
      </w:r>
      <w:r w:rsidRPr="00F40C05">
        <w:rPr>
          <w:rFonts w:ascii="Book Antiqua" w:hAnsi="Book Antiqua" w:cs="宋体"/>
          <w:b/>
          <w:bCs/>
          <w:sz w:val="24"/>
          <w:szCs w:val="24"/>
          <w:lang w:val="en-US" w:eastAsia="zh-CN"/>
        </w:rPr>
        <w:t>83</w:t>
      </w:r>
      <w:r w:rsidRPr="00F40C05">
        <w:rPr>
          <w:rFonts w:ascii="Book Antiqua" w:hAnsi="Book Antiqua" w:cs="宋体"/>
          <w:sz w:val="24"/>
          <w:szCs w:val="24"/>
          <w:lang w:val="en-US" w:eastAsia="zh-CN"/>
        </w:rPr>
        <w:t>: 685-690 [PMID: 9195624</w:t>
      </w:r>
      <w:r>
        <w:rPr>
          <w:rFonts w:ascii="Book Antiqua" w:hAnsi="Book Antiqua" w:cs="宋体"/>
          <w:sz w:val="24"/>
          <w:szCs w:val="24"/>
          <w:lang w:val="en-US" w:eastAsia="zh-CN"/>
        </w:rPr>
        <w:t xml:space="preserve"> DOI: </w:t>
      </w:r>
      <w:r w:rsidRPr="00374699">
        <w:rPr>
          <w:rFonts w:ascii="Book Antiqua" w:hAnsi="Book Antiqua" w:cs="宋体"/>
          <w:sz w:val="24"/>
          <w:szCs w:val="24"/>
          <w:lang w:val="en-US" w:eastAsia="zh-CN"/>
        </w:rPr>
        <w:t>10.1016/S1079-2104(97)90320-6</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12 </w:t>
      </w:r>
      <w:r w:rsidRPr="00F40C05">
        <w:rPr>
          <w:rFonts w:ascii="Book Antiqua" w:hAnsi="Book Antiqua" w:cs="宋体"/>
          <w:b/>
          <w:bCs/>
          <w:sz w:val="24"/>
          <w:szCs w:val="24"/>
          <w:lang w:val="en-US" w:eastAsia="zh-CN"/>
        </w:rPr>
        <w:t>Baloch ZW</w:t>
      </w:r>
      <w:r w:rsidRPr="00F40C05">
        <w:rPr>
          <w:rFonts w:ascii="Book Antiqua" w:hAnsi="Book Antiqua" w:cs="宋体"/>
          <w:sz w:val="24"/>
          <w:szCs w:val="24"/>
          <w:lang w:val="en-US" w:eastAsia="zh-CN"/>
        </w:rPr>
        <w:t xml:space="preserve">, Solomon AC, LiVolsi VA. Primary mucoepidermoid carcinoma and sclerosing mucoepidermoid carcinoma with eosinophilia of the thyroid gland: a report of nine cases. </w:t>
      </w:r>
      <w:r w:rsidRPr="00F40C05">
        <w:rPr>
          <w:rFonts w:ascii="Book Antiqua" w:hAnsi="Book Antiqua" w:cs="宋体"/>
          <w:i/>
          <w:iCs/>
          <w:sz w:val="24"/>
          <w:szCs w:val="24"/>
          <w:lang w:val="en-US" w:eastAsia="zh-CN"/>
        </w:rPr>
        <w:t>Mod Pathol</w:t>
      </w:r>
      <w:r w:rsidRPr="00F40C05">
        <w:rPr>
          <w:rFonts w:ascii="Book Antiqua" w:hAnsi="Book Antiqua" w:cs="宋体"/>
          <w:sz w:val="24"/>
          <w:szCs w:val="24"/>
          <w:lang w:val="en-US" w:eastAsia="zh-CN"/>
        </w:rPr>
        <w:t xml:space="preserve"> 2000; </w:t>
      </w:r>
      <w:r w:rsidRPr="00F40C05">
        <w:rPr>
          <w:rFonts w:ascii="Book Antiqua" w:hAnsi="Book Antiqua" w:cs="宋体"/>
          <w:b/>
          <w:bCs/>
          <w:sz w:val="24"/>
          <w:szCs w:val="24"/>
          <w:lang w:val="en-US" w:eastAsia="zh-CN"/>
        </w:rPr>
        <w:t>13</w:t>
      </w:r>
      <w:r w:rsidRPr="00F40C05">
        <w:rPr>
          <w:rFonts w:ascii="Book Antiqua" w:hAnsi="Book Antiqua" w:cs="宋体"/>
          <w:sz w:val="24"/>
          <w:szCs w:val="24"/>
          <w:lang w:val="en-US" w:eastAsia="zh-CN"/>
        </w:rPr>
        <w:t>: 802-807 [PMID: 10912941</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10.1038/modpathol.3880140</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13 </w:t>
      </w:r>
      <w:r w:rsidRPr="00F40C05">
        <w:rPr>
          <w:rFonts w:ascii="Book Antiqua" w:hAnsi="Book Antiqua" w:cs="宋体"/>
          <w:b/>
          <w:bCs/>
          <w:sz w:val="24"/>
          <w:szCs w:val="24"/>
          <w:lang w:val="en-US" w:eastAsia="zh-CN"/>
        </w:rPr>
        <w:t>Tian W</w:t>
      </w:r>
      <w:r w:rsidRPr="00F40C05">
        <w:rPr>
          <w:rFonts w:ascii="Book Antiqua" w:hAnsi="Book Antiqua" w:cs="宋体"/>
          <w:sz w:val="24"/>
          <w:szCs w:val="24"/>
          <w:lang w:val="en-US" w:eastAsia="zh-CN"/>
        </w:rPr>
        <w:t xml:space="preserve">, Yakirevich E, Matoso A, Gnepp DR. IgG4(+) plasma cells in sclerosing variant of mucoepidermoid carcinoma. </w:t>
      </w:r>
      <w:r w:rsidRPr="00F40C05">
        <w:rPr>
          <w:rFonts w:ascii="Book Antiqua" w:hAnsi="Book Antiqua" w:cs="宋体"/>
          <w:i/>
          <w:iCs/>
          <w:sz w:val="24"/>
          <w:szCs w:val="24"/>
          <w:lang w:val="en-US" w:eastAsia="zh-CN"/>
        </w:rPr>
        <w:t>Am J Surg Pathol</w:t>
      </w:r>
      <w:r w:rsidRPr="00F40C05">
        <w:rPr>
          <w:rFonts w:ascii="Book Antiqua" w:hAnsi="Book Antiqua" w:cs="宋体"/>
          <w:sz w:val="24"/>
          <w:szCs w:val="24"/>
          <w:lang w:val="en-US" w:eastAsia="zh-CN"/>
        </w:rPr>
        <w:t xml:space="preserve"> 2012; </w:t>
      </w:r>
      <w:r w:rsidRPr="00F40C05">
        <w:rPr>
          <w:rFonts w:ascii="Book Antiqua" w:hAnsi="Book Antiqua" w:cs="宋体"/>
          <w:b/>
          <w:bCs/>
          <w:sz w:val="24"/>
          <w:szCs w:val="24"/>
          <w:lang w:val="en-US" w:eastAsia="zh-CN"/>
        </w:rPr>
        <w:t>36</w:t>
      </w:r>
      <w:r w:rsidRPr="00F40C05">
        <w:rPr>
          <w:rFonts w:ascii="Book Antiqua" w:hAnsi="Book Antiqua" w:cs="宋体"/>
          <w:sz w:val="24"/>
          <w:szCs w:val="24"/>
          <w:lang w:val="en-US" w:eastAsia="zh-CN"/>
        </w:rPr>
        <w:t xml:space="preserve">: 973-979 [PMID: 22743285 </w:t>
      </w:r>
      <w:r>
        <w:rPr>
          <w:rFonts w:ascii="Book Antiqua" w:hAnsi="Book Antiqua" w:cs="宋体"/>
          <w:sz w:val="24"/>
          <w:szCs w:val="24"/>
          <w:lang w:val="en-US" w:eastAsia="zh-CN"/>
        </w:rPr>
        <w:t xml:space="preserve">DOI: </w:t>
      </w:r>
      <w:r w:rsidRPr="00ED11BA">
        <w:rPr>
          <w:rFonts w:ascii="Book Antiqua" w:hAnsi="Book Antiqua" w:cs="宋体"/>
          <w:sz w:val="24"/>
          <w:szCs w:val="24"/>
          <w:lang w:val="en-US" w:eastAsia="zh-CN"/>
        </w:rPr>
        <w:t>10.1097/PAS.0b013e318258f018</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14 </w:t>
      </w:r>
      <w:r w:rsidRPr="00F40C05">
        <w:rPr>
          <w:rFonts w:ascii="Book Antiqua" w:hAnsi="Book Antiqua" w:cs="宋体"/>
          <w:b/>
          <w:bCs/>
          <w:sz w:val="24"/>
          <w:szCs w:val="24"/>
          <w:lang w:val="en-US" w:eastAsia="zh-CN"/>
        </w:rPr>
        <w:t>Lotfi R</w:t>
      </w:r>
      <w:r w:rsidRPr="00F40C05">
        <w:rPr>
          <w:rFonts w:ascii="Book Antiqua" w:hAnsi="Book Antiqua" w:cs="宋体"/>
          <w:sz w:val="24"/>
          <w:szCs w:val="24"/>
          <w:lang w:val="en-US" w:eastAsia="zh-CN"/>
        </w:rPr>
        <w:t xml:space="preserve">, Lee JJ, Lotze MT. Eosinophilic granulocytes and damage-associated molecular pattern molecules (DAMPs): role in the inflammatory response within tumors. </w:t>
      </w:r>
      <w:r w:rsidRPr="00F40C05">
        <w:rPr>
          <w:rFonts w:ascii="Book Antiqua" w:hAnsi="Book Antiqua" w:cs="宋体"/>
          <w:i/>
          <w:iCs/>
          <w:sz w:val="24"/>
          <w:szCs w:val="24"/>
          <w:lang w:val="en-US" w:eastAsia="zh-CN"/>
        </w:rPr>
        <w:t>J Immunother</w:t>
      </w:r>
      <w:r w:rsidRPr="00F40C05">
        <w:rPr>
          <w:rFonts w:ascii="Book Antiqua" w:hAnsi="Book Antiqua" w:cs="宋体"/>
          <w:sz w:val="24"/>
          <w:szCs w:val="24"/>
          <w:lang w:val="en-US" w:eastAsia="zh-CN"/>
        </w:rPr>
        <w:t xml:space="preserve"> 2007; </w:t>
      </w:r>
      <w:r w:rsidRPr="00F40C05">
        <w:rPr>
          <w:rFonts w:ascii="Book Antiqua" w:hAnsi="Book Antiqua" w:cs="宋体"/>
          <w:b/>
          <w:bCs/>
          <w:sz w:val="24"/>
          <w:szCs w:val="24"/>
          <w:lang w:val="en-US" w:eastAsia="zh-CN"/>
        </w:rPr>
        <w:t>30</w:t>
      </w:r>
      <w:r w:rsidRPr="00F40C05">
        <w:rPr>
          <w:rFonts w:ascii="Book Antiqua" w:hAnsi="Book Antiqua" w:cs="宋体"/>
          <w:sz w:val="24"/>
          <w:szCs w:val="24"/>
          <w:lang w:val="en-US" w:eastAsia="zh-CN"/>
        </w:rPr>
        <w:t>: 16-28 [PMID: 17198080</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10.1097/01.cji.0000211324.53396.f6</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lastRenderedPageBreak/>
        <w:t xml:space="preserve">15 </w:t>
      </w:r>
      <w:r w:rsidRPr="00F40C05">
        <w:rPr>
          <w:rFonts w:ascii="Book Antiqua" w:hAnsi="Book Antiqua" w:cs="宋体"/>
          <w:b/>
          <w:bCs/>
          <w:sz w:val="24"/>
          <w:szCs w:val="24"/>
          <w:lang w:val="en-US" w:eastAsia="zh-CN"/>
        </w:rPr>
        <w:t>Pereira MC</w:t>
      </w:r>
      <w:r w:rsidRPr="00F40C05">
        <w:rPr>
          <w:rFonts w:ascii="Book Antiqua" w:hAnsi="Book Antiqua" w:cs="宋体"/>
          <w:sz w:val="24"/>
          <w:szCs w:val="24"/>
          <w:lang w:val="en-US" w:eastAsia="zh-CN"/>
        </w:rPr>
        <w:t xml:space="preserve">, Oliveira DT, Kowalski LP. The role of eosinophils and eosinophil cationic protein in oral cancer: a review. </w:t>
      </w:r>
      <w:r w:rsidRPr="00F40C05">
        <w:rPr>
          <w:rFonts w:ascii="Book Antiqua" w:hAnsi="Book Antiqua" w:cs="宋体"/>
          <w:i/>
          <w:iCs/>
          <w:sz w:val="24"/>
          <w:szCs w:val="24"/>
          <w:lang w:val="en-US" w:eastAsia="zh-CN"/>
        </w:rPr>
        <w:t>Arch Oral Biol</w:t>
      </w:r>
      <w:r w:rsidRPr="00F40C05">
        <w:rPr>
          <w:rFonts w:ascii="Book Antiqua" w:hAnsi="Book Antiqua" w:cs="宋体"/>
          <w:sz w:val="24"/>
          <w:szCs w:val="24"/>
          <w:lang w:val="en-US" w:eastAsia="zh-CN"/>
        </w:rPr>
        <w:t xml:space="preserve"> 2011; </w:t>
      </w:r>
      <w:r w:rsidRPr="00F40C05">
        <w:rPr>
          <w:rFonts w:ascii="Book Antiqua" w:hAnsi="Book Antiqua" w:cs="宋体"/>
          <w:b/>
          <w:bCs/>
          <w:sz w:val="24"/>
          <w:szCs w:val="24"/>
          <w:lang w:val="en-US" w:eastAsia="zh-CN"/>
        </w:rPr>
        <w:t>56</w:t>
      </w:r>
      <w:r w:rsidRPr="00F40C05">
        <w:rPr>
          <w:rFonts w:ascii="Book Antiqua" w:hAnsi="Book Antiqua" w:cs="宋体"/>
          <w:sz w:val="24"/>
          <w:szCs w:val="24"/>
          <w:lang w:val="en-US" w:eastAsia="zh-CN"/>
        </w:rPr>
        <w:t>: 353-358 [PMID: 21112047 DOI: 10.1016/j.archoralbio.2010.10.015]</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16 </w:t>
      </w:r>
      <w:r w:rsidRPr="00F40C05">
        <w:rPr>
          <w:rFonts w:ascii="Book Antiqua" w:hAnsi="Book Antiqua" w:cs="宋体"/>
          <w:b/>
          <w:bCs/>
          <w:sz w:val="24"/>
          <w:szCs w:val="24"/>
          <w:lang w:val="en-US" w:eastAsia="zh-CN"/>
        </w:rPr>
        <w:t>Simson L</w:t>
      </w:r>
      <w:r w:rsidRPr="00F40C05">
        <w:rPr>
          <w:rFonts w:ascii="Book Antiqua" w:hAnsi="Book Antiqua" w:cs="宋体"/>
          <w:sz w:val="24"/>
          <w:szCs w:val="24"/>
          <w:lang w:val="en-US" w:eastAsia="zh-CN"/>
        </w:rPr>
        <w:t xml:space="preserve">, Ellyard JI, Dent LA, Matthaei KI, Rothenberg ME, Foster PS, Smyth MJ, Parish CR. Regulation of carcinogenesis by IL-5 and CCL11: a potential role for eosinophils in tumor immune surveillance. </w:t>
      </w:r>
      <w:r w:rsidRPr="00F40C05">
        <w:rPr>
          <w:rFonts w:ascii="Book Antiqua" w:hAnsi="Book Antiqua" w:cs="宋体"/>
          <w:i/>
          <w:iCs/>
          <w:sz w:val="24"/>
          <w:szCs w:val="24"/>
          <w:lang w:val="en-US" w:eastAsia="zh-CN"/>
        </w:rPr>
        <w:t>J Immunol</w:t>
      </w:r>
      <w:r w:rsidRPr="00F40C05">
        <w:rPr>
          <w:rFonts w:ascii="Book Antiqua" w:hAnsi="Book Antiqua" w:cs="宋体"/>
          <w:sz w:val="24"/>
          <w:szCs w:val="24"/>
          <w:lang w:val="en-US" w:eastAsia="zh-CN"/>
        </w:rPr>
        <w:t xml:space="preserve"> 2007; </w:t>
      </w:r>
      <w:r w:rsidRPr="00F40C05">
        <w:rPr>
          <w:rFonts w:ascii="Book Antiqua" w:hAnsi="Book Antiqua" w:cs="宋体"/>
          <w:b/>
          <w:bCs/>
          <w:sz w:val="24"/>
          <w:szCs w:val="24"/>
          <w:lang w:val="en-US" w:eastAsia="zh-CN"/>
        </w:rPr>
        <w:t>178</w:t>
      </w:r>
      <w:r w:rsidRPr="00F40C05">
        <w:rPr>
          <w:rFonts w:ascii="Book Antiqua" w:hAnsi="Book Antiqua" w:cs="宋体"/>
          <w:sz w:val="24"/>
          <w:szCs w:val="24"/>
          <w:lang w:val="en-US" w:eastAsia="zh-CN"/>
        </w:rPr>
        <w:t>: 4222-4229 [PMID: 17371978]</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17 </w:t>
      </w:r>
      <w:r w:rsidRPr="00F40C05">
        <w:rPr>
          <w:rFonts w:ascii="Book Antiqua" w:hAnsi="Book Antiqua" w:cs="宋体"/>
          <w:b/>
          <w:bCs/>
          <w:sz w:val="24"/>
          <w:szCs w:val="24"/>
          <w:lang w:val="en-US" w:eastAsia="zh-CN"/>
        </w:rPr>
        <w:t>Ellyard JI</w:t>
      </w:r>
      <w:r w:rsidRPr="00F40C05">
        <w:rPr>
          <w:rFonts w:ascii="Book Antiqua" w:hAnsi="Book Antiqua" w:cs="宋体"/>
          <w:sz w:val="24"/>
          <w:szCs w:val="24"/>
          <w:lang w:val="en-US" w:eastAsia="zh-CN"/>
        </w:rPr>
        <w:t xml:space="preserve">, Simson L, Parish CR. Th2-mediated anti-tumour immunity: friend or foe? </w:t>
      </w:r>
      <w:r w:rsidRPr="00F40C05">
        <w:rPr>
          <w:rFonts w:ascii="Book Antiqua" w:hAnsi="Book Antiqua" w:cs="宋体"/>
          <w:i/>
          <w:iCs/>
          <w:sz w:val="24"/>
          <w:szCs w:val="24"/>
          <w:lang w:val="en-US" w:eastAsia="zh-CN"/>
        </w:rPr>
        <w:t>Tissue Antigens</w:t>
      </w:r>
      <w:r w:rsidRPr="00F40C05">
        <w:rPr>
          <w:rFonts w:ascii="Book Antiqua" w:hAnsi="Book Antiqua" w:cs="宋体"/>
          <w:sz w:val="24"/>
          <w:szCs w:val="24"/>
          <w:lang w:val="en-US" w:eastAsia="zh-CN"/>
        </w:rPr>
        <w:t xml:space="preserve"> 2007; </w:t>
      </w:r>
      <w:r w:rsidRPr="00F40C05">
        <w:rPr>
          <w:rFonts w:ascii="Book Antiqua" w:hAnsi="Book Antiqua" w:cs="宋体"/>
          <w:b/>
          <w:bCs/>
          <w:sz w:val="24"/>
          <w:szCs w:val="24"/>
          <w:lang w:val="en-US" w:eastAsia="zh-CN"/>
        </w:rPr>
        <w:t>70</w:t>
      </w:r>
      <w:r w:rsidRPr="00F40C05">
        <w:rPr>
          <w:rFonts w:ascii="Book Antiqua" w:hAnsi="Book Antiqua" w:cs="宋体"/>
          <w:sz w:val="24"/>
          <w:szCs w:val="24"/>
          <w:lang w:val="en-US" w:eastAsia="zh-CN"/>
        </w:rPr>
        <w:t>: 1-11 [PMID: 17559575</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10.1111/j.1399-0039.2007.00869.x</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18 </w:t>
      </w:r>
      <w:r w:rsidRPr="00F40C05">
        <w:rPr>
          <w:rFonts w:ascii="Book Antiqua" w:hAnsi="Book Antiqua" w:cs="宋体"/>
          <w:b/>
          <w:bCs/>
          <w:sz w:val="24"/>
          <w:szCs w:val="24"/>
          <w:lang w:val="en-US" w:eastAsia="zh-CN"/>
        </w:rPr>
        <w:t>Leighton SE</w:t>
      </w:r>
      <w:r w:rsidRPr="00F40C05">
        <w:rPr>
          <w:rFonts w:ascii="Book Antiqua" w:hAnsi="Book Antiqua" w:cs="宋体"/>
          <w:sz w:val="24"/>
          <w:szCs w:val="24"/>
          <w:lang w:val="en-US" w:eastAsia="zh-CN"/>
        </w:rPr>
        <w:t xml:space="preserve">, Teo JG, Leung SF, Cheung AY, Lee JC, van Hasselt CA. Prevalence and prognostic significance of tumor-associated tissue eosinophilia in nasopharyngeal carcinoma. </w:t>
      </w:r>
      <w:r w:rsidRPr="00F40C05">
        <w:rPr>
          <w:rFonts w:ascii="Book Antiqua" w:hAnsi="Book Antiqua" w:cs="宋体"/>
          <w:i/>
          <w:iCs/>
          <w:sz w:val="24"/>
          <w:szCs w:val="24"/>
          <w:lang w:val="en-US" w:eastAsia="zh-CN"/>
        </w:rPr>
        <w:t>Cancer</w:t>
      </w:r>
      <w:r w:rsidRPr="00F40C05">
        <w:rPr>
          <w:rFonts w:ascii="Book Antiqua" w:hAnsi="Book Antiqua" w:cs="宋体"/>
          <w:sz w:val="24"/>
          <w:szCs w:val="24"/>
          <w:lang w:val="en-US" w:eastAsia="zh-CN"/>
        </w:rPr>
        <w:t xml:space="preserve"> 1996; </w:t>
      </w:r>
      <w:r w:rsidRPr="00F40C05">
        <w:rPr>
          <w:rFonts w:ascii="Book Antiqua" w:hAnsi="Book Antiqua" w:cs="宋体"/>
          <w:b/>
          <w:bCs/>
          <w:sz w:val="24"/>
          <w:szCs w:val="24"/>
          <w:lang w:val="en-US" w:eastAsia="zh-CN"/>
        </w:rPr>
        <w:t>77</w:t>
      </w:r>
      <w:r w:rsidRPr="00F40C05">
        <w:rPr>
          <w:rFonts w:ascii="Book Antiqua" w:hAnsi="Book Antiqua" w:cs="宋体"/>
          <w:sz w:val="24"/>
          <w:szCs w:val="24"/>
          <w:lang w:val="en-US" w:eastAsia="zh-CN"/>
        </w:rPr>
        <w:t>: 436-440 [PMID: 8630949</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10.1002/(SICI)1097-0142(19960201)77:3&lt;436::AID-CNCR3&gt;3.0.CO;2-I</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19 </w:t>
      </w:r>
      <w:r w:rsidRPr="00F40C05">
        <w:rPr>
          <w:rFonts w:ascii="Book Antiqua" w:hAnsi="Book Antiqua" w:cs="宋体"/>
          <w:b/>
          <w:bCs/>
          <w:sz w:val="24"/>
          <w:szCs w:val="24"/>
          <w:lang w:val="en-US" w:eastAsia="zh-CN"/>
        </w:rPr>
        <w:t>Cormier SA</w:t>
      </w:r>
      <w:r w:rsidRPr="00F40C05">
        <w:rPr>
          <w:rFonts w:ascii="Book Antiqua" w:hAnsi="Book Antiqua" w:cs="宋体"/>
          <w:sz w:val="24"/>
          <w:szCs w:val="24"/>
          <w:lang w:val="en-US" w:eastAsia="zh-CN"/>
        </w:rPr>
        <w:t xml:space="preserve">, Taranova AG, Bedient C, Nguyen T, Protheroe C, Pero R, Dimina D, Ochkur SI, O'Neill K, Colbert D, Lombari TR, Constant S, McGarry MP, Lee JJ, Lee NA. Pivotal Advance: eosinophil infiltration of solid tumors is an early and persistent inflammatory host response. </w:t>
      </w:r>
      <w:r w:rsidRPr="00F40C05">
        <w:rPr>
          <w:rFonts w:ascii="Book Antiqua" w:hAnsi="Book Antiqua" w:cs="宋体"/>
          <w:i/>
          <w:iCs/>
          <w:sz w:val="24"/>
          <w:szCs w:val="24"/>
          <w:lang w:val="en-US" w:eastAsia="zh-CN"/>
        </w:rPr>
        <w:t>J Leukoc Biol</w:t>
      </w:r>
      <w:r w:rsidRPr="00F40C05">
        <w:rPr>
          <w:rFonts w:ascii="Book Antiqua" w:hAnsi="Book Antiqua" w:cs="宋体"/>
          <w:sz w:val="24"/>
          <w:szCs w:val="24"/>
          <w:lang w:val="en-US" w:eastAsia="zh-CN"/>
        </w:rPr>
        <w:t xml:space="preserve"> 2006; </w:t>
      </w:r>
      <w:r w:rsidRPr="00F40C05">
        <w:rPr>
          <w:rFonts w:ascii="Book Antiqua" w:hAnsi="Book Antiqua" w:cs="宋体"/>
          <w:b/>
          <w:bCs/>
          <w:sz w:val="24"/>
          <w:szCs w:val="24"/>
          <w:lang w:val="en-US" w:eastAsia="zh-CN"/>
        </w:rPr>
        <w:t>79</w:t>
      </w:r>
      <w:r w:rsidRPr="00F40C05">
        <w:rPr>
          <w:rFonts w:ascii="Book Antiqua" w:hAnsi="Book Antiqua" w:cs="宋体"/>
          <w:sz w:val="24"/>
          <w:szCs w:val="24"/>
          <w:lang w:val="en-US" w:eastAsia="zh-CN"/>
        </w:rPr>
        <w:t>: 1131-1139 [PMID: 16617160</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10.1189/jlb.0106027</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20 </w:t>
      </w:r>
      <w:r w:rsidRPr="00F40C05">
        <w:rPr>
          <w:rFonts w:ascii="Book Antiqua" w:hAnsi="Book Antiqua" w:cs="宋体"/>
          <w:b/>
          <w:bCs/>
          <w:sz w:val="24"/>
          <w:szCs w:val="24"/>
          <w:lang w:val="en-US" w:eastAsia="zh-CN"/>
        </w:rPr>
        <w:t>Lowe D</w:t>
      </w:r>
      <w:r w:rsidRPr="00F40C05">
        <w:rPr>
          <w:rFonts w:ascii="Book Antiqua" w:hAnsi="Book Antiqua" w:cs="宋体"/>
          <w:sz w:val="24"/>
          <w:szCs w:val="24"/>
          <w:lang w:val="en-US" w:eastAsia="zh-CN"/>
        </w:rPr>
        <w:t xml:space="preserve">, Fletcher CD. Eosinophilia in squamous cell carcinoma of the oral cavity, external genitalia and anus--clinical correlations. </w:t>
      </w:r>
      <w:r w:rsidRPr="00F40C05">
        <w:rPr>
          <w:rFonts w:ascii="Book Antiqua" w:hAnsi="Book Antiqua" w:cs="宋体"/>
          <w:i/>
          <w:iCs/>
          <w:sz w:val="24"/>
          <w:szCs w:val="24"/>
          <w:lang w:val="en-US" w:eastAsia="zh-CN"/>
        </w:rPr>
        <w:t>Histopathology</w:t>
      </w:r>
      <w:r w:rsidRPr="00F40C05">
        <w:rPr>
          <w:rFonts w:ascii="Book Antiqua" w:hAnsi="Book Antiqua" w:cs="宋体"/>
          <w:sz w:val="24"/>
          <w:szCs w:val="24"/>
          <w:lang w:val="en-US" w:eastAsia="zh-CN"/>
        </w:rPr>
        <w:t xml:space="preserve"> 1984; </w:t>
      </w:r>
      <w:r w:rsidRPr="00F40C05">
        <w:rPr>
          <w:rFonts w:ascii="Book Antiqua" w:hAnsi="Book Antiqua" w:cs="宋体"/>
          <w:b/>
          <w:bCs/>
          <w:sz w:val="24"/>
          <w:szCs w:val="24"/>
          <w:lang w:val="en-US" w:eastAsia="zh-CN"/>
        </w:rPr>
        <w:t>8</w:t>
      </w:r>
      <w:r w:rsidRPr="00F40C05">
        <w:rPr>
          <w:rFonts w:ascii="Book Antiqua" w:hAnsi="Book Antiqua" w:cs="宋体"/>
          <w:sz w:val="24"/>
          <w:szCs w:val="24"/>
          <w:lang w:val="en-US" w:eastAsia="zh-CN"/>
        </w:rPr>
        <w:t>: 627-632 [PMID: 6479905</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10.1111/j.1365-2559.1984.tb02375.x</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21 </w:t>
      </w:r>
      <w:r w:rsidRPr="00F40C05">
        <w:rPr>
          <w:rFonts w:ascii="Book Antiqua" w:hAnsi="Book Antiqua" w:cs="宋体"/>
          <w:b/>
          <w:bCs/>
          <w:sz w:val="24"/>
          <w:szCs w:val="24"/>
          <w:lang w:val="en-US" w:eastAsia="zh-CN"/>
        </w:rPr>
        <w:t>Iwasaki K</w:t>
      </w:r>
      <w:r w:rsidRPr="00F40C05">
        <w:rPr>
          <w:rFonts w:ascii="Book Antiqua" w:hAnsi="Book Antiqua" w:cs="宋体"/>
          <w:sz w:val="24"/>
          <w:szCs w:val="24"/>
          <w:lang w:val="en-US" w:eastAsia="zh-CN"/>
        </w:rPr>
        <w:t xml:space="preserve">, Torisu M, Fujimura T. Malignant tumor and eosinophils. I. Prognostic significance in gastric cancer. </w:t>
      </w:r>
      <w:r w:rsidRPr="00F40C05">
        <w:rPr>
          <w:rFonts w:ascii="Book Antiqua" w:hAnsi="Book Antiqua" w:cs="宋体"/>
          <w:i/>
          <w:iCs/>
          <w:sz w:val="24"/>
          <w:szCs w:val="24"/>
          <w:lang w:val="en-US" w:eastAsia="zh-CN"/>
        </w:rPr>
        <w:t>Cancer</w:t>
      </w:r>
      <w:r w:rsidRPr="00F40C05">
        <w:rPr>
          <w:rFonts w:ascii="Book Antiqua" w:hAnsi="Book Antiqua" w:cs="宋体"/>
          <w:sz w:val="24"/>
          <w:szCs w:val="24"/>
          <w:lang w:val="en-US" w:eastAsia="zh-CN"/>
        </w:rPr>
        <w:t xml:space="preserve"> 1986; </w:t>
      </w:r>
      <w:r w:rsidRPr="00F40C05">
        <w:rPr>
          <w:rFonts w:ascii="Book Antiqua" w:hAnsi="Book Antiqua" w:cs="宋体"/>
          <w:b/>
          <w:bCs/>
          <w:sz w:val="24"/>
          <w:szCs w:val="24"/>
          <w:lang w:val="en-US" w:eastAsia="zh-CN"/>
        </w:rPr>
        <w:t>58</w:t>
      </w:r>
      <w:r w:rsidRPr="00F40C05">
        <w:rPr>
          <w:rFonts w:ascii="Book Antiqua" w:hAnsi="Book Antiqua" w:cs="宋体"/>
          <w:sz w:val="24"/>
          <w:szCs w:val="24"/>
          <w:lang w:val="en-US" w:eastAsia="zh-CN"/>
        </w:rPr>
        <w:t>: 1321-1327 [PMID: 3742457</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10.1002/1097-0142(19860915)58:6&lt;1321::AID-CNCR2820580623&gt;3.0.CO;2-O</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22 </w:t>
      </w:r>
      <w:r w:rsidRPr="00F40C05">
        <w:rPr>
          <w:rFonts w:ascii="Book Antiqua" w:hAnsi="Book Antiqua" w:cs="宋体"/>
          <w:b/>
          <w:bCs/>
          <w:sz w:val="24"/>
          <w:szCs w:val="24"/>
          <w:lang w:val="en-US" w:eastAsia="zh-CN"/>
        </w:rPr>
        <w:t>Tadbir AA</w:t>
      </w:r>
      <w:r w:rsidRPr="00F40C05">
        <w:rPr>
          <w:rFonts w:ascii="Book Antiqua" w:hAnsi="Book Antiqua" w:cs="宋体"/>
          <w:sz w:val="24"/>
          <w:szCs w:val="24"/>
          <w:lang w:val="en-US" w:eastAsia="zh-CN"/>
        </w:rPr>
        <w:t xml:space="preserve">, Ashraf MJ, Sardari Y. Prognostic significance of stromal eosinophilic infiltration in oral squamous cell carcinoma. </w:t>
      </w:r>
      <w:r w:rsidRPr="00F40C05">
        <w:rPr>
          <w:rFonts w:ascii="Book Antiqua" w:hAnsi="Book Antiqua" w:cs="宋体"/>
          <w:i/>
          <w:iCs/>
          <w:sz w:val="24"/>
          <w:szCs w:val="24"/>
          <w:lang w:val="en-US" w:eastAsia="zh-CN"/>
        </w:rPr>
        <w:t>J Craniofac Surg</w:t>
      </w:r>
      <w:r w:rsidRPr="00F40C05">
        <w:rPr>
          <w:rFonts w:ascii="Book Antiqua" w:hAnsi="Book Antiqua" w:cs="宋体"/>
          <w:sz w:val="24"/>
          <w:szCs w:val="24"/>
          <w:lang w:val="en-US" w:eastAsia="zh-CN"/>
        </w:rPr>
        <w:t xml:space="preserve"> 2009; </w:t>
      </w:r>
      <w:r w:rsidRPr="00F40C05">
        <w:rPr>
          <w:rFonts w:ascii="Book Antiqua" w:hAnsi="Book Antiqua" w:cs="宋体"/>
          <w:b/>
          <w:bCs/>
          <w:sz w:val="24"/>
          <w:szCs w:val="24"/>
          <w:lang w:val="en-US" w:eastAsia="zh-CN"/>
        </w:rPr>
        <w:t>20</w:t>
      </w:r>
      <w:r w:rsidRPr="00F40C05">
        <w:rPr>
          <w:rFonts w:ascii="Book Antiqua" w:hAnsi="Book Antiqua" w:cs="宋体"/>
          <w:sz w:val="24"/>
          <w:szCs w:val="24"/>
          <w:lang w:val="en-US" w:eastAsia="zh-CN"/>
        </w:rPr>
        <w:t>: 287-289 [PMID: 19218858 DOI: 10.1097/SCS.0b013e318199219b]</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23 </w:t>
      </w:r>
      <w:r w:rsidRPr="00F40C05">
        <w:rPr>
          <w:rFonts w:ascii="Book Antiqua" w:hAnsi="Book Antiqua" w:cs="宋体"/>
          <w:b/>
          <w:bCs/>
          <w:sz w:val="24"/>
          <w:szCs w:val="24"/>
          <w:lang w:val="en-US" w:eastAsia="zh-CN"/>
        </w:rPr>
        <w:t>Tostes Oliveira D</w:t>
      </w:r>
      <w:r w:rsidRPr="00F40C05">
        <w:rPr>
          <w:rFonts w:ascii="Book Antiqua" w:hAnsi="Book Antiqua" w:cs="宋体"/>
          <w:sz w:val="24"/>
          <w:szCs w:val="24"/>
          <w:lang w:val="en-US" w:eastAsia="zh-CN"/>
        </w:rPr>
        <w:t xml:space="preserve">, Tjioe KC, Assao A, Sita Faustino SE, Lopes Carvalho A, Landman G, Kowalski LP. Tissue eosinophilia and its association with tumoral </w:t>
      </w:r>
      <w:r w:rsidRPr="00F40C05">
        <w:rPr>
          <w:rFonts w:ascii="Book Antiqua" w:hAnsi="Book Antiqua" w:cs="宋体"/>
          <w:sz w:val="24"/>
          <w:szCs w:val="24"/>
          <w:lang w:val="en-US" w:eastAsia="zh-CN"/>
        </w:rPr>
        <w:lastRenderedPageBreak/>
        <w:t xml:space="preserve">invasion of oral cancer. </w:t>
      </w:r>
      <w:r w:rsidRPr="00F40C05">
        <w:rPr>
          <w:rFonts w:ascii="Book Antiqua" w:hAnsi="Book Antiqua" w:cs="宋体"/>
          <w:i/>
          <w:iCs/>
          <w:sz w:val="24"/>
          <w:szCs w:val="24"/>
          <w:lang w:val="en-US" w:eastAsia="zh-CN"/>
        </w:rPr>
        <w:t>Int J Surg Pathol</w:t>
      </w:r>
      <w:r w:rsidRPr="00F40C05">
        <w:rPr>
          <w:rFonts w:ascii="Book Antiqua" w:hAnsi="Book Antiqua" w:cs="宋体"/>
          <w:sz w:val="24"/>
          <w:szCs w:val="24"/>
          <w:lang w:val="en-US" w:eastAsia="zh-CN"/>
        </w:rPr>
        <w:t xml:space="preserve"> 2009; </w:t>
      </w:r>
      <w:r w:rsidRPr="00F40C05">
        <w:rPr>
          <w:rFonts w:ascii="Book Antiqua" w:hAnsi="Book Antiqua" w:cs="宋体"/>
          <w:b/>
          <w:bCs/>
          <w:sz w:val="24"/>
          <w:szCs w:val="24"/>
          <w:lang w:val="en-US" w:eastAsia="zh-CN"/>
        </w:rPr>
        <w:t>17</w:t>
      </w:r>
      <w:r w:rsidRPr="00F40C05">
        <w:rPr>
          <w:rFonts w:ascii="Book Antiqua" w:hAnsi="Book Antiqua" w:cs="宋体"/>
          <w:sz w:val="24"/>
          <w:szCs w:val="24"/>
          <w:lang w:val="en-US" w:eastAsia="zh-CN"/>
        </w:rPr>
        <w:t>: 244-249 [PMID: 19443887 DOI: 10.1177/1066896909333778]</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24 </w:t>
      </w:r>
      <w:r w:rsidRPr="00F40C05">
        <w:rPr>
          <w:rFonts w:ascii="Book Antiqua" w:hAnsi="Book Antiqua" w:cs="宋体"/>
          <w:b/>
          <w:bCs/>
          <w:sz w:val="24"/>
          <w:szCs w:val="24"/>
          <w:lang w:val="en-US" w:eastAsia="zh-CN"/>
        </w:rPr>
        <w:t>Lowe D</w:t>
      </w:r>
      <w:r w:rsidRPr="00F40C05">
        <w:rPr>
          <w:rFonts w:ascii="Book Antiqua" w:hAnsi="Book Antiqua" w:cs="宋体"/>
          <w:sz w:val="24"/>
          <w:szCs w:val="24"/>
          <w:lang w:val="en-US" w:eastAsia="zh-CN"/>
        </w:rPr>
        <w:t xml:space="preserve">, Jorizzo J, Hutt MS. Tumour-associated eosinophilia: a review. </w:t>
      </w:r>
      <w:r w:rsidRPr="00F40C05">
        <w:rPr>
          <w:rFonts w:ascii="Book Antiqua" w:hAnsi="Book Antiqua" w:cs="宋体"/>
          <w:i/>
          <w:iCs/>
          <w:sz w:val="24"/>
          <w:szCs w:val="24"/>
          <w:lang w:val="en-US" w:eastAsia="zh-CN"/>
        </w:rPr>
        <w:t>J Clin Pathol</w:t>
      </w:r>
      <w:r w:rsidRPr="00F40C05">
        <w:rPr>
          <w:rFonts w:ascii="Book Antiqua" w:hAnsi="Book Antiqua" w:cs="宋体"/>
          <w:sz w:val="24"/>
          <w:szCs w:val="24"/>
          <w:lang w:val="en-US" w:eastAsia="zh-CN"/>
        </w:rPr>
        <w:t xml:space="preserve"> 1981; </w:t>
      </w:r>
      <w:r w:rsidRPr="00F40C05">
        <w:rPr>
          <w:rFonts w:ascii="Book Antiqua" w:hAnsi="Book Antiqua" w:cs="宋体"/>
          <w:b/>
          <w:bCs/>
          <w:sz w:val="24"/>
          <w:szCs w:val="24"/>
          <w:lang w:val="en-US" w:eastAsia="zh-CN"/>
        </w:rPr>
        <w:t>34</w:t>
      </w:r>
      <w:r w:rsidRPr="00F40C05">
        <w:rPr>
          <w:rFonts w:ascii="Book Antiqua" w:hAnsi="Book Antiqua" w:cs="宋体"/>
          <w:sz w:val="24"/>
          <w:szCs w:val="24"/>
          <w:lang w:val="en-US" w:eastAsia="zh-CN"/>
        </w:rPr>
        <w:t>: 1343-1348 [PMID: 7035499</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10.1136/jcp.34.12.1343</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25 </w:t>
      </w:r>
      <w:r w:rsidRPr="00F40C05">
        <w:rPr>
          <w:rFonts w:ascii="Book Antiqua" w:hAnsi="Book Antiqua" w:cs="宋体"/>
          <w:b/>
          <w:bCs/>
          <w:sz w:val="24"/>
          <w:szCs w:val="24"/>
          <w:lang w:val="en-US" w:eastAsia="zh-CN"/>
        </w:rPr>
        <w:t>Tepper RI</w:t>
      </w:r>
      <w:r w:rsidRPr="00F40C05">
        <w:rPr>
          <w:rFonts w:ascii="Book Antiqua" w:hAnsi="Book Antiqua" w:cs="宋体"/>
          <w:sz w:val="24"/>
          <w:szCs w:val="24"/>
          <w:lang w:val="en-US" w:eastAsia="zh-CN"/>
        </w:rPr>
        <w:t xml:space="preserve">, Pattengale PK, Leder P. Murine interleukin-4 displays potent anti-tumor activity in vivo. </w:t>
      </w:r>
      <w:r w:rsidRPr="00F40C05">
        <w:rPr>
          <w:rFonts w:ascii="Book Antiqua" w:hAnsi="Book Antiqua" w:cs="宋体"/>
          <w:i/>
          <w:iCs/>
          <w:sz w:val="24"/>
          <w:szCs w:val="24"/>
          <w:lang w:val="en-US" w:eastAsia="zh-CN"/>
        </w:rPr>
        <w:t>Cell</w:t>
      </w:r>
      <w:r w:rsidRPr="00F40C05">
        <w:rPr>
          <w:rFonts w:ascii="Book Antiqua" w:hAnsi="Book Antiqua" w:cs="宋体"/>
          <w:sz w:val="24"/>
          <w:szCs w:val="24"/>
          <w:lang w:val="en-US" w:eastAsia="zh-CN"/>
        </w:rPr>
        <w:t xml:space="preserve"> 1989; </w:t>
      </w:r>
      <w:r w:rsidRPr="00F40C05">
        <w:rPr>
          <w:rFonts w:ascii="Book Antiqua" w:hAnsi="Book Antiqua" w:cs="宋体"/>
          <w:b/>
          <w:bCs/>
          <w:sz w:val="24"/>
          <w:szCs w:val="24"/>
          <w:lang w:val="en-US" w:eastAsia="zh-CN"/>
        </w:rPr>
        <w:t>57</w:t>
      </w:r>
      <w:r w:rsidRPr="00F40C05">
        <w:rPr>
          <w:rFonts w:ascii="Book Antiqua" w:hAnsi="Book Antiqua" w:cs="宋体"/>
          <w:sz w:val="24"/>
          <w:szCs w:val="24"/>
          <w:lang w:val="en-US" w:eastAsia="zh-CN"/>
        </w:rPr>
        <w:t>: 503-512 [PMID: 2785856</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10.1016/0092-8674(89)90925-2</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26 </w:t>
      </w:r>
      <w:r w:rsidRPr="00F40C05">
        <w:rPr>
          <w:rFonts w:ascii="Book Antiqua" w:hAnsi="Book Antiqua" w:cs="宋体"/>
          <w:b/>
          <w:sz w:val="24"/>
          <w:szCs w:val="24"/>
          <w:lang w:val="en-US" w:eastAsia="zh-CN"/>
        </w:rPr>
        <w:t>Cheuk W</w:t>
      </w:r>
      <w:r w:rsidRPr="00F40C05">
        <w:rPr>
          <w:rFonts w:ascii="Book Antiqua" w:hAnsi="Book Antiqua" w:cs="宋体"/>
          <w:sz w:val="24"/>
          <w:szCs w:val="24"/>
          <w:lang w:val="en-US" w:eastAsia="zh-CN"/>
        </w:rPr>
        <w:t>, Chan JKC. Salivary gland tumours. In: Fletcher CDM (Ed), Diagnostic Histopathology of Tumors. Churchill Livingstone Elsevier, Philadelphia, 2007: 239-326</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27 </w:t>
      </w:r>
      <w:r w:rsidRPr="00F40C05">
        <w:rPr>
          <w:rFonts w:ascii="Book Antiqua" w:hAnsi="Book Antiqua" w:cs="宋体"/>
          <w:b/>
          <w:bCs/>
          <w:sz w:val="24"/>
          <w:szCs w:val="24"/>
          <w:lang w:val="en-US" w:eastAsia="zh-CN"/>
        </w:rPr>
        <w:t>Lennerz JK</w:t>
      </w:r>
      <w:r w:rsidRPr="00F40C05">
        <w:rPr>
          <w:rFonts w:ascii="Book Antiqua" w:hAnsi="Book Antiqua" w:cs="宋体"/>
          <w:sz w:val="24"/>
          <w:szCs w:val="24"/>
          <w:lang w:val="en-US" w:eastAsia="zh-CN"/>
        </w:rPr>
        <w:t xml:space="preserve">, Perry A, Mills JC, Huettner PC, Pfeifer JD. Mucoepidermoid carcinoma of the cervix: another tumor with the t(11; 19)-associated CRTC1-MAML2 gene fusion. </w:t>
      </w:r>
      <w:r w:rsidRPr="00F40C05">
        <w:rPr>
          <w:rFonts w:ascii="Book Antiqua" w:hAnsi="Book Antiqua" w:cs="宋体"/>
          <w:i/>
          <w:iCs/>
          <w:sz w:val="24"/>
          <w:szCs w:val="24"/>
          <w:lang w:val="en-US" w:eastAsia="zh-CN"/>
        </w:rPr>
        <w:t>Am J Surg Pathol</w:t>
      </w:r>
      <w:r w:rsidRPr="00F40C05">
        <w:rPr>
          <w:rFonts w:ascii="Book Antiqua" w:hAnsi="Book Antiqua" w:cs="宋体"/>
          <w:sz w:val="24"/>
          <w:szCs w:val="24"/>
          <w:lang w:val="en-US" w:eastAsia="zh-CN"/>
        </w:rPr>
        <w:t xml:space="preserve"> 2009; </w:t>
      </w:r>
      <w:r w:rsidRPr="00F40C05">
        <w:rPr>
          <w:rFonts w:ascii="Book Antiqua" w:hAnsi="Book Antiqua" w:cs="宋体"/>
          <w:b/>
          <w:bCs/>
          <w:sz w:val="24"/>
          <w:szCs w:val="24"/>
          <w:lang w:val="en-US" w:eastAsia="zh-CN"/>
        </w:rPr>
        <w:t>33</w:t>
      </w:r>
      <w:r w:rsidRPr="00F40C05">
        <w:rPr>
          <w:rFonts w:ascii="Book Antiqua" w:hAnsi="Book Antiqua" w:cs="宋体"/>
          <w:sz w:val="24"/>
          <w:szCs w:val="24"/>
          <w:lang w:val="en-US" w:eastAsia="zh-CN"/>
        </w:rPr>
        <w:t>: 835-843 [PMID: 19092631 DOI: 10.1097/PAS.0b013e318190cf5b]</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28 </w:t>
      </w:r>
      <w:r w:rsidRPr="00F40C05">
        <w:rPr>
          <w:rFonts w:ascii="Book Antiqua" w:hAnsi="Book Antiqua" w:cs="宋体"/>
          <w:b/>
          <w:bCs/>
          <w:sz w:val="24"/>
          <w:szCs w:val="24"/>
          <w:lang w:val="en-US" w:eastAsia="zh-CN"/>
        </w:rPr>
        <w:t>Bell D</w:t>
      </w:r>
      <w:r w:rsidRPr="00F40C05">
        <w:rPr>
          <w:rFonts w:ascii="Book Antiqua" w:hAnsi="Book Antiqua" w:cs="宋体"/>
          <w:sz w:val="24"/>
          <w:szCs w:val="24"/>
          <w:lang w:val="en-US" w:eastAsia="zh-CN"/>
        </w:rPr>
        <w:t xml:space="preserve">, El-Naggar AK. Molecular heterogeneity in mucoepidermoid carcinoma: conceptual and practical implications. </w:t>
      </w:r>
      <w:r w:rsidRPr="00F40C05">
        <w:rPr>
          <w:rFonts w:ascii="Book Antiqua" w:hAnsi="Book Antiqua" w:cs="宋体"/>
          <w:i/>
          <w:iCs/>
          <w:sz w:val="24"/>
          <w:szCs w:val="24"/>
          <w:lang w:val="en-US" w:eastAsia="zh-CN"/>
        </w:rPr>
        <w:t>Head Neck Pathol</w:t>
      </w:r>
      <w:r w:rsidRPr="00F40C05">
        <w:rPr>
          <w:rFonts w:ascii="Book Antiqua" w:hAnsi="Book Antiqua" w:cs="宋体"/>
          <w:sz w:val="24"/>
          <w:szCs w:val="24"/>
          <w:lang w:val="en-US" w:eastAsia="zh-CN"/>
        </w:rPr>
        <w:t xml:space="preserve"> 2013; </w:t>
      </w:r>
      <w:r w:rsidRPr="00F40C05">
        <w:rPr>
          <w:rFonts w:ascii="Book Antiqua" w:hAnsi="Book Antiqua" w:cs="宋体"/>
          <w:b/>
          <w:bCs/>
          <w:sz w:val="24"/>
          <w:szCs w:val="24"/>
          <w:lang w:val="en-US" w:eastAsia="zh-CN"/>
        </w:rPr>
        <w:t>7</w:t>
      </w:r>
      <w:r w:rsidRPr="00F40C05">
        <w:rPr>
          <w:rFonts w:ascii="Book Antiqua" w:hAnsi="Book Antiqua" w:cs="宋体"/>
          <w:sz w:val="24"/>
          <w:szCs w:val="24"/>
          <w:lang w:val="en-US" w:eastAsia="zh-CN"/>
        </w:rPr>
        <w:t>: 23-27 [PMID: 23459841 DOI: 10.1007/s12105-013-0432-5]</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29 </w:t>
      </w:r>
      <w:r w:rsidRPr="00F40C05">
        <w:rPr>
          <w:rFonts w:ascii="Book Antiqua" w:hAnsi="Book Antiqua" w:cs="宋体"/>
          <w:b/>
          <w:bCs/>
          <w:sz w:val="24"/>
          <w:szCs w:val="24"/>
          <w:lang w:val="en-US" w:eastAsia="zh-CN"/>
        </w:rPr>
        <w:t>Goode RK</w:t>
      </w:r>
      <w:r w:rsidRPr="00F40C05">
        <w:rPr>
          <w:rFonts w:ascii="Book Antiqua" w:hAnsi="Book Antiqua" w:cs="宋体"/>
          <w:sz w:val="24"/>
          <w:szCs w:val="24"/>
          <w:lang w:val="en-US" w:eastAsia="zh-CN"/>
        </w:rPr>
        <w:t xml:space="preserve">, Auclair PL, Ellis GL. Mucoepidermoid carcinoma of the major salivary glands: clinical and histopathologic analysis of 234 cases with evaluation of grading criteria. </w:t>
      </w:r>
      <w:r w:rsidRPr="00F40C05">
        <w:rPr>
          <w:rFonts w:ascii="Book Antiqua" w:hAnsi="Book Antiqua" w:cs="宋体"/>
          <w:i/>
          <w:iCs/>
          <w:sz w:val="24"/>
          <w:szCs w:val="24"/>
          <w:lang w:val="en-US" w:eastAsia="zh-CN"/>
        </w:rPr>
        <w:t>Cancer</w:t>
      </w:r>
      <w:r w:rsidRPr="00F40C05">
        <w:rPr>
          <w:rFonts w:ascii="Book Antiqua" w:hAnsi="Book Antiqua" w:cs="宋体"/>
          <w:sz w:val="24"/>
          <w:szCs w:val="24"/>
          <w:lang w:val="en-US" w:eastAsia="zh-CN"/>
        </w:rPr>
        <w:t xml:space="preserve"> 1998; </w:t>
      </w:r>
      <w:r w:rsidRPr="00F40C05">
        <w:rPr>
          <w:rFonts w:ascii="Book Antiqua" w:hAnsi="Book Antiqua" w:cs="宋体"/>
          <w:b/>
          <w:bCs/>
          <w:sz w:val="24"/>
          <w:szCs w:val="24"/>
          <w:lang w:val="en-US" w:eastAsia="zh-CN"/>
        </w:rPr>
        <w:t>82</w:t>
      </w:r>
      <w:r w:rsidRPr="00F40C05">
        <w:rPr>
          <w:rFonts w:ascii="Book Antiqua" w:hAnsi="Book Antiqua" w:cs="宋体"/>
          <w:sz w:val="24"/>
          <w:szCs w:val="24"/>
          <w:lang w:val="en-US" w:eastAsia="zh-CN"/>
        </w:rPr>
        <w:t>: 1217-1224 [PMID: 9529011</w:t>
      </w:r>
      <w:r>
        <w:rPr>
          <w:rFonts w:ascii="Book Antiqua" w:hAnsi="Book Antiqua" w:cs="宋体"/>
          <w:sz w:val="24"/>
          <w:szCs w:val="24"/>
          <w:lang w:val="en-US" w:eastAsia="zh-CN"/>
        </w:rPr>
        <w:t xml:space="preserve"> DOI: </w:t>
      </w:r>
      <w:r w:rsidRPr="00ED11BA">
        <w:rPr>
          <w:rFonts w:ascii="Book Antiqua" w:hAnsi="Book Antiqua" w:cs="宋体"/>
          <w:sz w:val="24"/>
          <w:szCs w:val="24"/>
          <w:lang w:val="en-US" w:eastAsia="zh-CN"/>
        </w:rPr>
        <w:t>10.1002/(SICI)1097-0142(19980401)82:7&lt;1217::AID-CNCR2&gt;3.0.CO;2-C</w:t>
      </w:r>
      <w:r w:rsidRPr="00F40C05">
        <w:rPr>
          <w:rFonts w:ascii="Book Antiqua" w:hAnsi="Book Antiqua" w:cs="宋体"/>
          <w:sz w:val="24"/>
          <w:szCs w:val="24"/>
          <w:lang w:val="en-US" w:eastAsia="zh-CN"/>
        </w:rPr>
        <w:t>]</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30 </w:t>
      </w:r>
      <w:r w:rsidRPr="00F40C05">
        <w:rPr>
          <w:rFonts w:ascii="Book Antiqua" w:hAnsi="Book Antiqua" w:cs="宋体"/>
          <w:b/>
          <w:bCs/>
          <w:sz w:val="24"/>
          <w:szCs w:val="24"/>
          <w:lang w:val="en-US" w:eastAsia="zh-CN"/>
        </w:rPr>
        <w:t>Lieberman MD</w:t>
      </w:r>
      <w:r w:rsidRPr="00F40C05">
        <w:rPr>
          <w:rFonts w:ascii="Book Antiqua" w:hAnsi="Book Antiqua" w:cs="宋体"/>
          <w:sz w:val="24"/>
          <w:szCs w:val="24"/>
          <w:lang w:val="en-US" w:eastAsia="zh-CN"/>
        </w:rPr>
        <w:t xml:space="preserve">, Franceschi D, Marsan B, Burt M. Esophageal carcinoma. The unusual variants. </w:t>
      </w:r>
      <w:r w:rsidRPr="00F40C05">
        <w:rPr>
          <w:rFonts w:ascii="Book Antiqua" w:hAnsi="Book Antiqua" w:cs="宋体"/>
          <w:i/>
          <w:iCs/>
          <w:sz w:val="24"/>
          <w:szCs w:val="24"/>
          <w:lang w:val="en-US" w:eastAsia="zh-CN"/>
        </w:rPr>
        <w:t>J Thorac Cardiovasc Surg</w:t>
      </w:r>
      <w:r w:rsidRPr="00F40C05">
        <w:rPr>
          <w:rFonts w:ascii="Book Antiqua" w:hAnsi="Book Antiqua" w:cs="宋体"/>
          <w:sz w:val="24"/>
          <w:szCs w:val="24"/>
          <w:lang w:val="en-US" w:eastAsia="zh-CN"/>
        </w:rPr>
        <w:t xml:space="preserve"> 1994; </w:t>
      </w:r>
      <w:r w:rsidRPr="00F40C05">
        <w:rPr>
          <w:rFonts w:ascii="Book Antiqua" w:hAnsi="Book Antiqua" w:cs="宋体"/>
          <w:b/>
          <w:bCs/>
          <w:sz w:val="24"/>
          <w:szCs w:val="24"/>
          <w:lang w:val="en-US" w:eastAsia="zh-CN"/>
        </w:rPr>
        <w:t>108</w:t>
      </w:r>
      <w:r w:rsidRPr="00F40C05">
        <w:rPr>
          <w:rFonts w:ascii="Book Antiqua" w:hAnsi="Book Antiqua" w:cs="宋体"/>
          <w:sz w:val="24"/>
          <w:szCs w:val="24"/>
          <w:lang w:val="en-US" w:eastAsia="zh-CN"/>
        </w:rPr>
        <w:t>: 1138-1146 [PMID: 7983884]</w:t>
      </w:r>
    </w:p>
    <w:p w:rsidR="00B46B42" w:rsidRPr="00F40C05" w:rsidRDefault="00B46B42" w:rsidP="00726EC3">
      <w:pPr>
        <w:snapToGrid w:val="0"/>
        <w:spacing w:after="0" w:line="360" w:lineRule="auto"/>
        <w:jc w:val="both"/>
        <w:rPr>
          <w:rFonts w:ascii="Book Antiqua" w:hAnsi="Book Antiqua" w:cs="宋体"/>
          <w:sz w:val="24"/>
          <w:szCs w:val="24"/>
          <w:lang w:val="en-US" w:eastAsia="zh-CN"/>
        </w:rPr>
      </w:pPr>
      <w:r w:rsidRPr="00F40C05">
        <w:rPr>
          <w:rFonts w:ascii="Book Antiqua" w:hAnsi="Book Antiqua" w:cs="宋体"/>
          <w:sz w:val="24"/>
          <w:szCs w:val="24"/>
          <w:lang w:val="en-US" w:eastAsia="zh-CN"/>
        </w:rPr>
        <w:t xml:space="preserve">31 </w:t>
      </w:r>
      <w:r w:rsidRPr="00F40C05">
        <w:rPr>
          <w:rFonts w:ascii="Book Antiqua" w:hAnsi="Book Antiqua" w:cs="宋体"/>
          <w:b/>
          <w:bCs/>
          <w:sz w:val="24"/>
          <w:szCs w:val="24"/>
          <w:lang w:val="en-US" w:eastAsia="zh-CN"/>
        </w:rPr>
        <w:t>Turkyilmaz A</w:t>
      </w:r>
      <w:r w:rsidRPr="00F40C05">
        <w:rPr>
          <w:rFonts w:ascii="Book Antiqua" w:hAnsi="Book Antiqua" w:cs="宋体"/>
          <w:sz w:val="24"/>
          <w:szCs w:val="24"/>
          <w:lang w:val="en-US" w:eastAsia="zh-CN"/>
        </w:rPr>
        <w:t xml:space="preserve">, Eroglu A, Gursan N. Muco-epidermoid carcinoma of the oesophagus: a case report. </w:t>
      </w:r>
      <w:r w:rsidRPr="00F40C05">
        <w:rPr>
          <w:rFonts w:ascii="Book Antiqua" w:hAnsi="Book Antiqua" w:cs="宋体"/>
          <w:i/>
          <w:iCs/>
          <w:sz w:val="24"/>
          <w:szCs w:val="24"/>
          <w:lang w:val="en-US" w:eastAsia="zh-CN"/>
        </w:rPr>
        <w:t>Acta Chir Belg</w:t>
      </w:r>
      <w:r w:rsidRPr="00F40C05">
        <w:rPr>
          <w:rFonts w:ascii="Book Antiqua" w:hAnsi="Book Antiqua" w:cs="宋体"/>
          <w:sz w:val="24"/>
          <w:szCs w:val="24"/>
          <w:lang w:val="en-US" w:eastAsia="zh-CN"/>
        </w:rPr>
        <w:t xml:space="preserve"> 2009; </w:t>
      </w:r>
      <w:r w:rsidRPr="00F40C05">
        <w:rPr>
          <w:rFonts w:ascii="Book Antiqua" w:hAnsi="Book Antiqua" w:cs="宋体"/>
          <w:b/>
          <w:bCs/>
          <w:sz w:val="24"/>
          <w:szCs w:val="24"/>
          <w:lang w:val="en-US" w:eastAsia="zh-CN"/>
        </w:rPr>
        <w:t>109</w:t>
      </w:r>
      <w:r w:rsidRPr="00F40C05">
        <w:rPr>
          <w:rFonts w:ascii="Book Antiqua" w:hAnsi="Book Antiqua" w:cs="宋体"/>
          <w:sz w:val="24"/>
          <w:szCs w:val="24"/>
          <w:lang w:val="en-US" w:eastAsia="zh-CN"/>
        </w:rPr>
        <w:t>: 416-418 [PMID: 19943606]</w:t>
      </w: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3C4AA1">
      <w:pPr>
        <w:tabs>
          <w:tab w:val="left" w:pos="180"/>
          <w:tab w:val="left" w:pos="360"/>
        </w:tabs>
        <w:adjustRightInd w:val="0"/>
        <w:snapToGrid w:val="0"/>
        <w:spacing w:after="0" w:line="360" w:lineRule="auto"/>
        <w:jc w:val="right"/>
        <w:rPr>
          <w:rFonts w:ascii="Book Antiqua" w:hAnsi="Book Antiqua" w:cs="Tahoma"/>
          <w:b/>
          <w:color w:val="000000"/>
          <w:sz w:val="24"/>
          <w:szCs w:val="24"/>
        </w:rPr>
      </w:pPr>
      <w:bookmarkStart w:id="409" w:name="OLE_LINK874"/>
      <w:bookmarkStart w:id="410" w:name="OLE_LINK875"/>
      <w:bookmarkStart w:id="411" w:name="OLE_LINK347"/>
      <w:bookmarkStart w:id="412" w:name="OLE_LINK384"/>
      <w:bookmarkStart w:id="413" w:name="OLE_LINK557"/>
      <w:bookmarkStart w:id="414" w:name="OLE_LINK558"/>
      <w:bookmarkStart w:id="415" w:name="OLE_LINK631"/>
      <w:bookmarkStart w:id="416" w:name="OLE_LINK632"/>
      <w:bookmarkStart w:id="417" w:name="OLE_LINK386"/>
      <w:bookmarkStart w:id="418" w:name="OLE_LINK431"/>
      <w:bookmarkStart w:id="419" w:name="OLE_LINK564"/>
      <w:bookmarkStart w:id="420" w:name="OLE_LINK493"/>
      <w:bookmarkStart w:id="421" w:name="OLE_LINK442"/>
      <w:bookmarkStart w:id="422" w:name="OLE_LINK551"/>
      <w:bookmarkStart w:id="423" w:name="OLE_LINK668"/>
      <w:bookmarkStart w:id="424" w:name="OLE_LINK669"/>
      <w:bookmarkStart w:id="425" w:name="OLE_LINK725"/>
      <w:bookmarkStart w:id="426" w:name="OLE_LINK489"/>
      <w:bookmarkStart w:id="427" w:name="OLE_LINK602"/>
      <w:bookmarkStart w:id="428" w:name="OLE_LINK658"/>
      <w:bookmarkStart w:id="429" w:name="OLE_LINK747"/>
      <w:bookmarkStart w:id="430" w:name="OLE_LINK897"/>
      <w:bookmarkStart w:id="431" w:name="OLE_LINK1138"/>
      <w:bookmarkStart w:id="432" w:name="OLE_LINK1139"/>
      <w:bookmarkStart w:id="433" w:name="OLE_LINK882"/>
      <w:bookmarkStart w:id="434" w:name="OLE_LINK1095"/>
      <w:bookmarkStart w:id="435" w:name="OLE_LINK1305"/>
      <w:bookmarkStart w:id="436" w:name="OLE_LINK1390"/>
      <w:bookmarkStart w:id="437" w:name="OLE_LINK964"/>
      <w:bookmarkStart w:id="438" w:name="OLE_LINK1190"/>
      <w:bookmarkStart w:id="439" w:name="OLE_LINK1314"/>
      <w:bookmarkStart w:id="440" w:name="OLE_LINK1031"/>
      <w:bookmarkStart w:id="441" w:name="OLE_LINK1092"/>
      <w:bookmarkStart w:id="442" w:name="OLE_LINK1258"/>
      <w:bookmarkStart w:id="443" w:name="OLE_LINK1259"/>
      <w:bookmarkStart w:id="444" w:name="OLE_LINK1337"/>
      <w:bookmarkStart w:id="445" w:name="OLE_LINK1338"/>
      <w:bookmarkStart w:id="446" w:name="OLE_LINK1363"/>
      <w:bookmarkStart w:id="447" w:name="OLE_LINK1364"/>
      <w:bookmarkStart w:id="448" w:name="OLE_LINK86"/>
      <w:bookmarkStart w:id="449" w:name="OLE_LINK1595"/>
      <w:bookmarkStart w:id="450" w:name="OLE_LINK1613"/>
      <w:bookmarkStart w:id="451" w:name="OLE_LINK1708"/>
      <w:bookmarkStart w:id="452" w:name="OLE_LINK1774"/>
      <w:bookmarkStart w:id="453" w:name="OLE_LINK1872"/>
      <w:bookmarkStart w:id="454" w:name="OLE_LINK1899"/>
      <w:bookmarkStart w:id="455" w:name="OLE_LINK1492"/>
      <w:bookmarkStart w:id="456" w:name="OLE_LINK1497"/>
      <w:bookmarkStart w:id="457" w:name="OLE_LINK1498"/>
      <w:bookmarkStart w:id="458" w:name="OLE_LINK1589"/>
      <w:bookmarkStart w:id="459" w:name="OLE_LINK1666"/>
      <w:bookmarkStart w:id="460" w:name="OLE_LINK1752"/>
      <w:bookmarkStart w:id="461" w:name="OLE_LINK1616"/>
      <w:bookmarkStart w:id="462" w:name="OLE_LINK1696"/>
      <w:bookmarkStart w:id="463" w:name="OLE_LINK1855"/>
      <w:bookmarkStart w:id="464" w:name="OLE_LINK1942"/>
      <w:bookmarkStart w:id="465" w:name="OLE_LINK1943"/>
      <w:bookmarkStart w:id="466" w:name="OLE_LINK1573"/>
      <w:bookmarkStart w:id="467" w:name="OLE_LINK1574"/>
      <w:bookmarkStart w:id="468" w:name="OLE_LINK1575"/>
      <w:bookmarkStart w:id="469" w:name="OLE_LINK1739"/>
      <w:bookmarkStart w:id="470" w:name="OLE_LINK1761"/>
      <w:bookmarkStart w:id="471" w:name="OLE_LINK1743"/>
      <w:bookmarkStart w:id="472" w:name="OLE_LINK1841"/>
      <w:bookmarkStart w:id="473" w:name="OLE_LINK1858"/>
      <w:bookmarkStart w:id="474" w:name="OLE_LINK1890"/>
      <w:bookmarkStart w:id="475" w:name="OLE_LINK1915"/>
      <w:bookmarkStart w:id="476" w:name="OLE_LINK1980"/>
      <w:bookmarkStart w:id="477" w:name="OLE_LINK1883"/>
      <w:bookmarkStart w:id="478" w:name="OLE_LINK1935"/>
      <w:bookmarkStart w:id="479" w:name="OLE_LINK1936"/>
      <w:bookmarkStart w:id="480" w:name="OLE_LINK1952"/>
      <w:bookmarkStart w:id="481" w:name="OLE_LINK1953"/>
      <w:bookmarkStart w:id="482" w:name="OLE_LINK1999"/>
      <w:bookmarkStart w:id="483" w:name="OLE_LINK2050"/>
      <w:bookmarkStart w:id="484" w:name="OLE_LINK1862"/>
      <w:bookmarkStart w:id="485" w:name="OLE_LINK1963"/>
      <w:bookmarkStart w:id="486" w:name="OLE_LINK2052"/>
      <w:bookmarkStart w:id="487" w:name="OLE_LINK1906"/>
      <w:bookmarkStart w:id="488" w:name="OLE_LINK2031"/>
      <w:bookmarkStart w:id="489" w:name="OLE_LINK2032"/>
      <w:bookmarkStart w:id="490" w:name="OLE_LINK1907"/>
      <w:bookmarkStart w:id="491" w:name="OLE_LINK2004"/>
      <w:bookmarkStart w:id="492" w:name="OLE_LINK2238"/>
      <w:bookmarkStart w:id="493" w:name="OLE_LINK2239"/>
      <w:bookmarkStart w:id="494" w:name="OLE_LINK2163"/>
      <w:bookmarkStart w:id="495" w:name="OLE_LINK2207"/>
      <w:bookmarkStart w:id="496" w:name="OLE_LINK2341"/>
      <w:bookmarkStart w:id="497" w:name="OLE_LINK2417"/>
      <w:bookmarkStart w:id="498" w:name="OLE_LINK2509"/>
      <w:bookmarkStart w:id="499" w:name="OLE_LINK2510"/>
      <w:bookmarkStart w:id="500" w:name="OLE_LINK2511"/>
      <w:bookmarkStart w:id="501" w:name="OLE_LINK2512"/>
      <w:bookmarkStart w:id="502" w:name="OLE_LINK2513"/>
      <w:bookmarkStart w:id="503" w:name="OLE_LINK2514"/>
      <w:bookmarkStart w:id="504" w:name="OLE_LINK2515"/>
      <w:bookmarkStart w:id="505" w:name="OLE_LINK2516"/>
      <w:bookmarkStart w:id="506" w:name="OLE_LINK2517"/>
      <w:bookmarkStart w:id="507" w:name="OLE_LINK2518"/>
      <w:bookmarkStart w:id="508" w:name="OLE_LINK2519"/>
      <w:bookmarkStart w:id="509" w:name="OLE_LINK2520"/>
      <w:bookmarkStart w:id="510" w:name="OLE_LINK2521"/>
      <w:bookmarkStart w:id="511" w:name="OLE_LINK2522"/>
      <w:bookmarkStart w:id="512" w:name="OLE_LINK2523"/>
      <w:bookmarkStart w:id="513" w:name="OLE_LINK2524"/>
      <w:bookmarkStart w:id="514" w:name="OLE_LINK2051"/>
      <w:bookmarkStart w:id="515" w:name="OLE_LINK2109"/>
      <w:bookmarkStart w:id="516" w:name="OLE_LINK2165"/>
      <w:bookmarkStart w:id="517" w:name="OLE_LINK2385"/>
      <w:bookmarkStart w:id="518" w:name="OLE_LINK2593"/>
      <w:bookmarkStart w:id="519" w:name="OLE_LINK2332"/>
      <w:bookmarkStart w:id="520" w:name="OLE_LINK2448"/>
      <w:bookmarkStart w:id="521" w:name="OLE_LINK2525"/>
      <w:bookmarkStart w:id="522" w:name="OLE_LINK2506"/>
      <w:bookmarkStart w:id="523" w:name="OLE_LINK2507"/>
      <w:bookmarkStart w:id="524" w:name="OLE_LINK2291"/>
      <w:bookmarkStart w:id="525" w:name="OLE_LINK2294"/>
      <w:bookmarkStart w:id="526" w:name="OLE_LINK2298"/>
      <w:bookmarkStart w:id="527" w:name="OLE_LINK2300"/>
      <w:bookmarkStart w:id="528" w:name="OLE_LINK2301"/>
      <w:bookmarkStart w:id="529" w:name="OLE_LINK2546"/>
      <w:bookmarkStart w:id="530" w:name="OLE_LINK2756"/>
      <w:bookmarkStart w:id="531" w:name="OLE_LINK2757"/>
      <w:bookmarkStart w:id="532" w:name="OLE_LINK2736"/>
      <w:bookmarkStart w:id="533" w:name="OLE_LINK2923"/>
      <w:bookmarkStart w:id="534" w:name="OLE_LINK2974"/>
      <w:bookmarkStart w:id="535" w:name="OLE_LINK3125"/>
      <w:bookmarkStart w:id="536" w:name="OLE_LINK3218"/>
      <w:bookmarkStart w:id="537" w:name="OLE_LINK2575"/>
      <w:bookmarkStart w:id="538" w:name="OLE_LINK2687"/>
      <w:bookmarkStart w:id="539" w:name="OLE_LINK2688"/>
      <w:bookmarkStart w:id="540" w:name="OLE_LINK2700"/>
      <w:bookmarkStart w:id="541" w:name="OLE_LINK2576"/>
      <w:bookmarkStart w:id="542" w:name="OLE_LINK2674"/>
      <w:bookmarkStart w:id="543" w:name="OLE_LINK2738"/>
      <w:bookmarkStart w:id="544" w:name="OLE_LINK2983"/>
      <w:bookmarkStart w:id="545" w:name="OLE_LINK76"/>
      <w:bookmarkStart w:id="546" w:name="OLE_LINK115"/>
      <w:bookmarkStart w:id="547" w:name="OLE_LINK155"/>
      <w:r w:rsidRPr="00F40C05">
        <w:rPr>
          <w:rFonts w:ascii="Book Antiqua" w:hAnsi="Book Antiqua" w:cs="Tahoma"/>
          <w:b/>
          <w:color w:val="000000"/>
          <w:sz w:val="24"/>
          <w:szCs w:val="24"/>
        </w:rPr>
        <w:t xml:space="preserve">P-Reviewers: </w:t>
      </w:r>
      <w:r w:rsidRPr="00F40C05">
        <w:rPr>
          <w:rFonts w:ascii="Book Antiqua" w:hAnsi="Book Antiqua" w:cs="Tahoma"/>
          <w:color w:val="000000"/>
          <w:sz w:val="24"/>
          <w:szCs w:val="24"/>
        </w:rPr>
        <w:t>Chatzistamou I, Ray S</w:t>
      </w:r>
      <w:r w:rsidRPr="00F40C05">
        <w:rPr>
          <w:rFonts w:ascii="Book Antiqua" w:hAnsi="Book Antiqua" w:cs="Tahoma"/>
          <w:color w:val="000000"/>
          <w:sz w:val="24"/>
          <w:szCs w:val="24"/>
          <w:lang w:eastAsia="zh-CN"/>
        </w:rPr>
        <w:t xml:space="preserve"> </w:t>
      </w:r>
      <w:r w:rsidRPr="00F40C05">
        <w:rPr>
          <w:rFonts w:ascii="Book Antiqua" w:hAnsi="Book Antiqua" w:cs="Tahoma"/>
          <w:b/>
          <w:color w:val="000000"/>
          <w:sz w:val="24"/>
          <w:szCs w:val="24"/>
        </w:rPr>
        <w:t xml:space="preserve">S-Editor: </w:t>
      </w:r>
      <w:r w:rsidRPr="00F40C05">
        <w:rPr>
          <w:rFonts w:ascii="Book Antiqua" w:hAnsi="Book Antiqua" w:cs="Tahoma"/>
          <w:color w:val="000000"/>
          <w:sz w:val="24"/>
          <w:szCs w:val="24"/>
        </w:rPr>
        <w:t xml:space="preserve">Gou SX </w:t>
      </w:r>
      <w:r w:rsidRPr="00F40C05">
        <w:rPr>
          <w:rFonts w:ascii="Book Antiqua" w:hAnsi="Book Antiqua" w:cs="Tahoma"/>
          <w:b/>
          <w:color w:val="000000"/>
          <w:sz w:val="24"/>
          <w:szCs w:val="24"/>
        </w:rPr>
        <w:t xml:space="preserve">  L-Editor:    E-Edito</w:t>
      </w:r>
      <w:bookmarkEnd w:id="409"/>
      <w:bookmarkEnd w:id="410"/>
      <w:r w:rsidRPr="00F40C05">
        <w:rPr>
          <w:rFonts w:ascii="Book Antiqua" w:hAnsi="Book Antiqua" w:cs="Tahoma"/>
          <w:b/>
          <w:color w:val="000000"/>
          <w:sz w:val="24"/>
          <w:szCs w:val="24"/>
        </w:rPr>
        <w:t>r:</w:t>
      </w:r>
    </w:p>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B46B42" w:rsidP="00726EC3">
      <w:pPr>
        <w:snapToGrid w:val="0"/>
        <w:spacing w:after="0" w:line="360" w:lineRule="auto"/>
        <w:jc w:val="both"/>
        <w:rPr>
          <w:rFonts w:ascii="Book Antiqua" w:hAnsi="Book Antiqua"/>
          <w:color w:val="000000"/>
          <w:sz w:val="24"/>
          <w:szCs w:val="24"/>
          <w:lang w:val="en-US"/>
        </w:rPr>
      </w:pPr>
    </w:p>
    <w:p w:rsidR="00B46B42" w:rsidRPr="00F40C05" w:rsidRDefault="00251EDC" w:rsidP="00726EC3">
      <w:pPr>
        <w:snapToGrid w:val="0"/>
        <w:spacing w:after="0" w:line="360" w:lineRule="auto"/>
        <w:jc w:val="both"/>
        <w:rPr>
          <w:rFonts w:ascii="Book Antiqua" w:hAnsi="Book Antiqua"/>
          <w:color w:val="000000"/>
          <w:sz w:val="24"/>
          <w:szCs w:val="24"/>
          <w:lang w:val="en-US"/>
        </w:rPr>
      </w:pPr>
      <w:r>
        <w:rPr>
          <w:rFonts w:ascii="Book Antiqua" w:hAnsi="Book Antiqua"/>
          <w:noProof/>
          <w:color w:val="000000"/>
          <w:sz w:val="24"/>
          <w:szCs w:val="24"/>
          <w:lang w:val="en-US" w:eastAsia="zh-CN"/>
        </w:rPr>
        <w:drawing>
          <wp:inline distT="0" distB="0" distL="0" distR="0">
            <wp:extent cx="5736590" cy="5736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5736590"/>
                    </a:xfrm>
                    <a:prstGeom prst="rect">
                      <a:avLst/>
                    </a:prstGeom>
                    <a:noFill/>
                    <a:ln>
                      <a:noFill/>
                    </a:ln>
                  </pic:spPr>
                </pic:pic>
              </a:graphicData>
            </a:graphic>
          </wp:inline>
        </w:drawing>
      </w:r>
    </w:p>
    <w:p w:rsidR="00B46B42" w:rsidRPr="00F40C05" w:rsidRDefault="00B46B42" w:rsidP="00726EC3">
      <w:pPr>
        <w:snapToGrid w:val="0"/>
        <w:spacing w:after="0" w:line="360" w:lineRule="auto"/>
        <w:jc w:val="both"/>
        <w:rPr>
          <w:rFonts w:ascii="Book Antiqua" w:hAnsi="Book Antiqua"/>
          <w:sz w:val="24"/>
          <w:szCs w:val="24"/>
          <w:lang w:val="en-US"/>
        </w:rPr>
      </w:pPr>
      <w:r w:rsidRPr="00F40C05">
        <w:rPr>
          <w:rFonts w:ascii="Book Antiqua" w:hAnsi="Book Antiqua"/>
          <w:b/>
          <w:sz w:val="24"/>
          <w:szCs w:val="24"/>
          <w:lang w:val="en-US"/>
        </w:rPr>
        <w:t>Figure 1</w:t>
      </w:r>
      <w:r w:rsidRPr="00F40C05">
        <w:rPr>
          <w:rFonts w:ascii="Book Antiqua" w:hAnsi="Book Antiqua"/>
          <w:b/>
          <w:sz w:val="24"/>
          <w:szCs w:val="24"/>
          <w:lang w:val="en-US" w:eastAsia="zh-CN"/>
        </w:rPr>
        <w:t xml:space="preserve"> Clinical features. </w:t>
      </w:r>
      <w:r w:rsidRPr="00F40C05">
        <w:rPr>
          <w:rFonts w:ascii="Book Antiqua" w:hAnsi="Book Antiqua"/>
          <w:sz w:val="24"/>
          <w:szCs w:val="24"/>
          <w:lang w:val="en-US"/>
        </w:rPr>
        <w:t>A</w:t>
      </w:r>
      <w:r w:rsidRPr="00F40C05">
        <w:rPr>
          <w:rFonts w:ascii="Book Antiqua" w:hAnsi="Book Antiqua"/>
          <w:sz w:val="24"/>
          <w:szCs w:val="24"/>
          <w:lang w:val="en-US" w:eastAsia="zh-CN"/>
        </w:rPr>
        <w:t>:</w:t>
      </w:r>
      <w:r w:rsidRPr="00F40C05">
        <w:rPr>
          <w:rFonts w:ascii="Book Antiqua" w:hAnsi="Book Antiqua"/>
          <w:sz w:val="24"/>
          <w:szCs w:val="24"/>
          <w:lang w:val="en-US"/>
        </w:rPr>
        <w:t xml:space="preserve"> Contrast swallow with mid-esophageal stenosis</w:t>
      </w:r>
      <w:r w:rsidRPr="00F40C05">
        <w:rPr>
          <w:rFonts w:ascii="Book Antiqua" w:hAnsi="Book Antiqua"/>
          <w:sz w:val="24"/>
          <w:szCs w:val="24"/>
          <w:lang w:val="en-US" w:eastAsia="zh-CN"/>
        </w:rPr>
        <w:t>;</w:t>
      </w:r>
      <w:r w:rsidRPr="00F40C05">
        <w:rPr>
          <w:rFonts w:ascii="Book Antiqua" w:hAnsi="Book Antiqua"/>
          <w:sz w:val="24"/>
          <w:szCs w:val="24"/>
          <w:lang w:val="en-US"/>
        </w:rPr>
        <w:t xml:space="preserve"> B</w:t>
      </w:r>
      <w:r w:rsidRPr="00F40C05">
        <w:rPr>
          <w:rFonts w:ascii="Book Antiqua" w:hAnsi="Book Antiqua"/>
          <w:sz w:val="24"/>
          <w:szCs w:val="24"/>
          <w:lang w:val="en-US" w:eastAsia="zh-CN"/>
        </w:rPr>
        <w:t>:</w:t>
      </w:r>
      <w:r w:rsidRPr="00F40C05">
        <w:rPr>
          <w:rFonts w:ascii="Book Antiqua" w:hAnsi="Book Antiqua"/>
          <w:sz w:val="24"/>
          <w:szCs w:val="24"/>
          <w:lang w:val="en-US"/>
        </w:rPr>
        <w:t xml:space="preserve"> Partially ulcerated annular tumor (arrows). </w:t>
      </w:r>
    </w:p>
    <w:p w:rsidR="00B46B42" w:rsidRPr="00F40C05" w:rsidRDefault="00251EDC" w:rsidP="00726EC3">
      <w:pPr>
        <w:snapToGrid w:val="0"/>
        <w:spacing w:after="0" w:line="360" w:lineRule="auto"/>
        <w:jc w:val="both"/>
        <w:rPr>
          <w:rFonts w:ascii="Book Antiqua" w:hAnsi="Book Antiqua"/>
          <w:sz w:val="24"/>
          <w:szCs w:val="24"/>
          <w:lang w:val="en-US"/>
        </w:rPr>
      </w:pPr>
      <w:r>
        <w:rPr>
          <w:rFonts w:ascii="Book Antiqua" w:hAnsi="Book Antiqua"/>
          <w:noProof/>
          <w:sz w:val="24"/>
          <w:szCs w:val="24"/>
          <w:lang w:val="en-US" w:eastAsia="zh-CN"/>
        </w:rPr>
        <w:lastRenderedPageBreak/>
        <w:drawing>
          <wp:inline distT="0" distB="0" distL="0" distR="0">
            <wp:extent cx="5736590" cy="5736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5736590"/>
                    </a:xfrm>
                    <a:prstGeom prst="rect">
                      <a:avLst/>
                    </a:prstGeom>
                    <a:noFill/>
                    <a:ln>
                      <a:noFill/>
                    </a:ln>
                  </pic:spPr>
                </pic:pic>
              </a:graphicData>
            </a:graphic>
          </wp:inline>
        </w:drawing>
      </w:r>
    </w:p>
    <w:p w:rsidR="00B46B42" w:rsidRPr="00F40C05" w:rsidRDefault="00B46B42" w:rsidP="00726EC3">
      <w:pPr>
        <w:snapToGrid w:val="0"/>
        <w:spacing w:after="0" w:line="360" w:lineRule="auto"/>
        <w:jc w:val="both"/>
        <w:rPr>
          <w:rFonts w:ascii="Book Antiqua" w:hAnsi="Book Antiqua"/>
          <w:sz w:val="24"/>
          <w:szCs w:val="24"/>
          <w:lang w:val="en-US"/>
        </w:rPr>
      </w:pPr>
      <w:r w:rsidRPr="00F40C05">
        <w:rPr>
          <w:rFonts w:ascii="Book Antiqua" w:hAnsi="Book Antiqua"/>
          <w:b/>
          <w:sz w:val="24"/>
          <w:szCs w:val="24"/>
          <w:lang w:val="en-US"/>
        </w:rPr>
        <w:t>Figure 2</w:t>
      </w:r>
      <w:r w:rsidRPr="00F40C05">
        <w:rPr>
          <w:rFonts w:ascii="Book Antiqua" w:hAnsi="Book Antiqua"/>
          <w:b/>
          <w:sz w:val="24"/>
          <w:szCs w:val="24"/>
          <w:lang w:val="en-US" w:eastAsia="zh-CN"/>
        </w:rPr>
        <w:t xml:space="preserve"> </w:t>
      </w:r>
      <w:r w:rsidRPr="00F40C05">
        <w:rPr>
          <w:rFonts w:ascii="Book Antiqua" w:hAnsi="Book Antiqua"/>
          <w:b/>
          <w:sz w:val="24"/>
          <w:szCs w:val="24"/>
          <w:lang w:val="en-US"/>
        </w:rPr>
        <w:t>Pathological features</w:t>
      </w:r>
      <w:r w:rsidRPr="00F40C05">
        <w:rPr>
          <w:rFonts w:ascii="Book Antiqua" w:hAnsi="Book Antiqua"/>
          <w:b/>
          <w:sz w:val="24"/>
          <w:szCs w:val="24"/>
          <w:lang w:val="en-US" w:eastAsia="zh-CN"/>
        </w:rPr>
        <w:t>.</w:t>
      </w:r>
      <w:r w:rsidRPr="00F40C05">
        <w:rPr>
          <w:rFonts w:ascii="Book Antiqua" w:hAnsi="Book Antiqua"/>
          <w:sz w:val="24"/>
          <w:szCs w:val="24"/>
          <w:lang w:val="en-US" w:eastAsia="zh-CN"/>
        </w:rPr>
        <w:t xml:space="preserve"> </w:t>
      </w:r>
      <w:r w:rsidRPr="00F40C05">
        <w:rPr>
          <w:rFonts w:ascii="Book Antiqua" w:hAnsi="Book Antiqua"/>
          <w:sz w:val="24"/>
          <w:szCs w:val="24"/>
          <w:lang w:val="en-US"/>
        </w:rPr>
        <w:t>A</w:t>
      </w:r>
      <w:r w:rsidRPr="00F40C05">
        <w:rPr>
          <w:rFonts w:ascii="Book Antiqua" w:hAnsi="Book Antiqua"/>
          <w:sz w:val="24"/>
          <w:szCs w:val="24"/>
          <w:lang w:val="en-US" w:eastAsia="zh-CN"/>
        </w:rPr>
        <w:t>:</w:t>
      </w:r>
      <w:r w:rsidRPr="00F40C05">
        <w:rPr>
          <w:rFonts w:ascii="Book Antiqua" w:hAnsi="Book Antiqua"/>
          <w:sz w:val="24"/>
          <w:szCs w:val="24"/>
          <w:lang w:val="en-US"/>
        </w:rPr>
        <w:t xml:space="preserve"> Islands of malignant squamoid cells with surrounding stromal eosinophils (arrow) [hematoxylin</w:t>
      </w:r>
      <w:r w:rsidRPr="00F40C05">
        <w:rPr>
          <w:rFonts w:ascii="Book Antiqua" w:hAnsi="Book Antiqua"/>
          <w:sz w:val="24"/>
          <w:szCs w:val="24"/>
          <w:lang w:val="en-US" w:eastAsia="zh-CN"/>
        </w:rPr>
        <w:t xml:space="preserve"> and</w:t>
      </w:r>
      <w:r w:rsidRPr="00F40C05">
        <w:rPr>
          <w:rFonts w:ascii="Book Antiqua" w:hAnsi="Book Antiqua"/>
          <w:sz w:val="24"/>
          <w:szCs w:val="24"/>
          <w:lang w:val="en-US"/>
        </w:rPr>
        <w:t xml:space="preserve"> eosin</w:t>
      </w:r>
      <w:r w:rsidRPr="00F40C05">
        <w:rPr>
          <w:rFonts w:ascii="Book Antiqua" w:hAnsi="Book Antiqua"/>
          <w:sz w:val="24"/>
          <w:szCs w:val="24"/>
          <w:lang w:val="en-US" w:eastAsia="zh-CN"/>
        </w:rPr>
        <w:t xml:space="preserve"> (HE)</w:t>
      </w:r>
      <w:r w:rsidRPr="00F40C05">
        <w:rPr>
          <w:rFonts w:ascii="Book Antiqua" w:hAnsi="Book Antiqua"/>
          <w:sz w:val="24"/>
          <w:szCs w:val="24"/>
          <w:lang w:val="en-US"/>
        </w:rPr>
        <w:t xml:space="preserve">, </w:t>
      </w:r>
      <w:r w:rsidRPr="00F40C05">
        <w:rPr>
          <w:rFonts w:ascii="Book Antiqua" w:hAnsi="Book Antiqua"/>
          <w:sz w:val="24"/>
          <w:szCs w:val="24"/>
          <w:lang w:val="en-US" w:eastAsia="zh-CN"/>
        </w:rPr>
        <w:t>×</w:t>
      </w:r>
      <w:r w:rsidRPr="00F40C05">
        <w:rPr>
          <w:rFonts w:ascii="Book Antiqua" w:hAnsi="Book Antiqua"/>
          <w:sz w:val="24"/>
          <w:szCs w:val="24"/>
          <w:lang w:val="en-US"/>
        </w:rPr>
        <w:t>480]</w:t>
      </w:r>
      <w:r w:rsidRPr="00F40C05">
        <w:rPr>
          <w:rFonts w:ascii="Book Antiqua" w:hAnsi="Book Antiqua"/>
          <w:sz w:val="24"/>
          <w:szCs w:val="24"/>
          <w:lang w:val="en-US" w:eastAsia="zh-CN"/>
        </w:rPr>
        <w:t>;</w:t>
      </w:r>
      <w:r w:rsidRPr="00F40C05">
        <w:rPr>
          <w:rFonts w:ascii="Book Antiqua" w:hAnsi="Book Antiqua"/>
          <w:sz w:val="24"/>
          <w:szCs w:val="24"/>
          <w:lang w:val="en-US"/>
        </w:rPr>
        <w:t xml:space="preserve"> B</w:t>
      </w:r>
      <w:r w:rsidRPr="00F40C05">
        <w:rPr>
          <w:rFonts w:ascii="Book Antiqua" w:hAnsi="Book Antiqua"/>
          <w:sz w:val="24"/>
          <w:szCs w:val="24"/>
          <w:lang w:val="en-US" w:eastAsia="zh-CN"/>
        </w:rPr>
        <w:t>:</w:t>
      </w:r>
      <w:r w:rsidRPr="00F40C05">
        <w:rPr>
          <w:rFonts w:ascii="Book Antiqua" w:hAnsi="Book Antiqua"/>
          <w:sz w:val="24"/>
          <w:szCs w:val="24"/>
          <w:lang w:val="en-US"/>
        </w:rPr>
        <w:t xml:space="preserve"> Glandular foci </w:t>
      </w:r>
      <w:r w:rsidRPr="00F40C05">
        <w:rPr>
          <w:rFonts w:ascii="Book Antiqua" w:hAnsi="Book Antiqua"/>
          <w:sz w:val="24"/>
          <w:szCs w:val="24"/>
          <w:lang w:val="en-US" w:eastAsia="zh-CN"/>
        </w:rPr>
        <w:t>(HE, ×</w:t>
      </w:r>
      <w:r w:rsidRPr="00F40C05">
        <w:rPr>
          <w:rFonts w:ascii="Book Antiqua" w:hAnsi="Book Antiqua"/>
          <w:sz w:val="24"/>
          <w:szCs w:val="24"/>
          <w:lang w:val="en-US"/>
        </w:rPr>
        <w:t>480</w:t>
      </w:r>
      <w:r w:rsidRPr="00F40C05">
        <w:rPr>
          <w:rFonts w:ascii="Book Antiqua" w:hAnsi="Book Antiqua"/>
          <w:sz w:val="24"/>
          <w:szCs w:val="24"/>
          <w:lang w:val="en-US" w:eastAsia="zh-CN"/>
        </w:rPr>
        <w:t xml:space="preserve">); </w:t>
      </w:r>
      <w:r w:rsidRPr="00F40C05">
        <w:rPr>
          <w:rFonts w:ascii="Book Antiqua" w:hAnsi="Book Antiqua"/>
          <w:sz w:val="24"/>
          <w:szCs w:val="24"/>
          <w:lang w:val="en-US"/>
        </w:rPr>
        <w:t>C</w:t>
      </w:r>
      <w:r w:rsidRPr="00F40C05">
        <w:rPr>
          <w:rFonts w:ascii="Book Antiqua" w:hAnsi="Book Antiqua"/>
          <w:sz w:val="24"/>
          <w:szCs w:val="24"/>
          <w:lang w:val="en-US" w:eastAsia="zh-CN"/>
        </w:rPr>
        <w:t>:</w:t>
      </w:r>
      <w:r w:rsidRPr="00F40C05">
        <w:rPr>
          <w:rFonts w:ascii="Book Antiqua" w:hAnsi="Book Antiqua"/>
          <w:sz w:val="24"/>
          <w:szCs w:val="24"/>
          <w:lang w:val="en-US"/>
        </w:rPr>
        <w:t xml:space="preserve"> Foci of intermediate (arrows) and clear cells and of the cystically dilated mucinous component </w:t>
      </w:r>
      <w:r w:rsidRPr="00F40C05">
        <w:rPr>
          <w:rFonts w:ascii="Book Antiqua" w:hAnsi="Book Antiqua"/>
          <w:sz w:val="24"/>
          <w:szCs w:val="24"/>
          <w:lang w:val="en-US" w:eastAsia="zh-CN"/>
        </w:rPr>
        <w:t>(HE, ×</w:t>
      </w:r>
      <w:r w:rsidRPr="00F40C05">
        <w:rPr>
          <w:rFonts w:ascii="Book Antiqua" w:hAnsi="Book Antiqua"/>
          <w:sz w:val="24"/>
          <w:szCs w:val="24"/>
          <w:lang w:val="en-US"/>
        </w:rPr>
        <w:t>480</w:t>
      </w:r>
      <w:r w:rsidRPr="00F40C05">
        <w:rPr>
          <w:rFonts w:ascii="Book Antiqua" w:hAnsi="Book Antiqua"/>
          <w:sz w:val="24"/>
          <w:szCs w:val="24"/>
          <w:lang w:val="en-US" w:eastAsia="zh-CN"/>
        </w:rPr>
        <w:t>);</w:t>
      </w:r>
      <w:r w:rsidRPr="00F40C05">
        <w:rPr>
          <w:rFonts w:ascii="Book Antiqua" w:hAnsi="Book Antiqua"/>
          <w:sz w:val="24"/>
          <w:szCs w:val="24"/>
          <w:lang w:val="en-US"/>
        </w:rPr>
        <w:t xml:space="preserve"> D</w:t>
      </w:r>
      <w:r w:rsidRPr="00F40C05">
        <w:rPr>
          <w:rFonts w:ascii="Book Antiqua" w:hAnsi="Book Antiqua"/>
          <w:sz w:val="24"/>
          <w:szCs w:val="24"/>
          <w:lang w:val="en-US" w:eastAsia="zh-CN"/>
        </w:rPr>
        <w:t>:</w:t>
      </w:r>
      <w:r w:rsidRPr="00F40C05">
        <w:rPr>
          <w:rFonts w:ascii="Book Antiqua" w:hAnsi="Book Antiqua"/>
          <w:sz w:val="24"/>
          <w:szCs w:val="24"/>
          <w:lang w:val="en-US"/>
        </w:rPr>
        <w:t xml:space="preserve"> Southgate mucicarmine stain demonstrating the luminal (arrows) and intracytoplasmic mucin </w:t>
      </w:r>
      <w:r w:rsidRPr="00F40C05">
        <w:rPr>
          <w:rFonts w:ascii="Book Antiqua" w:hAnsi="Book Antiqua"/>
          <w:sz w:val="24"/>
          <w:szCs w:val="24"/>
          <w:lang w:val="en-US" w:eastAsia="zh-CN"/>
        </w:rPr>
        <w:t>(</w:t>
      </w:r>
      <w:r w:rsidRPr="00F40C05">
        <w:rPr>
          <w:rFonts w:ascii="Book Antiqua" w:hAnsi="Book Antiqua"/>
          <w:sz w:val="24"/>
          <w:szCs w:val="24"/>
          <w:lang w:val="en-US"/>
        </w:rPr>
        <w:t xml:space="preserve">southgate mucicarmine, </w:t>
      </w:r>
      <w:r w:rsidRPr="00F40C05">
        <w:rPr>
          <w:rFonts w:ascii="Book Antiqua" w:hAnsi="Book Antiqua"/>
          <w:sz w:val="24"/>
          <w:szCs w:val="24"/>
          <w:lang w:val="en-US" w:eastAsia="zh-CN"/>
        </w:rPr>
        <w:t>×</w:t>
      </w:r>
      <w:r w:rsidRPr="00F40C05">
        <w:rPr>
          <w:rFonts w:ascii="Book Antiqua" w:hAnsi="Book Antiqua"/>
          <w:sz w:val="24"/>
          <w:szCs w:val="24"/>
          <w:lang w:val="en-US"/>
        </w:rPr>
        <w:t>480</w:t>
      </w:r>
      <w:r w:rsidRPr="00F40C05">
        <w:rPr>
          <w:rFonts w:ascii="Book Antiqua" w:hAnsi="Book Antiqua"/>
          <w:sz w:val="24"/>
          <w:szCs w:val="24"/>
          <w:lang w:val="en-US" w:eastAsia="zh-CN"/>
        </w:rPr>
        <w:t>);</w:t>
      </w:r>
      <w:r w:rsidRPr="00F40C05">
        <w:rPr>
          <w:rFonts w:ascii="Book Antiqua" w:hAnsi="Book Antiqua"/>
          <w:sz w:val="24"/>
          <w:szCs w:val="24"/>
          <w:lang w:val="en-US"/>
        </w:rPr>
        <w:t xml:space="preserve"> E</w:t>
      </w:r>
      <w:r w:rsidRPr="00F40C05">
        <w:rPr>
          <w:rFonts w:ascii="Book Antiqua" w:hAnsi="Book Antiqua"/>
          <w:sz w:val="24"/>
          <w:szCs w:val="24"/>
          <w:lang w:val="en-US" w:eastAsia="zh-CN"/>
        </w:rPr>
        <w:t>:</w:t>
      </w:r>
      <w:r w:rsidRPr="00F40C05">
        <w:rPr>
          <w:rFonts w:ascii="Book Antiqua" w:hAnsi="Book Antiqua"/>
          <w:sz w:val="24"/>
          <w:szCs w:val="24"/>
          <w:lang w:val="en-US"/>
        </w:rPr>
        <w:t xml:space="preserve"> Sclerotic stroma with keloid-like areas (arrows) </w:t>
      </w:r>
      <w:r w:rsidRPr="00F40C05">
        <w:rPr>
          <w:rFonts w:ascii="Book Antiqua" w:hAnsi="Book Antiqua"/>
          <w:sz w:val="24"/>
          <w:szCs w:val="24"/>
          <w:lang w:val="en-US" w:eastAsia="zh-CN"/>
        </w:rPr>
        <w:t>(HE, ×</w:t>
      </w:r>
      <w:r w:rsidRPr="00F40C05">
        <w:rPr>
          <w:rFonts w:ascii="Book Antiqua" w:hAnsi="Book Antiqua"/>
          <w:sz w:val="24"/>
          <w:szCs w:val="24"/>
          <w:lang w:val="en-US"/>
        </w:rPr>
        <w:t>480</w:t>
      </w:r>
      <w:r w:rsidRPr="00F40C05">
        <w:rPr>
          <w:rFonts w:ascii="Book Antiqua" w:hAnsi="Book Antiqua"/>
          <w:sz w:val="24"/>
          <w:szCs w:val="24"/>
          <w:lang w:val="en-US" w:eastAsia="zh-CN"/>
        </w:rPr>
        <w:t>)</w:t>
      </w:r>
      <w:r w:rsidRPr="00F40C05">
        <w:rPr>
          <w:rFonts w:ascii="Book Antiqua" w:hAnsi="Book Antiqua"/>
          <w:sz w:val="24"/>
          <w:szCs w:val="24"/>
          <w:lang w:val="en-US"/>
        </w:rPr>
        <w:t>.</w:t>
      </w:r>
    </w:p>
    <w:p w:rsidR="00B46B42" w:rsidRPr="00F40C05" w:rsidRDefault="00B46B42" w:rsidP="00726EC3">
      <w:pPr>
        <w:snapToGrid w:val="0"/>
        <w:spacing w:after="0" w:line="360" w:lineRule="auto"/>
        <w:jc w:val="both"/>
        <w:rPr>
          <w:rFonts w:ascii="Book Antiqua" w:hAnsi="Book Antiqua"/>
          <w:sz w:val="24"/>
          <w:szCs w:val="24"/>
          <w:lang w:val="en-US"/>
        </w:rPr>
      </w:pPr>
    </w:p>
    <w:sectPr w:rsidR="00B46B42" w:rsidRPr="00F40C05" w:rsidSect="006420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306" w:rsidRDefault="00891306" w:rsidP="00106D86">
      <w:pPr>
        <w:spacing w:after="0" w:line="240" w:lineRule="auto"/>
      </w:pPr>
      <w:r>
        <w:separator/>
      </w:r>
    </w:p>
  </w:endnote>
  <w:endnote w:type="continuationSeparator" w:id="0">
    <w:p w:rsidR="00891306" w:rsidRDefault="00891306" w:rsidP="00106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306" w:rsidRDefault="00891306" w:rsidP="00106D86">
      <w:pPr>
        <w:spacing w:after="0" w:line="240" w:lineRule="auto"/>
      </w:pPr>
      <w:r>
        <w:separator/>
      </w:r>
    </w:p>
  </w:footnote>
  <w:footnote w:type="continuationSeparator" w:id="0">
    <w:p w:rsidR="00891306" w:rsidRDefault="00891306" w:rsidP="00106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1062"/>
    <w:multiLevelType w:val="hybridMultilevel"/>
    <w:tmpl w:val="27A2CF52"/>
    <w:lvl w:ilvl="0" w:tplc="1C090015">
      <w:start w:val="1"/>
      <w:numFmt w:val="upp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
    <w:nsid w:val="1AAF4F63"/>
    <w:multiLevelType w:val="hybridMultilevel"/>
    <w:tmpl w:val="5EBCAC16"/>
    <w:lvl w:ilvl="0" w:tplc="1C09000F">
      <w:start w:val="1"/>
      <w:numFmt w:val="decimal"/>
      <w:lvlText w:val="%1."/>
      <w:lvlJc w:val="left"/>
      <w:pPr>
        <w:ind w:left="360" w:hanging="360"/>
      </w:pPr>
      <w:rPr>
        <w:rFonts w:cs="Times New Roman" w:hint="default"/>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2">
    <w:nsid w:val="1EF72453"/>
    <w:multiLevelType w:val="hybridMultilevel"/>
    <w:tmpl w:val="07E429BC"/>
    <w:lvl w:ilvl="0" w:tplc="1C090015">
      <w:start w:val="1"/>
      <w:numFmt w:val="upp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3">
    <w:nsid w:val="234B271E"/>
    <w:multiLevelType w:val="hybridMultilevel"/>
    <w:tmpl w:val="C0BC70A0"/>
    <w:lvl w:ilvl="0" w:tplc="1C090015">
      <w:start w:val="1"/>
      <w:numFmt w:val="upp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4">
    <w:nsid w:val="294B5317"/>
    <w:multiLevelType w:val="hybridMultilevel"/>
    <w:tmpl w:val="DEE6967A"/>
    <w:lvl w:ilvl="0" w:tplc="1C09000F">
      <w:start w:val="1"/>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5">
    <w:nsid w:val="4F27475B"/>
    <w:multiLevelType w:val="hybridMultilevel"/>
    <w:tmpl w:val="713EB980"/>
    <w:lvl w:ilvl="0" w:tplc="1C090015">
      <w:start w:val="1"/>
      <w:numFmt w:val="upp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6">
    <w:nsid w:val="5DA07C89"/>
    <w:multiLevelType w:val="hybridMultilevel"/>
    <w:tmpl w:val="B4606E36"/>
    <w:lvl w:ilvl="0" w:tplc="1C09000F">
      <w:start w:val="1"/>
      <w:numFmt w:val="decimal"/>
      <w:lvlText w:val="%1."/>
      <w:lvlJc w:val="left"/>
      <w:pPr>
        <w:ind w:left="360" w:hanging="360"/>
      </w:pPr>
      <w:rPr>
        <w:rFonts w:cs="Times New Roman"/>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7">
    <w:nsid w:val="65901190"/>
    <w:multiLevelType w:val="hybridMultilevel"/>
    <w:tmpl w:val="041AAC7E"/>
    <w:lvl w:ilvl="0" w:tplc="1C090015">
      <w:start w:val="1"/>
      <w:numFmt w:val="upp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8">
    <w:nsid w:val="67B31730"/>
    <w:multiLevelType w:val="hybridMultilevel"/>
    <w:tmpl w:val="DE2E4A2C"/>
    <w:lvl w:ilvl="0" w:tplc="BA6667A0">
      <w:start w:val="1"/>
      <w:numFmt w:val="decimal"/>
      <w:lvlText w:val="%1."/>
      <w:lvlJc w:val="left"/>
      <w:pPr>
        <w:ind w:left="1080" w:hanging="360"/>
      </w:pPr>
      <w:rPr>
        <w:rFonts w:cs="Times New Roman" w:hint="default"/>
      </w:rPr>
    </w:lvl>
    <w:lvl w:ilvl="1" w:tplc="1C090019" w:tentative="1">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9">
    <w:nsid w:val="6DA81AF7"/>
    <w:multiLevelType w:val="hybridMultilevel"/>
    <w:tmpl w:val="D108D7EA"/>
    <w:lvl w:ilvl="0" w:tplc="1C09000F">
      <w:start w:val="1"/>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8"/>
  </w:num>
  <w:num w:numId="4">
    <w:abstractNumId w:val="9"/>
  </w:num>
  <w:num w:numId="5">
    <w:abstractNumId w:val="6"/>
  </w:num>
  <w:num w:numId="6">
    <w:abstractNumId w:val="3"/>
  </w:num>
  <w:num w:numId="7">
    <w:abstractNumId w:val="2"/>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A5D"/>
    <w:rsid w:val="00011616"/>
    <w:rsid w:val="000263B8"/>
    <w:rsid w:val="0004495B"/>
    <w:rsid w:val="00050C42"/>
    <w:rsid w:val="00051C50"/>
    <w:rsid w:val="00056D9B"/>
    <w:rsid w:val="00063D66"/>
    <w:rsid w:val="00086C9F"/>
    <w:rsid w:val="000A16FC"/>
    <w:rsid w:val="000A20D8"/>
    <w:rsid w:val="000A21A3"/>
    <w:rsid w:val="000A2DD1"/>
    <w:rsid w:val="000A68CB"/>
    <w:rsid w:val="000B06BE"/>
    <w:rsid w:val="000B16FC"/>
    <w:rsid w:val="000B3C27"/>
    <w:rsid w:val="000B4C22"/>
    <w:rsid w:val="000D7007"/>
    <w:rsid w:val="000E1B1A"/>
    <w:rsid w:val="000E210A"/>
    <w:rsid w:val="000E68B7"/>
    <w:rsid w:val="000E76C3"/>
    <w:rsid w:val="000E7882"/>
    <w:rsid w:val="000F5F0F"/>
    <w:rsid w:val="00100A2C"/>
    <w:rsid w:val="00106D86"/>
    <w:rsid w:val="00121711"/>
    <w:rsid w:val="00124AB5"/>
    <w:rsid w:val="00127437"/>
    <w:rsid w:val="001373A1"/>
    <w:rsid w:val="0014544E"/>
    <w:rsid w:val="00151320"/>
    <w:rsid w:val="001533E0"/>
    <w:rsid w:val="001621C9"/>
    <w:rsid w:val="0017392A"/>
    <w:rsid w:val="00187733"/>
    <w:rsid w:val="001A2432"/>
    <w:rsid w:val="001B3145"/>
    <w:rsid w:val="001B69BB"/>
    <w:rsid w:val="001B708C"/>
    <w:rsid w:val="001C3DE4"/>
    <w:rsid w:val="001C52AF"/>
    <w:rsid w:val="001C584C"/>
    <w:rsid w:val="001C6FA1"/>
    <w:rsid w:val="001E503E"/>
    <w:rsid w:val="001E6312"/>
    <w:rsid w:val="001E63EF"/>
    <w:rsid w:val="001E7F38"/>
    <w:rsid w:val="002031D8"/>
    <w:rsid w:val="00231356"/>
    <w:rsid w:val="00232779"/>
    <w:rsid w:val="00236AA3"/>
    <w:rsid w:val="00251EDC"/>
    <w:rsid w:val="00252031"/>
    <w:rsid w:val="00254379"/>
    <w:rsid w:val="00254719"/>
    <w:rsid w:val="0027702E"/>
    <w:rsid w:val="00283EC0"/>
    <w:rsid w:val="002875D2"/>
    <w:rsid w:val="002A73FE"/>
    <w:rsid w:val="002B256E"/>
    <w:rsid w:val="002B5D00"/>
    <w:rsid w:val="002D172B"/>
    <w:rsid w:val="002D7118"/>
    <w:rsid w:val="00356B96"/>
    <w:rsid w:val="00362969"/>
    <w:rsid w:val="00363BF7"/>
    <w:rsid w:val="00374699"/>
    <w:rsid w:val="00376BED"/>
    <w:rsid w:val="003850BE"/>
    <w:rsid w:val="003874D4"/>
    <w:rsid w:val="00393B58"/>
    <w:rsid w:val="00394BF3"/>
    <w:rsid w:val="003A7DF9"/>
    <w:rsid w:val="003B13B8"/>
    <w:rsid w:val="003C4AA1"/>
    <w:rsid w:val="003C5F34"/>
    <w:rsid w:val="003D0FE8"/>
    <w:rsid w:val="003E2D36"/>
    <w:rsid w:val="00402F79"/>
    <w:rsid w:val="00405405"/>
    <w:rsid w:val="00410DA5"/>
    <w:rsid w:val="00412247"/>
    <w:rsid w:val="0041272C"/>
    <w:rsid w:val="0043082A"/>
    <w:rsid w:val="00431B61"/>
    <w:rsid w:val="00435620"/>
    <w:rsid w:val="00443F25"/>
    <w:rsid w:val="004632D9"/>
    <w:rsid w:val="00472ADA"/>
    <w:rsid w:val="0048055C"/>
    <w:rsid w:val="00483406"/>
    <w:rsid w:val="004A567D"/>
    <w:rsid w:val="004A5BB9"/>
    <w:rsid w:val="004B75E1"/>
    <w:rsid w:val="004C39CE"/>
    <w:rsid w:val="004C5C8A"/>
    <w:rsid w:val="004E10B4"/>
    <w:rsid w:val="004F2288"/>
    <w:rsid w:val="0050409D"/>
    <w:rsid w:val="0051448B"/>
    <w:rsid w:val="00516B50"/>
    <w:rsid w:val="00524482"/>
    <w:rsid w:val="00525561"/>
    <w:rsid w:val="00530C29"/>
    <w:rsid w:val="00534BAC"/>
    <w:rsid w:val="00544949"/>
    <w:rsid w:val="00552A8E"/>
    <w:rsid w:val="0055634F"/>
    <w:rsid w:val="005925C8"/>
    <w:rsid w:val="005D2E32"/>
    <w:rsid w:val="005E259A"/>
    <w:rsid w:val="005F282A"/>
    <w:rsid w:val="00616E88"/>
    <w:rsid w:val="00623BC9"/>
    <w:rsid w:val="0062797B"/>
    <w:rsid w:val="006420EA"/>
    <w:rsid w:val="006669E0"/>
    <w:rsid w:val="00670EAB"/>
    <w:rsid w:val="00676853"/>
    <w:rsid w:val="00681CF8"/>
    <w:rsid w:val="006A4947"/>
    <w:rsid w:val="006A52FF"/>
    <w:rsid w:val="006A64D0"/>
    <w:rsid w:val="006B1080"/>
    <w:rsid w:val="006C5E87"/>
    <w:rsid w:val="006C67FB"/>
    <w:rsid w:val="006D1349"/>
    <w:rsid w:val="006E063F"/>
    <w:rsid w:val="006F6A5D"/>
    <w:rsid w:val="00701172"/>
    <w:rsid w:val="00707B53"/>
    <w:rsid w:val="0071534C"/>
    <w:rsid w:val="00715C2A"/>
    <w:rsid w:val="00717979"/>
    <w:rsid w:val="00726EC3"/>
    <w:rsid w:val="00732AA5"/>
    <w:rsid w:val="00735DDB"/>
    <w:rsid w:val="00740B8F"/>
    <w:rsid w:val="00740FFC"/>
    <w:rsid w:val="00744FB0"/>
    <w:rsid w:val="00756B50"/>
    <w:rsid w:val="00760A96"/>
    <w:rsid w:val="00766013"/>
    <w:rsid w:val="00770175"/>
    <w:rsid w:val="007726E2"/>
    <w:rsid w:val="00785765"/>
    <w:rsid w:val="00787FDA"/>
    <w:rsid w:val="00790DC2"/>
    <w:rsid w:val="0079266C"/>
    <w:rsid w:val="007A6646"/>
    <w:rsid w:val="007A715A"/>
    <w:rsid w:val="007C530E"/>
    <w:rsid w:val="007D099C"/>
    <w:rsid w:val="007D2C00"/>
    <w:rsid w:val="007D2DE0"/>
    <w:rsid w:val="007D442D"/>
    <w:rsid w:val="007D4796"/>
    <w:rsid w:val="007D48DE"/>
    <w:rsid w:val="007E23B7"/>
    <w:rsid w:val="007E5FA0"/>
    <w:rsid w:val="007E72C1"/>
    <w:rsid w:val="0080153A"/>
    <w:rsid w:val="008203AA"/>
    <w:rsid w:val="00826785"/>
    <w:rsid w:val="008340AB"/>
    <w:rsid w:val="008371F5"/>
    <w:rsid w:val="00837B21"/>
    <w:rsid w:val="00845663"/>
    <w:rsid w:val="00846E86"/>
    <w:rsid w:val="00861B7F"/>
    <w:rsid w:val="00863F44"/>
    <w:rsid w:val="00864450"/>
    <w:rsid w:val="00865817"/>
    <w:rsid w:val="00873220"/>
    <w:rsid w:val="008857CD"/>
    <w:rsid w:val="00891306"/>
    <w:rsid w:val="008956F9"/>
    <w:rsid w:val="008A2AE3"/>
    <w:rsid w:val="008C3EC4"/>
    <w:rsid w:val="008C50A1"/>
    <w:rsid w:val="008C5895"/>
    <w:rsid w:val="008D3433"/>
    <w:rsid w:val="008E00FF"/>
    <w:rsid w:val="008E09A3"/>
    <w:rsid w:val="008F6C16"/>
    <w:rsid w:val="00903F2B"/>
    <w:rsid w:val="009054FF"/>
    <w:rsid w:val="009165DB"/>
    <w:rsid w:val="00926F8D"/>
    <w:rsid w:val="0092788F"/>
    <w:rsid w:val="00927FA2"/>
    <w:rsid w:val="00947078"/>
    <w:rsid w:val="00954E9B"/>
    <w:rsid w:val="00961EE8"/>
    <w:rsid w:val="00962915"/>
    <w:rsid w:val="00963C07"/>
    <w:rsid w:val="00980DB5"/>
    <w:rsid w:val="00986852"/>
    <w:rsid w:val="00992457"/>
    <w:rsid w:val="009A2542"/>
    <w:rsid w:val="009B0B72"/>
    <w:rsid w:val="009B2BD5"/>
    <w:rsid w:val="009B7D16"/>
    <w:rsid w:val="009C29D0"/>
    <w:rsid w:val="009E33FB"/>
    <w:rsid w:val="009F5175"/>
    <w:rsid w:val="00A04ED8"/>
    <w:rsid w:val="00A20763"/>
    <w:rsid w:val="00A2238E"/>
    <w:rsid w:val="00A2346B"/>
    <w:rsid w:val="00A56A31"/>
    <w:rsid w:val="00A63E81"/>
    <w:rsid w:val="00A71473"/>
    <w:rsid w:val="00A72676"/>
    <w:rsid w:val="00A72D91"/>
    <w:rsid w:val="00A80E57"/>
    <w:rsid w:val="00A87166"/>
    <w:rsid w:val="00A903CC"/>
    <w:rsid w:val="00A9610B"/>
    <w:rsid w:val="00AB5633"/>
    <w:rsid w:val="00AC341F"/>
    <w:rsid w:val="00AC4255"/>
    <w:rsid w:val="00AD7DAF"/>
    <w:rsid w:val="00AE3E44"/>
    <w:rsid w:val="00AF2F98"/>
    <w:rsid w:val="00B04184"/>
    <w:rsid w:val="00B16507"/>
    <w:rsid w:val="00B26BC9"/>
    <w:rsid w:val="00B31D9F"/>
    <w:rsid w:val="00B33AC4"/>
    <w:rsid w:val="00B44E40"/>
    <w:rsid w:val="00B46B42"/>
    <w:rsid w:val="00B50351"/>
    <w:rsid w:val="00B55029"/>
    <w:rsid w:val="00B55C05"/>
    <w:rsid w:val="00B5796A"/>
    <w:rsid w:val="00B84191"/>
    <w:rsid w:val="00B9794D"/>
    <w:rsid w:val="00BA4BD6"/>
    <w:rsid w:val="00BB42C4"/>
    <w:rsid w:val="00BB5BED"/>
    <w:rsid w:val="00BC130B"/>
    <w:rsid w:val="00BC38F0"/>
    <w:rsid w:val="00BD62EC"/>
    <w:rsid w:val="00BD7962"/>
    <w:rsid w:val="00BF4929"/>
    <w:rsid w:val="00BF62C2"/>
    <w:rsid w:val="00BF7E74"/>
    <w:rsid w:val="00C06EC0"/>
    <w:rsid w:val="00C10B8D"/>
    <w:rsid w:val="00C132EA"/>
    <w:rsid w:val="00C15C8A"/>
    <w:rsid w:val="00C232B1"/>
    <w:rsid w:val="00C32666"/>
    <w:rsid w:val="00C3270A"/>
    <w:rsid w:val="00C32B95"/>
    <w:rsid w:val="00C63F91"/>
    <w:rsid w:val="00C84656"/>
    <w:rsid w:val="00C8550B"/>
    <w:rsid w:val="00C86376"/>
    <w:rsid w:val="00C86D6F"/>
    <w:rsid w:val="00C87DA4"/>
    <w:rsid w:val="00C91D23"/>
    <w:rsid w:val="00CD0D3A"/>
    <w:rsid w:val="00CD142B"/>
    <w:rsid w:val="00CE10DB"/>
    <w:rsid w:val="00D009D4"/>
    <w:rsid w:val="00D047BB"/>
    <w:rsid w:val="00D073CD"/>
    <w:rsid w:val="00D15CA7"/>
    <w:rsid w:val="00D21427"/>
    <w:rsid w:val="00D24F61"/>
    <w:rsid w:val="00D25AD2"/>
    <w:rsid w:val="00D27218"/>
    <w:rsid w:val="00D31A2A"/>
    <w:rsid w:val="00D41251"/>
    <w:rsid w:val="00D5453E"/>
    <w:rsid w:val="00D57BD8"/>
    <w:rsid w:val="00D60094"/>
    <w:rsid w:val="00D61F46"/>
    <w:rsid w:val="00D62EB3"/>
    <w:rsid w:val="00D6624D"/>
    <w:rsid w:val="00D66983"/>
    <w:rsid w:val="00D8175F"/>
    <w:rsid w:val="00D817A1"/>
    <w:rsid w:val="00DA5EBD"/>
    <w:rsid w:val="00DB0D1B"/>
    <w:rsid w:val="00DF7304"/>
    <w:rsid w:val="00E00BE7"/>
    <w:rsid w:val="00E0254B"/>
    <w:rsid w:val="00E2466E"/>
    <w:rsid w:val="00E24FFC"/>
    <w:rsid w:val="00E27404"/>
    <w:rsid w:val="00E3097E"/>
    <w:rsid w:val="00E3736C"/>
    <w:rsid w:val="00E6267A"/>
    <w:rsid w:val="00E80AAA"/>
    <w:rsid w:val="00E815D6"/>
    <w:rsid w:val="00E82EAE"/>
    <w:rsid w:val="00EA434D"/>
    <w:rsid w:val="00EB031F"/>
    <w:rsid w:val="00ED11BA"/>
    <w:rsid w:val="00ED1A4D"/>
    <w:rsid w:val="00ED727C"/>
    <w:rsid w:val="00EE21FC"/>
    <w:rsid w:val="00EF3912"/>
    <w:rsid w:val="00F01707"/>
    <w:rsid w:val="00F04A07"/>
    <w:rsid w:val="00F20AA3"/>
    <w:rsid w:val="00F40C05"/>
    <w:rsid w:val="00F46112"/>
    <w:rsid w:val="00F46A40"/>
    <w:rsid w:val="00F56808"/>
    <w:rsid w:val="00F70C32"/>
    <w:rsid w:val="00F8798D"/>
    <w:rsid w:val="00F918D9"/>
    <w:rsid w:val="00F9742E"/>
    <w:rsid w:val="00FA0199"/>
    <w:rsid w:val="00FB1372"/>
    <w:rsid w:val="00FC775C"/>
    <w:rsid w:val="00FD0AE8"/>
    <w:rsid w:val="00FD21FB"/>
    <w:rsid w:val="00FD5BF2"/>
    <w:rsid w:val="00FE4C88"/>
    <w:rsid w:val="00FF6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2EA"/>
    <w:pPr>
      <w:spacing w:after="200" w:line="276" w:lineRule="auto"/>
    </w:pPr>
    <w:rPr>
      <w:kern w:val="0"/>
      <w:sz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788F"/>
    <w:pPr>
      <w:ind w:left="720"/>
      <w:contextualSpacing/>
    </w:pPr>
  </w:style>
  <w:style w:type="paragraph" w:styleId="a4">
    <w:name w:val="Balloon Text"/>
    <w:basedOn w:val="a"/>
    <w:link w:val="Char"/>
    <w:uiPriority w:val="99"/>
    <w:semiHidden/>
    <w:rsid w:val="00623BC9"/>
    <w:pPr>
      <w:spacing w:after="0" w:line="240" w:lineRule="auto"/>
    </w:pPr>
    <w:rPr>
      <w:rFonts w:ascii="Tahoma" w:hAnsi="Tahoma" w:cs="Tahoma"/>
      <w:sz w:val="16"/>
      <w:szCs w:val="16"/>
      <w:lang w:val="en-US"/>
    </w:rPr>
  </w:style>
  <w:style w:type="character" w:customStyle="1" w:styleId="Char">
    <w:name w:val="批注框文本 Char"/>
    <w:basedOn w:val="a0"/>
    <w:link w:val="a4"/>
    <w:uiPriority w:val="99"/>
    <w:semiHidden/>
    <w:locked/>
    <w:rsid w:val="00623BC9"/>
    <w:rPr>
      <w:rFonts w:ascii="Tahoma" w:hAnsi="Tahoma" w:cs="Tahoma"/>
      <w:sz w:val="16"/>
      <w:szCs w:val="16"/>
      <w:lang w:val="en-US"/>
    </w:rPr>
  </w:style>
  <w:style w:type="table" w:styleId="a5">
    <w:name w:val="Table Grid"/>
    <w:basedOn w:val="a1"/>
    <w:uiPriority w:val="99"/>
    <w:rsid w:val="00BF4929"/>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rsid w:val="0043082A"/>
    <w:rPr>
      <w:rFonts w:cs="Times New Roman"/>
      <w:color w:val="0000FF"/>
      <w:u w:val="single"/>
    </w:rPr>
  </w:style>
  <w:style w:type="paragraph" w:styleId="a7">
    <w:name w:val="header"/>
    <w:basedOn w:val="a"/>
    <w:link w:val="Char0"/>
    <w:uiPriority w:val="99"/>
    <w:semiHidden/>
    <w:rsid w:val="00106D8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locked/>
    <w:rsid w:val="00106D86"/>
    <w:rPr>
      <w:rFonts w:cs="Times New Roman"/>
      <w:sz w:val="18"/>
      <w:szCs w:val="18"/>
    </w:rPr>
  </w:style>
  <w:style w:type="paragraph" w:styleId="a8">
    <w:name w:val="footer"/>
    <w:basedOn w:val="a"/>
    <w:link w:val="Char1"/>
    <w:uiPriority w:val="99"/>
    <w:semiHidden/>
    <w:rsid w:val="00106D86"/>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locked/>
    <w:rsid w:val="00106D86"/>
    <w:rPr>
      <w:rFonts w:cs="Times New Roman"/>
      <w:sz w:val="18"/>
      <w:szCs w:val="18"/>
    </w:rPr>
  </w:style>
  <w:style w:type="character" w:styleId="a9">
    <w:name w:val="annotation reference"/>
    <w:basedOn w:val="a0"/>
    <w:uiPriority w:val="99"/>
    <w:semiHidden/>
    <w:rsid w:val="00106D86"/>
    <w:rPr>
      <w:rFonts w:cs="Times New Roman"/>
      <w:sz w:val="21"/>
      <w:szCs w:val="21"/>
    </w:rPr>
  </w:style>
  <w:style w:type="paragraph" w:styleId="aa">
    <w:name w:val="annotation text"/>
    <w:basedOn w:val="a"/>
    <w:link w:val="Char2"/>
    <w:uiPriority w:val="99"/>
    <w:rsid w:val="00106D86"/>
  </w:style>
  <w:style w:type="character" w:customStyle="1" w:styleId="Char2">
    <w:name w:val="批注文字 Char"/>
    <w:basedOn w:val="a0"/>
    <w:link w:val="aa"/>
    <w:uiPriority w:val="99"/>
    <w:semiHidden/>
    <w:locked/>
    <w:rsid w:val="00106D86"/>
    <w:rPr>
      <w:rFonts w:cs="Times New Roman"/>
    </w:rPr>
  </w:style>
  <w:style w:type="paragraph" w:styleId="ab">
    <w:name w:val="annotation subject"/>
    <w:basedOn w:val="aa"/>
    <w:next w:val="aa"/>
    <w:link w:val="Char3"/>
    <w:uiPriority w:val="99"/>
    <w:semiHidden/>
    <w:rsid w:val="00106D86"/>
    <w:rPr>
      <w:b/>
      <w:bCs/>
    </w:rPr>
  </w:style>
  <w:style w:type="character" w:customStyle="1" w:styleId="Char3">
    <w:name w:val="批注主题 Char"/>
    <w:basedOn w:val="Char2"/>
    <w:link w:val="ab"/>
    <w:uiPriority w:val="99"/>
    <w:semiHidden/>
    <w:locked/>
    <w:rsid w:val="00106D86"/>
    <w:rPr>
      <w:rFonts w:cs="Times New Roman"/>
      <w:b/>
      <w:bCs/>
    </w:rPr>
  </w:style>
  <w:style w:type="character" w:customStyle="1" w:styleId="Char10">
    <w:name w:val="批注文字 Char1"/>
    <w:basedOn w:val="a0"/>
    <w:uiPriority w:val="99"/>
    <w:semiHidden/>
    <w:rsid w:val="005E259A"/>
    <w:rPr>
      <w:rFonts w:eastAsia="Times New Roman" w:cs="Times New Roman"/>
      <w:kern w:val="2"/>
      <w:sz w:val="24"/>
      <w:szCs w:val="24"/>
      <w:lang w:val="en-US" w:eastAsia="zh-CN" w:bidi="ar-SA"/>
    </w:rPr>
  </w:style>
  <w:style w:type="character" w:customStyle="1" w:styleId="highlight1">
    <w:name w:val="highlight1"/>
    <w:basedOn w:val="a0"/>
    <w:uiPriority w:val="99"/>
    <w:rsid w:val="005E259A"/>
    <w:rPr>
      <w:rFonts w:cs="Times New Roman"/>
      <w:shd w:val="clear" w:color="auto" w:fill="F1BFE0"/>
    </w:rPr>
  </w:style>
  <w:style w:type="character" w:styleId="ac">
    <w:name w:val="FollowedHyperlink"/>
    <w:basedOn w:val="a0"/>
    <w:uiPriority w:val="99"/>
    <w:semiHidden/>
    <w:rsid w:val="005E259A"/>
    <w:rPr>
      <w:rFonts w:cs="Times New Roman"/>
      <w:color w:val="800080"/>
      <w:u w:val="single"/>
    </w:rPr>
  </w:style>
  <w:style w:type="paragraph" w:styleId="ad">
    <w:name w:val="Revision"/>
    <w:hidden/>
    <w:uiPriority w:val="99"/>
    <w:semiHidden/>
    <w:rsid w:val="00231356"/>
    <w:rPr>
      <w:kern w:val="0"/>
      <w:sz w:val="22"/>
      <w:lang w:val="en-GB" w:eastAsia="en-GB"/>
    </w:rPr>
  </w:style>
  <w:style w:type="paragraph" w:customStyle="1" w:styleId="p0">
    <w:name w:val="p0"/>
    <w:basedOn w:val="a"/>
    <w:uiPriority w:val="99"/>
    <w:rsid w:val="001373A1"/>
    <w:pPr>
      <w:spacing w:after="0" w:line="240" w:lineRule="atLeast"/>
    </w:pPr>
    <w:rPr>
      <w:rFonts w:ascii="Century"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2EA"/>
    <w:pPr>
      <w:spacing w:after="200" w:line="276" w:lineRule="auto"/>
    </w:pPr>
    <w:rPr>
      <w:kern w:val="0"/>
      <w:sz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788F"/>
    <w:pPr>
      <w:ind w:left="720"/>
      <w:contextualSpacing/>
    </w:pPr>
  </w:style>
  <w:style w:type="paragraph" w:styleId="a4">
    <w:name w:val="Balloon Text"/>
    <w:basedOn w:val="a"/>
    <w:link w:val="Char"/>
    <w:uiPriority w:val="99"/>
    <w:semiHidden/>
    <w:rsid w:val="00623BC9"/>
    <w:pPr>
      <w:spacing w:after="0" w:line="240" w:lineRule="auto"/>
    </w:pPr>
    <w:rPr>
      <w:rFonts w:ascii="Tahoma" w:hAnsi="Tahoma" w:cs="Tahoma"/>
      <w:sz w:val="16"/>
      <w:szCs w:val="16"/>
      <w:lang w:val="en-US"/>
    </w:rPr>
  </w:style>
  <w:style w:type="character" w:customStyle="1" w:styleId="Char">
    <w:name w:val="批注框文本 Char"/>
    <w:basedOn w:val="a0"/>
    <w:link w:val="a4"/>
    <w:uiPriority w:val="99"/>
    <w:semiHidden/>
    <w:locked/>
    <w:rsid w:val="00623BC9"/>
    <w:rPr>
      <w:rFonts w:ascii="Tahoma" w:hAnsi="Tahoma" w:cs="Tahoma"/>
      <w:sz w:val="16"/>
      <w:szCs w:val="16"/>
      <w:lang w:val="en-US"/>
    </w:rPr>
  </w:style>
  <w:style w:type="table" w:styleId="a5">
    <w:name w:val="Table Grid"/>
    <w:basedOn w:val="a1"/>
    <w:uiPriority w:val="99"/>
    <w:rsid w:val="00BF4929"/>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rsid w:val="0043082A"/>
    <w:rPr>
      <w:rFonts w:cs="Times New Roman"/>
      <w:color w:val="0000FF"/>
      <w:u w:val="single"/>
    </w:rPr>
  </w:style>
  <w:style w:type="paragraph" w:styleId="a7">
    <w:name w:val="header"/>
    <w:basedOn w:val="a"/>
    <w:link w:val="Char0"/>
    <w:uiPriority w:val="99"/>
    <w:semiHidden/>
    <w:rsid w:val="00106D8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locked/>
    <w:rsid w:val="00106D86"/>
    <w:rPr>
      <w:rFonts w:cs="Times New Roman"/>
      <w:sz w:val="18"/>
      <w:szCs w:val="18"/>
    </w:rPr>
  </w:style>
  <w:style w:type="paragraph" w:styleId="a8">
    <w:name w:val="footer"/>
    <w:basedOn w:val="a"/>
    <w:link w:val="Char1"/>
    <w:uiPriority w:val="99"/>
    <w:semiHidden/>
    <w:rsid w:val="00106D86"/>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locked/>
    <w:rsid w:val="00106D86"/>
    <w:rPr>
      <w:rFonts w:cs="Times New Roman"/>
      <w:sz w:val="18"/>
      <w:szCs w:val="18"/>
    </w:rPr>
  </w:style>
  <w:style w:type="character" w:styleId="a9">
    <w:name w:val="annotation reference"/>
    <w:basedOn w:val="a0"/>
    <w:uiPriority w:val="99"/>
    <w:semiHidden/>
    <w:rsid w:val="00106D86"/>
    <w:rPr>
      <w:rFonts w:cs="Times New Roman"/>
      <w:sz w:val="21"/>
      <w:szCs w:val="21"/>
    </w:rPr>
  </w:style>
  <w:style w:type="paragraph" w:styleId="aa">
    <w:name w:val="annotation text"/>
    <w:basedOn w:val="a"/>
    <w:link w:val="Char2"/>
    <w:uiPriority w:val="99"/>
    <w:rsid w:val="00106D86"/>
  </w:style>
  <w:style w:type="character" w:customStyle="1" w:styleId="Char2">
    <w:name w:val="批注文字 Char"/>
    <w:basedOn w:val="a0"/>
    <w:link w:val="aa"/>
    <w:uiPriority w:val="99"/>
    <w:semiHidden/>
    <w:locked/>
    <w:rsid w:val="00106D86"/>
    <w:rPr>
      <w:rFonts w:cs="Times New Roman"/>
    </w:rPr>
  </w:style>
  <w:style w:type="paragraph" w:styleId="ab">
    <w:name w:val="annotation subject"/>
    <w:basedOn w:val="aa"/>
    <w:next w:val="aa"/>
    <w:link w:val="Char3"/>
    <w:uiPriority w:val="99"/>
    <w:semiHidden/>
    <w:rsid w:val="00106D86"/>
    <w:rPr>
      <w:b/>
      <w:bCs/>
    </w:rPr>
  </w:style>
  <w:style w:type="character" w:customStyle="1" w:styleId="Char3">
    <w:name w:val="批注主题 Char"/>
    <w:basedOn w:val="Char2"/>
    <w:link w:val="ab"/>
    <w:uiPriority w:val="99"/>
    <w:semiHidden/>
    <w:locked/>
    <w:rsid w:val="00106D86"/>
    <w:rPr>
      <w:rFonts w:cs="Times New Roman"/>
      <w:b/>
      <w:bCs/>
    </w:rPr>
  </w:style>
  <w:style w:type="character" w:customStyle="1" w:styleId="Char10">
    <w:name w:val="批注文字 Char1"/>
    <w:basedOn w:val="a0"/>
    <w:uiPriority w:val="99"/>
    <w:semiHidden/>
    <w:rsid w:val="005E259A"/>
    <w:rPr>
      <w:rFonts w:eastAsia="Times New Roman" w:cs="Times New Roman"/>
      <w:kern w:val="2"/>
      <w:sz w:val="24"/>
      <w:szCs w:val="24"/>
      <w:lang w:val="en-US" w:eastAsia="zh-CN" w:bidi="ar-SA"/>
    </w:rPr>
  </w:style>
  <w:style w:type="character" w:customStyle="1" w:styleId="highlight1">
    <w:name w:val="highlight1"/>
    <w:basedOn w:val="a0"/>
    <w:uiPriority w:val="99"/>
    <w:rsid w:val="005E259A"/>
    <w:rPr>
      <w:rFonts w:cs="Times New Roman"/>
      <w:shd w:val="clear" w:color="auto" w:fill="F1BFE0"/>
    </w:rPr>
  </w:style>
  <w:style w:type="character" w:styleId="ac">
    <w:name w:val="FollowedHyperlink"/>
    <w:basedOn w:val="a0"/>
    <w:uiPriority w:val="99"/>
    <w:semiHidden/>
    <w:rsid w:val="005E259A"/>
    <w:rPr>
      <w:rFonts w:cs="Times New Roman"/>
      <w:color w:val="800080"/>
      <w:u w:val="single"/>
    </w:rPr>
  </w:style>
  <w:style w:type="paragraph" w:styleId="ad">
    <w:name w:val="Revision"/>
    <w:hidden/>
    <w:uiPriority w:val="99"/>
    <w:semiHidden/>
    <w:rsid w:val="00231356"/>
    <w:rPr>
      <w:kern w:val="0"/>
      <w:sz w:val="22"/>
      <w:lang w:val="en-GB" w:eastAsia="en-GB"/>
    </w:rPr>
  </w:style>
  <w:style w:type="paragraph" w:customStyle="1" w:styleId="p0">
    <w:name w:val="p0"/>
    <w:basedOn w:val="a"/>
    <w:uiPriority w:val="99"/>
    <w:rsid w:val="001373A1"/>
    <w:pPr>
      <w:spacing w:after="0" w:line="240" w:lineRule="atLeast"/>
    </w:pPr>
    <w:rPr>
      <w:rFonts w:ascii="Century"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45230">
      <w:marLeft w:val="0"/>
      <w:marRight w:val="0"/>
      <w:marTop w:val="0"/>
      <w:marBottom w:val="0"/>
      <w:divBdr>
        <w:top w:val="none" w:sz="0" w:space="0" w:color="auto"/>
        <w:left w:val="none" w:sz="0" w:space="0" w:color="auto"/>
        <w:bottom w:val="none" w:sz="0" w:space="0" w:color="auto"/>
        <w:right w:val="none" w:sz="0" w:space="0" w:color="auto"/>
      </w:divBdr>
      <w:divsChild>
        <w:div w:id="874345238">
          <w:marLeft w:val="0"/>
          <w:marRight w:val="0"/>
          <w:marTop w:val="0"/>
          <w:marBottom w:val="0"/>
          <w:divBdr>
            <w:top w:val="none" w:sz="0" w:space="0" w:color="auto"/>
            <w:left w:val="none" w:sz="0" w:space="0" w:color="auto"/>
            <w:bottom w:val="none" w:sz="0" w:space="0" w:color="auto"/>
            <w:right w:val="none" w:sz="0" w:space="0" w:color="auto"/>
          </w:divBdr>
          <w:divsChild>
            <w:div w:id="874345224">
              <w:marLeft w:val="0"/>
              <w:marRight w:val="0"/>
              <w:marTop w:val="0"/>
              <w:marBottom w:val="0"/>
              <w:divBdr>
                <w:top w:val="none" w:sz="0" w:space="0" w:color="auto"/>
                <w:left w:val="none" w:sz="0" w:space="0" w:color="auto"/>
                <w:bottom w:val="none" w:sz="0" w:space="0" w:color="auto"/>
                <w:right w:val="none" w:sz="0" w:space="0" w:color="auto"/>
              </w:divBdr>
            </w:div>
            <w:div w:id="874345225">
              <w:marLeft w:val="0"/>
              <w:marRight w:val="0"/>
              <w:marTop w:val="0"/>
              <w:marBottom w:val="0"/>
              <w:divBdr>
                <w:top w:val="none" w:sz="0" w:space="0" w:color="auto"/>
                <w:left w:val="none" w:sz="0" w:space="0" w:color="auto"/>
                <w:bottom w:val="none" w:sz="0" w:space="0" w:color="auto"/>
                <w:right w:val="none" w:sz="0" w:space="0" w:color="auto"/>
              </w:divBdr>
            </w:div>
            <w:div w:id="874345226">
              <w:marLeft w:val="0"/>
              <w:marRight w:val="0"/>
              <w:marTop w:val="0"/>
              <w:marBottom w:val="0"/>
              <w:divBdr>
                <w:top w:val="none" w:sz="0" w:space="0" w:color="auto"/>
                <w:left w:val="none" w:sz="0" w:space="0" w:color="auto"/>
                <w:bottom w:val="none" w:sz="0" w:space="0" w:color="auto"/>
                <w:right w:val="none" w:sz="0" w:space="0" w:color="auto"/>
              </w:divBdr>
            </w:div>
            <w:div w:id="874345227">
              <w:marLeft w:val="0"/>
              <w:marRight w:val="0"/>
              <w:marTop w:val="0"/>
              <w:marBottom w:val="0"/>
              <w:divBdr>
                <w:top w:val="none" w:sz="0" w:space="0" w:color="auto"/>
                <w:left w:val="none" w:sz="0" w:space="0" w:color="auto"/>
                <w:bottom w:val="none" w:sz="0" w:space="0" w:color="auto"/>
                <w:right w:val="none" w:sz="0" w:space="0" w:color="auto"/>
              </w:divBdr>
            </w:div>
            <w:div w:id="874345228">
              <w:marLeft w:val="0"/>
              <w:marRight w:val="0"/>
              <w:marTop w:val="0"/>
              <w:marBottom w:val="0"/>
              <w:divBdr>
                <w:top w:val="none" w:sz="0" w:space="0" w:color="auto"/>
                <w:left w:val="none" w:sz="0" w:space="0" w:color="auto"/>
                <w:bottom w:val="none" w:sz="0" w:space="0" w:color="auto"/>
                <w:right w:val="none" w:sz="0" w:space="0" w:color="auto"/>
              </w:divBdr>
            </w:div>
            <w:div w:id="874345229">
              <w:marLeft w:val="0"/>
              <w:marRight w:val="0"/>
              <w:marTop w:val="0"/>
              <w:marBottom w:val="0"/>
              <w:divBdr>
                <w:top w:val="none" w:sz="0" w:space="0" w:color="auto"/>
                <w:left w:val="none" w:sz="0" w:space="0" w:color="auto"/>
                <w:bottom w:val="none" w:sz="0" w:space="0" w:color="auto"/>
                <w:right w:val="none" w:sz="0" w:space="0" w:color="auto"/>
              </w:divBdr>
            </w:div>
            <w:div w:id="874345231">
              <w:marLeft w:val="0"/>
              <w:marRight w:val="0"/>
              <w:marTop w:val="0"/>
              <w:marBottom w:val="0"/>
              <w:divBdr>
                <w:top w:val="none" w:sz="0" w:space="0" w:color="auto"/>
                <w:left w:val="none" w:sz="0" w:space="0" w:color="auto"/>
                <w:bottom w:val="none" w:sz="0" w:space="0" w:color="auto"/>
                <w:right w:val="none" w:sz="0" w:space="0" w:color="auto"/>
              </w:divBdr>
            </w:div>
            <w:div w:id="874345232">
              <w:marLeft w:val="0"/>
              <w:marRight w:val="0"/>
              <w:marTop w:val="0"/>
              <w:marBottom w:val="0"/>
              <w:divBdr>
                <w:top w:val="none" w:sz="0" w:space="0" w:color="auto"/>
                <w:left w:val="none" w:sz="0" w:space="0" w:color="auto"/>
                <w:bottom w:val="none" w:sz="0" w:space="0" w:color="auto"/>
                <w:right w:val="none" w:sz="0" w:space="0" w:color="auto"/>
              </w:divBdr>
            </w:div>
            <w:div w:id="874345233">
              <w:marLeft w:val="0"/>
              <w:marRight w:val="0"/>
              <w:marTop w:val="0"/>
              <w:marBottom w:val="0"/>
              <w:divBdr>
                <w:top w:val="none" w:sz="0" w:space="0" w:color="auto"/>
                <w:left w:val="none" w:sz="0" w:space="0" w:color="auto"/>
                <w:bottom w:val="none" w:sz="0" w:space="0" w:color="auto"/>
                <w:right w:val="none" w:sz="0" w:space="0" w:color="auto"/>
              </w:divBdr>
            </w:div>
            <w:div w:id="874345234">
              <w:marLeft w:val="0"/>
              <w:marRight w:val="0"/>
              <w:marTop w:val="0"/>
              <w:marBottom w:val="0"/>
              <w:divBdr>
                <w:top w:val="none" w:sz="0" w:space="0" w:color="auto"/>
                <w:left w:val="none" w:sz="0" w:space="0" w:color="auto"/>
                <w:bottom w:val="none" w:sz="0" w:space="0" w:color="auto"/>
                <w:right w:val="none" w:sz="0" w:space="0" w:color="auto"/>
              </w:divBdr>
            </w:div>
            <w:div w:id="874345235">
              <w:marLeft w:val="0"/>
              <w:marRight w:val="0"/>
              <w:marTop w:val="0"/>
              <w:marBottom w:val="0"/>
              <w:divBdr>
                <w:top w:val="none" w:sz="0" w:space="0" w:color="auto"/>
                <w:left w:val="none" w:sz="0" w:space="0" w:color="auto"/>
                <w:bottom w:val="none" w:sz="0" w:space="0" w:color="auto"/>
                <w:right w:val="none" w:sz="0" w:space="0" w:color="auto"/>
              </w:divBdr>
            </w:div>
            <w:div w:id="874345236">
              <w:marLeft w:val="0"/>
              <w:marRight w:val="0"/>
              <w:marTop w:val="0"/>
              <w:marBottom w:val="0"/>
              <w:divBdr>
                <w:top w:val="none" w:sz="0" w:space="0" w:color="auto"/>
                <w:left w:val="none" w:sz="0" w:space="0" w:color="auto"/>
                <w:bottom w:val="none" w:sz="0" w:space="0" w:color="auto"/>
                <w:right w:val="none" w:sz="0" w:space="0" w:color="auto"/>
              </w:divBdr>
            </w:div>
            <w:div w:id="874345237">
              <w:marLeft w:val="0"/>
              <w:marRight w:val="0"/>
              <w:marTop w:val="0"/>
              <w:marBottom w:val="0"/>
              <w:divBdr>
                <w:top w:val="none" w:sz="0" w:space="0" w:color="auto"/>
                <w:left w:val="none" w:sz="0" w:space="0" w:color="auto"/>
                <w:bottom w:val="none" w:sz="0" w:space="0" w:color="auto"/>
                <w:right w:val="none" w:sz="0" w:space="0" w:color="auto"/>
              </w:divBdr>
            </w:div>
            <w:div w:id="874345239">
              <w:marLeft w:val="0"/>
              <w:marRight w:val="0"/>
              <w:marTop w:val="0"/>
              <w:marBottom w:val="0"/>
              <w:divBdr>
                <w:top w:val="none" w:sz="0" w:space="0" w:color="auto"/>
                <w:left w:val="none" w:sz="0" w:space="0" w:color="auto"/>
                <w:bottom w:val="none" w:sz="0" w:space="0" w:color="auto"/>
                <w:right w:val="none" w:sz="0" w:space="0" w:color="auto"/>
              </w:divBdr>
            </w:div>
            <w:div w:id="874345241">
              <w:marLeft w:val="0"/>
              <w:marRight w:val="0"/>
              <w:marTop w:val="0"/>
              <w:marBottom w:val="0"/>
              <w:divBdr>
                <w:top w:val="none" w:sz="0" w:space="0" w:color="auto"/>
                <w:left w:val="none" w:sz="0" w:space="0" w:color="auto"/>
                <w:bottom w:val="none" w:sz="0" w:space="0" w:color="auto"/>
                <w:right w:val="none" w:sz="0" w:space="0" w:color="auto"/>
              </w:divBdr>
            </w:div>
            <w:div w:id="874345242">
              <w:marLeft w:val="0"/>
              <w:marRight w:val="0"/>
              <w:marTop w:val="0"/>
              <w:marBottom w:val="0"/>
              <w:divBdr>
                <w:top w:val="none" w:sz="0" w:space="0" w:color="auto"/>
                <w:left w:val="none" w:sz="0" w:space="0" w:color="auto"/>
                <w:bottom w:val="none" w:sz="0" w:space="0" w:color="auto"/>
                <w:right w:val="none" w:sz="0" w:space="0" w:color="auto"/>
              </w:divBdr>
            </w:div>
            <w:div w:id="874345243">
              <w:marLeft w:val="0"/>
              <w:marRight w:val="0"/>
              <w:marTop w:val="0"/>
              <w:marBottom w:val="0"/>
              <w:divBdr>
                <w:top w:val="none" w:sz="0" w:space="0" w:color="auto"/>
                <w:left w:val="none" w:sz="0" w:space="0" w:color="auto"/>
                <w:bottom w:val="none" w:sz="0" w:space="0" w:color="auto"/>
                <w:right w:val="none" w:sz="0" w:space="0" w:color="auto"/>
              </w:divBdr>
            </w:div>
            <w:div w:id="874345245">
              <w:marLeft w:val="0"/>
              <w:marRight w:val="0"/>
              <w:marTop w:val="0"/>
              <w:marBottom w:val="0"/>
              <w:divBdr>
                <w:top w:val="none" w:sz="0" w:space="0" w:color="auto"/>
                <w:left w:val="none" w:sz="0" w:space="0" w:color="auto"/>
                <w:bottom w:val="none" w:sz="0" w:space="0" w:color="auto"/>
                <w:right w:val="none" w:sz="0" w:space="0" w:color="auto"/>
              </w:divBdr>
            </w:div>
            <w:div w:id="874345246">
              <w:marLeft w:val="0"/>
              <w:marRight w:val="0"/>
              <w:marTop w:val="0"/>
              <w:marBottom w:val="0"/>
              <w:divBdr>
                <w:top w:val="none" w:sz="0" w:space="0" w:color="auto"/>
                <w:left w:val="none" w:sz="0" w:space="0" w:color="auto"/>
                <w:bottom w:val="none" w:sz="0" w:space="0" w:color="auto"/>
                <w:right w:val="none" w:sz="0" w:space="0" w:color="auto"/>
              </w:divBdr>
            </w:div>
            <w:div w:id="874345247">
              <w:marLeft w:val="0"/>
              <w:marRight w:val="0"/>
              <w:marTop w:val="0"/>
              <w:marBottom w:val="0"/>
              <w:divBdr>
                <w:top w:val="none" w:sz="0" w:space="0" w:color="auto"/>
                <w:left w:val="none" w:sz="0" w:space="0" w:color="auto"/>
                <w:bottom w:val="none" w:sz="0" w:space="0" w:color="auto"/>
                <w:right w:val="none" w:sz="0" w:space="0" w:color="auto"/>
              </w:divBdr>
            </w:div>
            <w:div w:id="874345248">
              <w:marLeft w:val="0"/>
              <w:marRight w:val="0"/>
              <w:marTop w:val="0"/>
              <w:marBottom w:val="0"/>
              <w:divBdr>
                <w:top w:val="none" w:sz="0" w:space="0" w:color="auto"/>
                <w:left w:val="none" w:sz="0" w:space="0" w:color="auto"/>
                <w:bottom w:val="none" w:sz="0" w:space="0" w:color="auto"/>
                <w:right w:val="none" w:sz="0" w:space="0" w:color="auto"/>
              </w:divBdr>
            </w:div>
            <w:div w:id="874345249">
              <w:marLeft w:val="0"/>
              <w:marRight w:val="0"/>
              <w:marTop w:val="0"/>
              <w:marBottom w:val="0"/>
              <w:divBdr>
                <w:top w:val="none" w:sz="0" w:space="0" w:color="auto"/>
                <w:left w:val="none" w:sz="0" w:space="0" w:color="auto"/>
                <w:bottom w:val="none" w:sz="0" w:space="0" w:color="auto"/>
                <w:right w:val="none" w:sz="0" w:space="0" w:color="auto"/>
              </w:divBdr>
            </w:div>
            <w:div w:id="874345250">
              <w:marLeft w:val="0"/>
              <w:marRight w:val="0"/>
              <w:marTop w:val="0"/>
              <w:marBottom w:val="0"/>
              <w:divBdr>
                <w:top w:val="none" w:sz="0" w:space="0" w:color="auto"/>
                <w:left w:val="none" w:sz="0" w:space="0" w:color="auto"/>
                <w:bottom w:val="none" w:sz="0" w:space="0" w:color="auto"/>
                <w:right w:val="none" w:sz="0" w:space="0" w:color="auto"/>
              </w:divBdr>
            </w:div>
            <w:div w:id="874345251">
              <w:marLeft w:val="0"/>
              <w:marRight w:val="0"/>
              <w:marTop w:val="0"/>
              <w:marBottom w:val="0"/>
              <w:divBdr>
                <w:top w:val="none" w:sz="0" w:space="0" w:color="auto"/>
                <w:left w:val="none" w:sz="0" w:space="0" w:color="auto"/>
                <w:bottom w:val="none" w:sz="0" w:space="0" w:color="auto"/>
                <w:right w:val="none" w:sz="0" w:space="0" w:color="auto"/>
              </w:divBdr>
            </w:div>
            <w:div w:id="874345252">
              <w:marLeft w:val="0"/>
              <w:marRight w:val="0"/>
              <w:marTop w:val="0"/>
              <w:marBottom w:val="0"/>
              <w:divBdr>
                <w:top w:val="none" w:sz="0" w:space="0" w:color="auto"/>
                <w:left w:val="none" w:sz="0" w:space="0" w:color="auto"/>
                <w:bottom w:val="none" w:sz="0" w:space="0" w:color="auto"/>
                <w:right w:val="none" w:sz="0" w:space="0" w:color="auto"/>
              </w:divBdr>
            </w:div>
            <w:div w:id="874345253">
              <w:marLeft w:val="0"/>
              <w:marRight w:val="0"/>
              <w:marTop w:val="0"/>
              <w:marBottom w:val="0"/>
              <w:divBdr>
                <w:top w:val="none" w:sz="0" w:space="0" w:color="auto"/>
                <w:left w:val="none" w:sz="0" w:space="0" w:color="auto"/>
                <w:bottom w:val="none" w:sz="0" w:space="0" w:color="auto"/>
                <w:right w:val="none" w:sz="0" w:space="0" w:color="auto"/>
              </w:divBdr>
            </w:div>
            <w:div w:id="874345254">
              <w:marLeft w:val="0"/>
              <w:marRight w:val="0"/>
              <w:marTop w:val="0"/>
              <w:marBottom w:val="0"/>
              <w:divBdr>
                <w:top w:val="none" w:sz="0" w:space="0" w:color="auto"/>
                <w:left w:val="none" w:sz="0" w:space="0" w:color="auto"/>
                <w:bottom w:val="none" w:sz="0" w:space="0" w:color="auto"/>
                <w:right w:val="none" w:sz="0" w:space="0" w:color="auto"/>
              </w:divBdr>
            </w:div>
            <w:div w:id="874345255">
              <w:marLeft w:val="0"/>
              <w:marRight w:val="0"/>
              <w:marTop w:val="0"/>
              <w:marBottom w:val="0"/>
              <w:divBdr>
                <w:top w:val="none" w:sz="0" w:space="0" w:color="auto"/>
                <w:left w:val="none" w:sz="0" w:space="0" w:color="auto"/>
                <w:bottom w:val="none" w:sz="0" w:space="0" w:color="auto"/>
                <w:right w:val="none" w:sz="0" w:space="0" w:color="auto"/>
              </w:divBdr>
            </w:div>
            <w:div w:id="874345256">
              <w:marLeft w:val="0"/>
              <w:marRight w:val="0"/>
              <w:marTop w:val="0"/>
              <w:marBottom w:val="0"/>
              <w:divBdr>
                <w:top w:val="none" w:sz="0" w:space="0" w:color="auto"/>
                <w:left w:val="none" w:sz="0" w:space="0" w:color="auto"/>
                <w:bottom w:val="none" w:sz="0" w:space="0" w:color="auto"/>
                <w:right w:val="none" w:sz="0" w:space="0" w:color="auto"/>
              </w:divBdr>
            </w:div>
            <w:div w:id="874345257">
              <w:marLeft w:val="0"/>
              <w:marRight w:val="0"/>
              <w:marTop w:val="0"/>
              <w:marBottom w:val="0"/>
              <w:divBdr>
                <w:top w:val="none" w:sz="0" w:space="0" w:color="auto"/>
                <w:left w:val="none" w:sz="0" w:space="0" w:color="auto"/>
                <w:bottom w:val="none" w:sz="0" w:space="0" w:color="auto"/>
                <w:right w:val="none" w:sz="0" w:space="0" w:color="auto"/>
              </w:divBdr>
            </w:div>
            <w:div w:id="8743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5240">
      <w:marLeft w:val="0"/>
      <w:marRight w:val="0"/>
      <w:marTop w:val="0"/>
      <w:marBottom w:val="0"/>
      <w:divBdr>
        <w:top w:val="none" w:sz="0" w:space="0" w:color="auto"/>
        <w:left w:val="none" w:sz="0" w:space="0" w:color="auto"/>
        <w:bottom w:val="none" w:sz="0" w:space="0" w:color="auto"/>
        <w:right w:val="none" w:sz="0" w:space="0" w:color="auto"/>
      </w:divBdr>
    </w:div>
    <w:div w:id="8743452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nghb3@ukzn.ac.z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4627</Words>
  <Characters>26375</Characters>
  <Application>Microsoft Office Word</Application>
  <DocSecurity>0</DocSecurity>
  <Lines>219</Lines>
  <Paragraphs>61</Paragraphs>
  <ScaleCrop>false</ScaleCrop>
  <Company>Toshiba</Company>
  <LinksUpToDate>false</LinksUpToDate>
  <CharactersWithSpaces>30941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Suman</dc:creator>
  <cp:lastModifiedBy>LS Ma</cp:lastModifiedBy>
  <cp:revision>2</cp:revision>
  <cp:lastPrinted>2013-11-15T05:55:00Z</cp:lastPrinted>
  <dcterms:created xsi:type="dcterms:W3CDTF">2014-01-06T00:17:00Z</dcterms:created>
  <dcterms:modified xsi:type="dcterms:W3CDTF">2014-01-06T00:17:00Z</dcterms:modified>
</cp:coreProperties>
</file>