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FD2671" w14:textId="58A04E58" w:rsidR="000B3F3E" w:rsidRPr="00CA4C0B" w:rsidRDefault="000B3F3E" w:rsidP="007F2CA0">
      <w:pPr>
        <w:pStyle w:val="BodyA"/>
        <w:snapToGrid w:val="0"/>
        <w:spacing w:after="0" w:line="360" w:lineRule="auto"/>
        <w:jc w:val="both"/>
        <w:rPr>
          <w:rFonts w:ascii="Book Antiqua" w:eastAsia="Times New Roman" w:hAnsi="Book Antiqua" w:cs="Times New Roman"/>
          <w:b/>
          <w:bCs/>
          <w:color w:val="auto"/>
          <w:sz w:val="24"/>
          <w:szCs w:val="24"/>
          <w:shd w:val="clear" w:color="auto" w:fill="FFFFFF"/>
        </w:rPr>
      </w:pPr>
      <w:r w:rsidRPr="00CA4C0B">
        <w:rPr>
          <w:rFonts w:ascii="Book Antiqua" w:eastAsia="Times New Roman" w:hAnsi="Book Antiqua" w:cs="Times New Roman"/>
          <w:b/>
          <w:bCs/>
          <w:color w:val="auto"/>
          <w:sz w:val="24"/>
          <w:szCs w:val="24"/>
          <w:shd w:val="clear" w:color="auto" w:fill="FFFFFF"/>
        </w:rPr>
        <w:t xml:space="preserve">Name of Journal: </w:t>
      </w:r>
      <w:r w:rsidRPr="00CA4C0B">
        <w:rPr>
          <w:rFonts w:ascii="Book Antiqua" w:eastAsia="Times New Roman" w:hAnsi="Book Antiqua" w:cs="Times New Roman"/>
          <w:bCs/>
          <w:i/>
          <w:color w:val="auto"/>
          <w:sz w:val="24"/>
          <w:szCs w:val="24"/>
          <w:shd w:val="clear" w:color="auto" w:fill="FFFFFF"/>
        </w:rPr>
        <w:t>World Journal of Gastroenterology</w:t>
      </w:r>
    </w:p>
    <w:p w14:paraId="77B8A50C" w14:textId="3E82628A" w:rsidR="000B3F3E" w:rsidRPr="00CA4C0B" w:rsidRDefault="000B3F3E" w:rsidP="007F2CA0">
      <w:pPr>
        <w:pStyle w:val="BodyA"/>
        <w:snapToGrid w:val="0"/>
        <w:spacing w:after="0" w:line="360" w:lineRule="auto"/>
        <w:jc w:val="both"/>
        <w:rPr>
          <w:rFonts w:ascii="Book Antiqua" w:eastAsia="Times New Roman" w:hAnsi="Book Antiqua" w:cs="Times New Roman"/>
          <w:b/>
          <w:bCs/>
          <w:color w:val="auto"/>
          <w:sz w:val="24"/>
          <w:szCs w:val="24"/>
          <w:shd w:val="clear" w:color="auto" w:fill="FFFFFF"/>
        </w:rPr>
      </w:pPr>
      <w:r w:rsidRPr="00CA4C0B">
        <w:rPr>
          <w:rFonts w:ascii="Book Antiqua" w:eastAsia="Times New Roman" w:hAnsi="Book Antiqua" w:cs="Times New Roman"/>
          <w:b/>
          <w:bCs/>
          <w:color w:val="auto"/>
          <w:sz w:val="24"/>
          <w:szCs w:val="24"/>
          <w:shd w:val="clear" w:color="auto" w:fill="FFFFFF"/>
        </w:rPr>
        <w:t xml:space="preserve">Manuscript NO: </w:t>
      </w:r>
      <w:r w:rsidRPr="00CA4C0B">
        <w:rPr>
          <w:rFonts w:ascii="Book Antiqua" w:eastAsia="Times New Roman" w:hAnsi="Book Antiqua" w:cs="Times New Roman"/>
          <w:bCs/>
          <w:color w:val="auto"/>
          <w:sz w:val="24"/>
          <w:szCs w:val="24"/>
          <w:shd w:val="clear" w:color="auto" w:fill="FFFFFF"/>
        </w:rPr>
        <w:t>54925</w:t>
      </w:r>
    </w:p>
    <w:p w14:paraId="231D7749" w14:textId="77777777" w:rsidR="000B3F3E" w:rsidRPr="00CA4C0B" w:rsidRDefault="000B3F3E" w:rsidP="007F2CA0">
      <w:pPr>
        <w:pStyle w:val="BodyA"/>
        <w:snapToGrid w:val="0"/>
        <w:spacing w:after="0" w:line="360" w:lineRule="auto"/>
        <w:jc w:val="both"/>
        <w:rPr>
          <w:rFonts w:ascii="Book Antiqua" w:eastAsia="Times New Roman" w:hAnsi="Book Antiqua"/>
          <w:b/>
          <w:bCs/>
          <w:color w:val="auto"/>
          <w:shd w:val="clear" w:color="auto" w:fill="FFFFFF"/>
        </w:rPr>
      </w:pPr>
      <w:r w:rsidRPr="00CA4C0B">
        <w:rPr>
          <w:rFonts w:ascii="Book Antiqua" w:eastAsia="Times New Roman" w:hAnsi="Book Antiqua" w:cs="Times New Roman"/>
          <w:b/>
          <w:bCs/>
          <w:color w:val="auto"/>
          <w:sz w:val="24"/>
          <w:szCs w:val="24"/>
          <w:shd w:val="clear" w:color="auto" w:fill="FFFFFF"/>
        </w:rPr>
        <w:t xml:space="preserve">Manuscript Type: </w:t>
      </w:r>
      <w:r w:rsidRPr="00CA4C0B">
        <w:rPr>
          <w:rFonts w:ascii="Book Antiqua" w:eastAsia="Times New Roman" w:hAnsi="Book Antiqua"/>
          <w:bCs/>
          <w:color w:val="auto"/>
          <w:shd w:val="clear" w:color="auto" w:fill="FFFFFF"/>
        </w:rPr>
        <w:t>ORIGINAL ARTICLE</w:t>
      </w:r>
    </w:p>
    <w:p w14:paraId="473906DC" w14:textId="77777777" w:rsidR="001870DB" w:rsidRPr="00CA4C0B" w:rsidRDefault="001870DB" w:rsidP="007F2CA0">
      <w:pPr>
        <w:pStyle w:val="BodyA"/>
        <w:snapToGrid w:val="0"/>
        <w:spacing w:after="0" w:line="360" w:lineRule="auto"/>
        <w:jc w:val="both"/>
        <w:rPr>
          <w:rFonts w:ascii="Book Antiqua" w:eastAsia="Times New Roman" w:hAnsi="Book Antiqua" w:cs="Times New Roman"/>
          <w:b/>
          <w:bCs/>
          <w:i/>
          <w:color w:val="auto"/>
          <w:sz w:val="24"/>
          <w:szCs w:val="24"/>
          <w:shd w:val="clear" w:color="auto" w:fill="FFFFFF"/>
        </w:rPr>
      </w:pPr>
    </w:p>
    <w:p w14:paraId="0F41874E" w14:textId="57EF4A12" w:rsidR="000B3F3E" w:rsidRPr="00CA4C0B" w:rsidRDefault="000B3F3E" w:rsidP="007F2CA0">
      <w:pPr>
        <w:pStyle w:val="BodyA"/>
        <w:snapToGrid w:val="0"/>
        <w:spacing w:after="0" w:line="360" w:lineRule="auto"/>
        <w:jc w:val="both"/>
        <w:rPr>
          <w:rFonts w:ascii="Book Antiqua" w:eastAsia="Times New Roman" w:hAnsi="Book Antiqua" w:cs="Times New Roman"/>
          <w:b/>
          <w:bCs/>
          <w:i/>
          <w:color w:val="auto"/>
          <w:sz w:val="24"/>
          <w:szCs w:val="24"/>
          <w:shd w:val="clear" w:color="auto" w:fill="FFFFFF"/>
        </w:rPr>
      </w:pPr>
      <w:r w:rsidRPr="00CA4C0B">
        <w:rPr>
          <w:rFonts w:ascii="Book Antiqua" w:eastAsia="Times New Roman" w:hAnsi="Book Antiqua" w:cs="Times New Roman"/>
          <w:b/>
          <w:bCs/>
          <w:i/>
          <w:color w:val="auto"/>
          <w:sz w:val="24"/>
          <w:szCs w:val="24"/>
          <w:shd w:val="clear" w:color="auto" w:fill="FFFFFF"/>
        </w:rPr>
        <w:t>Basic Study</w:t>
      </w:r>
    </w:p>
    <w:p w14:paraId="0B942B9E" w14:textId="541252A1" w:rsidR="004313EE" w:rsidRPr="00CA4C0B" w:rsidRDefault="00CE6644" w:rsidP="007F2CA0">
      <w:pPr>
        <w:pStyle w:val="BodyA"/>
        <w:snapToGrid w:val="0"/>
        <w:spacing w:after="0" w:line="360" w:lineRule="auto"/>
        <w:jc w:val="both"/>
        <w:rPr>
          <w:rFonts w:ascii="Book Antiqua" w:eastAsia="Times New Roman" w:hAnsi="Book Antiqua" w:cs="Times New Roman"/>
          <w:b/>
          <w:bCs/>
          <w:color w:val="auto"/>
          <w:sz w:val="24"/>
          <w:szCs w:val="24"/>
          <w:shd w:val="clear" w:color="auto" w:fill="FFFFFF"/>
        </w:rPr>
      </w:pPr>
      <w:r w:rsidRPr="00CA4C0B">
        <w:rPr>
          <w:rFonts w:ascii="Book Antiqua" w:hAnsi="Book Antiqua"/>
          <w:b/>
          <w:bCs/>
          <w:color w:val="auto"/>
          <w:sz w:val="24"/>
          <w:szCs w:val="24"/>
          <w:shd w:val="clear" w:color="auto" w:fill="FFFFFF"/>
        </w:rPr>
        <w:t>Liver structural transformation after partial hepatectomy and repeated partial hepatectomy in rats:</w:t>
      </w:r>
      <w:r w:rsidRPr="006E79EF">
        <w:rPr>
          <w:rFonts w:ascii="Book Antiqua" w:hAnsi="Book Antiqua"/>
          <w:b/>
          <w:bCs/>
          <w:caps/>
          <w:color w:val="auto"/>
          <w:sz w:val="24"/>
          <w:szCs w:val="24"/>
          <w:shd w:val="clear" w:color="auto" w:fill="FFFFFF"/>
        </w:rPr>
        <w:t xml:space="preserve"> a</w:t>
      </w:r>
      <w:r w:rsidRPr="00CA4C0B">
        <w:rPr>
          <w:rFonts w:ascii="Book Antiqua" w:hAnsi="Book Antiqua"/>
          <w:b/>
          <w:bCs/>
          <w:color w:val="auto"/>
          <w:sz w:val="24"/>
          <w:szCs w:val="24"/>
          <w:shd w:val="clear" w:color="auto" w:fill="FFFFFF"/>
        </w:rPr>
        <w:t xml:space="preserve"> ren</w:t>
      </w:r>
      <w:r w:rsidR="00F11C7D">
        <w:rPr>
          <w:rFonts w:ascii="Book Antiqua" w:hAnsi="Book Antiqua"/>
          <w:b/>
          <w:bCs/>
          <w:color w:val="auto"/>
          <w:sz w:val="24"/>
          <w:szCs w:val="24"/>
          <w:shd w:val="clear" w:color="auto" w:fill="FFFFFF"/>
        </w:rPr>
        <w:t>ewed view on liver regeneration</w:t>
      </w:r>
    </w:p>
    <w:p w14:paraId="4E5A038C" w14:textId="77777777" w:rsidR="004313EE" w:rsidRPr="00CA4C0B" w:rsidRDefault="004313EE" w:rsidP="007F2CA0">
      <w:pPr>
        <w:pStyle w:val="BodyA"/>
        <w:snapToGrid w:val="0"/>
        <w:spacing w:after="0" w:line="360" w:lineRule="auto"/>
        <w:jc w:val="both"/>
        <w:rPr>
          <w:rFonts w:ascii="Book Antiqua" w:eastAsia="Times New Roman" w:hAnsi="Book Antiqua" w:cs="Times New Roman"/>
          <w:b/>
          <w:bCs/>
          <w:color w:val="auto"/>
          <w:sz w:val="24"/>
          <w:szCs w:val="24"/>
          <w:shd w:val="clear" w:color="auto" w:fill="FFFFFF"/>
        </w:rPr>
      </w:pPr>
    </w:p>
    <w:p w14:paraId="746010DA" w14:textId="34D2125D" w:rsidR="007048A7" w:rsidRPr="00CA4C0B" w:rsidRDefault="00CA4C0B" w:rsidP="007F2CA0">
      <w:pPr>
        <w:pStyle w:val="BodyA"/>
        <w:snapToGrid w:val="0"/>
        <w:spacing w:after="0" w:line="360" w:lineRule="auto"/>
        <w:jc w:val="both"/>
        <w:rPr>
          <w:rFonts w:ascii="Book Antiqua" w:hAnsi="Book Antiqua" w:cs="Times New Roman"/>
          <w:b/>
          <w:color w:val="auto"/>
          <w:sz w:val="24"/>
          <w:szCs w:val="24"/>
          <w:lang w:eastAsia="zh-CN"/>
        </w:rPr>
      </w:pPr>
      <w:r w:rsidRPr="00CA4C0B">
        <w:rPr>
          <w:rStyle w:val="None"/>
          <w:rFonts w:ascii="Book Antiqua" w:hAnsi="Book Antiqua"/>
          <w:bCs/>
          <w:color w:val="auto"/>
          <w:sz w:val="24"/>
          <w:szCs w:val="24"/>
          <w:lang w:val="it-IT"/>
        </w:rPr>
        <w:t>Tsomaia K</w:t>
      </w:r>
      <w:r w:rsidRPr="00CA4C0B">
        <w:rPr>
          <w:rFonts w:ascii="Book Antiqua" w:hAnsi="Book Antiqua" w:cs="Times New Roman"/>
          <w:b/>
          <w:color w:val="auto"/>
          <w:sz w:val="24"/>
          <w:szCs w:val="24"/>
          <w:lang w:eastAsia="zh-CN"/>
        </w:rPr>
        <w:t xml:space="preserve"> </w:t>
      </w:r>
      <w:r w:rsidRPr="00CA4C0B">
        <w:rPr>
          <w:rFonts w:ascii="Book Antiqua" w:hAnsi="Book Antiqua" w:cs="Times New Roman"/>
          <w:i/>
          <w:color w:val="auto"/>
          <w:sz w:val="24"/>
          <w:szCs w:val="24"/>
          <w:lang w:eastAsia="zh-CN"/>
        </w:rPr>
        <w:t>et al</w:t>
      </w:r>
      <w:r w:rsidRPr="00CA4C0B">
        <w:rPr>
          <w:rFonts w:ascii="Book Antiqua" w:hAnsi="Book Antiqua" w:cs="Times New Roman"/>
          <w:color w:val="auto"/>
          <w:sz w:val="24"/>
          <w:szCs w:val="24"/>
          <w:lang w:eastAsia="zh-CN"/>
        </w:rPr>
        <w:t xml:space="preserve">. </w:t>
      </w:r>
      <w:r w:rsidR="00601447" w:rsidRPr="00CA4C0B">
        <w:rPr>
          <w:rFonts w:ascii="Book Antiqua" w:hAnsi="Book Antiqua" w:cs="Times New Roman"/>
          <w:color w:val="auto"/>
          <w:sz w:val="24"/>
          <w:szCs w:val="24"/>
          <w:lang w:eastAsia="zh-CN"/>
        </w:rPr>
        <w:t xml:space="preserve">Liver </w:t>
      </w:r>
      <w:r w:rsidR="00941905" w:rsidRPr="00CA4C0B">
        <w:rPr>
          <w:rFonts w:ascii="Book Antiqua" w:hAnsi="Book Antiqua" w:cs="Times New Roman"/>
          <w:color w:val="auto"/>
          <w:sz w:val="24"/>
          <w:szCs w:val="24"/>
          <w:lang w:eastAsia="zh-CN"/>
        </w:rPr>
        <w:t>structure</w:t>
      </w:r>
      <w:r w:rsidR="00601447" w:rsidRPr="00CA4C0B">
        <w:rPr>
          <w:rFonts w:ascii="Book Antiqua" w:hAnsi="Book Antiqua" w:cs="Times New Roman"/>
          <w:color w:val="auto"/>
          <w:sz w:val="24"/>
          <w:szCs w:val="24"/>
          <w:lang w:eastAsia="zh-CN"/>
        </w:rPr>
        <w:t xml:space="preserve"> after regeneration and re-regeneration</w:t>
      </w:r>
    </w:p>
    <w:p w14:paraId="6A283DAE" w14:textId="77777777" w:rsidR="007048A7" w:rsidRPr="00CA4C0B" w:rsidRDefault="007048A7" w:rsidP="007F2CA0">
      <w:pPr>
        <w:pStyle w:val="BodyA"/>
        <w:snapToGrid w:val="0"/>
        <w:spacing w:after="0" w:line="360" w:lineRule="auto"/>
        <w:jc w:val="both"/>
        <w:rPr>
          <w:rFonts w:ascii="Book Antiqua" w:eastAsia="Times New Roman" w:hAnsi="Book Antiqua" w:cs="Times New Roman"/>
          <w:b/>
          <w:bCs/>
          <w:color w:val="auto"/>
          <w:sz w:val="24"/>
          <w:szCs w:val="24"/>
          <w:shd w:val="clear" w:color="auto" w:fill="FFFFFF"/>
        </w:rPr>
      </w:pPr>
    </w:p>
    <w:p w14:paraId="30011865" w14:textId="76452FA3" w:rsidR="004313EE" w:rsidRPr="00CA4C0B" w:rsidRDefault="004E77A1" w:rsidP="007F2CA0">
      <w:pPr>
        <w:pStyle w:val="BodyA"/>
        <w:snapToGrid w:val="0"/>
        <w:spacing w:after="0" w:line="360" w:lineRule="auto"/>
        <w:jc w:val="both"/>
        <w:rPr>
          <w:rFonts w:ascii="Book Antiqua" w:eastAsia="Times New Roman" w:hAnsi="Book Antiqua" w:cs="Times New Roman"/>
          <w:bCs/>
          <w:color w:val="auto"/>
          <w:sz w:val="24"/>
          <w:szCs w:val="24"/>
        </w:rPr>
      </w:pPr>
      <w:proofErr w:type="spellStart"/>
      <w:r w:rsidRPr="00CA4C0B">
        <w:rPr>
          <w:rFonts w:ascii="Book Antiqua" w:eastAsia="Times New Roman" w:hAnsi="Book Antiqua" w:cs="Times New Roman"/>
          <w:bCs/>
          <w:color w:val="auto"/>
          <w:sz w:val="24"/>
          <w:szCs w:val="24"/>
        </w:rPr>
        <w:t>Keti</w:t>
      </w:r>
      <w:proofErr w:type="spellEnd"/>
      <w:r w:rsidRPr="00CA4C0B">
        <w:rPr>
          <w:rFonts w:ascii="Book Antiqua" w:eastAsia="Times New Roman" w:hAnsi="Book Antiqua" w:cs="Times New Roman"/>
          <w:bCs/>
          <w:color w:val="auto"/>
          <w:sz w:val="24"/>
          <w:szCs w:val="24"/>
        </w:rPr>
        <w:t xml:space="preserve"> </w:t>
      </w:r>
      <w:proofErr w:type="spellStart"/>
      <w:r w:rsidRPr="00CA4C0B">
        <w:rPr>
          <w:rFonts w:ascii="Book Antiqua" w:eastAsia="Times New Roman" w:hAnsi="Book Antiqua" w:cs="Times New Roman"/>
          <w:bCs/>
          <w:color w:val="auto"/>
          <w:sz w:val="24"/>
          <w:szCs w:val="24"/>
        </w:rPr>
        <w:t>Tsomaia</w:t>
      </w:r>
      <w:proofErr w:type="spellEnd"/>
      <w:r w:rsidRPr="00CA4C0B">
        <w:rPr>
          <w:rFonts w:ascii="Book Antiqua" w:eastAsia="Times New Roman" w:hAnsi="Book Antiqua" w:cs="Times New Roman"/>
          <w:bCs/>
          <w:color w:val="auto"/>
          <w:sz w:val="24"/>
          <w:szCs w:val="24"/>
        </w:rPr>
        <w:t xml:space="preserve">, Leila </w:t>
      </w:r>
      <w:proofErr w:type="spellStart"/>
      <w:r w:rsidRPr="00CA4C0B">
        <w:rPr>
          <w:rFonts w:ascii="Book Antiqua" w:eastAsia="Times New Roman" w:hAnsi="Book Antiqua" w:cs="Times New Roman"/>
          <w:bCs/>
          <w:color w:val="auto"/>
          <w:sz w:val="24"/>
          <w:szCs w:val="24"/>
        </w:rPr>
        <w:t>Patarashvili</w:t>
      </w:r>
      <w:proofErr w:type="spellEnd"/>
      <w:r w:rsidRPr="00CA4C0B">
        <w:rPr>
          <w:rFonts w:ascii="Book Antiqua" w:eastAsia="Times New Roman" w:hAnsi="Book Antiqua" w:cs="Times New Roman"/>
          <w:bCs/>
          <w:color w:val="auto"/>
          <w:sz w:val="24"/>
          <w:szCs w:val="24"/>
        </w:rPr>
        <w:t xml:space="preserve">, Nino </w:t>
      </w:r>
      <w:proofErr w:type="spellStart"/>
      <w:r w:rsidRPr="00CA4C0B">
        <w:rPr>
          <w:rFonts w:ascii="Book Antiqua" w:eastAsia="Times New Roman" w:hAnsi="Book Antiqua" w:cs="Times New Roman"/>
          <w:bCs/>
          <w:color w:val="auto"/>
          <w:sz w:val="24"/>
          <w:szCs w:val="24"/>
        </w:rPr>
        <w:t>Karumidze</w:t>
      </w:r>
      <w:proofErr w:type="spellEnd"/>
      <w:r w:rsidRPr="00CA4C0B">
        <w:rPr>
          <w:rFonts w:ascii="Book Antiqua" w:eastAsia="Times New Roman" w:hAnsi="Book Antiqua" w:cs="Times New Roman"/>
          <w:bCs/>
          <w:color w:val="auto"/>
          <w:sz w:val="24"/>
          <w:szCs w:val="24"/>
        </w:rPr>
        <w:t xml:space="preserve">, </w:t>
      </w:r>
      <w:proofErr w:type="spellStart"/>
      <w:r w:rsidRPr="00CA4C0B">
        <w:rPr>
          <w:rFonts w:ascii="Book Antiqua" w:eastAsia="Times New Roman" w:hAnsi="Book Antiqua" w:cs="Times New Roman"/>
          <w:bCs/>
          <w:color w:val="auto"/>
          <w:sz w:val="24"/>
          <w:szCs w:val="24"/>
        </w:rPr>
        <w:t>Irakli</w:t>
      </w:r>
      <w:proofErr w:type="spellEnd"/>
      <w:r w:rsidRPr="00CA4C0B">
        <w:rPr>
          <w:rFonts w:ascii="Book Antiqua" w:eastAsia="Times New Roman" w:hAnsi="Book Antiqua" w:cs="Times New Roman"/>
          <w:bCs/>
          <w:color w:val="auto"/>
          <w:sz w:val="24"/>
          <w:szCs w:val="24"/>
        </w:rPr>
        <w:t xml:space="preserve"> </w:t>
      </w:r>
      <w:proofErr w:type="spellStart"/>
      <w:r w:rsidRPr="00CA4C0B">
        <w:rPr>
          <w:rFonts w:ascii="Book Antiqua" w:eastAsia="Times New Roman" w:hAnsi="Book Antiqua" w:cs="Times New Roman"/>
          <w:bCs/>
          <w:color w:val="auto"/>
          <w:sz w:val="24"/>
          <w:szCs w:val="24"/>
        </w:rPr>
        <w:t>Bebiashvili</w:t>
      </w:r>
      <w:proofErr w:type="spellEnd"/>
      <w:r w:rsidRPr="00CA4C0B">
        <w:rPr>
          <w:rFonts w:ascii="Book Antiqua" w:eastAsia="Times New Roman" w:hAnsi="Book Antiqua" w:cs="Times New Roman"/>
          <w:bCs/>
          <w:color w:val="auto"/>
          <w:sz w:val="24"/>
          <w:szCs w:val="24"/>
        </w:rPr>
        <w:t xml:space="preserve">, </w:t>
      </w:r>
      <w:proofErr w:type="spellStart"/>
      <w:r w:rsidRPr="00CA4C0B">
        <w:rPr>
          <w:rFonts w:ascii="Book Antiqua" w:eastAsia="Times New Roman" w:hAnsi="Book Antiqua" w:cs="Times New Roman"/>
          <w:bCs/>
          <w:color w:val="auto"/>
          <w:sz w:val="24"/>
          <w:szCs w:val="24"/>
        </w:rPr>
        <w:t>Elza</w:t>
      </w:r>
      <w:proofErr w:type="spellEnd"/>
      <w:r w:rsidRPr="00CA4C0B">
        <w:rPr>
          <w:rFonts w:ascii="Book Antiqua" w:eastAsia="Times New Roman" w:hAnsi="Book Antiqua" w:cs="Times New Roman"/>
          <w:bCs/>
          <w:color w:val="auto"/>
          <w:sz w:val="24"/>
          <w:szCs w:val="24"/>
        </w:rPr>
        <w:t xml:space="preserve"> </w:t>
      </w:r>
      <w:proofErr w:type="spellStart"/>
      <w:r w:rsidRPr="00CA4C0B">
        <w:rPr>
          <w:rFonts w:ascii="Book Antiqua" w:eastAsia="Times New Roman" w:hAnsi="Book Antiqua" w:cs="Times New Roman"/>
          <w:bCs/>
          <w:color w:val="auto"/>
          <w:sz w:val="24"/>
          <w:szCs w:val="24"/>
        </w:rPr>
        <w:t>A</w:t>
      </w:r>
      <w:r w:rsidRPr="00CA4C0B">
        <w:rPr>
          <w:rFonts w:ascii="Book Antiqua" w:eastAsia="Times New Roman" w:hAnsi="Book Antiqua" w:cs="Times New Roman"/>
          <w:bCs/>
          <w:color w:val="auto"/>
          <w:sz w:val="24"/>
          <w:szCs w:val="24"/>
        </w:rPr>
        <w:t>z</w:t>
      </w:r>
      <w:r w:rsidRPr="00CA4C0B">
        <w:rPr>
          <w:rFonts w:ascii="Book Antiqua" w:eastAsia="Times New Roman" w:hAnsi="Book Antiqua" w:cs="Times New Roman"/>
          <w:bCs/>
          <w:color w:val="auto"/>
          <w:sz w:val="24"/>
          <w:szCs w:val="24"/>
        </w:rPr>
        <w:t>maipharashvili</w:t>
      </w:r>
      <w:proofErr w:type="spellEnd"/>
      <w:r w:rsidRPr="00CA4C0B">
        <w:rPr>
          <w:rFonts w:ascii="Book Antiqua" w:eastAsia="Times New Roman" w:hAnsi="Book Antiqua" w:cs="Times New Roman"/>
          <w:bCs/>
          <w:color w:val="auto"/>
          <w:sz w:val="24"/>
          <w:szCs w:val="24"/>
        </w:rPr>
        <w:t xml:space="preserve">, Irina </w:t>
      </w:r>
      <w:proofErr w:type="spellStart"/>
      <w:r w:rsidRPr="00CA4C0B">
        <w:rPr>
          <w:rFonts w:ascii="Book Antiqua" w:eastAsia="Times New Roman" w:hAnsi="Book Antiqua" w:cs="Times New Roman"/>
          <w:bCs/>
          <w:color w:val="auto"/>
          <w:sz w:val="24"/>
          <w:szCs w:val="24"/>
        </w:rPr>
        <w:t>Modebadze</w:t>
      </w:r>
      <w:proofErr w:type="spellEnd"/>
      <w:r w:rsidRPr="00CA4C0B">
        <w:rPr>
          <w:rFonts w:ascii="Book Antiqua" w:eastAsia="Times New Roman" w:hAnsi="Book Antiqua" w:cs="Times New Roman"/>
          <w:bCs/>
          <w:color w:val="auto"/>
          <w:sz w:val="24"/>
          <w:szCs w:val="24"/>
        </w:rPr>
        <w:t xml:space="preserve">, Diana </w:t>
      </w:r>
      <w:proofErr w:type="spellStart"/>
      <w:r w:rsidRPr="00CA4C0B">
        <w:rPr>
          <w:rFonts w:ascii="Book Antiqua" w:eastAsia="Times New Roman" w:hAnsi="Book Antiqua" w:cs="Times New Roman"/>
          <w:bCs/>
          <w:color w:val="auto"/>
          <w:sz w:val="24"/>
          <w:szCs w:val="24"/>
        </w:rPr>
        <w:t>Dzidziguri</w:t>
      </w:r>
      <w:proofErr w:type="spellEnd"/>
      <w:r w:rsidRPr="00CA4C0B">
        <w:rPr>
          <w:rFonts w:ascii="Book Antiqua" w:eastAsia="Times New Roman" w:hAnsi="Book Antiqua" w:cs="Times New Roman"/>
          <w:bCs/>
          <w:color w:val="auto"/>
          <w:sz w:val="24"/>
          <w:szCs w:val="24"/>
        </w:rPr>
        <w:t xml:space="preserve">, </w:t>
      </w:r>
      <w:proofErr w:type="spellStart"/>
      <w:r w:rsidRPr="00CA4C0B">
        <w:rPr>
          <w:rFonts w:ascii="Book Antiqua" w:eastAsia="Times New Roman" w:hAnsi="Book Antiqua" w:cs="Times New Roman"/>
          <w:bCs/>
          <w:color w:val="auto"/>
          <w:sz w:val="24"/>
          <w:szCs w:val="24"/>
        </w:rPr>
        <w:t>Marom</w:t>
      </w:r>
      <w:proofErr w:type="spellEnd"/>
      <w:r w:rsidRPr="00CA4C0B">
        <w:rPr>
          <w:rFonts w:ascii="Book Antiqua" w:eastAsia="Times New Roman" w:hAnsi="Book Antiqua" w:cs="Times New Roman"/>
          <w:bCs/>
          <w:color w:val="auto"/>
          <w:sz w:val="24"/>
          <w:szCs w:val="24"/>
        </w:rPr>
        <w:t xml:space="preserve"> </w:t>
      </w:r>
      <w:proofErr w:type="spellStart"/>
      <w:r w:rsidRPr="00CA4C0B">
        <w:rPr>
          <w:rFonts w:ascii="Book Antiqua" w:eastAsia="Times New Roman" w:hAnsi="Book Antiqua" w:cs="Times New Roman"/>
          <w:bCs/>
          <w:color w:val="auto"/>
          <w:sz w:val="24"/>
          <w:szCs w:val="24"/>
        </w:rPr>
        <w:t>Sareli</w:t>
      </w:r>
      <w:proofErr w:type="spellEnd"/>
      <w:r w:rsidRPr="00CA4C0B">
        <w:rPr>
          <w:rFonts w:ascii="Book Antiqua" w:eastAsia="Times New Roman" w:hAnsi="Book Antiqua" w:cs="Times New Roman"/>
          <w:bCs/>
          <w:color w:val="auto"/>
          <w:sz w:val="24"/>
          <w:szCs w:val="24"/>
        </w:rPr>
        <w:t xml:space="preserve">, Sergey </w:t>
      </w:r>
      <w:proofErr w:type="spellStart"/>
      <w:r w:rsidRPr="00CA4C0B">
        <w:rPr>
          <w:rFonts w:ascii="Book Antiqua" w:eastAsia="Times New Roman" w:hAnsi="Book Antiqua" w:cs="Times New Roman"/>
          <w:bCs/>
          <w:color w:val="auto"/>
          <w:sz w:val="24"/>
          <w:szCs w:val="24"/>
        </w:rPr>
        <w:t>Gusev</w:t>
      </w:r>
      <w:proofErr w:type="spellEnd"/>
      <w:r w:rsidRPr="00CA4C0B">
        <w:rPr>
          <w:rFonts w:ascii="Book Antiqua" w:eastAsia="Times New Roman" w:hAnsi="Book Antiqua" w:cs="Times New Roman"/>
          <w:bCs/>
          <w:color w:val="auto"/>
          <w:sz w:val="24"/>
          <w:szCs w:val="24"/>
        </w:rPr>
        <w:t xml:space="preserve">, Dimitri </w:t>
      </w:r>
      <w:proofErr w:type="spellStart"/>
      <w:r w:rsidRPr="00CA4C0B">
        <w:rPr>
          <w:rFonts w:ascii="Book Antiqua" w:eastAsia="Times New Roman" w:hAnsi="Book Antiqua" w:cs="Times New Roman"/>
          <w:bCs/>
          <w:color w:val="auto"/>
          <w:sz w:val="24"/>
          <w:szCs w:val="24"/>
        </w:rPr>
        <w:t>Kordzaia</w:t>
      </w:r>
      <w:proofErr w:type="spellEnd"/>
    </w:p>
    <w:p w14:paraId="19A03643" w14:textId="77777777" w:rsidR="009216A4" w:rsidRPr="00CA4C0B" w:rsidRDefault="009216A4" w:rsidP="007F2CA0">
      <w:pPr>
        <w:pStyle w:val="BodyA"/>
        <w:snapToGrid w:val="0"/>
        <w:spacing w:after="0" w:line="360" w:lineRule="auto"/>
        <w:jc w:val="both"/>
        <w:rPr>
          <w:rFonts w:ascii="Book Antiqua" w:hAnsi="Book Antiqua"/>
          <w:b/>
          <w:bCs/>
          <w:color w:val="auto"/>
          <w:sz w:val="24"/>
          <w:szCs w:val="24"/>
          <w:lang w:val="it-IT"/>
        </w:rPr>
      </w:pPr>
    </w:p>
    <w:p w14:paraId="7E904D64" w14:textId="66F00402" w:rsidR="004313EE" w:rsidRPr="00CA4C0B" w:rsidRDefault="006B61D0" w:rsidP="007F2CA0">
      <w:pPr>
        <w:pStyle w:val="BodyA"/>
        <w:snapToGrid w:val="0"/>
        <w:spacing w:after="0" w:line="360" w:lineRule="auto"/>
        <w:jc w:val="both"/>
        <w:rPr>
          <w:rStyle w:val="None"/>
          <w:rFonts w:ascii="Book Antiqua" w:eastAsia="Times New Roman" w:hAnsi="Book Antiqua" w:cs="Times New Roman"/>
          <w:color w:val="auto"/>
          <w:sz w:val="24"/>
          <w:szCs w:val="24"/>
          <w:lang w:val="it-IT"/>
        </w:rPr>
      </w:pPr>
      <w:r w:rsidRPr="00CA4C0B">
        <w:rPr>
          <w:rFonts w:ascii="Book Antiqua" w:hAnsi="Book Antiqua"/>
          <w:b/>
          <w:bCs/>
          <w:color w:val="auto"/>
          <w:sz w:val="24"/>
          <w:szCs w:val="24"/>
          <w:lang w:val="it-IT"/>
        </w:rPr>
        <w:t>Keti Tsomaia, Leila Patarashvili, Nino Karumidze, Irakli Bebiashvili, Elza Az-maipharashvili,</w:t>
      </w:r>
      <w:r w:rsidR="00F57720" w:rsidRPr="00CA4C0B">
        <w:rPr>
          <w:rFonts w:ascii="Book Antiqua" w:hAnsi="Book Antiqua"/>
          <w:color w:val="auto"/>
          <w:sz w:val="24"/>
          <w:szCs w:val="24"/>
          <w:lang w:val="it-IT"/>
        </w:rPr>
        <w:t xml:space="preserve"> </w:t>
      </w:r>
      <w:r w:rsidRPr="00CA4C0B">
        <w:rPr>
          <w:rStyle w:val="None"/>
          <w:rFonts w:ascii="Book Antiqua" w:hAnsi="Book Antiqua"/>
          <w:b/>
          <w:bCs/>
          <w:color w:val="auto"/>
          <w:sz w:val="24"/>
          <w:szCs w:val="24"/>
          <w:lang w:val="it-IT"/>
        </w:rPr>
        <w:t>Dimitri Kordzaia</w:t>
      </w:r>
      <w:r w:rsidR="00F57720" w:rsidRPr="00CA4C0B">
        <w:rPr>
          <w:rFonts w:ascii="Book Antiqua" w:hAnsi="Book Antiqua"/>
          <w:b/>
          <w:color w:val="auto"/>
          <w:sz w:val="24"/>
          <w:szCs w:val="24"/>
          <w:lang w:val="it-IT"/>
        </w:rPr>
        <w:t xml:space="preserve">, </w:t>
      </w:r>
      <w:r w:rsidR="00CE6644" w:rsidRPr="00CA4C0B">
        <w:rPr>
          <w:rFonts w:ascii="Book Antiqua" w:hAnsi="Book Antiqua"/>
          <w:color w:val="auto"/>
          <w:sz w:val="24"/>
          <w:szCs w:val="24"/>
          <w:lang w:val="it-IT"/>
        </w:rPr>
        <w:t>Faculty of Medicine, Ivane Javakhishvili Tbilisi State University, Tbilisi</w:t>
      </w:r>
      <w:r w:rsidR="00F57720" w:rsidRPr="00CA4C0B">
        <w:rPr>
          <w:rFonts w:ascii="Book Antiqua" w:hAnsi="Book Antiqua"/>
          <w:color w:val="auto"/>
          <w:sz w:val="24"/>
          <w:szCs w:val="24"/>
          <w:lang w:val="it-IT"/>
        </w:rPr>
        <w:t xml:space="preserve"> 0159</w:t>
      </w:r>
      <w:r w:rsidR="00CE6644" w:rsidRPr="00CA4C0B">
        <w:rPr>
          <w:rFonts w:ascii="Book Antiqua" w:hAnsi="Book Antiqua"/>
          <w:color w:val="auto"/>
          <w:sz w:val="24"/>
          <w:szCs w:val="24"/>
          <w:lang w:val="it-IT"/>
        </w:rPr>
        <w:t>, Georgia</w:t>
      </w:r>
    </w:p>
    <w:p w14:paraId="168FCF41" w14:textId="77777777" w:rsidR="00F57720" w:rsidRPr="00CA4C0B" w:rsidRDefault="00F57720" w:rsidP="007F2CA0">
      <w:pPr>
        <w:pStyle w:val="BodyA"/>
        <w:snapToGrid w:val="0"/>
        <w:spacing w:after="0" w:line="360" w:lineRule="auto"/>
        <w:jc w:val="both"/>
        <w:rPr>
          <w:rStyle w:val="None"/>
          <w:rFonts w:ascii="Book Antiqua" w:eastAsia="Times New Roman" w:hAnsi="Book Antiqua" w:cs="Times New Roman"/>
          <w:color w:val="auto"/>
          <w:sz w:val="24"/>
          <w:szCs w:val="24"/>
          <w:lang w:val="it-IT"/>
        </w:rPr>
      </w:pPr>
    </w:p>
    <w:p w14:paraId="7EDFE4F0" w14:textId="781DCC4E" w:rsidR="004313EE" w:rsidRPr="00CA4C0B" w:rsidRDefault="006B61D0" w:rsidP="007F2CA0">
      <w:pPr>
        <w:pStyle w:val="BodyA"/>
        <w:snapToGrid w:val="0"/>
        <w:spacing w:after="0" w:line="360" w:lineRule="auto"/>
        <w:jc w:val="both"/>
        <w:rPr>
          <w:rStyle w:val="None"/>
          <w:rFonts w:ascii="Book Antiqua" w:hAnsi="Book Antiqua"/>
          <w:color w:val="auto"/>
          <w:sz w:val="24"/>
          <w:szCs w:val="24"/>
        </w:rPr>
      </w:pPr>
      <w:r w:rsidRPr="00CA4C0B">
        <w:rPr>
          <w:rStyle w:val="None"/>
          <w:rFonts w:ascii="Book Antiqua" w:hAnsi="Book Antiqua"/>
          <w:b/>
          <w:bCs/>
          <w:color w:val="auto"/>
          <w:sz w:val="24"/>
          <w:szCs w:val="24"/>
        </w:rPr>
        <w:t xml:space="preserve">Irina </w:t>
      </w:r>
      <w:proofErr w:type="spellStart"/>
      <w:r w:rsidRPr="00CA4C0B">
        <w:rPr>
          <w:rStyle w:val="None"/>
          <w:rFonts w:ascii="Book Antiqua" w:hAnsi="Book Antiqua"/>
          <w:b/>
          <w:bCs/>
          <w:color w:val="auto"/>
          <w:sz w:val="24"/>
          <w:szCs w:val="24"/>
        </w:rPr>
        <w:t>Modebadze</w:t>
      </w:r>
      <w:proofErr w:type="spellEnd"/>
      <w:r w:rsidRPr="00CA4C0B">
        <w:rPr>
          <w:rStyle w:val="None"/>
          <w:rFonts w:ascii="Book Antiqua" w:hAnsi="Book Antiqua"/>
          <w:b/>
          <w:bCs/>
          <w:color w:val="auto"/>
          <w:sz w:val="24"/>
          <w:szCs w:val="24"/>
        </w:rPr>
        <w:t xml:space="preserve">, Diana </w:t>
      </w:r>
      <w:proofErr w:type="spellStart"/>
      <w:r w:rsidRPr="00CA4C0B">
        <w:rPr>
          <w:rStyle w:val="None"/>
          <w:rFonts w:ascii="Book Antiqua" w:hAnsi="Book Antiqua"/>
          <w:b/>
          <w:bCs/>
          <w:color w:val="auto"/>
          <w:sz w:val="24"/>
          <w:szCs w:val="24"/>
        </w:rPr>
        <w:t>Dzidziguri</w:t>
      </w:r>
      <w:proofErr w:type="spellEnd"/>
      <w:r w:rsidRPr="00CA4C0B">
        <w:rPr>
          <w:rStyle w:val="None"/>
          <w:rFonts w:ascii="Book Antiqua" w:hAnsi="Book Antiqua"/>
          <w:b/>
          <w:bCs/>
          <w:color w:val="auto"/>
          <w:sz w:val="24"/>
          <w:szCs w:val="24"/>
        </w:rPr>
        <w:t>,</w:t>
      </w:r>
      <w:r w:rsidRPr="00CA4C0B">
        <w:rPr>
          <w:rStyle w:val="None"/>
          <w:rFonts w:ascii="Book Antiqua" w:hAnsi="Book Antiqua"/>
          <w:color w:val="auto"/>
          <w:sz w:val="24"/>
          <w:szCs w:val="24"/>
        </w:rPr>
        <w:t xml:space="preserve"> </w:t>
      </w:r>
      <w:r w:rsidR="00CE6644" w:rsidRPr="00CA4C0B">
        <w:rPr>
          <w:rStyle w:val="None"/>
          <w:rFonts w:ascii="Book Antiqua" w:hAnsi="Book Antiqua"/>
          <w:color w:val="auto"/>
          <w:sz w:val="24"/>
          <w:szCs w:val="24"/>
        </w:rPr>
        <w:t xml:space="preserve">Faculty of Exact and Natural Sciences, </w:t>
      </w:r>
      <w:proofErr w:type="spellStart"/>
      <w:r w:rsidR="00CE6644" w:rsidRPr="00CA4C0B">
        <w:rPr>
          <w:rStyle w:val="None"/>
          <w:rFonts w:ascii="Book Antiqua" w:hAnsi="Book Antiqua"/>
          <w:color w:val="auto"/>
          <w:sz w:val="24"/>
          <w:szCs w:val="24"/>
        </w:rPr>
        <w:t>Ivane</w:t>
      </w:r>
      <w:proofErr w:type="spellEnd"/>
      <w:r w:rsidR="00CE6644" w:rsidRPr="00CA4C0B">
        <w:rPr>
          <w:rStyle w:val="None"/>
          <w:rFonts w:ascii="Book Antiqua" w:hAnsi="Book Antiqua"/>
          <w:color w:val="auto"/>
          <w:sz w:val="24"/>
          <w:szCs w:val="24"/>
        </w:rPr>
        <w:t xml:space="preserve"> </w:t>
      </w:r>
      <w:proofErr w:type="spellStart"/>
      <w:r w:rsidR="00CE6644" w:rsidRPr="00CA4C0B">
        <w:rPr>
          <w:rStyle w:val="None"/>
          <w:rFonts w:ascii="Book Antiqua" w:hAnsi="Book Antiqua"/>
          <w:color w:val="auto"/>
          <w:sz w:val="24"/>
          <w:szCs w:val="24"/>
        </w:rPr>
        <w:t>Javakhishvili</w:t>
      </w:r>
      <w:proofErr w:type="spellEnd"/>
      <w:r w:rsidR="00CE6644" w:rsidRPr="00CA4C0B">
        <w:rPr>
          <w:rStyle w:val="None"/>
          <w:rFonts w:ascii="Book Antiqua" w:hAnsi="Book Antiqua"/>
          <w:color w:val="auto"/>
          <w:sz w:val="24"/>
          <w:szCs w:val="24"/>
        </w:rPr>
        <w:t xml:space="preserve"> Tbilisi State University, Tbilisi</w:t>
      </w:r>
      <w:r w:rsidR="00AA64DE" w:rsidRPr="00CA4C0B">
        <w:rPr>
          <w:rStyle w:val="None"/>
          <w:rFonts w:ascii="Book Antiqua" w:hAnsi="Book Antiqua"/>
          <w:color w:val="auto"/>
          <w:sz w:val="24"/>
          <w:szCs w:val="24"/>
        </w:rPr>
        <w:t xml:space="preserve"> 0179</w:t>
      </w:r>
      <w:r w:rsidR="00CE6644" w:rsidRPr="00CA4C0B">
        <w:rPr>
          <w:rStyle w:val="None"/>
          <w:rFonts w:ascii="Book Antiqua" w:hAnsi="Book Antiqua"/>
          <w:color w:val="auto"/>
          <w:sz w:val="24"/>
          <w:szCs w:val="24"/>
        </w:rPr>
        <w:t>, Georgia</w:t>
      </w:r>
    </w:p>
    <w:p w14:paraId="104EF368" w14:textId="77777777" w:rsidR="00F57720" w:rsidRPr="00CA4C0B" w:rsidRDefault="00F57720" w:rsidP="007F2CA0">
      <w:pPr>
        <w:pStyle w:val="BodyA"/>
        <w:snapToGrid w:val="0"/>
        <w:spacing w:after="0" w:line="360" w:lineRule="auto"/>
        <w:jc w:val="both"/>
        <w:rPr>
          <w:rStyle w:val="None"/>
          <w:rFonts w:ascii="Book Antiqua" w:eastAsia="Times New Roman" w:hAnsi="Book Antiqua" w:cs="Times New Roman"/>
          <w:color w:val="auto"/>
          <w:sz w:val="24"/>
          <w:szCs w:val="24"/>
        </w:rPr>
      </w:pPr>
    </w:p>
    <w:p w14:paraId="45AD8D13" w14:textId="59B91CB3" w:rsidR="004313EE" w:rsidRPr="00CA4C0B" w:rsidRDefault="006B61D0" w:rsidP="007F2CA0">
      <w:pPr>
        <w:pStyle w:val="BodyA"/>
        <w:snapToGrid w:val="0"/>
        <w:spacing w:after="0" w:line="360" w:lineRule="auto"/>
        <w:jc w:val="both"/>
        <w:rPr>
          <w:rStyle w:val="None"/>
          <w:rFonts w:ascii="Book Antiqua" w:hAnsi="Book Antiqua"/>
          <w:color w:val="auto"/>
          <w:sz w:val="24"/>
          <w:szCs w:val="24"/>
          <w:u w:val="single" w:color="2E7F9F"/>
        </w:rPr>
      </w:pPr>
      <w:proofErr w:type="spellStart"/>
      <w:r w:rsidRPr="00CA4C0B">
        <w:rPr>
          <w:rStyle w:val="None"/>
          <w:rFonts w:ascii="Book Antiqua" w:hAnsi="Book Antiqua"/>
          <w:b/>
          <w:bCs/>
          <w:color w:val="auto"/>
          <w:sz w:val="24"/>
          <w:szCs w:val="24"/>
        </w:rPr>
        <w:t>Marom</w:t>
      </w:r>
      <w:proofErr w:type="spellEnd"/>
      <w:r w:rsidRPr="00CA4C0B">
        <w:rPr>
          <w:rStyle w:val="None"/>
          <w:rFonts w:ascii="Book Antiqua" w:hAnsi="Book Antiqua"/>
          <w:b/>
          <w:bCs/>
          <w:color w:val="auto"/>
          <w:sz w:val="24"/>
          <w:szCs w:val="24"/>
        </w:rPr>
        <w:t xml:space="preserve"> </w:t>
      </w:r>
      <w:proofErr w:type="spellStart"/>
      <w:r w:rsidRPr="00CA4C0B">
        <w:rPr>
          <w:rStyle w:val="None"/>
          <w:rFonts w:ascii="Book Antiqua" w:hAnsi="Book Antiqua"/>
          <w:b/>
          <w:bCs/>
          <w:color w:val="auto"/>
          <w:sz w:val="24"/>
          <w:szCs w:val="24"/>
        </w:rPr>
        <w:t>Sareli</w:t>
      </w:r>
      <w:proofErr w:type="spellEnd"/>
      <w:r w:rsidRPr="00CA4C0B">
        <w:rPr>
          <w:rStyle w:val="None"/>
          <w:rFonts w:ascii="Book Antiqua" w:hAnsi="Book Antiqua"/>
          <w:b/>
          <w:bCs/>
          <w:color w:val="auto"/>
          <w:sz w:val="24"/>
          <w:szCs w:val="24"/>
        </w:rPr>
        <w:t xml:space="preserve">, </w:t>
      </w:r>
      <w:r w:rsidR="00CE6644" w:rsidRPr="00CA4C0B">
        <w:rPr>
          <w:rStyle w:val="None"/>
          <w:rFonts w:ascii="Book Antiqua" w:hAnsi="Book Antiqua"/>
          <w:color w:val="auto"/>
          <w:sz w:val="24"/>
          <w:szCs w:val="24"/>
        </w:rPr>
        <w:t>Department of Surgical Oncology (Surgery C), Chaim Sheba Me</w:t>
      </w:r>
      <w:r w:rsidR="00CE6644" w:rsidRPr="00CA4C0B">
        <w:rPr>
          <w:rStyle w:val="None"/>
          <w:rFonts w:ascii="Book Antiqua" w:hAnsi="Book Antiqua"/>
          <w:color w:val="auto"/>
          <w:sz w:val="24"/>
          <w:szCs w:val="24"/>
        </w:rPr>
        <w:t>d</w:t>
      </w:r>
      <w:r w:rsidR="00CE6644" w:rsidRPr="00CA4C0B">
        <w:rPr>
          <w:rStyle w:val="None"/>
          <w:rFonts w:ascii="Book Antiqua" w:hAnsi="Book Antiqua"/>
          <w:color w:val="auto"/>
          <w:sz w:val="24"/>
          <w:szCs w:val="24"/>
        </w:rPr>
        <w:t xml:space="preserve">ical Center at </w:t>
      </w:r>
      <w:proofErr w:type="spellStart"/>
      <w:r w:rsidR="00CE6644" w:rsidRPr="00CA4C0B">
        <w:rPr>
          <w:rStyle w:val="None"/>
          <w:rFonts w:ascii="Book Antiqua" w:hAnsi="Book Antiqua"/>
          <w:color w:val="auto"/>
          <w:sz w:val="24"/>
          <w:szCs w:val="24"/>
        </w:rPr>
        <w:t>HaShomer</w:t>
      </w:r>
      <w:proofErr w:type="spellEnd"/>
      <w:r w:rsidR="00CE6644" w:rsidRPr="00CA4C0B">
        <w:rPr>
          <w:rStyle w:val="None"/>
          <w:rFonts w:ascii="Book Antiqua" w:hAnsi="Book Antiqua"/>
          <w:color w:val="auto"/>
          <w:sz w:val="24"/>
          <w:szCs w:val="24"/>
        </w:rPr>
        <w:t xml:space="preserve">, </w:t>
      </w:r>
      <w:r w:rsidR="00AA64DE" w:rsidRPr="00CA4C0B">
        <w:rPr>
          <w:rStyle w:val="None"/>
          <w:rFonts w:ascii="Book Antiqua" w:hAnsi="Book Antiqua"/>
          <w:color w:val="auto"/>
          <w:sz w:val="24"/>
          <w:szCs w:val="24"/>
        </w:rPr>
        <w:t xml:space="preserve">Tel Aviv 52621, </w:t>
      </w:r>
      <w:r w:rsidR="00CE6644" w:rsidRPr="00CA4C0B">
        <w:rPr>
          <w:rStyle w:val="None"/>
          <w:rFonts w:ascii="Book Antiqua" w:hAnsi="Book Antiqua"/>
          <w:color w:val="auto"/>
          <w:sz w:val="24"/>
          <w:szCs w:val="24"/>
        </w:rPr>
        <w:t>Israel</w:t>
      </w:r>
    </w:p>
    <w:p w14:paraId="0E6B6510" w14:textId="77777777" w:rsidR="00F57720" w:rsidRPr="00CA4C0B" w:rsidRDefault="00F57720" w:rsidP="007F2CA0">
      <w:pPr>
        <w:pStyle w:val="BodyA"/>
        <w:snapToGrid w:val="0"/>
        <w:spacing w:after="0" w:line="360" w:lineRule="auto"/>
        <w:jc w:val="both"/>
        <w:rPr>
          <w:rStyle w:val="None"/>
          <w:rFonts w:ascii="Book Antiqua" w:eastAsia="Times New Roman" w:hAnsi="Book Antiqua" w:cs="Times New Roman"/>
          <w:color w:val="auto"/>
          <w:sz w:val="24"/>
          <w:szCs w:val="24"/>
        </w:rPr>
      </w:pPr>
    </w:p>
    <w:p w14:paraId="2E09F256" w14:textId="445E5169" w:rsidR="004313EE" w:rsidRPr="00CA4C0B" w:rsidRDefault="00B32CBC" w:rsidP="007F2CA0">
      <w:pPr>
        <w:pStyle w:val="BodyA"/>
        <w:snapToGrid w:val="0"/>
        <w:spacing w:after="0" w:line="360" w:lineRule="auto"/>
        <w:jc w:val="both"/>
        <w:rPr>
          <w:rStyle w:val="Hyperlink1"/>
          <w:rFonts w:ascii="Book Antiqua" w:eastAsia="Arial Unicode MS" w:hAnsi="Book Antiqua"/>
          <w:color w:val="auto"/>
          <w:sz w:val="24"/>
          <w:szCs w:val="24"/>
        </w:rPr>
      </w:pPr>
      <w:r w:rsidRPr="00CA4C0B">
        <w:rPr>
          <w:rStyle w:val="None"/>
          <w:rFonts w:ascii="Book Antiqua" w:hAnsi="Book Antiqua"/>
          <w:b/>
          <w:bCs/>
          <w:color w:val="auto"/>
          <w:sz w:val="24"/>
          <w:szCs w:val="24"/>
        </w:rPr>
        <w:t>Sergey Gusev,</w:t>
      </w:r>
      <w:r w:rsidR="00F7733D" w:rsidRPr="00CA4C0B">
        <w:rPr>
          <w:rStyle w:val="None"/>
          <w:rFonts w:ascii="Book Antiqua" w:hAnsi="Book Antiqua"/>
          <w:color w:val="auto"/>
          <w:sz w:val="24"/>
          <w:szCs w:val="24"/>
        </w:rPr>
        <w:t xml:space="preserve"> </w:t>
      </w:r>
      <w:r w:rsidR="00CE6644" w:rsidRPr="00CA4C0B">
        <w:rPr>
          <w:rStyle w:val="None"/>
          <w:rFonts w:ascii="Book Antiqua" w:hAnsi="Book Antiqua"/>
          <w:color w:val="auto"/>
          <w:sz w:val="24"/>
          <w:szCs w:val="24"/>
        </w:rPr>
        <w:t xml:space="preserve">Federal Research </w:t>
      </w:r>
      <w:r w:rsidR="00405F27" w:rsidRPr="00CA4C0B">
        <w:rPr>
          <w:rStyle w:val="None"/>
          <w:rFonts w:ascii="Book Antiqua" w:hAnsi="Book Antiqua"/>
          <w:color w:val="auto"/>
          <w:sz w:val="24"/>
          <w:szCs w:val="24"/>
        </w:rPr>
        <w:t>and</w:t>
      </w:r>
      <w:r w:rsidR="00CE6644" w:rsidRPr="00CA4C0B">
        <w:rPr>
          <w:rStyle w:val="None"/>
          <w:rFonts w:ascii="Book Antiqua" w:hAnsi="Book Antiqua"/>
          <w:color w:val="auto"/>
          <w:sz w:val="24"/>
          <w:szCs w:val="24"/>
        </w:rPr>
        <w:t xml:space="preserve"> Clinical Center of Physical-Chemical Med</w:t>
      </w:r>
      <w:r w:rsidR="00CE6644" w:rsidRPr="00CA4C0B">
        <w:rPr>
          <w:rStyle w:val="None"/>
          <w:rFonts w:ascii="Book Antiqua" w:hAnsi="Book Antiqua"/>
          <w:color w:val="auto"/>
          <w:sz w:val="24"/>
          <w:szCs w:val="24"/>
        </w:rPr>
        <w:t>i</w:t>
      </w:r>
      <w:r w:rsidR="00CE6644" w:rsidRPr="00CA4C0B">
        <w:rPr>
          <w:rStyle w:val="None"/>
          <w:rFonts w:ascii="Book Antiqua" w:hAnsi="Book Antiqua"/>
          <w:color w:val="auto"/>
          <w:sz w:val="24"/>
          <w:szCs w:val="24"/>
        </w:rPr>
        <w:t>cine of Federal Medical Biological Agency, Moscow</w:t>
      </w:r>
      <w:r w:rsidR="005221F3" w:rsidRPr="00CA4C0B">
        <w:rPr>
          <w:rStyle w:val="None"/>
          <w:rFonts w:ascii="Book Antiqua" w:hAnsi="Book Antiqua"/>
          <w:color w:val="auto"/>
          <w:sz w:val="24"/>
          <w:szCs w:val="24"/>
        </w:rPr>
        <w:t xml:space="preserve"> 119435</w:t>
      </w:r>
      <w:r w:rsidR="00CE6644" w:rsidRPr="00CA4C0B">
        <w:rPr>
          <w:rStyle w:val="None"/>
          <w:rFonts w:ascii="Book Antiqua" w:hAnsi="Book Antiqua"/>
          <w:color w:val="auto"/>
          <w:sz w:val="24"/>
          <w:szCs w:val="24"/>
        </w:rPr>
        <w:t>, Russia</w:t>
      </w:r>
    </w:p>
    <w:p w14:paraId="4FA0516E" w14:textId="7B72F221" w:rsidR="004313EE" w:rsidRPr="00CA4C0B" w:rsidRDefault="004313EE" w:rsidP="007F2CA0">
      <w:pPr>
        <w:snapToGrid w:val="0"/>
        <w:spacing w:line="360" w:lineRule="auto"/>
        <w:jc w:val="both"/>
        <w:rPr>
          <w:rStyle w:val="None"/>
          <w:rFonts w:ascii="Book Antiqua" w:hAnsi="Book Antiqua"/>
          <w:b/>
          <w:bCs/>
          <w:u w:val="single"/>
          <w:lang w:eastAsia="zh-CN"/>
        </w:rPr>
      </w:pPr>
    </w:p>
    <w:p w14:paraId="523618D7" w14:textId="0B640F27" w:rsidR="002E1721" w:rsidRPr="00CA4C0B" w:rsidRDefault="002E1721" w:rsidP="007F2CA0">
      <w:pPr>
        <w:snapToGrid w:val="0"/>
        <w:spacing w:line="360" w:lineRule="auto"/>
        <w:jc w:val="both"/>
        <w:rPr>
          <w:rFonts w:ascii="Book Antiqua" w:hAnsi="Book Antiqua"/>
          <w:b/>
          <w:lang w:val="it-IT"/>
        </w:rPr>
      </w:pPr>
      <w:r w:rsidRPr="00CA4C0B">
        <w:rPr>
          <w:rStyle w:val="None"/>
          <w:rFonts w:ascii="Book Antiqua" w:hAnsi="Book Antiqua"/>
          <w:b/>
          <w:bCs/>
          <w:lang w:val="it-IT"/>
        </w:rPr>
        <w:t>Dimitri Kordzaia</w:t>
      </w:r>
      <w:r w:rsidRPr="00CA4C0B">
        <w:rPr>
          <w:rFonts w:ascii="Book Antiqua" w:hAnsi="Book Antiqua"/>
          <w:b/>
          <w:lang w:val="it-IT"/>
        </w:rPr>
        <w:t xml:space="preserve">, </w:t>
      </w:r>
      <w:r w:rsidRPr="00CA4C0B">
        <w:rPr>
          <w:rStyle w:val="None"/>
          <w:rFonts w:ascii="Book Antiqua" w:hAnsi="Book Antiqua"/>
          <w:bCs/>
          <w:lang w:eastAsia="zh-CN"/>
        </w:rPr>
        <w:t xml:space="preserve">Clinical Anatomy and Operative Surgery, </w:t>
      </w:r>
      <w:proofErr w:type="spellStart"/>
      <w:r w:rsidRPr="00CA4C0B">
        <w:rPr>
          <w:rStyle w:val="None"/>
          <w:rFonts w:ascii="Book Antiqua" w:hAnsi="Book Antiqua"/>
          <w:bCs/>
          <w:lang w:eastAsia="zh-CN"/>
        </w:rPr>
        <w:t>Ivane</w:t>
      </w:r>
      <w:proofErr w:type="spellEnd"/>
      <w:r w:rsidRPr="00CA4C0B">
        <w:rPr>
          <w:rStyle w:val="None"/>
          <w:rFonts w:ascii="Book Antiqua" w:hAnsi="Book Antiqua"/>
          <w:bCs/>
          <w:lang w:eastAsia="zh-CN"/>
        </w:rPr>
        <w:t xml:space="preserve"> </w:t>
      </w:r>
      <w:proofErr w:type="spellStart"/>
      <w:r w:rsidRPr="00CA4C0B">
        <w:rPr>
          <w:rStyle w:val="None"/>
          <w:rFonts w:ascii="Book Antiqua" w:hAnsi="Book Antiqua"/>
          <w:bCs/>
          <w:lang w:eastAsia="zh-CN"/>
        </w:rPr>
        <w:t>Javakhishvili</w:t>
      </w:r>
      <w:proofErr w:type="spellEnd"/>
      <w:r w:rsidRPr="00CA4C0B">
        <w:rPr>
          <w:rStyle w:val="None"/>
          <w:rFonts w:ascii="Book Antiqua" w:hAnsi="Book Antiqua"/>
          <w:bCs/>
          <w:lang w:eastAsia="zh-CN"/>
        </w:rPr>
        <w:t xml:space="preserve"> Tbilisi State University,</w:t>
      </w:r>
      <w:r w:rsidR="00216F6C" w:rsidRPr="00CA4C0B">
        <w:rPr>
          <w:rStyle w:val="None"/>
          <w:rFonts w:ascii="Book Antiqua" w:hAnsi="Book Antiqua"/>
          <w:bCs/>
          <w:lang w:eastAsia="zh-CN"/>
        </w:rPr>
        <w:t xml:space="preserve"> </w:t>
      </w:r>
      <w:r w:rsidRPr="00CA4C0B">
        <w:rPr>
          <w:rStyle w:val="None"/>
          <w:rFonts w:ascii="Book Antiqua" w:hAnsi="Book Antiqua"/>
          <w:bCs/>
          <w:lang w:eastAsia="zh-CN"/>
        </w:rPr>
        <w:t>Tbilisi 0159, Georgia</w:t>
      </w:r>
    </w:p>
    <w:p w14:paraId="0F0ABD4E" w14:textId="77777777" w:rsidR="002E1721" w:rsidRPr="00CA4C0B" w:rsidRDefault="002E1721" w:rsidP="007F2CA0">
      <w:pPr>
        <w:snapToGrid w:val="0"/>
        <w:spacing w:line="360" w:lineRule="auto"/>
        <w:jc w:val="both"/>
        <w:rPr>
          <w:rStyle w:val="None"/>
          <w:rFonts w:ascii="Book Antiqua" w:hAnsi="Book Antiqua"/>
          <w:b/>
          <w:bCs/>
          <w:u w:val="single"/>
          <w:lang w:val="it-IT" w:eastAsia="zh-CN"/>
        </w:rPr>
      </w:pPr>
    </w:p>
    <w:p w14:paraId="03F4294A" w14:textId="397B9234" w:rsidR="009216A4" w:rsidRPr="00CA4C0B" w:rsidRDefault="009216A4" w:rsidP="007F2CA0">
      <w:pPr>
        <w:pStyle w:val="BodyA"/>
        <w:snapToGrid w:val="0"/>
        <w:spacing w:after="0" w:line="360" w:lineRule="auto"/>
        <w:jc w:val="both"/>
        <w:rPr>
          <w:rStyle w:val="None"/>
          <w:rFonts w:ascii="Book Antiqua" w:eastAsia="Times New Roman" w:hAnsi="Book Antiqua" w:cs="Times New Roman"/>
          <w:color w:val="auto"/>
          <w:sz w:val="24"/>
          <w:szCs w:val="24"/>
          <w:shd w:val="clear" w:color="auto" w:fill="FFFFFF"/>
        </w:rPr>
      </w:pPr>
      <w:r w:rsidRPr="00CA4C0B">
        <w:rPr>
          <w:rStyle w:val="None"/>
          <w:rFonts w:ascii="Book Antiqua" w:hAnsi="Book Antiqua"/>
          <w:b/>
          <w:bCs/>
          <w:color w:val="auto"/>
          <w:sz w:val="24"/>
          <w:szCs w:val="24"/>
          <w:shd w:val="clear" w:color="auto" w:fill="FFFFFF"/>
        </w:rPr>
        <w:t>Author contributions</w:t>
      </w:r>
      <w:r w:rsidRPr="00CA4C0B">
        <w:rPr>
          <w:rStyle w:val="None"/>
          <w:rFonts w:ascii="Book Antiqua" w:hAnsi="Book Antiqua"/>
          <w:color w:val="auto"/>
          <w:sz w:val="24"/>
          <w:szCs w:val="24"/>
          <w:shd w:val="clear" w:color="auto" w:fill="FFFFFF"/>
        </w:rPr>
        <w:t>:</w:t>
      </w:r>
      <w:r w:rsidRPr="00CA4C0B">
        <w:rPr>
          <w:rStyle w:val="None"/>
          <w:rFonts w:ascii="Book Antiqua" w:eastAsia="Times New Roman" w:hAnsi="Book Antiqua" w:cs="Times New Roman"/>
          <w:color w:val="auto"/>
          <w:sz w:val="24"/>
          <w:szCs w:val="24"/>
          <w:shd w:val="clear" w:color="auto" w:fill="FFFFFF"/>
        </w:rPr>
        <w:t xml:space="preserve"> </w:t>
      </w:r>
      <w:r w:rsidR="00C91603" w:rsidRPr="00CA4C0B">
        <w:rPr>
          <w:rStyle w:val="None"/>
          <w:rFonts w:ascii="Book Antiqua" w:hAnsi="Book Antiqua"/>
          <w:bCs/>
          <w:color w:val="auto"/>
          <w:sz w:val="24"/>
          <w:szCs w:val="24"/>
          <w:lang w:val="it-IT"/>
        </w:rPr>
        <w:t>Tsomaia K</w:t>
      </w:r>
      <w:r w:rsidR="00C91603" w:rsidRPr="00CA4C0B">
        <w:rPr>
          <w:rStyle w:val="Hyperlink2"/>
          <w:rFonts w:ascii="Book Antiqua" w:eastAsia="Arial Unicode MS" w:hAnsi="Book Antiqua"/>
          <w:color w:val="auto"/>
        </w:rPr>
        <w:t xml:space="preserve"> and </w:t>
      </w:r>
      <w:proofErr w:type="spellStart"/>
      <w:r w:rsidRPr="00CA4C0B">
        <w:rPr>
          <w:rStyle w:val="None"/>
          <w:rFonts w:ascii="Book Antiqua" w:hAnsi="Book Antiqua"/>
          <w:bCs/>
          <w:color w:val="auto"/>
          <w:sz w:val="24"/>
          <w:szCs w:val="24"/>
        </w:rPr>
        <w:t>Patarashvili</w:t>
      </w:r>
      <w:proofErr w:type="spellEnd"/>
      <w:r w:rsidRPr="00CA4C0B">
        <w:rPr>
          <w:rStyle w:val="None"/>
          <w:rFonts w:ascii="Book Antiqua" w:hAnsi="Book Antiqua"/>
          <w:bCs/>
          <w:color w:val="auto"/>
          <w:sz w:val="24"/>
          <w:szCs w:val="24"/>
        </w:rPr>
        <w:t xml:space="preserve"> L</w:t>
      </w:r>
      <w:r w:rsidR="00C91603" w:rsidRPr="00CA4C0B">
        <w:rPr>
          <w:rStyle w:val="None"/>
          <w:rFonts w:ascii="Book Antiqua" w:hAnsi="Book Antiqua"/>
          <w:bCs/>
          <w:color w:val="auto"/>
          <w:sz w:val="24"/>
          <w:szCs w:val="24"/>
        </w:rPr>
        <w:t xml:space="preserve"> </w:t>
      </w:r>
      <w:r w:rsidRPr="00CA4C0B">
        <w:rPr>
          <w:rStyle w:val="None"/>
          <w:rFonts w:ascii="Book Antiqua" w:hAnsi="Book Antiqua"/>
          <w:color w:val="auto"/>
          <w:sz w:val="24"/>
          <w:szCs w:val="24"/>
          <w:shd w:val="clear" w:color="auto" w:fill="FFFFFF"/>
        </w:rPr>
        <w:t xml:space="preserve">were responsible for </w:t>
      </w:r>
      <w:proofErr w:type="spellStart"/>
      <w:r w:rsidRPr="00CA4C0B">
        <w:rPr>
          <w:rStyle w:val="None"/>
          <w:rFonts w:ascii="Book Antiqua" w:hAnsi="Book Antiqua"/>
          <w:color w:val="auto"/>
          <w:sz w:val="24"/>
          <w:szCs w:val="24"/>
          <w:shd w:val="clear" w:color="auto" w:fill="FFFFFF"/>
        </w:rPr>
        <w:t>pla</w:t>
      </w:r>
      <w:r w:rsidRPr="00CA4C0B">
        <w:rPr>
          <w:rStyle w:val="None"/>
          <w:rFonts w:ascii="Book Antiqua" w:hAnsi="Book Antiqua"/>
          <w:color w:val="auto"/>
          <w:sz w:val="24"/>
          <w:szCs w:val="24"/>
          <w:shd w:val="clear" w:color="auto" w:fill="FFFFFF"/>
        </w:rPr>
        <w:t>n</w:t>
      </w:r>
      <w:r w:rsidRPr="00CA4C0B">
        <w:rPr>
          <w:rStyle w:val="None"/>
          <w:rFonts w:ascii="Book Antiqua" w:hAnsi="Book Antiqua"/>
          <w:color w:val="auto"/>
          <w:sz w:val="24"/>
          <w:szCs w:val="24"/>
          <w:shd w:val="clear" w:color="auto" w:fill="FFFFFF"/>
        </w:rPr>
        <w:t>ing</w:t>
      </w:r>
      <w:proofErr w:type="spellEnd"/>
      <w:r w:rsidRPr="00CA4C0B">
        <w:rPr>
          <w:rStyle w:val="None"/>
          <w:rFonts w:ascii="Book Antiqua" w:hAnsi="Book Antiqua"/>
          <w:color w:val="auto"/>
          <w:sz w:val="24"/>
          <w:szCs w:val="24"/>
          <w:shd w:val="clear" w:color="auto" w:fill="FFFFFF"/>
        </w:rPr>
        <w:t xml:space="preserve"> experiments</w:t>
      </w:r>
      <w:r w:rsidRPr="00CA4C0B">
        <w:rPr>
          <w:rStyle w:val="Hyperlink2"/>
          <w:rFonts w:ascii="Book Antiqua" w:eastAsia="Arial Unicode MS" w:hAnsi="Book Antiqua"/>
          <w:color w:val="auto"/>
        </w:rPr>
        <w:t>, the</w:t>
      </w:r>
      <w:r w:rsidR="00C91603"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preparation and evaluation of histological slides, for mo</w:t>
      </w:r>
      <w:r w:rsidRPr="00CA4C0B">
        <w:rPr>
          <w:rStyle w:val="Hyperlink2"/>
          <w:rFonts w:ascii="Book Antiqua" w:eastAsia="Arial Unicode MS" w:hAnsi="Book Antiqua"/>
          <w:color w:val="auto"/>
        </w:rPr>
        <w:t>r</w:t>
      </w:r>
      <w:r w:rsidRPr="00CA4C0B">
        <w:rPr>
          <w:rStyle w:val="Hyperlink2"/>
          <w:rFonts w:ascii="Book Antiqua" w:eastAsia="Arial Unicode MS" w:hAnsi="Book Antiqua"/>
          <w:color w:val="auto"/>
        </w:rPr>
        <w:t>phometrical, literature</w:t>
      </w:r>
      <w:r w:rsidR="0056675D"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 xml:space="preserve">search, </w:t>
      </w:r>
      <w:r w:rsidRPr="00CA4C0B">
        <w:rPr>
          <w:rStyle w:val="None"/>
          <w:rFonts w:ascii="Book Antiqua" w:hAnsi="Book Antiqua"/>
          <w:color w:val="auto"/>
          <w:sz w:val="24"/>
          <w:szCs w:val="24"/>
          <w:shd w:val="clear" w:color="auto" w:fill="FFFFFF"/>
        </w:rPr>
        <w:t>in data interpretation and manuscript drafting</w:t>
      </w:r>
      <w:r w:rsidR="00C91603" w:rsidRPr="00CA4C0B">
        <w:rPr>
          <w:rStyle w:val="None"/>
          <w:rFonts w:ascii="Book Antiqua" w:hAnsi="Book Antiqua"/>
          <w:bCs/>
          <w:color w:val="auto"/>
          <w:sz w:val="24"/>
          <w:szCs w:val="24"/>
        </w:rPr>
        <w:t xml:space="preserve">; </w:t>
      </w:r>
      <w:proofErr w:type="spellStart"/>
      <w:r w:rsidRPr="00CA4C0B">
        <w:rPr>
          <w:rStyle w:val="None"/>
          <w:rFonts w:ascii="Book Antiqua" w:hAnsi="Book Antiqua"/>
          <w:bCs/>
          <w:color w:val="auto"/>
          <w:sz w:val="24"/>
          <w:szCs w:val="24"/>
        </w:rPr>
        <w:t>Karumidze</w:t>
      </w:r>
      <w:proofErr w:type="spellEnd"/>
      <w:r w:rsidRPr="00CA4C0B">
        <w:rPr>
          <w:rStyle w:val="None"/>
          <w:rFonts w:ascii="Book Antiqua" w:hAnsi="Book Antiqua"/>
          <w:bCs/>
          <w:color w:val="auto"/>
          <w:sz w:val="24"/>
          <w:szCs w:val="24"/>
        </w:rPr>
        <w:t xml:space="preserve"> N</w:t>
      </w:r>
      <w:r w:rsidR="001D5662" w:rsidRPr="00CA4C0B">
        <w:rPr>
          <w:rStyle w:val="None"/>
          <w:rFonts w:ascii="Book Antiqua" w:hAnsi="Book Antiqua"/>
          <w:bCs/>
          <w:color w:val="auto"/>
          <w:sz w:val="24"/>
          <w:szCs w:val="24"/>
        </w:rPr>
        <w:t xml:space="preserve"> </w:t>
      </w:r>
      <w:r w:rsidRPr="00CA4C0B">
        <w:rPr>
          <w:rStyle w:val="Hyperlink2"/>
          <w:rFonts w:ascii="Book Antiqua" w:eastAsia="Arial Unicode MS" w:hAnsi="Book Antiqua"/>
          <w:color w:val="auto"/>
        </w:rPr>
        <w:t xml:space="preserve">and </w:t>
      </w:r>
      <w:proofErr w:type="spellStart"/>
      <w:r w:rsidRPr="00CA4C0B">
        <w:rPr>
          <w:rStyle w:val="None"/>
          <w:rFonts w:ascii="Book Antiqua" w:hAnsi="Book Antiqua"/>
          <w:bCs/>
          <w:color w:val="auto"/>
          <w:sz w:val="24"/>
          <w:szCs w:val="24"/>
        </w:rPr>
        <w:t>Modebadze</w:t>
      </w:r>
      <w:proofErr w:type="spellEnd"/>
      <w:r w:rsidRPr="00CA4C0B">
        <w:rPr>
          <w:rStyle w:val="None"/>
          <w:rFonts w:ascii="Book Antiqua" w:hAnsi="Book Antiqua"/>
          <w:bCs/>
          <w:color w:val="auto"/>
          <w:sz w:val="24"/>
          <w:szCs w:val="24"/>
        </w:rPr>
        <w:t xml:space="preserve"> I</w:t>
      </w:r>
      <w:r w:rsidR="00C91603" w:rsidRPr="00CA4C0B">
        <w:rPr>
          <w:rStyle w:val="None"/>
          <w:rFonts w:ascii="Book Antiqua" w:hAnsi="Book Antiqua"/>
          <w:bCs/>
          <w:color w:val="auto"/>
          <w:sz w:val="24"/>
          <w:szCs w:val="24"/>
        </w:rPr>
        <w:t xml:space="preserve"> </w:t>
      </w:r>
      <w:r w:rsidRPr="00CA4C0B">
        <w:rPr>
          <w:rStyle w:val="Hyperlink2"/>
          <w:rFonts w:ascii="Book Antiqua" w:eastAsia="Arial Unicode MS" w:hAnsi="Book Antiqua"/>
          <w:color w:val="auto"/>
        </w:rPr>
        <w:t xml:space="preserve">were responsible for determination of the DNA concentration of the </w:t>
      </w:r>
      <w:r w:rsidR="00FC7178" w:rsidRPr="00CA4C0B">
        <w:rPr>
          <w:rStyle w:val="Hyperlink2"/>
          <w:rFonts w:ascii="Book Antiqua" w:eastAsia="Arial Unicode MS" w:hAnsi="Book Antiqua"/>
          <w:color w:val="auto"/>
        </w:rPr>
        <w:t>h</w:t>
      </w:r>
      <w:r w:rsidRPr="00CA4C0B">
        <w:rPr>
          <w:rStyle w:val="Hyperlink2"/>
          <w:rFonts w:ascii="Book Antiqua" w:eastAsia="Arial Unicode MS" w:hAnsi="Book Antiqua"/>
          <w:color w:val="auto"/>
        </w:rPr>
        <w:t>epatocytes</w:t>
      </w:r>
      <w:r w:rsidR="00FC7178" w:rsidRPr="00CA4C0B">
        <w:rPr>
          <w:rStyle w:val="Hyperlink2"/>
          <w:rFonts w:ascii="Book Antiqua" w:eastAsia="Arial Unicode MS" w:hAnsi="Book Antiqua"/>
          <w:color w:val="auto"/>
        </w:rPr>
        <w:t xml:space="preserve">; </w:t>
      </w:r>
      <w:proofErr w:type="spellStart"/>
      <w:r w:rsidRPr="00CA4C0B">
        <w:rPr>
          <w:rStyle w:val="None"/>
          <w:rFonts w:ascii="Book Antiqua" w:hAnsi="Book Antiqua"/>
          <w:bCs/>
          <w:color w:val="auto"/>
          <w:sz w:val="24"/>
          <w:szCs w:val="24"/>
        </w:rPr>
        <w:t>Bebiashvili</w:t>
      </w:r>
      <w:proofErr w:type="spellEnd"/>
      <w:r w:rsidRPr="00CA4C0B">
        <w:rPr>
          <w:rStyle w:val="None"/>
          <w:rFonts w:ascii="Book Antiqua" w:hAnsi="Book Antiqua"/>
          <w:bCs/>
          <w:color w:val="auto"/>
          <w:sz w:val="24"/>
          <w:szCs w:val="24"/>
        </w:rPr>
        <w:t xml:space="preserve"> I</w:t>
      </w:r>
      <w:r w:rsidR="00C91603" w:rsidRPr="00CA4C0B">
        <w:rPr>
          <w:rStyle w:val="None"/>
          <w:rFonts w:ascii="Book Antiqua" w:hAnsi="Book Antiqua"/>
          <w:bCs/>
          <w:color w:val="auto"/>
          <w:sz w:val="24"/>
          <w:szCs w:val="24"/>
        </w:rPr>
        <w:t xml:space="preserve"> </w:t>
      </w:r>
      <w:r w:rsidRPr="00CA4C0B">
        <w:rPr>
          <w:rStyle w:val="Hyperlink2"/>
          <w:rFonts w:ascii="Book Antiqua" w:eastAsia="Arial Unicode MS" w:hAnsi="Book Antiqua"/>
          <w:color w:val="auto"/>
        </w:rPr>
        <w:t xml:space="preserve">and </w:t>
      </w:r>
      <w:r w:rsidR="00C91603" w:rsidRPr="00CA4C0B">
        <w:rPr>
          <w:rStyle w:val="None"/>
          <w:rFonts w:ascii="Book Antiqua" w:hAnsi="Book Antiqua"/>
          <w:bCs/>
          <w:color w:val="auto"/>
          <w:sz w:val="24"/>
          <w:szCs w:val="24"/>
          <w:lang w:val="it-IT"/>
        </w:rPr>
        <w:t xml:space="preserve">Azmaipharashvili </w:t>
      </w:r>
      <w:r w:rsidRPr="00CA4C0B">
        <w:rPr>
          <w:rStyle w:val="None"/>
          <w:rFonts w:ascii="Book Antiqua" w:hAnsi="Book Antiqua"/>
          <w:bCs/>
          <w:color w:val="auto"/>
          <w:sz w:val="24"/>
          <w:szCs w:val="24"/>
          <w:lang w:val="it-IT"/>
        </w:rPr>
        <w:t>E</w:t>
      </w:r>
      <w:r w:rsidR="00C91603" w:rsidRPr="00CA4C0B">
        <w:rPr>
          <w:rStyle w:val="None"/>
          <w:rFonts w:ascii="Book Antiqua" w:hAnsi="Book Antiqua"/>
          <w:bCs/>
          <w:color w:val="auto"/>
          <w:sz w:val="24"/>
          <w:szCs w:val="24"/>
          <w:lang w:val="it-IT"/>
        </w:rPr>
        <w:t xml:space="preserve"> </w:t>
      </w:r>
      <w:r w:rsidRPr="00CA4C0B">
        <w:rPr>
          <w:rStyle w:val="Hyperlink2"/>
          <w:rFonts w:ascii="Book Antiqua" w:eastAsia="Arial Unicode MS" w:hAnsi="Book Antiqua"/>
          <w:color w:val="auto"/>
        </w:rPr>
        <w:t>contri</w:t>
      </w:r>
      <w:r w:rsidRPr="00CA4C0B">
        <w:rPr>
          <w:rStyle w:val="Hyperlink2"/>
          <w:rFonts w:ascii="Book Antiqua" w:eastAsia="Arial Unicode MS" w:hAnsi="Book Antiqua"/>
          <w:color w:val="auto"/>
        </w:rPr>
        <w:t>b</w:t>
      </w:r>
      <w:r w:rsidRPr="00CA4C0B">
        <w:rPr>
          <w:rStyle w:val="Hyperlink2"/>
          <w:rFonts w:ascii="Book Antiqua" w:eastAsia="Arial Unicode MS" w:hAnsi="Book Antiqua"/>
          <w:color w:val="auto"/>
        </w:rPr>
        <w:t>uted in experiments, in literature search and review and in analysis of the results.</w:t>
      </w:r>
      <w:r w:rsidRPr="00CA4C0B">
        <w:rPr>
          <w:rStyle w:val="None"/>
          <w:rFonts w:ascii="Book Antiqua" w:hAnsi="Book Antiqua"/>
          <w:bCs/>
          <w:color w:val="auto"/>
          <w:sz w:val="24"/>
          <w:szCs w:val="24"/>
        </w:rPr>
        <w:t xml:space="preserve"> </w:t>
      </w:r>
      <w:proofErr w:type="spellStart"/>
      <w:r w:rsidRPr="00CA4C0B">
        <w:rPr>
          <w:rStyle w:val="None"/>
          <w:rFonts w:ascii="Book Antiqua" w:hAnsi="Book Antiqua"/>
          <w:bCs/>
          <w:color w:val="auto"/>
          <w:sz w:val="24"/>
          <w:szCs w:val="24"/>
        </w:rPr>
        <w:t>Dzidziguri</w:t>
      </w:r>
      <w:proofErr w:type="spellEnd"/>
      <w:r w:rsidRPr="00CA4C0B">
        <w:rPr>
          <w:rStyle w:val="None"/>
          <w:rFonts w:ascii="Book Antiqua" w:hAnsi="Book Antiqua"/>
          <w:bCs/>
          <w:color w:val="auto"/>
          <w:sz w:val="24"/>
          <w:szCs w:val="24"/>
          <w:lang w:val="it-IT"/>
        </w:rPr>
        <w:t xml:space="preserve"> D</w:t>
      </w:r>
      <w:r w:rsidR="00FC7178" w:rsidRPr="00CA4C0B">
        <w:rPr>
          <w:rStyle w:val="None"/>
          <w:rFonts w:ascii="Book Antiqua" w:hAnsi="Book Antiqua"/>
          <w:bCs/>
          <w:color w:val="auto"/>
          <w:sz w:val="24"/>
          <w:szCs w:val="24"/>
          <w:lang w:val="it-IT"/>
        </w:rPr>
        <w:t xml:space="preserve"> </w:t>
      </w:r>
      <w:r w:rsidRPr="00CA4C0B">
        <w:rPr>
          <w:rStyle w:val="Hyperlink2"/>
          <w:rFonts w:ascii="Book Antiqua" w:eastAsia="Arial Unicode MS" w:hAnsi="Book Antiqua"/>
          <w:color w:val="auto"/>
        </w:rPr>
        <w:t xml:space="preserve">and </w:t>
      </w:r>
      <w:proofErr w:type="spellStart"/>
      <w:r w:rsidRPr="00CA4C0B">
        <w:rPr>
          <w:rStyle w:val="None"/>
          <w:rFonts w:ascii="Book Antiqua" w:hAnsi="Book Antiqua"/>
          <w:bCs/>
          <w:color w:val="auto"/>
          <w:sz w:val="24"/>
          <w:szCs w:val="24"/>
        </w:rPr>
        <w:t>Sareli</w:t>
      </w:r>
      <w:proofErr w:type="spellEnd"/>
      <w:r w:rsidRPr="00CA4C0B">
        <w:rPr>
          <w:rStyle w:val="None"/>
          <w:rFonts w:ascii="Book Antiqua" w:hAnsi="Book Antiqua"/>
          <w:bCs/>
          <w:color w:val="auto"/>
          <w:sz w:val="24"/>
          <w:szCs w:val="24"/>
        </w:rPr>
        <w:t xml:space="preserve"> M</w:t>
      </w:r>
      <w:r w:rsidR="00FC7178" w:rsidRPr="00CA4C0B">
        <w:rPr>
          <w:rStyle w:val="None"/>
          <w:rFonts w:ascii="Book Antiqua" w:hAnsi="Book Antiqua"/>
          <w:bCs/>
          <w:color w:val="auto"/>
          <w:sz w:val="24"/>
          <w:szCs w:val="24"/>
        </w:rPr>
        <w:t xml:space="preserve"> </w:t>
      </w:r>
      <w:r w:rsidRPr="00CA4C0B">
        <w:rPr>
          <w:rStyle w:val="Hyperlink2"/>
          <w:rFonts w:ascii="Book Antiqua" w:eastAsia="Arial Unicode MS" w:hAnsi="Book Antiqua"/>
          <w:color w:val="auto"/>
        </w:rPr>
        <w:t xml:space="preserve">contributed in planning the experiments and research methodology, in data analysis, manuscript drafting and </w:t>
      </w:r>
      <w:r w:rsidRPr="00CA4C0B">
        <w:rPr>
          <w:rStyle w:val="None"/>
          <w:rFonts w:ascii="Book Antiqua" w:hAnsi="Book Antiqua"/>
          <w:color w:val="auto"/>
          <w:sz w:val="24"/>
          <w:szCs w:val="24"/>
          <w:shd w:val="clear" w:color="auto" w:fill="FFFFFF"/>
          <w:lang w:val="it-IT"/>
        </w:rPr>
        <w:t>revision</w:t>
      </w:r>
      <w:r w:rsidR="00FC7178" w:rsidRPr="00CA4C0B">
        <w:rPr>
          <w:rStyle w:val="Hyperlink2"/>
          <w:rFonts w:ascii="Book Antiqua" w:eastAsia="Arial Unicode MS" w:hAnsi="Book Antiqua"/>
          <w:color w:val="auto"/>
        </w:rPr>
        <w:t xml:space="preserve">; </w:t>
      </w:r>
      <w:proofErr w:type="spellStart"/>
      <w:r w:rsidRPr="00CA4C0B">
        <w:rPr>
          <w:rStyle w:val="None"/>
          <w:rFonts w:ascii="Book Antiqua" w:hAnsi="Book Antiqua"/>
          <w:bCs/>
          <w:color w:val="auto"/>
          <w:sz w:val="24"/>
          <w:szCs w:val="24"/>
        </w:rPr>
        <w:t>Gusev</w:t>
      </w:r>
      <w:proofErr w:type="spellEnd"/>
      <w:r w:rsidRPr="00CA4C0B">
        <w:rPr>
          <w:rStyle w:val="None"/>
          <w:rFonts w:ascii="Book Antiqua" w:hAnsi="Book Antiqua"/>
          <w:bCs/>
          <w:color w:val="auto"/>
          <w:sz w:val="24"/>
          <w:szCs w:val="24"/>
        </w:rPr>
        <w:t xml:space="preserve"> S</w:t>
      </w:r>
      <w:r w:rsidR="00FC7178" w:rsidRPr="00CA4C0B">
        <w:rPr>
          <w:rStyle w:val="None"/>
          <w:rFonts w:ascii="Book Antiqua" w:hAnsi="Book Antiqua"/>
          <w:bCs/>
          <w:color w:val="auto"/>
          <w:sz w:val="24"/>
          <w:szCs w:val="24"/>
        </w:rPr>
        <w:t xml:space="preserve"> </w:t>
      </w:r>
      <w:r w:rsidRPr="00CA4C0B">
        <w:rPr>
          <w:rStyle w:val="Hyperlink2"/>
          <w:rFonts w:ascii="Book Antiqua" w:eastAsia="Arial Unicode MS" w:hAnsi="Book Antiqua"/>
          <w:color w:val="auto"/>
        </w:rPr>
        <w:t>pe</w:t>
      </w:r>
      <w:r w:rsidRPr="00CA4C0B">
        <w:rPr>
          <w:rStyle w:val="Hyperlink2"/>
          <w:rFonts w:ascii="Book Antiqua" w:eastAsia="Arial Unicode MS" w:hAnsi="Book Antiqua"/>
          <w:color w:val="auto"/>
        </w:rPr>
        <w:t>r</w:t>
      </w:r>
      <w:r w:rsidRPr="00CA4C0B">
        <w:rPr>
          <w:rStyle w:val="Hyperlink2"/>
          <w:rFonts w:ascii="Book Antiqua" w:eastAsia="Arial Unicode MS" w:hAnsi="Book Antiqua"/>
          <w:color w:val="auto"/>
        </w:rPr>
        <w:t>formed SEM investigation, evaluation, description, data analysis, editing and r</w:t>
      </w:r>
      <w:r w:rsidRPr="00CA4C0B">
        <w:rPr>
          <w:rStyle w:val="Hyperlink2"/>
          <w:rFonts w:ascii="Book Antiqua" w:eastAsia="Arial Unicode MS" w:hAnsi="Book Antiqua"/>
          <w:color w:val="auto"/>
        </w:rPr>
        <w:t>e</w:t>
      </w:r>
      <w:r w:rsidRPr="00CA4C0B">
        <w:rPr>
          <w:rStyle w:val="Hyperlink2"/>
          <w:rFonts w:ascii="Book Antiqua" w:eastAsia="Arial Unicode MS" w:hAnsi="Book Antiqua"/>
          <w:color w:val="auto"/>
        </w:rPr>
        <w:t>vision of the manuscript</w:t>
      </w:r>
      <w:r w:rsidR="00FC7178" w:rsidRPr="00CA4C0B">
        <w:rPr>
          <w:rStyle w:val="Hyperlink2"/>
          <w:rFonts w:ascii="Book Antiqua" w:eastAsia="Arial Unicode MS" w:hAnsi="Book Antiqua"/>
          <w:color w:val="auto"/>
        </w:rPr>
        <w:t>;</w:t>
      </w:r>
      <w:r w:rsidRPr="00CA4C0B">
        <w:rPr>
          <w:rStyle w:val="Hyperlink2"/>
          <w:rFonts w:ascii="Book Antiqua" w:eastAsia="Arial Unicode MS" w:hAnsi="Book Antiqua"/>
          <w:color w:val="auto"/>
        </w:rPr>
        <w:t xml:space="preserve"> </w:t>
      </w:r>
      <w:proofErr w:type="spellStart"/>
      <w:r w:rsidRPr="00CA4C0B">
        <w:rPr>
          <w:rStyle w:val="None"/>
          <w:rFonts w:ascii="Book Antiqua" w:hAnsi="Book Antiqua"/>
          <w:bCs/>
          <w:color w:val="auto"/>
          <w:sz w:val="24"/>
          <w:szCs w:val="24"/>
        </w:rPr>
        <w:t>Kordzaia</w:t>
      </w:r>
      <w:proofErr w:type="spellEnd"/>
      <w:r w:rsidRPr="00CA4C0B">
        <w:rPr>
          <w:rStyle w:val="None"/>
          <w:rFonts w:ascii="Book Antiqua" w:hAnsi="Book Antiqua"/>
          <w:bCs/>
          <w:color w:val="auto"/>
          <w:sz w:val="24"/>
          <w:szCs w:val="24"/>
        </w:rPr>
        <w:t xml:space="preserve"> D</w:t>
      </w:r>
      <w:r w:rsidR="00FC7178" w:rsidRPr="00CA4C0B">
        <w:rPr>
          <w:rStyle w:val="None"/>
          <w:rFonts w:ascii="Book Antiqua" w:hAnsi="Book Antiqua"/>
          <w:bCs/>
          <w:color w:val="auto"/>
          <w:sz w:val="24"/>
          <w:szCs w:val="24"/>
        </w:rPr>
        <w:t xml:space="preserve"> </w:t>
      </w:r>
      <w:r w:rsidRPr="00CA4C0B">
        <w:rPr>
          <w:rStyle w:val="None"/>
          <w:rFonts w:ascii="Book Antiqua" w:hAnsi="Book Antiqua"/>
          <w:color w:val="auto"/>
          <w:sz w:val="24"/>
          <w:szCs w:val="24"/>
          <w:shd w:val="clear" w:color="auto" w:fill="FFFFFF"/>
        </w:rPr>
        <w:t>performed the conceptualization</w:t>
      </w:r>
      <w:r w:rsidRPr="00CA4C0B">
        <w:rPr>
          <w:rStyle w:val="Hyperlink2"/>
          <w:rFonts w:ascii="Book Antiqua" w:eastAsia="Arial Unicode MS" w:hAnsi="Book Antiqua"/>
          <w:color w:val="auto"/>
        </w:rPr>
        <w:t xml:space="preserve"> of r</w:t>
      </w:r>
      <w:r w:rsidRPr="00CA4C0B">
        <w:rPr>
          <w:rStyle w:val="Hyperlink2"/>
          <w:rFonts w:ascii="Book Antiqua" w:eastAsia="Arial Unicode MS" w:hAnsi="Book Antiqua"/>
          <w:color w:val="auto"/>
        </w:rPr>
        <w:t>e</w:t>
      </w:r>
      <w:r w:rsidRPr="00CA4C0B">
        <w:rPr>
          <w:rStyle w:val="Hyperlink2"/>
          <w:rFonts w:ascii="Book Antiqua" w:eastAsia="Arial Unicode MS" w:hAnsi="Book Antiqua"/>
          <w:color w:val="auto"/>
        </w:rPr>
        <w:t>search, project administration, supervision of experiments and investigation of SEM. Control preparation of the</w:t>
      </w:r>
      <w:r w:rsidR="00FC7178" w:rsidRPr="00CA4C0B">
        <w:rPr>
          <w:rStyle w:val="Hyperlink2"/>
          <w:rFonts w:ascii="Book Antiqua" w:eastAsia="Arial Unicode MS" w:hAnsi="Book Antiqua"/>
          <w:color w:val="auto"/>
        </w:rPr>
        <w:t xml:space="preserve"> last version of the manuscript; </w:t>
      </w:r>
      <w:r w:rsidR="00FC7178" w:rsidRPr="00CA4C0B">
        <w:rPr>
          <w:rStyle w:val="None"/>
          <w:rFonts w:ascii="Book Antiqua" w:hAnsi="Book Antiqua"/>
          <w:color w:val="auto"/>
          <w:sz w:val="24"/>
          <w:szCs w:val="24"/>
          <w:shd w:val="clear" w:color="auto" w:fill="FFFFFF"/>
        </w:rPr>
        <w:t>a</w:t>
      </w:r>
      <w:r w:rsidRPr="00CA4C0B">
        <w:rPr>
          <w:rStyle w:val="None"/>
          <w:rFonts w:ascii="Book Antiqua" w:hAnsi="Book Antiqua"/>
          <w:color w:val="auto"/>
          <w:sz w:val="24"/>
          <w:szCs w:val="24"/>
          <w:shd w:val="clear" w:color="auto" w:fill="FFFFFF"/>
        </w:rPr>
        <w:t>ll authors r</w:t>
      </w:r>
      <w:r w:rsidRPr="00CA4C0B">
        <w:rPr>
          <w:rStyle w:val="None"/>
          <w:rFonts w:ascii="Book Antiqua" w:hAnsi="Book Antiqua"/>
          <w:color w:val="auto"/>
          <w:sz w:val="24"/>
          <w:szCs w:val="24"/>
          <w:shd w:val="clear" w:color="auto" w:fill="FFFFFF"/>
        </w:rPr>
        <w:t>e</w:t>
      </w:r>
      <w:r w:rsidRPr="00CA4C0B">
        <w:rPr>
          <w:rStyle w:val="None"/>
          <w:rFonts w:ascii="Book Antiqua" w:hAnsi="Book Antiqua"/>
          <w:color w:val="auto"/>
          <w:sz w:val="24"/>
          <w:szCs w:val="24"/>
          <w:shd w:val="clear" w:color="auto" w:fill="FFFFFF"/>
        </w:rPr>
        <w:t>viewed and approved the final version to be published.</w:t>
      </w:r>
    </w:p>
    <w:p w14:paraId="03BFE483" w14:textId="77777777" w:rsidR="00782688" w:rsidRPr="00CA4C0B" w:rsidRDefault="00782688" w:rsidP="007F2CA0">
      <w:pPr>
        <w:snapToGrid w:val="0"/>
        <w:spacing w:line="360" w:lineRule="auto"/>
        <w:jc w:val="both"/>
        <w:rPr>
          <w:rStyle w:val="None"/>
          <w:rFonts w:ascii="Book Antiqua" w:hAnsi="Book Antiqua"/>
          <w:b/>
          <w:bCs/>
          <w:u w:val="single"/>
          <w:lang w:eastAsia="zh-CN"/>
        </w:rPr>
      </w:pPr>
    </w:p>
    <w:p w14:paraId="1F7B772F" w14:textId="03380BA3" w:rsidR="00FF3BC1" w:rsidRPr="00CA4C0B" w:rsidRDefault="00FF3BC1" w:rsidP="007F2CA0">
      <w:pPr>
        <w:pStyle w:val="BodyA"/>
        <w:snapToGrid w:val="0"/>
        <w:spacing w:after="0" w:line="360" w:lineRule="auto"/>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b/>
          <w:caps/>
          <w:color w:val="auto"/>
        </w:rPr>
        <w:t>s</w:t>
      </w:r>
      <w:r w:rsidRPr="00CA4C0B">
        <w:rPr>
          <w:rStyle w:val="Hyperlink2"/>
          <w:rFonts w:ascii="Book Antiqua" w:eastAsia="Arial Unicode MS" w:hAnsi="Book Antiqua"/>
          <w:b/>
          <w:color w:val="auto"/>
        </w:rPr>
        <w:t>upported by</w:t>
      </w:r>
      <w:r w:rsidR="00C75286"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the Shota Rustaveli National Science Foundation of Georgia</w:t>
      </w:r>
      <w:r w:rsidR="00AE0E00" w:rsidRPr="00CA4C0B">
        <w:rPr>
          <w:rStyle w:val="Hyperlink2"/>
          <w:rFonts w:ascii="Book Antiqua" w:eastAsia="Arial Unicode MS" w:hAnsi="Book Antiqua"/>
          <w:color w:val="auto"/>
        </w:rPr>
        <w:t xml:space="preserve">, No. </w:t>
      </w:r>
      <w:r w:rsidRPr="00CA4C0B">
        <w:rPr>
          <w:rStyle w:val="Hyperlink2"/>
          <w:rFonts w:ascii="Book Antiqua" w:eastAsia="Arial Unicode MS" w:hAnsi="Book Antiqua"/>
          <w:color w:val="auto"/>
        </w:rPr>
        <w:t>DP2016_22</w:t>
      </w:r>
      <w:r w:rsidR="00AE0E00"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New Interfaculty Interdisciplinar</w:t>
      </w:r>
      <w:r w:rsidR="001660FD" w:rsidRPr="00CA4C0B">
        <w:rPr>
          <w:rStyle w:val="Hyperlink2"/>
          <w:rFonts w:ascii="Book Antiqua" w:eastAsia="Arial Unicode MS" w:hAnsi="Book Antiqua"/>
          <w:color w:val="auto"/>
        </w:rPr>
        <w:t xml:space="preserve">y Structured Doctoral </w:t>
      </w:r>
      <w:proofErr w:type="spellStart"/>
      <w:r w:rsidR="001660FD" w:rsidRPr="00CA4C0B">
        <w:rPr>
          <w:rStyle w:val="Hyperlink2"/>
          <w:rFonts w:ascii="Book Antiqua" w:eastAsia="Arial Unicode MS" w:hAnsi="Book Antiqua"/>
          <w:color w:val="auto"/>
        </w:rPr>
        <w:t>Programme</w:t>
      </w:r>
      <w:proofErr w:type="spellEnd"/>
      <w:r w:rsidR="001660FD"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 xml:space="preserve">Translational Biomedicine” </w:t>
      </w:r>
      <w:r w:rsidRPr="00CA4C0B">
        <w:rPr>
          <w:rStyle w:val="None"/>
          <w:rFonts w:ascii="Book Antiqua" w:hAnsi="Book Antiqua"/>
          <w:color w:val="auto"/>
          <w:sz w:val="24"/>
          <w:szCs w:val="24"/>
          <w:lang w:val="fr-FR"/>
        </w:rPr>
        <w:t>(Direction</w:t>
      </w:r>
      <w:r w:rsidR="00F7733D" w:rsidRPr="00CA4C0B">
        <w:rPr>
          <w:rStyle w:val="None"/>
          <w:rFonts w:ascii="Book Antiqua" w:hAnsi="Book Antiqua"/>
          <w:color w:val="auto"/>
          <w:sz w:val="24"/>
          <w:szCs w:val="24"/>
          <w:lang w:val="fr-FR"/>
        </w:rPr>
        <w:t xml:space="preserve"> </w:t>
      </w:r>
      <w:r w:rsidRPr="00CA4C0B">
        <w:rPr>
          <w:rStyle w:val="None"/>
          <w:rFonts w:ascii="Book Antiqua" w:hAnsi="Book Antiqua"/>
          <w:color w:val="auto"/>
          <w:sz w:val="24"/>
          <w:szCs w:val="24"/>
          <w:rtl/>
          <w:lang w:val="ar-SA"/>
        </w:rPr>
        <w:t>–</w:t>
      </w:r>
      <w:r w:rsidR="001660FD" w:rsidRPr="00CA4C0B">
        <w:rPr>
          <w:rStyle w:val="Hyperlink2"/>
          <w:rFonts w:ascii="Book Antiqua" w:eastAsia="Arial Unicode MS" w:hAnsi="Book Antiqua" w:hint="cs"/>
          <w:color w:val="auto"/>
          <w:rtl/>
        </w:rPr>
        <w:t>"</w:t>
      </w:r>
      <w:r w:rsidRPr="00CA4C0B">
        <w:rPr>
          <w:rStyle w:val="Hyperlink2"/>
          <w:rFonts w:ascii="Book Antiqua" w:eastAsia="Arial Unicode MS" w:hAnsi="Book Antiqua"/>
          <w:color w:val="auto"/>
        </w:rPr>
        <w:t>Hepatology”</w:t>
      </w:r>
      <w:r w:rsidRPr="00CA4C0B">
        <w:rPr>
          <w:rStyle w:val="None"/>
          <w:rFonts w:ascii="Book Antiqua" w:hAnsi="Book Antiqua"/>
          <w:color w:val="auto"/>
          <w:sz w:val="24"/>
          <w:szCs w:val="24"/>
          <w:lang w:val="pt-PT"/>
        </w:rPr>
        <w:t>)].</w:t>
      </w:r>
    </w:p>
    <w:p w14:paraId="597984C1" w14:textId="77777777" w:rsidR="00FF3BC1" w:rsidRPr="00CA4C0B" w:rsidRDefault="00FF3BC1" w:rsidP="007F2CA0">
      <w:pPr>
        <w:snapToGrid w:val="0"/>
        <w:spacing w:line="360" w:lineRule="auto"/>
        <w:jc w:val="both"/>
        <w:rPr>
          <w:rStyle w:val="None"/>
          <w:rFonts w:ascii="Book Antiqua" w:hAnsi="Book Antiqua"/>
          <w:b/>
          <w:bCs/>
          <w:u w:val="single"/>
          <w:lang w:eastAsia="zh-CN"/>
        </w:rPr>
      </w:pPr>
    </w:p>
    <w:p w14:paraId="2AAD156A" w14:textId="0FB7DCA5" w:rsidR="00295582" w:rsidRPr="00CA4C0B" w:rsidRDefault="002E1721" w:rsidP="007F2CA0">
      <w:pPr>
        <w:snapToGrid w:val="0"/>
        <w:spacing w:line="360" w:lineRule="auto"/>
        <w:jc w:val="both"/>
        <w:rPr>
          <w:rStyle w:val="None"/>
          <w:rFonts w:ascii="Book Antiqua" w:hAnsi="Book Antiqua"/>
          <w:bCs/>
          <w:lang w:eastAsia="zh-CN"/>
        </w:rPr>
      </w:pPr>
      <w:r w:rsidRPr="00CA4C0B">
        <w:rPr>
          <w:rStyle w:val="None"/>
          <w:rFonts w:ascii="Book Antiqua" w:hAnsi="Book Antiqua"/>
          <w:b/>
          <w:bCs/>
          <w:lang w:eastAsia="zh-CN"/>
        </w:rPr>
        <w:t>Corresponding author:</w:t>
      </w:r>
      <w:r w:rsidRPr="00CA4C0B">
        <w:rPr>
          <w:rStyle w:val="None"/>
          <w:rFonts w:ascii="Book Antiqua" w:hAnsi="Book Antiqua"/>
          <w:bCs/>
          <w:lang w:eastAsia="zh-CN"/>
        </w:rPr>
        <w:t xml:space="preserve"> </w:t>
      </w:r>
      <w:r w:rsidRPr="00CA4C0B">
        <w:rPr>
          <w:rStyle w:val="None"/>
          <w:rFonts w:ascii="Book Antiqua" w:hAnsi="Book Antiqua"/>
          <w:b/>
          <w:bCs/>
          <w:lang w:eastAsia="zh-CN"/>
        </w:rPr>
        <w:t xml:space="preserve">Dimitri </w:t>
      </w:r>
      <w:proofErr w:type="spellStart"/>
      <w:r w:rsidRPr="00CA4C0B">
        <w:rPr>
          <w:rStyle w:val="None"/>
          <w:rFonts w:ascii="Book Antiqua" w:hAnsi="Book Antiqua"/>
          <w:b/>
          <w:bCs/>
          <w:lang w:eastAsia="zh-CN"/>
        </w:rPr>
        <w:t>Kordzaia</w:t>
      </w:r>
      <w:proofErr w:type="spellEnd"/>
      <w:r w:rsidRPr="00CA4C0B">
        <w:rPr>
          <w:rStyle w:val="None"/>
          <w:rFonts w:ascii="Book Antiqua" w:hAnsi="Book Antiqua"/>
          <w:b/>
          <w:bCs/>
          <w:lang w:eastAsia="zh-CN"/>
        </w:rPr>
        <w:t>, DSc,</w:t>
      </w:r>
      <w:r w:rsidR="00286BB0" w:rsidRPr="00CA4C0B">
        <w:rPr>
          <w:rStyle w:val="None"/>
          <w:rFonts w:ascii="Book Antiqua" w:hAnsi="Book Antiqua"/>
          <w:b/>
          <w:bCs/>
          <w:lang w:eastAsia="zh-CN"/>
        </w:rPr>
        <w:t xml:space="preserve"> </w:t>
      </w:r>
      <w:r w:rsidRPr="00CA4C0B">
        <w:rPr>
          <w:rStyle w:val="None"/>
          <w:rFonts w:ascii="Book Antiqua" w:hAnsi="Book Antiqua"/>
          <w:b/>
          <w:bCs/>
          <w:lang w:eastAsia="zh-CN"/>
        </w:rPr>
        <w:t xml:space="preserve">MD, PhD, Dean, Professor, </w:t>
      </w:r>
      <w:r w:rsidRPr="00CA4C0B">
        <w:rPr>
          <w:rStyle w:val="None"/>
          <w:rFonts w:ascii="Book Antiqua" w:hAnsi="Book Antiqua"/>
          <w:bCs/>
          <w:lang w:eastAsia="zh-CN"/>
        </w:rPr>
        <w:t xml:space="preserve">Clinical Anatomy and Operative Surgery, </w:t>
      </w:r>
      <w:proofErr w:type="spellStart"/>
      <w:r w:rsidRPr="00CA4C0B">
        <w:rPr>
          <w:rStyle w:val="None"/>
          <w:rFonts w:ascii="Book Antiqua" w:hAnsi="Book Antiqua"/>
          <w:bCs/>
          <w:lang w:eastAsia="zh-CN"/>
        </w:rPr>
        <w:t>Ivane</w:t>
      </w:r>
      <w:proofErr w:type="spellEnd"/>
      <w:r w:rsidRPr="00CA4C0B">
        <w:rPr>
          <w:rStyle w:val="None"/>
          <w:rFonts w:ascii="Book Antiqua" w:hAnsi="Book Antiqua"/>
          <w:bCs/>
          <w:lang w:eastAsia="zh-CN"/>
        </w:rPr>
        <w:t xml:space="preserve"> </w:t>
      </w:r>
      <w:proofErr w:type="spellStart"/>
      <w:r w:rsidRPr="00CA4C0B">
        <w:rPr>
          <w:rStyle w:val="None"/>
          <w:rFonts w:ascii="Book Antiqua" w:hAnsi="Book Antiqua"/>
          <w:bCs/>
          <w:lang w:eastAsia="zh-CN"/>
        </w:rPr>
        <w:t>Javakhishvili</w:t>
      </w:r>
      <w:proofErr w:type="spellEnd"/>
      <w:r w:rsidRPr="00CA4C0B">
        <w:rPr>
          <w:rStyle w:val="None"/>
          <w:rFonts w:ascii="Book Antiqua" w:hAnsi="Book Antiqua"/>
          <w:bCs/>
          <w:lang w:eastAsia="zh-CN"/>
        </w:rPr>
        <w:t xml:space="preserve"> Tbilisi State Un</w:t>
      </w:r>
      <w:r w:rsidRPr="00CA4C0B">
        <w:rPr>
          <w:rStyle w:val="None"/>
          <w:rFonts w:ascii="Book Antiqua" w:hAnsi="Book Antiqua"/>
          <w:bCs/>
          <w:lang w:eastAsia="zh-CN"/>
        </w:rPr>
        <w:t>i</w:t>
      </w:r>
      <w:r w:rsidRPr="00CA4C0B">
        <w:rPr>
          <w:rStyle w:val="None"/>
          <w:rFonts w:ascii="Book Antiqua" w:hAnsi="Book Antiqua"/>
          <w:bCs/>
          <w:lang w:eastAsia="zh-CN"/>
        </w:rPr>
        <w:t xml:space="preserve">versity, </w:t>
      </w:r>
      <w:proofErr w:type="spellStart"/>
      <w:r w:rsidRPr="00CA4C0B">
        <w:rPr>
          <w:rStyle w:val="None"/>
          <w:rFonts w:ascii="Book Antiqua" w:hAnsi="Book Antiqua"/>
          <w:bCs/>
          <w:lang w:eastAsia="zh-CN"/>
        </w:rPr>
        <w:t>Beliashvili</w:t>
      </w:r>
      <w:proofErr w:type="spellEnd"/>
      <w:r w:rsidRPr="00CA4C0B">
        <w:rPr>
          <w:rStyle w:val="None"/>
          <w:rFonts w:ascii="Book Antiqua" w:hAnsi="Book Antiqua"/>
          <w:bCs/>
          <w:lang w:eastAsia="zh-CN"/>
        </w:rPr>
        <w:t xml:space="preserve"> str. 78, Tbilisi</w:t>
      </w:r>
      <w:r w:rsidR="00C30D30" w:rsidRPr="00CA4C0B">
        <w:rPr>
          <w:rStyle w:val="None"/>
          <w:rFonts w:ascii="Book Antiqua" w:hAnsi="Book Antiqua"/>
          <w:bCs/>
          <w:lang w:eastAsia="zh-CN"/>
        </w:rPr>
        <w:t xml:space="preserve"> </w:t>
      </w:r>
      <w:r w:rsidRPr="00CA4C0B">
        <w:rPr>
          <w:rStyle w:val="None"/>
          <w:rFonts w:ascii="Book Antiqua" w:hAnsi="Book Antiqua"/>
          <w:bCs/>
          <w:lang w:eastAsia="zh-CN"/>
        </w:rPr>
        <w:t xml:space="preserve">0159, Georgia. </w:t>
      </w:r>
      <w:hyperlink r:id="rId8" w:history="1">
        <w:r w:rsidR="007E4264" w:rsidRPr="00CA4C0B">
          <w:rPr>
            <w:rStyle w:val="a3"/>
            <w:rFonts w:ascii="Book Antiqua" w:hAnsi="Book Antiqua"/>
            <w:bCs/>
            <w:lang w:eastAsia="zh-CN"/>
          </w:rPr>
          <w:t>dimitri.kordzaia@tsu.ge</w:t>
        </w:r>
      </w:hyperlink>
    </w:p>
    <w:p w14:paraId="3770D882" w14:textId="77777777" w:rsidR="007E4264" w:rsidRPr="00CA4C0B" w:rsidRDefault="007E4264" w:rsidP="007F2CA0">
      <w:pPr>
        <w:snapToGrid w:val="0"/>
        <w:spacing w:line="360" w:lineRule="auto"/>
        <w:jc w:val="both"/>
        <w:rPr>
          <w:rStyle w:val="None"/>
          <w:rFonts w:ascii="Book Antiqua" w:hAnsi="Book Antiqua"/>
          <w:bCs/>
          <w:lang w:eastAsia="zh-CN"/>
        </w:rPr>
      </w:pPr>
    </w:p>
    <w:p w14:paraId="527E351B" w14:textId="1469C63D" w:rsidR="007E4264" w:rsidRPr="00CA4C0B" w:rsidRDefault="007E4264" w:rsidP="007F2CA0">
      <w:pPr>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b/>
          <w:bdr w:val="none" w:sz="0" w:space="0" w:color="auto"/>
          <w:lang w:eastAsia="zh-CN"/>
        </w:rPr>
      </w:pPr>
      <w:r w:rsidRPr="00CA4C0B">
        <w:rPr>
          <w:rFonts w:ascii="Book Antiqua" w:eastAsia="宋体" w:hAnsi="Book Antiqua"/>
          <w:b/>
          <w:bdr w:val="none" w:sz="0" w:space="0" w:color="auto"/>
          <w:lang w:eastAsia="zh-CN"/>
        </w:rPr>
        <w:t xml:space="preserve">Received: </w:t>
      </w:r>
      <w:r w:rsidRPr="00CA4C0B">
        <w:rPr>
          <w:rFonts w:ascii="Book Antiqua" w:eastAsia="宋体" w:hAnsi="Book Antiqua"/>
          <w:bdr w:val="none" w:sz="0" w:space="0" w:color="auto"/>
          <w:lang w:eastAsia="zh-CN"/>
        </w:rPr>
        <w:t>February 2</w:t>
      </w:r>
      <w:r w:rsidR="00722E32" w:rsidRPr="00CA4C0B">
        <w:rPr>
          <w:rFonts w:ascii="Book Antiqua" w:eastAsia="宋体" w:hAnsi="Book Antiqua"/>
          <w:bdr w:val="none" w:sz="0" w:space="0" w:color="auto"/>
          <w:lang w:eastAsia="zh-CN"/>
        </w:rPr>
        <w:t>7</w:t>
      </w:r>
      <w:r w:rsidRPr="00CA4C0B">
        <w:rPr>
          <w:rFonts w:ascii="Book Antiqua" w:eastAsia="宋体" w:hAnsi="Book Antiqua"/>
          <w:bdr w:val="none" w:sz="0" w:space="0" w:color="auto"/>
          <w:lang w:eastAsia="zh-CN"/>
        </w:rPr>
        <w:t>, 2020</w:t>
      </w:r>
    </w:p>
    <w:p w14:paraId="4EC82586" w14:textId="2007FA95" w:rsidR="007E4264" w:rsidRPr="00CA4C0B" w:rsidRDefault="007E4264" w:rsidP="007F2CA0">
      <w:pPr>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b/>
          <w:bdr w:val="none" w:sz="0" w:space="0" w:color="auto"/>
          <w:lang w:eastAsia="zh-CN"/>
        </w:rPr>
      </w:pPr>
      <w:r w:rsidRPr="00CA4C0B">
        <w:rPr>
          <w:rFonts w:ascii="Book Antiqua" w:eastAsia="宋体" w:hAnsi="Book Antiqua"/>
          <w:b/>
          <w:bdr w:val="none" w:sz="0" w:space="0" w:color="auto"/>
          <w:lang w:eastAsia="zh-CN"/>
        </w:rPr>
        <w:t xml:space="preserve">Revised: </w:t>
      </w:r>
      <w:r w:rsidR="00722E32" w:rsidRPr="00CA4C0B">
        <w:rPr>
          <w:rFonts w:ascii="Book Antiqua" w:eastAsia="宋体" w:hAnsi="Book Antiqua"/>
          <w:bdr w:val="none" w:sz="0" w:space="0" w:color="auto"/>
          <w:lang w:eastAsia="zh-CN"/>
        </w:rPr>
        <w:t>May</w:t>
      </w:r>
      <w:r w:rsidRPr="00CA4C0B">
        <w:rPr>
          <w:rFonts w:ascii="Book Antiqua" w:eastAsia="宋体" w:hAnsi="Book Antiqua"/>
          <w:bdr w:val="none" w:sz="0" w:space="0" w:color="auto"/>
          <w:lang w:eastAsia="zh-CN"/>
        </w:rPr>
        <w:t xml:space="preserve"> </w:t>
      </w:r>
      <w:r w:rsidR="00722E32" w:rsidRPr="00CA4C0B">
        <w:rPr>
          <w:rFonts w:ascii="Book Antiqua" w:eastAsia="宋体" w:hAnsi="Book Antiqua"/>
          <w:bdr w:val="none" w:sz="0" w:space="0" w:color="auto"/>
          <w:lang w:eastAsia="zh-CN"/>
        </w:rPr>
        <w:t>12</w:t>
      </w:r>
      <w:r w:rsidRPr="00CA4C0B">
        <w:rPr>
          <w:rFonts w:ascii="Book Antiqua" w:eastAsia="宋体" w:hAnsi="Book Antiqua"/>
          <w:bdr w:val="none" w:sz="0" w:space="0" w:color="auto"/>
          <w:lang w:eastAsia="zh-CN"/>
        </w:rPr>
        <w:t>, 2020</w:t>
      </w:r>
    </w:p>
    <w:p w14:paraId="6F5461EA" w14:textId="497D944B" w:rsidR="007E4264" w:rsidRPr="00CA4C0B" w:rsidRDefault="007E4264" w:rsidP="007F2CA0">
      <w:pPr>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b/>
          <w:bdr w:val="none" w:sz="0" w:space="0" w:color="auto"/>
          <w:lang w:eastAsia="zh-CN"/>
        </w:rPr>
      </w:pPr>
      <w:r w:rsidRPr="00CA4C0B">
        <w:rPr>
          <w:rFonts w:ascii="Book Antiqua" w:eastAsia="宋体" w:hAnsi="Book Antiqua"/>
          <w:b/>
          <w:bdr w:val="none" w:sz="0" w:space="0" w:color="auto"/>
          <w:lang w:eastAsia="zh-CN"/>
        </w:rPr>
        <w:t>Accepted:</w:t>
      </w:r>
      <w:r w:rsidR="00F22581" w:rsidRPr="00F22581">
        <w:rPr>
          <w:bCs/>
        </w:rPr>
        <w:t xml:space="preserve"> </w:t>
      </w:r>
      <w:r w:rsidR="00F22581" w:rsidRPr="00F22581">
        <w:rPr>
          <w:rFonts w:ascii="Book Antiqua" w:eastAsia="宋体" w:hAnsi="Book Antiqua"/>
          <w:bCs/>
          <w:bdr w:val="none" w:sz="0" w:space="0" w:color="auto"/>
          <w:lang w:eastAsia="zh-CN"/>
        </w:rPr>
        <w:t>June 23, 2020</w:t>
      </w:r>
    </w:p>
    <w:p w14:paraId="133D3EDA" w14:textId="103E7CFC" w:rsidR="007E4264" w:rsidRPr="00CA4C0B" w:rsidRDefault="007E4264" w:rsidP="007F2CA0">
      <w:pPr>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b/>
          <w:bdr w:val="none" w:sz="0" w:space="0" w:color="auto"/>
          <w:lang w:eastAsia="zh-CN"/>
        </w:rPr>
      </w:pPr>
      <w:r w:rsidRPr="00CA4C0B">
        <w:rPr>
          <w:rFonts w:ascii="Book Antiqua" w:eastAsia="宋体" w:hAnsi="Book Antiqua"/>
          <w:b/>
          <w:bdr w:val="none" w:sz="0" w:space="0" w:color="auto"/>
          <w:lang w:eastAsia="zh-CN"/>
        </w:rPr>
        <w:t>Published online:</w:t>
      </w:r>
      <w:r w:rsidR="00D61634">
        <w:rPr>
          <w:rFonts w:ascii="Book Antiqua" w:eastAsia="宋体" w:hAnsi="Book Antiqua" w:hint="eastAsia"/>
          <w:b/>
          <w:bdr w:val="none" w:sz="0" w:space="0" w:color="auto"/>
          <w:lang w:eastAsia="zh-CN"/>
        </w:rPr>
        <w:t xml:space="preserve"> </w:t>
      </w:r>
      <w:r w:rsidR="00D61634" w:rsidRPr="00D61634">
        <w:rPr>
          <w:rFonts w:ascii="Book Antiqua" w:eastAsia="宋体" w:hAnsi="Book Antiqua" w:hint="eastAsia"/>
          <w:bdr w:val="none" w:sz="0" w:space="0" w:color="auto"/>
          <w:lang w:eastAsia="zh-CN"/>
        </w:rPr>
        <w:t>July 21, 2020</w:t>
      </w:r>
    </w:p>
    <w:p w14:paraId="2C21A986" w14:textId="77777777" w:rsidR="00C27F99" w:rsidRDefault="00C27F99">
      <w:pPr>
        <w:rPr>
          <w:rStyle w:val="None"/>
          <w:rFonts w:ascii="Book Antiqua" w:eastAsia="Calibri" w:hAnsi="Book Antiqua" w:cs="Calibri"/>
          <w:b/>
          <w:u w:color="000000"/>
        </w:rPr>
      </w:pPr>
      <w:r>
        <w:rPr>
          <w:rStyle w:val="None"/>
          <w:rFonts w:ascii="Book Antiqua" w:hAnsi="Book Antiqua"/>
          <w:b/>
        </w:rPr>
        <w:br w:type="page"/>
      </w:r>
    </w:p>
    <w:p w14:paraId="5460D827" w14:textId="6BB57A4C" w:rsidR="004313EE" w:rsidRPr="00CA4C0B" w:rsidRDefault="00782688" w:rsidP="007F2CA0">
      <w:pPr>
        <w:pStyle w:val="a5"/>
        <w:snapToGrid w:val="0"/>
        <w:spacing w:after="0" w:line="360" w:lineRule="auto"/>
        <w:ind w:left="0"/>
        <w:jc w:val="both"/>
        <w:rPr>
          <w:rStyle w:val="None"/>
          <w:rFonts w:ascii="Book Antiqua" w:eastAsia="Times New Roman" w:hAnsi="Book Antiqua" w:cs="Times New Roman"/>
          <w:b/>
          <w:color w:val="auto"/>
          <w:sz w:val="24"/>
          <w:szCs w:val="24"/>
        </w:rPr>
      </w:pPr>
      <w:r w:rsidRPr="00CA4C0B">
        <w:rPr>
          <w:rStyle w:val="None"/>
          <w:rFonts w:ascii="Book Antiqua" w:hAnsi="Book Antiqua"/>
          <w:b/>
          <w:color w:val="auto"/>
          <w:sz w:val="24"/>
          <w:szCs w:val="24"/>
        </w:rPr>
        <w:lastRenderedPageBreak/>
        <w:t>Abstract</w:t>
      </w:r>
    </w:p>
    <w:p w14:paraId="41E7C59C" w14:textId="77777777" w:rsidR="00782688" w:rsidRPr="00CA4C0B" w:rsidRDefault="00CE6644" w:rsidP="007F2CA0">
      <w:pPr>
        <w:pStyle w:val="a5"/>
        <w:snapToGrid w:val="0"/>
        <w:spacing w:after="0" w:line="360" w:lineRule="auto"/>
        <w:ind w:left="0"/>
        <w:jc w:val="both"/>
        <w:rPr>
          <w:rStyle w:val="None"/>
          <w:rFonts w:ascii="Book Antiqua" w:hAnsi="Book Antiqua"/>
          <w:bCs/>
          <w:caps/>
          <w:color w:val="auto"/>
          <w:sz w:val="24"/>
          <w:szCs w:val="24"/>
        </w:rPr>
      </w:pPr>
      <w:r w:rsidRPr="00CA4C0B">
        <w:rPr>
          <w:rStyle w:val="None"/>
          <w:rFonts w:ascii="Book Antiqua" w:hAnsi="Book Antiqua"/>
          <w:bCs/>
          <w:caps/>
          <w:color w:val="auto"/>
          <w:sz w:val="24"/>
          <w:szCs w:val="24"/>
        </w:rPr>
        <w:t>Background</w:t>
      </w:r>
    </w:p>
    <w:p w14:paraId="22513F4A" w14:textId="00EB4702" w:rsidR="004313EE" w:rsidRPr="00CA4C0B" w:rsidRDefault="00CE6644" w:rsidP="007F2CA0">
      <w:pPr>
        <w:pStyle w:val="a5"/>
        <w:snapToGrid w:val="0"/>
        <w:spacing w:after="0" w:line="360" w:lineRule="auto"/>
        <w:ind w:left="0"/>
        <w:jc w:val="both"/>
        <w:rPr>
          <w:rStyle w:val="None"/>
          <w:rFonts w:ascii="Book Antiqua" w:hAnsi="Book Antiqua"/>
          <w:color w:val="auto"/>
          <w:sz w:val="24"/>
          <w:szCs w:val="24"/>
        </w:rPr>
      </w:pPr>
      <w:r w:rsidRPr="00CA4C0B">
        <w:rPr>
          <w:rStyle w:val="None"/>
          <w:rFonts w:ascii="Book Antiqua" w:hAnsi="Book Antiqua"/>
          <w:color w:val="auto"/>
          <w:sz w:val="24"/>
          <w:szCs w:val="24"/>
        </w:rPr>
        <w:t>The phenomenon of liver regeneration after partial hepatectomy</w:t>
      </w:r>
      <w:r w:rsidR="00A17A71" w:rsidRPr="00CA4C0B">
        <w:rPr>
          <w:rStyle w:val="None"/>
          <w:rFonts w:ascii="Book Antiqua" w:hAnsi="Book Antiqua"/>
          <w:color w:val="auto"/>
          <w:sz w:val="24"/>
          <w:szCs w:val="24"/>
        </w:rPr>
        <w:t xml:space="preserve"> (PH)</w:t>
      </w:r>
      <w:r w:rsidRPr="00CA4C0B">
        <w:rPr>
          <w:rStyle w:val="None"/>
          <w:rFonts w:ascii="Book Antiqua" w:hAnsi="Book Antiqua"/>
          <w:color w:val="auto"/>
          <w:sz w:val="24"/>
          <w:szCs w:val="24"/>
        </w:rPr>
        <w:t xml:space="preserve"> is still a subject of considerable interest due to the increasing frequency of half liver transplantation on the one hand, and on the other hand, new surgical approaches which allow removal of massive space-occupying hepatic tumors, which earlier was considered as inoperable. Interestingly, the mechanisms of liver regener</w:t>
      </w:r>
      <w:r w:rsidRPr="00CA4C0B">
        <w:rPr>
          <w:rStyle w:val="None"/>
          <w:rFonts w:ascii="Book Antiqua" w:hAnsi="Book Antiqua"/>
          <w:color w:val="auto"/>
          <w:sz w:val="24"/>
          <w:szCs w:val="24"/>
        </w:rPr>
        <w:t>a</w:t>
      </w:r>
      <w:r w:rsidRPr="00CA4C0B">
        <w:rPr>
          <w:rStyle w:val="None"/>
          <w:rFonts w:ascii="Book Antiqua" w:hAnsi="Book Antiqua"/>
          <w:color w:val="auto"/>
          <w:sz w:val="24"/>
          <w:szCs w:val="24"/>
        </w:rPr>
        <w:t>tion are extensively studied after PH but less attention is paid to the architecto</w:t>
      </w:r>
      <w:r w:rsidRPr="00CA4C0B">
        <w:rPr>
          <w:rStyle w:val="None"/>
          <w:rFonts w:ascii="Book Antiqua" w:hAnsi="Book Antiqua"/>
          <w:color w:val="auto"/>
          <w:sz w:val="24"/>
          <w:szCs w:val="24"/>
        </w:rPr>
        <w:t>n</w:t>
      </w:r>
      <w:r w:rsidRPr="00CA4C0B">
        <w:rPr>
          <w:rStyle w:val="None"/>
          <w:rFonts w:ascii="Book Antiqua" w:hAnsi="Book Antiqua"/>
          <w:color w:val="auto"/>
          <w:sz w:val="24"/>
          <w:szCs w:val="24"/>
        </w:rPr>
        <w:t>ics of the regenerated organ. Because of this, the question “How does the stru</w:t>
      </w:r>
      <w:r w:rsidRPr="00CA4C0B">
        <w:rPr>
          <w:rStyle w:val="None"/>
          <w:rFonts w:ascii="Book Antiqua" w:hAnsi="Book Antiqua"/>
          <w:color w:val="auto"/>
          <w:sz w:val="24"/>
          <w:szCs w:val="24"/>
        </w:rPr>
        <w:t>c</w:t>
      </w:r>
      <w:r w:rsidRPr="00CA4C0B">
        <w:rPr>
          <w:rStyle w:val="None"/>
          <w:rFonts w:ascii="Book Antiqua" w:hAnsi="Book Antiqua"/>
          <w:color w:val="auto"/>
          <w:sz w:val="24"/>
          <w:szCs w:val="24"/>
        </w:rPr>
        <w:t>ture of regenerated liver differ from normal, regular liver?” has not been fully answered yet. Furthermore, almost without any attention is left the liver's stru</w:t>
      </w:r>
      <w:r w:rsidRPr="00CA4C0B">
        <w:rPr>
          <w:rStyle w:val="None"/>
          <w:rFonts w:ascii="Book Antiqua" w:hAnsi="Book Antiqua"/>
          <w:color w:val="auto"/>
          <w:sz w:val="24"/>
          <w:szCs w:val="24"/>
        </w:rPr>
        <w:t>c</w:t>
      </w:r>
      <w:r w:rsidRPr="00CA4C0B">
        <w:rPr>
          <w:rStyle w:val="None"/>
          <w:rFonts w:ascii="Book Antiqua" w:hAnsi="Book Antiqua"/>
          <w:color w:val="auto"/>
          <w:sz w:val="24"/>
          <w:szCs w:val="24"/>
        </w:rPr>
        <w:t xml:space="preserve">tural transformation after repeated </w:t>
      </w:r>
      <w:proofErr w:type="spellStart"/>
      <w:r w:rsidRPr="00CA4C0B">
        <w:rPr>
          <w:rStyle w:val="None"/>
          <w:rFonts w:ascii="Book Antiqua" w:hAnsi="Book Antiqua"/>
          <w:color w:val="auto"/>
          <w:sz w:val="24"/>
          <w:szCs w:val="24"/>
        </w:rPr>
        <w:t>hepatectomy</w:t>
      </w:r>
      <w:proofErr w:type="spellEnd"/>
      <w:r w:rsidRPr="00CA4C0B">
        <w:rPr>
          <w:rStyle w:val="None"/>
          <w:rFonts w:ascii="Book Antiqua" w:hAnsi="Book Antiqua"/>
          <w:color w:val="auto"/>
          <w:sz w:val="24"/>
          <w:szCs w:val="24"/>
        </w:rPr>
        <w:t xml:space="preserve"> (of the re-</w:t>
      </w:r>
      <w:proofErr w:type="spellStart"/>
      <w:r w:rsidRPr="00CA4C0B">
        <w:rPr>
          <w:rStyle w:val="None"/>
          <w:rFonts w:ascii="Book Antiqua" w:hAnsi="Book Antiqua"/>
          <w:color w:val="auto"/>
          <w:sz w:val="24"/>
          <w:szCs w:val="24"/>
        </w:rPr>
        <w:t>regenereted</w:t>
      </w:r>
      <w:proofErr w:type="spellEnd"/>
      <w:r w:rsidRPr="00CA4C0B">
        <w:rPr>
          <w:rStyle w:val="None"/>
          <w:rFonts w:ascii="Book Antiqua" w:hAnsi="Book Antiqua"/>
          <w:color w:val="auto"/>
          <w:sz w:val="24"/>
          <w:szCs w:val="24"/>
        </w:rPr>
        <w:t xml:space="preserve"> liver).</w:t>
      </w:r>
    </w:p>
    <w:p w14:paraId="71CBC84E" w14:textId="77777777" w:rsidR="00782688" w:rsidRPr="00CA4C0B" w:rsidRDefault="00782688" w:rsidP="007F2CA0">
      <w:pPr>
        <w:pStyle w:val="a5"/>
        <w:snapToGrid w:val="0"/>
        <w:spacing w:after="0" w:line="360" w:lineRule="auto"/>
        <w:ind w:left="0"/>
        <w:jc w:val="both"/>
        <w:rPr>
          <w:rStyle w:val="None"/>
          <w:rFonts w:ascii="Book Antiqua" w:eastAsia="Times New Roman" w:hAnsi="Book Antiqua" w:cs="Times New Roman"/>
          <w:color w:val="auto"/>
          <w:sz w:val="24"/>
          <w:szCs w:val="24"/>
        </w:rPr>
      </w:pPr>
    </w:p>
    <w:p w14:paraId="3ACC0BD1" w14:textId="77777777" w:rsidR="00782688" w:rsidRPr="00CA4C0B" w:rsidRDefault="00CE6644" w:rsidP="007F2CA0">
      <w:pPr>
        <w:pStyle w:val="a4"/>
        <w:snapToGrid w:val="0"/>
        <w:spacing w:line="360" w:lineRule="auto"/>
        <w:ind w:left="0" w:right="116"/>
        <w:jc w:val="both"/>
        <w:rPr>
          <w:rStyle w:val="None"/>
          <w:rFonts w:ascii="Book Antiqua" w:hAnsi="Book Antiqua"/>
          <w:bCs/>
          <w:caps/>
          <w:color w:val="auto"/>
          <w:sz w:val="24"/>
          <w:szCs w:val="24"/>
        </w:rPr>
      </w:pPr>
      <w:r w:rsidRPr="00CA4C0B">
        <w:rPr>
          <w:rStyle w:val="None"/>
          <w:rFonts w:ascii="Book Antiqua" w:hAnsi="Book Antiqua"/>
          <w:bCs/>
          <w:caps/>
          <w:color w:val="auto"/>
          <w:sz w:val="24"/>
          <w:szCs w:val="24"/>
        </w:rPr>
        <w:t>Aim</w:t>
      </w:r>
    </w:p>
    <w:p w14:paraId="21F5BBAC" w14:textId="64642A3A" w:rsidR="004313EE" w:rsidRPr="00CA4C0B" w:rsidRDefault="00FA2F87" w:rsidP="007F2CA0">
      <w:pPr>
        <w:pStyle w:val="a4"/>
        <w:snapToGrid w:val="0"/>
        <w:spacing w:line="360" w:lineRule="auto"/>
        <w:ind w:left="0" w:right="116"/>
        <w:jc w:val="both"/>
        <w:rPr>
          <w:rStyle w:val="None"/>
          <w:rFonts w:ascii="Book Antiqua" w:hAnsi="Book Antiqua"/>
          <w:color w:val="auto"/>
          <w:spacing w:val="-1"/>
          <w:sz w:val="24"/>
          <w:szCs w:val="24"/>
        </w:rPr>
      </w:pPr>
      <w:r w:rsidRPr="00CA4C0B">
        <w:rPr>
          <w:rStyle w:val="None"/>
          <w:rFonts w:ascii="Book Antiqua" w:hAnsi="Book Antiqua"/>
          <w:color w:val="auto"/>
          <w:sz w:val="24"/>
          <w:szCs w:val="24"/>
        </w:rPr>
        <w:t>To compare</w:t>
      </w:r>
      <w:r w:rsidRPr="00CA4C0B">
        <w:rPr>
          <w:rStyle w:val="None"/>
          <w:rFonts w:ascii="Book Antiqua" w:hAnsi="Book Antiqua"/>
          <w:color w:val="auto"/>
          <w:spacing w:val="-1"/>
          <w:sz w:val="24"/>
          <w:szCs w:val="24"/>
        </w:rPr>
        <w:t xml:space="preserve"> </w:t>
      </w:r>
      <w:r w:rsidR="00CE6644" w:rsidRPr="00CA4C0B">
        <w:rPr>
          <w:rStyle w:val="None"/>
          <w:rFonts w:ascii="Book Antiqua" w:hAnsi="Book Antiqua"/>
          <w:color w:val="auto"/>
          <w:spacing w:val="-1"/>
          <w:sz w:val="24"/>
          <w:szCs w:val="24"/>
        </w:rPr>
        <w:t>the architectonics of the lobules and circulatory bed of normal, r</w:t>
      </w:r>
      <w:r w:rsidR="00CE6644" w:rsidRPr="00CA4C0B">
        <w:rPr>
          <w:rStyle w:val="None"/>
          <w:rFonts w:ascii="Book Antiqua" w:hAnsi="Book Antiqua"/>
          <w:color w:val="auto"/>
          <w:spacing w:val="-1"/>
          <w:sz w:val="24"/>
          <w:szCs w:val="24"/>
        </w:rPr>
        <w:t>e</w:t>
      </w:r>
      <w:r w:rsidR="00CE6644" w:rsidRPr="00CA4C0B">
        <w:rPr>
          <w:rStyle w:val="None"/>
          <w:rFonts w:ascii="Book Antiqua" w:hAnsi="Book Antiqua"/>
          <w:color w:val="auto"/>
          <w:spacing w:val="-1"/>
          <w:sz w:val="24"/>
          <w:szCs w:val="24"/>
        </w:rPr>
        <w:t xml:space="preserve">generated and re-regenerated livers. </w:t>
      </w:r>
    </w:p>
    <w:p w14:paraId="31D05312" w14:textId="77777777" w:rsidR="00782688" w:rsidRPr="00CA4C0B" w:rsidRDefault="00782688" w:rsidP="007F2CA0">
      <w:pPr>
        <w:pStyle w:val="a4"/>
        <w:snapToGrid w:val="0"/>
        <w:spacing w:line="360" w:lineRule="auto"/>
        <w:ind w:left="0" w:right="116"/>
        <w:jc w:val="both"/>
        <w:rPr>
          <w:rStyle w:val="None"/>
          <w:rFonts w:ascii="Book Antiqua" w:eastAsia="Times New Roman" w:hAnsi="Book Antiqua" w:cs="Times New Roman"/>
          <w:b/>
          <w:bCs/>
          <w:color w:val="auto"/>
          <w:sz w:val="24"/>
          <w:szCs w:val="24"/>
        </w:rPr>
      </w:pPr>
    </w:p>
    <w:p w14:paraId="3755DE14" w14:textId="77777777" w:rsidR="00782688" w:rsidRPr="00CA4C0B" w:rsidRDefault="00CE6644" w:rsidP="007F2CA0">
      <w:pPr>
        <w:pStyle w:val="a5"/>
        <w:snapToGrid w:val="0"/>
        <w:spacing w:after="0" w:line="360" w:lineRule="auto"/>
        <w:ind w:left="0"/>
        <w:jc w:val="both"/>
        <w:rPr>
          <w:rStyle w:val="None"/>
          <w:rFonts w:ascii="Book Antiqua" w:hAnsi="Book Antiqua"/>
          <w:bCs/>
          <w:caps/>
          <w:color w:val="auto"/>
          <w:sz w:val="24"/>
          <w:szCs w:val="24"/>
        </w:rPr>
      </w:pPr>
      <w:r w:rsidRPr="00CA4C0B">
        <w:rPr>
          <w:rStyle w:val="None"/>
          <w:rFonts w:ascii="Book Antiqua" w:hAnsi="Book Antiqua"/>
          <w:bCs/>
          <w:caps/>
          <w:color w:val="auto"/>
          <w:sz w:val="24"/>
          <w:szCs w:val="24"/>
        </w:rPr>
        <w:t>Methods</w:t>
      </w:r>
    </w:p>
    <w:p w14:paraId="6B2D7B64" w14:textId="4F8CFFC5" w:rsidR="004313EE" w:rsidRPr="00CA4C0B" w:rsidRDefault="00CE6644" w:rsidP="007F2CA0">
      <w:pPr>
        <w:pStyle w:val="a5"/>
        <w:snapToGrid w:val="0"/>
        <w:spacing w:after="0" w:line="360" w:lineRule="auto"/>
        <w:ind w:left="0"/>
        <w:jc w:val="both"/>
        <w:rPr>
          <w:rStyle w:val="None"/>
          <w:rFonts w:ascii="Book Antiqua" w:hAnsi="Book Antiqua"/>
          <w:color w:val="auto"/>
          <w:sz w:val="24"/>
          <w:szCs w:val="24"/>
        </w:rPr>
      </w:pPr>
      <w:r w:rsidRPr="00CA4C0B">
        <w:rPr>
          <w:rStyle w:val="None"/>
          <w:rFonts w:ascii="Book Antiqua" w:hAnsi="Book Antiqua"/>
          <w:color w:val="auto"/>
          <w:sz w:val="24"/>
          <w:szCs w:val="24"/>
        </w:rPr>
        <w:t xml:space="preserve">The livers of 40 adult, </w:t>
      </w:r>
      <w:r w:rsidR="00782688" w:rsidRPr="00CA4C0B">
        <w:rPr>
          <w:rStyle w:val="None"/>
          <w:rFonts w:ascii="Book Antiqua" w:hAnsi="Book Antiqua"/>
          <w:color w:val="auto"/>
          <w:sz w:val="24"/>
          <w:szCs w:val="24"/>
        </w:rPr>
        <w:t>m</w:t>
      </w:r>
      <w:r w:rsidRPr="00CA4C0B">
        <w:rPr>
          <w:rStyle w:val="None"/>
          <w:rFonts w:ascii="Book Antiqua" w:hAnsi="Book Antiqua"/>
          <w:color w:val="auto"/>
          <w:sz w:val="24"/>
          <w:szCs w:val="24"/>
        </w:rPr>
        <w:t>ale, albino Wistar rats were studied. 14 rats were subjec</w:t>
      </w:r>
      <w:r w:rsidRPr="00CA4C0B">
        <w:rPr>
          <w:rStyle w:val="None"/>
          <w:rFonts w:ascii="Book Antiqua" w:hAnsi="Book Antiqua"/>
          <w:color w:val="auto"/>
          <w:sz w:val="24"/>
          <w:szCs w:val="24"/>
        </w:rPr>
        <w:t>t</w:t>
      </w:r>
      <w:r w:rsidRPr="00CA4C0B">
        <w:rPr>
          <w:rStyle w:val="None"/>
          <w:rFonts w:ascii="Book Antiqua" w:hAnsi="Book Antiqua"/>
          <w:color w:val="auto"/>
          <w:sz w:val="24"/>
          <w:szCs w:val="24"/>
        </w:rPr>
        <w:t>ed to</w:t>
      </w:r>
      <w:r w:rsidR="00FF1944"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PH</w:t>
      </w:r>
      <w:r w:rsidR="00FF1944"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the 1</w:t>
      </w:r>
      <w:r w:rsidRPr="00CA4C0B">
        <w:rPr>
          <w:rStyle w:val="None"/>
          <w:rFonts w:ascii="Book Antiqua" w:hAnsi="Book Antiqua"/>
          <w:color w:val="auto"/>
          <w:sz w:val="24"/>
          <w:szCs w:val="24"/>
          <w:vertAlign w:val="superscript"/>
        </w:rPr>
        <w:t>st</w:t>
      </w:r>
      <w:r w:rsidRPr="00CA4C0B">
        <w:rPr>
          <w:rStyle w:val="None"/>
          <w:rFonts w:ascii="Book Antiqua" w:hAnsi="Book Antiqua"/>
          <w:color w:val="auto"/>
          <w:sz w:val="24"/>
          <w:szCs w:val="24"/>
        </w:rPr>
        <w:t xml:space="preserve"> study group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10 rats underwent repeated PH – the 2</w:t>
      </w:r>
      <w:r w:rsidRPr="00CA4C0B">
        <w:rPr>
          <w:rStyle w:val="None"/>
          <w:rFonts w:ascii="Book Antiqua" w:hAnsi="Book Antiqua"/>
          <w:color w:val="auto"/>
          <w:sz w:val="24"/>
          <w:szCs w:val="24"/>
          <w:vertAlign w:val="superscript"/>
        </w:rPr>
        <w:t xml:space="preserve">nd </w:t>
      </w:r>
      <w:r w:rsidRPr="00CA4C0B">
        <w:rPr>
          <w:rStyle w:val="None"/>
          <w:rFonts w:ascii="Book Antiqua" w:hAnsi="Book Antiqua"/>
          <w:color w:val="auto"/>
          <w:sz w:val="24"/>
          <w:szCs w:val="24"/>
        </w:rPr>
        <w:t>study group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16 rats were subjected to sham operation -</w:t>
      </w:r>
      <w:r w:rsidR="00F7733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control group (CG); The livers were studied after 9 months from PH, and after 6 months from repeated PH. Cytological (Schiff reaction for the determination of DNA conce</w:t>
      </w:r>
      <w:r w:rsidRPr="00CA4C0B">
        <w:rPr>
          <w:rStyle w:val="None"/>
          <w:rFonts w:ascii="Book Antiqua" w:hAnsi="Book Antiqua"/>
          <w:color w:val="auto"/>
          <w:sz w:val="24"/>
          <w:szCs w:val="24"/>
        </w:rPr>
        <w:t>n</w:t>
      </w:r>
      <w:r w:rsidRPr="00CA4C0B">
        <w:rPr>
          <w:rStyle w:val="None"/>
          <w:rFonts w:ascii="Book Antiqua" w:hAnsi="Book Antiqua"/>
          <w:color w:val="auto"/>
          <w:sz w:val="24"/>
          <w:szCs w:val="24"/>
        </w:rPr>
        <w:t>tration), histological (H&amp;E, Masson trichrome, CK8 Immunohistochemical mar</w:t>
      </w:r>
      <w:r w:rsidRPr="00CA4C0B">
        <w:rPr>
          <w:rStyle w:val="None"/>
          <w:rFonts w:ascii="Book Antiqua" w:hAnsi="Book Antiqua"/>
          <w:color w:val="auto"/>
          <w:sz w:val="24"/>
          <w:szCs w:val="24"/>
        </w:rPr>
        <w:t>k</w:t>
      </w:r>
      <w:r w:rsidRPr="00CA4C0B">
        <w:rPr>
          <w:rStyle w:val="None"/>
          <w:rFonts w:ascii="Book Antiqua" w:hAnsi="Book Antiqua"/>
          <w:color w:val="auto"/>
          <w:sz w:val="24"/>
          <w:szCs w:val="24"/>
        </w:rPr>
        <w:t>er, transparent slides after Indian Ink injection, ), morphometrical (hepatocytes areas, perimeters and ploidy) and Electron Microscopical (Scanning Electron M</w:t>
      </w:r>
      <w:r w:rsidRPr="00CA4C0B">
        <w:rPr>
          <w:rStyle w:val="None"/>
          <w:rFonts w:ascii="Book Antiqua" w:hAnsi="Book Antiqua"/>
          <w:color w:val="auto"/>
          <w:sz w:val="24"/>
          <w:szCs w:val="24"/>
        </w:rPr>
        <w:t>i</w:t>
      </w:r>
      <w:r w:rsidRPr="00CA4C0B">
        <w:rPr>
          <w:rStyle w:val="None"/>
          <w:rFonts w:ascii="Book Antiqua" w:hAnsi="Book Antiqua"/>
          <w:color w:val="auto"/>
          <w:sz w:val="24"/>
          <w:szCs w:val="24"/>
        </w:rPr>
        <w:t>croscopy of corrosion casts) methods were used.</w:t>
      </w:r>
    </w:p>
    <w:p w14:paraId="200FA166" w14:textId="77777777" w:rsidR="00782688" w:rsidRPr="00CA4C0B" w:rsidRDefault="00782688" w:rsidP="007F2CA0">
      <w:pPr>
        <w:pStyle w:val="a5"/>
        <w:snapToGrid w:val="0"/>
        <w:spacing w:after="0" w:line="360" w:lineRule="auto"/>
        <w:ind w:left="0"/>
        <w:jc w:val="both"/>
        <w:rPr>
          <w:rStyle w:val="None"/>
          <w:rFonts w:ascii="Book Antiqua" w:eastAsia="Times New Roman" w:hAnsi="Book Antiqua" w:cs="Times New Roman"/>
          <w:color w:val="auto"/>
          <w:sz w:val="24"/>
          <w:szCs w:val="24"/>
        </w:rPr>
      </w:pPr>
    </w:p>
    <w:p w14:paraId="64E2B450" w14:textId="77777777" w:rsidR="00527088" w:rsidRPr="00CA4C0B" w:rsidRDefault="00CE6644" w:rsidP="007F2CA0">
      <w:pPr>
        <w:pStyle w:val="a5"/>
        <w:snapToGrid w:val="0"/>
        <w:spacing w:after="0" w:line="360" w:lineRule="auto"/>
        <w:ind w:left="0"/>
        <w:jc w:val="both"/>
        <w:rPr>
          <w:rStyle w:val="None"/>
          <w:rFonts w:ascii="Book Antiqua" w:hAnsi="Book Antiqua"/>
          <w:bCs/>
          <w:caps/>
          <w:color w:val="auto"/>
          <w:sz w:val="24"/>
          <w:szCs w:val="24"/>
        </w:rPr>
      </w:pPr>
      <w:r w:rsidRPr="00CA4C0B">
        <w:rPr>
          <w:rStyle w:val="None"/>
          <w:rFonts w:ascii="Book Antiqua" w:hAnsi="Book Antiqua"/>
          <w:bCs/>
          <w:caps/>
          <w:color w:val="auto"/>
          <w:sz w:val="24"/>
          <w:szCs w:val="24"/>
        </w:rPr>
        <w:t>Results</w:t>
      </w:r>
    </w:p>
    <w:p w14:paraId="4AE39739" w14:textId="61F6CF5F" w:rsidR="004313EE" w:rsidRPr="00CA4C0B" w:rsidRDefault="00CE6644" w:rsidP="007F2CA0">
      <w:pPr>
        <w:pStyle w:val="a5"/>
        <w:snapToGrid w:val="0"/>
        <w:spacing w:after="0" w:line="360" w:lineRule="auto"/>
        <w:ind w:left="0"/>
        <w:jc w:val="both"/>
        <w:rPr>
          <w:rStyle w:val="None"/>
          <w:rFonts w:ascii="Book Antiqua" w:hAnsi="Book Antiqua"/>
          <w:color w:val="auto"/>
          <w:sz w:val="24"/>
          <w:szCs w:val="24"/>
        </w:rPr>
      </w:pPr>
      <w:r w:rsidRPr="00CA4C0B">
        <w:rPr>
          <w:rStyle w:val="None"/>
          <w:rFonts w:ascii="Book Antiqua" w:hAnsi="Book Antiqua"/>
          <w:color w:val="auto"/>
          <w:sz w:val="24"/>
          <w:szCs w:val="24"/>
        </w:rPr>
        <w:lastRenderedPageBreak/>
        <w:t>In the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xml:space="preserve"> and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the area of hepatocytes and their perimeter are increased compared to the CG (</w:t>
      </w:r>
      <w:r w:rsidRPr="00CA4C0B">
        <w:rPr>
          <w:rStyle w:val="None"/>
          <w:rFonts w:ascii="Book Antiqua" w:hAnsi="Book Antiqua"/>
          <w:i/>
          <w:color w:val="auto"/>
          <w:sz w:val="24"/>
          <w:szCs w:val="24"/>
        </w:rPr>
        <w:t>P</w:t>
      </w:r>
      <w:r w:rsidR="00A17A71"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&lt;</w:t>
      </w:r>
      <w:r w:rsidR="00A17A71"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0.05). However, the areas and perimeters of the hepat</w:t>
      </w:r>
      <w:r w:rsidRPr="00CA4C0B">
        <w:rPr>
          <w:rStyle w:val="None"/>
          <w:rFonts w:ascii="Book Antiqua" w:hAnsi="Book Antiqua"/>
          <w:color w:val="auto"/>
          <w:sz w:val="24"/>
          <w:szCs w:val="24"/>
        </w:rPr>
        <w:t>o</w:t>
      </w:r>
      <w:r w:rsidRPr="00CA4C0B">
        <w:rPr>
          <w:rStyle w:val="None"/>
          <w:rFonts w:ascii="Book Antiqua" w:hAnsi="Book Antiqua"/>
          <w:color w:val="auto"/>
          <w:sz w:val="24"/>
          <w:szCs w:val="24"/>
        </w:rPr>
        <w:t>cytes of the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xml:space="preserve"> and SG</w:t>
      </w:r>
      <w:r w:rsidRPr="00CA4C0B">
        <w:rPr>
          <w:rStyle w:val="None"/>
          <w:rFonts w:ascii="Book Antiqua" w:hAnsi="Book Antiqua"/>
          <w:color w:val="auto"/>
          <w:sz w:val="24"/>
          <w:szCs w:val="24"/>
          <w:vertAlign w:val="subscript"/>
        </w:rPr>
        <w:t xml:space="preserve">2 </w:t>
      </w:r>
      <w:r w:rsidRPr="00CA4C0B">
        <w:rPr>
          <w:rStyle w:val="None"/>
          <w:rFonts w:ascii="Book Antiqua" w:hAnsi="Book Antiqua"/>
          <w:color w:val="auto"/>
          <w:sz w:val="24"/>
          <w:szCs w:val="24"/>
        </w:rPr>
        <w:t>groups reveal a lesser difference. In regenerated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and re-regenerated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xml:space="preserve">) livers, the hepatocytes form the remodeled lobules, which size (300-1200 µm) exceeds the sizes of the lobules from CG (300-600 µm). The remodeled lobules (especially the “mega-lobules” with the sizes 1000-1200 µm) contain the transformed </w:t>
      </w:r>
      <w:proofErr w:type="spellStart"/>
      <w:r w:rsidRPr="00CA4C0B">
        <w:rPr>
          <w:rStyle w:val="None"/>
          <w:rFonts w:ascii="Book Antiqua" w:hAnsi="Book Antiqua"/>
          <w:color w:val="auto"/>
          <w:sz w:val="24"/>
          <w:szCs w:val="24"/>
        </w:rPr>
        <w:t>meshworks</w:t>
      </w:r>
      <w:proofErr w:type="spellEnd"/>
      <w:r w:rsidRPr="00CA4C0B">
        <w:rPr>
          <w:rStyle w:val="None"/>
          <w:rFonts w:ascii="Book Antiqua" w:hAnsi="Book Antiqua"/>
          <w:color w:val="auto"/>
          <w:sz w:val="24"/>
          <w:szCs w:val="24"/>
        </w:rPr>
        <w:t xml:space="preserve"> of the sinusoids, the part of which is dilated asymmetrically. This meshwork might have originated from the several portal venules (interlobular and/or inlet). The boundaries between the adjacent lobules (including mega-lobules) are widened and filled by connective tissue f</w:t>
      </w:r>
      <w:r w:rsidRPr="00CA4C0B">
        <w:rPr>
          <w:rStyle w:val="None"/>
          <w:rFonts w:ascii="Book Antiqua" w:hAnsi="Book Antiqua"/>
          <w:color w:val="auto"/>
          <w:sz w:val="24"/>
          <w:szCs w:val="24"/>
        </w:rPr>
        <w:t>i</w:t>
      </w:r>
      <w:r w:rsidRPr="00CA4C0B">
        <w:rPr>
          <w:rStyle w:val="None"/>
          <w:rFonts w:ascii="Book Antiqua" w:hAnsi="Book Antiqua"/>
          <w:color w:val="auto"/>
          <w:sz w:val="24"/>
          <w:szCs w:val="24"/>
        </w:rPr>
        <w:t>bers, which gives the liver parenchyma a nodular look. In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xml:space="preserve"> the unevenness of sinusoid diameters, as well as the boundaries between the lobules (including the mega-lobules) are more vividly expressed in comparison with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The liver ti</w:t>
      </w:r>
      <w:r w:rsidRPr="00CA4C0B">
        <w:rPr>
          <w:rStyle w:val="None"/>
          <w:rFonts w:ascii="Book Antiqua" w:hAnsi="Book Antiqua"/>
          <w:color w:val="auto"/>
          <w:sz w:val="24"/>
          <w:szCs w:val="24"/>
        </w:rPr>
        <w:t>s</w:t>
      </w:r>
      <w:r w:rsidRPr="00CA4C0B">
        <w:rPr>
          <w:rStyle w:val="None"/>
          <w:rFonts w:ascii="Book Antiqua" w:hAnsi="Book Antiqua"/>
          <w:color w:val="auto"/>
          <w:sz w:val="24"/>
          <w:szCs w:val="24"/>
        </w:rPr>
        <w:t>sue of both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xml:space="preserve"> and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xml:space="preserve"> is featured by the slightly expressed ductular reaction.</w:t>
      </w:r>
    </w:p>
    <w:p w14:paraId="12AF80F4" w14:textId="77777777" w:rsidR="00782688" w:rsidRPr="00CA4C0B" w:rsidRDefault="00782688" w:rsidP="007F2CA0">
      <w:pPr>
        <w:pStyle w:val="a5"/>
        <w:snapToGrid w:val="0"/>
        <w:spacing w:after="0" w:line="360" w:lineRule="auto"/>
        <w:ind w:left="0"/>
        <w:jc w:val="both"/>
        <w:rPr>
          <w:rStyle w:val="None"/>
          <w:rFonts w:ascii="Book Antiqua" w:eastAsia="Times New Roman" w:hAnsi="Book Antiqua" w:cs="Times New Roman"/>
          <w:color w:val="auto"/>
          <w:sz w:val="24"/>
          <w:szCs w:val="24"/>
        </w:rPr>
      </w:pPr>
    </w:p>
    <w:p w14:paraId="44C60C7E" w14:textId="77777777" w:rsidR="00FF211B" w:rsidRPr="00CA4C0B" w:rsidRDefault="00CE6644" w:rsidP="007F2CA0">
      <w:pPr>
        <w:pStyle w:val="a5"/>
        <w:snapToGrid w:val="0"/>
        <w:spacing w:after="0" w:line="360" w:lineRule="auto"/>
        <w:ind w:left="0"/>
        <w:jc w:val="both"/>
        <w:rPr>
          <w:rStyle w:val="None"/>
          <w:rFonts w:ascii="Book Antiqua" w:hAnsi="Book Antiqua"/>
          <w:bCs/>
          <w:caps/>
          <w:color w:val="auto"/>
          <w:sz w:val="24"/>
          <w:szCs w:val="24"/>
        </w:rPr>
      </w:pPr>
      <w:r w:rsidRPr="00CA4C0B">
        <w:rPr>
          <w:rStyle w:val="None"/>
          <w:rFonts w:ascii="Book Antiqua" w:hAnsi="Book Antiqua"/>
          <w:bCs/>
          <w:caps/>
          <w:color w:val="auto"/>
          <w:sz w:val="24"/>
          <w:szCs w:val="24"/>
        </w:rPr>
        <w:t>Conclusion</w:t>
      </w:r>
    </w:p>
    <w:p w14:paraId="1E278A4A" w14:textId="12DFBDF7" w:rsidR="004313EE" w:rsidRPr="00CA4C0B" w:rsidRDefault="00CE6644" w:rsidP="007F2CA0">
      <w:pPr>
        <w:pStyle w:val="a5"/>
        <w:snapToGrid w:val="0"/>
        <w:spacing w:after="0" w:line="360" w:lineRule="auto"/>
        <w:ind w:left="0"/>
        <w:jc w:val="both"/>
        <w:rPr>
          <w:rStyle w:val="None"/>
          <w:rFonts w:ascii="Book Antiqua" w:hAnsi="Book Antiqua"/>
          <w:color w:val="auto"/>
          <w:sz w:val="24"/>
          <w:szCs w:val="24"/>
        </w:rPr>
      </w:pPr>
      <w:r w:rsidRPr="00CA4C0B">
        <w:rPr>
          <w:rStyle w:val="None"/>
          <w:rFonts w:ascii="Book Antiqua" w:hAnsi="Book Antiqua"/>
          <w:color w:val="auto"/>
          <w:sz w:val="24"/>
          <w:szCs w:val="24"/>
        </w:rPr>
        <w:t>Regenerated and re-regenerated livers in comparison with normal liver contain hypertrophied hepatocytes with increased ploidy which together with tran</w:t>
      </w:r>
      <w:r w:rsidRPr="00CA4C0B">
        <w:rPr>
          <w:rStyle w:val="None"/>
          <w:rFonts w:ascii="Book Antiqua" w:hAnsi="Book Antiqua"/>
          <w:color w:val="auto"/>
          <w:sz w:val="24"/>
          <w:szCs w:val="24"/>
        </w:rPr>
        <w:t>s</w:t>
      </w:r>
      <w:r w:rsidRPr="00CA4C0B">
        <w:rPr>
          <w:rStyle w:val="None"/>
          <w:rFonts w:ascii="Book Antiqua" w:hAnsi="Book Antiqua"/>
          <w:color w:val="auto"/>
          <w:sz w:val="24"/>
          <w:szCs w:val="24"/>
        </w:rPr>
        <w:t xml:space="preserve">formed sinusoidal and biliary </w:t>
      </w:r>
      <w:proofErr w:type="spellStart"/>
      <w:r w:rsidRPr="00CA4C0B">
        <w:rPr>
          <w:rStyle w:val="None"/>
          <w:rFonts w:ascii="Book Antiqua" w:hAnsi="Book Antiqua"/>
          <w:color w:val="auto"/>
          <w:sz w:val="24"/>
          <w:szCs w:val="24"/>
        </w:rPr>
        <w:t>meshwork</w:t>
      </w:r>
      <w:r w:rsidR="000B3F3E" w:rsidRPr="00CA4C0B">
        <w:rPr>
          <w:rStyle w:val="None"/>
          <w:rFonts w:ascii="Book Antiqua" w:hAnsi="Book Antiqua"/>
          <w:color w:val="auto"/>
          <w:sz w:val="24"/>
          <w:szCs w:val="24"/>
        </w:rPr>
        <w:t>s</w:t>
      </w:r>
      <w:proofErr w:type="spellEnd"/>
      <w:r w:rsidR="000B3F3E" w:rsidRPr="00CA4C0B">
        <w:rPr>
          <w:rStyle w:val="None"/>
          <w:rFonts w:ascii="Book Antiqua" w:hAnsi="Book Antiqua"/>
          <w:color w:val="auto"/>
          <w:sz w:val="24"/>
          <w:szCs w:val="24"/>
        </w:rPr>
        <w:t xml:space="preserve"> form the remodeled </w:t>
      </w:r>
      <w:proofErr w:type="spellStart"/>
      <w:r w:rsidR="000B3F3E" w:rsidRPr="00CA4C0B">
        <w:rPr>
          <w:rStyle w:val="None"/>
          <w:rFonts w:ascii="Book Antiqua" w:hAnsi="Book Antiqua"/>
          <w:color w:val="auto"/>
          <w:sz w:val="24"/>
          <w:szCs w:val="24"/>
        </w:rPr>
        <w:t>lobulli</w:t>
      </w:r>
      <w:proofErr w:type="spellEnd"/>
      <w:r w:rsidR="000B3F3E" w:rsidRPr="00CA4C0B">
        <w:rPr>
          <w:rStyle w:val="None"/>
          <w:rFonts w:ascii="Book Antiqua" w:hAnsi="Book Antiqua"/>
          <w:color w:val="auto"/>
          <w:sz w:val="24"/>
          <w:szCs w:val="24"/>
        </w:rPr>
        <w:t>.</w:t>
      </w:r>
      <w:r w:rsidR="00F7733D" w:rsidRPr="00CA4C0B">
        <w:rPr>
          <w:rStyle w:val="None"/>
          <w:rFonts w:ascii="Book Antiqua" w:hAnsi="Book Antiqua"/>
          <w:color w:val="auto"/>
          <w:sz w:val="24"/>
          <w:szCs w:val="24"/>
        </w:rPr>
        <w:t xml:space="preserve"> </w:t>
      </w:r>
    </w:p>
    <w:p w14:paraId="5B9CA92C" w14:textId="77777777" w:rsidR="000B3F3E" w:rsidRPr="00CA4C0B" w:rsidRDefault="000B3F3E" w:rsidP="007F2CA0">
      <w:pPr>
        <w:pStyle w:val="a5"/>
        <w:snapToGrid w:val="0"/>
        <w:spacing w:after="0" w:line="360" w:lineRule="auto"/>
        <w:ind w:left="0"/>
        <w:jc w:val="both"/>
        <w:rPr>
          <w:rStyle w:val="None"/>
          <w:rFonts w:ascii="Book Antiqua" w:eastAsia="Times New Roman" w:hAnsi="Book Antiqua" w:cs="Times New Roman"/>
          <w:color w:val="auto"/>
          <w:sz w:val="24"/>
          <w:szCs w:val="24"/>
        </w:rPr>
      </w:pPr>
    </w:p>
    <w:p w14:paraId="6DF0EE4E" w14:textId="0ADE1DAD" w:rsidR="004313EE" w:rsidRPr="00CA4C0B" w:rsidRDefault="00CE6644" w:rsidP="007F2CA0">
      <w:pPr>
        <w:pStyle w:val="a5"/>
        <w:snapToGrid w:val="0"/>
        <w:spacing w:after="0" w:line="360" w:lineRule="auto"/>
        <w:ind w:left="0"/>
        <w:jc w:val="both"/>
        <w:rPr>
          <w:rStyle w:val="None"/>
          <w:rFonts w:ascii="Book Antiqua" w:eastAsia="Times New Roman" w:hAnsi="Book Antiqua" w:cs="Times New Roman"/>
          <w:color w:val="auto"/>
          <w:sz w:val="24"/>
          <w:szCs w:val="24"/>
        </w:rPr>
      </w:pPr>
      <w:r w:rsidRPr="00CA4C0B">
        <w:rPr>
          <w:rStyle w:val="None"/>
          <w:rFonts w:ascii="Book Antiqua" w:hAnsi="Book Antiqua"/>
          <w:b/>
          <w:bCs/>
          <w:color w:val="auto"/>
          <w:sz w:val="24"/>
          <w:szCs w:val="24"/>
        </w:rPr>
        <w:t>Key</w:t>
      </w:r>
      <w:r w:rsidR="00FF211B" w:rsidRPr="00CA4C0B">
        <w:rPr>
          <w:rStyle w:val="None"/>
          <w:rFonts w:ascii="Book Antiqua" w:hAnsi="Book Antiqua"/>
          <w:b/>
          <w:bCs/>
          <w:color w:val="auto"/>
          <w:sz w:val="24"/>
          <w:szCs w:val="24"/>
        </w:rPr>
        <w:t xml:space="preserve"> </w:t>
      </w:r>
      <w:r w:rsidRPr="00CA4C0B">
        <w:rPr>
          <w:rStyle w:val="None"/>
          <w:rFonts w:ascii="Book Antiqua" w:hAnsi="Book Antiqua"/>
          <w:b/>
          <w:bCs/>
          <w:color w:val="auto"/>
          <w:sz w:val="24"/>
          <w:szCs w:val="24"/>
        </w:rPr>
        <w:t>words:</w:t>
      </w:r>
      <w:r w:rsidRPr="00CA4C0B">
        <w:rPr>
          <w:rStyle w:val="None"/>
          <w:rFonts w:ascii="Book Antiqua" w:hAnsi="Book Antiqua"/>
          <w:color w:val="auto"/>
          <w:sz w:val="24"/>
          <w:szCs w:val="24"/>
        </w:rPr>
        <w:t xml:space="preserve"> Partial hepatectomy</w:t>
      </w:r>
      <w:r w:rsidR="00B560EC" w:rsidRPr="00CA4C0B">
        <w:rPr>
          <w:rStyle w:val="None"/>
          <w:rFonts w:ascii="Book Antiqua" w:hAnsi="Book Antiqua"/>
          <w:color w:val="auto"/>
          <w:sz w:val="24"/>
          <w:szCs w:val="24"/>
        </w:rPr>
        <w:t>;</w:t>
      </w:r>
      <w:r w:rsidRPr="00CA4C0B">
        <w:rPr>
          <w:rStyle w:val="None"/>
          <w:rFonts w:ascii="Book Antiqua" w:hAnsi="Book Antiqua"/>
          <w:color w:val="auto"/>
          <w:sz w:val="24"/>
          <w:szCs w:val="24"/>
        </w:rPr>
        <w:t xml:space="preserve"> Repeated hepatectomy</w:t>
      </w:r>
      <w:r w:rsidR="00B560EC" w:rsidRPr="00CA4C0B">
        <w:rPr>
          <w:rStyle w:val="None"/>
          <w:rFonts w:ascii="Book Antiqua" w:hAnsi="Book Antiqua"/>
          <w:color w:val="auto"/>
          <w:sz w:val="24"/>
          <w:szCs w:val="24"/>
        </w:rPr>
        <w:t>;</w:t>
      </w:r>
      <w:r w:rsidRPr="00CA4C0B">
        <w:rPr>
          <w:rStyle w:val="None"/>
          <w:rFonts w:ascii="Book Antiqua" w:hAnsi="Book Antiqua"/>
          <w:color w:val="auto"/>
          <w:sz w:val="24"/>
          <w:szCs w:val="24"/>
        </w:rPr>
        <w:t xml:space="preserve"> </w:t>
      </w:r>
      <w:r w:rsidRPr="00CA4C0B">
        <w:rPr>
          <w:rStyle w:val="None"/>
          <w:rFonts w:ascii="Book Antiqua" w:hAnsi="Book Antiqua"/>
          <w:caps/>
          <w:color w:val="auto"/>
          <w:sz w:val="24"/>
          <w:szCs w:val="24"/>
        </w:rPr>
        <w:t>l</w:t>
      </w:r>
      <w:r w:rsidRPr="00CA4C0B">
        <w:rPr>
          <w:rStyle w:val="None"/>
          <w:rFonts w:ascii="Book Antiqua" w:hAnsi="Book Antiqua"/>
          <w:color w:val="auto"/>
          <w:sz w:val="24"/>
          <w:szCs w:val="24"/>
        </w:rPr>
        <w:t>iver regeneration</w:t>
      </w:r>
      <w:r w:rsidR="00B560EC" w:rsidRPr="00CA4C0B">
        <w:rPr>
          <w:rStyle w:val="None"/>
          <w:rFonts w:ascii="Book Antiqua" w:hAnsi="Book Antiqua"/>
          <w:color w:val="auto"/>
          <w:sz w:val="24"/>
          <w:szCs w:val="24"/>
        </w:rPr>
        <w:t>;</w:t>
      </w:r>
      <w:r w:rsidRPr="00CA4C0B">
        <w:rPr>
          <w:rStyle w:val="None"/>
          <w:rFonts w:ascii="Book Antiqua" w:hAnsi="Book Antiqua"/>
          <w:color w:val="auto"/>
          <w:sz w:val="24"/>
          <w:szCs w:val="24"/>
        </w:rPr>
        <w:t xml:space="preserve"> </w:t>
      </w:r>
      <w:r w:rsidRPr="00CA4C0B">
        <w:rPr>
          <w:rStyle w:val="None"/>
          <w:rFonts w:ascii="Book Antiqua" w:hAnsi="Book Antiqua"/>
          <w:caps/>
          <w:color w:val="auto"/>
          <w:sz w:val="24"/>
          <w:szCs w:val="24"/>
        </w:rPr>
        <w:t>l</w:t>
      </w:r>
      <w:r w:rsidRPr="00CA4C0B">
        <w:rPr>
          <w:rStyle w:val="None"/>
          <w:rFonts w:ascii="Book Antiqua" w:hAnsi="Book Antiqua"/>
          <w:color w:val="auto"/>
          <w:sz w:val="24"/>
          <w:szCs w:val="24"/>
        </w:rPr>
        <w:t>iver re-regeneration</w:t>
      </w:r>
      <w:r w:rsidR="00B560EC" w:rsidRPr="00CA4C0B">
        <w:rPr>
          <w:rStyle w:val="None"/>
          <w:rFonts w:ascii="Book Antiqua" w:hAnsi="Book Antiqua"/>
          <w:color w:val="auto"/>
          <w:sz w:val="24"/>
          <w:szCs w:val="24"/>
        </w:rPr>
        <w:t>;</w:t>
      </w:r>
      <w:r w:rsidRPr="00CA4C0B">
        <w:rPr>
          <w:rStyle w:val="None"/>
          <w:rFonts w:ascii="Book Antiqua" w:hAnsi="Book Antiqua"/>
          <w:color w:val="auto"/>
          <w:sz w:val="24"/>
          <w:szCs w:val="24"/>
        </w:rPr>
        <w:t xml:space="preserve"> </w:t>
      </w:r>
      <w:r w:rsidRPr="00CA4C0B">
        <w:rPr>
          <w:rStyle w:val="None"/>
          <w:rFonts w:ascii="Book Antiqua" w:hAnsi="Book Antiqua"/>
          <w:caps/>
          <w:color w:val="auto"/>
          <w:sz w:val="24"/>
          <w:szCs w:val="24"/>
        </w:rPr>
        <w:t>h</w:t>
      </w:r>
      <w:r w:rsidR="00B560EC" w:rsidRPr="00CA4C0B">
        <w:rPr>
          <w:rStyle w:val="None"/>
          <w:rFonts w:ascii="Book Antiqua" w:hAnsi="Book Antiqua"/>
          <w:color w:val="auto"/>
          <w:sz w:val="24"/>
          <w:szCs w:val="24"/>
        </w:rPr>
        <w:t>epatocytes hypertrophy;</w:t>
      </w:r>
      <w:r w:rsidRPr="00CA4C0B">
        <w:rPr>
          <w:rStyle w:val="None"/>
          <w:rFonts w:ascii="Book Antiqua" w:hAnsi="Book Antiqua"/>
          <w:color w:val="auto"/>
          <w:sz w:val="24"/>
          <w:szCs w:val="24"/>
        </w:rPr>
        <w:t xml:space="preserve"> </w:t>
      </w:r>
      <w:r w:rsidRPr="00CA4C0B">
        <w:rPr>
          <w:rStyle w:val="None"/>
          <w:rFonts w:ascii="Book Antiqua" w:hAnsi="Book Antiqua"/>
          <w:caps/>
          <w:color w:val="auto"/>
          <w:sz w:val="24"/>
          <w:szCs w:val="24"/>
        </w:rPr>
        <w:t>r</w:t>
      </w:r>
      <w:r w:rsidRPr="00CA4C0B">
        <w:rPr>
          <w:rStyle w:val="None"/>
          <w:rFonts w:ascii="Book Antiqua" w:hAnsi="Book Antiqua"/>
          <w:color w:val="auto"/>
          <w:sz w:val="24"/>
          <w:szCs w:val="24"/>
        </w:rPr>
        <w:t>emodeling</w:t>
      </w:r>
      <w:r w:rsidR="00B560EC" w:rsidRPr="00CA4C0B">
        <w:rPr>
          <w:rStyle w:val="None"/>
          <w:rFonts w:ascii="Book Antiqua" w:hAnsi="Book Antiqua"/>
          <w:color w:val="auto"/>
          <w:sz w:val="24"/>
          <w:szCs w:val="24"/>
        </w:rPr>
        <w:t>;</w:t>
      </w:r>
      <w:r w:rsidRPr="00CA4C0B">
        <w:rPr>
          <w:rStyle w:val="None"/>
          <w:rFonts w:ascii="Book Antiqua" w:hAnsi="Book Antiqua"/>
          <w:color w:val="auto"/>
          <w:sz w:val="24"/>
          <w:szCs w:val="24"/>
        </w:rPr>
        <w:t xml:space="preserve"> </w:t>
      </w:r>
      <w:r w:rsidRPr="00CA4C0B">
        <w:rPr>
          <w:rStyle w:val="None"/>
          <w:rFonts w:ascii="Book Antiqua" w:hAnsi="Book Antiqua"/>
          <w:caps/>
          <w:color w:val="auto"/>
          <w:sz w:val="24"/>
          <w:szCs w:val="24"/>
        </w:rPr>
        <w:t>p</w:t>
      </w:r>
      <w:r w:rsidRPr="00CA4C0B">
        <w:rPr>
          <w:rStyle w:val="None"/>
          <w:rFonts w:ascii="Book Antiqua" w:hAnsi="Book Antiqua"/>
          <w:color w:val="auto"/>
          <w:sz w:val="24"/>
          <w:szCs w:val="24"/>
        </w:rPr>
        <w:t>loidy</w:t>
      </w:r>
      <w:r w:rsidR="00B560EC" w:rsidRPr="00CA4C0B">
        <w:rPr>
          <w:rStyle w:val="None"/>
          <w:rFonts w:ascii="Book Antiqua" w:hAnsi="Book Antiqua"/>
          <w:color w:val="auto"/>
          <w:sz w:val="24"/>
          <w:szCs w:val="24"/>
        </w:rPr>
        <w:t xml:space="preserve">; </w:t>
      </w:r>
      <w:r w:rsidR="00B560EC" w:rsidRPr="00CA4C0B">
        <w:rPr>
          <w:rStyle w:val="None"/>
          <w:rFonts w:ascii="Book Antiqua" w:hAnsi="Book Antiqua"/>
          <w:caps/>
          <w:color w:val="auto"/>
          <w:sz w:val="24"/>
          <w:szCs w:val="24"/>
        </w:rPr>
        <w:t>c</w:t>
      </w:r>
      <w:r w:rsidR="00B560EC" w:rsidRPr="00CA4C0B">
        <w:rPr>
          <w:rStyle w:val="None"/>
          <w:rFonts w:ascii="Book Antiqua" w:hAnsi="Book Antiqua"/>
          <w:color w:val="auto"/>
          <w:sz w:val="24"/>
          <w:szCs w:val="24"/>
        </w:rPr>
        <w:t>orrosion casts</w:t>
      </w:r>
      <w:r w:rsidRPr="00CA4C0B">
        <w:rPr>
          <w:rStyle w:val="None"/>
          <w:rFonts w:ascii="Book Antiqua" w:hAnsi="Book Antiqua"/>
          <w:color w:val="auto"/>
          <w:sz w:val="24"/>
          <w:szCs w:val="24"/>
        </w:rPr>
        <w:t xml:space="preserve"> </w:t>
      </w:r>
    </w:p>
    <w:p w14:paraId="5736548A" w14:textId="77777777" w:rsidR="00D27A49" w:rsidRPr="00CA4C0B" w:rsidRDefault="00D27A49" w:rsidP="007F2CA0">
      <w:pPr>
        <w:pStyle w:val="BodyA"/>
        <w:snapToGrid w:val="0"/>
        <w:spacing w:after="0" w:line="360" w:lineRule="auto"/>
        <w:jc w:val="both"/>
        <w:rPr>
          <w:rFonts w:ascii="Book Antiqua" w:eastAsia="Times New Roman" w:hAnsi="Book Antiqua" w:cs="Times New Roman"/>
          <w:b/>
          <w:bCs/>
          <w:color w:val="auto"/>
          <w:sz w:val="24"/>
          <w:szCs w:val="24"/>
          <w:shd w:val="clear" w:color="auto" w:fill="FFFFFF"/>
        </w:rPr>
      </w:pPr>
    </w:p>
    <w:p w14:paraId="4B59076F" w14:textId="77777777" w:rsidR="00D61634" w:rsidRDefault="00D61634" w:rsidP="00D61634">
      <w:pPr>
        <w:spacing w:line="360" w:lineRule="auto"/>
        <w:rPr>
          <w:rFonts w:ascii="Book Antiqua" w:hAnsi="Book Antiqua" w:hint="eastAsia"/>
          <w:lang w:eastAsia="zh-CN"/>
        </w:rPr>
      </w:pPr>
      <w:r w:rsidRPr="00D61634">
        <w:rPr>
          <w:rFonts w:ascii="Book Antiqua" w:hAnsi="Book Antiqua" w:hint="eastAsia"/>
          <w:b/>
          <w:lang w:eastAsia="zh-CN"/>
        </w:rPr>
        <w:t xml:space="preserve">Citation: </w:t>
      </w:r>
      <w:proofErr w:type="spellStart"/>
      <w:r w:rsidRPr="00746A9D">
        <w:rPr>
          <w:rFonts w:ascii="Book Antiqua" w:hAnsi="Book Antiqua"/>
        </w:rPr>
        <w:t>Tsomaia</w:t>
      </w:r>
      <w:proofErr w:type="spellEnd"/>
      <w:r w:rsidRPr="00746A9D">
        <w:rPr>
          <w:rFonts w:ascii="Book Antiqua" w:hAnsi="Book Antiqua"/>
        </w:rPr>
        <w:t xml:space="preserve"> K, </w:t>
      </w:r>
      <w:proofErr w:type="spellStart"/>
      <w:r w:rsidRPr="00746A9D">
        <w:rPr>
          <w:rFonts w:ascii="Book Antiqua" w:hAnsi="Book Antiqua"/>
        </w:rPr>
        <w:t>Patarashvili</w:t>
      </w:r>
      <w:proofErr w:type="spellEnd"/>
      <w:r w:rsidRPr="00746A9D">
        <w:rPr>
          <w:rFonts w:ascii="Book Antiqua" w:hAnsi="Book Antiqua"/>
        </w:rPr>
        <w:t xml:space="preserve"> L, </w:t>
      </w:r>
      <w:proofErr w:type="spellStart"/>
      <w:r w:rsidRPr="00746A9D">
        <w:rPr>
          <w:rFonts w:ascii="Book Antiqua" w:hAnsi="Book Antiqua"/>
        </w:rPr>
        <w:t>Karumidze</w:t>
      </w:r>
      <w:proofErr w:type="spellEnd"/>
      <w:r w:rsidRPr="00746A9D">
        <w:rPr>
          <w:rFonts w:ascii="Book Antiqua" w:hAnsi="Book Antiqua"/>
        </w:rPr>
        <w:t xml:space="preserve"> N, </w:t>
      </w:r>
      <w:proofErr w:type="spellStart"/>
      <w:r w:rsidRPr="00746A9D">
        <w:rPr>
          <w:rFonts w:ascii="Book Antiqua" w:hAnsi="Book Antiqua"/>
        </w:rPr>
        <w:t>Bebiashvili</w:t>
      </w:r>
      <w:proofErr w:type="spellEnd"/>
      <w:r w:rsidRPr="00746A9D">
        <w:rPr>
          <w:rFonts w:ascii="Book Antiqua" w:hAnsi="Book Antiqua"/>
        </w:rPr>
        <w:t xml:space="preserve"> I, </w:t>
      </w:r>
      <w:proofErr w:type="spellStart"/>
      <w:r w:rsidRPr="00746A9D">
        <w:rPr>
          <w:rFonts w:ascii="Book Antiqua" w:hAnsi="Book Antiqua"/>
        </w:rPr>
        <w:t>Azmaipharas</w:t>
      </w:r>
      <w:r w:rsidRPr="00746A9D">
        <w:rPr>
          <w:rFonts w:ascii="Book Antiqua" w:hAnsi="Book Antiqua"/>
        </w:rPr>
        <w:t>h</w:t>
      </w:r>
      <w:r w:rsidRPr="00746A9D">
        <w:rPr>
          <w:rFonts w:ascii="Book Antiqua" w:hAnsi="Book Antiqua"/>
        </w:rPr>
        <w:t>vili</w:t>
      </w:r>
      <w:proofErr w:type="spellEnd"/>
      <w:r w:rsidRPr="00746A9D">
        <w:rPr>
          <w:rFonts w:ascii="Book Antiqua" w:hAnsi="Book Antiqua"/>
        </w:rPr>
        <w:t xml:space="preserve"> E, </w:t>
      </w:r>
      <w:proofErr w:type="spellStart"/>
      <w:r w:rsidRPr="00746A9D">
        <w:rPr>
          <w:rFonts w:ascii="Book Antiqua" w:hAnsi="Book Antiqua"/>
        </w:rPr>
        <w:t>Modebadze</w:t>
      </w:r>
      <w:proofErr w:type="spellEnd"/>
      <w:r w:rsidRPr="00746A9D">
        <w:rPr>
          <w:rFonts w:ascii="Book Antiqua" w:hAnsi="Book Antiqua"/>
        </w:rPr>
        <w:t xml:space="preserve"> I, </w:t>
      </w:r>
      <w:proofErr w:type="spellStart"/>
      <w:r w:rsidRPr="00746A9D">
        <w:rPr>
          <w:rFonts w:ascii="Book Antiqua" w:hAnsi="Book Antiqua"/>
        </w:rPr>
        <w:t>Dzidziguri</w:t>
      </w:r>
      <w:proofErr w:type="spellEnd"/>
      <w:r w:rsidRPr="00746A9D">
        <w:rPr>
          <w:rFonts w:ascii="Book Antiqua" w:hAnsi="Book Antiqua"/>
        </w:rPr>
        <w:t xml:space="preserve"> D, </w:t>
      </w:r>
      <w:proofErr w:type="spellStart"/>
      <w:r w:rsidRPr="00746A9D">
        <w:rPr>
          <w:rFonts w:ascii="Book Antiqua" w:hAnsi="Book Antiqua"/>
        </w:rPr>
        <w:t>Sareli</w:t>
      </w:r>
      <w:proofErr w:type="spellEnd"/>
      <w:r w:rsidRPr="00746A9D">
        <w:rPr>
          <w:rFonts w:ascii="Book Antiqua" w:hAnsi="Book Antiqua"/>
        </w:rPr>
        <w:t xml:space="preserve"> M, </w:t>
      </w:r>
      <w:proofErr w:type="spellStart"/>
      <w:r w:rsidRPr="00746A9D">
        <w:rPr>
          <w:rFonts w:ascii="Book Antiqua" w:hAnsi="Book Antiqua"/>
        </w:rPr>
        <w:t>Gusev</w:t>
      </w:r>
      <w:proofErr w:type="spellEnd"/>
      <w:r w:rsidRPr="00746A9D">
        <w:rPr>
          <w:rFonts w:ascii="Book Antiqua" w:hAnsi="Book Antiqua"/>
        </w:rPr>
        <w:t xml:space="preserve"> S, </w:t>
      </w:r>
      <w:proofErr w:type="spellStart"/>
      <w:r w:rsidRPr="00746A9D">
        <w:rPr>
          <w:rFonts w:ascii="Book Antiqua" w:hAnsi="Book Antiqua"/>
        </w:rPr>
        <w:t>Kordzaia</w:t>
      </w:r>
      <w:proofErr w:type="spellEnd"/>
      <w:r w:rsidRPr="00746A9D">
        <w:rPr>
          <w:rFonts w:ascii="Book Antiqua" w:hAnsi="Book Antiqua"/>
        </w:rPr>
        <w:t xml:space="preserve"> D. Liver structu</w:t>
      </w:r>
      <w:r w:rsidRPr="00746A9D">
        <w:rPr>
          <w:rFonts w:ascii="Book Antiqua" w:hAnsi="Book Antiqua"/>
        </w:rPr>
        <w:t>r</w:t>
      </w:r>
      <w:r w:rsidRPr="00746A9D">
        <w:rPr>
          <w:rFonts w:ascii="Book Antiqua" w:hAnsi="Book Antiqua"/>
        </w:rPr>
        <w:t xml:space="preserve">al transformation after partial </w:t>
      </w:r>
      <w:proofErr w:type="spellStart"/>
      <w:r w:rsidRPr="00746A9D">
        <w:rPr>
          <w:rFonts w:ascii="Book Antiqua" w:hAnsi="Book Antiqua"/>
        </w:rPr>
        <w:t>hepatectomy</w:t>
      </w:r>
      <w:proofErr w:type="spellEnd"/>
      <w:r w:rsidRPr="00746A9D">
        <w:rPr>
          <w:rFonts w:ascii="Book Antiqua" w:hAnsi="Book Antiqua"/>
        </w:rPr>
        <w:t xml:space="preserve"> and repeated partial </w:t>
      </w:r>
      <w:proofErr w:type="spellStart"/>
      <w:r w:rsidRPr="00746A9D">
        <w:rPr>
          <w:rFonts w:ascii="Book Antiqua" w:hAnsi="Book Antiqua"/>
        </w:rPr>
        <w:t>hepatectomy</w:t>
      </w:r>
      <w:proofErr w:type="spellEnd"/>
      <w:r w:rsidRPr="00746A9D">
        <w:rPr>
          <w:rFonts w:ascii="Book Antiqua" w:hAnsi="Book Antiqua"/>
        </w:rPr>
        <w:t xml:space="preserve"> in rats: A renewed view on liver regeneration. </w:t>
      </w:r>
      <w:r w:rsidRPr="00746A9D">
        <w:rPr>
          <w:rFonts w:ascii="Book Antiqua" w:hAnsi="Book Antiqua"/>
          <w:i/>
        </w:rPr>
        <w:t xml:space="preserve">World J </w:t>
      </w:r>
      <w:proofErr w:type="spellStart"/>
      <w:r w:rsidRPr="00746A9D">
        <w:rPr>
          <w:rFonts w:ascii="Book Antiqua" w:hAnsi="Book Antiqua"/>
          <w:i/>
        </w:rPr>
        <w:t>Gastroenterol</w:t>
      </w:r>
      <w:proofErr w:type="spellEnd"/>
      <w:r w:rsidRPr="00746A9D">
        <w:rPr>
          <w:rFonts w:ascii="Book Antiqua" w:hAnsi="Book Antiqua"/>
        </w:rPr>
        <w:t xml:space="preserve"> 2020; 26(27): </w:t>
      </w:r>
      <w:r>
        <w:rPr>
          <w:rFonts w:ascii="Book Antiqua" w:hAnsi="Book Antiqua" w:hint="eastAsia"/>
        </w:rPr>
        <w:t>3899</w:t>
      </w:r>
      <w:r w:rsidRPr="00746A9D">
        <w:rPr>
          <w:rFonts w:ascii="Book Antiqua" w:hAnsi="Book Antiqua"/>
        </w:rPr>
        <w:t>-</w:t>
      </w:r>
      <w:r>
        <w:rPr>
          <w:rFonts w:ascii="Book Antiqua" w:hAnsi="Book Antiqua" w:hint="eastAsia"/>
        </w:rPr>
        <w:t>3916</w:t>
      </w:r>
      <w:r w:rsidRPr="00746A9D">
        <w:rPr>
          <w:rFonts w:ascii="Book Antiqua" w:hAnsi="Book Antiqua"/>
        </w:rPr>
        <w:t xml:space="preserve">  </w:t>
      </w:r>
    </w:p>
    <w:p w14:paraId="6F515E4D" w14:textId="77777777" w:rsidR="00D61634" w:rsidRDefault="00D61634" w:rsidP="00D61634">
      <w:pPr>
        <w:spacing w:line="360" w:lineRule="auto"/>
        <w:rPr>
          <w:rFonts w:ascii="Book Antiqua" w:hAnsi="Book Antiqua" w:hint="eastAsia"/>
          <w:lang w:eastAsia="zh-CN"/>
        </w:rPr>
      </w:pPr>
      <w:r w:rsidRPr="00D61634">
        <w:rPr>
          <w:rFonts w:ascii="Book Antiqua" w:hAnsi="Book Antiqua"/>
          <w:b/>
        </w:rPr>
        <w:lastRenderedPageBreak/>
        <w:t xml:space="preserve">URL: </w:t>
      </w:r>
      <w:r w:rsidRPr="00746A9D">
        <w:rPr>
          <w:rFonts w:ascii="Book Antiqua" w:hAnsi="Book Antiqua"/>
        </w:rPr>
        <w:t>https://www.wjgnet.com/1007-9327/full/v26/i27/</w:t>
      </w:r>
      <w:r>
        <w:rPr>
          <w:rFonts w:ascii="Book Antiqua" w:hAnsi="Book Antiqua" w:hint="eastAsia"/>
        </w:rPr>
        <w:t>3899</w:t>
      </w:r>
      <w:r w:rsidRPr="00746A9D">
        <w:rPr>
          <w:rFonts w:ascii="Book Antiqua" w:hAnsi="Book Antiqua"/>
        </w:rPr>
        <w:t xml:space="preserve">.htm  </w:t>
      </w:r>
    </w:p>
    <w:p w14:paraId="316364FD" w14:textId="1F9B9FC5" w:rsidR="00D61634" w:rsidRDefault="00D61634" w:rsidP="00D61634">
      <w:pPr>
        <w:spacing w:line="360" w:lineRule="auto"/>
        <w:rPr>
          <w:rFonts w:ascii="Book Antiqua" w:hAnsi="Book Antiqua"/>
        </w:rPr>
      </w:pPr>
      <w:r w:rsidRPr="00D61634">
        <w:rPr>
          <w:rFonts w:ascii="Book Antiqua" w:hAnsi="Book Antiqua"/>
          <w:b/>
        </w:rPr>
        <w:t>DOI:</w:t>
      </w:r>
      <w:r w:rsidRPr="00746A9D">
        <w:rPr>
          <w:rFonts w:ascii="Book Antiqua" w:hAnsi="Book Antiqua"/>
        </w:rPr>
        <w:t xml:space="preserve"> https://dx.doi.org/10.3748/wjg.v26.i27.</w:t>
      </w:r>
      <w:r>
        <w:rPr>
          <w:rFonts w:ascii="Book Antiqua" w:hAnsi="Book Antiqua" w:hint="eastAsia"/>
        </w:rPr>
        <w:t>3899</w:t>
      </w:r>
    </w:p>
    <w:p w14:paraId="2412EAFB" w14:textId="77777777" w:rsidR="000B3F3E" w:rsidRPr="00CA4C0B" w:rsidRDefault="000B3F3E" w:rsidP="007F2CA0">
      <w:pPr>
        <w:snapToGrid w:val="0"/>
        <w:spacing w:line="360" w:lineRule="auto"/>
        <w:jc w:val="both"/>
        <w:rPr>
          <w:rStyle w:val="None"/>
          <w:rFonts w:ascii="Book Antiqua" w:eastAsia="Times New Roman" w:hAnsi="Book Antiqua"/>
        </w:rPr>
      </w:pPr>
    </w:p>
    <w:p w14:paraId="444C613F" w14:textId="6106DCFA" w:rsidR="00782688" w:rsidRPr="00CA4C0B" w:rsidRDefault="00CE6644" w:rsidP="007F2CA0">
      <w:pPr>
        <w:pStyle w:val="a5"/>
        <w:snapToGrid w:val="0"/>
        <w:spacing w:after="0" w:line="360" w:lineRule="auto"/>
        <w:ind w:left="0"/>
        <w:jc w:val="both"/>
        <w:rPr>
          <w:rStyle w:val="None"/>
          <w:rFonts w:ascii="Book Antiqua" w:hAnsi="Book Antiqua"/>
          <w:color w:val="auto"/>
          <w:sz w:val="24"/>
          <w:szCs w:val="24"/>
        </w:rPr>
      </w:pPr>
      <w:r w:rsidRPr="00CA4C0B">
        <w:rPr>
          <w:rStyle w:val="None"/>
          <w:rFonts w:ascii="Book Antiqua" w:hAnsi="Book Antiqua"/>
          <w:b/>
          <w:bCs/>
          <w:color w:val="auto"/>
          <w:sz w:val="24"/>
          <w:szCs w:val="24"/>
        </w:rPr>
        <w:t>Core tip:</w:t>
      </w:r>
      <w:r w:rsidRPr="00CA4C0B">
        <w:rPr>
          <w:rStyle w:val="None"/>
          <w:rFonts w:ascii="Book Antiqua" w:hAnsi="Book Antiqua"/>
          <w:color w:val="auto"/>
          <w:sz w:val="24"/>
          <w:szCs w:val="24"/>
        </w:rPr>
        <w:t xml:space="preserve"> Liver regeneration after </w:t>
      </w:r>
      <w:r w:rsidR="00827641" w:rsidRPr="00CA4C0B">
        <w:rPr>
          <w:rStyle w:val="None"/>
          <w:rFonts w:ascii="Book Antiqua" w:hAnsi="Book Antiqua"/>
          <w:color w:val="auto"/>
          <w:sz w:val="24"/>
          <w:szCs w:val="24"/>
        </w:rPr>
        <w:t>partial hepatectomy (PH)</w:t>
      </w:r>
      <w:r w:rsidRPr="00CA4C0B">
        <w:rPr>
          <w:rStyle w:val="None"/>
          <w:rFonts w:ascii="Book Antiqua" w:hAnsi="Book Antiqua"/>
          <w:color w:val="auto"/>
          <w:sz w:val="24"/>
          <w:szCs w:val="24"/>
        </w:rPr>
        <w:t xml:space="preserve"> is based on both pr</w:t>
      </w:r>
      <w:r w:rsidRPr="00CA4C0B">
        <w:rPr>
          <w:rStyle w:val="None"/>
          <w:rFonts w:ascii="Book Antiqua" w:hAnsi="Book Antiqua"/>
          <w:color w:val="auto"/>
          <w:sz w:val="24"/>
          <w:szCs w:val="24"/>
        </w:rPr>
        <w:t>o</w:t>
      </w:r>
      <w:r w:rsidRPr="00CA4C0B">
        <w:rPr>
          <w:rStyle w:val="None"/>
          <w:rFonts w:ascii="Book Antiqua" w:hAnsi="Book Antiqua"/>
          <w:color w:val="auto"/>
          <w:sz w:val="24"/>
          <w:szCs w:val="24"/>
        </w:rPr>
        <w:t>liferation and hypertrophy of hepatocytes.</w:t>
      </w:r>
      <w:r w:rsidR="00F7733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These cells unite into remodeled lo</w:t>
      </w:r>
      <w:r w:rsidRPr="00CA4C0B">
        <w:rPr>
          <w:rStyle w:val="None"/>
          <w:rFonts w:ascii="Book Antiqua" w:hAnsi="Book Antiqua"/>
          <w:color w:val="auto"/>
          <w:sz w:val="24"/>
          <w:szCs w:val="24"/>
        </w:rPr>
        <w:t>b</w:t>
      </w:r>
      <w:r w:rsidRPr="00CA4C0B">
        <w:rPr>
          <w:rStyle w:val="None"/>
          <w:rFonts w:ascii="Book Antiqua" w:hAnsi="Book Antiqua"/>
          <w:color w:val="auto"/>
          <w:sz w:val="24"/>
          <w:szCs w:val="24"/>
        </w:rPr>
        <w:t>ules, the sizes of which vary widely. The microcirculation of the liver is also r</w:t>
      </w:r>
      <w:r w:rsidRPr="00CA4C0B">
        <w:rPr>
          <w:rStyle w:val="None"/>
          <w:rFonts w:ascii="Book Antiqua" w:hAnsi="Book Antiqua"/>
          <w:color w:val="auto"/>
          <w:sz w:val="24"/>
          <w:szCs w:val="24"/>
        </w:rPr>
        <w:t>e</w:t>
      </w:r>
      <w:r w:rsidRPr="00CA4C0B">
        <w:rPr>
          <w:rStyle w:val="None"/>
          <w:rFonts w:ascii="Book Antiqua" w:hAnsi="Book Antiqua"/>
          <w:color w:val="auto"/>
          <w:sz w:val="24"/>
          <w:szCs w:val="24"/>
        </w:rPr>
        <w:t xml:space="preserve">modeled. At the same time, there is a suspicion that hyperplasia-hypertrophy and remodeling do not apply to all hepatocytes and all lobules; </w:t>
      </w:r>
      <w:r w:rsidR="00A008B5" w:rsidRPr="00CA4C0B">
        <w:rPr>
          <w:rStyle w:val="None"/>
          <w:rFonts w:ascii="Book Antiqua" w:hAnsi="Book Antiqua"/>
          <w:color w:val="auto"/>
          <w:sz w:val="24"/>
          <w:szCs w:val="24"/>
        </w:rPr>
        <w:t>i</w:t>
      </w:r>
      <w:r w:rsidRPr="00CA4C0B">
        <w:rPr>
          <w:rStyle w:val="None"/>
          <w:rFonts w:ascii="Book Antiqua" w:hAnsi="Book Antiqua"/>
          <w:color w:val="auto"/>
          <w:sz w:val="24"/>
          <w:szCs w:val="24"/>
        </w:rPr>
        <w:t>t is also possible that, in parallel with remodeling, new lobules are formed. After repeated PH, liver regeneration is based on the same type of transformations, although their intensity is less.</w:t>
      </w:r>
      <w:r w:rsidR="00782688"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To fully evaluate the lobular and microcirculatory architecture of regenerated liver after both, PH and repeated PH, it is necessary to investigate the architectonics of the initials of the biliary system.</w:t>
      </w:r>
    </w:p>
    <w:p w14:paraId="5CA917AB" w14:textId="77777777" w:rsidR="00782688" w:rsidRPr="00CA4C0B" w:rsidRDefault="00782688" w:rsidP="007F2CA0">
      <w:pPr>
        <w:snapToGrid w:val="0"/>
        <w:spacing w:line="360" w:lineRule="auto"/>
        <w:jc w:val="both"/>
        <w:rPr>
          <w:rStyle w:val="None"/>
          <w:rFonts w:ascii="Book Antiqua" w:eastAsia="Calibri" w:hAnsi="Book Antiqua" w:cs="Calibri"/>
          <w:u w:color="000000"/>
        </w:rPr>
      </w:pPr>
      <w:r w:rsidRPr="00CA4C0B">
        <w:rPr>
          <w:rStyle w:val="None"/>
          <w:rFonts w:ascii="Book Antiqua" w:hAnsi="Book Antiqua"/>
        </w:rPr>
        <w:br w:type="page"/>
      </w:r>
    </w:p>
    <w:p w14:paraId="413B8507" w14:textId="3D1730F5" w:rsidR="004313EE" w:rsidRPr="00CA4C0B" w:rsidRDefault="00782688" w:rsidP="007F2CA0">
      <w:pPr>
        <w:snapToGrid w:val="0"/>
        <w:spacing w:line="360" w:lineRule="auto"/>
        <w:jc w:val="both"/>
        <w:rPr>
          <w:rStyle w:val="None"/>
          <w:rFonts w:ascii="Book Antiqua" w:eastAsia="Times New Roman" w:hAnsi="Book Antiqua"/>
          <w:b/>
          <w:bCs/>
          <w:caps/>
          <w:u w:val="single"/>
        </w:rPr>
      </w:pPr>
      <w:r w:rsidRPr="00CA4C0B">
        <w:rPr>
          <w:rStyle w:val="None"/>
          <w:rFonts w:ascii="Book Antiqua" w:hAnsi="Book Antiqua"/>
          <w:b/>
          <w:bCs/>
          <w:caps/>
          <w:u w:val="single"/>
        </w:rPr>
        <w:lastRenderedPageBreak/>
        <w:t>Introduction</w:t>
      </w:r>
    </w:p>
    <w:p w14:paraId="236B40E6" w14:textId="25BD432C" w:rsidR="004313EE" w:rsidRPr="00CA4C0B" w:rsidRDefault="00CE6644" w:rsidP="007F2CA0">
      <w:pPr>
        <w:pStyle w:val="BodyA"/>
        <w:snapToGrid w:val="0"/>
        <w:spacing w:after="0" w:line="360" w:lineRule="auto"/>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pacing w:val="-1"/>
          <w:sz w:val="24"/>
          <w:szCs w:val="24"/>
        </w:rPr>
        <w:t>The need for hepatectomy has increased over the last two decades due to i</w:t>
      </w:r>
      <w:r w:rsidRPr="00CA4C0B">
        <w:rPr>
          <w:rStyle w:val="None"/>
          <w:rFonts w:ascii="Book Antiqua" w:hAnsi="Book Antiqua"/>
          <w:color w:val="auto"/>
          <w:spacing w:val="-1"/>
          <w:sz w:val="24"/>
          <w:szCs w:val="24"/>
        </w:rPr>
        <w:t>n</w:t>
      </w:r>
      <w:r w:rsidRPr="00CA4C0B">
        <w:rPr>
          <w:rStyle w:val="None"/>
          <w:rFonts w:ascii="Book Antiqua" w:hAnsi="Book Antiqua"/>
          <w:color w:val="auto"/>
          <w:spacing w:val="-1"/>
          <w:sz w:val="24"/>
          <w:szCs w:val="24"/>
        </w:rPr>
        <w:t>creased space-occupying hepatic abnormalities</w:t>
      </w:r>
      <w:r w:rsidR="00065FDA" w:rsidRPr="00CA4C0B">
        <w:rPr>
          <w:rStyle w:val="None"/>
          <w:rFonts w:ascii="Book Antiqua" w:hAnsi="Book Antiqua"/>
          <w:color w:val="auto"/>
          <w:spacing w:val="-1"/>
          <w:sz w:val="24"/>
          <w:szCs w:val="24"/>
          <w:vertAlign w:val="superscript"/>
          <w:lang w:val="pt-PT"/>
        </w:rPr>
        <w:fldChar w:fldCharType="begin" w:fldLock="1"/>
      </w:r>
      <w:r w:rsidR="00065FDA" w:rsidRPr="00CA4C0B">
        <w:rPr>
          <w:rStyle w:val="None"/>
          <w:rFonts w:ascii="Book Antiqua" w:hAnsi="Book Antiqua"/>
          <w:color w:val="auto"/>
          <w:spacing w:val="-1"/>
          <w:sz w:val="24"/>
          <w:szCs w:val="24"/>
          <w:vertAlign w:val="superscript"/>
          <w:lang w:val="pt-PT"/>
        </w:rPr>
        <w:instrText>ADDIN CSL_CITATION {"citationItems":[{"id":"ITEM-1","itemData":{"DOI":"10.1007/s10620-013-2801-z","ISSN":"0163-2116","PMID":"23918151","author":[{"dropping-particle":"","family":"Wen","given":"Pei-Hung","non-dropping-particle":"","parse-names":false,"suffix":""},{"dropping-particle":"","family":"Lin","given":"Kuo-Hua","non-dropping-particle":"","parse-names":false,"suffix":""},{"dropping-particle":"","family":"Chen","given":"Yao-Li","non-dropping-particle":"","parse-names":false,"suffix":""},{"dropping-particle":"","family":"Hsieh","given":"Chia-En","non-dropping-particle":"","parse-names":false,"suffix":""},{"dropping-particle":"","family":"Ko","given":"Chih-Jan","non-dropping-particle":"","parse-names":false,"suffix":""},{"dropping-particle":"","family":"Kuo","given":"Shou-Jen","non-dropping-particle":"","parse-names":false,"suffix":""}],"container-title":"Digestive Diseases and Sciences","id":"ITEM-1","issue":"12","issued":{"date-parts":[["2013","12","6"]]},"page":"3637-3640","title":"Extracorporeal Hepatic Resection and Autotransplantation Using Temporary Portocaval Shunt Provides an Improved Solution for Conventionally Unresectable HCC","type":"article-journal","volume":"58"},"uris":["http://www.mendeley.com/documents/?uuid=2d89840f-06fc-4071-95af-173a6f666e0f"]},{"id":"ITEM-2","itemData":{"DOI":"10.1016/j.ijsu.2014.03.009","ISBN":"1330401402561","ISSN":"17439191","PMID":"24704086","abstract":"Background: Partial hepatectomy with clear surgical margins is the main curative treatment for hepatic malignancies. The safety of liver resection, to a great extent, depends on the volume of future liver remnant. This manuscript reviews some important strategies that have been developed to increase resectability for patients with borderline volume of future liver remnant, particularly associating liver partition and portal vein ligation for staged hepatectomy (ALPPS). Methods: To identify potentially relevant articles, we searched Medline and PubMed from January 2010 to December 2013 using the keywords \"Associating liver partition and portal vein ligation for staged hepatectomy\", \"ALPPS\", \"portal vein embolization\", \"future liver remnant\", \"liver hypertrophy\", and \"liver failure\". A number of references from the key articles were also cited. There were no exclusion criteria for published information to the topics. Results: Portal vein ligation (PVL) or embolization (PVE) are traditional approaches to induce liver hypertrophy of the future liver remnant (FLR) prior to hepatectomy in primarily non-resectable liver tumors. However, about 14 percent of patients fail to this approach. Adequate hypertrophy of the FLR using PVL or PVE generally takes more than four weeks. ALPPS can induce rapid growth of the FLR, which is more effective than by portal vein embolization or occlusion alone. Reportedly, the hypertrophy extent of FLR was 40%-80% within 6-9 days in contrast to approximately 8%-27% within 2-60 days by PVL/PVE. However, ALPPS was reported to have high operative morbidity (16%-64% of patients), mortality (12%-23% of patients) and bile leakage rates. Bile leakage and sepsis remain a major cause of morbidity, and the main cause of mortality includes hepatic insufficiency. Conclusion: ALPPS has emerged as a new strategy to increase resectability of hepatic malignancies. Due to high morbidity and mortality rates of ALPPS procedure, the surgical candidates should be selected carefully. Moreover, there are very limited available evidence for its technical feasibility, safety and oncological outcome which are needed for further evaluation in larger scale of studies. ?? 2014 Surgical Associates Ltd.","author":[{"dropping-particle":"","family":"Zhang","given":"Guan-Qi","non-dropping-particle":"","parse-names":false,"suffix":""},{"dropping-particle":"","family":"Zhang","given":"Zhi-Wei","non-dropping-particle":"","parse-names":false,"suffix":""},{"dropping-particle":"","family":"Lau","given":"Wan-Yee","non-dropping-particle":"","parse-names":false,"suffix":""},{"dropping-particle":"","family":"Chen","given":"Xiao-Ping","non-dropping-particle":"","parse-names":false,"suffix":""}],"container-title":"International Journal of Surgery","id":"ITEM-2","issue":"5","issued":{"date-parts":[["2014","5"]]},"page":"437-441","title":"Associating liver partition and portal vein ligation for staged hepatectomy (ALPPS): A new strategy to increase resectability in liver surgery","type":"article-journal","volume":"12"},"uris":["http://www.mendeley.com/documents/?uuid=bd9166f6-227c-4892-bf43-585e51a212db"]}],"mendeley":{"formattedCitation":"&lt;sup&gt;[1,2]&lt;/sup&gt;","plainTextFormattedCitation":"[1,2]","previouslyFormattedCitation":"&lt;sup&gt;[1,2]&lt;/sup&gt;"},"properties":{"noteIndex":0},"schema":"https://github.com/citation-style-language/schema/raw/master/csl-citation.json"}</w:instrText>
      </w:r>
      <w:r w:rsidR="00065FDA" w:rsidRPr="00CA4C0B">
        <w:rPr>
          <w:rStyle w:val="None"/>
          <w:rFonts w:ascii="Book Antiqua" w:hAnsi="Book Antiqua"/>
          <w:color w:val="auto"/>
          <w:spacing w:val="-1"/>
          <w:sz w:val="24"/>
          <w:szCs w:val="24"/>
          <w:vertAlign w:val="superscript"/>
          <w:lang w:val="pt-PT"/>
        </w:rPr>
        <w:fldChar w:fldCharType="separate"/>
      </w:r>
      <w:r w:rsidR="00065FDA" w:rsidRPr="00CA4C0B">
        <w:rPr>
          <w:rStyle w:val="None"/>
          <w:rFonts w:ascii="Book Antiqua" w:hAnsi="Book Antiqua"/>
          <w:noProof/>
          <w:color w:val="auto"/>
          <w:spacing w:val="-1"/>
          <w:sz w:val="24"/>
          <w:szCs w:val="24"/>
          <w:vertAlign w:val="superscript"/>
          <w:lang w:val="pt-PT"/>
        </w:rPr>
        <w:t>[1,2]</w:t>
      </w:r>
      <w:r w:rsidR="00065FDA" w:rsidRPr="00CA4C0B">
        <w:rPr>
          <w:rStyle w:val="None"/>
          <w:rFonts w:ascii="Book Antiqua" w:hAnsi="Book Antiqua"/>
          <w:color w:val="auto"/>
          <w:spacing w:val="-1"/>
          <w:sz w:val="24"/>
          <w:szCs w:val="24"/>
          <w:vertAlign w:val="superscript"/>
          <w:lang w:val="pt-PT"/>
        </w:rPr>
        <w:fldChar w:fldCharType="end"/>
      </w:r>
      <w:r w:rsidRPr="00CA4C0B">
        <w:rPr>
          <w:rStyle w:val="None"/>
          <w:rFonts w:ascii="Book Antiqua" w:hAnsi="Book Antiqua"/>
          <w:color w:val="auto"/>
          <w:spacing w:val="-1"/>
          <w:sz w:val="24"/>
          <w:szCs w:val="24"/>
        </w:rPr>
        <w:t xml:space="preserve"> on the one hand, and on the other hand due to the increased frequency of the half liver transplantation from living</w:t>
      </w:r>
      <w:r w:rsidR="00065FDA" w:rsidRPr="00CA4C0B">
        <w:rPr>
          <w:rStyle w:val="None"/>
          <w:rFonts w:ascii="Book Antiqua" w:hAnsi="Book Antiqua"/>
          <w:color w:val="auto"/>
          <w:spacing w:val="-1"/>
          <w:sz w:val="24"/>
          <w:szCs w:val="24"/>
        </w:rPr>
        <w:fldChar w:fldCharType="begin" w:fldLock="1"/>
      </w:r>
      <w:r w:rsidR="00065FDA" w:rsidRPr="00CA4C0B">
        <w:rPr>
          <w:rStyle w:val="None"/>
          <w:rFonts w:ascii="Book Antiqua" w:hAnsi="Book Antiqua"/>
          <w:color w:val="auto"/>
          <w:spacing w:val="-1"/>
          <w:sz w:val="24"/>
          <w:szCs w:val="24"/>
        </w:rPr>
        <w:instrText>ADDIN CSL_CITATION {"citationItems":[{"id":"ITEM-1","itemData":{"DOI":"10.1097/TP.0b013e318274aba1","ISSN":"0041-1337","PMID":"23128999","abstract":"Background: Donor selection criteria for adult-to-adult living donor liver transplantation vary with the medical center of evaluation. Living donor evaluation uses considerable resources, and the nonmaturation of potential into actual donors may sometimes prove fatal for patients with end-stage liver disease. On the contrary, a thorough donor evaluation process is mandatory to ensure safe outcomes in otherwise healthy donors. We aimed to study the reasons for nonmaturation of potential right lobe liver donors at our transplant center. Methods: A retrospective data analysis of all potential living liver donors evaluated at our center from 1998 to 2010 was done. Results: Overall, 324 donors were evaluated for 219 potential recipients, and 171 (52.7%) donors were disqualified. Common reasons for donor nonmaturation included the following: (1) donor reluctance, 21%; (2) greater than 10% macro-vesicular steatosis, 16%; (3) assisted donor withdrawal, 14%; (4) inadequate remnant liver volume, 13%; and (5) psychosocial issues, 7%, and thrombophilia, 7%. Ten donors (6%) were turned down because of anatomic variations (8 biliary and 2 arterial anomalies). Donors older than 50 years and those with body mass index of more than 25 were less likely to be accepted for donation. Conclusions: We conclude that donor reluctance, hepatic steatosis, and assisted donor withdrawal are major reasons for nonmaturation of potential into actual donors. Anatomic variations and underlying medical conditions were not a major cause of donor rejection. A system in practice to recognize these factors early in the course of donor evaluation to improve the efficiency of the selection process and ensure donor safety is proposed. © 2013 Lippincott Williams &amp; Wilkins.","author":[{"dropping-particle":"","family":"Sharma","given":"Amit","non-dropping-particle":"","parse-names":false,"suffix":""},{"dropping-particle":"","family":"Ashworth","given":"April","non-dropping-particle":"","parse-names":false,"suffix":""},{"dropping-particle":"","family":"Behnke","given":"Martha","non-dropping-particle":"","parse-names":false,"suffix":""},{"dropping-particle":"","family":"Cotterell","given":"Adrian","non-dropping-particle":"","parse-names":false,"suffix":""},{"dropping-particle":"","family":"Posner","given":"Marc","non-dropping-particle":"","parse-names":false,"suffix":""},{"dropping-particle":"","family":"Fisher","given":"Robert A.","non-dropping-particle":"","parse-names":false,"suffix":""}],"container-title":"Transplantation Journal","id":"ITEM-1","issue":"3","issued":{"date-parts":[["2013","2"]]},"page":"501-506","title":"Donor Selection for Adult-to-Adult Living Donor Liver Transplantation","type":"article-journal","volume":"95"},"uris":["http://www.mendeley.com/documents/?uuid=87ee8117-c703-4e1f-951a-8cf88f65563b"]},{"id":"ITEM-2","itemData":{"DOI":"10.1097/01.tp.0000542926.71663.06","ISSN":"0041-1337","PMID":"32118333","author":[{"dropping-particle":"","family":"Irie","given":"Rie","non-dropping-particle":"","parse-names":false,"suffix":""},{"dropping-particle":"","family":"Nakazawa","given":"Atsuko","non-dropping-particle":"","parse-names":false,"suffix":""},{"dropping-particle":"","family":"Fukuda","given":"Akinari","non-dropping-particle":"","parse-names":false,"suffix":""},{"dropping-particle":"","family":"Sakamoto","given":"Seisuke","non-dropping-particle":"","parse-names":false,"suffix":""},{"dropping-particle":"","family":"Miyazaki","given":"Osamu","non-dropping-particle":"","parse-names":false,"suffix":""},{"dropping-particle":"","family":"Yoshioka","given":"Takako","non-dropping-particle":"","parse-names":false,"suffix":""},{"dropping-particle":"","family":"Kasahara","given":"Mureo","non-dropping-particle":"","parse-names":false,"suffix":""}],"container-title":"Transplantation","id":"ITEM-2","issued":{"date-parts":[["2018","7"]]},"page":"S245","title":"Living Donor Liver Transplantation for Hepatorenal Fibroystic Diseaase in Children","type":"article-journal","volume":"102"},"uris":["http://www.mendeley.com/documents/?uuid=cd805643-4b25-4950-ae5d-89fe185864a2"]},{"id":"ITEM-3","itemData":{"DOI":"10.1097/MOT.0000000000000610","ISSN":"1087-2418","PMID":"30694993","abstract":"PURPOSE OF REVIEW: As experience grows, living donor liver transplantation (LDLT) has become an effective treatment option to overcome the deceased donor organ shortage. RECENT FINDINGS: Donor safety is the highest priority in LDLT. Strict donor selection according to structured protocols and center experience are the main factors that determine donor safety. However, with increased experience, many centers have explored increasing organ availability within living donation by means of ABO incompatible LDLT, dual graft LDLT, and anonymous living donation. Also, this growing experience in LDLT has allowed the transplant community to cautiously explore the role of liver transplantation for hepatocellular carcinoma outside of Milan criteria and patients with unresectable colorectal liver metastases. SUMMARY: LDLT has become established as a viable strategy to ameliorate the organ shortage experienced by centers around the world. Improved understanding of this technique has allowed the improved utilization of live donor graft resources, without compromising donor safety. Moreover, LDLT may offer some advantages over deceased donor liver transplantation and a unique opportunity to assess the broader applicability of liver transplantation.","author":[{"dropping-particle":"","family":"Goldaracena","given":"Nicolas","non-dropping-particle":"","parse-names":false,"suffix":""},{"dropping-particle":"","family":"Barbas","given":"Andrew S.","non-dropping-particle":"","parse-names":false,"suffix":""}],"container-title":"Current Opinion in Organ Transplantation","id":"ITEM-3","issue":"2","issued":{"date-parts":[["2019","4"]]},"page":"131-137","title":"Living donor liver transplantation","type":"article-journal","volume":"24"},"uris":["http://www.mendeley.com/documents/?uuid=d5d9eb5e-ffe1-47c1-a2bc-5e6178796f00"]}],"mendeley":{"formattedCitation":"&lt;sup&gt;[3–5]&lt;/sup&gt;","plainTextFormattedCitation":"[3–5]","previouslyFormattedCitation":"&lt;sup&gt;[3–5]&lt;/sup&gt;"},"properties":{"noteIndex":0},"schema":"https://github.com/citation-style-language/schema/raw/master/csl-citation.json"}</w:instrText>
      </w:r>
      <w:r w:rsidR="00065FDA" w:rsidRPr="00CA4C0B">
        <w:rPr>
          <w:rStyle w:val="None"/>
          <w:rFonts w:ascii="Book Antiqua" w:hAnsi="Book Antiqua"/>
          <w:color w:val="auto"/>
          <w:spacing w:val="-1"/>
          <w:sz w:val="24"/>
          <w:szCs w:val="24"/>
        </w:rPr>
        <w:fldChar w:fldCharType="separate"/>
      </w:r>
      <w:r w:rsidR="00065FDA" w:rsidRPr="00CA4C0B">
        <w:rPr>
          <w:rStyle w:val="None"/>
          <w:rFonts w:ascii="Book Antiqua" w:hAnsi="Book Antiqua"/>
          <w:noProof/>
          <w:color w:val="auto"/>
          <w:spacing w:val="-1"/>
          <w:sz w:val="24"/>
          <w:szCs w:val="24"/>
          <w:vertAlign w:val="superscript"/>
        </w:rPr>
        <w:t>[3</w:t>
      </w:r>
      <w:r w:rsidR="005120E9">
        <w:rPr>
          <w:rStyle w:val="None"/>
          <w:rFonts w:ascii="Book Antiqua" w:hAnsi="Book Antiqua"/>
          <w:noProof/>
          <w:color w:val="auto"/>
          <w:spacing w:val="-1"/>
          <w:sz w:val="24"/>
          <w:szCs w:val="24"/>
          <w:vertAlign w:val="superscript"/>
        </w:rPr>
        <w:t>-</w:t>
      </w:r>
      <w:r w:rsidR="00065FDA" w:rsidRPr="00CA4C0B">
        <w:rPr>
          <w:rStyle w:val="None"/>
          <w:rFonts w:ascii="Book Antiqua" w:hAnsi="Book Antiqua"/>
          <w:noProof/>
          <w:color w:val="auto"/>
          <w:spacing w:val="-1"/>
          <w:sz w:val="24"/>
          <w:szCs w:val="24"/>
          <w:vertAlign w:val="superscript"/>
        </w:rPr>
        <w:t>5]</w:t>
      </w:r>
      <w:r w:rsidR="00065FDA" w:rsidRPr="00CA4C0B">
        <w:rPr>
          <w:rStyle w:val="None"/>
          <w:rFonts w:ascii="Book Antiqua" w:hAnsi="Book Antiqua"/>
          <w:color w:val="auto"/>
          <w:spacing w:val="-1"/>
          <w:sz w:val="24"/>
          <w:szCs w:val="24"/>
        </w:rPr>
        <w:fldChar w:fldCharType="end"/>
      </w:r>
      <w:r w:rsidRPr="00CA4C0B">
        <w:rPr>
          <w:rStyle w:val="None"/>
          <w:rFonts w:ascii="Book Antiqua" w:hAnsi="Book Antiqua"/>
          <w:color w:val="auto"/>
          <w:sz w:val="24"/>
          <w:szCs w:val="24"/>
          <w:u w:color="222222"/>
          <w:shd w:val="clear" w:color="auto" w:fill="FFFFFF"/>
        </w:rPr>
        <w:t xml:space="preserve">. </w:t>
      </w:r>
      <w:r w:rsidRPr="00CA4C0B">
        <w:rPr>
          <w:rStyle w:val="None"/>
          <w:rFonts w:ascii="Book Antiqua" w:hAnsi="Book Antiqua"/>
          <w:color w:val="auto"/>
          <w:spacing w:val="-1"/>
          <w:sz w:val="24"/>
          <w:szCs w:val="24"/>
        </w:rPr>
        <w:t>The successful functioning of both transplanted, as well as the remnant liver of the donor, is largely determined by their unique regeneration ability.</w:t>
      </w:r>
      <w:r w:rsidRPr="00CA4C0B">
        <w:rPr>
          <w:rStyle w:val="None"/>
          <w:rFonts w:ascii="Book Antiqua" w:hAnsi="Book Antiqua"/>
          <w:color w:val="auto"/>
          <w:spacing w:val="83"/>
          <w:sz w:val="24"/>
          <w:szCs w:val="24"/>
        </w:rPr>
        <w:t xml:space="preserve"> </w:t>
      </w:r>
      <w:r w:rsidRPr="00CA4C0B">
        <w:rPr>
          <w:rStyle w:val="None"/>
          <w:rFonts w:ascii="Book Antiqua" w:hAnsi="Book Antiqua"/>
          <w:color w:val="auto"/>
          <w:spacing w:val="-1"/>
          <w:sz w:val="24"/>
          <w:szCs w:val="24"/>
        </w:rPr>
        <w:t>Liver regeneration, following the hepatectomy, is one of the most studied pr</w:t>
      </w:r>
      <w:r w:rsidRPr="00CA4C0B">
        <w:rPr>
          <w:rStyle w:val="None"/>
          <w:rFonts w:ascii="Book Antiqua" w:hAnsi="Book Antiqua"/>
          <w:color w:val="auto"/>
          <w:spacing w:val="-1"/>
          <w:sz w:val="24"/>
          <w:szCs w:val="24"/>
        </w:rPr>
        <w:t>o</w:t>
      </w:r>
      <w:r w:rsidRPr="00CA4C0B">
        <w:rPr>
          <w:rStyle w:val="None"/>
          <w:rFonts w:ascii="Book Antiqua" w:hAnsi="Book Antiqua"/>
          <w:color w:val="auto"/>
          <w:spacing w:val="-1"/>
          <w:sz w:val="24"/>
          <w:szCs w:val="24"/>
        </w:rPr>
        <w:t>cesses</w:t>
      </w:r>
      <w:r w:rsidR="00065FDA" w:rsidRPr="00CA4C0B">
        <w:rPr>
          <w:rStyle w:val="None"/>
          <w:rFonts w:ascii="Book Antiqua" w:hAnsi="Book Antiqua"/>
          <w:color w:val="auto"/>
          <w:spacing w:val="-1"/>
          <w:sz w:val="24"/>
          <w:szCs w:val="24"/>
        </w:rPr>
        <w:fldChar w:fldCharType="begin" w:fldLock="1"/>
      </w:r>
      <w:r w:rsidR="00065FDA" w:rsidRPr="00CA4C0B">
        <w:rPr>
          <w:rStyle w:val="None"/>
          <w:rFonts w:ascii="Book Antiqua" w:hAnsi="Book Antiqua"/>
          <w:color w:val="auto"/>
          <w:spacing w:val="-1"/>
          <w:sz w:val="24"/>
          <w:szCs w:val="24"/>
        </w:rPr>
        <w:instrText>ADDIN CSL_CITATION {"citationItems":[{"id":"ITEM-1","itemData":{"DOI":"10.1002/hep.28988","ISSN":"1527-3350","PMID":"27997988","abstract":"In contrast to all other organs, liver-to-body-weight ratio needs to be maintained always at 100% of what is required for body homeostasis. Adjustment of liver size to 100% of what is required for homeostasis has been called \"hepatostat.\" Removal of a portion of any other organ is followed with local regeneration of a limited degree, but it never attempts to reach 100% of the original size. The complex mechanisms involved in this uniquely hepatic process encompass a variety of regenerative pathways that are specific to different types of injury. The most studied form of liver regeneration (LR) is that occurring after loss of hepatocytes in a single acute injury, such as rodent LR after two-thirds partial hepatectomy or administration of damaging chemicals (CCl4 , acetaminophen, etc.). Alternative regenerative pathways become activated when normal regeneration is thwarted and trigger the appearance of \"progenitor\" cells. Chronic loss of hepatocytes is associated with regenerative efforts characterized by continual hepatocyte proliferation and often has adverse consequences (development of cirrhosis or liver cancer). Even though a very few hepatocytes proliferate at any given time in normal liver, the mechanisms involved in the maintenance of liver weight by this slow process in the absence of liver injury are not as well understood. (Hepatology 2017;65:1384-1392).","author":[{"dropping-particle":"","family":"Michalopoulos","given":"George K.","non-dropping-particle":"","parse-names":false,"suffix":""}],"container-title":"Hepatology (Baltimore, Md.)","id":"ITEM-1","issue":"4","issued":{"date-parts":[["2017","4","1"]]},"page":"1384-1392","publisher":"John Wiley and Sons Inc.","title":"Hepatostat: Liver regeneration and normal liver tissue maintenance.","type":"article-journal","volume":"65"},"uris":["http://www.mendeley.com/documents/?uuid=f6fb74f0-df9f-3382-8ffc-174a8de6f3eb"]},{"id":"ITEM-2","itemData":{"DOI":"10.1002/wdev.340","ISSN":"1759-7692","PMID":"30924280","abstract":"Tissue regeneration is a process by which the remaining cells of an injured organ regrow to offset the missed cells. This field is relatively a new discipline that has been a focus of intense research by clinicians, surgeons, and scientists for decades. It constitutes the cornerstone of tissue engineering, creation of artificial organs, and generation and utilization of therapeutic stem cells to undergo transformation to different types of mature cells. Many medical experts, scientists, biologists, and bioengineers have dedicated their efforts to deeply comprehend the process of liver regeneration, striving for harnessing it to invent new therapies for liver failure. Liver regeneration after partial hepatectomy in rodents has been extensively studied by researchers for many years. It is divided into three important distinctive phases including (a) Initiation or priming phase which includes an overexpression of specific genes to prepare the liver cells for replication, (b) Proliferation phase in which the liver cells undergo a series of cycles of cell division and expansion and finally, (c) termination phase which acts as brake to stop the regenerative process and prevent the liver tissue overgrowth. These events are well controlled by cytokines, growth factors, and signaling pathways. In this review, we describe the function, embryology, and anatomy of human liver, discuss the molecular basis of liver regeneration, elucidate the hepatocyte and cholangiocyte lineages mediating this process, explain the role of hepatic progenitor cells and elaborate the developmental signaling pathways and regulatory molecules required to procure a complete restoration of hepatic lobule. This article is categorized under: Adult Stem Cells, Tissue Renewal, and Regeneration &gt; Regeneration Signaling Pathways &gt; Global Signaling Mechanisms Gene Expression and Transcriptional Hierarchies &gt; Cellular Differentiation.","author":[{"dropping-particle":"","family":"Abu Rmilah","given":"Anan","non-dropping-particle":"","parse-names":false,"suffix":""},{"dropping-particle":"","family":"Zhou","given":"Wei","non-dropping-particle":"","parse-names":false,"suffix":""},{"dropping-particle":"","family":"Nelson","given":"Erek","non-dropping-particle":"","parse-names":false,"suffix":""},{"dropping-particle":"","family":"Lin","given":"Li","non-dropping-particle":"","parse-names":false,"suffix":""},{"dropping-particle":"","family":"Amiot","given":"Bruce","non-dropping-particle":"","parse-names":false,"suffix":""},{"dropping-particle":"","family":"Nyberg","given":"Scott L","non-dropping-particle":"","parse-names":false,"suffix":""}],"container-title":"Wiley interdisciplinary reviews. Developmental biology","id":"ITEM-2","issue":"3","issued":{"date-parts":[["2019","5","1"]]},"page":"e340","publisher":"John Wiley and Sons Inc.","title":"Understanding the marvels behind liver regeneration.","type":"article-journal","volume":"8"},"uris":["http://www.mendeley.com/documents/?uuid=ed43af0f-4c96-3345-87ec-a3ba27b44287"]}],"mendeley":{"formattedCitation":"&lt;sup&gt;[6,7]&lt;/sup&gt;","plainTextFormattedCitation":"[6,7]","previouslyFormattedCitation":"&lt;sup&gt;[6,7]&lt;/sup&gt;"},"properties":{"noteIndex":0},"schema":"https://github.com/citation-style-language/schema/raw/master/csl-citation.json"}</w:instrText>
      </w:r>
      <w:r w:rsidR="00065FDA" w:rsidRPr="00CA4C0B">
        <w:rPr>
          <w:rStyle w:val="None"/>
          <w:rFonts w:ascii="Book Antiqua" w:hAnsi="Book Antiqua"/>
          <w:color w:val="auto"/>
          <w:spacing w:val="-1"/>
          <w:sz w:val="24"/>
          <w:szCs w:val="24"/>
        </w:rPr>
        <w:fldChar w:fldCharType="separate"/>
      </w:r>
      <w:r w:rsidR="00065FDA" w:rsidRPr="00CA4C0B">
        <w:rPr>
          <w:rStyle w:val="None"/>
          <w:rFonts w:ascii="Book Antiqua" w:hAnsi="Book Antiqua"/>
          <w:noProof/>
          <w:color w:val="auto"/>
          <w:spacing w:val="-1"/>
          <w:sz w:val="24"/>
          <w:szCs w:val="24"/>
          <w:vertAlign w:val="superscript"/>
        </w:rPr>
        <w:t>[6,7]</w:t>
      </w:r>
      <w:r w:rsidR="00065FDA" w:rsidRPr="00CA4C0B">
        <w:rPr>
          <w:rStyle w:val="None"/>
          <w:rFonts w:ascii="Book Antiqua" w:hAnsi="Book Antiqua"/>
          <w:color w:val="auto"/>
          <w:spacing w:val="-1"/>
          <w:sz w:val="24"/>
          <w:szCs w:val="24"/>
        </w:rPr>
        <w:fldChar w:fldCharType="end"/>
      </w:r>
      <w:r w:rsidR="008B30F8" w:rsidRPr="00CA4C0B">
        <w:rPr>
          <w:rStyle w:val="None"/>
          <w:rFonts w:ascii="Book Antiqua" w:hAnsi="Book Antiqua"/>
          <w:color w:val="auto"/>
          <w:spacing w:val="-1"/>
          <w:sz w:val="24"/>
          <w:szCs w:val="24"/>
          <w:lang w:val="pt-PT"/>
        </w:rPr>
        <w:t>.</w:t>
      </w:r>
      <w:r w:rsidRPr="00CA4C0B">
        <w:rPr>
          <w:rStyle w:val="None"/>
          <w:rFonts w:ascii="Book Antiqua" w:hAnsi="Book Antiqua"/>
          <w:color w:val="auto"/>
          <w:sz w:val="24"/>
          <w:szCs w:val="24"/>
        </w:rPr>
        <w:t xml:space="preserve"> </w:t>
      </w:r>
      <w:r w:rsidRPr="00CA4C0B">
        <w:rPr>
          <w:rStyle w:val="None"/>
          <w:rFonts w:ascii="Book Antiqua" w:hAnsi="Book Antiqua"/>
          <w:color w:val="auto"/>
          <w:spacing w:val="-1"/>
          <w:sz w:val="24"/>
          <w:szCs w:val="24"/>
        </w:rPr>
        <w:t>This is contributed to by the fact that various modifications of hepate</w:t>
      </w:r>
      <w:r w:rsidRPr="00CA4C0B">
        <w:rPr>
          <w:rStyle w:val="None"/>
          <w:rFonts w:ascii="Book Antiqua" w:hAnsi="Book Antiqua"/>
          <w:color w:val="auto"/>
          <w:spacing w:val="-1"/>
          <w:sz w:val="24"/>
          <w:szCs w:val="24"/>
        </w:rPr>
        <w:t>c</w:t>
      </w:r>
      <w:r w:rsidRPr="00CA4C0B">
        <w:rPr>
          <w:rStyle w:val="None"/>
          <w:rFonts w:ascii="Book Antiqua" w:hAnsi="Book Antiqua"/>
          <w:color w:val="auto"/>
          <w:spacing w:val="-1"/>
          <w:sz w:val="24"/>
          <w:szCs w:val="24"/>
        </w:rPr>
        <w:t>tomy are easily modeled in experimental studies,</w:t>
      </w:r>
      <w:r w:rsidR="00F7733D" w:rsidRPr="00CA4C0B">
        <w:rPr>
          <w:rStyle w:val="None"/>
          <w:rFonts w:ascii="Book Antiqua" w:hAnsi="Book Antiqua"/>
          <w:color w:val="auto"/>
          <w:spacing w:val="-1"/>
          <w:sz w:val="24"/>
          <w:szCs w:val="24"/>
        </w:rPr>
        <w:t xml:space="preserve"> </w:t>
      </w:r>
      <w:r w:rsidRPr="00CA4C0B">
        <w:rPr>
          <w:rStyle w:val="None"/>
          <w:rFonts w:ascii="Book Antiqua" w:hAnsi="Book Antiqua"/>
          <w:color w:val="auto"/>
          <w:spacing w:val="-1"/>
          <w:sz w:val="24"/>
          <w:szCs w:val="24"/>
        </w:rPr>
        <w:t>particularly in small laboratory animals (rodents)</w:t>
      </w:r>
      <w:r w:rsidR="00065FDA" w:rsidRPr="00CA4C0B">
        <w:rPr>
          <w:rStyle w:val="None"/>
          <w:rFonts w:ascii="Book Antiqua" w:hAnsi="Book Antiqua"/>
          <w:color w:val="auto"/>
          <w:spacing w:val="-1"/>
          <w:sz w:val="24"/>
          <w:szCs w:val="24"/>
          <w:vertAlign w:val="superscript"/>
          <w:lang w:val="pt-PT"/>
        </w:rPr>
        <w:fldChar w:fldCharType="begin" w:fldLock="1"/>
      </w:r>
      <w:r w:rsidR="006A41F4" w:rsidRPr="00CA4C0B">
        <w:rPr>
          <w:rStyle w:val="None"/>
          <w:rFonts w:ascii="Book Antiqua" w:hAnsi="Book Antiqua"/>
          <w:color w:val="auto"/>
          <w:spacing w:val="-1"/>
          <w:sz w:val="24"/>
          <w:szCs w:val="24"/>
          <w:vertAlign w:val="superscript"/>
          <w:lang w:val="pt-PT"/>
        </w:rPr>
        <w:instrText>ADDIN CSL_CITATION {"citationItems":[{"id":"ITEM-1","itemData":{"DOI":"10.1016/j.ciresp.2013.11.005","ISSN":"0009739X","PMID":"25064517","author":[{"dropping-particle":"","family":"Almau Trenard","given":"Héctor M.","non-dropping-particle":"","parse-names":false,"suffix":""},{"dropping-particle":"","family":"Moulin","given":"Luis E.","non-dropping-particle":"","parse-names":false,"suffix":""},{"dropping-particle":"","family":"Padín","given":"Juan M.","non-dropping-particle":"","parse-names":false,"suffix":""},{"dropping-particle":"","family":"Stringa","given":"Pablo","non-dropping-particle":"","parse-names":false,"suffix":""},{"dropping-particle":"","family":"Gondolesi","given":"Gabriel E.","non-dropping-particle":"","parse-names":false,"suffix":""},{"dropping-particle":"","family":"Barros Schelotto","given":"Pablo","non-dropping-particle":"","parse-names":false,"suffix":""}],"container-title":"Cirugía Española","id":"ITEM-1","issue":"10","issued":{"date-parts":[["2014","12"]]},"page":"676-681","title":"Desarrollo de un modelo experimental de ligadura portal asociada a transección parenquimatosa (ALPPS) en ratas","type":"article-journal","volume":"92"},"uris":["http://www.mendeley.com/documents/?uuid=a9751603-5b6a-4348-b7ff-ce02da9f4f65"]},{"id":"ITEM-2","itemData":{"DOI":"10.1016/j.surg.2015.12.005","ISSN":"00396060","PMID":"26879073","author":[{"dropping-particle":"","family":"Wei","given":"Weiwei","non-dropping-particle":"","parse-names":false,"suffix":""},{"dropping-particle":"","family":"Zhang","given":"Tianjiao","non-dropping-particle":"","parse-names":false,"suffix":""},{"dropping-particle":"","family":"Zafarnia","given":"Sara","non-dropping-particle":"","parse-names":false,"suffix":""},{"dropping-particle":"","family":"Schenk","given":"Andrea","non-dropping-particle":"","parse-names":false,"suffix":""},{"dropping-particle":"","family":"Xie","given":"Chichi","non-dropping-particle":"","parse-names":false,"suffix":""},{"dropping-particle":"","family":"Kan","given":"Chunyi","non-dropping-particle":"","parse-names":false,"suffix":""},{"dropping-particle":"","family":"Dirsch","given":"Olaf","non-dropping-particle":"","parse-names":false,"suffix":""},{"dropping-particle":"","family":"Settmacher","given":"Utz","non-dropping-particle":"","parse-names":false,"suffix":""},{"dropping-particle":"","family":"Dahmen","given":"Uta","non-dropping-particle":"","parse-names":false,"suffix":""}],"container-title":"Surgery","id":"ITEM-2","issue":"5","issued":{"date-parts":[["2016","5"]]},"note":"</w:instrText>
      </w:r>
      <w:r w:rsidR="006A41F4" w:rsidRPr="00CA4C0B">
        <w:rPr>
          <w:rStyle w:val="None"/>
          <w:rFonts w:ascii="Sylfaen" w:hAnsi="Sylfaen" w:cs="Sylfaen"/>
          <w:color w:val="auto"/>
          <w:spacing w:val="-1"/>
          <w:sz w:val="24"/>
          <w:szCs w:val="24"/>
          <w:vertAlign w:val="superscript"/>
          <w:lang w:val="pt-PT"/>
        </w:rPr>
        <w:instrText>ტყჰუჯჰგგფბნჰბვც</w:instrText>
      </w:r>
      <w:r w:rsidR="006A41F4" w:rsidRPr="00CA4C0B">
        <w:rPr>
          <w:rStyle w:val="None"/>
          <w:rFonts w:ascii="Book Antiqua" w:hAnsi="Book Antiqua"/>
          <w:color w:val="auto"/>
          <w:spacing w:val="-1"/>
          <w:sz w:val="24"/>
          <w:szCs w:val="24"/>
          <w:vertAlign w:val="superscript"/>
          <w:lang w:val="pt-PT"/>
        </w:rPr>
        <w:instrText>","page":"1299-1307","title":"Establishment of a rat model: Associating liver partition with portal vein ligation for staged hepatectomy","type":"article-journal","volume":"159"},"uris":["http://www.mendeley.com/documents/?uuid=b0e88252-28d8-4578-8abb-245288b2b932"]},{"id":"ITEM-3","itemData":{"DOI":"10.1038/nprot.2008.80","ISSN":"1754-2189","PMID":"18600221","abstract":"The ability of hepatocytes to enter the cell cycle and regenerate the liver after tissue loss provides an in vivo model to study the regulation of proliferation and organ regeneration. The extent of hepatocyte proliferation is directly proportional to the amount of resected liver tissue, and 2/3 partial hepatectomy (2/3 PH) leads to highly synchronized hepatocyte cell-cycle entry and progression. This surgical technique was first described in rats and requires modification for application in mice. Lack of standardization of 2/3 PH in mice has caused discrepancies in the results obtained in different laboratories. Here, we provide a protocol and a movie describing a straightforward surgical technique, which takes 15-20 min, to consistently remove two-thirds of the liver in mice. As this protocol is not associated with mortality and gives highly reproducible results, we hope that it will be widely used and serve to standardize 2/3 PH in mice.","author":[{"dropping-particle":"","family":"Mitchell","given":"Claudia","non-dropping-particle":"","parse-names":false,"suffix":""},{"dropping-particle":"","family":"Willenbring","given":"Holger","non-dropping-particle":"","parse-names":false,"suffix":""}],"container-title":"Nature Protocols","id":"ITEM-3","issue":"7","issued":{"date-parts":[["2008","7","19"]]},"page":"1167-1170","publisher":"Nature Publishing Group","title":"A reproducible and well-tolerated method for 2/3 partial hepatectomy in mice","type":"article-journal","volume":"3"},"uris":["http://www.mendeley.com/documents/?uuid=053415c6-70ce-363e-aee4-16592c81e456"]},{"id":"ITEM-4","itemData":{"DOI":"10.1016/j.jss.2006.01.008","ISSN":"00224804","PMID":"16519902","abstract":"Background: This study investigated the effects of a repeat 70% major hepatectomy in a rat model. Materials and methods: The left lateral and median lobes of the livers of 80 seven-week-old male Wistar rats were excised during primary hepatectomy, removing a total of 70% of the liver. In 40 of the rats, the regenerated right lateral lobe, comprising 70% of the remnant liver, was excised during secondary hepatectomy 7 days after the initial procedure. The survival rate, posthepatectomized regeneration ratio, and laboratory blood data were compared between the groups that had undergone initial only and repeat hepatectomies. Results: All of the rats survived for at least 7 days after each procedure. The remaining liver returned to up to about 90% of its original wet weight by 5 days in both groups. The serum glutamic-pyruvic transaminase levels peaked 12 h after hepatectomy, remained at a similar level at 36 h, and had normalized by 2 days. Serum total bilirubin levels were similar in both groups. The total cell numbers after 5 days were significantly higher in the initial hepatectomy group than in the repeat hepatectomy group. Conclusions: We established a rat model in which an initial 70% major hepatectomy was followed by a repeat 70% major hepatectomy of the regenerated liver. The time taken to restore the integrity of the liver was longer in the rats that underwent repeat hepatectomy. We believe that this model will be useful for investigating the regenerative ability of the liver after a second major hepatectomy. © 2006 Elsevier Inc. All rights reserved.","author":[{"dropping-particle":"","family":"Saito","given":"Shuji","non-dropping-particle":"","parse-names":false,"suffix":""},{"dropping-particle":"","family":"Togo","given":"Shinji","non-dropping-particle":"","parse-names":false,"suffix":""},{"dropping-particle":"","family":"Morioka","given":"Daisuke","non-dropping-particle":"","parse-names":false,"suffix":""},{"dropping-particle":"","family":"Matsuo","given":"Ken-ichi","non-dropping-particle":"","parse-names":false,"suffix":""},{"dropping-particle":"","family":"Yoshimoto","given":"Noboru","non-dropping-particle":"","parse-names":false,"suffix":""},{"dropping-particle":"","family":"Nagano","given":"Yasuhiko","non-dropping-particle":"","parse-names":false,"suffix":""},{"dropping-particle":"","family":"Tanaka","given":"Kuniya","non-dropping-particle":"","parse-names":false,"suffix":""},{"dropping-particle":"","family":"Kubota","given":"Toru","non-dropping-particle":"","parse-names":false,"suffix":""},{"dropping-particle":"","family":"Nagashima","given":"Yoji","non-dropping-particle":"","parse-names":false,"suffix":""},{"dropping-particle":"","family":"Shimada","given":"Hiroshi","non-dropping-particle":"","parse-names":false,"suffix":""}],"container-title":"Journal of Surgical Research","id":"ITEM-4","issue":"2","issued":{"date-parts":[["2006","8"]]},"page":"322-326","title":"A Rat Model of a Repeat 70% Major Hepatectomy","type":"article-journal","volume":"134"},"uris":["http://www.mendeley.com/documents/?uuid=007f6c20-6a5e-3bea-8d7d-f96cc8312df2"]}],"mendeley":{"formattedCitation":"&lt;sup&gt;[8–11]&lt;/sup&gt;","plainTextFormattedCitation":"[8–11]","previouslyFormattedCitation":"&lt;sup&gt;[8–11]&lt;/sup&gt;"},"properties":{"noteIndex":0},"schema":"https://github.com/citation-style-language/schema/raw/master/csl-citation.json"}</w:instrText>
      </w:r>
      <w:r w:rsidR="00065FDA" w:rsidRPr="00CA4C0B">
        <w:rPr>
          <w:rStyle w:val="None"/>
          <w:rFonts w:ascii="Book Antiqua" w:hAnsi="Book Antiqua"/>
          <w:color w:val="auto"/>
          <w:spacing w:val="-1"/>
          <w:sz w:val="24"/>
          <w:szCs w:val="24"/>
          <w:vertAlign w:val="superscript"/>
          <w:lang w:val="pt-PT"/>
        </w:rPr>
        <w:fldChar w:fldCharType="separate"/>
      </w:r>
      <w:r w:rsidR="00065FDA" w:rsidRPr="00CA4C0B">
        <w:rPr>
          <w:rStyle w:val="None"/>
          <w:rFonts w:ascii="Book Antiqua" w:hAnsi="Book Antiqua"/>
          <w:noProof/>
          <w:color w:val="auto"/>
          <w:spacing w:val="-1"/>
          <w:sz w:val="24"/>
          <w:szCs w:val="24"/>
          <w:vertAlign w:val="superscript"/>
          <w:lang w:val="pt-PT"/>
        </w:rPr>
        <w:t>[8</w:t>
      </w:r>
      <w:r w:rsidR="005120E9">
        <w:rPr>
          <w:rStyle w:val="None"/>
          <w:rFonts w:ascii="Book Antiqua" w:hAnsi="Book Antiqua"/>
          <w:noProof/>
          <w:color w:val="auto"/>
          <w:spacing w:val="-1"/>
          <w:sz w:val="24"/>
          <w:szCs w:val="24"/>
          <w:vertAlign w:val="superscript"/>
          <w:lang w:val="pt-PT"/>
        </w:rPr>
        <w:t>-</w:t>
      </w:r>
      <w:r w:rsidR="00065FDA" w:rsidRPr="00CA4C0B">
        <w:rPr>
          <w:rStyle w:val="None"/>
          <w:rFonts w:ascii="Book Antiqua" w:hAnsi="Book Antiqua"/>
          <w:noProof/>
          <w:color w:val="auto"/>
          <w:spacing w:val="-1"/>
          <w:sz w:val="24"/>
          <w:szCs w:val="24"/>
          <w:vertAlign w:val="superscript"/>
          <w:lang w:val="pt-PT"/>
        </w:rPr>
        <w:t>11]</w:t>
      </w:r>
      <w:r w:rsidR="00065FDA" w:rsidRPr="00CA4C0B">
        <w:rPr>
          <w:rStyle w:val="None"/>
          <w:rFonts w:ascii="Book Antiqua" w:hAnsi="Book Antiqua"/>
          <w:color w:val="auto"/>
          <w:spacing w:val="-1"/>
          <w:sz w:val="24"/>
          <w:szCs w:val="24"/>
          <w:vertAlign w:val="superscript"/>
          <w:lang w:val="pt-PT"/>
        </w:rPr>
        <w:fldChar w:fldCharType="end"/>
      </w:r>
      <w:r w:rsidR="008B30F8" w:rsidRPr="00CA4C0B">
        <w:rPr>
          <w:rStyle w:val="None"/>
          <w:rFonts w:ascii="Book Antiqua" w:hAnsi="Book Antiqua"/>
          <w:color w:val="auto"/>
          <w:spacing w:val="-1"/>
          <w:sz w:val="24"/>
          <w:szCs w:val="24"/>
          <w:lang w:val="pt-PT"/>
        </w:rPr>
        <w:t>.</w:t>
      </w:r>
      <w:r w:rsidR="00F7733D" w:rsidRPr="00CA4C0B">
        <w:rPr>
          <w:rStyle w:val="None"/>
          <w:rFonts w:ascii="Book Antiqua" w:hAnsi="Book Antiqua"/>
          <w:color w:val="auto"/>
          <w:spacing w:val="-1"/>
          <w:sz w:val="24"/>
          <w:szCs w:val="24"/>
        </w:rPr>
        <w:t xml:space="preserve"> </w:t>
      </w:r>
      <w:r w:rsidRPr="00CA4C0B">
        <w:rPr>
          <w:rStyle w:val="None"/>
          <w:rFonts w:ascii="Book Antiqua" w:hAnsi="Book Antiqua"/>
          <w:color w:val="auto"/>
          <w:spacing w:val="-1"/>
          <w:sz w:val="24"/>
          <w:szCs w:val="24"/>
        </w:rPr>
        <w:t>Moreover, it is believed that the post-resection liver rege</w:t>
      </w:r>
      <w:r w:rsidRPr="00CA4C0B">
        <w:rPr>
          <w:rStyle w:val="None"/>
          <w:rFonts w:ascii="Book Antiqua" w:hAnsi="Book Antiqua"/>
          <w:color w:val="auto"/>
          <w:spacing w:val="-1"/>
          <w:sz w:val="24"/>
          <w:szCs w:val="24"/>
        </w:rPr>
        <w:t>n</w:t>
      </w:r>
      <w:r w:rsidRPr="00CA4C0B">
        <w:rPr>
          <w:rStyle w:val="None"/>
          <w:rFonts w:ascii="Book Antiqua" w:hAnsi="Book Antiqua"/>
          <w:color w:val="auto"/>
          <w:spacing w:val="-1"/>
          <w:sz w:val="24"/>
          <w:szCs w:val="24"/>
        </w:rPr>
        <w:t xml:space="preserve">eration in rodents (rats) is the classic pattern of </w:t>
      </w:r>
      <w:r w:rsidRPr="00CA4C0B">
        <w:rPr>
          <w:rStyle w:val="None"/>
          <w:rFonts w:ascii="Book Antiqua" w:hAnsi="Book Antiqua"/>
          <w:color w:val="auto"/>
          <w:spacing w:val="-1"/>
          <w:sz w:val="24"/>
          <w:szCs w:val="24"/>
          <w:rtl/>
          <w:lang w:val="ar-SA"/>
        </w:rPr>
        <w:t>“</w:t>
      </w:r>
      <w:r w:rsidRPr="00CA4C0B">
        <w:rPr>
          <w:rStyle w:val="None"/>
          <w:rFonts w:ascii="Book Antiqua" w:hAnsi="Book Antiqua"/>
          <w:color w:val="auto"/>
          <w:spacing w:val="-1"/>
          <w:sz w:val="24"/>
          <w:szCs w:val="24"/>
          <w:lang w:val="nl-NL"/>
        </w:rPr>
        <w:t>regeneration</w:t>
      </w:r>
      <w:r w:rsidRPr="00CA4C0B">
        <w:rPr>
          <w:rStyle w:val="None"/>
          <w:rFonts w:ascii="Book Antiqua" w:hAnsi="Book Antiqua"/>
          <w:color w:val="auto"/>
          <w:spacing w:val="-1"/>
          <w:sz w:val="24"/>
          <w:szCs w:val="24"/>
        </w:rPr>
        <w:t>”</w:t>
      </w:r>
      <w:r w:rsidR="006A41F4" w:rsidRPr="00CA4C0B">
        <w:rPr>
          <w:rStyle w:val="None"/>
          <w:rFonts w:ascii="Book Antiqua" w:hAnsi="Book Antiqua"/>
          <w:color w:val="auto"/>
          <w:spacing w:val="-1"/>
          <w:sz w:val="24"/>
          <w:szCs w:val="24"/>
        </w:rPr>
        <w:fldChar w:fldCharType="begin" w:fldLock="1"/>
      </w:r>
      <w:r w:rsidR="006A41F4" w:rsidRPr="00CA4C0B">
        <w:rPr>
          <w:rStyle w:val="None"/>
          <w:rFonts w:ascii="Book Antiqua" w:hAnsi="Book Antiqua"/>
          <w:color w:val="auto"/>
          <w:spacing w:val="-1"/>
          <w:sz w:val="24"/>
          <w:szCs w:val="24"/>
        </w:rPr>
        <w:instrText>ADDIN CSL_CITATION {"citationItems":[{"id":"ITEM-1","itemData":{"DOI":"10.1016/s0142-9612(03)00508-8","ISSN":"0142-9612","PMID":"14697862","abstract":"Owing to its powers of regeneration, the liver is capable of in vivo \"tissue engineering\" which enables complete restoration of liver architecture and re-establishment of the specific functions of the liver after various types of liver injury. Our current understanding of liver regeneration forms the basis of modern liver surgery and is now taken into consideration in the treatment of many liver diseases, in liver transplantation and hepatic tissue engineering. These advances have been achieved primarily by studies of liver regeneration in animal models after partial hepatectomy, attention being focused on the general mechanisms of cell proliferation. In recent years, however, toxin-induced models of liver regeneration have assumed growing importance, and by studying the interaction between cell damage and cell regeneration have made possible an investigation of liver regeneration of greater clinical relevance. However, the mechanisms of liver regeneration in patients with pre-existing chronic liver damage such as liver cirrhosis are still largely unexplored. This review examines and critically appraises the various approaches to the study of liver regeneration in animal models, including both surgical and pharmacological approaches.","author":[{"dropping-particle":"","family":"Palmes","given":"Daniel","non-dropping-particle":"","parse-names":false,"suffix":""},{"dropping-particle":"","family":"Spiegel","given":"Hans-Ullrich","non-dropping-particle":"","parse-names":false,"suffix":""}],"container-title":"Biomaterials","id":"ITEM-1","issue":"9","issued":{"date-parts":[["2004","4"]]},"page":"1601-11","title":"Animal models of liver regeneration.","type":"article-journal","volume":"25"},"uris":["http://www.mendeley.com/documents/?uuid=170f1fae-3e80-3ecd-a47a-6f8c8d4af075"]},{"id":"ITEM-2","itemData":{"DOI":"10.1186/1747-1028-8-8","ISSN":"1747-1028","PMID":"23786799","abstract":"The liver has a remarkable capacity to regenerate. Even with surgical removal (partial hepatectomy) of 70% of liver mass, the remnant tissue grows to recover the original mass and functions. Liver regeneration after partial hepatectomy has been studied extensively since the 19th century, establishing the long-standing model that hepatocytes, which account for most of the liver weight, proliferate to recover the original mass of the liver. The basis of this model is the fact that almost all hepatocytes undergo S phase, as shown by the incorporation of radioactive nucleotides during liver regeneration. However, DNA replication does not necessarily indicate the execution of cell division, and a possible change in hepatocyte size is not considered in the model. In addition, as 15-30% of hepatocytes in adult liver are binuclear, the difference in nuclear number may affect the mode of cell division during regeneration. Thus, the traditional model seems to be oversimplified. Recently, we developed new techniques to investigate the process of liver regeneration, and revealed interesting features of hepatocytes. In this review, we first provide a historical overview of how the widely accepted model of liver regeneration was established and then discuss some overlooked observations together with our recent findings. Finally, we describe the revised model and perspectives on liver regeneration research.","author":[{"dropping-particle":"","family":"Miyaoka","given":"Yuichiro","non-dropping-particle":"","parse-names":false,"suffix":""},{"dropping-particle":"","family":"Miyajima","given":"Atsushi","non-dropping-particle":"","parse-names":false,"suffix":""}],"container-title":"Cell division","id":"ITEM-2","issue":"1","issued":{"date-parts":[["2013","6","20"]]},"page":"8","publisher":"BioMed Central","title":"To divide or not to divide: revisiting liver regeneration.","type":"article-journal","volume":"8"},"uris":["http://www.mendeley.com/documents/?uuid=da870869-2ae4-3a88-ab70-c5c0009886a0"]}],"mendeley":{"formattedCitation":"&lt;sup&gt;[12,13]&lt;/sup&gt;","plainTextFormattedCitation":"[12,13]","previouslyFormattedCitation":"&lt;sup&gt;[12,13]&lt;/sup&gt;"},"properties":{"noteIndex":0},"schema":"https://github.com/citation-style-language/schema/raw/master/csl-citation.json"}</w:instrText>
      </w:r>
      <w:r w:rsidR="006A41F4" w:rsidRPr="00CA4C0B">
        <w:rPr>
          <w:rStyle w:val="None"/>
          <w:rFonts w:ascii="Book Antiqua" w:hAnsi="Book Antiqua"/>
          <w:color w:val="auto"/>
          <w:spacing w:val="-1"/>
          <w:sz w:val="24"/>
          <w:szCs w:val="24"/>
        </w:rPr>
        <w:fldChar w:fldCharType="separate"/>
      </w:r>
      <w:r w:rsidR="006A41F4" w:rsidRPr="00CA4C0B">
        <w:rPr>
          <w:rStyle w:val="None"/>
          <w:rFonts w:ascii="Book Antiqua" w:hAnsi="Book Antiqua"/>
          <w:noProof/>
          <w:color w:val="auto"/>
          <w:spacing w:val="-1"/>
          <w:sz w:val="24"/>
          <w:szCs w:val="24"/>
          <w:vertAlign w:val="superscript"/>
        </w:rPr>
        <w:t>[12,13]</w:t>
      </w:r>
      <w:r w:rsidR="006A41F4" w:rsidRPr="00CA4C0B">
        <w:rPr>
          <w:rStyle w:val="None"/>
          <w:rFonts w:ascii="Book Antiqua" w:hAnsi="Book Antiqua"/>
          <w:color w:val="auto"/>
          <w:spacing w:val="-1"/>
          <w:sz w:val="24"/>
          <w:szCs w:val="24"/>
        </w:rPr>
        <w:fldChar w:fldCharType="end"/>
      </w:r>
      <w:r w:rsidRPr="00CA4C0B">
        <w:rPr>
          <w:rStyle w:val="None"/>
          <w:rFonts w:ascii="Book Antiqua" w:hAnsi="Book Antiqua"/>
          <w:color w:val="auto"/>
          <w:spacing w:val="-1"/>
          <w:sz w:val="24"/>
          <w:szCs w:val="24"/>
        </w:rPr>
        <w:t>. It was expe</w:t>
      </w:r>
      <w:r w:rsidRPr="00CA4C0B">
        <w:rPr>
          <w:rStyle w:val="None"/>
          <w:rFonts w:ascii="Book Antiqua" w:hAnsi="Book Antiqua"/>
          <w:color w:val="auto"/>
          <w:spacing w:val="-1"/>
          <w:sz w:val="24"/>
          <w:szCs w:val="24"/>
        </w:rPr>
        <w:t>r</w:t>
      </w:r>
      <w:r w:rsidRPr="00CA4C0B">
        <w:rPr>
          <w:rStyle w:val="None"/>
          <w:rFonts w:ascii="Book Antiqua" w:hAnsi="Book Antiqua"/>
          <w:color w:val="auto"/>
          <w:spacing w:val="-1"/>
          <w:sz w:val="24"/>
          <w:szCs w:val="24"/>
        </w:rPr>
        <w:t xml:space="preserve">imentally proved that following the liver resection (Partial hepatectomy - PH), the liver fully restores its size and mass on </w:t>
      </w:r>
      <w:r w:rsidR="003D4AE0" w:rsidRPr="00CA4C0B">
        <w:rPr>
          <w:rStyle w:val="None"/>
          <w:rFonts w:ascii="Book Antiqua" w:hAnsi="Book Antiqua"/>
          <w:color w:val="auto"/>
          <w:spacing w:val="-1"/>
          <w:sz w:val="24"/>
          <w:szCs w:val="24"/>
        </w:rPr>
        <w:t>the 7</w:t>
      </w:r>
      <w:r w:rsidR="003D4AE0" w:rsidRPr="00CA4C0B">
        <w:rPr>
          <w:rStyle w:val="None"/>
          <w:rFonts w:ascii="Book Antiqua" w:hAnsi="Book Antiqua"/>
          <w:color w:val="auto"/>
          <w:spacing w:val="-1"/>
          <w:sz w:val="24"/>
          <w:szCs w:val="24"/>
          <w:vertAlign w:val="superscript"/>
        </w:rPr>
        <w:t>th</w:t>
      </w:r>
      <w:r w:rsidR="008B30F8" w:rsidRPr="00CA4C0B">
        <w:rPr>
          <w:rStyle w:val="None"/>
          <w:rFonts w:ascii="Book Antiqua" w:hAnsi="Book Antiqua"/>
          <w:color w:val="auto"/>
          <w:spacing w:val="-1"/>
          <w:sz w:val="24"/>
          <w:szCs w:val="24"/>
        </w:rPr>
        <w:t>-</w:t>
      </w:r>
      <w:r w:rsidR="003D4AE0" w:rsidRPr="00CA4C0B">
        <w:rPr>
          <w:rStyle w:val="None"/>
          <w:rFonts w:ascii="Book Antiqua" w:hAnsi="Book Antiqua"/>
          <w:color w:val="auto"/>
          <w:spacing w:val="-1"/>
          <w:sz w:val="24"/>
          <w:szCs w:val="24"/>
        </w:rPr>
        <w:t>8</w:t>
      </w:r>
      <w:r w:rsidR="003D4AE0" w:rsidRPr="00CA4C0B">
        <w:rPr>
          <w:rStyle w:val="None"/>
          <w:rFonts w:ascii="Book Antiqua" w:hAnsi="Book Antiqua"/>
          <w:color w:val="auto"/>
          <w:spacing w:val="-1"/>
          <w:sz w:val="24"/>
          <w:szCs w:val="24"/>
          <w:vertAlign w:val="superscript"/>
        </w:rPr>
        <w:t>th</w:t>
      </w:r>
      <w:r w:rsidR="008B30F8" w:rsidRPr="00CA4C0B">
        <w:rPr>
          <w:rStyle w:val="None"/>
          <w:rFonts w:ascii="Book Antiqua" w:hAnsi="Book Antiqua"/>
          <w:color w:val="auto"/>
          <w:spacing w:val="-1"/>
          <w:sz w:val="24"/>
          <w:szCs w:val="24"/>
        </w:rPr>
        <w:t xml:space="preserve"> (or upon 2 </w:t>
      </w:r>
      <w:proofErr w:type="spellStart"/>
      <w:r w:rsidR="008B30F8" w:rsidRPr="00CA4C0B">
        <w:rPr>
          <w:rStyle w:val="None"/>
          <w:rFonts w:ascii="Book Antiqua" w:hAnsi="Book Antiqua"/>
          <w:color w:val="auto"/>
          <w:spacing w:val="-1"/>
          <w:sz w:val="24"/>
          <w:szCs w:val="24"/>
        </w:rPr>
        <w:t>wk</w:t>
      </w:r>
      <w:proofErr w:type="spellEnd"/>
      <w:r w:rsidR="003D4AE0" w:rsidRPr="00CA4C0B">
        <w:rPr>
          <w:rStyle w:val="None"/>
          <w:rFonts w:ascii="Book Antiqua" w:hAnsi="Book Antiqua"/>
          <w:color w:val="auto"/>
          <w:spacing w:val="-1"/>
          <w:sz w:val="24"/>
          <w:szCs w:val="24"/>
        </w:rPr>
        <w:t xml:space="preserve"> </w:t>
      </w:r>
      <w:r w:rsidRPr="00CA4C0B">
        <w:rPr>
          <w:rStyle w:val="None"/>
          <w:rFonts w:ascii="Book Antiqua" w:hAnsi="Book Antiqua"/>
          <w:color w:val="auto"/>
          <w:spacing w:val="-1"/>
          <w:sz w:val="24"/>
          <w:szCs w:val="24"/>
        </w:rPr>
        <w:t>according to some authors) day from the surgery</w:t>
      </w:r>
      <w:r w:rsidR="006A41F4" w:rsidRPr="00CA4C0B">
        <w:rPr>
          <w:rStyle w:val="None"/>
          <w:rFonts w:ascii="Book Antiqua" w:hAnsi="Book Antiqua"/>
          <w:color w:val="auto"/>
          <w:spacing w:val="-1"/>
          <w:sz w:val="24"/>
          <w:szCs w:val="24"/>
        </w:rPr>
        <w:fldChar w:fldCharType="begin" w:fldLock="1"/>
      </w:r>
      <w:r w:rsidR="00A378BB" w:rsidRPr="00CA4C0B">
        <w:rPr>
          <w:rStyle w:val="None"/>
          <w:rFonts w:ascii="Book Antiqua" w:hAnsi="Book Antiqua"/>
          <w:color w:val="auto"/>
          <w:spacing w:val="-1"/>
          <w:sz w:val="24"/>
          <w:szCs w:val="24"/>
        </w:rPr>
        <w:instrText>ADDIN CSL_CITATION {"citationItems":[{"id":"ITEM-1","itemData":{"DOI":"10.1186/1747-1028-8-8","ISSN":"1747-1028","PMID":"23786799","abstract":"The liver has a remarkable capacity to regenerate. Even with surgical removal (partial hepatectomy) of 70% of liver mass, the remnant tissue grows to recover the original mass and functions. Liver regeneration after partial hepatectomy has been studied extensively since the 19th century, establishing the long-standing model that hepatocytes, which account for most of the liver weight, proliferate to recover the original mass of the liver. The basis of this model is the fact that almost all hepatocytes undergo S phase, as shown by the incorporation of radioactive nucleotides during liver regeneration. However, DNA replication does not necessarily indicate the execution of cell division, and a possible change in hepatocyte size is not considered in the model. In addition, as 15-30% of hepatocytes in adult liver are binuclear, the difference in nuclear number may affect the mode of cell division during regeneration. Thus, the traditional model seems to be oversimplified. Recently, we developed new techniques to investigate the process of liver regeneration, and revealed interesting features of hepatocytes. In this review, we first provide a historical overview of how the widely accepted model of liver regeneration was established and then discuss some overlooked observations together with our recent findings. Finally, we describe the revised model and perspectives on liver regeneration research.","author":[{"dropping-particle":"","family":"Miyaoka","given":"Yuichiro","non-dropping-particle":"","parse-names":false,"suffix":""},{"dropping-particle":"","family":"Miyajima","given":"Atsushi","non-dropping-particle":"","parse-names":false,"suffix":""}],"container-title":"Cell division","id":"ITEM-1","issue":"1","issued":{"date-parts":[["2013","6","20"]]},"page":"8","publisher":"BioMed Central","title":"To divide or not to divide: revisiting liver regeneration.","type":"article-journal","volume":"8"},"uris":["http://www.mendeley.com/documents/?uuid=da870869-2ae4-3a88-ab70-c5c0009886a0"]},{"id":"ITEM-2","itemData":{"DOI":"10.1053/j.gastro.2009.05.044","ISSN":"00165085","PMID":"19470389","abstract":"One of the defining features of the liver is the capacity to maintain a constant size despite injury. Although the precise molecular signals involved in the maintenance of liver size are not completely known, it is clear that the liver delicately balances regeneration with overgrowth. Mammals, for example, can survive surgical removal of up to 75% of the total liver mass. Within 1 week after liver resection, the total number of liver cells is restored. Moreover, liver overgrowth can be induced by a variety of signals, including hepatocyte growth factor or peroxisome proliferators; the liver quickly returns to its normal size when the proliferative signal is removed. The extent to which liver stem cells mediate liver regeneration has been hotly debated. One of the primary reasons for this controversy is the use of multiple definitions for the hepatic stem cell. Definitions for the liver stem cell include the following: (1) cells responsible for normal tissue turnover, (2) cells that give rise to regeneration after partial hepatectomy, (3) cells responsible for progenitor-dependent regeneration, (4) cells that produce hepatocyte and bile duct epithelial phenotypes in vitro, and (5) transplantable liver-repopulating cells. This review will consider liver stem cells in the context of each definition. © 2009 AGA Institute.","author":[{"dropping-particle":"","family":"Duncan","given":"Andrew W.","non-dropping-particle":"","parse-names":false,"suffix":""},{"dropping-particle":"","family":"Dorrell","given":"Craig","non-dropping-particle":"","parse-names":false,"suffix":""},{"dropping-particle":"","family":"Grompe","given":"Markus","non-dropping-particle":"","parse-names":false,"suffix":""}],"container-title":"Gastroenterology","id":"ITEM-2","issue":"2","issued":{"date-parts":[["2009","8"]]},"page":"466-481","publisher":"W.B. Saunders","title":"Stem Cells and Liver Regeneration","type":"article-journal","volume":"137"},"uris":["http://www.mendeley.com/documents/?uuid=a87ed89c-eede-3ceb-b13d-87347ca46a0f"]},{"id":"ITEM-3","itemData":{"DOI":"10.1002/jcp.21172","ISSN":"00219541","PMID":"17559071","abstract":"Liver regeneration after partial hepatectomy is a very complex and well-orchestrated phenomenon. It is carried out by the participation of all mature liver cell types. The process is associated with signaling cascades involving growth factors, cytokines, matrix remodeling, and several feedbacks of stimulation and inhibition of growth related signals. Liver manages to restore any lost mass and adjust its size to that of the organism, while at the same time providing full support for body homeostasis during the entire regenerative process. In situations when hepatocytes or biliary cells are blocked from regeneration, these cell types can function as facultative stem cells for each other.","author":[{"dropping-particle":"","family":"Michalopoulos","given":"George K.","non-dropping-particle":"","parse-names":false,"suffix":""}],"container-title":"Journal of Cellular Physiology","id":"ITEM-3","issue":"2","issued":{"date-parts":[["2007","11","1"]]},"page":"286-300","publisher":"John Wiley &amp; Sons, Ltd","title":"Liver regeneration","type":"article-journal","volume":"213"},"uris":["http://www.mendeley.com/documents/?uuid=ee25fe1b-0849-4444-9968-379389d6c289"]}],"mendeley":{"formattedCitation":"&lt;sup&gt;[13–15]&lt;/sup&gt;","plainTextFormattedCitation":"[13–15]","previouslyFormattedCitation":"&lt;sup&gt;[13–15]&lt;/sup&gt;"},"properties":{"noteIndex":0},"schema":"https://github.com/citation-style-language/schema/raw/master/csl-citation.json"}</w:instrText>
      </w:r>
      <w:r w:rsidR="006A41F4" w:rsidRPr="00CA4C0B">
        <w:rPr>
          <w:rStyle w:val="None"/>
          <w:rFonts w:ascii="Book Antiqua" w:hAnsi="Book Antiqua"/>
          <w:color w:val="auto"/>
          <w:spacing w:val="-1"/>
          <w:sz w:val="24"/>
          <w:szCs w:val="24"/>
        </w:rPr>
        <w:fldChar w:fldCharType="separate"/>
      </w:r>
      <w:r w:rsidR="006A41F4" w:rsidRPr="00CA4C0B">
        <w:rPr>
          <w:rStyle w:val="None"/>
          <w:rFonts w:ascii="Book Antiqua" w:hAnsi="Book Antiqua"/>
          <w:noProof/>
          <w:color w:val="auto"/>
          <w:spacing w:val="-1"/>
          <w:sz w:val="24"/>
          <w:szCs w:val="24"/>
          <w:vertAlign w:val="superscript"/>
        </w:rPr>
        <w:t>[13</w:t>
      </w:r>
      <w:r w:rsidR="005120E9">
        <w:rPr>
          <w:rStyle w:val="None"/>
          <w:rFonts w:ascii="Book Antiqua" w:hAnsi="Book Antiqua"/>
          <w:noProof/>
          <w:color w:val="auto"/>
          <w:spacing w:val="-1"/>
          <w:sz w:val="24"/>
          <w:szCs w:val="24"/>
          <w:vertAlign w:val="superscript"/>
        </w:rPr>
        <w:t>-</w:t>
      </w:r>
      <w:r w:rsidR="006A41F4" w:rsidRPr="00CA4C0B">
        <w:rPr>
          <w:rStyle w:val="None"/>
          <w:rFonts w:ascii="Book Antiqua" w:hAnsi="Book Antiqua"/>
          <w:noProof/>
          <w:color w:val="auto"/>
          <w:spacing w:val="-1"/>
          <w:sz w:val="24"/>
          <w:szCs w:val="24"/>
          <w:vertAlign w:val="superscript"/>
        </w:rPr>
        <w:t>15]</w:t>
      </w:r>
      <w:r w:rsidR="006A41F4" w:rsidRPr="00CA4C0B">
        <w:rPr>
          <w:rStyle w:val="None"/>
          <w:rFonts w:ascii="Book Antiqua" w:hAnsi="Book Antiqua"/>
          <w:color w:val="auto"/>
          <w:spacing w:val="-1"/>
          <w:sz w:val="24"/>
          <w:szCs w:val="24"/>
        </w:rPr>
        <w:fldChar w:fldCharType="end"/>
      </w:r>
      <w:r w:rsidRPr="00CA4C0B">
        <w:rPr>
          <w:rStyle w:val="None"/>
          <w:rFonts w:ascii="Book Antiqua" w:hAnsi="Book Antiqua"/>
          <w:color w:val="auto"/>
          <w:spacing w:val="-1"/>
          <w:sz w:val="24"/>
          <w:szCs w:val="24"/>
        </w:rPr>
        <w:t>.</w:t>
      </w:r>
    </w:p>
    <w:p w14:paraId="64A58BD9" w14:textId="2AC2F2F8" w:rsidR="004313EE" w:rsidRPr="00CA4C0B" w:rsidRDefault="00CE6644" w:rsidP="007F2CA0">
      <w:pPr>
        <w:pStyle w:val="a4"/>
        <w:snapToGrid w:val="0"/>
        <w:spacing w:line="360" w:lineRule="auto"/>
        <w:ind w:right="115" w:firstLineChars="100" w:firstLine="239"/>
        <w:jc w:val="both"/>
        <w:rPr>
          <w:rStyle w:val="None"/>
          <w:rFonts w:ascii="Book Antiqua" w:eastAsia="Times New Roman" w:hAnsi="Book Antiqua" w:cs="Times New Roman"/>
          <w:color w:val="auto"/>
          <w:spacing w:val="-1"/>
          <w:sz w:val="24"/>
          <w:szCs w:val="24"/>
        </w:rPr>
      </w:pPr>
      <w:r w:rsidRPr="00CA4C0B">
        <w:rPr>
          <w:rStyle w:val="None"/>
          <w:rFonts w:ascii="Book Antiqua" w:hAnsi="Book Antiqua"/>
          <w:color w:val="auto"/>
          <w:spacing w:val="-1"/>
          <w:sz w:val="24"/>
          <w:szCs w:val="24"/>
        </w:rPr>
        <w:t>While studying the phenomenon of post-resection liver regeneration, r</w:t>
      </w:r>
      <w:r w:rsidRPr="00CA4C0B">
        <w:rPr>
          <w:rStyle w:val="None"/>
          <w:rFonts w:ascii="Book Antiqua" w:hAnsi="Book Antiqua"/>
          <w:color w:val="auto"/>
          <w:spacing w:val="-1"/>
          <w:sz w:val="24"/>
          <w:szCs w:val="24"/>
        </w:rPr>
        <w:t>e</w:t>
      </w:r>
      <w:r w:rsidRPr="00CA4C0B">
        <w:rPr>
          <w:rStyle w:val="None"/>
          <w:rFonts w:ascii="Book Antiqua" w:hAnsi="Book Antiqua"/>
          <w:color w:val="auto"/>
          <w:spacing w:val="-1"/>
          <w:sz w:val="24"/>
          <w:szCs w:val="24"/>
        </w:rPr>
        <w:t>searching the stimuli (triggers) inducing liver regeneration</w:t>
      </w:r>
      <w:r w:rsidR="00A378BB" w:rsidRPr="00CA4C0B">
        <w:rPr>
          <w:rStyle w:val="None"/>
          <w:rFonts w:ascii="Book Antiqua" w:hAnsi="Book Antiqua"/>
          <w:color w:val="auto"/>
          <w:spacing w:val="-1"/>
          <w:sz w:val="24"/>
          <w:szCs w:val="24"/>
        </w:rPr>
        <w:fldChar w:fldCharType="begin" w:fldLock="1"/>
      </w:r>
      <w:r w:rsidR="00A378BB" w:rsidRPr="00CA4C0B">
        <w:rPr>
          <w:rStyle w:val="None"/>
          <w:rFonts w:ascii="Book Antiqua" w:hAnsi="Book Antiqua"/>
          <w:color w:val="auto"/>
          <w:spacing w:val="-1"/>
          <w:sz w:val="24"/>
          <w:szCs w:val="24"/>
        </w:rPr>
        <w:instrText>ADDIN CSL_CITATION {"citationItems":[{"id":"ITEM-1","itemData":{"DOI":"10.1002/hep.28988","ISSN":"1527-3350","PMID":"27997988","abstract":"In contrast to all other organs, liver-to-body-weight ratio needs to be maintained always at 100% of what is required for body homeostasis. Adjustment of liver size to 100% of what is required for homeostasis has been called \"hepatostat.\" Removal of a portion of any other organ is followed with local regeneration of a limited degree, but it never attempts to reach 100% of the original size. The complex mechanisms involved in this uniquely hepatic process encompass a variety of regenerative pathways that are specific to different types of injury. The most studied form of liver regeneration (LR) is that occurring after loss of hepatocytes in a single acute injury, such as rodent LR after two-thirds partial hepatectomy or administration of damaging chemicals (CCl4 , acetaminophen, etc.). Alternative regenerative pathways become activated when normal regeneration is thwarted and trigger the appearance of \"progenitor\" cells. Chronic loss of hepatocytes is associated with regenerative efforts characterized by continual hepatocyte proliferation and often has adverse consequences (development of cirrhosis or liver cancer). Even though a very few hepatocytes proliferate at any given time in normal liver, the mechanisms involved in the maintenance of liver weight by this slow process in the absence of liver injury are not as well understood. (Hepatology 2017;65:1384-1392).","author":[{"dropping-particle":"","family":"Michalopoulos","given":"George K.","non-dropping-particle":"","parse-names":false,"suffix":""}],"container-title":"Hepatology (Baltimore, Md.)","id":"ITEM-1","issue":"4","issued":{"date-parts":[["2017","4","1"]]},"page":"1384-1392","publisher":"John Wiley and Sons Inc.","title":"Hepatostat: Liver regeneration and normal liver tissue maintenance.","type":"article-journal","volume":"65"},"uris":["http://www.mendeley.com/documents/?uuid=f6fb74f0-df9f-3382-8ffc-174a8de6f3eb"]},{"id":"ITEM-2","itemData":{"DOI":"10.1002/wdev.340","ISSN":"1759-7692","PMID":"30924280","abstract":"Tissue regeneration is a process by which the remaining cells of an injured organ regrow to offset the missed cells. This field is relatively a new discipline that has been a focus of intense research by clinicians, surgeons, and scientists for decades. It constitutes the cornerstone of tissue engineering, creation of artificial organs, and generation and utilization of therapeutic stem cells to undergo transformation to different types of mature cells. Many medical experts, scientists, biologists, and bioengineers have dedicated their efforts to deeply comprehend the process of liver regeneration, striving for harnessing it to invent new therapies for liver failure. Liver regeneration after partial hepatectomy in rodents has been extensively studied by researchers for many years. It is divided into three important distinctive phases including (a) Initiation or priming phase which includes an overexpression of specific genes to prepare the liver cells for replication, (b) Proliferation phase in which the liver cells undergo a series of cycles of cell division and expansion and finally, (c) termination phase which acts as brake to stop the regenerative process and prevent the liver tissue overgrowth. These events are well controlled by cytokines, growth factors, and signaling pathways. In this review, we describe the function, embryology, and anatomy of human liver, discuss the molecular basis of liver regeneration, elucidate the hepatocyte and cholangiocyte lineages mediating this process, explain the role of hepatic progenitor cells and elaborate the developmental signaling pathways and regulatory molecules required to procure a complete restoration of hepatic lobule. This article is categorized under: Adult Stem Cells, Tissue Renewal, and Regeneration &gt; Regeneration Signaling Pathways &gt; Global Signaling Mechanisms Gene Expression and Transcriptional Hierarchies &gt; Cellular Differentiation.","author":[{"dropping-particle":"","family":"Abu Rmilah","given":"Anan","non-dropping-particle":"","parse-names":false,"suffix":""},{"dropping-particle":"","family":"Zhou","given":"Wei","non-dropping-particle":"","parse-names":false,"suffix":""},{"dropping-particle":"","family":"Nelson","given":"Erek","non-dropping-particle":"","parse-names":false,"suffix":""},{"dropping-particle":"","family":"Lin","given":"Li","non-dropping-particle":"","parse-names":false,"suffix":""},{"dropping-particle":"","family":"Amiot","given":"Bruce","non-dropping-particle":"","parse-names":false,"suffix":""},{"dropping-particle":"","family":"Nyberg","given":"Scott L","non-dropping-particle":"","parse-names":false,"suffix":""}],"container-title":"Wiley interdisciplinary reviews. Developmental biology","id":"ITEM-2","issue":"3","issued":{"date-parts":[["2019","5","1"]]},"page":"e340","publisher":"John Wiley and Sons Inc.","title":"Understanding the marvels behind liver regeneration.","type":"article-journal","volume":"8"},"uris":["http://www.mendeley.com/documents/?uuid=ed43af0f-4c96-3345-87ec-a3ba27b44287"]},{"id":"ITEM-3","itemData":{"DOI":"10.1155/2017/4256352","ISSN":"0962-9351","PMID":"28947857","abstract":"Liver regeneration is a highly organized tissue regrowth process and is the most important reaction of the liver to injury. The overall process of liver regeneration includes three phases: priming stage, proliferative phase, and termination phase. The initial step aims to induce hepatocytes to be sensitive to growth factors with the aid of some cytokines, including TNF- α and IL-6. The proliferation phase promotes hepatocytes to re-enter G1 with the stimulation of growth factors. While during the termination stage, hepatocytes will discontinue to proliferate to maintain normal liver mass and function. Except for cytokine- and growth factor-mediated pathways involved in regulating liver regeneration, new substances and technologies emerge to influence the regenerative process. Here, we reviewed novel and important signaling molecules involved in the process of liver regeneration to provide a cue for further research.","author":[{"dropping-particle":"","family":"Tao","given":"Yachao","non-dropping-particle":"","parse-names":false,"suffix":""},{"dropping-particle":"","family":"Wang","given":"Menglan","non-dropping-particle":"","parse-names":false,"suffix":""},{"dropping-particle":"","family":"Chen","given":"Enqiang","non-dropping-particle":"","parse-names":false,"suffix":""},{"dropping-particle":"","family":"Tang","given":"Hong","non-dropping-particle":"","parse-names":false,"suffix":""}],"container-title":"Mediators of Inflammation","id":"ITEM-3","issued":{"date-parts":[["2017"]]},"page":"1-9","title":"Liver Regeneration: Analysis of the Main Relevant Signaling Molecules","type":"article-journal","volume":"2017"},"uris":["http://www.mendeley.com/documents/?uuid=0ce8762f-a1ca-4863-85c7-05e4ae2adc52"]}],"mendeley":{"formattedCitation":"&lt;sup&gt;[6,7,16]&lt;/sup&gt;","plainTextFormattedCitation":"[6,7,16]","previouslyFormattedCitation":"&lt;sup&gt;[6,7,16]&lt;/sup&gt;"},"properties":{"noteIndex":0},"schema":"https://github.com/citation-style-language/schema/raw/master/csl-citation.json"}</w:instrText>
      </w:r>
      <w:r w:rsidR="00A378BB" w:rsidRPr="00CA4C0B">
        <w:rPr>
          <w:rStyle w:val="None"/>
          <w:rFonts w:ascii="Book Antiqua" w:hAnsi="Book Antiqua"/>
          <w:color w:val="auto"/>
          <w:spacing w:val="-1"/>
          <w:sz w:val="24"/>
          <w:szCs w:val="24"/>
        </w:rPr>
        <w:fldChar w:fldCharType="separate"/>
      </w:r>
      <w:r w:rsidR="00A378BB" w:rsidRPr="00CA4C0B">
        <w:rPr>
          <w:rStyle w:val="None"/>
          <w:rFonts w:ascii="Book Antiqua" w:hAnsi="Book Antiqua"/>
          <w:noProof/>
          <w:color w:val="auto"/>
          <w:spacing w:val="-1"/>
          <w:sz w:val="24"/>
          <w:szCs w:val="24"/>
          <w:vertAlign w:val="superscript"/>
        </w:rPr>
        <w:t>[6,7,16]</w:t>
      </w:r>
      <w:r w:rsidR="00A378BB" w:rsidRPr="00CA4C0B">
        <w:rPr>
          <w:rStyle w:val="None"/>
          <w:rFonts w:ascii="Book Antiqua" w:hAnsi="Book Antiqua"/>
          <w:color w:val="auto"/>
          <w:spacing w:val="-1"/>
          <w:sz w:val="24"/>
          <w:szCs w:val="24"/>
        </w:rPr>
        <w:fldChar w:fldCharType="end"/>
      </w:r>
      <w:r w:rsidRPr="00CA4C0B">
        <w:rPr>
          <w:rStyle w:val="None"/>
          <w:rFonts w:ascii="Book Antiqua" w:hAnsi="Book Antiqua"/>
          <w:color w:val="auto"/>
          <w:spacing w:val="-1"/>
          <w:sz w:val="24"/>
          <w:szCs w:val="24"/>
        </w:rPr>
        <w:t xml:space="preserve"> on the one hand, and studying its termination mechanisms after restoring the liver mass is of key importance</w:t>
      </w:r>
      <w:r w:rsidR="00A378BB" w:rsidRPr="00CA4C0B">
        <w:rPr>
          <w:rStyle w:val="None"/>
          <w:rFonts w:ascii="Book Antiqua" w:hAnsi="Book Antiqua"/>
          <w:color w:val="auto"/>
          <w:spacing w:val="-1"/>
          <w:sz w:val="24"/>
          <w:szCs w:val="24"/>
        </w:rPr>
        <w:fldChar w:fldCharType="begin" w:fldLock="1"/>
      </w:r>
      <w:r w:rsidR="00A378BB" w:rsidRPr="00CA4C0B">
        <w:rPr>
          <w:rStyle w:val="None"/>
          <w:rFonts w:ascii="Book Antiqua" w:hAnsi="Book Antiqua"/>
          <w:color w:val="auto"/>
          <w:spacing w:val="-1"/>
          <w:sz w:val="24"/>
          <w:szCs w:val="24"/>
        </w:rPr>
        <w:instrText>ADDIN CSL_CITATION {"citationItems":[{"id":"ITEM-1","itemData":{"DOI":"10.1016/s0142-9612(03)00508-8","ISSN":"0142-9612","PMID":"14697862","abstract":"Owing to its powers of regeneration, the liver is capable of in vivo \"tissue engineering\" which enables complete restoration of liver architecture and re-establishment of the specific functions of the liver after various types of liver injury. Our current understanding of liver regeneration forms the basis of modern liver surgery and is now taken into consideration in the treatment of many liver diseases, in liver transplantation and hepatic tissue engineering. These advances have been achieved primarily by studies of liver regeneration in animal models after partial hepatectomy, attention being focused on the general mechanisms of cell proliferation. In recent years, however, toxin-induced models of liver regeneration have assumed growing importance, and by studying the interaction between cell damage and cell regeneration have made possible an investigation of liver regeneration of greater clinical relevance. However, the mechanisms of liver regeneration in patients with pre-existing chronic liver damage such as liver cirrhosis are still largely unexplored. This review examines and critically appraises the various approaches to the study of liver regeneration in animal models, including both surgical and pharmacological approaches.","author":[{"dropping-particle":"","family":"Palmes","given":"Daniel","non-dropping-particle":"","parse-names":false,"suffix":""},{"dropping-particle":"","family":"Spiegel","given":"Hans-Ullrich","non-dropping-particle":"","parse-names":false,"suffix":""}],"container-title":"Biomaterials","id":"ITEM-1","issue":"9","issued":{"date-parts":[["2004","4"]]},"page":"1601-11","title":"Animal models of liver regeneration.","type":"article-journal","volume":"25"},"uris":["http://www.mendeley.com/documents/?uuid=170f1fae-3e80-3ecd-a47a-6f8c8d4af075"]},{"id":"ITEM-2","itemData":{"DOI":"10.1155/2017/4256352","ISSN":"0962-9351","PMID":"28947857","abstract":"Liver regeneration is a highly organized tissue regrowth process and is the most important reaction of the liver to injury. The overall process of liver regeneration includes three phases: priming stage, proliferative phase, and termination phase. The initial step aims to induce hepatocytes to be sensitive to growth factors with the aid of some cytokines, including TNF- α and IL-6. The proliferation phase promotes hepatocytes to re-enter G1 with the stimulation of growth factors. While during the termination stage, hepatocytes will discontinue to proliferate to maintain normal liver mass and function. Except for cytokine- and growth factor-mediated pathways involved in regulating liver regeneration, new substances and technologies emerge to influence the regenerative process. Here, we reviewed novel and important signaling molecules involved in the process of liver regeneration to provide a cue for further research.","author":[{"dropping-particle":"","family":"Tao","given":"Yachao","non-dropping-particle":"","parse-names":false,"suffix":""},{"dropping-particle":"","family":"Wang","given":"Menglan","non-dropping-particle":"","parse-names":false,"suffix":""},{"dropping-particle":"","family":"Chen","given":"Enqiang","non-dropping-particle":"","parse-names":false,"suffix":""},{"dropping-particle":"","family":"Tang","given":"Hong","non-dropping-particle":"","parse-names":false,"suffix":""}],"container-title":"Mediators of Inflammation","id":"ITEM-2","issued":{"date-parts":[["2017"]]},"page":"1-9","title":"Liver Regeneration: Analysis of the Main Relevant Signaling Molecules","type":"article-journal","volume":"2017"},"uris":["http://www.mendeley.com/documents/?uuid=0ce8762f-a1ca-4863-85c7-05e4ae2adc52"]},{"id":"ITEM-3","itemData":{"DOI":"10.3390/cells1041261","ISSN":"2073-4409","PMID":"24710554","abstract":"Liver regeneration is a complex phenomenon aimed at maintaining a constant liver mass in the event of injury resulting in loss of hepatic parenchyma. Partial hepatectomy is followed by a series of events involving multiple signaling pathways controlled by mitogenic growth factors (HGF, EGF) and their receptors (MET and EGFR). In addition multiple cytokines and other signaling molecules contribute to the orchestration of a signal which drives hepatocytes into DNA synthesis. The other cell types of the liver receive and transmit to hepatocytes complex signals so that, in the end of the regenerative process, complete hepatic tissue is assembled and regeneration is terminated at the proper time and at the right liver size. If hepatocytes fail to participate in this process, the biliary compartment is mobilized to generate populations of progenitor cells which transdifferentiate into hepatocytes and restore liver size.","author":[{"dropping-particle":"","family":"Kang","given":"Liang-I.","non-dropping-particle":"","parse-names":false,"suffix":""},{"dropping-particle":"","family":"Mars","given":"Wendy","non-dropping-particle":"","parse-names":false,"suffix":""},{"dropping-particle":"","family":"Michalopoulos","given":"George","non-dropping-particle":"","parse-names":false,"suffix":""}],"container-title":"Cells","id":"ITEM-3","issue":"4","issued":{"date-parts":[["2012","12","13"]]},"page":"1261-1292","title":"Signals and Cells Involved in Regulating Liver Regeneration","type":"article-journal","volume":"1"},"uris":["http://www.mendeley.com/documents/?uuid=3be6f5d0-1ce1-4dd4-b19f-58dc71188712"]},{"id":"ITEM-4","itemData":{"DOI":"10.1002/hep.20156","ISSN":"02709139","PMID":"15057910","abstract":"The Notch/Jagged signaling pathway is important for cellular differentiation and proliferation. Its dysfunction is associated with human pathologies in several tissues including liver. Point mutations in Jagged-1 gene are the cause for Alagille syndrome, associated with paucity of intrahepatic bile ducts. To determine the putative role of the trans-membrane receptor Notch and its ligand Jagged-1 in liver regeneration, we investigated the expression of Notch and Jagged-1 in rat liver following 2/3 partial hepatectomy. Immunohistochemical staining of normal rat liver showed that Notch was expressed in hepatocytes, bile duct cells and endothelial cells, whereas Jagged-1 was expressed in bile duct cells and hepatocytes. Both Notch-1 and Jagged-1 proteins were upregulated in hepatocytes after partial hepatectomy up to day 4. After partial hepatectomy, nuclear translocation of the intracellular cytoplasmic domain of Notch (NICD) increased and pealced within 15 minutes, indicating the activation of Notch. Expression of the Notch-dependent target gene (HES-1) expression increased within 30-60 minutes. Addition of recombinant Jagged-1 protein to primary cultures of hepatocytes stimulated hepatocyte DNA synthesis. Furthermore, injection of silencing RNA for Notch and Jagged-1 to livers 2 days before partial hepatectomy significantly suppressed proliferation of hepatocytes at days 2 to 4 of the regenerative response. In conclusion, Notch/Jagged signaling pathway is activated during liver regeneration and is potentially contributing to signals affecting cell growth and differentiation.","author":[{"dropping-particle":"","family":"Köhler","given":"Christoph","non-dropping-particle":"","parse-names":false,"suffix":""},{"dropping-particle":"","family":"Bell","given":"Aaron W.","non-dropping-particle":"","parse-names":false,"suffix":""},{"dropping-particle":"","family":"Bowen","given":"William C.","non-dropping-particle":"","parse-names":false,"suffix":""},{"dropping-particle":"","family":"Monga","given":"Satdarshan P.","non-dropping-particle":"","parse-names":false,"suffix":""},{"dropping-particle":"","family":"Fleig","given":"Wolfgang","non-dropping-particle":"","parse-names":false,"suffix":""},{"dropping-particle":"","family":"Michalopoulos","given":"George K.","non-dropping-particle":"","parse-names":false,"suffix":""}],"container-title":"Hepatology","id":"ITEM-4","issue":"4","issued":{"date-parts":[["2004","3","25"]]},"page":"1056-1065","title":"Expression of Notch-1 and its Ligand Jagged-1 in Rat Liver during Liver Regeneration","type":"article-journal","volume":"39"},"uris":["http://www.mendeley.com/documents/?uuid=ffb8bcb0-7b04-4d9f-86ad-21009a86b58f"]},{"id":"ITEM-5","itemData":{"DOI":"10.1002/hep.30405","ISSN":"02709139","PMID":"30520062","abstract":"Hepatocyte nuclear factor 4 alpha (HNF4α) is critical for hepatic differentiation. Recent studies have highlighted its role in inhibition of hepatocyte proliferation and tumor suppression. However, the role of HNF4α in liver regeneration (LR) is not known. We hypothesized that hepatocytes modulate HNF4α activity when navigating between differentiated and proliferative states during LR. Western blotting analysis revealed a rapid decline in nuclear and cytoplasmic HNF4α protein levels, accompanied with decreased target gene expression, within 1 hour after two-thirds partial hepatectomy (post-PH) in C57BL/6J mice. HNF4α protein expression did not recover to pre-PH levels until day 3. Hepatocyte-specific deletion of HNF4α (HNF4α-KO [knockout]) in mice resulted in 100% mortality post-PH, despite increased proliferative marker expression throughout regeneration. Sustained loss of HNF4α target gene expression throughout regeneration indicated that HNF4α-KO mice were unable to compensate for loss of HNF4α transcriptional activity. Deletion of HNF4α resulted in sustained proliferation accompanied by c-Myc and cyclin D1 overexpression and a complete deficiency of hepatocyte function after PH. Interestingly, overexpression of degradation-resistant HNF4α in hepatocytes delayed, but did not prevent, initiation of regeneration after PH. Finally, adeno-associated virus serotype 8 (AAV8)-mediated reexpression of HNF4α in hepatocytes of HNF4α-KO mice post-PH restored HNF4α protein levels, induced target gene expression, and improved survival of HNF4α-KO mice post-PH. Conclusion: In conclusion, these data indicate that HNF4α reexpression following initial decrease is critical for hepatocytes to exit from cell cycle and resume function during the termination phase of LR. These results indicate the role of HNF4α in LR and have implications for therapy of liver failure.","author":[{"dropping-particle":"","family":"Huck","given":"Ian","non-dropping-particle":"","parse-names":false,"suffix":""},{"dropping-particle":"","family":"Gunewardena","given":"Sumedha","non-dropping-particle":"","parse-names":false,"suffix":""},{"dropping-particle":"","family":"Espanol-Suner","given":"Regina","non-dropping-particle":"","parse-names":false,"suffix":""},{"dropping-particle":"","family":"Willenbring","given":"Holger","non-dropping-particle":"","parse-names":false,"suffix":""},{"dropping-particle":"","family":"Apte","given":"Udayan","non-dropping-particle":"","parse-names":false,"suffix":""}],"container-title":"Hepatology","id":"ITEM-5","issue":"2","issued":{"date-parts":[["2019","8"]]},"page":"666-681","title":"Hepatocyte Nuclear Factor 4 Alpha Activation Is Essential for Termination of Liver Regeneration in Mice","type":"article-journal","volume":"70"},"uris":["http://www.mendeley.com/documents/?uuid=b7831e76-35cf-4e33-a701-1aec7f9b1bc7"]}],"mendeley":{"formattedCitation":"&lt;sup&gt;[12,16–19]&lt;/sup&gt;","plainTextFormattedCitation":"[12,16–19]","previouslyFormattedCitation":"&lt;sup&gt;[12,16–19]&lt;/sup&gt;"},"properties":{"noteIndex":0},"schema":"https://github.com/citation-style-language/schema/raw/master/csl-citation.json"}</w:instrText>
      </w:r>
      <w:r w:rsidR="00A378BB" w:rsidRPr="00CA4C0B">
        <w:rPr>
          <w:rStyle w:val="None"/>
          <w:rFonts w:ascii="Book Antiqua" w:hAnsi="Book Antiqua"/>
          <w:color w:val="auto"/>
          <w:spacing w:val="-1"/>
          <w:sz w:val="24"/>
          <w:szCs w:val="24"/>
        </w:rPr>
        <w:fldChar w:fldCharType="separate"/>
      </w:r>
      <w:r w:rsidR="00A378BB" w:rsidRPr="00CA4C0B">
        <w:rPr>
          <w:rStyle w:val="None"/>
          <w:rFonts w:ascii="Book Antiqua" w:hAnsi="Book Antiqua"/>
          <w:noProof/>
          <w:color w:val="auto"/>
          <w:spacing w:val="-1"/>
          <w:sz w:val="24"/>
          <w:szCs w:val="24"/>
          <w:vertAlign w:val="superscript"/>
        </w:rPr>
        <w:t>[12,16</w:t>
      </w:r>
      <w:r w:rsidR="005120E9">
        <w:rPr>
          <w:rStyle w:val="None"/>
          <w:rFonts w:ascii="Book Antiqua" w:hAnsi="Book Antiqua"/>
          <w:noProof/>
          <w:color w:val="auto"/>
          <w:spacing w:val="-1"/>
          <w:sz w:val="24"/>
          <w:szCs w:val="24"/>
          <w:vertAlign w:val="superscript"/>
        </w:rPr>
        <w:t>-</w:t>
      </w:r>
      <w:r w:rsidR="00A378BB" w:rsidRPr="00CA4C0B">
        <w:rPr>
          <w:rStyle w:val="None"/>
          <w:rFonts w:ascii="Book Antiqua" w:hAnsi="Book Antiqua"/>
          <w:noProof/>
          <w:color w:val="auto"/>
          <w:spacing w:val="-1"/>
          <w:sz w:val="24"/>
          <w:szCs w:val="24"/>
          <w:vertAlign w:val="superscript"/>
        </w:rPr>
        <w:t>19]</w:t>
      </w:r>
      <w:r w:rsidR="00A378BB" w:rsidRPr="00CA4C0B">
        <w:rPr>
          <w:rStyle w:val="None"/>
          <w:rFonts w:ascii="Book Antiqua" w:hAnsi="Book Antiqua"/>
          <w:color w:val="auto"/>
          <w:spacing w:val="-1"/>
          <w:sz w:val="24"/>
          <w:szCs w:val="24"/>
        </w:rPr>
        <w:fldChar w:fldCharType="end"/>
      </w:r>
      <w:r w:rsidR="008B30F8" w:rsidRPr="00CA4C0B">
        <w:rPr>
          <w:rStyle w:val="None"/>
          <w:rFonts w:ascii="Book Antiqua" w:hAnsi="Book Antiqua"/>
          <w:color w:val="auto"/>
          <w:spacing w:val="-1"/>
          <w:sz w:val="24"/>
          <w:szCs w:val="24"/>
        </w:rPr>
        <w:t xml:space="preserve">. </w:t>
      </w:r>
    </w:p>
    <w:p w14:paraId="3DF2EAEF" w14:textId="08E7ACB3" w:rsidR="004313EE" w:rsidRPr="00CA4C0B" w:rsidRDefault="00CE6644" w:rsidP="007F2CA0">
      <w:pPr>
        <w:pStyle w:val="a4"/>
        <w:tabs>
          <w:tab w:val="left" w:pos="6387"/>
        </w:tabs>
        <w:snapToGrid w:val="0"/>
        <w:spacing w:line="360" w:lineRule="auto"/>
        <w:ind w:right="115" w:firstLineChars="100" w:firstLine="239"/>
        <w:jc w:val="both"/>
        <w:rPr>
          <w:rStyle w:val="None"/>
          <w:rFonts w:ascii="Book Antiqua" w:eastAsia="Times New Roman" w:hAnsi="Book Antiqua" w:cs="Times New Roman"/>
          <w:color w:val="auto"/>
          <w:spacing w:val="36"/>
          <w:sz w:val="24"/>
          <w:szCs w:val="24"/>
        </w:rPr>
      </w:pPr>
      <w:r w:rsidRPr="00CA4C0B">
        <w:rPr>
          <w:rStyle w:val="None"/>
          <w:rFonts w:ascii="Book Antiqua" w:hAnsi="Book Antiqua"/>
          <w:color w:val="auto"/>
          <w:spacing w:val="-1"/>
          <w:sz w:val="24"/>
          <w:szCs w:val="24"/>
        </w:rPr>
        <w:t>As of today, it has been confirmed that the process of post-resection regener</w:t>
      </w:r>
      <w:r w:rsidRPr="00CA4C0B">
        <w:rPr>
          <w:rStyle w:val="None"/>
          <w:rFonts w:ascii="Book Antiqua" w:hAnsi="Book Antiqua"/>
          <w:color w:val="auto"/>
          <w:spacing w:val="-1"/>
          <w:sz w:val="24"/>
          <w:szCs w:val="24"/>
        </w:rPr>
        <w:t>a</w:t>
      </w:r>
      <w:r w:rsidRPr="00CA4C0B">
        <w:rPr>
          <w:rStyle w:val="None"/>
          <w:rFonts w:ascii="Book Antiqua" w:hAnsi="Book Antiqua"/>
          <w:color w:val="auto"/>
          <w:spacing w:val="-1"/>
          <w:sz w:val="24"/>
          <w:szCs w:val="24"/>
        </w:rPr>
        <w:t>tion of the liver and its termination upon restoring the mass, is based on a co</w:t>
      </w:r>
      <w:r w:rsidRPr="00CA4C0B">
        <w:rPr>
          <w:rStyle w:val="None"/>
          <w:rFonts w:ascii="Book Antiqua" w:hAnsi="Book Antiqua"/>
          <w:color w:val="auto"/>
          <w:spacing w:val="-1"/>
          <w:sz w:val="24"/>
          <w:szCs w:val="24"/>
        </w:rPr>
        <w:t>m</w:t>
      </w:r>
      <w:r w:rsidRPr="00CA4C0B">
        <w:rPr>
          <w:rStyle w:val="None"/>
          <w:rFonts w:ascii="Book Antiqua" w:hAnsi="Book Antiqua"/>
          <w:color w:val="auto"/>
          <w:spacing w:val="-1"/>
          <w:sz w:val="24"/>
          <w:szCs w:val="24"/>
        </w:rPr>
        <w:t>plex, interconnected and regulatory set of molecular, biological and biochemical mechanisms, trigger mechanisms of which are severe portal hypertension caused by sudden loss of significant functioning hepatic mass, and its leveling ability after the increase in the liver size</w:t>
      </w:r>
      <w:r w:rsidR="00A378BB" w:rsidRPr="00CA4C0B">
        <w:rPr>
          <w:rStyle w:val="None"/>
          <w:rFonts w:ascii="Book Antiqua" w:hAnsi="Book Antiqua"/>
          <w:color w:val="auto"/>
          <w:spacing w:val="-1"/>
          <w:sz w:val="24"/>
          <w:szCs w:val="24"/>
        </w:rPr>
        <w:fldChar w:fldCharType="begin" w:fldLock="1"/>
      </w:r>
      <w:r w:rsidR="00A378BB" w:rsidRPr="00CA4C0B">
        <w:rPr>
          <w:rStyle w:val="None"/>
          <w:rFonts w:ascii="Book Antiqua" w:hAnsi="Book Antiqua"/>
          <w:color w:val="auto"/>
          <w:spacing w:val="-1"/>
          <w:sz w:val="24"/>
          <w:szCs w:val="24"/>
        </w:rPr>
        <w:instrText>ADDIN CSL_CITATION {"citationItems":[{"id":"ITEM-1","itemData":{"DOI":"10.1002/jcp.26246","ISSN":"00219541","PMID":"29052842","abstract":"The role of fluid stresses in activating the hepatic stem/progenitor cell regenerative response is not well understood. This study hypothesized that immediate early genes (IEGs) with known links to liver regeneration will be upregulated in liver progenitor cells (LPCs) exposed to in vitro shear stresses on the order of those produced from elevated interstitial flow afte</w:instrText>
      </w:r>
      <w:r w:rsidR="00A378BB" w:rsidRPr="00CA4C0B">
        <w:rPr>
          <w:rStyle w:val="None"/>
          <w:rFonts w:ascii="Book Antiqua" w:hAnsi="Book Antiqua" w:hint="eastAsia"/>
          <w:color w:val="auto"/>
          <w:spacing w:val="-1"/>
          <w:sz w:val="24"/>
          <w:szCs w:val="24"/>
        </w:rPr>
        <w:instrText xml:space="preserve">r partial hepatectomy. The objectives were: (1) to develop a shear flow chamber for application of fluid stress to LPCs in 3D culture; and (2) to determine the effects of fluid stress on IEG expression in LPCs. Two hours of shear stress exposure at </w:instrText>
      </w:r>
      <w:r w:rsidR="00A378BB" w:rsidRPr="00CA4C0B">
        <w:rPr>
          <w:rStyle w:val="None"/>
          <w:rFonts w:ascii="Book Antiqua" w:hAnsi="Book Antiqua" w:hint="eastAsia"/>
          <w:color w:val="auto"/>
          <w:spacing w:val="-1"/>
          <w:sz w:val="24"/>
          <w:szCs w:val="24"/>
        </w:rPr>
        <w:instrText>∼</w:instrText>
      </w:r>
      <w:r w:rsidR="00A378BB" w:rsidRPr="00CA4C0B">
        <w:rPr>
          <w:rStyle w:val="None"/>
          <w:rFonts w:ascii="Book Antiqua" w:hAnsi="Book Antiqua" w:hint="eastAsia"/>
          <w:color w:val="auto"/>
          <w:spacing w:val="-1"/>
          <w:sz w:val="24"/>
          <w:szCs w:val="24"/>
        </w:rPr>
        <w:instrText>4 dyn</w:instrText>
      </w:r>
      <w:r w:rsidR="00A378BB" w:rsidRPr="00CA4C0B">
        <w:rPr>
          <w:rStyle w:val="None"/>
          <w:rFonts w:ascii="Book Antiqua" w:hAnsi="Book Antiqua"/>
          <w:color w:val="auto"/>
          <w:spacing w:val="-1"/>
          <w:sz w:val="24"/>
          <w:szCs w:val="24"/>
        </w:rPr>
        <w:instrText>/cm2 was applied to LPCs embedded individually or as 3D spheroids within a hyaluronic acid/collagen I hydrogel. Results were compared against static controls. Quantitative reverse transcriptase polymerase chain reaction was used to evaluate the effect of experimental treatments on gene expression. Twenty-nine genes were analyzed, including IEGs and other genes linked to liver regeneration. Four IEGs (CFOS, IP10, MKP1, ALB) and three other regeneration-related genes (WNT, VEGF, EpCAM) were significantly upregulated in LPCs in response to fluid mechanical stress. LPCs maintained an early to intermediate stage of differentiation in spheroid culture in the absence of the hydrogel, and addition of the gel initiated cholangiocyte differentiation programs which were abrogated by the onset of flow. Collectively the flow-upregulated genes fit the pattern of an LPC-mediated proliferative/regenerative response. These results suggest that fluid stresses are potentially important regulators of the LPC-mediated regeneration response in liver.","author":[{"dropping-particle":"","family":"Nishii","given":"Kenichiro","non-dropping-particle":"","parse-names":false,"suffix":""},{"dropping-particle":"","family":"Brodin","given":"Erik","non-dropping-particle":"","parse-names":false,"suffix":""},{"dropping-particle":"","family":"Renshaw","given":"Taylor","non-dropping-particle":"","parse-names":false,"suffix":""},{"dropping-particle":"","family":"Weesner","given":"Rachael","non-dropping-particle":"","parse-names":false,"suffix":""},{"dropping-particle":"","family":"Moran","given":"Emma","non-dropping-particle":"","parse-names":false,"suffix":""},{"dropping-particle":"","family":"Soker","given":"Shay","non-dropping-particle":"","parse-names":false,"suffix":""},{"dropping-particle":"","family":"Sparks","given":"Jessica L.","non-dropping-particle":"","parse-names":false,"suffix":""}],"container-title":"Journal of Cellular Physiology","id":"ITEM-1","issue":"5","issued":{"date-parts":[["2018","5"]]},"page":"4272-4281","title":"Shear stress upregulates regeneration-related immediate early genes in liver progenitors in 3D ECM-like microenvironments","type":"article-journal","volume":"233"},"uris":["http://www.mendeley.com/documents/?uuid=e589e1d1-cc92-4c09-b235-278b6740de09"]}],"mendeley":{"formattedCitation":"&lt;sup&gt;[20]&lt;/sup&gt;","plainTextFormattedCitation":"[20]","previouslyFormattedCitation":"&lt;sup&gt;[20]&lt;/sup&gt;"},"properties":{"noteIndex":0},"schema":"https://github.com/citation-style-language/schema/raw/master/csl-citation.json"}</w:instrText>
      </w:r>
      <w:r w:rsidR="00A378BB" w:rsidRPr="00CA4C0B">
        <w:rPr>
          <w:rStyle w:val="None"/>
          <w:rFonts w:ascii="Book Antiqua" w:hAnsi="Book Antiqua"/>
          <w:color w:val="auto"/>
          <w:spacing w:val="-1"/>
          <w:sz w:val="24"/>
          <w:szCs w:val="24"/>
        </w:rPr>
        <w:fldChar w:fldCharType="separate"/>
      </w:r>
      <w:r w:rsidR="00A378BB" w:rsidRPr="00CA4C0B">
        <w:rPr>
          <w:rStyle w:val="None"/>
          <w:rFonts w:ascii="Book Antiqua" w:hAnsi="Book Antiqua"/>
          <w:noProof/>
          <w:color w:val="auto"/>
          <w:spacing w:val="-1"/>
          <w:sz w:val="24"/>
          <w:szCs w:val="24"/>
          <w:vertAlign w:val="superscript"/>
        </w:rPr>
        <w:t>[20]</w:t>
      </w:r>
      <w:r w:rsidR="00A378BB" w:rsidRPr="00CA4C0B">
        <w:rPr>
          <w:rStyle w:val="None"/>
          <w:rFonts w:ascii="Book Antiqua" w:hAnsi="Book Antiqua"/>
          <w:color w:val="auto"/>
          <w:spacing w:val="-1"/>
          <w:sz w:val="24"/>
          <w:szCs w:val="24"/>
        </w:rPr>
        <w:fldChar w:fldCharType="end"/>
      </w:r>
      <w:r w:rsidRPr="00CA4C0B">
        <w:rPr>
          <w:rStyle w:val="None"/>
          <w:rFonts w:ascii="Book Antiqua" w:hAnsi="Book Antiqua"/>
          <w:color w:val="auto"/>
          <w:spacing w:val="-1"/>
          <w:sz w:val="24"/>
          <w:szCs w:val="24"/>
        </w:rPr>
        <w:t>.</w:t>
      </w:r>
    </w:p>
    <w:p w14:paraId="2B2BAA44" w14:textId="3B10AD51" w:rsidR="004313EE" w:rsidRPr="00CA4C0B" w:rsidRDefault="00CE6644" w:rsidP="007F2CA0">
      <w:pPr>
        <w:pStyle w:val="a4"/>
        <w:tabs>
          <w:tab w:val="left" w:pos="6387"/>
        </w:tabs>
        <w:snapToGrid w:val="0"/>
        <w:spacing w:line="360" w:lineRule="auto"/>
        <w:ind w:right="115" w:firstLineChars="100" w:firstLine="239"/>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pacing w:val="-1"/>
          <w:sz w:val="24"/>
          <w:szCs w:val="24"/>
        </w:rPr>
        <w:t>Considering a plethora of papers dedicated to the study of liver regeneration, the fact that the structural side of the liver regeneration, following PH, is not studied is a paradox. In our previous paper reviewing the problems of liver r</w:t>
      </w:r>
      <w:r w:rsidRPr="00CA4C0B">
        <w:rPr>
          <w:rStyle w:val="None"/>
          <w:rFonts w:ascii="Book Antiqua" w:hAnsi="Book Antiqua"/>
          <w:color w:val="auto"/>
          <w:spacing w:val="-1"/>
          <w:sz w:val="24"/>
          <w:szCs w:val="24"/>
        </w:rPr>
        <w:t>e</w:t>
      </w:r>
      <w:r w:rsidRPr="00CA4C0B">
        <w:rPr>
          <w:rStyle w:val="None"/>
          <w:rFonts w:ascii="Book Antiqua" w:hAnsi="Book Antiqua"/>
          <w:color w:val="auto"/>
          <w:spacing w:val="-1"/>
          <w:sz w:val="24"/>
          <w:szCs w:val="24"/>
        </w:rPr>
        <w:t>generation we have mentioned that</w:t>
      </w:r>
      <w:r w:rsidRPr="00CA4C0B">
        <w:rPr>
          <w:rStyle w:val="None"/>
          <w:rFonts w:ascii="Book Antiqua" w:hAnsi="Book Antiqua"/>
          <w:color w:val="auto"/>
          <w:sz w:val="24"/>
          <w:szCs w:val="24"/>
        </w:rPr>
        <w:t xml:space="preserve"> the issues like "What is the </w:t>
      </w:r>
      <w:proofErr w:type="spellStart"/>
      <w:r w:rsidRPr="00CA4C0B">
        <w:rPr>
          <w:rStyle w:val="None"/>
          <w:rFonts w:ascii="Book Antiqua" w:hAnsi="Book Antiqua"/>
          <w:color w:val="auto"/>
          <w:sz w:val="24"/>
          <w:szCs w:val="24"/>
        </w:rPr>
        <w:t>triger</w:t>
      </w:r>
      <w:proofErr w:type="spellEnd"/>
      <w:r w:rsidRPr="00CA4C0B">
        <w:rPr>
          <w:rStyle w:val="None"/>
          <w:rFonts w:ascii="Book Antiqua" w:hAnsi="Book Antiqua"/>
          <w:color w:val="auto"/>
          <w:sz w:val="24"/>
          <w:szCs w:val="24"/>
        </w:rPr>
        <w:t xml:space="preserve">?" and "What is the mechanism?" are being actively investigated, while the issue </w:t>
      </w:r>
      <w:r w:rsidRPr="00CA4C0B">
        <w:rPr>
          <w:rStyle w:val="None"/>
          <w:rFonts w:ascii="Book Antiqua" w:hAnsi="Book Antiqua"/>
          <w:color w:val="auto"/>
          <w:sz w:val="24"/>
          <w:szCs w:val="24"/>
        </w:rPr>
        <w:lastRenderedPageBreak/>
        <w:t>"What kind of structural transformation is achieved ?" remains out-of-focus</w:t>
      </w:r>
      <w:r w:rsidR="00A378BB" w:rsidRPr="00CA4C0B">
        <w:rPr>
          <w:rStyle w:val="None"/>
          <w:rFonts w:ascii="Book Antiqua" w:hAnsi="Book Antiqua"/>
          <w:color w:val="auto"/>
          <w:sz w:val="24"/>
          <w:szCs w:val="24"/>
        </w:rPr>
        <w:fldChar w:fldCharType="begin" w:fldLock="1"/>
      </w:r>
      <w:r w:rsidR="00A378BB" w:rsidRPr="00CA4C0B">
        <w:rPr>
          <w:rStyle w:val="None"/>
          <w:rFonts w:ascii="Book Antiqua" w:hAnsi="Book Antiqua"/>
          <w:color w:val="auto"/>
          <w:sz w:val="24"/>
          <w:szCs w:val="24"/>
        </w:rPr>
        <w:instrText>ADDIN CSL_CITATION {"citationItems":[{"id":"ITEM-1","itemData":{"DOI":"10.29088/TCM-GMJ.2018.32","ISSN":"2346-8491","abstract":"Background : Liver resection has increased due to the increased number of liver pathologies and frequency of transplantation of the half of liver from living donor. New Surgical approaches allow removal of massive space-occupying hepatic tumors, which earlier was considered as inoperable. Liver regeneration after its resection is one of the most intensively studied processes. It’s a paradox, that in existence of such large number of studies regarding the mechanisms of liver regeneration, structural side of liver’s remnant growth following partial hepatectomy (PH) is practically less researched, and the questions - “How the structure and architectonics of regenerated liver differs from normal, regular liver? “ still waiting for answers. Method : We have reviewed the articles of the last two decades from Pubmed and Google Scholar medical databases containing in the advanced search engine “title/abstract” at least 2 keywords from the following: Liver regeneration, partial hepatectomy, living donor liver transplantation, liver histology, immunohistochemistry, stem cells. The additional articles were addressed in case of underlined contextual necessity. Conclusion : T o fill the gaps of our knowledge in the structural changes of liver regeneration after PH, it should be found out: What happens with liver lobules? Is enlargement of liver remnant after PH is caused by the development of new lobules or increase in the volume of existed ones? How do the branches of the tubular (vascular) structures “follow” liver’s growth – by “developing of new branches” or “extension/elongation” of old ones? What are the differences between architectonics of normal and regenerated liver? The existence of such questions proves the importance of further investigation of liver regeneration to fill the missing fragments of the complex mosaic of liver regeneration, without which it is impossible to imagine this process in whole.","author":[{"dropping-particle":"","family":"Tsomaia","given":"Keti","non-dropping-particle":"","parse-names":false,"suffix":""},{"dropping-particle":"","family":"Inauri","given":"Nino","non-dropping-particle":"","parse-names":false,"suffix":""},{"dropping-particle":"","family":"Patarashvili","given":"Leila","non-dropping-particle":"","parse-names":false,"suffix":""},{"dropping-particle":"","family":"Karumidze","given":"Nino","non-dropping-particle":"","parse-names":false,"suffix":""},{"dropping-particle":"","family":"Azmaipharashvili","given":"Elza","non-dropping-particle":"","parse-names":false,"suffix":""},{"dropping-particle":"","family":"Bebiashvili","given":"Irakli","non-dropping-particle":"","parse-names":false,"suffix":""},{"dropping-particle":"","family":"Kordzaia","given":"Mtvarisa","non-dropping-particle":"","parse-names":false,"suffix":""},{"dropping-particle":"","family":"Kakabadze","given":"Manana","non-dropping-particle":"","parse-names":false,"suffix":""},{"dropping-particle":"","family":"Dzidziguri","given":"Diana","non-dropping-particle":"","parse-names":false,"suffix":""},{"dropping-particle":"","family":"Kordzaia","given":"Dimitri","non-dropping-particle":"","parse-names":false,"suffix":""}],"container-title":"Translational and Clinical Medicine - Georgian Medical Journal","id":"ITEM-1","issue":"1","issued":{"date-parts":[["2018","4","22"]]},"page":"32-37","title":"To fill the missing fragments of a complex mosaic of liver regeneration","type":"article-journal","volume":"3"},"uris":["http://www.mendeley.com/documents/?uuid=a83e0c1d-e3e7-35cd-9837-9268fbee3415"]}],"mendeley":{"formattedCitation":"&lt;sup&gt;[21]&lt;/sup&gt;","plainTextFormattedCitation":"[21]","previouslyFormattedCitation":"&lt;sup&gt;[21]&lt;/sup&gt;"},"properties":{"noteIndex":0},"schema":"https://github.com/citation-style-language/schema/raw/master/csl-citation.json"}</w:instrText>
      </w:r>
      <w:r w:rsidR="00A378BB" w:rsidRPr="00CA4C0B">
        <w:rPr>
          <w:rStyle w:val="None"/>
          <w:rFonts w:ascii="Book Antiqua" w:hAnsi="Book Antiqua"/>
          <w:color w:val="auto"/>
          <w:sz w:val="24"/>
          <w:szCs w:val="24"/>
        </w:rPr>
        <w:fldChar w:fldCharType="separate"/>
      </w:r>
      <w:r w:rsidR="00A378BB" w:rsidRPr="00CA4C0B">
        <w:rPr>
          <w:rStyle w:val="None"/>
          <w:rFonts w:ascii="Book Antiqua" w:hAnsi="Book Antiqua"/>
          <w:noProof/>
          <w:color w:val="auto"/>
          <w:sz w:val="24"/>
          <w:szCs w:val="24"/>
          <w:vertAlign w:val="superscript"/>
        </w:rPr>
        <w:t>[21]</w:t>
      </w:r>
      <w:r w:rsidR="00A378BB" w:rsidRPr="00CA4C0B">
        <w:rPr>
          <w:rStyle w:val="None"/>
          <w:rFonts w:ascii="Book Antiqua" w:hAnsi="Book Antiqua"/>
          <w:color w:val="auto"/>
          <w:sz w:val="24"/>
          <w:szCs w:val="24"/>
        </w:rPr>
        <w:fldChar w:fldCharType="end"/>
      </w:r>
      <w:r w:rsidRPr="00CA4C0B">
        <w:rPr>
          <w:rStyle w:val="None"/>
          <w:rFonts w:ascii="Book Antiqua" w:hAnsi="Book Antiqua"/>
          <w:color w:val="auto"/>
          <w:sz w:val="24"/>
          <w:szCs w:val="24"/>
        </w:rPr>
        <w:t xml:space="preserve">. </w:t>
      </w:r>
    </w:p>
    <w:p w14:paraId="452FCB91" w14:textId="717475F3" w:rsidR="004313EE" w:rsidRPr="00CA4C0B" w:rsidRDefault="00CE6644" w:rsidP="007F2CA0">
      <w:pPr>
        <w:pStyle w:val="a4"/>
        <w:tabs>
          <w:tab w:val="left" w:pos="6387"/>
        </w:tabs>
        <w:snapToGrid w:val="0"/>
        <w:spacing w:line="360" w:lineRule="auto"/>
        <w:ind w:right="115" w:firstLineChars="100" w:firstLine="239"/>
        <w:jc w:val="both"/>
        <w:rPr>
          <w:rStyle w:val="None"/>
          <w:rFonts w:ascii="Book Antiqua" w:eastAsia="Times New Roman" w:hAnsi="Book Antiqua" w:cs="Times New Roman"/>
          <w:color w:val="auto"/>
          <w:spacing w:val="-1"/>
          <w:sz w:val="24"/>
          <w:szCs w:val="24"/>
        </w:rPr>
      </w:pPr>
      <w:r w:rsidRPr="00CA4C0B">
        <w:rPr>
          <w:rStyle w:val="None"/>
          <w:rFonts w:ascii="Book Antiqua" w:hAnsi="Book Antiqua"/>
          <w:color w:val="auto"/>
          <w:spacing w:val="-1"/>
          <w:sz w:val="24"/>
          <w:szCs w:val="24"/>
        </w:rPr>
        <w:t>A literature review suggests that most of the authors confirm the prolifer</w:t>
      </w:r>
      <w:r w:rsidRPr="00CA4C0B">
        <w:rPr>
          <w:rStyle w:val="None"/>
          <w:rFonts w:ascii="Book Antiqua" w:hAnsi="Book Antiqua"/>
          <w:color w:val="auto"/>
          <w:spacing w:val="-1"/>
          <w:sz w:val="24"/>
          <w:szCs w:val="24"/>
        </w:rPr>
        <w:t>a</w:t>
      </w:r>
      <w:r w:rsidRPr="00CA4C0B">
        <w:rPr>
          <w:rStyle w:val="None"/>
          <w:rFonts w:ascii="Book Antiqua" w:hAnsi="Book Antiqua"/>
          <w:color w:val="auto"/>
          <w:spacing w:val="-1"/>
          <w:sz w:val="24"/>
          <w:szCs w:val="24"/>
        </w:rPr>
        <w:t>tion of hepatocytes following the PH</w:t>
      </w:r>
      <w:r w:rsidR="00A378BB" w:rsidRPr="00CA4C0B">
        <w:rPr>
          <w:rStyle w:val="None"/>
          <w:rFonts w:ascii="Book Antiqua" w:hAnsi="Book Antiqua"/>
          <w:color w:val="auto"/>
          <w:spacing w:val="-1"/>
          <w:sz w:val="24"/>
          <w:szCs w:val="24"/>
        </w:rPr>
        <w:fldChar w:fldCharType="begin" w:fldLock="1"/>
      </w:r>
      <w:r w:rsidR="000F3586" w:rsidRPr="00CA4C0B">
        <w:rPr>
          <w:rStyle w:val="None"/>
          <w:rFonts w:ascii="Book Antiqua" w:hAnsi="Book Antiqua"/>
          <w:color w:val="auto"/>
          <w:spacing w:val="-1"/>
          <w:sz w:val="24"/>
          <w:szCs w:val="24"/>
        </w:rPr>
        <w:instrText>ADDIN CSL_CITATION {"citationItems":[{"id":"ITEM-1","itemData":{"DOI":"10.1002/hep.28988","ISSN":"1527-3350","PMID":"27997988","abstract":"In contrast to all other organs, liver-to-body-weight ratio needs to be maintained always at 100% of what is required for body homeostasis. Adjustment of liver size to 100% of what is required for homeostasis has been called \"hepatostat.\" Removal of a portion of any other organ is followed with local regeneration of a limited degree, but it never attempts to reach 100% of the original size. The complex mechanisms involved in this uniquely hepatic process encompass a variety of regenerative pathways that are specific to different types of injury. The most studied form of liver regeneration (LR) is that occurring after loss of hepatocytes in a single acute injury, such as rodent LR after two-thirds partial hepatectomy or administration of damaging chemicals (CCl4 , acetaminophen, etc.). Alternative regenerative pathways become activated when normal regeneration is thwarted and trigger the appearance of \"progenitor\" cells. Chronic loss of hepatocytes is associated with regenerative efforts characterized by continual hepatocyte proliferation and often has adverse consequences (development of cirrhosis or liver cancer). Even though a very few hepatocytes proliferate at any given time in normal liver, the mechanisms involved in the maintenance of liver weight by this slow process in the absence of liver injury are not as well understood. (Hepatology 2017;65:1384-1392).","author":[{"dropping-particle":"","family":"Michalopoulos","given":"George K.","non-dropping-particle":"","parse-names":false,"suffix":""}],"container-title":"Hepatology (Baltimore, Md.)","id":"ITEM-1","issue":"4","issued":{"date-parts":[["2017","4","1"]]},"page":"1384-1392","publisher":"John Wiley and Sons Inc.","title":"Hepatostat: Liver regeneration and normal liver tissue maintenance.","type":"article-journal","volume":"65"},"uris":["http://www.mendeley.com/documents/?uuid=f6fb74f0-df9f-3382-8ffc-174a8de6f3eb"]},{"id":"ITEM-2","itemData":{"DOI":"10.1002/wdev.340","ISSN":"1759-7692","PMID":"30924280","abstract":"Tissue regeneration is a process by which the remaining cells of an injured organ regrow to offset the missed cells. This field is relatively a new discipline that has been a focus of intense research by clinicians, surgeons, and scientists for decades. It constitutes the cornerstone of tissue engineering, creation of artificial organs, and generation and utilization of therapeutic stem cells to undergo transformation to different types of mature cells. Many medical experts, scientists, biologists, and bioengineers have dedicated their efforts to deeply comprehend the process of liver regeneration, striving for harnessing it to invent new therapies for liver failure. Liver regeneration after partial hepatectomy in rodents has been extensively studied by researchers for many years. It is divided into three important distinctive phases including (a) Initiation or priming phase which includes an overexpression of specific genes to prepare the liver cells for replication, (b) Proliferation phase in which the liver cells undergo a series of cycles of cell division and expansion and finally, (c) termination phase which acts as brake to stop the regenerative process and prevent the liver tissue overgrowth. These events are well controlled by cytokines, growth factors, and signaling pathways. In this review, we describe the function, embryology, and anatomy of human liver, discuss the molecular basis of liver regeneration, elucidate the hepatocyte and cholangiocyte lineages mediating this process, explain the role of hepatic progenitor cells and elaborate the developmental signaling pathways and regulatory molecules required to procure a complete restoration of hepatic lobule. This article is categorized under: Adult Stem Cells, Tissue Renewal, and Regeneration &gt; Regeneration Signaling Pathways &gt; Global Signaling Mechanisms Gene Expression and Transcriptional Hierarchies &gt; Cellular Differentiation.","author":[{"dropping-particle":"","family":"Abu Rmilah","given":"Anan","non-dropping-particle":"","parse-names":false,"suffix":""},{"dropping-particle":"","family":"Zhou","given":"Wei","non-dropping-particle":"","parse-names":false,"suffix":""},{"dropping-particle":"","family":"Nelson","given":"Erek","non-dropping-particle":"","parse-names":false,"suffix":""},{"dropping-particle":"","family":"Lin","given":"Li","non-dropping-particle":"","parse-names":false,"suffix":""},{"dropping-particle":"","family":"Amiot","given":"Bruce","non-dropping-particle":"","parse-names":false,"suffix":""},{"dropping-particle":"","family":"Nyberg","given":"Scott L","non-dropping-particle":"","parse-names":false,"suffix":""}],"container-title":"Wiley interdisciplinary reviews. Developmental biology","id":"ITEM-2","issue":"3","issued":{"date-parts":[["2019","5","1"]]},"page":"e340","publisher":"John Wiley and Sons Inc.","title":"Understanding the marvels behind liver regeneration.","type":"article-journal","volume":"8"},"uris":["http://www.mendeley.com/documents/?uuid=ed43af0f-4c96-3345-87ec-a3ba27b44287"]},{"id":"ITEM-3","itemData":{"DOI":"10.1053/j.gastro.2009.05.044","ISSN":"00165085","PMID":"19470389","abstract":"One of the defining features of the liver is the capacity to maintain a constant size despite injury. Although the precise molecular signals involved in the maintenance of liver size are not completely known, it is clear that the liver delicately balances regeneration with overgrowth. Mammals, for example, can survive surgical removal of up to 75% of the total liver mass. Within 1 week after liver resection, the total number of liver cells is restored. Moreover, liver overgrowth can be induced by a variety of signals, including hepatocyte growth factor or peroxisome proliferators; the liver quickly returns to its normal size when the proliferative signal is removed. The extent to which liver stem cells mediate liver regeneration has been hotly debated. One of the primary reasons for this controversy is the use of multiple definitions for the hepatic stem cell. Definitions for the liver stem cell include the following: (1) cells responsible for normal tissue turnover, (2) cells that give rise to regeneration after partial hepatectomy, (3) cells responsible for progenitor-dependent regeneration, (4) cells that produce hepatocyte and bile duct epithelial phenotypes in vitro, and (5) transplantable liver-repopulating cells. This review will consider liver stem cells in the context of each definition. © 2009 AGA Institute.","author":[{"dropping-particle":"","family":"Duncan","given":"Andrew W.","non-dropping-particle":"","parse-names":false,"suffix":""},{"dropping-particle":"","family":"Dorrell","given":"Craig","non-dropping-particle":"","parse-names":false,"suffix":""},{"dropping-particle":"","family":"Grompe","given":"Markus","non-dropping-particle":"","parse-names":false,"suffix":""}],"container-title":"Gastroenterology","id":"ITEM-3","issue":"2","issued":{"date-parts":[["2009","8"]]},"page":"466-481","publisher":"W.B. Saunders","title":"Stem Cells and Liver Regeneration","type":"article-journal","volume":"137"},"uris":["http://www.mendeley.com/documents/?uuid=a87ed89c-eede-3ceb-b13d-87347ca46a0f"]},{"id":"ITEM-4","itemData":{"DOI":"10.1038/s41594-018-0129-2","ISSN":"15459985","PMID":"30250226","abstract":"During liver regeneration, most new hepatocytes arise via self-duplication; yet, the underlying mechanisms that drive hepatocyte proliferation following injury remain poorly defined. By combining high-resolution transcriptome and polysome profiling of hepatocytes purified from quiescent and toxin-injured mouse livers, we uncover pervasive alterations in messenger RNA translation of metabolic and RNA-processing factors, which modulate the protein levels of a set of splicing regulators. Specifically, downregulation of the splicing regulator ESRP2 activates a neonatal alternative splicing program that rewires the Hippo signaling pathway in regenerating hepatocytes. We show that production of neonatal splice isoforms attenuates Hippo signaling, enables greater transcriptional activation of downstream target genes, and facilitates liver regeneration. We further demonstrate that ESRP2 deletion in mice causes excessive hepatocyte proliferation upon injury, whereas forced expression of ESRP2 inhibits proliferation by suppressing the expression of neonatal Hippo pathway isoforms. Thus, our findings reveal an alternative splicing axis that supports regeneration following chronic liver injury.","author":[{"dropping-particle":"","family":"Bangru","given":"Sushant","non-dropping-particle":"","parse-names":false,"suffix":""},{"dropping-particle":"","family":"Arif","given":"Waqar","non-dropping-particle":"","parse-names":false,"suffix":""},{"dropping-particle":"","family":"Seimetz","given":"Joseph","non-dropping-particle":"","parse-names":false,"suffix":""},{"dropping-particle":"","family":"Bhate","given":"Amruta","non-dropping-particle":"","parse-names":false,"suffix":""},{"dropping-particle":"","family":"Chen","given":"Jackie","non-dropping-particle":"","parse-names":false,"suffix":""},{"dropping-particle":"","family":"Rashan","given":"Edrees H.","non-dropping-particle":"","parse-names":false,"suffix":""},{"dropping-particle":"","family":"Carstens","given":"Russ P.","non-dropping-particle":"","parse-names":false,"suffix":""},{"dropping-particle":"","family":"Anakk","given":"Sayeepriyadarshini","non-dropping-particle":"","parse-names":false,"suffix":""},{"dropping-particle":"","family":"Kalsotra","given":"Auinash","non-dropping-particle":"","parse-names":false,"suffix":""}],"container-title":"Nature Structural and Molecular Biology","id":"ITEM-4","issue":"10","issued":{"date-parts":[["2018","10","24"]]},"page":"928-939","title":"Alternative splicing rewires Hippo signaling pathway in hepatocytes to promote liver regeneration","type":"article-journal","volume":"25"},"uris":["http://www.mendeley.com/documents/?uuid=9a95f8c9-8970-40fd-8ae4-23231541e799"]},{"id":"ITEM-5","itemData":{"DOI":"10.1590/S0102-86502006000700014","ISSN":"0102-8650","PMID":"17013516","abstract":"The purpose of this review was to carry out an analysis of the liver regenerative process focusing on the molecular interactions involved in this process. The authors undertook a review of scientific publications with a focus on the liver regeneration.The cellular processes involved in liver regeneration require multiple systematic actions related to cytokines and growth factors. These interactions result in the initiation of mitogenic potential of the hepatocytes. The action of these modulators in the regenerative process require a processing in the extra-cellular matrix. Serines and metal proteins are responsible for the bio availability of cytokines and growth factors so that they can interact as receptors in the cellular membrane generating signaling events for the beginning and end of the liver regenerative process. The exact mechanism of interaction between cells, cytokines and growth factors is not well established yet. A series of ordered events that result in the hepatic tissue regeneration has been described. The better understanding of these interactions should provide a new approach of the treatment for liver diseases, aiming at inducing the regenerative process.","author":[{"dropping-particle":"","family":"Tarlá","given":"Marissa Rabelo","non-dropping-particle":"","parse-names":false,"suffix":""},{"dropping-particle":"","family":"Ramalho","given":"Fernando Silva","non-dropping-particle":"","parse-names":false,"suffix":""},{"dropping-particle":"","family":"Ramalho","given":"Leandra Naira Zambelli","non-dropping-particle":"","parse-names":false,"suffix":""},{"dropping-particle":"","family":"Castro e Silva","given":"Tiago","non-dropping-particle":"","parse-names":false,"suffix":""},{"dropping-particle":"","family":"Brandão","given":"Daniel Ferracioli","non-dropping-particle":"","parse-names":false,"suffix":""},{"dropping-particle":"","family":"Ferreira","given":"Juliana","non-dropping-particle":"","parse-names":false,"suffix":""},{"dropping-particle":"","family":"Castro e Silva","given":"Orlando","non-dropping-particle":"","parse-names":false,"suffix":""},{"dropping-particle":"","family":"Zucoloto","given":"Sérgio","non-dropping-particle":"","parse-names":false,"suffix":""}],"container-title":"Acta Cirurgica Brasileira","id":"ITEM-5","issue":"suppl 1","issued":{"date-parts":[["2006"]]},"page":"58-62","publisher":"Acta Cirúrgica Brasileira/SOBRADPEC","title":"A molecular view of liver regeneration","type":"article-journal","volume":"21"},"uris":["http://www.mendeley.com/documents/?uuid=e079cf1c-d07c-378b-9c23-d94c5a4b6155"]},{"id":"ITEM-6","itemData":{"DOI":"10.1002/hep.20969","ISSN":"02709139","PMID":"16447274","abstract":"During liver regeneration after partial hepatectomy, normally quiescent hepatocytes undergo one or two rounds of replication to restore the liver mass by a process of compensatory hyperplasia. A large number of genes are involved in liver regeneration, but the essential circuitry required for the process may be categorized into three networks: cytokine, growth factor and metabolic. There is much redundancy within each network, and intricate inter-actions exist between them. Thus, loss of function from a single gene rarely leads to complete blockage of liver regeneration. The innate immune system plays an important role in the initiation of liver regeneration after partial hepatectomy, and new cytokines and receptors that participate in initiation mechanisms have been identified. Hepatocytes primed by these agents readily respond to growth factors and enter the cell cycle. Presumably, the increased metabolic demands placed on hepatocytes of the regenerating liver are linked to the machinery needed for hepatocyte replication, and may function as a sensor that calibrates the regenerative response according to body demands. In contrast to the regenerative process after partial hepatectomy, which is driven by the replication of existing hepatocytes, liver repopulation after acute liver failure depends on the differentiation of progenitor cells. Such cells are also present in chronic liver diseases, but their contribution to the production of hepatocytes in those conditions is unknown. Most of the new knowledge about the molecular and cellular mechanisms of liver regeneration is both conceptually important and directly relevant to clinical problems. Copyright © 2006 by the American Association for the Study of Liver Diseases.","author":[{"dropping-particle":"","family":"Fausto","given":"Nelson","non-dropping-particle":"","parse-names":false,"suffix":""},{"dropping-particle":"","family":"Campbell","given":"Jean S.","non-dropping-particle":"","parse-names":false,"suffix":""},{"dropping-particle":"","family":"Riehle","given":"Kimberly J.","non-dropping-particle":"","parse-names":false,"suffix":""}],"container-title":"Hepatology","id":"ITEM-6","issue":"2 SUPPL. 1","issued":{"date-parts":[["2006","2","1"]]},"page":"S45-S53","publisher":"John Wiley &amp; Sons, Ltd","title":"Liver regeneration","type":"article","volume":"43"},"uris":["http://www.mendeley.com/documents/?uuid=8d462e0e-c13e-36a2-84b1-43b2772de2cd"]}],"mendeley":{"formattedCitation":"&lt;sup&gt;[6,7,14,22–24]&lt;/sup&gt;","plainTextFormattedCitation":"[6,7,14,22–24]","previouslyFormattedCitation":"&lt;sup&gt;[6,7,14,22–24]&lt;/sup&gt;"},"properties":{"noteIndex":0},"schema":"https://github.com/citation-style-language/schema/raw/master/csl-citation.json"}</w:instrText>
      </w:r>
      <w:r w:rsidR="00A378BB" w:rsidRPr="00CA4C0B">
        <w:rPr>
          <w:rStyle w:val="None"/>
          <w:rFonts w:ascii="Book Antiqua" w:hAnsi="Book Antiqua"/>
          <w:color w:val="auto"/>
          <w:spacing w:val="-1"/>
          <w:sz w:val="24"/>
          <w:szCs w:val="24"/>
        </w:rPr>
        <w:fldChar w:fldCharType="separate"/>
      </w:r>
      <w:r w:rsidR="00A378BB" w:rsidRPr="00CA4C0B">
        <w:rPr>
          <w:rStyle w:val="None"/>
          <w:rFonts w:ascii="Book Antiqua" w:hAnsi="Book Antiqua"/>
          <w:noProof/>
          <w:color w:val="auto"/>
          <w:spacing w:val="-1"/>
          <w:sz w:val="24"/>
          <w:szCs w:val="24"/>
          <w:vertAlign w:val="superscript"/>
        </w:rPr>
        <w:t>[6,7,14,22–24]</w:t>
      </w:r>
      <w:r w:rsidR="00A378BB" w:rsidRPr="00CA4C0B">
        <w:rPr>
          <w:rStyle w:val="None"/>
          <w:rFonts w:ascii="Book Antiqua" w:hAnsi="Book Antiqua"/>
          <w:color w:val="auto"/>
          <w:spacing w:val="-1"/>
          <w:sz w:val="24"/>
          <w:szCs w:val="24"/>
        </w:rPr>
        <w:fldChar w:fldCharType="end"/>
      </w:r>
      <w:r w:rsidR="00A378BB" w:rsidRPr="00CA4C0B">
        <w:rPr>
          <w:rStyle w:val="None"/>
          <w:rFonts w:ascii="Book Antiqua" w:hAnsi="Book Antiqua"/>
          <w:color w:val="auto"/>
          <w:spacing w:val="-1"/>
          <w:sz w:val="24"/>
          <w:szCs w:val="24"/>
          <w:vertAlign w:val="superscript"/>
        </w:rPr>
        <w:t>.</w:t>
      </w:r>
      <w:r w:rsidRPr="00CA4C0B">
        <w:rPr>
          <w:rStyle w:val="None"/>
          <w:rFonts w:ascii="Book Antiqua" w:hAnsi="Book Antiqua"/>
          <w:color w:val="auto"/>
          <w:spacing w:val="-1"/>
          <w:sz w:val="24"/>
          <w:szCs w:val="24"/>
        </w:rPr>
        <w:t xml:space="preserve"> Some authors highlight the</w:t>
      </w:r>
      <w:r w:rsidR="00924E05" w:rsidRPr="00CA4C0B">
        <w:rPr>
          <w:rStyle w:val="None"/>
          <w:rFonts w:ascii="Book Antiqua" w:hAnsi="Book Antiqua"/>
          <w:color w:val="auto"/>
          <w:spacing w:val="-1"/>
          <w:sz w:val="24"/>
          <w:szCs w:val="24"/>
        </w:rPr>
        <w:t xml:space="preserve"> h</w:t>
      </w:r>
      <w:r w:rsidR="00924E05" w:rsidRPr="00CA4C0B">
        <w:rPr>
          <w:rStyle w:val="None"/>
          <w:rFonts w:ascii="Book Antiqua" w:hAnsi="Book Antiqua"/>
          <w:color w:val="auto"/>
          <w:spacing w:val="-1"/>
          <w:sz w:val="24"/>
          <w:szCs w:val="24"/>
        </w:rPr>
        <w:t>y</w:t>
      </w:r>
      <w:r w:rsidR="00924E05" w:rsidRPr="00CA4C0B">
        <w:rPr>
          <w:rStyle w:val="None"/>
          <w:rFonts w:ascii="Book Antiqua" w:hAnsi="Book Antiqua"/>
          <w:color w:val="auto"/>
          <w:spacing w:val="-1"/>
          <w:sz w:val="24"/>
          <w:szCs w:val="24"/>
        </w:rPr>
        <w:t>pertrophy of the hepatocytes</w:t>
      </w:r>
      <w:r w:rsidR="000F3586" w:rsidRPr="00CA4C0B">
        <w:rPr>
          <w:rStyle w:val="None"/>
          <w:rFonts w:ascii="Book Antiqua" w:hAnsi="Book Antiqua"/>
          <w:color w:val="auto"/>
          <w:spacing w:val="-1"/>
          <w:sz w:val="24"/>
          <w:szCs w:val="24"/>
        </w:rPr>
        <w:fldChar w:fldCharType="begin" w:fldLock="1"/>
      </w:r>
      <w:r w:rsidR="00F225E7" w:rsidRPr="00CA4C0B">
        <w:rPr>
          <w:rStyle w:val="None"/>
          <w:rFonts w:ascii="Book Antiqua" w:hAnsi="Book Antiqua"/>
          <w:color w:val="auto"/>
          <w:spacing w:val="-1"/>
          <w:sz w:val="24"/>
          <w:szCs w:val="24"/>
        </w:rPr>
        <w:instrText>ADDIN CSL_CITATION {"citationItems":[{"id":"ITEM-1","itemData":{"DOI":"10.1002/hep.25713","ISSN":"02709139","PMID":"22419534","abstract":"We have analyzed the architectural aspects of progenitor-cell-driven regenerative growth in rat liver by applying the 2-acetaminofluorene/partial hepatectomy experimental model. The regeneration is initiated by the proliferation of so-called oval cells. The oval cells at the proximal tips of the ductules have a more differentiated phenotype and higher proliferative rate. This preferential growth results in the formation of a seemingly random collection of small hepatocytes, called foci. These foci have no clonal origin, but possess a highly organized structure, which shows similarities to normal hepatic parenchyma. Therefore, they can easily remodel into the lobular structure. Eventually, the regenerated liver is constructed by enlarged hepatic lobules; no new lobules are formed during this process. The foci of the Solt-Farber experimental hepatocarcinogenesis model have identical morphological features; accordingly, they also represent only regenerative, not neoplastic, growth. Conclusion: Progenitor-cell-driven liver regeneration is a well-designed, highly organized tissue reaction, and better comprehension of the architectural events may help us to recognize this process and understand its role in physiological and pathological reactions. © 2012 American Association for the Study of Liver Diseases.","author":[{"dropping-particle":"","family":"Dezső","given":"Katalin","non-dropping-particle":"","parse-names":false,"suffix":""},{"dropping-particle":"","family":"Papp","given":"Veronika","non-dropping-particle":"","parse-names":false,"suffix":""},{"dropping-particle":"","family":"Bugyik","given":"Edina","non-dropping-particle":"","parse-names":false,"suffix":""},{"dropping-particle":"","family":"Hegyesi","given":"Hargita","non-dropping-particle":"","parse-names":false,"suffix":""},{"dropping-particle":"","family":"Sáfrány","given":"Géza","non-dropping-particle":"","parse-names":false,"suffix":""},{"dropping-particle":"","family":"Bödör","given":"Csaba","non-dropping-particle":"","parse-names":false,"suffix":""},{"dropping-particle":"","family":"Nagy","given":"Péter","non-dropping-particle":"","parse-names":false,"suffix":""},{"dropping-particle":"","family":"Paku","given":"Sándor","non-dropping-particle":"","parse-names":false,"suffix":""}],"container-title":"Hepatology","id":"ITEM-1","issue":"4","issued":{"date-parts":[["2012","10"]]},"page":"1457-1467","title":"Structural analysis of oval-cell-mediated liver regeneration in rats","type":"article-journal","volume":"56"},"uris":["http://www.mendeley.com/documents/?uuid=5b775e51-8529-464f-b22a-1d3e2542dde8"]},{"id":"ITEM-2","itemData":{"DOI":"10.1016/S0168-8278(05)80224-7","ISSN":"01688278","PMID":"8100248","abstract":"Glutamine synthase and carbamoylphosphate synthase show a strikingly heterogeneous and fully complementary distribution in the rat liver. In the human liver, however, there is a midlobular zone where both enzymes are absent. The diameter of the human liver lobule is approximately twice the size of the rat lobule. To investigate whether lobule size is a major determinant for the expression patterns of glutamine synthase and carbamoylphosphate synthase, Wistar strain rats were partially hepatectomized 3 times, at weekly or monthly intervals. Due to hepatic regeneration the cross-sectional area of the liver lobules increased twofold. However, a midlobular zone which lacked expression of both glutamine synthase and carbamoylphosphate synthase did not develop in these livers, thus showing that lobular size is not a major determinant for the distribution patterns of glutamine and carbamoylphosphate synthase. The twofold increase in the cross-sectional area of the liver lobule was associated with a similar reduction in the relative number of glutamine synthase-positive cells and in the enzyme content of the liver, indicating that the regeneration process does not affect the pericentral pattern of glutamine synthase expression. After regeneration was complete, the glutamine synthase content in the liver was restored to its original value, demonstrating a twofold increase in the cellular concentration of glutamine synthase-positive hepatocytes. An increase in the diameter of the liver lobule was only seen after the first partial hepatectomy. Liver growth following subsequent partial hepatectomies can be explained by an increase in the length of the liver lobule and/or by splitting of liver lobules. The zonal distribution of DNA replication, which is characteristic of the first partial hepatectomy, is lost after repeated partial hepatectomies. Furthermore, evidence was obtained that the signal for inducing DNA synthesis may originate at the level of single liver units. © 1993 Elsevier Scientific Publishers Ireland Ltd. All rights reserved.","author":[{"dropping-particle":"","family":"Wagenaar","given":"Gerry T.M.","non-dropping-particle":"","parse-names":false,"suffix":""},{"dropping-particle":"","family":"Chamuleau","given":"Robert A.F.M.","non-dropping-particle":"","parse-names":false,"suffix":""},{"dropping-particle":"","family":"Pool","given":"Christiaan W.","non-dropping-particle":"","parse-names":false,"suffix":""},{"dropping-particle":"","family":"Haan","given":"Jan G.","non-dropping-particle":"de","parse-names":false,"suffix":""},{"dropping-particle":"","family":"Maas","given":"Martinus A.W.","non-dropping-particle":"","parse-names":false,"suffix":""},{"dropping-particle":"","family":"Korfage","given":"Hans A.M.","non-dropping-particle":"","parse-names":false,"suffix":""},{"dropping-particle":"","family":"Lamers","given":"Wouter H.","non-dropping-particle":"","parse-names":false,"suffix":""}],"container-title":"Journal of Hepatology","id":"ITEM-2","issue":"3","issued":{"date-parts":[["1993"]]},"page":"397-407","title":"Distribution and activity of glutamine synthase and carbamoylphosphate synthase upon enlargement of the liver lobule by repeated partial hepatectomies","type":"article-journal","volume":"17"},"uris":["http://www.mendeley.com/documents/?uuid=932ed64c-c7d8-4824-a0ab-6c1b0af76820"]},{"id":"ITEM-3","itemData":{"DOI":"10.1186/s12876-014-0202-1","ISSN":"1471-230X","PMID":"25421900","abstract":"BACKGROUND We examined the intrinsic hepatic innervation after partial hepatectomy (PH) in rats and the presence and pattern of neural sprouting in regenerating liver. METHODS Male Wistar rats (age 9-13 weeks-w, weight 204-356 g), were submitted to two-thirds PH. Rats were sacrificed at postoperative days (d) 1, 3, 5, 7, at 2 and 4 w, and at 3 and 6 months (m) (6-7 animals/group, control group n</w:instrText>
      </w:r>
      <w:r w:rsidR="00F225E7" w:rsidRPr="00CA4C0B">
        <w:rPr>
          <w:rStyle w:val="None"/>
          <w:rFonts w:ascii="Times New Roman" w:hAnsi="Times New Roman" w:cs="Times New Roman"/>
          <w:color w:val="auto"/>
          <w:spacing w:val="-1"/>
          <w:sz w:val="24"/>
          <w:szCs w:val="24"/>
        </w:rPr>
        <w:instrText> </w:instrText>
      </w:r>
      <w:r w:rsidR="00F225E7" w:rsidRPr="00CA4C0B">
        <w:rPr>
          <w:rStyle w:val="None"/>
          <w:rFonts w:ascii="Book Antiqua" w:hAnsi="Book Antiqua"/>
          <w:color w:val="auto"/>
          <w:spacing w:val="-1"/>
          <w:sz w:val="24"/>
          <w:szCs w:val="24"/>
        </w:rPr>
        <w:instrText>=</w:instrText>
      </w:r>
      <w:r w:rsidR="00F225E7" w:rsidRPr="00CA4C0B">
        <w:rPr>
          <w:rStyle w:val="None"/>
          <w:rFonts w:ascii="Times New Roman" w:hAnsi="Times New Roman" w:cs="Times New Roman"/>
          <w:color w:val="auto"/>
          <w:spacing w:val="-1"/>
          <w:sz w:val="24"/>
          <w:szCs w:val="24"/>
        </w:rPr>
        <w:instrText> </w:instrText>
      </w:r>
      <w:r w:rsidR="00F225E7" w:rsidRPr="00CA4C0B">
        <w:rPr>
          <w:rStyle w:val="None"/>
          <w:rFonts w:ascii="Book Antiqua" w:hAnsi="Book Antiqua"/>
          <w:color w:val="auto"/>
          <w:spacing w:val="-1"/>
          <w:sz w:val="24"/>
          <w:szCs w:val="24"/>
        </w:rPr>
        <w:instrText>4). Immunohistochemistry for the pan-neural marker protein gene product 9.5 (PGP9.5) and growth-associated protein 43 (GAP-43), a marker of regenerating nerve axons, was performed on tissue sections from the R1 lobe of the regenerating liver. Portal tracts (PTs) with immunoreactive fibers were counted in each section and computer-assisted morphometric analysis (Image Pro Plus) was used to measure nerve fiber density (number of immuno-positive nerve fibers/mm2 (40x)). RESULTS Immunoreactivity for PGP9.5 was positive in all groups. The number of PGP9.5 (+) nerve fibers decreased from 0.32 +/- 0.12 (control group) to 0.18 +/- 0.09 (1d post-PH group), and gradually increased reaching pre-PH levels at 6 m (0.3 +/- 0.01). In contrast, immunoreactivity for GAP-43 was observed at 5d post-PH, and GAP-43 (+) PTs percentage increased thereafter with a peak at 3 m post-PH. GAP-43 (+) nerve fiber density increased gradually from 5d (0.05 +/- 0.06) with a peak at 3 m post-PH (0.21 +/- 0.027). At 6 m post-PH, immunoreactivity for GAP-43 was not detectable. CONCLUSIONS Following PH in rats: 1) nerve fiber density in portal tracts decreases temporarily, and 2) neural sprouting in the regenerating liver lobes starts at 5d, reaches peak levels at 3 m and disappears at 6 m post-PH, indicating that the increase in hepatic mass after PH provides an adequate stimulus for the sprouting process.","author":[{"dropping-particle":"","family":"Kandilis","given":"Apostolos N","non-dropping-particle":"","parse-names":false,"suffix":""},{"dropping-particle":"","family":"Koskinas","given":"John","non-dropping-particle":"","parse-names":false,"suffix":""},{"dropping-particle":"","family":"Vlachos","given":"Ioannis","non-dropping-particle":"","parse-names":false,"suffix":""},{"dropping-particle":"","family":"Skaltsas","given":"Spyridon","non-dropping-particle":"","parse-names":false,"suffix":""},{"dropping-particle":"","family":"Karandrea","given":"Despina","non-dropping-particle":"","parse-names":false,"suffix":""},{"dropping-particle":"","family":"Karakitsos","given":"Petros","non-dropping-particle":"","parse-names":false,"suffix":""},{"dropping-particle":"","family":"Pantopoulou","given":"Alkistis","non-dropping-particle":"","parse-names":false,"suffix":""},{"dropping-particle":"","family":"Palaiologou","given":"Marina","non-dropping-particle":"","parse-names":false,"suffix":""},{"dropping-particle":"","family":"Nikiteas","given":"Nikolaos","non-dropping-particle":"","parse-names":false,"suffix":""},{"dropping-particle":"","family":"Tiniakos","given":"Dina G","non-dropping-particle":"","parse-names":false,"suffix":""},{"dropping-particle":"","family":"Perrea","given":"Despina N","non-dropping-particle":"","parse-names":false,"suffix":""}],"container-title":"BMC gastroenterology","id":"ITEM-3","issue":"1","issued":{"date-parts":[["2014","11","25"]]},"page":"202","publisher":"BioMed Central Ltd.","title":"Liver regeneration: immunohistochemical study of intrinsic hepatic innervation after partial hepatectomy in rats.","type":"article-journal","volume":"14"},"uris":["http://www.mendeley.com/documents/?uuid=6a6bb90c-07a9-3b1f-888a-eca169f4596d"]}],"mendeley":{"formattedCitation":"&lt;sup&gt;[25–27]&lt;/sup&gt;","plainTextFormattedCitation":"[25–27]","previouslyFormattedCitation":"&lt;sup&gt;[25–27]&lt;/sup&gt;"},"properties":{"noteIndex":0},"schema":"https://github.com/citation-style-language/schema/raw/master/csl-citation.json"}</w:instrText>
      </w:r>
      <w:r w:rsidR="000F3586" w:rsidRPr="00CA4C0B">
        <w:rPr>
          <w:rStyle w:val="None"/>
          <w:rFonts w:ascii="Book Antiqua" w:hAnsi="Book Antiqua"/>
          <w:color w:val="auto"/>
          <w:spacing w:val="-1"/>
          <w:sz w:val="24"/>
          <w:szCs w:val="24"/>
        </w:rPr>
        <w:fldChar w:fldCharType="separate"/>
      </w:r>
      <w:r w:rsidR="000F3586" w:rsidRPr="00CA4C0B">
        <w:rPr>
          <w:rStyle w:val="None"/>
          <w:rFonts w:ascii="Book Antiqua" w:hAnsi="Book Antiqua"/>
          <w:noProof/>
          <w:color w:val="auto"/>
          <w:spacing w:val="-1"/>
          <w:sz w:val="24"/>
          <w:szCs w:val="24"/>
          <w:vertAlign w:val="superscript"/>
        </w:rPr>
        <w:t>[25</w:t>
      </w:r>
      <w:r w:rsidR="005120E9">
        <w:rPr>
          <w:rStyle w:val="None"/>
          <w:rFonts w:ascii="Book Antiqua" w:hAnsi="Book Antiqua"/>
          <w:noProof/>
          <w:color w:val="auto"/>
          <w:spacing w:val="-1"/>
          <w:sz w:val="24"/>
          <w:szCs w:val="24"/>
          <w:vertAlign w:val="superscript"/>
        </w:rPr>
        <w:t>-</w:t>
      </w:r>
      <w:r w:rsidR="000F3586" w:rsidRPr="00CA4C0B">
        <w:rPr>
          <w:rStyle w:val="None"/>
          <w:rFonts w:ascii="Book Antiqua" w:hAnsi="Book Antiqua"/>
          <w:noProof/>
          <w:color w:val="auto"/>
          <w:spacing w:val="-1"/>
          <w:sz w:val="24"/>
          <w:szCs w:val="24"/>
          <w:vertAlign w:val="superscript"/>
        </w:rPr>
        <w:t>27]</w:t>
      </w:r>
      <w:r w:rsidR="000F3586" w:rsidRPr="00CA4C0B">
        <w:rPr>
          <w:rStyle w:val="None"/>
          <w:rFonts w:ascii="Book Antiqua" w:hAnsi="Book Antiqua"/>
          <w:color w:val="auto"/>
          <w:spacing w:val="-1"/>
          <w:sz w:val="24"/>
          <w:szCs w:val="24"/>
        </w:rPr>
        <w:fldChar w:fldCharType="end"/>
      </w:r>
      <w:r w:rsidR="00F225E7" w:rsidRPr="00CA4C0B">
        <w:rPr>
          <w:rStyle w:val="None"/>
          <w:rFonts w:ascii="Book Antiqua" w:hAnsi="Book Antiqua"/>
          <w:color w:val="auto"/>
          <w:spacing w:val="-1"/>
          <w:sz w:val="24"/>
          <w:szCs w:val="24"/>
          <w:vertAlign w:val="superscript"/>
        </w:rPr>
        <w:t xml:space="preserve"> </w:t>
      </w:r>
      <w:r w:rsidRPr="00CA4C0B">
        <w:rPr>
          <w:rStyle w:val="None"/>
          <w:rFonts w:ascii="Book Antiqua" w:hAnsi="Book Antiqua"/>
          <w:color w:val="auto"/>
          <w:spacing w:val="-1"/>
          <w:sz w:val="24"/>
          <w:szCs w:val="24"/>
        </w:rPr>
        <w:t>and/or the simultaneous presence of both processes</w:t>
      </w:r>
      <w:r w:rsidR="00F225E7" w:rsidRPr="00CA4C0B">
        <w:rPr>
          <w:rStyle w:val="None"/>
          <w:rFonts w:ascii="Book Antiqua" w:hAnsi="Book Antiqua"/>
          <w:color w:val="auto"/>
          <w:spacing w:val="-1"/>
          <w:sz w:val="24"/>
          <w:szCs w:val="24"/>
          <w:vertAlign w:val="superscript"/>
        </w:rPr>
        <w:fldChar w:fldCharType="begin" w:fldLock="1"/>
      </w:r>
      <w:r w:rsidR="00DA5392" w:rsidRPr="00CA4C0B">
        <w:rPr>
          <w:rStyle w:val="None"/>
          <w:rFonts w:ascii="Book Antiqua" w:hAnsi="Book Antiqua"/>
          <w:color w:val="auto"/>
          <w:spacing w:val="-1"/>
          <w:sz w:val="24"/>
          <w:szCs w:val="24"/>
          <w:vertAlign w:val="superscript"/>
        </w:rPr>
        <w:instrText>ADDIN CSL_CITATION {"citationItems":[{"id":"ITEM-1","itemData":{"DOI":"10.1186/1747-1028-8-8","ISSN":"1747-1028","PMID":"23786799","abstract":"The liver has a remarkable capacity to regenerate. Even with surgical removal (partial hepatectomy) of 70% of liver mass, the remnant tissue grows to recover the original mass and functions. Liver regeneration after partial hepatectomy has been studied extensively since the 19th century, establishing the long-standing model that hepatocytes, which account for most of the liver weight, proliferate to recover the original mass of the liver. The basis of this model is the fact that almost all hepatocytes undergo S phase, as shown by the incorporation of radioactive nucleotides during liver regeneration. However, DNA replication does not necessarily indicate the execution of cell division, and a possible change in hepatocyte size is not considered in the model. In addition, as 15-30% of hepatocytes in adult liver are binuclear, the difference in nuclear number may affect the mode of cell division during regeneration. Thus, the traditional model seems to be oversimplified. Recently, we developed new techniques to investigate the process of liver regeneration, and revealed interesting features of hepatocytes. In this review, we first provide a historical overview of how the widely accepted model of liver regeneration was established and then discuss some overlooked observations together with our recent findings. Finally, we describe the revised model and perspectives on liver regeneration research.","author":[{"dropping-particle":"","family":"Miyaoka","given":"Yuichiro","non-dropping-particle":"","parse-names":false,"suffix":""},{"dropping-particle":"","family":"Miyajima","given":"Atsushi","non-dropping-particle":"","parse-names":false,"suffix":""}],"container-title":"Cell division","id":"ITEM-1","issue":"1","issued":{"date-parts":[["2013","6","20"]]},"page":"8","publisher":"BioMed Central","title":"To divide or not to divide: revisiting liver regeneration.","type":"article-journal","volume":"8"},"uris":["http://www.mendeley.com/documents/?uuid=da870869-2ae4-3a88-ab70-c5c0009886a0"]},{"id":"ITEM-2","itemData":{"DOI":"10.1053/jhep.2001.21326","ISSN":"02709139","PMID":"11172335","abstract":"The liver has an extremely effective regenerative capacity. When 70% of a rat liver is removed by surgery, the liver mass regrows in 7 to 10 days by the compensatory hyperplasia of the remnant part. In case of damage to the surviving hepatocytes, the facultative stem-cell compartment is activated and the liver regenerates by means of oval-cell proliferation/differentiation. In the present study, we demonstrate that when both hepatocyte proliferation and stem-cell activation were prevented by dexamethasone (Dex) administration, the liver mass was restored in the absence of DNA synthesis. The restoration of the liver was accomplished by the preferential enlargement/hypertrophy of the periportal hepatocytes. A similar response was observed when cell proliferation was arrested by 5-fluorouracil (FU) following partial hepatectomy. Therefore, the hepatocytic hypertrophy appears to provide an alternative mechanism of liver-mass restoration. This hypertrophic condition of the liver is not stable, because following the withdrawal of Dex, the enlarged hepatocytes entered in the cell cycle and the normal liver structure and DNA content was re-established.","author":[{"dropping-particle":"","family":"Nagy","given":"Peter","non-dropping-particle":"","parse-names":false,"suffix":""}],"container-title":"Hepatology","id":"ITEM-2","issue":"2","issued":{"date-parts":[["2001","2"]]},"page":"339-345","title":"Reconstitution of liver mass via cellular hypertrophy in the rat","type":"article-journal","volume":"33"},"uris":["http://www.mendeley.com/documents/?uuid=d3dd4dbf-999a-475a-a786-34789350ae50"]}],"mendeley":{"formattedCitation":"&lt;sup&gt;[13,28]&lt;/sup&gt;","plainTextFormattedCitation":"[13,28]","previouslyFormattedCitation":"&lt;sup&gt;[13,28]&lt;/sup&gt;"},"properties":{"noteIndex":0},"schema":"https://github.com/citation-style-language/schema/raw/master/csl-citation.json"}</w:instrText>
      </w:r>
      <w:r w:rsidR="00F225E7" w:rsidRPr="00CA4C0B">
        <w:rPr>
          <w:rStyle w:val="None"/>
          <w:rFonts w:ascii="Book Antiqua" w:hAnsi="Book Antiqua"/>
          <w:color w:val="auto"/>
          <w:spacing w:val="-1"/>
          <w:sz w:val="24"/>
          <w:szCs w:val="24"/>
          <w:vertAlign w:val="superscript"/>
        </w:rPr>
        <w:fldChar w:fldCharType="separate"/>
      </w:r>
      <w:r w:rsidR="00F225E7" w:rsidRPr="00CA4C0B">
        <w:rPr>
          <w:rStyle w:val="None"/>
          <w:rFonts w:ascii="Book Antiqua" w:hAnsi="Book Antiqua"/>
          <w:noProof/>
          <w:color w:val="auto"/>
          <w:spacing w:val="-1"/>
          <w:sz w:val="24"/>
          <w:szCs w:val="24"/>
          <w:vertAlign w:val="superscript"/>
        </w:rPr>
        <w:t>[13,28]</w:t>
      </w:r>
      <w:r w:rsidR="00F225E7" w:rsidRPr="00CA4C0B">
        <w:rPr>
          <w:rStyle w:val="None"/>
          <w:rFonts w:ascii="Book Antiqua" w:hAnsi="Book Antiqua"/>
          <w:color w:val="auto"/>
          <w:spacing w:val="-1"/>
          <w:sz w:val="24"/>
          <w:szCs w:val="24"/>
          <w:vertAlign w:val="superscript"/>
        </w:rPr>
        <w:fldChar w:fldCharType="end"/>
      </w:r>
      <w:r w:rsidR="00F225E7" w:rsidRPr="00CA4C0B">
        <w:rPr>
          <w:rStyle w:val="None"/>
          <w:rFonts w:ascii="Book Antiqua" w:hAnsi="Book Antiqua"/>
          <w:color w:val="auto"/>
          <w:spacing w:val="-1"/>
          <w:sz w:val="24"/>
          <w:szCs w:val="24"/>
        </w:rPr>
        <w:t>.</w:t>
      </w:r>
    </w:p>
    <w:p w14:paraId="55A163D9" w14:textId="032D4AD9" w:rsidR="004313EE" w:rsidRPr="00CA4C0B" w:rsidRDefault="00CE6644" w:rsidP="007F2CA0">
      <w:pPr>
        <w:pStyle w:val="a4"/>
        <w:snapToGrid w:val="0"/>
        <w:spacing w:line="360" w:lineRule="auto"/>
        <w:ind w:right="115" w:firstLineChars="100" w:firstLine="239"/>
        <w:jc w:val="both"/>
        <w:rPr>
          <w:rStyle w:val="None"/>
          <w:rFonts w:ascii="Book Antiqua" w:eastAsia="Times New Roman" w:hAnsi="Book Antiqua" w:cs="Times New Roman"/>
          <w:color w:val="auto"/>
          <w:spacing w:val="-1"/>
          <w:sz w:val="24"/>
          <w:szCs w:val="24"/>
        </w:rPr>
      </w:pPr>
      <w:r w:rsidRPr="00CA4C0B">
        <w:rPr>
          <w:rStyle w:val="None"/>
          <w:rFonts w:ascii="Book Antiqua" w:hAnsi="Book Antiqua"/>
          <w:color w:val="auto"/>
          <w:spacing w:val="-1"/>
          <w:sz w:val="24"/>
          <w:szCs w:val="24"/>
        </w:rPr>
        <w:t>The issue whether the size of the liver lobule is being increased (which would happen in the case of increasing the number of existing hepatocytes as well as their hypertrophy)</w:t>
      </w:r>
      <w:r w:rsidR="00DA5392" w:rsidRPr="00CA4C0B">
        <w:rPr>
          <w:rStyle w:val="None"/>
          <w:rFonts w:ascii="Book Antiqua" w:hAnsi="Book Antiqua"/>
          <w:color w:val="auto"/>
          <w:spacing w:val="-1"/>
          <w:sz w:val="24"/>
          <w:szCs w:val="24"/>
        </w:rPr>
        <w:fldChar w:fldCharType="begin" w:fldLock="1"/>
      </w:r>
      <w:r w:rsidR="00CF6C6F" w:rsidRPr="00CA4C0B">
        <w:rPr>
          <w:rStyle w:val="None"/>
          <w:rFonts w:ascii="Book Antiqua" w:hAnsi="Book Antiqua"/>
          <w:color w:val="auto"/>
          <w:spacing w:val="-1"/>
          <w:sz w:val="24"/>
          <w:szCs w:val="24"/>
        </w:rPr>
        <w:instrText>ADDIN CSL_CITATION {"citationItems":[{"id":"ITEM-1","itemData":{"DOI":"10.2353/ajpath.2009.090095","ISBN":"1525-2191 (Electronic)\\r0002-9440 (Linking)","ISSN":"00029440","PMID":"19574433","abstract":"In this study, we present a mechanism for the development of arterial blood supply in experimental liver metastases. To analyze the arterialization process of experimental liver metastases, we elucidated a few key questions regarding the blood supply of hepatic lobules in mice. The microvasculature of the mouse liver is characterized by numerous arterioportal anastomoses and arterial terminations at the base of the lobules. These terminations supply one hepatic microcirculatory subunit per lobule, which we call an arterial hepatic microcirculatory subunit (aHMS). The process of arterialization can be divided into the following steps: 1) distortion of the aHMS by metastasis; 2) initial fusion of the sinusoids of the aHMS at the tumor parenchyma interface; 3) fusion of the sinusoids located at the base of the aHMSs, which leads to the disruption of the vascular sphincter (burst pipe); 4) incorporation of the dilated artery and the fused sinusoids into the tumor; and 5) further development of the tumor vasculature (arterial tree) by proliferation, remodeling, and continuous incorporation of fused sinusoids at the tumor-parenchyma interface. This process leads to the inevitable arterialization of liver metastases above the 2000- to 2500-μm size, regardless of the origin and growth pattern of the tumor. Copyright © American Society for Investigative Pathology.","author":[{"dropping-particle":"","family":"Dezsó","given":"Katalin","non-dropping-particle":"","parse-names":false,"suffix":""},{"dropping-particle":"","family":"Bugyik","given":"Edina","non-dropping-particle":"","parse-names":false,"suffix":""},{"dropping-particle":"","family":"Papp","given":"Veronika","non-dropping-particle":"","parse-names":false,"suffix":""},{"dropping-particle":"","family":"László","given":"Viktória","non-dropping-particle":"","parse-names":false,"suffix":""},{"dropping-particle":"","family":"Döme","given":"Balázs","non-dropping-particle":"","parse-names":false,"suffix":""},{"dropping-particle":"","family":"Tóvári","given":"József","non-dropping-particle":"","parse-names":false,"suffix":""},{"dropping-particle":"","family":"Tímár","given":"József","non-dropping-particle":"","parse-names":false,"suffix":""},{"dropping-particle":"","family":"Nagy","given":"Péter","non-dropping-particle":"","parse-names":false,"suffix":""},{"dropping-particle":"","family":"Paku","given":"Sándor","non-dropping-particle":"","parse-names":false,"suffix":""}],"container-title":"The American Journal of Pathology","id":"ITEM-1","issue":"2","issued":{"date-parts":[["2009","8"]]},"page":"835-843","title":"Development of Arterial Blood Supply in Experimental Liver Metastases","type":"article-journal","volume":"175"},"uris":["http://www.mendeley.com/documents/?uuid=5fd53ba8-a3ea-4e7a-85eb-dd09279f8f1b"]},{"id":"ITEM-2","itemData":{"DOI":"10.1002/hep.25713","ISSN":"02709139","PMID":"22419534","abstract":"We have analyzed the architectural aspects of progenitor-cell-driven regenerative growth in rat liver by applying the 2-acetaminofluorene/partial hepatectomy experimental model. The regeneration is initiated by the proliferation of so-called oval cells. The oval cells at the proximal tips of the ductules have a more differentiated phenotype and higher proliferative rate. This preferential growth results in the formation of a seemingly random collection of small hepatocytes, called foci. These foci have no clonal origin, but possess a highly organized structure, which shows similarities to normal hepatic parenchyma. Therefore, they can easily remodel into the lobular structure. Eventually, the regenerated liver is constructed by enlarged hepatic lobules; no new lobules are formed during this process. The foci of the Solt-Farber experimental hepatocarcinogenesis model have identical morphological features; accordingly, they also represent only regenerative, not neoplastic, growth. Conclusion: Progenitor-cell-driven liver regeneration is a well-designed, highly organized tissue reaction, and better comprehension of the architectural events may help us to recognize this process and understand its role in physiological and pathological reactions. © 2012 American Association for the Study of Liver Diseases.","author":[{"dropping-particle":"","family":"Dezső","given":"Katalin","non-dropping-particle":"","parse-names":false,"suffix":""},{"dropping-particle":"","family":"Papp","given":"Veronika","non-dropping-particle":"","parse-names":false,"suffix":""},{"dropping-particle":"","family":"Bugyik","given":"Edina","non-dropping-particle":"","parse-names":false,"suffix":""},{"dropping-particle":"","family":"Hegyesi","given":"Hargita","non-dropping-particle":"","parse-names":false,"suffix":""},{"dropping-particle":"","family":"Sáfrány","given":"Géza","non-dropping-particle":"","parse-names":false,"suffix":""},{"dropping-particle":"","family":"Bödör","given":"Csaba","non-dropping-particle":"","parse-names":false,"suffix":""},{"dropping-particle":"","family":"Nagy","given":"Péter","non-dropping-particle":"","parse-names":false,"suffix":""},{"dropping-particle":"","family":"Paku","given":"Sándor","non-dropping-particle":"","parse-names":false,"suffix":""}],"container-title":"Hepatology","id":"ITEM-2","issue":"4","issued":{"date-parts":[["2012","10"]]},"page":"1457-1467","title":"Structural analysis of oval-cell-mediated liver regeneration in rats","type":"article-journal","volume":"56"},"uris":["http://www.mendeley.com/documents/?uuid=5b775e51-8529-464f-b22a-1d3e2542dde8"]},{"id":"ITEM-3","itemData":{"DOI":"10.1016/S0168-8278(05)80224-7","ISSN":"01688278","PMID":"8100248","abstract":"Glutamine synthase and carbamoylphosphate synthase show a strikingly heterogeneous and fully complementary distribution in the rat liver. In the human liver, however, there is a midlobular zone where both enzymes are absent. The diameter of the human liver lobule is approximately twice the size of the rat lobule. To investigate whether lobule size is a major determinant for the expression patterns of glutamine synthase and carbamoylphosphate synthase, Wistar strain rats were partially hepatectomized 3 times, at weekly or monthly intervals. Due to hepatic regeneration the cross-sectional area of the liver lobules increased twofold. However, a midlobular zone which lacked expression of both glutamine synthase and carbamoylphosphate synthase did not develop in these livers, thus showing that lobular size is not a major determinant for the distribution patterns of glutamine and carbamoylphosphate synthase. The twofold increase in the cross-sectional area of the liver lobule was associated with a similar reduction in the relative number of glutamine synthase-positive cells and in the enzyme content of the liver, indicating that the regeneration process does not affect the pericentral pattern of glutamine synthase expression. After regeneration was complete, the glutamine synthase content in the liver was restored to its original value, demonstrating a twofold increase in the cellular concentration of glutamine synthase-positive hepatocytes. An increase in the diameter of the liver lobule was only seen after the first partial hepatectomy. Liver growth following subsequent partial hepatectomies can be explained by an increase in the length of the liver lobule and/or by splitting of liver lobules. The zonal distribution of DNA replication, which is characteristic of the first partial hepatectomy, is lost after repeated partial hepatectomies. Furthermore, evidence was obtained that the signal for inducing DNA synthesis may originate at the level of single liver units. © 1993 Elsevier Scientific Publishers Ireland Ltd. All rights reserved.","author":[{"dropping-particle":"","family":"Wagenaar","given":"Gerry T.M.","non-dropping-particle":"","parse-names":false,"suffix":""},{"dropping-particle":"","family":"Chamuleau","given":"Robert A.F.M.","non-dropping-particle":"","parse-names":false,"suffix":""},{"dropping-particle":"","family":"Pool","given":"Christiaan W.","non-dropping-particle":"","parse-names":false,"suffix":""},{"dropping-particle":"","family":"Haan","given":"Jan G.","non-dropping-particle":"de","parse-names":false,"suffix":""},{"dropping-particle":"","family":"Maas","given":"Martinus A.W.","non-dropping-particle":"","parse-names":false,"suffix":""},{"dropping-particle":"","family":"Korfage","given":"Hans A.M.","non-dropping-particle":"","parse-names":false,"suffix":""},{"dropping-particle":"","family":"Lamers","given":"Wouter H.","non-dropping-particle":"","parse-names":false,"suffix":""}],"container-title":"Journal of Hepatology","id":"ITEM-3","issue":"3","issued":{"date-parts":[["1993"]]},"page":"397-407","title":"Distribution and activity of glutamine synthase and carbamoylphosphate synthase upon enlargement of the liver lobule by repeated partial hepatectomies","type":"article-journal","volume":"17"},"uris":["http://www.mendeley.com/documents/?uuid=932ed64c-c7d8-4824-a0ab-6c1b0af76820"]}],"mendeley":{"formattedCitation":"&lt;sup&gt;[25,26,29]&lt;/sup&gt;","plainTextFormattedCitation":"[25,26,29]","previouslyFormattedCitation":"&lt;sup&gt;[25,26,29]&lt;/sup&gt;"},"properties":{"noteIndex":0},"schema":"https://github.com/citation-style-language/schema/raw/master/csl-citation.json"}</w:instrText>
      </w:r>
      <w:r w:rsidR="00DA5392" w:rsidRPr="00CA4C0B">
        <w:rPr>
          <w:rStyle w:val="None"/>
          <w:rFonts w:ascii="Book Antiqua" w:hAnsi="Book Antiqua"/>
          <w:color w:val="auto"/>
          <w:spacing w:val="-1"/>
          <w:sz w:val="24"/>
          <w:szCs w:val="24"/>
        </w:rPr>
        <w:fldChar w:fldCharType="separate"/>
      </w:r>
      <w:r w:rsidR="00DA5392" w:rsidRPr="00CA4C0B">
        <w:rPr>
          <w:rStyle w:val="None"/>
          <w:rFonts w:ascii="Book Antiqua" w:hAnsi="Book Antiqua"/>
          <w:noProof/>
          <w:color w:val="auto"/>
          <w:spacing w:val="-1"/>
          <w:sz w:val="24"/>
          <w:szCs w:val="24"/>
          <w:vertAlign w:val="superscript"/>
        </w:rPr>
        <w:t>[25,26,29]</w:t>
      </w:r>
      <w:r w:rsidR="00DA5392" w:rsidRPr="00CA4C0B">
        <w:rPr>
          <w:rStyle w:val="None"/>
          <w:rFonts w:ascii="Book Antiqua" w:hAnsi="Book Antiqua"/>
          <w:color w:val="auto"/>
          <w:spacing w:val="-1"/>
          <w:sz w:val="24"/>
          <w:szCs w:val="24"/>
        </w:rPr>
        <w:fldChar w:fldCharType="end"/>
      </w:r>
      <w:r w:rsidR="00F7733D" w:rsidRPr="00CA4C0B">
        <w:rPr>
          <w:rStyle w:val="None"/>
          <w:rFonts w:ascii="Book Antiqua" w:hAnsi="Book Antiqua"/>
          <w:color w:val="auto"/>
          <w:spacing w:val="-1"/>
          <w:sz w:val="24"/>
          <w:szCs w:val="24"/>
        </w:rPr>
        <w:t xml:space="preserve"> </w:t>
      </w:r>
      <w:r w:rsidRPr="00CA4C0B">
        <w:rPr>
          <w:rStyle w:val="None"/>
          <w:rFonts w:ascii="Book Antiqua" w:hAnsi="Book Antiqua"/>
          <w:color w:val="auto"/>
          <w:spacing w:val="-1"/>
          <w:sz w:val="24"/>
          <w:szCs w:val="24"/>
        </w:rPr>
        <w:t>or there are developed new lobules, even with unus</w:t>
      </w:r>
      <w:r w:rsidRPr="00CA4C0B">
        <w:rPr>
          <w:rStyle w:val="None"/>
          <w:rFonts w:ascii="Book Antiqua" w:hAnsi="Book Antiqua"/>
          <w:color w:val="auto"/>
          <w:spacing w:val="-1"/>
          <w:sz w:val="24"/>
          <w:szCs w:val="24"/>
        </w:rPr>
        <w:t>u</w:t>
      </w:r>
      <w:r w:rsidRPr="00CA4C0B">
        <w:rPr>
          <w:rStyle w:val="None"/>
          <w:rFonts w:ascii="Book Antiqua" w:hAnsi="Book Antiqua"/>
          <w:color w:val="auto"/>
          <w:spacing w:val="-1"/>
          <w:sz w:val="24"/>
          <w:szCs w:val="24"/>
        </w:rPr>
        <w:t>al architectonics</w:t>
      </w:r>
      <w:r w:rsidR="00CF6C6F" w:rsidRPr="00CA4C0B">
        <w:rPr>
          <w:rStyle w:val="None"/>
          <w:rFonts w:ascii="Book Antiqua" w:hAnsi="Book Antiqua"/>
          <w:color w:val="auto"/>
          <w:spacing w:val="-1"/>
          <w:sz w:val="24"/>
          <w:szCs w:val="24"/>
        </w:rPr>
        <w:fldChar w:fldCharType="begin" w:fldLock="1"/>
      </w:r>
      <w:r w:rsidR="00FE073E" w:rsidRPr="00CA4C0B">
        <w:rPr>
          <w:rStyle w:val="None"/>
          <w:rFonts w:ascii="Book Antiqua" w:hAnsi="Book Antiqua"/>
          <w:color w:val="auto"/>
          <w:spacing w:val="-1"/>
          <w:sz w:val="24"/>
          <w:szCs w:val="24"/>
        </w:rPr>
        <w:instrText>ADDIN CSL_CITATION {"citationItems":[{"id":"ITEM-1","itemData":{"DOI":"10.1186/s12876-014-0202-1","ISSN":"1471-230X","PMID":"25421900","abstract":"BACKGROUND We examined the intrinsic hepatic innervation after partial hepatectomy (PH) in rats and the presence and pattern of neural sprouting in regenerating liver. METHODS Male Wistar rats (age 9-13 weeks-w, weight 204-356 g), were submitted to two-thirds PH. Rats were sacrificed at postoperative days (d) 1, 3, 5, 7, at 2 and 4 w, and at 3 and 6 months (m) (6-7 animals/group, control group n</w:instrText>
      </w:r>
      <w:r w:rsidR="00FE073E" w:rsidRPr="00CA4C0B">
        <w:rPr>
          <w:rStyle w:val="None"/>
          <w:rFonts w:ascii="Times New Roman" w:hAnsi="Times New Roman" w:cs="Times New Roman"/>
          <w:color w:val="auto"/>
          <w:spacing w:val="-1"/>
          <w:sz w:val="24"/>
          <w:szCs w:val="24"/>
        </w:rPr>
        <w:instrText> </w:instrText>
      </w:r>
      <w:r w:rsidR="00FE073E" w:rsidRPr="00CA4C0B">
        <w:rPr>
          <w:rStyle w:val="None"/>
          <w:rFonts w:ascii="Book Antiqua" w:hAnsi="Book Antiqua"/>
          <w:color w:val="auto"/>
          <w:spacing w:val="-1"/>
          <w:sz w:val="24"/>
          <w:szCs w:val="24"/>
        </w:rPr>
        <w:instrText>=</w:instrText>
      </w:r>
      <w:r w:rsidR="00FE073E" w:rsidRPr="00CA4C0B">
        <w:rPr>
          <w:rStyle w:val="None"/>
          <w:rFonts w:ascii="Times New Roman" w:hAnsi="Times New Roman" w:cs="Times New Roman"/>
          <w:color w:val="auto"/>
          <w:spacing w:val="-1"/>
          <w:sz w:val="24"/>
          <w:szCs w:val="24"/>
        </w:rPr>
        <w:instrText> </w:instrText>
      </w:r>
      <w:r w:rsidR="00FE073E" w:rsidRPr="00CA4C0B">
        <w:rPr>
          <w:rStyle w:val="None"/>
          <w:rFonts w:ascii="Book Antiqua" w:hAnsi="Book Antiqua"/>
          <w:color w:val="auto"/>
          <w:spacing w:val="-1"/>
          <w:sz w:val="24"/>
          <w:szCs w:val="24"/>
        </w:rPr>
        <w:instrText>4). Immunohistochemistry for the pan-neural marker protein gene product 9.5 (PGP9.5) and growth-associated protein 43 (GAP-43), a marker of regenerating nerve axons, was performed on tissue sections from the R1 lobe of the regenerating liver. Portal tracts (PTs) with immunoreactive fibers were counted in each section and computer-assisted morphometric analysis (Image Pro Plus) was used to measure nerve fiber density (number of immuno-positive nerve fibers/mm2 (40x)). RESULTS Immunoreactivity for PGP9.5 was positive in all groups. The number of PGP9.5 (+) nerve fibers decreased from 0.32 +/- 0.12 (control group) to 0.18 +/- 0.09 (1d post-PH group), and gradually increased reaching pre-PH levels at 6 m (0.3 +/- 0.01). In contrast, immunoreactivity for GAP-43 was observed at 5d post-PH, and GAP-43 (+) PTs percentage increased thereafter with a peak at 3 m post-PH. GAP-43 (+) nerve fiber density increased gradually from 5d (0.05 +/- 0.06) with a peak at 3 m post-PH (0.21 +/- 0.027). At 6 m post-PH, immunoreactivity for GAP-43 was not detectable. CONCLUSIONS Following PH in rats: 1) nerve fiber density in portal tracts decreases temporarily, and 2) neural sprouting in the regenerating liver lobes starts at 5d, reaches peak levels at 3 m and disappears at 6 m post-PH, indicating that the increase in hepatic mass after PH provides an adequate stimulus for the sprouting process.","author":[{"dropping-particle":"","family":"Kandilis","given":"Apostolos N","non-dropping-particle":"","parse-names":false,"suffix":""},{"dropping-particle":"","family":"Koskinas","given":"John","non-dropping-particle":"","parse-names":false,"suffix":""},{"dropping-particle":"","family":"Vlachos","given":"Ioannis","non-dropping-particle":"","parse-names":false,"suffix":""},{"dropping-particle":"","family":"Skaltsas","given":"Spyridon","non-dropping-particle":"","parse-names":false,"suffix":""},{"dropping-particle":"","family":"Karandrea","given":"Despina","non-dropping-particle":"","parse-names":false,"suffix":""},{"dropping-particle":"","family":"Karakitsos","given":"Petros","non-dropping-particle":"","parse-names":false,"suffix":""},{"dropping-particle":"","family":"Pantopoulou","given":"Alkistis","non-dropping-particle":"","parse-names":false,"suffix":""},{"dropping-particle":"","family":"Palaiologou","given":"Marina","non-dropping-particle":"","parse-names":false,"suffix":""},{"dropping-particle":"","family":"Nikiteas","given":"Nikolaos","non-dropping-particle":"","parse-names":false,"suffix":""},{"dropping-particle":"","family":"Tiniakos","given":"Dina G","non-dropping-particle":"","parse-names":false,"suffix":""},{"dropping-particle":"","family":"Perrea","given":"Despina N","non-dropping-particle":"","parse-names":false,"suffix":""}],"container-title":"BMC gastroenterology","id":"ITEM-1","issue":"1","issued":{"date-parts":[["2014","11","25"]]},"page":"202","publisher":"BioMed Central Ltd.","title":"Liver regeneration: immunohistochemical study of intrinsic hepatic innervation after partial hepatectomy in rats.","type":"article-journal","volume":"14"},"uris":["http://www.mendeley.com/documents/?uuid=6a6bb90c-07a9-3b1f-888a-eca169f4596d"]}],"mendeley":{"formattedCitation":"&lt;sup&gt;[27]&lt;/sup&gt;","plainTextFormattedCitation":"[27]","previouslyFormattedCitation":"&lt;sup&gt;[27]&lt;/sup&gt;"},"properties":{"noteIndex":0},"schema":"https://github.com/citation-style-language/schema/raw/master/csl-citation.json"}</w:instrText>
      </w:r>
      <w:r w:rsidR="00CF6C6F" w:rsidRPr="00CA4C0B">
        <w:rPr>
          <w:rStyle w:val="None"/>
          <w:rFonts w:ascii="Book Antiqua" w:hAnsi="Book Antiqua"/>
          <w:color w:val="auto"/>
          <w:spacing w:val="-1"/>
          <w:sz w:val="24"/>
          <w:szCs w:val="24"/>
        </w:rPr>
        <w:fldChar w:fldCharType="separate"/>
      </w:r>
      <w:r w:rsidR="00CF6C6F" w:rsidRPr="00CA4C0B">
        <w:rPr>
          <w:rStyle w:val="None"/>
          <w:rFonts w:ascii="Book Antiqua" w:hAnsi="Book Antiqua"/>
          <w:noProof/>
          <w:color w:val="auto"/>
          <w:spacing w:val="-1"/>
          <w:sz w:val="24"/>
          <w:szCs w:val="24"/>
          <w:vertAlign w:val="superscript"/>
        </w:rPr>
        <w:t>[27]</w:t>
      </w:r>
      <w:r w:rsidR="00CF6C6F" w:rsidRPr="00CA4C0B">
        <w:rPr>
          <w:rStyle w:val="None"/>
          <w:rFonts w:ascii="Book Antiqua" w:hAnsi="Book Antiqua"/>
          <w:color w:val="auto"/>
          <w:spacing w:val="-1"/>
          <w:sz w:val="24"/>
          <w:szCs w:val="24"/>
        </w:rPr>
        <w:fldChar w:fldCharType="end"/>
      </w:r>
      <w:r w:rsidRPr="00CA4C0B">
        <w:rPr>
          <w:rStyle w:val="None"/>
          <w:rFonts w:ascii="Book Antiqua" w:hAnsi="Book Antiqua"/>
          <w:color w:val="auto"/>
          <w:spacing w:val="-1"/>
          <w:sz w:val="24"/>
          <w:szCs w:val="24"/>
        </w:rPr>
        <w:t xml:space="preserve">, or both processes are occurring, remains unsolved. </w:t>
      </w:r>
    </w:p>
    <w:p w14:paraId="2B80646F" w14:textId="632904AF" w:rsidR="004313EE" w:rsidRPr="00CA4C0B" w:rsidRDefault="00CE6644" w:rsidP="007F2CA0">
      <w:pPr>
        <w:pStyle w:val="a4"/>
        <w:snapToGrid w:val="0"/>
        <w:spacing w:line="360" w:lineRule="auto"/>
        <w:ind w:right="116" w:firstLineChars="100" w:firstLine="239"/>
        <w:jc w:val="both"/>
        <w:rPr>
          <w:rStyle w:val="None"/>
          <w:rFonts w:ascii="Book Antiqua" w:eastAsia="Times New Roman" w:hAnsi="Book Antiqua" w:cs="Times New Roman"/>
          <w:color w:val="auto"/>
          <w:spacing w:val="-1"/>
          <w:sz w:val="24"/>
          <w:szCs w:val="24"/>
        </w:rPr>
      </w:pPr>
      <w:r w:rsidRPr="00CA4C0B">
        <w:rPr>
          <w:rStyle w:val="None"/>
          <w:rFonts w:ascii="Book Antiqua" w:hAnsi="Book Antiqua"/>
          <w:color w:val="auto"/>
          <w:spacing w:val="-1"/>
          <w:sz w:val="24"/>
          <w:szCs w:val="24"/>
        </w:rPr>
        <w:t>The following also has to be specified: How are other tubular structures of the liver regenerating? How do they "follow" the growth of the body volume: by emerging "new branches" or by "extending" old branches? What transfo</w:t>
      </w:r>
      <w:r w:rsidRPr="00CA4C0B">
        <w:rPr>
          <w:rStyle w:val="None"/>
          <w:rFonts w:ascii="Book Antiqua" w:hAnsi="Book Antiqua"/>
          <w:color w:val="auto"/>
          <w:spacing w:val="-1"/>
          <w:sz w:val="24"/>
          <w:szCs w:val="24"/>
        </w:rPr>
        <w:t>r</w:t>
      </w:r>
      <w:r w:rsidRPr="00CA4C0B">
        <w:rPr>
          <w:rStyle w:val="None"/>
          <w:rFonts w:ascii="Book Antiqua" w:hAnsi="Book Antiqua"/>
          <w:color w:val="auto"/>
          <w:spacing w:val="-1"/>
          <w:sz w:val="24"/>
          <w:szCs w:val="24"/>
        </w:rPr>
        <w:t>mations are the architectonics of the liver lobule and its microcirculatory mo</w:t>
      </w:r>
      <w:r w:rsidRPr="00CA4C0B">
        <w:rPr>
          <w:rStyle w:val="None"/>
          <w:rFonts w:ascii="Book Antiqua" w:hAnsi="Book Antiqua"/>
          <w:color w:val="auto"/>
          <w:spacing w:val="-1"/>
          <w:sz w:val="24"/>
          <w:szCs w:val="24"/>
        </w:rPr>
        <w:t>d</w:t>
      </w:r>
      <w:r w:rsidRPr="00CA4C0B">
        <w:rPr>
          <w:rStyle w:val="None"/>
          <w:rFonts w:ascii="Book Antiqua" w:hAnsi="Book Antiqua"/>
          <w:color w:val="auto"/>
          <w:spacing w:val="-1"/>
          <w:sz w:val="24"/>
          <w:szCs w:val="24"/>
        </w:rPr>
        <w:t>ule undergoing?</w:t>
      </w:r>
    </w:p>
    <w:p w14:paraId="7799BFAD" w14:textId="64F2578C" w:rsidR="004313EE" w:rsidRPr="00CA4C0B" w:rsidRDefault="00CE6644" w:rsidP="007F2CA0">
      <w:pPr>
        <w:pStyle w:val="a4"/>
        <w:snapToGrid w:val="0"/>
        <w:spacing w:line="360" w:lineRule="auto"/>
        <w:ind w:right="116" w:firstLineChars="100" w:firstLine="239"/>
        <w:jc w:val="both"/>
        <w:rPr>
          <w:rStyle w:val="None"/>
          <w:rFonts w:ascii="Book Antiqua" w:eastAsia="Times New Roman" w:hAnsi="Book Antiqua" w:cs="Times New Roman"/>
          <w:color w:val="auto"/>
          <w:spacing w:val="-1"/>
          <w:sz w:val="24"/>
          <w:szCs w:val="24"/>
        </w:rPr>
      </w:pPr>
      <w:r w:rsidRPr="00CA4C0B">
        <w:rPr>
          <w:rStyle w:val="None"/>
          <w:rFonts w:ascii="Book Antiqua" w:hAnsi="Book Antiqua"/>
          <w:color w:val="auto"/>
          <w:spacing w:val="-1"/>
          <w:sz w:val="24"/>
          <w:szCs w:val="24"/>
        </w:rPr>
        <w:t>The question as to what happens after repeated liver resection following the partial hepatectomy, when the liver continues to "grow" and returns to its initial size, remains unanswered. Is the transformation of architectonics different, or is it performed in the same manner as in the case of the first regeneration?</w:t>
      </w:r>
    </w:p>
    <w:p w14:paraId="605B4961" w14:textId="77777777" w:rsidR="004313EE" w:rsidRPr="00CA4C0B" w:rsidRDefault="00CE6644" w:rsidP="007F2CA0">
      <w:pPr>
        <w:pStyle w:val="a4"/>
        <w:snapToGrid w:val="0"/>
        <w:spacing w:line="360" w:lineRule="auto"/>
        <w:ind w:right="115" w:firstLineChars="100" w:firstLine="239"/>
        <w:jc w:val="both"/>
        <w:rPr>
          <w:rStyle w:val="None"/>
          <w:rFonts w:ascii="Book Antiqua" w:eastAsia="Times New Roman" w:hAnsi="Book Antiqua" w:cs="Times New Roman"/>
          <w:color w:val="auto"/>
          <w:spacing w:val="-1"/>
          <w:sz w:val="24"/>
          <w:szCs w:val="24"/>
        </w:rPr>
      </w:pPr>
      <w:r w:rsidRPr="00CA4C0B">
        <w:rPr>
          <w:rStyle w:val="None"/>
          <w:rFonts w:ascii="Book Antiqua" w:hAnsi="Book Antiqua"/>
          <w:color w:val="auto"/>
          <w:spacing w:val="-1"/>
          <w:sz w:val="24"/>
          <w:szCs w:val="24"/>
        </w:rPr>
        <w:t>Besides, it is important to study the liver tissue not only in the regeneration period immediately post-resection but also after passing a significant amount of time following the surgery, when the structural transformations are complete. Such a study should answer the question: "What is the difference between the architectonics of normal and regenerated liver?".</w:t>
      </w:r>
    </w:p>
    <w:p w14:paraId="0BDDEF8F" w14:textId="77777777" w:rsidR="004313EE" w:rsidRPr="00CA4C0B" w:rsidRDefault="00CE6644" w:rsidP="007F2CA0">
      <w:pPr>
        <w:pStyle w:val="BodyA"/>
        <w:snapToGrid w:val="0"/>
        <w:spacing w:after="0" w:line="360" w:lineRule="auto"/>
        <w:ind w:firstLineChars="100" w:firstLine="239"/>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pacing w:val="-1"/>
          <w:sz w:val="24"/>
          <w:szCs w:val="24"/>
        </w:rPr>
        <w:t>The present study aims to describe the transformation of liver lobules and ci</w:t>
      </w:r>
      <w:r w:rsidRPr="00CA4C0B">
        <w:rPr>
          <w:rStyle w:val="None"/>
          <w:rFonts w:ascii="Book Antiqua" w:hAnsi="Book Antiqua"/>
          <w:color w:val="auto"/>
          <w:spacing w:val="-1"/>
          <w:sz w:val="24"/>
          <w:szCs w:val="24"/>
        </w:rPr>
        <w:t>r</w:t>
      </w:r>
      <w:r w:rsidRPr="00CA4C0B">
        <w:rPr>
          <w:rStyle w:val="None"/>
          <w:rFonts w:ascii="Book Antiqua" w:hAnsi="Book Antiqua"/>
          <w:color w:val="auto"/>
          <w:spacing w:val="-1"/>
          <w:sz w:val="24"/>
          <w:szCs w:val="24"/>
        </w:rPr>
        <w:t>culatory beds in remote periods from surgery after partial hepatectomy and r</w:t>
      </w:r>
      <w:r w:rsidRPr="00CA4C0B">
        <w:rPr>
          <w:rStyle w:val="None"/>
          <w:rFonts w:ascii="Book Antiqua" w:hAnsi="Book Antiqua"/>
          <w:color w:val="auto"/>
          <w:spacing w:val="-1"/>
          <w:sz w:val="24"/>
          <w:szCs w:val="24"/>
        </w:rPr>
        <w:t>e</w:t>
      </w:r>
      <w:r w:rsidRPr="00CA4C0B">
        <w:rPr>
          <w:rStyle w:val="None"/>
          <w:rFonts w:ascii="Book Antiqua" w:hAnsi="Book Antiqua"/>
          <w:color w:val="auto"/>
          <w:spacing w:val="-1"/>
          <w:sz w:val="24"/>
          <w:szCs w:val="24"/>
        </w:rPr>
        <w:t>peated partial hepatectomy for the comparative analysis of architectonics of no</w:t>
      </w:r>
      <w:r w:rsidRPr="00CA4C0B">
        <w:rPr>
          <w:rStyle w:val="None"/>
          <w:rFonts w:ascii="Book Antiqua" w:hAnsi="Book Antiqua"/>
          <w:color w:val="auto"/>
          <w:spacing w:val="-1"/>
          <w:sz w:val="24"/>
          <w:szCs w:val="24"/>
        </w:rPr>
        <w:t>r</w:t>
      </w:r>
      <w:r w:rsidRPr="00CA4C0B">
        <w:rPr>
          <w:rStyle w:val="None"/>
          <w:rFonts w:ascii="Book Antiqua" w:hAnsi="Book Antiqua"/>
          <w:color w:val="auto"/>
          <w:spacing w:val="-1"/>
          <w:sz w:val="24"/>
          <w:szCs w:val="24"/>
        </w:rPr>
        <w:t>mal and regenerated liver.</w:t>
      </w:r>
    </w:p>
    <w:p w14:paraId="355BC80E" w14:textId="77777777" w:rsidR="009A5E33" w:rsidRPr="00CA4C0B" w:rsidRDefault="009A5E33" w:rsidP="007F2CA0">
      <w:pPr>
        <w:snapToGrid w:val="0"/>
        <w:spacing w:line="360" w:lineRule="auto"/>
        <w:jc w:val="both"/>
        <w:rPr>
          <w:rStyle w:val="None"/>
          <w:rFonts w:ascii="Book Antiqua" w:hAnsi="Book Antiqua"/>
          <w:b/>
          <w:bCs/>
        </w:rPr>
      </w:pPr>
    </w:p>
    <w:p w14:paraId="5C3BE596" w14:textId="040F0CA2" w:rsidR="004313EE" w:rsidRPr="00CA4C0B" w:rsidRDefault="00CE6644" w:rsidP="007F2CA0">
      <w:pPr>
        <w:snapToGrid w:val="0"/>
        <w:spacing w:line="360" w:lineRule="auto"/>
        <w:jc w:val="both"/>
        <w:rPr>
          <w:rStyle w:val="None"/>
          <w:rFonts w:ascii="Book Antiqua" w:eastAsia="Times New Roman" w:hAnsi="Book Antiqua"/>
          <w:b/>
          <w:bCs/>
          <w:caps/>
          <w:u w:val="single"/>
        </w:rPr>
      </w:pPr>
      <w:r w:rsidRPr="00CA4C0B">
        <w:rPr>
          <w:rStyle w:val="None"/>
          <w:rFonts w:ascii="Book Antiqua" w:hAnsi="Book Antiqua"/>
          <w:b/>
          <w:bCs/>
          <w:caps/>
          <w:u w:val="single"/>
        </w:rPr>
        <w:t>Materials</w:t>
      </w:r>
      <w:r w:rsidR="009A5E33" w:rsidRPr="00CA4C0B">
        <w:rPr>
          <w:rStyle w:val="None"/>
          <w:rFonts w:ascii="Book Antiqua" w:hAnsi="Book Antiqua"/>
          <w:b/>
          <w:bCs/>
          <w:caps/>
          <w:u w:val="single"/>
        </w:rPr>
        <w:t xml:space="preserve"> and Methods</w:t>
      </w:r>
    </w:p>
    <w:p w14:paraId="00E3A4E1" w14:textId="1E6AD494" w:rsidR="004313EE" w:rsidRPr="00CA4C0B" w:rsidRDefault="00A06347" w:rsidP="007F2CA0">
      <w:pPr>
        <w:snapToGrid w:val="0"/>
        <w:spacing w:line="360" w:lineRule="auto"/>
        <w:jc w:val="both"/>
        <w:rPr>
          <w:rStyle w:val="None"/>
          <w:rFonts w:ascii="Book Antiqua" w:eastAsia="Times New Roman" w:hAnsi="Book Antiqua"/>
          <w:b/>
          <w:bCs/>
          <w:i/>
          <w:shd w:val="clear" w:color="auto" w:fill="FFFF00"/>
        </w:rPr>
      </w:pPr>
      <w:r w:rsidRPr="00CA4C0B">
        <w:rPr>
          <w:rStyle w:val="None"/>
          <w:rFonts w:ascii="Book Antiqua" w:hAnsi="Book Antiqua"/>
          <w:b/>
          <w:bCs/>
          <w:i/>
        </w:rPr>
        <w:lastRenderedPageBreak/>
        <w:t>Design</w:t>
      </w:r>
    </w:p>
    <w:p w14:paraId="3839091B" w14:textId="3D12441A" w:rsidR="004313EE" w:rsidRPr="00CA4C0B" w:rsidRDefault="00CE6644" w:rsidP="007F2CA0">
      <w:pPr>
        <w:pStyle w:val="a5"/>
        <w:snapToGrid w:val="0"/>
        <w:spacing w:after="0" w:line="360" w:lineRule="auto"/>
        <w:ind w:left="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 xml:space="preserve">The experiments were conducted on 40 </w:t>
      </w:r>
      <w:r w:rsidR="00343937" w:rsidRPr="00CA4C0B">
        <w:rPr>
          <w:rStyle w:val="None"/>
          <w:rFonts w:ascii="Book Antiqua" w:hAnsi="Book Antiqua"/>
          <w:color w:val="auto"/>
          <w:sz w:val="24"/>
          <w:szCs w:val="24"/>
        </w:rPr>
        <w:t>adult</w:t>
      </w:r>
      <w:r w:rsidRPr="00CA4C0B">
        <w:rPr>
          <w:rStyle w:val="None"/>
          <w:rFonts w:ascii="Book Antiqua" w:hAnsi="Book Antiqua"/>
          <w:color w:val="auto"/>
          <w:sz w:val="24"/>
          <w:szCs w:val="24"/>
        </w:rPr>
        <w:t>, male, albino Wistar rats weighing 180</w:t>
      </w:r>
      <w:r w:rsidR="00A06347" w:rsidRPr="00CA4C0B">
        <w:rPr>
          <w:rStyle w:val="None"/>
          <w:rFonts w:ascii="Book Antiqua" w:hAnsi="Book Antiqua"/>
          <w:color w:val="auto"/>
          <w:sz w:val="24"/>
          <w:szCs w:val="24"/>
        </w:rPr>
        <w:t>-</w:t>
      </w:r>
      <w:r w:rsidRPr="00CA4C0B">
        <w:rPr>
          <w:rStyle w:val="None"/>
          <w:rFonts w:ascii="Book Antiqua" w:hAnsi="Book Antiqua"/>
          <w:color w:val="auto"/>
          <w:sz w:val="24"/>
          <w:szCs w:val="24"/>
        </w:rPr>
        <w:t>220 g.</w:t>
      </w:r>
      <w:r w:rsidR="00A06347"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Our experimental study involved the control group (CG) and two study groups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xml:space="preserve"> and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The control group was presented with sham-operated rats (surgery included laparotomy and abdominal cavity revision). The rodents of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xml:space="preserve"> underwent 70% hepatectomy. The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xml:space="preserve"> was presented with rats that underwent the repeated 70% hepatectomy 9 months after primary interve</w:t>
      </w:r>
      <w:r w:rsidRPr="00CA4C0B">
        <w:rPr>
          <w:rStyle w:val="None"/>
          <w:rFonts w:ascii="Book Antiqua" w:hAnsi="Book Antiqua"/>
          <w:color w:val="auto"/>
          <w:sz w:val="24"/>
          <w:szCs w:val="24"/>
        </w:rPr>
        <w:t>n</w:t>
      </w:r>
      <w:r w:rsidRPr="00CA4C0B">
        <w:rPr>
          <w:rStyle w:val="None"/>
          <w:rFonts w:ascii="Book Antiqua" w:hAnsi="Book Antiqua"/>
          <w:color w:val="auto"/>
          <w:sz w:val="24"/>
          <w:szCs w:val="24"/>
        </w:rPr>
        <w:t>tion. The liver tissues were studied after 9 months from sham-operation (CG) and primary 70% hepatectomy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also after six months from repeated 70% hepatectomy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w:t>
      </w:r>
    </w:p>
    <w:p w14:paraId="7F1F2194" w14:textId="0119706E" w:rsidR="004313EE" w:rsidRPr="00CA4C0B" w:rsidRDefault="00CE6644" w:rsidP="007F2CA0">
      <w:pPr>
        <w:pStyle w:val="a5"/>
        <w:snapToGrid w:val="0"/>
        <w:spacing w:after="0" w:line="360" w:lineRule="auto"/>
        <w:ind w:left="0"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 xml:space="preserve">The livers were studied histologically </w:t>
      </w:r>
      <w:r w:rsidR="00445673" w:rsidRPr="00CA4C0B">
        <w:rPr>
          <w:rStyle w:val="None"/>
          <w:rFonts w:ascii="Book Antiqua" w:hAnsi="Book Antiqua"/>
          <w:color w:val="auto"/>
          <w:sz w:val="24"/>
          <w:szCs w:val="24"/>
        </w:rPr>
        <w:t>[hematoxylin and eosin (H&amp;E)</w:t>
      </w:r>
      <w:r w:rsidRPr="00CA4C0B">
        <w:rPr>
          <w:rStyle w:val="None"/>
          <w:rFonts w:ascii="Book Antiqua" w:hAnsi="Book Antiqua"/>
          <w:color w:val="auto"/>
          <w:sz w:val="24"/>
          <w:szCs w:val="24"/>
        </w:rPr>
        <w:t>, Masson trichrome, CK8 Immunohistochemical marker, transparent slides after Indian Ink injection</w:t>
      </w:r>
      <w:r w:rsidR="00445673" w:rsidRPr="00CA4C0B">
        <w:rPr>
          <w:rStyle w:val="None"/>
          <w:rFonts w:ascii="Book Antiqua" w:hAnsi="Book Antiqua"/>
          <w:color w:val="auto"/>
          <w:sz w:val="24"/>
          <w:szCs w:val="24"/>
        </w:rPr>
        <w:t>]</w:t>
      </w:r>
      <w:r w:rsidRPr="00CA4C0B">
        <w:rPr>
          <w:rStyle w:val="None"/>
          <w:rFonts w:ascii="Book Antiqua" w:hAnsi="Book Antiqua"/>
          <w:color w:val="auto"/>
          <w:sz w:val="24"/>
          <w:szCs w:val="24"/>
        </w:rPr>
        <w:t xml:space="preserve">, morphometrically (hepatocytes areas, perimeters, and ploidy) and by </w:t>
      </w:r>
      <w:r w:rsidR="00A30EDE" w:rsidRPr="00CA4C0B">
        <w:rPr>
          <w:rStyle w:val="None"/>
          <w:rFonts w:ascii="Book Antiqua" w:hAnsi="Book Antiqua"/>
          <w:color w:val="auto"/>
          <w:sz w:val="24"/>
          <w:szCs w:val="24"/>
        </w:rPr>
        <w:t>scanning electron microscopy</w:t>
      </w:r>
      <w:r w:rsidRPr="00CA4C0B">
        <w:rPr>
          <w:rStyle w:val="None"/>
          <w:rFonts w:ascii="Book Antiqua" w:hAnsi="Book Antiqua"/>
          <w:color w:val="auto"/>
          <w:sz w:val="24"/>
          <w:szCs w:val="24"/>
        </w:rPr>
        <w:t xml:space="preserve"> (SEM) of corrosion casts. (The distribution of the experimental animals in accordance with experimental models and research methods is presented in the </w:t>
      </w:r>
      <w:r w:rsidR="003D4AE0" w:rsidRPr="00CA4C0B">
        <w:rPr>
          <w:rStyle w:val="None"/>
          <w:rFonts w:ascii="Book Antiqua" w:hAnsi="Book Antiqua"/>
          <w:caps/>
          <w:color w:val="auto"/>
          <w:sz w:val="24"/>
          <w:szCs w:val="24"/>
        </w:rPr>
        <w:t>t</w:t>
      </w:r>
      <w:r w:rsidR="00F7733D" w:rsidRPr="00CA4C0B">
        <w:rPr>
          <w:rStyle w:val="None"/>
          <w:rFonts w:ascii="Book Antiqua" w:hAnsi="Book Antiqua"/>
          <w:color w:val="auto"/>
          <w:sz w:val="24"/>
          <w:szCs w:val="24"/>
        </w:rPr>
        <w:t xml:space="preserve">able </w:t>
      </w:r>
      <w:r w:rsidR="003D4AE0" w:rsidRPr="00CA4C0B">
        <w:rPr>
          <w:rStyle w:val="None"/>
          <w:rFonts w:ascii="Book Antiqua" w:hAnsi="Book Antiqua"/>
          <w:color w:val="auto"/>
          <w:sz w:val="24"/>
          <w:szCs w:val="24"/>
        </w:rPr>
        <w:t xml:space="preserve">1. </w:t>
      </w:r>
    </w:p>
    <w:p w14:paraId="74FF609B" w14:textId="77777777" w:rsidR="004313EE" w:rsidRPr="00CA4C0B" w:rsidRDefault="004313EE" w:rsidP="007F2CA0">
      <w:pPr>
        <w:pStyle w:val="BodyA"/>
        <w:snapToGrid w:val="0"/>
        <w:spacing w:after="0" w:line="360" w:lineRule="auto"/>
        <w:jc w:val="both"/>
        <w:rPr>
          <w:rStyle w:val="None"/>
          <w:rFonts w:ascii="Book Antiqua" w:eastAsia="Times New Roman" w:hAnsi="Book Antiqua" w:cs="Times New Roman"/>
          <w:color w:val="auto"/>
          <w:sz w:val="24"/>
          <w:szCs w:val="24"/>
        </w:rPr>
      </w:pPr>
    </w:p>
    <w:p w14:paraId="042A07B5" w14:textId="119DD7FC" w:rsidR="004313EE" w:rsidRPr="00CA4C0B" w:rsidRDefault="00CE6644" w:rsidP="007F2CA0">
      <w:pPr>
        <w:pStyle w:val="BodyA"/>
        <w:snapToGrid w:val="0"/>
        <w:spacing w:after="0" w:line="360" w:lineRule="auto"/>
        <w:jc w:val="both"/>
        <w:rPr>
          <w:rStyle w:val="None"/>
          <w:rFonts w:ascii="Book Antiqua" w:eastAsia="Times New Roman" w:hAnsi="Book Antiqua" w:cs="Times New Roman"/>
          <w:b/>
          <w:bCs/>
          <w:i/>
          <w:color w:val="auto"/>
          <w:sz w:val="24"/>
          <w:szCs w:val="24"/>
        </w:rPr>
      </w:pPr>
      <w:r w:rsidRPr="00CA4C0B">
        <w:rPr>
          <w:rStyle w:val="None"/>
          <w:rFonts w:ascii="Book Antiqua" w:hAnsi="Book Antiqua"/>
          <w:b/>
          <w:bCs/>
          <w:i/>
          <w:color w:val="auto"/>
          <w:sz w:val="24"/>
          <w:szCs w:val="24"/>
        </w:rPr>
        <w:t xml:space="preserve">Surgery procedures </w:t>
      </w:r>
    </w:p>
    <w:p w14:paraId="5B7665B9" w14:textId="37D6769B" w:rsidR="004313EE" w:rsidRPr="00CA4C0B" w:rsidRDefault="00CE6644" w:rsidP="007F2CA0">
      <w:pPr>
        <w:pStyle w:val="BodyA"/>
        <w:snapToGrid w:val="0"/>
        <w:spacing w:after="0" w:line="360" w:lineRule="auto"/>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 xml:space="preserve">The surgical operations were performed on animals in the morning, in the fasting state, under diethyl ether general anesthesia. The animal protocol was designed to minimize pain or discomfort to the animals during the operation as well as in post-operative periods. The animals were acclimatized to laboratory conditions (22 </w:t>
      </w:r>
      <w:r w:rsidRPr="00CA4C0B">
        <w:rPr>
          <w:rStyle w:val="None"/>
          <w:rFonts w:ascii="Book Antiqua" w:hAnsi="Book Antiqua"/>
          <w:color w:val="auto"/>
          <w:sz w:val="24"/>
          <w:szCs w:val="24"/>
          <w:lang w:val="it-IT"/>
        </w:rPr>
        <w:t>°</w:t>
      </w:r>
      <w:r w:rsidRPr="00CA4C0B">
        <w:rPr>
          <w:rStyle w:val="None"/>
          <w:rFonts w:ascii="Book Antiqua" w:hAnsi="Book Antiqua"/>
          <w:color w:val="auto"/>
          <w:sz w:val="24"/>
          <w:szCs w:val="24"/>
        </w:rPr>
        <w:t xml:space="preserve">C, 12 h/12 h light/dark, 60% humidity, </w:t>
      </w:r>
      <w:r w:rsidRPr="00CA4C0B">
        <w:rPr>
          <w:rStyle w:val="None"/>
          <w:rFonts w:ascii="Book Antiqua" w:hAnsi="Book Antiqua"/>
          <w:i/>
          <w:iCs/>
          <w:color w:val="auto"/>
          <w:sz w:val="24"/>
          <w:szCs w:val="24"/>
          <w:lang w:val="it-IT"/>
        </w:rPr>
        <w:t>ad libitum</w:t>
      </w:r>
      <w:r w:rsidRPr="00CA4C0B">
        <w:rPr>
          <w:rStyle w:val="None"/>
          <w:rFonts w:ascii="Book Antiqua" w:hAnsi="Book Antiqua"/>
          <w:color w:val="auto"/>
          <w:sz w:val="24"/>
          <w:szCs w:val="24"/>
        </w:rPr>
        <w:t xml:space="preserve"> access to food and water) prior to experimentation and after surgery (limitation was in place on the days before the operation and</w:t>
      </w:r>
      <w:r w:rsidR="00F7733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xml:space="preserve">before the </w:t>
      </w:r>
      <w:r w:rsidRPr="00CA4C0B">
        <w:rPr>
          <w:rStyle w:val="None"/>
          <w:rFonts w:ascii="Book Antiqua" w:hAnsi="Book Antiqua"/>
          <w:color w:val="auto"/>
          <w:sz w:val="24"/>
          <w:szCs w:val="24"/>
          <w:lang w:val="fr-FR"/>
        </w:rPr>
        <w:t>intervention).</w:t>
      </w:r>
      <w:r w:rsidR="00F7733D" w:rsidRPr="00CA4C0B">
        <w:rPr>
          <w:rStyle w:val="None"/>
          <w:rFonts w:ascii="Book Antiqua" w:hAnsi="Book Antiqua"/>
          <w:color w:val="auto"/>
          <w:sz w:val="24"/>
          <w:szCs w:val="24"/>
          <w:lang w:val="fr-FR"/>
        </w:rPr>
        <w:t xml:space="preserve"> </w:t>
      </w:r>
    </w:p>
    <w:p w14:paraId="758BFB0E" w14:textId="77777777" w:rsidR="00A06347" w:rsidRPr="00CA4C0B" w:rsidRDefault="00A06347" w:rsidP="007F2CA0">
      <w:pPr>
        <w:pStyle w:val="BodyA"/>
        <w:snapToGrid w:val="0"/>
        <w:spacing w:after="0" w:line="360" w:lineRule="auto"/>
        <w:jc w:val="both"/>
        <w:rPr>
          <w:rStyle w:val="None"/>
          <w:rFonts w:ascii="Book Antiqua" w:hAnsi="Book Antiqua"/>
          <w:b/>
          <w:bCs/>
          <w:i/>
          <w:iCs/>
          <w:color w:val="auto"/>
          <w:sz w:val="24"/>
          <w:szCs w:val="24"/>
          <w:u w:val="single"/>
        </w:rPr>
      </w:pPr>
    </w:p>
    <w:p w14:paraId="11DC7544" w14:textId="2467AE45" w:rsidR="004313EE" w:rsidRPr="00CA4C0B" w:rsidRDefault="00CE6644" w:rsidP="007F2CA0">
      <w:pPr>
        <w:pStyle w:val="BodyA"/>
        <w:snapToGrid w:val="0"/>
        <w:spacing w:after="0" w:line="360" w:lineRule="auto"/>
        <w:jc w:val="both"/>
        <w:rPr>
          <w:rStyle w:val="None"/>
          <w:rFonts w:ascii="Book Antiqua" w:eastAsia="Times New Roman" w:hAnsi="Book Antiqua" w:cs="Times New Roman"/>
          <w:b/>
          <w:bCs/>
          <w:color w:val="auto"/>
          <w:sz w:val="24"/>
          <w:szCs w:val="24"/>
        </w:rPr>
      </w:pPr>
      <w:r w:rsidRPr="00CA4C0B">
        <w:rPr>
          <w:rStyle w:val="None"/>
          <w:rFonts w:ascii="Book Antiqua" w:hAnsi="Book Antiqua"/>
          <w:b/>
          <w:bCs/>
          <w:iCs/>
          <w:color w:val="auto"/>
          <w:sz w:val="24"/>
          <w:szCs w:val="24"/>
        </w:rPr>
        <w:t xml:space="preserve">Primary </w:t>
      </w:r>
      <w:r w:rsidR="00A06347" w:rsidRPr="00CA4C0B">
        <w:rPr>
          <w:rStyle w:val="None"/>
          <w:rFonts w:ascii="Book Antiqua" w:hAnsi="Book Antiqua"/>
          <w:b/>
          <w:bCs/>
          <w:iCs/>
          <w:color w:val="auto"/>
          <w:sz w:val="24"/>
          <w:szCs w:val="24"/>
        </w:rPr>
        <w:t>partial hepatectomy</w:t>
      </w:r>
      <w:r w:rsidR="00CE6FA4" w:rsidRPr="00CA4C0B">
        <w:rPr>
          <w:rStyle w:val="None"/>
          <w:rFonts w:ascii="Book Antiqua" w:hAnsi="Book Antiqua"/>
          <w:b/>
          <w:bCs/>
          <w:iCs/>
          <w:color w:val="auto"/>
          <w:sz w:val="24"/>
          <w:szCs w:val="24"/>
        </w:rPr>
        <w:t xml:space="preserve">: </w:t>
      </w:r>
      <w:r w:rsidRPr="00CA4C0B">
        <w:rPr>
          <w:rStyle w:val="None"/>
          <w:rFonts w:ascii="Book Antiqua" w:hAnsi="Book Antiqua"/>
          <w:color w:val="auto"/>
          <w:sz w:val="24"/>
          <w:szCs w:val="24"/>
        </w:rPr>
        <w:t xml:space="preserve">PH was performed according to the Claudia Mitchell &amp; Holger </w:t>
      </w:r>
      <w:proofErr w:type="spellStart"/>
      <w:r w:rsidRPr="00CA4C0B">
        <w:rPr>
          <w:rStyle w:val="None"/>
          <w:rFonts w:ascii="Book Antiqua" w:hAnsi="Book Antiqua"/>
          <w:color w:val="auto"/>
          <w:sz w:val="24"/>
          <w:szCs w:val="24"/>
        </w:rPr>
        <w:t>Willenbring</w:t>
      </w:r>
      <w:proofErr w:type="spellEnd"/>
      <w:r w:rsidRPr="00CA4C0B">
        <w:rPr>
          <w:rStyle w:val="None"/>
          <w:rFonts w:ascii="Book Antiqua" w:hAnsi="Book Antiqua"/>
          <w:color w:val="auto"/>
          <w:sz w:val="24"/>
          <w:szCs w:val="24"/>
        </w:rPr>
        <w:t xml:space="preserve"> protocol with the application of double knot su</w:t>
      </w:r>
      <w:r w:rsidRPr="00CA4C0B">
        <w:rPr>
          <w:rStyle w:val="None"/>
          <w:rFonts w:ascii="Book Antiqua" w:hAnsi="Book Antiqua"/>
          <w:color w:val="auto"/>
          <w:sz w:val="24"/>
          <w:szCs w:val="24"/>
        </w:rPr>
        <w:t>r</w:t>
      </w:r>
      <w:r w:rsidRPr="00CA4C0B">
        <w:rPr>
          <w:rStyle w:val="None"/>
          <w:rFonts w:ascii="Book Antiqua" w:hAnsi="Book Antiqua"/>
          <w:color w:val="auto"/>
          <w:sz w:val="24"/>
          <w:szCs w:val="24"/>
        </w:rPr>
        <w:t>gery</w:t>
      </w:r>
      <w:r w:rsidR="00FE073E" w:rsidRPr="00CA4C0B">
        <w:rPr>
          <w:rStyle w:val="None"/>
          <w:rFonts w:ascii="Book Antiqua" w:hAnsi="Book Antiqua"/>
          <w:color w:val="auto"/>
          <w:sz w:val="24"/>
          <w:szCs w:val="24"/>
        </w:rPr>
        <w:fldChar w:fldCharType="begin" w:fldLock="1"/>
      </w:r>
      <w:r w:rsidR="00D16022" w:rsidRPr="00CA4C0B">
        <w:rPr>
          <w:rStyle w:val="None"/>
          <w:rFonts w:ascii="Book Antiqua" w:hAnsi="Book Antiqua"/>
          <w:color w:val="auto"/>
          <w:sz w:val="24"/>
          <w:szCs w:val="24"/>
        </w:rPr>
        <w:instrText>ADDIN CSL_CITATION {"citationItems":[{"id":"ITEM-1","itemData":{"DOI":"10.1038/nprot.2008.80","ISSN":"1754-2189","PMID":"18600221","abstract":"The ability of hepatocytes to enter the cell cycle and regenerate the liver after tissue loss provides an in vivo model to study the regulation of proliferation and organ regeneration. The extent of hepatocyte proliferation is directly proportional to the amount of resected liver tissue, and 2/3 partial hepatectomy (2/3 PH) leads to highly synchronized hepatocyte cell-cycle entry and progression. This surgical technique was first described in rats and requires modification for application in mice. Lack of standardization of 2/3 PH in mice has caused discrepancies in the results obtained in different laboratories. Here, we provide a protocol and a movie describing a straightforward surgical technique, which takes 15-20 min, to consistently remove two-thirds of the liver in mice. As this protocol is not associated with mortality and gives highly reproducible results, we hope that it will be widely used and serve to standardize 2/3 PH in mice.","author":[{"dropping-particle":"","family":"Mitchell","given":"Claudia","non-dropping-particle":"","parse-names":false,"suffix":""},{"dropping-particle":"","family":"Willenbring","given":"Holger","non-dropping-particle":"","parse-names":false,"suffix":""}],"container-title":"Nature Protocols","id":"ITEM-1","issue":"7","issued":{"date-parts":[["2008","7","19"]]},"page":"1167-1170","publisher":"Nature Publishing Group","title":"A reproducible and well-tolerated method for 2/3 partial hepatectomy in mice","type":"article-journal","volume":"3"},"uris":["http://www.mendeley.com/documents/?uuid=053415c6-70ce-363e-aee4-16592c81e456"]}],"mendeley":{"formattedCitation":"&lt;sup&gt;[10]&lt;/sup&gt;","plainTextFormattedCitation":"[10]","previouslyFormattedCitation":"&lt;sup&gt;[10]&lt;/sup&gt;"},"properties":{"noteIndex":0},"schema":"https://github.com/citation-style-language/schema/raw/master/csl-citation.json"}</w:instrText>
      </w:r>
      <w:r w:rsidR="00FE073E" w:rsidRPr="00CA4C0B">
        <w:rPr>
          <w:rStyle w:val="None"/>
          <w:rFonts w:ascii="Book Antiqua" w:hAnsi="Book Antiqua"/>
          <w:color w:val="auto"/>
          <w:sz w:val="24"/>
          <w:szCs w:val="24"/>
        </w:rPr>
        <w:fldChar w:fldCharType="separate"/>
      </w:r>
      <w:r w:rsidR="00FE073E" w:rsidRPr="00CA4C0B">
        <w:rPr>
          <w:rStyle w:val="None"/>
          <w:rFonts w:ascii="Book Antiqua" w:hAnsi="Book Antiqua"/>
          <w:noProof/>
          <w:color w:val="auto"/>
          <w:sz w:val="24"/>
          <w:szCs w:val="24"/>
          <w:vertAlign w:val="superscript"/>
        </w:rPr>
        <w:t>[10]</w:t>
      </w:r>
      <w:r w:rsidR="00FE073E" w:rsidRPr="00CA4C0B">
        <w:rPr>
          <w:rStyle w:val="None"/>
          <w:rFonts w:ascii="Book Antiqua" w:hAnsi="Book Antiqua"/>
          <w:color w:val="auto"/>
          <w:sz w:val="24"/>
          <w:szCs w:val="24"/>
        </w:rPr>
        <w:fldChar w:fldCharType="end"/>
      </w:r>
      <w:r w:rsidRPr="00CA4C0B">
        <w:rPr>
          <w:rStyle w:val="None"/>
          <w:rFonts w:ascii="Book Antiqua" w:hAnsi="Book Antiqua"/>
          <w:color w:val="auto"/>
          <w:sz w:val="24"/>
          <w:szCs w:val="24"/>
        </w:rPr>
        <w:t xml:space="preserve">. After opening the abdominal cavity of the rat, the liver was mobilized by </w:t>
      </w:r>
      <w:r w:rsidRPr="00CA4C0B">
        <w:rPr>
          <w:rStyle w:val="None"/>
          <w:rFonts w:ascii="Book Antiqua" w:hAnsi="Book Antiqua"/>
          <w:color w:val="auto"/>
          <w:sz w:val="24"/>
          <w:szCs w:val="24"/>
        </w:rPr>
        <w:lastRenderedPageBreak/>
        <w:t>sectioning the liver ligaments. The first ligature was followed by the excision of the left lateral lobe (about 26% of the liver mass), while the second ligature by the excision of the medial lobe of the liver (about 40% of the liver mass).</w:t>
      </w:r>
    </w:p>
    <w:p w14:paraId="518B7F07" w14:textId="77777777" w:rsidR="004313EE" w:rsidRPr="00CA4C0B" w:rsidRDefault="00CE6644" w:rsidP="007F2CA0">
      <w:pPr>
        <w:pStyle w:val="a5"/>
        <w:snapToGrid w:val="0"/>
        <w:spacing w:after="0" w:line="360" w:lineRule="auto"/>
        <w:ind w:left="0" w:firstLineChars="200" w:firstLine="48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The resected liver tissue was examined macro- and microscopically to find out any pathology.</w:t>
      </w:r>
    </w:p>
    <w:p w14:paraId="5325DBF9" w14:textId="77777777" w:rsidR="004537C6" w:rsidRPr="00CA4C0B" w:rsidRDefault="004537C6" w:rsidP="007F2CA0">
      <w:pPr>
        <w:pStyle w:val="BodyA"/>
        <w:snapToGrid w:val="0"/>
        <w:spacing w:after="0" w:line="360" w:lineRule="auto"/>
        <w:jc w:val="both"/>
        <w:rPr>
          <w:rStyle w:val="None"/>
          <w:rFonts w:ascii="Book Antiqua" w:hAnsi="Book Antiqua"/>
          <w:b/>
          <w:bCs/>
          <w:i/>
          <w:iCs/>
          <w:color w:val="auto"/>
          <w:sz w:val="24"/>
          <w:szCs w:val="24"/>
          <w:u w:val="single"/>
        </w:rPr>
      </w:pPr>
    </w:p>
    <w:p w14:paraId="4630A845" w14:textId="48A42B7F" w:rsidR="004313EE" w:rsidRPr="00CA4C0B" w:rsidRDefault="00CE6644" w:rsidP="007F2CA0">
      <w:pPr>
        <w:pStyle w:val="BodyA"/>
        <w:snapToGrid w:val="0"/>
        <w:spacing w:after="0" w:line="360" w:lineRule="auto"/>
        <w:jc w:val="both"/>
        <w:rPr>
          <w:rStyle w:val="None"/>
          <w:rFonts w:ascii="Book Antiqua" w:eastAsia="Times New Roman" w:hAnsi="Book Antiqua" w:cs="Times New Roman"/>
          <w:b/>
          <w:bCs/>
          <w:iCs/>
          <w:color w:val="auto"/>
          <w:sz w:val="24"/>
          <w:szCs w:val="24"/>
        </w:rPr>
      </w:pPr>
      <w:r w:rsidRPr="00CA4C0B">
        <w:rPr>
          <w:rStyle w:val="None"/>
          <w:rFonts w:ascii="Book Antiqua" w:hAnsi="Book Antiqua"/>
          <w:b/>
          <w:bCs/>
          <w:iCs/>
          <w:color w:val="auto"/>
          <w:sz w:val="24"/>
          <w:szCs w:val="24"/>
        </w:rPr>
        <w:t xml:space="preserve">Repeated </w:t>
      </w:r>
      <w:r w:rsidR="004537C6" w:rsidRPr="00CA4C0B">
        <w:rPr>
          <w:rStyle w:val="None"/>
          <w:rFonts w:ascii="Book Antiqua" w:hAnsi="Book Antiqua"/>
          <w:b/>
          <w:bCs/>
          <w:iCs/>
          <w:color w:val="auto"/>
          <w:sz w:val="24"/>
          <w:szCs w:val="24"/>
        </w:rPr>
        <w:t>partial hepatectomy</w:t>
      </w:r>
      <w:r w:rsidR="00CE6FA4" w:rsidRPr="00CA4C0B">
        <w:rPr>
          <w:rStyle w:val="None"/>
          <w:rFonts w:ascii="Book Antiqua" w:hAnsi="Book Antiqua"/>
          <w:b/>
          <w:bCs/>
          <w:iCs/>
          <w:color w:val="auto"/>
          <w:sz w:val="24"/>
          <w:szCs w:val="24"/>
        </w:rPr>
        <w:t xml:space="preserve">: </w:t>
      </w:r>
      <w:r w:rsidRPr="00CA4C0B">
        <w:rPr>
          <w:rStyle w:val="None"/>
          <w:rFonts w:ascii="Book Antiqua" w:hAnsi="Book Antiqua"/>
          <w:color w:val="auto"/>
          <w:sz w:val="24"/>
          <w:szCs w:val="24"/>
        </w:rPr>
        <w:t>Repeated PH was performed 9 months after the first surgery. The laparotomy and abdominal cavity revision were carried out. The remnant liver was represented by the regenerated upper and lower se</w:t>
      </w:r>
      <w:r w:rsidRPr="00CA4C0B">
        <w:rPr>
          <w:rStyle w:val="None"/>
          <w:rFonts w:ascii="Book Antiqua" w:hAnsi="Book Antiqua"/>
          <w:color w:val="auto"/>
          <w:sz w:val="24"/>
          <w:szCs w:val="24"/>
        </w:rPr>
        <w:t>g</w:t>
      </w:r>
      <w:r w:rsidRPr="00CA4C0B">
        <w:rPr>
          <w:rStyle w:val="None"/>
          <w:rFonts w:ascii="Book Antiqua" w:hAnsi="Book Antiqua"/>
          <w:color w:val="auto"/>
          <w:sz w:val="24"/>
          <w:szCs w:val="24"/>
        </w:rPr>
        <w:t>ments of the right lateral lobes and the anterior and posterior caudal lobes. The blood vessels of both segments of the right lateral lobe were ligated by applying the "single-knot method" so as not to hinder the blood flow in the lower vena cava. The resected liver tissue corresponded to about 70% of the remnant liver</w:t>
      </w:r>
      <w:r w:rsidR="00D16022" w:rsidRPr="00CA4C0B">
        <w:rPr>
          <w:rStyle w:val="None"/>
          <w:rFonts w:ascii="Book Antiqua" w:hAnsi="Book Antiqua"/>
          <w:color w:val="auto"/>
          <w:sz w:val="24"/>
          <w:szCs w:val="24"/>
        </w:rPr>
        <w:fldChar w:fldCharType="begin" w:fldLock="1"/>
      </w:r>
      <w:r w:rsidR="00107D15" w:rsidRPr="00CA4C0B">
        <w:rPr>
          <w:rStyle w:val="None"/>
          <w:rFonts w:ascii="Book Antiqua" w:hAnsi="Book Antiqua"/>
          <w:color w:val="auto"/>
          <w:sz w:val="24"/>
          <w:szCs w:val="24"/>
        </w:rPr>
        <w:instrText>ADDIN CSL_CITATION {"citationItems":[{"id":"ITEM-1","itemData":{"DOI":"10.1016/j.jss.2006.01.008","ISSN":"00224804","PMID":"16519902","abstract":"Background: This study investigated the effects of a repeat 70% major hepatectomy in a rat model. Materials and methods: The left lateral and median lobes of the livers of 80 seven-week-old male Wistar rats were excised during primary hepatectomy, removing a total of 70% of the liver. In 40 of the rats, the regenerated right lateral lobe, comprising 70% of the remnant liver, was excised during secondary hepatectomy 7 days after the initial procedure. The survival rate, posthepatectomized regeneration ratio, and laboratory blood data were compared between the groups that had undergone initial only and repeat hepatectomies. Results: All of the rats survived for at least 7 days after each procedure. The remaining liver returned to up to about 90% of its original wet weight by 5 days in both groups. The serum glutamic-pyruvic transaminase levels peaked 12 h after hepatectomy, remained at a similar level at 36 h, and had normalized by 2 days. Serum total bilirubin levels were similar in both groups. The total cell numbers after 5 days were significantly higher in the initial hepatectomy group than in the repeat hepatectomy group. Conclusions: We established a rat model in which an initial 70% major hepatectomy was followed by a repeat 70% major hepatectomy of the regenerated liver. The time taken to restore the integrity of the liver was longer in the rats that underwent repeat hepatectomy. We believe that this model will be useful for investigating the regenerative ability of the liver after a second major hepatectomy. © 2006 Elsevier Inc. All rights reserved.","author":[{"dropping-particle":"","family":"Saito","given":"Shuji","non-dropping-particle":"","parse-names":false,"suffix":""},{"dropping-particle":"","family":"Togo","given":"Shinji","non-dropping-particle":"","parse-names":false,"suffix":""},{"dropping-particle":"","family":"Morioka","given":"Daisuke","non-dropping-particle":"","parse-names":false,"suffix":""},{"dropping-particle":"","family":"Matsuo","given":"Ken-ichi","non-dropping-particle":"","parse-names":false,"suffix":""},{"dropping-particle":"","family":"Yoshimoto","given":"Noboru","non-dropping-particle":"","parse-names":false,"suffix":""},{"dropping-particle":"","family":"Nagano","given":"Yasuhiko","non-dropping-particle":"","parse-names":false,"suffix":""},{"dropping-particle":"","family":"Tanaka","given":"Kuniya","non-dropping-particle":"","parse-names":false,"suffix":""},{"dropping-particle":"","family":"Kubota","given":"Toru","non-dropping-particle":"","parse-names":false,"suffix":""},{"dropping-particle":"","family":"Nagashima","given":"Yoji","non-dropping-particle":"","parse-names":false,"suffix":""},{"dropping-particle":"","family":"Shimada","given":"Hiroshi","non-dropping-particle":"","parse-names":false,"suffix":""}],"container-title":"Journal of Surgical Research","id":"ITEM-1","issue":"2","issued":{"date-parts":[["2006","8"]]},"page":"322-326","title":"A Rat Model of a Repeat 70% Major Hepatectomy","type":"article-journal","volume":"134"},"uris":["http://www.mendeley.com/documents/?uuid=007f6c20-6a5e-3bea-8d7d-f96cc8312df2"]}],"mendeley":{"formattedCitation":"&lt;sup&gt;[11]&lt;/sup&gt;","plainTextFormattedCitation":"[11]","previouslyFormattedCitation":"&lt;sup&gt;[11]&lt;/sup&gt;"},"properties":{"noteIndex":0},"schema":"https://github.com/citation-style-language/schema/raw/master/csl-citation.json"}</w:instrText>
      </w:r>
      <w:r w:rsidR="00D16022" w:rsidRPr="00CA4C0B">
        <w:rPr>
          <w:rStyle w:val="None"/>
          <w:rFonts w:ascii="Book Antiqua" w:hAnsi="Book Antiqua"/>
          <w:color w:val="auto"/>
          <w:sz w:val="24"/>
          <w:szCs w:val="24"/>
        </w:rPr>
        <w:fldChar w:fldCharType="separate"/>
      </w:r>
      <w:r w:rsidR="00D16022" w:rsidRPr="00CA4C0B">
        <w:rPr>
          <w:rStyle w:val="None"/>
          <w:rFonts w:ascii="Book Antiqua" w:hAnsi="Book Antiqua"/>
          <w:noProof/>
          <w:color w:val="auto"/>
          <w:sz w:val="24"/>
          <w:szCs w:val="24"/>
          <w:vertAlign w:val="superscript"/>
        </w:rPr>
        <w:t>[11]</w:t>
      </w:r>
      <w:r w:rsidR="00D16022" w:rsidRPr="00CA4C0B">
        <w:rPr>
          <w:rStyle w:val="None"/>
          <w:rFonts w:ascii="Book Antiqua" w:hAnsi="Book Antiqua"/>
          <w:color w:val="auto"/>
          <w:sz w:val="24"/>
          <w:szCs w:val="24"/>
        </w:rPr>
        <w:fldChar w:fldCharType="end"/>
      </w:r>
      <w:r w:rsidRPr="00CA4C0B">
        <w:rPr>
          <w:rStyle w:val="None"/>
          <w:rFonts w:ascii="Book Antiqua" w:hAnsi="Book Antiqua"/>
          <w:iCs/>
          <w:color w:val="auto"/>
          <w:sz w:val="24"/>
          <w:szCs w:val="24"/>
          <w:shd w:val="clear" w:color="auto" w:fill="F8F8F8"/>
        </w:rPr>
        <w:t>.</w:t>
      </w:r>
      <w:r w:rsidRPr="00CA4C0B">
        <w:rPr>
          <w:rStyle w:val="None"/>
          <w:rFonts w:ascii="Book Antiqua" w:hAnsi="Book Antiqua"/>
          <w:color w:val="auto"/>
          <w:sz w:val="24"/>
          <w:szCs w:val="24"/>
          <w:shd w:val="clear" w:color="auto" w:fill="F8F8F8"/>
        </w:rPr>
        <w:t xml:space="preserve"> </w:t>
      </w:r>
    </w:p>
    <w:p w14:paraId="128982EE" w14:textId="77777777" w:rsidR="00CE6FA4" w:rsidRPr="00CA4C0B" w:rsidRDefault="00CE6FA4" w:rsidP="007F2CA0">
      <w:pPr>
        <w:snapToGrid w:val="0"/>
        <w:spacing w:line="360" w:lineRule="auto"/>
        <w:jc w:val="both"/>
        <w:rPr>
          <w:rStyle w:val="None"/>
          <w:rFonts w:ascii="Book Antiqua" w:hAnsi="Book Antiqua"/>
          <w:b/>
          <w:bCs/>
        </w:rPr>
      </w:pPr>
    </w:p>
    <w:p w14:paraId="53B43B9A" w14:textId="77777777" w:rsidR="004313EE" w:rsidRPr="00CA4C0B" w:rsidRDefault="00CE6644" w:rsidP="007F2CA0">
      <w:pPr>
        <w:snapToGrid w:val="0"/>
        <w:spacing w:line="360" w:lineRule="auto"/>
        <w:jc w:val="both"/>
        <w:rPr>
          <w:rStyle w:val="None"/>
          <w:rFonts w:ascii="Book Antiqua" w:eastAsia="Times New Roman" w:hAnsi="Book Antiqua"/>
          <w:b/>
          <w:bCs/>
          <w:i/>
        </w:rPr>
      </w:pPr>
      <w:r w:rsidRPr="00CA4C0B">
        <w:rPr>
          <w:rStyle w:val="None"/>
          <w:rFonts w:ascii="Book Antiqua" w:hAnsi="Book Antiqua"/>
          <w:b/>
          <w:bCs/>
          <w:i/>
        </w:rPr>
        <w:t>Histology of liver tissue</w:t>
      </w:r>
    </w:p>
    <w:p w14:paraId="1B576719" w14:textId="08393265" w:rsidR="004313EE" w:rsidRPr="00CA4C0B" w:rsidRDefault="00CE6644" w:rsidP="007F2CA0">
      <w:pPr>
        <w:pStyle w:val="BodyA"/>
        <w:snapToGrid w:val="0"/>
        <w:spacing w:after="0" w:line="360" w:lineRule="auto"/>
        <w:jc w:val="both"/>
        <w:rPr>
          <w:rStyle w:val="None"/>
          <w:rFonts w:ascii="Book Antiqua" w:eastAsia="Times New Roman" w:hAnsi="Book Antiqua" w:cs="Times New Roman"/>
          <w:b/>
          <w:bCs/>
          <w:iCs/>
          <w:color w:val="auto"/>
          <w:sz w:val="24"/>
          <w:szCs w:val="24"/>
        </w:rPr>
      </w:pPr>
      <w:r w:rsidRPr="00CA4C0B">
        <w:rPr>
          <w:rStyle w:val="None"/>
          <w:rFonts w:ascii="Book Antiqua" w:hAnsi="Book Antiqua"/>
          <w:b/>
          <w:bCs/>
          <w:iCs/>
          <w:color w:val="auto"/>
          <w:sz w:val="24"/>
          <w:szCs w:val="24"/>
        </w:rPr>
        <w:t>H&amp;E</w:t>
      </w:r>
      <w:r w:rsidR="00290BA7" w:rsidRPr="00CA4C0B">
        <w:rPr>
          <w:rStyle w:val="None"/>
          <w:rFonts w:ascii="Book Antiqua" w:hAnsi="Book Antiqua"/>
          <w:b/>
          <w:bCs/>
          <w:iCs/>
          <w:color w:val="auto"/>
          <w:sz w:val="24"/>
          <w:szCs w:val="24"/>
        </w:rPr>
        <w:t xml:space="preserve"> </w:t>
      </w:r>
      <w:r w:rsidRPr="00CA4C0B">
        <w:rPr>
          <w:rStyle w:val="None"/>
          <w:rFonts w:ascii="Book Antiqua" w:hAnsi="Book Antiqua"/>
          <w:b/>
          <w:bCs/>
          <w:iCs/>
          <w:color w:val="auto"/>
          <w:sz w:val="24"/>
          <w:szCs w:val="24"/>
        </w:rPr>
        <w:t>staining</w:t>
      </w:r>
      <w:r w:rsidR="00A14597" w:rsidRPr="00CA4C0B">
        <w:rPr>
          <w:rStyle w:val="None"/>
          <w:rFonts w:ascii="Book Antiqua" w:hAnsi="Book Antiqua"/>
          <w:b/>
          <w:bCs/>
          <w:iCs/>
          <w:color w:val="auto"/>
          <w:sz w:val="24"/>
          <w:szCs w:val="24"/>
        </w:rPr>
        <w:t xml:space="preserve">: </w:t>
      </w:r>
      <w:r w:rsidRPr="00CA4C0B">
        <w:rPr>
          <w:rStyle w:val="None"/>
          <w:rFonts w:ascii="Book Antiqua" w:hAnsi="Book Antiqua"/>
          <w:color w:val="auto"/>
          <w:sz w:val="24"/>
          <w:szCs w:val="24"/>
        </w:rPr>
        <w:t>Liver tissue sections of 3-μm were stained by the standard H&amp;E method and studied microscopically with different magnification.</w:t>
      </w:r>
      <w:r w:rsidR="00F7733D" w:rsidRPr="00CA4C0B">
        <w:rPr>
          <w:rStyle w:val="None"/>
          <w:rFonts w:ascii="Book Antiqua" w:hAnsi="Book Antiqua"/>
          <w:color w:val="auto"/>
          <w:sz w:val="24"/>
          <w:szCs w:val="24"/>
        </w:rPr>
        <w:t xml:space="preserve"> </w:t>
      </w:r>
    </w:p>
    <w:p w14:paraId="0D19243E" w14:textId="77777777" w:rsidR="00A14597" w:rsidRPr="00CA4C0B" w:rsidRDefault="00A14597" w:rsidP="007F2CA0">
      <w:pPr>
        <w:snapToGrid w:val="0"/>
        <w:spacing w:line="360" w:lineRule="auto"/>
        <w:jc w:val="both"/>
        <w:rPr>
          <w:rStyle w:val="None"/>
          <w:rFonts w:ascii="Book Antiqua" w:hAnsi="Book Antiqua"/>
          <w:b/>
          <w:bCs/>
          <w:i/>
          <w:iCs/>
          <w:u w:val="single"/>
        </w:rPr>
      </w:pPr>
    </w:p>
    <w:p w14:paraId="38FA6563" w14:textId="77ADAE9B" w:rsidR="004313EE" w:rsidRPr="00CA4C0B" w:rsidRDefault="00CE6644" w:rsidP="007F2CA0">
      <w:pPr>
        <w:snapToGrid w:val="0"/>
        <w:spacing w:line="360" w:lineRule="auto"/>
        <w:jc w:val="both"/>
        <w:rPr>
          <w:rStyle w:val="None"/>
          <w:rFonts w:ascii="Book Antiqua" w:eastAsia="Times New Roman" w:hAnsi="Book Antiqua"/>
          <w:b/>
          <w:bCs/>
          <w:iCs/>
        </w:rPr>
      </w:pPr>
      <w:r w:rsidRPr="00CA4C0B">
        <w:rPr>
          <w:rStyle w:val="None"/>
          <w:rFonts w:ascii="Book Antiqua" w:hAnsi="Book Antiqua"/>
          <w:b/>
          <w:bCs/>
          <w:iCs/>
        </w:rPr>
        <w:t>Histology aft</w:t>
      </w:r>
      <w:r w:rsidR="00A14597" w:rsidRPr="00CA4C0B">
        <w:rPr>
          <w:rStyle w:val="None"/>
          <w:rFonts w:ascii="Book Antiqua" w:hAnsi="Book Antiqua"/>
          <w:b/>
          <w:bCs/>
          <w:iCs/>
        </w:rPr>
        <w:t xml:space="preserve">er Indian-ink/gelatin injection: </w:t>
      </w:r>
      <w:r w:rsidRPr="00CA4C0B">
        <w:rPr>
          <w:rStyle w:val="None"/>
          <w:rFonts w:ascii="Book Antiqua" w:hAnsi="Book Antiqua"/>
        </w:rPr>
        <w:t>Histological “transparent” slices of liver tissue were prepared after injection of the Indian-ink and gelatin (1:3) mi</w:t>
      </w:r>
      <w:r w:rsidRPr="00CA4C0B">
        <w:rPr>
          <w:rStyle w:val="None"/>
          <w:rFonts w:ascii="Book Antiqua" w:hAnsi="Book Antiqua"/>
        </w:rPr>
        <w:t>x</w:t>
      </w:r>
      <w:r w:rsidRPr="00CA4C0B">
        <w:rPr>
          <w:rStyle w:val="None"/>
          <w:rFonts w:ascii="Book Antiqua" w:hAnsi="Book Antiqua"/>
        </w:rPr>
        <w:t>ture into the portal vein. The mixture was prepared in accordance with the re</w:t>
      </w:r>
      <w:r w:rsidRPr="00CA4C0B">
        <w:rPr>
          <w:rStyle w:val="None"/>
          <w:rFonts w:ascii="Book Antiqua" w:hAnsi="Book Antiqua"/>
        </w:rPr>
        <w:t>c</w:t>
      </w:r>
      <w:r w:rsidRPr="00CA4C0B">
        <w:rPr>
          <w:rStyle w:val="None"/>
          <w:rFonts w:ascii="Book Antiqua" w:hAnsi="Book Antiqua"/>
        </w:rPr>
        <w:t xml:space="preserve">ommendations of </w:t>
      </w:r>
      <w:proofErr w:type="spellStart"/>
      <w:r w:rsidRPr="00CA4C0B">
        <w:rPr>
          <w:rStyle w:val="None"/>
          <w:rFonts w:ascii="Book Antiqua" w:hAnsi="Book Antiqua"/>
        </w:rPr>
        <w:t>Vellimana</w:t>
      </w:r>
      <w:proofErr w:type="spellEnd"/>
      <w:r w:rsidRPr="00CA4C0B">
        <w:rPr>
          <w:rStyle w:val="None"/>
          <w:rFonts w:ascii="Book Antiqua" w:hAnsi="Book Antiqua"/>
        </w:rPr>
        <w:t xml:space="preserve"> </w:t>
      </w:r>
      <w:r w:rsidRPr="00CA4C0B">
        <w:rPr>
          <w:rStyle w:val="None"/>
          <w:rFonts w:ascii="Book Antiqua" w:hAnsi="Book Antiqua"/>
          <w:i/>
          <w:iCs/>
        </w:rPr>
        <w:t>et al</w:t>
      </w:r>
      <w:r w:rsidR="00107D15" w:rsidRPr="00CA4C0B">
        <w:rPr>
          <w:rStyle w:val="None"/>
          <w:rFonts w:ascii="Book Antiqua" w:hAnsi="Book Antiqua"/>
          <w:i/>
          <w:iCs/>
        </w:rPr>
        <w:fldChar w:fldCharType="begin" w:fldLock="1"/>
      </w:r>
      <w:r w:rsidR="00107D15" w:rsidRPr="00CA4C0B">
        <w:rPr>
          <w:rStyle w:val="None"/>
          <w:rFonts w:ascii="Book Antiqua" w:hAnsi="Book Antiqua"/>
          <w:i/>
          <w:iCs/>
        </w:rPr>
        <w:instrText>ADDIN CSL_CITATION {"citationItems":[{"id":"ITEM-1","itemData":{"DOI":"10.1161/STROKEAHA.110.607200","ISSN":"0039-2499","PMID":"21317271","abstract":"BACKGROUND AND PURPOSE - Vasospasm-induced delayed cerebral ischemia remains a major source of morbidity in patients with aneurysmal subarachnoid hemorrhage (SAH). We hypothesized that activating innate neurovascular protective mechanisms by preconditioning (PC) may represent a novel therapeutic approach against SAH-induced vasospasm and neurological deficits and, secondarily, that the neurovascular protection it provides is mediated by endothelial nitric oxide synthase (eNOS). METHODS - Wild-type mice were subjected to hypoxic PC or normoxia followed 24 hours later by SAH. Neurological function was analyzed daily; vasospasm was assessed on post-surgery Day 2. Nitric oxide availability, eNOS expression, and eNOS activity were also assessed. In a separate experiment, wild-type and eNOS-null mice were subjected to hypoxic PC or normoxia followed by SAH and assessed for vasospasm and neurological deficits. RESULTS - PC nearly completely prevented SAH-induced vasospasm and neurological deficits. It also prevented SAH-induced reduction in nitric oxide availability and increased eNOS activity in mice with and without SAH. PC-induced protection against vasospasm and neurological deficits was lost in wild-type mice treated with the nitric oxide synthase inhibitor N-nitro-l-arginine methyl ester and in eNOS-null mice. CONCLUSIONS - Endogenous protective mechanisms against vasospasm exist, are powerful, and can be induced by PC. eNOS-derived nitric oxide is a critical mediator of PC-induced neurovascular protection. These data provide strong \"proof-of- principle\" evidence that PC represents a promising new strategy to reduce vasospasm and delayed cerebral ischemia after SAH. © 2011 American Heart Association, Inc.","author":[{"dropping-particle":"","family":"Vellimana","given":"Ananth K.","non-dropping-particle":"","parse-names":false,"suffix":""},{"dropping-particle":"","family":"Milner","given":"Eric","non-dropping-particle":"","parse-names":false,"suffix":""},{"dropping-particle":"","family":"Azad","given":"Tej D.","non-dropping-particle":"","parse-names":false,"suffix":""},{"dropping-particle":"","family":"Harries","given":"Michael D.","non-dropping-particle":"","parse-names":false,"suffix":""},{"dropping-particle":"","family":"Zhou","given":"Meng-Liang","non-dropping-particle":"","parse-names":false,"suffix":""},{"dropping-particle":"","family":"Gidday","given":"Jeffrey M.","non-dropping-particle":"","parse-names":false,"suffix":""},{"dropping-particle":"","family":"Han","given":"Byung Hee","non-dropping-particle":"","parse-names":false,"suffix":""},{"dropping-particle":"","family":"Zipfel","given":"Gregory J.","non-dropping-particle":"","parse-names":false,"suffix":""}],"container-title":"Stroke","id":"ITEM-1","issue":"3","issued":{"date-parts":[["2011","3"]]},"page":"776-782","title":"Endothelial Nitric Oxide Synthase Mediates Endogenous Protection Against Subarachnoid Hemorrhage-Induced Cerebral Vasospasm","type":"article-journal","volume":"42"},"uris":["http://www.mendeley.com/documents/?uuid=f755f50e-865f-4e20-81f4-5c2148c97f24"]}],"mendeley":{"formattedCitation":"&lt;sup&gt;[30]&lt;/sup&gt;","plainTextFormattedCitation":"[30]","previouslyFormattedCitation":"&lt;sup&gt;[30]&lt;/sup&gt;"},"properties":{"noteIndex":0},"schema":"https://github.com/citation-style-language/schema/raw/master/csl-citation.json"}</w:instrText>
      </w:r>
      <w:r w:rsidR="00107D15" w:rsidRPr="00CA4C0B">
        <w:rPr>
          <w:rStyle w:val="None"/>
          <w:rFonts w:ascii="Book Antiqua" w:hAnsi="Book Antiqua"/>
          <w:i/>
          <w:iCs/>
        </w:rPr>
        <w:fldChar w:fldCharType="separate"/>
      </w:r>
      <w:r w:rsidR="00107D15" w:rsidRPr="00CA4C0B">
        <w:rPr>
          <w:rStyle w:val="None"/>
          <w:rFonts w:ascii="Book Antiqua" w:hAnsi="Book Antiqua"/>
          <w:iCs/>
          <w:noProof/>
          <w:vertAlign w:val="superscript"/>
        </w:rPr>
        <w:t>[30]</w:t>
      </w:r>
      <w:r w:rsidR="00107D15" w:rsidRPr="00CA4C0B">
        <w:rPr>
          <w:rStyle w:val="None"/>
          <w:rFonts w:ascii="Book Antiqua" w:hAnsi="Book Antiqua"/>
          <w:i/>
          <w:iCs/>
        </w:rPr>
        <w:fldChar w:fldCharType="end"/>
      </w:r>
      <w:r w:rsidR="00774F63" w:rsidRPr="00CA4C0B">
        <w:rPr>
          <w:rStyle w:val="None"/>
          <w:rFonts w:ascii="Book Antiqua" w:hAnsi="Book Antiqua"/>
        </w:rPr>
        <w:t xml:space="preserve"> </w:t>
      </w:r>
      <w:r w:rsidRPr="00CA4C0B">
        <w:rPr>
          <w:rStyle w:val="None"/>
          <w:rFonts w:ascii="Book Antiqua" w:hAnsi="Book Antiqua"/>
        </w:rPr>
        <w:t xml:space="preserve">and </w:t>
      </w:r>
      <w:proofErr w:type="spellStart"/>
      <w:r w:rsidRPr="00CA4C0B">
        <w:rPr>
          <w:rStyle w:val="None"/>
          <w:rFonts w:ascii="Book Antiqua" w:hAnsi="Book Antiqua"/>
        </w:rPr>
        <w:t>Aum</w:t>
      </w:r>
      <w:proofErr w:type="spellEnd"/>
      <w:r w:rsidRPr="00CA4C0B">
        <w:rPr>
          <w:rStyle w:val="None"/>
          <w:rFonts w:ascii="Book Antiqua" w:hAnsi="Book Antiqua"/>
        </w:rPr>
        <w:t xml:space="preserve"> </w:t>
      </w:r>
      <w:r w:rsidRPr="00CA4C0B">
        <w:rPr>
          <w:rStyle w:val="None"/>
          <w:rFonts w:ascii="Book Antiqua" w:hAnsi="Book Antiqua"/>
          <w:i/>
          <w:iCs/>
        </w:rPr>
        <w:t>et al</w:t>
      </w:r>
      <w:r w:rsidR="00107D15" w:rsidRPr="00CA4C0B">
        <w:rPr>
          <w:rStyle w:val="None"/>
          <w:rFonts w:ascii="Book Antiqua" w:hAnsi="Book Antiqua"/>
          <w:i/>
          <w:iCs/>
        </w:rPr>
        <w:fldChar w:fldCharType="begin" w:fldLock="1"/>
      </w:r>
      <w:r w:rsidR="00114946" w:rsidRPr="00CA4C0B">
        <w:rPr>
          <w:rStyle w:val="None"/>
          <w:rFonts w:ascii="Book Antiqua" w:hAnsi="Book Antiqua"/>
          <w:i/>
          <w:iCs/>
        </w:rPr>
        <w:instrText>ADDIN CSL_CITATION {"citationItems":[{"id":"ITEM-1","itemData":{"DOI":"10.1038/s41598-017-09070-y","ISSN":"2045-2322","PMID":"28831103","abstract":"Various techniques have been developed to study changes in the cerebral vasculature in numerous neuropathological processes including subarachnoid hemorrhage (SAH). One of the most widely employed techniques uses India ink-gelatin casting, which presents numerous challenges due to its high viscosity, rapid solidification, and its impact on immunohistochemical analysis. To overcome these limitations, we developed a novel technique for assessing cerebral vasospasm using cerebrovascular perfusion with ROX, SE (5-Carboxy-X-Rhodamine, Succinimidyl Ester), a fluorescent labeling dye. We found that ROX SE perfusion achieves excellent delineation of the cerebral vasculature, was qualitatively and quantitatively superior to India ink-gelatin casting for the assessment of cerebral vasospasm, permits outstanding immunohistochemical examination of non-vasospasm components of secondary brain injury, and is a more efficient and cost-effective experimental technique. ROX SE perfusion is therefore a novel and highly useful technique for studying cerebrovascular pathology following experimental SAH.","author":[{"dropping-particle":"","family":"Aum","given":"Diane J.","non-dropping-particle":"","parse-names":false,"suffix":""},{"dropping-particle":"","family":"Vellimana","given":"Ananth K.","non-dropping-particle":"","parse-names":false,"suffix":""},{"dropping-particle":"","family":"Singh","given":"Itender","non-dropping-particle":"","parse-names":false,"suffix":""},{"dropping-particle":"","family":"Milner","given":"Eric","non-dropping-particle":"","parse-names":false,"suffix":""},{"dropping-particle":"","family":"Nelson","given":"James W.","non-dropping-particle":"","parse-names":false,"suffix":""},{"dropping-particle":"","family":"Han","given":"Byung Hee","non-dropping-particle":"","parse-names":false,"suffix":""},{"dropping-particle":"","family":"Zipfel","given":"Gregory J.","non-dropping-particle":"","parse-names":false,"suffix":""}],"container-title":"Scientific Reports","id":"ITEM-1","issue":"1","issued":{"date-parts":[["2017","12","22"]]},"page":"9126","title":"A novel fluorescent imaging technique for assessment of cerebral vasospasm after experimental subarachnoid hemorrhage","type":"article-journal","volume":"7"},"uris":["http://www.mendeley.com/documents/?uuid=c204bf51-54c9-4efe-bc0b-701aa7b2a8b9"]}],"mendeley":{"formattedCitation":"&lt;sup&gt;[31]&lt;/sup&gt;","plainTextFormattedCitation":"[31]","previouslyFormattedCitation":"&lt;sup&gt;[31]&lt;/sup&gt;"},"properties":{"noteIndex":0},"schema":"https://github.com/citation-style-language/schema/raw/master/csl-citation.json"}</w:instrText>
      </w:r>
      <w:r w:rsidR="00107D15" w:rsidRPr="00CA4C0B">
        <w:rPr>
          <w:rStyle w:val="None"/>
          <w:rFonts w:ascii="Book Antiqua" w:hAnsi="Book Antiqua"/>
          <w:i/>
          <w:iCs/>
        </w:rPr>
        <w:fldChar w:fldCharType="separate"/>
      </w:r>
      <w:r w:rsidR="00107D15" w:rsidRPr="00CA4C0B">
        <w:rPr>
          <w:rStyle w:val="None"/>
          <w:rFonts w:ascii="Book Antiqua" w:hAnsi="Book Antiqua"/>
          <w:iCs/>
          <w:noProof/>
          <w:vertAlign w:val="superscript"/>
        </w:rPr>
        <w:t>[31]</w:t>
      </w:r>
      <w:r w:rsidR="00107D15" w:rsidRPr="00CA4C0B">
        <w:rPr>
          <w:rStyle w:val="None"/>
          <w:rFonts w:ascii="Book Antiqua" w:hAnsi="Book Antiqua"/>
          <w:i/>
          <w:iCs/>
        </w:rPr>
        <w:fldChar w:fldCharType="end"/>
      </w:r>
      <w:r w:rsidRPr="00CA4C0B">
        <w:rPr>
          <w:rStyle w:val="None"/>
          <w:rFonts w:ascii="Book Antiqua" w:hAnsi="Book Antiqua"/>
        </w:rPr>
        <w:t>. The injection technique was the same as for the injection of a solidifying mass for SEM investigation (see b</w:t>
      </w:r>
      <w:r w:rsidRPr="00CA4C0B">
        <w:rPr>
          <w:rStyle w:val="None"/>
          <w:rFonts w:ascii="Book Antiqua" w:hAnsi="Book Antiqua"/>
        </w:rPr>
        <w:t>e</w:t>
      </w:r>
      <w:r w:rsidRPr="00CA4C0B">
        <w:rPr>
          <w:rStyle w:val="None"/>
          <w:rFonts w:ascii="Book Antiqua" w:hAnsi="Book Antiqua"/>
        </w:rPr>
        <w:t xml:space="preserve">low). </w:t>
      </w:r>
    </w:p>
    <w:p w14:paraId="30577452" w14:textId="77777777" w:rsidR="00A14597" w:rsidRPr="00CA4C0B" w:rsidRDefault="00A14597" w:rsidP="007F2CA0">
      <w:pPr>
        <w:snapToGrid w:val="0"/>
        <w:spacing w:line="360" w:lineRule="auto"/>
        <w:jc w:val="both"/>
        <w:rPr>
          <w:rStyle w:val="None"/>
          <w:rFonts w:ascii="Book Antiqua" w:hAnsi="Book Antiqua"/>
          <w:b/>
          <w:bCs/>
          <w:i/>
          <w:iCs/>
          <w:u w:val="single"/>
        </w:rPr>
      </w:pPr>
    </w:p>
    <w:p w14:paraId="061C3378" w14:textId="5090CA3E" w:rsidR="004313EE" w:rsidRPr="00CA4C0B" w:rsidRDefault="00CE6644" w:rsidP="007F2CA0">
      <w:pPr>
        <w:snapToGrid w:val="0"/>
        <w:spacing w:line="360" w:lineRule="auto"/>
        <w:jc w:val="both"/>
        <w:rPr>
          <w:rStyle w:val="None"/>
          <w:rFonts w:ascii="Book Antiqua" w:hAnsi="Book Antiqua"/>
        </w:rPr>
      </w:pPr>
      <w:r w:rsidRPr="00CA4C0B">
        <w:rPr>
          <w:rStyle w:val="None"/>
          <w:rFonts w:ascii="Book Antiqua" w:hAnsi="Book Antiqua"/>
          <w:b/>
          <w:bCs/>
          <w:iCs/>
        </w:rPr>
        <w:t>Histochemistry</w:t>
      </w:r>
      <w:r w:rsidR="00A14597" w:rsidRPr="00CA4C0B">
        <w:rPr>
          <w:rStyle w:val="None"/>
          <w:rFonts w:ascii="Book Antiqua" w:hAnsi="Book Antiqua"/>
          <w:b/>
          <w:bCs/>
          <w:iCs/>
        </w:rPr>
        <w:t xml:space="preserve">: </w:t>
      </w:r>
      <w:r w:rsidRPr="00CA4C0B">
        <w:rPr>
          <w:rStyle w:val="None"/>
          <w:rFonts w:ascii="Book Antiqua" w:hAnsi="Book Antiqua"/>
        </w:rPr>
        <w:t xml:space="preserve">Liver tissue sections of 3-5 </w:t>
      </w:r>
      <w:proofErr w:type="spellStart"/>
      <w:r w:rsidRPr="00CA4C0B">
        <w:rPr>
          <w:rStyle w:val="None"/>
          <w:rFonts w:ascii="Book Antiqua" w:hAnsi="Book Antiqua"/>
        </w:rPr>
        <w:t>μm</w:t>
      </w:r>
      <w:proofErr w:type="spellEnd"/>
      <w:r w:rsidRPr="00CA4C0B">
        <w:rPr>
          <w:rStyle w:val="None"/>
          <w:rFonts w:ascii="Book Antiqua" w:hAnsi="Book Antiqua"/>
        </w:rPr>
        <w:t xml:space="preserve"> were stained using Masson’s Tr</w:t>
      </w:r>
      <w:r w:rsidRPr="00CA4C0B">
        <w:rPr>
          <w:rStyle w:val="None"/>
          <w:rFonts w:ascii="Book Antiqua" w:hAnsi="Book Antiqua"/>
        </w:rPr>
        <w:t>i</w:t>
      </w:r>
      <w:r w:rsidRPr="00CA4C0B">
        <w:rPr>
          <w:rStyle w:val="None"/>
          <w:rFonts w:ascii="Book Antiqua" w:hAnsi="Book Antiqua"/>
        </w:rPr>
        <w:t>chrome kit (Sigma Aldrich Catalog Number: C970D37) according to the reco</w:t>
      </w:r>
      <w:r w:rsidRPr="00CA4C0B">
        <w:rPr>
          <w:rStyle w:val="None"/>
          <w:rFonts w:ascii="Book Antiqua" w:hAnsi="Book Antiqua"/>
        </w:rPr>
        <w:t>m</w:t>
      </w:r>
      <w:r w:rsidRPr="00CA4C0B">
        <w:rPr>
          <w:rStyle w:val="None"/>
          <w:rFonts w:ascii="Book Antiqua" w:hAnsi="Book Antiqua"/>
        </w:rPr>
        <w:t xml:space="preserve">mendation of the manufacturer. </w:t>
      </w:r>
    </w:p>
    <w:p w14:paraId="207B385C" w14:textId="77777777" w:rsidR="004B5272" w:rsidRPr="00CA4C0B" w:rsidRDefault="004B5272" w:rsidP="007F2CA0">
      <w:pPr>
        <w:snapToGrid w:val="0"/>
        <w:spacing w:line="360" w:lineRule="auto"/>
        <w:jc w:val="both"/>
        <w:rPr>
          <w:rStyle w:val="None"/>
          <w:rFonts w:ascii="Book Antiqua" w:eastAsia="Times New Roman" w:hAnsi="Book Antiqua"/>
          <w:b/>
          <w:bCs/>
          <w:iCs/>
        </w:rPr>
      </w:pPr>
    </w:p>
    <w:p w14:paraId="2E8F9B7D" w14:textId="5D82BEAB" w:rsidR="004313EE" w:rsidRPr="00CA4C0B" w:rsidRDefault="00A14597" w:rsidP="007F2CA0">
      <w:pPr>
        <w:pStyle w:val="BodyA"/>
        <w:snapToGrid w:val="0"/>
        <w:spacing w:after="0" w:line="360" w:lineRule="auto"/>
        <w:jc w:val="both"/>
        <w:rPr>
          <w:rStyle w:val="None"/>
          <w:rFonts w:ascii="Book Antiqua" w:eastAsia="Times New Roman" w:hAnsi="Book Antiqua" w:cs="Times New Roman"/>
          <w:b/>
          <w:bCs/>
          <w:iCs/>
          <w:color w:val="auto"/>
          <w:sz w:val="24"/>
          <w:szCs w:val="24"/>
        </w:rPr>
      </w:pPr>
      <w:r w:rsidRPr="00CA4C0B">
        <w:rPr>
          <w:rStyle w:val="None"/>
          <w:rFonts w:ascii="Book Antiqua" w:hAnsi="Book Antiqua"/>
          <w:b/>
          <w:bCs/>
          <w:iCs/>
          <w:color w:val="auto"/>
          <w:sz w:val="24"/>
          <w:szCs w:val="24"/>
        </w:rPr>
        <w:lastRenderedPageBreak/>
        <w:t>Immunohistochemistry:</w:t>
      </w:r>
      <w:r w:rsidRPr="00CA4C0B">
        <w:rPr>
          <w:rStyle w:val="None"/>
          <w:rFonts w:ascii="Book Antiqua" w:hAnsi="Book Antiqua" w:cs="Times New Roman" w:hint="eastAsia"/>
          <w:b/>
          <w:bCs/>
          <w:iCs/>
          <w:color w:val="auto"/>
          <w:sz w:val="24"/>
          <w:szCs w:val="24"/>
          <w:lang w:eastAsia="zh-CN"/>
        </w:rPr>
        <w:t xml:space="preserve"> </w:t>
      </w:r>
      <w:r w:rsidR="00CE6644" w:rsidRPr="00CA4C0B">
        <w:rPr>
          <w:rStyle w:val="None"/>
          <w:rFonts w:ascii="Book Antiqua" w:hAnsi="Book Antiqua"/>
          <w:color w:val="auto"/>
          <w:sz w:val="24"/>
          <w:szCs w:val="24"/>
        </w:rPr>
        <w:t xml:space="preserve">Rabbit </w:t>
      </w:r>
      <w:r w:rsidR="004B5272" w:rsidRPr="00CA4C0B">
        <w:rPr>
          <w:rStyle w:val="None"/>
          <w:rFonts w:ascii="Book Antiqua" w:hAnsi="Book Antiqua"/>
          <w:color w:val="auto"/>
          <w:sz w:val="24"/>
          <w:szCs w:val="24"/>
        </w:rPr>
        <w:t>a</w:t>
      </w:r>
      <w:r w:rsidR="00CE6644" w:rsidRPr="00CA4C0B">
        <w:rPr>
          <w:rStyle w:val="None"/>
          <w:rFonts w:ascii="Book Antiqua" w:hAnsi="Book Antiqua"/>
          <w:color w:val="auto"/>
          <w:sz w:val="24"/>
          <w:szCs w:val="24"/>
        </w:rPr>
        <w:t xml:space="preserve">ntibody </w:t>
      </w:r>
      <w:r w:rsidR="004B5272" w:rsidRPr="00CA4C0B">
        <w:rPr>
          <w:rStyle w:val="None"/>
          <w:rFonts w:ascii="Book Antiqua" w:hAnsi="Book Antiqua"/>
          <w:color w:val="auto"/>
          <w:sz w:val="24"/>
          <w:szCs w:val="24"/>
        </w:rPr>
        <w:t>k</w:t>
      </w:r>
      <w:r w:rsidR="00CE6644" w:rsidRPr="00CA4C0B">
        <w:rPr>
          <w:rStyle w:val="None"/>
          <w:rFonts w:ascii="Book Antiqua" w:hAnsi="Book Antiqua"/>
          <w:color w:val="auto"/>
          <w:sz w:val="24"/>
          <w:szCs w:val="24"/>
        </w:rPr>
        <w:t xml:space="preserve">eratin-8 (KRT8) produced by </w:t>
      </w:r>
      <w:proofErr w:type="spellStart"/>
      <w:r w:rsidR="00CE6644" w:rsidRPr="00CA4C0B">
        <w:rPr>
          <w:rStyle w:val="None"/>
          <w:rFonts w:ascii="Book Antiqua" w:hAnsi="Book Antiqua"/>
          <w:color w:val="auto"/>
          <w:sz w:val="24"/>
          <w:szCs w:val="24"/>
        </w:rPr>
        <w:t>MyBi</w:t>
      </w:r>
      <w:r w:rsidR="00CE6644" w:rsidRPr="00CA4C0B">
        <w:rPr>
          <w:rStyle w:val="None"/>
          <w:rFonts w:ascii="Book Antiqua" w:hAnsi="Book Antiqua"/>
          <w:color w:val="auto"/>
          <w:sz w:val="24"/>
          <w:szCs w:val="24"/>
        </w:rPr>
        <w:t>o</w:t>
      </w:r>
      <w:r w:rsidR="00CE6644" w:rsidRPr="00CA4C0B">
        <w:rPr>
          <w:rStyle w:val="None"/>
          <w:rFonts w:ascii="Book Antiqua" w:hAnsi="Book Antiqua"/>
          <w:color w:val="auto"/>
          <w:sz w:val="24"/>
          <w:szCs w:val="24"/>
        </w:rPr>
        <w:t>sourse</w:t>
      </w:r>
      <w:proofErr w:type="spellEnd"/>
      <w:r w:rsidR="00CE6644" w:rsidRPr="00CA4C0B">
        <w:rPr>
          <w:rStyle w:val="None"/>
          <w:rFonts w:ascii="Book Antiqua" w:hAnsi="Book Antiqua"/>
          <w:color w:val="auto"/>
          <w:sz w:val="24"/>
          <w:szCs w:val="24"/>
          <w:lang w:val="es-ES_tradnl"/>
        </w:rPr>
        <w:t xml:space="preserve"> (Catalog #</w:t>
      </w:r>
      <w:r w:rsidR="008B687D">
        <w:rPr>
          <w:rStyle w:val="Hyperlink2"/>
          <w:rFonts w:ascii="Book Antiqua" w:eastAsia="Arial Unicode MS" w:hAnsi="Book Antiqua"/>
          <w:color w:val="auto"/>
        </w:rPr>
        <w:fldChar w:fldCharType="begin"/>
      </w:r>
      <w:r w:rsidR="008B687D">
        <w:rPr>
          <w:rStyle w:val="Hyperlink2"/>
          <w:rFonts w:ascii="Book Antiqua" w:eastAsia="Arial Unicode MS" w:hAnsi="Book Antiqua"/>
          <w:color w:val="auto"/>
        </w:rPr>
        <w:instrText xml:space="preserve"> HYPERLINK "https://www.mybiosource.com/krt8-human-mouse-rat-antibody/keratin-8/8510691" </w:instrText>
      </w:r>
      <w:r w:rsidR="008B687D">
        <w:rPr>
          <w:rStyle w:val="Hyperlink2"/>
          <w:rFonts w:ascii="Book Antiqua" w:eastAsia="Arial Unicode MS" w:hAnsi="Book Antiqua"/>
          <w:color w:val="auto"/>
        </w:rPr>
        <w:fldChar w:fldCharType="separate"/>
      </w:r>
      <w:r w:rsidR="00CE6644" w:rsidRPr="00CA4C0B">
        <w:rPr>
          <w:rStyle w:val="Hyperlink2"/>
          <w:rFonts w:ascii="Book Antiqua" w:eastAsia="Arial Unicode MS" w:hAnsi="Book Antiqua"/>
          <w:color w:val="auto"/>
        </w:rPr>
        <w:t>MBS8510691</w:t>
      </w:r>
      <w:r w:rsidR="008B687D">
        <w:rPr>
          <w:rStyle w:val="Hyperlink2"/>
          <w:rFonts w:ascii="Book Antiqua" w:eastAsia="Arial Unicode MS" w:hAnsi="Book Antiqua"/>
          <w:color w:val="auto"/>
        </w:rPr>
        <w:fldChar w:fldCharType="end"/>
      </w:r>
      <w:r w:rsidR="00CE6644" w:rsidRPr="00CA4C0B">
        <w:rPr>
          <w:rStyle w:val="Hyperlink2"/>
          <w:rFonts w:ascii="Book Antiqua" w:eastAsia="Arial Unicode MS" w:hAnsi="Book Antiqua"/>
          <w:color w:val="auto"/>
        </w:rPr>
        <w:t xml:space="preserve">) was used for the marking of hepatocyte’s cell membrane and </w:t>
      </w:r>
      <w:proofErr w:type="spellStart"/>
      <w:r w:rsidR="00CE6644" w:rsidRPr="00CA4C0B">
        <w:rPr>
          <w:rStyle w:val="Hyperlink2"/>
          <w:rFonts w:ascii="Book Antiqua" w:eastAsia="Arial Unicode MS" w:hAnsi="Book Antiqua"/>
          <w:color w:val="auto"/>
        </w:rPr>
        <w:t>cholangiocytes</w:t>
      </w:r>
      <w:proofErr w:type="spellEnd"/>
      <w:r w:rsidR="00CE6644" w:rsidRPr="00CA4C0B">
        <w:rPr>
          <w:rStyle w:val="Hyperlink2"/>
          <w:rFonts w:ascii="Book Antiqua" w:eastAsia="Arial Unicode MS" w:hAnsi="Book Antiqua"/>
          <w:color w:val="auto"/>
        </w:rPr>
        <w:t xml:space="preserve"> of formaldehyde-fixed liver tissue. The antibody was diluted 1:200 in</w:t>
      </w:r>
      <w:r w:rsidR="00CE6644" w:rsidRPr="00CA4C0B">
        <w:rPr>
          <w:rStyle w:val="None"/>
          <w:rFonts w:ascii="Book Antiqua" w:hAnsi="Book Antiqua"/>
          <w:color w:val="auto"/>
          <w:sz w:val="24"/>
          <w:szCs w:val="24"/>
        </w:rPr>
        <w:t xml:space="preserve"> 0</w:t>
      </w:r>
      <w:r w:rsidR="00CE6644" w:rsidRPr="00CA4C0B">
        <w:rPr>
          <w:rStyle w:val="Hyperlink2"/>
          <w:rFonts w:ascii="Book Antiqua" w:eastAsia="Arial Unicode MS" w:hAnsi="Book Antiqua"/>
          <w:color w:val="auto"/>
        </w:rPr>
        <w:t>.01</w:t>
      </w:r>
      <w:r w:rsidR="00495367" w:rsidRPr="00CA4C0B">
        <w:rPr>
          <w:rStyle w:val="Hyperlink2"/>
          <w:rFonts w:ascii="Book Antiqua" w:eastAsia="Arial Unicode MS" w:hAnsi="Book Antiqua"/>
          <w:color w:val="auto"/>
        </w:rPr>
        <w:t xml:space="preserve"> mol/L</w:t>
      </w:r>
      <w:r w:rsidR="00CE6644" w:rsidRPr="00CA4C0B">
        <w:rPr>
          <w:rStyle w:val="Hyperlink2"/>
          <w:rFonts w:ascii="Book Antiqua" w:eastAsia="Arial Unicode MS" w:hAnsi="Book Antiqua"/>
          <w:color w:val="auto"/>
        </w:rPr>
        <w:t xml:space="preserve"> </w:t>
      </w:r>
      <w:r w:rsidR="00495367" w:rsidRPr="00CA4C0B">
        <w:rPr>
          <w:rStyle w:val="Hyperlink2"/>
          <w:rFonts w:ascii="Book Antiqua" w:eastAsia="Arial Unicode MS" w:hAnsi="Book Antiqua"/>
          <w:color w:val="auto"/>
        </w:rPr>
        <w:t>phosphate buffered</w:t>
      </w:r>
      <w:r w:rsidR="00495367" w:rsidRPr="00CA4C0B">
        <w:rPr>
          <w:rStyle w:val="None"/>
          <w:rFonts w:ascii="Book Antiqua" w:hAnsi="Book Antiqua"/>
          <w:color w:val="auto"/>
          <w:sz w:val="24"/>
          <w:szCs w:val="24"/>
          <w:lang w:val="it-IT"/>
        </w:rPr>
        <w:t xml:space="preserve"> saline </w:t>
      </w:r>
      <w:r w:rsidR="00CE6644" w:rsidRPr="00CA4C0B">
        <w:rPr>
          <w:rStyle w:val="None"/>
          <w:rFonts w:ascii="Book Antiqua" w:hAnsi="Book Antiqua"/>
          <w:color w:val="auto"/>
          <w:sz w:val="24"/>
          <w:szCs w:val="24"/>
          <w:lang w:val="it-IT"/>
        </w:rPr>
        <w:t>pH</w:t>
      </w:r>
      <w:r w:rsidR="00495367" w:rsidRPr="00CA4C0B">
        <w:rPr>
          <w:rStyle w:val="None"/>
          <w:rFonts w:ascii="Book Antiqua" w:hAnsi="Book Antiqua"/>
          <w:color w:val="auto"/>
          <w:sz w:val="24"/>
          <w:szCs w:val="24"/>
          <w:lang w:val="it-IT"/>
        </w:rPr>
        <w:t xml:space="preserve"> </w:t>
      </w:r>
      <w:r w:rsidR="00CE6644" w:rsidRPr="00CA4C0B">
        <w:rPr>
          <w:rStyle w:val="None"/>
          <w:rFonts w:ascii="Book Antiqua" w:hAnsi="Book Antiqua"/>
          <w:color w:val="auto"/>
          <w:sz w:val="24"/>
          <w:szCs w:val="24"/>
          <w:lang w:val="it-IT"/>
        </w:rPr>
        <w:t>7.4 (Sigma Aldrich).</w:t>
      </w:r>
      <w:r w:rsidR="00CE6644" w:rsidRPr="00CA4C0B">
        <w:rPr>
          <w:rStyle w:val="None"/>
          <w:rFonts w:ascii="Book Antiqua" w:hAnsi="Book Antiqua"/>
          <w:color w:val="auto"/>
          <w:sz w:val="24"/>
          <w:szCs w:val="24"/>
          <w:shd w:val="clear" w:color="auto" w:fill="FFFFFF"/>
        </w:rPr>
        <w:t> </w:t>
      </w:r>
    </w:p>
    <w:p w14:paraId="564CCD53" w14:textId="4C3B999A"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A heat mediated antigen retrieval step was performed in citrate buffer. The ti</w:t>
      </w:r>
      <w:r w:rsidRPr="00CA4C0B">
        <w:rPr>
          <w:rStyle w:val="None"/>
          <w:rFonts w:ascii="Book Antiqua" w:hAnsi="Book Antiqua"/>
          <w:color w:val="auto"/>
          <w:sz w:val="24"/>
          <w:szCs w:val="24"/>
        </w:rPr>
        <w:t>s</w:t>
      </w:r>
      <w:r w:rsidRPr="00CA4C0B">
        <w:rPr>
          <w:rStyle w:val="None"/>
          <w:rFonts w:ascii="Book Antiqua" w:hAnsi="Book Antiqua"/>
          <w:color w:val="auto"/>
          <w:sz w:val="24"/>
          <w:szCs w:val="24"/>
        </w:rPr>
        <w:t>sue was then blocked and incubated with the antibody for 2 h</w:t>
      </w:r>
      <w:r w:rsidR="007950B5"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at 22</w:t>
      </w:r>
      <w:r w:rsidR="007950B5"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xml:space="preserve">°C. An HRP conjugated goat anti-rabbit antibody was used as the secondary. </w:t>
      </w:r>
    </w:p>
    <w:p w14:paraId="5B6DBB7F" w14:textId="77777777"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All light microscopy was conducted by Primo star ZEISS, Jena, Germany equipped with a digital video camera - ZEN 2.3 SP1.</w:t>
      </w:r>
    </w:p>
    <w:p w14:paraId="1BBEE8E1" w14:textId="77777777" w:rsidR="004313EE" w:rsidRPr="00CA4C0B" w:rsidRDefault="004313EE" w:rsidP="007F2CA0">
      <w:pPr>
        <w:pStyle w:val="BodyA"/>
        <w:snapToGrid w:val="0"/>
        <w:spacing w:after="0" w:line="360" w:lineRule="auto"/>
        <w:ind w:firstLine="720"/>
        <w:jc w:val="both"/>
        <w:rPr>
          <w:rStyle w:val="None"/>
          <w:rFonts w:ascii="Book Antiqua" w:eastAsia="Times New Roman" w:hAnsi="Book Antiqua" w:cs="Times New Roman"/>
          <w:b/>
          <w:bCs/>
          <w:i/>
          <w:iCs/>
          <w:color w:val="auto"/>
          <w:sz w:val="24"/>
          <w:szCs w:val="24"/>
          <w:u w:val="single"/>
        </w:rPr>
      </w:pPr>
    </w:p>
    <w:p w14:paraId="35332649" w14:textId="52BD7E74" w:rsidR="004313EE" w:rsidRPr="00CA4C0B" w:rsidRDefault="00CE6644" w:rsidP="007F2CA0">
      <w:pPr>
        <w:pStyle w:val="BodyA"/>
        <w:snapToGrid w:val="0"/>
        <w:spacing w:after="0" w:line="360" w:lineRule="auto"/>
        <w:jc w:val="both"/>
        <w:rPr>
          <w:rStyle w:val="None"/>
          <w:rFonts w:ascii="Book Antiqua" w:eastAsia="Times New Roman" w:hAnsi="Book Antiqua" w:cs="Times New Roman"/>
          <w:b/>
          <w:bCs/>
          <w:iCs/>
          <w:color w:val="auto"/>
          <w:sz w:val="24"/>
          <w:szCs w:val="24"/>
        </w:rPr>
      </w:pPr>
      <w:r w:rsidRPr="00CA4C0B">
        <w:rPr>
          <w:rStyle w:val="None"/>
          <w:rFonts w:ascii="Book Antiqua" w:hAnsi="Book Antiqua"/>
          <w:b/>
          <w:bCs/>
          <w:iCs/>
          <w:color w:val="auto"/>
          <w:sz w:val="24"/>
          <w:szCs w:val="24"/>
        </w:rPr>
        <w:t>Morphometry</w:t>
      </w:r>
      <w:r w:rsidR="00CF635D" w:rsidRPr="00CA4C0B">
        <w:rPr>
          <w:rStyle w:val="None"/>
          <w:rFonts w:ascii="Book Antiqua" w:hAnsi="Book Antiqua"/>
          <w:b/>
          <w:bCs/>
          <w:iCs/>
          <w:color w:val="auto"/>
          <w:sz w:val="24"/>
          <w:szCs w:val="24"/>
        </w:rPr>
        <w:t xml:space="preserve">: </w:t>
      </w:r>
      <w:r w:rsidRPr="00CA4C0B">
        <w:rPr>
          <w:rStyle w:val="None"/>
          <w:rFonts w:ascii="Book Antiqua" w:hAnsi="Book Antiqua"/>
          <w:color w:val="auto"/>
          <w:sz w:val="24"/>
          <w:szCs w:val="24"/>
        </w:rPr>
        <w:t>The histological slides stained with CK8 marker were used for morphometric analysis. CK8 allowed good visualization of the hepatocyte me</w:t>
      </w:r>
      <w:r w:rsidRPr="00CA4C0B">
        <w:rPr>
          <w:rStyle w:val="None"/>
          <w:rFonts w:ascii="Book Antiqua" w:hAnsi="Book Antiqua"/>
          <w:color w:val="auto"/>
          <w:sz w:val="24"/>
          <w:szCs w:val="24"/>
        </w:rPr>
        <w:t>m</w:t>
      </w:r>
      <w:r w:rsidRPr="00CA4C0B">
        <w:rPr>
          <w:rStyle w:val="None"/>
          <w:rFonts w:ascii="Book Antiqua" w:hAnsi="Book Antiqua"/>
          <w:color w:val="auto"/>
          <w:sz w:val="24"/>
          <w:szCs w:val="24"/>
        </w:rPr>
        <w:t>brane and ensured a high degree of accuracy of marking the measuring space.</w:t>
      </w:r>
    </w:p>
    <w:p w14:paraId="0650912B" w14:textId="77777777" w:rsidR="004313EE" w:rsidRPr="00CA4C0B" w:rsidRDefault="00CE6644" w:rsidP="007F2CA0">
      <w:pPr>
        <w:pStyle w:val="BodyA"/>
        <w:snapToGrid w:val="0"/>
        <w:spacing w:after="0" w:line="360" w:lineRule="auto"/>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The morphometrical analysis was conducted for:</w:t>
      </w:r>
    </w:p>
    <w:p w14:paraId="5BDDDF82" w14:textId="132DBEA4" w:rsidR="004313EE" w:rsidRPr="00CA4C0B" w:rsidRDefault="00CF635D" w:rsidP="00D61634">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color w:val="auto"/>
        </w:rPr>
        <w:t>(1</w:t>
      </w:r>
      <w:r w:rsidR="00CE6644" w:rsidRPr="00CA4C0B">
        <w:rPr>
          <w:rStyle w:val="Hyperlink2"/>
          <w:rFonts w:ascii="Book Antiqua" w:eastAsia="Arial Unicode MS" w:hAnsi="Book Antiqua"/>
          <w:color w:val="auto"/>
        </w:rPr>
        <w:t>) Hepatocytes of the first zone of the liver acinus, located periportally on both sides of the line connecting neighboring portal triads (this corresponds to the area, adjoining the perpendicular line descending from the portal zone to the connective axis of the central veins of the adjacent classical lobules</w:t>
      </w:r>
      <w:r w:rsidR="00F7733D" w:rsidRPr="00CA4C0B">
        <w:rPr>
          <w:rStyle w:val="Hyperlink2"/>
          <w:rFonts w:ascii="Book Antiqua" w:eastAsia="Arial Unicode MS" w:hAnsi="Book Antiqua"/>
          <w:color w:val="auto"/>
        </w:rPr>
        <w:t xml:space="preserve"> </w:t>
      </w:r>
      <w:r w:rsidR="00CE6644" w:rsidRPr="00CA4C0B">
        <w:rPr>
          <w:rStyle w:val="Hyperlink2"/>
          <w:rFonts w:ascii="Book Antiqua" w:eastAsia="Arial Unicode MS" w:hAnsi="Book Antiqua"/>
          <w:color w:val="auto"/>
        </w:rPr>
        <w:t>(hatched area “a” on</w:t>
      </w:r>
      <w:r w:rsidR="00CE6644" w:rsidRPr="00CA4C0B">
        <w:rPr>
          <w:rStyle w:val="None"/>
          <w:rFonts w:ascii="Book Antiqua" w:hAnsi="Book Antiqua"/>
          <w:color w:val="auto"/>
          <w:sz w:val="24"/>
          <w:szCs w:val="24"/>
          <w:lang w:val="pt-PT"/>
        </w:rPr>
        <w:t xml:space="preserve"> </w:t>
      </w:r>
      <w:r w:rsidR="007D3282" w:rsidRPr="00CA4C0B">
        <w:rPr>
          <w:rStyle w:val="None"/>
          <w:rFonts w:ascii="Book Antiqua" w:hAnsi="Book Antiqua"/>
          <w:color w:val="auto"/>
          <w:sz w:val="24"/>
          <w:szCs w:val="24"/>
          <w:lang w:val="pt-PT"/>
        </w:rPr>
        <w:t>Figure</w:t>
      </w:r>
      <w:r w:rsidR="00CE6644" w:rsidRPr="00CA4C0B">
        <w:rPr>
          <w:rStyle w:val="None"/>
          <w:rFonts w:ascii="Book Antiqua" w:hAnsi="Book Antiqua"/>
          <w:color w:val="auto"/>
          <w:sz w:val="24"/>
          <w:szCs w:val="24"/>
          <w:lang w:val="pt-PT"/>
        </w:rPr>
        <w:t xml:space="preserve"> 1A</w:t>
      </w:r>
      <w:r w:rsidR="00BA27BF" w:rsidRPr="00CA4C0B">
        <w:rPr>
          <w:rStyle w:val="None"/>
          <w:rFonts w:ascii="Book Antiqua" w:hAnsi="Book Antiqua"/>
          <w:color w:val="auto"/>
          <w:sz w:val="24"/>
          <w:szCs w:val="24"/>
          <w:lang w:val="pt-PT"/>
        </w:rPr>
        <w:t xml:space="preserve"> and </w:t>
      </w:r>
      <w:r w:rsidR="00CE6644" w:rsidRPr="00CA4C0B">
        <w:rPr>
          <w:rStyle w:val="None"/>
          <w:rFonts w:ascii="Book Antiqua" w:hAnsi="Book Antiqua"/>
          <w:color w:val="auto"/>
          <w:sz w:val="24"/>
          <w:szCs w:val="24"/>
          <w:lang w:val="pt-PT"/>
        </w:rPr>
        <w:t>C).</w:t>
      </w:r>
    </w:p>
    <w:p w14:paraId="69D4639A" w14:textId="15EED9B1" w:rsidR="004313EE" w:rsidRPr="00CA4C0B" w:rsidRDefault="00CF635D" w:rsidP="007F2CA0">
      <w:pPr>
        <w:pStyle w:val="a5"/>
        <w:snapToGrid w:val="0"/>
        <w:spacing w:after="0" w:line="360" w:lineRule="auto"/>
        <w:ind w:left="0"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And (2</w:t>
      </w:r>
      <w:r w:rsidR="00CE6644" w:rsidRPr="00CA4C0B">
        <w:rPr>
          <w:rStyle w:val="None"/>
          <w:rFonts w:ascii="Book Antiqua" w:hAnsi="Book Antiqua"/>
          <w:color w:val="auto"/>
          <w:sz w:val="24"/>
          <w:szCs w:val="24"/>
        </w:rPr>
        <w:t xml:space="preserve">) Hepatocytes of the third zone of the liver acinus, which are located around the central vein of the classic liver lobule and correspond to the area near the top of the portal lobule (hatched area “b” on </w:t>
      </w:r>
      <w:r w:rsidR="007D3282" w:rsidRPr="00CA4C0B">
        <w:rPr>
          <w:rStyle w:val="None"/>
          <w:rFonts w:ascii="Book Antiqua" w:hAnsi="Book Antiqua"/>
          <w:color w:val="auto"/>
          <w:sz w:val="24"/>
          <w:szCs w:val="24"/>
        </w:rPr>
        <w:t>Figure</w:t>
      </w:r>
      <w:r w:rsidR="00CE6644" w:rsidRPr="00CA4C0B">
        <w:rPr>
          <w:rStyle w:val="None"/>
          <w:rFonts w:ascii="Book Antiqua" w:hAnsi="Book Antiqua"/>
          <w:color w:val="auto"/>
          <w:sz w:val="24"/>
          <w:szCs w:val="24"/>
        </w:rPr>
        <w:t xml:space="preserve"> 1A</w:t>
      </w:r>
      <w:r w:rsidR="00C018CC" w:rsidRPr="00CA4C0B">
        <w:rPr>
          <w:rStyle w:val="None"/>
          <w:rFonts w:ascii="Book Antiqua" w:hAnsi="Book Antiqua"/>
          <w:color w:val="auto"/>
          <w:sz w:val="24"/>
          <w:szCs w:val="24"/>
        </w:rPr>
        <w:t xml:space="preserve"> and </w:t>
      </w:r>
      <w:r w:rsidR="00CE6644" w:rsidRPr="00CA4C0B">
        <w:rPr>
          <w:rStyle w:val="None"/>
          <w:rFonts w:ascii="Book Antiqua" w:hAnsi="Book Antiqua"/>
          <w:color w:val="auto"/>
          <w:sz w:val="24"/>
          <w:szCs w:val="24"/>
        </w:rPr>
        <w:t>B).</w:t>
      </w:r>
    </w:p>
    <w:p w14:paraId="13FE01EF" w14:textId="77777777" w:rsidR="004313EE" w:rsidRPr="00CA4C0B" w:rsidRDefault="00CE6644" w:rsidP="007F2CA0">
      <w:pPr>
        <w:pStyle w:val="a5"/>
        <w:snapToGrid w:val="0"/>
        <w:spacing w:after="0" w:line="360" w:lineRule="auto"/>
        <w:ind w:left="0"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The hepatocytes of the second zone of liver acinus were not measured due to difficulty in the exact identification of the zone's borders.</w:t>
      </w:r>
    </w:p>
    <w:p w14:paraId="129CF263" w14:textId="015E9580" w:rsidR="004313EE" w:rsidRPr="00CA4C0B" w:rsidRDefault="00CE6644" w:rsidP="00D61634">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color w:val="auto"/>
        </w:rPr>
        <w:t>The analysis of the hepatocyte area and perimeter was performed on caudal lobes of the livers of the animals from the control as well as from both study groups, taking into account that this lobe would be maintained even after repea</w:t>
      </w:r>
      <w:r w:rsidRPr="00CA4C0B">
        <w:rPr>
          <w:rStyle w:val="Hyperlink2"/>
          <w:rFonts w:ascii="Book Antiqua" w:eastAsia="Arial Unicode MS" w:hAnsi="Book Antiqua"/>
          <w:color w:val="auto"/>
        </w:rPr>
        <w:t>t</w:t>
      </w:r>
      <w:r w:rsidRPr="00CA4C0B">
        <w:rPr>
          <w:rStyle w:val="Hyperlink2"/>
          <w:rFonts w:ascii="Book Antiqua" w:eastAsia="Arial Unicode MS" w:hAnsi="Book Antiqua"/>
          <w:color w:val="auto"/>
        </w:rPr>
        <w:t xml:space="preserve">ed hepatectomy. Histological slides were scanned on a </w:t>
      </w:r>
      <w:proofErr w:type="spellStart"/>
      <w:r w:rsidRPr="00CA4C0B">
        <w:rPr>
          <w:rStyle w:val="Hyperlink2"/>
          <w:rFonts w:ascii="Book Antiqua" w:eastAsia="Arial Unicode MS" w:hAnsi="Book Antiqua"/>
          <w:color w:val="auto"/>
        </w:rPr>
        <w:t>Motic</w:t>
      </w:r>
      <w:proofErr w:type="spellEnd"/>
      <w:r w:rsidRPr="00CA4C0B">
        <w:rPr>
          <w:rStyle w:val="Hyperlink2"/>
          <w:rFonts w:ascii="Book Antiqua" w:eastAsia="Arial Unicode MS" w:hAnsi="Book Antiqua"/>
          <w:color w:val="auto"/>
        </w:rPr>
        <w:t xml:space="preserve"> Digital Slide Sca</w:t>
      </w:r>
      <w:r w:rsidRPr="00CA4C0B">
        <w:rPr>
          <w:rStyle w:val="Hyperlink2"/>
          <w:rFonts w:ascii="Book Antiqua" w:eastAsia="Arial Unicode MS" w:hAnsi="Book Antiqua"/>
          <w:color w:val="auto"/>
        </w:rPr>
        <w:t>n</w:t>
      </w:r>
      <w:r w:rsidRPr="00CA4C0B">
        <w:rPr>
          <w:rStyle w:val="Hyperlink2"/>
          <w:rFonts w:ascii="Book Antiqua" w:eastAsia="Arial Unicode MS" w:hAnsi="Book Antiqua"/>
          <w:color w:val="auto"/>
        </w:rPr>
        <w:lastRenderedPageBreak/>
        <w:t xml:space="preserve">ner and analyzed using </w:t>
      </w:r>
      <w:proofErr w:type="spellStart"/>
      <w:r w:rsidRPr="00CA4C0B">
        <w:rPr>
          <w:rStyle w:val="Hyperlink2"/>
          <w:rFonts w:ascii="Book Antiqua" w:eastAsia="Arial Unicode MS" w:hAnsi="Book Antiqua"/>
          <w:color w:val="auto"/>
        </w:rPr>
        <w:t>motic</w:t>
      </w:r>
      <w:proofErr w:type="spellEnd"/>
      <w:r w:rsidRPr="00CA4C0B">
        <w:rPr>
          <w:rStyle w:val="Hyperlink2"/>
          <w:rFonts w:ascii="Book Antiqua" w:eastAsia="Arial Unicode MS" w:hAnsi="Book Antiqua"/>
          <w:color w:val="auto"/>
        </w:rPr>
        <w:t xml:space="preserve"> digital scanner assistant software, </w:t>
      </w:r>
      <w:proofErr w:type="spellStart"/>
      <w:r w:rsidRPr="00CA4C0B">
        <w:rPr>
          <w:rStyle w:val="Hyperlink2"/>
          <w:rFonts w:ascii="Book Antiqua" w:eastAsia="Arial Unicode MS" w:hAnsi="Book Antiqua"/>
          <w:color w:val="auto"/>
        </w:rPr>
        <w:t>Motic</w:t>
      </w:r>
      <w:proofErr w:type="spellEnd"/>
      <w:r w:rsidRPr="00CA4C0B">
        <w:rPr>
          <w:rStyle w:val="Hyperlink2"/>
          <w:rFonts w:ascii="Book Antiqua" w:eastAsia="Arial Unicode MS" w:hAnsi="Book Antiqua"/>
          <w:color w:val="auto"/>
        </w:rPr>
        <w:t xml:space="preserve"> VM 3.0. The work area was enlarged 40 times and cell membranes were outlined manua</w:t>
      </w:r>
      <w:r w:rsidRPr="00CA4C0B">
        <w:rPr>
          <w:rStyle w:val="Hyperlink2"/>
          <w:rFonts w:ascii="Book Antiqua" w:eastAsia="Arial Unicode MS" w:hAnsi="Book Antiqua"/>
          <w:color w:val="auto"/>
        </w:rPr>
        <w:t>l</w:t>
      </w:r>
      <w:r w:rsidRPr="00CA4C0B">
        <w:rPr>
          <w:rStyle w:val="Hyperlink2"/>
          <w:rFonts w:ascii="Book Antiqua" w:eastAsia="Arial Unicode MS" w:hAnsi="Book Antiqua"/>
          <w:color w:val="auto"/>
        </w:rPr>
        <w:t xml:space="preserve">ly because the shape of the hepatocytes does not fit any geometric figure as a rule. For morphometric analysis, there were </w:t>
      </w:r>
      <w:r w:rsidRPr="00CA4C0B">
        <w:rPr>
          <w:rStyle w:val="None"/>
          <w:rFonts w:ascii="Book Antiqua" w:hAnsi="Book Antiqua"/>
          <w:color w:val="auto"/>
          <w:sz w:val="24"/>
          <w:szCs w:val="24"/>
          <w:lang w:val="fr-FR"/>
        </w:rPr>
        <w:t>chosen</w:t>
      </w:r>
      <w:r w:rsidRPr="00CA4C0B">
        <w:rPr>
          <w:rStyle w:val="Hyperlink2"/>
          <w:rFonts w:ascii="Book Antiqua" w:eastAsia="Arial Unicode MS" w:hAnsi="Book Antiqua"/>
          <w:color w:val="auto"/>
        </w:rPr>
        <w:t xml:space="preserve"> the cells with a fully visua</w:t>
      </w:r>
      <w:r w:rsidRPr="00CA4C0B">
        <w:rPr>
          <w:rStyle w:val="Hyperlink2"/>
          <w:rFonts w:ascii="Book Antiqua" w:eastAsia="Arial Unicode MS" w:hAnsi="Book Antiqua"/>
          <w:color w:val="auto"/>
        </w:rPr>
        <w:t>l</w:t>
      </w:r>
      <w:r w:rsidRPr="00CA4C0B">
        <w:rPr>
          <w:rStyle w:val="Hyperlink2"/>
          <w:rFonts w:ascii="Book Antiqua" w:eastAsia="Arial Unicode MS" w:hAnsi="Book Antiqua"/>
          <w:color w:val="auto"/>
        </w:rPr>
        <w:t>ized membrane and nucleus</w:t>
      </w:r>
      <w:r w:rsidR="004B4951"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w:t>
      </w:r>
      <w:r w:rsidR="007D3282" w:rsidRPr="00CA4C0B">
        <w:rPr>
          <w:rStyle w:val="Hyperlink2"/>
          <w:rFonts w:ascii="Book Antiqua" w:eastAsia="Arial Unicode MS" w:hAnsi="Book Antiqua"/>
          <w:color w:val="auto"/>
        </w:rPr>
        <w:t>Figure</w:t>
      </w:r>
      <w:r w:rsidRPr="00CA4C0B">
        <w:rPr>
          <w:rStyle w:val="Hyperlink2"/>
          <w:rFonts w:ascii="Book Antiqua" w:eastAsia="Arial Unicode MS" w:hAnsi="Book Antiqua"/>
          <w:color w:val="auto"/>
        </w:rPr>
        <w:t xml:space="preserve"> 1B</w:t>
      </w:r>
      <w:r w:rsidR="004B4951" w:rsidRPr="00CA4C0B">
        <w:rPr>
          <w:rStyle w:val="Hyperlink2"/>
          <w:rFonts w:ascii="Book Antiqua" w:eastAsia="Arial Unicode MS" w:hAnsi="Book Antiqua"/>
          <w:color w:val="auto"/>
        </w:rPr>
        <w:t xml:space="preserve"> and </w:t>
      </w:r>
      <w:r w:rsidRPr="00CA4C0B">
        <w:rPr>
          <w:rStyle w:val="Hyperlink2"/>
          <w:rFonts w:ascii="Book Antiqua" w:eastAsia="Arial Unicode MS" w:hAnsi="Book Antiqua"/>
          <w:color w:val="auto"/>
        </w:rPr>
        <w:t>C).</w:t>
      </w:r>
    </w:p>
    <w:p w14:paraId="2A0B7B29" w14:textId="3BCD2B40" w:rsidR="004313EE" w:rsidRPr="00CA4C0B" w:rsidRDefault="00CE6644" w:rsidP="00D61634">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shd w:val="clear" w:color="auto" w:fill="FFFF00"/>
        </w:rPr>
      </w:pPr>
      <w:r w:rsidRPr="00CA4C0B">
        <w:rPr>
          <w:rStyle w:val="Hyperlink2"/>
          <w:rFonts w:ascii="Book Antiqua" w:eastAsia="Arial Unicode MS" w:hAnsi="Book Antiqua"/>
          <w:color w:val="auto"/>
        </w:rPr>
        <w:t xml:space="preserve">Differences between control and study groups were calculated using </w:t>
      </w:r>
      <w:r w:rsidR="00946425" w:rsidRPr="00CA4C0B">
        <w:rPr>
          <w:rStyle w:val="Hyperlink2"/>
          <w:rFonts w:ascii="Book Antiqua" w:eastAsia="Arial Unicode MS" w:hAnsi="Book Antiqua"/>
          <w:i/>
          <w:color w:val="auto"/>
        </w:rPr>
        <w:t>t</w:t>
      </w:r>
      <w:r w:rsidRPr="00CA4C0B">
        <w:rPr>
          <w:rStyle w:val="Hyperlink2"/>
          <w:rFonts w:ascii="Book Antiqua" w:eastAsia="Arial Unicode MS" w:hAnsi="Book Antiqua"/>
          <w:color w:val="auto"/>
        </w:rPr>
        <w:t xml:space="preserve">-test and Mann-Whitney </w:t>
      </w:r>
      <w:r w:rsidRPr="00CA4C0B">
        <w:rPr>
          <w:rStyle w:val="Hyperlink2"/>
          <w:rFonts w:ascii="Book Antiqua" w:eastAsia="Arial Unicode MS" w:hAnsi="Book Antiqua"/>
          <w:i/>
          <w:color w:val="auto"/>
        </w:rPr>
        <w:t>U</w:t>
      </w:r>
      <w:r w:rsidRPr="00CA4C0B">
        <w:rPr>
          <w:rStyle w:val="Hyperlink2"/>
          <w:rFonts w:ascii="Book Antiqua" w:eastAsia="Arial Unicode MS" w:hAnsi="Book Antiqua"/>
          <w:color w:val="auto"/>
        </w:rPr>
        <w:t xml:space="preserve"> </w:t>
      </w:r>
      <w:r w:rsidR="00956C50" w:rsidRPr="00CA4C0B">
        <w:rPr>
          <w:rStyle w:val="Hyperlink2"/>
          <w:rFonts w:ascii="Book Antiqua" w:eastAsia="Arial Unicode MS" w:hAnsi="Book Antiqua"/>
          <w:color w:val="auto"/>
        </w:rPr>
        <w:t>t</w:t>
      </w:r>
      <w:r w:rsidRPr="00CA4C0B">
        <w:rPr>
          <w:rStyle w:val="Hyperlink2"/>
          <w:rFonts w:ascii="Book Antiqua" w:eastAsia="Arial Unicode MS" w:hAnsi="Book Antiqua"/>
          <w:color w:val="auto"/>
        </w:rPr>
        <w:t xml:space="preserve">est and the value used for statistical significance was </w:t>
      </w:r>
      <w:r w:rsidRPr="00CA4C0B">
        <w:rPr>
          <w:rStyle w:val="Hyperlink2"/>
          <w:rFonts w:ascii="Book Antiqua" w:eastAsia="Arial Unicode MS" w:hAnsi="Book Antiqua"/>
          <w:i/>
          <w:caps/>
          <w:color w:val="auto"/>
        </w:rPr>
        <w:t>p</w:t>
      </w:r>
      <w:r w:rsidR="00946425"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&lt;</w:t>
      </w:r>
      <w:r w:rsidR="00946425"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 xml:space="preserve">0.05. All statistical analyses were performed with </w:t>
      </w:r>
      <w:r w:rsidRPr="00CA4C0B">
        <w:rPr>
          <w:rStyle w:val="None"/>
          <w:rFonts w:ascii="Book Antiqua" w:hAnsi="Book Antiqua"/>
          <w:color w:val="auto"/>
          <w:sz w:val="24"/>
          <w:szCs w:val="24"/>
          <w:shd w:val="clear" w:color="auto" w:fill="FFFFFF"/>
          <w:lang w:val="it-IT"/>
        </w:rPr>
        <w:t>SAS v 9.4 software.</w:t>
      </w:r>
      <w:r w:rsidRPr="00CA4C0B">
        <w:rPr>
          <w:rStyle w:val="None"/>
          <w:rFonts w:ascii="Book Antiqua" w:hAnsi="Book Antiqua"/>
          <w:color w:val="auto"/>
          <w:sz w:val="24"/>
          <w:szCs w:val="24"/>
          <w:shd w:val="clear" w:color="auto" w:fill="FFFF00"/>
        </w:rPr>
        <w:t xml:space="preserve"> </w:t>
      </w:r>
    </w:p>
    <w:p w14:paraId="4126B4B5" w14:textId="77777777" w:rsidR="00D80A78" w:rsidRPr="00CA4C0B" w:rsidRDefault="00D80A78" w:rsidP="007F2CA0">
      <w:pPr>
        <w:pStyle w:val="Standard"/>
        <w:snapToGrid w:val="0"/>
        <w:spacing w:line="360" w:lineRule="auto"/>
        <w:jc w:val="both"/>
        <w:rPr>
          <w:rStyle w:val="None"/>
          <w:rFonts w:ascii="Book Antiqua" w:hAnsi="Book Antiqua"/>
          <w:b/>
          <w:bCs/>
          <w:i/>
          <w:iCs/>
          <w:color w:val="auto"/>
          <w:u w:val="single"/>
          <w:shd w:val="clear" w:color="auto" w:fill="FFFFFF"/>
        </w:rPr>
      </w:pPr>
    </w:p>
    <w:p w14:paraId="01B03857" w14:textId="1B199C2E" w:rsidR="004313EE" w:rsidRPr="00CA4C0B" w:rsidRDefault="00CE6644" w:rsidP="007F2CA0">
      <w:pPr>
        <w:pStyle w:val="Standard"/>
        <w:snapToGrid w:val="0"/>
        <w:spacing w:line="360" w:lineRule="auto"/>
        <w:jc w:val="both"/>
        <w:rPr>
          <w:rStyle w:val="None"/>
          <w:rFonts w:ascii="Book Antiqua" w:hAnsi="Book Antiqua"/>
          <w:iCs/>
          <w:color w:val="auto"/>
          <w:shd w:val="clear" w:color="auto" w:fill="FFFFFF"/>
        </w:rPr>
      </w:pPr>
      <w:r w:rsidRPr="00CA4C0B">
        <w:rPr>
          <w:rStyle w:val="None"/>
          <w:rFonts w:ascii="Book Antiqua" w:hAnsi="Book Antiqua"/>
          <w:b/>
          <w:bCs/>
          <w:iCs/>
          <w:color w:val="auto"/>
          <w:shd w:val="clear" w:color="auto" w:fill="FFFFFF"/>
        </w:rPr>
        <w:t xml:space="preserve">Determination of the DNA concentration of the </w:t>
      </w:r>
      <w:r w:rsidR="00D80A78" w:rsidRPr="00CA4C0B">
        <w:rPr>
          <w:rStyle w:val="None"/>
          <w:rFonts w:ascii="Book Antiqua" w:hAnsi="Book Antiqua"/>
          <w:b/>
          <w:bCs/>
          <w:iCs/>
          <w:color w:val="auto"/>
          <w:shd w:val="clear" w:color="auto" w:fill="FFFFFF"/>
        </w:rPr>
        <w:t>h</w:t>
      </w:r>
      <w:r w:rsidRPr="00CA4C0B">
        <w:rPr>
          <w:rStyle w:val="None"/>
          <w:rFonts w:ascii="Book Antiqua" w:hAnsi="Book Antiqua"/>
          <w:b/>
          <w:bCs/>
          <w:iCs/>
          <w:color w:val="auto"/>
          <w:shd w:val="clear" w:color="auto" w:fill="FFFFFF"/>
        </w:rPr>
        <w:t>epatocytes</w:t>
      </w:r>
      <w:r w:rsidR="00D80A78" w:rsidRPr="00CA4C0B">
        <w:rPr>
          <w:rStyle w:val="None"/>
          <w:rFonts w:ascii="Book Antiqua" w:hAnsi="Book Antiqua"/>
          <w:b/>
          <w:iCs/>
          <w:color w:val="auto"/>
          <w:shd w:val="clear" w:color="auto" w:fill="FFFFFF"/>
        </w:rPr>
        <w:t xml:space="preserve">: </w:t>
      </w:r>
      <w:r w:rsidRPr="00CA4C0B">
        <w:rPr>
          <w:rStyle w:val="None"/>
          <w:rFonts w:ascii="Book Antiqua" w:hAnsi="Book Antiqua"/>
          <w:color w:val="auto"/>
        </w:rPr>
        <w:t>The liver tissue of rats of CG, SG</w:t>
      </w:r>
      <w:r w:rsidRPr="00CA4C0B">
        <w:rPr>
          <w:rStyle w:val="None"/>
          <w:rFonts w:ascii="Book Antiqua" w:hAnsi="Book Antiqua"/>
          <w:color w:val="auto"/>
          <w:vertAlign w:val="subscript"/>
        </w:rPr>
        <w:t>1,</w:t>
      </w:r>
      <w:r w:rsidRPr="00CA4C0B">
        <w:rPr>
          <w:rStyle w:val="None"/>
          <w:rFonts w:ascii="Book Antiqua" w:hAnsi="Book Antiqua"/>
          <w:color w:val="auto"/>
        </w:rPr>
        <w:t xml:space="preserve"> and SG</w:t>
      </w:r>
      <w:r w:rsidRPr="00CA4C0B">
        <w:rPr>
          <w:rStyle w:val="None"/>
          <w:rFonts w:ascii="Book Antiqua" w:hAnsi="Book Antiqua"/>
          <w:color w:val="auto"/>
          <w:vertAlign w:val="subscript"/>
        </w:rPr>
        <w:t>2</w:t>
      </w:r>
      <w:r w:rsidRPr="00CA4C0B">
        <w:rPr>
          <w:rStyle w:val="None"/>
          <w:rFonts w:ascii="Book Antiqua" w:hAnsi="Book Antiqua"/>
          <w:color w:val="auto"/>
        </w:rPr>
        <w:t xml:space="preserve"> was dissociated into the cells using the phosphate buffers. From the obtained suspensions smears were prepared. The Feulgen method (Schiff reaction) was used to determine the concentration of DNA in </w:t>
      </w:r>
      <w:r w:rsidR="00620844" w:rsidRPr="00CA4C0B">
        <w:rPr>
          <w:rStyle w:val="None"/>
          <w:rFonts w:ascii="Book Antiqua" w:hAnsi="Book Antiqua"/>
          <w:color w:val="auto"/>
        </w:rPr>
        <w:t>the nuclei of dissociated cells</w:t>
      </w:r>
      <w:r w:rsidR="00114946" w:rsidRPr="00CA4C0B">
        <w:rPr>
          <w:rStyle w:val="None"/>
          <w:rFonts w:ascii="Book Antiqua" w:hAnsi="Book Antiqua"/>
          <w:color w:val="auto"/>
        </w:rPr>
        <w:fldChar w:fldCharType="begin" w:fldLock="1"/>
      </w:r>
      <w:r w:rsidR="00114946" w:rsidRPr="00CA4C0B">
        <w:rPr>
          <w:rStyle w:val="None"/>
          <w:rFonts w:ascii="Book Antiqua" w:hAnsi="Book Antiqua"/>
          <w:color w:val="auto"/>
        </w:rPr>
        <w:instrText>ADDIN CSL_CITATION {"citationItems":[{"id":"ITEM-1","itemData":{"DOI":"10.3892/mmr.2017.6613","ISSN":"1791-2997","PMID":"28534998","abstract":"Liver regeneration, an orchestrated process, is the primary compensatory mechanism following liver injury caused by various factors. The process of liver regeneration consists of three stages: Initiation, proliferation and termination. Proliferation-promoting factors, which stimulate the recovery of mitosis in quiescent hepatocytes, are essential in the initiation and proliferation steps of liver regeneration. Proliferation-promoting factors act as the 'motor' of liver regeneration, whereas proliferation inhibitors arrest cell proliferation when the remnant liver reaches a suitable size. Certain proliferation inhibitors are also expressed and activated in the first two steps of liver regeneration. Anti-proliferation factors, acting as a 'brake', control the speed of proliferation and determine the terminal point of liver regeneration. Furthermore, anti-proliferation factors function as a 'steering-wheel', ensuring that the regeneration process proceeds in the right direction by preventing proliferation in the wrong direction, as occurs in oncogenesis. Therefore, proliferation inhibitors to ensure safe and stable liver regeneration are as important as proliferation-promoting factors. Cytokines, including transforming growth factor-p and interleukin-1, and tumor suppressor genes, including p53 and p21, are important members of the proliferation inhibitor family in liver regeneration. Certain anti-proliferation factors are involved in the process of gene expression and protein modification. The suppression of liver regeneration led by metabolism, hormone activity and pathological performance have been reviewed previously. However, less is known regarding the proliferation inhibitors of liver regeneration and further investigations are required. Detailed information regarding the majority of known anti-proliferation signaling pathways also remains fragmented. The present review aimed to understand the signalling pathways that inhbit proliferation in the process of liver regeneration.","author":[{"dropping-particle":"","family":"Liu","given":"Menggang","non-dropping-particle":"","parse-names":false,"suffix":""},{"dropping-particle":"","family":"Chen","given":"Ping","non-dropping-particle":"","parse-names":false,"suffix":""}],"container-title":"Molecular Medicine Reports","id":"ITEM-1","issue":"1","issued":{"date-parts":[["2017","1","1"]]},"page":"23-35","publisher":"Spandidos Publications","title":"Proliferation-inhibiting pathways in liver regeneration","type":"article-journal","volume":"16"},"uris":["http://www.mendeley.com/documents/?uuid=fc69d1fb-c4cd-3e93-a92b-73a1d1369b93"]},{"id":"ITEM-2","itemData":{"DOI":"10.1186/s12893-019-0664-8","ISSN":"1471-2482","PMID":"32050952","abstract":"Background: Post-hepatectomy liver failure contributes significantly to postoperative mortality after liver resection. The prediction of the individual risk for liver failure is challenging. This review aimed to provide an overview of cytokine and growth factor triggered signaling pathways involved in liver regeneration after resection. Methods: MEDLINE and Cochrane databases were searched without language restrictions for articles from the time of inception of the databases till March 2019. All studies with comparative data on the effect of cytokines and growth factors on liver regeneration in animals and humans were included. Results: Overall 3.353 articles comprising 40 studies involving 1.498 patients and 101 animal studies were identified and met the inclusion criteria. All included trials on humans were retrospective cohort/observational studies. There was substantial heterogeneity across all included studies with respect to the analyzed cytokines and growth factors and the described endpoints. Conclusion: High-level evidence on serial measurements of growth factors and cytokines in blood samples used to predict liver regeneration after resection is still lacking. To address the heterogeneity of patients and potential markers, high throughput serial analyses may offer a method to predict an individual's regenerative potential in the future.","author":[{"dropping-particle":"","family":"Hoffmann","given":"Katrin","non-dropping-particle":"","parse-names":false,"suffix":""},{"dropping-particle":"","family":"Nagel","given":"Alexander Johannes","non-dropping-particle":"","parse-names":false,"suffix":""},{"dropping-particle":"","family":"Tanabe","given":"Kazukata","non-dropping-particle":"","parse-names":false,"suffix":""},{"dropping-particle":"","family":"Fuchs","given":"Juri","non-dropping-particle":"","parse-names":false,"suffix":""},{"dropping-particle":"","family":"Dehlke","given":"Karolin","non-dropping-particle":"","parse-names":false,"suffix":""},{"dropping-particle":"","family":"Ghamarnejad","given":"Omid","non-dropping-particle":"","parse-names":false,"suffix":""},{"dropping-particle":"","family":"Lemekhova","given":"Anastasia","non-dropping-particle":"","parse-names":false,"suffix":""},{"dropping-particle":"","family":"Mehrabi","given":"Arianeb","non-dropping-particle":"","parse-names":false,"suffix":""}],"container-title":"BMC Surgery","id":"ITEM-2","issue":"1","issued":{"date-parts":[["2020","12","12"]]},"page":"31","publisher":"NLM (Medline)","title":"Markers of liver regeneration—the role of growth factors and cytokines: a systematic review","type":"article-journal","volume":"20"},"uris":["http://www.mendeley.com/documents/?uuid=b7a826d7-443f-3527-a735-972e796d56da"]}],"mendeley":{"formattedCitation":"&lt;sup&gt;[32,33]&lt;/sup&gt;","plainTextFormattedCitation":"[32,33]","previouslyFormattedCitation":"&lt;sup&gt;[32,33]&lt;/sup&gt;"},"properties":{"noteIndex":0},"schema":"https://github.com/citation-style-language/schema/raw/master/csl-citation.json"}</w:instrText>
      </w:r>
      <w:r w:rsidR="00114946" w:rsidRPr="00CA4C0B">
        <w:rPr>
          <w:rStyle w:val="None"/>
          <w:rFonts w:ascii="Book Antiqua" w:hAnsi="Book Antiqua"/>
          <w:color w:val="auto"/>
        </w:rPr>
        <w:fldChar w:fldCharType="separate"/>
      </w:r>
      <w:r w:rsidR="00114946" w:rsidRPr="00CA4C0B">
        <w:rPr>
          <w:rStyle w:val="None"/>
          <w:rFonts w:ascii="Book Antiqua" w:hAnsi="Book Antiqua"/>
          <w:noProof/>
          <w:color w:val="auto"/>
          <w:vertAlign w:val="superscript"/>
        </w:rPr>
        <w:t>[32,33]</w:t>
      </w:r>
      <w:r w:rsidR="00114946" w:rsidRPr="00CA4C0B">
        <w:rPr>
          <w:rStyle w:val="None"/>
          <w:rFonts w:ascii="Book Antiqua" w:hAnsi="Book Antiqua"/>
          <w:color w:val="auto"/>
        </w:rPr>
        <w:fldChar w:fldCharType="end"/>
      </w:r>
      <w:r w:rsidR="00114946" w:rsidRPr="00CA4C0B">
        <w:rPr>
          <w:rStyle w:val="None"/>
          <w:rFonts w:ascii="Book Antiqua" w:hAnsi="Book Antiqua"/>
          <w:color w:val="auto"/>
        </w:rPr>
        <w:t>.</w:t>
      </w:r>
      <w:r w:rsidRPr="00CA4C0B">
        <w:rPr>
          <w:rStyle w:val="None"/>
          <w:rFonts w:ascii="Book Antiqua" w:hAnsi="Book Antiqua"/>
          <w:color w:val="auto"/>
        </w:rPr>
        <w:t xml:space="preserve"> The capture of the specimen stained with the Schiff's reagent was performed by using a light microscope (ZEN 2.3 SP1; 100</w:t>
      </w:r>
      <w:r w:rsidR="00E157FE" w:rsidRPr="00CA4C0B">
        <w:rPr>
          <w:rStyle w:val="None"/>
          <w:rFonts w:ascii="Book Antiqua" w:hAnsi="Book Antiqua"/>
          <w:color w:val="auto"/>
        </w:rPr>
        <w:t xml:space="preserve"> </w:t>
      </w:r>
      <w:r w:rsidR="00E157FE" w:rsidRPr="00CA4C0B">
        <w:rPr>
          <w:rFonts w:ascii="Book Antiqua" w:hAnsi="Book Antiqua" w:cs="Times New Roman"/>
          <w:color w:val="auto"/>
          <w:lang w:val="pl-PL"/>
        </w:rPr>
        <w:t xml:space="preserve">× </w:t>
      </w:r>
      <w:r w:rsidRPr="00CA4C0B">
        <w:rPr>
          <w:rStyle w:val="None"/>
          <w:rFonts w:ascii="Book Antiqua" w:hAnsi="Book Antiqua"/>
          <w:color w:val="auto"/>
        </w:rPr>
        <w:t xml:space="preserve">10). The intensity of the staining of the nuclei was evaluated using the computer program </w:t>
      </w:r>
      <w:r w:rsidRPr="00CA4C0B">
        <w:rPr>
          <w:rStyle w:val="None"/>
          <w:rFonts w:ascii="Book Antiqua" w:hAnsi="Book Antiqua"/>
          <w:bCs/>
          <w:color w:val="auto"/>
        </w:rPr>
        <w:t>Image J</w:t>
      </w:r>
      <w:r w:rsidRPr="00CA4C0B">
        <w:rPr>
          <w:rStyle w:val="None"/>
          <w:rFonts w:ascii="Book Antiqua" w:hAnsi="Book Antiqua"/>
          <w:color w:val="auto"/>
        </w:rPr>
        <w:t>.</w:t>
      </w:r>
      <w:r w:rsidR="00F7733D" w:rsidRPr="00CA4C0B">
        <w:rPr>
          <w:rStyle w:val="None"/>
          <w:rFonts w:ascii="Book Antiqua" w:hAnsi="Book Antiqua"/>
          <w:color w:val="auto"/>
        </w:rPr>
        <w:t xml:space="preserve"> </w:t>
      </w:r>
    </w:p>
    <w:p w14:paraId="15A36C5A" w14:textId="77777777" w:rsidR="00D80A78" w:rsidRPr="00CA4C0B" w:rsidRDefault="00D80A78" w:rsidP="007F2CA0">
      <w:pPr>
        <w:snapToGrid w:val="0"/>
        <w:spacing w:line="360" w:lineRule="auto"/>
        <w:jc w:val="both"/>
        <w:rPr>
          <w:rStyle w:val="None"/>
          <w:rFonts w:ascii="Book Antiqua" w:hAnsi="Book Antiqua"/>
          <w:b/>
          <w:bCs/>
        </w:rPr>
      </w:pPr>
    </w:p>
    <w:p w14:paraId="606E09B1" w14:textId="77777777" w:rsidR="004313EE" w:rsidRPr="00CA4C0B" w:rsidRDefault="00CE6644" w:rsidP="007F2CA0">
      <w:pPr>
        <w:snapToGrid w:val="0"/>
        <w:spacing w:line="360" w:lineRule="auto"/>
        <w:jc w:val="both"/>
        <w:rPr>
          <w:rStyle w:val="None"/>
          <w:rFonts w:ascii="Book Antiqua" w:eastAsia="Times New Roman" w:hAnsi="Book Antiqua"/>
          <w:b/>
          <w:bCs/>
          <w:i/>
        </w:rPr>
      </w:pPr>
      <w:r w:rsidRPr="00CA4C0B">
        <w:rPr>
          <w:rStyle w:val="None"/>
          <w:rFonts w:ascii="Book Antiqua" w:hAnsi="Book Antiqua"/>
          <w:b/>
          <w:bCs/>
          <w:i/>
        </w:rPr>
        <w:t>SEM of corrosion casts of liver blood vessels</w:t>
      </w:r>
    </w:p>
    <w:p w14:paraId="7876ABF5" w14:textId="55F5CE6B" w:rsidR="004313EE" w:rsidRPr="00CA4C0B" w:rsidRDefault="00CE6644" w:rsidP="007F2CA0">
      <w:pPr>
        <w:pStyle w:val="a5"/>
        <w:snapToGrid w:val="0"/>
        <w:spacing w:after="0" w:line="360" w:lineRule="auto"/>
        <w:ind w:left="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 xml:space="preserve">The solidifying mass obtained by the mixture of 0.25 g MAYCRYL C. C. </w:t>
      </w:r>
      <w:r w:rsidR="009D1809" w:rsidRPr="00CA4C0B">
        <w:rPr>
          <w:rStyle w:val="None"/>
          <w:rFonts w:ascii="Book Antiqua" w:hAnsi="Book Antiqua"/>
          <w:color w:val="auto"/>
          <w:sz w:val="24"/>
          <w:szCs w:val="24"/>
        </w:rPr>
        <w:t>p</w:t>
      </w:r>
      <w:r w:rsidRPr="00CA4C0B">
        <w:rPr>
          <w:rStyle w:val="None"/>
          <w:rFonts w:ascii="Book Antiqua" w:hAnsi="Book Antiqua"/>
          <w:color w:val="auto"/>
          <w:sz w:val="24"/>
          <w:szCs w:val="24"/>
        </w:rPr>
        <w:t xml:space="preserve">owder (4.7% of whole mass) + 0.08 g </w:t>
      </w:r>
      <w:r w:rsidR="009D1809" w:rsidRPr="00CA4C0B">
        <w:rPr>
          <w:rStyle w:val="None"/>
          <w:rFonts w:ascii="Book Antiqua" w:hAnsi="Book Antiqua"/>
          <w:color w:val="auto"/>
          <w:sz w:val="24"/>
          <w:szCs w:val="24"/>
        </w:rPr>
        <w:t>b</w:t>
      </w:r>
      <w:r w:rsidRPr="00CA4C0B">
        <w:rPr>
          <w:rStyle w:val="None"/>
          <w:rFonts w:ascii="Book Antiqua" w:hAnsi="Book Antiqua"/>
          <w:color w:val="auto"/>
          <w:sz w:val="24"/>
          <w:szCs w:val="24"/>
        </w:rPr>
        <w:t xml:space="preserve">enzoyl </w:t>
      </w:r>
      <w:r w:rsidR="009D1809" w:rsidRPr="00CA4C0B">
        <w:rPr>
          <w:rStyle w:val="None"/>
          <w:rFonts w:ascii="Book Antiqua" w:hAnsi="Book Antiqua"/>
          <w:color w:val="auto"/>
          <w:sz w:val="24"/>
          <w:szCs w:val="24"/>
        </w:rPr>
        <w:t>p</w:t>
      </w:r>
      <w:r w:rsidRPr="00CA4C0B">
        <w:rPr>
          <w:rStyle w:val="None"/>
          <w:rFonts w:ascii="Book Antiqua" w:hAnsi="Book Antiqua"/>
          <w:color w:val="auto"/>
          <w:sz w:val="24"/>
          <w:szCs w:val="24"/>
        </w:rPr>
        <w:t>eroxide (1.5% of whole mass) + 5.0 m</w:t>
      </w:r>
      <w:r w:rsidRPr="00CA4C0B">
        <w:rPr>
          <w:rStyle w:val="None"/>
          <w:rFonts w:ascii="Book Antiqua" w:hAnsi="Book Antiqua"/>
          <w:caps/>
          <w:color w:val="auto"/>
          <w:sz w:val="24"/>
          <w:szCs w:val="24"/>
        </w:rPr>
        <w:t xml:space="preserve">l </w:t>
      </w:r>
      <w:proofErr w:type="spellStart"/>
      <w:r w:rsidR="009D1809" w:rsidRPr="00CA4C0B">
        <w:rPr>
          <w:rStyle w:val="None"/>
          <w:rFonts w:ascii="Book Antiqua" w:hAnsi="Book Antiqua"/>
          <w:color w:val="auto"/>
          <w:sz w:val="24"/>
          <w:szCs w:val="24"/>
        </w:rPr>
        <w:t>p</w:t>
      </w:r>
      <w:r w:rsidRPr="00CA4C0B">
        <w:rPr>
          <w:rStyle w:val="None"/>
          <w:rFonts w:ascii="Book Antiqua" w:hAnsi="Book Antiqua"/>
          <w:color w:val="auto"/>
          <w:sz w:val="24"/>
          <w:szCs w:val="24"/>
        </w:rPr>
        <w:t>rotacryl</w:t>
      </w:r>
      <w:proofErr w:type="spellEnd"/>
      <w:r w:rsidRPr="00CA4C0B">
        <w:rPr>
          <w:rStyle w:val="None"/>
          <w:rFonts w:ascii="Book Antiqua" w:hAnsi="Book Antiqua"/>
          <w:color w:val="auto"/>
          <w:sz w:val="24"/>
          <w:szCs w:val="24"/>
        </w:rPr>
        <w:t xml:space="preserve">-M liquid component was injected into the </w:t>
      </w:r>
      <w:r w:rsidR="00114946" w:rsidRPr="00CA4C0B">
        <w:rPr>
          <w:rStyle w:val="None"/>
          <w:rFonts w:ascii="Book Antiqua" w:hAnsi="Book Antiqua"/>
          <w:color w:val="auto"/>
          <w:sz w:val="24"/>
          <w:szCs w:val="24"/>
        </w:rPr>
        <w:t>liver blood circulatory ne</w:t>
      </w:r>
      <w:r w:rsidR="00114946" w:rsidRPr="00CA4C0B">
        <w:rPr>
          <w:rStyle w:val="None"/>
          <w:rFonts w:ascii="Book Antiqua" w:hAnsi="Book Antiqua"/>
          <w:color w:val="auto"/>
          <w:sz w:val="24"/>
          <w:szCs w:val="24"/>
        </w:rPr>
        <w:t>t</w:t>
      </w:r>
      <w:r w:rsidR="00114946" w:rsidRPr="00CA4C0B">
        <w:rPr>
          <w:rStyle w:val="None"/>
          <w:rFonts w:ascii="Book Antiqua" w:hAnsi="Book Antiqua"/>
          <w:color w:val="auto"/>
          <w:sz w:val="24"/>
          <w:szCs w:val="24"/>
        </w:rPr>
        <w:t>work through the portal vein of the Wistar rats</w:t>
      </w:r>
      <w:r w:rsidR="00114946" w:rsidRPr="00CA4C0B">
        <w:rPr>
          <w:rStyle w:val="None"/>
          <w:rFonts w:ascii="Book Antiqua" w:hAnsi="Book Antiqua"/>
          <w:color w:val="auto"/>
          <w:sz w:val="24"/>
          <w:szCs w:val="24"/>
        </w:rPr>
        <w:fldChar w:fldCharType="begin" w:fldLock="1"/>
      </w:r>
      <w:r w:rsidR="00114946" w:rsidRPr="00CA4C0B">
        <w:rPr>
          <w:rStyle w:val="None"/>
          <w:rFonts w:ascii="Book Antiqua" w:hAnsi="Book Antiqua"/>
          <w:color w:val="auto"/>
          <w:sz w:val="24"/>
          <w:szCs w:val="24"/>
        </w:rPr>
        <w:instrText>ADDIN CSL_CITATION {"citationItems":[{"id":"ITEM-1","itemData":{"DOI":"10.1002/jemt.23468","ISSN":"1059-910X","PMID":"32129926","author":[{"dropping-particle":"","family":"Keti","given":"Tsomaia","non-dropping-particle":"","parse-names":false,"suffix":""},{"dropping-particle":"","family":"Leila","given":"Patarashvili","non-dropping-particle":"","parse-names":false,"suffix":""},{"dropping-particle":"","family":"Irakli","given":"Bebiashvili","non-dropping-particle":"","parse-names":false,"suffix":""},{"dropping-particle":"","family":"Elza","given":"Azmaiparashvili","non-dropping-particle":"","parse-names":false,"suffix":""},{"dropping-particle":"","family":"Manana","given":"Kakabadze","non-dropping-particle":"","parse-names":false,"suffix":""},{"dropping-particle":"","family":"Nikoloz","given":"Jalabadze","non-dropping-particle":"","parse-names":false,"suffix":""},{"dropping-particle":"","family":"Marom","given":"Sareli","non-dropping-particle":"","parse-names":false,"suffix":""},{"dropping-particle":"","family":"Sergey","given":"Gusev","non-dropping-particle":"","parse-names":false,"suffix":""},{"dropping-particle":"","family":"Dimitri","given":"Kordzaia","non-dropping-particle":"","parse-names":false,"suffix":""}],"container-title":"Microscopy Research and Technique","id":"ITEM-1","issued":{"date-parts":[["2020","3","4"]]},"page":"1-12","title":"New corrosion cast media and its ability for SEM and light microscope investigation","type":"article-journal"},"uris":["http://www.mendeley.com/documents/?uuid=b59f75b8-31b4-4d15-9d2c-cf4c3ebbdbc0"]}],"mendeley":{"formattedCitation":"&lt;sup&gt;[34]&lt;/sup&gt;","plainTextFormattedCitation":"[34]","previouslyFormattedCitation":"&lt;sup&gt;[34]&lt;/sup&gt;"},"properties":{"noteIndex":0},"schema":"https://github.com/citation-style-language/schema/raw/master/csl-citation.json"}</w:instrText>
      </w:r>
      <w:r w:rsidR="00114946" w:rsidRPr="00CA4C0B">
        <w:rPr>
          <w:rStyle w:val="None"/>
          <w:rFonts w:ascii="Book Antiqua" w:hAnsi="Book Antiqua"/>
          <w:color w:val="auto"/>
          <w:sz w:val="24"/>
          <w:szCs w:val="24"/>
        </w:rPr>
        <w:fldChar w:fldCharType="separate"/>
      </w:r>
      <w:r w:rsidR="00114946" w:rsidRPr="00CA4C0B">
        <w:rPr>
          <w:rStyle w:val="None"/>
          <w:rFonts w:ascii="Book Antiqua" w:hAnsi="Book Antiqua"/>
          <w:noProof/>
          <w:color w:val="auto"/>
          <w:sz w:val="24"/>
          <w:szCs w:val="24"/>
          <w:vertAlign w:val="superscript"/>
        </w:rPr>
        <w:t>[34]</w:t>
      </w:r>
      <w:r w:rsidR="00114946" w:rsidRPr="00CA4C0B">
        <w:rPr>
          <w:rStyle w:val="None"/>
          <w:rFonts w:ascii="Book Antiqua" w:hAnsi="Book Antiqua"/>
          <w:color w:val="auto"/>
          <w:sz w:val="24"/>
          <w:szCs w:val="24"/>
        </w:rPr>
        <w:fldChar w:fldCharType="end"/>
      </w:r>
      <w:r w:rsidRPr="00CA4C0B">
        <w:rPr>
          <w:rStyle w:val="None"/>
          <w:rFonts w:ascii="Book Antiqua" w:hAnsi="Book Antiqua"/>
          <w:color w:val="auto"/>
          <w:sz w:val="24"/>
          <w:szCs w:val="24"/>
        </w:rPr>
        <w:t>. The injection was carried out under diethyl ether deep general anesthesia, after washing-out of the blood ve</w:t>
      </w:r>
      <w:r w:rsidRPr="00CA4C0B">
        <w:rPr>
          <w:rStyle w:val="None"/>
          <w:rFonts w:ascii="Book Antiqua" w:hAnsi="Book Antiqua"/>
          <w:color w:val="auto"/>
          <w:sz w:val="24"/>
          <w:szCs w:val="24"/>
        </w:rPr>
        <w:t>s</w:t>
      </w:r>
      <w:r w:rsidRPr="00CA4C0B">
        <w:rPr>
          <w:rStyle w:val="None"/>
          <w:rFonts w:ascii="Book Antiqua" w:hAnsi="Book Antiqua"/>
          <w:color w:val="auto"/>
          <w:sz w:val="24"/>
          <w:szCs w:val="24"/>
        </w:rPr>
        <w:t xml:space="preserve">sels with 0.1 </w:t>
      </w:r>
      <w:proofErr w:type="spellStart"/>
      <w:r w:rsidRPr="00CA4C0B">
        <w:rPr>
          <w:rStyle w:val="None"/>
          <w:rFonts w:ascii="Book Antiqua" w:hAnsi="Book Antiqua"/>
          <w:color w:val="auto"/>
          <w:sz w:val="24"/>
          <w:szCs w:val="24"/>
        </w:rPr>
        <w:t>m</w:t>
      </w:r>
      <w:r w:rsidRPr="00CA4C0B">
        <w:rPr>
          <w:rStyle w:val="None"/>
          <w:rFonts w:ascii="Book Antiqua" w:hAnsi="Book Antiqua"/>
          <w:caps/>
          <w:color w:val="auto"/>
          <w:sz w:val="24"/>
          <w:szCs w:val="24"/>
        </w:rPr>
        <w:t>l</w:t>
      </w:r>
      <w:r w:rsidRPr="00CA4C0B">
        <w:rPr>
          <w:rStyle w:val="None"/>
          <w:rFonts w:ascii="Book Antiqua" w:hAnsi="Book Antiqua"/>
          <w:color w:val="auto"/>
          <w:sz w:val="24"/>
          <w:szCs w:val="24"/>
        </w:rPr>
        <w:t>.</w:t>
      </w:r>
      <w:proofErr w:type="spellEnd"/>
      <w:r w:rsidRPr="00CA4C0B">
        <w:rPr>
          <w:rStyle w:val="None"/>
          <w:rFonts w:ascii="Book Antiqua" w:hAnsi="Book Antiqua"/>
          <w:color w:val="auto"/>
          <w:sz w:val="24"/>
          <w:szCs w:val="24"/>
        </w:rPr>
        <w:t xml:space="preserve"> Heparin (5000 un/mL) mixed in 0.9% NaCl solution (washing-out speed – 20</w:t>
      </w:r>
      <w:r w:rsidR="00491CB6"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m</w:t>
      </w:r>
      <w:r w:rsidRPr="00CA4C0B">
        <w:rPr>
          <w:rStyle w:val="None"/>
          <w:rFonts w:ascii="Book Antiqua" w:hAnsi="Book Antiqua"/>
          <w:caps/>
          <w:color w:val="auto"/>
          <w:sz w:val="24"/>
          <w:szCs w:val="24"/>
        </w:rPr>
        <w:t>l</w:t>
      </w:r>
      <w:r w:rsidRPr="00CA4C0B">
        <w:rPr>
          <w:rStyle w:val="None"/>
          <w:rFonts w:ascii="Book Antiqua" w:hAnsi="Book Antiqua"/>
          <w:color w:val="auto"/>
          <w:sz w:val="24"/>
          <w:szCs w:val="24"/>
        </w:rPr>
        <w:t>/min). The details of the injection were described earlier</w:t>
      </w:r>
      <w:r w:rsidR="00114946" w:rsidRPr="00CA4C0B">
        <w:rPr>
          <w:rStyle w:val="None"/>
          <w:rFonts w:ascii="Book Antiqua" w:hAnsi="Book Antiqua"/>
          <w:color w:val="auto"/>
          <w:sz w:val="24"/>
          <w:szCs w:val="24"/>
        </w:rPr>
        <w:fldChar w:fldCharType="begin" w:fldLock="1"/>
      </w:r>
      <w:r w:rsidR="004561EF" w:rsidRPr="00CA4C0B">
        <w:rPr>
          <w:rStyle w:val="None"/>
          <w:rFonts w:ascii="Book Antiqua" w:hAnsi="Book Antiqua"/>
          <w:color w:val="auto"/>
          <w:sz w:val="24"/>
          <w:szCs w:val="24"/>
        </w:rPr>
        <w:instrText>ADDIN CSL_CITATION {"citationItems":[{"id":"ITEM-1","itemData":{"DOI":"10.1080/110241500750008907","ISSN":"1102-4151","PMID":"10881946","abstract":"Objective: To study the ultrastructure of the ileal wall in rats with obstructive jaundice alone and after passive external biliary drainage to see if we could discover the reason for the increased risk of infective complications and multisystem failure in the presence of obstructive jaundice and after external biliary drainage. Design: Histological examination of the wall of the terminal ileum using light microscopy, as well as scanning and transmission electron microscopy (EM). Setting: Experimental laboratory, Republic of Georgia. Animals: 56 adult male Wistar rats. Interventions: Rats were divided into 7 groups: controls (not operated on, n = 6); sham-operated and studied after 6 and 12 days (n = 6 in each); bile duct ligation alone studied after 6 and 12 days (n = 10 in each); and bile duct ligation followed 6 and 12 days later by one-day of external biliary drainage (n = 9 in each). Main outcome measures: Percentage of destroyed villi. Results: The extent of oedema of villi, necrosis of neurons, and disturbances in the secretory capacity of enterocytes correlated well with the duration of cholestasis. After 6 and 12 days ligation alone 7.2% and 17.3%, respectively, of villi were found to be destroyed; their connective tissue framework including lymphatics was in direct contact with the intestinal contents. The changes were not reversed by one day of external biliary drainage. Conclusion: The gaps in the ileal mucosa caused by obstructive jaundice (and not relieved by one day of external biliary drainage) may enable gut bacteria and their endotoxin to reach the systemic circulation through the lymphatic system. This could increase the risk of infective complications.","author":[{"dropping-particle":"","family":"J. Kordzaya, Vakhtang T. Goderdzish","given":"Dimitri","non-dropping-particle":"","parse-names":false,"suffix":""}],"container-title":"The European Journal of Surgery","id":"ITEM-1","issue":"5","issued":{"date-parts":[["2000","5","24"]]},"page":"367-374","title":"Bacterial Translocation in Obstructive Jaundice in Rats: Role of Mucosal Lacteals","type":"article-journal","volume":"166"},"uris":["http://www.mendeley.com/documents/?uuid=cd9c13b1-6e7d-493b-83b0-02970a96090c"]}],"mendeley":{"formattedCitation":"&lt;sup&gt;[35]&lt;/sup&gt;","plainTextFormattedCitation":"[35]","previouslyFormattedCitation":"&lt;sup&gt;[35]&lt;/sup&gt;"},"properties":{"noteIndex":0},"schema":"https://github.com/citation-style-language/schema/raw/master/csl-citation.json"}</w:instrText>
      </w:r>
      <w:r w:rsidR="00114946" w:rsidRPr="00CA4C0B">
        <w:rPr>
          <w:rStyle w:val="None"/>
          <w:rFonts w:ascii="Book Antiqua" w:hAnsi="Book Antiqua"/>
          <w:color w:val="auto"/>
          <w:sz w:val="24"/>
          <w:szCs w:val="24"/>
        </w:rPr>
        <w:fldChar w:fldCharType="separate"/>
      </w:r>
      <w:r w:rsidR="00114946" w:rsidRPr="00CA4C0B">
        <w:rPr>
          <w:rStyle w:val="None"/>
          <w:rFonts w:ascii="Book Antiqua" w:hAnsi="Book Antiqua"/>
          <w:noProof/>
          <w:color w:val="auto"/>
          <w:sz w:val="24"/>
          <w:szCs w:val="24"/>
          <w:vertAlign w:val="superscript"/>
        </w:rPr>
        <w:t>[35]</w:t>
      </w:r>
      <w:r w:rsidR="00114946" w:rsidRPr="00CA4C0B">
        <w:rPr>
          <w:rStyle w:val="None"/>
          <w:rFonts w:ascii="Book Antiqua" w:hAnsi="Book Antiqua"/>
          <w:color w:val="auto"/>
          <w:sz w:val="24"/>
          <w:szCs w:val="24"/>
        </w:rPr>
        <w:fldChar w:fldCharType="end"/>
      </w:r>
      <w:r w:rsidRPr="00CA4C0B">
        <w:rPr>
          <w:rStyle w:val="None"/>
          <w:rFonts w:ascii="Book Antiqua" w:hAnsi="Book Antiqua"/>
          <w:color w:val="auto"/>
          <w:sz w:val="24"/>
          <w:szCs w:val="24"/>
        </w:rPr>
        <w:t xml:space="preserve"> ISM was injected by using a manometer-</w:t>
      </w:r>
      <w:r w:rsidR="0054732E" w:rsidRPr="00CA4C0B">
        <w:rPr>
          <w:rStyle w:val="None"/>
          <w:rFonts w:ascii="Book Antiqua" w:hAnsi="Book Antiqua"/>
          <w:color w:val="auto"/>
          <w:sz w:val="24"/>
          <w:szCs w:val="24"/>
        </w:rPr>
        <w:t>syringe of the own construction</w:t>
      </w:r>
      <w:r w:rsidR="004561EF" w:rsidRPr="00CA4C0B">
        <w:rPr>
          <w:rStyle w:val="None"/>
          <w:rFonts w:ascii="Book Antiqua" w:hAnsi="Book Antiqua"/>
          <w:color w:val="auto"/>
          <w:sz w:val="24"/>
          <w:szCs w:val="24"/>
        </w:rPr>
        <w:fldChar w:fldCharType="begin" w:fldLock="1"/>
      </w:r>
      <w:r w:rsidR="005B59EE" w:rsidRPr="00CA4C0B">
        <w:rPr>
          <w:rStyle w:val="None"/>
          <w:rFonts w:ascii="Book Antiqua" w:hAnsi="Book Antiqua"/>
          <w:color w:val="auto"/>
          <w:sz w:val="24"/>
          <w:szCs w:val="24"/>
        </w:rPr>
        <w:instrText>ADDIN CSL_CITATION {"citationItems":[{"id":"ITEM-1","itemData":{"DOI":"10.1002/jemt.23468","ISSN":"1059-910X","PMID":"32129926","author":[{"dropping-particle":"","family":"Keti","given":"Tsomaia","non-dropping-particle":"","parse-names":false,"suffix":""},{"dropping-particle":"","family":"Leila","given":"Patarashvili","non-dropping-particle":"","parse-names":false,"suffix":""},{"dropping-particle":"","family":"Irakli","given":"Bebiashvili","non-dropping-particle":"","parse-names":false,"suffix":""},{"dropping-particle":"","family":"Elza","given":"Azmaiparashvili","non-dropping-particle":"","parse-names":false,"suffix":""},{"dropping-particle":"","family":"Manana","given":"Kakabadze","non-dropping-particle":"","parse-names":false,"suffix":""},{"dropping-particle":"","family":"Nikoloz","given":"Jalabadze","non-dropping-particle":"","parse-names":false,"suffix":""},{"dropping-particle":"","family":"Marom","given":"Sareli","non-dropping-particle":"","parse-names":false,"suffix":""},{"dropping-particle":"","family":"Sergey","given":"Gusev","non-dropping-particle":"","parse-names":false,"suffix":""},{"dropping-particle":"","family":"Dimitri","given":"Kordzaia","non-dropping-particle":"","parse-names":false,"suffix":""}],"container-title":"Microscopy Research and Technique","id":"ITEM-1","issued":{"date-parts":[["2020","3","4"]]},"page":"1-12","title":"New corrosion cast media and its ability for SEM and light microscope investigation","type":"article-journal"},"uris":["http://www.mendeley.com/documents/?uuid=b59f75b8-31b4-4d15-9d2c-cf4c3ebbdbc0"]}],"mendeley":{"formattedCitation":"&lt;sup&gt;[34]&lt;/sup&gt;","plainTextFormattedCitation":"[34]","previouslyFormattedCitation":"&lt;sup&gt;[34]&lt;/sup&gt;"},"properties":{"noteIndex":0},"schema":"https://github.com/citation-style-language/schema/raw/master/csl-citation.json"}</w:instrText>
      </w:r>
      <w:r w:rsidR="004561EF" w:rsidRPr="00CA4C0B">
        <w:rPr>
          <w:rStyle w:val="None"/>
          <w:rFonts w:ascii="Book Antiqua" w:hAnsi="Book Antiqua"/>
          <w:color w:val="auto"/>
          <w:sz w:val="24"/>
          <w:szCs w:val="24"/>
        </w:rPr>
        <w:fldChar w:fldCharType="separate"/>
      </w:r>
      <w:r w:rsidR="004561EF" w:rsidRPr="00CA4C0B">
        <w:rPr>
          <w:rStyle w:val="None"/>
          <w:rFonts w:ascii="Book Antiqua" w:hAnsi="Book Antiqua"/>
          <w:noProof/>
          <w:color w:val="auto"/>
          <w:sz w:val="24"/>
          <w:szCs w:val="24"/>
          <w:vertAlign w:val="superscript"/>
        </w:rPr>
        <w:t>[34]</w:t>
      </w:r>
      <w:r w:rsidR="004561EF" w:rsidRPr="00CA4C0B">
        <w:rPr>
          <w:rStyle w:val="None"/>
          <w:rFonts w:ascii="Book Antiqua" w:hAnsi="Book Antiqua"/>
          <w:color w:val="auto"/>
          <w:sz w:val="24"/>
          <w:szCs w:val="24"/>
        </w:rPr>
        <w:fldChar w:fldCharType="end"/>
      </w:r>
      <w:r w:rsidRPr="00CA4C0B">
        <w:rPr>
          <w:rStyle w:val="None"/>
          <w:rFonts w:ascii="Book Antiqua" w:hAnsi="Book Antiqua"/>
          <w:color w:val="auto"/>
          <w:sz w:val="24"/>
          <w:szCs w:val="24"/>
        </w:rPr>
        <w:t>. The injection pressure varied between</w:t>
      </w:r>
      <w:r w:rsidR="00D80A78" w:rsidRPr="00CA4C0B">
        <w:rPr>
          <w:rStyle w:val="None"/>
          <w:rFonts w:ascii="Book Antiqua" w:hAnsi="Book Antiqua"/>
          <w:color w:val="auto"/>
          <w:sz w:val="24"/>
          <w:szCs w:val="24"/>
        </w:rPr>
        <w:t xml:space="preserve"> 20-30 mm</w:t>
      </w:r>
      <w:r w:rsidRPr="00CA4C0B">
        <w:rPr>
          <w:rStyle w:val="None"/>
          <w:rFonts w:ascii="Book Antiqua" w:hAnsi="Book Antiqua"/>
          <w:color w:val="auto"/>
          <w:sz w:val="24"/>
          <w:szCs w:val="24"/>
        </w:rPr>
        <w:t xml:space="preserve">Hg. </w:t>
      </w:r>
    </w:p>
    <w:p w14:paraId="7BAFD2FB" w14:textId="18E37E7F" w:rsidR="004313EE" w:rsidRPr="00CA4C0B" w:rsidRDefault="00CE6644" w:rsidP="007F2CA0">
      <w:pPr>
        <w:pStyle w:val="a5"/>
        <w:snapToGrid w:val="0"/>
        <w:spacing w:after="0" w:line="360" w:lineRule="auto"/>
        <w:ind w:left="0"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lastRenderedPageBreak/>
        <w:t xml:space="preserve">The outflow of the injected mass occurred through the defect made in the right atrium. The manipulations were performed using microsurgical microscopy (Bino Scientific, Manufacturer: Nature of Business, India ISO 9001-2008). </w:t>
      </w:r>
    </w:p>
    <w:p w14:paraId="233DE67D" w14:textId="63A82DEB" w:rsidR="004313EE" w:rsidRPr="00CA4C0B" w:rsidRDefault="00CE6644" w:rsidP="007F2CA0">
      <w:pPr>
        <w:pStyle w:val="a5"/>
        <w:snapToGrid w:val="0"/>
        <w:spacing w:after="0" w:line="360" w:lineRule="auto"/>
        <w:ind w:left="0"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Polymerization of the injected mass happened in the animal body placed in a water-bath</w:t>
      </w:r>
      <w:r w:rsidR="00CE6FA4"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at</w:t>
      </w:r>
      <w:r w:rsidR="00CE6FA4"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37</w:t>
      </w:r>
      <w:r w:rsidR="00CE6FA4"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vertAlign w:val="superscript"/>
        </w:rPr>
        <w:t>0</w:t>
      </w:r>
      <w:r w:rsidR="00CE6FA4" w:rsidRPr="00CA4C0B">
        <w:rPr>
          <w:rStyle w:val="None"/>
          <w:rFonts w:ascii="Book Antiqua" w:hAnsi="Book Antiqua"/>
          <w:color w:val="auto"/>
          <w:sz w:val="24"/>
          <w:szCs w:val="24"/>
        </w:rPr>
        <w:t>C for 2 h</w:t>
      </w:r>
      <w:r w:rsidRPr="00CA4C0B">
        <w:rPr>
          <w:rStyle w:val="None"/>
          <w:rFonts w:ascii="Book Antiqua" w:hAnsi="Book Antiqua"/>
          <w:color w:val="auto"/>
          <w:sz w:val="24"/>
          <w:szCs w:val="24"/>
        </w:rPr>
        <w:t>. The livers were excised and cut into small fragments which did not exceed 20</w:t>
      </w:r>
      <w:r w:rsidR="00924E05" w:rsidRPr="00CA4C0B">
        <w:rPr>
          <w:rStyle w:val="None"/>
          <w:rFonts w:ascii="Book Antiqua" w:hAnsi="Book Antiqua"/>
          <w:color w:val="auto"/>
          <w:sz w:val="24"/>
          <w:szCs w:val="24"/>
        </w:rPr>
        <w:t xml:space="preserve"> </w:t>
      </w:r>
      <w:r w:rsidR="00924E05" w:rsidRPr="00CA4C0B">
        <w:rPr>
          <w:rFonts w:ascii="Book Antiqua" w:hAnsi="Book Antiqua" w:cs="Times New Roman"/>
          <w:color w:val="auto"/>
          <w:sz w:val="24"/>
          <w:szCs w:val="24"/>
          <w:lang w:val="pl-PL"/>
        </w:rPr>
        <w:t>×</w:t>
      </w:r>
      <w:r w:rsidR="00924E05"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10</w:t>
      </w:r>
      <w:r w:rsidR="00924E05" w:rsidRPr="00CA4C0B">
        <w:rPr>
          <w:rStyle w:val="None"/>
          <w:rFonts w:ascii="Book Antiqua" w:hAnsi="Book Antiqua"/>
          <w:color w:val="auto"/>
          <w:sz w:val="24"/>
          <w:szCs w:val="24"/>
        </w:rPr>
        <w:t xml:space="preserve"> </w:t>
      </w:r>
      <w:r w:rsidR="00924E05" w:rsidRPr="00CA4C0B">
        <w:rPr>
          <w:rFonts w:ascii="Book Antiqua" w:hAnsi="Book Antiqua" w:cs="Times New Roman"/>
          <w:color w:val="auto"/>
          <w:sz w:val="24"/>
          <w:szCs w:val="24"/>
          <w:lang w:val="pl-PL"/>
        </w:rPr>
        <w:t xml:space="preserve">× </w:t>
      </w:r>
      <w:r w:rsidRPr="00CA4C0B">
        <w:rPr>
          <w:rStyle w:val="None"/>
          <w:rFonts w:ascii="Book Antiqua" w:hAnsi="Book Antiqua"/>
          <w:color w:val="auto"/>
          <w:sz w:val="24"/>
          <w:szCs w:val="24"/>
        </w:rPr>
        <w:t>10 mm</w:t>
      </w:r>
      <w:r w:rsidRPr="00CA4C0B">
        <w:rPr>
          <w:rStyle w:val="None"/>
          <w:rFonts w:ascii="Book Antiqua" w:hAnsi="Book Antiqua"/>
          <w:color w:val="auto"/>
          <w:sz w:val="24"/>
          <w:szCs w:val="24"/>
          <w:vertAlign w:val="superscript"/>
        </w:rPr>
        <w:t>3</w:t>
      </w:r>
      <w:r w:rsidRPr="00CA4C0B">
        <w:rPr>
          <w:rStyle w:val="None"/>
          <w:rFonts w:ascii="Book Antiqua" w:hAnsi="Book Antiqua"/>
          <w:color w:val="auto"/>
          <w:sz w:val="24"/>
          <w:szCs w:val="24"/>
        </w:rPr>
        <w:t>. The fragments were corroded in 20% KOH solution, at room temperature. After 2 h fragments were removed from the KOH solution and washed 3 times in distilled water for 10 min. The resulting preparations were dried in air. The obtained specimens were mounted with the special (electro-conductive) glue on the appropriate tables for SEM examination with JEOL-JSM-6510LV allowing the visualization of the sample by both backscattered and secondary streams of the electrons, under high and low vac</w:t>
      </w:r>
      <w:r w:rsidRPr="00CA4C0B">
        <w:rPr>
          <w:rStyle w:val="None"/>
          <w:rFonts w:ascii="Book Antiqua" w:hAnsi="Book Antiqua"/>
          <w:color w:val="auto"/>
          <w:sz w:val="24"/>
          <w:szCs w:val="24"/>
        </w:rPr>
        <w:t>u</w:t>
      </w:r>
      <w:r w:rsidRPr="00CA4C0B">
        <w:rPr>
          <w:rStyle w:val="None"/>
          <w:rFonts w:ascii="Book Antiqua" w:hAnsi="Book Antiqua"/>
          <w:color w:val="auto"/>
          <w:sz w:val="24"/>
          <w:szCs w:val="24"/>
        </w:rPr>
        <w:t xml:space="preserve">um conditions. For this investigation in high vacuum conditions, the corrosion casts were preliminarily coated with gold in equipment JEC-3000FC (Tokyo BOEKI Group, Japan) (vacuum = 3.2 </w:t>
      </w:r>
      <w:r w:rsidRPr="00CA4C0B">
        <w:rPr>
          <w:rStyle w:val="None"/>
          <w:rFonts w:ascii="Book Antiqua" w:hAnsi="Book Antiqua"/>
          <w:caps/>
          <w:color w:val="auto"/>
          <w:sz w:val="24"/>
          <w:szCs w:val="24"/>
        </w:rPr>
        <w:t>p</w:t>
      </w:r>
      <w:r w:rsidR="00491CB6" w:rsidRPr="00CA4C0B">
        <w:rPr>
          <w:rStyle w:val="None"/>
          <w:rFonts w:ascii="Book Antiqua" w:hAnsi="Book Antiqua"/>
          <w:color w:val="auto"/>
          <w:sz w:val="24"/>
          <w:szCs w:val="24"/>
        </w:rPr>
        <w:t>a; coating time = 180 s</w:t>
      </w:r>
      <w:r w:rsidRPr="00CA4C0B">
        <w:rPr>
          <w:rStyle w:val="None"/>
          <w:rFonts w:ascii="Book Antiqua" w:hAnsi="Book Antiqua"/>
          <w:color w:val="auto"/>
          <w:sz w:val="24"/>
          <w:szCs w:val="24"/>
        </w:rPr>
        <w:t>).</w:t>
      </w:r>
    </w:p>
    <w:p w14:paraId="58FF1D09" w14:textId="77777777" w:rsidR="004537C6" w:rsidRPr="00CA4C0B" w:rsidRDefault="004537C6" w:rsidP="007F2CA0">
      <w:pPr>
        <w:snapToGrid w:val="0"/>
        <w:spacing w:line="360" w:lineRule="auto"/>
        <w:jc w:val="both"/>
        <w:rPr>
          <w:rStyle w:val="None"/>
          <w:rFonts w:ascii="Book Antiqua" w:hAnsi="Book Antiqua"/>
          <w:b/>
          <w:bCs/>
        </w:rPr>
      </w:pPr>
    </w:p>
    <w:p w14:paraId="18C01444" w14:textId="10A63047" w:rsidR="004313EE" w:rsidRPr="00CA4C0B" w:rsidRDefault="004537C6" w:rsidP="007F2CA0">
      <w:pPr>
        <w:snapToGrid w:val="0"/>
        <w:spacing w:line="360" w:lineRule="auto"/>
        <w:jc w:val="both"/>
        <w:rPr>
          <w:rStyle w:val="None"/>
          <w:rFonts w:ascii="Book Antiqua" w:eastAsia="Times New Roman" w:hAnsi="Book Antiqua"/>
          <w:b/>
          <w:bCs/>
          <w:i/>
        </w:rPr>
      </w:pPr>
      <w:r w:rsidRPr="00CA4C0B">
        <w:rPr>
          <w:rStyle w:val="None"/>
          <w:rFonts w:ascii="Book Antiqua" w:hAnsi="Book Antiqua"/>
          <w:b/>
          <w:bCs/>
          <w:i/>
        </w:rPr>
        <w:t>Ethical approval</w:t>
      </w:r>
    </w:p>
    <w:p w14:paraId="1BD639CA" w14:textId="6DB4A313" w:rsidR="004313EE" w:rsidRPr="00CA4C0B" w:rsidRDefault="00CE6644" w:rsidP="007F2CA0">
      <w:pPr>
        <w:pStyle w:val="a5"/>
        <w:snapToGrid w:val="0"/>
        <w:spacing w:after="0" w:line="360" w:lineRule="auto"/>
        <w:ind w:left="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 xml:space="preserve">This research was adopted by the ethical committee of </w:t>
      </w:r>
      <w:proofErr w:type="spellStart"/>
      <w:r w:rsidRPr="00CA4C0B">
        <w:rPr>
          <w:rStyle w:val="None"/>
          <w:rFonts w:ascii="Book Antiqua" w:hAnsi="Book Antiqua"/>
          <w:color w:val="auto"/>
          <w:sz w:val="24"/>
          <w:szCs w:val="24"/>
        </w:rPr>
        <w:t>Aleksandre</w:t>
      </w:r>
      <w:proofErr w:type="spellEnd"/>
      <w:r w:rsidRPr="00CA4C0B">
        <w:rPr>
          <w:rStyle w:val="None"/>
          <w:rFonts w:ascii="Book Antiqua" w:hAnsi="Book Antiqua"/>
          <w:color w:val="auto"/>
          <w:sz w:val="24"/>
          <w:szCs w:val="24"/>
        </w:rPr>
        <w:t xml:space="preserve"> </w:t>
      </w:r>
      <w:proofErr w:type="spellStart"/>
      <w:r w:rsidRPr="00CA4C0B">
        <w:rPr>
          <w:rStyle w:val="None"/>
          <w:rFonts w:ascii="Book Antiqua" w:hAnsi="Book Antiqua"/>
          <w:color w:val="auto"/>
          <w:sz w:val="24"/>
          <w:szCs w:val="24"/>
        </w:rPr>
        <w:t>Natishvili</w:t>
      </w:r>
      <w:proofErr w:type="spellEnd"/>
      <w:r w:rsidRPr="00CA4C0B">
        <w:rPr>
          <w:rStyle w:val="None"/>
          <w:rFonts w:ascii="Book Antiqua" w:hAnsi="Book Antiqua"/>
          <w:color w:val="auto"/>
          <w:sz w:val="24"/>
          <w:szCs w:val="24"/>
        </w:rPr>
        <w:t xml:space="preserve"> I</w:t>
      </w:r>
      <w:r w:rsidRPr="00CA4C0B">
        <w:rPr>
          <w:rStyle w:val="None"/>
          <w:rFonts w:ascii="Book Antiqua" w:hAnsi="Book Antiqua"/>
          <w:color w:val="auto"/>
          <w:sz w:val="24"/>
          <w:szCs w:val="24"/>
        </w:rPr>
        <w:t>n</w:t>
      </w:r>
      <w:r w:rsidRPr="00CA4C0B">
        <w:rPr>
          <w:rStyle w:val="None"/>
          <w:rFonts w:ascii="Book Antiqua" w:hAnsi="Book Antiqua"/>
          <w:color w:val="auto"/>
          <w:sz w:val="24"/>
          <w:szCs w:val="24"/>
        </w:rPr>
        <w:t>stitute of Morphology, TSU in accordance with Directive 2010/63/ OF THE E</w:t>
      </w:r>
      <w:r w:rsidRPr="00CA4C0B">
        <w:rPr>
          <w:rStyle w:val="None"/>
          <w:rFonts w:ascii="Book Antiqua" w:hAnsi="Book Antiqua"/>
          <w:color w:val="auto"/>
          <w:sz w:val="24"/>
          <w:szCs w:val="24"/>
        </w:rPr>
        <w:t>U</w:t>
      </w:r>
      <w:r w:rsidRPr="00CA4C0B">
        <w:rPr>
          <w:rStyle w:val="None"/>
          <w:rFonts w:ascii="Book Antiqua" w:hAnsi="Book Antiqua"/>
          <w:color w:val="auto"/>
          <w:sz w:val="24"/>
          <w:szCs w:val="24"/>
        </w:rPr>
        <w:t>ROPEAN PARLIAMENT AND OF THE COUNCIL on the “protection of animals used for scientific purposes” (22 September 2010).</w:t>
      </w:r>
    </w:p>
    <w:p w14:paraId="0473BFFF" w14:textId="379BC3E8" w:rsidR="004313EE" w:rsidRPr="00CA4C0B" w:rsidRDefault="00F7733D" w:rsidP="007F2CA0">
      <w:pPr>
        <w:pStyle w:val="BodyA"/>
        <w:snapToGrid w:val="0"/>
        <w:spacing w:after="0" w:line="360" w:lineRule="auto"/>
        <w:jc w:val="both"/>
        <w:rPr>
          <w:rStyle w:val="None"/>
          <w:rFonts w:ascii="Book Antiqua" w:eastAsia="Times New Roman" w:hAnsi="Book Antiqua" w:cs="Times New Roman"/>
          <w:b/>
          <w:bCs/>
          <w:color w:val="auto"/>
          <w:sz w:val="24"/>
          <w:szCs w:val="24"/>
        </w:rPr>
      </w:pPr>
      <w:r w:rsidRPr="00CA4C0B">
        <w:rPr>
          <w:rStyle w:val="None"/>
          <w:rFonts w:ascii="Book Antiqua" w:hAnsi="Book Antiqua"/>
          <w:b/>
          <w:bCs/>
          <w:color w:val="auto"/>
          <w:sz w:val="24"/>
          <w:szCs w:val="24"/>
        </w:rPr>
        <w:t xml:space="preserve"> </w:t>
      </w:r>
    </w:p>
    <w:p w14:paraId="6799434B" w14:textId="1FF0E2A2" w:rsidR="004313EE" w:rsidRPr="00CA4C0B" w:rsidRDefault="005F18A6" w:rsidP="007F2CA0">
      <w:pPr>
        <w:pStyle w:val="BodyA"/>
        <w:snapToGrid w:val="0"/>
        <w:spacing w:after="0" w:line="360" w:lineRule="auto"/>
        <w:jc w:val="both"/>
        <w:rPr>
          <w:rStyle w:val="None"/>
          <w:rFonts w:ascii="Book Antiqua" w:eastAsia="Times New Roman" w:hAnsi="Book Antiqua" w:cs="Times New Roman"/>
          <w:b/>
          <w:bCs/>
          <w:caps/>
          <w:color w:val="auto"/>
          <w:sz w:val="24"/>
          <w:szCs w:val="24"/>
          <w:u w:val="single"/>
        </w:rPr>
      </w:pPr>
      <w:r w:rsidRPr="00CA4C0B">
        <w:rPr>
          <w:rStyle w:val="None"/>
          <w:rFonts w:ascii="Book Antiqua" w:hAnsi="Book Antiqua"/>
          <w:b/>
          <w:bCs/>
          <w:caps/>
          <w:color w:val="auto"/>
          <w:sz w:val="24"/>
          <w:szCs w:val="24"/>
          <w:u w:val="single"/>
        </w:rPr>
        <w:t>Results</w:t>
      </w:r>
    </w:p>
    <w:p w14:paraId="685A78C6" w14:textId="2D5605A0" w:rsidR="004313EE" w:rsidRPr="00CA4C0B" w:rsidRDefault="00CE6644" w:rsidP="007F2CA0">
      <w:pPr>
        <w:pStyle w:val="BodyA"/>
        <w:snapToGrid w:val="0"/>
        <w:spacing w:after="0" w:line="360" w:lineRule="auto"/>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 xml:space="preserve">The results of the morphometric study of liver tissue reveal that </w:t>
      </w:r>
      <w:r w:rsidRPr="00CA4C0B">
        <w:rPr>
          <w:rStyle w:val="Hyperlink2"/>
          <w:rFonts w:ascii="Book Antiqua" w:eastAsia="Arial Unicode MS" w:hAnsi="Book Antiqua"/>
          <w:color w:val="auto"/>
        </w:rPr>
        <w:t>the area of the CG hepatocytes, located in the first zone of the liver acinus is significantly less than the area of the hepatocytes in the third zone of the acinus (</w:t>
      </w:r>
      <w:r w:rsidRPr="00CA4C0B">
        <w:rPr>
          <w:rStyle w:val="Hyperlink2"/>
          <w:rFonts w:ascii="Book Antiqua" w:eastAsia="Arial Unicode MS" w:hAnsi="Book Antiqua"/>
          <w:i/>
          <w:color w:val="auto"/>
        </w:rPr>
        <w:t>P</w:t>
      </w:r>
      <w:r w:rsidR="004A54A7" w:rsidRPr="00CA4C0B">
        <w:rPr>
          <w:rStyle w:val="Hyperlink2"/>
          <w:rFonts w:ascii="Book Antiqua" w:eastAsia="Arial Unicode MS" w:hAnsi="Book Antiqua"/>
          <w:i/>
          <w:color w:val="auto"/>
        </w:rPr>
        <w:t xml:space="preserve"> </w:t>
      </w:r>
      <w:r w:rsidRPr="00CA4C0B">
        <w:rPr>
          <w:rStyle w:val="Hyperlink2"/>
          <w:rFonts w:ascii="Book Antiqua" w:eastAsia="Arial Unicode MS" w:hAnsi="Book Antiqua"/>
          <w:color w:val="auto"/>
        </w:rPr>
        <w:t>&lt;</w:t>
      </w:r>
      <w:r w:rsidR="004A54A7"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0</w:t>
      </w:r>
      <w:r w:rsidR="004A54A7" w:rsidRPr="00CA4C0B">
        <w:rPr>
          <w:rStyle w:val="Hyperlink2"/>
          <w:rFonts w:ascii="Book Antiqua" w:eastAsia="Arial Unicode MS" w:hAnsi="Book Antiqua"/>
          <w:color w:val="auto"/>
        </w:rPr>
        <w:t>.</w:t>
      </w:r>
      <w:r w:rsidRPr="00CA4C0B">
        <w:rPr>
          <w:rStyle w:val="Hyperlink2"/>
          <w:rFonts w:ascii="Book Antiqua" w:eastAsia="Arial Unicode MS" w:hAnsi="Book Antiqua"/>
          <w:color w:val="auto"/>
        </w:rPr>
        <w:t>05) while we could not find significant difference between the perimeters of the corr</w:t>
      </w:r>
      <w:r w:rsidRPr="00CA4C0B">
        <w:rPr>
          <w:rStyle w:val="Hyperlink2"/>
          <w:rFonts w:ascii="Book Antiqua" w:eastAsia="Arial Unicode MS" w:hAnsi="Book Antiqua"/>
          <w:color w:val="auto"/>
        </w:rPr>
        <w:t>e</w:t>
      </w:r>
      <w:r w:rsidRPr="00CA4C0B">
        <w:rPr>
          <w:rStyle w:val="Hyperlink2"/>
          <w:rFonts w:ascii="Book Antiqua" w:eastAsia="Arial Unicode MS" w:hAnsi="Book Antiqua"/>
          <w:color w:val="auto"/>
        </w:rPr>
        <w:t>sponding cells (</w:t>
      </w:r>
      <w:r w:rsidRPr="00CA4C0B">
        <w:rPr>
          <w:rStyle w:val="Hyperlink2"/>
          <w:rFonts w:ascii="Book Antiqua" w:eastAsia="Arial Unicode MS" w:hAnsi="Book Antiqua"/>
          <w:i/>
          <w:color w:val="auto"/>
        </w:rPr>
        <w:t>P</w:t>
      </w:r>
      <w:r w:rsidR="00C05CDF" w:rsidRPr="00CA4C0B">
        <w:rPr>
          <w:rStyle w:val="Hyperlink2"/>
          <w:rFonts w:ascii="Book Antiqua" w:eastAsia="Arial Unicode MS" w:hAnsi="Book Antiqua"/>
          <w:i/>
          <w:color w:val="auto"/>
        </w:rPr>
        <w:t xml:space="preserve"> </w:t>
      </w:r>
      <w:r w:rsidRPr="00CA4C0B">
        <w:rPr>
          <w:rStyle w:val="Hyperlink2"/>
          <w:rFonts w:ascii="Book Antiqua" w:eastAsia="Arial Unicode MS" w:hAnsi="Book Antiqua"/>
          <w:color w:val="auto"/>
        </w:rPr>
        <w:t>&gt;</w:t>
      </w:r>
      <w:r w:rsidR="00C05CDF"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0</w:t>
      </w:r>
      <w:r w:rsidR="00C05CDF" w:rsidRPr="00CA4C0B">
        <w:rPr>
          <w:rStyle w:val="Hyperlink2"/>
          <w:rFonts w:ascii="Book Antiqua" w:eastAsia="Arial Unicode MS" w:hAnsi="Book Antiqua"/>
          <w:color w:val="auto"/>
        </w:rPr>
        <w:t>.</w:t>
      </w:r>
      <w:r w:rsidRPr="00CA4C0B">
        <w:rPr>
          <w:rStyle w:val="Hyperlink2"/>
          <w:rFonts w:ascii="Book Antiqua" w:eastAsia="Arial Unicode MS" w:hAnsi="Book Antiqua"/>
          <w:color w:val="auto"/>
        </w:rPr>
        <w:t xml:space="preserve">05). The cells of the first and third zones of the acini for the </w:t>
      </w:r>
      <w:r w:rsidRPr="00CA4C0B">
        <w:rPr>
          <w:rStyle w:val="None"/>
          <w:rFonts w:ascii="Book Antiqua" w:hAnsi="Book Antiqua"/>
          <w:color w:val="auto"/>
          <w:sz w:val="24"/>
          <w:szCs w:val="24"/>
          <w:lang w:val="de-DE"/>
        </w:rPr>
        <w:t>SG</w:t>
      </w:r>
      <w:r w:rsidRPr="00CA4C0B">
        <w:rPr>
          <w:rStyle w:val="None"/>
          <w:rFonts w:ascii="Book Antiqua" w:hAnsi="Book Antiqua"/>
          <w:color w:val="auto"/>
          <w:sz w:val="24"/>
          <w:szCs w:val="24"/>
          <w:vertAlign w:val="subscript"/>
        </w:rPr>
        <w:t>1</w:t>
      </w:r>
      <w:r w:rsidRPr="00CA4C0B">
        <w:rPr>
          <w:rStyle w:val="Hyperlink2"/>
          <w:rFonts w:ascii="Book Antiqua" w:eastAsia="Arial Unicode MS" w:hAnsi="Book Antiqua"/>
          <w:color w:val="auto"/>
        </w:rPr>
        <w:t xml:space="preserve"> </w:t>
      </w:r>
      <w:r w:rsidRPr="00CA4C0B">
        <w:rPr>
          <w:rStyle w:val="None"/>
          <w:rFonts w:ascii="Book Antiqua" w:hAnsi="Book Antiqua"/>
          <w:color w:val="auto"/>
          <w:sz w:val="24"/>
          <w:szCs w:val="24"/>
          <w:lang w:val="de-DE"/>
        </w:rPr>
        <w:t>and SG</w:t>
      </w:r>
      <w:r w:rsidRPr="00CA4C0B">
        <w:rPr>
          <w:rStyle w:val="None"/>
          <w:rFonts w:ascii="Book Antiqua" w:hAnsi="Book Antiqua"/>
          <w:color w:val="auto"/>
          <w:sz w:val="24"/>
          <w:szCs w:val="24"/>
          <w:vertAlign w:val="subscript"/>
        </w:rPr>
        <w:t>2</w:t>
      </w:r>
      <w:r w:rsidRPr="00CA4C0B">
        <w:rPr>
          <w:rStyle w:val="Hyperlink2"/>
          <w:rFonts w:ascii="Book Antiqua" w:eastAsia="Arial Unicode MS" w:hAnsi="Book Antiqua"/>
          <w:color w:val="auto"/>
        </w:rPr>
        <w:t xml:space="preserve"> do not differ significantly either by area or by the length of the p</w:t>
      </w:r>
      <w:r w:rsidRPr="00CA4C0B">
        <w:rPr>
          <w:rStyle w:val="Hyperlink2"/>
          <w:rFonts w:ascii="Book Antiqua" w:eastAsia="Arial Unicode MS" w:hAnsi="Book Antiqua"/>
          <w:color w:val="auto"/>
        </w:rPr>
        <w:t>e</w:t>
      </w:r>
      <w:r w:rsidRPr="00CA4C0B">
        <w:rPr>
          <w:rStyle w:val="Hyperlink2"/>
          <w:rFonts w:ascii="Book Antiqua" w:eastAsia="Arial Unicode MS" w:hAnsi="Book Antiqua"/>
          <w:color w:val="auto"/>
        </w:rPr>
        <w:lastRenderedPageBreak/>
        <w:t>rimeter (</w:t>
      </w:r>
      <w:r w:rsidRPr="00CA4C0B">
        <w:rPr>
          <w:rStyle w:val="Hyperlink2"/>
          <w:rFonts w:ascii="Book Antiqua" w:eastAsia="Arial Unicode MS" w:hAnsi="Book Antiqua"/>
          <w:i/>
          <w:color w:val="auto"/>
        </w:rPr>
        <w:t>P</w:t>
      </w:r>
      <w:r w:rsidR="004A54A7" w:rsidRPr="00CA4C0B">
        <w:rPr>
          <w:rStyle w:val="Hyperlink2"/>
          <w:rFonts w:ascii="Book Antiqua" w:eastAsia="Arial Unicode MS" w:hAnsi="Book Antiqua"/>
          <w:i/>
          <w:color w:val="auto"/>
        </w:rPr>
        <w:t xml:space="preserve"> </w:t>
      </w:r>
      <w:r w:rsidRPr="00CA4C0B">
        <w:rPr>
          <w:rStyle w:val="Hyperlink2"/>
          <w:rFonts w:ascii="Book Antiqua" w:eastAsia="Arial Unicode MS" w:hAnsi="Book Antiqua"/>
          <w:color w:val="auto"/>
        </w:rPr>
        <w:t>&gt;</w:t>
      </w:r>
      <w:r w:rsidR="004A54A7"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0</w:t>
      </w:r>
      <w:r w:rsidR="004A54A7" w:rsidRPr="00CA4C0B">
        <w:rPr>
          <w:rStyle w:val="Hyperlink2"/>
          <w:rFonts w:ascii="Book Antiqua" w:eastAsia="Arial Unicode MS" w:hAnsi="Book Antiqua"/>
          <w:color w:val="auto"/>
        </w:rPr>
        <w:t>.</w:t>
      </w:r>
      <w:r w:rsidRPr="00CA4C0B">
        <w:rPr>
          <w:rStyle w:val="Hyperlink2"/>
          <w:rFonts w:ascii="Book Antiqua" w:eastAsia="Arial Unicode MS" w:hAnsi="Book Antiqua"/>
          <w:color w:val="auto"/>
        </w:rPr>
        <w:t>05 in both cases).</w:t>
      </w:r>
      <w:r w:rsidRPr="00CA4C0B">
        <w:rPr>
          <w:rStyle w:val="None"/>
          <w:rFonts w:ascii="Book Antiqua" w:hAnsi="Book Antiqua"/>
          <w:color w:val="auto"/>
          <w:sz w:val="24"/>
          <w:szCs w:val="24"/>
        </w:rPr>
        <w:t xml:space="preserve"> In the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xml:space="preserve"> and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the area of hepatocytes and their perimeter of both, the first zone and the third zone of the acini are increased significantly compared to the CG (</w:t>
      </w:r>
      <w:r w:rsidRPr="00CA4C0B">
        <w:rPr>
          <w:rStyle w:val="None"/>
          <w:rFonts w:ascii="Book Antiqua" w:hAnsi="Book Antiqua"/>
          <w:i/>
          <w:color w:val="auto"/>
          <w:sz w:val="24"/>
          <w:szCs w:val="24"/>
        </w:rPr>
        <w:t>P</w:t>
      </w:r>
      <w:r w:rsidR="007E3829" w:rsidRPr="00CA4C0B">
        <w:rPr>
          <w:rStyle w:val="None"/>
          <w:rFonts w:ascii="Book Antiqua" w:hAnsi="Book Antiqua"/>
          <w:i/>
          <w:color w:val="auto"/>
          <w:sz w:val="24"/>
          <w:szCs w:val="24"/>
        </w:rPr>
        <w:t xml:space="preserve"> </w:t>
      </w:r>
      <w:r w:rsidRPr="00CA4C0B">
        <w:rPr>
          <w:rStyle w:val="None"/>
          <w:rFonts w:ascii="Book Antiqua" w:hAnsi="Book Antiqua"/>
          <w:color w:val="auto"/>
          <w:sz w:val="24"/>
          <w:szCs w:val="24"/>
        </w:rPr>
        <w:t>&lt;</w:t>
      </w:r>
      <w:r w:rsidR="007E3829"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0.05 in all groups),</w:t>
      </w:r>
      <w:r w:rsidR="00F7733D" w:rsidRPr="00CA4C0B">
        <w:rPr>
          <w:rStyle w:val="None"/>
          <w:rFonts w:ascii="Book Antiqua" w:hAnsi="Book Antiqua"/>
          <w:color w:val="auto"/>
          <w:sz w:val="24"/>
          <w:szCs w:val="24"/>
        </w:rPr>
        <w:t xml:space="preserve"> </w:t>
      </w:r>
      <w:r w:rsidRPr="00CA4C0B">
        <w:rPr>
          <w:rStyle w:val="Hyperlink2"/>
          <w:rFonts w:ascii="Book Antiqua" w:eastAsia="Arial Unicode MS" w:hAnsi="Book Antiqua"/>
          <w:color w:val="auto"/>
        </w:rPr>
        <w:t>The hepatocytes of the SG</w:t>
      </w:r>
      <w:r w:rsidRPr="00CA4C0B">
        <w:rPr>
          <w:rStyle w:val="None"/>
          <w:rFonts w:ascii="Book Antiqua" w:hAnsi="Book Antiqua"/>
          <w:color w:val="auto"/>
          <w:sz w:val="24"/>
          <w:szCs w:val="24"/>
          <w:vertAlign w:val="subscript"/>
        </w:rPr>
        <w:t>1</w:t>
      </w:r>
      <w:r w:rsidRPr="00CA4C0B">
        <w:rPr>
          <w:rStyle w:val="Hyperlink2"/>
          <w:rFonts w:ascii="Book Antiqua" w:eastAsia="Arial Unicode MS" w:hAnsi="Book Antiqua"/>
          <w:color w:val="auto"/>
        </w:rPr>
        <w:t xml:space="preserve"> and SG</w:t>
      </w:r>
      <w:r w:rsidRPr="00CA4C0B">
        <w:rPr>
          <w:rStyle w:val="None"/>
          <w:rFonts w:ascii="Book Antiqua" w:hAnsi="Book Antiqua"/>
          <w:color w:val="auto"/>
          <w:sz w:val="24"/>
          <w:szCs w:val="24"/>
          <w:vertAlign w:val="subscript"/>
        </w:rPr>
        <w:t>2</w:t>
      </w:r>
      <w:r w:rsidRPr="00CA4C0B">
        <w:rPr>
          <w:rStyle w:val="Hyperlink2"/>
          <w:rFonts w:ascii="Book Antiqua" w:eastAsia="Arial Unicode MS" w:hAnsi="Book Antiqua"/>
          <w:color w:val="auto"/>
        </w:rPr>
        <w:t>, located in the first zone of the acinus do not differ significantly from each other by areas or the length of the perimeter (</w:t>
      </w:r>
      <w:r w:rsidRPr="00CA4C0B">
        <w:rPr>
          <w:rStyle w:val="Hyperlink2"/>
          <w:rFonts w:ascii="Book Antiqua" w:eastAsia="Arial Unicode MS" w:hAnsi="Book Antiqua"/>
          <w:i/>
          <w:color w:val="auto"/>
        </w:rPr>
        <w:t>P</w:t>
      </w:r>
      <w:r w:rsidR="007E3829" w:rsidRPr="00CA4C0B">
        <w:rPr>
          <w:rStyle w:val="Hyperlink2"/>
          <w:rFonts w:ascii="Book Antiqua" w:eastAsia="Arial Unicode MS" w:hAnsi="Book Antiqua"/>
          <w:i/>
          <w:color w:val="auto"/>
        </w:rPr>
        <w:t xml:space="preserve"> </w:t>
      </w:r>
      <w:r w:rsidRPr="00CA4C0B">
        <w:rPr>
          <w:rStyle w:val="Hyperlink2"/>
          <w:rFonts w:ascii="Book Antiqua" w:eastAsia="Arial Unicode MS" w:hAnsi="Book Antiqua"/>
          <w:color w:val="auto"/>
        </w:rPr>
        <w:t>&gt;</w:t>
      </w:r>
      <w:r w:rsidR="007E3829"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0</w:t>
      </w:r>
      <w:r w:rsidR="007E3829" w:rsidRPr="00CA4C0B">
        <w:rPr>
          <w:rStyle w:val="Hyperlink2"/>
          <w:rFonts w:ascii="Book Antiqua" w:eastAsia="Arial Unicode MS" w:hAnsi="Book Antiqua"/>
          <w:color w:val="auto"/>
        </w:rPr>
        <w:t>.</w:t>
      </w:r>
      <w:r w:rsidRPr="00CA4C0B">
        <w:rPr>
          <w:rStyle w:val="Hyperlink2"/>
          <w:rFonts w:ascii="Book Antiqua" w:eastAsia="Arial Unicode MS" w:hAnsi="Book Antiqua"/>
          <w:color w:val="auto"/>
        </w:rPr>
        <w:t>05 in both cases), whereas the area of the hepatocytes of the SG</w:t>
      </w:r>
      <w:r w:rsidRPr="00CA4C0B">
        <w:rPr>
          <w:rStyle w:val="None"/>
          <w:rFonts w:ascii="Book Antiqua" w:hAnsi="Book Antiqua"/>
          <w:color w:val="auto"/>
          <w:sz w:val="24"/>
          <w:szCs w:val="24"/>
          <w:vertAlign w:val="subscript"/>
        </w:rPr>
        <w:t>2</w:t>
      </w:r>
      <w:r w:rsidRPr="00CA4C0B">
        <w:rPr>
          <w:rStyle w:val="Hyperlink2"/>
          <w:rFonts w:ascii="Book Antiqua" w:eastAsia="Arial Unicode MS" w:hAnsi="Book Antiqua"/>
          <w:color w:val="auto"/>
        </w:rPr>
        <w:t>, located in the third zone of the acinus significantly exceeds the area of the corresponding hepatocytes of the SG</w:t>
      </w:r>
      <w:r w:rsidRPr="00CA4C0B">
        <w:rPr>
          <w:rStyle w:val="None"/>
          <w:rFonts w:ascii="Book Antiqua" w:hAnsi="Book Antiqua"/>
          <w:color w:val="auto"/>
          <w:sz w:val="24"/>
          <w:szCs w:val="24"/>
          <w:vertAlign w:val="subscript"/>
        </w:rPr>
        <w:t>1</w:t>
      </w:r>
      <w:r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i/>
          <w:color w:val="auto"/>
        </w:rPr>
        <w:t>P</w:t>
      </w:r>
      <w:r w:rsidR="007E3829" w:rsidRPr="00CA4C0B">
        <w:rPr>
          <w:rStyle w:val="Hyperlink2"/>
          <w:rFonts w:ascii="Book Antiqua" w:eastAsia="Arial Unicode MS" w:hAnsi="Book Antiqua"/>
          <w:i/>
          <w:color w:val="auto"/>
        </w:rPr>
        <w:t xml:space="preserve"> </w:t>
      </w:r>
      <w:r w:rsidR="0054732E" w:rsidRPr="00CA4C0B">
        <w:rPr>
          <w:rStyle w:val="Hyperlink2"/>
          <w:rFonts w:ascii="Book Antiqua" w:eastAsia="Arial Unicode MS" w:hAnsi="Book Antiqua"/>
          <w:color w:val="auto"/>
        </w:rPr>
        <w:t>&lt;</w:t>
      </w:r>
      <w:r w:rsidR="007E3829" w:rsidRPr="00CA4C0B">
        <w:rPr>
          <w:rStyle w:val="Hyperlink2"/>
          <w:rFonts w:ascii="Book Antiqua" w:eastAsia="Arial Unicode MS" w:hAnsi="Book Antiqua"/>
          <w:color w:val="auto"/>
        </w:rPr>
        <w:t xml:space="preserve"> </w:t>
      </w:r>
      <w:r w:rsidR="0054732E" w:rsidRPr="00CA4C0B">
        <w:rPr>
          <w:rStyle w:val="Hyperlink2"/>
          <w:rFonts w:ascii="Book Antiqua" w:eastAsia="Arial Unicode MS" w:hAnsi="Book Antiqua"/>
          <w:color w:val="auto"/>
        </w:rPr>
        <w:t>0</w:t>
      </w:r>
      <w:r w:rsidR="007E3829" w:rsidRPr="00CA4C0B">
        <w:rPr>
          <w:rStyle w:val="Hyperlink2"/>
          <w:rFonts w:ascii="Book Antiqua" w:eastAsia="Arial Unicode MS" w:hAnsi="Book Antiqua"/>
          <w:color w:val="auto"/>
        </w:rPr>
        <w:t>.</w:t>
      </w:r>
      <w:r w:rsidR="0054732E" w:rsidRPr="00CA4C0B">
        <w:rPr>
          <w:rStyle w:val="Hyperlink2"/>
          <w:rFonts w:ascii="Book Antiqua" w:eastAsia="Arial Unicode MS" w:hAnsi="Book Antiqua"/>
          <w:color w:val="auto"/>
        </w:rPr>
        <w:t>05)</w:t>
      </w:r>
      <w:r w:rsidR="00F7733D"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w:t>
      </w:r>
      <w:r w:rsidRPr="00CA4C0B">
        <w:rPr>
          <w:rStyle w:val="None"/>
          <w:rFonts w:ascii="Book Antiqua" w:hAnsi="Book Antiqua"/>
          <w:color w:val="auto"/>
          <w:sz w:val="24"/>
          <w:szCs w:val="24"/>
          <w:lang w:val="fr-FR"/>
        </w:rPr>
        <w:t>Table 2</w:t>
      </w:r>
      <w:r w:rsidRPr="00CA4C0B">
        <w:rPr>
          <w:rStyle w:val="Hyperlink2"/>
          <w:rFonts w:ascii="Book Antiqua" w:eastAsia="Arial Unicode MS" w:hAnsi="Book Antiqua"/>
          <w:color w:val="auto"/>
        </w:rPr>
        <w:t>)</w:t>
      </w:r>
      <w:r w:rsidR="0054732E" w:rsidRPr="00CA4C0B">
        <w:rPr>
          <w:rStyle w:val="None"/>
          <w:rFonts w:ascii="Book Antiqua" w:eastAsia="Times New Roman" w:hAnsi="Book Antiqua" w:cs="Times New Roman"/>
          <w:color w:val="auto"/>
          <w:sz w:val="24"/>
          <w:szCs w:val="24"/>
        </w:rPr>
        <w:t>.</w:t>
      </w:r>
    </w:p>
    <w:p w14:paraId="2ABA8EBA" w14:textId="494750E3" w:rsidR="004313EE" w:rsidRPr="00CA4C0B" w:rsidRDefault="00CE6644" w:rsidP="007F2CA0">
      <w:pPr>
        <w:pStyle w:val="HTML"/>
        <w:tabs>
          <w:tab w:val="clear" w:pos="9160"/>
          <w:tab w:val="clear" w:pos="10076"/>
          <w:tab w:val="clear" w:pos="10992"/>
          <w:tab w:val="clear" w:pos="11908"/>
          <w:tab w:val="clear" w:pos="12824"/>
          <w:tab w:val="clear" w:pos="13740"/>
          <w:tab w:val="clear" w:pos="14656"/>
          <w:tab w:val="left" w:pos="9024"/>
        </w:tabs>
        <w:snapToGrid w:val="0"/>
        <w:spacing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 xml:space="preserve">The number of diploid (2c) and binucleated cells (2c </w:t>
      </w:r>
      <w:r w:rsidR="00374CF7" w:rsidRPr="00CA4C0B">
        <w:rPr>
          <w:rStyle w:val="None"/>
          <w:rFonts w:ascii="Book Antiqua" w:hAnsi="Book Antiqua"/>
          <w:color w:val="auto"/>
          <w:sz w:val="24"/>
          <w:szCs w:val="24"/>
        </w:rPr>
        <w:t>×</w:t>
      </w:r>
      <w:r w:rsidRPr="00CA4C0B">
        <w:rPr>
          <w:rStyle w:val="None"/>
          <w:rFonts w:ascii="Book Antiqua" w:hAnsi="Book Antiqua"/>
          <w:color w:val="auto"/>
          <w:sz w:val="24"/>
          <w:szCs w:val="24"/>
        </w:rPr>
        <w:t xml:space="preserve"> 2) significantly d</w:t>
      </w:r>
      <w:r w:rsidRPr="00CA4C0B">
        <w:rPr>
          <w:rStyle w:val="None"/>
          <w:rFonts w:ascii="Book Antiqua" w:hAnsi="Book Antiqua"/>
          <w:color w:val="auto"/>
          <w:sz w:val="24"/>
          <w:szCs w:val="24"/>
        </w:rPr>
        <w:t>e</w:t>
      </w:r>
      <w:r w:rsidRPr="00CA4C0B">
        <w:rPr>
          <w:rStyle w:val="None"/>
          <w:rFonts w:ascii="Book Antiqua" w:hAnsi="Book Antiqua"/>
          <w:color w:val="auto"/>
          <w:sz w:val="24"/>
          <w:szCs w:val="24"/>
        </w:rPr>
        <w:t>creased in the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xml:space="preserve"> and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xml:space="preserve"> groups compared to the CG group (</w:t>
      </w:r>
      <w:r w:rsidRPr="00CA4C0B">
        <w:rPr>
          <w:rStyle w:val="None"/>
          <w:rFonts w:ascii="Book Antiqua" w:hAnsi="Book Antiqua"/>
          <w:i/>
          <w:color w:val="auto"/>
          <w:sz w:val="24"/>
          <w:szCs w:val="24"/>
        </w:rPr>
        <w:t>P</w:t>
      </w:r>
      <w:r w:rsidR="007E3829" w:rsidRPr="00CA4C0B">
        <w:rPr>
          <w:rStyle w:val="None"/>
          <w:rFonts w:ascii="Book Antiqua" w:hAnsi="Book Antiqua"/>
          <w:i/>
          <w:color w:val="auto"/>
          <w:sz w:val="24"/>
          <w:szCs w:val="24"/>
        </w:rPr>
        <w:t xml:space="preserve"> </w:t>
      </w:r>
      <w:r w:rsidRPr="00CA4C0B">
        <w:rPr>
          <w:rStyle w:val="None"/>
          <w:rFonts w:ascii="Book Antiqua" w:hAnsi="Book Antiqua"/>
          <w:color w:val="auto"/>
          <w:sz w:val="24"/>
          <w:szCs w:val="24"/>
        </w:rPr>
        <w:t>&lt;</w:t>
      </w:r>
      <w:r w:rsidR="007E3829"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xml:space="preserve">0.05), while </w:t>
      </w:r>
      <w:r w:rsidR="00981D3D" w:rsidRPr="00CA4C0B">
        <w:rPr>
          <w:rStyle w:val="None"/>
          <w:rFonts w:ascii="Book Antiqua" w:hAnsi="Book Antiqua"/>
          <w:color w:val="auto"/>
          <w:sz w:val="24"/>
          <w:szCs w:val="24"/>
        </w:rPr>
        <w:t xml:space="preserve">the </w:t>
      </w:r>
      <w:r w:rsidRPr="00CA4C0B">
        <w:rPr>
          <w:rStyle w:val="None"/>
          <w:rFonts w:ascii="Book Antiqua" w:hAnsi="Book Antiqua"/>
          <w:color w:val="auto"/>
          <w:sz w:val="24"/>
          <w:szCs w:val="24"/>
        </w:rPr>
        <w:t>number of polyploidy (4c and 8c) cells is significant</w:t>
      </w:r>
      <w:r w:rsidR="00981D3D" w:rsidRPr="00CA4C0B">
        <w:rPr>
          <w:rStyle w:val="None"/>
          <w:rFonts w:ascii="Book Antiqua" w:hAnsi="Book Antiqua"/>
          <w:color w:val="auto"/>
          <w:sz w:val="24"/>
          <w:szCs w:val="24"/>
        </w:rPr>
        <w:t>ly increased</w:t>
      </w:r>
      <w:r w:rsidRPr="00CA4C0B">
        <w:rPr>
          <w:rStyle w:val="None"/>
          <w:rFonts w:ascii="Book Antiqua" w:hAnsi="Book Antiqua"/>
          <w:color w:val="auto"/>
          <w:sz w:val="24"/>
          <w:szCs w:val="24"/>
        </w:rPr>
        <w:t xml:space="preserve"> (</w:t>
      </w:r>
      <w:r w:rsidRPr="00CA4C0B">
        <w:rPr>
          <w:rStyle w:val="None"/>
          <w:rFonts w:ascii="Book Antiqua" w:hAnsi="Book Antiqua"/>
          <w:i/>
          <w:color w:val="auto"/>
          <w:sz w:val="24"/>
          <w:szCs w:val="24"/>
        </w:rPr>
        <w:t>P</w:t>
      </w:r>
      <w:r w:rsidR="007E3829" w:rsidRPr="00CA4C0B">
        <w:rPr>
          <w:rStyle w:val="None"/>
          <w:rFonts w:ascii="Book Antiqua" w:hAnsi="Book Antiqua"/>
          <w:i/>
          <w:color w:val="auto"/>
          <w:sz w:val="24"/>
          <w:szCs w:val="24"/>
        </w:rPr>
        <w:t xml:space="preserve"> </w:t>
      </w:r>
      <w:r w:rsidRPr="00CA4C0B">
        <w:rPr>
          <w:rStyle w:val="None"/>
          <w:rFonts w:ascii="Book Antiqua" w:hAnsi="Book Antiqua"/>
          <w:color w:val="auto"/>
          <w:sz w:val="24"/>
          <w:szCs w:val="24"/>
        </w:rPr>
        <w:t>&lt;</w:t>
      </w:r>
      <w:r w:rsidR="007E3829"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0.05). At the same time, the number of high ploidy (8c) cells in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xml:space="preserve"> increased in compar</w:t>
      </w:r>
      <w:r w:rsidRPr="00CA4C0B">
        <w:rPr>
          <w:rStyle w:val="None"/>
          <w:rFonts w:ascii="Book Antiqua" w:hAnsi="Book Antiqua"/>
          <w:color w:val="auto"/>
          <w:sz w:val="24"/>
          <w:szCs w:val="24"/>
        </w:rPr>
        <w:t>i</w:t>
      </w:r>
      <w:r w:rsidRPr="00CA4C0B">
        <w:rPr>
          <w:rStyle w:val="None"/>
          <w:rFonts w:ascii="Book Antiqua" w:hAnsi="Book Antiqua"/>
          <w:color w:val="auto"/>
          <w:sz w:val="24"/>
          <w:szCs w:val="24"/>
        </w:rPr>
        <w:t xml:space="preserve">son with both CG and </w:t>
      </w:r>
      <w:r w:rsidRPr="00CA4C0B">
        <w:rPr>
          <w:rStyle w:val="None"/>
          <w:rFonts w:ascii="Book Antiqua" w:hAnsi="Book Antiqua"/>
          <w:color w:val="auto"/>
          <w:sz w:val="24"/>
          <w:szCs w:val="24"/>
          <w:u w:color="222222"/>
        </w:rPr>
        <w:t>SG</w:t>
      </w:r>
      <w:r w:rsidRPr="00CA4C0B">
        <w:rPr>
          <w:rStyle w:val="None"/>
          <w:rFonts w:ascii="Book Antiqua" w:hAnsi="Book Antiqua"/>
          <w:color w:val="auto"/>
          <w:sz w:val="24"/>
          <w:szCs w:val="24"/>
          <w:u w:color="222222"/>
          <w:vertAlign w:val="subscript"/>
        </w:rPr>
        <w:t>1</w:t>
      </w:r>
      <w:r w:rsidRPr="00CA4C0B">
        <w:rPr>
          <w:rStyle w:val="None"/>
          <w:rFonts w:ascii="Book Antiqua" w:hAnsi="Book Antiqua"/>
          <w:color w:val="auto"/>
          <w:sz w:val="24"/>
          <w:szCs w:val="24"/>
        </w:rPr>
        <w:t xml:space="preserve"> groups (the data of the measurements are presented in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2</w:t>
      </w:r>
      <w:r w:rsidRPr="00CA4C0B">
        <w:rPr>
          <w:rStyle w:val="None"/>
          <w:rFonts w:ascii="Book Antiqua" w:hAnsi="Book Antiqua"/>
          <w:color w:val="auto"/>
          <w:sz w:val="24"/>
          <w:szCs w:val="24"/>
        </w:rPr>
        <w:t>).</w:t>
      </w:r>
    </w:p>
    <w:p w14:paraId="52022E84" w14:textId="6053BBFB"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Regular shaped liver lobules of the histological slices (H&amp;E) from the CG are represented by a circular or multi-dimensional geometrical structure close to the circle in the center of which the central vein can be identified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3</w:t>
      </w:r>
      <w:r w:rsidR="003E7367"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A</w:t>
      </w:r>
      <w:r w:rsidR="00A06889" w:rsidRPr="00CA4C0B">
        <w:rPr>
          <w:rStyle w:val="None"/>
          <w:rFonts w:ascii="Book Antiqua" w:hAnsi="Book Antiqua"/>
          <w:color w:val="auto"/>
          <w:sz w:val="24"/>
          <w:szCs w:val="24"/>
        </w:rPr>
        <w:t xml:space="preserve"> and </w:t>
      </w:r>
      <w:r w:rsidRPr="00CA4C0B">
        <w:rPr>
          <w:rStyle w:val="None"/>
          <w:rFonts w:ascii="Book Antiqua" w:hAnsi="Book Antiqua"/>
          <w:color w:val="auto"/>
          <w:sz w:val="24"/>
          <w:szCs w:val="24"/>
        </w:rPr>
        <w:t>B). The identification of such lobules is relatively easy on transparent histological slices, prepared after Indian Ink-Gelatin injection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3</w:t>
      </w:r>
      <w:r w:rsidRPr="00CA4C0B">
        <w:rPr>
          <w:rStyle w:val="None"/>
          <w:rFonts w:ascii="Book Antiqua" w:hAnsi="Book Antiqua"/>
          <w:color w:val="auto"/>
          <w:sz w:val="24"/>
          <w:szCs w:val="24"/>
        </w:rPr>
        <w:t>C). It should be noted that the diameter of such "classical" lobules varies si</w:t>
      </w:r>
      <w:r w:rsidR="00214B7E" w:rsidRPr="00CA4C0B">
        <w:rPr>
          <w:rStyle w:val="None"/>
          <w:rFonts w:ascii="Book Antiqua" w:hAnsi="Book Antiqua"/>
          <w:color w:val="auto"/>
          <w:sz w:val="24"/>
          <w:szCs w:val="24"/>
        </w:rPr>
        <w:t>gnificantly and ranges from 300</w:t>
      </w:r>
      <w:r w:rsidR="00A06889"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µ</w:t>
      </w:r>
      <w:r w:rsidR="002028FD" w:rsidRPr="00CA4C0B">
        <w:rPr>
          <w:rStyle w:val="None"/>
          <w:rFonts w:ascii="Book Antiqua" w:hAnsi="Book Antiqua"/>
          <w:color w:val="auto"/>
          <w:sz w:val="24"/>
          <w:szCs w:val="24"/>
        </w:rPr>
        <w:t>m</w:t>
      </w:r>
      <w:r w:rsidRPr="00CA4C0B">
        <w:rPr>
          <w:rStyle w:val="None"/>
          <w:rFonts w:ascii="Book Antiqua" w:hAnsi="Book Antiqua"/>
          <w:color w:val="auto"/>
          <w:sz w:val="24"/>
          <w:szCs w:val="24"/>
        </w:rPr>
        <w:t xml:space="preserve"> to 600</w:t>
      </w:r>
      <w:r w:rsidR="00A06889"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µ</w:t>
      </w:r>
      <w:r w:rsidR="002028FD" w:rsidRPr="00CA4C0B">
        <w:rPr>
          <w:rStyle w:val="None"/>
          <w:rFonts w:ascii="Book Antiqua" w:hAnsi="Book Antiqua"/>
          <w:color w:val="auto"/>
          <w:sz w:val="24"/>
          <w:szCs w:val="24"/>
        </w:rPr>
        <w:t>m</w:t>
      </w:r>
      <w:r w:rsidRPr="00CA4C0B">
        <w:rPr>
          <w:rStyle w:val="None"/>
          <w:rFonts w:ascii="Book Antiqua" w:hAnsi="Book Antiqua"/>
          <w:color w:val="auto"/>
          <w:sz w:val="24"/>
          <w:szCs w:val="24"/>
        </w:rPr>
        <w:t>. The slices clearly indicate several adjacent lobules, the circul</w:t>
      </w:r>
      <w:r w:rsidRPr="00CA4C0B">
        <w:rPr>
          <w:rStyle w:val="None"/>
          <w:rFonts w:ascii="Book Antiqua" w:hAnsi="Book Antiqua"/>
          <w:color w:val="auto"/>
          <w:sz w:val="24"/>
          <w:szCs w:val="24"/>
        </w:rPr>
        <w:t>a</w:t>
      </w:r>
      <w:r w:rsidRPr="00CA4C0B">
        <w:rPr>
          <w:rStyle w:val="None"/>
          <w:rFonts w:ascii="Book Antiqua" w:hAnsi="Book Antiqua"/>
          <w:color w:val="auto"/>
          <w:sz w:val="24"/>
          <w:szCs w:val="24"/>
        </w:rPr>
        <w:t>tory bed of which is interconnected. These intercommunicated lobules are filling the distance of ~ 2.6 millimeters between the diaphragmatic and visceral surfaces of the caudal lobe of the liver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3</w:t>
      </w:r>
      <w:r w:rsidRPr="00CA4C0B">
        <w:rPr>
          <w:rStyle w:val="None"/>
          <w:rFonts w:ascii="Book Antiqua" w:hAnsi="Book Antiqua"/>
          <w:color w:val="auto"/>
          <w:sz w:val="24"/>
          <w:szCs w:val="24"/>
        </w:rPr>
        <w:t xml:space="preserve">D). </w:t>
      </w:r>
    </w:p>
    <w:p w14:paraId="38BF5997" w14:textId="401BF770"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The collagenous and elastic connective tissue fibers form sheaths for the portal tubular structures and tributaries of hepatic veins. The thickness of this capsule increases with the increasing diameter of the tubular structures. In addition, the connective tissue is more weakly expressed around the branches of the hepatic veins and is not visible in Disse's spaces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3</w:t>
      </w:r>
      <w:r w:rsidRPr="00CA4C0B">
        <w:rPr>
          <w:rStyle w:val="None"/>
          <w:rFonts w:ascii="Book Antiqua" w:hAnsi="Book Antiqua"/>
          <w:color w:val="auto"/>
          <w:sz w:val="24"/>
          <w:szCs w:val="24"/>
        </w:rPr>
        <w:t>E).</w:t>
      </w:r>
    </w:p>
    <w:p w14:paraId="1FDCD551" w14:textId="62285757" w:rsidR="004313EE" w:rsidRPr="00CA4C0B" w:rsidRDefault="0013682F"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lastRenderedPageBreak/>
        <w:t>Nine</w:t>
      </w:r>
      <w:r w:rsidR="00CE6644" w:rsidRPr="00CA4C0B">
        <w:rPr>
          <w:rStyle w:val="None"/>
          <w:rFonts w:ascii="Book Antiqua" w:hAnsi="Book Antiqua"/>
          <w:color w:val="auto"/>
          <w:sz w:val="24"/>
          <w:szCs w:val="24"/>
        </w:rPr>
        <w:t xml:space="preserve"> months after PH (SG</w:t>
      </w:r>
      <w:r w:rsidR="00CE6644" w:rsidRPr="00CA4C0B">
        <w:rPr>
          <w:rStyle w:val="None"/>
          <w:rFonts w:ascii="Book Antiqua" w:hAnsi="Book Antiqua"/>
          <w:color w:val="auto"/>
          <w:sz w:val="24"/>
          <w:szCs w:val="24"/>
          <w:vertAlign w:val="subscript"/>
        </w:rPr>
        <w:t>1</w:t>
      </w:r>
      <w:r w:rsidR="00CE6644" w:rsidRPr="00CA4C0B">
        <w:rPr>
          <w:rStyle w:val="None"/>
          <w:rFonts w:ascii="Book Antiqua" w:hAnsi="Book Antiqua"/>
          <w:color w:val="auto"/>
          <w:sz w:val="24"/>
          <w:szCs w:val="24"/>
        </w:rPr>
        <w:t>) the sizes of those lobules of the histological slices (H&amp;E), contours which can be identified, are higher than normal. Part of the s</w:t>
      </w:r>
      <w:r w:rsidR="00CE6644" w:rsidRPr="00CA4C0B">
        <w:rPr>
          <w:rStyle w:val="None"/>
          <w:rFonts w:ascii="Book Antiqua" w:hAnsi="Book Antiqua"/>
          <w:color w:val="auto"/>
          <w:sz w:val="24"/>
          <w:szCs w:val="24"/>
        </w:rPr>
        <w:t>i</w:t>
      </w:r>
      <w:r w:rsidR="00CE6644" w:rsidRPr="00CA4C0B">
        <w:rPr>
          <w:rStyle w:val="None"/>
          <w:rFonts w:ascii="Book Antiqua" w:hAnsi="Book Antiqua"/>
          <w:color w:val="auto"/>
          <w:sz w:val="24"/>
          <w:szCs w:val="24"/>
        </w:rPr>
        <w:t xml:space="preserve">nusoids is dilated asymmetrically giving, to the liver tissue, a </w:t>
      </w:r>
      <w:proofErr w:type="spellStart"/>
      <w:r w:rsidR="00CE6644" w:rsidRPr="00CA4C0B">
        <w:rPr>
          <w:rStyle w:val="None"/>
          <w:rFonts w:ascii="Book Antiqua" w:hAnsi="Book Antiqua"/>
          <w:color w:val="auto"/>
          <w:sz w:val="24"/>
          <w:szCs w:val="24"/>
        </w:rPr>
        <w:t>nonhomogenous</w:t>
      </w:r>
      <w:proofErr w:type="spellEnd"/>
      <w:r w:rsidR="00CE6644" w:rsidRPr="00CA4C0B">
        <w:rPr>
          <w:rStyle w:val="None"/>
          <w:rFonts w:ascii="Book Antiqua" w:hAnsi="Book Antiqua"/>
          <w:color w:val="auto"/>
          <w:sz w:val="24"/>
          <w:szCs w:val="24"/>
        </w:rPr>
        <w:t xml:space="preserve"> view (</w:t>
      </w:r>
      <w:r w:rsidR="007D3282" w:rsidRPr="00CA4C0B">
        <w:rPr>
          <w:rStyle w:val="None"/>
          <w:rFonts w:ascii="Book Antiqua" w:hAnsi="Book Antiqua"/>
          <w:color w:val="auto"/>
          <w:sz w:val="24"/>
          <w:szCs w:val="24"/>
        </w:rPr>
        <w:t>Figure</w:t>
      </w:r>
      <w:r w:rsidR="00CE6644"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4</w:t>
      </w:r>
      <w:r w:rsidR="00CE6644" w:rsidRPr="00CA4C0B">
        <w:rPr>
          <w:rStyle w:val="None"/>
          <w:rFonts w:ascii="Book Antiqua" w:hAnsi="Book Antiqua"/>
          <w:color w:val="auto"/>
          <w:sz w:val="24"/>
          <w:szCs w:val="24"/>
        </w:rPr>
        <w:t>A</w:t>
      </w:r>
      <w:r w:rsidR="00A06889" w:rsidRPr="00CA4C0B">
        <w:rPr>
          <w:rStyle w:val="None"/>
          <w:rFonts w:ascii="Book Antiqua" w:hAnsi="Book Antiqua"/>
          <w:color w:val="auto"/>
          <w:sz w:val="24"/>
          <w:szCs w:val="24"/>
        </w:rPr>
        <w:t xml:space="preserve"> and </w:t>
      </w:r>
      <w:r w:rsidR="00CE6644" w:rsidRPr="00CA4C0B">
        <w:rPr>
          <w:rStyle w:val="None"/>
          <w:rFonts w:ascii="Book Antiqua" w:hAnsi="Book Antiqua"/>
          <w:color w:val="auto"/>
          <w:sz w:val="24"/>
          <w:szCs w:val="24"/>
        </w:rPr>
        <w:t>B). The sinusoidal non-homogeneity is better seen on tran</w:t>
      </w:r>
      <w:r w:rsidR="00CE6644" w:rsidRPr="00CA4C0B">
        <w:rPr>
          <w:rStyle w:val="None"/>
          <w:rFonts w:ascii="Book Antiqua" w:hAnsi="Book Antiqua"/>
          <w:color w:val="auto"/>
          <w:sz w:val="24"/>
          <w:szCs w:val="24"/>
        </w:rPr>
        <w:t>s</w:t>
      </w:r>
      <w:r w:rsidR="00CE6644" w:rsidRPr="00CA4C0B">
        <w:rPr>
          <w:rStyle w:val="None"/>
          <w:rFonts w:ascii="Book Antiqua" w:hAnsi="Book Antiqua"/>
          <w:color w:val="auto"/>
          <w:sz w:val="24"/>
          <w:szCs w:val="24"/>
        </w:rPr>
        <w:t>parent histological slices prepared after Indian Ink - Gelatin injection: the "mega-lobules" formed by the aggregation of merging several adjacent lobules, a unified sinusoidal network of which originates from several portal venules, can be clea</w:t>
      </w:r>
      <w:r w:rsidR="00CE6644" w:rsidRPr="00CA4C0B">
        <w:rPr>
          <w:rStyle w:val="None"/>
          <w:rFonts w:ascii="Book Antiqua" w:hAnsi="Book Antiqua"/>
          <w:color w:val="auto"/>
          <w:sz w:val="24"/>
          <w:szCs w:val="24"/>
        </w:rPr>
        <w:t>r</w:t>
      </w:r>
      <w:r w:rsidR="00CE6644" w:rsidRPr="00CA4C0B">
        <w:rPr>
          <w:rStyle w:val="None"/>
          <w:rFonts w:ascii="Book Antiqua" w:hAnsi="Book Antiqua"/>
          <w:color w:val="auto"/>
          <w:sz w:val="24"/>
          <w:szCs w:val="24"/>
        </w:rPr>
        <w:t>ly seen in different areas (</w:t>
      </w:r>
      <w:r w:rsidR="007D3282" w:rsidRPr="00CA4C0B">
        <w:rPr>
          <w:rStyle w:val="None"/>
          <w:rFonts w:ascii="Book Antiqua" w:hAnsi="Book Antiqua"/>
          <w:color w:val="auto"/>
          <w:sz w:val="24"/>
          <w:szCs w:val="24"/>
        </w:rPr>
        <w:t>Figure</w:t>
      </w:r>
      <w:r w:rsidR="00CE6644"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4</w:t>
      </w:r>
      <w:r w:rsidR="00CE6644" w:rsidRPr="00CA4C0B">
        <w:rPr>
          <w:rStyle w:val="None"/>
          <w:rFonts w:ascii="Book Antiqua" w:hAnsi="Book Antiqua"/>
          <w:color w:val="auto"/>
          <w:sz w:val="24"/>
          <w:szCs w:val="24"/>
        </w:rPr>
        <w:t>C</w:t>
      </w:r>
      <w:r w:rsidR="00D32563" w:rsidRPr="00CA4C0B">
        <w:rPr>
          <w:rStyle w:val="None"/>
          <w:rFonts w:ascii="Book Antiqua" w:hAnsi="Book Antiqua"/>
          <w:color w:val="auto"/>
          <w:sz w:val="24"/>
          <w:szCs w:val="24"/>
        </w:rPr>
        <w:t xml:space="preserve"> and </w:t>
      </w:r>
      <w:r w:rsidR="00CE6644" w:rsidRPr="00CA4C0B">
        <w:rPr>
          <w:rStyle w:val="None"/>
          <w:rFonts w:ascii="Book Antiqua" w:hAnsi="Book Antiqua"/>
          <w:color w:val="auto"/>
          <w:sz w:val="24"/>
          <w:szCs w:val="24"/>
        </w:rPr>
        <w:t>D). The boundaries between the adjacent lobules (including mega-lobules) are widened and filled by connective tissue f</w:t>
      </w:r>
      <w:r w:rsidR="00CE6644" w:rsidRPr="00CA4C0B">
        <w:rPr>
          <w:rStyle w:val="None"/>
          <w:rFonts w:ascii="Book Antiqua" w:hAnsi="Book Antiqua"/>
          <w:color w:val="auto"/>
          <w:sz w:val="24"/>
          <w:szCs w:val="24"/>
        </w:rPr>
        <w:t>i</w:t>
      </w:r>
      <w:r w:rsidR="00CE6644" w:rsidRPr="00CA4C0B">
        <w:rPr>
          <w:rStyle w:val="None"/>
          <w:rFonts w:ascii="Book Antiqua" w:hAnsi="Book Antiqua"/>
          <w:color w:val="auto"/>
          <w:sz w:val="24"/>
          <w:szCs w:val="24"/>
        </w:rPr>
        <w:t>bers. The number of collagen and elastic connective tissue fibers around the po</w:t>
      </w:r>
      <w:r w:rsidR="00CE6644" w:rsidRPr="00CA4C0B">
        <w:rPr>
          <w:rStyle w:val="None"/>
          <w:rFonts w:ascii="Book Antiqua" w:hAnsi="Book Antiqua"/>
          <w:color w:val="auto"/>
          <w:sz w:val="24"/>
          <w:szCs w:val="24"/>
        </w:rPr>
        <w:t>r</w:t>
      </w:r>
      <w:r w:rsidR="00CE6644" w:rsidRPr="00CA4C0B">
        <w:rPr>
          <w:rStyle w:val="None"/>
          <w:rFonts w:ascii="Book Antiqua" w:hAnsi="Book Antiqua"/>
          <w:color w:val="auto"/>
          <w:sz w:val="24"/>
          <w:szCs w:val="24"/>
        </w:rPr>
        <w:t>tal triads and branches of the hepatic vein are increased. Moreover, single fibers are also observed in Disse's spaces (</w:t>
      </w:r>
      <w:r w:rsidR="007D3282" w:rsidRPr="00CA4C0B">
        <w:rPr>
          <w:rStyle w:val="None"/>
          <w:rFonts w:ascii="Book Antiqua" w:hAnsi="Book Antiqua"/>
          <w:color w:val="auto"/>
          <w:sz w:val="24"/>
          <w:szCs w:val="24"/>
        </w:rPr>
        <w:t>Figure</w:t>
      </w:r>
      <w:r w:rsidR="00CE6644"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4</w:t>
      </w:r>
      <w:r w:rsidR="00CE6644" w:rsidRPr="00CA4C0B">
        <w:rPr>
          <w:rStyle w:val="None"/>
          <w:rFonts w:ascii="Book Antiqua" w:hAnsi="Book Antiqua"/>
          <w:color w:val="auto"/>
          <w:sz w:val="24"/>
          <w:szCs w:val="24"/>
        </w:rPr>
        <w:t>B).</w:t>
      </w:r>
    </w:p>
    <w:p w14:paraId="75F047A2" w14:textId="6F882F06" w:rsidR="004313EE" w:rsidRPr="00CA4C0B" w:rsidRDefault="0013682F"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 xml:space="preserve">Six </w:t>
      </w:r>
      <w:r w:rsidR="00CE6644" w:rsidRPr="00CA4C0B">
        <w:rPr>
          <w:rStyle w:val="None"/>
          <w:rFonts w:ascii="Book Antiqua" w:hAnsi="Book Antiqua"/>
          <w:color w:val="auto"/>
          <w:sz w:val="24"/>
          <w:szCs w:val="24"/>
        </w:rPr>
        <w:t>months later the repeated PH (SG</w:t>
      </w:r>
      <w:r w:rsidR="00CE6644" w:rsidRPr="00CA4C0B">
        <w:rPr>
          <w:rStyle w:val="None"/>
          <w:rFonts w:ascii="Book Antiqua" w:hAnsi="Book Antiqua"/>
          <w:color w:val="auto"/>
          <w:sz w:val="24"/>
          <w:szCs w:val="24"/>
          <w:vertAlign w:val="subscript"/>
        </w:rPr>
        <w:t>2</w:t>
      </w:r>
      <w:r w:rsidR="00CE6644" w:rsidRPr="00CA4C0B">
        <w:rPr>
          <w:rStyle w:val="None"/>
          <w:rFonts w:ascii="Book Antiqua" w:hAnsi="Book Antiqua"/>
          <w:color w:val="auto"/>
          <w:sz w:val="24"/>
          <w:szCs w:val="24"/>
        </w:rPr>
        <w:t>) the unevenness of sinusoid diameters (</w:t>
      </w:r>
      <w:r w:rsidR="007D3282" w:rsidRPr="00CA4C0B">
        <w:rPr>
          <w:rStyle w:val="None"/>
          <w:rFonts w:ascii="Book Antiqua" w:hAnsi="Book Antiqua"/>
          <w:color w:val="auto"/>
          <w:sz w:val="24"/>
          <w:szCs w:val="24"/>
        </w:rPr>
        <w:t>Figure</w:t>
      </w:r>
      <w:r w:rsidR="00CE6644"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5</w:t>
      </w:r>
      <w:r w:rsidR="00CE6644" w:rsidRPr="00CA4C0B">
        <w:rPr>
          <w:rStyle w:val="None"/>
          <w:rFonts w:ascii="Book Antiqua" w:hAnsi="Book Antiqua"/>
          <w:color w:val="auto"/>
          <w:sz w:val="24"/>
          <w:szCs w:val="24"/>
        </w:rPr>
        <w:t>A</w:t>
      </w:r>
      <w:r w:rsidR="00C07D87" w:rsidRPr="00CA4C0B">
        <w:rPr>
          <w:rStyle w:val="None"/>
          <w:rFonts w:ascii="Book Antiqua" w:hAnsi="Book Antiqua"/>
          <w:color w:val="auto"/>
          <w:sz w:val="24"/>
          <w:szCs w:val="24"/>
        </w:rPr>
        <w:t xml:space="preserve"> and </w:t>
      </w:r>
      <w:r w:rsidR="00CE6644" w:rsidRPr="00CA4C0B">
        <w:rPr>
          <w:rStyle w:val="None"/>
          <w:rFonts w:ascii="Book Antiqua" w:hAnsi="Book Antiqua"/>
          <w:color w:val="auto"/>
          <w:sz w:val="24"/>
          <w:szCs w:val="24"/>
        </w:rPr>
        <w:t xml:space="preserve">C), as well as the boundaries between the lobules (including the mega-lobules) are more vividly expressed. The fibrotic changes in re-regenerated liver tissue are increased. The connective-tissue membranes around tubular structures are thickened; </w:t>
      </w:r>
      <w:r w:rsidR="00B14AE5" w:rsidRPr="00CA4C0B">
        <w:rPr>
          <w:rStyle w:val="None"/>
          <w:rFonts w:ascii="Book Antiqua" w:hAnsi="Book Antiqua"/>
          <w:color w:val="auto"/>
          <w:sz w:val="24"/>
          <w:szCs w:val="24"/>
        </w:rPr>
        <w:t>s</w:t>
      </w:r>
      <w:r w:rsidR="00CE6644" w:rsidRPr="00CA4C0B">
        <w:rPr>
          <w:rStyle w:val="None"/>
          <w:rFonts w:ascii="Book Antiqua" w:hAnsi="Book Antiqua"/>
          <w:color w:val="auto"/>
          <w:sz w:val="24"/>
          <w:szCs w:val="24"/>
        </w:rPr>
        <w:t xml:space="preserve">uch membrane accompanies </w:t>
      </w:r>
      <w:proofErr w:type="spellStart"/>
      <w:r w:rsidR="00CE6644" w:rsidRPr="00CA4C0B">
        <w:rPr>
          <w:rStyle w:val="None"/>
          <w:rFonts w:ascii="Book Antiqua" w:hAnsi="Book Antiqua"/>
          <w:color w:val="auto"/>
          <w:sz w:val="24"/>
          <w:szCs w:val="24"/>
        </w:rPr>
        <w:t>perilobular</w:t>
      </w:r>
      <w:proofErr w:type="spellEnd"/>
      <w:r w:rsidR="00CE6644" w:rsidRPr="00CA4C0B">
        <w:rPr>
          <w:rStyle w:val="None"/>
          <w:rFonts w:ascii="Book Antiqua" w:hAnsi="Book Antiqua"/>
          <w:color w:val="auto"/>
          <w:sz w:val="24"/>
          <w:szCs w:val="24"/>
        </w:rPr>
        <w:t xml:space="preserve"> blood vessels, surrounding the atypical lobules (mega-lobules), which gives the liver pare</w:t>
      </w:r>
      <w:r w:rsidR="00CE6644" w:rsidRPr="00CA4C0B">
        <w:rPr>
          <w:rStyle w:val="None"/>
          <w:rFonts w:ascii="Book Antiqua" w:hAnsi="Book Antiqua"/>
          <w:color w:val="auto"/>
          <w:sz w:val="24"/>
          <w:szCs w:val="24"/>
        </w:rPr>
        <w:t>n</w:t>
      </w:r>
      <w:r w:rsidR="00CE6644" w:rsidRPr="00CA4C0B">
        <w:rPr>
          <w:rStyle w:val="None"/>
          <w:rFonts w:ascii="Book Antiqua" w:hAnsi="Book Antiqua"/>
          <w:color w:val="auto"/>
          <w:sz w:val="24"/>
          <w:szCs w:val="24"/>
        </w:rPr>
        <w:t>chyma a nodular look. The number of connective tissue fibers is also increased in the Di</w:t>
      </w:r>
      <w:r w:rsidR="00090C59" w:rsidRPr="00CA4C0B">
        <w:rPr>
          <w:rStyle w:val="None"/>
          <w:rFonts w:ascii="Book Antiqua" w:hAnsi="Book Antiqua"/>
          <w:color w:val="auto"/>
          <w:sz w:val="24"/>
          <w:szCs w:val="24"/>
        </w:rPr>
        <w:t xml:space="preserve">sse's spaces </w:t>
      </w:r>
      <w:r w:rsidR="00CE6644" w:rsidRPr="00CA4C0B">
        <w:rPr>
          <w:rStyle w:val="None"/>
          <w:rFonts w:ascii="Book Antiqua" w:hAnsi="Book Antiqua"/>
          <w:color w:val="auto"/>
          <w:sz w:val="24"/>
          <w:szCs w:val="24"/>
        </w:rPr>
        <w:t>(</w:t>
      </w:r>
      <w:r w:rsidR="007D3282" w:rsidRPr="00CA4C0B">
        <w:rPr>
          <w:rStyle w:val="None"/>
          <w:rFonts w:ascii="Book Antiqua" w:hAnsi="Book Antiqua"/>
          <w:color w:val="auto"/>
          <w:sz w:val="24"/>
          <w:szCs w:val="24"/>
        </w:rPr>
        <w:t>Figure</w:t>
      </w:r>
      <w:r w:rsidR="002028FD"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5</w:t>
      </w:r>
      <w:r w:rsidR="00CE6644" w:rsidRPr="00CA4C0B">
        <w:rPr>
          <w:rStyle w:val="None"/>
          <w:rFonts w:ascii="Book Antiqua" w:hAnsi="Book Antiqua"/>
          <w:color w:val="auto"/>
          <w:sz w:val="24"/>
          <w:szCs w:val="24"/>
        </w:rPr>
        <w:t>B</w:t>
      </w:r>
      <w:r w:rsidR="00916A1F" w:rsidRPr="00CA4C0B">
        <w:rPr>
          <w:rStyle w:val="None"/>
          <w:rFonts w:ascii="Book Antiqua" w:hAnsi="Book Antiqua"/>
          <w:color w:val="auto"/>
          <w:sz w:val="24"/>
          <w:szCs w:val="24"/>
        </w:rPr>
        <w:t xml:space="preserve"> and </w:t>
      </w:r>
      <w:r w:rsidR="00CE6644" w:rsidRPr="00CA4C0B">
        <w:rPr>
          <w:rStyle w:val="None"/>
          <w:rFonts w:ascii="Book Antiqua" w:hAnsi="Book Antiqua"/>
          <w:color w:val="auto"/>
          <w:sz w:val="24"/>
          <w:szCs w:val="24"/>
        </w:rPr>
        <w:t xml:space="preserve">D). </w:t>
      </w:r>
    </w:p>
    <w:p w14:paraId="1DF90F6F" w14:textId="4006389B"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Biliary structures appear on histological slices, both stained with H&amp;E and marked with CK8. In addition, the number of ductular profiles in the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xml:space="preserve"> and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xml:space="preserve"> was greater than in control animals; The ductular profiles are observed not only in the portal tracts or in the periportal zones of the liver parenchyma, but also within the liver lobules including </w:t>
      </w:r>
      <w:proofErr w:type="spellStart"/>
      <w:r w:rsidRPr="00CA4C0B">
        <w:rPr>
          <w:rStyle w:val="None"/>
          <w:rFonts w:ascii="Book Antiqua" w:hAnsi="Book Antiqua"/>
          <w:color w:val="auto"/>
          <w:sz w:val="24"/>
          <w:szCs w:val="24"/>
        </w:rPr>
        <w:t>thos</w:t>
      </w:r>
      <w:proofErr w:type="spellEnd"/>
      <w:r w:rsidRPr="00CA4C0B">
        <w:rPr>
          <w:rStyle w:val="None"/>
          <w:rFonts w:ascii="Book Antiqua" w:hAnsi="Book Antiqua"/>
          <w:color w:val="auto"/>
          <w:sz w:val="24"/>
          <w:szCs w:val="24"/>
        </w:rPr>
        <w:t xml:space="preserve"> adjacent to the various caliber branches of the liver veins (involving central and </w:t>
      </w:r>
      <w:proofErr w:type="spellStart"/>
      <w:r w:rsidRPr="00CA4C0B">
        <w:rPr>
          <w:rStyle w:val="None"/>
          <w:rFonts w:ascii="Book Antiqua" w:hAnsi="Book Antiqua"/>
          <w:color w:val="auto"/>
          <w:sz w:val="24"/>
          <w:szCs w:val="24"/>
        </w:rPr>
        <w:t>sublobular</w:t>
      </w:r>
      <w:proofErr w:type="spellEnd"/>
      <w:r w:rsidRPr="00CA4C0B">
        <w:rPr>
          <w:rStyle w:val="None"/>
          <w:rFonts w:ascii="Book Antiqua" w:hAnsi="Book Antiqua"/>
          <w:color w:val="auto"/>
          <w:sz w:val="24"/>
          <w:szCs w:val="24"/>
        </w:rPr>
        <w:t xml:space="preserve"> veins)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6</w:t>
      </w:r>
      <w:r w:rsidRPr="00CA4C0B">
        <w:rPr>
          <w:rStyle w:val="None"/>
          <w:rFonts w:ascii="Book Antiqua" w:hAnsi="Book Antiqua"/>
          <w:color w:val="auto"/>
          <w:sz w:val="24"/>
          <w:szCs w:val="24"/>
        </w:rPr>
        <w:t>A</w:t>
      </w:r>
      <w:r w:rsidR="00730EFD" w:rsidRPr="00CA4C0B">
        <w:rPr>
          <w:rStyle w:val="None"/>
          <w:rFonts w:ascii="Book Antiqua" w:hAnsi="Book Antiqua"/>
          <w:color w:val="auto"/>
          <w:sz w:val="24"/>
          <w:szCs w:val="24"/>
        </w:rPr>
        <w:t>-</w:t>
      </w:r>
      <w:r w:rsidRPr="00CA4C0B">
        <w:rPr>
          <w:rStyle w:val="None"/>
          <w:rFonts w:ascii="Book Antiqua" w:hAnsi="Book Antiqua"/>
          <w:color w:val="auto"/>
          <w:sz w:val="24"/>
          <w:szCs w:val="24"/>
        </w:rPr>
        <w:t>F).</w:t>
      </w:r>
      <w:r w:rsidR="00F7733D" w:rsidRPr="00CA4C0B">
        <w:rPr>
          <w:rStyle w:val="None"/>
          <w:rFonts w:ascii="Book Antiqua" w:hAnsi="Book Antiqua"/>
          <w:color w:val="auto"/>
          <w:sz w:val="24"/>
          <w:szCs w:val="24"/>
        </w:rPr>
        <w:t xml:space="preserve"> </w:t>
      </w:r>
    </w:p>
    <w:p w14:paraId="76D1D948" w14:textId="77777777"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The results provided below are based on SEM investigation of the vascular casts of the liver containing blood vessels less than 300 µm in diameter. The s</w:t>
      </w:r>
      <w:r w:rsidRPr="00CA4C0B">
        <w:rPr>
          <w:rStyle w:val="None"/>
          <w:rFonts w:ascii="Book Antiqua" w:hAnsi="Book Antiqua"/>
          <w:color w:val="auto"/>
          <w:sz w:val="24"/>
          <w:szCs w:val="24"/>
        </w:rPr>
        <w:t>i</w:t>
      </w:r>
      <w:r w:rsidRPr="00CA4C0B">
        <w:rPr>
          <w:rStyle w:val="None"/>
          <w:rFonts w:ascii="Book Antiqua" w:hAnsi="Book Antiqua"/>
          <w:color w:val="auto"/>
          <w:sz w:val="24"/>
          <w:szCs w:val="24"/>
        </w:rPr>
        <w:lastRenderedPageBreak/>
        <w:t xml:space="preserve">nusoidal vessels form both - the three-dimensional meshwork of more or less uniform regular form as well as the mesh with difficultly described geometry. </w:t>
      </w:r>
    </w:p>
    <w:p w14:paraId="6B8995B1" w14:textId="27633585"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Three types of lobules can be distinguished in the liver tissue:</w:t>
      </w:r>
      <w:r w:rsidR="00F7733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Superficial lo</w:t>
      </w:r>
      <w:r w:rsidRPr="00CA4C0B">
        <w:rPr>
          <w:rStyle w:val="None"/>
          <w:rFonts w:ascii="Book Antiqua" w:hAnsi="Book Antiqua"/>
          <w:color w:val="auto"/>
          <w:sz w:val="24"/>
          <w:szCs w:val="24"/>
        </w:rPr>
        <w:t>b</w:t>
      </w:r>
      <w:r w:rsidRPr="00CA4C0B">
        <w:rPr>
          <w:rStyle w:val="None"/>
          <w:rFonts w:ascii="Book Antiqua" w:hAnsi="Book Antiqua"/>
          <w:color w:val="auto"/>
          <w:sz w:val="24"/>
          <w:szCs w:val="24"/>
        </w:rPr>
        <w:t>ules, the parietal surfaces of which are represented as an anastomosing mes</w:t>
      </w:r>
      <w:r w:rsidRPr="00CA4C0B">
        <w:rPr>
          <w:rStyle w:val="None"/>
          <w:rFonts w:ascii="Book Antiqua" w:hAnsi="Book Antiqua"/>
          <w:color w:val="auto"/>
          <w:sz w:val="24"/>
          <w:szCs w:val="24"/>
        </w:rPr>
        <w:t>h</w:t>
      </w:r>
      <w:r w:rsidRPr="00CA4C0B">
        <w:rPr>
          <w:rStyle w:val="None"/>
          <w:rFonts w:ascii="Book Antiqua" w:hAnsi="Book Antiqua"/>
          <w:color w:val="auto"/>
          <w:sz w:val="24"/>
          <w:szCs w:val="24"/>
        </w:rPr>
        <w:t>work with a circular or multi-facet shape.</w:t>
      </w:r>
      <w:r w:rsidR="00F7733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The casts of superficial sinusoids are associated with the casts of central/</w:t>
      </w:r>
      <w:proofErr w:type="spellStart"/>
      <w:r w:rsidRPr="00CA4C0B">
        <w:rPr>
          <w:rStyle w:val="None"/>
          <w:rFonts w:ascii="Book Antiqua" w:hAnsi="Book Antiqua"/>
          <w:color w:val="auto"/>
          <w:sz w:val="24"/>
          <w:szCs w:val="24"/>
        </w:rPr>
        <w:t>sublobular</w:t>
      </w:r>
      <w:proofErr w:type="spellEnd"/>
      <w:r w:rsidRPr="00CA4C0B">
        <w:rPr>
          <w:rStyle w:val="None"/>
          <w:rFonts w:ascii="Book Antiqua" w:hAnsi="Book Antiqua"/>
          <w:color w:val="auto"/>
          <w:sz w:val="24"/>
          <w:szCs w:val="24"/>
        </w:rPr>
        <w:t xml:space="preserve"> veins, rarely with the veins of bigger diameter. The diameters of the parietal surfaces of the superficial lobules range from 300 µm to 600 µm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3</w:t>
      </w:r>
      <w:r w:rsidRPr="00CA4C0B">
        <w:rPr>
          <w:rStyle w:val="None"/>
          <w:rFonts w:ascii="Book Antiqua" w:hAnsi="Book Antiqua"/>
          <w:color w:val="auto"/>
          <w:sz w:val="24"/>
          <w:szCs w:val="24"/>
        </w:rPr>
        <w:t>J</w:t>
      </w:r>
      <w:r w:rsidR="009D479B" w:rsidRPr="00CA4C0B">
        <w:rPr>
          <w:rStyle w:val="None"/>
          <w:rFonts w:ascii="Book Antiqua" w:hAnsi="Book Antiqua"/>
          <w:color w:val="auto"/>
          <w:sz w:val="24"/>
          <w:szCs w:val="24"/>
        </w:rPr>
        <w:t xml:space="preserve"> and </w:t>
      </w:r>
      <w:r w:rsidRPr="00CA4C0B">
        <w:rPr>
          <w:rStyle w:val="None"/>
          <w:rFonts w:ascii="Book Antiqua" w:hAnsi="Book Antiqua"/>
          <w:color w:val="auto"/>
          <w:sz w:val="24"/>
          <w:szCs w:val="24"/>
        </w:rPr>
        <w:t>K).</w:t>
      </w:r>
      <w:r w:rsidR="002028F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xml:space="preserve">Deeply localized lobules have forms which are different from the superficial ones. Here the sinusoidal </w:t>
      </w:r>
      <w:proofErr w:type="spellStart"/>
      <w:r w:rsidRPr="00CA4C0B">
        <w:rPr>
          <w:rStyle w:val="None"/>
          <w:rFonts w:ascii="Book Antiqua" w:hAnsi="Book Antiqua"/>
          <w:color w:val="auto"/>
          <w:sz w:val="24"/>
          <w:szCs w:val="24"/>
        </w:rPr>
        <w:t>mes</w:t>
      </w:r>
      <w:r w:rsidRPr="00CA4C0B">
        <w:rPr>
          <w:rStyle w:val="None"/>
          <w:rFonts w:ascii="Book Antiqua" w:hAnsi="Book Antiqua"/>
          <w:color w:val="auto"/>
          <w:sz w:val="24"/>
          <w:szCs w:val="24"/>
        </w:rPr>
        <w:t>h</w:t>
      </w:r>
      <w:r w:rsidRPr="00CA4C0B">
        <w:rPr>
          <w:rStyle w:val="None"/>
          <w:rFonts w:ascii="Book Antiqua" w:hAnsi="Book Antiqua"/>
          <w:color w:val="auto"/>
          <w:sz w:val="24"/>
          <w:szCs w:val="24"/>
        </w:rPr>
        <w:t>works</w:t>
      </w:r>
      <w:proofErr w:type="spellEnd"/>
      <w:r w:rsidRPr="00CA4C0B">
        <w:rPr>
          <w:rStyle w:val="None"/>
          <w:rFonts w:ascii="Book Antiqua" w:hAnsi="Book Antiqua"/>
          <w:color w:val="auto"/>
          <w:sz w:val="24"/>
          <w:szCs w:val="24"/>
        </w:rPr>
        <w:t xml:space="preserve"> form </w:t>
      </w:r>
      <w:proofErr w:type="spellStart"/>
      <w:r w:rsidRPr="00CA4C0B">
        <w:rPr>
          <w:rStyle w:val="None"/>
          <w:rFonts w:ascii="Book Antiqua" w:hAnsi="Book Antiqua"/>
          <w:color w:val="auto"/>
          <w:sz w:val="24"/>
          <w:szCs w:val="24"/>
        </w:rPr>
        <w:t>spheral</w:t>
      </w:r>
      <w:proofErr w:type="spellEnd"/>
      <w:r w:rsidRPr="00CA4C0B">
        <w:rPr>
          <w:rStyle w:val="None"/>
          <w:rFonts w:ascii="Book Antiqua" w:hAnsi="Book Antiqua"/>
          <w:color w:val="auto"/>
          <w:sz w:val="24"/>
          <w:szCs w:val="24"/>
        </w:rPr>
        <w:t xml:space="preserve"> or ellipsoidal, multi-faceted constructs which are connected to the casts of the thinnest branches of the portal blood vessels (interlobular branches) and/or liver veins (central and </w:t>
      </w:r>
      <w:proofErr w:type="spellStart"/>
      <w:r w:rsidRPr="00CA4C0B">
        <w:rPr>
          <w:rStyle w:val="None"/>
          <w:rFonts w:ascii="Book Antiqua" w:hAnsi="Book Antiqua"/>
          <w:color w:val="auto"/>
          <w:sz w:val="24"/>
          <w:szCs w:val="24"/>
        </w:rPr>
        <w:t>sublobular</w:t>
      </w:r>
      <w:proofErr w:type="spellEnd"/>
      <w:r w:rsidRPr="00CA4C0B">
        <w:rPr>
          <w:rStyle w:val="None"/>
          <w:rFonts w:ascii="Book Antiqua" w:hAnsi="Book Antiqua"/>
          <w:color w:val="auto"/>
          <w:sz w:val="24"/>
          <w:szCs w:val="24"/>
        </w:rPr>
        <w:t xml:space="preserve"> veins)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1D34B2" w:rsidRPr="00CA4C0B">
        <w:rPr>
          <w:rStyle w:val="None"/>
          <w:rFonts w:ascii="Book Antiqua" w:hAnsi="Book Antiqua"/>
          <w:color w:val="auto"/>
          <w:sz w:val="24"/>
          <w:szCs w:val="24"/>
        </w:rPr>
        <w:t>3</w:t>
      </w:r>
      <w:r w:rsidRPr="00CA4C0B">
        <w:rPr>
          <w:rStyle w:val="None"/>
          <w:rFonts w:ascii="Book Antiqua" w:hAnsi="Book Antiqua"/>
          <w:color w:val="auto"/>
          <w:sz w:val="24"/>
          <w:szCs w:val="24"/>
        </w:rPr>
        <w:t>F,</w:t>
      </w:r>
      <w:r w:rsidR="001D34B2"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G,</w:t>
      </w:r>
      <w:r w:rsidR="001D34B2" w:rsidRPr="00CA4C0B">
        <w:rPr>
          <w:rStyle w:val="None"/>
          <w:rFonts w:ascii="Book Antiqua" w:hAnsi="Book Antiqua"/>
          <w:color w:val="auto"/>
          <w:sz w:val="24"/>
          <w:szCs w:val="24"/>
        </w:rPr>
        <w:t xml:space="preserve"> and </w:t>
      </w:r>
      <w:r w:rsidRPr="00CA4C0B">
        <w:rPr>
          <w:rStyle w:val="None"/>
          <w:rFonts w:ascii="Book Antiqua" w:hAnsi="Book Antiqua"/>
          <w:color w:val="auto"/>
          <w:sz w:val="24"/>
          <w:szCs w:val="24"/>
        </w:rPr>
        <w:t>I). The sizes of these lobules (conventionally, "diameters") range from 300 µm to 1000 µm. Some lobules reproduce the structure of either the classical lobule or the liver acinus.</w:t>
      </w:r>
      <w:r w:rsidR="00F7733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xml:space="preserve">The </w:t>
      </w:r>
      <w:proofErr w:type="spellStart"/>
      <w:r w:rsidRPr="00CA4C0B">
        <w:rPr>
          <w:rStyle w:val="None"/>
          <w:rFonts w:ascii="Book Antiqua" w:hAnsi="Book Antiqua"/>
          <w:color w:val="auto"/>
          <w:sz w:val="24"/>
          <w:szCs w:val="24"/>
        </w:rPr>
        <w:t>later</w:t>
      </w:r>
      <w:proofErr w:type="spellEnd"/>
      <w:r w:rsidRPr="00CA4C0B">
        <w:rPr>
          <w:rStyle w:val="None"/>
          <w:rFonts w:ascii="Book Antiqua" w:hAnsi="Book Antiqua"/>
          <w:color w:val="auto"/>
          <w:sz w:val="24"/>
          <w:szCs w:val="24"/>
        </w:rPr>
        <w:t xml:space="preserve"> is commonly represented by a complex of the portal vein and so-called partially casted sinusoids “not reaching" the central veins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3</w:t>
      </w:r>
      <w:r w:rsidRPr="00CA4C0B">
        <w:rPr>
          <w:rStyle w:val="None"/>
          <w:rFonts w:ascii="Book Antiqua" w:hAnsi="Book Antiqua"/>
          <w:color w:val="auto"/>
          <w:sz w:val="24"/>
          <w:szCs w:val="24"/>
        </w:rPr>
        <w:t>F</w:t>
      </w:r>
      <w:r w:rsidR="00533A82" w:rsidRPr="00CA4C0B">
        <w:rPr>
          <w:rStyle w:val="None"/>
          <w:rFonts w:ascii="Book Antiqua" w:hAnsi="Book Antiqua"/>
          <w:color w:val="auto"/>
          <w:sz w:val="24"/>
          <w:szCs w:val="24"/>
        </w:rPr>
        <w:t>-</w:t>
      </w:r>
      <w:r w:rsidRPr="00CA4C0B">
        <w:rPr>
          <w:rStyle w:val="None"/>
          <w:rFonts w:ascii="Book Antiqua" w:hAnsi="Book Antiqua"/>
          <w:color w:val="auto"/>
          <w:sz w:val="24"/>
          <w:szCs w:val="24"/>
        </w:rPr>
        <w:t>H). There also may be distinguished the regions, where it is difficult or impossible to identify the lobule-like structures in the sinusoidal meshwork; Such regions are commonly found in the areas of bifurcation of the branches of the portal veins with diameters of 200-400 µm (</w:t>
      </w:r>
      <w:r w:rsidR="007D3282" w:rsidRPr="00CA4C0B">
        <w:rPr>
          <w:rStyle w:val="None"/>
          <w:rFonts w:ascii="Book Antiqua" w:hAnsi="Book Antiqua"/>
          <w:color w:val="auto"/>
          <w:sz w:val="24"/>
          <w:szCs w:val="24"/>
        </w:rPr>
        <w:t>Figure</w:t>
      </w:r>
      <w:r w:rsidR="002028FD" w:rsidRPr="00CA4C0B">
        <w:rPr>
          <w:rStyle w:val="None"/>
          <w:rFonts w:ascii="Book Antiqua" w:hAnsi="Book Antiqua"/>
          <w:color w:val="auto"/>
          <w:sz w:val="24"/>
          <w:szCs w:val="24"/>
        </w:rPr>
        <w:t xml:space="preserve"> </w:t>
      </w:r>
      <w:r w:rsidR="009E7D5E" w:rsidRPr="00CA4C0B">
        <w:rPr>
          <w:rStyle w:val="None"/>
          <w:rFonts w:ascii="Book Antiqua" w:hAnsi="Book Antiqua"/>
          <w:color w:val="auto"/>
          <w:sz w:val="24"/>
          <w:szCs w:val="24"/>
        </w:rPr>
        <w:t>3</w:t>
      </w:r>
      <w:r w:rsidRPr="00CA4C0B">
        <w:rPr>
          <w:rStyle w:val="None"/>
          <w:rFonts w:ascii="Book Antiqua" w:hAnsi="Book Antiqua"/>
          <w:color w:val="auto"/>
          <w:sz w:val="24"/>
          <w:szCs w:val="24"/>
        </w:rPr>
        <w:t>H).</w:t>
      </w:r>
    </w:p>
    <w:p w14:paraId="18408EEE" w14:textId="04BA8E5E"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The sinusoids may represent not only the meshwork connected to the terminal (interlobular) branches of the portal vein but also the meshwork, connected to the so-called "inlet" portal venules.</w:t>
      </w:r>
      <w:r w:rsidR="00F7733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These inlet venules are separated from the larger-caliber blood vessels at certain intervals (every 300-700 µm) on two opp</w:t>
      </w:r>
      <w:r w:rsidRPr="00CA4C0B">
        <w:rPr>
          <w:rStyle w:val="None"/>
          <w:rFonts w:ascii="Book Antiqua" w:hAnsi="Book Antiqua"/>
          <w:color w:val="auto"/>
          <w:sz w:val="24"/>
          <w:szCs w:val="24"/>
        </w:rPr>
        <w:t>o</w:t>
      </w:r>
      <w:r w:rsidRPr="00CA4C0B">
        <w:rPr>
          <w:rStyle w:val="None"/>
          <w:rFonts w:ascii="Book Antiqua" w:hAnsi="Book Antiqua"/>
          <w:color w:val="auto"/>
          <w:sz w:val="24"/>
          <w:szCs w:val="24"/>
        </w:rPr>
        <w:t>site sides (Fig</w:t>
      </w:r>
      <w:r w:rsidR="009E7D5E" w:rsidRPr="00CA4C0B">
        <w:rPr>
          <w:rStyle w:val="None"/>
          <w:rFonts w:ascii="Book Antiqua" w:hAnsi="Book Antiqua"/>
          <w:color w:val="auto"/>
          <w:sz w:val="24"/>
          <w:szCs w:val="24"/>
        </w:rPr>
        <w:t>ure</w:t>
      </w:r>
      <w:r w:rsidRPr="00CA4C0B">
        <w:rPr>
          <w:rStyle w:val="None"/>
          <w:rFonts w:ascii="Book Antiqua" w:hAnsi="Book Antiqua"/>
          <w:color w:val="auto"/>
          <w:sz w:val="24"/>
          <w:szCs w:val="24"/>
        </w:rPr>
        <w:t xml:space="preserve"> </w:t>
      </w:r>
      <w:r w:rsidR="009E7D5E" w:rsidRPr="00CA4C0B">
        <w:rPr>
          <w:rStyle w:val="None"/>
          <w:rFonts w:ascii="Book Antiqua" w:hAnsi="Book Antiqua"/>
          <w:color w:val="auto"/>
          <w:sz w:val="24"/>
          <w:szCs w:val="24"/>
        </w:rPr>
        <w:t>4</w:t>
      </w:r>
      <w:r w:rsidRPr="00CA4C0B">
        <w:rPr>
          <w:rStyle w:val="None"/>
          <w:rFonts w:ascii="Book Antiqua" w:hAnsi="Book Antiqua"/>
          <w:color w:val="auto"/>
          <w:sz w:val="24"/>
          <w:szCs w:val="24"/>
        </w:rPr>
        <w:t>L). Rarely, there are observed the regions where several adj</w:t>
      </w:r>
      <w:r w:rsidRPr="00CA4C0B">
        <w:rPr>
          <w:rStyle w:val="None"/>
          <w:rFonts w:ascii="Book Antiqua" w:hAnsi="Book Antiqua"/>
          <w:color w:val="auto"/>
          <w:sz w:val="24"/>
          <w:szCs w:val="24"/>
        </w:rPr>
        <w:t>a</w:t>
      </w:r>
      <w:r w:rsidRPr="00CA4C0B">
        <w:rPr>
          <w:rStyle w:val="None"/>
          <w:rFonts w:ascii="Book Antiqua" w:hAnsi="Book Antiqua"/>
          <w:color w:val="auto"/>
          <w:sz w:val="24"/>
          <w:szCs w:val="24"/>
        </w:rPr>
        <w:t>cent lobules are merged in such a way that they create an aggregation - "mega-lobule", the common sinusoidal meshwork of which originates from the various portal venules and is drained by several central (</w:t>
      </w:r>
      <w:proofErr w:type="spellStart"/>
      <w:r w:rsidRPr="00CA4C0B">
        <w:rPr>
          <w:rStyle w:val="None"/>
          <w:rFonts w:ascii="Book Antiqua" w:hAnsi="Book Antiqua"/>
          <w:color w:val="auto"/>
          <w:sz w:val="24"/>
          <w:szCs w:val="24"/>
        </w:rPr>
        <w:t>sublobular</w:t>
      </w:r>
      <w:proofErr w:type="spellEnd"/>
      <w:r w:rsidRPr="00CA4C0B">
        <w:rPr>
          <w:rStyle w:val="None"/>
          <w:rFonts w:ascii="Book Antiqua" w:hAnsi="Book Antiqua"/>
          <w:color w:val="auto"/>
          <w:sz w:val="24"/>
          <w:szCs w:val="24"/>
        </w:rPr>
        <w:t xml:space="preserve">) veins. </w:t>
      </w:r>
    </w:p>
    <w:p w14:paraId="7FB7FC06" w14:textId="53B72FC2"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lastRenderedPageBreak/>
        <w:t>Sinusoidal casts are characterized by a narrowing in the peripheries of the lo</w:t>
      </w:r>
      <w:r w:rsidRPr="00CA4C0B">
        <w:rPr>
          <w:rStyle w:val="None"/>
          <w:rFonts w:ascii="Book Antiqua" w:hAnsi="Book Antiqua"/>
          <w:color w:val="auto"/>
          <w:sz w:val="24"/>
          <w:szCs w:val="24"/>
        </w:rPr>
        <w:t>b</w:t>
      </w:r>
      <w:r w:rsidRPr="00CA4C0B">
        <w:rPr>
          <w:rStyle w:val="None"/>
          <w:rFonts w:ascii="Book Antiqua" w:hAnsi="Book Antiqua"/>
          <w:color w:val="auto"/>
          <w:sz w:val="24"/>
          <w:szCs w:val="24"/>
        </w:rPr>
        <w:t>ules. At such places, they are more twisted and interconnected and form a p</w:t>
      </w:r>
      <w:r w:rsidRPr="00CA4C0B">
        <w:rPr>
          <w:rStyle w:val="None"/>
          <w:rFonts w:ascii="Book Antiqua" w:hAnsi="Book Antiqua"/>
          <w:color w:val="auto"/>
          <w:sz w:val="24"/>
          <w:szCs w:val="24"/>
        </w:rPr>
        <w:t>o</w:t>
      </w:r>
      <w:r w:rsidRPr="00CA4C0B">
        <w:rPr>
          <w:rStyle w:val="None"/>
          <w:rFonts w:ascii="Book Antiqua" w:hAnsi="Book Antiqua"/>
          <w:color w:val="auto"/>
          <w:sz w:val="24"/>
          <w:szCs w:val="24"/>
        </w:rPr>
        <w:t>lygonal meshwork. The casts are somehow thicker and more "straightened" in the proximity of central (</w:t>
      </w:r>
      <w:proofErr w:type="spellStart"/>
      <w:r w:rsidRPr="00CA4C0B">
        <w:rPr>
          <w:rStyle w:val="None"/>
          <w:rFonts w:ascii="Book Antiqua" w:hAnsi="Book Antiqua"/>
          <w:color w:val="auto"/>
          <w:sz w:val="24"/>
          <w:szCs w:val="24"/>
        </w:rPr>
        <w:t>sublobular</w:t>
      </w:r>
      <w:proofErr w:type="spellEnd"/>
      <w:r w:rsidRPr="00CA4C0B">
        <w:rPr>
          <w:rStyle w:val="None"/>
          <w:rFonts w:ascii="Book Antiqua" w:hAnsi="Book Antiqua"/>
          <w:color w:val="auto"/>
          <w:sz w:val="24"/>
          <w:szCs w:val="24"/>
        </w:rPr>
        <w:t>) veins. Occasionally, between the adjacent casts of the sinusoids, there is observed some kind of parallelism before adjoi</w:t>
      </w:r>
      <w:r w:rsidRPr="00CA4C0B">
        <w:rPr>
          <w:rStyle w:val="None"/>
          <w:rFonts w:ascii="Book Antiqua" w:hAnsi="Book Antiqua"/>
          <w:color w:val="auto"/>
          <w:sz w:val="24"/>
          <w:szCs w:val="24"/>
        </w:rPr>
        <w:t>n</w:t>
      </w:r>
      <w:r w:rsidRPr="00CA4C0B">
        <w:rPr>
          <w:rStyle w:val="None"/>
          <w:rFonts w:ascii="Book Antiqua" w:hAnsi="Book Antiqua"/>
          <w:color w:val="auto"/>
          <w:sz w:val="24"/>
          <w:szCs w:val="24"/>
        </w:rPr>
        <w:t>ing the branches of the liver veins.</w:t>
      </w:r>
      <w:r w:rsidR="00F7733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xml:space="preserve">The intermediate vessels localized between the periportal and pericentral zones have a transitional characteristic. </w:t>
      </w:r>
    </w:p>
    <w:p w14:paraId="504C81E4" w14:textId="3D134A64"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The diameters of the sinusoidal replicas vary in a wide range (from 6 µm up to 20 µm).</w:t>
      </w:r>
      <w:r w:rsidR="00F7733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xml:space="preserve">The length of the sinusoidal vessels before the branching also varies (from 6 µm up to 50 µm). </w:t>
      </w:r>
    </w:p>
    <w:p w14:paraId="221FF0A8" w14:textId="454E9CA0"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 xml:space="preserve">On some regions of the corrosion specimen, we have observed small capillary </w:t>
      </w:r>
      <w:proofErr w:type="spellStart"/>
      <w:r w:rsidRPr="00CA4C0B">
        <w:rPr>
          <w:rStyle w:val="None"/>
          <w:rFonts w:ascii="Book Antiqua" w:hAnsi="Book Antiqua"/>
          <w:color w:val="auto"/>
          <w:sz w:val="24"/>
          <w:szCs w:val="24"/>
        </w:rPr>
        <w:t>meshworks</w:t>
      </w:r>
      <w:proofErr w:type="spellEnd"/>
      <w:r w:rsidRPr="00CA4C0B">
        <w:rPr>
          <w:rStyle w:val="None"/>
          <w:rFonts w:ascii="Book Antiqua" w:hAnsi="Book Antiqua"/>
          <w:color w:val="auto"/>
          <w:sz w:val="24"/>
          <w:szCs w:val="24"/>
        </w:rPr>
        <w:t>, connected to the sinusoidal casts – a so-called "periportal mes</w:t>
      </w:r>
      <w:r w:rsidRPr="00CA4C0B">
        <w:rPr>
          <w:rStyle w:val="None"/>
          <w:rFonts w:ascii="Book Antiqua" w:hAnsi="Book Antiqua"/>
          <w:color w:val="auto"/>
          <w:sz w:val="24"/>
          <w:szCs w:val="24"/>
        </w:rPr>
        <w:t>h</w:t>
      </w:r>
      <w:r w:rsidRPr="00CA4C0B">
        <w:rPr>
          <w:rStyle w:val="None"/>
          <w:rFonts w:ascii="Book Antiqua" w:hAnsi="Book Antiqua"/>
          <w:color w:val="auto"/>
          <w:sz w:val="24"/>
          <w:szCs w:val="24"/>
        </w:rPr>
        <w:t>work", which sometimes connects the sinusoids of the lobules, located on the o</w:t>
      </w:r>
      <w:r w:rsidRPr="00CA4C0B">
        <w:rPr>
          <w:rStyle w:val="None"/>
          <w:rFonts w:ascii="Book Antiqua" w:hAnsi="Book Antiqua"/>
          <w:color w:val="auto"/>
          <w:sz w:val="24"/>
          <w:szCs w:val="24"/>
        </w:rPr>
        <w:t>p</w:t>
      </w:r>
      <w:r w:rsidRPr="00CA4C0B">
        <w:rPr>
          <w:rStyle w:val="None"/>
          <w:rFonts w:ascii="Book Antiqua" w:hAnsi="Book Antiqua"/>
          <w:color w:val="auto"/>
          <w:sz w:val="24"/>
          <w:szCs w:val="24"/>
        </w:rPr>
        <w:t>posite sites of the portal vein branch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9E7D5E" w:rsidRPr="00CA4C0B">
        <w:rPr>
          <w:rStyle w:val="None"/>
          <w:rFonts w:ascii="Book Antiqua" w:hAnsi="Book Antiqua"/>
          <w:color w:val="auto"/>
          <w:sz w:val="24"/>
          <w:szCs w:val="24"/>
        </w:rPr>
        <w:t>3</w:t>
      </w:r>
      <w:r w:rsidRPr="00CA4C0B">
        <w:rPr>
          <w:rStyle w:val="None"/>
          <w:rFonts w:ascii="Book Antiqua" w:hAnsi="Book Antiqua"/>
          <w:color w:val="auto"/>
          <w:sz w:val="24"/>
          <w:szCs w:val="24"/>
        </w:rPr>
        <w:t xml:space="preserve">F, </w:t>
      </w:r>
      <w:r w:rsidRPr="00CA4C0B">
        <w:rPr>
          <w:rStyle w:val="None"/>
          <w:rFonts w:ascii="Book Antiqua" w:hAnsi="Book Antiqua"/>
          <w:iCs/>
          <w:color w:val="auto"/>
          <w:sz w:val="24"/>
          <w:szCs w:val="24"/>
        </w:rPr>
        <w:t>arrow</w:t>
      </w:r>
      <w:r w:rsidRPr="00CA4C0B">
        <w:rPr>
          <w:rStyle w:val="None"/>
          <w:rFonts w:ascii="Book Antiqua" w:hAnsi="Book Antiqua"/>
          <w:color w:val="auto"/>
          <w:sz w:val="24"/>
          <w:szCs w:val="24"/>
        </w:rPr>
        <w:t>).</w:t>
      </w:r>
    </w:p>
    <w:p w14:paraId="3E6014EE" w14:textId="145EA913"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 xml:space="preserve">After the 9 months from the partial </w:t>
      </w:r>
      <w:proofErr w:type="spellStart"/>
      <w:r w:rsidRPr="00CA4C0B">
        <w:rPr>
          <w:rStyle w:val="None"/>
          <w:rFonts w:ascii="Book Antiqua" w:hAnsi="Book Antiqua"/>
          <w:color w:val="auto"/>
          <w:sz w:val="24"/>
          <w:szCs w:val="24"/>
        </w:rPr>
        <w:t>hepatectomy</w:t>
      </w:r>
      <w:proofErr w:type="spellEnd"/>
      <w:r w:rsidRPr="00CA4C0B">
        <w:rPr>
          <w:rStyle w:val="None"/>
          <w:rFonts w:ascii="Book Antiqua" w:hAnsi="Book Antiqua"/>
          <w:color w:val="auto"/>
          <w:sz w:val="24"/>
          <w:szCs w:val="24"/>
        </w:rPr>
        <w:t>, the so-called "</w:t>
      </w:r>
      <w:proofErr w:type="spellStart"/>
      <w:r w:rsidRPr="00CA4C0B">
        <w:rPr>
          <w:rStyle w:val="None"/>
          <w:rFonts w:ascii="Book Antiqua" w:hAnsi="Book Antiqua"/>
          <w:color w:val="auto"/>
          <w:sz w:val="24"/>
          <w:szCs w:val="24"/>
        </w:rPr>
        <w:t>megalobules</w:t>
      </w:r>
      <w:proofErr w:type="spellEnd"/>
      <w:r w:rsidRPr="00CA4C0B">
        <w:rPr>
          <w:rStyle w:val="None"/>
          <w:rFonts w:ascii="Book Antiqua" w:hAnsi="Book Antiqua"/>
          <w:color w:val="auto"/>
          <w:sz w:val="24"/>
          <w:szCs w:val="24"/>
        </w:rPr>
        <w:t>" - formed by the merging of the adjacent lobules - are distinguished on the corr</w:t>
      </w:r>
      <w:r w:rsidRPr="00CA4C0B">
        <w:rPr>
          <w:rStyle w:val="None"/>
          <w:rFonts w:ascii="Book Antiqua" w:hAnsi="Book Antiqua"/>
          <w:color w:val="auto"/>
          <w:sz w:val="24"/>
          <w:szCs w:val="24"/>
        </w:rPr>
        <w:t>o</w:t>
      </w:r>
      <w:r w:rsidRPr="00CA4C0B">
        <w:rPr>
          <w:rStyle w:val="None"/>
          <w:rFonts w:ascii="Book Antiqua" w:hAnsi="Book Antiqua"/>
          <w:color w:val="auto"/>
          <w:sz w:val="24"/>
          <w:szCs w:val="24"/>
        </w:rPr>
        <w:t>sion casts specimen, which differs from normal architectonics of the lobules both in form and in the construction of the sinusoidal network. The size of the longest diameter of such lobules (in the case of an ellipsoidal form) or the diagonal (in the case of a cuboid shape) exceeds 1 mm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9E7D5E" w:rsidRPr="00CA4C0B">
        <w:rPr>
          <w:rStyle w:val="None"/>
          <w:rFonts w:ascii="Book Antiqua" w:hAnsi="Book Antiqua"/>
          <w:color w:val="auto"/>
          <w:sz w:val="24"/>
          <w:szCs w:val="24"/>
        </w:rPr>
        <w:t>4</w:t>
      </w:r>
      <w:r w:rsidRPr="00CA4C0B">
        <w:rPr>
          <w:rStyle w:val="None"/>
          <w:rFonts w:ascii="Book Antiqua" w:hAnsi="Book Antiqua"/>
          <w:color w:val="auto"/>
          <w:sz w:val="24"/>
          <w:szCs w:val="24"/>
        </w:rPr>
        <w:t>E</w:t>
      </w:r>
      <w:r w:rsidR="00BA4FC3" w:rsidRPr="00CA4C0B">
        <w:rPr>
          <w:rStyle w:val="None"/>
          <w:rFonts w:ascii="Book Antiqua" w:hAnsi="Book Antiqua"/>
          <w:color w:val="auto"/>
          <w:sz w:val="24"/>
          <w:szCs w:val="24"/>
        </w:rPr>
        <w:t xml:space="preserve"> and </w:t>
      </w:r>
      <w:r w:rsidRPr="00CA4C0B">
        <w:rPr>
          <w:rStyle w:val="None"/>
          <w:rFonts w:ascii="Book Antiqua" w:hAnsi="Book Antiqua"/>
          <w:color w:val="auto"/>
          <w:sz w:val="24"/>
          <w:szCs w:val="24"/>
        </w:rPr>
        <w:t>F). Sometimes it b</w:t>
      </w:r>
      <w:r w:rsidRPr="00CA4C0B">
        <w:rPr>
          <w:rStyle w:val="None"/>
          <w:rFonts w:ascii="Book Antiqua" w:hAnsi="Book Antiqua"/>
          <w:color w:val="auto"/>
          <w:sz w:val="24"/>
          <w:szCs w:val="24"/>
        </w:rPr>
        <w:t>e</w:t>
      </w:r>
      <w:r w:rsidRPr="00CA4C0B">
        <w:rPr>
          <w:rStyle w:val="None"/>
          <w:rFonts w:ascii="Book Antiqua" w:hAnsi="Book Antiqua"/>
          <w:color w:val="auto"/>
          <w:sz w:val="24"/>
          <w:szCs w:val="24"/>
        </w:rPr>
        <w:t>comes possible to identify the small constructions (200</w:t>
      </w:r>
      <w:r w:rsidR="00BA4FC3" w:rsidRPr="00CA4C0B">
        <w:rPr>
          <w:rStyle w:val="None"/>
          <w:rFonts w:ascii="Book Antiqua" w:hAnsi="Book Antiqua"/>
          <w:color w:val="auto"/>
          <w:sz w:val="24"/>
          <w:szCs w:val="24"/>
        </w:rPr>
        <w:t>-</w:t>
      </w:r>
      <w:r w:rsidRPr="00CA4C0B">
        <w:rPr>
          <w:rStyle w:val="None"/>
          <w:rFonts w:ascii="Book Antiqua" w:hAnsi="Book Antiqua"/>
          <w:color w:val="auto"/>
          <w:sz w:val="24"/>
          <w:szCs w:val="24"/>
        </w:rPr>
        <w:t xml:space="preserve">400 µm in diameter), forming the </w:t>
      </w:r>
      <w:proofErr w:type="spellStart"/>
      <w:r w:rsidRPr="00CA4C0B">
        <w:rPr>
          <w:rStyle w:val="None"/>
          <w:rFonts w:ascii="Book Antiqua" w:hAnsi="Book Antiqua"/>
          <w:color w:val="auto"/>
          <w:sz w:val="24"/>
          <w:szCs w:val="24"/>
        </w:rPr>
        <w:t>megalobule</w:t>
      </w:r>
      <w:proofErr w:type="spellEnd"/>
      <w:r w:rsidRPr="00CA4C0B">
        <w:rPr>
          <w:rStyle w:val="None"/>
          <w:rFonts w:ascii="Book Antiqua" w:hAnsi="Book Antiqua"/>
          <w:color w:val="auto"/>
          <w:sz w:val="24"/>
          <w:szCs w:val="24"/>
        </w:rPr>
        <w:t>, though sometimes it is not possible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9E7D5E" w:rsidRPr="00CA4C0B">
        <w:rPr>
          <w:rStyle w:val="None"/>
          <w:rFonts w:ascii="Book Antiqua" w:hAnsi="Book Antiqua"/>
          <w:color w:val="auto"/>
          <w:sz w:val="24"/>
          <w:szCs w:val="24"/>
        </w:rPr>
        <w:t>5</w:t>
      </w:r>
      <w:r w:rsidRPr="00CA4C0B">
        <w:rPr>
          <w:rStyle w:val="None"/>
          <w:rFonts w:ascii="Book Antiqua" w:hAnsi="Book Antiqua"/>
          <w:color w:val="auto"/>
          <w:sz w:val="24"/>
          <w:szCs w:val="24"/>
        </w:rPr>
        <w:t>E</w:t>
      </w:r>
      <w:r w:rsidR="00BA4FC3" w:rsidRPr="00CA4C0B">
        <w:rPr>
          <w:rStyle w:val="None"/>
          <w:rFonts w:ascii="Book Antiqua" w:hAnsi="Book Antiqua"/>
          <w:color w:val="auto"/>
          <w:sz w:val="24"/>
          <w:szCs w:val="24"/>
        </w:rPr>
        <w:t>-</w:t>
      </w:r>
      <w:r w:rsidRPr="00CA4C0B">
        <w:rPr>
          <w:rStyle w:val="None"/>
          <w:rFonts w:ascii="Book Antiqua" w:hAnsi="Book Antiqua"/>
          <w:color w:val="auto"/>
          <w:sz w:val="24"/>
          <w:szCs w:val="24"/>
        </w:rPr>
        <w:t>J).</w:t>
      </w:r>
    </w:p>
    <w:p w14:paraId="070FB546" w14:textId="356E21CA"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The diameter of sinusoidal casts of the regenerated liver lobules often exceeds the diameter of sinusoidal casts in the control group.</w:t>
      </w:r>
      <w:r w:rsidR="00F7733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xml:space="preserve">The sinusoidal casts, similar to the casts in the control group, create two types of meshwork – with parallel, rarely interconnected fragments and twisted, often "anastomosing" fragments. However, the topography of the </w:t>
      </w:r>
      <w:proofErr w:type="spellStart"/>
      <w:r w:rsidRPr="00CA4C0B">
        <w:rPr>
          <w:rStyle w:val="None"/>
          <w:rFonts w:ascii="Book Antiqua" w:hAnsi="Book Antiqua"/>
          <w:color w:val="auto"/>
          <w:sz w:val="24"/>
          <w:szCs w:val="24"/>
        </w:rPr>
        <w:t>meshworks</w:t>
      </w:r>
      <w:proofErr w:type="spellEnd"/>
      <w:r w:rsidRPr="00CA4C0B">
        <w:rPr>
          <w:rStyle w:val="None"/>
          <w:rFonts w:ascii="Book Antiqua" w:hAnsi="Book Antiqua"/>
          <w:color w:val="auto"/>
          <w:sz w:val="24"/>
          <w:szCs w:val="24"/>
        </w:rPr>
        <w:t xml:space="preserve"> of these two types is not featured with the same topography as it was described in normal liver (parallel casts - p</w:t>
      </w:r>
      <w:r w:rsidRPr="00CA4C0B">
        <w:rPr>
          <w:rStyle w:val="None"/>
          <w:rFonts w:ascii="Book Antiqua" w:hAnsi="Book Antiqua"/>
          <w:color w:val="auto"/>
          <w:sz w:val="24"/>
          <w:szCs w:val="24"/>
        </w:rPr>
        <w:t>e</w:t>
      </w:r>
      <w:r w:rsidRPr="00CA4C0B">
        <w:rPr>
          <w:rStyle w:val="None"/>
          <w:rFonts w:ascii="Book Antiqua" w:hAnsi="Book Antiqua"/>
          <w:color w:val="auto"/>
          <w:sz w:val="24"/>
          <w:szCs w:val="24"/>
        </w:rPr>
        <w:t xml:space="preserve">ricentrally and twisted casts - periportally). For example, in the regenerated liver, </w:t>
      </w:r>
      <w:r w:rsidRPr="00CA4C0B">
        <w:rPr>
          <w:rStyle w:val="None"/>
          <w:rFonts w:ascii="Book Antiqua" w:hAnsi="Book Antiqua"/>
          <w:color w:val="auto"/>
          <w:sz w:val="24"/>
          <w:szCs w:val="24"/>
        </w:rPr>
        <w:lastRenderedPageBreak/>
        <w:t>both types of casts meshwork might be observed near the central vein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9E7D5E" w:rsidRPr="00CA4C0B">
        <w:rPr>
          <w:rStyle w:val="None"/>
          <w:rFonts w:ascii="Book Antiqua" w:hAnsi="Book Antiqua"/>
          <w:color w:val="auto"/>
          <w:sz w:val="24"/>
          <w:szCs w:val="24"/>
        </w:rPr>
        <w:t>4</w:t>
      </w:r>
      <w:r w:rsidRPr="00CA4C0B">
        <w:rPr>
          <w:rStyle w:val="None"/>
          <w:rFonts w:ascii="Book Antiqua" w:hAnsi="Book Antiqua"/>
          <w:color w:val="auto"/>
          <w:sz w:val="24"/>
          <w:szCs w:val="24"/>
        </w:rPr>
        <w:t>G</w:t>
      </w:r>
      <w:r w:rsidR="00BA4FC3" w:rsidRPr="00CA4C0B">
        <w:rPr>
          <w:rStyle w:val="None"/>
          <w:rFonts w:ascii="Book Antiqua" w:hAnsi="Book Antiqua"/>
          <w:color w:val="auto"/>
          <w:sz w:val="24"/>
          <w:szCs w:val="24"/>
        </w:rPr>
        <w:t xml:space="preserve"> and </w:t>
      </w:r>
      <w:r w:rsidRPr="00CA4C0B">
        <w:rPr>
          <w:rStyle w:val="None"/>
          <w:rFonts w:ascii="Book Antiqua" w:hAnsi="Book Antiqua"/>
          <w:color w:val="auto"/>
          <w:sz w:val="24"/>
          <w:szCs w:val="24"/>
        </w:rPr>
        <w:t>I). Sinusoidal casts, in addition to loops with an inner diameter of 30-50 µm (which are commonly found normally as well), often form loops with an inner diameter of 2-4 µm. Sometimes these small loops are created not only by more or less even division and repeated merging of the whole casts but by the means of branched small wing-form outgrowths of the casts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13682F" w:rsidRPr="00CA4C0B">
        <w:rPr>
          <w:rStyle w:val="None"/>
          <w:rFonts w:ascii="Book Antiqua" w:hAnsi="Book Antiqua"/>
          <w:color w:val="auto"/>
          <w:sz w:val="24"/>
          <w:szCs w:val="24"/>
        </w:rPr>
        <w:t>4</w:t>
      </w:r>
      <w:r w:rsidRPr="00CA4C0B">
        <w:rPr>
          <w:rStyle w:val="None"/>
          <w:rFonts w:ascii="Book Antiqua" w:hAnsi="Book Antiqua"/>
          <w:color w:val="auto"/>
          <w:sz w:val="24"/>
          <w:szCs w:val="24"/>
        </w:rPr>
        <w:t>I) as well.</w:t>
      </w:r>
      <w:r w:rsidR="00F7733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xml:space="preserve">A large scale imaging of the sinusoidal casts shows that except for the imprints of the endotheliocytes and/or their nuclear-containing zones (which are also found </w:t>
      </w:r>
      <w:r w:rsidR="00090C59" w:rsidRPr="00CA4C0B">
        <w:rPr>
          <w:rStyle w:val="None"/>
          <w:rFonts w:ascii="Book Antiqua" w:hAnsi="Book Antiqua"/>
          <w:color w:val="auto"/>
          <w:sz w:val="24"/>
          <w:szCs w:val="24"/>
        </w:rPr>
        <w:t xml:space="preserve">in the control group samples), </w:t>
      </w:r>
      <w:r w:rsidRPr="00CA4C0B">
        <w:rPr>
          <w:rStyle w:val="None"/>
          <w:rFonts w:ascii="Book Antiqua" w:hAnsi="Book Antiqua"/>
          <w:color w:val="auto"/>
          <w:sz w:val="24"/>
          <w:szCs w:val="24"/>
        </w:rPr>
        <w:t>in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xml:space="preserve"> the villous outgrowths are observed on the casts. The presence of such villi gives the sinusoidal casts a “scratchy” look (</w:t>
      </w:r>
      <w:r w:rsidR="007D3282" w:rsidRPr="00CA4C0B">
        <w:rPr>
          <w:rStyle w:val="None"/>
          <w:rFonts w:ascii="Book Antiqua" w:hAnsi="Book Antiqua"/>
          <w:color w:val="auto"/>
          <w:sz w:val="24"/>
          <w:szCs w:val="24"/>
        </w:rPr>
        <w:t>Fi</w:t>
      </w:r>
      <w:r w:rsidR="007D3282" w:rsidRPr="00CA4C0B">
        <w:rPr>
          <w:rStyle w:val="None"/>
          <w:rFonts w:ascii="Book Antiqua" w:hAnsi="Book Antiqua"/>
          <w:color w:val="auto"/>
          <w:sz w:val="24"/>
          <w:szCs w:val="24"/>
        </w:rPr>
        <w:t>g</w:t>
      </w:r>
      <w:r w:rsidR="007D3282" w:rsidRPr="00CA4C0B">
        <w:rPr>
          <w:rStyle w:val="None"/>
          <w:rFonts w:ascii="Book Antiqua" w:hAnsi="Book Antiqua"/>
          <w:color w:val="auto"/>
          <w:sz w:val="24"/>
          <w:szCs w:val="24"/>
        </w:rPr>
        <w:t>ure</w:t>
      </w:r>
      <w:r w:rsidRPr="00CA4C0B">
        <w:rPr>
          <w:rStyle w:val="None"/>
          <w:rFonts w:ascii="Book Antiqua" w:hAnsi="Book Antiqua"/>
          <w:color w:val="auto"/>
          <w:sz w:val="24"/>
          <w:szCs w:val="24"/>
        </w:rPr>
        <w:t xml:space="preserve"> </w:t>
      </w:r>
      <w:r w:rsidR="00F7733D" w:rsidRPr="00CA4C0B">
        <w:rPr>
          <w:rStyle w:val="None"/>
          <w:rFonts w:ascii="Book Antiqua" w:hAnsi="Book Antiqua"/>
          <w:color w:val="auto"/>
          <w:sz w:val="24"/>
          <w:szCs w:val="24"/>
        </w:rPr>
        <w:t>4</w:t>
      </w:r>
      <w:r w:rsidRPr="00CA4C0B">
        <w:rPr>
          <w:rStyle w:val="None"/>
          <w:rFonts w:ascii="Book Antiqua" w:hAnsi="Book Antiqua"/>
          <w:color w:val="auto"/>
          <w:sz w:val="24"/>
          <w:szCs w:val="24"/>
        </w:rPr>
        <w:t>H).</w:t>
      </w:r>
      <w:r w:rsidR="00F7733D" w:rsidRPr="00CA4C0B">
        <w:rPr>
          <w:rStyle w:val="None"/>
          <w:rFonts w:ascii="Book Antiqua" w:hAnsi="Book Antiqua"/>
          <w:color w:val="auto"/>
          <w:sz w:val="24"/>
          <w:szCs w:val="24"/>
        </w:rPr>
        <w:t xml:space="preserve"> </w:t>
      </w:r>
    </w:p>
    <w:p w14:paraId="00A9E47F" w14:textId="14942B1F" w:rsidR="004313EE" w:rsidRPr="00CA4C0B" w:rsidRDefault="00CE6644" w:rsidP="00D61634">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color w:val="auto"/>
        </w:rPr>
        <w:t>SEM of the corrosion casts of the re-regenerated liver (SG</w:t>
      </w:r>
      <w:r w:rsidRPr="00CA4C0B">
        <w:rPr>
          <w:rStyle w:val="None"/>
          <w:rFonts w:ascii="Book Antiqua" w:hAnsi="Book Antiqua"/>
          <w:color w:val="auto"/>
          <w:sz w:val="24"/>
          <w:szCs w:val="24"/>
          <w:vertAlign w:val="subscript"/>
        </w:rPr>
        <w:t>2</w:t>
      </w:r>
      <w:r w:rsidRPr="00CA4C0B">
        <w:rPr>
          <w:rStyle w:val="Hyperlink2"/>
          <w:rFonts w:ascii="Book Antiqua" w:eastAsia="Arial Unicode MS" w:hAnsi="Book Antiqua"/>
          <w:color w:val="auto"/>
        </w:rPr>
        <w:t>) indicates that the number and size of mega-lobules are increased (often exceeding 1 mm) (</w:t>
      </w:r>
      <w:r w:rsidR="007D3282" w:rsidRPr="00CA4C0B">
        <w:rPr>
          <w:rStyle w:val="Hyperlink2"/>
          <w:rFonts w:ascii="Book Antiqua" w:eastAsia="Arial Unicode MS" w:hAnsi="Book Antiqua"/>
          <w:color w:val="auto"/>
        </w:rPr>
        <w:t>Figure</w:t>
      </w:r>
      <w:r w:rsidRPr="00CA4C0B">
        <w:rPr>
          <w:rStyle w:val="Hyperlink2"/>
          <w:rFonts w:ascii="Book Antiqua" w:eastAsia="Arial Unicode MS" w:hAnsi="Book Antiqua"/>
          <w:color w:val="auto"/>
        </w:rPr>
        <w:t xml:space="preserve"> </w:t>
      </w:r>
      <w:r w:rsidR="009E7D5E" w:rsidRPr="00CA4C0B">
        <w:rPr>
          <w:rStyle w:val="Hyperlink2"/>
          <w:rFonts w:ascii="Book Antiqua" w:eastAsia="Arial Unicode MS" w:hAnsi="Book Antiqua"/>
          <w:color w:val="auto"/>
        </w:rPr>
        <w:t>5</w:t>
      </w:r>
      <w:r w:rsidRPr="00CA4C0B">
        <w:rPr>
          <w:rStyle w:val="Hyperlink2"/>
          <w:rFonts w:ascii="Book Antiqua" w:eastAsia="Arial Unicode MS" w:hAnsi="Book Antiqua"/>
          <w:color w:val="auto"/>
        </w:rPr>
        <w:t>E). The architectonics of these mega-lobules is quite different from the archite</w:t>
      </w:r>
      <w:r w:rsidRPr="00CA4C0B">
        <w:rPr>
          <w:rStyle w:val="Hyperlink2"/>
          <w:rFonts w:ascii="Book Antiqua" w:eastAsia="Arial Unicode MS" w:hAnsi="Book Antiqua"/>
          <w:color w:val="auto"/>
        </w:rPr>
        <w:t>c</w:t>
      </w:r>
      <w:r w:rsidRPr="00CA4C0B">
        <w:rPr>
          <w:rStyle w:val="Hyperlink2"/>
          <w:rFonts w:ascii="Book Antiqua" w:eastAsia="Arial Unicode MS" w:hAnsi="Book Antiqua"/>
          <w:color w:val="auto"/>
        </w:rPr>
        <w:t xml:space="preserve">tonics of the lobules from CG. At the same time, it is difficult to identify the boundaries between the smaller structures constituting mega-lobules while the boundaries between adjacent </w:t>
      </w:r>
      <w:proofErr w:type="spellStart"/>
      <w:r w:rsidRPr="00CA4C0B">
        <w:rPr>
          <w:rStyle w:val="Hyperlink2"/>
          <w:rFonts w:ascii="Book Antiqua" w:eastAsia="Arial Unicode MS" w:hAnsi="Book Antiqua"/>
          <w:color w:val="auto"/>
        </w:rPr>
        <w:t>megalobules</w:t>
      </w:r>
      <w:proofErr w:type="spellEnd"/>
      <w:r w:rsidRPr="00CA4C0B">
        <w:rPr>
          <w:rStyle w:val="Hyperlink2"/>
          <w:rFonts w:ascii="Book Antiqua" w:eastAsia="Arial Unicode MS" w:hAnsi="Book Antiqua"/>
          <w:color w:val="auto"/>
        </w:rPr>
        <w:t xml:space="preserve"> are vividly expressed. The diameters of the sinusoids and the associated blood vessels are greater than those of the corresponding blood vessels in the livers of CG and SG</w:t>
      </w:r>
      <w:r w:rsidRPr="00CA4C0B">
        <w:rPr>
          <w:rStyle w:val="None"/>
          <w:rFonts w:ascii="Book Antiqua" w:hAnsi="Book Antiqua"/>
          <w:color w:val="auto"/>
          <w:sz w:val="24"/>
          <w:szCs w:val="24"/>
          <w:vertAlign w:val="subscript"/>
        </w:rPr>
        <w:t xml:space="preserve">1 </w:t>
      </w:r>
      <w:r w:rsidRPr="00CA4C0B">
        <w:rPr>
          <w:rStyle w:val="None"/>
          <w:rFonts w:ascii="Book Antiqua" w:hAnsi="Book Antiqua"/>
          <w:color w:val="auto"/>
          <w:sz w:val="24"/>
          <w:szCs w:val="24"/>
          <w:lang w:val="pt-PT"/>
        </w:rPr>
        <w:t>(</w:t>
      </w:r>
      <w:r w:rsidR="007D3282" w:rsidRPr="00CA4C0B">
        <w:rPr>
          <w:rStyle w:val="None"/>
          <w:rFonts w:ascii="Book Antiqua" w:hAnsi="Book Antiqua"/>
          <w:color w:val="auto"/>
          <w:sz w:val="24"/>
          <w:szCs w:val="24"/>
          <w:lang w:val="pt-PT"/>
        </w:rPr>
        <w:t>Figure</w:t>
      </w:r>
      <w:r w:rsidRPr="00CA4C0B">
        <w:rPr>
          <w:rStyle w:val="None"/>
          <w:rFonts w:ascii="Book Antiqua" w:hAnsi="Book Antiqua"/>
          <w:color w:val="auto"/>
          <w:sz w:val="24"/>
          <w:szCs w:val="24"/>
          <w:lang w:val="pt-PT"/>
        </w:rPr>
        <w:t xml:space="preserve"> </w:t>
      </w:r>
      <w:r w:rsidR="009E7D5E" w:rsidRPr="00CA4C0B">
        <w:rPr>
          <w:rStyle w:val="None"/>
          <w:rFonts w:ascii="Book Antiqua" w:hAnsi="Book Antiqua"/>
          <w:color w:val="auto"/>
          <w:sz w:val="24"/>
          <w:szCs w:val="24"/>
          <w:lang w:val="pt-PT"/>
        </w:rPr>
        <w:t>5</w:t>
      </w:r>
      <w:r w:rsidRPr="00CA4C0B">
        <w:rPr>
          <w:rStyle w:val="None"/>
          <w:rFonts w:ascii="Book Antiqua" w:hAnsi="Book Antiqua"/>
          <w:color w:val="auto"/>
          <w:sz w:val="24"/>
          <w:szCs w:val="24"/>
          <w:lang w:val="pt-PT"/>
        </w:rPr>
        <w:t>F</w:t>
      </w:r>
      <w:r w:rsidR="0013682F" w:rsidRPr="00CA4C0B">
        <w:rPr>
          <w:rStyle w:val="None"/>
          <w:rFonts w:ascii="Book Antiqua" w:hAnsi="Book Antiqua"/>
          <w:color w:val="auto"/>
          <w:sz w:val="24"/>
          <w:szCs w:val="24"/>
          <w:lang w:val="pt-PT"/>
        </w:rPr>
        <w:t>-</w:t>
      </w:r>
      <w:r w:rsidRPr="00CA4C0B">
        <w:rPr>
          <w:rStyle w:val="None"/>
          <w:rFonts w:ascii="Book Antiqua" w:hAnsi="Book Antiqua"/>
          <w:color w:val="auto"/>
          <w:sz w:val="24"/>
          <w:szCs w:val="24"/>
          <w:lang w:val="pt-PT"/>
        </w:rPr>
        <w:t>H).</w:t>
      </w:r>
    </w:p>
    <w:p w14:paraId="10AF9A1B" w14:textId="0B620CB0"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Within the meshwork of the sinusoidal casts, there are frequently observed blind-end fragments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13682F" w:rsidRPr="00CA4C0B">
        <w:rPr>
          <w:rStyle w:val="None"/>
          <w:rFonts w:ascii="Book Antiqua" w:hAnsi="Book Antiqua"/>
          <w:color w:val="auto"/>
          <w:sz w:val="24"/>
          <w:szCs w:val="24"/>
        </w:rPr>
        <w:t>5</w:t>
      </w:r>
      <w:r w:rsidRPr="00CA4C0B">
        <w:rPr>
          <w:rStyle w:val="None"/>
          <w:rFonts w:ascii="Book Antiqua" w:hAnsi="Book Antiqua"/>
          <w:color w:val="auto"/>
          <w:sz w:val="24"/>
          <w:szCs w:val="24"/>
        </w:rPr>
        <w:t>H). At the same time, there are found the local dil</w:t>
      </w:r>
      <w:r w:rsidRPr="00CA4C0B">
        <w:rPr>
          <w:rStyle w:val="None"/>
          <w:rFonts w:ascii="Book Antiqua" w:hAnsi="Book Antiqua"/>
          <w:color w:val="auto"/>
          <w:sz w:val="24"/>
          <w:szCs w:val="24"/>
        </w:rPr>
        <w:t>a</w:t>
      </w:r>
      <w:r w:rsidRPr="00CA4C0B">
        <w:rPr>
          <w:rStyle w:val="None"/>
          <w:rFonts w:ascii="Book Antiqua" w:hAnsi="Book Antiqua"/>
          <w:color w:val="auto"/>
          <w:sz w:val="24"/>
          <w:szCs w:val="24"/>
        </w:rPr>
        <w:t>tions created by merging 3-4 sinusoids (similar to those which were observed e</w:t>
      </w:r>
      <w:r w:rsidRPr="00CA4C0B">
        <w:rPr>
          <w:rStyle w:val="None"/>
          <w:rFonts w:ascii="Book Antiqua" w:hAnsi="Book Antiqua"/>
          <w:color w:val="auto"/>
          <w:sz w:val="24"/>
          <w:szCs w:val="24"/>
        </w:rPr>
        <w:t>i</w:t>
      </w:r>
      <w:r w:rsidRPr="00CA4C0B">
        <w:rPr>
          <w:rStyle w:val="None"/>
          <w:rFonts w:ascii="Book Antiqua" w:hAnsi="Book Antiqua"/>
          <w:color w:val="auto"/>
          <w:sz w:val="24"/>
          <w:szCs w:val="24"/>
        </w:rPr>
        <w:t>ther in CG or in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13682F" w:rsidRPr="00CA4C0B">
        <w:rPr>
          <w:rStyle w:val="None"/>
          <w:rFonts w:ascii="Book Antiqua" w:hAnsi="Book Antiqua"/>
          <w:color w:val="auto"/>
          <w:sz w:val="24"/>
          <w:szCs w:val="24"/>
        </w:rPr>
        <w:t>5</w:t>
      </w:r>
      <w:r w:rsidRPr="00CA4C0B">
        <w:rPr>
          <w:rStyle w:val="None"/>
          <w:rFonts w:ascii="Book Antiqua" w:hAnsi="Book Antiqua"/>
          <w:color w:val="auto"/>
          <w:sz w:val="24"/>
          <w:szCs w:val="24"/>
        </w:rPr>
        <w:t>G</w:t>
      </w:r>
      <w:r w:rsidR="0013682F" w:rsidRPr="00CA4C0B">
        <w:rPr>
          <w:rStyle w:val="None"/>
          <w:rFonts w:ascii="Book Antiqua" w:hAnsi="Book Antiqua"/>
          <w:color w:val="auto"/>
          <w:sz w:val="24"/>
          <w:szCs w:val="24"/>
        </w:rPr>
        <w:t>-</w:t>
      </w:r>
      <w:r w:rsidRPr="00CA4C0B">
        <w:rPr>
          <w:rStyle w:val="None"/>
          <w:rFonts w:ascii="Book Antiqua" w:hAnsi="Book Antiqua"/>
          <w:color w:val="auto"/>
          <w:sz w:val="24"/>
          <w:szCs w:val="24"/>
        </w:rPr>
        <w:t>I). The sinusoidal casts form loops of different inner diameters (5</w:t>
      </w:r>
      <w:r w:rsidR="0013682F" w:rsidRPr="00CA4C0B">
        <w:rPr>
          <w:rStyle w:val="None"/>
          <w:rFonts w:ascii="Book Antiqua" w:hAnsi="Book Antiqua"/>
          <w:color w:val="auto"/>
          <w:sz w:val="24"/>
          <w:szCs w:val="24"/>
        </w:rPr>
        <w:t>-</w:t>
      </w:r>
      <w:r w:rsidRPr="00CA4C0B">
        <w:rPr>
          <w:rStyle w:val="None"/>
          <w:rFonts w:ascii="Book Antiqua" w:hAnsi="Book Antiqua"/>
          <w:color w:val="auto"/>
          <w:sz w:val="24"/>
          <w:szCs w:val="24"/>
        </w:rPr>
        <w:t>30 µm). On part of the casts, there are imprints of the adjacent cells and/or their nuclear-containing zones. The villous outgrowths, like those observed on the sinusoidal casts of the regenerated liver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were found on the part of the sinusoidal casts, however, the size and frequency of these outgrowths in the re-regenerated liver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is much higher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13682F" w:rsidRPr="00CA4C0B">
        <w:rPr>
          <w:rStyle w:val="None"/>
          <w:rFonts w:ascii="Book Antiqua" w:hAnsi="Book Antiqua"/>
          <w:color w:val="auto"/>
          <w:sz w:val="24"/>
          <w:szCs w:val="24"/>
        </w:rPr>
        <w:t>5</w:t>
      </w:r>
      <w:r w:rsidRPr="00CA4C0B">
        <w:rPr>
          <w:rStyle w:val="None"/>
          <w:rFonts w:ascii="Book Antiqua" w:hAnsi="Book Antiqua"/>
          <w:color w:val="auto"/>
          <w:sz w:val="24"/>
          <w:szCs w:val="24"/>
        </w:rPr>
        <w:t>I).</w:t>
      </w:r>
    </w:p>
    <w:p w14:paraId="4560B8CF" w14:textId="77777777" w:rsidR="00851989" w:rsidRPr="00CA4C0B" w:rsidRDefault="00851989" w:rsidP="007F2CA0">
      <w:pPr>
        <w:pStyle w:val="BodyA"/>
        <w:snapToGrid w:val="0"/>
        <w:spacing w:after="0" w:line="360" w:lineRule="auto"/>
        <w:jc w:val="both"/>
        <w:rPr>
          <w:rStyle w:val="None"/>
          <w:rFonts w:ascii="Book Antiqua" w:eastAsia="Times New Roman" w:hAnsi="Book Antiqua" w:cs="Times New Roman"/>
          <w:b/>
          <w:bCs/>
          <w:color w:val="auto"/>
          <w:sz w:val="24"/>
          <w:szCs w:val="24"/>
        </w:rPr>
      </w:pPr>
    </w:p>
    <w:p w14:paraId="12582C57" w14:textId="77777777" w:rsidR="004313EE" w:rsidRPr="00CA4C0B" w:rsidRDefault="00CE6644" w:rsidP="007F2CA0">
      <w:pPr>
        <w:pStyle w:val="BodyA"/>
        <w:snapToGrid w:val="0"/>
        <w:spacing w:after="0" w:line="360" w:lineRule="auto"/>
        <w:jc w:val="both"/>
        <w:rPr>
          <w:rStyle w:val="None"/>
          <w:rFonts w:ascii="Book Antiqua" w:eastAsia="Times New Roman" w:hAnsi="Book Antiqua" w:cs="Times New Roman"/>
          <w:b/>
          <w:bCs/>
          <w:caps/>
          <w:color w:val="auto"/>
          <w:sz w:val="24"/>
          <w:szCs w:val="24"/>
          <w:u w:val="single"/>
        </w:rPr>
      </w:pPr>
      <w:r w:rsidRPr="00CA4C0B">
        <w:rPr>
          <w:rStyle w:val="None"/>
          <w:rFonts w:ascii="Book Antiqua" w:hAnsi="Book Antiqua"/>
          <w:b/>
          <w:bCs/>
          <w:caps/>
          <w:color w:val="auto"/>
          <w:sz w:val="24"/>
          <w:szCs w:val="24"/>
          <w:u w:val="single"/>
        </w:rPr>
        <w:lastRenderedPageBreak/>
        <w:t>Discussion</w:t>
      </w:r>
    </w:p>
    <w:p w14:paraId="5BA9CA3D" w14:textId="428498FD" w:rsidR="004313EE" w:rsidRPr="00CA4C0B" w:rsidRDefault="00CE6644" w:rsidP="007F2CA0">
      <w:pPr>
        <w:pStyle w:val="a5"/>
        <w:snapToGrid w:val="0"/>
        <w:spacing w:after="0" w:line="360" w:lineRule="auto"/>
        <w:ind w:left="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As we have mentioned above, the mechanisms of liver regeneration after PH are extensively studied but less attention is paid to the architectonics of the regene</w:t>
      </w:r>
      <w:r w:rsidRPr="00CA4C0B">
        <w:rPr>
          <w:rStyle w:val="None"/>
          <w:rFonts w:ascii="Book Antiqua" w:hAnsi="Book Antiqua"/>
          <w:color w:val="auto"/>
          <w:sz w:val="24"/>
          <w:szCs w:val="24"/>
        </w:rPr>
        <w:t>r</w:t>
      </w:r>
      <w:r w:rsidRPr="00CA4C0B">
        <w:rPr>
          <w:rStyle w:val="None"/>
          <w:rFonts w:ascii="Book Antiqua" w:hAnsi="Book Antiqua"/>
          <w:color w:val="auto"/>
          <w:sz w:val="24"/>
          <w:szCs w:val="24"/>
        </w:rPr>
        <w:t>ated organ/tissue. Because of this, the question “How does the structure of r</w:t>
      </w:r>
      <w:r w:rsidRPr="00CA4C0B">
        <w:rPr>
          <w:rStyle w:val="None"/>
          <w:rFonts w:ascii="Book Antiqua" w:hAnsi="Book Antiqua"/>
          <w:color w:val="auto"/>
          <w:sz w:val="24"/>
          <w:szCs w:val="24"/>
        </w:rPr>
        <w:t>e</w:t>
      </w:r>
      <w:r w:rsidRPr="00CA4C0B">
        <w:rPr>
          <w:rStyle w:val="None"/>
          <w:rFonts w:ascii="Book Antiqua" w:hAnsi="Book Antiqua"/>
          <w:color w:val="auto"/>
          <w:sz w:val="24"/>
          <w:szCs w:val="24"/>
        </w:rPr>
        <w:t>generated liver differ from normal, regular liver?</w:t>
      </w:r>
      <w:r w:rsidR="00DB6353" w:rsidRPr="00CA4C0B">
        <w:rPr>
          <w:rStyle w:val="None"/>
          <w:rFonts w:ascii="Book Antiqua" w:hAnsi="Book Antiqua"/>
          <w:color w:val="auto"/>
          <w:sz w:val="24"/>
          <w:szCs w:val="24"/>
        </w:rPr>
        <w:t>”</w:t>
      </w:r>
      <w:r w:rsidRPr="00CA4C0B">
        <w:rPr>
          <w:rStyle w:val="None"/>
          <w:rFonts w:ascii="Book Antiqua" w:hAnsi="Book Antiqua"/>
          <w:color w:val="auto"/>
          <w:sz w:val="24"/>
          <w:szCs w:val="24"/>
        </w:rPr>
        <w:t xml:space="preserve"> has not been fully answered yet. Furthermore, almost </w:t>
      </w:r>
      <w:r w:rsidR="001122A0" w:rsidRPr="00CA4C0B">
        <w:rPr>
          <w:rStyle w:val="None"/>
          <w:rFonts w:ascii="Book Antiqua" w:hAnsi="Book Antiqua"/>
          <w:color w:val="auto"/>
          <w:sz w:val="24"/>
          <w:szCs w:val="24"/>
        </w:rPr>
        <w:t>no attention has been paid</w:t>
      </w:r>
      <w:r w:rsidRPr="00CA4C0B">
        <w:rPr>
          <w:rStyle w:val="None"/>
          <w:rFonts w:ascii="Book Antiqua" w:hAnsi="Book Antiqua"/>
          <w:color w:val="auto"/>
          <w:sz w:val="24"/>
          <w:szCs w:val="24"/>
        </w:rPr>
        <w:t xml:space="preserve"> to the liver's structural tran</w:t>
      </w:r>
      <w:r w:rsidRPr="00CA4C0B">
        <w:rPr>
          <w:rStyle w:val="None"/>
          <w:rFonts w:ascii="Book Antiqua" w:hAnsi="Book Antiqua"/>
          <w:color w:val="auto"/>
          <w:sz w:val="24"/>
          <w:szCs w:val="24"/>
        </w:rPr>
        <w:t>s</w:t>
      </w:r>
      <w:r w:rsidRPr="00CA4C0B">
        <w:rPr>
          <w:rStyle w:val="None"/>
          <w:rFonts w:ascii="Book Antiqua" w:hAnsi="Book Antiqua"/>
          <w:color w:val="auto"/>
          <w:sz w:val="24"/>
          <w:szCs w:val="24"/>
        </w:rPr>
        <w:t xml:space="preserve">formation after repeated </w:t>
      </w:r>
      <w:proofErr w:type="spellStart"/>
      <w:r w:rsidRPr="00CA4C0B">
        <w:rPr>
          <w:rStyle w:val="None"/>
          <w:rFonts w:ascii="Book Antiqua" w:hAnsi="Book Antiqua"/>
          <w:color w:val="auto"/>
          <w:sz w:val="24"/>
          <w:szCs w:val="24"/>
        </w:rPr>
        <w:t>hepatectomy</w:t>
      </w:r>
      <w:proofErr w:type="spellEnd"/>
      <w:r w:rsidRPr="00CA4C0B">
        <w:rPr>
          <w:rStyle w:val="None"/>
          <w:rFonts w:ascii="Book Antiqua" w:hAnsi="Book Antiqua"/>
          <w:color w:val="auto"/>
          <w:sz w:val="24"/>
          <w:szCs w:val="24"/>
        </w:rPr>
        <w:t xml:space="preserve"> (of the re-</w:t>
      </w:r>
      <w:proofErr w:type="spellStart"/>
      <w:r w:rsidRPr="00CA4C0B">
        <w:rPr>
          <w:rStyle w:val="None"/>
          <w:rFonts w:ascii="Book Antiqua" w:hAnsi="Book Antiqua"/>
          <w:color w:val="auto"/>
          <w:sz w:val="24"/>
          <w:szCs w:val="24"/>
        </w:rPr>
        <w:t>regenareted</w:t>
      </w:r>
      <w:proofErr w:type="spellEnd"/>
      <w:r w:rsidRPr="00CA4C0B">
        <w:rPr>
          <w:rStyle w:val="None"/>
          <w:rFonts w:ascii="Book Antiqua" w:hAnsi="Book Antiqua"/>
          <w:color w:val="auto"/>
          <w:sz w:val="24"/>
          <w:szCs w:val="24"/>
        </w:rPr>
        <w:t xml:space="preserve"> liver). Our research supports clarifying some issues of the above-mentioned statement.</w:t>
      </w:r>
      <w:r w:rsidR="00F7733D" w:rsidRPr="00CA4C0B">
        <w:rPr>
          <w:rStyle w:val="None"/>
          <w:rFonts w:ascii="Book Antiqua" w:hAnsi="Book Antiqua"/>
          <w:color w:val="auto"/>
          <w:sz w:val="24"/>
          <w:szCs w:val="24"/>
        </w:rPr>
        <w:t xml:space="preserve"> </w:t>
      </w:r>
    </w:p>
    <w:p w14:paraId="1BC06EB0" w14:textId="77777777"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The same length and varied area of the periportal (the 1</w:t>
      </w:r>
      <w:r w:rsidRPr="00CA4C0B">
        <w:rPr>
          <w:rStyle w:val="None"/>
          <w:rFonts w:ascii="Book Antiqua" w:hAnsi="Book Antiqua"/>
          <w:color w:val="auto"/>
          <w:sz w:val="24"/>
          <w:szCs w:val="24"/>
          <w:vertAlign w:val="superscript"/>
        </w:rPr>
        <w:t>st</w:t>
      </w:r>
      <w:r w:rsidRPr="00CA4C0B">
        <w:rPr>
          <w:rStyle w:val="None"/>
          <w:rFonts w:ascii="Book Antiqua" w:hAnsi="Book Antiqua"/>
          <w:color w:val="auto"/>
          <w:sz w:val="24"/>
          <w:szCs w:val="24"/>
        </w:rPr>
        <w:t xml:space="preserve"> zone of the acinus) and pericentral (the 3</w:t>
      </w:r>
      <w:r w:rsidRPr="00CA4C0B">
        <w:rPr>
          <w:rStyle w:val="None"/>
          <w:rFonts w:ascii="Book Antiqua" w:hAnsi="Book Antiqua"/>
          <w:color w:val="auto"/>
          <w:sz w:val="24"/>
          <w:szCs w:val="24"/>
          <w:vertAlign w:val="superscript"/>
        </w:rPr>
        <w:t>rd</w:t>
      </w:r>
      <w:r w:rsidRPr="00CA4C0B">
        <w:rPr>
          <w:rStyle w:val="None"/>
          <w:rFonts w:ascii="Book Antiqua" w:hAnsi="Book Antiqua"/>
          <w:color w:val="auto"/>
          <w:sz w:val="24"/>
          <w:szCs w:val="24"/>
        </w:rPr>
        <w:t xml:space="preserve"> zone of the acinus) hepatocytes in the livers of CG an</w:t>
      </w:r>
      <w:r w:rsidRPr="00CA4C0B">
        <w:rPr>
          <w:rStyle w:val="None"/>
          <w:rFonts w:ascii="Book Antiqua" w:hAnsi="Book Antiqua"/>
          <w:color w:val="auto"/>
          <w:sz w:val="24"/>
          <w:szCs w:val="24"/>
        </w:rPr>
        <w:t>i</w:t>
      </w:r>
      <w:r w:rsidRPr="00CA4C0B">
        <w:rPr>
          <w:rStyle w:val="None"/>
          <w:rFonts w:ascii="Book Antiqua" w:hAnsi="Book Antiqua"/>
          <w:color w:val="auto"/>
          <w:sz w:val="24"/>
          <w:szCs w:val="24"/>
        </w:rPr>
        <w:t>mals indicate the difference in the shape of these cell sections. Periportally loca</w:t>
      </w:r>
      <w:r w:rsidRPr="00CA4C0B">
        <w:rPr>
          <w:rStyle w:val="None"/>
          <w:rFonts w:ascii="Book Antiqua" w:hAnsi="Book Antiqua"/>
          <w:color w:val="auto"/>
          <w:sz w:val="24"/>
          <w:szCs w:val="24"/>
        </w:rPr>
        <w:t>t</w:t>
      </w:r>
      <w:r w:rsidRPr="00CA4C0B">
        <w:rPr>
          <w:rStyle w:val="None"/>
          <w:rFonts w:ascii="Book Antiqua" w:hAnsi="Book Antiqua"/>
          <w:color w:val="auto"/>
          <w:sz w:val="24"/>
          <w:szCs w:val="24"/>
        </w:rPr>
        <w:t>ed hepatocytes are often formed as polygonal configurations, drawn into the square, whereas pericentrally located hepatocytes have a more oblong shape (r</w:t>
      </w:r>
      <w:r w:rsidRPr="00CA4C0B">
        <w:rPr>
          <w:rStyle w:val="None"/>
          <w:rFonts w:ascii="Book Antiqua" w:hAnsi="Book Antiqua"/>
          <w:color w:val="auto"/>
          <w:sz w:val="24"/>
          <w:szCs w:val="24"/>
        </w:rPr>
        <w:t>e</w:t>
      </w:r>
      <w:r w:rsidRPr="00CA4C0B">
        <w:rPr>
          <w:rStyle w:val="None"/>
          <w:rFonts w:ascii="Book Antiqua" w:hAnsi="Book Antiqua"/>
          <w:color w:val="auto"/>
          <w:sz w:val="24"/>
          <w:szCs w:val="24"/>
        </w:rPr>
        <w:t>sembling polygonal figures, drawn in a rectangle). Liver regeneration is associa</w:t>
      </w:r>
      <w:r w:rsidRPr="00CA4C0B">
        <w:rPr>
          <w:rStyle w:val="None"/>
          <w:rFonts w:ascii="Book Antiqua" w:hAnsi="Book Antiqua"/>
          <w:color w:val="auto"/>
          <w:sz w:val="24"/>
          <w:szCs w:val="24"/>
        </w:rPr>
        <w:t>t</w:t>
      </w:r>
      <w:r w:rsidRPr="00CA4C0B">
        <w:rPr>
          <w:rStyle w:val="None"/>
          <w:rFonts w:ascii="Book Antiqua" w:hAnsi="Book Antiqua"/>
          <w:color w:val="auto"/>
          <w:sz w:val="24"/>
          <w:szCs w:val="24"/>
        </w:rPr>
        <w:t xml:space="preserve">ed with hypertrophy of both hepatocytes, located periportally and pericentrally. At the same time, hepatocyte sections are more uniformed. </w:t>
      </w:r>
    </w:p>
    <w:p w14:paraId="40631853" w14:textId="316E6AAD" w:rsidR="004313EE" w:rsidRPr="00CA4C0B" w:rsidRDefault="00CE6644" w:rsidP="007F2CA0">
      <w:pPr>
        <w:pStyle w:val="a4"/>
        <w:snapToGrid w:val="0"/>
        <w:spacing w:line="360" w:lineRule="auto"/>
        <w:ind w:left="0" w:right="4" w:firstLineChars="100" w:firstLine="239"/>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pacing w:val="-1"/>
          <w:sz w:val="24"/>
          <w:szCs w:val="24"/>
        </w:rPr>
        <w:t>It is confirmed that the liver almost fully restores its size and mass on the 7</w:t>
      </w:r>
      <w:r w:rsidRPr="00CA4C0B">
        <w:rPr>
          <w:rStyle w:val="None"/>
          <w:rFonts w:ascii="Book Antiqua" w:hAnsi="Book Antiqua"/>
          <w:color w:val="auto"/>
          <w:spacing w:val="-1"/>
          <w:sz w:val="24"/>
          <w:szCs w:val="24"/>
          <w:vertAlign w:val="superscript"/>
        </w:rPr>
        <w:t>th</w:t>
      </w:r>
      <w:r w:rsidR="0013682F" w:rsidRPr="00CA4C0B">
        <w:rPr>
          <w:rStyle w:val="None"/>
          <w:rFonts w:ascii="Book Antiqua" w:hAnsi="Book Antiqua"/>
          <w:color w:val="auto"/>
          <w:spacing w:val="-1"/>
          <w:sz w:val="24"/>
          <w:szCs w:val="24"/>
        </w:rPr>
        <w:t>-</w:t>
      </w:r>
      <w:r w:rsidRPr="00CA4C0B">
        <w:rPr>
          <w:rStyle w:val="None"/>
          <w:rFonts w:ascii="Book Antiqua" w:hAnsi="Book Antiqua"/>
          <w:color w:val="auto"/>
          <w:spacing w:val="-1"/>
          <w:sz w:val="24"/>
          <w:szCs w:val="24"/>
        </w:rPr>
        <w:t>8</w:t>
      </w:r>
      <w:r w:rsidRPr="00CA4C0B">
        <w:rPr>
          <w:rStyle w:val="None"/>
          <w:rFonts w:ascii="Book Antiqua" w:hAnsi="Book Antiqua"/>
          <w:color w:val="auto"/>
          <w:spacing w:val="-1"/>
          <w:sz w:val="24"/>
          <w:szCs w:val="24"/>
          <w:vertAlign w:val="superscript"/>
        </w:rPr>
        <w:t>th</w:t>
      </w:r>
      <w:r w:rsidRPr="00CA4C0B">
        <w:rPr>
          <w:rStyle w:val="None"/>
          <w:rFonts w:ascii="Book Antiqua" w:hAnsi="Book Antiqua"/>
          <w:color w:val="auto"/>
          <w:spacing w:val="-1"/>
          <w:sz w:val="24"/>
          <w:szCs w:val="24"/>
        </w:rPr>
        <w:t xml:space="preserve"> day after PH (in 2 </w:t>
      </w:r>
      <w:proofErr w:type="spellStart"/>
      <w:r w:rsidRPr="00CA4C0B">
        <w:rPr>
          <w:rStyle w:val="None"/>
          <w:rFonts w:ascii="Book Antiqua" w:hAnsi="Book Antiqua"/>
          <w:color w:val="auto"/>
          <w:spacing w:val="-1"/>
          <w:sz w:val="24"/>
          <w:szCs w:val="24"/>
        </w:rPr>
        <w:t>w</w:t>
      </w:r>
      <w:r w:rsidR="0013682F" w:rsidRPr="00CA4C0B">
        <w:rPr>
          <w:rStyle w:val="None"/>
          <w:rFonts w:ascii="Book Antiqua" w:hAnsi="Book Antiqua"/>
          <w:color w:val="auto"/>
          <w:spacing w:val="-1"/>
          <w:sz w:val="24"/>
          <w:szCs w:val="24"/>
        </w:rPr>
        <w:t>k</w:t>
      </w:r>
      <w:proofErr w:type="spellEnd"/>
      <w:r w:rsidR="00090C59" w:rsidRPr="00CA4C0B">
        <w:rPr>
          <w:rStyle w:val="None"/>
          <w:rFonts w:ascii="Book Antiqua" w:hAnsi="Book Antiqua"/>
          <w:color w:val="auto"/>
          <w:spacing w:val="-1"/>
          <w:sz w:val="24"/>
          <w:szCs w:val="24"/>
        </w:rPr>
        <w:t xml:space="preserve"> according to some authors</w:t>
      </w:r>
      <w:proofErr w:type="gramStart"/>
      <w:r w:rsidR="00090C59" w:rsidRPr="00CA4C0B">
        <w:rPr>
          <w:rStyle w:val="None"/>
          <w:rFonts w:ascii="Book Antiqua" w:hAnsi="Book Antiqua"/>
          <w:color w:val="auto"/>
          <w:spacing w:val="-1"/>
          <w:sz w:val="24"/>
          <w:szCs w:val="24"/>
        </w:rPr>
        <w:t>)</w:t>
      </w:r>
      <w:r w:rsidRPr="00CA4C0B">
        <w:rPr>
          <w:rStyle w:val="None"/>
          <w:rFonts w:ascii="Book Antiqua" w:hAnsi="Book Antiqua"/>
          <w:color w:val="auto"/>
          <w:spacing w:val="-1"/>
          <w:sz w:val="24"/>
          <w:szCs w:val="24"/>
          <w:vertAlign w:val="superscript"/>
        </w:rPr>
        <w:t>[</w:t>
      </w:r>
      <w:proofErr w:type="gramEnd"/>
      <w:r w:rsidRPr="00CA4C0B">
        <w:rPr>
          <w:rStyle w:val="None"/>
          <w:rFonts w:ascii="Book Antiqua" w:hAnsi="Book Antiqua"/>
          <w:color w:val="auto"/>
          <w:spacing w:val="-1"/>
          <w:sz w:val="24"/>
          <w:szCs w:val="24"/>
          <w:vertAlign w:val="superscript"/>
        </w:rPr>
        <w:t>13,14]</w:t>
      </w:r>
      <w:r w:rsidRPr="00CA4C0B">
        <w:rPr>
          <w:rStyle w:val="None"/>
          <w:rFonts w:ascii="Book Antiqua" w:hAnsi="Book Antiqua"/>
          <w:i/>
          <w:iCs/>
          <w:color w:val="auto"/>
          <w:spacing w:val="-1"/>
          <w:sz w:val="24"/>
          <w:szCs w:val="24"/>
        </w:rPr>
        <w:t>.</w:t>
      </w:r>
      <w:r w:rsidRPr="00CA4C0B">
        <w:rPr>
          <w:rStyle w:val="None"/>
          <w:rFonts w:ascii="Book Antiqua" w:hAnsi="Book Antiqua"/>
          <w:color w:val="auto"/>
          <w:spacing w:val="-1"/>
          <w:sz w:val="24"/>
          <w:szCs w:val="24"/>
        </w:rPr>
        <w:t xml:space="preserve"> </w:t>
      </w:r>
      <w:r w:rsidRPr="00CA4C0B">
        <w:rPr>
          <w:rStyle w:val="None"/>
          <w:rFonts w:ascii="Book Antiqua" w:hAnsi="Book Antiqua"/>
          <w:color w:val="auto"/>
          <w:sz w:val="24"/>
          <w:szCs w:val="24"/>
        </w:rPr>
        <w:t>The rapid activation of hepatocyte proliferation, observed within a few days after liver resection, is ass</w:t>
      </w:r>
      <w:r w:rsidRPr="00CA4C0B">
        <w:rPr>
          <w:rStyle w:val="None"/>
          <w:rFonts w:ascii="Book Antiqua" w:hAnsi="Book Antiqua"/>
          <w:color w:val="auto"/>
          <w:sz w:val="24"/>
          <w:szCs w:val="24"/>
        </w:rPr>
        <w:t>o</w:t>
      </w:r>
      <w:r w:rsidRPr="00CA4C0B">
        <w:rPr>
          <w:rStyle w:val="None"/>
          <w:rFonts w:ascii="Book Antiqua" w:hAnsi="Book Antiqua"/>
          <w:color w:val="auto"/>
          <w:sz w:val="24"/>
          <w:szCs w:val="24"/>
        </w:rPr>
        <w:t>ciated with a complex of mechanisms involving signaling pathways controlled by mitogenic growth factors and their receptors, as well as multiple cytokines and other signaling molecules that trigg</w:t>
      </w:r>
      <w:r w:rsidR="00090C59" w:rsidRPr="00CA4C0B">
        <w:rPr>
          <w:rStyle w:val="None"/>
          <w:rFonts w:ascii="Book Antiqua" w:hAnsi="Book Antiqua"/>
          <w:color w:val="auto"/>
          <w:sz w:val="24"/>
          <w:szCs w:val="24"/>
        </w:rPr>
        <w:t>er DNA synthesis in hepatocytes</w:t>
      </w:r>
      <w:r w:rsidR="005B59EE" w:rsidRPr="00CA4C0B">
        <w:rPr>
          <w:rStyle w:val="None"/>
          <w:rFonts w:ascii="Book Antiqua" w:hAnsi="Book Antiqua"/>
          <w:color w:val="auto"/>
          <w:sz w:val="24"/>
          <w:szCs w:val="24"/>
        </w:rPr>
        <w:fldChar w:fldCharType="begin" w:fldLock="1"/>
      </w:r>
      <w:r w:rsidR="005B59EE" w:rsidRPr="00CA4C0B">
        <w:rPr>
          <w:rStyle w:val="None"/>
          <w:rFonts w:ascii="Book Antiqua" w:hAnsi="Book Antiqua"/>
          <w:color w:val="auto"/>
          <w:sz w:val="24"/>
          <w:szCs w:val="24"/>
        </w:rPr>
        <w:instrText>ADDIN CSL_CITATION {"citationItems":[{"id":"ITEM-1","itemData":{"DOI":"10.1126/science.276.5309.60","ISSN":"00368075","abstract":"Liver regeneration after the loss of hepatic tissue is a fundamental parameter of liver response to injury. Recognized as a phenomenon from mythological times, it is now defined as an orchestrated response induced by specific external stimuli and involving sequential changes in gene expression, growth factor production, and morphologic structure. Many growth factors and cytokines, most notably hepatocyte growth factor, epidermal growth factor, transforming growth factor-α, interleukin-6, tumor necrosis factor-α, insulin, and norepinephrine, appear to play important roles in this process. This review attempts to integrate the findings of the last three decades and looks toward clues as to the nature of the causes that trigger this fascinating organ and cellular response.","author":[{"dropping-particle":"","family":"Michalopoulos","given":"George K.","non-dropping-particle":"","parse-names":false,"suffix":""},{"dropping-particle":"","family":"DeFrances","given":"Marie C.","non-dropping-particle":"","parse-names":false,"suffix":""}],"container-title":"Science","id":"ITEM-1","issued":{"date-parts":[["1997"]]},"title":"Liver regeneration","type":"article"},"uris":["http://www.mendeley.com/documents/?uuid=388214c2-31ae-4d99-8982-7e0466a6dfd3"]},{"id":"ITEM-2","itemData":{"DOI":"10.3892/mmr.2017.6613","ISSN":"1791-2997","PMID":"28534998","abstract":"Liver regeneration, an orchestrated process, is the primary compensatory mechanism following liver injury caused by various factors. The process of liver regeneration consists of three stages: Initiation, proliferation and termination. Proliferation-promoting factors, which stimulate the recovery of mitosis in quiescent hepatocytes, are essential in the initiation and proliferation steps of liver regeneration. Proliferation-promoting factors act as the 'motor' of liver regeneration, whereas proliferation inhibitors arrest cell proliferation when the remnant liver reaches a suitable size. Certain proliferation inhibitors are also expressed and activated in the first two steps of liver regeneration. Anti-proliferation factors, acting as a 'brake', control the speed of proliferation and determine the terminal point of liver regeneration. Furthermore, anti-proliferation factors function as a 'steering-wheel', ensuring that the regeneration process proceeds in the right direction by preventing proliferation in the wrong direction, as occurs in oncogenesis. Therefore, proliferation inhibitors to ensure safe and stable liver regeneration are as important as proliferation-promoting factors. Cytokines, including transforming growth factor-p and interleukin-1, and tumor suppressor genes, including p53 and p21, are important members of the proliferation inhibitor family in liver regeneration. Certain anti-proliferation factors are involved in the process of gene expression and protein modification. The suppression of liver regeneration led by metabolism, hormone activity and pathological performance have been reviewed previously. However, less is known regarding the proliferation inhibitors of liver regeneration and further investigations are required. Detailed information regarding the majority of known anti-proliferation signaling pathways also remains fragmented. The present review aimed to understand the signalling pathways that inhbit proliferation in the process of liver regeneration.","author":[{"dropping-particle":"","family":"Liu","given":"Menggang","non-dropping-particle":"","parse-names":false,"suffix":""},{"dropping-particle":"","family":"Chen","given":"Ping","non-dropping-particle":"","parse-names":false,"suffix":""}],"container-title":"Molecular Medicine Reports","id":"ITEM-2","issue":"1","issued":{"date-parts":[["2017","1","1"]]},"page":"23-35","publisher":"Spandidos Publications","title":"Proliferation-inhibiting pathways in liver regeneration","type":"article-journal","volume":"16"},"uris":["http://www.mendeley.com/documents/?uuid=fc69d1fb-c4cd-3e93-a92b-73a1d1369b93"]}],"mendeley":{"formattedCitation":"&lt;sup&gt;[32,36]&lt;/sup&gt;","plainTextFormattedCitation":"[32,36]","previouslyFormattedCitation":"&lt;sup&gt;[32,36]&lt;/sup&gt;"},"properties":{"noteIndex":0},"schema":"https://github.com/citation-style-language/schema/raw/master/csl-citation.json"}</w:instrText>
      </w:r>
      <w:r w:rsidR="005B59EE" w:rsidRPr="00CA4C0B">
        <w:rPr>
          <w:rStyle w:val="None"/>
          <w:rFonts w:ascii="Book Antiqua" w:hAnsi="Book Antiqua"/>
          <w:color w:val="auto"/>
          <w:sz w:val="24"/>
          <w:szCs w:val="24"/>
        </w:rPr>
        <w:fldChar w:fldCharType="separate"/>
      </w:r>
      <w:r w:rsidR="005B59EE" w:rsidRPr="00CA4C0B">
        <w:rPr>
          <w:rStyle w:val="None"/>
          <w:rFonts w:ascii="Book Antiqua" w:hAnsi="Book Antiqua"/>
          <w:noProof/>
          <w:color w:val="auto"/>
          <w:sz w:val="24"/>
          <w:szCs w:val="24"/>
          <w:vertAlign w:val="superscript"/>
        </w:rPr>
        <w:t>[32,36]</w:t>
      </w:r>
      <w:r w:rsidR="005B59EE" w:rsidRPr="00CA4C0B">
        <w:rPr>
          <w:rStyle w:val="None"/>
          <w:rFonts w:ascii="Book Antiqua" w:hAnsi="Book Antiqua"/>
          <w:color w:val="auto"/>
          <w:sz w:val="24"/>
          <w:szCs w:val="24"/>
        </w:rPr>
        <w:fldChar w:fldCharType="end"/>
      </w:r>
      <w:r w:rsidRPr="00CA4C0B">
        <w:rPr>
          <w:rStyle w:val="None"/>
          <w:rFonts w:ascii="Book Antiqua" w:hAnsi="Book Antiqua"/>
          <w:color w:val="auto"/>
          <w:sz w:val="24"/>
          <w:szCs w:val="24"/>
        </w:rPr>
        <w:t xml:space="preserve">. </w:t>
      </w:r>
      <w:r w:rsidRPr="00CA4C0B">
        <w:rPr>
          <w:rStyle w:val="None"/>
          <w:rFonts w:ascii="Book Antiqua" w:hAnsi="Book Antiqua"/>
          <w:color w:val="auto"/>
          <w:spacing w:val="-1"/>
          <w:sz w:val="24"/>
          <w:szCs w:val="24"/>
        </w:rPr>
        <w:t xml:space="preserve">It is thought that the appearance of these mitogenic factors and signaling molecules (endothelial growth factor, transforming growth factor, tumor necrosis factor, NO, </w:t>
      </w:r>
      <w:r w:rsidRPr="00CA4C0B">
        <w:rPr>
          <w:rStyle w:val="None"/>
          <w:rFonts w:ascii="Book Antiqua" w:hAnsi="Book Antiqua"/>
          <w:i/>
          <w:color w:val="auto"/>
          <w:spacing w:val="-1"/>
          <w:sz w:val="24"/>
          <w:szCs w:val="24"/>
        </w:rPr>
        <w:t>etc</w:t>
      </w:r>
      <w:r w:rsidRPr="00CA4C0B">
        <w:rPr>
          <w:rStyle w:val="None"/>
          <w:rFonts w:ascii="Book Antiqua" w:hAnsi="Book Antiqua"/>
          <w:color w:val="auto"/>
          <w:spacing w:val="-1"/>
          <w:sz w:val="24"/>
          <w:szCs w:val="24"/>
        </w:rPr>
        <w:t>.) is associated with both mechanical damage of the liver tissue during PH and/or the realization by the blood vessels of residual</w:t>
      </w:r>
      <w:r w:rsidR="00EE0365" w:rsidRPr="00CA4C0B">
        <w:rPr>
          <w:rStyle w:val="None"/>
          <w:rFonts w:ascii="Book Antiqua" w:hAnsi="Book Antiqua"/>
          <w:color w:val="auto"/>
          <w:spacing w:val="-1"/>
          <w:sz w:val="24"/>
          <w:szCs w:val="24"/>
        </w:rPr>
        <w:t xml:space="preserve"> liver</w:t>
      </w:r>
      <w:r w:rsidR="005B59EE" w:rsidRPr="00CA4C0B">
        <w:rPr>
          <w:rStyle w:val="None"/>
          <w:rFonts w:ascii="Book Antiqua" w:hAnsi="Book Antiqua"/>
          <w:color w:val="auto"/>
          <w:spacing w:val="-1"/>
          <w:sz w:val="24"/>
          <w:szCs w:val="24"/>
          <w:vertAlign w:val="superscript"/>
        </w:rPr>
        <w:fldChar w:fldCharType="begin" w:fldLock="1"/>
      </w:r>
      <w:r w:rsidR="005B59EE" w:rsidRPr="00CA4C0B">
        <w:rPr>
          <w:rStyle w:val="None"/>
          <w:rFonts w:ascii="Book Antiqua" w:hAnsi="Book Antiqua"/>
          <w:color w:val="auto"/>
          <w:spacing w:val="-1"/>
          <w:sz w:val="24"/>
          <w:szCs w:val="24"/>
          <w:vertAlign w:val="superscript"/>
        </w:rPr>
        <w:instrText>ADDIN CSL_CITATION {"citationItems":[{"id":"ITEM-1","itemData":{"DOI":"10.1155/2017/4256352","ISSN":"0962-9351","PMID":"28947857","abstract":"Liver regeneration is a highly organized tissue regrowth process and is the most important reaction of the liver to injury. The overall process of liver regeneration includes three phases: priming stage, proliferative phase, and termination phase. The initial step aims to induce hepatocytes to be sensitive to growth factors with the aid of some cytokines, including TNF- α and IL-6. The proliferation phase promotes hepatocytes to re-enter G1 with the stimulation of growth factors. While during the termination stage, hepatocytes will discontinue to proliferate to maintain normal liver mass and function. Except for cytokine- and growth factor-mediated pathways involved in regulating liver regeneration, new substances and technologies emerge to influence the regenerative process. Here, we reviewed novel and important signaling molecules involved in the process of liver regeneration to provide a cue for further research.","author":[{"dropping-particle":"","family":"Tao","given":"Yachao","non-dropping-particle":"","parse-names":false,"suffix":""},{"dropping-particle":"","family":"Wang","given":"Menglan","non-dropping-particle":"","parse-names":false,"suffix":""},{"dropping-particle":"","family":"Chen","given":"Enqiang","non-dropping-particle":"","parse-names":false,"suffix":""},{"dropping-particle":"","family":"Tang","given":"Hong","non-dropping-particle":"","parse-names":false,"suffix":""}],"container-title":"Mediators of Inflammation","id":"ITEM-1","issued":{"date-parts":[["2017"]]},"page":"1-9","title":"Liver Regeneration: Analysis of the Main Relevant Signaling Molecules","type":"article-journal","volume":"2017"},"uris":["http://www.mendeley.com/documents/?uuid=0ce8762f-a1ca-4863-85c7-05e4ae2adc52"]},{"id":"ITEM-2","itemData":{"DOI":"10.1186/s12893-019-0664-8","ISSN":"1471-2482","PMID":"32050952","abstract":"Background: Post-hepatectomy liver failure contributes significantly to postoperative mortality after liver resection. The prediction of the individual risk for liver failure is challenging. This review aimed to provide an overview of cytokine and growth factor triggered signaling pathways involved in liver regeneration after resection. Methods: MEDLINE and Cochrane databases were searched without language restrictions for articles from the time of inception of the databases till March 2019. All studies with comparative data on the effect of cytokines and growth factors on liver regeneration in animals and humans were included. Results: Overall 3.353 articles comprising 40 studies involving 1.498 patients and 101 animal studies were identified and met the inclusion criteria. All included trials on humans were retrospective cohort/observational studies. There was substantial heterogeneity across all included studies with respect to the analyzed cytokines and growth factors and the described endpoints. Conclusion: High-level evidence on serial measurements of growth factors and cytokines in blood samples used to predict liver regeneration after resection is still lacking. To address the heterogeneity of patients and potential markers, high throughput serial analyses may offer a method to predict an individual's regenerative potential in the future.","author":[{"dropping-particle":"","family":"Hoffmann","given":"Katrin","non-dropping-particle":"","parse-names":false,"suffix":""},{"dropping-particle":"","family":"Nagel","given":"Alexander Johannes","non-dropping-particle":"","parse-names":false,"suffix":""},{"dropping-particle":"","family":"Tanabe","given":"Kazukata","non-dropping-particle":"","parse-names":false,"suffix":""},{"dropping-particle":"","family":"Fuchs","given":"Juri","non-dropping-particle":"","parse-names":false,"suffix":""},{"dropping-particle":"","family":"Dehlke","given":"Karolin","non-dropping-particle":"","parse-names":false,"suffix":""},{"dropping-particle":"","family":"Ghamarnejad","given":"Omid","non-dropping-particle":"","parse-names":false,"suffix":""},{"dropping-particle":"","family":"Lemekhova","given":"Anastasia","non-dropping-particle":"","parse-names":false,"suffix":""},{"dropping-particle":"","family":"Mehrabi","given":"Arianeb","non-dropping-particle":"","parse-names":false,"suffix":""}],"container-title":"BMC Surgery","id":"ITEM-2","issue":"1","issued":{"date-parts":[["2020","12","12"]]},"page":"31","publisher":"NLM (Medline)","title":"Markers of liver regeneration—the role of growth factors and cytokines: a systematic review","type":"article-journal","volume":"20"},"uris":["http://www.mendeley.com/documents/?uuid=b7a826d7-443f-3527-a735-972e796d56da"]},{"id":"ITEM-3","itemData":{"DOI":"10.1155/2006/659027","ISSN":"08357900","PMID":"16691298","abstract":"The liver has the remarkable ability to regenerate following damage or surgical resection. Although this feature of the liver has been studied for over 100 years, the trigger of the liver regeneration cascade remains controversial. Recent experimental evidence supports the hypothesis that nitric oxide (NO) and Prostaglandins (PGs), released secondary to an increase in the blood flow-to-liver mass ratio following two-thirds partial hepatectomy (PHx), work synergistically to trigger liver regeneration. To extend this research, the hypothesis that NO and PGs are potential therapeutic targets to potentiate the liver regeneration cascade is tested. The NO donor s-nitroso-n-acetylpenicillamine, the phosphodiesterase V antagonist zaprinast (ZAP) and PGI2 each potentiated c-fos messenger RNA expression, an index of initiation of the liver regeneration cascade, following PHx. Also, the triple combination of s-nitroso-n-acetylpenicillamine, ZAP and PGI2 potentiated c-fos messenger RNA expression. These results support the hypothesis that NO and PGs can potentiate initiation of the regeneration cascade. An additional index of liver weight restoration 48 h after PHx was also used to test the hypothesis, because this index encompasses the entire liver regeneration cascade. ZAP and 6-keto-PGF1α, stable metabolite of PGI2, and the combination of ZAP and 6-keto-PGF1α, each potentiated liver weight restoration 48 h after PHx. These results also provide support for the hypothesis that NO and PGs are possible therapeutic targets to potentiate liver regeneration following surgical resection. © 2006 Pulsus Group Inc. All rights reserved.","author":[{"dropping-particle":"","family":"Schoen Smith","given":"Jodi M","non-dropping-particle":"","parse-names":false,"suffix":""},{"dropping-particle":"","family":"Lautt","given":"W Wayne","non-dropping-particle":"","parse-names":false,"suffix":""}],"container-title":"Canadian Journal of Gastroenterology","id":"ITEM-3","issue":"5","issued":{"date-parts":[["2006","5"]]},"page":"329-334","title":"Nitric oxide and prostaglandins potentiate the liver regeneration cascade","type":"article-journal","volume":"20"},"uris":["http://www.mendeley.com/documents/?uuid=64091fff-f587-3bda-a8e9-3242f314b001"]},{"id":"ITEM-4","itemData":{"DOI":"10.1006/niox.2001.0373","ISSN":"10898603","PMID":"11587560","abstract":"The trigger of the liver regeneration cascade is currently unknown and has been the subject of debate. We hypothesize that, following 2/3 partial hepatectomy (PHX), an increase in the blood flow-to-liver mass ratio results in shear stress-induced nitric oxide (NO) release, which triggers the liver regeneration cascade. Portal venous pressure (PVP), reflecting shear stress in the liver, increased to the same extent following PHX and selective portal vein branch ligation (PVL), a hemodynamic model of PHX, suggesting similar amounts of shear stress in both models. Two indices of the initiation of the liver regeneration cascade were used: proliferative factor (PF) activity in blood 4 h after PHX or PVL and hepatic c-fos mRNA expression 15 min. after PHX or PVL. PF activity and c-fos mRNA expression were increased to similar extents after PHX and PVL, suggesting a similar stimulus in both models. PF activity and c-fos mRNA expression were inhibited by administration of the nitric oxide synthase antagonist, l-NAME, and the NO donor, SIN-1, reversed the inhibition in both models. These results provide support for the hypothesis that a hemodynamic change results in increased shear stress in the liver causing generation of NO, which then triggers the liver regeneration cascade.","author":[{"dropping-particle":"","family":"Schoen","given":"Jodi M.","non-dropping-particle":"","parse-names":false,"suffix":""},{"dropping-particle":"","family":"Wang","given":"H.Helen","non-dropping-particle":"","parse-names":false,"suffix":""},{"dropping-particle":"","family":"Minuk","given":"Gerald Y.","non-dropping-particle":"","parse-names":false,"suffix":""},{"dropping-particle":"","family":"Lautt","given":"W.Wayne","non-dropping-particle":"","parse-names":false,"suffix":""}],"container-title":"Nitric Oxide","id":"ITEM-4","issue":"5","issued":{"date-parts":[["2001","10"]]},"page":"453-464","title":"Shear Stress-Induced Nitric Oxide Release Triggers the Liver Regeneration Cascade","type":"article-journal","volume":"5"},"uris":["http://www.mendeley.com/documents/?uuid=4f4323d2-a95a-38a9-a40d-029181e9aa64"]}],"mendeley":{"formattedCitation":"&lt;sup&gt;[16,33,37,38]&lt;/sup&gt;","plainTextFormattedCitation":"[16,33,37,38]","previouslyFormattedCitation":"&lt;sup&gt;[16,33,37,38]&lt;/sup&gt;"},"properties":{"noteIndex":0},"schema":"https://github.com/citation-style-language/schema/raw/master/csl-citation.json"}</w:instrText>
      </w:r>
      <w:r w:rsidR="005B59EE" w:rsidRPr="00CA4C0B">
        <w:rPr>
          <w:rStyle w:val="None"/>
          <w:rFonts w:ascii="Book Antiqua" w:hAnsi="Book Antiqua"/>
          <w:color w:val="auto"/>
          <w:spacing w:val="-1"/>
          <w:sz w:val="24"/>
          <w:szCs w:val="24"/>
          <w:vertAlign w:val="superscript"/>
        </w:rPr>
        <w:fldChar w:fldCharType="separate"/>
      </w:r>
      <w:r w:rsidR="005B59EE" w:rsidRPr="00CA4C0B">
        <w:rPr>
          <w:rStyle w:val="None"/>
          <w:rFonts w:ascii="Book Antiqua" w:hAnsi="Book Antiqua"/>
          <w:noProof/>
          <w:color w:val="auto"/>
          <w:spacing w:val="-1"/>
          <w:sz w:val="24"/>
          <w:szCs w:val="24"/>
          <w:vertAlign w:val="superscript"/>
        </w:rPr>
        <w:t>[16,33,37,38]</w:t>
      </w:r>
      <w:r w:rsidR="005B59EE" w:rsidRPr="00CA4C0B">
        <w:rPr>
          <w:rStyle w:val="None"/>
          <w:rFonts w:ascii="Book Antiqua" w:hAnsi="Book Antiqua"/>
          <w:color w:val="auto"/>
          <w:spacing w:val="-1"/>
          <w:sz w:val="24"/>
          <w:szCs w:val="24"/>
          <w:vertAlign w:val="superscript"/>
        </w:rPr>
        <w:fldChar w:fldCharType="end"/>
      </w:r>
      <w:r w:rsidRPr="00CA4C0B">
        <w:rPr>
          <w:rStyle w:val="None"/>
          <w:rFonts w:ascii="Book Antiqua" w:hAnsi="Book Antiqua"/>
          <w:color w:val="auto"/>
          <w:spacing w:val="-1"/>
          <w:sz w:val="24"/>
          <w:szCs w:val="24"/>
        </w:rPr>
        <w:t>. The acute portal hypertension acts as a triggering mechanism in post-resection liver rege</w:t>
      </w:r>
      <w:r w:rsidRPr="00CA4C0B">
        <w:rPr>
          <w:rStyle w:val="None"/>
          <w:rFonts w:ascii="Book Antiqua" w:hAnsi="Book Antiqua"/>
          <w:color w:val="auto"/>
          <w:spacing w:val="-1"/>
          <w:sz w:val="24"/>
          <w:szCs w:val="24"/>
        </w:rPr>
        <w:t>n</w:t>
      </w:r>
      <w:r w:rsidRPr="00CA4C0B">
        <w:rPr>
          <w:rStyle w:val="None"/>
          <w:rFonts w:ascii="Book Antiqua" w:hAnsi="Book Antiqua"/>
          <w:color w:val="auto"/>
          <w:spacing w:val="-1"/>
          <w:sz w:val="24"/>
          <w:szCs w:val="24"/>
        </w:rPr>
        <w:t>eration. It is determined by a sharp decrease in the volume of the intrahepatic portal bed due to the excision of 2/3 of the liver.</w:t>
      </w:r>
      <w:r w:rsidR="00F7733D" w:rsidRPr="00CA4C0B">
        <w:rPr>
          <w:rStyle w:val="None"/>
          <w:rFonts w:ascii="Book Antiqua" w:hAnsi="Book Antiqua"/>
          <w:color w:val="auto"/>
          <w:spacing w:val="-1"/>
          <w:sz w:val="24"/>
          <w:szCs w:val="24"/>
        </w:rPr>
        <w:t xml:space="preserve"> </w:t>
      </w:r>
      <w:r w:rsidRPr="00CA4C0B">
        <w:rPr>
          <w:rStyle w:val="None"/>
          <w:rFonts w:ascii="Book Antiqua" w:hAnsi="Book Antiqua"/>
          <w:color w:val="auto"/>
          <w:spacing w:val="-1"/>
          <w:sz w:val="24"/>
          <w:szCs w:val="24"/>
        </w:rPr>
        <w:t xml:space="preserve">The increased portal pressure </w:t>
      </w:r>
      <w:r w:rsidRPr="00CA4C0B">
        <w:rPr>
          <w:rStyle w:val="None"/>
          <w:rFonts w:ascii="Book Antiqua" w:hAnsi="Book Antiqua"/>
          <w:color w:val="auto"/>
          <w:spacing w:val="-1"/>
          <w:sz w:val="24"/>
          <w:szCs w:val="24"/>
        </w:rPr>
        <w:lastRenderedPageBreak/>
        <w:t>causes the development of the so-called shear stress in the sinusoids and releasing the endothelial factors, including NO, by them that is init</w:t>
      </w:r>
      <w:r w:rsidR="00090C59" w:rsidRPr="00CA4C0B">
        <w:rPr>
          <w:rStyle w:val="None"/>
          <w:rFonts w:ascii="Book Antiqua" w:hAnsi="Book Antiqua"/>
          <w:color w:val="auto"/>
          <w:spacing w:val="-1"/>
          <w:sz w:val="24"/>
          <w:szCs w:val="24"/>
        </w:rPr>
        <w:t>iating the hepatic rege</w:t>
      </w:r>
      <w:r w:rsidR="00090C59" w:rsidRPr="00CA4C0B">
        <w:rPr>
          <w:rStyle w:val="None"/>
          <w:rFonts w:ascii="Book Antiqua" w:hAnsi="Book Antiqua"/>
          <w:color w:val="auto"/>
          <w:spacing w:val="-1"/>
          <w:sz w:val="24"/>
          <w:szCs w:val="24"/>
        </w:rPr>
        <w:t>n</w:t>
      </w:r>
      <w:r w:rsidR="00090C59" w:rsidRPr="00CA4C0B">
        <w:rPr>
          <w:rStyle w:val="None"/>
          <w:rFonts w:ascii="Book Antiqua" w:hAnsi="Book Antiqua"/>
          <w:color w:val="auto"/>
          <w:spacing w:val="-1"/>
          <w:sz w:val="24"/>
          <w:szCs w:val="24"/>
        </w:rPr>
        <w:t>eration</w:t>
      </w:r>
      <w:r w:rsidR="005B59EE" w:rsidRPr="00CA4C0B">
        <w:rPr>
          <w:rStyle w:val="None"/>
          <w:rFonts w:ascii="Book Antiqua" w:hAnsi="Book Antiqua"/>
          <w:color w:val="auto"/>
          <w:spacing w:val="-1"/>
          <w:sz w:val="24"/>
          <w:szCs w:val="24"/>
          <w:vertAlign w:val="superscript"/>
        </w:rPr>
        <w:fldChar w:fldCharType="begin" w:fldLock="1"/>
      </w:r>
      <w:r w:rsidR="005B59EE" w:rsidRPr="00CA4C0B">
        <w:rPr>
          <w:rStyle w:val="None"/>
          <w:rFonts w:ascii="Book Antiqua" w:hAnsi="Book Antiqua"/>
          <w:color w:val="auto"/>
          <w:spacing w:val="-1"/>
          <w:sz w:val="24"/>
          <w:szCs w:val="24"/>
          <w:vertAlign w:val="superscript"/>
        </w:rPr>
        <w:instrText>ADDIN CSL_CITATION {"citationItems":[{"id":"ITEM-1","itemData":{"DOI":"10.1002/jcp.26246","ISSN":"00219541","PMID":"29052842","abstract":"The role of fluid stresses in activating the hepatic stem/progenitor cell regenerative response is not well understood. This study hypothesized that immediate early genes (IEGs) with known links to liver regeneration will be upregulated in liver progenitor cells (LPCs) exposed to in vitro shear stresses on the order of those produced from elevated interstitial flow afte</w:instrText>
      </w:r>
      <w:r w:rsidR="005B59EE" w:rsidRPr="00CA4C0B">
        <w:rPr>
          <w:rStyle w:val="None"/>
          <w:rFonts w:ascii="Book Antiqua" w:hAnsi="Book Antiqua" w:hint="eastAsia"/>
          <w:color w:val="auto"/>
          <w:spacing w:val="-1"/>
          <w:sz w:val="24"/>
          <w:szCs w:val="24"/>
          <w:vertAlign w:val="superscript"/>
        </w:rPr>
        <w:instrText xml:space="preserve">r partial hepatectomy. The objectives were: (1) to develop a shear flow chamber for application of fluid stress to LPCs in 3D culture; and (2) to determine the effects of fluid stress on IEG expression in LPCs. Two hours of shear stress exposure at </w:instrText>
      </w:r>
      <w:r w:rsidR="005B59EE" w:rsidRPr="00CA4C0B">
        <w:rPr>
          <w:rStyle w:val="None"/>
          <w:rFonts w:ascii="Book Antiqua" w:hAnsi="Book Antiqua" w:hint="eastAsia"/>
          <w:color w:val="auto"/>
          <w:spacing w:val="-1"/>
          <w:sz w:val="24"/>
          <w:szCs w:val="24"/>
          <w:vertAlign w:val="superscript"/>
        </w:rPr>
        <w:instrText>∼</w:instrText>
      </w:r>
      <w:r w:rsidR="005B59EE" w:rsidRPr="00CA4C0B">
        <w:rPr>
          <w:rStyle w:val="None"/>
          <w:rFonts w:ascii="Book Antiqua" w:hAnsi="Book Antiqua" w:hint="eastAsia"/>
          <w:color w:val="auto"/>
          <w:spacing w:val="-1"/>
          <w:sz w:val="24"/>
          <w:szCs w:val="24"/>
          <w:vertAlign w:val="superscript"/>
        </w:rPr>
        <w:instrText>4 dyn</w:instrText>
      </w:r>
      <w:r w:rsidR="005B59EE" w:rsidRPr="00CA4C0B">
        <w:rPr>
          <w:rStyle w:val="None"/>
          <w:rFonts w:ascii="Book Antiqua" w:hAnsi="Book Antiqua"/>
          <w:color w:val="auto"/>
          <w:spacing w:val="-1"/>
          <w:sz w:val="24"/>
          <w:szCs w:val="24"/>
          <w:vertAlign w:val="superscript"/>
        </w:rPr>
        <w:instrText>/cm2 was applied to LPCs embedded individually or as 3D spheroids within a hyaluronic acid/collagen I hydrogel. Results were compared against static controls. Quantitative reverse transcriptase polymerase chain reaction was used to evaluate the effect of experimental treatments on gene expression. Twenty-nine genes were analyzed, including IEGs and other genes linked to liver regeneration. Four IEGs (CFOS, IP10, MKP1, ALB) and three other regeneration-related genes (WNT, VEGF, EpCAM) were significantly upregulated in LPCs in response to fluid mechanical stress. LPCs maintained an early to intermediate stage of differentiation in spheroid culture in the absence of the hydrogel, and addition of the gel initiated cholangiocyte differentiation programs which were abrogated by the onset of flow. Collectively the flow-upregulated genes fit the pattern of an LPC-mediated proliferative/regenerative response. These results suggest that fluid stresses are potentially important regulators of the LPC-mediated regeneration response in liver.","author":[{"dropping-particle":"","family":"Nishii","given":"Kenichiro","non-dropping-particle":"","parse-names":false,"suffix":""},{"dropping-particle":"","family":"Brodin","given":"Erik","non-dropping-particle":"","parse-names":false,"suffix":""},{"dropping-particle":"","family":"Renshaw","given":"Taylor","non-dropping-particle":"","parse-names":false,"suffix":""},{"dropping-particle":"","family":"Weesner","given":"Rachael","non-dropping-particle":"","parse-names":false,"suffix":""},{"dropping-particle":"","family":"Moran","given":"Emma","non-dropping-particle":"","parse-names":false,"suffix":""},{"dropping-particle":"","family":"Soker","given":"Shay","non-dropping-particle":"","parse-names":false,"suffix":""},{"dropping-particle":"","family":"Sparks","given":"Jessica L.","non-dropping-particle":"","parse-names":false,"suffix":""}],"container-title":"Journal of Cellular Physiology","id":"ITEM-1","issue":"5","issued":{"date-parts":[["2018","5"]]},"page":"4272-4281","title":"Shear stress upregulates regeneration-related immediate early genes in liver progenitors in 3D ECM-like microenvironments","type":"article-journal","volume":"233"},"uris":["http://www.mendeley.com/documents/?uuid=e589e1d1-cc92-4c09-b235-278b6740de09"]},{"id":"ITEM-2","itemData":{"DOI":"10.1155/2006/659027","ISSN":"08357900","PMID":"16691298","abstract":"The liver has the remarkable ability to regenerate following damage or surgical resection. Although this feature of the liver has been studied for over 100 years, the trigger of the liver regeneration cascade remains controversial. Recent experimental evidence supports the hypothesis that nitric oxide (NO) and Prostaglandins (PGs), released secondary to an increase in the blood flow-to-liver mass ratio following two-thirds partial hepatectomy (PHx), work synergistically to trigger liver regeneration. To extend this research, the hypothesis that NO and PGs are potential therapeutic targets to potentiate the liver regeneration cascade is tested. The NO donor s-nitroso-n-acetylpenicillamine, the phosphodiesterase V antagonist zaprinast (ZAP) and PGI2 each potentiated c-fos messenger RNA expression, an index of initiation of the liver regeneration cascade, following PHx. Also, the triple combination of s-nitroso-n-acetylpenicillamine, ZAP and PGI2 potentiated c-fos messenger RNA expression. These results support the hypothesis that NO and PGs can potentiate initiation of the regeneration cascade. An additional index of liver weight restoration 48 h after PHx was also used to test the hypothesis, because this index encompasses the entire liver regeneration cascade. ZAP and 6-keto-PGF1α, stable metabolite of PGI2, and the combination of ZAP and 6-keto-PGF1α, each potentiated liver weight restoration 48 h after PHx. These results also provide support for the hypothesis that NO and PGs are possible therapeutic targets to potentiate liver regeneration following surgical resection. © 2006 Pulsus Group Inc. All rights reserved.","author":[{"dropping-particle":"","family":"Schoen Smith","given":"Jodi M","non-dropping-particle":"","parse-names":false,"suffix":""},{"dropping-particle":"","family":"Lautt","given":"W Wayne","non-dropping-particle":"","parse-names":false,"suffix":""}],"container-title":"Canadian Journal of Gastroenterology","id":"ITEM-2","issue":"5","issued":{"date-parts":[["2006","5"]]},"page":"329-334","title":"Nitric oxide and prostaglandins potentiate the liver regeneration cascade","type":"article-journal","volume":"20"},"uris":["http://www.mendeley.com/documents/?uuid=64091fff-f587-3bda-a8e9-3242f314b001"]},{"id":"ITEM-3","itemData":{"DOI":"10.1006/niox.2001.0373","ISSN":"10898603","PMID":"11587560","abstract":"The trigger of the liver regeneration cascade is currently unknown and has been the subject of debate. We hypothesize that, following 2/3 partial hepatectomy (PHX), an increase in the blood flow-to-liver mass ratio results in shear stress-induced nitric oxide (NO) release, which triggers the liver regeneration cascade. Portal venous pressure (PVP), reflecting shear stress in the liver, increased to the same extent following PHX and selective portal vein branch ligation (PVL), a hemodynamic model of PHX, suggesting similar amounts of shear stress in both models. Two indices of the initiation of the liver regeneration cascade were used: proliferative factor (PF) activity in blood 4 h after PHX or PVL and hepatic c-fos mRNA expression 15 min. after PHX or PVL. PF activity and c-fos mRNA expression were increased to similar extents after PHX and PVL, suggesting a similar stimulus in both models. PF activity and c-fos mRNA expression were inhibited by administration of the nitric oxide synthase antagonist, l-NAME, and the NO donor, SIN-1, reversed the inhibition in both models. These results provide support for the hypothesis that a hemodynamic change results in increased shear stress in the liver causing generation of NO, which then triggers the liver regeneration cascade.","author":[{"dropping-particle":"","family":"Schoen","given":"Jodi M.","non-dropping-particle":"","parse-names":false,"suffix":""},{"dropping-particle":"","family":"Wang","given":"H.Helen","non-dropping-particle":"","parse-names":false,"suffix":""},{"dropping-particle":"","family":"Minuk","given":"Gerald Y.","non-dropping-particle":"","parse-names":false,"suffix":""},{"dropping-particle":"","family":"Lautt","given":"W.Wayne","non-dropping-particle":"","parse-names":false,"suffix":""}],"container-title":"Nitric Oxide","id":"ITEM-3","issue":"5","issued":{"date-parts":[["2001","10"]]},"page":"453-464","title":"Shear Stress-Induced Nitric Oxide Release Triggers the Liver Regeneration Cascade","type":"article-journal","volume":"5"},"uris":["http://www.mendeley.com/documents/?uuid=4f4323d2-a95a-38a9-a40d-029181e9aa64"]},{"id":"ITEM-4","itemData":{"DOI":"10.1007/BF02385805","ISSN":"0941-1291","PMID":"9306545","abstract":"The concept of injury in liver regeneration after partial hepatectomy (PHx), and the reason hepatocytes that have not been directly injured regenerate, remain unclear. It is known that shear stress resulting from blood flow plays an important role in the mechanism of remodeling blood vessels, and portal pressure reflects shear stress. This study was conducted to determine whether acute portal hypertension (APH) can become a trigger of liver regeneration as shear stress following PHx in a rat model. Portal pressures became elevated immediately after 70% and 90% PHx, peaking on postoperative day (POD) 3, and thereafter decreasing in proportion to the diminution of liver regeneration. The portal pressures after 90% PHx were significantly higher than those after 70% PHx even on POD 7, while those of the portocaval (PC) shunt groups decreased following PC shunting both with and without 70% PHx. The liver/body weight (LW/BW) ratio also decreased in the PC shunt both with and even without 70% PHx. The gradient expressions of class 1 antigen on sinusoidal endothelial cells (SEC) were found only in the periportal area, which has the highest portal pressure in the healthy rat liver. However, after hepatectomy these expressions were detected from the periportal area to the central venous area. These results suggest that APH as shear stress following PHx may not only become a trigger of hepatocyte regeneration, but also of SEC regenerat ion, and that surplus APH induces liver dysfunction.","author":[{"dropping-particle":"","family":"Sato","given":"Yoshinobu","non-dropping-particle":"","parse-names":false,"suffix":""},{"dropping-particle":"","family":"Koyama","given":"Shuntaro","non-dropping-particle":"","parse-names":false,"suffix":""},{"dropping-particle":"","family":"Tsukada","given":"Kazuhiro","non-dropping-particle":"","parse-names":false,"suffix":""},{"dropping-particle":"","family":"Hatakeyama","given":"Katsuyoshi","non-dropping-particle":"","parse-names":false,"suffix":""}],"container-title":"Surgery Today","id":"ITEM-4","issue":"6","issued":{"date-parts":[["1997","6"]]},"page":"518-526","title":"Acute portal hypertension reflecting shear stress as a trigger of liver regeneration following partial hepatectomy","type":"article-journal","volume":"27"},"uris":["http://www.mendeley.com/documents/?uuid=afbad3d2-5b30-4a66-a6ea-9a9c7600225c"]},{"id":"ITEM-5","itemData":{"DOI":"10.1007/BF02482962","ISSN":"0941-1291","PMID":"9934824","abstract":"This report reviews studies addressing the new concepts in liver regeneration after a partial hepatectomy (PHx). The review begins with an overview of the immunologic mechanisms of liver regeneration after PHx, especially regarding Kupffer cells and extrathymic T cells of the regenerative liver in the cell-mediated immunity, based on major histocompatibility complex I and II antigens. Attention is then devoted to 'on and off' studies in liver regeneration after PHx, by hypothesizing the shear stress based on the fact that the portal flow against hepatocytes or sinusoidal endothelial cells triggers their regeneration after a partial hepatectomy and controls the volume of the regenerating liver by the stimulating the cell surface modulator (CSM) of hepatocytes and sinusoidal endothelial cells (SEC). We propose that the acute elevation of shear stress after PHx influences the adhesion between SEC and intrahepatic leukocytes. These concepts are expected to positively contribute to the future research on liver regeneration after PHx.","author":[{"dropping-particle":"","family":"Sato","given":"Yoshinobu","non-dropping-particle":"","parse-names":false,"suffix":""},{"dropping-particle":"","family":"Tsukada","given":"Kazuhiro","non-dropping-particle":"","parse-names":false,"suffix":""},{"dropping-particle":"","family":"Hatakeyama","given":"Katsuyoshi","non-dropping-particle":"","parse-names":false,"suffix":""}],"container-title":"Surgery Today","id":"ITEM-5","issue":"1","issued":{"date-parts":[["1999","1"]]},"page":"1-9","title":"Role of shear stress and immune responses in liver regeneration after a partial hepatectomy","type":"article-journal","volume":"29"},"uris":["http://www.mendeley.com/documents/?uuid=a16a0d05-741a-4a93-bc3a-952eec1cfc84"]}],"mendeley":{"formattedCitation":"&lt;sup&gt;[20,37–40]&lt;/sup&gt;","plainTextFormattedCitation":"[20,37–40]","previouslyFormattedCitation":"&lt;sup&gt;[20,37–40]&lt;/sup&gt;"},"properties":{"noteIndex":0},"schema":"https://github.com/citation-style-language/schema/raw/master/csl-citation.json"}</w:instrText>
      </w:r>
      <w:r w:rsidR="005B59EE" w:rsidRPr="00CA4C0B">
        <w:rPr>
          <w:rStyle w:val="None"/>
          <w:rFonts w:ascii="Book Antiqua" w:hAnsi="Book Antiqua"/>
          <w:color w:val="auto"/>
          <w:spacing w:val="-1"/>
          <w:sz w:val="24"/>
          <w:szCs w:val="24"/>
          <w:vertAlign w:val="superscript"/>
        </w:rPr>
        <w:fldChar w:fldCharType="separate"/>
      </w:r>
      <w:r w:rsidR="005B59EE" w:rsidRPr="00CA4C0B">
        <w:rPr>
          <w:rStyle w:val="None"/>
          <w:rFonts w:ascii="Book Antiqua" w:hAnsi="Book Antiqua"/>
          <w:noProof/>
          <w:color w:val="auto"/>
          <w:spacing w:val="-1"/>
          <w:sz w:val="24"/>
          <w:szCs w:val="24"/>
          <w:vertAlign w:val="superscript"/>
        </w:rPr>
        <w:t>[20,37</w:t>
      </w:r>
      <w:r w:rsidR="005120E9">
        <w:rPr>
          <w:rStyle w:val="None"/>
          <w:rFonts w:ascii="Book Antiqua" w:hAnsi="Book Antiqua"/>
          <w:noProof/>
          <w:color w:val="auto"/>
          <w:spacing w:val="-1"/>
          <w:sz w:val="24"/>
          <w:szCs w:val="24"/>
          <w:vertAlign w:val="superscript"/>
        </w:rPr>
        <w:t>-</w:t>
      </w:r>
      <w:r w:rsidR="005B59EE" w:rsidRPr="00CA4C0B">
        <w:rPr>
          <w:rStyle w:val="None"/>
          <w:rFonts w:ascii="Book Antiqua" w:hAnsi="Book Antiqua"/>
          <w:noProof/>
          <w:color w:val="auto"/>
          <w:spacing w:val="-1"/>
          <w:sz w:val="24"/>
          <w:szCs w:val="24"/>
          <w:vertAlign w:val="superscript"/>
        </w:rPr>
        <w:t>40]</w:t>
      </w:r>
      <w:r w:rsidR="005B59EE" w:rsidRPr="00CA4C0B">
        <w:rPr>
          <w:rStyle w:val="None"/>
          <w:rFonts w:ascii="Book Antiqua" w:hAnsi="Book Antiqua"/>
          <w:color w:val="auto"/>
          <w:spacing w:val="-1"/>
          <w:sz w:val="24"/>
          <w:szCs w:val="24"/>
          <w:vertAlign w:val="superscript"/>
        </w:rPr>
        <w:fldChar w:fldCharType="end"/>
      </w:r>
      <w:r w:rsidRPr="00CA4C0B">
        <w:rPr>
          <w:rStyle w:val="None"/>
          <w:rFonts w:ascii="Book Antiqua" w:hAnsi="Book Antiqua"/>
          <w:color w:val="auto"/>
          <w:spacing w:val="-1"/>
          <w:sz w:val="24"/>
          <w:szCs w:val="24"/>
        </w:rPr>
        <w:t>. In addition, the pressure increases not only in the sinusoids where lumens are covered b</w:t>
      </w:r>
      <w:r w:rsidR="00090C59" w:rsidRPr="00CA4C0B">
        <w:rPr>
          <w:rStyle w:val="None"/>
          <w:rFonts w:ascii="Book Antiqua" w:hAnsi="Book Antiqua"/>
          <w:color w:val="auto"/>
          <w:spacing w:val="-1"/>
          <w:sz w:val="24"/>
          <w:szCs w:val="24"/>
        </w:rPr>
        <w:t>y fenestrated endothelial cells</w:t>
      </w:r>
      <w:r w:rsidR="005B59EE" w:rsidRPr="00CA4C0B">
        <w:rPr>
          <w:rStyle w:val="None"/>
          <w:rFonts w:ascii="Book Antiqua" w:hAnsi="Book Antiqua"/>
          <w:color w:val="auto"/>
          <w:spacing w:val="-1"/>
          <w:sz w:val="24"/>
          <w:szCs w:val="24"/>
        </w:rPr>
        <w:fldChar w:fldCharType="begin" w:fldLock="1"/>
      </w:r>
      <w:r w:rsidR="005B59EE" w:rsidRPr="00CA4C0B">
        <w:rPr>
          <w:rStyle w:val="None"/>
          <w:rFonts w:ascii="Book Antiqua" w:hAnsi="Book Antiqua"/>
          <w:color w:val="auto"/>
          <w:spacing w:val="-1"/>
          <w:sz w:val="24"/>
          <w:szCs w:val="24"/>
        </w:rPr>
        <w:instrText>ADDIN CSL_CITATION {"citationItems":[{"id":"ITEM-1","itemData":{"DOI":"10.1002/hep.21378","ISSN":"02709139","PMID":"17058232","abstract":"The liver has an established ability to induce tolerance. Recent evidence indicates that this unique property might be related to its distinctive architecture allowing T cells to be activated in situ independendy of lymphoid tissues. Unlike lymph node-activated T cells, liver-activated T cells are short-lived, a mechanism that might contribute to the \"liver tolerance effect.\" Although the potential role of hepatocytes as tolerogenic antigen-presenting cells has been demonstrated, the question as to whether these cells are able to interact with CD8+ T cells in physiological settings remains controversial. Contradicting the immunological dogma stating that naïve T lymphocytes are prevented from interacting with parenchymal cells within non-lymphoid organs by an impenetrable endothelial barrier, we show here that the unique morphology of the liver sinusoidal endothelial cell (LSEC) permits interactions between lymphocytes and hepatocytes. Using electron microscopy, we demonstrate that liver resident lymphocytes as well as circulating naïve CD8+ T cells make direct contact with hepatocytes through cytoplasmic extensions penetrating the endothelial fenestrations that perforate the LSECs. Furthermore, the expression of molecules required for primary T cell activation, MHC class I and ICAM-1, is polarized on hepatocytes to the perisinusoidal cell membrane, thus maximizing the opportunity for interactions with circulating lymphocytes. In conclusion, this study has identified, at the ultrastructural level, a unique type of interaction between naïve T lymphocytes and liver parenchymal cells in vivo. These results hold implications for the pathogenesis of viral hepatitis in which hepatocytes may represent the main antigen-presenting cell, and for the development of immune tolerance as lymphocytes pass through the liver. Copyright © 2006 by the American Association for the Study of Liver Diseases.","author":[{"dropping-particle":"","family":"Warren","given":"Alessandra","non-dropping-particle":"","parse-names":false,"suffix":""},{"dropping-particle":"","family":"Couteur","given":"David G.","non-dropping-particle":"Le","parse-names":false,"suffix":""},{"dropping-particle":"","family":"Fraser","given":"Robin","non-dropping-particle":"","parse-names":false,"suffix":""},{"dropping-particle":"","family":"Bowen","given":"David G.","non-dropping-particle":"","parse-names":false,"suffix":""},{"dropping-particle":"","family":"McCaughan","given":"Geoffrey W.","non-dropping-particle":"","parse-names":false,"suffix":""},{"dropping-particle":"","family":"Bertolino","given":"Patrick","non-dropping-particle":"","parse-names":false,"suffix":""}],"container-title":"Hepatology","id":"ITEM-1","issue":"5","issued":{"date-parts":[["2006","11"]]},"page":"1182-1190","title":"T lymphocytes interact with hepatocytes through fenestrations in murine liver sinusoidal endothelial cells","type":"article-journal","volume":"44"},"uris":["http://www.mendeley.com/documents/?uuid=e72c75f6-4eae-4c1b-84e2-3470a6b83029"]},{"id":"ITEM-2","itemData":{"DOI":"10.1136/jcp.42.4.445-e","ISSN":"0021-9746","author":[{"dropping-particle":"","family":"Anthony","given":"P.","non-dropping-particle":"","parse-names":false,"suffix":""}],"container-title":"Journal of Clinical Pathology","id":"ITEM-2","issue":"4","issued":{"date-parts":[["1989","4","1"]]},"page":"445-446","title":"Biopathology of the Liver. An Ultrastructural Approach","type":"article-journal","volume":"42"},"uris":["http://www.mendeley.com/documents/?uuid=3f1d893b-f288-4a43-90c1-12275e34f45b"]}],"mendeley":{"formattedCitation":"&lt;sup&gt;[41,42]&lt;/sup&gt;","plainTextFormattedCitation":"[41,42]","previouslyFormattedCitation":"&lt;sup&gt;[41,42]&lt;/sup&gt;"},"properties":{"noteIndex":0},"schema":"https://github.com/citation-style-language/schema/raw/master/csl-citation.json"}</w:instrText>
      </w:r>
      <w:r w:rsidR="005B59EE" w:rsidRPr="00CA4C0B">
        <w:rPr>
          <w:rStyle w:val="None"/>
          <w:rFonts w:ascii="Book Antiqua" w:hAnsi="Book Antiqua"/>
          <w:color w:val="auto"/>
          <w:spacing w:val="-1"/>
          <w:sz w:val="24"/>
          <w:szCs w:val="24"/>
        </w:rPr>
        <w:fldChar w:fldCharType="separate"/>
      </w:r>
      <w:r w:rsidR="005B59EE" w:rsidRPr="00CA4C0B">
        <w:rPr>
          <w:rStyle w:val="None"/>
          <w:rFonts w:ascii="Book Antiqua" w:hAnsi="Book Antiqua"/>
          <w:noProof/>
          <w:color w:val="auto"/>
          <w:spacing w:val="-1"/>
          <w:sz w:val="24"/>
          <w:szCs w:val="24"/>
          <w:vertAlign w:val="superscript"/>
        </w:rPr>
        <w:t>[41,42]</w:t>
      </w:r>
      <w:r w:rsidR="005B59EE" w:rsidRPr="00CA4C0B">
        <w:rPr>
          <w:rStyle w:val="None"/>
          <w:rFonts w:ascii="Book Antiqua" w:hAnsi="Book Antiqua"/>
          <w:color w:val="auto"/>
          <w:spacing w:val="-1"/>
          <w:sz w:val="24"/>
          <w:szCs w:val="24"/>
        </w:rPr>
        <w:fldChar w:fldCharType="end"/>
      </w:r>
      <w:r w:rsidRPr="00CA4C0B">
        <w:rPr>
          <w:rStyle w:val="None"/>
          <w:rFonts w:ascii="Book Antiqua" w:hAnsi="Book Antiqua"/>
          <w:color w:val="auto"/>
          <w:spacing w:val="-1"/>
          <w:sz w:val="24"/>
          <w:szCs w:val="24"/>
        </w:rPr>
        <w:t>, but also in the spaces of Disse, where there are situated the various cells (Ito cells, Kupffer cells,</w:t>
      </w:r>
      <w:r w:rsidRPr="005120E9">
        <w:rPr>
          <w:rStyle w:val="None"/>
          <w:rFonts w:ascii="Book Antiqua" w:hAnsi="Book Antiqua"/>
          <w:i/>
          <w:color w:val="auto"/>
          <w:spacing w:val="-1"/>
          <w:sz w:val="24"/>
          <w:szCs w:val="24"/>
        </w:rPr>
        <w:t xml:space="preserve"> etc</w:t>
      </w:r>
      <w:r w:rsidRPr="00CA4C0B">
        <w:rPr>
          <w:rStyle w:val="None"/>
          <w:rFonts w:ascii="Book Antiqua" w:hAnsi="Book Antiqua"/>
          <w:color w:val="auto"/>
          <w:spacing w:val="-1"/>
          <w:sz w:val="24"/>
          <w:szCs w:val="24"/>
        </w:rPr>
        <w:t>.), which also get involved in the production of the signaling molecules and factors and in the r</w:t>
      </w:r>
      <w:r w:rsidR="00090C59" w:rsidRPr="00CA4C0B">
        <w:rPr>
          <w:rStyle w:val="None"/>
          <w:rFonts w:ascii="Book Antiqua" w:hAnsi="Book Antiqua"/>
          <w:color w:val="auto"/>
          <w:spacing w:val="-1"/>
          <w:sz w:val="24"/>
          <w:szCs w:val="24"/>
        </w:rPr>
        <w:t>egulation of liver regeneration</w:t>
      </w:r>
      <w:r w:rsidR="005B59EE" w:rsidRPr="00CA4C0B">
        <w:rPr>
          <w:rStyle w:val="None"/>
          <w:rFonts w:ascii="Book Antiqua" w:hAnsi="Book Antiqua"/>
          <w:color w:val="auto"/>
          <w:spacing w:val="-1"/>
          <w:sz w:val="24"/>
          <w:szCs w:val="24"/>
          <w:vertAlign w:val="superscript"/>
        </w:rPr>
        <w:fldChar w:fldCharType="begin" w:fldLock="1"/>
      </w:r>
      <w:r w:rsidR="00CC720A" w:rsidRPr="00CA4C0B">
        <w:rPr>
          <w:rStyle w:val="None"/>
          <w:rFonts w:ascii="Book Antiqua" w:hAnsi="Book Antiqua"/>
          <w:color w:val="auto"/>
          <w:spacing w:val="-1"/>
          <w:sz w:val="24"/>
          <w:szCs w:val="24"/>
          <w:vertAlign w:val="superscript"/>
        </w:rPr>
        <w:instrText>ADDIN CSL_CITATION {"citationItems":[{"id":"ITEM-1","itemData":{"DOI":"10.1053/jhep.2001.21998","ISSN":"02709139","PMID":"11172338","abstract":"Sinusoidal endothelial cell (SEC) porosities were compared between the periportal (zone 1) and pericentral (zone 3) regions of the rat liver during regeneration following partial hepatectomy (PHx). SEC porosities and fenestration diameters were measured in control livers, as well as at 5 minutes, 24, 48, 72, 96, 120 hours, and 14 days following PHx. Bimodal maximums in both porosity and fenestration diameters were observed in both zones at 5 minutes and 5 days following PHx. SEC porosities increased significantly in both zones 1 and 3 within 5 minutes following PHx, but the increase was maintained only in zone 1 at 24 hours after resection. Following the initial rise, both zones displayed a gradual decrease to less than half their porosity values at 72 hr post-PHx. After 72 hours, porosities increased to over control levels and remained elevated until 14 days after PHx. The decrease in porosity at 72 hr post-PHx is accompanied by ultrastructural changes within the sinusoid at this time. Vascular corrosion casting and transmission electron microscopy (TEM) show sinusoid compression resulting from increased hepatic plate widths due to hepatocyte proliferation in the absence of SEC proliferation. Also at this time, we observed many SEC completely enveloped by stellate cells. The zonal variations observed for porosities throughout regeneration did not correlate with changes in laminin, collagen I and IV, or fibronectin deposition within the space of Disse. Taken together, the data reveal that SEC are dynamic regulators of porosity that respond rapidly and locally to environmental zonal stimuli during liver regeneration.","author":[{"dropping-particle":"","family":"Wack","given":"K","non-dropping-particle":"","parse-names":false,"suffix":""}],"container-title":"Hepatology","id":"ITEM-1","issue":"2","issued":{"date-parts":[["2001","2"]]},"page":"363-378","title":"Sinusoidal ultrastructure evaluated during the revascularization of regenerating rat liver","type":"article-journal","volume":"33"},"uris":["http://www.mendeley.com/documents/?uuid=8bf407e5-65bd-46e7-9563-3c5a2fabd5df"]},{"id":"ITEM-2","itemData":{"DOI":"10.1172/JCI66025","ISSN":"0021-9738","PMID":"23635783","abstract":"Liver sinusoidal endothelial cells (LSECs) have long been noted to contribute to liver regeneration after liver injury. In normal liver, the major cellular source of HGF is the hepatic stellate cell, but after liver injury, HGF expression has been thought to increase markedly in proliferating LSECs. However, emerging data suggest that even after injury, LSEC expression of HGF does not increase greatly. In contrast, bone marrow progenitor cells of LSECs (BM SPCs), which are rich in HGF, are recruited to the liver after injury. This Review examines liver regeneration from the perspective that BM SPCs that have been recruited to the liver, rather than mature LSECs, drive liver regeneration.","author":[{"dropping-particle":"","family":"DeLeve","given":"Laurie D.","non-dropping-particle":"","parse-names":false,"suffix":""}],"container-title":"Journal of Clinical Investigation","id":"ITEM-2","issue":"5","issued":{"date-parts":[["2013","5","1"]]},"page":"1861-1866","title":"Liver sinusoidal endothelial cells and liver regeneration","type":"article-journal","volume":"123"},"uris":["http://www.mendeley.com/documents/?uuid=e48a3fff-9bc5-4a6e-9711-f0793cd6590a"]}],"mendeley":{"formattedCitation":"&lt;sup&gt;[43,44]&lt;/sup&gt;","plainTextFormattedCitation":"[43,44]","previouslyFormattedCitation":"&lt;sup&gt;[43,44]&lt;/sup&gt;"},"properties":{"noteIndex":0},"schema":"https://github.com/citation-style-language/schema/raw/master/csl-citation.json"}</w:instrText>
      </w:r>
      <w:r w:rsidR="005B59EE" w:rsidRPr="00CA4C0B">
        <w:rPr>
          <w:rStyle w:val="None"/>
          <w:rFonts w:ascii="Book Antiqua" w:hAnsi="Book Antiqua"/>
          <w:color w:val="auto"/>
          <w:spacing w:val="-1"/>
          <w:sz w:val="24"/>
          <w:szCs w:val="24"/>
          <w:vertAlign w:val="superscript"/>
        </w:rPr>
        <w:fldChar w:fldCharType="separate"/>
      </w:r>
      <w:r w:rsidR="005B59EE" w:rsidRPr="00CA4C0B">
        <w:rPr>
          <w:rStyle w:val="None"/>
          <w:rFonts w:ascii="Book Antiqua" w:hAnsi="Book Antiqua"/>
          <w:noProof/>
          <w:color w:val="auto"/>
          <w:spacing w:val="-1"/>
          <w:sz w:val="24"/>
          <w:szCs w:val="24"/>
          <w:vertAlign w:val="superscript"/>
        </w:rPr>
        <w:t>[43,44]</w:t>
      </w:r>
      <w:r w:rsidR="005B59EE" w:rsidRPr="00CA4C0B">
        <w:rPr>
          <w:rStyle w:val="None"/>
          <w:rFonts w:ascii="Book Antiqua" w:hAnsi="Book Antiqua"/>
          <w:color w:val="auto"/>
          <w:spacing w:val="-1"/>
          <w:sz w:val="24"/>
          <w:szCs w:val="24"/>
          <w:vertAlign w:val="superscript"/>
        </w:rPr>
        <w:fldChar w:fldCharType="end"/>
      </w:r>
      <w:r w:rsidRPr="00CA4C0B">
        <w:rPr>
          <w:rStyle w:val="None"/>
          <w:rFonts w:ascii="Book Antiqua" w:hAnsi="Book Antiqua"/>
          <w:color w:val="auto"/>
          <w:sz w:val="24"/>
          <w:szCs w:val="24"/>
        </w:rPr>
        <w:t>. In the current study, the structure of liver tissue is investigated when the processes of regeneration and re-regeneration are completed. Considering the established opinion, when the no</w:t>
      </w:r>
      <w:r w:rsidRPr="00CA4C0B">
        <w:rPr>
          <w:rStyle w:val="None"/>
          <w:rFonts w:ascii="Book Antiqua" w:hAnsi="Book Antiqua"/>
          <w:color w:val="auto"/>
          <w:sz w:val="24"/>
          <w:szCs w:val="24"/>
        </w:rPr>
        <w:t>r</w:t>
      </w:r>
      <w:r w:rsidRPr="00CA4C0B">
        <w:rPr>
          <w:rStyle w:val="None"/>
          <w:rFonts w:ascii="Book Antiqua" w:hAnsi="Book Antiqua"/>
          <w:color w:val="auto"/>
          <w:sz w:val="24"/>
          <w:szCs w:val="24"/>
        </w:rPr>
        <w:t>mal liver mass/body mass ratio of 2.5% has been restored, liver r</w:t>
      </w:r>
      <w:r w:rsidR="00090C59" w:rsidRPr="00CA4C0B">
        <w:rPr>
          <w:rStyle w:val="None"/>
          <w:rFonts w:ascii="Book Antiqua" w:hAnsi="Book Antiqua"/>
          <w:color w:val="auto"/>
          <w:sz w:val="24"/>
          <w:szCs w:val="24"/>
        </w:rPr>
        <w:t>egeneration would be terminated</w:t>
      </w:r>
      <w:r w:rsidR="00CC720A" w:rsidRPr="00CA4C0B">
        <w:rPr>
          <w:rStyle w:val="None"/>
          <w:rFonts w:ascii="Book Antiqua" w:hAnsi="Book Antiqua"/>
          <w:color w:val="auto"/>
          <w:sz w:val="24"/>
          <w:szCs w:val="24"/>
        </w:rPr>
        <w:fldChar w:fldCharType="begin" w:fldLock="1"/>
      </w:r>
      <w:r w:rsidR="00264903" w:rsidRPr="00CA4C0B">
        <w:rPr>
          <w:rStyle w:val="None"/>
          <w:rFonts w:ascii="Book Antiqua" w:hAnsi="Book Antiqua"/>
          <w:color w:val="auto"/>
          <w:sz w:val="24"/>
          <w:szCs w:val="24"/>
        </w:rPr>
        <w:instrText>ADDIN CSL_CITATION {"citationItems":[{"id":"ITEM-1","itemData":{"DOI":"10.1155/2017/4256352","ISSN":"0962-9351","PMID":"28947857","abstract":"Liver regeneration is a highly organized tissue regrowth process and is the most important reaction of the liver to injury. The overall process of liver regeneration includes three phases: priming stage, proliferative phase, and termination phase. The initial step aims to induce hepatocytes to be sensitive to growth factors with the aid of some cytokines, including TNF- α and IL-6. The proliferation phase promotes hepatocytes to re-enter G1 with the stimulation of growth factors. While during the termination stage, hepatocytes will discontinue to proliferate to maintain normal liver mass and function. Except for cytokine- and growth factor-mediated pathways involved in regulating liver regeneration, new substances and technologies emerge to influence the regenerative process. Here, we reviewed novel and important signaling molecules involved in the process of liver regeneration to provide a cue for further research.","author":[{"dropping-particle":"","family":"Tao","given":"Yachao","non-dropping-particle":"","parse-names":false,"suffix":""},{"dropping-particle":"","family":"Wang","given":"Menglan","non-dropping-particle":"","parse-names":false,"suffix":""},{"dropping-particle":"","family":"Chen","given":"Enqiang","non-dropping-particle":"","parse-names":false,"suffix":""},{"dropping-particle":"","family":"Tang","given":"Hong","non-dropping-particle":"","parse-names":false,"suffix":""}],"container-title":"Mediators of Inflammation","id":"ITEM-1","issued":{"date-parts":[["2017"]]},"page":"1-9","title":"Liver Regeneration: Analysis of the Main Relevant Signaling Molecules","type":"article-journal","volume":"2017"},"uris":["http://www.mendeley.com/documents/?uuid=0ce8762f-a1ca-4863-85c7-05e4ae2adc52"]}],"mendeley":{"formattedCitation":"&lt;sup&gt;[16]&lt;/sup&gt;","plainTextFormattedCitation":"[16]","previouslyFormattedCitation":"&lt;sup&gt;[16]&lt;/sup&gt;"},"properties":{"noteIndex":0},"schema":"https://github.com/citation-style-language/schema/raw/master/csl-citation.json"}</w:instrText>
      </w:r>
      <w:r w:rsidR="00CC720A" w:rsidRPr="00CA4C0B">
        <w:rPr>
          <w:rStyle w:val="None"/>
          <w:rFonts w:ascii="Book Antiqua" w:hAnsi="Book Antiqua"/>
          <w:color w:val="auto"/>
          <w:sz w:val="24"/>
          <w:szCs w:val="24"/>
        </w:rPr>
        <w:fldChar w:fldCharType="separate"/>
      </w:r>
      <w:r w:rsidR="00CC720A" w:rsidRPr="00CA4C0B">
        <w:rPr>
          <w:rStyle w:val="None"/>
          <w:rFonts w:ascii="Book Antiqua" w:hAnsi="Book Antiqua"/>
          <w:noProof/>
          <w:color w:val="auto"/>
          <w:sz w:val="24"/>
          <w:szCs w:val="24"/>
          <w:vertAlign w:val="superscript"/>
        </w:rPr>
        <w:t>[16]</w:t>
      </w:r>
      <w:r w:rsidR="00CC720A" w:rsidRPr="00CA4C0B">
        <w:rPr>
          <w:rStyle w:val="None"/>
          <w:rFonts w:ascii="Book Antiqua" w:hAnsi="Book Antiqua"/>
          <w:color w:val="auto"/>
          <w:sz w:val="24"/>
          <w:szCs w:val="24"/>
        </w:rPr>
        <w:fldChar w:fldCharType="end"/>
      </w:r>
      <w:r w:rsidR="00597124">
        <w:rPr>
          <w:rStyle w:val="None"/>
          <w:rFonts w:ascii="Book Antiqua" w:hAnsi="Book Antiqua"/>
          <w:color w:val="auto"/>
          <w:sz w:val="24"/>
          <w:szCs w:val="24"/>
        </w:rPr>
        <w:t>.</w:t>
      </w:r>
      <w:r w:rsidRPr="00CA4C0B">
        <w:rPr>
          <w:rStyle w:val="None"/>
          <w:rFonts w:ascii="Book Antiqua" w:hAnsi="Book Antiqua"/>
          <w:color w:val="auto"/>
          <w:sz w:val="24"/>
          <w:szCs w:val="24"/>
        </w:rPr>
        <w:t xml:space="preserve"> Based on our data, it may be assumed that liver mass growth is provided by the hypertrophy of repopulated hepatocytes appearing after post-PH mitosis, on the one hand, and by the dilation of the sinusoidal c</w:t>
      </w:r>
      <w:r w:rsidRPr="00CA4C0B">
        <w:rPr>
          <w:rStyle w:val="None"/>
          <w:rFonts w:ascii="Book Antiqua" w:hAnsi="Book Antiqua"/>
          <w:color w:val="auto"/>
          <w:sz w:val="24"/>
          <w:szCs w:val="24"/>
        </w:rPr>
        <w:t>a</w:t>
      </w:r>
      <w:r w:rsidRPr="00CA4C0B">
        <w:rPr>
          <w:rStyle w:val="None"/>
          <w:rFonts w:ascii="Book Antiqua" w:hAnsi="Book Antiqua"/>
          <w:color w:val="auto"/>
          <w:sz w:val="24"/>
          <w:szCs w:val="24"/>
        </w:rPr>
        <w:t>pillaries, increase of the blood-vessel sizes and number of connective tissue f</w:t>
      </w:r>
      <w:r w:rsidRPr="00CA4C0B">
        <w:rPr>
          <w:rStyle w:val="None"/>
          <w:rFonts w:ascii="Book Antiqua" w:hAnsi="Book Antiqua"/>
          <w:color w:val="auto"/>
          <w:sz w:val="24"/>
          <w:szCs w:val="24"/>
        </w:rPr>
        <w:t>i</w:t>
      </w:r>
      <w:r w:rsidRPr="00CA4C0B">
        <w:rPr>
          <w:rStyle w:val="None"/>
          <w:rFonts w:ascii="Book Antiqua" w:hAnsi="Book Antiqua"/>
          <w:color w:val="auto"/>
          <w:sz w:val="24"/>
          <w:szCs w:val="24"/>
        </w:rPr>
        <w:t>bers, on the other hand.</w:t>
      </w:r>
    </w:p>
    <w:p w14:paraId="34A8FF72" w14:textId="72A84FDA" w:rsidR="004313EE" w:rsidRPr="00CA4C0B" w:rsidRDefault="00CE6644" w:rsidP="007F2CA0">
      <w:pPr>
        <w:pStyle w:val="a4"/>
        <w:snapToGrid w:val="0"/>
        <w:spacing w:line="360" w:lineRule="auto"/>
        <w:ind w:left="0" w:right="4" w:firstLineChars="100" w:firstLine="240"/>
        <w:jc w:val="both"/>
        <w:rPr>
          <w:rStyle w:val="None"/>
          <w:rFonts w:ascii="Book Antiqua" w:eastAsia="Times New Roman" w:hAnsi="Book Antiqua" w:cs="Times New Roman"/>
          <w:color w:val="auto"/>
          <w:sz w:val="24"/>
          <w:szCs w:val="24"/>
          <w:shd w:val="clear" w:color="auto" w:fill="FFFFFF"/>
        </w:rPr>
      </w:pPr>
      <w:r w:rsidRPr="00CA4C0B">
        <w:rPr>
          <w:rStyle w:val="None"/>
          <w:rFonts w:ascii="Book Antiqua" w:hAnsi="Book Antiqua"/>
          <w:color w:val="auto"/>
          <w:sz w:val="24"/>
          <w:szCs w:val="24"/>
          <w:shd w:val="clear" w:color="auto" w:fill="FFFFFF"/>
        </w:rPr>
        <w:t xml:space="preserve">According to Miyaoka </w:t>
      </w:r>
      <w:r w:rsidR="00090C59" w:rsidRPr="00CA4C0B">
        <w:rPr>
          <w:rStyle w:val="None"/>
          <w:rFonts w:ascii="Book Antiqua" w:hAnsi="Book Antiqua"/>
          <w:i/>
          <w:iCs/>
          <w:color w:val="auto"/>
          <w:sz w:val="24"/>
          <w:szCs w:val="24"/>
          <w:shd w:val="clear" w:color="auto" w:fill="FFFFFF"/>
        </w:rPr>
        <w:t>et al</w:t>
      </w:r>
      <w:r w:rsidR="00264903" w:rsidRPr="00CA4C0B">
        <w:rPr>
          <w:rStyle w:val="None"/>
          <w:rFonts w:ascii="Book Antiqua" w:hAnsi="Book Antiqua"/>
          <w:i/>
          <w:iCs/>
          <w:color w:val="auto"/>
          <w:sz w:val="24"/>
          <w:szCs w:val="24"/>
          <w:shd w:val="clear" w:color="auto" w:fill="FFFFFF"/>
        </w:rPr>
        <w:t xml:space="preserve"> </w:t>
      </w:r>
      <w:r w:rsidR="00264903" w:rsidRPr="00CA4C0B">
        <w:rPr>
          <w:rStyle w:val="None"/>
          <w:rFonts w:ascii="Book Antiqua" w:hAnsi="Book Antiqua"/>
          <w:i/>
          <w:iCs/>
          <w:color w:val="auto"/>
          <w:sz w:val="24"/>
          <w:szCs w:val="24"/>
          <w:shd w:val="clear" w:color="auto" w:fill="FFFFFF"/>
        </w:rPr>
        <w:fldChar w:fldCharType="begin" w:fldLock="1"/>
      </w:r>
      <w:r w:rsidR="00264903" w:rsidRPr="00CA4C0B">
        <w:rPr>
          <w:rStyle w:val="None"/>
          <w:rFonts w:ascii="Book Antiqua" w:hAnsi="Book Antiqua"/>
          <w:i/>
          <w:iCs/>
          <w:color w:val="auto"/>
          <w:sz w:val="24"/>
          <w:szCs w:val="24"/>
          <w:shd w:val="clear" w:color="auto" w:fill="FFFFFF"/>
        </w:rPr>
        <w:instrText>ADDIN CSL_CITATION {"citationItems":[{"id":"ITEM-1","itemData":{"DOI":"10.1016/j.cub.2012.05.016","ISSN":"09609822","PMID":"22658593","abstract":"The size of organs and tissues is basically determined by the number and size of their cells. However, little attention has been paid to this fundamental concept. The liver has a remarkable ability to regenerate after surgical resection (partial hepatectomy [PHx]), and hepatocytes account for about 80% of liver weight, so we investigate how the number and size of hepatocytes contribute to liver regeneration in mice. It has been generally accepted that hepatocytes undergo one or two rounds of cell division after 70% PHx. However, ploidy of hepatocytes is known to increase during regeneration, suggesting an unconventional cell cycle. We therefore examine cell cycle of hepatocytes in detail. By developing a method for genetic fate mapping and a high-throughput imaging system of individual hepatocytes, we show that cellular hypertrophy makes the first contribution to liver regeneration; i.e., regeneration after 30% PHx is achieved solely by hypertrophy without cell division, and hypertrophy precedes proliferation after 70% PHx. Proliferation and hypertrophy almost equally contribute to regeneration after 70% PHx. Furthermore, although most hepatocytes enter cell cycle after 70% PHx, not all hepatocytes undergo cell division. In addition, binuclear hepatocytes undergo reductive divisions to generate two mononuclear daughter hepatocytes in some cases. Our findings demonstrate the importance of hypertrophy and the unconventional cell division cycle of hepatocytes in regeneration, prompting a significant revision of the generally accepted model of liver regeneration. Copyright © 2012 Elsevier Ltd. All rights reserved.","author":[{"dropping-particle":"","family":"Miyaoka","given":"Yuichiro","non-dropping-particle":"","parse-names":false,"suffix":""},{"dropping-particle":"","family":"Ebato","given":"Kazuki","non-dropping-particle":"","parse-names":false,"suffix":""},{"dropping-particle":"","family":"Kato","given":"Hidenori","non-dropping-particle":"","parse-names":false,"suffix":""},{"dropping-particle":"","family":"Arakawa","given":"Satoko","non-dropping-particle":"","parse-names":false,"suffix":""},{"dropping-particle":"","family":"Shimizu","given":"Shigeomi","non-dropping-particle":"","parse-names":false,"suffix":""},{"dropping-particle":"","family":"Miyajima","given":"Atsushi","non-dropping-particle":"","parse-names":false,"suffix":""}],"container-title":"Current Biology","id":"ITEM-1","issue":"13","issued":{"date-parts":[["2012","7"]]},"page":"1166-1175","title":"Hypertrophy and Unconventional Cell Division of Hepatocytes Underlie Liver Regeneration","type":"article-journal","volume":"22"},"uris":["http://www.mendeley.com/documents/?uuid=7a685534-7ca5-486a-b629-43bfd0b8b682"]}],"mendeley":{"formattedCitation":"&lt;sup&gt;[45]&lt;/sup&gt;","plainTextFormattedCitation":"[45]","previouslyFormattedCitation":"&lt;sup&gt;[45]&lt;/sup&gt;"},"properties":{"noteIndex":0},"schema":"https://github.com/citation-style-language/schema/raw/master/csl-citation.json"}</w:instrText>
      </w:r>
      <w:r w:rsidR="00264903" w:rsidRPr="00CA4C0B">
        <w:rPr>
          <w:rStyle w:val="None"/>
          <w:rFonts w:ascii="Book Antiqua" w:hAnsi="Book Antiqua"/>
          <w:i/>
          <w:iCs/>
          <w:color w:val="auto"/>
          <w:sz w:val="24"/>
          <w:szCs w:val="24"/>
          <w:shd w:val="clear" w:color="auto" w:fill="FFFFFF"/>
        </w:rPr>
        <w:fldChar w:fldCharType="separate"/>
      </w:r>
      <w:r w:rsidR="00264903" w:rsidRPr="00CA4C0B">
        <w:rPr>
          <w:rStyle w:val="None"/>
          <w:rFonts w:ascii="Book Antiqua" w:hAnsi="Book Antiqua"/>
          <w:iCs/>
          <w:noProof/>
          <w:color w:val="auto"/>
          <w:sz w:val="24"/>
          <w:szCs w:val="24"/>
          <w:shd w:val="clear" w:color="auto" w:fill="FFFFFF"/>
          <w:vertAlign w:val="superscript"/>
        </w:rPr>
        <w:t>[45]</w:t>
      </w:r>
      <w:r w:rsidR="00264903" w:rsidRPr="00CA4C0B">
        <w:rPr>
          <w:rStyle w:val="None"/>
          <w:rFonts w:ascii="Book Antiqua" w:hAnsi="Book Antiqua"/>
          <w:i/>
          <w:iCs/>
          <w:color w:val="auto"/>
          <w:sz w:val="24"/>
          <w:szCs w:val="24"/>
          <w:shd w:val="clear" w:color="auto" w:fill="FFFFFF"/>
        </w:rPr>
        <w:fldChar w:fldCharType="end"/>
      </w:r>
      <w:r w:rsidRPr="00CA4C0B">
        <w:rPr>
          <w:rStyle w:val="None"/>
          <w:rFonts w:ascii="Book Antiqua" w:hAnsi="Book Antiqua"/>
          <w:color w:val="auto"/>
          <w:sz w:val="24"/>
          <w:szCs w:val="24"/>
          <w:shd w:val="clear" w:color="auto" w:fill="FFFFFF"/>
        </w:rPr>
        <w:t xml:space="preserve"> the number of hepatocytes in the remnant liver lobes after the 70% hepatectomy is increased 1.6 times, while the weight of these lobes is increased 2.4 times. This proves that hepatocytes are subject not only to hyperplasia but also to hypertrophy as well. These data confirm the results of our morphometric investigation. </w:t>
      </w:r>
    </w:p>
    <w:p w14:paraId="525C8357" w14:textId="7A80B4A4" w:rsidR="004313EE" w:rsidRPr="00CA4C0B" w:rsidRDefault="00CE6644" w:rsidP="007F2CA0">
      <w:pPr>
        <w:pStyle w:val="HTML"/>
        <w:tabs>
          <w:tab w:val="clear" w:pos="9160"/>
          <w:tab w:val="clear" w:pos="10076"/>
          <w:tab w:val="clear" w:pos="10992"/>
          <w:tab w:val="clear" w:pos="11908"/>
          <w:tab w:val="clear" w:pos="12824"/>
          <w:tab w:val="clear" w:pos="13740"/>
          <w:tab w:val="clear" w:pos="14656"/>
          <w:tab w:val="left" w:pos="9024"/>
        </w:tabs>
        <w:snapToGrid w:val="0"/>
        <w:spacing w:line="360" w:lineRule="auto"/>
        <w:ind w:firstLineChars="100" w:firstLine="240"/>
        <w:jc w:val="both"/>
        <w:rPr>
          <w:rStyle w:val="None"/>
          <w:rFonts w:ascii="Book Antiqua" w:eastAsia="Times New Roman" w:hAnsi="Book Antiqua" w:cs="Times New Roman"/>
          <w:color w:val="auto"/>
          <w:sz w:val="24"/>
          <w:szCs w:val="24"/>
          <w:u w:color="222222"/>
        </w:rPr>
      </w:pPr>
      <w:r w:rsidRPr="00CA4C0B">
        <w:rPr>
          <w:rStyle w:val="None"/>
          <w:rFonts w:ascii="Book Antiqua" w:hAnsi="Book Antiqua"/>
          <w:color w:val="auto"/>
          <w:sz w:val="24"/>
          <w:szCs w:val="24"/>
          <w:u w:color="222222"/>
        </w:rPr>
        <w:t>The increase in hepatocyte areas in SG</w:t>
      </w:r>
      <w:r w:rsidRPr="00CA4C0B">
        <w:rPr>
          <w:rStyle w:val="None"/>
          <w:rFonts w:ascii="Book Antiqua" w:hAnsi="Book Antiqua"/>
          <w:color w:val="auto"/>
          <w:sz w:val="24"/>
          <w:szCs w:val="24"/>
          <w:u w:color="222222"/>
          <w:vertAlign w:val="subscript"/>
        </w:rPr>
        <w:t>1</w:t>
      </w:r>
      <w:r w:rsidRPr="00CA4C0B">
        <w:rPr>
          <w:rStyle w:val="None"/>
          <w:rFonts w:ascii="Book Antiqua" w:hAnsi="Book Antiqua"/>
          <w:color w:val="auto"/>
          <w:sz w:val="24"/>
          <w:szCs w:val="24"/>
          <w:u w:color="222222"/>
        </w:rPr>
        <w:t xml:space="preserve"> and SC</w:t>
      </w:r>
      <w:r w:rsidRPr="00CA4C0B">
        <w:rPr>
          <w:rStyle w:val="None"/>
          <w:rFonts w:ascii="Book Antiqua" w:hAnsi="Book Antiqua"/>
          <w:color w:val="auto"/>
          <w:sz w:val="24"/>
          <w:szCs w:val="24"/>
          <w:u w:color="222222"/>
          <w:vertAlign w:val="subscript"/>
        </w:rPr>
        <w:t>2</w:t>
      </w:r>
      <w:r w:rsidRPr="00CA4C0B">
        <w:rPr>
          <w:rStyle w:val="None"/>
          <w:rFonts w:ascii="Book Antiqua" w:hAnsi="Book Antiqua"/>
          <w:color w:val="auto"/>
          <w:sz w:val="24"/>
          <w:szCs w:val="24"/>
          <w:u w:color="222222"/>
        </w:rPr>
        <w:t xml:space="preserve"> might be conditioned by two simultaneous processes - cell hypertrophy and polyploidy</w:t>
      </w:r>
      <w:r w:rsidR="00264903" w:rsidRPr="00CA4C0B">
        <w:rPr>
          <w:rStyle w:val="None"/>
          <w:rFonts w:ascii="Book Antiqua" w:hAnsi="Book Antiqua"/>
          <w:color w:val="auto"/>
          <w:sz w:val="24"/>
          <w:szCs w:val="24"/>
          <w:u w:color="222222"/>
        </w:rPr>
        <w:fldChar w:fldCharType="begin" w:fldLock="1"/>
      </w:r>
      <w:r w:rsidR="00B46EDC" w:rsidRPr="00CA4C0B">
        <w:rPr>
          <w:rStyle w:val="None"/>
          <w:rFonts w:ascii="Book Antiqua" w:hAnsi="Book Antiqua"/>
          <w:color w:val="auto"/>
          <w:sz w:val="24"/>
          <w:szCs w:val="24"/>
          <w:u w:color="222222"/>
        </w:rPr>
        <w:instrText>ADDIN CSL_CITATION {"citationItems":[{"id":"ITEM-1","itemData":{"DOI":"10.1016/j.cub.2012.05.016","ISSN":"09609822","PMID":"22658593","abstract":"The size of organs and tissues is basically determined by the number and size of their cells. However, little attention has been paid to this fundamental concept. The liver has a remarkable ability to regenerate after surgical resection (partial hepatectomy [PHx]), and hepatocytes account for about 80% of liver weight, so we investigate how the number and size of hepatocytes contribute to liver regeneration in mice. It has been generally accepted that hepatocytes undergo one or two rounds of cell division after 70% PHx. However, ploidy of hepatocytes is known to increase during regeneration, suggesting an unconventional cell cycle. We therefore examine cell cycle of hepatocytes in detail. By developing a method for genetic fate mapping and a high-throughput imaging system of individual hepatocytes, we show that cellular hypertrophy makes the first contribution to liver regeneration; i.e., regeneration after 30% PHx is achieved solely by hypertrophy without cell division, and hypertrophy precedes proliferation after 70% PHx. Proliferation and hypertrophy almost equally contribute to regeneration after 70% PHx. Furthermore, although most hepatocytes enter cell cycle after 70% PHx, not all hepatocytes undergo cell division. In addition, binuclear hepatocytes undergo reductive divisions to generate two mononuclear daughter hepatocytes in some cases. Our findings demonstrate the importance of hypertrophy and the unconventional cell division cycle of hepatocytes in regeneration, prompting a significant revision of the generally accepted model of liver regeneration. Copyright © 2012 Elsevier Ltd. All rights reserved.","author":[{"dropping-particle":"","family":"Miyaoka","given":"Yuichiro","non-dropping-particle":"","parse-names":false,"suffix":""},{"dropping-particle":"","family":"Ebato","given":"Kazuki","non-dropping-particle":"","parse-names":false,"suffix":""},{"dropping-particle":"","family":"Kato","given":"Hidenori","non-dropping-particle":"","parse-names":false,"suffix":""},{"dropping-particle":"","family":"Arakawa","given":"Satoko","non-dropping-particle":"","parse-names":false,"suffix":""},{"dropping-particle":"","family":"Shimizu","given":"Shigeomi","non-dropping-particle":"","parse-names":false,"suffix":""},{"dropping-particle":"","family":"Miyajima","given":"Atsushi","non-dropping-particle":"","parse-names":false,"suffix":""}],"container-title":"Current Biology","id":"ITEM-1","issue":"13","issued":{"date-parts":[["2012","7"]]},"page":"1166-1175","title":"Hypertrophy and Unconventional Cell Division of Hepatocytes Underlie Liver Regeneration","type":"article-journal","volume":"22"},"uris":["http://www.mendeley.com/documents/?uuid=7a685534-7ca5-486a-b629-43bfd0b8b682"]}],"mendeley":{"formattedCitation":"&lt;sup&gt;[45]&lt;/sup&gt;","plainTextFormattedCitation":"[45]","previouslyFormattedCitation":"&lt;sup&gt;[45]&lt;/sup&gt;"},"properties":{"noteIndex":0},"schema":"https://github.com/citation-style-language/schema/raw/master/csl-citation.json"}</w:instrText>
      </w:r>
      <w:r w:rsidR="00264903" w:rsidRPr="00CA4C0B">
        <w:rPr>
          <w:rStyle w:val="None"/>
          <w:rFonts w:ascii="Book Antiqua" w:hAnsi="Book Antiqua"/>
          <w:color w:val="auto"/>
          <w:sz w:val="24"/>
          <w:szCs w:val="24"/>
          <w:u w:color="222222"/>
        </w:rPr>
        <w:fldChar w:fldCharType="separate"/>
      </w:r>
      <w:r w:rsidR="00264903" w:rsidRPr="00CA4C0B">
        <w:rPr>
          <w:rStyle w:val="None"/>
          <w:rFonts w:ascii="Book Antiqua" w:hAnsi="Book Antiqua"/>
          <w:noProof/>
          <w:color w:val="auto"/>
          <w:sz w:val="24"/>
          <w:szCs w:val="24"/>
          <w:u w:color="222222"/>
          <w:vertAlign w:val="superscript"/>
        </w:rPr>
        <w:t>[45]</w:t>
      </w:r>
      <w:r w:rsidR="00264903" w:rsidRPr="00CA4C0B">
        <w:rPr>
          <w:rStyle w:val="None"/>
          <w:rFonts w:ascii="Book Antiqua" w:hAnsi="Book Antiqua"/>
          <w:color w:val="auto"/>
          <w:sz w:val="24"/>
          <w:szCs w:val="24"/>
          <w:u w:color="222222"/>
        </w:rPr>
        <w:fldChar w:fldCharType="end"/>
      </w:r>
      <w:r w:rsidRPr="00CA4C0B">
        <w:rPr>
          <w:rStyle w:val="None"/>
          <w:rFonts w:ascii="Book Antiqua" w:hAnsi="Book Antiqua"/>
          <w:color w:val="auto"/>
          <w:sz w:val="24"/>
          <w:szCs w:val="24"/>
          <w:u w:color="222222"/>
        </w:rPr>
        <w:t>. Our data show that both the primary and repeated PH results in an increase in the number of pol</w:t>
      </w:r>
      <w:r w:rsidRPr="00CA4C0B">
        <w:rPr>
          <w:rStyle w:val="None"/>
          <w:rFonts w:ascii="Book Antiqua" w:hAnsi="Book Antiqua"/>
          <w:color w:val="auto"/>
          <w:sz w:val="24"/>
          <w:szCs w:val="24"/>
          <w:u w:color="222222"/>
        </w:rPr>
        <w:t>y</w:t>
      </w:r>
      <w:r w:rsidRPr="00CA4C0B">
        <w:rPr>
          <w:rStyle w:val="None"/>
          <w:rFonts w:ascii="Book Antiqua" w:hAnsi="Book Antiqua"/>
          <w:color w:val="auto"/>
          <w:sz w:val="24"/>
          <w:szCs w:val="24"/>
          <w:u w:color="222222"/>
        </w:rPr>
        <w:t>ploid cells. This supports the assumption that along with hypertrophy and pr</w:t>
      </w:r>
      <w:r w:rsidRPr="00CA4C0B">
        <w:rPr>
          <w:rStyle w:val="None"/>
          <w:rFonts w:ascii="Book Antiqua" w:hAnsi="Book Antiqua"/>
          <w:color w:val="auto"/>
          <w:sz w:val="24"/>
          <w:szCs w:val="24"/>
          <w:u w:color="222222"/>
        </w:rPr>
        <w:t>o</w:t>
      </w:r>
      <w:r w:rsidRPr="00CA4C0B">
        <w:rPr>
          <w:rStyle w:val="None"/>
          <w:rFonts w:ascii="Book Antiqua" w:hAnsi="Book Antiqua"/>
          <w:color w:val="auto"/>
          <w:sz w:val="24"/>
          <w:szCs w:val="24"/>
          <w:u w:color="222222"/>
        </w:rPr>
        <w:t>liferation the genome content of hepatocytes is multiplied. The relatively high content of 8с cells in the SG</w:t>
      </w:r>
      <w:r w:rsidRPr="00CA4C0B">
        <w:rPr>
          <w:rStyle w:val="None"/>
          <w:rFonts w:ascii="Book Antiqua" w:hAnsi="Book Antiqua"/>
          <w:color w:val="auto"/>
          <w:sz w:val="24"/>
          <w:szCs w:val="24"/>
          <w:u w:color="222222"/>
          <w:vertAlign w:val="subscript"/>
        </w:rPr>
        <w:t>2</w:t>
      </w:r>
      <w:r w:rsidR="00F7733D" w:rsidRPr="00CA4C0B">
        <w:rPr>
          <w:rStyle w:val="None"/>
          <w:rFonts w:ascii="Book Antiqua" w:hAnsi="Book Antiqua"/>
          <w:color w:val="auto"/>
          <w:sz w:val="24"/>
          <w:szCs w:val="24"/>
          <w:u w:color="222222"/>
          <w:vertAlign w:val="subscript"/>
        </w:rPr>
        <w:t xml:space="preserve"> </w:t>
      </w:r>
      <w:r w:rsidRPr="00CA4C0B">
        <w:rPr>
          <w:rStyle w:val="None"/>
          <w:rFonts w:ascii="Book Antiqua" w:hAnsi="Book Antiqua"/>
          <w:color w:val="auto"/>
          <w:sz w:val="24"/>
          <w:szCs w:val="24"/>
          <w:u w:color="222222"/>
        </w:rPr>
        <w:t xml:space="preserve">might be stipulated by the increase of the functional load of the re-regenerated liver tissue. </w:t>
      </w:r>
    </w:p>
    <w:p w14:paraId="42279305" w14:textId="5AC73419" w:rsidR="004313EE" w:rsidRPr="00CA4C0B" w:rsidRDefault="00CE6644" w:rsidP="007F2CA0">
      <w:pPr>
        <w:pStyle w:val="a4"/>
        <w:snapToGrid w:val="0"/>
        <w:spacing w:line="360" w:lineRule="auto"/>
        <w:ind w:left="0" w:right="4"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shd w:val="clear" w:color="auto" w:fill="FFFFFF"/>
        </w:rPr>
        <w:t xml:space="preserve">Thus, it might be thought that after PH the regenerated liver (regenerated lobes) should contain an increased number of hypertrophied hepatocytes (the </w:t>
      </w:r>
      <w:r w:rsidRPr="00CA4C0B">
        <w:rPr>
          <w:rStyle w:val="None"/>
          <w:rFonts w:ascii="Book Antiqua" w:hAnsi="Book Antiqua"/>
          <w:color w:val="auto"/>
          <w:sz w:val="24"/>
          <w:szCs w:val="24"/>
          <w:shd w:val="clear" w:color="auto" w:fill="FFFFFF"/>
        </w:rPr>
        <w:lastRenderedPageBreak/>
        <w:t xml:space="preserve">part of which has the increased polyploidy). </w:t>
      </w:r>
      <w:r w:rsidRPr="00CA4C0B">
        <w:rPr>
          <w:rStyle w:val="None"/>
          <w:rFonts w:ascii="Book Antiqua" w:hAnsi="Book Antiqua"/>
          <w:color w:val="auto"/>
          <w:sz w:val="24"/>
          <w:szCs w:val="24"/>
        </w:rPr>
        <w:t>But in such a case, the size of all the lobes of the regenerated liver should exceed the size of the lobules from the co</w:t>
      </w:r>
      <w:r w:rsidRPr="00CA4C0B">
        <w:rPr>
          <w:rStyle w:val="None"/>
          <w:rFonts w:ascii="Book Antiqua" w:hAnsi="Book Antiqua"/>
          <w:color w:val="auto"/>
          <w:sz w:val="24"/>
          <w:szCs w:val="24"/>
        </w:rPr>
        <w:t>n</w:t>
      </w:r>
      <w:r w:rsidRPr="00CA4C0B">
        <w:rPr>
          <w:rStyle w:val="None"/>
          <w:rFonts w:ascii="Book Antiqua" w:hAnsi="Book Antiqua"/>
          <w:color w:val="auto"/>
          <w:sz w:val="24"/>
          <w:szCs w:val="24"/>
        </w:rPr>
        <w:t xml:space="preserve">trol group, as mentioned by </w:t>
      </w:r>
      <w:proofErr w:type="spellStart"/>
      <w:r w:rsidRPr="00CA4C0B">
        <w:rPr>
          <w:rStyle w:val="None"/>
          <w:rFonts w:ascii="Book Antiqua" w:hAnsi="Book Antiqua"/>
          <w:color w:val="auto"/>
          <w:sz w:val="24"/>
          <w:szCs w:val="24"/>
        </w:rPr>
        <w:t>Wagenaar</w:t>
      </w:r>
      <w:proofErr w:type="spellEnd"/>
      <w:r w:rsidRPr="00CA4C0B">
        <w:rPr>
          <w:rStyle w:val="None"/>
          <w:rFonts w:ascii="Book Antiqua" w:hAnsi="Book Antiqua"/>
          <w:color w:val="auto"/>
          <w:sz w:val="24"/>
          <w:szCs w:val="24"/>
        </w:rPr>
        <w:t xml:space="preserve"> </w:t>
      </w:r>
      <w:r w:rsidR="00DC60F3" w:rsidRPr="00CA4C0B">
        <w:rPr>
          <w:rStyle w:val="None"/>
          <w:rFonts w:ascii="Book Antiqua" w:hAnsi="Book Antiqua"/>
          <w:i/>
          <w:iCs/>
          <w:color w:val="auto"/>
          <w:sz w:val="24"/>
          <w:szCs w:val="24"/>
        </w:rPr>
        <w:t>et al</w:t>
      </w:r>
      <w:r w:rsidR="00B46EDC" w:rsidRPr="00CA4C0B">
        <w:rPr>
          <w:rStyle w:val="None"/>
          <w:rFonts w:ascii="Book Antiqua" w:hAnsi="Book Antiqua"/>
          <w:color w:val="auto"/>
          <w:spacing w:val="-1"/>
          <w:sz w:val="24"/>
          <w:szCs w:val="24"/>
          <w:vertAlign w:val="superscript"/>
        </w:rPr>
        <w:fldChar w:fldCharType="begin" w:fldLock="1"/>
      </w:r>
      <w:r w:rsidR="00156C39" w:rsidRPr="00CA4C0B">
        <w:rPr>
          <w:rStyle w:val="None"/>
          <w:rFonts w:ascii="Book Antiqua" w:hAnsi="Book Antiqua"/>
          <w:color w:val="auto"/>
          <w:spacing w:val="-1"/>
          <w:sz w:val="24"/>
          <w:szCs w:val="24"/>
          <w:vertAlign w:val="superscript"/>
        </w:rPr>
        <w:instrText>ADDIN CSL_CITATION {"citationItems":[{"id":"ITEM-1","itemData":{"DOI":"10.1016/S0168-8278(05)80224-7","ISSN":"01688278","PMID":"8100248","abstract":"Glutamine synthase and carbamoylphosphate synthase show a strikingly heterogeneous and fully complementary distribution in the rat liver. In the human liver, however, there is a midlobular zone where both enzymes are absent. The diameter of the human liver lobule is approximately twice the size of the rat lobule. To investigate whether lobule size is a major determinant for the expression patterns of glutamine synthase and carbamoylphosphate synthase, Wistar strain rats were partially hepatectomized 3 times, at weekly or monthly intervals. Due to hepatic regeneration the cross-sectional area of the liver lobules increased twofold. However, a midlobular zone which lacked expression of both glutamine synthase and carbamoylphosphate synthase did not develop in these livers, thus showing that lobular size is not a major determinant for the distribution patterns of glutamine and carbamoylphosphate synthase. The twofold increase in the cross-sectional area of the liver lobule was associated with a similar reduction in the relative number of glutamine synthase-positive cells and in the enzyme content of the liver, indicating that the regeneration process does not affect the pericentral pattern of glutamine synthase expression. After regeneration was complete, the glutamine synthase content in the liver was restored to its original value, demonstrating a twofold increase in the cellular concentration of glutamine synthase-positive hepatocytes. An increase in the diameter of the liver lobule was only seen after the first partial hepatectomy. Liver growth following subsequent partial hepatectomies can be explained by an increase in the length of the liver lobule and/or by splitting of liver lobules. The zonal distribution of DNA replication, which is characteristic of the first partial hepatectomy, is lost after repeated partial hepatectomies. Furthermore, evidence was obtained that the signal for inducing DNA synthesis may originate at the level of single liver units. © 1993 Elsevier Scientific Publishers Ireland Ltd. All rights reserved.","author":[{"dropping-particle":"","family":"Wagenaar","given":"Gerry T.M.","non-dropping-particle":"","parse-names":false,"suffix":""},{"dropping-particle":"","family":"Chamuleau","given":"Robert A.F.M.","non-dropping-particle":"","parse-names":false,"suffix":""},{"dropping-particle":"","family":"Pool","given":"Christiaan W.","non-dropping-particle":"","parse-names":false,"suffix":""},{"dropping-particle":"","family":"Haan","given":"Jan G.","non-dropping-particle":"de","parse-names":false,"suffix":""},{"dropping-particle":"","family":"Maas","given":"Martinus A.W.","non-dropping-particle":"","parse-names":false,"suffix":""},{"dropping-particle":"","family":"Korfage","given":"Hans A.M.","non-dropping-particle":"","parse-names":false,"suffix":""},{"dropping-particle":"","family":"Lamers","given":"Wouter H.","non-dropping-particle":"","parse-names":false,"suffix":""}],"container-title":"Journal of Hepatology","id":"ITEM-1","issue":"3","issued":{"date-parts":[["1993"]]},"page":"397-407","title":"Distribution and activity of glutamine synthase and carbamoylphosphate synthase upon enlargement of the liver lobule by repeated partial hepatectomies","type":"article-journal","volume":"17"},"uris":["http://www.mendeley.com/documents/?uuid=932ed64c-c7d8-4824-a0ab-6c1b0af76820"]}],"mendeley":{"formattedCitation":"&lt;sup&gt;[26]&lt;/sup&gt;","plainTextFormattedCitation":"[26]","previouslyFormattedCitation":"&lt;sup&gt;[26]&lt;/sup&gt;"},"properties":{"noteIndex":0},"schema":"https://github.com/citation-style-language/schema/raw/master/csl-citation.json"}</w:instrText>
      </w:r>
      <w:r w:rsidR="00B46EDC" w:rsidRPr="00CA4C0B">
        <w:rPr>
          <w:rStyle w:val="None"/>
          <w:rFonts w:ascii="Book Antiqua" w:hAnsi="Book Antiqua"/>
          <w:color w:val="auto"/>
          <w:spacing w:val="-1"/>
          <w:sz w:val="24"/>
          <w:szCs w:val="24"/>
          <w:vertAlign w:val="superscript"/>
        </w:rPr>
        <w:fldChar w:fldCharType="separate"/>
      </w:r>
      <w:r w:rsidR="00B46EDC" w:rsidRPr="00CA4C0B">
        <w:rPr>
          <w:rStyle w:val="None"/>
          <w:rFonts w:ascii="Book Antiqua" w:hAnsi="Book Antiqua"/>
          <w:noProof/>
          <w:color w:val="auto"/>
          <w:spacing w:val="-1"/>
          <w:sz w:val="24"/>
          <w:szCs w:val="24"/>
          <w:vertAlign w:val="superscript"/>
        </w:rPr>
        <w:t>[26]</w:t>
      </w:r>
      <w:r w:rsidR="00B46EDC" w:rsidRPr="00CA4C0B">
        <w:rPr>
          <w:rStyle w:val="None"/>
          <w:rFonts w:ascii="Book Antiqua" w:hAnsi="Book Antiqua"/>
          <w:color w:val="auto"/>
          <w:spacing w:val="-1"/>
          <w:sz w:val="24"/>
          <w:szCs w:val="24"/>
          <w:vertAlign w:val="superscript"/>
        </w:rPr>
        <w:fldChar w:fldCharType="end"/>
      </w:r>
      <w:r w:rsidRPr="00CA4C0B">
        <w:rPr>
          <w:rStyle w:val="None"/>
          <w:rFonts w:ascii="Book Antiqua" w:hAnsi="Book Antiqua"/>
          <w:color w:val="auto"/>
          <w:sz w:val="24"/>
          <w:szCs w:val="24"/>
        </w:rPr>
        <w:t xml:space="preserve"> showing that </w:t>
      </w:r>
      <w:proofErr w:type="spellStart"/>
      <w:r w:rsidRPr="00CA4C0B">
        <w:rPr>
          <w:rStyle w:val="None"/>
          <w:rFonts w:ascii="Book Antiqua" w:hAnsi="Book Antiqua"/>
          <w:color w:val="auto"/>
          <w:sz w:val="24"/>
          <w:szCs w:val="24"/>
          <w:shd w:val="clear" w:color="auto" w:fill="FFFFFF"/>
        </w:rPr>
        <w:t>porto</w:t>
      </w:r>
      <w:proofErr w:type="spellEnd"/>
      <w:r w:rsidRPr="00CA4C0B">
        <w:rPr>
          <w:rStyle w:val="None"/>
          <w:rFonts w:ascii="Book Antiqua" w:hAnsi="Book Antiqua"/>
          <w:color w:val="auto"/>
          <w:sz w:val="24"/>
          <w:szCs w:val="24"/>
          <w:shd w:val="clear" w:color="auto" w:fill="FFFFFF"/>
        </w:rPr>
        <w:t>-central di</w:t>
      </w:r>
      <w:r w:rsidRPr="00CA4C0B">
        <w:rPr>
          <w:rStyle w:val="None"/>
          <w:rFonts w:ascii="Book Antiqua" w:hAnsi="Book Antiqua"/>
          <w:color w:val="auto"/>
          <w:sz w:val="24"/>
          <w:szCs w:val="24"/>
          <w:shd w:val="clear" w:color="auto" w:fill="FFFFFF"/>
        </w:rPr>
        <w:t>s</w:t>
      </w:r>
      <w:r w:rsidRPr="00CA4C0B">
        <w:rPr>
          <w:rStyle w:val="None"/>
          <w:rFonts w:ascii="Book Antiqua" w:hAnsi="Book Antiqua"/>
          <w:color w:val="auto"/>
          <w:sz w:val="24"/>
          <w:szCs w:val="24"/>
          <w:shd w:val="clear" w:color="auto" w:fill="FFFFFF"/>
        </w:rPr>
        <w:t xml:space="preserve">tance is increased 1.2-1.5 times after </w:t>
      </w:r>
      <w:r w:rsidR="00DC60F3" w:rsidRPr="00CA4C0B">
        <w:rPr>
          <w:rStyle w:val="None"/>
          <w:rFonts w:ascii="Book Antiqua" w:hAnsi="Book Antiqua"/>
          <w:color w:val="auto"/>
          <w:spacing w:val="-1"/>
          <w:sz w:val="24"/>
          <w:szCs w:val="24"/>
        </w:rPr>
        <w:t>PH</w:t>
      </w:r>
      <w:r w:rsidRPr="00CA4C0B">
        <w:rPr>
          <w:rStyle w:val="None"/>
          <w:rFonts w:ascii="Book Antiqua" w:hAnsi="Book Antiqua"/>
          <w:color w:val="auto"/>
          <w:sz w:val="24"/>
          <w:szCs w:val="24"/>
          <w:shd w:val="clear" w:color="auto" w:fill="FFFFFF"/>
        </w:rPr>
        <w:t xml:space="preserve">. </w:t>
      </w:r>
    </w:p>
    <w:p w14:paraId="03400EAC" w14:textId="782C44E7" w:rsidR="004313EE" w:rsidRPr="00CA4C0B" w:rsidRDefault="00CE6644" w:rsidP="007F2CA0">
      <w:pPr>
        <w:pStyle w:val="BodyA"/>
        <w:snapToGrid w:val="0"/>
        <w:spacing w:after="0" w:line="360" w:lineRule="auto"/>
        <w:ind w:right="4" w:firstLineChars="100" w:firstLine="240"/>
        <w:jc w:val="both"/>
        <w:rPr>
          <w:rStyle w:val="None"/>
          <w:rFonts w:ascii="Book Antiqua" w:eastAsia="Times New Roman" w:hAnsi="Book Antiqua" w:cs="Times New Roman"/>
          <w:color w:val="auto"/>
          <w:sz w:val="24"/>
          <w:szCs w:val="24"/>
          <w:shd w:val="clear" w:color="auto" w:fill="FFFFFF"/>
        </w:rPr>
      </w:pPr>
      <w:r w:rsidRPr="00CA4C0B">
        <w:rPr>
          <w:rStyle w:val="None"/>
          <w:rFonts w:ascii="Book Antiqua" w:hAnsi="Book Antiqua"/>
          <w:color w:val="auto"/>
          <w:sz w:val="24"/>
          <w:szCs w:val="24"/>
          <w:shd w:val="clear" w:color="auto" w:fill="FFFFFF"/>
        </w:rPr>
        <w:t>However, the results of our study of histological and corrosion specimens (H&amp;E, Masson's trichrome, transparent slices prepared after injection of Indian-Ink/Gelatin) verify that together with the hypertrophied, to various degrees, lobules (incl</w:t>
      </w:r>
      <w:r w:rsidR="00DC60F3" w:rsidRPr="00CA4C0B">
        <w:rPr>
          <w:rStyle w:val="None"/>
          <w:rFonts w:ascii="Book Antiqua" w:hAnsi="Book Antiqua"/>
          <w:color w:val="auto"/>
          <w:sz w:val="24"/>
          <w:szCs w:val="24"/>
          <w:shd w:val="clear" w:color="auto" w:fill="FFFFFF"/>
        </w:rPr>
        <w:t xml:space="preserve">uding so-called Mega-lobules), </w:t>
      </w:r>
      <w:r w:rsidRPr="00CA4C0B">
        <w:rPr>
          <w:rStyle w:val="None"/>
          <w:rFonts w:ascii="Book Antiqua" w:hAnsi="Book Antiqua"/>
          <w:color w:val="auto"/>
          <w:sz w:val="24"/>
          <w:szCs w:val="24"/>
          <w:shd w:val="clear" w:color="auto" w:fill="FFFFFF"/>
        </w:rPr>
        <w:t>the lobules with the same size and shape as the lobules from the control group are found in both -</w:t>
      </w:r>
      <w:r w:rsidR="00F7733D" w:rsidRPr="00CA4C0B">
        <w:rPr>
          <w:rStyle w:val="None"/>
          <w:rFonts w:ascii="Book Antiqua" w:hAnsi="Book Antiqua"/>
          <w:color w:val="auto"/>
          <w:sz w:val="24"/>
          <w:szCs w:val="24"/>
          <w:shd w:val="clear" w:color="auto" w:fill="FFFFFF"/>
        </w:rPr>
        <w:t xml:space="preserve"> </w:t>
      </w:r>
      <w:r w:rsidRPr="00CA4C0B">
        <w:rPr>
          <w:rStyle w:val="None"/>
          <w:rFonts w:ascii="Book Antiqua" w:hAnsi="Book Antiqua"/>
          <w:color w:val="auto"/>
          <w:sz w:val="24"/>
          <w:szCs w:val="24"/>
          <w:shd w:val="clear" w:color="auto" w:fill="FFFFFF"/>
        </w:rPr>
        <w:t xml:space="preserve">regenerated and re-regenerated livers. </w:t>
      </w:r>
      <w:r w:rsidRPr="00CA4C0B">
        <w:rPr>
          <w:rStyle w:val="Hyperlink2"/>
          <w:rFonts w:ascii="Book Antiqua" w:eastAsia="Arial Unicode MS" w:hAnsi="Book Antiqua"/>
          <w:color w:val="auto"/>
        </w:rPr>
        <w:t xml:space="preserve">The existence of normal size and shape lobules indicates that the process of hyperplasia-hypertrophy did not affect all hepatocytes, and therefore all lobules. This assumption agrees with the observation of Miyaoka </w:t>
      </w:r>
      <w:r w:rsidRPr="00CA4C0B">
        <w:rPr>
          <w:rStyle w:val="None"/>
          <w:rFonts w:ascii="Book Antiqua" w:hAnsi="Book Antiqua"/>
          <w:i/>
          <w:iCs/>
          <w:color w:val="auto"/>
          <w:sz w:val="24"/>
          <w:szCs w:val="24"/>
          <w:lang w:val="nl-NL"/>
        </w:rPr>
        <w:t>et al</w:t>
      </w:r>
      <w:r w:rsidR="00156C39" w:rsidRPr="00CA4C0B">
        <w:rPr>
          <w:rStyle w:val="None"/>
          <w:rFonts w:ascii="Book Antiqua" w:hAnsi="Book Antiqua"/>
          <w:color w:val="auto"/>
          <w:sz w:val="24"/>
          <w:szCs w:val="24"/>
          <w:vertAlign w:val="superscript"/>
          <w:lang w:val="pt-PT"/>
        </w:rPr>
        <w:fldChar w:fldCharType="begin" w:fldLock="1"/>
      </w:r>
      <w:r w:rsidR="00156C39" w:rsidRPr="00CA4C0B">
        <w:rPr>
          <w:rStyle w:val="None"/>
          <w:rFonts w:ascii="Book Antiqua" w:hAnsi="Book Antiqua"/>
          <w:color w:val="auto"/>
          <w:sz w:val="24"/>
          <w:szCs w:val="24"/>
          <w:vertAlign w:val="superscript"/>
          <w:lang w:val="pt-PT"/>
        </w:rPr>
        <w:instrText>ADDIN CSL_CITATION {"citationItems":[{"id":"ITEM-1","itemData":{"DOI":"10.1186/1747-1028-8-8","ISSN":"1747-1028","PMID":"23786799","abstract":"The liver has a remarkable capacity to regenerate. Even with surgical removal (partial hepatectomy) of 70% of liver mass, the remnant tissue grows to recover the original mass and functions. Liver regeneration after partial hepatectomy has been studied extensively since the 19th century, establishing the long-standing model that hepatocytes, which account for most of the liver weight, proliferate to recover the original mass of the liver. The basis of this model is the fact that almost all hepatocytes undergo S phase, as shown by the incorporation of radioactive nucleotides during liver regeneration. However, DNA replication does not necessarily indicate the execution of cell division, and a possible change in hepatocyte size is not considered in the model. In addition, as 15-30% of hepatocytes in adult liver are binuclear, the difference in nuclear number may affect the mode of cell division during regeneration. Thus, the traditional model seems to be oversimplified. Recently, we developed new techniques to investigate the process of liver regeneration, and revealed interesting features of hepatocytes. In this review, we first provide a historical overview of how the widely accepted model of liver regeneration was established and then discuss some overlooked observations together with our recent findings. Finally, we describe the revised model and perspectives on liver regeneration research.","author":[{"dropping-particle":"","family":"Miyaoka","given":"Yuichiro","non-dropping-particle":"","parse-names":false,"suffix":""},{"dropping-particle":"","family":"Miyajima","given":"Atsushi","non-dropping-particle":"","parse-names":false,"suffix":""}],"container-title":"Cell division","id":"ITEM-1","issue":"1","issued":{"date-parts":[["2013","6","20"]]},"page":"8","publisher":"BioMed Central","title":"To divide or not to divide: revisiting liver regeneration.","type":"article-journal","volume":"8"},"uris":["http://www.mendeley.com/documents/?uuid=da870869-2ae4-3a88-ab70-c5c0009886a0"]}],"mendeley":{"formattedCitation":"&lt;sup&gt;[13]&lt;/sup&gt;","plainTextFormattedCitation":"[13]","previouslyFormattedCitation":"&lt;sup&gt;[13]&lt;/sup&gt;"},"properties":{"noteIndex":0},"schema":"https://github.com/citation-style-language/schema/raw/master/csl-citation.json"}</w:instrText>
      </w:r>
      <w:r w:rsidR="00156C39" w:rsidRPr="00CA4C0B">
        <w:rPr>
          <w:rStyle w:val="None"/>
          <w:rFonts w:ascii="Book Antiqua" w:hAnsi="Book Antiqua"/>
          <w:color w:val="auto"/>
          <w:sz w:val="24"/>
          <w:szCs w:val="24"/>
          <w:vertAlign w:val="superscript"/>
          <w:lang w:val="pt-PT"/>
        </w:rPr>
        <w:fldChar w:fldCharType="separate"/>
      </w:r>
      <w:r w:rsidR="00156C39" w:rsidRPr="00CA4C0B">
        <w:rPr>
          <w:rStyle w:val="None"/>
          <w:rFonts w:ascii="Book Antiqua" w:hAnsi="Book Antiqua"/>
          <w:noProof/>
          <w:color w:val="auto"/>
          <w:sz w:val="24"/>
          <w:szCs w:val="24"/>
          <w:vertAlign w:val="superscript"/>
          <w:lang w:val="pt-PT"/>
        </w:rPr>
        <w:t>[13]</w:t>
      </w:r>
      <w:r w:rsidR="00156C39" w:rsidRPr="00CA4C0B">
        <w:rPr>
          <w:rStyle w:val="None"/>
          <w:rFonts w:ascii="Book Antiqua" w:hAnsi="Book Antiqua"/>
          <w:color w:val="auto"/>
          <w:sz w:val="24"/>
          <w:szCs w:val="24"/>
          <w:vertAlign w:val="superscript"/>
          <w:lang w:val="pt-PT"/>
        </w:rPr>
        <w:fldChar w:fldCharType="end"/>
      </w:r>
      <w:r w:rsidRPr="00CA4C0B">
        <w:rPr>
          <w:rStyle w:val="Hyperlink2"/>
          <w:rFonts w:ascii="Book Antiqua" w:eastAsia="Arial Unicode MS" w:hAnsi="Book Antiqua"/>
          <w:color w:val="auto"/>
        </w:rPr>
        <w:t xml:space="preserve">. </w:t>
      </w:r>
    </w:p>
    <w:p w14:paraId="4B7F8685" w14:textId="7EFA43FC" w:rsidR="004313EE" w:rsidRPr="00CA4C0B" w:rsidRDefault="00CE6644" w:rsidP="007F2CA0">
      <w:pPr>
        <w:pStyle w:val="a4"/>
        <w:snapToGrid w:val="0"/>
        <w:spacing w:line="360" w:lineRule="auto"/>
        <w:ind w:left="0" w:right="4" w:firstLineChars="100" w:firstLine="240"/>
        <w:jc w:val="both"/>
        <w:rPr>
          <w:rStyle w:val="None"/>
          <w:rFonts w:ascii="Book Antiqua" w:eastAsia="Times New Roman" w:hAnsi="Book Antiqua" w:cs="Times New Roman"/>
          <w:color w:val="auto"/>
          <w:sz w:val="24"/>
          <w:szCs w:val="24"/>
          <w:shd w:val="clear" w:color="auto" w:fill="FFFFFF"/>
        </w:rPr>
      </w:pPr>
      <w:r w:rsidRPr="00CA4C0B">
        <w:rPr>
          <w:rStyle w:val="None"/>
          <w:rFonts w:ascii="Book Antiqua" w:hAnsi="Book Antiqua"/>
          <w:color w:val="auto"/>
          <w:sz w:val="24"/>
          <w:szCs w:val="24"/>
          <w:shd w:val="clear" w:color="auto" w:fill="FFFFFF"/>
        </w:rPr>
        <w:t>At the same time, the hepatocytes subjected to proliferation and hypertrophy have undergone remodeling and an increased size (hypertrophied) lobules i</w:t>
      </w:r>
      <w:r w:rsidRPr="00CA4C0B">
        <w:rPr>
          <w:rStyle w:val="None"/>
          <w:rFonts w:ascii="Book Antiqua" w:hAnsi="Book Antiqua"/>
          <w:color w:val="auto"/>
          <w:sz w:val="24"/>
          <w:szCs w:val="24"/>
          <w:shd w:val="clear" w:color="auto" w:fill="FFFFFF"/>
        </w:rPr>
        <w:t>n</w:t>
      </w:r>
      <w:r w:rsidRPr="00CA4C0B">
        <w:rPr>
          <w:rStyle w:val="None"/>
          <w:rFonts w:ascii="Book Antiqua" w:hAnsi="Book Antiqua"/>
          <w:color w:val="auto"/>
          <w:sz w:val="24"/>
          <w:szCs w:val="24"/>
          <w:shd w:val="clear" w:color="auto" w:fill="FFFFFF"/>
        </w:rPr>
        <w:t xml:space="preserve">cluding the non-standard shaped- and "Mega-lobules". This coincides with the opinion of </w:t>
      </w:r>
      <w:proofErr w:type="spellStart"/>
      <w:r w:rsidRPr="00CA4C0B">
        <w:rPr>
          <w:rStyle w:val="None"/>
          <w:rFonts w:ascii="Book Antiqua" w:hAnsi="Book Antiqua"/>
          <w:color w:val="auto"/>
          <w:sz w:val="24"/>
          <w:szCs w:val="24"/>
          <w:shd w:val="clear" w:color="auto" w:fill="FFFFFF"/>
        </w:rPr>
        <w:t>Wagenaar</w:t>
      </w:r>
      <w:proofErr w:type="spellEnd"/>
      <w:r w:rsidRPr="00CA4C0B">
        <w:rPr>
          <w:rStyle w:val="None"/>
          <w:rFonts w:ascii="Book Antiqua" w:hAnsi="Book Antiqua"/>
          <w:color w:val="auto"/>
          <w:sz w:val="24"/>
          <w:szCs w:val="24"/>
          <w:shd w:val="clear" w:color="auto" w:fill="FFFFFF"/>
        </w:rPr>
        <w:t xml:space="preserve"> </w:t>
      </w:r>
      <w:r w:rsidRPr="00CA4C0B">
        <w:rPr>
          <w:rStyle w:val="None"/>
          <w:rFonts w:ascii="Book Antiqua" w:hAnsi="Book Antiqua"/>
          <w:i/>
          <w:iCs/>
          <w:color w:val="auto"/>
          <w:sz w:val="24"/>
          <w:szCs w:val="24"/>
          <w:shd w:val="clear" w:color="auto" w:fill="FFFFFF"/>
        </w:rPr>
        <w:t xml:space="preserve">et </w:t>
      </w:r>
      <w:proofErr w:type="gramStart"/>
      <w:r w:rsidRPr="00CA4C0B">
        <w:rPr>
          <w:rStyle w:val="None"/>
          <w:rFonts w:ascii="Book Antiqua" w:hAnsi="Book Antiqua"/>
          <w:i/>
          <w:iCs/>
          <w:color w:val="auto"/>
          <w:sz w:val="24"/>
          <w:szCs w:val="24"/>
          <w:shd w:val="clear" w:color="auto" w:fill="FFFFFF"/>
        </w:rPr>
        <w:t>al</w:t>
      </w:r>
      <w:r w:rsidR="00A82A79" w:rsidRPr="00CA4C0B">
        <w:rPr>
          <w:rStyle w:val="None"/>
          <w:rFonts w:ascii="Book Antiqua" w:hAnsi="Book Antiqua"/>
          <w:color w:val="auto"/>
          <w:sz w:val="24"/>
          <w:szCs w:val="24"/>
          <w:shd w:val="clear" w:color="auto" w:fill="FFFFFF"/>
          <w:vertAlign w:val="superscript"/>
        </w:rPr>
        <w:t>[</w:t>
      </w:r>
      <w:proofErr w:type="gramEnd"/>
      <w:r w:rsidR="00A82A79" w:rsidRPr="00CA4C0B">
        <w:rPr>
          <w:rStyle w:val="None"/>
          <w:rFonts w:ascii="Book Antiqua" w:hAnsi="Book Antiqua"/>
          <w:color w:val="auto"/>
          <w:sz w:val="24"/>
          <w:szCs w:val="24"/>
          <w:shd w:val="clear" w:color="auto" w:fill="FFFFFF"/>
          <w:vertAlign w:val="superscript"/>
        </w:rPr>
        <w:t>30</w:t>
      </w:r>
      <w:r w:rsidRPr="00CA4C0B">
        <w:rPr>
          <w:rStyle w:val="None"/>
          <w:rFonts w:ascii="Book Antiqua" w:hAnsi="Book Antiqua"/>
          <w:color w:val="auto"/>
          <w:sz w:val="24"/>
          <w:szCs w:val="24"/>
          <w:shd w:val="clear" w:color="auto" w:fill="FFFFFF"/>
          <w:vertAlign w:val="superscript"/>
        </w:rPr>
        <w:t>]</w:t>
      </w:r>
      <w:r w:rsidRPr="00CA4C0B">
        <w:rPr>
          <w:rStyle w:val="None"/>
          <w:rFonts w:ascii="Book Antiqua" w:hAnsi="Book Antiqua"/>
          <w:color w:val="auto"/>
          <w:sz w:val="24"/>
          <w:szCs w:val="24"/>
          <w:shd w:val="clear" w:color="auto" w:fill="FFFFFF"/>
        </w:rPr>
        <w:t>.</w:t>
      </w:r>
      <w:r w:rsidR="00F7733D" w:rsidRPr="00CA4C0B">
        <w:rPr>
          <w:rStyle w:val="None"/>
          <w:rFonts w:ascii="Book Antiqua" w:hAnsi="Book Antiqua"/>
          <w:color w:val="auto"/>
          <w:sz w:val="24"/>
          <w:szCs w:val="24"/>
          <w:shd w:val="clear" w:color="auto" w:fill="FFFFFF"/>
        </w:rPr>
        <w:t xml:space="preserve"> </w:t>
      </w:r>
    </w:p>
    <w:p w14:paraId="76587255" w14:textId="4FD24A1F" w:rsidR="004313EE" w:rsidRPr="00CA4C0B" w:rsidRDefault="00CE6644" w:rsidP="007F2CA0">
      <w:pPr>
        <w:pStyle w:val="a4"/>
        <w:snapToGrid w:val="0"/>
        <w:spacing w:line="360" w:lineRule="auto"/>
        <w:ind w:left="0" w:right="4" w:firstLineChars="100" w:firstLine="240"/>
        <w:jc w:val="both"/>
        <w:rPr>
          <w:rStyle w:val="None"/>
          <w:rFonts w:ascii="Book Antiqua" w:eastAsia="Times New Roman" w:hAnsi="Book Antiqua" w:cs="Times New Roman"/>
          <w:color w:val="auto"/>
          <w:sz w:val="24"/>
          <w:szCs w:val="24"/>
          <w:shd w:val="clear" w:color="auto" w:fill="FFFFFF"/>
        </w:rPr>
      </w:pPr>
      <w:r w:rsidRPr="00CA4C0B">
        <w:rPr>
          <w:rStyle w:val="None"/>
          <w:rFonts w:ascii="Book Antiqua" w:hAnsi="Book Antiqua"/>
          <w:color w:val="auto"/>
          <w:sz w:val="24"/>
          <w:szCs w:val="24"/>
          <w:shd w:val="clear" w:color="auto" w:fill="FFFFFF"/>
        </w:rPr>
        <w:t xml:space="preserve">The results of our study do not allow estimation of whether the number of "supplying" (interlobular and inlet) and draining (central and </w:t>
      </w:r>
      <w:proofErr w:type="spellStart"/>
      <w:r w:rsidRPr="00CA4C0B">
        <w:rPr>
          <w:rStyle w:val="None"/>
          <w:rFonts w:ascii="Book Antiqua" w:hAnsi="Book Antiqua"/>
          <w:color w:val="auto"/>
          <w:sz w:val="24"/>
          <w:szCs w:val="24"/>
          <w:shd w:val="clear" w:color="auto" w:fill="FFFFFF"/>
        </w:rPr>
        <w:t>sublobular</w:t>
      </w:r>
      <w:proofErr w:type="spellEnd"/>
      <w:r w:rsidRPr="00CA4C0B">
        <w:rPr>
          <w:rStyle w:val="None"/>
          <w:rFonts w:ascii="Book Antiqua" w:hAnsi="Book Antiqua"/>
          <w:color w:val="auto"/>
          <w:sz w:val="24"/>
          <w:szCs w:val="24"/>
          <w:shd w:val="clear" w:color="auto" w:fill="FFFFFF"/>
        </w:rPr>
        <w:t xml:space="preserve">) </w:t>
      </w:r>
      <w:proofErr w:type="spellStart"/>
      <w:r w:rsidRPr="00CA4C0B">
        <w:rPr>
          <w:rStyle w:val="None"/>
          <w:rFonts w:ascii="Book Antiqua" w:hAnsi="Book Antiqua"/>
          <w:color w:val="auto"/>
          <w:sz w:val="24"/>
          <w:szCs w:val="24"/>
          <w:shd w:val="clear" w:color="auto" w:fill="FFFFFF"/>
        </w:rPr>
        <w:t>ve</w:t>
      </w:r>
      <w:r w:rsidRPr="00CA4C0B">
        <w:rPr>
          <w:rStyle w:val="None"/>
          <w:rFonts w:ascii="Book Antiqua" w:hAnsi="Book Antiqua"/>
          <w:color w:val="auto"/>
          <w:sz w:val="24"/>
          <w:szCs w:val="24"/>
          <w:shd w:val="clear" w:color="auto" w:fill="FFFFFF"/>
        </w:rPr>
        <w:t>n</w:t>
      </w:r>
      <w:r w:rsidRPr="00CA4C0B">
        <w:rPr>
          <w:rStyle w:val="None"/>
          <w:rFonts w:ascii="Book Antiqua" w:hAnsi="Book Antiqua"/>
          <w:color w:val="auto"/>
          <w:sz w:val="24"/>
          <w:szCs w:val="24"/>
          <w:shd w:val="clear" w:color="auto" w:fill="FFFFFF"/>
        </w:rPr>
        <w:t>ules</w:t>
      </w:r>
      <w:proofErr w:type="spellEnd"/>
      <w:r w:rsidRPr="00CA4C0B">
        <w:rPr>
          <w:rStyle w:val="None"/>
          <w:rFonts w:ascii="Book Antiqua" w:hAnsi="Book Antiqua"/>
          <w:color w:val="auto"/>
          <w:sz w:val="24"/>
          <w:szCs w:val="24"/>
          <w:shd w:val="clear" w:color="auto" w:fill="FFFFFF"/>
        </w:rPr>
        <w:t xml:space="preserve"> are increased or not. Therefore, no conclusions can be drawn regarding the proliferation of lobules, despite some researchers pointing out that the new lo</w:t>
      </w:r>
      <w:r w:rsidRPr="00CA4C0B">
        <w:rPr>
          <w:rStyle w:val="None"/>
          <w:rFonts w:ascii="Book Antiqua" w:hAnsi="Book Antiqua"/>
          <w:color w:val="auto"/>
          <w:sz w:val="24"/>
          <w:szCs w:val="24"/>
          <w:shd w:val="clear" w:color="auto" w:fill="FFFFFF"/>
        </w:rPr>
        <w:t>b</w:t>
      </w:r>
      <w:r w:rsidRPr="00CA4C0B">
        <w:rPr>
          <w:rStyle w:val="None"/>
          <w:rFonts w:ascii="Book Antiqua" w:hAnsi="Book Antiqua"/>
          <w:color w:val="auto"/>
          <w:sz w:val="24"/>
          <w:szCs w:val="24"/>
          <w:shd w:val="clear" w:color="auto" w:fill="FFFFFF"/>
        </w:rPr>
        <w:t>ules should be formed within 56-122 d</w:t>
      </w:r>
      <w:r w:rsidR="00FF3831" w:rsidRPr="00CA4C0B">
        <w:rPr>
          <w:rStyle w:val="None"/>
          <w:rFonts w:ascii="Book Antiqua" w:hAnsi="Book Antiqua"/>
          <w:color w:val="auto"/>
          <w:sz w:val="24"/>
          <w:szCs w:val="24"/>
          <w:shd w:val="clear" w:color="auto" w:fill="FFFFFF"/>
        </w:rPr>
        <w:t xml:space="preserve"> </w:t>
      </w:r>
      <w:r w:rsidRPr="00CA4C0B">
        <w:rPr>
          <w:rStyle w:val="None"/>
          <w:rFonts w:ascii="Book Antiqua" w:hAnsi="Book Antiqua"/>
          <w:color w:val="auto"/>
          <w:sz w:val="24"/>
          <w:szCs w:val="24"/>
          <w:shd w:val="clear" w:color="auto" w:fill="FFFFFF"/>
        </w:rPr>
        <w:t xml:space="preserve">from the </w:t>
      </w:r>
      <w:r w:rsidRPr="00CA4C0B">
        <w:rPr>
          <w:rStyle w:val="None"/>
          <w:rFonts w:ascii="Book Antiqua" w:hAnsi="Book Antiqua"/>
          <w:color w:val="auto"/>
          <w:spacing w:val="-1"/>
          <w:sz w:val="24"/>
          <w:szCs w:val="24"/>
        </w:rPr>
        <w:t>PH</w:t>
      </w:r>
      <w:r w:rsidR="00156C39" w:rsidRPr="00CA4C0B">
        <w:rPr>
          <w:rStyle w:val="None"/>
          <w:rFonts w:ascii="Book Antiqua" w:hAnsi="Book Antiqua"/>
          <w:color w:val="auto"/>
          <w:sz w:val="24"/>
          <w:szCs w:val="24"/>
          <w:shd w:val="clear" w:color="auto" w:fill="FFFFFF"/>
          <w:vertAlign w:val="superscript"/>
        </w:rPr>
        <w:fldChar w:fldCharType="begin" w:fldLock="1"/>
      </w:r>
      <w:r w:rsidR="00156C39" w:rsidRPr="00CA4C0B">
        <w:rPr>
          <w:rStyle w:val="None"/>
          <w:rFonts w:ascii="Book Antiqua" w:hAnsi="Book Antiqua"/>
          <w:color w:val="auto"/>
          <w:sz w:val="24"/>
          <w:szCs w:val="24"/>
          <w:shd w:val="clear" w:color="auto" w:fill="FFFFFF"/>
          <w:vertAlign w:val="superscript"/>
        </w:rPr>
        <w:instrText>ADDIN CSL_CITATION {"citationItems":[{"id":"ITEM-1","itemData":{"DOI":"10.1002/ar.1091690304","ISSN":"0003-276X","PMID":"5550530","abstract":"The possibility of the formation of new lobules in rat liver during the course of compensatory growth has been investigated. Two methods inducing regeneration were used: the method of subtotal hepatectomy and the method of porcelain bead implantation. Observations were made at 28, 42, 56, 68, 84 and 112 days after subtotal hepatectomy, and at 28 and 42 days after im</w:instrText>
      </w:r>
      <w:r w:rsidR="00156C39" w:rsidRPr="00CA4C0B">
        <w:rPr>
          <w:rStyle w:val="None"/>
          <w:rFonts w:ascii="Book Antiqua" w:hAnsi="Book Antiqua" w:hint="eastAsia"/>
          <w:color w:val="auto"/>
          <w:sz w:val="24"/>
          <w:szCs w:val="24"/>
          <w:shd w:val="clear" w:color="auto" w:fill="FFFFFF"/>
          <w:vertAlign w:val="superscript"/>
        </w:rPr>
        <w:instrText>plantation of the bead. The results obtained from subtotal hepatectomy were expressed as the lobular radius (or portal</w:instrText>
      </w:r>
      <w:r w:rsidR="00156C39" w:rsidRPr="00CA4C0B">
        <w:rPr>
          <w:rStyle w:val="None"/>
          <w:rFonts w:ascii="Cambria Math" w:hAnsi="Cambria Math" w:cs="Cambria Math"/>
          <w:color w:val="auto"/>
          <w:sz w:val="24"/>
          <w:szCs w:val="24"/>
          <w:shd w:val="clear" w:color="auto" w:fill="FFFFFF"/>
          <w:vertAlign w:val="superscript"/>
        </w:rPr>
        <w:instrText>‐</w:instrText>
      </w:r>
      <w:r w:rsidR="00156C39" w:rsidRPr="00CA4C0B">
        <w:rPr>
          <w:rStyle w:val="None"/>
          <w:rFonts w:ascii="Book Antiqua" w:hAnsi="Book Antiqua" w:hint="eastAsia"/>
          <w:color w:val="auto"/>
          <w:sz w:val="24"/>
          <w:szCs w:val="24"/>
          <w:shd w:val="clear" w:color="auto" w:fill="FFFFFF"/>
          <w:vertAlign w:val="superscript"/>
        </w:rPr>
        <w:instrText xml:space="preserve">central vein distance) measured in micra. The values were 404 </w:instrText>
      </w:r>
      <w:r w:rsidR="00156C39" w:rsidRPr="00CA4C0B">
        <w:rPr>
          <w:rStyle w:val="None"/>
          <w:rFonts w:ascii="Book Antiqua" w:hAnsi="Book Antiqua" w:hint="eastAsia"/>
          <w:color w:val="auto"/>
          <w:sz w:val="24"/>
          <w:szCs w:val="24"/>
          <w:shd w:val="clear" w:color="auto" w:fill="FFFFFF"/>
          <w:vertAlign w:val="superscript"/>
        </w:rPr>
        <w:instrText>μ</w:instrText>
      </w:r>
      <w:r w:rsidR="00156C39" w:rsidRPr="00CA4C0B">
        <w:rPr>
          <w:rStyle w:val="None"/>
          <w:rFonts w:ascii="Book Antiqua" w:hAnsi="Book Antiqua" w:hint="eastAsia"/>
          <w:color w:val="auto"/>
          <w:sz w:val="24"/>
          <w:szCs w:val="24"/>
          <w:shd w:val="clear" w:color="auto" w:fill="FFFFFF"/>
          <w:vertAlign w:val="superscript"/>
        </w:rPr>
        <w:instrText xml:space="preserve"> at the twenty</w:instrText>
      </w:r>
      <w:r w:rsidR="00156C39" w:rsidRPr="00CA4C0B">
        <w:rPr>
          <w:rStyle w:val="None"/>
          <w:rFonts w:ascii="Cambria Math" w:hAnsi="Cambria Math" w:cs="Cambria Math"/>
          <w:color w:val="auto"/>
          <w:sz w:val="24"/>
          <w:szCs w:val="24"/>
          <w:shd w:val="clear" w:color="auto" w:fill="FFFFFF"/>
          <w:vertAlign w:val="superscript"/>
        </w:rPr>
        <w:instrText>‐</w:instrText>
      </w:r>
      <w:r w:rsidR="00156C39" w:rsidRPr="00CA4C0B">
        <w:rPr>
          <w:rStyle w:val="None"/>
          <w:rFonts w:ascii="Book Antiqua" w:hAnsi="Book Antiqua" w:hint="eastAsia"/>
          <w:color w:val="auto"/>
          <w:sz w:val="24"/>
          <w:szCs w:val="24"/>
          <w:shd w:val="clear" w:color="auto" w:fill="FFFFFF"/>
          <w:vertAlign w:val="superscript"/>
        </w:rPr>
        <w:instrText xml:space="preserve">eighth day after hepatectomy and 324 </w:instrText>
      </w:r>
      <w:r w:rsidR="00156C39" w:rsidRPr="00CA4C0B">
        <w:rPr>
          <w:rStyle w:val="None"/>
          <w:rFonts w:ascii="Book Antiqua" w:hAnsi="Book Antiqua" w:hint="eastAsia"/>
          <w:color w:val="auto"/>
          <w:sz w:val="24"/>
          <w:szCs w:val="24"/>
          <w:shd w:val="clear" w:color="auto" w:fill="FFFFFF"/>
          <w:vertAlign w:val="superscript"/>
        </w:rPr>
        <w:instrText>μ</w:instrText>
      </w:r>
      <w:r w:rsidR="00156C39" w:rsidRPr="00CA4C0B">
        <w:rPr>
          <w:rStyle w:val="None"/>
          <w:rFonts w:ascii="Book Antiqua" w:hAnsi="Book Antiqua" w:hint="eastAsia"/>
          <w:color w:val="auto"/>
          <w:sz w:val="24"/>
          <w:szCs w:val="24"/>
          <w:shd w:val="clear" w:color="auto" w:fill="FFFFFF"/>
          <w:vertAlign w:val="superscript"/>
        </w:rPr>
        <w:instrText xml:space="preserve"> at the one</w:instrText>
      </w:r>
      <w:r w:rsidR="00156C39" w:rsidRPr="00CA4C0B">
        <w:rPr>
          <w:rStyle w:val="None"/>
          <w:rFonts w:ascii="Cambria Math" w:hAnsi="Cambria Math" w:cs="Cambria Math"/>
          <w:color w:val="auto"/>
          <w:sz w:val="24"/>
          <w:szCs w:val="24"/>
          <w:shd w:val="clear" w:color="auto" w:fill="FFFFFF"/>
          <w:vertAlign w:val="superscript"/>
        </w:rPr>
        <w:instrText>‐</w:instrText>
      </w:r>
      <w:r w:rsidR="00156C39" w:rsidRPr="00CA4C0B">
        <w:rPr>
          <w:rStyle w:val="None"/>
          <w:rFonts w:ascii="Book Antiqua" w:hAnsi="Book Antiqua" w:hint="eastAsia"/>
          <w:color w:val="auto"/>
          <w:sz w:val="24"/>
          <w:szCs w:val="24"/>
          <w:shd w:val="clear" w:color="auto" w:fill="FFFFFF"/>
          <w:vertAlign w:val="superscript"/>
        </w:rPr>
        <w:instrText>hundred</w:instrText>
      </w:r>
      <w:r w:rsidR="00156C39" w:rsidRPr="00CA4C0B">
        <w:rPr>
          <w:rStyle w:val="None"/>
          <w:rFonts w:ascii="Cambria Math" w:hAnsi="Cambria Math" w:cs="Cambria Math"/>
          <w:color w:val="auto"/>
          <w:sz w:val="24"/>
          <w:szCs w:val="24"/>
          <w:shd w:val="clear" w:color="auto" w:fill="FFFFFF"/>
          <w:vertAlign w:val="superscript"/>
        </w:rPr>
        <w:instrText>‐</w:instrText>
      </w:r>
      <w:r w:rsidR="00156C39" w:rsidRPr="00CA4C0B">
        <w:rPr>
          <w:rStyle w:val="None"/>
          <w:rFonts w:ascii="Book Antiqua" w:hAnsi="Book Antiqua" w:hint="eastAsia"/>
          <w:color w:val="auto"/>
          <w:sz w:val="24"/>
          <w:szCs w:val="24"/>
          <w:shd w:val="clear" w:color="auto" w:fill="FFFFFF"/>
          <w:vertAlign w:val="superscript"/>
        </w:rPr>
        <w:instrText xml:space="preserve">twelfth day. The results obtained from bead implantation were 352 </w:instrText>
      </w:r>
      <w:r w:rsidR="00156C39" w:rsidRPr="00CA4C0B">
        <w:rPr>
          <w:rStyle w:val="None"/>
          <w:rFonts w:ascii="Book Antiqua" w:hAnsi="Book Antiqua" w:hint="eastAsia"/>
          <w:color w:val="auto"/>
          <w:sz w:val="24"/>
          <w:szCs w:val="24"/>
          <w:shd w:val="clear" w:color="auto" w:fill="FFFFFF"/>
          <w:vertAlign w:val="superscript"/>
        </w:rPr>
        <w:instrText>μ</w:instrText>
      </w:r>
      <w:r w:rsidR="00156C39" w:rsidRPr="00CA4C0B">
        <w:rPr>
          <w:rStyle w:val="None"/>
          <w:rFonts w:ascii="Book Antiqua" w:hAnsi="Book Antiqua" w:hint="eastAsia"/>
          <w:color w:val="auto"/>
          <w:sz w:val="24"/>
          <w:szCs w:val="24"/>
          <w:shd w:val="clear" w:color="auto" w:fill="FFFFFF"/>
          <w:vertAlign w:val="superscript"/>
        </w:rPr>
        <w:instrText xml:space="preserve"> at the twenty</w:instrText>
      </w:r>
      <w:r w:rsidR="00156C39" w:rsidRPr="00CA4C0B">
        <w:rPr>
          <w:rStyle w:val="None"/>
          <w:rFonts w:ascii="Cambria Math" w:hAnsi="Cambria Math" w:cs="Cambria Math"/>
          <w:color w:val="auto"/>
          <w:sz w:val="24"/>
          <w:szCs w:val="24"/>
          <w:shd w:val="clear" w:color="auto" w:fill="FFFFFF"/>
          <w:vertAlign w:val="superscript"/>
        </w:rPr>
        <w:instrText>‐</w:instrText>
      </w:r>
      <w:r w:rsidR="00156C39" w:rsidRPr="00CA4C0B">
        <w:rPr>
          <w:rStyle w:val="None"/>
          <w:rFonts w:ascii="Book Antiqua" w:hAnsi="Book Antiqua" w:hint="eastAsia"/>
          <w:color w:val="auto"/>
          <w:sz w:val="24"/>
          <w:szCs w:val="24"/>
          <w:shd w:val="clear" w:color="auto" w:fill="FFFFFF"/>
          <w:vertAlign w:val="superscript"/>
        </w:rPr>
        <w:instrText xml:space="preserve">eighth day after implantation and 305 </w:instrText>
      </w:r>
      <w:r w:rsidR="00156C39" w:rsidRPr="00CA4C0B">
        <w:rPr>
          <w:rStyle w:val="None"/>
          <w:rFonts w:ascii="Book Antiqua" w:hAnsi="Book Antiqua" w:hint="eastAsia"/>
          <w:color w:val="auto"/>
          <w:sz w:val="24"/>
          <w:szCs w:val="24"/>
          <w:shd w:val="clear" w:color="auto" w:fill="FFFFFF"/>
          <w:vertAlign w:val="superscript"/>
        </w:rPr>
        <w:instrText>μ</w:instrText>
      </w:r>
      <w:r w:rsidR="00156C39" w:rsidRPr="00CA4C0B">
        <w:rPr>
          <w:rStyle w:val="None"/>
          <w:rFonts w:ascii="Book Antiqua" w:hAnsi="Book Antiqua" w:hint="eastAsia"/>
          <w:color w:val="auto"/>
          <w:sz w:val="24"/>
          <w:szCs w:val="24"/>
          <w:shd w:val="clear" w:color="auto" w:fill="FFFFFF"/>
          <w:vertAlign w:val="superscript"/>
        </w:rPr>
        <w:instrText xml:space="preserve"> at the forty</w:instrText>
      </w:r>
      <w:r w:rsidR="00156C39" w:rsidRPr="00CA4C0B">
        <w:rPr>
          <w:rStyle w:val="None"/>
          <w:rFonts w:ascii="Cambria Math" w:hAnsi="Cambria Math" w:cs="Cambria Math"/>
          <w:color w:val="auto"/>
          <w:sz w:val="24"/>
          <w:szCs w:val="24"/>
          <w:shd w:val="clear" w:color="auto" w:fill="FFFFFF"/>
          <w:vertAlign w:val="superscript"/>
        </w:rPr>
        <w:instrText>‐</w:instrText>
      </w:r>
      <w:r w:rsidR="00156C39" w:rsidRPr="00CA4C0B">
        <w:rPr>
          <w:rStyle w:val="None"/>
          <w:rFonts w:ascii="Book Antiqua" w:hAnsi="Book Antiqua" w:hint="eastAsia"/>
          <w:color w:val="auto"/>
          <w:sz w:val="24"/>
          <w:szCs w:val="24"/>
          <w:shd w:val="clear" w:color="auto" w:fill="FFFFFF"/>
          <w:vertAlign w:val="superscript"/>
        </w:rPr>
        <w:instrText>second day. It is concluded that regenerating rat liver undergoes structural changes involving new lobule formation between the fifty</w:instrText>
      </w:r>
      <w:r w:rsidR="00156C39" w:rsidRPr="00CA4C0B">
        <w:rPr>
          <w:rStyle w:val="None"/>
          <w:rFonts w:ascii="Cambria Math" w:hAnsi="Cambria Math" w:cs="Cambria Math"/>
          <w:color w:val="auto"/>
          <w:sz w:val="24"/>
          <w:szCs w:val="24"/>
          <w:shd w:val="clear" w:color="auto" w:fill="FFFFFF"/>
          <w:vertAlign w:val="superscript"/>
        </w:rPr>
        <w:instrText>‐</w:instrText>
      </w:r>
      <w:r w:rsidR="00156C39" w:rsidRPr="00CA4C0B">
        <w:rPr>
          <w:rStyle w:val="None"/>
          <w:rFonts w:ascii="Book Antiqua" w:hAnsi="Book Antiqua" w:hint="eastAsia"/>
          <w:color w:val="auto"/>
          <w:sz w:val="24"/>
          <w:szCs w:val="24"/>
          <w:shd w:val="clear" w:color="auto" w:fill="FFFFFF"/>
          <w:vertAlign w:val="superscript"/>
        </w:rPr>
        <w:instrText>sixth and the one</w:instrText>
      </w:r>
      <w:r w:rsidR="00156C39" w:rsidRPr="00CA4C0B">
        <w:rPr>
          <w:rStyle w:val="None"/>
          <w:rFonts w:ascii="Cambria Math" w:hAnsi="Cambria Math" w:cs="Cambria Math"/>
          <w:color w:val="auto"/>
          <w:sz w:val="24"/>
          <w:szCs w:val="24"/>
          <w:shd w:val="clear" w:color="auto" w:fill="FFFFFF"/>
          <w:vertAlign w:val="superscript"/>
        </w:rPr>
        <w:instrText>‐</w:instrText>
      </w:r>
      <w:r w:rsidR="00156C39" w:rsidRPr="00CA4C0B">
        <w:rPr>
          <w:rStyle w:val="None"/>
          <w:rFonts w:ascii="Book Antiqua" w:hAnsi="Book Antiqua" w:hint="eastAsia"/>
          <w:color w:val="auto"/>
          <w:sz w:val="24"/>
          <w:szCs w:val="24"/>
          <w:shd w:val="clear" w:color="auto" w:fill="FFFFFF"/>
          <w:vertAlign w:val="superscript"/>
        </w:rPr>
        <w:instrText>hundred</w:instrText>
      </w:r>
      <w:r w:rsidR="00156C39" w:rsidRPr="00CA4C0B">
        <w:rPr>
          <w:rStyle w:val="None"/>
          <w:rFonts w:ascii="Cambria Math" w:hAnsi="Cambria Math" w:cs="Cambria Math"/>
          <w:color w:val="auto"/>
          <w:sz w:val="24"/>
          <w:szCs w:val="24"/>
          <w:shd w:val="clear" w:color="auto" w:fill="FFFFFF"/>
          <w:vertAlign w:val="superscript"/>
        </w:rPr>
        <w:instrText>‐</w:instrText>
      </w:r>
      <w:r w:rsidR="00156C39" w:rsidRPr="00CA4C0B">
        <w:rPr>
          <w:rStyle w:val="None"/>
          <w:rFonts w:ascii="Book Antiqua" w:hAnsi="Book Antiqua" w:hint="eastAsia"/>
          <w:color w:val="auto"/>
          <w:sz w:val="24"/>
          <w:szCs w:val="24"/>
          <w:shd w:val="clear" w:color="auto" w:fill="FFFFFF"/>
          <w:vertAlign w:val="superscript"/>
        </w:rPr>
        <w:instrText>twelfth day after subtotal hepatectomy, and sometime after the fourth week after bead implantation. The difference in times after which structural changes occur is explained by the difference in intensity of stimulus in the two methods. Copyright © 1971 Wiley</w:instrText>
      </w:r>
      <w:r w:rsidR="00156C39" w:rsidRPr="00CA4C0B">
        <w:rPr>
          <w:rStyle w:val="None"/>
          <w:rFonts w:ascii="Cambria Math" w:hAnsi="Cambria Math" w:cs="Cambria Math"/>
          <w:color w:val="auto"/>
          <w:sz w:val="24"/>
          <w:szCs w:val="24"/>
          <w:shd w:val="clear" w:color="auto" w:fill="FFFFFF"/>
          <w:vertAlign w:val="superscript"/>
        </w:rPr>
        <w:instrText>‐</w:instrText>
      </w:r>
      <w:r w:rsidR="00156C39" w:rsidRPr="00CA4C0B">
        <w:rPr>
          <w:rStyle w:val="None"/>
          <w:rFonts w:ascii="Book Antiqua" w:hAnsi="Book Antiqua" w:hint="eastAsia"/>
          <w:color w:val="auto"/>
          <w:sz w:val="24"/>
          <w:szCs w:val="24"/>
          <w:shd w:val="clear" w:color="auto" w:fill="FFFFFF"/>
          <w:vertAlign w:val="superscript"/>
        </w:rPr>
        <w:instrText>Liss, Inc.","author":[{"dropping-particle":"","family":"Iatropoulos","given":"Michael J.","non-dropping-particle":"","parse-names":false,"suffix":""}],"container-title":"The Anatomical Record","id":"ITEM-1","is</w:instrText>
      </w:r>
      <w:r w:rsidR="00156C39" w:rsidRPr="00CA4C0B">
        <w:rPr>
          <w:rStyle w:val="None"/>
          <w:rFonts w:ascii="Book Antiqua" w:hAnsi="Book Antiqua"/>
          <w:color w:val="auto"/>
          <w:sz w:val="24"/>
          <w:szCs w:val="24"/>
          <w:shd w:val="clear" w:color="auto" w:fill="FFFFFF"/>
          <w:vertAlign w:val="superscript"/>
        </w:rPr>
        <w:instrText>sue":"3","issued":{"date-parts":[["1971","3","1"]]},"page":"509-514","publisher":"John Wiley &amp; Sons, Ltd","title":"Cytoarchitecture of rat liver during compensatory growth","type":"article-journal","volume":"169"},"uris":["http://www.mendeley.com/documents/?uuid=0fb3d858-9990-36e5-9d59-445dfc3c988e"]}],"mendeley":{"formattedCitation":"&lt;sup&gt;[46]&lt;/sup&gt;","plainTextFormattedCitation":"[46]","previouslyFormattedCitation":"&lt;sup&gt;[46]&lt;/sup&gt;"},"properties":{"noteIndex":0},"schema":"https://github.com/citation-style-language/schema/raw/master/csl-citation.json"}</w:instrText>
      </w:r>
      <w:r w:rsidR="00156C39" w:rsidRPr="00CA4C0B">
        <w:rPr>
          <w:rStyle w:val="None"/>
          <w:rFonts w:ascii="Book Antiqua" w:hAnsi="Book Antiqua"/>
          <w:color w:val="auto"/>
          <w:sz w:val="24"/>
          <w:szCs w:val="24"/>
          <w:shd w:val="clear" w:color="auto" w:fill="FFFFFF"/>
          <w:vertAlign w:val="superscript"/>
        </w:rPr>
        <w:fldChar w:fldCharType="separate"/>
      </w:r>
      <w:r w:rsidR="00156C39" w:rsidRPr="00CA4C0B">
        <w:rPr>
          <w:rStyle w:val="None"/>
          <w:rFonts w:ascii="Book Antiqua" w:hAnsi="Book Antiqua"/>
          <w:noProof/>
          <w:color w:val="auto"/>
          <w:sz w:val="24"/>
          <w:szCs w:val="24"/>
          <w:shd w:val="clear" w:color="auto" w:fill="FFFFFF"/>
          <w:vertAlign w:val="superscript"/>
        </w:rPr>
        <w:t>[46]</w:t>
      </w:r>
      <w:r w:rsidR="00156C39" w:rsidRPr="00CA4C0B">
        <w:rPr>
          <w:rStyle w:val="None"/>
          <w:rFonts w:ascii="Book Antiqua" w:hAnsi="Book Antiqua"/>
          <w:color w:val="auto"/>
          <w:sz w:val="24"/>
          <w:szCs w:val="24"/>
          <w:shd w:val="clear" w:color="auto" w:fill="FFFFFF"/>
          <w:vertAlign w:val="superscript"/>
        </w:rPr>
        <w:fldChar w:fldCharType="end"/>
      </w:r>
      <w:r w:rsidRPr="00CA4C0B">
        <w:rPr>
          <w:rStyle w:val="None"/>
          <w:rFonts w:ascii="Book Antiqua" w:hAnsi="Book Antiqua"/>
          <w:color w:val="auto"/>
          <w:sz w:val="24"/>
          <w:szCs w:val="24"/>
          <w:shd w:val="clear" w:color="auto" w:fill="FFFFFF"/>
        </w:rPr>
        <w:t>. Studying the corrosion casts and Indian-ink injected slices prepared after 9 months from the partial hepatectomy we registered a remarkable increase of the number of blood vessels in mega-lobules, but we still prefer to use the more accurate term "lobule re-modeling" rather than "lobule proliferation". However, while discussing the fact of increasing the number of blood vessels, the data indicating the splitting ability of the “Mega-lobules” after the primary as well as re</w:t>
      </w:r>
      <w:r w:rsidR="00BA38B5" w:rsidRPr="00CA4C0B">
        <w:rPr>
          <w:rStyle w:val="None"/>
          <w:rFonts w:ascii="Book Antiqua" w:hAnsi="Book Antiqua"/>
          <w:color w:val="auto"/>
          <w:sz w:val="24"/>
          <w:szCs w:val="24"/>
          <w:shd w:val="clear" w:color="auto" w:fill="FFFFFF"/>
        </w:rPr>
        <w:t>peated PH have to be co</w:t>
      </w:r>
      <w:r w:rsidR="00BA38B5" w:rsidRPr="00CA4C0B">
        <w:rPr>
          <w:rStyle w:val="None"/>
          <w:rFonts w:ascii="Book Antiqua" w:hAnsi="Book Antiqua"/>
          <w:color w:val="auto"/>
          <w:sz w:val="24"/>
          <w:szCs w:val="24"/>
          <w:shd w:val="clear" w:color="auto" w:fill="FFFFFF"/>
        </w:rPr>
        <w:t>n</w:t>
      </w:r>
      <w:r w:rsidR="00BA38B5" w:rsidRPr="00CA4C0B">
        <w:rPr>
          <w:rStyle w:val="None"/>
          <w:rFonts w:ascii="Book Antiqua" w:hAnsi="Book Antiqua"/>
          <w:color w:val="auto"/>
          <w:sz w:val="24"/>
          <w:szCs w:val="24"/>
          <w:shd w:val="clear" w:color="auto" w:fill="FFFFFF"/>
        </w:rPr>
        <w:t>sidered</w:t>
      </w:r>
      <w:r w:rsidR="00156C39" w:rsidRPr="00CA4C0B">
        <w:rPr>
          <w:rStyle w:val="None"/>
          <w:rFonts w:ascii="Book Antiqua" w:hAnsi="Book Antiqua"/>
          <w:color w:val="auto"/>
          <w:sz w:val="24"/>
          <w:szCs w:val="24"/>
          <w:shd w:val="clear" w:color="auto" w:fill="FFFFFF"/>
        </w:rPr>
        <w:fldChar w:fldCharType="begin" w:fldLock="1"/>
      </w:r>
      <w:r w:rsidR="00156C39" w:rsidRPr="00CA4C0B">
        <w:rPr>
          <w:rStyle w:val="None"/>
          <w:rFonts w:ascii="Book Antiqua" w:hAnsi="Book Antiqua"/>
          <w:color w:val="auto"/>
          <w:sz w:val="24"/>
          <w:szCs w:val="24"/>
          <w:shd w:val="clear" w:color="auto" w:fill="FFFFFF"/>
        </w:rPr>
        <w:instrText>ADDIN CSL_CITATION {"citationItems":[{"id":"ITEM-1","itemData":{"DOI":"10.1016/S0168-8278(05)80224-7","ISSN":"01688278","PMID":"8100248","abstract":"Glutamine synthase and carbamoylphosphate synthase show a strikingly heterogeneous and fully complementary distribution in the rat liver. In the human liver, however, there is a midlobular zone where both enzymes are absent. The diameter of the human liver lobule is approximately twice the size of the rat lobule. To investigate whether lobule size is a major determinant for the expression patterns of glutamine synthase and carbamoylphosphate synthase, Wistar strain rats were partially hepatectomized 3 times, at weekly or monthly intervals. Due to hepatic regeneration the cross-sectional area of the liver lobules increased twofold. However, a midlobular zone which lacked expression of both glutamine synthase and carbamoylphosphate synthase did not develop in these livers, thus showing that lobular size is not a major determinant for the distribution patterns of glutamine and carbamoylphosphate synthase. The twofold increase in the cross-sectional area of the liver lobule was associated with a similar reduction in the relative number of glutamine synthase-positive cells and in the enzyme content of the liver, indicating that the regeneration process does not affect the pericentral pattern of glutamine synthase expression. After regeneration was complete, the glutamine synthase content in the liver was restored to its original value, demonstrating a twofold increase in the cellular concentration of glutamine synthase-positive hepatocytes. An increase in the diameter of the liver lobule was only seen after the first partial hepatectomy. Liver growth following subsequent partial hepatectomies can be explained by an increase in the length of the liver lobule and/or by splitting of liver lobules. The zonal distribution of DNA replication, which is characteristic of the first partial hepatectomy, is lost after repeated partial hepatectomies. Furthermore, evidence was obtained that the signal for inducing DNA synthesis may originate at the level of single liver units. © 1993 Elsevier Scientific Publishers Ireland Ltd. All rights reserved.","author":[{"dropping-particle":"","family":"Wagenaar","given":"Gerry T.M.","non-dropping-particle":"","parse-names":false,"suffix":""},{"dropping-particle":"","family":"Chamuleau","given":"Robert A.F.M.","non-dropping-particle":"","parse-names":false,"suffix":""},{"dropping-particle":"","family":"Pool","given":"Christiaan W.","non-dropping-particle":"","parse-names":false,"suffix":""},{"dropping-particle":"","family":"Haan","given":"Jan G.","non-dropping-particle":"de","parse-names":false,"suffix":""},{"dropping-particle":"","family":"Maas","given":"Martinus A.W.","non-dropping-particle":"","parse-names":false,"suffix":""},{"dropping-particle":"","family":"Korfage","given":"Hans A.M.","non-dropping-particle":"","parse-names":false,"suffix":""},{"dropping-particle":"","family":"Lamers","given":"Wouter H.","non-dropping-particle":"","parse-names":false,"suffix":""}],"container-title":"Journal of Hepatology","id":"ITEM-1","issue":"3","issued":{"date-parts":[["1993"]]},"page":"397-407","title":"Distribution and activity of glutamine synthase and carbamoylphosphate synthase upon enlargement of the liver lobule by repeated partial hepatectomies","type":"article-journal","volume":"17"},"uris":["http://www.mendeley.com/documents/?uuid=932ed64c-c7d8-4824-a0ab-6c1b0af76820"]}],"mendeley":{"formattedCitation":"&lt;sup&gt;[26]&lt;/sup&gt;","plainTextFormattedCitation":"[26]","previouslyFormattedCitation":"&lt;sup&gt;[26]&lt;/sup&gt;"},"properties":{"noteIndex":0},"schema":"https://github.com/citation-style-language/schema/raw/master/csl-citation.json"}</w:instrText>
      </w:r>
      <w:r w:rsidR="00156C39" w:rsidRPr="00CA4C0B">
        <w:rPr>
          <w:rStyle w:val="None"/>
          <w:rFonts w:ascii="Book Antiqua" w:hAnsi="Book Antiqua"/>
          <w:color w:val="auto"/>
          <w:sz w:val="24"/>
          <w:szCs w:val="24"/>
          <w:shd w:val="clear" w:color="auto" w:fill="FFFFFF"/>
        </w:rPr>
        <w:fldChar w:fldCharType="separate"/>
      </w:r>
      <w:r w:rsidR="00156C39" w:rsidRPr="00CA4C0B">
        <w:rPr>
          <w:rStyle w:val="None"/>
          <w:rFonts w:ascii="Book Antiqua" w:hAnsi="Book Antiqua"/>
          <w:noProof/>
          <w:color w:val="auto"/>
          <w:sz w:val="24"/>
          <w:szCs w:val="24"/>
          <w:shd w:val="clear" w:color="auto" w:fill="FFFFFF"/>
          <w:vertAlign w:val="superscript"/>
        </w:rPr>
        <w:t>[26]</w:t>
      </w:r>
      <w:r w:rsidR="00156C39" w:rsidRPr="00CA4C0B">
        <w:rPr>
          <w:rStyle w:val="None"/>
          <w:rFonts w:ascii="Book Antiqua" w:hAnsi="Book Antiqua"/>
          <w:color w:val="auto"/>
          <w:sz w:val="24"/>
          <w:szCs w:val="24"/>
          <w:shd w:val="clear" w:color="auto" w:fill="FFFFFF"/>
        </w:rPr>
        <w:fldChar w:fldCharType="end"/>
      </w:r>
      <w:r w:rsidRPr="00CA4C0B">
        <w:rPr>
          <w:rStyle w:val="None"/>
          <w:rFonts w:ascii="Book Antiqua" w:hAnsi="Book Antiqua"/>
          <w:color w:val="auto"/>
          <w:sz w:val="24"/>
          <w:szCs w:val="24"/>
          <w:shd w:val="clear" w:color="auto" w:fill="FFFFFF"/>
        </w:rPr>
        <w:t>.</w:t>
      </w:r>
      <w:r w:rsidR="00F7733D" w:rsidRPr="00CA4C0B">
        <w:rPr>
          <w:rStyle w:val="None"/>
          <w:rFonts w:ascii="Book Antiqua" w:hAnsi="Book Antiqua"/>
          <w:color w:val="auto"/>
          <w:sz w:val="24"/>
          <w:szCs w:val="24"/>
          <w:shd w:val="clear" w:color="auto" w:fill="FFFFFF"/>
        </w:rPr>
        <w:t xml:space="preserve"> </w:t>
      </w:r>
    </w:p>
    <w:p w14:paraId="3A272BCD" w14:textId="007253C2" w:rsidR="004313EE" w:rsidRPr="00CA4C0B" w:rsidRDefault="00CE6644" w:rsidP="007F2CA0">
      <w:pPr>
        <w:pStyle w:val="a4"/>
        <w:snapToGrid w:val="0"/>
        <w:spacing w:line="360" w:lineRule="auto"/>
        <w:ind w:left="0" w:right="4" w:firstLineChars="100" w:firstLine="240"/>
        <w:jc w:val="both"/>
        <w:rPr>
          <w:rStyle w:val="None"/>
          <w:rFonts w:ascii="Book Antiqua" w:eastAsia="Times New Roman" w:hAnsi="Book Antiqua" w:cs="Times New Roman"/>
          <w:color w:val="auto"/>
          <w:sz w:val="24"/>
          <w:szCs w:val="24"/>
          <w:shd w:val="clear" w:color="auto" w:fill="FFFFFF"/>
        </w:rPr>
      </w:pPr>
      <w:r w:rsidRPr="00CA4C0B">
        <w:rPr>
          <w:rStyle w:val="None"/>
          <w:rFonts w:ascii="Book Antiqua" w:hAnsi="Book Antiqua"/>
          <w:color w:val="auto"/>
          <w:sz w:val="24"/>
          <w:szCs w:val="24"/>
          <w:shd w:val="clear" w:color="auto" w:fill="FFFFFF"/>
        </w:rPr>
        <w:lastRenderedPageBreak/>
        <w:t>Some researchers confirm that not only after PH, but also at those stages of o</w:t>
      </w:r>
      <w:r w:rsidRPr="00CA4C0B">
        <w:rPr>
          <w:rStyle w:val="None"/>
          <w:rFonts w:ascii="Book Antiqua" w:hAnsi="Book Antiqua"/>
          <w:color w:val="auto"/>
          <w:sz w:val="24"/>
          <w:szCs w:val="24"/>
          <w:shd w:val="clear" w:color="auto" w:fill="FFFFFF"/>
        </w:rPr>
        <w:t>n</w:t>
      </w:r>
      <w:r w:rsidRPr="00CA4C0B">
        <w:rPr>
          <w:rStyle w:val="None"/>
          <w:rFonts w:ascii="Book Antiqua" w:hAnsi="Book Antiqua"/>
          <w:color w:val="auto"/>
          <w:sz w:val="24"/>
          <w:szCs w:val="24"/>
          <w:shd w:val="clear" w:color="auto" w:fill="FFFFFF"/>
        </w:rPr>
        <w:t xml:space="preserve">togenesis, when the body and organs continue to grow, only the size of the liver lobules </w:t>
      </w:r>
      <w:r w:rsidR="00BA38B5" w:rsidRPr="00CA4C0B">
        <w:rPr>
          <w:rStyle w:val="None"/>
          <w:rFonts w:ascii="Book Antiqua" w:hAnsi="Book Antiqua"/>
          <w:color w:val="auto"/>
          <w:sz w:val="24"/>
          <w:szCs w:val="24"/>
          <w:shd w:val="clear" w:color="auto" w:fill="FFFFFF"/>
        </w:rPr>
        <w:t>increases, and not their number</w:t>
      </w:r>
      <w:r w:rsidR="00156C39" w:rsidRPr="00CA4C0B">
        <w:rPr>
          <w:rStyle w:val="None"/>
          <w:rFonts w:ascii="Book Antiqua" w:hAnsi="Book Antiqua"/>
          <w:color w:val="auto"/>
          <w:sz w:val="24"/>
          <w:szCs w:val="24"/>
          <w:shd w:val="clear" w:color="auto" w:fill="FFFFFF"/>
          <w:vertAlign w:val="superscript"/>
        </w:rPr>
        <w:fldChar w:fldCharType="begin" w:fldLock="1"/>
      </w:r>
      <w:r w:rsidR="00B06D00" w:rsidRPr="00CA4C0B">
        <w:rPr>
          <w:rStyle w:val="None"/>
          <w:rFonts w:ascii="Book Antiqua" w:hAnsi="Book Antiqua"/>
          <w:color w:val="auto"/>
          <w:sz w:val="24"/>
          <w:szCs w:val="24"/>
          <w:shd w:val="clear" w:color="auto" w:fill="FFFFFF"/>
          <w:vertAlign w:val="superscript"/>
        </w:rPr>
        <w:instrText>ADDIN CSL_CITATION {"citationItems":[{"id":"ITEM-1","itemData":{"DOI":"10.1002/hep.25713","ISSN":"02709139","PMID":"22419534","abstract":"We have analyzed the architectural aspects of progenitor-cell-driven regenerative growth in rat liver by applying the 2-acetaminofluorene/partial hepatectomy experimental model. The regeneration is initiated by the proliferation of so-called oval cells. The oval cells at the proximal tips of the ductules have a more differentiated phenotype and higher proliferative rate. This preferential growth results in the formation of a seemingly random collection of small hepatocytes, called foci. These foci have no clonal origin, but possess a highly organized structure, which shows similarities to normal hepatic parenchyma. Therefore, they can easily remodel into the lobular structure. Eventually, the regenerated liver is constructed by enlarged hepatic lobules; no new lobules are formed during this process. The foci of the Solt-Farber experimental hepatocarcinogenesis model have identical morphological features; accordingly, they also represent only regenerative, not neoplastic, growth. Conclusion: Progenitor-cell-driven liver regeneration is a well-designed, highly organized tissue reaction, and better comprehension of the architectural events may help us to recognize this process and understand its role in physiological and pathological reactions. © 2012 American Association for the Study of Liver Diseases.","author":[{"dropping-particle":"","family":"Dezső","given":"Katalin","non-dropping-particle":"","parse-names":false,"suffix":""},{"dropping-particle":"","family":"Papp","given":"Veronika","non-dropping-particle":"","parse-names":false,"suffix":""},{"dropping-particle":"","family":"Bugyik","given":"Edina","non-dropping-particle":"","parse-names":false,"suffix":""},{"dropping-particle":"","family":"Hegyesi","given":"Hargita","non-dropping-particle":"","parse-names":false,"suffix":""},{"dropping-particle":"","family":"Sáfrány","given":"Géza","non-dropping-particle":"","parse-names":false,"suffix":""},{"dropping-particle":"","family":"Bödör","given":"Csaba","non-dropping-particle":"","parse-names":false,"suffix":""},{"dropping-particle":"","family":"Nagy","given":"Péter","non-dropping-particle":"","parse-names":false,"suffix":""},{"dropping-particle":"","family":"Paku","given":"Sándor","non-dropping-particle":"","parse-names":false,"suffix":""}],"container-title":"Hepatology","id":"ITEM-1","issue":"4","issued":{"date-parts":[["2012","10"]]},"page":"1457-1467","title":"Structural analysis of oval-cell-mediated liver regeneration in rats","type":"article-journal","volume":"56"},"uris":["http://www.mendeley.com/documents/?uuid=5b775e51-8529-464f-b22a-1d3e2542dde8"]},{"id":"ITEM-2","itemData":{"DOI":"10.1002/lt.21665","ISSN":"15276465","PMID":"19177433","abstract":"Although liver architecture has a major impact on function, morphological aspects of liver growth are relatively neglected. In our recent experiments, the architectural changes of the rat liver were compared during 2 basic processes: ontogeny and regenerative liver growth. The hepatic tissue is constructed as structural/functional units, and probably the most established and well-defined such unit is the classic lobule. The extent and orientation of the lobules are variable in the liver, and this renders their accurate size determination more difficult. The filling of the liver vasculature by a colored resin nicely outlined the surface lobules, enabling an analysis of the alterations of these structures during liver growth. There are 3 structural components of postnatal physiological liver development: enlargement of the hepatocytes and expansion and multiplication of the liver lobules. However, the enlargement of the lobules is exclusively responsible for the regenerative liver growth following partial hepatectomy. The number of hepatic lobules does not change during this latter reaction, but they gain a more complex, irregular structure.","author":[{"dropping-particle":"","family":"Papp","given":"Veronika","non-dropping-particle":"","parse-names":false,"suffix":""},{"dropping-particle":"","family":"Dezsö","given":"Katalin","non-dropping-particle":"","parse-names":false,"suffix":""},{"dropping-particle":"","family":"László","given":"Viktória","non-dropping-particle":"","parse-names":false,"suffix":""},{"dropping-particle":"","family":"Nagy","given":"Peter","non-dropping-particle":"","parse-names":false,"suffix":""},{"dropping-particle":"","family":"Paku","given":"Sándor","non-dropping-particle":"","parse-names":false,"suffix":""}],"container-title":"Liver Transplantation","id":"ITEM-2","issue":"2","issued":{"date-parts":[["2009","2"]]},"page":"177-183","title":"Architectural changes during regenerative and ontogenic liver growth in the rat","type":"article-journal","volume":"15"},"uris":["http://www.mendeley.com/documents/?uuid=69ca4bb6-b8ff-325e-8f28-8110ba4e27c5"]}],"mendeley":{"formattedCitation":"&lt;sup&gt;[25,47]&lt;/sup&gt;","plainTextFormattedCitation":"[25,47]","previouslyFormattedCitation":"&lt;sup&gt;[25,47]&lt;/sup&gt;"},"properties":{"noteIndex":0},"schema":"https://github.com/citation-style-language/schema/raw/master/csl-citation.json"}</w:instrText>
      </w:r>
      <w:r w:rsidR="00156C39" w:rsidRPr="00CA4C0B">
        <w:rPr>
          <w:rStyle w:val="None"/>
          <w:rFonts w:ascii="Book Antiqua" w:hAnsi="Book Antiqua"/>
          <w:color w:val="auto"/>
          <w:sz w:val="24"/>
          <w:szCs w:val="24"/>
          <w:shd w:val="clear" w:color="auto" w:fill="FFFFFF"/>
          <w:vertAlign w:val="superscript"/>
        </w:rPr>
        <w:fldChar w:fldCharType="separate"/>
      </w:r>
      <w:r w:rsidR="00156C39" w:rsidRPr="00CA4C0B">
        <w:rPr>
          <w:rStyle w:val="None"/>
          <w:rFonts w:ascii="Book Antiqua" w:hAnsi="Book Antiqua"/>
          <w:noProof/>
          <w:color w:val="auto"/>
          <w:sz w:val="24"/>
          <w:szCs w:val="24"/>
          <w:shd w:val="clear" w:color="auto" w:fill="FFFFFF"/>
          <w:vertAlign w:val="superscript"/>
        </w:rPr>
        <w:t>[25,47]</w:t>
      </w:r>
      <w:r w:rsidR="00156C39" w:rsidRPr="00CA4C0B">
        <w:rPr>
          <w:rStyle w:val="None"/>
          <w:rFonts w:ascii="Book Antiqua" w:hAnsi="Book Antiqua"/>
          <w:color w:val="auto"/>
          <w:sz w:val="24"/>
          <w:szCs w:val="24"/>
          <w:shd w:val="clear" w:color="auto" w:fill="FFFFFF"/>
          <w:vertAlign w:val="superscript"/>
        </w:rPr>
        <w:fldChar w:fldCharType="end"/>
      </w:r>
      <w:r w:rsidRPr="00CA4C0B">
        <w:rPr>
          <w:rStyle w:val="None"/>
          <w:rFonts w:ascii="Book Antiqua" w:hAnsi="Book Antiqua"/>
          <w:color w:val="auto"/>
          <w:sz w:val="24"/>
          <w:szCs w:val="24"/>
          <w:shd w:val="clear" w:color="auto" w:fill="FFFFFF"/>
        </w:rPr>
        <w:t>. However, these authors do not i</w:t>
      </w:r>
      <w:r w:rsidRPr="00CA4C0B">
        <w:rPr>
          <w:rStyle w:val="None"/>
          <w:rFonts w:ascii="Book Antiqua" w:hAnsi="Book Antiqua"/>
          <w:color w:val="auto"/>
          <w:sz w:val="24"/>
          <w:szCs w:val="24"/>
          <w:shd w:val="clear" w:color="auto" w:fill="FFFFFF"/>
        </w:rPr>
        <w:t>n</w:t>
      </w:r>
      <w:r w:rsidRPr="00CA4C0B">
        <w:rPr>
          <w:rStyle w:val="None"/>
          <w:rFonts w:ascii="Book Antiqua" w:hAnsi="Book Antiqua"/>
          <w:color w:val="auto"/>
          <w:sz w:val="24"/>
          <w:szCs w:val="24"/>
          <w:shd w:val="clear" w:color="auto" w:fill="FFFFFF"/>
        </w:rPr>
        <w:t>dicate whether such growth of the lobule size is caused by the increase in the number or the size of hepatocytes.</w:t>
      </w:r>
    </w:p>
    <w:p w14:paraId="0BC83A4E" w14:textId="67D07936" w:rsidR="004313EE" w:rsidRPr="00CA4C0B" w:rsidRDefault="00CE6644" w:rsidP="007F2CA0">
      <w:pPr>
        <w:pStyle w:val="a4"/>
        <w:snapToGrid w:val="0"/>
        <w:spacing w:line="360" w:lineRule="auto"/>
        <w:ind w:left="0" w:right="4" w:firstLineChars="100" w:firstLine="240"/>
        <w:jc w:val="both"/>
        <w:rPr>
          <w:rStyle w:val="None"/>
          <w:rFonts w:ascii="Book Antiqua" w:eastAsia="Times New Roman" w:hAnsi="Book Antiqua" w:cs="Times New Roman"/>
          <w:color w:val="auto"/>
          <w:sz w:val="24"/>
          <w:szCs w:val="24"/>
          <w:shd w:val="clear" w:color="auto" w:fill="FFFFFF"/>
        </w:rPr>
      </w:pPr>
      <w:r w:rsidRPr="00CA4C0B">
        <w:rPr>
          <w:rStyle w:val="None"/>
          <w:rFonts w:ascii="Book Antiqua" w:hAnsi="Book Antiqua"/>
          <w:color w:val="auto"/>
          <w:sz w:val="24"/>
          <w:szCs w:val="24"/>
          <w:shd w:val="clear" w:color="auto" w:fill="FFFFFF"/>
        </w:rPr>
        <w:t xml:space="preserve">However considering the results of </w:t>
      </w:r>
      <w:proofErr w:type="spellStart"/>
      <w:r w:rsidRPr="00CA4C0B">
        <w:rPr>
          <w:rStyle w:val="None"/>
          <w:rFonts w:ascii="Book Antiqua" w:hAnsi="Book Antiqua"/>
          <w:color w:val="auto"/>
          <w:sz w:val="24"/>
          <w:szCs w:val="24"/>
          <w:shd w:val="clear" w:color="auto" w:fill="FFFFFF"/>
        </w:rPr>
        <w:t>Ia</w:t>
      </w:r>
      <w:r w:rsidR="00BA38B5" w:rsidRPr="00CA4C0B">
        <w:rPr>
          <w:rStyle w:val="None"/>
          <w:rFonts w:ascii="Book Antiqua" w:hAnsi="Book Antiqua"/>
          <w:color w:val="auto"/>
          <w:sz w:val="24"/>
          <w:szCs w:val="24"/>
          <w:shd w:val="clear" w:color="auto" w:fill="FFFFFF"/>
        </w:rPr>
        <w:t>tropoulos</w:t>
      </w:r>
      <w:proofErr w:type="spellEnd"/>
      <w:r w:rsidR="00B06D00" w:rsidRPr="00CA4C0B">
        <w:rPr>
          <w:rStyle w:val="None"/>
          <w:rFonts w:ascii="Book Antiqua" w:hAnsi="Book Antiqua"/>
          <w:color w:val="auto"/>
          <w:sz w:val="24"/>
          <w:szCs w:val="24"/>
          <w:shd w:val="clear" w:color="auto" w:fill="FFFFFF"/>
        </w:rPr>
        <w:fldChar w:fldCharType="begin" w:fldLock="1"/>
      </w:r>
      <w:r w:rsidR="00B06D00" w:rsidRPr="00CA4C0B">
        <w:rPr>
          <w:rStyle w:val="None"/>
          <w:rFonts w:ascii="Book Antiqua" w:hAnsi="Book Antiqua"/>
          <w:color w:val="auto"/>
          <w:sz w:val="24"/>
          <w:szCs w:val="24"/>
          <w:shd w:val="clear" w:color="auto" w:fill="FFFFFF"/>
        </w:rPr>
        <w:instrText>ADDIN CSL_CITATION {"citationItems":[{"id":"ITEM-1","itemData":{"DOI":"10.1002/ar.1091690304","ISSN":"0003-276X","PMID":"5550530","abstract":"The possibility of the formation of new lobules in rat liver during the course of compensatory growth has been investigated. Two methods inducing regeneration were used: the method of subtotal hepatectomy and the method of porcelain bead implantation. Observations were made at 28, 42, 56, 68, 84 and 112 days after subtotal hepatectomy, and at 28 and 42 days after im</w:instrText>
      </w:r>
      <w:r w:rsidR="00B06D00" w:rsidRPr="00CA4C0B">
        <w:rPr>
          <w:rStyle w:val="None"/>
          <w:rFonts w:ascii="Book Antiqua" w:hAnsi="Book Antiqua" w:hint="eastAsia"/>
          <w:color w:val="auto"/>
          <w:sz w:val="24"/>
          <w:szCs w:val="24"/>
          <w:shd w:val="clear" w:color="auto" w:fill="FFFFFF"/>
        </w:rPr>
        <w:instrText>plantation of the bead. The results obtained from subtotal hepatectomy were expressed as the lobular radius (or portal</w:instrText>
      </w:r>
      <w:r w:rsidR="00B06D00" w:rsidRPr="00CA4C0B">
        <w:rPr>
          <w:rStyle w:val="None"/>
          <w:rFonts w:ascii="Cambria Math" w:hAnsi="Cambria Math" w:cs="Cambria Math"/>
          <w:color w:val="auto"/>
          <w:sz w:val="24"/>
          <w:szCs w:val="24"/>
          <w:shd w:val="clear" w:color="auto" w:fill="FFFFFF"/>
        </w:rPr>
        <w:instrText>‐</w:instrText>
      </w:r>
      <w:r w:rsidR="00B06D00" w:rsidRPr="00CA4C0B">
        <w:rPr>
          <w:rStyle w:val="None"/>
          <w:rFonts w:ascii="Book Antiqua" w:hAnsi="Book Antiqua" w:hint="eastAsia"/>
          <w:color w:val="auto"/>
          <w:sz w:val="24"/>
          <w:szCs w:val="24"/>
          <w:shd w:val="clear" w:color="auto" w:fill="FFFFFF"/>
        </w:rPr>
        <w:instrText xml:space="preserve">central vein distance) measured in micra. The values were 404 </w:instrText>
      </w:r>
      <w:r w:rsidR="00B06D00" w:rsidRPr="00CA4C0B">
        <w:rPr>
          <w:rStyle w:val="None"/>
          <w:rFonts w:ascii="Book Antiqua" w:hAnsi="Book Antiqua" w:hint="eastAsia"/>
          <w:color w:val="auto"/>
          <w:sz w:val="24"/>
          <w:szCs w:val="24"/>
          <w:shd w:val="clear" w:color="auto" w:fill="FFFFFF"/>
        </w:rPr>
        <w:instrText>μ</w:instrText>
      </w:r>
      <w:r w:rsidR="00B06D00" w:rsidRPr="00CA4C0B">
        <w:rPr>
          <w:rStyle w:val="None"/>
          <w:rFonts w:ascii="Book Antiqua" w:hAnsi="Book Antiqua" w:hint="eastAsia"/>
          <w:color w:val="auto"/>
          <w:sz w:val="24"/>
          <w:szCs w:val="24"/>
          <w:shd w:val="clear" w:color="auto" w:fill="FFFFFF"/>
        </w:rPr>
        <w:instrText xml:space="preserve"> at the twenty</w:instrText>
      </w:r>
      <w:r w:rsidR="00B06D00" w:rsidRPr="00CA4C0B">
        <w:rPr>
          <w:rStyle w:val="None"/>
          <w:rFonts w:ascii="Cambria Math" w:hAnsi="Cambria Math" w:cs="Cambria Math"/>
          <w:color w:val="auto"/>
          <w:sz w:val="24"/>
          <w:szCs w:val="24"/>
          <w:shd w:val="clear" w:color="auto" w:fill="FFFFFF"/>
        </w:rPr>
        <w:instrText>‐</w:instrText>
      </w:r>
      <w:r w:rsidR="00B06D00" w:rsidRPr="00CA4C0B">
        <w:rPr>
          <w:rStyle w:val="None"/>
          <w:rFonts w:ascii="Book Antiqua" w:hAnsi="Book Antiqua" w:hint="eastAsia"/>
          <w:color w:val="auto"/>
          <w:sz w:val="24"/>
          <w:szCs w:val="24"/>
          <w:shd w:val="clear" w:color="auto" w:fill="FFFFFF"/>
        </w:rPr>
        <w:instrText xml:space="preserve">eighth day after hepatectomy and 324 </w:instrText>
      </w:r>
      <w:r w:rsidR="00B06D00" w:rsidRPr="00CA4C0B">
        <w:rPr>
          <w:rStyle w:val="None"/>
          <w:rFonts w:ascii="Book Antiqua" w:hAnsi="Book Antiqua" w:hint="eastAsia"/>
          <w:color w:val="auto"/>
          <w:sz w:val="24"/>
          <w:szCs w:val="24"/>
          <w:shd w:val="clear" w:color="auto" w:fill="FFFFFF"/>
        </w:rPr>
        <w:instrText>μ</w:instrText>
      </w:r>
      <w:r w:rsidR="00B06D00" w:rsidRPr="00CA4C0B">
        <w:rPr>
          <w:rStyle w:val="None"/>
          <w:rFonts w:ascii="Book Antiqua" w:hAnsi="Book Antiqua" w:hint="eastAsia"/>
          <w:color w:val="auto"/>
          <w:sz w:val="24"/>
          <w:szCs w:val="24"/>
          <w:shd w:val="clear" w:color="auto" w:fill="FFFFFF"/>
        </w:rPr>
        <w:instrText xml:space="preserve"> at the one</w:instrText>
      </w:r>
      <w:r w:rsidR="00B06D00" w:rsidRPr="00CA4C0B">
        <w:rPr>
          <w:rStyle w:val="None"/>
          <w:rFonts w:ascii="Cambria Math" w:hAnsi="Cambria Math" w:cs="Cambria Math"/>
          <w:color w:val="auto"/>
          <w:sz w:val="24"/>
          <w:szCs w:val="24"/>
          <w:shd w:val="clear" w:color="auto" w:fill="FFFFFF"/>
        </w:rPr>
        <w:instrText>‐</w:instrText>
      </w:r>
      <w:r w:rsidR="00B06D00" w:rsidRPr="00CA4C0B">
        <w:rPr>
          <w:rStyle w:val="None"/>
          <w:rFonts w:ascii="Book Antiqua" w:hAnsi="Book Antiqua" w:hint="eastAsia"/>
          <w:color w:val="auto"/>
          <w:sz w:val="24"/>
          <w:szCs w:val="24"/>
          <w:shd w:val="clear" w:color="auto" w:fill="FFFFFF"/>
        </w:rPr>
        <w:instrText>hundred</w:instrText>
      </w:r>
      <w:r w:rsidR="00B06D00" w:rsidRPr="00CA4C0B">
        <w:rPr>
          <w:rStyle w:val="None"/>
          <w:rFonts w:ascii="Cambria Math" w:hAnsi="Cambria Math" w:cs="Cambria Math"/>
          <w:color w:val="auto"/>
          <w:sz w:val="24"/>
          <w:szCs w:val="24"/>
          <w:shd w:val="clear" w:color="auto" w:fill="FFFFFF"/>
        </w:rPr>
        <w:instrText>‐</w:instrText>
      </w:r>
      <w:r w:rsidR="00B06D00" w:rsidRPr="00CA4C0B">
        <w:rPr>
          <w:rStyle w:val="None"/>
          <w:rFonts w:ascii="Book Antiqua" w:hAnsi="Book Antiqua" w:hint="eastAsia"/>
          <w:color w:val="auto"/>
          <w:sz w:val="24"/>
          <w:szCs w:val="24"/>
          <w:shd w:val="clear" w:color="auto" w:fill="FFFFFF"/>
        </w:rPr>
        <w:instrText xml:space="preserve">twelfth day. The results obtained from bead implantation were 352 </w:instrText>
      </w:r>
      <w:r w:rsidR="00B06D00" w:rsidRPr="00CA4C0B">
        <w:rPr>
          <w:rStyle w:val="None"/>
          <w:rFonts w:ascii="Book Antiqua" w:hAnsi="Book Antiqua" w:hint="eastAsia"/>
          <w:color w:val="auto"/>
          <w:sz w:val="24"/>
          <w:szCs w:val="24"/>
          <w:shd w:val="clear" w:color="auto" w:fill="FFFFFF"/>
        </w:rPr>
        <w:instrText>μ</w:instrText>
      </w:r>
      <w:r w:rsidR="00B06D00" w:rsidRPr="00CA4C0B">
        <w:rPr>
          <w:rStyle w:val="None"/>
          <w:rFonts w:ascii="Book Antiqua" w:hAnsi="Book Antiqua" w:hint="eastAsia"/>
          <w:color w:val="auto"/>
          <w:sz w:val="24"/>
          <w:szCs w:val="24"/>
          <w:shd w:val="clear" w:color="auto" w:fill="FFFFFF"/>
        </w:rPr>
        <w:instrText xml:space="preserve"> at the twenty</w:instrText>
      </w:r>
      <w:r w:rsidR="00B06D00" w:rsidRPr="00CA4C0B">
        <w:rPr>
          <w:rStyle w:val="None"/>
          <w:rFonts w:ascii="Cambria Math" w:hAnsi="Cambria Math" w:cs="Cambria Math"/>
          <w:color w:val="auto"/>
          <w:sz w:val="24"/>
          <w:szCs w:val="24"/>
          <w:shd w:val="clear" w:color="auto" w:fill="FFFFFF"/>
        </w:rPr>
        <w:instrText>‐</w:instrText>
      </w:r>
      <w:r w:rsidR="00B06D00" w:rsidRPr="00CA4C0B">
        <w:rPr>
          <w:rStyle w:val="None"/>
          <w:rFonts w:ascii="Book Antiqua" w:hAnsi="Book Antiqua" w:hint="eastAsia"/>
          <w:color w:val="auto"/>
          <w:sz w:val="24"/>
          <w:szCs w:val="24"/>
          <w:shd w:val="clear" w:color="auto" w:fill="FFFFFF"/>
        </w:rPr>
        <w:instrText xml:space="preserve">eighth day after implantation and 305 </w:instrText>
      </w:r>
      <w:r w:rsidR="00B06D00" w:rsidRPr="00CA4C0B">
        <w:rPr>
          <w:rStyle w:val="None"/>
          <w:rFonts w:ascii="Book Antiqua" w:hAnsi="Book Antiqua" w:hint="eastAsia"/>
          <w:color w:val="auto"/>
          <w:sz w:val="24"/>
          <w:szCs w:val="24"/>
          <w:shd w:val="clear" w:color="auto" w:fill="FFFFFF"/>
        </w:rPr>
        <w:instrText>μ</w:instrText>
      </w:r>
      <w:r w:rsidR="00B06D00" w:rsidRPr="00CA4C0B">
        <w:rPr>
          <w:rStyle w:val="None"/>
          <w:rFonts w:ascii="Book Antiqua" w:hAnsi="Book Antiqua" w:hint="eastAsia"/>
          <w:color w:val="auto"/>
          <w:sz w:val="24"/>
          <w:szCs w:val="24"/>
          <w:shd w:val="clear" w:color="auto" w:fill="FFFFFF"/>
        </w:rPr>
        <w:instrText xml:space="preserve"> at the forty</w:instrText>
      </w:r>
      <w:r w:rsidR="00B06D00" w:rsidRPr="00CA4C0B">
        <w:rPr>
          <w:rStyle w:val="None"/>
          <w:rFonts w:ascii="Cambria Math" w:hAnsi="Cambria Math" w:cs="Cambria Math"/>
          <w:color w:val="auto"/>
          <w:sz w:val="24"/>
          <w:szCs w:val="24"/>
          <w:shd w:val="clear" w:color="auto" w:fill="FFFFFF"/>
        </w:rPr>
        <w:instrText>‐</w:instrText>
      </w:r>
      <w:r w:rsidR="00B06D00" w:rsidRPr="00CA4C0B">
        <w:rPr>
          <w:rStyle w:val="None"/>
          <w:rFonts w:ascii="Book Antiqua" w:hAnsi="Book Antiqua" w:hint="eastAsia"/>
          <w:color w:val="auto"/>
          <w:sz w:val="24"/>
          <w:szCs w:val="24"/>
          <w:shd w:val="clear" w:color="auto" w:fill="FFFFFF"/>
        </w:rPr>
        <w:instrText>second day. It is concluded that regenerating rat liver undergoes structural changes involving new lobule formation between the fifty</w:instrText>
      </w:r>
      <w:r w:rsidR="00B06D00" w:rsidRPr="00CA4C0B">
        <w:rPr>
          <w:rStyle w:val="None"/>
          <w:rFonts w:ascii="Cambria Math" w:hAnsi="Cambria Math" w:cs="Cambria Math"/>
          <w:color w:val="auto"/>
          <w:sz w:val="24"/>
          <w:szCs w:val="24"/>
          <w:shd w:val="clear" w:color="auto" w:fill="FFFFFF"/>
        </w:rPr>
        <w:instrText>‐</w:instrText>
      </w:r>
      <w:r w:rsidR="00B06D00" w:rsidRPr="00CA4C0B">
        <w:rPr>
          <w:rStyle w:val="None"/>
          <w:rFonts w:ascii="Book Antiqua" w:hAnsi="Book Antiqua" w:hint="eastAsia"/>
          <w:color w:val="auto"/>
          <w:sz w:val="24"/>
          <w:szCs w:val="24"/>
          <w:shd w:val="clear" w:color="auto" w:fill="FFFFFF"/>
        </w:rPr>
        <w:instrText>sixth and the one</w:instrText>
      </w:r>
      <w:r w:rsidR="00B06D00" w:rsidRPr="00CA4C0B">
        <w:rPr>
          <w:rStyle w:val="None"/>
          <w:rFonts w:ascii="Cambria Math" w:hAnsi="Cambria Math" w:cs="Cambria Math"/>
          <w:color w:val="auto"/>
          <w:sz w:val="24"/>
          <w:szCs w:val="24"/>
          <w:shd w:val="clear" w:color="auto" w:fill="FFFFFF"/>
        </w:rPr>
        <w:instrText>‐</w:instrText>
      </w:r>
      <w:r w:rsidR="00B06D00" w:rsidRPr="00CA4C0B">
        <w:rPr>
          <w:rStyle w:val="None"/>
          <w:rFonts w:ascii="Book Antiqua" w:hAnsi="Book Antiqua" w:hint="eastAsia"/>
          <w:color w:val="auto"/>
          <w:sz w:val="24"/>
          <w:szCs w:val="24"/>
          <w:shd w:val="clear" w:color="auto" w:fill="FFFFFF"/>
        </w:rPr>
        <w:instrText>hundred</w:instrText>
      </w:r>
      <w:r w:rsidR="00B06D00" w:rsidRPr="00CA4C0B">
        <w:rPr>
          <w:rStyle w:val="None"/>
          <w:rFonts w:ascii="Cambria Math" w:hAnsi="Cambria Math" w:cs="Cambria Math"/>
          <w:color w:val="auto"/>
          <w:sz w:val="24"/>
          <w:szCs w:val="24"/>
          <w:shd w:val="clear" w:color="auto" w:fill="FFFFFF"/>
        </w:rPr>
        <w:instrText>‐</w:instrText>
      </w:r>
      <w:r w:rsidR="00B06D00" w:rsidRPr="00CA4C0B">
        <w:rPr>
          <w:rStyle w:val="None"/>
          <w:rFonts w:ascii="Book Antiqua" w:hAnsi="Book Antiqua" w:hint="eastAsia"/>
          <w:color w:val="auto"/>
          <w:sz w:val="24"/>
          <w:szCs w:val="24"/>
          <w:shd w:val="clear" w:color="auto" w:fill="FFFFFF"/>
        </w:rPr>
        <w:instrText>twelfth day after subtotal hepatectomy, and sometime after the fourth week after bead implantation. The difference in times after which structural changes occur is explained by the difference in intensity of stimulus in the two methods. Copyright © 1971 Wiley</w:instrText>
      </w:r>
      <w:r w:rsidR="00B06D00" w:rsidRPr="00CA4C0B">
        <w:rPr>
          <w:rStyle w:val="None"/>
          <w:rFonts w:ascii="Cambria Math" w:hAnsi="Cambria Math" w:cs="Cambria Math"/>
          <w:color w:val="auto"/>
          <w:sz w:val="24"/>
          <w:szCs w:val="24"/>
          <w:shd w:val="clear" w:color="auto" w:fill="FFFFFF"/>
        </w:rPr>
        <w:instrText>‐</w:instrText>
      </w:r>
      <w:r w:rsidR="00B06D00" w:rsidRPr="00CA4C0B">
        <w:rPr>
          <w:rStyle w:val="None"/>
          <w:rFonts w:ascii="Book Antiqua" w:hAnsi="Book Antiqua" w:hint="eastAsia"/>
          <w:color w:val="auto"/>
          <w:sz w:val="24"/>
          <w:szCs w:val="24"/>
          <w:shd w:val="clear" w:color="auto" w:fill="FFFFFF"/>
        </w:rPr>
        <w:instrText>Liss, Inc.","author":[{"dropping-particle":"","family":"Iatropoulos","given":"Michael J.","non-dropping-particle":"","parse-names":false,"suffix":""}],"container-title":"The Anatomical Record","id":"ITEM-1","is</w:instrText>
      </w:r>
      <w:r w:rsidR="00B06D00" w:rsidRPr="00CA4C0B">
        <w:rPr>
          <w:rStyle w:val="None"/>
          <w:rFonts w:ascii="Book Antiqua" w:hAnsi="Book Antiqua"/>
          <w:color w:val="auto"/>
          <w:sz w:val="24"/>
          <w:szCs w:val="24"/>
          <w:shd w:val="clear" w:color="auto" w:fill="FFFFFF"/>
        </w:rPr>
        <w:instrText>sue":"3","issued":{"date-parts":[["1971","3","1"]]},"page":"509-514","publisher":"John Wiley &amp; Sons, Ltd","title":"Cytoarchitecture of rat liver during compensatory growth","type":"article-journal","volume":"169"},"uris":["http://www.mendeley.com/documents/?uuid=0fb3d858-9990-36e5-9d59-445dfc3c988e"]}],"mendeley":{"formattedCitation":"&lt;sup&gt;[46]&lt;/sup&gt;","plainTextFormattedCitation":"[46]","previouslyFormattedCitation":"&lt;sup&gt;[46]&lt;/sup&gt;"},"properties":{"noteIndex":0},"schema":"https://github.com/citation-style-language/schema/raw/master/csl-citation.json"}</w:instrText>
      </w:r>
      <w:r w:rsidR="00B06D00" w:rsidRPr="00CA4C0B">
        <w:rPr>
          <w:rStyle w:val="None"/>
          <w:rFonts w:ascii="Book Antiqua" w:hAnsi="Book Antiqua"/>
          <w:color w:val="auto"/>
          <w:sz w:val="24"/>
          <w:szCs w:val="24"/>
          <w:shd w:val="clear" w:color="auto" w:fill="FFFFFF"/>
        </w:rPr>
        <w:fldChar w:fldCharType="separate"/>
      </w:r>
      <w:r w:rsidR="00B06D00" w:rsidRPr="00CA4C0B">
        <w:rPr>
          <w:rStyle w:val="None"/>
          <w:rFonts w:ascii="Book Antiqua" w:hAnsi="Book Antiqua"/>
          <w:noProof/>
          <w:color w:val="auto"/>
          <w:sz w:val="24"/>
          <w:szCs w:val="24"/>
          <w:shd w:val="clear" w:color="auto" w:fill="FFFFFF"/>
          <w:vertAlign w:val="superscript"/>
        </w:rPr>
        <w:t>[46]</w:t>
      </w:r>
      <w:r w:rsidR="00B06D00" w:rsidRPr="00CA4C0B">
        <w:rPr>
          <w:rStyle w:val="None"/>
          <w:rFonts w:ascii="Book Antiqua" w:hAnsi="Book Antiqua"/>
          <w:color w:val="auto"/>
          <w:sz w:val="24"/>
          <w:szCs w:val="24"/>
          <w:shd w:val="clear" w:color="auto" w:fill="FFFFFF"/>
        </w:rPr>
        <w:fldChar w:fldCharType="end"/>
      </w:r>
      <w:r w:rsidRPr="00CA4C0B">
        <w:rPr>
          <w:rStyle w:val="None"/>
          <w:rFonts w:ascii="Book Antiqua" w:hAnsi="Book Antiqua"/>
          <w:color w:val="auto"/>
          <w:sz w:val="24"/>
          <w:szCs w:val="24"/>
          <w:shd w:val="clear" w:color="auto" w:fill="FFFFFF"/>
        </w:rPr>
        <w:t xml:space="preserve"> and </w:t>
      </w:r>
      <w:proofErr w:type="spellStart"/>
      <w:r w:rsidRPr="00CA4C0B">
        <w:rPr>
          <w:rStyle w:val="None"/>
          <w:rFonts w:ascii="Book Antiqua" w:hAnsi="Book Antiqua"/>
          <w:color w:val="auto"/>
          <w:sz w:val="24"/>
          <w:szCs w:val="24"/>
          <w:shd w:val="clear" w:color="auto" w:fill="FFFFFF"/>
        </w:rPr>
        <w:t>Kandilis</w:t>
      </w:r>
      <w:proofErr w:type="spellEnd"/>
      <w:r w:rsidRPr="00CA4C0B">
        <w:rPr>
          <w:rStyle w:val="None"/>
          <w:rFonts w:ascii="Book Antiqua" w:hAnsi="Book Antiqua"/>
          <w:color w:val="auto"/>
          <w:sz w:val="24"/>
          <w:szCs w:val="24"/>
          <w:shd w:val="clear" w:color="auto" w:fill="FFFFFF"/>
        </w:rPr>
        <w:t xml:space="preserve"> </w:t>
      </w:r>
      <w:r w:rsidRPr="00CA4C0B">
        <w:rPr>
          <w:rStyle w:val="None"/>
          <w:rFonts w:ascii="Book Antiqua" w:hAnsi="Book Antiqua"/>
          <w:i/>
          <w:iCs/>
          <w:color w:val="auto"/>
          <w:sz w:val="24"/>
          <w:szCs w:val="24"/>
          <w:shd w:val="clear" w:color="auto" w:fill="FFFFFF"/>
        </w:rPr>
        <w:t>et al</w:t>
      </w:r>
      <w:r w:rsidR="00B06D00" w:rsidRPr="00CA4C0B">
        <w:rPr>
          <w:rStyle w:val="None"/>
          <w:rFonts w:ascii="Book Antiqua" w:hAnsi="Book Antiqua"/>
          <w:color w:val="auto"/>
          <w:sz w:val="24"/>
          <w:szCs w:val="24"/>
          <w:shd w:val="clear" w:color="auto" w:fill="FFFFFF"/>
          <w:vertAlign w:val="superscript"/>
        </w:rPr>
        <w:fldChar w:fldCharType="begin" w:fldLock="1"/>
      </w:r>
      <w:r w:rsidR="00B06D00" w:rsidRPr="00CA4C0B">
        <w:rPr>
          <w:rStyle w:val="None"/>
          <w:rFonts w:ascii="Book Antiqua" w:hAnsi="Book Antiqua"/>
          <w:color w:val="auto"/>
          <w:sz w:val="24"/>
          <w:szCs w:val="24"/>
          <w:shd w:val="clear" w:color="auto" w:fill="FFFFFF"/>
          <w:vertAlign w:val="superscript"/>
        </w:rPr>
        <w:instrText>ADDIN CSL_CITATION {"citationItems":[{"id":"ITEM-1","itemData":{"DOI":"10.1186/s12876-014-0202-1","ISSN":"1471-230X","PMID":"25421900","abstract":"BACKGROUND We examined the intrinsic hepatic innervation after partial hepatectomy (PH) in rats and the presence and pattern of neural sprouting in regenerating liver. METHODS Male Wistar rats (age 9-13 weeks-w, weight 204-356 g), were submitted to two-thirds PH. Rats were sacrificed at postoperative days (d) 1, 3, 5, 7, at 2 and 4 w, and at 3 and 6 months (m) (6-7 animals/group, control group n</w:instrText>
      </w:r>
      <w:r w:rsidR="00B06D00" w:rsidRPr="00CA4C0B">
        <w:rPr>
          <w:rStyle w:val="None"/>
          <w:rFonts w:ascii="Times New Roman" w:hAnsi="Times New Roman" w:cs="Times New Roman"/>
          <w:color w:val="auto"/>
          <w:sz w:val="24"/>
          <w:szCs w:val="24"/>
          <w:shd w:val="clear" w:color="auto" w:fill="FFFFFF"/>
          <w:vertAlign w:val="superscript"/>
        </w:rPr>
        <w:instrText> </w:instrText>
      </w:r>
      <w:r w:rsidR="00B06D00" w:rsidRPr="00CA4C0B">
        <w:rPr>
          <w:rStyle w:val="None"/>
          <w:rFonts w:ascii="Book Antiqua" w:hAnsi="Book Antiqua"/>
          <w:color w:val="auto"/>
          <w:sz w:val="24"/>
          <w:szCs w:val="24"/>
          <w:shd w:val="clear" w:color="auto" w:fill="FFFFFF"/>
          <w:vertAlign w:val="superscript"/>
        </w:rPr>
        <w:instrText>=</w:instrText>
      </w:r>
      <w:r w:rsidR="00B06D00" w:rsidRPr="00CA4C0B">
        <w:rPr>
          <w:rStyle w:val="None"/>
          <w:rFonts w:ascii="Times New Roman" w:hAnsi="Times New Roman" w:cs="Times New Roman"/>
          <w:color w:val="auto"/>
          <w:sz w:val="24"/>
          <w:szCs w:val="24"/>
          <w:shd w:val="clear" w:color="auto" w:fill="FFFFFF"/>
          <w:vertAlign w:val="superscript"/>
        </w:rPr>
        <w:instrText> </w:instrText>
      </w:r>
      <w:r w:rsidR="00B06D00" w:rsidRPr="00CA4C0B">
        <w:rPr>
          <w:rStyle w:val="None"/>
          <w:rFonts w:ascii="Book Antiqua" w:hAnsi="Book Antiqua"/>
          <w:color w:val="auto"/>
          <w:sz w:val="24"/>
          <w:szCs w:val="24"/>
          <w:shd w:val="clear" w:color="auto" w:fill="FFFFFF"/>
          <w:vertAlign w:val="superscript"/>
        </w:rPr>
        <w:instrText>4). Immunohistochemistry for the pan-neural marker protein gene product 9.5 (PGP9.5) and growth-associated protein 43 (GAP-43), a marker of regenerating nerve axons, was performed on tissue sections from the R1 lobe of the regenerating liver. Portal tracts (PTs) with immunoreactive fibers were counted in each section and computer-assisted morphometric analysis (Image Pro Plus) was used to measure nerve fiber density (number of immuno-positive nerve fibers/mm2 (40x)). RESULTS Immunoreactivity for PGP9.5 was positive in all groups. The number of PGP9.5 (+) nerve fibers decreased from 0.32 +/- 0.12 (control group) to 0.18 +/- 0.09 (1d post-PH group), and gradually increased reaching pre-PH levels at 6 m (0.3 +/- 0.01). In contrast, immunoreactivity for GAP-43 was observed at 5d post-PH, and GAP-43 (+) PTs percentage increased thereafter with a peak at 3 m post-PH. GAP-43 (+) nerve fiber density increased gradually from 5d (0.05 +/- 0.06) with a peak at 3 m post-PH (0.21 +/- 0.027). At 6 m post-PH, immunoreactivity for GAP-43 was not detectable. CONCLUSIONS Following PH in rats: 1) nerve fiber density in portal tracts decreases temporarily, and 2) neural sprouting in the regenerating liver lobes starts at 5d, reaches peak levels at 3 m and disappears at 6 m post-PH, indicating that the increase in hepatic mass after PH provides an adequate stimulus for the sprouting process.","author":[{"dropping-particle":"","family":"Kandilis","given":"Apostolos N","non-dropping-particle":"","parse-names":false,"suffix":""},{"dropping-particle":"","family":"Koskinas","given":"John","non-dropping-particle":"","parse-names":false,"suffix":""},{"dropping-particle":"","family":"Vlachos","given":"Ioannis","non-dropping-particle":"","parse-names":false,"suffix":""},{"dropping-particle":"","family":"Skaltsas","given":"Spyridon","non-dropping-particle":"","parse-names":false,"suffix":""},{"dropping-particle":"","family":"Karandrea","given":"Despina","non-dropping-particle":"","parse-names":false,"suffix":""},{"dropping-particle":"","family":"Karakitsos","given":"Petros","non-dropping-particle":"","parse-names":false,"suffix":""},{"dropping-particle":"","family":"Pantopoulou","given":"Alkistis","non-dropping-particle":"","parse-names":false,"suffix":""},{"dropping-particle":"","family":"Palaiologou","given":"Marina","non-dropping-particle":"","parse-names":false,"suffix":""},{"dropping-particle":"","family":"Nikiteas","given":"Nikolaos","non-dropping-particle":"","parse-names":false,"suffix":""},{"dropping-particle":"","family":"Tiniakos","given":"Dina G","non-dropping-particle":"","parse-names":false,"suffix":""},{"dropping-particle":"","family":"Perrea","given":"Despina N","non-dropping-particle":"","parse-names":false,"suffix":""}],"container-title":"BMC gastroenterology","id":"ITEM-1","issue":"1","issued":{"date-parts":[["2014","11","25"]]},"page":"202","publisher":"BioMed Central Ltd.","title":"Liver regeneration: immunohistochemical study of intrinsic hepatic innervation after partial hepatectomy in rats.","type":"article-journal","volume":"14"},"uris":["http://www.mendeley.com/documents/?uuid=6a6bb90c-07a9-3b1f-888a-eca169f4596d"]}],"mendeley":{"formattedCitation":"&lt;sup&gt;[27]&lt;/sup&gt;","plainTextFormattedCitation":"[27]","previouslyFormattedCitation":"&lt;sup&gt;[27]&lt;/sup&gt;"},"properties":{"noteIndex":0},"schema":"https://github.com/citation-style-language/schema/raw/master/csl-citation.json"}</w:instrText>
      </w:r>
      <w:r w:rsidR="00B06D00" w:rsidRPr="00CA4C0B">
        <w:rPr>
          <w:rStyle w:val="None"/>
          <w:rFonts w:ascii="Book Antiqua" w:hAnsi="Book Antiqua"/>
          <w:color w:val="auto"/>
          <w:sz w:val="24"/>
          <w:szCs w:val="24"/>
          <w:shd w:val="clear" w:color="auto" w:fill="FFFFFF"/>
          <w:vertAlign w:val="superscript"/>
        </w:rPr>
        <w:fldChar w:fldCharType="separate"/>
      </w:r>
      <w:r w:rsidR="00B06D00" w:rsidRPr="00CA4C0B">
        <w:rPr>
          <w:rStyle w:val="None"/>
          <w:rFonts w:ascii="Book Antiqua" w:hAnsi="Book Antiqua"/>
          <w:noProof/>
          <w:color w:val="auto"/>
          <w:sz w:val="24"/>
          <w:szCs w:val="24"/>
          <w:shd w:val="clear" w:color="auto" w:fill="FFFFFF"/>
          <w:vertAlign w:val="superscript"/>
        </w:rPr>
        <w:t>[27]</w:t>
      </w:r>
      <w:r w:rsidR="00B06D00" w:rsidRPr="00CA4C0B">
        <w:rPr>
          <w:rStyle w:val="None"/>
          <w:rFonts w:ascii="Book Antiqua" w:hAnsi="Book Antiqua"/>
          <w:color w:val="auto"/>
          <w:sz w:val="24"/>
          <w:szCs w:val="24"/>
          <w:shd w:val="clear" w:color="auto" w:fill="FFFFFF"/>
          <w:vertAlign w:val="superscript"/>
        </w:rPr>
        <w:fldChar w:fldCharType="end"/>
      </w:r>
      <w:r w:rsidRPr="00CA4C0B">
        <w:rPr>
          <w:rStyle w:val="None"/>
          <w:rFonts w:ascii="Book Antiqua" w:hAnsi="Book Antiqua"/>
          <w:color w:val="auto"/>
          <w:sz w:val="24"/>
          <w:szCs w:val="24"/>
          <w:shd w:val="clear" w:color="auto" w:fill="FFFFFF"/>
        </w:rPr>
        <w:t>, it should be assumed that the possibility of creating new lobules (lobule prolifer</w:t>
      </w:r>
      <w:r w:rsidRPr="00CA4C0B">
        <w:rPr>
          <w:rStyle w:val="None"/>
          <w:rFonts w:ascii="Book Antiqua" w:hAnsi="Book Antiqua"/>
          <w:color w:val="auto"/>
          <w:sz w:val="24"/>
          <w:szCs w:val="24"/>
          <w:shd w:val="clear" w:color="auto" w:fill="FFFFFF"/>
        </w:rPr>
        <w:t>a</w:t>
      </w:r>
      <w:r w:rsidRPr="00CA4C0B">
        <w:rPr>
          <w:rStyle w:val="None"/>
          <w:rFonts w:ascii="Book Antiqua" w:hAnsi="Book Antiqua"/>
          <w:color w:val="auto"/>
          <w:sz w:val="24"/>
          <w:szCs w:val="24"/>
          <w:shd w:val="clear" w:color="auto" w:fill="FFFFFF"/>
        </w:rPr>
        <w:t>tion) cannot be completely excluded. Doubt is reinforced by the fact that on the corrosion cast of the regenerated liver we have observed the lobules, which are smaller than the sizes of the liver lobules of the CG animals. Thus, confirmation or rejection of the hypothesis about the creation of new lobules after PH requires additional studies.</w:t>
      </w:r>
    </w:p>
    <w:p w14:paraId="1B718C38" w14:textId="3F5646C8" w:rsidR="004313EE" w:rsidRPr="00CA4C0B" w:rsidRDefault="00CE6644" w:rsidP="007F2CA0">
      <w:pPr>
        <w:pStyle w:val="Default"/>
        <w:snapToGrid w:val="0"/>
        <w:spacing w:line="360" w:lineRule="auto"/>
        <w:ind w:firstLineChars="100" w:firstLine="240"/>
        <w:jc w:val="both"/>
        <w:rPr>
          <w:rStyle w:val="None"/>
          <w:rFonts w:ascii="Book Antiqua" w:eastAsia="Times New Roman" w:hAnsi="Book Antiqua" w:cs="Times New Roman"/>
          <w:color w:val="auto"/>
          <w:shd w:val="clear" w:color="auto" w:fill="FFFFFF"/>
        </w:rPr>
      </w:pPr>
      <w:r w:rsidRPr="00CA4C0B">
        <w:rPr>
          <w:rStyle w:val="None"/>
          <w:rFonts w:ascii="Book Antiqua" w:hAnsi="Book Antiqua"/>
          <w:color w:val="auto"/>
          <w:shd w:val="clear" w:color="auto" w:fill="FFFFFF"/>
        </w:rPr>
        <w:t xml:space="preserve">Remodeling of the liver cells and lobules, following the </w:t>
      </w:r>
      <w:r w:rsidRPr="00CA4C0B">
        <w:rPr>
          <w:rFonts w:ascii="Book Antiqua" w:hAnsi="Book Antiqua"/>
          <w:color w:val="auto"/>
        </w:rPr>
        <w:t>PH</w:t>
      </w:r>
      <w:r w:rsidRPr="00CA4C0B">
        <w:rPr>
          <w:rStyle w:val="None"/>
          <w:rFonts w:ascii="Book Antiqua" w:hAnsi="Book Antiqua"/>
          <w:color w:val="auto"/>
          <w:shd w:val="clear" w:color="auto" w:fill="FFFFFF"/>
        </w:rPr>
        <w:t xml:space="preserve">, is accompanied by increasing the number of connective tissue fibers, not only around the large blood vessels but also of their small ramifications including </w:t>
      </w:r>
      <w:proofErr w:type="spellStart"/>
      <w:r w:rsidRPr="00CA4C0B">
        <w:rPr>
          <w:rStyle w:val="None"/>
          <w:rFonts w:ascii="Book Antiqua" w:hAnsi="Book Antiqua"/>
          <w:color w:val="auto"/>
          <w:shd w:val="clear" w:color="auto" w:fill="FFFFFF"/>
        </w:rPr>
        <w:t>perilobular</w:t>
      </w:r>
      <w:proofErr w:type="spellEnd"/>
      <w:r w:rsidRPr="00CA4C0B">
        <w:rPr>
          <w:rStyle w:val="None"/>
          <w:rFonts w:ascii="Book Antiqua" w:hAnsi="Book Antiqua"/>
          <w:color w:val="auto"/>
          <w:shd w:val="clear" w:color="auto" w:fill="FFFFFF"/>
        </w:rPr>
        <w:t xml:space="preserve"> branches and even in the Disse's spaces. This indicates that both remodeled lobules and their hepatocytes are more firmly embedded in the connective tissue framework in comparison with the control group. Presumably, because of such embedding, the new wave of remodeling following the repeated PH should be less intensive.</w:t>
      </w:r>
      <w:r w:rsidR="00F7733D" w:rsidRPr="00CA4C0B">
        <w:rPr>
          <w:rStyle w:val="None"/>
          <w:rFonts w:ascii="Book Antiqua" w:hAnsi="Book Antiqua"/>
          <w:color w:val="auto"/>
          <w:shd w:val="clear" w:color="auto" w:fill="FFFFFF"/>
        </w:rPr>
        <w:t xml:space="preserve"> </w:t>
      </w:r>
      <w:r w:rsidRPr="00CA4C0B">
        <w:rPr>
          <w:rStyle w:val="None"/>
          <w:rFonts w:ascii="Book Antiqua" w:hAnsi="Book Antiqua"/>
          <w:color w:val="auto"/>
          <w:shd w:val="clear" w:color="auto" w:fill="FFFFFF"/>
        </w:rPr>
        <w:t>This assumption is confirmed by examination of both, histological as well as co</w:t>
      </w:r>
      <w:r w:rsidRPr="00CA4C0B">
        <w:rPr>
          <w:rStyle w:val="None"/>
          <w:rFonts w:ascii="Book Antiqua" w:hAnsi="Book Antiqua"/>
          <w:color w:val="auto"/>
          <w:shd w:val="clear" w:color="auto" w:fill="FFFFFF"/>
        </w:rPr>
        <w:t>r</w:t>
      </w:r>
      <w:r w:rsidRPr="00CA4C0B">
        <w:rPr>
          <w:rStyle w:val="None"/>
          <w:rFonts w:ascii="Book Antiqua" w:hAnsi="Book Antiqua"/>
          <w:color w:val="auto"/>
          <w:shd w:val="clear" w:color="auto" w:fill="FFFFFF"/>
        </w:rPr>
        <w:t xml:space="preserve">rosion specimens. </w:t>
      </w:r>
    </w:p>
    <w:p w14:paraId="6E1CF790" w14:textId="01A78ACB" w:rsidR="004313EE" w:rsidRPr="00CA4C0B" w:rsidRDefault="00CE6644" w:rsidP="007F2CA0">
      <w:pPr>
        <w:pStyle w:val="a4"/>
        <w:snapToGrid w:val="0"/>
        <w:spacing w:line="360" w:lineRule="auto"/>
        <w:ind w:left="0" w:right="4" w:firstLineChars="100" w:firstLine="240"/>
        <w:jc w:val="both"/>
        <w:rPr>
          <w:rStyle w:val="None"/>
          <w:rFonts w:ascii="Book Antiqua" w:eastAsia="Times New Roman" w:hAnsi="Book Antiqua" w:cs="Times New Roman"/>
          <w:color w:val="auto"/>
          <w:sz w:val="24"/>
          <w:szCs w:val="24"/>
          <w:shd w:val="clear" w:color="auto" w:fill="FFFFFF"/>
        </w:rPr>
      </w:pPr>
      <w:r w:rsidRPr="00CA4C0B">
        <w:rPr>
          <w:rStyle w:val="None"/>
          <w:rFonts w:ascii="Book Antiqua" w:hAnsi="Book Antiqua"/>
          <w:color w:val="auto"/>
          <w:sz w:val="24"/>
          <w:szCs w:val="24"/>
          <w:shd w:val="clear" w:color="auto" w:fill="FFFFFF"/>
        </w:rPr>
        <w:t xml:space="preserve">In addition, after repeated </w:t>
      </w:r>
      <w:r w:rsidRPr="00CA4C0B">
        <w:rPr>
          <w:rStyle w:val="None"/>
          <w:rFonts w:ascii="Book Antiqua" w:hAnsi="Book Antiqua"/>
          <w:color w:val="auto"/>
          <w:spacing w:val="-1"/>
          <w:sz w:val="24"/>
          <w:szCs w:val="24"/>
        </w:rPr>
        <w:t>PH</w:t>
      </w:r>
      <w:r w:rsidRPr="00CA4C0B">
        <w:rPr>
          <w:rStyle w:val="None"/>
          <w:rFonts w:ascii="Book Antiqua" w:hAnsi="Book Antiqua"/>
          <w:color w:val="auto"/>
          <w:sz w:val="24"/>
          <w:szCs w:val="24"/>
          <w:shd w:val="clear" w:color="auto" w:fill="FFFFFF"/>
        </w:rPr>
        <w:t>, Masson's trichrome-stained specimen revealed remarkable increase in connective tissue fibers compared to the state after prim</w:t>
      </w:r>
      <w:r w:rsidRPr="00CA4C0B">
        <w:rPr>
          <w:rStyle w:val="None"/>
          <w:rFonts w:ascii="Book Antiqua" w:hAnsi="Book Antiqua"/>
          <w:color w:val="auto"/>
          <w:sz w:val="24"/>
          <w:szCs w:val="24"/>
          <w:shd w:val="clear" w:color="auto" w:fill="FFFFFF"/>
        </w:rPr>
        <w:t>a</w:t>
      </w:r>
      <w:r w:rsidRPr="00CA4C0B">
        <w:rPr>
          <w:rStyle w:val="None"/>
          <w:rFonts w:ascii="Book Antiqua" w:hAnsi="Book Antiqua"/>
          <w:color w:val="auto"/>
          <w:sz w:val="24"/>
          <w:szCs w:val="24"/>
          <w:shd w:val="clear" w:color="auto" w:fill="FFFFFF"/>
        </w:rPr>
        <w:t xml:space="preserve">ry resection. </w:t>
      </w:r>
      <w:r w:rsidRPr="00CA4C0B">
        <w:rPr>
          <w:rStyle w:val="None"/>
          <w:rFonts w:ascii="Book Antiqua" w:hAnsi="Book Antiqua"/>
          <w:color w:val="auto"/>
          <w:sz w:val="24"/>
          <w:szCs w:val="24"/>
        </w:rPr>
        <w:t xml:space="preserve">The fibers accompany the </w:t>
      </w:r>
      <w:proofErr w:type="spellStart"/>
      <w:r w:rsidRPr="00CA4C0B">
        <w:rPr>
          <w:rStyle w:val="None"/>
          <w:rFonts w:ascii="Book Antiqua" w:hAnsi="Book Antiqua"/>
          <w:color w:val="auto"/>
          <w:sz w:val="24"/>
          <w:szCs w:val="24"/>
        </w:rPr>
        <w:t>perilobular</w:t>
      </w:r>
      <w:proofErr w:type="spellEnd"/>
      <w:r w:rsidRPr="00CA4C0B">
        <w:rPr>
          <w:rStyle w:val="None"/>
          <w:rFonts w:ascii="Book Antiqua" w:hAnsi="Book Antiqua"/>
          <w:color w:val="auto"/>
          <w:sz w:val="24"/>
          <w:szCs w:val="24"/>
        </w:rPr>
        <w:t xml:space="preserve"> blood vessels surrounding the remodeled lobules (including mega-lobules). Allegedly because of this, following the next hepatectomy (the third), the lobules would have even less remodeling ability. This assumption is partially supported by studies by </w:t>
      </w:r>
      <w:proofErr w:type="spellStart"/>
      <w:r w:rsidRPr="00CA4C0B">
        <w:rPr>
          <w:rStyle w:val="None"/>
          <w:rFonts w:ascii="Book Antiqua" w:hAnsi="Book Antiqua"/>
          <w:color w:val="auto"/>
          <w:sz w:val="24"/>
          <w:szCs w:val="24"/>
        </w:rPr>
        <w:t>Wagenaar</w:t>
      </w:r>
      <w:proofErr w:type="spellEnd"/>
      <w:r w:rsidRPr="00CA4C0B">
        <w:rPr>
          <w:rStyle w:val="None"/>
          <w:rFonts w:ascii="Book Antiqua" w:hAnsi="Book Antiqua"/>
          <w:color w:val="auto"/>
          <w:sz w:val="24"/>
          <w:szCs w:val="24"/>
        </w:rPr>
        <w:t xml:space="preserve"> </w:t>
      </w:r>
      <w:r w:rsidR="0032207E" w:rsidRPr="00CA4C0B">
        <w:rPr>
          <w:rStyle w:val="None"/>
          <w:rFonts w:ascii="Book Antiqua" w:hAnsi="Book Antiqua"/>
          <w:i/>
          <w:iCs/>
          <w:color w:val="auto"/>
          <w:sz w:val="24"/>
          <w:szCs w:val="24"/>
        </w:rPr>
        <w:t>et a</w:t>
      </w:r>
      <w:r w:rsidR="00B06D00" w:rsidRPr="00CA4C0B">
        <w:rPr>
          <w:rStyle w:val="None"/>
          <w:rFonts w:ascii="Book Antiqua" w:hAnsi="Book Antiqua"/>
          <w:i/>
          <w:iCs/>
          <w:color w:val="auto"/>
          <w:sz w:val="24"/>
          <w:szCs w:val="24"/>
        </w:rPr>
        <w:t>l</w:t>
      </w:r>
      <w:r w:rsidR="00B06D00" w:rsidRPr="00CA4C0B">
        <w:rPr>
          <w:rStyle w:val="None"/>
          <w:rFonts w:ascii="Book Antiqua" w:hAnsi="Book Antiqua"/>
          <w:i/>
          <w:iCs/>
          <w:color w:val="auto"/>
          <w:sz w:val="24"/>
          <w:szCs w:val="24"/>
        </w:rPr>
        <w:fldChar w:fldCharType="begin" w:fldLock="1"/>
      </w:r>
      <w:r w:rsidR="00793F69" w:rsidRPr="00CA4C0B">
        <w:rPr>
          <w:rStyle w:val="None"/>
          <w:rFonts w:ascii="Book Antiqua" w:hAnsi="Book Antiqua"/>
          <w:i/>
          <w:iCs/>
          <w:color w:val="auto"/>
          <w:sz w:val="24"/>
          <w:szCs w:val="24"/>
        </w:rPr>
        <w:instrText>ADDIN CSL_CITATION {"citationItems":[{"id":"ITEM-1","itemData":{"DOI":"10.1016/S0168-8278(05)80224-7","ISSN":"01688278","PMID":"8100248","abstract":"Glutamine synthase and carbamoylphosphate synthase show a strikingly heterogeneous and fully complementary distribution in the rat liver. In the human liver, however, there is a midlobular zone where both enzymes are absent. The diameter of the human liver lobule is approximately twice the size of the rat lobule. To investigate whether lobule size is a major determinant for the expression patterns of glutamine synthase and carbamoylphosphate synthase, Wistar strain rats were partially hepatectomized 3 times, at weekly or monthly intervals. Due to hepatic regeneration the cross-sectional area of the liver lobules increased twofold. However, a midlobular zone which lacked expression of both glutamine synthase and carbamoylphosphate synthase did not develop in these livers, thus showing that lobular size is not a major determinant for the distribution patterns of glutamine and carbamoylphosphate synthase. The twofold increase in the cross-sectional area of the liver lobule was associated with a similar reduction in the relative number of glutamine synthase-positive cells and in the enzyme content of the liver, indicating that the regeneration process does not affect the pericentral pattern of glutamine synthase expression. After regeneration was complete, the glutamine synthase content in the liver was restored to its original value, demonstrating a twofold increase in the cellular concentration of glutamine synthase-positive hepatocytes. An increase in the diameter of the liver lobule was only seen after the first partial hepatectomy. Liver growth following subsequent partial hepatectomies can be explained by an increase in the length of the liver lobule and/or by splitting of liver lobules. The zonal distribution of DNA replication, which is characteristic of the first partial hepatectomy, is lost after repeated partial hepatectomies. Furthermore, evidence was obtained that the signal for inducing DNA synthesis may originate at the level of single liver units. © 1993 Elsevier Scientific Publishers Ireland Ltd. All rights reserved.","author":[{"dropping-particle":"","family":"Wagenaar","given":"Gerry T.M.","non-dropping-particle":"","parse-names":false,"suffix":""},{"dropping-particle":"","family":"Chamuleau","given":"Robert A.F.M.","non-dropping-particle":"","parse-names":false,"suffix":""},{"dropping-particle":"","family":"Pool","given":"Christiaan W.","non-dropping-particle":"","parse-names":false,"suffix":""},{"dropping-particle":"","family":"Haan","given":"Jan G.","non-dropping-particle":"de","parse-names":false,"suffix":""},{"dropping-particle":"","family":"Maas","given":"Martinus A.W.","non-dropping-particle":"","parse-names":false,"suffix":""},{"dropping-particle":"","family":"Korfage","given":"Hans A.M.","non-dropping-particle":"","parse-names":false,"suffix":""},{"dropping-particle":"","family":"Lamers","given":"Wouter H.","non-dropping-particle":"","parse-names":false,"suffix":""}],"container-title":"Journal of Hepatology","id":"ITEM-1","issue":"3","issued":{"date-parts":[["1993"]]},"page":"397-407","title":"Distribution and activity of glutamine synthase and carbamoylphosphate synthase upon enlargement of the liver lobule by repeated partial hepatectomies","type":"article-journal","volume":"17"},"uris":["http://www.mendeley.com/documents/?uuid=932ed64c-c7d8-4824-a0ab-6c1b0af76820"]}],"mendeley":{"formattedCitation":"&lt;sup&gt;[26]&lt;/sup&gt;","plainTextFormattedCitation":"[26]","previouslyFormattedCitation":"&lt;sup&gt;[26]&lt;/sup&gt;"},"properties":{"noteIndex":0},"schema":"https://github.com/citation-style-language/schema/raw/master/csl-citation.json"}</w:instrText>
      </w:r>
      <w:r w:rsidR="00B06D00" w:rsidRPr="00CA4C0B">
        <w:rPr>
          <w:rStyle w:val="None"/>
          <w:rFonts w:ascii="Book Antiqua" w:hAnsi="Book Antiqua"/>
          <w:i/>
          <w:iCs/>
          <w:color w:val="auto"/>
          <w:sz w:val="24"/>
          <w:szCs w:val="24"/>
        </w:rPr>
        <w:fldChar w:fldCharType="separate"/>
      </w:r>
      <w:r w:rsidR="00B06D00" w:rsidRPr="00CA4C0B">
        <w:rPr>
          <w:rStyle w:val="None"/>
          <w:rFonts w:ascii="Book Antiqua" w:hAnsi="Book Antiqua"/>
          <w:iCs/>
          <w:noProof/>
          <w:color w:val="auto"/>
          <w:sz w:val="24"/>
          <w:szCs w:val="24"/>
          <w:vertAlign w:val="superscript"/>
        </w:rPr>
        <w:t>[26]</w:t>
      </w:r>
      <w:r w:rsidR="00B06D00" w:rsidRPr="00CA4C0B">
        <w:rPr>
          <w:rStyle w:val="None"/>
          <w:rFonts w:ascii="Book Antiqua" w:hAnsi="Book Antiqua"/>
          <w:i/>
          <w:iCs/>
          <w:color w:val="auto"/>
          <w:sz w:val="24"/>
          <w:szCs w:val="24"/>
        </w:rPr>
        <w:fldChar w:fldCharType="end"/>
      </w:r>
      <w:r w:rsidRPr="00CA4C0B">
        <w:rPr>
          <w:rStyle w:val="None"/>
          <w:rFonts w:ascii="Book Antiqua" w:hAnsi="Book Antiqua"/>
          <w:i/>
          <w:iCs/>
          <w:color w:val="auto"/>
          <w:sz w:val="24"/>
          <w:szCs w:val="24"/>
        </w:rPr>
        <w:t>,</w:t>
      </w:r>
      <w:r w:rsidRPr="00CA4C0B">
        <w:rPr>
          <w:rStyle w:val="None"/>
          <w:rFonts w:ascii="Book Antiqua" w:hAnsi="Book Antiqua"/>
          <w:color w:val="auto"/>
          <w:sz w:val="24"/>
          <w:szCs w:val="24"/>
        </w:rPr>
        <w:t xml:space="preserve"> who noted that hepatocytes do not increase after a third hepatect</w:t>
      </w:r>
      <w:r w:rsidR="0032207E" w:rsidRPr="00CA4C0B">
        <w:rPr>
          <w:rStyle w:val="None"/>
          <w:rFonts w:ascii="Book Antiqua" w:hAnsi="Book Antiqua"/>
          <w:color w:val="auto"/>
          <w:sz w:val="24"/>
          <w:szCs w:val="24"/>
        </w:rPr>
        <w:t>omy</w:t>
      </w:r>
      <w:r w:rsidRPr="00CA4C0B">
        <w:rPr>
          <w:rStyle w:val="None"/>
          <w:rFonts w:ascii="Book Antiqua" w:hAnsi="Book Antiqua"/>
          <w:color w:val="auto"/>
          <w:sz w:val="24"/>
          <w:szCs w:val="24"/>
        </w:rPr>
        <w:t xml:space="preserve">. </w:t>
      </w:r>
    </w:p>
    <w:p w14:paraId="68524A7E" w14:textId="211BF610" w:rsidR="004313EE" w:rsidRPr="00CA4C0B" w:rsidRDefault="00CE6644" w:rsidP="00D61634">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color w:val="auto"/>
        </w:rPr>
        <w:lastRenderedPageBreak/>
        <w:t>The fact that the number of ductular profiles gradually increases after 9 months from PH and after 6 mo</w:t>
      </w:r>
      <w:r w:rsidR="00A51BC1" w:rsidRPr="00CA4C0B">
        <w:rPr>
          <w:rStyle w:val="Hyperlink2"/>
          <w:rFonts w:ascii="Book Antiqua" w:eastAsia="Arial Unicode MS" w:hAnsi="Book Antiqua"/>
          <w:color w:val="auto"/>
        </w:rPr>
        <w:t>nths</w:t>
      </w:r>
      <w:r w:rsidR="00F765C4"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from the repeated PH (following 9-mo</w:t>
      </w:r>
      <w:r w:rsidR="00F6206B" w:rsidRPr="00CA4C0B">
        <w:rPr>
          <w:rStyle w:val="Hyperlink2"/>
          <w:rFonts w:ascii="Book Antiqua" w:eastAsia="Arial Unicode MS" w:hAnsi="Book Antiqua"/>
          <w:color w:val="auto"/>
        </w:rPr>
        <w:t>nth</w:t>
      </w:r>
      <w:r w:rsidR="008C22CF"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 xml:space="preserve">regeneration) indicates that biliary structures are also subjected to structural changes. At the same time, this ductular reaction (DR) should not be associated with either stem cell proliferation or hepatocyte </w:t>
      </w:r>
      <w:proofErr w:type="spellStart"/>
      <w:r w:rsidRPr="00CA4C0B">
        <w:rPr>
          <w:rStyle w:val="Hyperlink2"/>
          <w:rFonts w:ascii="Book Antiqua" w:eastAsia="Arial Unicode MS" w:hAnsi="Book Antiqua"/>
          <w:color w:val="auto"/>
        </w:rPr>
        <w:t>transdiffere</w:t>
      </w:r>
      <w:r w:rsidR="00467CAA" w:rsidRPr="00CA4C0B">
        <w:rPr>
          <w:rStyle w:val="Hyperlink2"/>
          <w:rFonts w:ascii="Book Antiqua" w:eastAsia="Arial Unicode MS" w:hAnsi="Book Antiqua"/>
          <w:color w:val="auto"/>
        </w:rPr>
        <w:t>ntiation</w:t>
      </w:r>
      <w:proofErr w:type="spellEnd"/>
      <w:r w:rsidR="00467CAA" w:rsidRPr="00CA4C0B">
        <w:rPr>
          <w:rStyle w:val="Hyperlink2"/>
          <w:rFonts w:ascii="Book Antiqua" w:eastAsia="Arial Unicode MS" w:hAnsi="Book Antiqua"/>
          <w:color w:val="auto"/>
        </w:rPr>
        <w:t xml:space="preserve"> (types II and III (DR)</w:t>
      </w:r>
      <w:r w:rsidR="00793F69" w:rsidRPr="00CA4C0B">
        <w:rPr>
          <w:rStyle w:val="None"/>
          <w:rFonts w:ascii="Book Antiqua" w:hAnsi="Book Antiqua"/>
          <w:color w:val="auto"/>
          <w:sz w:val="24"/>
          <w:szCs w:val="24"/>
          <w:vertAlign w:val="superscript"/>
          <w:lang w:val="pt-PT"/>
        </w:rPr>
        <w:fldChar w:fldCharType="begin" w:fldLock="1"/>
      </w:r>
      <w:r w:rsidR="00793F69" w:rsidRPr="00CA4C0B">
        <w:rPr>
          <w:rStyle w:val="None"/>
          <w:rFonts w:ascii="Book Antiqua" w:hAnsi="Book Antiqua"/>
          <w:color w:val="auto"/>
          <w:sz w:val="24"/>
          <w:szCs w:val="24"/>
          <w:vertAlign w:val="superscript"/>
          <w:lang w:val="pt-PT"/>
        </w:rPr>
        <w:instrText>ADDIN CSL_CITATION {"citationItems":[{"id":"ITEM-1","itemData":{"DOI":"10.1007/s00428-011-1048-3","ISSN":"09456317","PMID":"21301864","abstract":"This article focuses on the observation that most hepatic ductular reactions (DRs) have ductal plate (DP)-like patterns. Considering old and recent data, it hypothesizes that in DR, dedifferentiation of hepatocytes in ductular metaplasia may lead to the de novo development of liver stem/progenitor cells (LPCs). The three recognized types of DR are reconsidered, and an additional fourth type, DR type 2B, is added. In DR type 1 whose pattern differs from DP, the pre-existing cholangiocytes multiply and adjust the ductal structure in response tomicro-environmental changes induced by oedema and inflammation. This DR fails to establish new canaliculo-ductular connections. DRs types 2A, 2B and 3 represent progenitor cell-based reactions in DP configuration which establish canaliculo-ductular connections similar to DPs in embryonic and foetal liver development. DR type 2A occurs in periportal areas in chronic cholestatic and inflammatory diseases and is interpreted as a reaction of LPCs, which either pre-exist or derive from dedifferentiated hepatocytes. DR type 2B occurs in centrolobular areas and zones of parenchymal hypoxia, is induced by hypoxia and corresponds to \"ductular metaplasia\" like type 2A with a presumably similar cellular origin. DR type 3 relates to the well-recognized activation of LPCs that reside in the canals of Hering. All DRs in DP configuration play a role in progression of fibrosis in chronic liver diseases. © Springer-Verlag 2011.","author":[{"dropping-particle":"","family":"Desmet","given":"Valeer J","non-dropping-particle":"","parse-names":false,"suffix":""}],"container-title":"Virchows Archiv","id":"ITEM-1","issue":"3","issued":{"date-parts":[["2011","3","2"]]},"page":"251-259","title":"Ductal plates in hepatic ductular reactions. Hypothesis and implications. I. Types of ductular reaction reconsidered","type":"article-journal","volume":"458"},"uris":["http://www.mendeley.com/documents/?uuid=755f2fdd-e41f-31ae-99fe-7ff61520eddb"]},{"id":"ITEM-2","itemData":{"DOI":"10.1016/S0344-0338(11)80870-8","ISSN":"03440338","PMID":"7479372","author":[{"dropping-particle":"","family":"Desmet","given":"V.","non-dropping-particle":"","parse-names":false,"suffix":""},{"dropping-particle":"","family":"Roskams","given":"T.","non-dropping-particle":"","parse-names":false,"suffix":""},{"dropping-particle":"","family":"Eyken","given":"P.","non-dropping-particle":"Van","parse-names":false,"suffix":""}],"container-title":"Pathology - Research and Practice","id":"ITEM-2","issue":"6","issued":{"date-parts":[["1995","7"]]},"page":"513-524","title":"Ductular Reaction in the Livers","type":"article-journal","volume":"191"},"uris":["http://www.mendeley.com/documents/?uuid=2d01b8c1-57b2-4bb9-bf1f-9fdb8f6a1bb1"]}],"mendeley":{"formattedCitation":"&lt;sup&gt;[48,49]&lt;/sup&gt;","plainTextFormattedCitation":"[48,49]","previouslyFormattedCitation":"&lt;sup&gt;[48,49]&lt;/sup&gt;"},"properties":{"noteIndex":0},"schema":"https://github.com/citation-style-language/schema/raw/master/csl-citation.json"}</w:instrText>
      </w:r>
      <w:r w:rsidR="00793F69" w:rsidRPr="00CA4C0B">
        <w:rPr>
          <w:rStyle w:val="None"/>
          <w:rFonts w:ascii="Book Antiqua" w:hAnsi="Book Antiqua"/>
          <w:color w:val="auto"/>
          <w:sz w:val="24"/>
          <w:szCs w:val="24"/>
          <w:vertAlign w:val="superscript"/>
          <w:lang w:val="pt-PT"/>
        </w:rPr>
        <w:fldChar w:fldCharType="separate"/>
      </w:r>
      <w:r w:rsidR="00793F69" w:rsidRPr="00CA4C0B">
        <w:rPr>
          <w:rStyle w:val="None"/>
          <w:rFonts w:ascii="Book Antiqua" w:hAnsi="Book Antiqua"/>
          <w:noProof/>
          <w:color w:val="auto"/>
          <w:sz w:val="24"/>
          <w:szCs w:val="24"/>
          <w:vertAlign w:val="superscript"/>
          <w:lang w:val="pt-PT"/>
        </w:rPr>
        <w:t>[48,49]</w:t>
      </w:r>
      <w:r w:rsidR="00793F69" w:rsidRPr="00CA4C0B">
        <w:rPr>
          <w:rStyle w:val="None"/>
          <w:rFonts w:ascii="Book Antiqua" w:hAnsi="Book Antiqua"/>
          <w:color w:val="auto"/>
          <w:sz w:val="24"/>
          <w:szCs w:val="24"/>
          <w:vertAlign w:val="superscript"/>
          <w:lang w:val="pt-PT"/>
        </w:rPr>
        <w:fldChar w:fldCharType="end"/>
      </w:r>
      <w:r w:rsidRPr="00CA4C0B">
        <w:rPr>
          <w:rStyle w:val="Hyperlink2"/>
          <w:rFonts w:ascii="Book Antiqua" w:eastAsia="Arial Unicode MS" w:hAnsi="Book Antiqua"/>
          <w:color w:val="auto"/>
        </w:rPr>
        <w:t>. Ductular profiles revealed on histological slices of regenerated and re-regenerated livers resemble the ductular profiles found in the early stages of common bile duct oc</w:t>
      </w:r>
      <w:r w:rsidR="00467CAA" w:rsidRPr="00CA4C0B">
        <w:rPr>
          <w:rStyle w:val="Hyperlink2"/>
          <w:rFonts w:ascii="Book Antiqua" w:eastAsia="Arial Unicode MS" w:hAnsi="Book Antiqua"/>
          <w:color w:val="auto"/>
        </w:rPr>
        <w:t>clusion in our previous studies</w:t>
      </w:r>
      <w:r w:rsidR="00793F69" w:rsidRPr="00CA4C0B">
        <w:rPr>
          <w:rStyle w:val="None"/>
          <w:rFonts w:ascii="Book Antiqua" w:hAnsi="Book Antiqua"/>
          <w:color w:val="auto"/>
          <w:sz w:val="24"/>
          <w:szCs w:val="24"/>
          <w:vertAlign w:val="superscript"/>
          <w:lang w:val="pt-PT"/>
        </w:rPr>
        <w:fldChar w:fldCharType="begin" w:fldLock="1"/>
      </w:r>
      <w:r w:rsidR="00BE136C" w:rsidRPr="00CA4C0B">
        <w:rPr>
          <w:rStyle w:val="None"/>
          <w:rFonts w:ascii="Book Antiqua" w:hAnsi="Book Antiqua"/>
          <w:color w:val="auto"/>
          <w:sz w:val="24"/>
          <w:szCs w:val="24"/>
          <w:vertAlign w:val="superscript"/>
          <w:lang w:val="pt-PT"/>
        </w:rPr>
        <w:instrText>ADDIN CSL_CITATION {"citationItems":[{"id":"ITEM-1","itemData":{"DOI":"10.1556/ABiol.63.2012.3.2","ISSN":"0236-5383","PMID":"22963913","abstract":"Ductular reaction (DR) in bile duct ligated rats generally appears from 2nd day after biliary obstruction (BO). However, we show that increased amount of ductular profiles is evident already in 6 hours after BDL. The study aims to explain the origin of such an early DR in response to BO. Male Lewis rats were subjected to common bile duct ligation (CBDL) for 3, 6, 12 and 24 hours and sham operation. Liver samples were studied histologically, immunohistochemically (Ki67, pan-Cytokeratin /AE1 + AE3/ and OV-6) and by immunoblotting analyses. It appeared that number of ductular profiles increase in time-related manner after BO. These ductular profiles are formed by biliary epitheliocyte-like cells; No mitotic activity was revealed. Part of hepatocytes reveals pan-Cytokeratin positivity on 12 and 24 hours after BO. Total cytokeratins content at 24 hours after CBDL was 37% higher in comparison with control data. The significant increase was observed for the cytokeratins with molecular weights: 61, 56 and 40 KDa. Thus, early DR after BDL is mediated by widening of the existed finest biliary ramifications and is not associated with proliferation activities. This DR is accompanied by differentiation of hepatocytes toward bile duct-like cells.","author":[{"dropping-particle":"","family":"Azmaiparashvili","given":"Elza","non-dropping-particle":"","parse-names":false,"suffix":""},{"dropping-particle":"","family":"Berishvili","given":"Ekaterine","non-dropping-particle":"","parse-names":false,"suffix":""},{"dropping-particle":"","family":"Kakabadze","given":"Z.","non-dropping-particle":"","parse-names":false,"suffix":""},{"dropping-particle":"","family":"Pilishvili","given":"O.","non-dropping-particle":"","parse-names":false,"suffix":""},{"dropping-particle":"","family":"Mikautadze","given":"Ekaterine","non-dropping-particle":"","parse-names":false,"suffix":""},{"dropping-particle":"","family":"Solomonia","given":"R.","non-dropping-particle":"","parse-names":false,"suffix":""},{"dropping-particle":"","family":"Jangavadze","given":"M.","non-dropping-particle":"","parse-names":false,"suffix":""},{"dropping-particle":"","family":"Kordzaia","given":"D.","non-dropping-particle":"","parse-names":false,"suffix":""}],"container-title":"Acta biologica Hungarica","id":"ITEM-1","issue":"3","issued":{"date-parts":[["2012","9","1"]]},"page":"321-32","title":"Ductular reaction at the early terms of common bile duct ligation in the rats.","type":"article-journal","volume":"63"},"uris":["http://www.mendeley.com/documents/?uuid=74c753c7-1803-3860-bba1-a8eee602dcf3"]},{"id":"ITEM-2","itemData":{"ISSN":"1512-0112","PMID":"30829599","abstract":"Ductular reaction (DR) is one of the classical features of biliary obstruction in humans as well as in experimental models. It is the histological phenomenon expressed by the increased number of ductular profiles (DPs), which is especially intensively studied in rodents' model of common bile duct ligation (CBDL). However, some issues related with DR in long-term CBDL are not clear enough. The liver tissue of male Wistar rats (150-200 g) subjected to CBDL were studied histologically (H&amp;E). The architectonics of the biliary tract was studied by investigation of the corrosion casts obtained by retrograde injection (trough CBD) the solidified mass prepared on the basis of \"Protacryl M\" widely implemented in orthopedic dentistry. The casts were investigated by electro-optic device ProScope-HR with magnification X10, X50 and X200. DR accompanying CBDO is featured by the development of new DPs, the number of which is permanently increased in association with the prolongation of the terms of Cholestasis. DPs continue to develop in all areas of liver lobules - from portal/periportal region up to the regions containing central veins (hepatic veins tributaries of small calibers). The part of DPs has wide lumens, while the lumens of another part of DPs are hardly notable. In spite of evident ductular metaplasia of hepatic tissue, the small groups of normal by form and structure hepatocytes forming the separate small islets could be revealed. Histological features of these hepatocytes support the proposition that these cells maintain the functional activity on the 4th-5th weeks after CBDO. The results of investigations of biliary corrosion casts on the 4th and 5th weeks of CBDO show that solidifying mass cannot reach the small ducts/ductules and especially bile canaliculi. This fact confirms the interruption of ductular-canalicular junctions (IDCJ). We propose that due to IDCJ the increased pressure in preserved bile canaliculi should stipulate the mitotic activity and biliary trans-differentiation of hepatocytes on the late terms of CBDO and support the generation of ductal-like structures and appearance of new DPs. These ductules generally are not drained into the entire biliary tree.","author":[{"dropping-particle":"","family":"Azmaiparashvili","given":"E","non-dropping-particle":"","parse-names":false,"suffix":""},{"dropping-particle":"","family":"Bebiashvili","given":"I","non-dropping-particle":"","parse-names":false,"suffix":""},{"dropping-particle":"","family":"Karumidze","given":"N","non-dropping-particle":"","parse-names":false,"suffix":""},{"dropping-particle":"","family":"Tsomaia","given":"K","non-dropping-particle":"","parse-names":false,"suffix":""},{"dropping-particle":"","family":"Kordzaia","given":"D","non-dropping-particle":"","parse-names":false,"suffix":""}],"container-title":"Georgian medical news","id":"ITEM-2","issue":"286","issued":{"date-parts":[["2019","1"]]},"page":"100-106","title":"DUCTULAR REACTION AT THE EARLY AND LATE STAGES OF BILIARY OBSTRUCTION: IS THE MECHANISM THE SAME?","type":"article-journal"},"uris":["http://www.mendeley.com/documents/?uuid=e4036ca4-0c7a-4546-b171-95916414a4c4"]}],"mendeley":{"formattedCitation":"&lt;sup&gt;[50,51]&lt;/sup&gt;","plainTextFormattedCitation":"[50,51]","previouslyFormattedCitation":"&lt;sup&gt;[50,51]&lt;/sup&gt;"},"properties":{"noteIndex":0},"schema":"https://github.com/citation-style-language/schema/raw/master/csl-citation.json"}</w:instrText>
      </w:r>
      <w:r w:rsidR="00793F69" w:rsidRPr="00CA4C0B">
        <w:rPr>
          <w:rStyle w:val="None"/>
          <w:rFonts w:ascii="Book Antiqua" w:hAnsi="Book Antiqua"/>
          <w:color w:val="auto"/>
          <w:sz w:val="24"/>
          <w:szCs w:val="24"/>
          <w:vertAlign w:val="superscript"/>
          <w:lang w:val="pt-PT"/>
        </w:rPr>
        <w:fldChar w:fldCharType="separate"/>
      </w:r>
      <w:r w:rsidR="00793F69" w:rsidRPr="00CA4C0B">
        <w:rPr>
          <w:rStyle w:val="None"/>
          <w:rFonts w:ascii="Book Antiqua" w:hAnsi="Book Antiqua"/>
          <w:noProof/>
          <w:color w:val="auto"/>
          <w:sz w:val="24"/>
          <w:szCs w:val="24"/>
          <w:vertAlign w:val="superscript"/>
          <w:lang w:val="pt-PT"/>
        </w:rPr>
        <w:t>[50,51]</w:t>
      </w:r>
      <w:r w:rsidR="00793F69" w:rsidRPr="00CA4C0B">
        <w:rPr>
          <w:rStyle w:val="None"/>
          <w:rFonts w:ascii="Book Antiqua" w:hAnsi="Book Antiqua"/>
          <w:color w:val="auto"/>
          <w:sz w:val="24"/>
          <w:szCs w:val="24"/>
          <w:vertAlign w:val="superscript"/>
          <w:lang w:val="pt-PT"/>
        </w:rPr>
        <w:fldChar w:fldCharType="end"/>
      </w:r>
      <w:r w:rsidRPr="00CA4C0B">
        <w:rPr>
          <w:rStyle w:val="Hyperlink2"/>
          <w:rFonts w:ascii="Book Antiqua" w:eastAsia="Arial Unicode MS" w:hAnsi="Book Antiqua"/>
          <w:color w:val="auto"/>
        </w:rPr>
        <w:t>. But bile duct occlusion does not occur in the case of PH and/or repeated PH. It may be assumed that the appearance of ductular profiles in regenerated and re-regenerated hepatic pare</w:t>
      </w:r>
      <w:r w:rsidRPr="00CA4C0B">
        <w:rPr>
          <w:rStyle w:val="Hyperlink2"/>
          <w:rFonts w:ascii="Book Antiqua" w:eastAsia="Arial Unicode MS" w:hAnsi="Book Antiqua"/>
          <w:color w:val="auto"/>
        </w:rPr>
        <w:t>n</w:t>
      </w:r>
      <w:r w:rsidRPr="00CA4C0B">
        <w:rPr>
          <w:rStyle w:val="Hyperlink2"/>
          <w:rFonts w:ascii="Book Antiqua" w:eastAsia="Arial Unicode MS" w:hAnsi="Book Antiqua"/>
          <w:color w:val="auto"/>
        </w:rPr>
        <w:t>chyma may be associated with such remodeling-related structural transfo</w:t>
      </w:r>
      <w:r w:rsidRPr="00CA4C0B">
        <w:rPr>
          <w:rStyle w:val="Hyperlink2"/>
          <w:rFonts w:ascii="Book Antiqua" w:eastAsia="Arial Unicode MS" w:hAnsi="Book Antiqua"/>
          <w:color w:val="auto"/>
        </w:rPr>
        <w:t>r</w:t>
      </w:r>
      <w:r w:rsidRPr="00CA4C0B">
        <w:rPr>
          <w:rStyle w:val="Hyperlink2"/>
          <w:rFonts w:ascii="Book Antiqua" w:eastAsia="Arial Unicode MS" w:hAnsi="Book Antiqua"/>
          <w:color w:val="auto"/>
        </w:rPr>
        <w:t>mations (including the package of the connective tissue fibers) that result in o</w:t>
      </w:r>
      <w:r w:rsidRPr="00CA4C0B">
        <w:rPr>
          <w:rStyle w:val="Hyperlink2"/>
          <w:rFonts w:ascii="Book Antiqua" w:eastAsia="Arial Unicode MS" w:hAnsi="Book Antiqua"/>
          <w:color w:val="auto"/>
        </w:rPr>
        <w:t>b</w:t>
      </w:r>
      <w:r w:rsidRPr="00CA4C0B">
        <w:rPr>
          <w:rStyle w:val="Hyperlink2"/>
          <w:rFonts w:ascii="Book Antiqua" w:eastAsia="Arial Unicode MS" w:hAnsi="Book Antiqua"/>
          <w:color w:val="auto"/>
        </w:rPr>
        <w:t xml:space="preserve">struction of the normal flow of bile through the intraportal, </w:t>
      </w:r>
      <w:proofErr w:type="spellStart"/>
      <w:r w:rsidRPr="00CA4C0B">
        <w:rPr>
          <w:rStyle w:val="Hyperlink2"/>
          <w:rFonts w:ascii="Book Antiqua" w:eastAsia="Arial Unicode MS" w:hAnsi="Book Antiqua"/>
          <w:color w:val="auto"/>
        </w:rPr>
        <w:t>in</w:t>
      </w:r>
      <w:r w:rsidR="00467CAA" w:rsidRPr="00CA4C0B">
        <w:rPr>
          <w:rStyle w:val="Hyperlink2"/>
          <w:rFonts w:ascii="Book Antiqua" w:eastAsia="Arial Unicode MS" w:hAnsi="Book Antiqua"/>
          <w:color w:val="auto"/>
        </w:rPr>
        <w:t>tralobular</w:t>
      </w:r>
      <w:proofErr w:type="spellEnd"/>
      <w:r w:rsidR="00467CAA" w:rsidRPr="00CA4C0B">
        <w:rPr>
          <w:rStyle w:val="Hyperlink2"/>
          <w:rFonts w:ascii="Book Antiqua" w:eastAsia="Arial Unicode MS" w:hAnsi="Book Antiqua"/>
          <w:color w:val="auto"/>
        </w:rPr>
        <w:t xml:space="preserve"> and He</w:t>
      </w:r>
      <w:r w:rsidR="00467CAA" w:rsidRPr="00CA4C0B">
        <w:rPr>
          <w:rStyle w:val="Hyperlink2"/>
          <w:rFonts w:ascii="Book Antiqua" w:eastAsia="Arial Unicode MS" w:hAnsi="Book Antiqua"/>
          <w:color w:val="auto"/>
        </w:rPr>
        <w:t>r</w:t>
      </w:r>
      <w:r w:rsidR="00467CAA" w:rsidRPr="00CA4C0B">
        <w:rPr>
          <w:rStyle w:val="Hyperlink2"/>
          <w:rFonts w:ascii="Book Antiqua" w:eastAsia="Arial Unicode MS" w:hAnsi="Book Antiqua"/>
          <w:color w:val="auto"/>
        </w:rPr>
        <w:t xml:space="preserve">ring </w:t>
      </w:r>
      <w:proofErr w:type="spellStart"/>
      <w:r w:rsidR="00467CAA" w:rsidRPr="00CA4C0B">
        <w:rPr>
          <w:rStyle w:val="Hyperlink2"/>
          <w:rFonts w:ascii="Book Antiqua" w:eastAsia="Arial Unicode MS" w:hAnsi="Book Antiqua"/>
          <w:color w:val="auto"/>
        </w:rPr>
        <w:t>ductules</w:t>
      </w:r>
      <w:proofErr w:type="spellEnd"/>
      <w:r w:rsidR="00BE136C" w:rsidRPr="00CA4C0B">
        <w:rPr>
          <w:rStyle w:val="Hyperlink2"/>
          <w:rFonts w:ascii="Book Antiqua" w:eastAsia="Arial Unicode MS" w:hAnsi="Book Antiqua"/>
          <w:color w:val="auto"/>
        </w:rPr>
        <w:fldChar w:fldCharType="begin" w:fldLock="1"/>
      </w:r>
      <w:r w:rsidR="00BE136C" w:rsidRPr="00CA4C0B">
        <w:rPr>
          <w:rStyle w:val="Hyperlink2"/>
          <w:rFonts w:ascii="Book Antiqua" w:eastAsia="Arial Unicode MS" w:hAnsi="Book Antiqua"/>
          <w:color w:val="auto"/>
        </w:rPr>
        <w:instrText>ADDIN CSL_CITATION {"citationItems":[{"id":"ITEM-1","itemData":{"DOI":"10.1002/hep.20130","ISSN":"0270-9139","PMID":"15185318","abstract":"The work of liver stem cell biologists, largely carried out in rodent models, has now started to manifest in human investigations and applications. We can now recognize complex regenerative processes in tissue specimens that had only been suspected for decades, but we also struggle to describe what we see in human tissues in a way that takes into account the findings from the animal investigations, using a language derived from species not, in fact, so much like our own. This international group of liver pathologists and hepatologists, most of whom are actively engaged in both clinical work and scientific research, seeks to arrive at a consensus on nomenclature for normal human livers and human reactive lesions that can facilitate more rapid advancement of our field.","author":[{"dropping-particle":"","family":"Roskams","given":"Tania A.","non-dropping-particle":"","parse-names":false,"suffix":""},{"dropping-particle":"","family":"Theise","given":"Neil D.","non-dropping-particle":"","parse-names":false,"suffix":""},{"dropping-particle":"","family":"Balabaud","given":"Charles","non-dropping-particle":"","parse-names":false,"suffix":""},{"dropping-particle":"","family":"Bhagat","given":"Govind","non-dropping-particle":"","parse-names":false,"suffix":""},{"dropping-particle":"","family":"Bhathal","given":"Prithi S.","non-dropping-particle":"","parse-names":false,"suffix":""},{"dropping-particle":"","family":"Bioulac-Sage","given":"Paulette","non-dropping-particle":"","parse-names":false,"suffix":""},{"dropping-particle":"","family":"Brunt","given":"Elizabeth M.","non-dropping-particle":"","parse-names":false,"suffix":""},{"dropping-particle":"","family":"Crawford","given":"James M.","non-dropping-particle":"","parse-names":false,"suffix":""},{"dropping-particle":"","family":"Crosby","given":"Heather A.","non-dropping-particle":"","parse-names":false,"suffix":""},{"dropping-particle":"","family":"Desmet","given":"Valeer","non-dropping-particle":"","parse-names":false,"suffix":""},{"dropping-particle":"","family":"Finegold","given":"Milton J.","non-dropping-particle":"","parse-names":false,"suffix":""},{"dropping-particle":"","family":"Geller","given":"Stephen A.","non-dropping-particle":"","parse-names":false,"suffix":""},{"dropping-particle":"","family":"Gouw","given":"Annette S.H.","non-dropping-particle":"","parse-names":false,"suffix":""},{"dropping-particle":"","family":"Hytiroglou","given":"Prodromos","non-dropping-particle":"","parse-names":false,"suffix":""},{"dropping-particle":"","family":"Knisely","given":"A.S.","non-dropping-particle":"","parse-names":false,"suffix":""},{"dropping-particle":"","family":"Kojiro","given":"Masamichi","non-dropping-particle":"","parse-names":false,"suffix":""},{"dropping-particle":"","family":"Lefkowitch","given":"Jay H.","non-dropping-particle":"","parse-names":false,"suffix":""},{"dropping-particle":"","family":"Nakanuma","given":"Yasuni","non-dropping-particle":"","parse-names":false,"suffix":""},{"dropping-particle":"","family":"Olynyk","given":"John K.","non-dropping-particle":"","parse-names":false,"suffix":""},{"dropping-particle":"","family":"Nyun Park","given":"Young","non-dropping-particle":"","parse-names":false,"suffix":""},{"dropping-particle":"","family":"Portmann","given":"Bernard","non-dropping-particle":"","parse-names":false,"suffix":""},{"dropping-particle":"","family":"Saxena","given":"Romil","non-dropping-particle":"","parse-names":false,"suffix":""},{"dropping-particle":"","family":"Scheuer","given":"Peter J.","non-dropping-particle":"","parse-names":false,"suffix":""},{"dropping-particle":"","family":"Strain","given":"Alastair J.","non-dropping-particle":"","parse-names":false,"suffix":""},{"dropping-particle":"","family":"Thung","given":"Swan N.","non-dropping-particle":"","parse-names":false,"suffix":""},{"dropping-particle":"","family":"Wanless","given":"Ian R.","non-dropping-particle":"","parse-names":false,"suffix":""},{"dropping-particle":"","family":"West","given":"A. Brian","non-dropping-particle":"","parse-names":false,"suffix":""}],"container-title":"Hepatology","id":"ITEM-1","issue":"6","issued":{"date-parts":[["2004","6"]]},"page":"1739-1745","title":"Nomenclature of the finer branches of the biliary tree: Canals, ductules, and ductular reactions in human livers","type":"article-journal","volume":"39"},"uris":["http://www.mendeley.com/documents/?uuid=3019cc8f-092d-4584-9742-48b7debba7f7"]}],"mendeley":{"formattedCitation":"&lt;sup&gt;[52]&lt;/sup&gt;","plainTextFormattedCitation":"[52]","previouslyFormattedCitation":"&lt;sup&gt;[52]&lt;/sup&gt;"},"properties":{"noteIndex":0},"schema":"https://github.com/citation-style-language/schema/raw/master/csl-citation.json"}</w:instrText>
      </w:r>
      <w:r w:rsidR="00BE136C" w:rsidRPr="00CA4C0B">
        <w:rPr>
          <w:rStyle w:val="Hyperlink2"/>
          <w:rFonts w:ascii="Book Antiqua" w:eastAsia="Arial Unicode MS" w:hAnsi="Book Antiqua"/>
          <w:color w:val="auto"/>
        </w:rPr>
        <w:fldChar w:fldCharType="separate"/>
      </w:r>
      <w:r w:rsidR="00BE136C" w:rsidRPr="00CA4C0B">
        <w:rPr>
          <w:rStyle w:val="Hyperlink2"/>
          <w:rFonts w:ascii="Book Antiqua" w:eastAsia="Arial Unicode MS" w:hAnsi="Book Antiqua"/>
          <w:noProof/>
          <w:color w:val="auto"/>
          <w:vertAlign w:val="superscript"/>
        </w:rPr>
        <w:t>[52]</w:t>
      </w:r>
      <w:r w:rsidR="00BE136C" w:rsidRPr="00CA4C0B">
        <w:rPr>
          <w:rStyle w:val="Hyperlink2"/>
          <w:rFonts w:ascii="Book Antiqua" w:eastAsia="Arial Unicode MS" w:hAnsi="Book Antiqua"/>
          <w:color w:val="auto"/>
        </w:rPr>
        <w:fldChar w:fldCharType="end"/>
      </w:r>
      <w:r w:rsidRPr="00CA4C0B">
        <w:rPr>
          <w:rStyle w:val="Hyperlink2"/>
          <w:rFonts w:ascii="Book Antiqua" w:eastAsia="Arial Unicode MS" w:hAnsi="Book Antiqua"/>
          <w:color w:val="auto"/>
        </w:rPr>
        <w:t>. This again confirms that the transformation of the liver micr</w:t>
      </w:r>
      <w:r w:rsidRPr="00CA4C0B">
        <w:rPr>
          <w:rStyle w:val="Hyperlink2"/>
          <w:rFonts w:ascii="Book Antiqua" w:eastAsia="Arial Unicode MS" w:hAnsi="Book Antiqua"/>
          <w:color w:val="auto"/>
        </w:rPr>
        <w:t>o</w:t>
      </w:r>
      <w:r w:rsidRPr="00CA4C0B">
        <w:rPr>
          <w:rStyle w:val="Hyperlink2"/>
          <w:rFonts w:ascii="Book Antiqua" w:eastAsia="Arial Unicode MS" w:hAnsi="Book Antiqua"/>
          <w:color w:val="auto"/>
        </w:rPr>
        <w:t>circulatory network including 4-сompartments instead of 3 (likely other organs provided by the excretory duct system), cannot be discussed fully without a</w:t>
      </w:r>
      <w:r w:rsidRPr="00CA4C0B">
        <w:rPr>
          <w:rStyle w:val="Hyperlink2"/>
          <w:rFonts w:ascii="Book Antiqua" w:eastAsia="Arial Unicode MS" w:hAnsi="Book Antiqua"/>
          <w:color w:val="auto"/>
        </w:rPr>
        <w:t>s</w:t>
      </w:r>
      <w:r w:rsidRPr="00CA4C0B">
        <w:rPr>
          <w:rStyle w:val="Hyperlink2"/>
          <w:rFonts w:ascii="Book Antiqua" w:eastAsia="Arial Unicode MS" w:hAnsi="Book Antiqua"/>
          <w:color w:val="auto"/>
        </w:rPr>
        <w:t xml:space="preserve">sessing the state </w:t>
      </w:r>
      <w:r w:rsidR="00467CAA" w:rsidRPr="00CA4C0B">
        <w:rPr>
          <w:rStyle w:val="Hyperlink2"/>
          <w:rFonts w:ascii="Book Antiqua" w:eastAsia="Arial Unicode MS" w:hAnsi="Book Antiqua"/>
          <w:color w:val="auto"/>
        </w:rPr>
        <w:t xml:space="preserve">of the bile </w:t>
      </w:r>
      <w:proofErr w:type="spellStart"/>
      <w:r w:rsidR="00467CAA" w:rsidRPr="00CA4C0B">
        <w:rPr>
          <w:rStyle w:val="Hyperlink2"/>
          <w:rFonts w:ascii="Book Antiqua" w:eastAsia="Arial Unicode MS" w:hAnsi="Book Antiqua"/>
          <w:color w:val="auto"/>
        </w:rPr>
        <w:t>ductules</w:t>
      </w:r>
      <w:proofErr w:type="spellEnd"/>
      <w:r w:rsidR="00467CAA" w:rsidRPr="00CA4C0B">
        <w:rPr>
          <w:rStyle w:val="Hyperlink2"/>
          <w:rFonts w:ascii="Book Antiqua" w:eastAsia="Arial Unicode MS" w:hAnsi="Book Antiqua"/>
          <w:color w:val="auto"/>
        </w:rPr>
        <w:t>/canaliculi</w:t>
      </w:r>
      <w:r w:rsidR="00BE136C" w:rsidRPr="00CA4C0B">
        <w:rPr>
          <w:rStyle w:val="None"/>
          <w:rFonts w:ascii="Book Antiqua" w:hAnsi="Book Antiqua"/>
          <w:color w:val="auto"/>
          <w:sz w:val="24"/>
          <w:szCs w:val="24"/>
          <w:vertAlign w:val="superscript"/>
          <w:lang w:val="pt-PT"/>
        </w:rPr>
        <w:fldChar w:fldCharType="begin" w:fldLock="1"/>
      </w:r>
      <w:r w:rsidR="00BE136C" w:rsidRPr="00CA4C0B">
        <w:rPr>
          <w:rStyle w:val="None"/>
          <w:rFonts w:ascii="Book Antiqua" w:hAnsi="Book Antiqua"/>
          <w:color w:val="auto"/>
          <w:sz w:val="24"/>
          <w:szCs w:val="24"/>
          <w:vertAlign w:val="superscript"/>
          <w:lang w:val="pt-PT"/>
        </w:rPr>
        <w:instrText>ADDIN CSL_CITATION {"citationItems":[{"id":"ITEM-1","itemData":{"DOI":"10.1055/s-2004-823100","ISSN":"0272-8087","PMID":"15085485","abstract":"The canals of Hering (CoH) begin in the lobules, are lined partially by cholangiocytes and partly by hepatocytes, and conduct bile from bile canaliculi to terminal bile ducts in portal tracts. They are not readily apparent on routine histological staining but are highlighted by the biliary cytokeratins CK19 and CK7. There is on average 1 CoH per 10 μm of bile duct length. The canals represent the true hepatocytic-biliary interface that thus lies within the lobule and not at the limiting plate. The CoH are destroyed early in primary biliary cirrhosis, perhaps explaining lobular \"hepatitis\" in this disease. They may also be the primary sites of scarring in methotrexate toxicity. Most intriguingly, the CoH have been speculated to harbor intraorgan stem cells of the liver, perhaps forming the hepatic stem cell \"niche\" and have been demonstrated to proliferate in disease states.","author":[{"dropping-particle":"","family":"Saxena","given":"Romil","non-dropping-particle":"","parse-names":false,"suffix":""},{"dropping-particle":"","family":"Theise","given":"Neil","non-dropping-particle":"","parse-names":false,"suffix":""}],"container-title":"Seminars in Liver Disease","id":"ITEM-1","issue":"1","issued":{"date-parts":[["2004","1"]]},"page":"43-48","title":"Canals of Hering: Recent Insights and Current Knowledge","type":"article-journal","volume":"24"},"uris":["http://www.mendeley.com/documents/?uuid=70744a10-70db-4475-81a8-d6ad00eec730"]},{"id":"ITEM-2","itemData":{"ISSN":"1512-0112","PMID":"25341252","abstract":"Studying Ductular reaction (DR) at early stages after common bile duct ligation (CBDL) in rats we revealed some ductular profiles (DPs) of unusual location - accompanying different caliber tributaries of hepatic veins (THV) including central and sub-lobular venules. We investigated the essence and genesis of these atypically located ductuli. 28 Wistar Rat livers were studied histologically and immunohistochemically in norm and after 6, 12 and 24 hours of CBDL. Biliary system of part of the animals was preliminary injected by Indian Ink. After CBDL the number of DPs including the ones accompanying large and small THV was increased. The diameters of DPs found immediately at central and sublobular veins were varying from 5 to 15 mВµ and of DPs located in the adventitia of the large THV are varying from 10 to 30 mВµ. The cell of these DPs were CK19, CK7 and OV6 positive, but Ki-67 negative, what confirms their belonging to cholangiocytes but denies their proliferative genesis. In the sites of crossing of different size portal tracts (PT) and THV with integration of their connective tissue sheaths were revealed some biliary ducts/ductules dislocated from PT towards the THV and situated within their adventitia. The Indian Ink injected via CBD was found in both - portal and perivenous DPs as well as in bile canaliculi, what confirms their inter-continuity. The biliary ductules dislocated from PT toward THV may accompany hepatic venous pathways reversely up to central venules. These finest ductuli having spare function are likely to communicate with bile canaliculi.","author":[{"dropping-particle":"","family":"Kordzaia","given":"D","non-dropping-particle":"","parse-names":false,"suffix":""},{"dropping-particle":"","family":"Jangavadze","given":"M","non-dropping-particle":"","parse-names":false,"suffix":""}],"container-title":"Georgian medical news","id":"ITEM-2","issue":"234","issued":{"date-parts":[["2014","9"]]},"page":"121-9","title":"Unknown bile ductuli accompanying hepatic vein tributaries (experimental study).","type":"article-journal"},"uris":["http://www.mendeley.com/documents/?uuid=4d3facf5-988f-38e7-ac03-38ee099211c5"]},{"id":"ITEM-3","itemData":{"DOI":"10.1053/hupa.2002.128060","ISSN":"00468177","PMID":"12395370","abstract":"The canals of Hering (CoH), converging from the hepatic lobule onto the portal tract, connect bile canaliculi to the interlobular bile ducts, and represent the most proximal portion of the bile drainage pathway with a cholangiocyte lining. In this study we sought to ascertain whether this proximal pathway is involved by the disease process in primary biliary cirrhosis (PBC), which uniformly affects small bile ducts while sparing medium- and large-sized ducts. Ten biopsy specimens with early-stage PBC were compared with 6 normal control livers. Adjacent 4-μ-thick sections of routinely processed, formalin-fixed tissue were immunostained for CK19 and HLA-DR. Each terminal portal tract was assigned a stage: 0, normal; 1, bile duct damage or loss; 2, bile ductular proliferation; or 3, periportal fibrosis. The ratio of the number of CoH to number of portal tracts (i.e., the c/p ratio) was calculated for the control biopsies and individual portal tracts at each stage of PBC. The numbers of CoH were decreased in all stages of PBC (P &lt;0.0001), with the fewest found around portal tracts at stages 0 and 1 and the most around portal tracts at stages 2 and 3, but never at normal levels. HLA-DR was expressed focally on bile ducts and CoH in PBC, but was absent in normal controls. We conclude that CoH are destroyed in PBC in concert with the destruction of small bile ducts. This destruction appears to be an early event, because CoH numbers are lowest around stage 0 portal tracts, which still contain normal bile ducts. Copyright 2002, Elsevier Science (USA). All rights reserved.","author":[{"dropping-particle":"","family":"Saxena","given":"Romil","non-dropping-particle":"","parse-names":false,"suffix":""},{"dropping-particle":"","family":"Hytiroglou","given":"Prodromos","non-dropping-particle":"","parse-names":false,"suffix":""},{"dropping-particle":"","family":"Thung","given":"Swan N.","non-dropping-particle":"","parse-names":false,"suffix":""},{"dropping-particle":"","family":"Theise","given":"Neil D.","non-dropping-particle":"","parse-names":false,"suffix":""}],"container-title":"Human Pathology","id":"ITEM-3","issue":"10","issued":{"date-parts":[["2002","10","1"]]},"page":"983-988","publisher":"W.B. Saunders","title":"Destruction of canals of hering in primary biliary cirrhosis","type":"article-journal","volume":"33"},"uris":["http://www.mendeley.com/documents/?uuid=a1f898fa-b156-3d8f-90dc-16dedb5ec894"]}],"mendeley":{"formattedCitation":"&lt;sup&gt;[53–55]&lt;/sup&gt;","plainTextFormattedCitation":"[53–55]","previouslyFormattedCitation":"&lt;sup&gt;[53–55]&lt;/sup&gt;"},"properties":{"noteIndex":0},"schema":"https://github.com/citation-style-language/schema/raw/master/csl-citation.json"}</w:instrText>
      </w:r>
      <w:r w:rsidR="00BE136C" w:rsidRPr="00CA4C0B">
        <w:rPr>
          <w:rStyle w:val="None"/>
          <w:rFonts w:ascii="Book Antiqua" w:hAnsi="Book Antiqua"/>
          <w:color w:val="auto"/>
          <w:sz w:val="24"/>
          <w:szCs w:val="24"/>
          <w:vertAlign w:val="superscript"/>
          <w:lang w:val="pt-PT"/>
        </w:rPr>
        <w:fldChar w:fldCharType="separate"/>
      </w:r>
      <w:r w:rsidR="00BE136C" w:rsidRPr="00CA4C0B">
        <w:rPr>
          <w:rStyle w:val="None"/>
          <w:rFonts w:ascii="Book Antiqua" w:hAnsi="Book Antiqua"/>
          <w:noProof/>
          <w:color w:val="auto"/>
          <w:sz w:val="24"/>
          <w:szCs w:val="24"/>
          <w:vertAlign w:val="superscript"/>
          <w:lang w:val="pt-PT"/>
        </w:rPr>
        <w:t>[53</w:t>
      </w:r>
      <w:r w:rsidR="00597124">
        <w:rPr>
          <w:rStyle w:val="None"/>
          <w:rFonts w:ascii="Book Antiqua" w:hAnsi="Book Antiqua"/>
          <w:noProof/>
          <w:color w:val="auto"/>
          <w:sz w:val="24"/>
          <w:szCs w:val="24"/>
          <w:vertAlign w:val="superscript"/>
          <w:lang w:val="pt-PT"/>
        </w:rPr>
        <w:t>-</w:t>
      </w:r>
      <w:r w:rsidR="00BE136C" w:rsidRPr="00CA4C0B">
        <w:rPr>
          <w:rStyle w:val="None"/>
          <w:rFonts w:ascii="Book Antiqua" w:hAnsi="Book Antiqua"/>
          <w:noProof/>
          <w:color w:val="auto"/>
          <w:sz w:val="24"/>
          <w:szCs w:val="24"/>
          <w:vertAlign w:val="superscript"/>
          <w:lang w:val="pt-PT"/>
        </w:rPr>
        <w:t>55]</w:t>
      </w:r>
      <w:r w:rsidR="00BE136C" w:rsidRPr="00CA4C0B">
        <w:rPr>
          <w:rStyle w:val="None"/>
          <w:rFonts w:ascii="Book Antiqua" w:hAnsi="Book Antiqua"/>
          <w:color w:val="auto"/>
          <w:sz w:val="24"/>
          <w:szCs w:val="24"/>
          <w:vertAlign w:val="superscript"/>
          <w:lang w:val="pt-PT"/>
        </w:rPr>
        <w:fldChar w:fldCharType="end"/>
      </w:r>
      <w:r w:rsidRPr="00CA4C0B">
        <w:rPr>
          <w:rStyle w:val="Hyperlink2"/>
          <w:rFonts w:ascii="Book Antiqua" w:eastAsia="Arial Unicode MS" w:hAnsi="Book Antiqua"/>
          <w:color w:val="auto"/>
        </w:rPr>
        <w:t xml:space="preserve">. </w:t>
      </w:r>
    </w:p>
    <w:p w14:paraId="3800B54A" w14:textId="3898B3F0" w:rsidR="004313EE" w:rsidRPr="00CA4C0B" w:rsidRDefault="00CE6644" w:rsidP="00D61634">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color w:val="auto"/>
        </w:rPr>
        <w:t xml:space="preserve">SEM of the corrosion casts confirms that in CG the liver is made up of lobules of different shapes and sizes. At the same time, due to the absence of remarkable connective tissue borders, which for example are observed in the pig liver, where each lobule is bounded by </w:t>
      </w:r>
      <w:proofErr w:type="spellStart"/>
      <w:r w:rsidRPr="00CA4C0B">
        <w:rPr>
          <w:rStyle w:val="Hyperlink2"/>
          <w:rFonts w:ascii="Book Antiqua" w:eastAsia="Arial Unicode MS" w:hAnsi="Book Antiqua"/>
          <w:color w:val="auto"/>
        </w:rPr>
        <w:t>perilobular</w:t>
      </w:r>
      <w:proofErr w:type="spellEnd"/>
      <w:r w:rsidRPr="00CA4C0B">
        <w:rPr>
          <w:rStyle w:val="Hyperlink2"/>
          <w:rFonts w:ascii="Book Antiqua" w:eastAsia="Arial Unicode MS" w:hAnsi="Book Antiqua"/>
          <w:color w:val="auto"/>
        </w:rPr>
        <w:t xml:space="preserve"> blood vessels and the connective-tiss</w:t>
      </w:r>
      <w:r w:rsidR="00467CAA" w:rsidRPr="00CA4C0B">
        <w:rPr>
          <w:rStyle w:val="Hyperlink2"/>
          <w:rFonts w:ascii="Book Antiqua" w:eastAsia="Arial Unicode MS" w:hAnsi="Book Antiqua"/>
          <w:color w:val="auto"/>
        </w:rPr>
        <w:t>ue fibers, associated with them</w:t>
      </w:r>
      <w:r w:rsidR="00BE136C" w:rsidRPr="00CA4C0B">
        <w:rPr>
          <w:rStyle w:val="None"/>
          <w:rFonts w:ascii="Book Antiqua" w:hAnsi="Book Antiqua"/>
          <w:color w:val="auto"/>
          <w:sz w:val="24"/>
          <w:szCs w:val="24"/>
          <w:vertAlign w:val="superscript"/>
          <w:lang w:val="pt-PT"/>
        </w:rPr>
        <w:fldChar w:fldCharType="begin" w:fldLock="1"/>
      </w:r>
      <w:r w:rsidR="00716B6D" w:rsidRPr="00CA4C0B">
        <w:rPr>
          <w:rStyle w:val="None"/>
          <w:rFonts w:ascii="Book Antiqua" w:hAnsi="Book Antiqua"/>
          <w:color w:val="auto"/>
          <w:sz w:val="24"/>
          <w:szCs w:val="24"/>
          <w:vertAlign w:val="superscript"/>
          <w:lang w:val="pt-PT"/>
        </w:rPr>
        <w:instrText>ADDIN CSL_CITATION {"citationItems":[{"id":"ITEM-1","itemData":{"DOI":"10.5603/FM.a2015.0094","ISSN":"16443284","PMID":"26542961","abstract":"Background: Pigs are frequently used as animal models in experimental medicine. To identify processes of vascular development or regression, vascular elements must be recognised and quantified in a three-dimensional (3D) arrangement. Vascular corrosion casts enable the creation of 3D replicas of vascular trees. The aim of our study was to identify suitable casting media and optimise the protocol for porcine liver vascular corrosion casting. Materials and methods: Mercox II® (Ladd Research, Williston, Vermont, USA) and Biodur E20® Plus (Biodur Products, Heidelberg, Germany) were tested in 4 porcine livers. The resins (volume approximately 700 mL) were injected via the portal vein. Corrosion casts were examined by macro-computed tomography, micro-computed tomography and scanning electron microscopy. Results: For hepatectomies, the operating protocol was optimised to avoid gas or blood clot embolisation. We present a protocol for porcine liver vascular bed casting based on corrosion specimens prepared using Biodur E20® epoxy resin. Conclusions: Only Biodur E20® Plus appeared to be suitable for high-volume vascular corrosion casting due to its optimal permeability, sufficient processing time and minimum fragility. Biodur E20® Plus is slightly elastic, radio-opaque and alcohol-resistant. These properties make this acrylic resin suitable for not only vascular research but also teaching purposes.","author":[{"dropping-particle":"","family":"Eberlova","given":"L.","non-dropping-particle":"","parse-names":false,"suffix":""},{"dropping-particle":"","family":"Liska","given":"V.","non-dropping-particle":"","parse-names":false,"suffix":""},{"dropping-particle":"","family":"Mirka","given":"H.","non-dropping-particle":"","parse-names":false,"suffix":""},{"dropping-particle":"","family":"Gregor","given":"T.","non-dropping-particle":"","parse-names":false,"suffix":""},{"dropping-particle":"","family":"Tonar","given":"Z.","non-dropping-particle":"","parse-names":false,"suffix":""},{"dropping-particle":"","family":"Palek","given":"R.","non-dropping-particle":"","parse-names":false,"suffix":""},{"dropping-particle":"","family":"Skala","given":"M.","non-dropping-particle":"","parse-names":false,"suffix":""},{"dropping-particle":"","family":"Bruha","given":"J.","non-dropping-particle":"","parse-names":false,"suffix":""},{"dropping-particle":"","family":"Vycital","given":"O.","non-dropping-particle":"","parse-names":false,"suffix":""},{"dropping-particle":"","family":"Kalusova","given":"K.","non-dropping-particle":"","parse-names":false,"suffix":""},{"dropping-particle":"","family":"Haviar","given":"S.","non-dropping-particle":"","parse-names":false,"suffix":""},{"dropping-particle":"","family":"Kralickova","given":"M.","non-dropping-particle":"","parse-names":false,"suffix":""},{"dropping-particle":"","family":"Lametschwandtner","given":"A.","non-dropping-particle":"","parse-names":false,"suffix":""}],"container-title":"Folia Morphologica (Poland)","id":"ITEM-1","issue":"2","issued":{"date-parts":[["2016","6","6"]]},"page":"154-161","title":"Porcine liver vascular bed in Biodur E20 corrosion casts","type":"article-journal","volume":"75"},"uris":["http://www.mendeley.com/documents/?uuid=df6e28b6-09bd-4a46-b9bc-d56f5cbe6ea7"]},{"id":"ITEM-2","itemData":{"DOI":"10.1016/j.aanat.2017.05.005","ISSN":"16180402","PMID":"28578926","abstract":"In teaching and learning human anatomy, anatomical autopsy and prosected specimens have always been indispensable. However, alternative methods must often be used to demonstrate particularly delicate structures. Corrosion casting of porcine organs with Biodur E20® Plus is valuable for teaching and learning both gross anatomy and, uniquely, the micromorphology of cardiovascular, respiratory, digestive, and urogenital systems. Assessments of casts with a stereomicroscope and/or scanning electron microscope as well as highlighting cast structures using color coding help students to better understand how the structures that they have observed as two-dimensional images actually exist in three dimensions, and students found using the casts to be highly effective in their learning. Reconstructions of cast hollow structures from (micro-)computed tomography scans and videos facilitate detailed analyses of branching patterns and spatial arrangements in cast structures, aid in the understanding of clinically relevant structures and provide innovative visual aids. The casting protocol and teaching manual we offer can be adjusted to different technical capabilities and might also be found useful for veterinary or other biological science classes.","author":[{"dropping-particle":"","family":"Eberlova","given":"Lada","non-dropping-particle":"","parse-names":false,"suffix":""},{"dropping-particle":"","family":"Liska","given":"Vaclav","non-dropping-particle":"","parse-names":false,"suffix":""},{"dropping-particle":"","family":"Mirka","given":"Hynek","non-dropping-particle":"","parse-names":false,"suffix":""},{"dropping-particle":"","family":"Tonar","given":"Zbynek","non-dropping-particle":"","parse-names":false,"suffix":""},{"dropping-particle":"","family":"Haviar","given":"Stanislav","non-dropping-particle":"","parse-names":false,"suffix":""},{"dropping-particle":"","family":"Svoboda","given":"Milos","non-dropping-particle":"","parse-names":false,"suffix":""},{"dropping-particle":"","family":"Benes","given":"Jan","non-dropping-particle":"","parse-names":false,"suffix":""},{"dropping-particle":"","family":"Palek","given":"Richard","non-dropping-particle":"","parse-names":false,"suffix":""},{"dropping-particle":"","family":"Emingr","given":"Michal","non-dropping-particle":"","parse-names":false,"suffix":""},{"dropping-particle":"","family":"Rosendorf","given":"Jachym","non-dropping-particle":"","parse-names":false,"suffix":""},{"dropping-particle":"","family":"Mik","given":"Patrik","non-dropping-particle":"","parse-names":false,"suffix":""},{"dropping-particle":"","family":"Leupen","given":"Sarah","non-dropping-particle":"","parse-names":false,"suffix":""},{"dropping-particle":"","family":"Lametschwandtner","given":"Alois","non-dropping-particle":"","parse-names":false,"suffix":""}],"container-title":"Annals of Anatomy","id":"ITEM-2","issued":{"date-parts":[["2017","9","1"]]},"page":"69-77","publisher":"Elsevier GmbH","title":"The use of porcine corrosion casts for teaching human anatomy","type":"article-journal","volume":"213"},"uris":["http://www.mendeley.com/documents/?uuid=89c58f0d-660e-3d63-bbf1-259474638790"]}],"mendeley":{"formattedCitation":"&lt;sup&gt;[56,57]&lt;/sup&gt;","plainTextFormattedCitation":"[56,57]","previouslyFormattedCitation":"&lt;sup&gt;[56,57]&lt;/sup&gt;"},"properties":{"noteIndex":0},"schema":"https://github.com/citation-style-language/schema/raw/master/csl-citation.json"}</w:instrText>
      </w:r>
      <w:r w:rsidR="00BE136C" w:rsidRPr="00CA4C0B">
        <w:rPr>
          <w:rStyle w:val="None"/>
          <w:rFonts w:ascii="Book Antiqua" w:hAnsi="Book Antiqua"/>
          <w:color w:val="auto"/>
          <w:sz w:val="24"/>
          <w:szCs w:val="24"/>
          <w:vertAlign w:val="superscript"/>
          <w:lang w:val="pt-PT"/>
        </w:rPr>
        <w:fldChar w:fldCharType="separate"/>
      </w:r>
      <w:r w:rsidR="00BE136C" w:rsidRPr="00CA4C0B">
        <w:rPr>
          <w:rStyle w:val="None"/>
          <w:rFonts w:ascii="Book Antiqua" w:hAnsi="Book Antiqua"/>
          <w:noProof/>
          <w:color w:val="auto"/>
          <w:sz w:val="24"/>
          <w:szCs w:val="24"/>
          <w:vertAlign w:val="superscript"/>
          <w:lang w:val="pt-PT"/>
        </w:rPr>
        <w:t>[56,57]</w:t>
      </w:r>
      <w:r w:rsidR="00BE136C" w:rsidRPr="00CA4C0B">
        <w:rPr>
          <w:rStyle w:val="None"/>
          <w:rFonts w:ascii="Book Antiqua" w:hAnsi="Book Antiqua"/>
          <w:color w:val="auto"/>
          <w:sz w:val="24"/>
          <w:szCs w:val="24"/>
          <w:vertAlign w:val="superscript"/>
          <w:lang w:val="pt-PT"/>
        </w:rPr>
        <w:fldChar w:fldCharType="end"/>
      </w:r>
      <w:r w:rsidRPr="00CA4C0B">
        <w:rPr>
          <w:rStyle w:val="Hyperlink2"/>
          <w:rFonts w:ascii="Book Antiqua" w:eastAsia="Arial Unicode MS" w:hAnsi="Book Antiqua"/>
          <w:color w:val="auto"/>
        </w:rPr>
        <w:t>, it is almost impossible to identify the classic form of the lobule in the rat liver. This is especially true for the lobules, located deeply in the parenchyma. In contrast to them, surface lobules retain more or less typical circular or polygonal shape, although they are also characterized by wide variations in size.</w:t>
      </w:r>
    </w:p>
    <w:p w14:paraId="0E37B8D8" w14:textId="5DE49806" w:rsidR="004313EE" w:rsidRPr="00CA4C0B" w:rsidRDefault="00CE6644" w:rsidP="00D61634">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color w:val="auto"/>
        </w:rPr>
        <w:t xml:space="preserve">The presence of abundant anastomoses between the sinusoidal </w:t>
      </w:r>
      <w:proofErr w:type="spellStart"/>
      <w:r w:rsidRPr="00CA4C0B">
        <w:rPr>
          <w:rStyle w:val="Hyperlink2"/>
          <w:rFonts w:ascii="Book Antiqua" w:eastAsia="Arial Unicode MS" w:hAnsi="Book Antiqua"/>
          <w:color w:val="auto"/>
        </w:rPr>
        <w:t>meshworks</w:t>
      </w:r>
      <w:proofErr w:type="spellEnd"/>
      <w:r w:rsidRPr="00CA4C0B">
        <w:rPr>
          <w:rStyle w:val="Hyperlink2"/>
          <w:rFonts w:ascii="Book Antiqua" w:eastAsia="Arial Unicode MS" w:hAnsi="Book Antiqua"/>
          <w:color w:val="auto"/>
        </w:rPr>
        <w:t xml:space="preserve"> of adjacent lobules enables one to imagine the sinusoidal meshwork of the liver in the form of a single united mesh that is supplied and drained by many blood </w:t>
      </w:r>
      <w:r w:rsidRPr="00CA4C0B">
        <w:rPr>
          <w:rStyle w:val="Hyperlink2"/>
          <w:rFonts w:ascii="Book Antiqua" w:eastAsia="Arial Unicode MS" w:hAnsi="Book Antiqua"/>
          <w:color w:val="auto"/>
        </w:rPr>
        <w:lastRenderedPageBreak/>
        <w:t>vessels. The supplying blood vessels are represented by the intralobular and inlet venules. The last ones separate from the larger blood vessels in every 300-600 µm on two opposite sides. The distance between the inlet venules corresponds to the lobule sizes. As for the distance of the sinusoids opening in the ce</w:t>
      </w:r>
      <w:r w:rsidRPr="00CA4C0B">
        <w:rPr>
          <w:rStyle w:val="Hyperlink2"/>
          <w:rFonts w:ascii="Book Antiqua" w:eastAsia="Arial Unicode MS" w:hAnsi="Book Antiqua"/>
          <w:color w:val="auto"/>
        </w:rPr>
        <w:t>n</w:t>
      </w:r>
      <w:r w:rsidRPr="00CA4C0B">
        <w:rPr>
          <w:rStyle w:val="Hyperlink2"/>
          <w:rFonts w:ascii="Book Antiqua" w:eastAsia="Arial Unicode MS" w:hAnsi="Book Antiqua"/>
          <w:color w:val="auto"/>
        </w:rPr>
        <w:t>tral/</w:t>
      </w:r>
      <w:proofErr w:type="spellStart"/>
      <w:r w:rsidRPr="00CA4C0B">
        <w:rPr>
          <w:rStyle w:val="Hyperlink2"/>
          <w:rFonts w:ascii="Book Antiqua" w:eastAsia="Arial Unicode MS" w:hAnsi="Book Antiqua"/>
          <w:color w:val="auto"/>
        </w:rPr>
        <w:t>sublobular</w:t>
      </w:r>
      <w:proofErr w:type="spellEnd"/>
      <w:r w:rsidRPr="00CA4C0B">
        <w:rPr>
          <w:rStyle w:val="Hyperlink2"/>
          <w:rFonts w:ascii="Book Antiqua" w:eastAsia="Arial Unicode MS" w:hAnsi="Book Antiqua"/>
          <w:color w:val="auto"/>
        </w:rPr>
        <w:t xml:space="preserve"> </w:t>
      </w:r>
      <w:proofErr w:type="spellStart"/>
      <w:r w:rsidRPr="00CA4C0B">
        <w:rPr>
          <w:rStyle w:val="Hyperlink2"/>
          <w:rFonts w:ascii="Book Antiqua" w:eastAsia="Arial Unicode MS" w:hAnsi="Book Antiqua"/>
          <w:color w:val="auto"/>
        </w:rPr>
        <w:t>venules</w:t>
      </w:r>
      <w:proofErr w:type="spellEnd"/>
      <w:r w:rsidRPr="00CA4C0B">
        <w:rPr>
          <w:rStyle w:val="Hyperlink2"/>
          <w:rFonts w:ascii="Book Antiqua" w:eastAsia="Arial Unicode MS" w:hAnsi="Book Antiqua"/>
          <w:color w:val="auto"/>
        </w:rPr>
        <w:t>, they correspond to the sizes of the pericentral hepat</w:t>
      </w:r>
      <w:r w:rsidRPr="00CA4C0B">
        <w:rPr>
          <w:rStyle w:val="Hyperlink2"/>
          <w:rFonts w:ascii="Book Antiqua" w:eastAsia="Arial Unicode MS" w:hAnsi="Book Antiqua"/>
          <w:color w:val="auto"/>
        </w:rPr>
        <w:t>o</w:t>
      </w:r>
      <w:r w:rsidRPr="00CA4C0B">
        <w:rPr>
          <w:rStyle w:val="Hyperlink2"/>
          <w:rFonts w:ascii="Book Antiqua" w:eastAsia="Arial Unicode MS" w:hAnsi="Book Antiqua"/>
          <w:color w:val="auto"/>
        </w:rPr>
        <w:t>cytes, given that between two adjacent sinusoids one or two hepatocytes may be located. The sinusoidal mesh has additional specific inlets in the form of per</w:t>
      </w:r>
      <w:r w:rsidRPr="00CA4C0B">
        <w:rPr>
          <w:rStyle w:val="Hyperlink2"/>
          <w:rFonts w:ascii="Book Antiqua" w:eastAsia="Arial Unicode MS" w:hAnsi="Book Antiqua"/>
          <w:color w:val="auto"/>
        </w:rPr>
        <w:t>i</w:t>
      </w:r>
      <w:r w:rsidRPr="00CA4C0B">
        <w:rPr>
          <w:rStyle w:val="Hyperlink2"/>
          <w:rFonts w:ascii="Book Antiqua" w:eastAsia="Arial Unicode MS" w:hAnsi="Book Antiqua"/>
          <w:color w:val="auto"/>
        </w:rPr>
        <w:t>portal and peribiliary vascular plexuses, which in turn originate from the branches of the portal vein and hepatic artery. All described features correspond to normal liver vascularization described by SEM investigation of normal vasc</w:t>
      </w:r>
      <w:r w:rsidRPr="00CA4C0B">
        <w:rPr>
          <w:rStyle w:val="Hyperlink2"/>
          <w:rFonts w:ascii="Book Antiqua" w:eastAsia="Arial Unicode MS" w:hAnsi="Book Antiqua"/>
          <w:color w:val="auto"/>
        </w:rPr>
        <w:t>u</w:t>
      </w:r>
      <w:r w:rsidRPr="00CA4C0B">
        <w:rPr>
          <w:rStyle w:val="Hyperlink2"/>
          <w:rFonts w:ascii="Book Antiqua" w:eastAsia="Arial Unicode MS" w:hAnsi="Book Antiqua"/>
          <w:color w:val="auto"/>
        </w:rPr>
        <w:t>lar corrosion casts pro</w:t>
      </w:r>
      <w:r w:rsidR="00182A9E" w:rsidRPr="00CA4C0B">
        <w:rPr>
          <w:rStyle w:val="Hyperlink2"/>
          <w:rFonts w:ascii="Book Antiqua" w:eastAsia="Arial Unicode MS" w:hAnsi="Book Antiqua"/>
          <w:color w:val="auto"/>
        </w:rPr>
        <w:t xml:space="preserve">vided by </w:t>
      </w:r>
      <w:r w:rsidR="00DE4BFA" w:rsidRPr="00CA4C0B">
        <w:rPr>
          <w:rStyle w:val="Hyperlink2"/>
          <w:rFonts w:ascii="Book Antiqua" w:eastAsia="Arial Unicode MS" w:hAnsi="Book Antiqua"/>
          <w:color w:val="auto"/>
        </w:rPr>
        <w:t xml:space="preserve">Yamamoto </w:t>
      </w:r>
      <w:r w:rsidR="00DE4BFA" w:rsidRPr="00597124">
        <w:rPr>
          <w:rStyle w:val="Hyperlink2"/>
          <w:rFonts w:ascii="Book Antiqua" w:eastAsia="Arial Unicode MS" w:hAnsi="Book Antiqua"/>
          <w:i/>
          <w:color w:val="auto"/>
        </w:rPr>
        <w:t>et al</w:t>
      </w:r>
      <w:r w:rsidR="00597124" w:rsidRPr="00597124">
        <w:rPr>
          <w:rStyle w:val="None"/>
          <w:rFonts w:ascii="Book Antiqua" w:hAnsi="Book Antiqua"/>
          <w:noProof/>
          <w:color w:val="auto"/>
          <w:sz w:val="24"/>
          <w:szCs w:val="24"/>
          <w:vertAlign w:val="superscript"/>
          <w:lang w:val="pt-PT"/>
        </w:rPr>
        <w:t>[58]</w:t>
      </w:r>
      <w:r w:rsidR="00DE4BFA" w:rsidRPr="00597124">
        <w:rPr>
          <w:rStyle w:val="Hyperlink2"/>
          <w:rFonts w:ascii="Book Antiqua" w:eastAsia="Arial Unicode MS" w:hAnsi="Book Antiqua"/>
          <w:color w:val="auto"/>
        </w:rPr>
        <w:t xml:space="preserve">, </w:t>
      </w:r>
      <w:r w:rsidR="00E050C6" w:rsidRPr="00597124">
        <w:rPr>
          <w:rStyle w:val="Hyperlink2"/>
          <w:rFonts w:ascii="Book Antiqua" w:eastAsia="Arial Unicode MS" w:hAnsi="Book Antiqua"/>
          <w:color w:val="auto"/>
        </w:rPr>
        <w:t xml:space="preserve">and </w:t>
      </w:r>
      <w:proofErr w:type="spellStart"/>
      <w:r w:rsidR="00DE4BFA" w:rsidRPr="00597124">
        <w:rPr>
          <w:rStyle w:val="Hyperlink2"/>
          <w:rFonts w:ascii="Book Antiqua" w:eastAsia="Arial Unicode MS" w:hAnsi="Book Antiqua"/>
          <w:color w:val="auto"/>
        </w:rPr>
        <w:t>Gaudio</w:t>
      </w:r>
      <w:proofErr w:type="spellEnd"/>
      <w:r w:rsidR="00DE4BFA" w:rsidRPr="00597124">
        <w:rPr>
          <w:rStyle w:val="Hyperlink2"/>
          <w:rFonts w:ascii="Book Antiqua" w:eastAsia="Arial Unicode MS" w:hAnsi="Book Antiqua"/>
          <w:color w:val="auto"/>
        </w:rPr>
        <w:t xml:space="preserve"> </w:t>
      </w:r>
      <w:r w:rsidR="00DE4BFA" w:rsidRPr="00597124">
        <w:rPr>
          <w:rStyle w:val="Hyperlink2"/>
          <w:rFonts w:ascii="Book Antiqua" w:eastAsia="Arial Unicode MS" w:hAnsi="Book Antiqua"/>
          <w:i/>
          <w:color w:val="auto"/>
        </w:rPr>
        <w:t>et al</w:t>
      </w:r>
      <w:r w:rsidR="00035567" w:rsidRPr="00597124">
        <w:rPr>
          <w:rStyle w:val="None"/>
          <w:rFonts w:ascii="Book Antiqua" w:hAnsi="Book Antiqua"/>
          <w:color w:val="auto"/>
          <w:sz w:val="24"/>
          <w:szCs w:val="24"/>
          <w:vertAlign w:val="superscript"/>
          <w:lang w:val="pt-PT"/>
        </w:rPr>
        <w:fldChar w:fldCharType="begin" w:fldLock="1"/>
      </w:r>
      <w:r w:rsidR="00C570F1" w:rsidRPr="00597124">
        <w:rPr>
          <w:rStyle w:val="None"/>
          <w:rFonts w:ascii="Book Antiqua" w:hAnsi="Book Antiqua"/>
          <w:color w:val="auto"/>
          <w:sz w:val="24"/>
          <w:szCs w:val="24"/>
          <w:vertAlign w:val="superscript"/>
          <w:lang w:val="pt-PT"/>
        </w:rPr>
        <w:instrText>ADDIN CSL_CITATION {"citationItems":[{"id":"ITEM-1","itemData":{"DOI":"10.1007/978-1-4615-3488-4_6","ISBN":"978-1-4615-3488-4","author":[{"dropping-particle":"","family":"Yamamoto","given":"Kazuhide","non-dropping-particle":"","parse-names":false,"suffix":""},{"dropping-particle":"","family":"Itoshima","given":"Tatsuya","non-dropping-particle":"","parse-names":false,"suffix":""},{"dropping-particle":"","family":"Tsuji","given":"Takao","non-dropping-particle":"","parse-names":false,"suffix":""},{"dropping-particle":"","family":"Murakami","given":"Takuro","non-dropping-particle":"","parse-names":false,"suffix":""}],"container-title":"Scanning Electron Microscopy of Vascular Casts: Methods and Applications","editor":[{"dropping-particle":"","family":"Motta P.M., Murakami T.","given":"Fujita H.","non-dropping-particle":"","parse-names":false,"suffix":""}],"id":"ITEM-1","issued":{"date-parts":[["1992"]]},"page":"71-82","publisher":"Springer US","publisher-place":"Boston, MA","title":"Three-Dimensional Architecture of Blood, Lymphatic, and Biliary Pathways in the Liver by SEM of Corrosion Casts","type":"chapter"},"uris":["http://www.mendeley.com/documents/?uuid=0fec8771-4ef0-3156-a726-7992b1c941c9"]},{"id":"ITEM-2","itemData":{"ISSN":"1220-0522","PMID":"17914492","abstract":"Scanning electron microscopy (SEM) of vascular corrosion casts (microvascular corrosion casting/SEM method) is a standard method, which allows three-dimensional visualization with good resolution of the normal and abnormal microvessels, including the capillaries of various organs and tissues. SEM of vascular corrosion casts can obtain qualitative as well as quantitative informations important to anatomists, pathologists and clinicians. Considering these, the history, the advantages and the main steps of this technique including general morphological characteristics of vascular casts observed in SEM are reviewed in this paper. Corrosion casts done by the author representing the microvascular organization of the rat liver and kidney observed in SEM are, also, presented.","author":[{"dropping-particle":"","family":"Giuvărăşteanu","given":"Ileana","non-dropping-particle":"","parse-names":false,"suffix":""}],"container-title":"Romanian journal of morphology and embryology = Revue roumaine de morphologie et embryologie","id":"ITEM-2","issue":"3","issued":{"date-parts":[["2007"]]},"page":"257-61","title":"Scanning electron microscopy of vascular corrosion casts--standard method for studying microvessels.","type":"article-journal","volume":"48"},"uris":["http://www.mendeley.com/documents/?uuid=204dce01-1e29-3e44-8c86-b303e5292e72"]},{"id":"ITEM-3","itemData":{"DOI":"10.1002/hep.1840170319","ISSN":"02709139","abstract":"Hepatic microcirculation has been related to liver function in several studies. The principle of this relationship lies in the sequential distribution of blood from the feeding vessels of the hepatic acinus to the central vein. This study was undertaken to investigate the progressive changes at different sites of the liver microvascular bed in the developing cirrhosis, both by light microscopy and scanning electron microscopy of corrosion casts. Experimental cirrhosis was induced with intragastric carbon tetrachloride. The most important vascular changes progressively observed are th</w:instrText>
      </w:r>
      <w:r w:rsidR="00C570F1" w:rsidRPr="00597124">
        <w:rPr>
          <w:rStyle w:val="None"/>
          <w:rFonts w:ascii="Book Antiqua" w:hAnsi="Book Antiqua" w:hint="eastAsia"/>
          <w:color w:val="auto"/>
          <w:sz w:val="24"/>
          <w:szCs w:val="24"/>
          <w:vertAlign w:val="superscript"/>
          <w:lang w:val="pt-PT"/>
        </w:rPr>
        <w:instrText>e reduction of the distance between the pre</w:instrText>
      </w:r>
      <w:r w:rsidR="00C570F1" w:rsidRPr="00597124">
        <w:rPr>
          <w:rStyle w:val="None"/>
          <w:rFonts w:ascii="Cambria Math" w:hAnsi="Cambria Math" w:cs="Cambria Math"/>
          <w:color w:val="auto"/>
          <w:sz w:val="24"/>
          <w:szCs w:val="24"/>
          <w:vertAlign w:val="superscript"/>
          <w:lang w:val="pt-PT"/>
        </w:rPr>
        <w:instrText>‐</w:instrText>
      </w:r>
      <w:r w:rsidR="00C570F1" w:rsidRPr="00597124">
        <w:rPr>
          <w:rStyle w:val="None"/>
          <w:rFonts w:ascii="Book Antiqua" w:hAnsi="Book Antiqua" w:hint="eastAsia"/>
          <w:color w:val="auto"/>
          <w:sz w:val="24"/>
          <w:szCs w:val="24"/>
          <w:vertAlign w:val="superscript"/>
          <w:lang w:val="pt-PT"/>
        </w:rPr>
        <w:instrText xml:space="preserve"> and postsinusoidal vessels, the presence of newly formed shunting vessels bypassing the sinusoids and, finally, the development of a perinodular vascular plexus composed of pre</w:instrText>
      </w:r>
      <w:r w:rsidR="00C570F1" w:rsidRPr="00597124">
        <w:rPr>
          <w:rStyle w:val="None"/>
          <w:rFonts w:ascii="Cambria Math" w:hAnsi="Cambria Math" w:cs="Cambria Math"/>
          <w:color w:val="auto"/>
          <w:sz w:val="24"/>
          <w:szCs w:val="24"/>
          <w:vertAlign w:val="superscript"/>
          <w:lang w:val="pt-PT"/>
        </w:rPr>
        <w:instrText>‐</w:instrText>
      </w:r>
      <w:r w:rsidR="00C570F1" w:rsidRPr="00597124">
        <w:rPr>
          <w:rStyle w:val="None"/>
          <w:rFonts w:ascii="Book Antiqua" w:hAnsi="Book Antiqua" w:hint="eastAsia"/>
          <w:color w:val="auto"/>
          <w:sz w:val="24"/>
          <w:szCs w:val="24"/>
          <w:vertAlign w:val="superscript"/>
          <w:lang w:val="pt-PT"/>
        </w:rPr>
        <w:instrText xml:space="preserve"> and postsinusoidal vessels. Newl</w:instrText>
      </w:r>
      <w:r w:rsidR="00C570F1" w:rsidRPr="00597124">
        <w:rPr>
          <w:rStyle w:val="None"/>
          <w:rFonts w:ascii="Book Antiqua" w:hAnsi="Book Antiqua"/>
          <w:color w:val="auto"/>
          <w:sz w:val="24"/>
          <w:szCs w:val="24"/>
          <w:vertAlign w:val="superscript"/>
          <w:lang w:val="pt-PT"/>
        </w:rPr>
        <w:instrText>y formed vessels grow through preformed tissue septa. These vascular modifications make any zonal gradient hardly possible. The loss of the zonal gradient of perfusion could highly modify liver function, along with the structural changes of hepatic laminae. Hepatocyte regeneration cannot recover the original vascular relationships: this makes the morphological and functional destructuralization of cirrhotic liver irreversible. (HEPATOLOGY 1993;17:477–485.) Copyright © 1993 American Association for the Study of Liver Diseases","author":[{"dropping-particle":"","family":"Gaudio","given":"Eugenio","non-dropping-particle":"","parse-names":false,"suffix":""},{"dropping-particle":"","family":"Pannarale","given":"Luigi","non-dropping-particle":"","parse-names":false,"suffix":""},{"dropping-particle":"","family":"Onori","given":"Paolo","non-dropping-particle":"","parse-names":false,"suffix":""},{"dropping-particle":"","family":"Riggio","given":"Oliviero","non-dropping-particle":"","parse-names":false,"suffix":""}],"container-title":"Hepatology","id":"ITEM-3","issue":"3","issued":{"date-parts":[["1993","3"]]},"page":"477-485","title":"A scanning electron microscopic study of liver microcirculation disarrangement in experimental rat cirrhosis","type":"article-journal","volume":"17"},"uris":["http://www.mendeley.com/documents/?uuid=a5119b43-95b1-3b37-a3d0-76848990fe9f"]}],"mendeley":{"formattedCitation":"&lt;sup&gt;[58–60]&lt;/sup&gt;","plainTextFormattedCitation":"[58–60]"},"properties":{"noteIndex":0},"schema":"https://github.com/citation-style-language/schema/raw/master/csl-citation.json"}</w:instrText>
      </w:r>
      <w:r w:rsidR="00035567" w:rsidRPr="00597124">
        <w:rPr>
          <w:rStyle w:val="None"/>
          <w:rFonts w:ascii="Book Antiqua" w:hAnsi="Book Antiqua"/>
          <w:color w:val="auto"/>
          <w:sz w:val="24"/>
          <w:szCs w:val="24"/>
          <w:vertAlign w:val="superscript"/>
          <w:lang w:val="pt-PT"/>
        </w:rPr>
        <w:fldChar w:fldCharType="separate"/>
      </w:r>
      <w:r w:rsidR="00597124" w:rsidRPr="00597124">
        <w:rPr>
          <w:rStyle w:val="None"/>
          <w:rFonts w:ascii="Book Antiqua" w:hAnsi="Book Antiqua"/>
          <w:noProof/>
          <w:color w:val="auto"/>
          <w:sz w:val="24"/>
          <w:szCs w:val="24"/>
          <w:vertAlign w:val="superscript"/>
          <w:lang w:val="pt-PT"/>
        </w:rPr>
        <w:t>[</w:t>
      </w:r>
      <w:r w:rsidR="00E050C6" w:rsidRPr="00597124">
        <w:rPr>
          <w:rStyle w:val="None"/>
          <w:rFonts w:ascii="Book Antiqua" w:hAnsi="Book Antiqua"/>
          <w:noProof/>
          <w:color w:val="auto"/>
          <w:sz w:val="24"/>
          <w:szCs w:val="24"/>
          <w:vertAlign w:val="superscript"/>
          <w:lang w:val="pt-PT"/>
        </w:rPr>
        <w:t>59</w:t>
      </w:r>
      <w:r w:rsidR="00C570F1" w:rsidRPr="00597124">
        <w:rPr>
          <w:rStyle w:val="None"/>
          <w:rFonts w:ascii="Book Antiqua" w:hAnsi="Book Antiqua"/>
          <w:noProof/>
          <w:color w:val="auto"/>
          <w:sz w:val="24"/>
          <w:szCs w:val="24"/>
          <w:vertAlign w:val="superscript"/>
          <w:lang w:val="pt-PT"/>
        </w:rPr>
        <w:t>]</w:t>
      </w:r>
      <w:r w:rsidR="00035567" w:rsidRPr="00597124">
        <w:rPr>
          <w:rStyle w:val="None"/>
          <w:rFonts w:ascii="Book Antiqua" w:hAnsi="Book Antiqua"/>
          <w:color w:val="auto"/>
          <w:sz w:val="24"/>
          <w:szCs w:val="24"/>
          <w:vertAlign w:val="superscript"/>
          <w:lang w:val="pt-PT"/>
        </w:rPr>
        <w:fldChar w:fldCharType="end"/>
      </w:r>
      <w:r w:rsidR="00035567" w:rsidRPr="00597124">
        <w:rPr>
          <w:rStyle w:val="None"/>
          <w:rFonts w:ascii="Book Antiqua" w:hAnsi="Book Antiqua"/>
          <w:color w:val="auto"/>
          <w:sz w:val="24"/>
          <w:szCs w:val="24"/>
          <w:lang w:val="pt-PT"/>
        </w:rPr>
        <w:t>.</w:t>
      </w:r>
      <w:r w:rsidR="00F576EA" w:rsidRPr="00597124">
        <w:rPr>
          <w:rStyle w:val="None"/>
          <w:rFonts w:ascii="Book Antiqua" w:hAnsi="Book Antiqua"/>
          <w:color w:val="auto"/>
          <w:sz w:val="24"/>
          <w:szCs w:val="24"/>
          <w:vertAlign w:val="superscript"/>
          <w:lang w:val="pt-PT"/>
        </w:rPr>
        <w:t xml:space="preserve"> </w:t>
      </w:r>
      <w:r w:rsidRPr="00CA4C0B">
        <w:rPr>
          <w:rStyle w:val="Hyperlink2"/>
          <w:rFonts w:ascii="Book Antiqua" w:eastAsia="Arial Unicode MS" w:hAnsi="Book Antiqua"/>
          <w:color w:val="auto"/>
        </w:rPr>
        <w:t xml:space="preserve"> </w:t>
      </w:r>
    </w:p>
    <w:p w14:paraId="0ABAEB99" w14:textId="1C0EC75D" w:rsidR="004313EE" w:rsidRPr="00CA4C0B" w:rsidRDefault="00CE6644" w:rsidP="00D61634">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color w:val="auto"/>
        </w:rPr>
        <w:t>After PH, as well as repeated PH, sinusoidal capillaries participate in the lo</w:t>
      </w:r>
      <w:r w:rsidRPr="00CA4C0B">
        <w:rPr>
          <w:rStyle w:val="Hyperlink2"/>
          <w:rFonts w:ascii="Book Antiqua" w:eastAsia="Arial Unicode MS" w:hAnsi="Book Antiqua"/>
          <w:color w:val="auto"/>
        </w:rPr>
        <w:t>b</w:t>
      </w:r>
      <w:r w:rsidRPr="00CA4C0B">
        <w:rPr>
          <w:rStyle w:val="Hyperlink2"/>
          <w:rFonts w:ascii="Book Antiqua" w:eastAsia="Arial Unicode MS" w:hAnsi="Book Antiqua"/>
          <w:color w:val="auto"/>
        </w:rPr>
        <w:t>ules remodeling by dilatation, proliferation, and formation of new construction of the spatial meshwork. However, this remodeling does not apply equally to all segments of the sinusoidal meshwork similarly to the hepatocytes (as described above). In regenerated and re-regenerated livers similar to the livers of CG an</w:t>
      </w:r>
      <w:r w:rsidRPr="00CA4C0B">
        <w:rPr>
          <w:rStyle w:val="Hyperlink2"/>
          <w:rFonts w:ascii="Book Antiqua" w:eastAsia="Arial Unicode MS" w:hAnsi="Book Antiqua"/>
          <w:color w:val="auto"/>
        </w:rPr>
        <w:t>i</w:t>
      </w:r>
      <w:r w:rsidRPr="00CA4C0B">
        <w:rPr>
          <w:rStyle w:val="Hyperlink2"/>
          <w:rFonts w:ascii="Book Antiqua" w:eastAsia="Arial Unicode MS" w:hAnsi="Book Antiqua"/>
          <w:color w:val="auto"/>
        </w:rPr>
        <w:t>mals, two types of the sinusoids are distinguished: the parallel with rare inte</w:t>
      </w:r>
      <w:r w:rsidRPr="00CA4C0B">
        <w:rPr>
          <w:rStyle w:val="Hyperlink2"/>
          <w:rFonts w:ascii="Book Antiqua" w:eastAsia="Arial Unicode MS" w:hAnsi="Book Antiqua"/>
          <w:color w:val="auto"/>
        </w:rPr>
        <w:t>r</w:t>
      </w:r>
      <w:r w:rsidRPr="00CA4C0B">
        <w:rPr>
          <w:rStyle w:val="Hyperlink2"/>
          <w:rFonts w:ascii="Book Antiqua" w:eastAsia="Arial Unicode MS" w:hAnsi="Book Antiqua"/>
          <w:color w:val="auto"/>
        </w:rPr>
        <w:t>communication and twisted, with frequent anastomoses. However, the intr</w:t>
      </w:r>
      <w:r w:rsidRPr="00CA4C0B">
        <w:rPr>
          <w:rStyle w:val="Hyperlink2"/>
          <w:rFonts w:ascii="Book Antiqua" w:eastAsia="Arial Unicode MS" w:hAnsi="Book Antiqua"/>
          <w:color w:val="auto"/>
        </w:rPr>
        <w:t>a</w:t>
      </w:r>
      <w:r w:rsidRPr="00CA4C0B">
        <w:rPr>
          <w:rStyle w:val="Hyperlink2"/>
          <w:rFonts w:ascii="Book Antiqua" w:eastAsia="Arial Unicode MS" w:hAnsi="Book Antiqua"/>
          <w:color w:val="auto"/>
        </w:rPr>
        <w:t>lobular topography of the mentioned different form fragments does not reveal the similarity to that described in normal conditions. The dilatation and lengt</w:t>
      </w:r>
      <w:r w:rsidRPr="00CA4C0B">
        <w:rPr>
          <w:rStyle w:val="Hyperlink2"/>
          <w:rFonts w:ascii="Book Antiqua" w:eastAsia="Arial Unicode MS" w:hAnsi="Book Antiqua"/>
          <w:color w:val="auto"/>
        </w:rPr>
        <w:t>h</w:t>
      </w:r>
      <w:r w:rsidRPr="00CA4C0B">
        <w:rPr>
          <w:rStyle w:val="Hyperlink2"/>
          <w:rFonts w:ascii="Book Antiqua" w:eastAsia="Arial Unicode MS" w:hAnsi="Book Antiqua"/>
          <w:color w:val="auto"/>
        </w:rPr>
        <w:t>ening of the sinusoidal casts, creation of the "blind-ended” rami and the increase in the number of loops confirm the existence of a proliferative process, that might</w:t>
      </w:r>
      <w:r w:rsidR="00182A9E" w:rsidRPr="00CA4C0B">
        <w:rPr>
          <w:rStyle w:val="Hyperlink2"/>
          <w:rFonts w:ascii="Book Antiqua" w:eastAsia="Arial Unicode MS" w:hAnsi="Book Antiqua"/>
          <w:color w:val="auto"/>
        </w:rPr>
        <w:t xml:space="preserve"> be based on both proliferation</w:t>
      </w:r>
      <w:r w:rsidR="00716B6D" w:rsidRPr="00CA4C0B">
        <w:rPr>
          <w:rStyle w:val="Hyperlink2"/>
          <w:rFonts w:ascii="Book Antiqua" w:eastAsia="Arial Unicode MS" w:hAnsi="Book Antiqua"/>
          <w:color w:val="auto"/>
        </w:rPr>
        <w:fldChar w:fldCharType="begin" w:fldLock="1"/>
      </w:r>
      <w:r w:rsidR="00C570F1" w:rsidRPr="00CA4C0B">
        <w:rPr>
          <w:rStyle w:val="Hyperlink2"/>
          <w:rFonts w:ascii="Book Antiqua" w:eastAsia="Arial Unicode MS" w:hAnsi="Book Antiqua"/>
          <w:color w:val="auto"/>
        </w:rPr>
        <w:instrText>ADDIN CSL_CITATION {"citationItems":[{"id":"ITEM-1","itemData":{"ISSN":"00029440","PMID":"1163635","abstract":"The proliferation of littoral cells in regenerating rat liver after partial hepatectomy was investigated using endogenous peroxidase and uptake of large (0.8 μ) latex particles as markers of Kupffer cells. Female rats were subjected to 2/3 partial hepatectomy and sacrificed at intervals up to 11 days. Prior to sacrifice, animals were injected with latex and their livers were fixed by perfusion and were processed for cytochemical localization of peroxidase. The sinusoidal cells exhibited a marked regenerative response after partial hepatectomy. Peroxidase activity persisted in endoplasmic reticulum of Kupffer cells during mitosis. Furthermore, latex particles were exclusively localized in such peroxidase positive cells, thus confirming their identity as Kupffer cells. Quantitative counts revealed that the peak mitotic activity of Kupffer cells occurred at 48 hours, whereas that of endothelial cells was at 96 hours after partial hepatectomy. These findings indicate that Kupffer cells are capable of dividing locally in the liver; no morphologic evidence of transformation of endothelial cells or monocytes to Kupffer cells was found. The significance of these observations concerning the origin of Kupffer cells is discussed, and it is concluded that in the model of liver regeneration after partial hepatectomy the Kupffer cells are formed predominantly by local cell division.","author":[{"dropping-particle":"","family":"Widmann","given":"J J","non-dropping-particle":"","parse-names":false,"suffix":""},{"dropping-particle":"","family":"Fahimi","given":"H D","non-dropping-particle":"","parse-names":false,"suffix":""}],"container-title":"American Journal of Pathology","id":"ITEM-1","issue":"3","issued":{"date-parts":[["1975","9"]]},"page":"349-366","title":"Proliferation of mononuclear phagocytes (Kupffer cells) and endothelial cells in regenerating rat liver. A light and electron microscopic cytochemical study","type":"article-journal","volume":"80"},"uris":["http://www.mendeley.com/documents/?uuid=16a4be93-112d-3b1e-a8c6-3ad1d483f57d"]}],"mendeley":{"formattedCitation":"&lt;sup&gt;[61]&lt;/sup&gt;","plainTextFormattedCitation":"[61]","previouslyFormattedCitation":"&lt;sup&gt;[60]&lt;/sup&gt;"},"properties":{"noteIndex":0},"schema":"https://github.com/citation-style-language/schema/raw/master/csl-citation.json"}</w:instrText>
      </w:r>
      <w:r w:rsidR="00716B6D" w:rsidRPr="00CA4C0B">
        <w:rPr>
          <w:rStyle w:val="Hyperlink2"/>
          <w:rFonts w:ascii="Book Antiqua" w:eastAsia="Arial Unicode MS" w:hAnsi="Book Antiqua"/>
          <w:color w:val="auto"/>
        </w:rPr>
        <w:fldChar w:fldCharType="separate"/>
      </w:r>
      <w:r w:rsidR="00E050C6" w:rsidRPr="00CA4C0B">
        <w:rPr>
          <w:rStyle w:val="Hyperlink2"/>
          <w:rFonts w:ascii="Book Antiqua" w:eastAsia="Arial Unicode MS" w:hAnsi="Book Antiqua"/>
          <w:noProof/>
          <w:color w:val="auto"/>
          <w:vertAlign w:val="superscript"/>
        </w:rPr>
        <w:t>[60</w:t>
      </w:r>
      <w:r w:rsidR="00C570F1" w:rsidRPr="00CA4C0B">
        <w:rPr>
          <w:rStyle w:val="Hyperlink2"/>
          <w:rFonts w:ascii="Book Antiqua" w:eastAsia="Arial Unicode MS" w:hAnsi="Book Antiqua"/>
          <w:noProof/>
          <w:color w:val="auto"/>
          <w:vertAlign w:val="superscript"/>
        </w:rPr>
        <w:t>]</w:t>
      </w:r>
      <w:r w:rsidR="00716B6D" w:rsidRPr="00CA4C0B">
        <w:rPr>
          <w:rStyle w:val="Hyperlink2"/>
          <w:rFonts w:ascii="Book Antiqua" w:eastAsia="Arial Unicode MS" w:hAnsi="Book Antiqua"/>
          <w:color w:val="auto"/>
        </w:rPr>
        <w:fldChar w:fldCharType="end"/>
      </w:r>
      <w:r w:rsidRPr="00CA4C0B">
        <w:rPr>
          <w:rStyle w:val="Hyperlink2"/>
          <w:rFonts w:ascii="Book Antiqua" w:eastAsia="Arial Unicode MS" w:hAnsi="Book Antiqua"/>
          <w:color w:val="auto"/>
        </w:rPr>
        <w:t>, as well as hypertrophy of the endothelial cells covering the lumens of the sinusoids. The latter is supposedly due to some s</w:t>
      </w:r>
      <w:r w:rsidRPr="00CA4C0B">
        <w:rPr>
          <w:rStyle w:val="Hyperlink2"/>
          <w:rFonts w:ascii="Book Antiqua" w:eastAsia="Arial Unicode MS" w:hAnsi="Book Antiqua"/>
          <w:color w:val="auto"/>
        </w:rPr>
        <w:t>i</w:t>
      </w:r>
      <w:r w:rsidRPr="00CA4C0B">
        <w:rPr>
          <w:rStyle w:val="Hyperlink2"/>
          <w:rFonts w:ascii="Book Antiqua" w:eastAsia="Arial Unicode MS" w:hAnsi="Book Antiqua"/>
          <w:color w:val="auto"/>
        </w:rPr>
        <w:t xml:space="preserve">nusoidal casts provided with the imprints of endothelial cells and their nucleus-containing zones, the size of which is similar to the size of imprints of nucleus-containing zones of hepatocytes described earlier </w:t>
      </w:r>
      <w:r w:rsidR="00182A9E" w:rsidRPr="00CA4C0B">
        <w:rPr>
          <w:rStyle w:val="Hyperlink2"/>
          <w:rFonts w:ascii="Book Antiqua" w:eastAsia="Arial Unicode MS" w:hAnsi="Book Antiqua"/>
          <w:color w:val="auto"/>
        </w:rPr>
        <w:t>on the casts of bile canaliculi</w:t>
      </w:r>
      <w:r w:rsidR="00CE3D22" w:rsidRPr="00CA4C0B">
        <w:rPr>
          <w:rStyle w:val="None"/>
          <w:rFonts w:ascii="Book Antiqua" w:hAnsi="Book Antiqua"/>
          <w:color w:val="auto"/>
          <w:sz w:val="24"/>
          <w:szCs w:val="24"/>
          <w:vertAlign w:val="superscript"/>
          <w:lang w:val="pt-PT"/>
        </w:rPr>
        <w:fldChar w:fldCharType="begin" w:fldLock="1"/>
      </w:r>
      <w:r w:rsidR="00C570F1" w:rsidRPr="00CA4C0B">
        <w:rPr>
          <w:rStyle w:val="None"/>
          <w:rFonts w:ascii="Book Antiqua" w:hAnsi="Book Antiqua"/>
          <w:color w:val="auto"/>
          <w:sz w:val="24"/>
          <w:szCs w:val="24"/>
          <w:vertAlign w:val="superscript"/>
          <w:lang w:val="pt-PT"/>
        </w:rPr>
        <w:instrText>ADDIN CSL_CITATION {"citationItems":[{"id":"ITEM-1","itemData":{"ISSN":"0004-1947","PMID":"2589995","abstract":"Architectonics of the biliary canaliculi and intrahepatic ducts systems, as well as intraorganic urinary pathways in white rats have been investigated by means of scanning electron microscopy of injection replica. Acinar structure of the intralobular part of the biliary bed has been proved. Anastomoses between the biliary canaliculi of the neighbouring lobules have been demonstrated. A useful method for obtaining injection replica of the intraorganic lymphatic vessels is filling of the ductal system of the parenchymatous organs with solid resins (methylmethacrylate+) under a high (nonphysiological) pressure. Casts of periportal and paravenous hepatic lymphatic vessels have been obtained. An ability of methylmethacrylate to replicate intercellular and connective tissue spaces is verified. Casts of the perisinusoid spaces (Disse) are obtained for the first time.","author":[{"dropping-particle":"","family":"Kordzaia","given":"D D","non-dropping-particle":"","parse-names":false,"suffix":""}],"container-title":"Arkhiv anatomii, gistologii i embriologii","id":"ITEM-1","issue":"8","issued":{"date-parts":[["1989","8"]]},"page":"26-31","title":"[Structure of the excretory ducts, intraorganic lymphatic vessels, tissue canals and intercellular space of various organs (data of scanning electron microscopy injection replicas)].","type":"article-journal","volume":"97"},"uris":["http://www.mendeley.com/documents/?uuid=971da68d-d9af-323d-bed9-a5f465a24140"]}],"mendeley":{"formattedCitation":"&lt;sup&gt;[62]&lt;/sup&gt;","plainTextFormattedCitation":"[62]","previouslyFormattedCitation":"&lt;sup&gt;[61]&lt;/sup&gt;"},"properties":{"noteIndex":0},"schema":"https://github.com/citation-style-language/schema/raw/master/csl-citation.json"}</w:instrText>
      </w:r>
      <w:r w:rsidR="00CE3D22" w:rsidRPr="00CA4C0B">
        <w:rPr>
          <w:rStyle w:val="None"/>
          <w:rFonts w:ascii="Book Antiqua" w:hAnsi="Book Antiqua"/>
          <w:color w:val="auto"/>
          <w:sz w:val="24"/>
          <w:szCs w:val="24"/>
          <w:vertAlign w:val="superscript"/>
          <w:lang w:val="pt-PT"/>
        </w:rPr>
        <w:fldChar w:fldCharType="separate"/>
      </w:r>
      <w:r w:rsidR="00E050C6" w:rsidRPr="00CA4C0B">
        <w:rPr>
          <w:rStyle w:val="None"/>
          <w:rFonts w:ascii="Book Antiqua" w:hAnsi="Book Antiqua"/>
          <w:noProof/>
          <w:color w:val="auto"/>
          <w:sz w:val="24"/>
          <w:szCs w:val="24"/>
          <w:vertAlign w:val="superscript"/>
          <w:lang w:val="pt-PT"/>
        </w:rPr>
        <w:t>[61</w:t>
      </w:r>
      <w:r w:rsidR="00C570F1" w:rsidRPr="00CA4C0B">
        <w:rPr>
          <w:rStyle w:val="None"/>
          <w:rFonts w:ascii="Book Antiqua" w:hAnsi="Book Antiqua"/>
          <w:noProof/>
          <w:color w:val="auto"/>
          <w:sz w:val="24"/>
          <w:szCs w:val="24"/>
          <w:vertAlign w:val="superscript"/>
          <w:lang w:val="pt-PT"/>
        </w:rPr>
        <w:t>]</w:t>
      </w:r>
      <w:r w:rsidR="00CE3D22" w:rsidRPr="00CA4C0B">
        <w:rPr>
          <w:rStyle w:val="None"/>
          <w:rFonts w:ascii="Book Antiqua" w:hAnsi="Book Antiqua"/>
          <w:color w:val="auto"/>
          <w:sz w:val="24"/>
          <w:szCs w:val="24"/>
          <w:vertAlign w:val="superscript"/>
          <w:lang w:val="pt-PT"/>
        </w:rPr>
        <w:fldChar w:fldCharType="end"/>
      </w:r>
      <w:r w:rsidRPr="00CA4C0B">
        <w:rPr>
          <w:rStyle w:val="Hyperlink2"/>
          <w:rFonts w:ascii="Book Antiqua" w:eastAsia="Arial Unicode MS" w:hAnsi="Book Antiqua"/>
          <w:color w:val="auto"/>
        </w:rPr>
        <w:t>.</w:t>
      </w:r>
    </w:p>
    <w:p w14:paraId="3FECF7BE" w14:textId="42403F8E" w:rsidR="004313EE" w:rsidRPr="00CA4C0B" w:rsidRDefault="00CE6644" w:rsidP="00D61634">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color w:val="auto"/>
        </w:rPr>
        <w:t>The appearance of the blind-ended ramifications on the sinusoidal casts should be considered as the confirmation of the proliferation of the sinu</w:t>
      </w:r>
      <w:r w:rsidR="00182A9E" w:rsidRPr="00CA4C0B">
        <w:rPr>
          <w:rStyle w:val="Hyperlink2"/>
          <w:rFonts w:ascii="Book Antiqua" w:eastAsia="Arial Unicode MS" w:hAnsi="Book Antiqua"/>
          <w:color w:val="auto"/>
        </w:rPr>
        <w:t xml:space="preserve">soidal </w:t>
      </w:r>
      <w:r w:rsidR="00182A9E" w:rsidRPr="00CA4C0B">
        <w:rPr>
          <w:rStyle w:val="Hyperlink2"/>
          <w:rFonts w:ascii="Book Antiqua" w:eastAsia="Arial Unicode MS" w:hAnsi="Book Antiqua"/>
          <w:color w:val="auto"/>
        </w:rPr>
        <w:lastRenderedPageBreak/>
        <w:t>capillaries by sprouting</w:t>
      </w:r>
      <w:r w:rsidR="00CE3D22" w:rsidRPr="00CA4C0B">
        <w:rPr>
          <w:rStyle w:val="Hyperlink2"/>
          <w:rFonts w:ascii="Book Antiqua" w:eastAsia="Arial Unicode MS" w:hAnsi="Book Antiqua"/>
          <w:color w:val="auto"/>
        </w:rPr>
        <w:fldChar w:fldCharType="begin" w:fldLock="1"/>
      </w:r>
      <w:r w:rsidR="00C570F1" w:rsidRPr="00CA4C0B">
        <w:rPr>
          <w:rStyle w:val="Hyperlink2"/>
          <w:rFonts w:ascii="Book Antiqua" w:eastAsia="Arial Unicode MS" w:hAnsi="Book Antiqua"/>
          <w:color w:val="auto"/>
        </w:rPr>
        <w:instrText>ADDIN CSL_CITATION {"citationItems":[{"id":"ITEM-1","itemData":{"DOI":"10.1016/j.ceb.2010.08.010","ISSN":"09550674","PMID":"20817428","abstract":"The vertebrate body contains an extensive blood vessel network that forms, with a few exceptions, by endothelial sprouting from the existing vasculature. This process, termed angiogenesis, involves complex and highly dynamic interactions between endothelial cells and their environment. Pro-angiogenic signals, such as VEGF, promote endothelial motility, filopodia extension and proliferation, and, together with Notch signaling, controls whether specific endothelial cells become lead tip cells or trailing stalk cells. Sprouts then convert into endothelial tubules and form connections with other vessels, which requires the local suppression of motility and the formation of new cell-cell junctions. We here review the dynamics of angiogenesis in the context of key molecules and pathways controlling tip cell selection, sprouting and the formation of new vessels. © 2010 Elsevier Ltd.","author":[{"dropping-particle":"","family":"Eilken","given":"Hanna M.","non-dropping-particle":"","parse-names":false,"suffix":""},{"dropping-particle":"","family":"Adams","given":"Ralf H.","non-dropping-particle":"","parse-names":false,"suffix":""}],"container-title":"Current Opinion in Cell Biology","id":"ITEM-1","issue":"5","issued":{"date-parts":[["2010","10"]]},"page":"617-625","title":"Dynamics of endothelial cell behavior in sprouting angiogenesis","type":"article-journal","volume":"22"},"uris":["http://www.mendeley.com/documents/?uuid=07de70b9-f89d-4c8f-a58b-1902c58056ee"]}],"mendeley":{"formattedCitation":"&lt;sup&gt;[63]&lt;/sup&gt;","plainTextFormattedCitation":"[63]","previouslyFormattedCitation":"&lt;sup&gt;[62]&lt;/sup&gt;"},"properties":{"noteIndex":0},"schema":"https://github.com/citation-style-language/schema/raw/master/csl-citation.json"}</w:instrText>
      </w:r>
      <w:r w:rsidR="00CE3D22" w:rsidRPr="00CA4C0B">
        <w:rPr>
          <w:rStyle w:val="Hyperlink2"/>
          <w:rFonts w:ascii="Book Antiqua" w:eastAsia="Arial Unicode MS" w:hAnsi="Book Antiqua"/>
          <w:color w:val="auto"/>
        </w:rPr>
        <w:fldChar w:fldCharType="separate"/>
      </w:r>
      <w:r w:rsidR="0019779B" w:rsidRPr="00CA4C0B">
        <w:rPr>
          <w:rStyle w:val="Hyperlink2"/>
          <w:rFonts w:ascii="Book Antiqua" w:eastAsia="Arial Unicode MS" w:hAnsi="Book Antiqua"/>
          <w:noProof/>
          <w:color w:val="auto"/>
          <w:vertAlign w:val="superscript"/>
        </w:rPr>
        <w:t>[62</w:t>
      </w:r>
      <w:r w:rsidR="00C570F1" w:rsidRPr="00CA4C0B">
        <w:rPr>
          <w:rStyle w:val="Hyperlink2"/>
          <w:rFonts w:ascii="Book Antiqua" w:eastAsia="Arial Unicode MS" w:hAnsi="Book Antiqua"/>
          <w:noProof/>
          <w:color w:val="auto"/>
          <w:vertAlign w:val="superscript"/>
        </w:rPr>
        <w:t>]</w:t>
      </w:r>
      <w:r w:rsidR="00CE3D22" w:rsidRPr="00CA4C0B">
        <w:rPr>
          <w:rStyle w:val="Hyperlink2"/>
          <w:rFonts w:ascii="Book Antiqua" w:eastAsia="Arial Unicode MS" w:hAnsi="Book Antiqua"/>
          <w:color w:val="auto"/>
        </w:rPr>
        <w:fldChar w:fldCharType="end"/>
      </w:r>
      <w:r w:rsidRPr="00CA4C0B">
        <w:rPr>
          <w:rStyle w:val="Hyperlink2"/>
          <w:rFonts w:ascii="Book Antiqua" w:eastAsia="Arial Unicode MS" w:hAnsi="Book Antiqua"/>
          <w:color w:val="auto"/>
        </w:rPr>
        <w:t>. It is believed that exactly by merging such "blind" ramifications are produced sinusoidal loops. The small inner diameter (</w:t>
      </w:r>
      <w:r w:rsidRPr="00CA4C0B">
        <w:rPr>
          <w:rStyle w:val="Hyperlink2"/>
          <w:rFonts w:ascii="Book Antiqua" w:eastAsia="Arial Unicode MS" w:hAnsi="Book Antiqua"/>
          <w:i/>
          <w:color w:val="auto"/>
        </w:rPr>
        <w:t>e.g.</w:t>
      </w:r>
      <w:r w:rsidR="00B91888" w:rsidRPr="00CA4C0B">
        <w:rPr>
          <w:rStyle w:val="Hyperlink2"/>
          <w:rFonts w:ascii="Book Antiqua" w:eastAsia="Arial Unicode MS" w:hAnsi="Book Antiqua"/>
          <w:color w:val="auto"/>
        </w:rPr>
        <w:t>,</w:t>
      </w:r>
      <w:r w:rsidRPr="00CA4C0B">
        <w:rPr>
          <w:rStyle w:val="Hyperlink2"/>
          <w:rFonts w:ascii="Book Antiqua" w:eastAsia="Arial Unicode MS" w:hAnsi="Book Antiqua"/>
          <w:color w:val="auto"/>
        </w:rPr>
        <w:t xml:space="preserve"> 2-4</w:t>
      </w:r>
      <w:r w:rsidR="00B91888"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 xml:space="preserve">µm) of some loops suggests that hepatocytes should not always be located here. It may be assumed that such sinusoidal loops surround small </w:t>
      </w:r>
      <w:proofErr w:type="spellStart"/>
      <w:r w:rsidRPr="00CA4C0B">
        <w:rPr>
          <w:rStyle w:val="Hyperlink2"/>
          <w:rFonts w:ascii="Book Antiqua" w:eastAsia="Arial Unicode MS" w:hAnsi="Book Antiqua"/>
          <w:color w:val="auto"/>
        </w:rPr>
        <w:t>intralobular</w:t>
      </w:r>
      <w:proofErr w:type="spellEnd"/>
      <w:r w:rsidRPr="00CA4C0B">
        <w:rPr>
          <w:rStyle w:val="Hyperlink2"/>
          <w:rFonts w:ascii="Book Antiqua" w:eastAsia="Arial Unicode MS" w:hAnsi="Book Antiqua"/>
          <w:color w:val="auto"/>
        </w:rPr>
        <w:t xml:space="preserve"> biliary </w:t>
      </w:r>
      <w:proofErr w:type="spellStart"/>
      <w:r w:rsidRPr="00CA4C0B">
        <w:rPr>
          <w:rStyle w:val="Hyperlink2"/>
          <w:rFonts w:ascii="Book Antiqua" w:eastAsia="Arial Unicode MS" w:hAnsi="Book Antiqua"/>
          <w:color w:val="auto"/>
        </w:rPr>
        <w:t>ductules</w:t>
      </w:r>
      <w:proofErr w:type="spellEnd"/>
      <w:r w:rsidRPr="00CA4C0B">
        <w:rPr>
          <w:rStyle w:val="Hyperlink2"/>
          <w:rFonts w:ascii="Book Antiqua" w:eastAsia="Arial Unicode MS" w:hAnsi="Book Antiqua"/>
          <w:color w:val="auto"/>
        </w:rPr>
        <w:t>, described above.</w:t>
      </w:r>
    </w:p>
    <w:p w14:paraId="00E8FF7B" w14:textId="2F8E374D" w:rsidR="004313EE" w:rsidRPr="00CA4C0B" w:rsidRDefault="00CE6644" w:rsidP="00D61634">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color w:val="auto"/>
        </w:rPr>
        <w:t>Those loops, with an even smaller inner diameter, which are created by inte</w:t>
      </w:r>
      <w:r w:rsidRPr="00CA4C0B">
        <w:rPr>
          <w:rStyle w:val="Hyperlink2"/>
          <w:rFonts w:ascii="Book Antiqua" w:eastAsia="Arial Unicode MS" w:hAnsi="Book Antiqua"/>
          <w:color w:val="auto"/>
        </w:rPr>
        <w:t>r</w:t>
      </w:r>
      <w:r w:rsidRPr="00CA4C0B">
        <w:rPr>
          <w:rStyle w:val="Hyperlink2"/>
          <w:rFonts w:ascii="Book Antiqua" w:eastAsia="Arial Unicode MS" w:hAnsi="Book Antiqua"/>
          <w:color w:val="auto"/>
        </w:rPr>
        <w:t>connecting small winged processes of the sinusoidal cast, deserve a separate n</w:t>
      </w:r>
      <w:r w:rsidRPr="00CA4C0B">
        <w:rPr>
          <w:rStyle w:val="Hyperlink2"/>
          <w:rFonts w:ascii="Book Antiqua" w:eastAsia="Arial Unicode MS" w:hAnsi="Book Antiqua"/>
          <w:color w:val="auto"/>
        </w:rPr>
        <w:t>o</w:t>
      </w:r>
      <w:r w:rsidRPr="00CA4C0B">
        <w:rPr>
          <w:rStyle w:val="Hyperlink2"/>
          <w:rFonts w:ascii="Book Antiqua" w:eastAsia="Arial Unicode MS" w:hAnsi="Book Antiqua"/>
          <w:color w:val="auto"/>
        </w:rPr>
        <w:t>tice. Supposedly, the presence of such processes and loops should indicate that the mechanism of intussusceptive angiogenesis (capillary "splitting" by creating an "endothelial curtain" ["septum"] in their lumen and dividing it into two, often uneven, parts) is invol</w:t>
      </w:r>
      <w:r w:rsidR="00182A9E" w:rsidRPr="00CA4C0B">
        <w:rPr>
          <w:rStyle w:val="Hyperlink2"/>
          <w:rFonts w:ascii="Book Antiqua" w:eastAsia="Arial Unicode MS" w:hAnsi="Book Antiqua"/>
          <w:color w:val="auto"/>
        </w:rPr>
        <w:t>ved in sinusoidal proliferation</w:t>
      </w:r>
      <w:r w:rsidR="00CE3D22" w:rsidRPr="00CA4C0B">
        <w:rPr>
          <w:rStyle w:val="None"/>
          <w:rFonts w:ascii="Book Antiqua" w:hAnsi="Book Antiqua"/>
          <w:color w:val="auto"/>
          <w:sz w:val="24"/>
          <w:szCs w:val="24"/>
          <w:vertAlign w:val="superscript"/>
          <w:lang w:val="pt-PT"/>
        </w:rPr>
        <w:fldChar w:fldCharType="begin" w:fldLock="1"/>
      </w:r>
      <w:r w:rsidR="00C570F1" w:rsidRPr="00CA4C0B">
        <w:rPr>
          <w:rStyle w:val="None"/>
          <w:rFonts w:ascii="Book Antiqua" w:hAnsi="Book Antiqua"/>
          <w:color w:val="auto"/>
          <w:sz w:val="24"/>
          <w:szCs w:val="24"/>
          <w:vertAlign w:val="superscript"/>
          <w:lang w:val="pt-PT"/>
        </w:rPr>
        <w:instrText>ADDIN CSL_CITATION {"citationItems":[{"id":"ITEM-1","itemData":{"DOI":"10.1007/s00441-003-0784-3","ISSN":"0302-766X","PMID":"14574551","abstract":"Intussusception (growth within itself) is an alternative to the sprouting mode of angiogenesis. The protrusion of opposing microvascular walls into the capillary lumen creates a contact zone between endothelial cells. The endothelial bilayer is perforated, intercellular contacts are reorganized, and a transluminal pillar with an interstitial core is formed, which is soon invaded by myofibroblasts and pericytes leading to its rapid enlargement by the deposition of collagen fibrils. Intussusception has been implicated in three processes of vascular growth and remodeling. (1) Intussusceptive microvascular growth permits rapid expansion of the capillary plexus, furnishing a large endothelial surface for metabolic exchange. (2) Intussusceptive arborization causes changes in the size, position, and form of preferentially perfused capillary segments, creating a hierarchical tree. (3) Intussusceptive branching remodeling (IBR) leads to modification of the branching geometry of supplying vessels, optimizing pre- and postcapillary flow properties. IBR can also lead to the removal of branches by pruning in response to changes in metabolic needs. None of the three modes requires the immediate proliferation of endothelial cells but rather the rearrangement and plastic remodeling of existing ones. Intussusception appears to be triggered immediately after the formation of the primitive capillary plexus by vasculogenesis or sprouting. The advantage of this mechanism of growth over sprouting is that blood vessels are generated more rapidly in an energetically and metabolically more economic manner, as extensive cell proliferation, basement membrane degradation, and invasion of the surrounding tissue are not required; the capillaries thereby formed are less leaky. This process occurs without disrupting organ function. Improvements in our understanding of the process should enable the development of novel pro- and anti-angiogenic therapeutic treatments.","author":[{"dropping-particle":"","family":"Djonov","given":"Valentin","non-dropping-particle":"","parse-names":false,"suffix":""},{"dropping-particle":"","family":"Baum","given":"Oliver","non-dropping-particle":"","parse-names":false,"suffix":""},{"dropping-particle":"","family":"Burri","given":"Peter H.","non-dropping-particle":"","parse-names":false,"suffix":""}],"container-title":"Cell and Tissue Research","id":"ITEM-1","issue":"1","issued":{"date-parts":[["2003","10","1"]]},"page":"107-117","title":"Vascular remodeling by intussusceptive angiogenesis","type":"article-journal","volume":"314"},"uris":["http://www.mendeley.com/documents/?uuid=4440eba2-5c22-4b02-a973-d0d6a416d2ca"]}],"mendeley":{"formattedCitation":"&lt;sup&gt;[64]&lt;/sup&gt;","plainTextFormattedCitation":"[64]","previouslyFormattedCitation":"&lt;sup&gt;[63]&lt;/sup&gt;"},"properties":{"noteIndex":0},"schema":"https://github.com/citation-style-language/schema/raw/master/csl-citation.json"}</w:instrText>
      </w:r>
      <w:r w:rsidR="00CE3D22" w:rsidRPr="00CA4C0B">
        <w:rPr>
          <w:rStyle w:val="None"/>
          <w:rFonts w:ascii="Book Antiqua" w:hAnsi="Book Antiqua"/>
          <w:color w:val="auto"/>
          <w:sz w:val="24"/>
          <w:szCs w:val="24"/>
          <w:vertAlign w:val="superscript"/>
          <w:lang w:val="pt-PT"/>
        </w:rPr>
        <w:fldChar w:fldCharType="separate"/>
      </w:r>
      <w:r w:rsidR="0019779B" w:rsidRPr="00CA4C0B">
        <w:rPr>
          <w:rStyle w:val="None"/>
          <w:rFonts w:ascii="Book Antiqua" w:hAnsi="Book Antiqua"/>
          <w:noProof/>
          <w:color w:val="auto"/>
          <w:sz w:val="24"/>
          <w:szCs w:val="24"/>
          <w:vertAlign w:val="superscript"/>
          <w:lang w:val="pt-PT"/>
        </w:rPr>
        <w:t>[63</w:t>
      </w:r>
      <w:r w:rsidR="00C570F1" w:rsidRPr="00CA4C0B">
        <w:rPr>
          <w:rStyle w:val="None"/>
          <w:rFonts w:ascii="Book Antiqua" w:hAnsi="Book Antiqua"/>
          <w:noProof/>
          <w:color w:val="auto"/>
          <w:sz w:val="24"/>
          <w:szCs w:val="24"/>
          <w:vertAlign w:val="superscript"/>
          <w:lang w:val="pt-PT"/>
        </w:rPr>
        <w:t>]</w:t>
      </w:r>
      <w:r w:rsidR="00CE3D22" w:rsidRPr="00CA4C0B">
        <w:rPr>
          <w:rStyle w:val="None"/>
          <w:rFonts w:ascii="Book Antiqua" w:hAnsi="Book Antiqua"/>
          <w:color w:val="auto"/>
          <w:sz w:val="24"/>
          <w:szCs w:val="24"/>
          <w:vertAlign w:val="superscript"/>
          <w:lang w:val="pt-PT"/>
        </w:rPr>
        <w:fldChar w:fldCharType="end"/>
      </w:r>
      <w:r w:rsidRPr="00CA4C0B">
        <w:rPr>
          <w:rStyle w:val="Hyperlink2"/>
          <w:rFonts w:ascii="Book Antiqua" w:eastAsia="Arial Unicode MS" w:hAnsi="Book Antiqua"/>
          <w:color w:val="auto"/>
        </w:rPr>
        <w:t xml:space="preserve">. </w:t>
      </w:r>
    </w:p>
    <w:p w14:paraId="059DC1CB" w14:textId="7953D02E"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The further remodeling of the sinusoids after the repeated PH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in compa</w:t>
      </w:r>
      <w:r w:rsidRPr="00CA4C0B">
        <w:rPr>
          <w:rStyle w:val="None"/>
          <w:rFonts w:ascii="Book Antiqua" w:hAnsi="Book Antiqua"/>
          <w:color w:val="auto"/>
          <w:sz w:val="24"/>
          <w:szCs w:val="24"/>
        </w:rPr>
        <w:t>r</w:t>
      </w:r>
      <w:r w:rsidRPr="00CA4C0B">
        <w:rPr>
          <w:rStyle w:val="None"/>
          <w:rFonts w:ascii="Book Antiqua" w:hAnsi="Book Antiqua"/>
          <w:color w:val="auto"/>
          <w:sz w:val="24"/>
          <w:szCs w:val="24"/>
        </w:rPr>
        <w:t>ison with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xml:space="preserve"> is verified by SEM of the corrosion casts. In addition to the increa</w:t>
      </w:r>
      <w:r w:rsidRPr="00CA4C0B">
        <w:rPr>
          <w:rStyle w:val="None"/>
          <w:rFonts w:ascii="Book Antiqua" w:hAnsi="Book Antiqua"/>
          <w:color w:val="auto"/>
          <w:sz w:val="24"/>
          <w:szCs w:val="24"/>
        </w:rPr>
        <w:t>s</w:t>
      </w:r>
      <w:r w:rsidRPr="00CA4C0B">
        <w:rPr>
          <w:rStyle w:val="None"/>
          <w:rFonts w:ascii="Book Antiqua" w:hAnsi="Book Antiqua"/>
          <w:color w:val="auto"/>
          <w:sz w:val="24"/>
          <w:szCs w:val="24"/>
        </w:rPr>
        <w:t>ing number of blind-ended ramifications, the local dilations resulted from the merging of 3-4 sinusoids (sinusoidal lakes) were observed. Quite often the areas containing such patterns are difficult to distinguish from the central veins on the histological slices.</w:t>
      </w:r>
      <w:r w:rsidR="00F7733D" w:rsidRPr="00CA4C0B">
        <w:rPr>
          <w:rStyle w:val="None"/>
          <w:rFonts w:ascii="Book Antiqua" w:hAnsi="Book Antiqua"/>
          <w:color w:val="auto"/>
          <w:sz w:val="24"/>
          <w:szCs w:val="24"/>
        </w:rPr>
        <w:t xml:space="preserve"> </w:t>
      </w:r>
    </w:p>
    <w:p w14:paraId="10202D64" w14:textId="1FD01E7F" w:rsidR="004313EE" w:rsidRPr="00CA4C0B" w:rsidRDefault="00CE6644" w:rsidP="00D61634">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color w:val="auto"/>
        </w:rPr>
        <w:t xml:space="preserve">The presence of small </w:t>
      </w:r>
      <w:proofErr w:type="spellStart"/>
      <w:r w:rsidRPr="00CA4C0B">
        <w:rPr>
          <w:rStyle w:val="Hyperlink2"/>
          <w:rFonts w:ascii="Book Antiqua" w:eastAsia="Arial Unicode MS" w:hAnsi="Book Antiqua"/>
          <w:color w:val="auto"/>
        </w:rPr>
        <w:t>villose</w:t>
      </w:r>
      <w:proofErr w:type="spellEnd"/>
      <w:r w:rsidRPr="00CA4C0B">
        <w:rPr>
          <w:rStyle w:val="Hyperlink2"/>
          <w:rFonts w:ascii="Book Antiqua" w:eastAsia="Arial Unicode MS" w:hAnsi="Book Antiqua"/>
          <w:color w:val="auto"/>
        </w:rPr>
        <w:t xml:space="preserve"> processes of the sinusoidal casts of both regene</w:t>
      </w:r>
      <w:r w:rsidRPr="00CA4C0B">
        <w:rPr>
          <w:rStyle w:val="Hyperlink2"/>
          <w:rFonts w:ascii="Book Antiqua" w:eastAsia="Arial Unicode MS" w:hAnsi="Book Antiqua"/>
          <w:color w:val="auto"/>
        </w:rPr>
        <w:t>r</w:t>
      </w:r>
      <w:r w:rsidRPr="00CA4C0B">
        <w:rPr>
          <w:rStyle w:val="Hyperlink2"/>
          <w:rFonts w:ascii="Book Antiqua" w:eastAsia="Arial Unicode MS" w:hAnsi="Book Antiqua"/>
          <w:color w:val="auto"/>
        </w:rPr>
        <w:t>ated (SG</w:t>
      </w:r>
      <w:r w:rsidRPr="00CA4C0B">
        <w:rPr>
          <w:rStyle w:val="None"/>
          <w:rFonts w:ascii="Book Antiqua" w:hAnsi="Book Antiqua"/>
          <w:color w:val="auto"/>
          <w:sz w:val="24"/>
          <w:szCs w:val="24"/>
          <w:vertAlign w:val="subscript"/>
        </w:rPr>
        <w:t>1</w:t>
      </w:r>
      <w:r w:rsidRPr="00CA4C0B">
        <w:rPr>
          <w:rStyle w:val="Hyperlink2"/>
          <w:rFonts w:ascii="Book Antiqua" w:eastAsia="Arial Unicode MS" w:hAnsi="Book Antiqua"/>
          <w:color w:val="auto"/>
        </w:rPr>
        <w:t>) and re-regenerated (SG</w:t>
      </w:r>
      <w:r w:rsidRPr="00CA4C0B">
        <w:rPr>
          <w:rStyle w:val="None"/>
          <w:rFonts w:ascii="Book Antiqua" w:hAnsi="Book Antiqua"/>
          <w:color w:val="auto"/>
          <w:sz w:val="24"/>
          <w:szCs w:val="24"/>
          <w:vertAlign w:val="subscript"/>
        </w:rPr>
        <w:t>2</w:t>
      </w:r>
      <w:r w:rsidRPr="00CA4C0B">
        <w:rPr>
          <w:rStyle w:val="Hyperlink2"/>
          <w:rFonts w:ascii="Book Antiqua" w:eastAsia="Arial Unicode MS" w:hAnsi="Book Antiqua"/>
          <w:color w:val="auto"/>
        </w:rPr>
        <w:t>) livers should indicate the presence of dil</w:t>
      </w:r>
      <w:r w:rsidRPr="00CA4C0B">
        <w:rPr>
          <w:rStyle w:val="Hyperlink2"/>
          <w:rFonts w:ascii="Book Antiqua" w:eastAsia="Arial Unicode MS" w:hAnsi="Book Antiqua"/>
          <w:color w:val="auto"/>
        </w:rPr>
        <w:t>a</w:t>
      </w:r>
      <w:r w:rsidRPr="00CA4C0B">
        <w:rPr>
          <w:rStyle w:val="Hyperlink2"/>
          <w:rFonts w:ascii="Book Antiqua" w:eastAsia="Arial Unicode MS" w:hAnsi="Book Antiqua"/>
          <w:color w:val="auto"/>
        </w:rPr>
        <w:t xml:space="preserve">tions of the endothelial </w:t>
      </w:r>
      <w:proofErr w:type="spellStart"/>
      <w:r w:rsidRPr="00CA4C0B">
        <w:rPr>
          <w:rStyle w:val="Hyperlink2"/>
          <w:rFonts w:ascii="Book Antiqua" w:eastAsia="Arial Unicode MS" w:hAnsi="Book Antiqua"/>
          <w:color w:val="auto"/>
        </w:rPr>
        <w:t>fenestras</w:t>
      </w:r>
      <w:proofErr w:type="spellEnd"/>
      <w:r w:rsidRPr="00CA4C0B">
        <w:rPr>
          <w:rStyle w:val="Hyperlink2"/>
          <w:rFonts w:ascii="Book Antiqua" w:eastAsia="Arial Unicode MS" w:hAnsi="Book Antiqua"/>
          <w:color w:val="auto"/>
        </w:rPr>
        <w:t xml:space="preserve"> making available the "penetration" of the injec</w:t>
      </w:r>
      <w:r w:rsidRPr="00CA4C0B">
        <w:rPr>
          <w:rStyle w:val="Hyperlink2"/>
          <w:rFonts w:ascii="Book Antiqua" w:eastAsia="Arial Unicode MS" w:hAnsi="Book Antiqua"/>
          <w:color w:val="auto"/>
        </w:rPr>
        <w:t>t</w:t>
      </w:r>
      <w:r w:rsidRPr="00CA4C0B">
        <w:rPr>
          <w:rStyle w:val="Hyperlink2"/>
          <w:rFonts w:ascii="Book Antiqua" w:eastAsia="Arial Unicode MS" w:hAnsi="Book Antiqua"/>
          <w:color w:val="auto"/>
        </w:rPr>
        <w:t>able solidifying mass through them. Increases of the size and number of these processes in SG</w:t>
      </w:r>
      <w:r w:rsidRPr="00CA4C0B">
        <w:rPr>
          <w:rStyle w:val="None"/>
          <w:rFonts w:ascii="Book Antiqua" w:hAnsi="Book Antiqua"/>
          <w:color w:val="auto"/>
          <w:sz w:val="24"/>
          <w:szCs w:val="24"/>
          <w:vertAlign w:val="subscript"/>
        </w:rPr>
        <w:t>2</w:t>
      </w:r>
      <w:r w:rsidRPr="00CA4C0B">
        <w:rPr>
          <w:rStyle w:val="Hyperlink2"/>
          <w:rFonts w:ascii="Book Antiqua" w:eastAsia="Arial Unicode MS" w:hAnsi="Book Antiqua"/>
          <w:color w:val="auto"/>
        </w:rPr>
        <w:t xml:space="preserve"> in comparison with SG</w:t>
      </w:r>
      <w:r w:rsidRPr="00CA4C0B">
        <w:rPr>
          <w:rStyle w:val="None"/>
          <w:rFonts w:ascii="Book Antiqua" w:hAnsi="Book Antiqua"/>
          <w:color w:val="auto"/>
          <w:sz w:val="24"/>
          <w:szCs w:val="24"/>
          <w:vertAlign w:val="subscript"/>
        </w:rPr>
        <w:t>1</w:t>
      </w:r>
      <w:r w:rsidRPr="00CA4C0B">
        <w:rPr>
          <w:rStyle w:val="Hyperlink2"/>
          <w:rFonts w:ascii="Book Antiqua" w:eastAsia="Arial Unicode MS" w:hAnsi="Book Antiqua"/>
          <w:color w:val="auto"/>
        </w:rPr>
        <w:t xml:space="preserve"> might be related to a greater dilation of the endothelial cell </w:t>
      </w:r>
      <w:proofErr w:type="spellStart"/>
      <w:r w:rsidRPr="00CA4C0B">
        <w:rPr>
          <w:rStyle w:val="Hyperlink2"/>
          <w:rFonts w:ascii="Book Antiqua" w:eastAsia="Arial Unicode MS" w:hAnsi="Book Antiqua"/>
          <w:color w:val="auto"/>
        </w:rPr>
        <w:t>fenestras</w:t>
      </w:r>
      <w:proofErr w:type="spellEnd"/>
      <w:r w:rsidRPr="00CA4C0B">
        <w:rPr>
          <w:rStyle w:val="Hyperlink2"/>
          <w:rFonts w:ascii="Book Antiqua" w:eastAsia="Arial Unicode MS" w:hAnsi="Book Antiqua"/>
          <w:color w:val="auto"/>
        </w:rPr>
        <w:t>. Increased fenestration, in its turn, has to be assoc</w:t>
      </w:r>
      <w:r w:rsidRPr="00CA4C0B">
        <w:rPr>
          <w:rStyle w:val="Hyperlink2"/>
          <w:rFonts w:ascii="Book Antiqua" w:eastAsia="Arial Unicode MS" w:hAnsi="Book Antiqua"/>
          <w:color w:val="auto"/>
        </w:rPr>
        <w:t>i</w:t>
      </w:r>
      <w:r w:rsidRPr="00CA4C0B">
        <w:rPr>
          <w:rStyle w:val="Hyperlink2"/>
          <w:rFonts w:ascii="Book Antiqua" w:eastAsia="Arial Unicode MS" w:hAnsi="Book Antiqua"/>
          <w:color w:val="auto"/>
        </w:rPr>
        <w:t xml:space="preserve">ated with endothelial cell remodeling, which develops after </w:t>
      </w:r>
      <w:r w:rsidR="00F219D7" w:rsidRPr="00CA4C0B">
        <w:rPr>
          <w:rStyle w:val="Hyperlink2"/>
          <w:rFonts w:ascii="Book Antiqua" w:eastAsia="Arial Unicode MS" w:hAnsi="Book Antiqua"/>
          <w:color w:val="auto"/>
        </w:rPr>
        <w:t>resection</w:t>
      </w:r>
      <w:r w:rsidR="00CE3D22" w:rsidRPr="00CA4C0B">
        <w:rPr>
          <w:rStyle w:val="None"/>
          <w:rFonts w:ascii="Book Antiqua" w:hAnsi="Book Antiqua"/>
          <w:color w:val="auto"/>
          <w:sz w:val="24"/>
          <w:szCs w:val="24"/>
          <w:vertAlign w:val="superscript"/>
          <w:lang w:val="pt-PT"/>
        </w:rPr>
        <w:fldChar w:fldCharType="begin" w:fldLock="1"/>
      </w:r>
      <w:r w:rsidR="00C570F1" w:rsidRPr="00CA4C0B">
        <w:rPr>
          <w:rStyle w:val="None"/>
          <w:rFonts w:ascii="Book Antiqua" w:hAnsi="Book Antiqua"/>
          <w:color w:val="auto"/>
          <w:sz w:val="24"/>
          <w:szCs w:val="24"/>
          <w:vertAlign w:val="superscript"/>
          <w:lang w:val="pt-PT"/>
        </w:rPr>
        <w:instrText>ADDIN CSL_CITATION {"citationItems":[{"id":"ITEM-1","itemData":{"DOI":"10.1016/S0168-8278(00)00055-6","ISSN":"01688278","PMID":"11434614","abstract":"Background: The aim of this study was to investigate regulatory mechanisms of sinusoidal endothelial cell (SEC) proliferation after hepatectomy in rats. Methods: We investigated expressions of vascular endothelial cell growth factor (VEGF) and its receptors, flt-1 and KDR/flk-1, in regenerating liver after 70% hepatectomy. Proliferation of both hepatocytes and SECs was also monitored by evaluating the proliferating cell nuclear antigen (PCNA) labeling index. Furthermore, VEGF production by cultured hepatocytes isolated at different times after hepatectomy was measured in vitro. Results: The expression of VEGF mRNA was increased markedly between 48 and 72 h after hepatectomy, and thereafter decreasing gradually. The immunohistochemical staining revealed that expression of VEGF started to increase 24 h after hepatectomy, with a peak at 72 h, and the majority of the VEGF-positive cells were hepatocytes located in periportal areas. Meanwhile, expression of fit-1 and KDR/flk-1 was observed along the sinusoids even before hepatectomy, but was increased between 72 and 120 h. Furthermore, VEGF production by cultured hepatocytes isolated 72 h after hepatectomy was significantly increased. The PCNA labeling index of the SECs exhibited a delayed and slower regenerative response in comparison to the hepatocytes, reaching a peak at 72 h. Conclusions: These data strongly suggest that VEGF secreted by proliferating hepatocytes may represent an important stimulator of SEC proliferation. © 2001 European Association for the Study of the Liver. Published by Elsevier Science B.V.","author":[{"dropping-particle":"","family":"Shimizu","given":"Hiroaki","non-dropping-particle":"","parse-names":false,"suffix":""},{"dropping-particle":"","family":"Miyazaki","given":"Masaru","non-dropping-particle":"","parse-names":false,"suffix":""},{"dropping-particle":"","family":"Wakabayashi","given":"Yasuo","non-dropping-particle":"","parse-names":false,"suffix":""},{"dropping-particle":"","family":"Mitsuhashi","given":"Noboru","non-dropping-particle":"","parse-names":false,"suffix":""},{"dropping-particle":"","family":"Kato","given":"Atsushi","non-dropping-particle":"","parse-names":false,"suffix":""},{"dropping-particle":"","family":"Ito","given":"Hiroshi","non-dropping-particle":"","parse-names":false,"suffix":""},{"dropping-particle":"","family":"Nakagawa","given":"Koji","non-dropping-particle":"","parse-names":false,"suffix":""},{"dropping-particle":"","family":"Yoshidome","given":"Hiroyuki","non-dropping-particle":"","parse-names":false,"suffix":""},{"dropping-particle":"","family":"Kataoka","given":"Masaaki","non-dropping-particle":"","parse-names":false,"suffix":""},{"dropping-particle":"","family":"Nakajima","given":"Nobuyuki","non-dropping-particle":"","parse-names":false,"suffix":""}],"container-title":"Journal of Hepatology","id":"ITEM-1","issue":"5","issued":{"date-parts":[["2001","5"]]},"page":"683-689","title":"Vascular endothelial growth factor secreted by replicating hepatocytes induces sinusoidal endothelial cell proliferation during regeneration after partial hepatectomy in rats","type":"article-journal","volume":"34"},"uris":["http://www.mendeley.com/documents/?uuid=829ad6ed-8aaf-49b7-8147-3dbf6ab26f9f"]}],"mendeley":{"formattedCitation":"&lt;sup&gt;[65]&lt;/sup&gt;","plainTextFormattedCitation":"[65]","previouslyFormattedCitation":"&lt;sup&gt;[64]&lt;/sup&gt;"},"properties":{"noteIndex":0},"schema":"https://github.com/citation-style-language/schema/raw/master/csl-citation.json"}</w:instrText>
      </w:r>
      <w:r w:rsidR="00CE3D22" w:rsidRPr="00CA4C0B">
        <w:rPr>
          <w:rStyle w:val="None"/>
          <w:rFonts w:ascii="Book Antiqua" w:hAnsi="Book Antiqua"/>
          <w:color w:val="auto"/>
          <w:sz w:val="24"/>
          <w:szCs w:val="24"/>
          <w:vertAlign w:val="superscript"/>
          <w:lang w:val="pt-PT"/>
        </w:rPr>
        <w:fldChar w:fldCharType="separate"/>
      </w:r>
      <w:r w:rsidR="0019779B" w:rsidRPr="00CA4C0B">
        <w:rPr>
          <w:rStyle w:val="None"/>
          <w:rFonts w:ascii="Book Antiqua" w:hAnsi="Book Antiqua"/>
          <w:noProof/>
          <w:color w:val="auto"/>
          <w:sz w:val="24"/>
          <w:szCs w:val="24"/>
          <w:vertAlign w:val="superscript"/>
          <w:lang w:val="pt-PT"/>
        </w:rPr>
        <w:t>[64</w:t>
      </w:r>
      <w:r w:rsidR="00C570F1" w:rsidRPr="00CA4C0B">
        <w:rPr>
          <w:rStyle w:val="None"/>
          <w:rFonts w:ascii="Book Antiqua" w:hAnsi="Book Antiqua"/>
          <w:noProof/>
          <w:color w:val="auto"/>
          <w:sz w:val="24"/>
          <w:szCs w:val="24"/>
          <w:vertAlign w:val="superscript"/>
          <w:lang w:val="pt-PT"/>
        </w:rPr>
        <w:t>]</w:t>
      </w:r>
      <w:r w:rsidR="00CE3D22" w:rsidRPr="00CA4C0B">
        <w:rPr>
          <w:rStyle w:val="None"/>
          <w:rFonts w:ascii="Book Antiqua" w:hAnsi="Book Antiqua"/>
          <w:color w:val="auto"/>
          <w:sz w:val="24"/>
          <w:szCs w:val="24"/>
          <w:vertAlign w:val="superscript"/>
          <w:lang w:val="pt-PT"/>
        </w:rPr>
        <w:fldChar w:fldCharType="end"/>
      </w:r>
      <w:r w:rsidRPr="00CA4C0B">
        <w:rPr>
          <w:rStyle w:val="Hyperlink2"/>
          <w:rFonts w:ascii="Book Antiqua" w:eastAsia="Arial Unicode MS" w:hAnsi="Book Antiqua"/>
          <w:color w:val="auto"/>
        </w:rPr>
        <w:t xml:space="preserve"> and supposedly becomes even stronger after repeated resection.</w:t>
      </w:r>
    </w:p>
    <w:p w14:paraId="3D7A0D7C" w14:textId="0B393A19" w:rsidR="004313EE" w:rsidRPr="00CA4C0B" w:rsidRDefault="00CE6644" w:rsidP="00D61634">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color w:val="auto"/>
        </w:rPr>
        <w:t>Thus, if we summarize all the above, it can be concluded that liver regener</w:t>
      </w:r>
      <w:r w:rsidRPr="00CA4C0B">
        <w:rPr>
          <w:rStyle w:val="Hyperlink2"/>
          <w:rFonts w:ascii="Book Antiqua" w:eastAsia="Arial Unicode MS" w:hAnsi="Book Antiqua"/>
          <w:color w:val="auto"/>
        </w:rPr>
        <w:t>a</w:t>
      </w:r>
      <w:r w:rsidRPr="00CA4C0B">
        <w:rPr>
          <w:rStyle w:val="Hyperlink2"/>
          <w:rFonts w:ascii="Book Antiqua" w:eastAsia="Arial Unicode MS" w:hAnsi="Book Antiqua"/>
          <w:color w:val="auto"/>
        </w:rPr>
        <w:t>tion after PH is based on both, proliferation and hypertrophy of hepatocytes.</w:t>
      </w:r>
      <w:r w:rsidR="00071B8A"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These cells unite into remodeled lobules, the sizes of which vary widely. The m</w:t>
      </w:r>
      <w:r w:rsidRPr="00CA4C0B">
        <w:rPr>
          <w:rStyle w:val="Hyperlink2"/>
          <w:rFonts w:ascii="Book Antiqua" w:eastAsia="Arial Unicode MS" w:hAnsi="Book Antiqua"/>
          <w:color w:val="auto"/>
        </w:rPr>
        <w:t>i</w:t>
      </w:r>
      <w:r w:rsidRPr="00CA4C0B">
        <w:rPr>
          <w:rStyle w:val="Hyperlink2"/>
          <w:rFonts w:ascii="Book Antiqua" w:eastAsia="Arial Unicode MS" w:hAnsi="Book Antiqua"/>
          <w:color w:val="auto"/>
        </w:rPr>
        <w:t>crocirculation of the liver is also remodeled. At the same time, there is a susp</w:t>
      </w:r>
      <w:r w:rsidRPr="00CA4C0B">
        <w:rPr>
          <w:rStyle w:val="Hyperlink2"/>
          <w:rFonts w:ascii="Book Antiqua" w:eastAsia="Arial Unicode MS" w:hAnsi="Book Antiqua"/>
          <w:color w:val="auto"/>
        </w:rPr>
        <w:t>i</w:t>
      </w:r>
      <w:r w:rsidRPr="00CA4C0B">
        <w:rPr>
          <w:rStyle w:val="Hyperlink2"/>
          <w:rFonts w:ascii="Book Antiqua" w:eastAsia="Arial Unicode MS" w:hAnsi="Book Antiqua"/>
          <w:color w:val="auto"/>
        </w:rPr>
        <w:lastRenderedPageBreak/>
        <w:t>cion that hyperplasia-hypertrophy and remodeling do not apply to all hepat</w:t>
      </w:r>
      <w:r w:rsidRPr="00CA4C0B">
        <w:rPr>
          <w:rStyle w:val="Hyperlink2"/>
          <w:rFonts w:ascii="Book Antiqua" w:eastAsia="Arial Unicode MS" w:hAnsi="Book Antiqua"/>
          <w:color w:val="auto"/>
        </w:rPr>
        <w:t>o</w:t>
      </w:r>
      <w:r w:rsidRPr="00CA4C0B">
        <w:rPr>
          <w:rStyle w:val="Hyperlink2"/>
          <w:rFonts w:ascii="Book Antiqua" w:eastAsia="Arial Unicode MS" w:hAnsi="Book Antiqua"/>
          <w:color w:val="auto"/>
        </w:rPr>
        <w:t>cytes and all lobules. It is also possible that in parallel with remodel</w:t>
      </w:r>
      <w:r w:rsidR="00182A9E" w:rsidRPr="00CA4C0B">
        <w:rPr>
          <w:rStyle w:val="Hyperlink2"/>
          <w:rFonts w:ascii="Book Antiqua" w:eastAsia="Arial Unicode MS" w:hAnsi="Book Antiqua"/>
          <w:color w:val="auto"/>
        </w:rPr>
        <w:t xml:space="preserve">ing, the new lobules are </w:t>
      </w:r>
      <w:proofErr w:type="gramStart"/>
      <w:r w:rsidR="00182A9E" w:rsidRPr="00CA4C0B">
        <w:rPr>
          <w:rStyle w:val="Hyperlink2"/>
          <w:rFonts w:ascii="Book Antiqua" w:eastAsia="Arial Unicode MS" w:hAnsi="Book Antiqua"/>
          <w:color w:val="auto"/>
        </w:rPr>
        <w:t>formed</w:t>
      </w:r>
      <w:r w:rsidR="00A42758" w:rsidRPr="00CA4C0B">
        <w:rPr>
          <w:rStyle w:val="None"/>
          <w:rFonts w:ascii="Book Antiqua" w:hAnsi="Book Antiqua"/>
          <w:color w:val="auto"/>
          <w:sz w:val="24"/>
          <w:szCs w:val="24"/>
          <w:vertAlign w:val="superscript"/>
          <w:lang w:val="pt-PT"/>
        </w:rPr>
        <w:t>[</w:t>
      </w:r>
      <w:proofErr w:type="gramEnd"/>
      <w:r w:rsidR="00A42758" w:rsidRPr="00CA4C0B">
        <w:rPr>
          <w:rStyle w:val="None"/>
          <w:rFonts w:ascii="Book Antiqua" w:hAnsi="Book Antiqua"/>
          <w:color w:val="auto"/>
          <w:sz w:val="24"/>
          <w:szCs w:val="24"/>
          <w:vertAlign w:val="superscript"/>
          <w:lang w:val="pt-PT"/>
        </w:rPr>
        <w:t>31</w:t>
      </w:r>
      <w:r w:rsidRPr="00CA4C0B">
        <w:rPr>
          <w:rStyle w:val="None"/>
          <w:rFonts w:ascii="Book Antiqua" w:hAnsi="Book Antiqua"/>
          <w:color w:val="auto"/>
          <w:sz w:val="24"/>
          <w:szCs w:val="24"/>
          <w:vertAlign w:val="superscript"/>
          <w:lang w:val="pt-PT"/>
        </w:rPr>
        <w:t>]</w:t>
      </w:r>
      <w:r w:rsidRPr="00CA4C0B">
        <w:rPr>
          <w:rStyle w:val="Hyperlink2"/>
          <w:rFonts w:ascii="Book Antiqua" w:eastAsia="Arial Unicode MS" w:hAnsi="Book Antiqua"/>
          <w:color w:val="auto"/>
        </w:rPr>
        <w:t>.</w:t>
      </w:r>
      <w:r w:rsidR="005D0266"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After repeated PH, liver regeneration is based on the same type of transformations, although their intensity is less. However, t</w:t>
      </w:r>
      <w:r w:rsidRPr="00CA4C0B">
        <w:rPr>
          <w:rStyle w:val="None"/>
          <w:rFonts w:ascii="Book Antiqua" w:hAnsi="Book Antiqua"/>
          <w:color w:val="auto"/>
          <w:sz w:val="24"/>
          <w:szCs w:val="24"/>
          <w:u w:color="222222"/>
        </w:rPr>
        <w:t xml:space="preserve">he obtained results of the evaluation of hepatocytes’ ploidy confirm that even after repeated PH the liver tissue retains the ability for further recovery. </w:t>
      </w:r>
    </w:p>
    <w:p w14:paraId="0E641271" w14:textId="77777777"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To fully evaluate the lobular and microcirculatory architecture of regenerated liver after both PH and repeated PH it is necessary to investigate the architecto</w:t>
      </w:r>
      <w:r w:rsidRPr="00CA4C0B">
        <w:rPr>
          <w:rStyle w:val="None"/>
          <w:rFonts w:ascii="Book Antiqua" w:hAnsi="Book Antiqua"/>
          <w:color w:val="auto"/>
          <w:sz w:val="24"/>
          <w:szCs w:val="24"/>
        </w:rPr>
        <w:t>n</w:t>
      </w:r>
      <w:r w:rsidRPr="00CA4C0B">
        <w:rPr>
          <w:rStyle w:val="None"/>
          <w:rFonts w:ascii="Book Antiqua" w:hAnsi="Book Antiqua"/>
          <w:color w:val="auto"/>
          <w:sz w:val="24"/>
          <w:szCs w:val="24"/>
        </w:rPr>
        <w:t>ics of the initials of the biliary system.</w:t>
      </w:r>
    </w:p>
    <w:p w14:paraId="770C45DE" w14:textId="77777777" w:rsidR="004313EE" w:rsidRPr="00CA4C0B" w:rsidRDefault="004313EE" w:rsidP="007F2CA0">
      <w:pPr>
        <w:pStyle w:val="BodyA"/>
        <w:snapToGrid w:val="0"/>
        <w:spacing w:after="0" w:line="360" w:lineRule="auto"/>
        <w:jc w:val="both"/>
        <w:rPr>
          <w:rStyle w:val="None"/>
          <w:rFonts w:ascii="Book Antiqua" w:eastAsia="Times New Roman" w:hAnsi="Book Antiqua" w:cs="Times New Roman"/>
          <w:b/>
          <w:bCs/>
          <w:color w:val="auto"/>
          <w:sz w:val="24"/>
          <w:szCs w:val="24"/>
          <w:u w:val="single"/>
        </w:rPr>
      </w:pPr>
    </w:p>
    <w:p w14:paraId="2CE14777" w14:textId="65B785A7" w:rsidR="004313EE" w:rsidRPr="00CA4C0B" w:rsidRDefault="002634CD" w:rsidP="007F2CA0">
      <w:pPr>
        <w:pStyle w:val="BodyA"/>
        <w:snapToGrid w:val="0"/>
        <w:spacing w:after="0" w:line="360" w:lineRule="auto"/>
        <w:jc w:val="both"/>
        <w:rPr>
          <w:rStyle w:val="None"/>
          <w:rFonts w:ascii="Book Antiqua" w:eastAsia="Times New Roman" w:hAnsi="Book Antiqua" w:cs="Times New Roman"/>
          <w:b/>
          <w:bCs/>
          <w:caps/>
          <w:color w:val="auto"/>
          <w:sz w:val="24"/>
          <w:szCs w:val="24"/>
          <w:u w:val="single"/>
        </w:rPr>
      </w:pPr>
      <w:r w:rsidRPr="00CA4C0B">
        <w:rPr>
          <w:rStyle w:val="None"/>
          <w:rFonts w:ascii="Book Antiqua" w:hAnsi="Book Antiqua"/>
          <w:b/>
          <w:bCs/>
          <w:caps/>
          <w:color w:val="auto"/>
          <w:sz w:val="24"/>
          <w:szCs w:val="24"/>
          <w:u w:val="single"/>
        </w:rPr>
        <w:t>Acknowledgement</w:t>
      </w:r>
      <w:r w:rsidR="002C01D0" w:rsidRPr="00CA4C0B">
        <w:rPr>
          <w:rStyle w:val="None"/>
          <w:rFonts w:ascii="Book Antiqua" w:hAnsi="Book Antiqua"/>
          <w:b/>
          <w:bCs/>
          <w:caps/>
          <w:color w:val="auto"/>
          <w:sz w:val="24"/>
          <w:szCs w:val="24"/>
          <w:u w:val="single"/>
        </w:rPr>
        <w:t>S</w:t>
      </w:r>
    </w:p>
    <w:p w14:paraId="597F76C5" w14:textId="77777777" w:rsidR="004313EE" w:rsidRPr="00CA4C0B" w:rsidRDefault="00CE6644" w:rsidP="007F2CA0">
      <w:pPr>
        <w:pStyle w:val="BodyA"/>
        <w:snapToGrid w:val="0"/>
        <w:spacing w:after="0" w:line="360" w:lineRule="auto"/>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 xml:space="preserve">We would like to thank Professor </w:t>
      </w:r>
      <w:proofErr w:type="spellStart"/>
      <w:r w:rsidRPr="00CA4C0B">
        <w:rPr>
          <w:rStyle w:val="None"/>
          <w:rFonts w:ascii="Book Antiqua" w:hAnsi="Book Antiqua"/>
          <w:color w:val="auto"/>
          <w:sz w:val="24"/>
          <w:szCs w:val="24"/>
        </w:rPr>
        <w:t>Nikoloz</w:t>
      </w:r>
      <w:proofErr w:type="spellEnd"/>
      <w:r w:rsidRPr="00CA4C0B">
        <w:rPr>
          <w:rStyle w:val="None"/>
          <w:rFonts w:ascii="Book Antiqua" w:hAnsi="Book Antiqua"/>
          <w:color w:val="auto"/>
          <w:sz w:val="24"/>
          <w:szCs w:val="24"/>
        </w:rPr>
        <w:t xml:space="preserve"> </w:t>
      </w:r>
      <w:proofErr w:type="spellStart"/>
      <w:r w:rsidRPr="00CA4C0B">
        <w:rPr>
          <w:rStyle w:val="None"/>
          <w:rFonts w:ascii="Book Antiqua" w:hAnsi="Book Antiqua"/>
          <w:color w:val="auto"/>
          <w:sz w:val="24"/>
          <w:szCs w:val="24"/>
        </w:rPr>
        <w:t>Jalabadze</w:t>
      </w:r>
      <w:proofErr w:type="spellEnd"/>
      <w:r w:rsidRPr="00CA4C0B">
        <w:rPr>
          <w:rStyle w:val="None"/>
          <w:rFonts w:ascii="Book Antiqua" w:hAnsi="Book Antiqua"/>
          <w:color w:val="auto"/>
          <w:sz w:val="24"/>
          <w:szCs w:val="24"/>
        </w:rPr>
        <w:t xml:space="preserve"> and the young scientist Mrs. Lili </w:t>
      </w:r>
      <w:proofErr w:type="spellStart"/>
      <w:r w:rsidRPr="00CA4C0B">
        <w:rPr>
          <w:rStyle w:val="None"/>
          <w:rFonts w:ascii="Book Antiqua" w:hAnsi="Book Antiqua"/>
          <w:color w:val="auto"/>
          <w:sz w:val="24"/>
          <w:szCs w:val="24"/>
        </w:rPr>
        <w:t>Nadaraia</w:t>
      </w:r>
      <w:proofErr w:type="spellEnd"/>
      <w:r w:rsidRPr="00CA4C0B">
        <w:rPr>
          <w:rStyle w:val="None"/>
          <w:rFonts w:ascii="Book Antiqua" w:hAnsi="Book Antiqua"/>
          <w:color w:val="auto"/>
          <w:sz w:val="24"/>
          <w:szCs w:val="24"/>
        </w:rPr>
        <w:t xml:space="preserve"> (Institute of Physical Materials Science and Materials Technologies, Georgian Technical University) for providing the study with SEM investigation, Mr. </w:t>
      </w:r>
      <w:proofErr w:type="spellStart"/>
      <w:r w:rsidRPr="00CA4C0B">
        <w:rPr>
          <w:rStyle w:val="None"/>
          <w:rFonts w:ascii="Book Antiqua" w:hAnsi="Book Antiqua"/>
          <w:color w:val="auto"/>
          <w:sz w:val="24"/>
          <w:szCs w:val="24"/>
        </w:rPr>
        <w:t>Nikoloz</w:t>
      </w:r>
      <w:proofErr w:type="spellEnd"/>
      <w:r w:rsidRPr="00CA4C0B">
        <w:rPr>
          <w:rStyle w:val="None"/>
          <w:rFonts w:ascii="Book Antiqua" w:hAnsi="Book Antiqua"/>
          <w:color w:val="auto"/>
          <w:sz w:val="24"/>
          <w:szCs w:val="24"/>
        </w:rPr>
        <w:t xml:space="preserve"> </w:t>
      </w:r>
      <w:proofErr w:type="spellStart"/>
      <w:r w:rsidRPr="00CA4C0B">
        <w:rPr>
          <w:rStyle w:val="None"/>
          <w:rFonts w:ascii="Book Antiqua" w:hAnsi="Book Antiqua"/>
          <w:color w:val="auto"/>
          <w:sz w:val="24"/>
          <w:szCs w:val="24"/>
        </w:rPr>
        <w:t>Chkhartishvili</w:t>
      </w:r>
      <w:proofErr w:type="spellEnd"/>
      <w:r w:rsidRPr="00CA4C0B">
        <w:rPr>
          <w:rStyle w:val="None"/>
          <w:rFonts w:ascii="Book Antiqua" w:hAnsi="Book Antiqua"/>
          <w:color w:val="auto"/>
          <w:sz w:val="24"/>
          <w:szCs w:val="24"/>
        </w:rPr>
        <w:t xml:space="preserve"> for statistical analysis, and the laboratory assistant, Alexandre </w:t>
      </w:r>
      <w:proofErr w:type="spellStart"/>
      <w:r w:rsidRPr="00CA4C0B">
        <w:rPr>
          <w:rStyle w:val="None"/>
          <w:rFonts w:ascii="Book Antiqua" w:hAnsi="Book Antiqua"/>
          <w:color w:val="auto"/>
          <w:sz w:val="24"/>
          <w:szCs w:val="24"/>
        </w:rPr>
        <w:t>Natishvili</w:t>
      </w:r>
      <w:proofErr w:type="spellEnd"/>
      <w:r w:rsidRPr="00CA4C0B">
        <w:rPr>
          <w:rStyle w:val="None"/>
          <w:rFonts w:ascii="Book Antiqua" w:hAnsi="Book Antiqua"/>
          <w:color w:val="auto"/>
          <w:sz w:val="24"/>
          <w:szCs w:val="24"/>
        </w:rPr>
        <w:t xml:space="preserve"> of the Institute of Morphology, TSU. </w:t>
      </w:r>
    </w:p>
    <w:p w14:paraId="5FD52F24" w14:textId="3EB1C44A" w:rsidR="004313EE" w:rsidRPr="00CA4C0B" w:rsidRDefault="004313EE" w:rsidP="007F2CA0">
      <w:pPr>
        <w:pStyle w:val="BodyA"/>
        <w:snapToGrid w:val="0"/>
        <w:spacing w:after="0" w:line="360" w:lineRule="auto"/>
        <w:jc w:val="both"/>
        <w:rPr>
          <w:rStyle w:val="None"/>
          <w:rFonts w:ascii="Book Antiqua" w:eastAsia="Times New Roman" w:hAnsi="Book Antiqua" w:cs="Times New Roman"/>
          <w:b/>
          <w:bCs/>
          <w:color w:val="auto"/>
          <w:sz w:val="24"/>
          <w:szCs w:val="24"/>
          <w:u w:val="single"/>
        </w:rPr>
      </w:pPr>
    </w:p>
    <w:p w14:paraId="53D0972C" w14:textId="77777777" w:rsidR="008D0806" w:rsidRPr="00CA4C0B" w:rsidRDefault="008D0806" w:rsidP="007F2CA0">
      <w:pPr>
        <w:pStyle w:val="BodyA"/>
        <w:snapToGrid w:val="0"/>
        <w:spacing w:after="0" w:line="360" w:lineRule="auto"/>
        <w:jc w:val="both"/>
        <w:rPr>
          <w:rStyle w:val="None"/>
          <w:rFonts w:ascii="Book Antiqua" w:eastAsia="Times New Roman" w:hAnsi="Book Antiqua" w:cs="Times New Roman"/>
          <w:b/>
          <w:bCs/>
          <w:caps/>
          <w:color w:val="auto"/>
          <w:sz w:val="24"/>
          <w:szCs w:val="24"/>
          <w:u w:val="single"/>
          <w:lang w:val="de-DE"/>
        </w:rPr>
      </w:pPr>
      <w:r w:rsidRPr="00CA4C0B">
        <w:rPr>
          <w:rStyle w:val="None"/>
          <w:rFonts w:ascii="Book Antiqua" w:hAnsi="Book Antiqua"/>
          <w:b/>
          <w:bCs/>
          <w:caps/>
          <w:color w:val="auto"/>
          <w:sz w:val="24"/>
          <w:szCs w:val="24"/>
          <w:u w:val="single"/>
          <w:lang w:val="de-DE"/>
        </w:rPr>
        <w:t>ARTICLE HIGHLIGHTs</w:t>
      </w:r>
    </w:p>
    <w:p w14:paraId="04444A94" w14:textId="77777777" w:rsidR="008D0806" w:rsidRPr="00CA4C0B" w:rsidRDefault="008D0806" w:rsidP="007F2CA0">
      <w:pPr>
        <w:pStyle w:val="BodyA"/>
        <w:snapToGrid w:val="0"/>
        <w:spacing w:after="0" w:line="360" w:lineRule="auto"/>
        <w:jc w:val="both"/>
        <w:rPr>
          <w:rStyle w:val="None"/>
          <w:rFonts w:ascii="Book Antiqua" w:hAnsi="Book Antiqua"/>
          <w:b/>
          <w:i/>
          <w:color w:val="auto"/>
          <w:sz w:val="24"/>
          <w:szCs w:val="24"/>
        </w:rPr>
      </w:pPr>
      <w:r w:rsidRPr="00CA4C0B">
        <w:rPr>
          <w:rStyle w:val="None"/>
          <w:rFonts w:ascii="Book Antiqua" w:hAnsi="Book Antiqua"/>
          <w:b/>
          <w:i/>
          <w:color w:val="auto"/>
          <w:sz w:val="24"/>
          <w:szCs w:val="24"/>
        </w:rPr>
        <w:t>Research background</w:t>
      </w:r>
    </w:p>
    <w:p w14:paraId="4AEDD034" w14:textId="77777777" w:rsidR="008D0806" w:rsidRPr="00CA4C0B" w:rsidRDefault="008D0806" w:rsidP="007F2CA0">
      <w:pPr>
        <w:pStyle w:val="BodyA"/>
        <w:snapToGrid w:val="0"/>
        <w:spacing w:after="0" w:line="360" w:lineRule="auto"/>
        <w:jc w:val="both"/>
        <w:rPr>
          <w:rStyle w:val="None"/>
          <w:rFonts w:ascii="Book Antiqua" w:hAnsi="Book Antiqua"/>
          <w:color w:val="auto"/>
          <w:sz w:val="24"/>
          <w:szCs w:val="24"/>
        </w:rPr>
      </w:pPr>
      <w:r w:rsidRPr="00CA4C0B">
        <w:rPr>
          <w:rStyle w:val="None"/>
          <w:rFonts w:ascii="Book Antiqua" w:hAnsi="Book Antiqua"/>
          <w:color w:val="auto"/>
          <w:sz w:val="24"/>
          <w:szCs w:val="24"/>
        </w:rPr>
        <w:t>The structural changes of the regenerated liver are left beyond the significant i</w:t>
      </w:r>
      <w:r w:rsidRPr="00CA4C0B">
        <w:rPr>
          <w:rStyle w:val="None"/>
          <w:rFonts w:ascii="Book Antiqua" w:hAnsi="Book Antiqua"/>
          <w:color w:val="auto"/>
          <w:sz w:val="24"/>
          <w:szCs w:val="24"/>
        </w:rPr>
        <w:t>n</w:t>
      </w:r>
      <w:r w:rsidRPr="00CA4C0B">
        <w:rPr>
          <w:rStyle w:val="None"/>
          <w:rFonts w:ascii="Book Antiqua" w:hAnsi="Book Antiqua"/>
          <w:color w:val="auto"/>
          <w:sz w:val="24"/>
          <w:szCs w:val="24"/>
        </w:rPr>
        <w:t>vestigation, whereas architectural changes after re-regeneration are almost u</w:t>
      </w:r>
      <w:r w:rsidRPr="00CA4C0B">
        <w:rPr>
          <w:rStyle w:val="None"/>
          <w:rFonts w:ascii="Book Antiqua" w:hAnsi="Book Antiqua"/>
          <w:color w:val="auto"/>
          <w:sz w:val="24"/>
          <w:szCs w:val="24"/>
        </w:rPr>
        <w:t>n</w:t>
      </w:r>
      <w:r w:rsidRPr="00CA4C0B">
        <w:rPr>
          <w:rStyle w:val="None"/>
          <w:rFonts w:ascii="Book Antiqua" w:hAnsi="Book Antiqua"/>
          <w:color w:val="auto"/>
          <w:sz w:val="24"/>
          <w:szCs w:val="24"/>
        </w:rPr>
        <w:t>known.</w:t>
      </w:r>
    </w:p>
    <w:p w14:paraId="20593CD3" w14:textId="77777777" w:rsidR="008D0806" w:rsidRPr="00CA4C0B" w:rsidRDefault="008D0806" w:rsidP="007F2CA0">
      <w:pPr>
        <w:pStyle w:val="BodyA"/>
        <w:snapToGrid w:val="0"/>
        <w:spacing w:after="0" w:line="360" w:lineRule="auto"/>
        <w:jc w:val="both"/>
        <w:rPr>
          <w:rStyle w:val="None"/>
          <w:rFonts w:ascii="Book Antiqua" w:eastAsia="Times New Roman" w:hAnsi="Book Antiqua" w:cs="Times New Roman"/>
          <w:b/>
          <w:color w:val="auto"/>
          <w:sz w:val="24"/>
          <w:szCs w:val="24"/>
        </w:rPr>
      </w:pPr>
    </w:p>
    <w:p w14:paraId="1A7F2DA4" w14:textId="77777777" w:rsidR="008D0806" w:rsidRPr="00CA4C0B" w:rsidRDefault="008D0806" w:rsidP="007F2CA0">
      <w:pPr>
        <w:pStyle w:val="BodyA"/>
        <w:snapToGrid w:val="0"/>
        <w:spacing w:after="0" w:line="360" w:lineRule="auto"/>
        <w:jc w:val="both"/>
        <w:rPr>
          <w:rStyle w:val="None"/>
          <w:rFonts w:ascii="Book Antiqua" w:hAnsi="Book Antiqua"/>
          <w:b/>
          <w:i/>
          <w:color w:val="auto"/>
          <w:sz w:val="24"/>
          <w:szCs w:val="24"/>
        </w:rPr>
      </w:pPr>
      <w:r w:rsidRPr="00CA4C0B">
        <w:rPr>
          <w:rStyle w:val="None"/>
          <w:rFonts w:ascii="Book Antiqua" w:hAnsi="Book Antiqua"/>
          <w:b/>
          <w:i/>
          <w:color w:val="auto"/>
          <w:sz w:val="24"/>
          <w:szCs w:val="24"/>
        </w:rPr>
        <w:t>Research motivation</w:t>
      </w:r>
    </w:p>
    <w:p w14:paraId="1C06AEE4" w14:textId="77777777" w:rsidR="008D0806" w:rsidRPr="00CA4C0B" w:rsidRDefault="008D0806" w:rsidP="007F2CA0">
      <w:pPr>
        <w:pStyle w:val="BodyA"/>
        <w:snapToGrid w:val="0"/>
        <w:spacing w:after="0" w:line="360" w:lineRule="auto"/>
        <w:jc w:val="both"/>
        <w:rPr>
          <w:rStyle w:val="None"/>
          <w:rFonts w:ascii="Book Antiqua" w:hAnsi="Book Antiqua"/>
          <w:b/>
          <w:i/>
          <w:color w:val="auto"/>
          <w:sz w:val="24"/>
          <w:szCs w:val="24"/>
        </w:rPr>
      </w:pPr>
      <w:r w:rsidRPr="00CA4C0B">
        <w:rPr>
          <w:rStyle w:val="None"/>
          <w:rFonts w:ascii="Book Antiqua" w:hAnsi="Book Antiqua"/>
          <w:color w:val="auto"/>
          <w:sz w:val="24"/>
          <w:szCs w:val="24"/>
        </w:rPr>
        <w:t>The research motivation is to provide the possibility for detection of new lobules in regenerated liver.</w:t>
      </w:r>
    </w:p>
    <w:p w14:paraId="47703127" w14:textId="77777777" w:rsidR="008D0806" w:rsidRPr="00CA4C0B" w:rsidRDefault="008D0806" w:rsidP="007F2CA0">
      <w:pPr>
        <w:pStyle w:val="BodyA"/>
        <w:snapToGrid w:val="0"/>
        <w:spacing w:after="0" w:line="360" w:lineRule="auto"/>
        <w:jc w:val="both"/>
        <w:rPr>
          <w:rStyle w:val="None"/>
          <w:rFonts w:ascii="Book Antiqua" w:eastAsia="Times New Roman" w:hAnsi="Book Antiqua" w:cs="Times New Roman"/>
          <w:color w:val="auto"/>
          <w:sz w:val="24"/>
          <w:szCs w:val="24"/>
        </w:rPr>
      </w:pPr>
    </w:p>
    <w:p w14:paraId="361A7438" w14:textId="77777777" w:rsidR="008D0806" w:rsidRPr="00CA4C0B" w:rsidRDefault="008D0806" w:rsidP="007F2CA0">
      <w:pPr>
        <w:pStyle w:val="BodyA"/>
        <w:snapToGrid w:val="0"/>
        <w:spacing w:after="0" w:line="360" w:lineRule="auto"/>
        <w:jc w:val="both"/>
        <w:rPr>
          <w:rStyle w:val="None"/>
          <w:rFonts w:ascii="Book Antiqua" w:hAnsi="Book Antiqua"/>
          <w:b/>
          <w:i/>
          <w:color w:val="auto"/>
          <w:sz w:val="24"/>
          <w:szCs w:val="24"/>
        </w:rPr>
      </w:pPr>
      <w:r w:rsidRPr="00CA4C0B">
        <w:rPr>
          <w:rStyle w:val="None"/>
          <w:rFonts w:ascii="Book Antiqua" w:hAnsi="Book Antiqua"/>
          <w:b/>
          <w:i/>
          <w:color w:val="auto"/>
          <w:sz w:val="24"/>
          <w:szCs w:val="24"/>
        </w:rPr>
        <w:t>Research objective</w:t>
      </w:r>
    </w:p>
    <w:p w14:paraId="2FE95406" w14:textId="77777777" w:rsidR="008D0806" w:rsidRPr="00CA4C0B" w:rsidRDefault="008D0806" w:rsidP="007F2CA0">
      <w:pPr>
        <w:pStyle w:val="BodyA"/>
        <w:snapToGrid w:val="0"/>
        <w:spacing w:after="0" w:line="360" w:lineRule="auto"/>
        <w:jc w:val="both"/>
        <w:rPr>
          <w:rStyle w:val="None"/>
          <w:rFonts w:ascii="Book Antiqua" w:hAnsi="Book Antiqua"/>
          <w:color w:val="auto"/>
          <w:sz w:val="24"/>
          <w:szCs w:val="24"/>
        </w:rPr>
      </w:pPr>
      <w:r w:rsidRPr="00CA4C0B">
        <w:rPr>
          <w:rStyle w:val="None"/>
          <w:rFonts w:ascii="Book Antiqua" w:hAnsi="Book Antiqua"/>
          <w:color w:val="auto"/>
          <w:spacing w:val="-1"/>
          <w:sz w:val="24"/>
          <w:szCs w:val="24"/>
        </w:rPr>
        <w:lastRenderedPageBreak/>
        <w:t>This study aims to compare architectonics of the lobules and circulatory bed of normal, regenerated and re-regenerated livers</w:t>
      </w:r>
      <w:r w:rsidRPr="00CA4C0B">
        <w:rPr>
          <w:rStyle w:val="None"/>
          <w:rFonts w:ascii="Book Antiqua" w:hAnsi="Book Antiqua"/>
          <w:color w:val="auto"/>
          <w:sz w:val="24"/>
          <w:szCs w:val="24"/>
        </w:rPr>
        <w:t>.</w:t>
      </w:r>
    </w:p>
    <w:p w14:paraId="25492F31" w14:textId="77777777" w:rsidR="008D0806" w:rsidRPr="00CA4C0B" w:rsidRDefault="008D0806" w:rsidP="007F2CA0">
      <w:pPr>
        <w:pStyle w:val="BodyA"/>
        <w:snapToGrid w:val="0"/>
        <w:spacing w:after="0" w:line="360" w:lineRule="auto"/>
        <w:jc w:val="both"/>
        <w:rPr>
          <w:rStyle w:val="None"/>
          <w:rFonts w:ascii="Book Antiqua" w:eastAsia="Times New Roman" w:hAnsi="Book Antiqua" w:cs="Times New Roman"/>
          <w:color w:val="auto"/>
          <w:sz w:val="24"/>
          <w:szCs w:val="24"/>
        </w:rPr>
      </w:pPr>
    </w:p>
    <w:p w14:paraId="03A42972" w14:textId="77777777" w:rsidR="008D0806" w:rsidRPr="00CA4C0B" w:rsidRDefault="008D0806" w:rsidP="007F2CA0">
      <w:pPr>
        <w:pStyle w:val="BodyA"/>
        <w:snapToGrid w:val="0"/>
        <w:spacing w:after="0" w:line="360" w:lineRule="auto"/>
        <w:jc w:val="both"/>
        <w:rPr>
          <w:rStyle w:val="None"/>
          <w:rFonts w:ascii="Book Antiqua" w:hAnsi="Book Antiqua"/>
          <w:b/>
          <w:i/>
          <w:color w:val="auto"/>
          <w:sz w:val="24"/>
          <w:szCs w:val="24"/>
        </w:rPr>
      </w:pPr>
      <w:r w:rsidRPr="00CA4C0B">
        <w:rPr>
          <w:rStyle w:val="None"/>
          <w:rFonts w:ascii="Book Antiqua" w:hAnsi="Book Antiqua"/>
          <w:b/>
          <w:i/>
          <w:color w:val="auto"/>
          <w:sz w:val="24"/>
          <w:szCs w:val="24"/>
        </w:rPr>
        <w:t>Research results</w:t>
      </w:r>
    </w:p>
    <w:p w14:paraId="4BD6A832" w14:textId="42E0CA51" w:rsidR="008D0806" w:rsidRPr="00CA4C0B" w:rsidRDefault="008D0806" w:rsidP="007F2CA0">
      <w:pPr>
        <w:pStyle w:val="BodyA"/>
        <w:snapToGrid w:val="0"/>
        <w:spacing w:after="0" w:line="360" w:lineRule="auto"/>
        <w:jc w:val="both"/>
        <w:rPr>
          <w:rStyle w:val="None"/>
          <w:rFonts w:ascii="Book Antiqua" w:eastAsia="Times New Roman" w:hAnsi="Book Antiqua" w:cs="Times New Roman"/>
          <w:color w:val="auto"/>
          <w:sz w:val="24"/>
          <w:szCs w:val="24"/>
        </w:rPr>
      </w:pPr>
      <w:r w:rsidRPr="00CA4C0B">
        <w:rPr>
          <w:rStyle w:val="None"/>
          <w:rFonts w:ascii="Book Antiqua" w:eastAsia="Times New Roman" w:hAnsi="Book Antiqua" w:cs="Times New Roman"/>
          <w:color w:val="auto"/>
          <w:sz w:val="24"/>
          <w:szCs w:val="24"/>
        </w:rPr>
        <w:t xml:space="preserve">Liver regeneration after </w:t>
      </w:r>
      <w:r w:rsidR="0096762D" w:rsidRPr="00CA4C0B">
        <w:rPr>
          <w:rStyle w:val="None"/>
          <w:rFonts w:ascii="Book Antiqua" w:hAnsi="Book Antiqua"/>
          <w:color w:val="auto"/>
          <w:sz w:val="24"/>
          <w:szCs w:val="24"/>
        </w:rPr>
        <w:t>partial hepatectomy (PH)</w:t>
      </w:r>
      <w:r w:rsidR="0096762D">
        <w:rPr>
          <w:rStyle w:val="None"/>
          <w:rFonts w:ascii="Book Antiqua" w:hAnsi="Book Antiqua"/>
          <w:color w:val="auto"/>
          <w:sz w:val="24"/>
          <w:szCs w:val="24"/>
        </w:rPr>
        <w:t xml:space="preserve"> </w:t>
      </w:r>
      <w:r w:rsidRPr="00CA4C0B">
        <w:rPr>
          <w:rStyle w:val="None"/>
          <w:rFonts w:ascii="Book Antiqua" w:eastAsia="Times New Roman" w:hAnsi="Book Antiqua" w:cs="Times New Roman"/>
          <w:color w:val="auto"/>
          <w:sz w:val="24"/>
          <w:szCs w:val="24"/>
        </w:rPr>
        <w:t>as well as its re-regeneration after repeated PH is based on both - increase in size of hepatocytes and remode</w:t>
      </w:r>
      <w:r w:rsidRPr="00CA4C0B">
        <w:rPr>
          <w:rStyle w:val="None"/>
          <w:rFonts w:ascii="Book Antiqua" w:eastAsia="Times New Roman" w:hAnsi="Book Antiqua" w:cs="Times New Roman"/>
          <w:color w:val="auto"/>
          <w:sz w:val="24"/>
          <w:szCs w:val="24"/>
        </w:rPr>
        <w:t>l</w:t>
      </w:r>
      <w:r w:rsidRPr="00CA4C0B">
        <w:rPr>
          <w:rStyle w:val="None"/>
          <w:rFonts w:ascii="Book Antiqua" w:eastAsia="Times New Roman" w:hAnsi="Book Antiqua" w:cs="Times New Roman"/>
          <w:color w:val="auto"/>
          <w:sz w:val="24"/>
          <w:szCs w:val="24"/>
        </w:rPr>
        <w:t xml:space="preserve">ing of liver lobules. The last is accompanied with transformation of meshwork of the dilated sinusoids. </w:t>
      </w:r>
      <w:r w:rsidRPr="00CA4C0B">
        <w:rPr>
          <w:rStyle w:val="None"/>
          <w:rFonts w:ascii="Book Antiqua" w:hAnsi="Book Antiqua"/>
          <w:color w:val="auto"/>
          <w:sz w:val="24"/>
          <w:szCs w:val="24"/>
        </w:rPr>
        <w:t>Besides the space between lobules are widened and filled with connective tissue.</w:t>
      </w:r>
      <w:r w:rsidRPr="00CA4C0B">
        <w:rPr>
          <w:rStyle w:val="None"/>
          <w:rFonts w:ascii="Book Antiqua" w:eastAsia="Times New Roman" w:hAnsi="Book Antiqua" w:cs="Times New Roman"/>
          <w:color w:val="auto"/>
          <w:sz w:val="24"/>
          <w:szCs w:val="24"/>
        </w:rPr>
        <w:t xml:space="preserve"> Regenerated and re-regenerated livers are featured by the ductular reaction.</w:t>
      </w:r>
    </w:p>
    <w:p w14:paraId="04FF5F55" w14:textId="77777777" w:rsidR="008D0806" w:rsidRPr="00CA4C0B" w:rsidRDefault="008D0806" w:rsidP="007F2CA0">
      <w:pPr>
        <w:pStyle w:val="BodyA"/>
        <w:snapToGrid w:val="0"/>
        <w:spacing w:after="0" w:line="360" w:lineRule="auto"/>
        <w:jc w:val="both"/>
        <w:rPr>
          <w:rStyle w:val="None"/>
          <w:rFonts w:ascii="Book Antiqua" w:eastAsia="Times New Roman" w:hAnsi="Book Antiqua" w:cs="Times New Roman"/>
          <w:color w:val="auto"/>
          <w:sz w:val="24"/>
          <w:szCs w:val="24"/>
          <w:u w:val="single"/>
        </w:rPr>
      </w:pPr>
    </w:p>
    <w:p w14:paraId="53F8F933" w14:textId="77777777" w:rsidR="008D0806" w:rsidRPr="00CA4C0B" w:rsidRDefault="008D0806" w:rsidP="007F2CA0">
      <w:pPr>
        <w:pStyle w:val="BodyA"/>
        <w:snapToGrid w:val="0"/>
        <w:spacing w:after="0" w:line="360" w:lineRule="auto"/>
        <w:jc w:val="both"/>
        <w:rPr>
          <w:rStyle w:val="None"/>
          <w:rFonts w:ascii="Book Antiqua" w:hAnsi="Book Antiqua"/>
          <w:b/>
          <w:i/>
          <w:color w:val="auto"/>
          <w:sz w:val="24"/>
          <w:szCs w:val="24"/>
        </w:rPr>
      </w:pPr>
      <w:r w:rsidRPr="00CA4C0B">
        <w:rPr>
          <w:rStyle w:val="None"/>
          <w:rFonts w:ascii="Book Antiqua" w:hAnsi="Book Antiqua"/>
          <w:b/>
          <w:i/>
          <w:color w:val="auto"/>
          <w:sz w:val="24"/>
          <w:szCs w:val="24"/>
        </w:rPr>
        <w:t>Research conclusions</w:t>
      </w:r>
    </w:p>
    <w:p w14:paraId="117CF1A5" w14:textId="77777777" w:rsidR="008D0806" w:rsidRPr="00CA4C0B" w:rsidRDefault="008D0806" w:rsidP="007F2CA0">
      <w:pPr>
        <w:pStyle w:val="BodyA"/>
        <w:snapToGrid w:val="0"/>
        <w:spacing w:after="0" w:line="360" w:lineRule="auto"/>
        <w:jc w:val="both"/>
        <w:rPr>
          <w:rStyle w:val="None"/>
          <w:rFonts w:ascii="Book Antiqua" w:hAnsi="Book Antiqua"/>
          <w:color w:val="auto"/>
          <w:sz w:val="24"/>
          <w:szCs w:val="24"/>
        </w:rPr>
      </w:pPr>
      <w:r w:rsidRPr="00CA4C0B">
        <w:rPr>
          <w:rStyle w:val="None"/>
          <w:rFonts w:ascii="Book Antiqua" w:hAnsi="Book Antiqua"/>
          <w:color w:val="auto"/>
          <w:sz w:val="24"/>
          <w:szCs w:val="24"/>
        </w:rPr>
        <w:t xml:space="preserve">The </w:t>
      </w:r>
      <w:proofErr w:type="spellStart"/>
      <w:r w:rsidRPr="00CA4C0B">
        <w:rPr>
          <w:rStyle w:val="None"/>
          <w:rFonts w:ascii="Book Antiqua" w:hAnsi="Book Antiqua"/>
          <w:color w:val="auto"/>
          <w:sz w:val="24"/>
          <w:szCs w:val="24"/>
        </w:rPr>
        <w:t>lobulli</w:t>
      </w:r>
      <w:proofErr w:type="spellEnd"/>
      <w:r w:rsidRPr="00CA4C0B">
        <w:rPr>
          <w:rStyle w:val="None"/>
          <w:rFonts w:ascii="Book Antiqua" w:hAnsi="Book Antiqua"/>
          <w:color w:val="auto"/>
          <w:sz w:val="24"/>
          <w:szCs w:val="24"/>
        </w:rPr>
        <w:t xml:space="preserve"> of the regenerated and re-regenerated livers in comparison with no</w:t>
      </w:r>
      <w:r w:rsidRPr="00CA4C0B">
        <w:rPr>
          <w:rStyle w:val="None"/>
          <w:rFonts w:ascii="Book Antiqua" w:hAnsi="Book Antiqua"/>
          <w:color w:val="auto"/>
          <w:sz w:val="24"/>
          <w:szCs w:val="24"/>
        </w:rPr>
        <w:t>r</w:t>
      </w:r>
      <w:r w:rsidRPr="00CA4C0B">
        <w:rPr>
          <w:rStyle w:val="None"/>
          <w:rFonts w:ascii="Book Antiqua" w:hAnsi="Book Antiqua"/>
          <w:color w:val="auto"/>
          <w:sz w:val="24"/>
          <w:szCs w:val="24"/>
        </w:rPr>
        <w:t xml:space="preserve">mal liver are remodeled. The remodeling is based on the hypertrophy of the hepatocytes with increased ploidy and transformation of sinusoidal and biliary </w:t>
      </w:r>
      <w:proofErr w:type="spellStart"/>
      <w:r w:rsidRPr="00CA4C0B">
        <w:rPr>
          <w:rStyle w:val="None"/>
          <w:rFonts w:ascii="Book Antiqua" w:hAnsi="Book Antiqua"/>
          <w:color w:val="auto"/>
          <w:sz w:val="24"/>
          <w:szCs w:val="24"/>
        </w:rPr>
        <w:t>meshworks</w:t>
      </w:r>
      <w:proofErr w:type="spellEnd"/>
      <w:r w:rsidRPr="00CA4C0B">
        <w:rPr>
          <w:rStyle w:val="None"/>
          <w:rFonts w:ascii="Book Antiqua" w:hAnsi="Book Antiqua"/>
          <w:color w:val="auto"/>
          <w:sz w:val="24"/>
          <w:szCs w:val="24"/>
        </w:rPr>
        <w:t xml:space="preserve">. </w:t>
      </w:r>
    </w:p>
    <w:p w14:paraId="014F11CD" w14:textId="77777777" w:rsidR="008D0806" w:rsidRPr="00CA4C0B" w:rsidRDefault="008D0806" w:rsidP="007F2CA0">
      <w:pPr>
        <w:pStyle w:val="BodyA"/>
        <w:snapToGrid w:val="0"/>
        <w:spacing w:after="0" w:line="360" w:lineRule="auto"/>
        <w:jc w:val="both"/>
        <w:rPr>
          <w:rStyle w:val="None"/>
          <w:rFonts w:ascii="Book Antiqua" w:eastAsia="Times New Roman" w:hAnsi="Book Antiqua" w:cs="Times New Roman"/>
          <w:color w:val="auto"/>
          <w:sz w:val="24"/>
          <w:szCs w:val="24"/>
          <w:u w:val="single"/>
        </w:rPr>
      </w:pPr>
    </w:p>
    <w:p w14:paraId="516A8431" w14:textId="77777777" w:rsidR="008D0806" w:rsidRPr="00CA4C0B" w:rsidRDefault="008D0806" w:rsidP="007F2CA0">
      <w:pPr>
        <w:pStyle w:val="BodyA"/>
        <w:snapToGrid w:val="0"/>
        <w:spacing w:after="0" w:line="360" w:lineRule="auto"/>
        <w:jc w:val="both"/>
        <w:rPr>
          <w:rStyle w:val="None"/>
          <w:rFonts w:ascii="Book Antiqua" w:hAnsi="Book Antiqua"/>
          <w:b/>
          <w:i/>
          <w:color w:val="auto"/>
          <w:sz w:val="24"/>
          <w:szCs w:val="24"/>
          <w:shd w:val="clear" w:color="auto" w:fill="FFFFFF"/>
        </w:rPr>
      </w:pPr>
      <w:r w:rsidRPr="00CA4C0B">
        <w:rPr>
          <w:rStyle w:val="None"/>
          <w:rFonts w:ascii="Book Antiqua" w:hAnsi="Book Antiqua"/>
          <w:b/>
          <w:i/>
          <w:color w:val="auto"/>
          <w:sz w:val="24"/>
          <w:szCs w:val="24"/>
          <w:shd w:val="clear" w:color="auto" w:fill="FFFFFF"/>
        </w:rPr>
        <w:t>Research perspectives</w:t>
      </w:r>
    </w:p>
    <w:p w14:paraId="7E5E37C5" w14:textId="0E165635" w:rsidR="008D0806" w:rsidRPr="00CA4C0B" w:rsidRDefault="008D0806"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Further studies are planned to investigate the involvement of stem cells in liver re-regeneration processes, which currently represent a gap in knowledge; It is also planned to compare the morphological features of the liver regeneration fo</w:t>
      </w:r>
      <w:r w:rsidRPr="00CA4C0B">
        <w:rPr>
          <w:rStyle w:val="None"/>
          <w:rFonts w:ascii="Book Antiqua" w:hAnsi="Book Antiqua"/>
          <w:color w:val="auto"/>
          <w:sz w:val="24"/>
          <w:szCs w:val="24"/>
        </w:rPr>
        <w:t>l</w:t>
      </w:r>
      <w:r w:rsidRPr="00CA4C0B">
        <w:rPr>
          <w:rStyle w:val="None"/>
          <w:rFonts w:ascii="Book Antiqua" w:hAnsi="Book Antiqua"/>
          <w:color w:val="auto"/>
          <w:sz w:val="24"/>
          <w:szCs w:val="24"/>
        </w:rPr>
        <w:t xml:space="preserve">lowing the </w:t>
      </w:r>
      <w:r w:rsidR="00F24841" w:rsidRPr="00CA4C0B">
        <w:rPr>
          <w:rStyle w:val="None"/>
          <w:rFonts w:ascii="Book Antiqua" w:hAnsi="Book Antiqua"/>
          <w:color w:val="auto"/>
          <w:sz w:val="24"/>
          <w:szCs w:val="24"/>
        </w:rPr>
        <w:t>PH</w:t>
      </w:r>
      <w:r w:rsidR="0020208E">
        <w:rPr>
          <w:rStyle w:val="None"/>
          <w:rFonts w:ascii="Book Antiqua" w:hAnsi="Book Antiqua"/>
          <w:color w:val="auto"/>
          <w:sz w:val="24"/>
          <w:szCs w:val="24"/>
        </w:rPr>
        <w:t xml:space="preserve"> </w:t>
      </w:r>
      <w:r w:rsidRPr="00CA4C0B">
        <w:rPr>
          <w:rStyle w:val="None"/>
          <w:rFonts w:ascii="Book Antiqua" w:hAnsi="Book Antiqua"/>
          <w:color w:val="auto"/>
          <w:sz w:val="24"/>
          <w:szCs w:val="24"/>
        </w:rPr>
        <w:t>with the regeneration of the transplanted liver of the same size, given that the transplanted liver has impaired innervation and lymphatic drai</w:t>
      </w:r>
      <w:r w:rsidRPr="00CA4C0B">
        <w:rPr>
          <w:rStyle w:val="None"/>
          <w:rFonts w:ascii="Book Antiqua" w:hAnsi="Book Antiqua"/>
          <w:color w:val="auto"/>
          <w:sz w:val="24"/>
          <w:szCs w:val="24"/>
        </w:rPr>
        <w:t>n</w:t>
      </w:r>
      <w:r w:rsidRPr="00CA4C0B">
        <w:rPr>
          <w:rStyle w:val="None"/>
          <w:rFonts w:ascii="Book Antiqua" w:hAnsi="Book Antiqua"/>
          <w:color w:val="auto"/>
          <w:sz w:val="24"/>
          <w:szCs w:val="24"/>
        </w:rPr>
        <w:t>age.</w:t>
      </w:r>
    </w:p>
    <w:p w14:paraId="29BB2277" w14:textId="7CB9C756" w:rsidR="00A378BB" w:rsidRPr="00CA4C0B" w:rsidRDefault="00A378BB" w:rsidP="007F2CA0">
      <w:pPr>
        <w:pStyle w:val="BodyA"/>
        <w:snapToGrid w:val="0"/>
        <w:spacing w:after="0" w:line="360" w:lineRule="auto"/>
        <w:jc w:val="both"/>
        <w:rPr>
          <w:rStyle w:val="None"/>
          <w:rFonts w:ascii="Book Antiqua" w:eastAsia="Times New Roman" w:hAnsi="Book Antiqua" w:cs="Times New Roman"/>
          <w:b/>
          <w:bCs/>
          <w:color w:val="auto"/>
          <w:sz w:val="24"/>
          <w:szCs w:val="24"/>
        </w:rPr>
      </w:pPr>
    </w:p>
    <w:p w14:paraId="7E212B25" w14:textId="3103E769" w:rsidR="00A378BB" w:rsidRPr="00CA4C0B" w:rsidRDefault="00250968" w:rsidP="007F2CA0">
      <w:pPr>
        <w:pStyle w:val="BodyA"/>
        <w:snapToGrid w:val="0"/>
        <w:spacing w:after="0" w:line="360" w:lineRule="auto"/>
        <w:jc w:val="both"/>
        <w:rPr>
          <w:rStyle w:val="None"/>
          <w:rFonts w:ascii="Book Antiqua" w:eastAsia="Times New Roman" w:hAnsi="Book Antiqua" w:cs="Times New Roman"/>
          <w:b/>
          <w:bCs/>
          <w:color w:val="auto"/>
          <w:sz w:val="24"/>
          <w:szCs w:val="24"/>
        </w:rPr>
      </w:pPr>
      <w:r w:rsidRPr="00CA4C0B">
        <w:rPr>
          <w:rStyle w:val="None"/>
          <w:rFonts w:ascii="Book Antiqua" w:eastAsia="Times New Roman" w:hAnsi="Book Antiqua" w:cs="Times New Roman"/>
          <w:b/>
          <w:bCs/>
          <w:color w:val="auto"/>
          <w:sz w:val="24"/>
          <w:szCs w:val="24"/>
        </w:rPr>
        <w:t>REFERENCES</w:t>
      </w:r>
      <w:r w:rsidR="009C68F8" w:rsidRPr="00CA4C0B">
        <w:rPr>
          <w:rStyle w:val="None"/>
          <w:rFonts w:ascii="Book Antiqua" w:eastAsia="Times New Roman" w:hAnsi="Book Antiqua" w:cs="Times New Roman"/>
          <w:b/>
          <w:bCs/>
          <w:color w:val="auto"/>
          <w:sz w:val="24"/>
          <w:szCs w:val="24"/>
        </w:rPr>
        <w:t xml:space="preserve"> </w:t>
      </w:r>
    </w:p>
    <w:p w14:paraId="726967C3"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1 </w:t>
      </w:r>
      <w:r w:rsidRPr="00611B67">
        <w:rPr>
          <w:rFonts w:ascii="Book Antiqua" w:eastAsia="宋体" w:hAnsi="Book Antiqua"/>
          <w:b/>
          <w:kern w:val="2"/>
          <w:bdr w:val="none" w:sz="0" w:space="0" w:color="auto"/>
          <w:lang w:eastAsia="zh-CN"/>
        </w:rPr>
        <w:t>Wen PH</w:t>
      </w:r>
      <w:r w:rsidRPr="00611B67">
        <w:rPr>
          <w:rFonts w:ascii="Book Antiqua" w:eastAsia="宋体" w:hAnsi="Book Antiqua"/>
          <w:kern w:val="2"/>
          <w:bdr w:val="none" w:sz="0" w:space="0" w:color="auto"/>
          <w:lang w:eastAsia="zh-CN"/>
        </w:rPr>
        <w:t xml:space="preserve">, Lin KH, Chen YL, Hsieh CE, </w:t>
      </w:r>
      <w:proofErr w:type="spellStart"/>
      <w:r w:rsidRPr="00611B67">
        <w:rPr>
          <w:rFonts w:ascii="Book Antiqua" w:eastAsia="宋体" w:hAnsi="Book Antiqua"/>
          <w:kern w:val="2"/>
          <w:bdr w:val="none" w:sz="0" w:space="0" w:color="auto"/>
          <w:lang w:eastAsia="zh-CN"/>
        </w:rPr>
        <w:t>Ko</w:t>
      </w:r>
      <w:proofErr w:type="spellEnd"/>
      <w:r w:rsidRPr="00611B67">
        <w:rPr>
          <w:rFonts w:ascii="Book Antiqua" w:eastAsia="宋体" w:hAnsi="Book Antiqua"/>
          <w:kern w:val="2"/>
          <w:bdr w:val="none" w:sz="0" w:space="0" w:color="auto"/>
          <w:lang w:eastAsia="zh-CN"/>
        </w:rPr>
        <w:t xml:space="preserve"> CJ, </w:t>
      </w:r>
      <w:proofErr w:type="spellStart"/>
      <w:r w:rsidRPr="00611B67">
        <w:rPr>
          <w:rFonts w:ascii="Book Antiqua" w:eastAsia="宋体" w:hAnsi="Book Antiqua"/>
          <w:kern w:val="2"/>
          <w:bdr w:val="none" w:sz="0" w:space="0" w:color="auto"/>
          <w:lang w:eastAsia="zh-CN"/>
        </w:rPr>
        <w:t>Kuo</w:t>
      </w:r>
      <w:proofErr w:type="spellEnd"/>
      <w:r w:rsidRPr="00611B67">
        <w:rPr>
          <w:rFonts w:ascii="Book Antiqua" w:eastAsia="宋体" w:hAnsi="Book Antiqua"/>
          <w:kern w:val="2"/>
          <w:bdr w:val="none" w:sz="0" w:space="0" w:color="auto"/>
          <w:lang w:eastAsia="zh-CN"/>
        </w:rPr>
        <w:t xml:space="preserve"> SJ. Extracorporeal hepatic resection and </w:t>
      </w:r>
      <w:proofErr w:type="spellStart"/>
      <w:r w:rsidRPr="00611B67">
        <w:rPr>
          <w:rFonts w:ascii="Book Antiqua" w:eastAsia="宋体" w:hAnsi="Book Antiqua"/>
          <w:kern w:val="2"/>
          <w:bdr w:val="none" w:sz="0" w:space="0" w:color="auto"/>
          <w:lang w:eastAsia="zh-CN"/>
        </w:rPr>
        <w:t>autotransplantation</w:t>
      </w:r>
      <w:proofErr w:type="spellEnd"/>
      <w:r w:rsidRPr="00611B67">
        <w:rPr>
          <w:rFonts w:ascii="Book Antiqua" w:eastAsia="宋体" w:hAnsi="Book Antiqua"/>
          <w:kern w:val="2"/>
          <w:bdr w:val="none" w:sz="0" w:space="0" w:color="auto"/>
          <w:lang w:eastAsia="zh-CN"/>
        </w:rPr>
        <w:t xml:space="preserve"> using temporary </w:t>
      </w:r>
      <w:proofErr w:type="spellStart"/>
      <w:r w:rsidRPr="00611B67">
        <w:rPr>
          <w:rFonts w:ascii="Book Antiqua" w:eastAsia="宋体" w:hAnsi="Book Antiqua"/>
          <w:kern w:val="2"/>
          <w:bdr w:val="none" w:sz="0" w:space="0" w:color="auto"/>
          <w:lang w:eastAsia="zh-CN"/>
        </w:rPr>
        <w:t>portocaval</w:t>
      </w:r>
      <w:proofErr w:type="spellEnd"/>
      <w:r w:rsidRPr="00611B67">
        <w:rPr>
          <w:rFonts w:ascii="Book Antiqua" w:eastAsia="宋体" w:hAnsi="Book Antiqua"/>
          <w:kern w:val="2"/>
          <w:bdr w:val="none" w:sz="0" w:space="0" w:color="auto"/>
          <w:lang w:eastAsia="zh-CN"/>
        </w:rPr>
        <w:t xml:space="preserve"> shunt provides an improved solution for conventionally unresectable HCC. </w:t>
      </w:r>
      <w:r w:rsidRPr="00611B67">
        <w:rPr>
          <w:rFonts w:ascii="Book Antiqua" w:eastAsia="宋体" w:hAnsi="Book Antiqua"/>
          <w:i/>
          <w:kern w:val="2"/>
          <w:bdr w:val="none" w:sz="0" w:space="0" w:color="auto"/>
          <w:lang w:eastAsia="zh-CN"/>
        </w:rPr>
        <w:t>Dig Dis Sci</w:t>
      </w:r>
      <w:r w:rsidRPr="00611B67">
        <w:rPr>
          <w:rFonts w:ascii="Book Antiqua" w:eastAsia="宋体" w:hAnsi="Book Antiqua"/>
          <w:kern w:val="2"/>
          <w:bdr w:val="none" w:sz="0" w:space="0" w:color="auto"/>
          <w:lang w:eastAsia="zh-CN"/>
        </w:rPr>
        <w:t xml:space="preserve"> 2013; </w:t>
      </w:r>
      <w:r w:rsidRPr="00611B67">
        <w:rPr>
          <w:rFonts w:ascii="Book Antiqua" w:eastAsia="宋体" w:hAnsi="Book Antiqua"/>
          <w:b/>
          <w:kern w:val="2"/>
          <w:bdr w:val="none" w:sz="0" w:space="0" w:color="auto"/>
          <w:lang w:eastAsia="zh-CN"/>
        </w:rPr>
        <w:t>58</w:t>
      </w:r>
      <w:r w:rsidRPr="00611B67">
        <w:rPr>
          <w:rFonts w:ascii="Book Antiqua" w:eastAsia="宋体" w:hAnsi="Book Antiqua"/>
          <w:kern w:val="2"/>
          <w:bdr w:val="none" w:sz="0" w:space="0" w:color="auto"/>
          <w:lang w:eastAsia="zh-CN"/>
        </w:rPr>
        <w:t xml:space="preserve">: </w:t>
      </w:r>
      <w:r w:rsidRPr="00611B67">
        <w:rPr>
          <w:rFonts w:ascii="Book Antiqua" w:eastAsia="宋体" w:hAnsi="Book Antiqua"/>
          <w:kern w:val="2"/>
          <w:bdr w:val="none" w:sz="0" w:space="0" w:color="auto"/>
          <w:lang w:eastAsia="zh-CN"/>
        </w:rPr>
        <w:lastRenderedPageBreak/>
        <w:t>3637-3640 [PMID: 23918151 DOI: 10.1007/s10620-013-2801-z]</w:t>
      </w:r>
    </w:p>
    <w:p w14:paraId="50BE97AE"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2 </w:t>
      </w:r>
      <w:r w:rsidRPr="00611B67">
        <w:rPr>
          <w:rFonts w:ascii="Book Antiqua" w:eastAsia="宋体" w:hAnsi="Book Antiqua"/>
          <w:b/>
          <w:kern w:val="2"/>
          <w:bdr w:val="none" w:sz="0" w:space="0" w:color="auto"/>
          <w:lang w:eastAsia="zh-CN"/>
        </w:rPr>
        <w:t>Zhang GQ</w:t>
      </w:r>
      <w:r w:rsidRPr="00611B67">
        <w:rPr>
          <w:rFonts w:ascii="Book Antiqua" w:eastAsia="宋体" w:hAnsi="Book Antiqua"/>
          <w:kern w:val="2"/>
          <w:bdr w:val="none" w:sz="0" w:space="0" w:color="auto"/>
          <w:lang w:eastAsia="zh-CN"/>
        </w:rPr>
        <w:t>, Zhang ZW, Lau WY, Chen XP. Associating liver partition and po</w:t>
      </w:r>
      <w:r w:rsidRPr="00611B67">
        <w:rPr>
          <w:rFonts w:ascii="Book Antiqua" w:eastAsia="宋体" w:hAnsi="Book Antiqua"/>
          <w:kern w:val="2"/>
          <w:bdr w:val="none" w:sz="0" w:space="0" w:color="auto"/>
          <w:lang w:eastAsia="zh-CN"/>
        </w:rPr>
        <w:t>r</w:t>
      </w:r>
      <w:r w:rsidRPr="00611B67">
        <w:rPr>
          <w:rFonts w:ascii="Book Antiqua" w:eastAsia="宋体" w:hAnsi="Book Antiqua"/>
          <w:kern w:val="2"/>
          <w:bdr w:val="none" w:sz="0" w:space="0" w:color="auto"/>
          <w:lang w:eastAsia="zh-CN"/>
        </w:rPr>
        <w:t xml:space="preserve">tal vein ligation for staged hepatectomy (ALPPS): a new strategy to increase </w:t>
      </w:r>
      <w:proofErr w:type="spellStart"/>
      <w:r w:rsidRPr="00611B67">
        <w:rPr>
          <w:rFonts w:ascii="Book Antiqua" w:eastAsia="宋体" w:hAnsi="Book Antiqua"/>
          <w:kern w:val="2"/>
          <w:bdr w:val="none" w:sz="0" w:space="0" w:color="auto"/>
          <w:lang w:eastAsia="zh-CN"/>
        </w:rPr>
        <w:t>r</w:t>
      </w:r>
      <w:r w:rsidRPr="00611B67">
        <w:rPr>
          <w:rFonts w:ascii="Book Antiqua" w:eastAsia="宋体" w:hAnsi="Book Antiqua"/>
          <w:kern w:val="2"/>
          <w:bdr w:val="none" w:sz="0" w:space="0" w:color="auto"/>
          <w:lang w:eastAsia="zh-CN"/>
        </w:rPr>
        <w:t>e</w:t>
      </w:r>
      <w:r w:rsidRPr="00611B67">
        <w:rPr>
          <w:rFonts w:ascii="Book Antiqua" w:eastAsia="宋体" w:hAnsi="Book Antiqua"/>
          <w:kern w:val="2"/>
          <w:bdr w:val="none" w:sz="0" w:space="0" w:color="auto"/>
          <w:lang w:eastAsia="zh-CN"/>
        </w:rPr>
        <w:t>sectability</w:t>
      </w:r>
      <w:proofErr w:type="spellEnd"/>
      <w:r w:rsidRPr="00611B67">
        <w:rPr>
          <w:rFonts w:ascii="Book Antiqua" w:eastAsia="宋体" w:hAnsi="Book Antiqua"/>
          <w:kern w:val="2"/>
          <w:bdr w:val="none" w:sz="0" w:space="0" w:color="auto"/>
          <w:lang w:eastAsia="zh-CN"/>
        </w:rPr>
        <w:t xml:space="preserve"> in liver surgery. </w:t>
      </w:r>
      <w:r w:rsidRPr="00611B67">
        <w:rPr>
          <w:rFonts w:ascii="Book Antiqua" w:eastAsia="宋体" w:hAnsi="Book Antiqua"/>
          <w:i/>
          <w:kern w:val="2"/>
          <w:bdr w:val="none" w:sz="0" w:space="0" w:color="auto"/>
          <w:lang w:eastAsia="zh-CN"/>
        </w:rPr>
        <w:t>Int J Surg</w:t>
      </w:r>
      <w:r w:rsidRPr="00611B67">
        <w:rPr>
          <w:rFonts w:ascii="Book Antiqua" w:eastAsia="宋体" w:hAnsi="Book Antiqua"/>
          <w:kern w:val="2"/>
          <w:bdr w:val="none" w:sz="0" w:space="0" w:color="auto"/>
          <w:lang w:eastAsia="zh-CN"/>
        </w:rPr>
        <w:t xml:space="preserve"> 2014; </w:t>
      </w:r>
      <w:r w:rsidRPr="00611B67">
        <w:rPr>
          <w:rFonts w:ascii="Book Antiqua" w:eastAsia="宋体" w:hAnsi="Book Antiqua"/>
          <w:b/>
          <w:kern w:val="2"/>
          <w:bdr w:val="none" w:sz="0" w:space="0" w:color="auto"/>
          <w:lang w:eastAsia="zh-CN"/>
        </w:rPr>
        <w:t>12</w:t>
      </w:r>
      <w:r w:rsidRPr="00611B67">
        <w:rPr>
          <w:rFonts w:ascii="Book Antiqua" w:eastAsia="宋体" w:hAnsi="Book Antiqua"/>
          <w:kern w:val="2"/>
          <w:bdr w:val="none" w:sz="0" w:space="0" w:color="auto"/>
          <w:lang w:eastAsia="zh-CN"/>
        </w:rPr>
        <w:t>: 437-441 [PMID: 24704086 DOI: 10.1016/j.ijsu.2014.03.009]</w:t>
      </w:r>
    </w:p>
    <w:p w14:paraId="3ACDC128"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3 </w:t>
      </w:r>
      <w:r w:rsidRPr="00611B67">
        <w:rPr>
          <w:rFonts w:ascii="Book Antiqua" w:eastAsia="宋体" w:hAnsi="Book Antiqua"/>
          <w:b/>
          <w:kern w:val="2"/>
          <w:bdr w:val="none" w:sz="0" w:space="0" w:color="auto"/>
          <w:lang w:eastAsia="zh-CN"/>
        </w:rPr>
        <w:t>Sharma A</w:t>
      </w:r>
      <w:r w:rsidRPr="00611B67">
        <w:rPr>
          <w:rFonts w:ascii="Book Antiqua" w:eastAsia="宋体" w:hAnsi="Book Antiqua"/>
          <w:kern w:val="2"/>
          <w:bdr w:val="none" w:sz="0" w:space="0" w:color="auto"/>
          <w:lang w:eastAsia="zh-CN"/>
        </w:rPr>
        <w:t xml:space="preserve">, Ashworth A, </w:t>
      </w:r>
      <w:proofErr w:type="spellStart"/>
      <w:r w:rsidRPr="00611B67">
        <w:rPr>
          <w:rFonts w:ascii="Book Antiqua" w:eastAsia="宋体" w:hAnsi="Book Antiqua"/>
          <w:kern w:val="2"/>
          <w:bdr w:val="none" w:sz="0" w:space="0" w:color="auto"/>
          <w:lang w:eastAsia="zh-CN"/>
        </w:rPr>
        <w:t>Behnke</w:t>
      </w:r>
      <w:proofErr w:type="spellEnd"/>
      <w:r w:rsidRPr="00611B67">
        <w:rPr>
          <w:rFonts w:ascii="Book Antiqua" w:eastAsia="宋体" w:hAnsi="Book Antiqua"/>
          <w:kern w:val="2"/>
          <w:bdr w:val="none" w:sz="0" w:space="0" w:color="auto"/>
          <w:lang w:eastAsia="zh-CN"/>
        </w:rPr>
        <w:t xml:space="preserve"> M, </w:t>
      </w:r>
      <w:proofErr w:type="spellStart"/>
      <w:r w:rsidRPr="00611B67">
        <w:rPr>
          <w:rFonts w:ascii="Book Antiqua" w:eastAsia="宋体" w:hAnsi="Book Antiqua"/>
          <w:kern w:val="2"/>
          <w:bdr w:val="none" w:sz="0" w:space="0" w:color="auto"/>
          <w:lang w:eastAsia="zh-CN"/>
        </w:rPr>
        <w:t>Cotterell</w:t>
      </w:r>
      <w:proofErr w:type="spellEnd"/>
      <w:r w:rsidRPr="00611B67">
        <w:rPr>
          <w:rFonts w:ascii="Book Antiqua" w:eastAsia="宋体" w:hAnsi="Book Antiqua"/>
          <w:kern w:val="2"/>
          <w:bdr w:val="none" w:sz="0" w:space="0" w:color="auto"/>
          <w:lang w:eastAsia="zh-CN"/>
        </w:rPr>
        <w:t xml:space="preserve"> A, Posner M, Fisher RA. Donor selection for adult-to-adult living donor liver transplantation: well begun is half done. </w:t>
      </w:r>
      <w:r w:rsidRPr="00611B67">
        <w:rPr>
          <w:rFonts w:ascii="Book Antiqua" w:eastAsia="宋体" w:hAnsi="Book Antiqua"/>
          <w:i/>
          <w:kern w:val="2"/>
          <w:bdr w:val="none" w:sz="0" w:space="0" w:color="auto"/>
          <w:lang w:eastAsia="zh-CN"/>
        </w:rPr>
        <w:t>Transplantation</w:t>
      </w:r>
      <w:r w:rsidRPr="00611B67">
        <w:rPr>
          <w:rFonts w:ascii="Book Antiqua" w:eastAsia="宋体" w:hAnsi="Book Antiqua"/>
          <w:kern w:val="2"/>
          <w:bdr w:val="none" w:sz="0" w:space="0" w:color="auto"/>
          <w:lang w:eastAsia="zh-CN"/>
        </w:rPr>
        <w:t xml:space="preserve"> 2013; </w:t>
      </w:r>
      <w:r w:rsidRPr="00611B67">
        <w:rPr>
          <w:rFonts w:ascii="Book Antiqua" w:eastAsia="宋体" w:hAnsi="Book Antiqua"/>
          <w:b/>
          <w:kern w:val="2"/>
          <w:bdr w:val="none" w:sz="0" w:space="0" w:color="auto"/>
          <w:lang w:eastAsia="zh-CN"/>
        </w:rPr>
        <w:t>95</w:t>
      </w:r>
      <w:r w:rsidRPr="00611B67">
        <w:rPr>
          <w:rFonts w:ascii="Book Antiqua" w:eastAsia="宋体" w:hAnsi="Book Antiqua"/>
          <w:kern w:val="2"/>
          <w:bdr w:val="none" w:sz="0" w:space="0" w:color="auto"/>
          <w:lang w:eastAsia="zh-CN"/>
        </w:rPr>
        <w:t>: 501-506 [PMID: 23128999 DOI: 10.1097/TP.0b013e318274aba1]</w:t>
      </w:r>
    </w:p>
    <w:p w14:paraId="0277F84C"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4 </w:t>
      </w:r>
      <w:proofErr w:type="spellStart"/>
      <w:r w:rsidRPr="00611B67">
        <w:rPr>
          <w:rFonts w:ascii="Book Antiqua" w:eastAsia="宋体" w:hAnsi="Book Antiqua"/>
          <w:b/>
          <w:kern w:val="2"/>
          <w:bdr w:val="none" w:sz="0" w:space="0" w:color="auto"/>
          <w:lang w:eastAsia="zh-CN"/>
        </w:rPr>
        <w:t>Irie</w:t>
      </w:r>
      <w:proofErr w:type="spellEnd"/>
      <w:r w:rsidRPr="00611B67">
        <w:rPr>
          <w:rFonts w:ascii="Book Antiqua" w:eastAsia="宋体" w:hAnsi="Book Antiqua"/>
          <w:b/>
          <w:kern w:val="2"/>
          <w:bdr w:val="none" w:sz="0" w:space="0" w:color="auto"/>
          <w:lang w:eastAsia="zh-CN"/>
        </w:rPr>
        <w:t xml:space="preserve"> R</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Nakazawa</w:t>
      </w:r>
      <w:proofErr w:type="spellEnd"/>
      <w:r w:rsidRPr="00611B67">
        <w:rPr>
          <w:rFonts w:ascii="Book Antiqua" w:eastAsia="宋体" w:hAnsi="Book Antiqua"/>
          <w:kern w:val="2"/>
          <w:bdr w:val="none" w:sz="0" w:space="0" w:color="auto"/>
          <w:lang w:eastAsia="zh-CN"/>
        </w:rPr>
        <w:t xml:space="preserve"> A, Sakamoto S, Takeda M, </w:t>
      </w:r>
      <w:proofErr w:type="spellStart"/>
      <w:r w:rsidRPr="00611B67">
        <w:rPr>
          <w:rFonts w:ascii="Book Antiqua" w:eastAsia="宋体" w:hAnsi="Book Antiqua"/>
          <w:kern w:val="2"/>
          <w:bdr w:val="none" w:sz="0" w:space="0" w:color="auto"/>
          <w:lang w:eastAsia="zh-CN"/>
        </w:rPr>
        <w:t>Yanagi</w:t>
      </w:r>
      <w:proofErr w:type="spellEnd"/>
      <w:r w:rsidRPr="00611B67">
        <w:rPr>
          <w:rFonts w:ascii="Book Antiqua" w:eastAsia="宋体" w:hAnsi="Book Antiqua"/>
          <w:kern w:val="2"/>
          <w:bdr w:val="none" w:sz="0" w:space="0" w:color="auto"/>
          <w:lang w:eastAsia="zh-CN"/>
        </w:rPr>
        <w:t xml:space="preserve"> Y, Shimizu S, Uchida H, Fukuda A, Miyazaki O, </w:t>
      </w:r>
      <w:proofErr w:type="spellStart"/>
      <w:r w:rsidRPr="00611B67">
        <w:rPr>
          <w:rFonts w:ascii="Book Antiqua" w:eastAsia="宋体" w:hAnsi="Book Antiqua"/>
          <w:kern w:val="2"/>
          <w:bdr w:val="none" w:sz="0" w:space="0" w:color="auto"/>
          <w:lang w:eastAsia="zh-CN"/>
        </w:rPr>
        <w:t>Nosaka</w:t>
      </w:r>
      <w:proofErr w:type="spellEnd"/>
      <w:r w:rsidRPr="00611B67">
        <w:rPr>
          <w:rFonts w:ascii="Book Antiqua" w:eastAsia="宋体" w:hAnsi="Book Antiqua"/>
          <w:kern w:val="2"/>
          <w:bdr w:val="none" w:sz="0" w:space="0" w:color="auto"/>
          <w:lang w:eastAsia="zh-CN"/>
        </w:rPr>
        <w:t xml:space="preserve"> S, </w:t>
      </w:r>
      <w:proofErr w:type="spellStart"/>
      <w:r w:rsidRPr="00611B67">
        <w:rPr>
          <w:rFonts w:ascii="Book Antiqua" w:eastAsia="宋体" w:hAnsi="Book Antiqua"/>
          <w:kern w:val="2"/>
          <w:bdr w:val="none" w:sz="0" w:space="0" w:color="auto"/>
          <w:lang w:eastAsia="zh-CN"/>
        </w:rPr>
        <w:t>Kasahara</w:t>
      </w:r>
      <w:proofErr w:type="spellEnd"/>
      <w:r w:rsidRPr="00611B67">
        <w:rPr>
          <w:rFonts w:ascii="Book Antiqua" w:eastAsia="宋体" w:hAnsi="Book Antiqua"/>
          <w:kern w:val="2"/>
          <w:bdr w:val="none" w:sz="0" w:space="0" w:color="auto"/>
          <w:lang w:eastAsia="zh-CN"/>
        </w:rPr>
        <w:t xml:space="preserve"> M. Living donor liver transplant</w:t>
      </w:r>
      <w:r w:rsidRPr="00611B67">
        <w:rPr>
          <w:rFonts w:ascii="Book Antiqua" w:eastAsia="宋体" w:hAnsi="Book Antiqua"/>
          <w:kern w:val="2"/>
          <w:bdr w:val="none" w:sz="0" w:space="0" w:color="auto"/>
          <w:lang w:eastAsia="zh-CN"/>
        </w:rPr>
        <w:t>a</w:t>
      </w:r>
      <w:r w:rsidRPr="00611B67">
        <w:rPr>
          <w:rFonts w:ascii="Book Antiqua" w:eastAsia="宋体" w:hAnsi="Book Antiqua"/>
          <w:kern w:val="2"/>
          <w:bdr w:val="none" w:sz="0" w:space="0" w:color="auto"/>
          <w:lang w:eastAsia="zh-CN"/>
        </w:rPr>
        <w:t xml:space="preserve">tion for congenital hepatic fibrosis in children. </w:t>
      </w:r>
      <w:proofErr w:type="spellStart"/>
      <w:r w:rsidRPr="00611B67">
        <w:rPr>
          <w:rFonts w:ascii="Book Antiqua" w:eastAsia="宋体" w:hAnsi="Book Antiqua"/>
          <w:i/>
          <w:kern w:val="2"/>
          <w:bdr w:val="none" w:sz="0" w:space="0" w:color="auto"/>
          <w:lang w:eastAsia="zh-CN"/>
        </w:rPr>
        <w:t>Pathol</w:t>
      </w:r>
      <w:proofErr w:type="spellEnd"/>
      <w:r w:rsidRPr="00611B67">
        <w:rPr>
          <w:rFonts w:ascii="Book Antiqua" w:eastAsia="宋体" w:hAnsi="Book Antiqua"/>
          <w:i/>
          <w:kern w:val="2"/>
          <w:bdr w:val="none" w:sz="0" w:space="0" w:color="auto"/>
          <w:lang w:eastAsia="zh-CN"/>
        </w:rPr>
        <w:t xml:space="preserve"> </w:t>
      </w:r>
      <w:proofErr w:type="spellStart"/>
      <w:r w:rsidRPr="00611B67">
        <w:rPr>
          <w:rFonts w:ascii="Book Antiqua" w:eastAsia="宋体" w:hAnsi="Book Antiqua"/>
          <w:i/>
          <w:kern w:val="2"/>
          <w:bdr w:val="none" w:sz="0" w:space="0" w:color="auto"/>
          <w:lang w:eastAsia="zh-CN"/>
        </w:rPr>
        <w:t>Int</w:t>
      </w:r>
      <w:proofErr w:type="spellEnd"/>
      <w:r w:rsidRPr="00611B67">
        <w:rPr>
          <w:rFonts w:ascii="Book Antiqua" w:eastAsia="宋体" w:hAnsi="Book Antiqua"/>
          <w:kern w:val="2"/>
          <w:bdr w:val="none" w:sz="0" w:space="0" w:color="auto"/>
          <w:lang w:eastAsia="zh-CN"/>
        </w:rPr>
        <w:t xml:space="preserve"> 2020; </w:t>
      </w:r>
      <w:r w:rsidRPr="00611B67">
        <w:rPr>
          <w:rFonts w:ascii="Book Antiqua" w:eastAsia="宋体" w:hAnsi="Book Antiqua"/>
          <w:b/>
          <w:kern w:val="2"/>
          <w:bdr w:val="none" w:sz="0" w:space="0" w:color="auto"/>
          <w:lang w:eastAsia="zh-CN"/>
        </w:rPr>
        <w:t>70</w:t>
      </w:r>
      <w:r w:rsidRPr="00611B67">
        <w:rPr>
          <w:rFonts w:ascii="Book Antiqua" w:eastAsia="宋体" w:hAnsi="Book Antiqua"/>
          <w:kern w:val="2"/>
          <w:bdr w:val="none" w:sz="0" w:space="0" w:color="auto"/>
          <w:lang w:eastAsia="zh-CN"/>
        </w:rPr>
        <w:t>: 348-354 [PMID: 32118333 DOI: 10.1097/01.tp.0000542926.71663.06]</w:t>
      </w:r>
    </w:p>
    <w:p w14:paraId="4F7D2A24"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5 </w:t>
      </w:r>
      <w:proofErr w:type="spellStart"/>
      <w:r w:rsidRPr="00611B67">
        <w:rPr>
          <w:rFonts w:ascii="Book Antiqua" w:eastAsia="宋体" w:hAnsi="Book Antiqua"/>
          <w:b/>
          <w:kern w:val="2"/>
          <w:bdr w:val="none" w:sz="0" w:space="0" w:color="auto"/>
          <w:lang w:eastAsia="zh-CN"/>
        </w:rPr>
        <w:t>Goldaracena</w:t>
      </w:r>
      <w:proofErr w:type="spellEnd"/>
      <w:r w:rsidRPr="00611B67">
        <w:rPr>
          <w:rFonts w:ascii="Book Antiqua" w:eastAsia="宋体" w:hAnsi="Book Antiqua"/>
          <w:b/>
          <w:kern w:val="2"/>
          <w:bdr w:val="none" w:sz="0" w:space="0" w:color="auto"/>
          <w:lang w:eastAsia="zh-CN"/>
        </w:rPr>
        <w:t xml:space="preserve"> N</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Barbas</w:t>
      </w:r>
      <w:proofErr w:type="spellEnd"/>
      <w:r w:rsidRPr="00611B67">
        <w:rPr>
          <w:rFonts w:ascii="Book Antiqua" w:eastAsia="宋体" w:hAnsi="Book Antiqua"/>
          <w:kern w:val="2"/>
          <w:bdr w:val="none" w:sz="0" w:space="0" w:color="auto"/>
          <w:lang w:eastAsia="zh-CN"/>
        </w:rPr>
        <w:t xml:space="preserve"> AS. Living donor liver transplantation. </w:t>
      </w:r>
      <w:proofErr w:type="spellStart"/>
      <w:r w:rsidRPr="00611B67">
        <w:rPr>
          <w:rFonts w:ascii="Book Antiqua" w:eastAsia="宋体" w:hAnsi="Book Antiqua"/>
          <w:i/>
          <w:kern w:val="2"/>
          <w:bdr w:val="none" w:sz="0" w:space="0" w:color="auto"/>
          <w:lang w:eastAsia="zh-CN"/>
        </w:rPr>
        <w:t>Curr</w:t>
      </w:r>
      <w:proofErr w:type="spellEnd"/>
      <w:r w:rsidRPr="00611B67">
        <w:rPr>
          <w:rFonts w:ascii="Book Antiqua" w:eastAsia="宋体" w:hAnsi="Book Antiqua"/>
          <w:i/>
          <w:kern w:val="2"/>
          <w:bdr w:val="none" w:sz="0" w:space="0" w:color="auto"/>
          <w:lang w:eastAsia="zh-CN"/>
        </w:rPr>
        <w:t xml:space="preserve"> </w:t>
      </w:r>
      <w:proofErr w:type="spellStart"/>
      <w:r w:rsidRPr="00611B67">
        <w:rPr>
          <w:rFonts w:ascii="Book Antiqua" w:eastAsia="宋体" w:hAnsi="Book Antiqua"/>
          <w:i/>
          <w:kern w:val="2"/>
          <w:bdr w:val="none" w:sz="0" w:space="0" w:color="auto"/>
          <w:lang w:eastAsia="zh-CN"/>
        </w:rPr>
        <w:t>Opin</w:t>
      </w:r>
      <w:proofErr w:type="spellEnd"/>
      <w:r w:rsidRPr="00611B67">
        <w:rPr>
          <w:rFonts w:ascii="Book Antiqua" w:eastAsia="宋体" w:hAnsi="Book Antiqua"/>
          <w:i/>
          <w:kern w:val="2"/>
          <w:bdr w:val="none" w:sz="0" w:space="0" w:color="auto"/>
          <w:lang w:eastAsia="zh-CN"/>
        </w:rPr>
        <w:t xml:space="preserve"> O</w:t>
      </w:r>
      <w:r w:rsidRPr="00611B67">
        <w:rPr>
          <w:rFonts w:ascii="Book Antiqua" w:eastAsia="宋体" w:hAnsi="Book Antiqua"/>
          <w:i/>
          <w:kern w:val="2"/>
          <w:bdr w:val="none" w:sz="0" w:space="0" w:color="auto"/>
          <w:lang w:eastAsia="zh-CN"/>
        </w:rPr>
        <w:t>r</w:t>
      </w:r>
      <w:r w:rsidRPr="00611B67">
        <w:rPr>
          <w:rFonts w:ascii="Book Antiqua" w:eastAsia="宋体" w:hAnsi="Book Antiqua"/>
          <w:i/>
          <w:kern w:val="2"/>
          <w:bdr w:val="none" w:sz="0" w:space="0" w:color="auto"/>
          <w:lang w:eastAsia="zh-CN"/>
        </w:rPr>
        <w:t>gan Transplant</w:t>
      </w:r>
      <w:r w:rsidRPr="00611B67">
        <w:rPr>
          <w:rFonts w:ascii="Book Antiqua" w:eastAsia="宋体" w:hAnsi="Book Antiqua"/>
          <w:kern w:val="2"/>
          <w:bdr w:val="none" w:sz="0" w:space="0" w:color="auto"/>
          <w:lang w:eastAsia="zh-CN"/>
        </w:rPr>
        <w:t xml:space="preserve"> 2019; </w:t>
      </w:r>
      <w:r w:rsidRPr="00611B67">
        <w:rPr>
          <w:rFonts w:ascii="Book Antiqua" w:eastAsia="宋体" w:hAnsi="Book Antiqua"/>
          <w:b/>
          <w:kern w:val="2"/>
          <w:bdr w:val="none" w:sz="0" w:space="0" w:color="auto"/>
          <w:lang w:eastAsia="zh-CN"/>
        </w:rPr>
        <w:t>24</w:t>
      </w:r>
      <w:r w:rsidRPr="00611B67">
        <w:rPr>
          <w:rFonts w:ascii="Book Antiqua" w:eastAsia="宋体" w:hAnsi="Book Antiqua"/>
          <w:kern w:val="2"/>
          <w:bdr w:val="none" w:sz="0" w:space="0" w:color="auto"/>
          <w:lang w:eastAsia="zh-CN"/>
        </w:rPr>
        <w:t>: 131-137 [PMID: 30694993 DOI: 10.1097/MOT.0000000000000610]</w:t>
      </w:r>
    </w:p>
    <w:p w14:paraId="0FC67935"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6 </w:t>
      </w:r>
      <w:proofErr w:type="spellStart"/>
      <w:r w:rsidRPr="00611B67">
        <w:rPr>
          <w:rFonts w:ascii="Book Antiqua" w:eastAsia="宋体" w:hAnsi="Book Antiqua"/>
          <w:b/>
          <w:kern w:val="2"/>
          <w:bdr w:val="none" w:sz="0" w:space="0" w:color="auto"/>
          <w:lang w:eastAsia="zh-CN"/>
        </w:rPr>
        <w:t>Michalopoulos</w:t>
      </w:r>
      <w:proofErr w:type="spellEnd"/>
      <w:r w:rsidRPr="00611B67">
        <w:rPr>
          <w:rFonts w:ascii="Book Antiqua" w:eastAsia="宋体" w:hAnsi="Book Antiqua"/>
          <w:b/>
          <w:kern w:val="2"/>
          <w:bdr w:val="none" w:sz="0" w:space="0" w:color="auto"/>
          <w:lang w:eastAsia="zh-CN"/>
        </w:rPr>
        <w:t xml:space="preserve"> GK</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Hepatostat</w:t>
      </w:r>
      <w:proofErr w:type="spellEnd"/>
      <w:r w:rsidRPr="00611B67">
        <w:rPr>
          <w:rFonts w:ascii="Book Antiqua" w:eastAsia="宋体" w:hAnsi="Book Antiqua"/>
          <w:kern w:val="2"/>
          <w:bdr w:val="none" w:sz="0" w:space="0" w:color="auto"/>
          <w:lang w:eastAsia="zh-CN"/>
        </w:rPr>
        <w:t xml:space="preserve">: Liver regeneration and normal liver tissue maintenance. </w:t>
      </w:r>
      <w:r w:rsidRPr="00611B67">
        <w:rPr>
          <w:rFonts w:ascii="Book Antiqua" w:eastAsia="宋体" w:hAnsi="Book Antiqua"/>
          <w:i/>
          <w:kern w:val="2"/>
          <w:bdr w:val="none" w:sz="0" w:space="0" w:color="auto"/>
          <w:lang w:eastAsia="zh-CN"/>
        </w:rPr>
        <w:t>Hepatology</w:t>
      </w:r>
      <w:r w:rsidRPr="00611B67">
        <w:rPr>
          <w:rFonts w:ascii="Book Antiqua" w:eastAsia="宋体" w:hAnsi="Book Antiqua"/>
          <w:kern w:val="2"/>
          <w:bdr w:val="none" w:sz="0" w:space="0" w:color="auto"/>
          <w:lang w:eastAsia="zh-CN"/>
        </w:rPr>
        <w:t xml:space="preserve"> 2017; </w:t>
      </w:r>
      <w:r w:rsidRPr="00611B67">
        <w:rPr>
          <w:rFonts w:ascii="Book Antiqua" w:eastAsia="宋体" w:hAnsi="Book Antiqua"/>
          <w:b/>
          <w:kern w:val="2"/>
          <w:bdr w:val="none" w:sz="0" w:space="0" w:color="auto"/>
          <w:lang w:eastAsia="zh-CN"/>
        </w:rPr>
        <w:t>65</w:t>
      </w:r>
      <w:r w:rsidRPr="00611B67">
        <w:rPr>
          <w:rFonts w:ascii="Book Antiqua" w:eastAsia="宋体" w:hAnsi="Book Antiqua"/>
          <w:kern w:val="2"/>
          <w:bdr w:val="none" w:sz="0" w:space="0" w:color="auto"/>
          <w:lang w:eastAsia="zh-CN"/>
        </w:rPr>
        <w:t>: 1384-1392 [PMID: 27997988 DOI: 10.1002/hep.28988]</w:t>
      </w:r>
    </w:p>
    <w:p w14:paraId="4C248D5E"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7 </w:t>
      </w:r>
      <w:r w:rsidRPr="00611B67">
        <w:rPr>
          <w:rFonts w:ascii="Book Antiqua" w:eastAsia="宋体" w:hAnsi="Book Antiqua"/>
          <w:b/>
          <w:kern w:val="2"/>
          <w:bdr w:val="none" w:sz="0" w:space="0" w:color="auto"/>
          <w:lang w:eastAsia="zh-CN"/>
        </w:rPr>
        <w:t xml:space="preserve">Abu </w:t>
      </w:r>
      <w:proofErr w:type="spellStart"/>
      <w:r w:rsidRPr="00611B67">
        <w:rPr>
          <w:rFonts w:ascii="Book Antiqua" w:eastAsia="宋体" w:hAnsi="Book Antiqua"/>
          <w:b/>
          <w:kern w:val="2"/>
          <w:bdr w:val="none" w:sz="0" w:space="0" w:color="auto"/>
          <w:lang w:eastAsia="zh-CN"/>
        </w:rPr>
        <w:t>Rmilah</w:t>
      </w:r>
      <w:proofErr w:type="spellEnd"/>
      <w:r w:rsidRPr="00611B67">
        <w:rPr>
          <w:rFonts w:ascii="Book Antiqua" w:eastAsia="宋体" w:hAnsi="Book Antiqua"/>
          <w:b/>
          <w:kern w:val="2"/>
          <w:bdr w:val="none" w:sz="0" w:space="0" w:color="auto"/>
          <w:lang w:eastAsia="zh-CN"/>
        </w:rPr>
        <w:t xml:space="preserve"> A</w:t>
      </w:r>
      <w:r w:rsidRPr="00611B67">
        <w:rPr>
          <w:rFonts w:ascii="Book Antiqua" w:eastAsia="宋体" w:hAnsi="Book Antiqua"/>
          <w:kern w:val="2"/>
          <w:bdr w:val="none" w:sz="0" w:space="0" w:color="auto"/>
          <w:lang w:eastAsia="zh-CN"/>
        </w:rPr>
        <w:t xml:space="preserve">, Zhou W, Nelson E, Lin L, </w:t>
      </w:r>
      <w:proofErr w:type="spellStart"/>
      <w:r w:rsidRPr="00611B67">
        <w:rPr>
          <w:rFonts w:ascii="Book Antiqua" w:eastAsia="宋体" w:hAnsi="Book Antiqua"/>
          <w:kern w:val="2"/>
          <w:bdr w:val="none" w:sz="0" w:space="0" w:color="auto"/>
          <w:lang w:eastAsia="zh-CN"/>
        </w:rPr>
        <w:t>Amiot</w:t>
      </w:r>
      <w:proofErr w:type="spellEnd"/>
      <w:r w:rsidRPr="00611B67">
        <w:rPr>
          <w:rFonts w:ascii="Book Antiqua" w:eastAsia="宋体" w:hAnsi="Book Antiqua"/>
          <w:kern w:val="2"/>
          <w:bdr w:val="none" w:sz="0" w:space="0" w:color="auto"/>
          <w:lang w:eastAsia="zh-CN"/>
        </w:rPr>
        <w:t xml:space="preserve"> B, Nyberg SL. Understanding the marvels behind liver regeneration. </w:t>
      </w:r>
      <w:r w:rsidRPr="00611B67">
        <w:rPr>
          <w:rFonts w:ascii="Book Antiqua" w:eastAsia="宋体" w:hAnsi="Book Antiqua"/>
          <w:i/>
          <w:kern w:val="2"/>
          <w:bdr w:val="none" w:sz="0" w:space="0" w:color="auto"/>
          <w:lang w:eastAsia="zh-CN"/>
        </w:rPr>
        <w:t xml:space="preserve">Wiley </w:t>
      </w:r>
      <w:proofErr w:type="spellStart"/>
      <w:r w:rsidRPr="00611B67">
        <w:rPr>
          <w:rFonts w:ascii="Book Antiqua" w:eastAsia="宋体" w:hAnsi="Book Antiqua"/>
          <w:i/>
          <w:kern w:val="2"/>
          <w:bdr w:val="none" w:sz="0" w:space="0" w:color="auto"/>
          <w:lang w:eastAsia="zh-CN"/>
        </w:rPr>
        <w:t>Interdiscip</w:t>
      </w:r>
      <w:proofErr w:type="spellEnd"/>
      <w:r w:rsidRPr="00611B67">
        <w:rPr>
          <w:rFonts w:ascii="Book Antiqua" w:eastAsia="宋体" w:hAnsi="Book Antiqua"/>
          <w:i/>
          <w:kern w:val="2"/>
          <w:bdr w:val="none" w:sz="0" w:space="0" w:color="auto"/>
          <w:lang w:eastAsia="zh-CN"/>
        </w:rPr>
        <w:t xml:space="preserve"> Rev Dev </w:t>
      </w:r>
      <w:proofErr w:type="spellStart"/>
      <w:r w:rsidRPr="00611B67">
        <w:rPr>
          <w:rFonts w:ascii="Book Antiqua" w:eastAsia="宋体" w:hAnsi="Book Antiqua"/>
          <w:i/>
          <w:kern w:val="2"/>
          <w:bdr w:val="none" w:sz="0" w:space="0" w:color="auto"/>
          <w:lang w:eastAsia="zh-CN"/>
        </w:rPr>
        <w:t>Biol</w:t>
      </w:r>
      <w:proofErr w:type="spellEnd"/>
      <w:r w:rsidRPr="00611B67">
        <w:rPr>
          <w:rFonts w:ascii="Book Antiqua" w:eastAsia="宋体" w:hAnsi="Book Antiqua"/>
          <w:kern w:val="2"/>
          <w:bdr w:val="none" w:sz="0" w:space="0" w:color="auto"/>
          <w:lang w:eastAsia="zh-CN"/>
        </w:rPr>
        <w:t xml:space="preserve"> 2019; </w:t>
      </w:r>
      <w:r w:rsidRPr="00611B67">
        <w:rPr>
          <w:rFonts w:ascii="Book Antiqua" w:eastAsia="宋体" w:hAnsi="Book Antiqua"/>
          <w:b/>
          <w:kern w:val="2"/>
          <w:bdr w:val="none" w:sz="0" w:space="0" w:color="auto"/>
          <w:lang w:eastAsia="zh-CN"/>
        </w:rPr>
        <w:t>8</w:t>
      </w:r>
      <w:r w:rsidRPr="00611B67">
        <w:rPr>
          <w:rFonts w:ascii="Book Antiqua" w:eastAsia="宋体" w:hAnsi="Book Antiqua"/>
          <w:kern w:val="2"/>
          <w:bdr w:val="none" w:sz="0" w:space="0" w:color="auto"/>
          <w:lang w:eastAsia="zh-CN"/>
        </w:rPr>
        <w:t>: e340 [PMID: 30924280 DOI: 10.1002/wdev.340]</w:t>
      </w:r>
    </w:p>
    <w:p w14:paraId="315021F2"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8 </w:t>
      </w:r>
      <w:proofErr w:type="spellStart"/>
      <w:r w:rsidRPr="00611B67">
        <w:rPr>
          <w:rFonts w:ascii="Book Antiqua" w:eastAsia="宋体" w:hAnsi="Book Antiqua"/>
          <w:b/>
          <w:kern w:val="2"/>
          <w:bdr w:val="none" w:sz="0" w:space="0" w:color="auto"/>
          <w:lang w:eastAsia="zh-CN"/>
        </w:rPr>
        <w:t>Almau</w:t>
      </w:r>
      <w:proofErr w:type="spellEnd"/>
      <w:r w:rsidRPr="00611B67">
        <w:rPr>
          <w:rFonts w:ascii="Book Antiqua" w:eastAsia="宋体" w:hAnsi="Book Antiqua"/>
          <w:b/>
          <w:kern w:val="2"/>
          <w:bdr w:val="none" w:sz="0" w:space="0" w:color="auto"/>
          <w:lang w:eastAsia="zh-CN"/>
        </w:rPr>
        <w:t xml:space="preserve"> </w:t>
      </w:r>
      <w:proofErr w:type="spellStart"/>
      <w:r w:rsidRPr="00611B67">
        <w:rPr>
          <w:rFonts w:ascii="Book Antiqua" w:eastAsia="宋体" w:hAnsi="Book Antiqua"/>
          <w:b/>
          <w:kern w:val="2"/>
          <w:bdr w:val="none" w:sz="0" w:space="0" w:color="auto"/>
          <w:lang w:eastAsia="zh-CN"/>
        </w:rPr>
        <w:t>Trenard</w:t>
      </w:r>
      <w:proofErr w:type="spellEnd"/>
      <w:r w:rsidRPr="00611B67">
        <w:rPr>
          <w:rFonts w:ascii="Book Antiqua" w:eastAsia="宋体" w:hAnsi="Book Antiqua"/>
          <w:b/>
          <w:kern w:val="2"/>
          <w:bdr w:val="none" w:sz="0" w:space="0" w:color="auto"/>
          <w:lang w:eastAsia="zh-CN"/>
        </w:rPr>
        <w:t xml:space="preserve"> HM</w:t>
      </w:r>
      <w:r w:rsidRPr="00611B67">
        <w:rPr>
          <w:rFonts w:ascii="Book Antiqua" w:eastAsia="宋体" w:hAnsi="Book Antiqua"/>
          <w:kern w:val="2"/>
          <w:bdr w:val="none" w:sz="0" w:space="0" w:color="auto"/>
          <w:lang w:eastAsia="zh-CN"/>
        </w:rPr>
        <w:t xml:space="preserve">, Moulin LE, </w:t>
      </w:r>
      <w:proofErr w:type="spellStart"/>
      <w:r w:rsidRPr="00611B67">
        <w:rPr>
          <w:rFonts w:ascii="Book Antiqua" w:eastAsia="宋体" w:hAnsi="Book Antiqua"/>
          <w:kern w:val="2"/>
          <w:bdr w:val="none" w:sz="0" w:space="0" w:color="auto"/>
          <w:lang w:eastAsia="zh-CN"/>
        </w:rPr>
        <w:t>Padín</w:t>
      </w:r>
      <w:proofErr w:type="spellEnd"/>
      <w:r w:rsidRPr="00611B67">
        <w:rPr>
          <w:rFonts w:ascii="Book Antiqua" w:eastAsia="宋体" w:hAnsi="Book Antiqua"/>
          <w:kern w:val="2"/>
          <w:bdr w:val="none" w:sz="0" w:space="0" w:color="auto"/>
          <w:lang w:eastAsia="zh-CN"/>
        </w:rPr>
        <w:t xml:space="preserve"> JM, </w:t>
      </w:r>
      <w:proofErr w:type="spellStart"/>
      <w:r w:rsidRPr="00611B67">
        <w:rPr>
          <w:rFonts w:ascii="Book Antiqua" w:eastAsia="宋体" w:hAnsi="Book Antiqua"/>
          <w:kern w:val="2"/>
          <w:bdr w:val="none" w:sz="0" w:space="0" w:color="auto"/>
          <w:lang w:eastAsia="zh-CN"/>
        </w:rPr>
        <w:t>Stringa</w:t>
      </w:r>
      <w:proofErr w:type="spellEnd"/>
      <w:r w:rsidRPr="00611B67">
        <w:rPr>
          <w:rFonts w:ascii="Book Antiqua" w:eastAsia="宋体" w:hAnsi="Book Antiqua"/>
          <w:kern w:val="2"/>
          <w:bdr w:val="none" w:sz="0" w:space="0" w:color="auto"/>
          <w:lang w:eastAsia="zh-CN"/>
        </w:rPr>
        <w:t xml:space="preserve"> P, </w:t>
      </w:r>
      <w:proofErr w:type="spellStart"/>
      <w:r w:rsidRPr="00611B67">
        <w:rPr>
          <w:rFonts w:ascii="Book Antiqua" w:eastAsia="宋体" w:hAnsi="Book Antiqua"/>
          <w:kern w:val="2"/>
          <w:bdr w:val="none" w:sz="0" w:space="0" w:color="auto"/>
          <w:lang w:eastAsia="zh-CN"/>
        </w:rPr>
        <w:t>Gondolesi</w:t>
      </w:r>
      <w:proofErr w:type="spellEnd"/>
      <w:r w:rsidRPr="00611B67">
        <w:rPr>
          <w:rFonts w:ascii="Book Antiqua" w:eastAsia="宋体" w:hAnsi="Book Antiqua"/>
          <w:kern w:val="2"/>
          <w:bdr w:val="none" w:sz="0" w:space="0" w:color="auto"/>
          <w:lang w:eastAsia="zh-CN"/>
        </w:rPr>
        <w:t xml:space="preserve"> GE, Barros </w:t>
      </w:r>
      <w:proofErr w:type="spellStart"/>
      <w:r w:rsidRPr="00611B67">
        <w:rPr>
          <w:rFonts w:ascii="Book Antiqua" w:eastAsia="宋体" w:hAnsi="Book Antiqua"/>
          <w:kern w:val="2"/>
          <w:bdr w:val="none" w:sz="0" w:space="0" w:color="auto"/>
          <w:lang w:eastAsia="zh-CN"/>
        </w:rPr>
        <w:t>Schelotto</w:t>
      </w:r>
      <w:proofErr w:type="spellEnd"/>
      <w:r w:rsidRPr="00611B67">
        <w:rPr>
          <w:rFonts w:ascii="Book Antiqua" w:eastAsia="宋体" w:hAnsi="Book Antiqua"/>
          <w:kern w:val="2"/>
          <w:bdr w:val="none" w:sz="0" w:space="0" w:color="auto"/>
          <w:lang w:eastAsia="zh-CN"/>
        </w:rPr>
        <w:t xml:space="preserve"> P. Development of an experimental model of portal vein ligation ass</w:t>
      </w:r>
      <w:r w:rsidRPr="00611B67">
        <w:rPr>
          <w:rFonts w:ascii="Book Antiqua" w:eastAsia="宋体" w:hAnsi="Book Antiqua"/>
          <w:kern w:val="2"/>
          <w:bdr w:val="none" w:sz="0" w:space="0" w:color="auto"/>
          <w:lang w:eastAsia="zh-CN"/>
        </w:rPr>
        <w:t>o</w:t>
      </w:r>
      <w:r w:rsidRPr="00611B67">
        <w:rPr>
          <w:rFonts w:ascii="Book Antiqua" w:eastAsia="宋体" w:hAnsi="Book Antiqua"/>
          <w:kern w:val="2"/>
          <w:bdr w:val="none" w:sz="0" w:space="0" w:color="auto"/>
          <w:lang w:eastAsia="zh-CN"/>
        </w:rPr>
        <w:t xml:space="preserve">ciated with parenchymal transection (ALPPS) in rats. </w:t>
      </w:r>
      <w:r w:rsidRPr="00611B67">
        <w:rPr>
          <w:rFonts w:ascii="Book Antiqua" w:eastAsia="宋体" w:hAnsi="Book Antiqua"/>
          <w:i/>
          <w:kern w:val="2"/>
          <w:bdr w:val="none" w:sz="0" w:space="0" w:color="auto"/>
          <w:lang w:eastAsia="zh-CN"/>
        </w:rPr>
        <w:t xml:space="preserve">Cir </w:t>
      </w:r>
      <w:proofErr w:type="spellStart"/>
      <w:r w:rsidRPr="00611B67">
        <w:rPr>
          <w:rFonts w:ascii="Book Antiqua" w:eastAsia="宋体" w:hAnsi="Book Antiqua"/>
          <w:i/>
          <w:kern w:val="2"/>
          <w:bdr w:val="none" w:sz="0" w:space="0" w:color="auto"/>
          <w:lang w:eastAsia="zh-CN"/>
        </w:rPr>
        <w:t>Esp</w:t>
      </w:r>
      <w:proofErr w:type="spellEnd"/>
      <w:r w:rsidRPr="00611B67">
        <w:rPr>
          <w:rFonts w:ascii="Book Antiqua" w:eastAsia="宋体" w:hAnsi="Book Antiqua"/>
          <w:kern w:val="2"/>
          <w:bdr w:val="none" w:sz="0" w:space="0" w:color="auto"/>
          <w:lang w:eastAsia="zh-CN"/>
        </w:rPr>
        <w:t xml:space="preserve"> 2014; </w:t>
      </w:r>
      <w:r w:rsidRPr="00611B67">
        <w:rPr>
          <w:rFonts w:ascii="Book Antiqua" w:eastAsia="宋体" w:hAnsi="Book Antiqua"/>
          <w:b/>
          <w:kern w:val="2"/>
          <w:bdr w:val="none" w:sz="0" w:space="0" w:color="auto"/>
          <w:lang w:eastAsia="zh-CN"/>
        </w:rPr>
        <w:t>92</w:t>
      </w:r>
      <w:r w:rsidRPr="00611B67">
        <w:rPr>
          <w:rFonts w:ascii="Book Antiqua" w:eastAsia="宋体" w:hAnsi="Book Antiqua"/>
          <w:kern w:val="2"/>
          <w:bdr w:val="none" w:sz="0" w:space="0" w:color="auto"/>
          <w:lang w:eastAsia="zh-CN"/>
        </w:rPr>
        <w:t>: 676-681 [PMID: 25064517 DOI: 10.1016/j.ciresp.2013.11.005]</w:t>
      </w:r>
    </w:p>
    <w:p w14:paraId="6A330FBD"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9 </w:t>
      </w:r>
      <w:r w:rsidRPr="00611B67">
        <w:rPr>
          <w:rFonts w:ascii="Book Antiqua" w:eastAsia="宋体" w:hAnsi="Book Antiqua"/>
          <w:b/>
          <w:kern w:val="2"/>
          <w:bdr w:val="none" w:sz="0" w:space="0" w:color="auto"/>
          <w:lang w:eastAsia="zh-CN"/>
        </w:rPr>
        <w:t>Wei W</w:t>
      </w:r>
      <w:r w:rsidRPr="00611B67">
        <w:rPr>
          <w:rFonts w:ascii="Book Antiqua" w:eastAsia="宋体" w:hAnsi="Book Antiqua"/>
          <w:kern w:val="2"/>
          <w:bdr w:val="none" w:sz="0" w:space="0" w:color="auto"/>
          <w:lang w:eastAsia="zh-CN"/>
        </w:rPr>
        <w:t xml:space="preserve">, Zhang T, </w:t>
      </w:r>
      <w:proofErr w:type="spellStart"/>
      <w:r w:rsidRPr="00611B67">
        <w:rPr>
          <w:rFonts w:ascii="Book Antiqua" w:eastAsia="宋体" w:hAnsi="Book Antiqua"/>
          <w:kern w:val="2"/>
          <w:bdr w:val="none" w:sz="0" w:space="0" w:color="auto"/>
          <w:lang w:eastAsia="zh-CN"/>
        </w:rPr>
        <w:t>Zafarnia</w:t>
      </w:r>
      <w:proofErr w:type="spellEnd"/>
      <w:r w:rsidRPr="00611B67">
        <w:rPr>
          <w:rFonts w:ascii="Book Antiqua" w:eastAsia="宋体" w:hAnsi="Book Antiqua"/>
          <w:kern w:val="2"/>
          <w:bdr w:val="none" w:sz="0" w:space="0" w:color="auto"/>
          <w:lang w:eastAsia="zh-CN"/>
        </w:rPr>
        <w:t xml:space="preserve"> S, Schenk A, </w:t>
      </w:r>
      <w:proofErr w:type="spellStart"/>
      <w:r w:rsidRPr="00611B67">
        <w:rPr>
          <w:rFonts w:ascii="Book Antiqua" w:eastAsia="宋体" w:hAnsi="Book Antiqua"/>
          <w:kern w:val="2"/>
          <w:bdr w:val="none" w:sz="0" w:space="0" w:color="auto"/>
          <w:lang w:eastAsia="zh-CN"/>
        </w:rPr>
        <w:t>Xie</w:t>
      </w:r>
      <w:proofErr w:type="spellEnd"/>
      <w:r w:rsidRPr="00611B67">
        <w:rPr>
          <w:rFonts w:ascii="Book Antiqua" w:eastAsia="宋体" w:hAnsi="Book Antiqua"/>
          <w:kern w:val="2"/>
          <w:bdr w:val="none" w:sz="0" w:space="0" w:color="auto"/>
          <w:lang w:eastAsia="zh-CN"/>
        </w:rPr>
        <w:t xml:space="preserve"> C, </w:t>
      </w:r>
      <w:proofErr w:type="spellStart"/>
      <w:r w:rsidRPr="00611B67">
        <w:rPr>
          <w:rFonts w:ascii="Book Antiqua" w:eastAsia="宋体" w:hAnsi="Book Antiqua"/>
          <w:kern w:val="2"/>
          <w:bdr w:val="none" w:sz="0" w:space="0" w:color="auto"/>
          <w:lang w:eastAsia="zh-CN"/>
        </w:rPr>
        <w:t>Kan</w:t>
      </w:r>
      <w:proofErr w:type="spellEnd"/>
      <w:r w:rsidRPr="00611B67">
        <w:rPr>
          <w:rFonts w:ascii="Book Antiqua" w:eastAsia="宋体" w:hAnsi="Book Antiqua"/>
          <w:kern w:val="2"/>
          <w:bdr w:val="none" w:sz="0" w:space="0" w:color="auto"/>
          <w:lang w:eastAsia="zh-CN"/>
        </w:rPr>
        <w:t xml:space="preserve"> C, </w:t>
      </w:r>
      <w:proofErr w:type="spellStart"/>
      <w:r w:rsidRPr="00611B67">
        <w:rPr>
          <w:rFonts w:ascii="Book Antiqua" w:eastAsia="宋体" w:hAnsi="Book Antiqua"/>
          <w:kern w:val="2"/>
          <w:bdr w:val="none" w:sz="0" w:space="0" w:color="auto"/>
          <w:lang w:eastAsia="zh-CN"/>
        </w:rPr>
        <w:t>Dirsch</w:t>
      </w:r>
      <w:proofErr w:type="spellEnd"/>
      <w:r w:rsidRPr="00611B67">
        <w:rPr>
          <w:rFonts w:ascii="Book Antiqua" w:eastAsia="宋体" w:hAnsi="Book Antiqua"/>
          <w:kern w:val="2"/>
          <w:bdr w:val="none" w:sz="0" w:space="0" w:color="auto"/>
          <w:lang w:eastAsia="zh-CN"/>
        </w:rPr>
        <w:t xml:space="preserve"> O, </w:t>
      </w:r>
      <w:proofErr w:type="spellStart"/>
      <w:r w:rsidRPr="00611B67">
        <w:rPr>
          <w:rFonts w:ascii="Book Antiqua" w:eastAsia="宋体" w:hAnsi="Book Antiqua"/>
          <w:kern w:val="2"/>
          <w:bdr w:val="none" w:sz="0" w:space="0" w:color="auto"/>
          <w:lang w:eastAsia="zh-CN"/>
        </w:rPr>
        <w:t>Settmacher</w:t>
      </w:r>
      <w:proofErr w:type="spellEnd"/>
      <w:r w:rsidRPr="00611B67">
        <w:rPr>
          <w:rFonts w:ascii="Book Antiqua" w:eastAsia="宋体" w:hAnsi="Book Antiqua"/>
          <w:kern w:val="2"/>
          <w:bdr w:val="none" w:sz="0" w:space="0" w:color="auto"/>
          <w:lang w:eastAsia="zh-CN"/>
        </w:rPr>
        <w:t xml:space="preserve"> U, </w:t>
      </w:r>
      <w:proofErr w:type="spellStart"/>
      <w:r w:rsidRPr="00611B67">
        <w:rPr>
          <w:rFonts w:ascii="Book Antiqua" w:eastAsia="宋体" w:hAnsi="Book Antiqua"/>
          <w:kern w:val="2"/>
          <w:bdr w:val="none" w:sz="0" w:space="0" w:color="auto"/>
          <w:lang w:eastAsia="zh-CN"/>
        </w:rPr>
        <w:t>Dahmen</w:t>
      </w:r>
      <w:proofErr w:type="spellEnd"/>
      <w:r w:rsidRPr="00611B67">
        <w:rPr>
          <w:rFonts w:ascii="Book Antiqua" w:eastAsia="宋体" w:hAnsi="Book Antiqua"/>
          <w:kern w:val="2"/>
          <w:bdr w:val="none" w:sz="0" w:space="0" w:color="auto"/>
          <w:lang w:eastAsia="zh-CN"/>
        </w:rPr>
        <w:t xml:space="preserve"> U. Establishment of a rat model: Associating liver partition with portal vein ligation for staged hepatectomy. </w:t>
      </w:r>
      <w:r w:rsidRPr="00611B67">
        <w:rPr>
          <w:rFonts w:ascii="Book Antiqua" w:eastAsia="宋体" w:hAnsi="Book Antiqua"/>
          <w:i/>
          <w:kern w:val="2"/>
          <w:bdr w:val="none" w:sz="0" w:space="0" w:color="auto"/>
          <w:lang w:eastAsia="zh-CN"/>
        </w:rPr>
        <w:t>Surgery</w:t>
      </w:r>
      <w:r w:rsidRPr="00611B67">
        <w:rPr>
          <w:rFonts w:ascii="Book Antiqua" w:eastAsia="宋体" w:hAnsi="Book Antiqua"/>
          <w:kern w:val="2"/>
          <w:bdr w:val="none" w:sz="0" w:space="0" w:color="auto"/>
          <w:lang w:eastAsia="zh-CN"/>
        </w:rPr>
        <w:t xml:space="preserve"> 2016; </w:t>
      </w:r>
      <w:r w:rsidRPr="00611B67">
        <w:rPr>
          <w:rFonts w:ascii="Book Antiqua" w:eastAsia="宋体" w:hAnsi="Book Antiqua"/>
          <w:b/>
          <w:kern w:val="2"/>
          <w:bdr w:val="none" w:sz="0" w:space="0" w:color="auto"/>
          <w:lang w:eastAsia="zh-CN"/>
        </w:rPr>
        <w:t>159</w:t>
      </w:r>
      <w:r w:rsidRPr="00611B67">
        <w:rPr>
          <w:rFonts w:ascii="Book Antiqua" w:eastAsia="宋体" w:hAnsi="Book Antiqua"/>
          <w:kern w:val="2"/>
          <w:bdr w:val="none" w:sz="0" w:space="0" w:color="auto"/>
          <w:lang w:eastAsia="zh-CN"/>
        </w:rPr>
        <w:t xml:space="preserve">: 1299-1307 [PMID: </w:t>
      </w:r>
      <w:r w:rsidRPr="00611B67">
        <w:rPr>
          <w:rFonts w:ascii="Book Antiqua" w:eastAsia="宋体" w:hAnsi="Book Antiqua"/>
          <w:kern w:val="2"/>
          <w:bdr w:val="none" w:sz="0" w:space="0" w:color="auto"/>
          <w:lang w:eastAsia="zh-CN"/>
        </w:rPr>
        <w:lastRenderedPageBreak/>
        <w:t>26879073 DOI: 10.1016/j.surg.2015.12.005]</w:t>
      </w:r>
    </w:p>
    <w:p w14:paraId="43EFA2CC"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10 </w:t>
      </w:r>
      <w:r w:rsidRPr="00611B67">
        <w:rPr>
          <w:rFonts w:ascii="Book Antiqua" w:eastAsia="宋体" w:hAnsi="Book Antiqua"/>
          <w:b/>
          <w:kern w:val="2"/>
          <w:bdr w:val="none" w:sz="0" w:space="0" w:color="auto"/>
          <w:lang w:eastAsia="zh-CN"/>
        </w:rPr>
        <w:t>Mitchell C</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Willenbring</w:t>
      </w:r>
      <w:proofErr w:type="spellEnd"/>
      <w:r w:rsidRPr="00611B67">
        <w:rPr>
          <w:rFonts w:ascii="Book Antiqua" w:eastAsia="宋体" w:hAnsi="Book Antiqua"/>
          <w:kern w:val="2"/>
          <w:bdr w:val="none" w:sz="0" w:space="0" w:color="auto"/>
          <w:lang w:eastAsia="zh-CN"/>
        </w:rPr>
        <w:t xml:space="preserve"> H. A reproducible and well-tolerated method for 2/3 partial hepatectomy in mice. </w:t>
      </w:r>
      <w:r w:rsidRPr="00611B67">
        <w:rPr>
          <w:rFonts w:ascii="Book Antiqua" w:eastAsia="宋体" w:hAnsi="Book Antiqua"/>
          <w:i/>
          <w:kern w:val="2"/>
          <w:bdr w:val="none" w:sz="0" w:space="0" w:color="auto"/>
          <w:lang w:eastAsia="zh-CN"/>
        </w:rPr>
        <w:t xml:space="preserve">Nat </w:t>
      </w:r>
      <w:proofErr w:type="spellStart"/>
      <w:r w:rsidRPr="00611B67">
        <w:rPr>
          <w:rFonts w:ascii="Book Antiqua" w:eastAsia="宋体" w:hAnsi="Book Antiqua"/>
          <w:i/>
          <w:kern w:val="2"/>
          <w:bdr w:val="none" w:sz="0" w:space="0" w:color="auto"/>
          <w:lang w:eastAsia="zh-CN"/>
        </w:rPr>
        <w:t>Protoc</w:t>
      </w:r>
      <w:proofErr w:type="spellEnd"/>
      <w:r w:rsidRPr="00611B67">
        <w:rPr>
          <w:rFonts w:ascii="Book Antiqua" w:eastAsia="宋体" w:hAnsi="Book Antiqua"/>
          <w:kern w:val="2"/>
          <w:bdr w:val="none" w:sz="0" w:space="0" w:color="auto"/>
          <w:lang w:eastAsia="zh-CN"/>
        </w:rPr>
        <w:t xml:space="preserve"> 2008; </w:t>
      </w:r>
      <w:r w:rsidRPr="00611B67">
        <w:rPr>
          <w:rFonts w:ascii="Book Antiqua" w:eastAsia="宋体" w:hAnsi="Book Antiqua"/>
          <w:b/>
          <w:kern w:val="2"/>
          <w:bdr w:val="none" w:sz="0" w:space="0" w:color="auto"/>
          <w:lang w:eastAsia="zh-CN"/>
        </w:rPr>
        <w:t>3</w:t>
      </w:r>
      <w:r w:rsidRPr="00611B67">
        <w:rPr>
          <w:rFonts w:ascii="Book Antiqua" w:eastAsia="宋体" w:hAnsi="Book Antiqua"/>
          <w:kern w:val="2"/>
          <w:bdr w:val="none" w:sz="0" w:space="0" w:color="auto"/>
          <w:lang w:eastAsia="zh-CN"/>
        </w:rPr>
        <w:t>: 1167-1170 [PMID: 18600221 DOI: 10.1038/nprot.2008.80]</w:t>
      </w:r>
    </w:p>
    <w:p w14:paraId="5B453D7B"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11 </w:t>
      </w:r>
      <w:r w:rsidRPr="00611B67">
        <w:rPr>
          <w:rFonts w:ascii="Book Antiqua" w:eastAsia="宋体" w:hAnsi="Book Antiqua"/>
          <w:b/>
          <w:kern w:val="2"/>
          <w:bdr w:val="none" w:sz="0" w:space="0" w:color="auto"/>
          <w:lang w:eastAsia="zh-CN"/>
        </w:rPr>
        <w:t>Saito S</w:t>
      </w:r>
      <w:r w:rsidRPr="00611B67">
        <w:rPr>
          <w:rFonts w:ascii="Book Antiqua" w:eastAsia="宋体" w:hAnsi="Book Antiqua"/>
          <w:kern w:val="2"/>
          <w:bdr w:val="none" w:sz="0" w:space="0" w:color="auto"/>
          <w:lang w:eastAsia="zh-CN"/>
        </w:rPr>
        <w:t>, Togo S, Morioka D, Matsuo K, Yoshimoto N, Nagano Y, Tanaka K, Kubota T, Nagashima Y, Shimada H. A rat model of a repeat 70% major hepate</w:t>
      </w:r>
      <w:r w:rsidRPr="00611B67">
        <w:rPr>
          <w:rFonts w:ascii="Book Antiqua" w:eastAsia="宋体" w:hAnsi="Book Antiqua"/>
          <w:kern w:val="2"/>
          <w:bdr w:val="none" w:sz="0" w:space="0" w:color="auto"/>
          <w:lang w:eastAsia="zh-CN"/>
        </w:rPr>
        <w:t>c</w:t>
      </w:r>
      <w:r w:rsidRPr="00611B67">
        <w:rPr>
          <w:rFonts w:ascii="Book Antiqua" w:eastAsia="宋体" w:hAnsi="Book Antiqua"/>
          <w:kern w:val="2"/>
          <w:bdr w:val="none" w:sz="0" w:space="0" w:color="auto"/>
          <w:lang w:eastAsia="zh-CN"/>
        </w:rPr>
        <w:t xml:space="preserve">tomy. </w:t>
      </w:r>
      <w:r w:rsidRPr="00611B67">
        <w:rPr>
          <w:rFonts w:ascii="Book Antiqua" w:eastAsia="宋体" w:hAnsi="Book Antiqua"/>
          <w:i/>
          <w:kern w:val="2"/>
          <w:bdr w:val="none" w:sz="0" w:space="0" w:color="auto"/>
          <w:lang w:eastAsia="zh-CN"/>
        </w:rPr>
        <w:t>J Surg Res</w:t>
      </w:r>
      <w:r w:rsidRPr="00611B67">
        <w:rPr>
          <w:rFonts w:ascii="Book Antiqua" w:eastAsia="宋体" w:hAnsi="Book Antiqua"/>
          <w:kern w:val="2"/>
          <w:bdr w:val="none" w:sz="0" w:space="0" w:color="auto"/>
          <w:lang w:eastAsia="zh-CN"/>
        </w:rPr>
        <w:t xml:space="preserve"> 2006; </w:t>
      </w:r>
      <w:r w:rsidRPr="00611B67">
        <w:rPr>
          <w:rFonts w:ascii="Book Antiqua" w:eastAsia="宋体" w:hAnsi="Book Antiqua"/>
          <w:b/>
          <w:kern w:val="2"/>
          <w:bdr w:val="none" w:sz="0" w:space="0" w:color="auto"/>
          <w:lang w:eastAsia="zh-CN"/>
        </w:rPr>
        <w:t>134</w:t>
      </w:r>
      <w:r w:rsidRPr="00611B67">
        <w:rPr>
          <w:rFonts w:ascii="Book Antiqua" w:eastAsia="宋体" w:hAnsi="Book Antiqua"/>
          <w:kern w:val="2"/>
          <w:bdr w:val="none" w:sz="0" w:space="0" w:color="auto"/>
          <w:lang w:eastAsia="zh-CN"/>
        </w:rPr>
        <w:t>: 322-326 [PMID: 16519902 DOI: 10.1016/j.jss.2006.01.008]</w:t>
      </w:r>
    </w:p>
    <w:p w14:paraId="0A547B91"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12 </w:t>
      </w:r>
      <w:proofErr w:type="spellStart"/>
      <w:r w:rsidRPr="00611B67">
        <w:rPr>
          <w:rFonts w:ascii="Book Antiqua" w:eastAsia="宋体" w:hAnsi="Book Antiqua"/>
          <w:b/>
          <w:kern w:val="2"/>
          <w:bdr w:val="none" w:sz="0" w:space="0" w:color="auto"/>
          <w:lang w:eastAsia="zh-CN"/>
        </w:rPr>
        <w:t>Palmes</w:t>
      </w:r>
      <w:proofErr w:type="spellEnd"/>
      <w:r w:rsidRPr="00611B67">
        <w:rPr>
          <w:rFonts w:ascii="Book Antiqua" w:eastAsia="宋体" w:hAnsi="Book Antiqua"/>
          <w:b/>
          <w:kern w:val="2"/>
          <w:bdr w:val="none" w:sz="0" w:space="0" w:color="auto"/>
          <w:lang w:eastAsia="zh-CN"/>
        </w:rPr>
        <w:t xml:space="preserve"> D</w:t>
      </w:r>
      <w:r w:rsidRPr="00611B67">
        <w:rPr>
          <w:rFonts w:ascii="Book Antiqua" w:eastAsia="宋体" w:hAnsi="Book Antiqua"/>
          <w:kern w:val="2"/>
          <w:bdr w:val="none" w:sz="0" w:space="0" w:color="auto"/>
          <w:lang w:eastAsia="zh-CN"/>
        </w:rPr>
        <w:t xml:space="preserve">, Spiegel HU. Animal models of liver regeneration. </w:t>
      </w:r>
      <w:r w:rsidRPr="00611B67">
        <w:rPr>
          <w:rFonts w:ascii="Book Antiqua" w:eastAsia="宋体" w:hAnsi="Book Antiqua"/>
          <w:i/>
          <w:kern w:val="2"/>
          <w:bdr w:val="none" w:sz="0" w:space="0" w:color="auto"/>
          <w:lang w:eastAsia="zh-CN"/>
        </w:rPr>
        <w:t>Biomaterials</w:t>
      </w:r>
      <w:r w:rsidRPr="00611B67">
        <w:rPr>
          <w:rFonts w:ascii="Book Antiqua" w:eastAsia="宋体" w:hAnsi="Book Antiqua"/>
          <w:kern w:val="2"/>
          <w:bdr w:val="none" w:sz="0" w:space="0" w:color="auto"/>
          <w:lang w:eastAsia="zh-CN"/>
        </w:rPr>
        <w:t xml:space="preserve"> 2004; </w:t>
      </w:r>
      <w:r w:rsidRPr="00611B67">
        <w:rPr>
          <w:rFonts w:ascii="Book Antiqua" w:eastAsia="宋体" w:hAnsi="Book Antiqua"/>
          <w:b/>
          <w:kern w:val="2"/>
          <w:bdr w:val="none" w:sz="0" w:space="0" w:color="auto"/>
          <w:lang w:eastAsia="zh-CN"/>
        </w:rPr>
        <w:t>25</w:t>
      </w:r>
      <w:r w:rsidRPr="00611B67">
        <w:rPr>
          <w:rFonts w:ascii="Book Antiqua" w:eastAsia="宋体" w:hAnsi="Book Antiqua"/>
          <w:kern w:val="2"/>
          <w:bdr w:val="none" w:sz="0" w:space="0" w:color="auto"/>
          <w:lang w:eastAsia="zh-CN"/>
        </w:rPr>
        <w:t>: 1601-1611 [PMID: 14697862 DOI: 10.1016/s0142-9612(03)00508-8]</w:t>
      </w:r>
    </w:p>
    <w:p w14:paraId="66152205"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13 </w:t>
      </w:r>
      <w:proofErr w:type="spellStart"/>
      <w:r w:rsidRPr="00611B67">
        <w:rPr>
          <w:rFonts w:ascii="Book Antiqua" w:eastAsia="宋体" w:hAnsi="Book Antiqua"/>
          <w:b/>
          <w:kern w:val="2"/>
          <w:bdr w:val="none" w:sz="0" w:space="0" w:color="auto"/>
          <w:lang w:eastAsia="zh-CN"/>
        </w:rPr>
        <w:t>Miyaoka</w:t>
      </w:r>
      <w:proofErr w:type="spellEnd"/>
      <w:r w:rsidRPr="00611B67">
        <w:rPr>
          <w:rFonts w:ascii="Book Antiqua" w:eastAsia="宋体" w:hAnsi="Book Antiqua"/>
          <w:b/>
          <w:kern w:val="2"/>
          <w:bdr w:val="none" w:sz="0" w:space="0" w:color="auto"/>
          <w:lang w:eastAsia="zh-CN"/>
        </w:rPr>
        <w:t xml:space="preserve"> Y</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Miyajima</w:t>
      </w:r>
      <w:proofErr w:type="spellEnd"/>
      <w:r w:rsidRPr="00611B67">
        <w:rPr>
          <w:rFonts w:ascii="Book Antiqua" w:eastAsia="宋体" w:hAnsi="Book Antiqua"/>
          <w:kern w:val="2"/>
          <w:bdr w:val="none" w:sz="0" w:space="0" w:color="auto"/>
          <w:lang w:eastAsia="zh-CN"/>
        </w:rPr>
        <w:t xml:space="preserve"> A. To divide or not to divide: revisiting liver regener</w:t>
      </w:r>
      <w:r w:rsidRPr="00611B67">
        <w:rPr>
          <w:rFonts w:ascii="Book Antiqua" w:eastAsia="宋体" w:hAnsi="Book Antiqua"/>
          <w:kern w:val="2"/>
          <w:bdr w:val="none" w:sz="0" w:space="0" w:color="auto"/>
          <w:lang w:eastAsia="zh-CN"/>
        </w:rPr>
        <w:t>a</w:t>
      </w:r>
      <w:r w:rsidRPr="00611B67">
        <w:rPr>
          <w:rFonts w:ascii="Book Antiqua" w:eastAsia="宋体" w:hAnsi="Book Antiqua"/>
          <w:kern w:val="2"/>
          <w:bdr w:val="none" w:sz="0" w:space="0" w:color="auto"/>
          <w:lang w:eastAsia="zh-CN"/>
        </w:rPr>
        <w:t xml:space="preserve">tion. </w:t>
      </w:r>
      <w:r w:rsidRPr="00611B67">
        <w:rPr>
          <w:rFonts w:ascii="Book Antiqua" w:eastAsia="宋体" w:hAnsi="Book Antiqua"/>
          <w:i/>
          <w:kern w:val="2"/>
          <w:bdr w:val="none" w:sz="0" w:space="0" w:color="auto"/>
          <w:lang w:eastAsia="zh-CN"/>
        </w:rPr>
        <w:t xml:space="preserve">Cell </w:t>
      </w:r>
      <w:proofErr w:type="spellStart"/>
      <w:r w:rsidRPr="00611B67">
        <w:rPr>
          <w:rFonts w:ascii="Book Antiqua" w:eastAsia="宋体" w:hAnsi="Book Antiqua"/>
          <w:i/>
          <w:kern w:val="2"/>
          <w:bdr w:val="none" w:sz="0" w:space="0" w:color="auto"/>
          <w:lang w:eastAsia="zh-CN"/>
        </w:rPr>
        <w:t>Div</w:t>
      </w:r>
      <w:proofErr w:type="spellEnd"/>
      <w:r w:rsidRPr="00611B67">
        <w:rPr>
          <w:rFonts w:ascii="Book Antiqua" w:eastAsia="宋体" w:hAnsi="Book Antiqua"/>
          <w:kern w:val="2"/>
          <w:bdr w:val="none" w:sz="0" w:space="0" w:color="auto"/>
          <w:lang w:eastAsia="zh-CN"/>
        </w:rPr>
        <w:t xml:space="preserve"> 2013; </w:t>
      </w:r>
      <w:r w:rsidRPr="00611B67">
        <w:rPr>
          <w:rFonts w:ascii="Book Antiqua" w:eastAsia="宋体" w:hAnsi="Book Antiqua"/>
          <w:b/>
          <w:kern w:val="2"/>
          <w:bdr w:val="none" w:sz="0" w:space="0" w:color="auto"/>
          <w:lang w:eastAsia="zh-CN"/>
        </w:rPr>
        <w:t>8</w:t>
      </w:r>
      <w:r w:rsidRPr="00611B67">
        <w:rPr>
          <w:rFonts w:ascii="Book Antiqua" w:eastAsia="宋体" w:hAnsi="Book Antiqua"/>
          <w:kern w:val="2"/>
          <w:bdr w:val="none" w:sz="0" w:space="0" w:color="auto"/>
          <w:lang w:eastAsia="zh-CN"/>
        </w:rPr>
        <w:t>: 8 [PMID: 23786799 DOI: 10.1186/1747-1028-8-8]</w:t>
      </w:r>
    </w:p>
    <w:p w14:paraId="53C70A6F"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14 </w:t>
      </w:r>
      <w:r w:rsidRPr="00611B67">
        <w:rPr>
          <w:rFonts w:ascii="Book Antiqua" w:eastAsia="宋体" w:hAnsi="Book Antiqua"/>
          <w:b/>
          <w:kern w:val="2"/>
          <w:bdr w:val="none" w:sz="0" w:space="0" w:color="auto"/>
          <w:lang w:eastAsia="zh-CN"/>
        </w:rPr>
        <w:t>Duncan AW</w:t>
      </w:r>
      <w:r w:rsidRPr="00611B67">
        <w:rPr>
          <w:rFonts w:ascii="Book Antiqua" w:eastAsia="宋体" w:hAnsi="Book Antiqua"/>
          <w:kern w:val="2"/>
          <w:bdr w:val="none" w:sz="0" w:space="0" w:color="auto"/>
          <w:lang w:eastAsia="zh-CN"/>
        </w:rPr>
        <w:t xml:space="preserve">, Dorrell C, </w:t>
      </w:r>
      <w:proofErr w:type="spellStart"/>
      <w:r w:rsidRPr="00611B67">
        <w:rPr>
          <w:rFonts w:ascii="Book Antiqua" w:eastAsia="宋体" w:hAnsi="Book Antiqua"/>
          <w:kern w:val="2"/>
          <w:bdr w:val="none" w:sz="0" w:space="0" w:color="auto"/>
          <w:lang w:eastAsia="zh-CN"/>
        </w:rPr>
        <w:t>Grompe</w:t>
      </w:r>
      <w:proofErr w:type="spellEnd"/>
      <w:r w:rsidRPr="00611B67">
        <w:rPr>
          <w:rFonts w:ascii="Book Antiqua" w:eastAsia="宋体" w:hAnsi="Book Antiqua"/>
          <w:kern w:val="2"/>
          <w:bdr w:val="none" w:sz="0" w:space="0" w:color="auto"/>
          <w:lang w:eastAsia="zh-CN"/>
        </w:rPr>
        <w:t xml:space="preserve"> M. Stem cells and liver regeneration. </w:t>
      </w:r>
      <w:r w:rsidRPr="00611B67">
        <w:rPr>
          <w:rFonts w:ascii="Book Antiqua" w:eastAsia="宋体" w:hAnsi="Book Antiqua"/>
          <w:i/>
          <w:kern w:val="2"/>
          <w:bdr w:val="none" w:sz="0" w:space="0" w:color="auto"/>
          <w:lang w:eastAsia="zh-CN"/>
        </w:rPr>
        <w:t>Gastr</w:t>
      </w:r>
      <w:r w:rsidRPr="00611B67">
        <w:rPr>
          <w:rFonts w:ascii="Book Antiqua" w:eastAsia="宋体" w:hAnsi="Book Antiqua"/>
          <w:i/>
          <w:kern w:val="2"/>
          <w:bdr w:val="none" w:sz="0" w:space="0" w:color="auto"/>
          <w:lang w:eastAsia="zh-CN"/>
        </w:rPr>
        <w:t>o</w:t>
      </w:r>
      <w:r w:rsidRPr="00611B67">
        <w:rPr>
          <w:rFonts w:ascii="Book Antiqua" w:eastAsia="宋体" w:hAnsi="Book Antiqua"/>
          <w:i/>
          <w:kern w:val="2"/>
          <w:bdr w:val="none" w:sz="0" w:space="0" w:color="auto"/>
          <w:lang w:eastAsia="zh-CN"/>
        </w:rPr>
        <w:t>enterology</w:t>
      </w:r>
      <w:r w:rsidRPr="00611B67">
        <w:rPr>
          <w:rFonts w:ascii="Book Antiqua" w:eastAsia="宋体" w:hAnsi="Book Antiqua"/>
          <w:kern w:val="2"/>
          <w:bdr w:val="none" w:sz="0" w:space="0" w:color="auto"/>
          <w:lang w:eastAsia="zh-CN"/>
        </w:rPr>
        <w:t xml:space="preserve"> 2009; </w:t>
      </w:r>
      <w:r w:rsidRPr="00611B67">
        <w:rPr>
          <w:rFonts w:ascii="Book Antiqua" w:eastAsia="宋体" w:hAnsi="Book Antiqua"/>
          <w:b/>
          <w:kern w:val="2"/>
          <w:bdr w:val="none" w:sz="0" w:space="0" w:color="auto"/>
          <w:lang w:eastAsia="zh-CN"/>
        </w:rPr>
        <w:t>137</w:t>
      </w:r>
      <w:r w:rsidRPr="00611B67">
        <w:rPr>
          <w:rFonts w:ascii="Book Antiqua" w:eastAsia="宋体" w:hAnsi="Book Antiqua"/>
          <w:kern w:val="2"/>
          <w:bdr w:val="none" w:sz="0" w:space="0" w:color="auto"/>
          <w:lang w:eastAsia="zh-CN"/>
        </w:rPr>
        <w:t>: 466-481 [PMID: 19470389 DOI: 10.1053/j.gastro.2009.05.044]</w:t>
      </w:r>
    </w:p>
    <w:p w14:paraId="15E81E64"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15 </w:t>
      </w:r>
      <w:proofErr w:type="spellStart"/>
      <w:r w:rsidRPr="00611B67">
        <w:rPr>
          <w:rFonts w:ascii="Book Antiqua" w:eastAsia="宋体" w:hAnsi="Book Antiqua"/>
          <w:b/>
          <w:kern w:val="2"/>
          <w:bdr w:val="none" w:sz="0" w:space="0" w:color="auto"/>
          <w:lang w:eastAsia="zh-CN"/>
        </w:rPr>
        <w:t>Michalopoulos</w:t>
      </w:r>
      <w:proofErr w:type="spellEnd"/>
      <w:r w:rsidRPr="00611B67">
        <w:rPr>
          <w:rFonts w:ascii="Book Antiqua" w:eastAsia="宋体" w:hAnsi="Book Antiqua"/>
          <w:b/>
          <w:kern w:val="2"/>
          <w:bdr w:val="none" w:sz="0" w:space="0" w:color="auto"/>
          <w:lang w:eastAsia="zh-CN"/>
        </w:rPr>
        <w:t xml:space="preserve"> GK</w:t>
      </w:r>
      <w:r w:rsidRPr="00611B67">
        <w:rPr>
          <w:rFonts w:ascii="Book Antiqua" w:eastAsia="宋体" w:hAnsi="Book Antiqua"/>
          <w:kern w:val="2"/>
          <w:bdr w:val="none" w:sz="0" w:space="0" w:color="auto"/>
          <w:lang w:eastAsia="zh-CN"/>
        </w:rPr>
        <w:t xml:space="preserve">. Liver regeneration. </w:t>
      </w:r>
      <w:r w:rsidRPr="00611B67">
        <w:rPr>
          <w:rFonts w:ascii="Book Antiqua" w:eastAsia="宋体" w:hAnsi="Book Antiqua"/>
          <w:i/>
          <w:kern w:val="2"/>
          <w:bdr w:val="none" w:sz="0" w:space="0" w:color="auto"/>
          <w:lang w:eastAsia="zh-CN"/>
        </w:rPr>
        <w:t xml:space="preserve">J Cell </w:t>
      </w:r>
      <w:proofErr w:type="spellStart"/>
      <w:r w:rsidRPr="00611B67">
        <w:rPr>
          <w:rFonts w:ascii="Book Antiqua" w:eastAsia="宋体" w:hAnsi="Book Antiqua"/>
          <w:i/>
          <w:kern w:val="2"/>
          <w:bdr w:val="none" w:sz="0" w:space="0" w:color="auto"/>
          <w:lang w:eastAsia="zh-CN"/>
        </w:rPr>
        <w:t>Physiol</w:t>
      </w:r>
      <w:proofErr w:type="spellEnd"/>
      <w:r w:rsidRPr="00611B67">
        <w:rPr>
          <w:rFonts w:ascii="Book Antiqua" w:eastAsia="宋体" w:hAnsi="Book Antiqua"/>
          <w:kern w:val="2"/>
          <w:bdr w:val="none" w:sz="0" w:space="0" w:color="auto"/>
          <w:lang w:eastAsia="zh-CN"/>
        </w:rPr>
        <w:t xml:space="preserve"> 2007; </w:t>
      </w:r>
      <w:r w:rsidRPr="00611B67">
        <w:rPr>
          <w:rFonts w:ascii="Book Antiqua" w:eastAsia="宋体" w:hAnsi="Book Antiqua"/>
          <w:b/>
          <w:kern w:val="2"/>
          <w:bdr w:val="none" w:sz="0" w:space="0" w:color="auto"/>
          <w:lang w:eastAsia="zh-CN"/>
        </w:rPr>
        <w:t>213</w:t>
      </w:r>
      <w:r w:rsidRPr="00611B67">
        <w:rPr>
          <w:rFonts w:ascii="Book Antiqua" w:eastAsia="宋体" w:hAnsi="Book Antiqua"/>
          <w:kern w:val="2"/>
          <w:bdr w:val="none" w:sz="0" w:space="0" w:color="auto"/>
          <w:lang w:eastAsia="zh-CN"/>
        </w:rPr>
        <w:t>: 286-300 [PMID: 17559071 DOI: 10.1002/jcp.21172]</w:t>
      </w:r>
    </w:p>
    <w:p w14:paraId="04E2A28C"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16 </w:t>
      </w:r>
      <w:r w:rsidRPr="00611B67">
        <w:rPr>
          <w:rFonts w:ascii="Book Antiqua" w:eastAsia="宋体" w:hAnsi="Book Antiqua"/>
          <w:b/>
          <w:kern w:val="2"/>
          <w:bdr w:val="none" w:sz="0" w:space="0" w:color="auto"/>
          <w:lang w:eastAsia="zh-CN"/>
        </w:rPr>
        <w:t>Tao Y</w:t>
      </w:r>
      <w:r w:rsidRPr="00611B67">
        <w:rPr>
          <w:rFonts w:ascii="Book Antiqua" w:eastAsia="宋体" w:hAnsi="Book Antiqua"/>
          <w:kern w:val="2"/>
          <w:bdr w:val="none" w:sz="0" w:space="0" w:color="auto"/>
          <w:lang w:eastAsia="zh-CN"/>
        </w:rPr>
        <w:t xml:space="preserve">, Wang M, Chen E, Tang H. Liver Regeneration: Analysis of the Main Relevant Signaling Molecules. </w:t>
      </w:r>
      <w:r w:rsidRPr="00611B67">
        <w:rPr>
          <w:rFonts w:ascii="Book Antiqua" w:eastAsia="宋体" w:hAnsi="Book Antiqua"/>
          <w:i/>
          <w:kern w:val="2"/>
          <w:bdr w:val="none" w:sz="0" w:space="0" w:color="auto"/>
          <w:lang w:eastAsia="zh-CN"/>
        </w:rPr>
        <w:t xml:space="preserve">Mediators </w:t>
      </w:r>
      <w:proofErr w:type="spellStart"/>
      <w:r w:rsidRPr="00611B67">
        <w:rPr>
          <w:rFonts w:ascii="Book Antiqua" w:eastAsia="宋体" w:hAnsi="Book Antiqua"/>
          <w:i/>
          <w:kern w:val="2"/>
          <w:bdr w:val="none" w:sz="0" w:space="0" w:color="auto"/>
          <w:lang w:eastAsia="zh-CN"/>
        </w:rPr>
        <w:t>Inflamm</w:t>
      </w:r>
      <w:proofErr w:type="spellEnd"/>
      <w:r w:rsidRPr="00611B67">
        <w:rPr>
          <w:rFonts w:ascii="Book Antiqua" w:eastAsia="宋体" w:hAnsi="Book Antiqua"/>
          <w:kern w:val="2"/>
          <w:bdr w:val="none" w:sz="0" w:space="0" w:color="auto"/>
          <w:lang w:eastAsia="zh-CN"/>
        </w:rPr>
        <w:t xml:space="preserve"> 2017; </w:t>
      </w:r>
      <w:r w:rsidRPr="00611B67">
        <w:rPr>
          <w:rFonts w:ascii="Book Antiqua" w:eastAsia="宋体" w:hAnsi="Book Antiqua"/>
          <w:b/>
          <w:kern w:val="2"/>
          <w:bdr w:val="none" w:sz="0" w:space="0" w:color="auto"/>
          <w:lang w:eastAsia="zh-CN"/>
        </w:rPr>
        <w:t>2017</w:t>
      </w:r>
      <w:r w:rsidRPr="00611B67">
        <w:rPr>
          <w:rFonts w:ascii="Book Antiqua" w:eastAsia="宋体" w:hAnsi="Book Antiqua"/>
          <w:kern w:val="2"/>
          <w:bdr w:val="none" w:sz="0" w:space="0" w:color="auto"/>
          <w:lang w:eastAsia="zh-CN"/>
        </w:rPr>
        <w:t>: 4256352 [PMID: 28947857 DOI: 10.1155/2017/4256352]</w:t>
      </w:r>
    </w:p>
    <w:p w14:paraId="05827B87"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17 </w:t>
      </w:r>
      <w:r w:rsidRPr="00611B67">
        <w:rPr>
          <w:rFonts w:ascii="Book Antiqua" w:eastAsia="宋体" w:hAnsi="Book Antiqua"/>
          <w:b/>
          <w:kern w:val="2"/>
          <w:bdr w:val="none" w:sz="0" w:space="0" w:color="auto"/>
          <w:lang w:eastAsia="zh-CN"/>
        </w:rPr>
        <w:t>Kang LI</w:t>
      </w:r>
      <w:r w:rsidRPr="00611B67">
        <w:rPr>
          <w:rFonts w:ascii="Book Antiqua" w:eastAsia="宋体" w:hAnsi="Book Antiqua"/>
          <w:kern w:val="2"/>
          <w:bdr w:val="none" w:sz="0" w:space="0" w:color="auto"/>
          <w:lang w:eastAsia="zh-CN"/>
        </w:rPr>
        <w:t xml:space="preserve">, Mars WM, </w:t>
      </w:r>
      <w:proofErr w:type="spellStart"/>
      <w:r w:rsidRPr="00611B67">
        <w:rPr>
          <w:rFonts w:ascii="Book Antiqua" w:eastAsia="宋体" w:hAnsi="Book Antiqua"/>
          <w:kern w:val="2"/>
          <w:bdr w:val="none" w:sz="0" w:space="0" w:color="auto"/>
          <w:lang w:eastAsia="zh-CN"/>
        </w:rPr>
        <w:t>Michalopoulos</w:t>
      </w:r>
      <w:proofErr w:type="spellEnd"/>
      <w:r w:rsidRPr="00611B67">
        <w:rPr>
          <w:rFonts w:ascii="Book Antiqua" w:eastAsia="宋体" w:hAnsi="Book Antiqua"/>
          <w:kern w:val="2"/>
          <w:bdr w:val="none" w:sz="0" w:space="0" w:color="auto"/>
          <w:lang w:eastAsia="zh-CN"/>
        </w:rPr>
        <w:t xml:space="preserve"> GK. Signals and cells involved in regula</w:t>
      </w:r>
      <w:r w:rsidRPr="00611B67">
        <w:rPr>
          <w:rFonts w:ascii="Book Antiqua" w:eastAsia="宋体" w:hAnsi="Book Antiqua"/>
          <w:kern w:val="2"/>
          <w:bdr w:val="none" w:sz="0" w:space="0" w:color="auto"/>
          <w:lang w:eastAsia="zh-CN"/>
        </w:rPr>
        <w:t>t</w:t>
      </w:r>
      <w:r w:rsidRPr="00611B67">
        <w:rPr>
          <w:rFonts w:ascii="Book Antiqua" w:eastAsia="宋体" w:hAnsi="Book Antiqua"/>
          <w:kern w:val="2"/>
          <w:bdr w:val="none" w:sz="0" w:space="0" w:color="auto"/>
          <w:lang w:eastAsia="zh-CN"/>
        </w:rPr>
        <w:t xml:space="preserve">ing liver regeneration. </w:t>
      </w:r>
      <w:r w:rsidRPr="00611B67">
        <w:rPr>
          <w:rFonts w:ascii="Book Antiqua" w:eastAsia="宋体" w:hAnsi="Book Antiqua"/>
          <w:i/>
          <w:kern w:val="2"/>
          <w:bdr w:val="none" w:sz="0" w:space="0" w:color="auto"/>
          <w:lang w:eastAsia="zh-CN"/>
        </w:rPr>
        <w:t>Cells</w:t>
      </w:r>
      <w:r w:rsidRPr="00611B67">
        <w:rPr>
          <w:rFonts w:ascii="Book Antiqua" w:eastAsia="宋体" w:hAnsi="Book Antiqua"/>
          <w:kern w:val="2"/>
          <w:bdr w:val="none" w:sz="0" w:space="0" w:color="auto"/>
          <w:lang w:eastAsia="zh-CN"/>
        </w:rPr>
        <w:t xml:space="preserve"> 2012; </w:t>
      </w:r>
      <w:r w:rsidRPr="00611B67">
        <w:rPr>
          <w:rFonts w:ascii="Book Antiqua" w:eastAsia="宋体" w:hAnsi="Book Antiqua"/>
          <w:b/>
          <w:kern w:val="2"/>
          <w:bdr w:val="none" w:sz="0" w:space="0" w:color="auto"/>
          <w:lang w:eastAsia="zh-CN"/>
        </w:rPr>
        <w:t>1</w:t>
      </w:r>
      <w:r w:rsidRPr="00611B67">
        <w:rPr>
          <w:rFonts w:ascii="Book Antiqua" w:eastAsia="宋体" w:hAnsi="Book Antiqua"/>
          <w:kern w:val="2"/>
          <w:bdr w:val="none" w:sz="0" w:space="0" w:color="auto"/>
          <w:lang w:eastAsia="zh-CN"/>
        </w:rPr>
        <w:t>: 1261-1292 [PMID: 24710554 DOI: 10.3390/cells1041261]</w:t>
      </w:r>
    </w:p>
    <w:p w14:paraId="79C99307"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18 </w:t>
      </w:r>
      <w:r w:rsidRPr="00611B67">
        <w:rPr>
          <w:rFonts w:ascii="Book Antiqua" w:eastAsia="宋体" w:hAnsi="Book Antiqua"/>
          <w:b/>
          <w:kern w:val="2"/>
          <w:bdr w:val="none" w:sz="0" w:space="0" w:color="auto"/>
          <w:lang w:eastAsia="zh-CN"/>
        </w:rPr>
        <w:t>Köhler C</w:t>
      </w:r>
      <w:r w:rsidRPr="00611B67">
        <w:rPr>
          <w:rFonts w:ascii="Book Antiqua" w:eastAsia="宋体" w:hAnsi="Book Antiqua"/>
          <w:kern w:val="2"/>
          <w:bdr w:val="none" w:sz="0" w:space="0" w:color="auto"/>
          <w:lang w:eastAsia="zh-CN"/>
        </w:rPr>
        <w:t xml:space="preserve">, Bell AW, Bowen WC, </w:t>
      </w:r>
      <w:proofErr w:type="spellStart"/>
      <w:r w:rsidRPr="00611B67">
        <w:rPr>
          <w:rFonts w:ascii="Book Antiqua" w:eastAsia="宋体" w:hAnsi="Book Antiqua"/>
          <w:kern w:val="2"/>
          <w:bdr w:val="none" w:sz="0" w:space="0" w:color="auto"/>
          <w:lang w:eastAsia="zh-CN"/>
        </w:rPr>
        <w:t>Monga</w:t>
      </w:r>
      <w:proofErr w:type="spellEnd"/>
      <w:r w:rsidRPr="00611B67">
        <w:rPr>
          <w:rFonts w:ascii="Book Antiqua" w:eastAsia="宋体" w:hAnsi="Book Antiqua"/>
          <w:kern w:val="2"/>
          <w:bdr w:val="none" w:sz="0" w:space="0" w:color="auto"/>
          <w:lang w:eastAsia="zh-CN"/>
        </w:rPr>
        <w:t xml:space="preserve"> SP, </w:t>
      </w:r>
      <w:proofErr w:type="spellStart"/>
      <w:r w:rsidRPr="00611B67">
        <w:rPr>
          <w:rFonts w:ascii="Book Antiqua" w:eastAsia="宋体" w:hAnsi="Book Antiqua"/>
          <w:kern w:val="2"/>
          <w:bdr w:val="none" w:sz="0" w:space="0" w:color="auto"/>
          <w:lang w:eastAsia="zh-CN"/>
        </w:rPr>
        <w:t>Fleig</w:t>
      </w:r>
      <w:proofErr w:type="spellEnd"/>
      <w:r w:rsidRPr="00611B67">
        <w:rPr>
          <w:rFonts w:ascii="Book Antiqua" w:eastAsia="宋体" w:hAnsi="Book Antiqua"/>
          <w:kern w:val="2"/>
          <w:bdr w:val="none" w:sz="0" w:space="0" w:color="auto"/>
          <w:lang w:eastAsia="zh-CN"/>
        </w:rPr>
        <w:t xml:space="preserve"> W, </w:t>
      </w:r>
      <w:proofErr w:type="spellStart"/>
      <w:r w:rsidRPr="00611B67">
        <w:rPr>
          <w:rFonts w:ascii="Book Antiqua" w:eastAsia="宋体" w:hAnsi="Book Antiqua"/>
          <w:kern w:val="2"/>
          <w:bdr w:val="none" w:sz="0" w:space="0" w:color="auto"/>
          <w:lang w:eastAsia="zh-CN"/>
        </w:rPr>
        <w:t>Michalopoulos</w:t>
      </w:r>
      <w:proofErr w:type="spellEnd"/>
      <w:r w:rsidRPr="00611B67">
        <w:rPr>
          <w:rFonts w:ascii="Book Antiqua" w:eastAsia="宋体" w:hAnsi="Book Antiqua"/>
          <w:kern w:val="2"/>
          <w:bdr w:val="none" w:sz="0" w:space="0" w:color="auto"/>
          <w:lang w:eastAsia="zh-CN"/>
        </w:rPr>
        <w:t xml:space="preserve"> GK. E</w:t>
      </w:r>
      <w:r w:rsidRPr="00611B67">
        <w:rPr>
          <w:rFonts w:ascii="Book Antiqua" w:eastAsia="宋体" w:hAnsi="Book Antiqua"/>
          <w:kern w:val="2"/>
          <w:bdr w:val="none" w:sz="0" w:space="0" w:color="auto"/>
          <w:lang w:eastAsia="zh-CN"/>
        </w:rPr>
        <w:t>x</w:t>
      </w:r>
      <w:r w:rsidRPr="00611B67">
        <w:rPr>
          <w:rFonts w:ascii="Book Antiqua" w:eastAsia="宋体" w:hAnsi="Book Antiqua"/>
          <w:kern w:val="2"/>
          <w:bdr w:val="none" w:sz="0" w:space="0" w:color="auto"/>
          <w:lang w:eastAsia="zh-CN"/>
        </w:rPr>
        <w:t xml:space="preserve">pression of Notch-1 and its ligand Jagged-1 in rat liver during liver regeneration. </w:t>
      </w:r>
      <w:r w:rsidRPr="00611B67">
        <w:rPr>
          <w:rFonts w:ascii="Book Antiqua" w:eastAsia="宋体" w:hAnsi="Book Antiqua"/>
          <w:i/>
          <w:kern w:val="2"/>
          <w:bdr w:val="none" w:sz="0" w:space="0" w:color="auto"/>
          <w:lang w:eastAsia="zh-CN"/>
        </w:rPr>
        <w:t>Hepatology</w:t>
      </w:r>
      <w:r w:rsidRPr="00611B67">
        <w:rPr>
          <w:rFonts w:ascii="Book Antiqua" w:eastAsia="宋体" w:hAnsi="Book Antiqua"/>
          <w:kern w:val="2"/>
          <w:bdr w:val="none" w:sz="0" w:space="0" w:color="auto"/>
          <w:lang w:eastAsia="zh-CN"/>
        </w:rPr>
        <w:t xml:space="preserve"> 2004; </w:t>
      </w:r>
      <w:r w:rsidRPr="00611B67">
        <w:rPr>
          <w:rFonts w:ascii="Book Antiqua" w:eastAsia="宋体" w:hAnsi="Book Antiqua"/>
          <w:b/>
          <w:kern w:val="2"/>
          <w:bdr w:val="none" w:sz="0" w:space="0" w:color="auto"/>
          <w:lang w:eastAsia="zh-CN"/>
        </w:rPr>
        <w:t>39</w:t>
      </w:r>
      <w:r w:rsidRPr="00611B67">
        <w:rPr>
          <w:rFonts w:ascii="Book Antiqua" w:eastAsia="宋体" w:hAnsi="Book Antiqua"/>
          <w:kern w:val="2"/>
          <w:bdr w:val="none" w:sz="0" w:space="0" w:color="auto"/>
          <w:lang w:eastAsia="zh-CN"/>
        </w:rPr>
        <w:t>: 1056-1065 [PMID: 15057910 DOI: 10.1002/hep.20156]</w:t>
      </w:r>
    </w:p>
    <w:p w14:paraId="451A5B18"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19 </w:t>
      </w:r>
      <w:r w:rsidRPr="00611B67">
        <w:rPr>
          <w:rFonts w:ascii="Book Antiqua" w:eastAsia="宋体" w:hAnsi="Book Antiqua"/>
          <w:b/>
          <w:kern w:val="2"/>
          <w:bdr w:val="none" w:sz="0" w:space="0" w:color="auto"/>
          <w:lang w:eastAsia="zh-CN"/>
        </w:rPr>
        <w:t>Huck I</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Gunewardena</w:t>
      </w:r>
      <w:proofErr w:type="spellEnd"/>
      <w:r w:rsidRPr="00611B67">
        <w:rPr>
          <w:rFonts w:ascii="Book Antiqua" w:eastAsia="宋体" w:hAnsi="Book Antiqua"/>
          <w:kern w:val="2"/>
          <w:bdr w:val="none" w:sz="0" w:space="0" w:color="auto"/>
          <w:lang w:eastAsia="zh-CN"/>
        </w:rPr>
        <w:t xml:space="preserve"> S, </w:t>
      </w:r>
      <w:proofErr w:type="spellStart"/>
      <w:r w:rsidRPr="00611B67">
        <w:rPr>
          <w:rFonts w:ascii="Book Antiqua" w:eastAsia="宋体" w:hAnsi="Book Antiqua"/>
          <w:kern w:val="2"/>
          <w:bdr w:val="none" w:sz="0" w:space="0" w:color="auto"/>
          <w:lang w:eastAsia="zh-CN"/>
        </w:rPr>
        <w:t>Espanol-Suner</w:t>
      </w:r>
      <w:proofErr w:type="spellEnd"/>
      <w:r w:rsidRPr="00611B67">
        <w:rPr>
          <w:rFonts w:ascii="Book Antiqua" w:eastAsia="宋体" w:hAnsi="Book Antiqua"/>
          <w:kern w:val="2"/>
          <w:bdr w:val="none" w:sz="0" w:space="0" w:color="auto"/>
          <w:lang w:eastAsia="zh-CN"/>
        </w:rPr>
        <w:t xml:space="preserve"> R, </w:t>
      </w:r>
      <w:proofErr w:type="spellStart"/>
      <w:r w:rsidRPr="00611B67">
        <w:rPr>
          <w:rFonts w:ascii="Book Antiqua" w:eastAsia="宋体" w:hAnsi="Book Antiqua"/>
          <w:kern w:val="2"/>
          <w:bdr w:val="none" w:sz="0" w:space="0" w:color="auto"/>
          <w:lang w:eastAsia="zh-CN"/>
        </w:rPr>
        <w:t>Willenbring</w:t>
      </w:r>
      <w:proofErr w:type="spellEnd"/>
      <w:r w:rsidRPr="00611B67">
        <w:rPr>
          <w:rFonts w:ascii="Book Antiqua" w:eastAsia="宋体" w:hAnsi="Book Antiqua"/>
          <w:kern w:val="2"/>
          <w:bdr w:val="none" w:sz="0" w:space="0" w:color="auto"/>
          <w:lang w:eastAsia="zh-CN"/>
        </w:rPr>
        <w:t xml:space="preserve"> H, </w:t>
      </w:r>
      <w:proofErr w:type="spellStart"/>
      <w:r w:rsidRPr="00611B67">
        <w:rPr>
          <w:rFonts w:ascii="Book Antiqua" w:eastAsia="宋体" w:hAnsi="Book Antiqua"/>
          <w:kern w:val="2"/>
          <w:bdr w:val="none" w:sz="0" w:space="0" w:color="auto"/>
          <w:lang w:eastAsia="zh-CN"/>
        </w:rPr>
        <w:t>Apte</w:t>
      </w:r>
      <w:proofErr w:type="spellEnd"/>
      <w:r w:rsidRPr="00611B67">
        <w:rPr>
          <w:rFonts w:ascii="Book Antiqua" w:eastAsia="宋体" w:hAnsi="Book Antiqua"/>
          <w:kern w:val="2"/>
          <w:bdr w:val="none" w:sz="0" w:space="0" w:color="auto"/>
          <w:lang w:eastAsia="zh-CN"/>
        </w:rPr>
        <w:t xml:space="preserve"> U. Hepat</w:t>
      </w:r>
      <w:r w:rsidRPr="00611B67">
        <w:rPr>
          <w:rFonts w:ascii="Book Antiqua" w:eastAsia="宋体" w:hAnsi="Book Antiqua"/>
          <w:kern w:val="2"/>
          <w:bdr w:val="none" w:sz="0" w:space="0" w:color="auto"/>
          <w:lang w:eastAsia="zh-CN"/>
        </w:rPr>
        <w:t>o</w:t>
      </w:r>
      <w:r w:rsidRPr="00611B67">
        <w:rPr>
          <w:rFonts w:ascii="Book Antiqua" w:eastAsia="宋体" w:hAnsi="Book Antiqua"/>
          <w:kern w:val="2"/>
          <w:bdr w:val="none" w:sz="0" w:space="0" w:color="auto"/>
          <w:lang w:eastAsia="zh-CN"/>
        </w:rPr>
        <w:t>cyte Nuclear Factor 4 Alpha Activation Is Essential for Termination of Liver R</w:t>
      </w:r>
      <w:r w:rsidRPr="00611B67">
        <w:rPr>
          <w:rFonts w:ascii="Book Antiqua" w:eastAsia="宋体" w:hAnsi="Book Antiqua"/>
          <w:kern w:val="2"/>
          <w:bdr w:val="none" w:sz="0" w:space="0" w:color="auto"/>
          <w:lang w:eastAsia="zh-CN"/>
        </w:rPr>
        <w:t>e</w:t>
      </w:r>
      <w:r w:rsidRPr="00611B67">
        <w:rPr>
          <w:rFonts w:ascii="Book Antiqua" w:eastAsia="宋体" w:hAnsi="Book Antiqua"/>
          <w:kern w:val="2"/>
          <w:bdr w:val="none" w:sz="0" w:space="0" w:color="auto"/>
          <w:lang w:eastAsia="zh-CN"/>
        </w:rPr>
        <w:t xml:space="preserve">generation in Mice. </w:t>
      </w:r>
      <w:r w:rsidRPr="00611B67">
        <w:rPr>
          <w:rFonts w:ascii="Book Antiqua" w:eastAsia="宋体" w:hAnsi="Book Antiqua"/>
          <w:i/>
          <w:kern w:val="2"/>
          <w:bdr w:val="none" w:sz="0" w:space="0" w:color="auto"/>
          <w:lang w:eastAsia="zh-CN"/>
        </w:rPr>
        <w:t>Hepatology</w:t>
      </w:r>
      <w:r w:rsidRPr="00611B67">
        <w:rPr>
          <w:rFonts w:ascii="Book Antiqua" w:eastAsia="宋体" w:hAnsi="Book Antiqua"/>
          <w:kern w:val="2"/>
          <w:bdr w:val="none" w:sz="0" w:space="0" w:color="auto"/>
          <w:lang w:eastAsia="zh-CN"/>
        </w:rPr>
        <w:t xml:space="preserve"> 2019; </w:t>
      </w:r>
      <w:r w:rsidRPr="00611B67">
        <w:rPr>
          <w:rFonts w:ascii="Book Antiqua" w:eastAsia="宋体" w:hAnsi="Book Antiqua"/>
          <w:b/>
          <w:kern w:val="2"/>
          <w:bdr w:val="none" w:sz="0" w:space="0" w:color="auto"/>
          <w:lang w:eastAsia="zh-CN"/>
        </w:rPr>
        <w:t>70</w:t>
      </w:r>
      <w:r w:rsidRPr="00611B67">
        <w:rPr>
          <w:rFonts w:ascii="Book Antiqua" w:eastAsia="宋体" w:hAnsi="Book Antiqua"/>
          <w:kern w:val="2"/>
          <w:bdr w:val="none" w:sz="0" w:space="0" w:color="auto"/>
          <w:lang w:eastAsia="zh-CN"/>
        </w:rPr>
        <w:t>: 666-681 [PMID: 30520062 DOI: 10.1002/hep.30405]</w:t>
      </w:r>
    </w:p>
    <w:p w14:paraId="1F2582C2"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lastRenderedPageBreak/>
        <w:t xml:space="preserve">20 </w:t>
      </w:r>
      <w:r w:rsidRPr="00611B67">
        <w:rPr>
          <w:rFonts w:ascii="Book Antiqua" w:eastAsia="宋体" w:hAnsi="Book Antiqua"/>
          <w:b/>
          <w:kern w:val="2"/>
          <w:bdr w:val="none" w:sz="0" w:space="0" w:color="auto"/>
          <w:lang w:eastAsia="zh-CN"/>
        </w:rPr>
        <w:t>Nishii K</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Brodin</w:t>
      </w:r>
      <w:proofErr w:type="spellEnd"/>
      <w:r w:rsidRPr="00611B67">
        <w:rPr>
          <w:rFonts w:ascii="Book Antiqua" w:eastAsia="宋体" w:hAnsi="Book Antiqua"/>
          <w:kern w:val="2"/>
          <w:bdr w:val="none" w:sz="0" w:space="0" w:color="auto"/>
          <w:lang w:eastAsia="zh-CN"/>
        </w:rPr>
        <w:t xml:space="preserve"> E, Renshaw T, </w:t>
      </w:r>
      <w:proofErr w:type="spellStart"/>
      <w:r w:rsidRPr="00611B67">
        <w:rPr>
          <w:rFonts w:ascii="Book Antiqua" w:eastAsia="宋体" w:hAnsi="Book Antiqua"/>
          <w:kern w:val="2"/>
          <w:bdr w:val="none" w:sz="0" w:space="0" w:color="auto"/>
          <w:lang w:eastAsia="zh-CN"/>
        </w:rPr>
        <w:t>Weesner</w:t>
      </w:r>
      <w:proofErr w:type="spellEnd"/>
      <w:r w:rsidRPr="00611B67">
        <w:rPr>
          <w:rFonts w:ascii="Book Antiqua" w:eastAsia="宋体" w:hAnsi="Book Antiqua"/>
          <w:kern w:val="2"/>
          <w:bdr w:val="none" w:sz="0" w:space="0" w:color="auto"/>
          <w:lang w:eastAsia="zh-CN"/>
        </w:rPr>
        <w:t xml:space="preserve"> R, Moran E, </w:t>
      </w:r>
      <w:proofErr w:type="spellStart"/>
      <w:r w:rsidRPr="00611B67">
        <w:rPr>
          <w:rFonts w:ascii="Book Antiqua" w:eastAsia="宋体" w:hAnsi="Book Antiqua"/>
          <w:kern w:val="2"/>
          <w:bdr w:val="none" w:sz="0" w:space="0" w:color="auto"/>
          <w:lang w:eastAsia="zh-CN"/>
        </w:rPr>
        <w:t>Soker</w:t>
      </w:r>
      <w:proofErr w:type="spellEnd"/>
      <w:r w:rsidRPr="00611B67">
        <w:rPr>
          <w:rFonts w:ascii="Book Antiqua" w:eastAsia="宋体" w:hAnsi="Book Antiqua"/>
          <w:kern w:val="2"/>
          <w:bdr w:val="none" w:sz="0" w:space="0" w:color="auto"/>
          <w:lang w:eastAsia="zh-CN"/>
        </w:rPr>
        <w:t xml:space="preserve"> S, Sparks JL. Shear stress upregulates regeneration-related immediate early genes in liver pr</w:t>
      </w:r>
      <w:r w:rsidRPr="00611B67">
        <w:rPr>
          <w:rFonts w:ascii="Book Antiqua" w:eastAsia="宋体" w:hAnsi="Book Antiqua"/>
          <w:kern w:val="2"/>
          <w:bdr w:val="none" w:sz="0" w:space="0" w:color="auto"/>
          <w:lang w:eastAsia="zh-CN"/>
        </w:rPr>
        <w:t>o</w:t>
      </w:r>
      <w:r w:rsidRPr="00611B67">
        <w:rPr>
          <w:rFonts w:ascii="Book Antiqua" w:eastAsia="宋体" w:hAnsi="Book Antiqua"/>
          <w:kern w:val="2"/>
          <w:bdr w:val="none" w:sz="0" w:space="0" w:color="auto"/>
          <w:lang w:eastAsia="zh-CN"/>
        </w:rPr>
        <w:t xml:space="preserve">genitors in 3D ECM-like microenvironments. </w:t>
      </w:r>
      <w:r w:rsidRPr="00611B67">
        <w:rPr>
          <w:rFonts w:ascii="Book Antiqua" w:eastAsia="宋体" w:hAnsi="Book Antiqua"/>
          <w:i/>
          <w:kern w:val="2"/>
          <w:bdr w:val="none" w:sz="0" w:space="0" w:color="auto"/>
          <w:lang w:eastAsia="zh-CN"/>
        </w:rPr>
        <w:t xml:space="preserve">J Cell </w:t>
      </w:r>
      <w:proofErr w:type="spellStart"/>
      <w:r w:rsidRPr="00611B67">
        <w:rPr>
          <w:rFonts w:ascii="Book Antiqua" w:eastAsia="宋体" w:hAnsi="Book Antiqua"/>
          <w:i/>
          <w:kern w:val="2"/>
          <w:bdr w:val="none" w:sz="0" w:space="0" w:color="auto"/>
          <w:lang w:eastAsia="zh-CN"/>
        </w:rPr>
        <w:t>Physiol</w:t>
      </w:r>
      <w:proofErr w:type="spellEnd"/>
      <w:r w:rsidRPr="00611B67">
        <w:rPr>
          <w:rFonts w:ascii="Book Antiqua" w:eastAsia="宋体" w:hAnsi="Book Antiqua"/>
          <w:kern w:val="2"/>
          <w:bdr w:val="none" w:sz="0" w:space="0" w:color="auto"/>
          <w:lang w:eastAsia="zh-CN"/>
        </w:rPr>
        <w:t xml:space="preserve"> 2018; </w:t>
      </w:r>
      <w:r w:rsidRPr="00611B67">
        <w:rPr>
          <w:rFonts w:ascii="Book Antiqua" w:eastAsia="宋体" w:hAnsi="Book Antiqua"/>
          <w:b/>
          <w:kern w:val="2"/>
          <w:bdr w:val="none" w:sz="0" w:space="0" w:color="auto"/>
          <w:lang w:eastAsia="zh-CN"/>
        </w:rPr>
        <w:t>233</w:t>
      </w:r>
      <w:r w:rsidRPr="00611B67">
        <w:rPr>
          <w:rFonts w:ascii="Book Antiqua" w:eastAsia="宋体" w:hAnsi="Book Antiqua"/>
          <w:kern w:val="2"/>
          <w:bdr w:val="none" w:sz="0" w:space="0" w:color="auto"/>
          <w:lang w:eastAsia="zh-CN"/>
        </w:rPr>
        <w:t>: 4272-4281 [PMID: 29052842 DOI: 10.1002/jcp.26246]</w:t>
      </w:r>
    </w:p>
    <w:p w14:paraId="7D161A8C"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21 </w:t>
      </w:r>
      <w:proofErr w:type="spellStart"/>
      <w:r w:rsidRPr="00611B67">
        <w:rPr>
          <w:rFonts w:ascii="Book Antiqua" w:eastAsia="宋体" w:hAnsi="Book Antiqua"/>
          <w:b/>
          <w:kern w:val="2"/>
          <w:bdr w:val="none" w:sz="0" w:space="0" w:color="auto"/>
          <w:lang w:eastAsia="zh-CN"/>
        </w:rPr>
        <w:t>Tsomaia</w:t>
      </w:r>
      <w:proofErr w:type="spellEnd"/>
      <w:r w:rsidRPr="00611B67">
        <w:rPr>
          <w:rFonts w:ascii="Book Antiqua" w:eastAsia="宋体" w:hAnsi="Book Antiqua"/>
          <w:b/>
          <w:kern w:val="2"/>
          <w:bdr w:val="none" w:sz="0" w:space="0" w:color="auto"/>
          <w:lang w:eastAsia="zh-CN"/>
        </w:rPr>
        <w:t xml:space="preserve"> K</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Inauri</w:t>
      </w:r>
      <w:proofErr w:type="spellEnd"/>
      <w:r w:rsidRPr="00611B67">
        <w:rPr>
          <w:rFonts w:ascii="Book Antiqua" w:eastAsia="宋体" w:hAnsi="Book Antiqua"/>
          <w:kern w:val="2"/>
          <w:bdr w:val="none" w:sz="0" w:space="0" w:color="auto"/>
          <w:lang w:eastAsia="zh-CN"/>
        </w:rPr>
        <w:t xml:space="preserve"> N, </w:t>
      </w:r>
      <w:proofErr w:type="spellStart"/>
      <w:r w:rsidRPr="00611B67">
        <w:rPr>
          <w:rFonts w:ascii="Book Antiqua" w:eastAsia="宋体" w:hAnsi="Book Antiqua"/>
          <w:kern w:val="2"/>
          <w:bdr w:val="none" w:sz="0" w:space="0" w:color="auto"/>
          <w:lang w:eastAsia="zh-CN"/>
        </w:rPr>
        <w:t>Patarashvili</w:t>
      </w:r>
      <w:proofErr w:type="spellEnd"/>
      <w:r w:rsidRPr="00611B67">
        <w:rPr>
          <w:rFonts w:ascii="Book Antiqua" w:eastAsia="宋体" w:hAnsi="Book Antiqua"/>
          <w:kern w:val="2"/>
          <w:bdr w:val="none" w:sz="0" w:space="0" w:color="auto"/>
          <w:lang w:eastAsia="zh-CN"/>
        </w:rPr>
        <w:t xml:space="preserve"> L, </w:t>
      </w:r>
      <w:proofErr w:type="spellStart"/>
      <w:r w:rsidRPr="00611B67">
        <w:rPr>
          <w:rFonts w:ascii="Book Antiqua" w:eastAsia="宋体" w:hAnsi="Book Antiqua"/>
          <w:kern w:val="2"/>
          <w:bdr w:val="none" w:sz="0" w:space="0" w:color="auto"/>
          <w:lang w:eastAsia="zh-CN"/>
        </w:rPr>
        <w:t>Karumidze</w:t>
      </w:r>
      <w:proofErr w:type="spellEnd"/>
      <w:r w:rsidRPr="00611B67">
        <w:rPr>
          <w:rFonts w:ascii="Book Antiqua" w:eastAsia="宋体" w:hAnsi="Book Antiqua"/>
          <w:kern w:val="2"/>
          <w:bdr w:val="none" w:sz="0" w:space="0" w:color="auto"/>
          <w:lang w:eastAsia="zh-CN"/>
        </w:rPr>
        <w:t xml:space="preserve"> N, </w:t>
      </w:r>
      <w:proofErr w:type="spellStart"/>
      <w:r w:rsidRPr="00611B67">
        <w:rPr>
          <w:rFonts w:ascii="Book Antiqua" w:eastAsia="宋体" w:hAnsi="Book Antiqua"/>
          <w:kern w:val="2"/>
          <w:bdr w:val="none" w:sz="0" w:space="0" w:color="auto"/>
          <w:lang w:eastAsia="zh-CN"/>
        </w:rPr>
        <w:t>Azmaipharashvili</w:t>
      </w:r>
      <w:proofErr w:type="spellEnd"/>
      <w:r w:rsidRPr="00611B67">
        <w:rPr>
          <w:rFonts w:ascii="Book Antiqua" w:eastAsia="宋体" w:hAnsi="Book Antiqua"/>
          <w:kern w:val="2"/>
          <w:bdr w:val="none" w:sz="0" w:space="0" w:color="auto"/>
          <w:lang w:eastAsia="zh-CN"/>
        </w:rPr>
        <w:t xml:space="preserve"> E, </w:t>
      </w:r>
      <w:proofErr w:type="spellStart"/>
      <w:r w:rsidRPr="00611B67">
        <w:rPr>
          <w:rFonts w:ascii="Book Antiqua" w:eastAsia="宋体" w:hAnsi="Book Antiqua"/>
          <w:kern w:val="2"/>
          <w:bdr w:val="none" w:sz="0" w:space="0" w:color="auto"/>
          <w:lang w:eastAsia="zh-CN"/>
        </w:rPr>
        <w:t>Be</w:t>
      </w:r>
      <w:r w:rsidRPr="00611B67">
        <w:rPr>
          <w:rFonts w:ascii="Book Antiqua" w:eastAsia="宋体" w:hAnsi="Book Antiqua"/>
          <w:kern w:val="2"/>
          <w:bdr w:val="none" w:sz="0" w:space="0" w:color="auto"/>
          <w:lang w:eastAsia="zh-CN"/>
        </w:rPr>
        <w:t>b</w:t>
      </w:r>
      <w:r w:rsidRPr="00611B67">
        <w:rPr>
          <w:rFonts w:ascii="Book Antiqua" w:eastAsia="宋体" w:hAnsi="Book Antiqua"/>
          <w:kern w:val="2"/>
          <w:bdr w:val="none" w:sz="0" w:space="0" w:color="auto"/>
          <w:lang w:eastAsia="zh-CN"/>
        </w:rPr>
        <w:t>iashvili</w:t>
      </w:r>
      <w:proofErr w:type="spellEnd"/>
      <w:r w:rsidRPr="00611B67">
        <w:rPr>
          <w:rFonts w:ascii="Book Antiqua" w:eastAsia="宋体" w:hAnsi="Book Antiqua"/>
          <w:kern w:val="2"/>
          <w:bdr w:val="none" w:sz="0" w:space="0" w:color="auto"/>
          <w:lang w:eastAsia="zh-CN"/>
        </w:rPr>
        <w:t xml:space="preserve"> I, </w:t>
      </w:r>
      <w:proofErr w:type="spellStart"/>
      <w:r w:rsidRPr="00611B67">
        <w:rPr>
          <w:rFonts w:ascii="Book Antiqua" w:eastAsia="宋体" w:hAnsi="Book Antiqua"/>
          <w:kern w:val="2"/>
          <w:bdr w:val="none" w:sz="0" w:space="0" w:color="auto"/>
          <w:lang w:eastAsia="zh-CN"/>
        </w:rPr>
        <w:t>Kordzaia</w:t>
      </w:r>
      <w:proofErr w:type="spellEnd"/>
      <w:r w:rsidRPr="00611B67">
        <w:rPr>
          <w:rFonts w:ascii="Book Antiqua" w:eastAsia="宋体" w:hAnsi="Book Antiqua"/>
          <w:kern w:val="2"/>
          <w:bdr w:val="none" w:sz="0" w:space="0" w:color="auto"/>
          <w:lang w:eastAsia="zh-CN"/>
        </w:rPr>
        <w:t xml:space="preserve"> M, </w:t>
      </w:r>
      <w:proofErr w:type="spellStart"/>
      <w:r w:rsidRPr="00611B67">
        <w:rPr>
          <w:rFonts w:ascii="Book Antiqua" w:eastAsia="宋体" w:hAnsi="Book Antiqua"/>
          <w:kern w:val="2"/>
          <w:bdr w:val="none" w:sz="0" w:space="0" w:color="auto"/>
          <w:lang w:eastAsia="zh-CN"/>
        </w:rPr>
        <w:t>Kakabadze</w:t>
      </w:r>
      <w:proofErr w:type="spellEnd"/>
      <w:r w:rsidRPr="00611B67">
        <w:rPr>
          <w:rFonts w:ascii="Book Antiqua" w:eastAsia="宋体" w:hAnsi="Book Antiqua"/>
          <w:kern w:val="2"/>
          <w:bdr w:val="none" w:sz="0" w:space="0" w:color="auto"/>
          <w:lang w:eastAsia="zh-CN"/>
        </w:rPr>
        <w:t xml:space="preserve"> M, </w:t>
      </w:r>
      <w:proofErr w:type="spellStart"/>
      <w:r w:rsidRPr="00611B67">
        <w:rPr>
          <w:rFonts w:ascii="Book Antiqua" w:eastAsia="宋体" w:hAnsi="Book Antiqua"/>
          <w:kern w:val="2"/>
          <w:bdr w:val="none" w:sz="0" w:space="0" w:color="auto"/>
          <w:lang w:eastAsia="zh-CN"/>
        </w:rPr>
        <w:t>Dzidziguri</w:t>
      </w:r>
      <w:proofErr w:type="spellEnd"/>
      <w:r w:rsidRPr="00611B67">
        <w:rPr>
          <w:rFonts w:ascii="Book Antiqua" w:eastAsia="宋体" w:hAnsi="Book Antiqua"/>
          <w:kern w:val="2"/>
          <w:bdr w:val="none" w:sz="0" w:space="0" w:color="auto"/>
          <w:lang w:eastAsia="zh-CN"/>
        </w:rPr>
        <w:t xml:space="preserve"> D, </w:t>
      </w:r>
      <w:proofErr w:type="spellStart"/>
      <w:r w:rsidRPr="00611B67">
        <w:rPr>
          <w:rFonts w:ascii="Book Antiqua" w:eastAsia="宋体" w:hAnsi="Book Antiqua"/>
          <w:kern w:val="2"/>
          <w:bdr w:val="none" w:sz="0" w:space="0" w:color="auto"/>
          <w:lang w:eastAsia="zh-CN"/>
        </w:rPr>
        <w:t>Kordzaia</w:t>
      </w:r>
      <w:proofErr w:type="spellEnd"/>
      <w:r w:rsidRPr="00611B67">
        <w:rPr>
          <w:rFonts w:ascii="Book Antiqua" w:eastAsia="宋体" w:hAnsi="Book Antiqua"/>
          <w:kern w:val="2"/>
          <w:bdr w:val="none" w:sz="0" w:space="0" w:color="auto"/>
          <w:lang w:eastAsia="zh-CN"/>
        </w:rPr>
        <w:t xml:space="preserve"> D. To fill the mis</w:t>
      </w:r>
      <w:r w:rsidRPr="00611B67">
        <w:rPr>
          <w:rFonts w:ascii="Book Antiqua" w:eastAsia="宋体" w:hAnsi="Book Antiqua"/>
          <w:kern w:val="2"/>
          <w:bdr w:val="none" w:sz="0" w:space="0" w:color="auto"/>
          <w:lang w:eastAsia="zh-CN"/>
        </w:rPr>
        <w:t>s</w:t>
      </w:r>
      <w:r w:rsidRPr="00611B67">
        <w:rPr>
          <w:rFonts w:ascii="Book Antiqua" w:eastAsia="宋体" w:hAnsi="Book Antiqua"/>
          <w:kern w:val="2"/>
          <w:bdr w:val="none" w:sz="0" w:space="0" w:color="auto"/>
          <w:lang w:eastAsia="zh-CN"/>
        </w:rPr>
        <w:t xml:space="preserve">ing fragments of a complex mosaic of liver regeneration. </w:t>
      </w:r>
      <w:proofErr w:type="spellStart"/>
      <w:r w:rsidRPr="00611B67">
        <w:rPr>
          <w:rFonts w:ascii="Book Antiqua" w:eastAsia="宋体" w:hAnsi="Book Antiqua"/>
          <w:i/>
          <w:kern w:val="2"/>
          <w:bdr w:val="none" w:sz="0" w:space="0" w:color="auto"/>
          <w:lang w:eastAsia="zh-CN"/>
        </w:rPr>
        <w:t>Transl</w:t>
      </w:r>
      <w:proofErr w:type="spellEnd"/>
      <w:r w:rsidRPr="00611B67">
        <w:rPr>
          <w:rFonts w:ascii="Book Antiqua" w:eastAsia="宋体" w:hAnsi="Book Antiqua"/>
          <w:i/>
          <w:kern w:val="2"/>
          <w:bdr w:val="none" w:sz="0" w:space="0" w:color="auto"/>
          <w:lang w:eastAsia="zh-CN"/>
        </w:rPr>
        <w:t xml:space="preserve"> </w:t>
      </w:r>
      <w:proofErr w:type="spellStart"/>
      <w:r w:rsidRPr="00611B67">
        <w:rPr>
          <w:rFonts w:ascii="Book Antiqua" w:eastAsia="宋体" w:hAnsi="Book Antiqua"/>
          <w:i/>
          <w:kern w:val="2"/>
          <w:bdr w:val="none" w:sz="0" w:space="0" w:color="auto"/>
          <w:lang w:eastAsia="zh-CN"/>
        </w:rPr>
        <w:t>Clin</w:t>
      </w:r>
      <w:proofErr w:type="spellEnd"/>
      <w:r w:rsidRPr="00611B67">
        <w:rPr>
          <w:rFonts w:ascii="Book Antiqua" w:eastAsia="宋体" w:hAnsi="Book Antiqua"/>
          <w:i/>
          <w:kern w:val="2"/>
          <w:bdr w:val="none" w:sz="0" w:space="0" w:color="auto"/>
          <w:lang w:eastAsia="zh-CN"/>
        </w:rPr>
        <w:t xml:space="preserve"> Med - Georg Med J</w:t>
      </w:r>
      <w:r w:rsidRPr="00611B67">
        <w:rPr>
          <w:rFonts w:ascii="Book Antiqua" w:eastAsia="宋体" w:hAnsi="Book Antiqua"/>
          <w:kern w:val="2"/>
          <w:bdr w:val="none" w:sz="0" w:space="0" w:color="auto"/>
          <w:lang w:eastAsia="zh-CN"/>
        </w:rPr>
        <w:t xml:space="preserve"> 2018; 3: 32-37 [DOI: 10.29088/TCM-GMJ.2018.32]</w:t>
      </w:r>
    </w:p>
    <w:p w14:paraId="54057767"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22 </w:t>
      </w:r>
      <w:proofErr w:type="spellStart"/>
      <w:r w:rsidRPr="00611B67">
        <w:rPr>
          <w:rFonts w:ascii="Book Antiqua" w:eastAsia="宋体" w:hAnsi="Book Antiqua"/>
          <w:b/>
          <w:kern w:val="2"/>
          <w:bdr w:val="none" w:sz="0" w:space="0" w:color="auto"/>
          <w:lang w:eastAsia="zh-CN"/>
        </w:rPr>
        <w:t>Bangru</w:t>
      </w:r>
      <w:proofErr w:type="spellEnd"/>
      <w:r w:rsidRPr="00611B67">
        <w:rPr>
          <w:rFonts w:ascii="Book Antiqua" w:eastAsia="宋体" w:hAnsi="Book Antiqua"/>
          <w:b/>
          <w:kern w:val="2"/>
          <w:bdr w:val="none" w:sz="0" w:space="0" w:color="auto"/>
          <w:lang w:eastAsia="zh-CN"/>
        </w:rPr>
        <w:t xml:space="preserve"> S</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Arif</w:t>
      </w:r>
      <w:proofErr w:type="spellEnd"/>
      <w:r w:rsidRPr="00611B67">
        <w:rPr>
          <w:rFonts w:ascii="Book Antiqua" w:eastAsia="宋体" w:hAnsi="Book Antiqua"/>
          <w:kern w:val="2"/>
          <w:bdr w:val="none" w:sz="0" w:space="0" w:color="auto"/>
          <w:lang w:eastAsia="zh-CN"/>
        </w:rPr>
        <w:t xml:space="preserve"> W, </w:t>
      </w:r>
      <w:proofErr w:type="spellStart"/>
      <w:r w:rsidRPr="00611B67">
        <w:rPr>
          <w:rFonts w:ascii="Book Antiqua" w:eastAsia="宋体" w:hAnsi="Book Antiqua"/>
          <w:kern w:val="2"/>
          <w:bdr w:val="none" w:sz="0" w:space="0" w:color="auto"/>
          <w:lang w:eastAsia="zh-CN"/>
        </w:rPr>
        <w:t>Seimetz</w:t>
      </w:r>
      <w:proofErr w:type="spellEnd"/>
      <w:r w:rsidRPr="00611B67">
        <w:rPr>
          <w:rFonts w:ascii="Book Antiqua" w:eastAsia="宋体" w:hAnsi="Book Antiqua"/>
          <w:kern w:val="2"/>
          <w:bdr w:val="none" w:sz="0" w:space="0" w:color="auto"/>
          <w:lang w:eastAsia="zh-CN"/>
        </w:rPr>
        <w:t xml:space="preserve"> J, </w:t>
      </w:r>
      <w:proofErr w:type="spellStart"/>
      <w:r w:rsidRPr="00611B67">
        <w:rPr>
          <w:rFonts w:ascii="Book Antiqua" w:eastAsia="宋体" w:hAnsi="Book Antiqua"/>
          <w:kern w:val="2"/>
          <w:bdr w:val="none" w:sz="0" w:space="0" w:color="auto"/>
          <w:lang w:eastAsia="zh-CN"/>
        </w:rPr>
        <w:t>Bhate</w:t>
      </w:r>
      <w:proofErr w:type="spellEnd"/>
      <w:r w:rsidRPr="00611B67">
        <w:rPr>
          <w:rFonts w:ascii="Book Antiqua" w:eastAsia="宋体" w:hAnsi="Book Antiqua"/>
          <w:kern w:val="2"/>
          <w:bdr w:val="none" w:sz="0" w:space="0" w:color="auto"/>
          <w:lang w:eastAsia="zh-CN"/>
        </w:rPr>
        <w:t xml:space="preserve"> A, Chen J, </w:t>
      </w:r>
      <w:proofErr w:type="spellStart"/>
      <w:r w:rsidRPr="00611B67">
        <w:rPr>
          <w:rFonts w:ascii="Book Antiqua" w:eastAsia="宋体" w:hAnsi="Book Antiqua"/>
          <w:kern w:val="2"/>
          <w:bdr w:val="none" w:sz="0" w:space="0" w:color="auto"/>
          <w:lang w:eastAsia="zh-CN"/>
        </w:rPr>
        <w:t>Rashan</w:t>
      </w:r>
      <w:proofErr w:type="spellEnd"/>
      <w:r w:rsidRPr="00611B67">
        <w:rPr>
          <w:rFonts w:ascii="Book Antiqua" w:eastAsia="宋体" w:hAnsi="Book Antiqua"/>
          <w:kern w:val="2"/>
          <w:bdr w:val="none" w:sz="0" w:space="0" w:color="auto"/>
          <w:lang w:eastAsia="zh-CN"/>
        </w:rPr>
        <w:t xml:space="preserve"> EH, </w:t>
      </w:r>
      <w:proofErr w:type="spellStart"/>
      <w:r w:rsidRPr="00611B67">
        <w:rPr>
          <w:rFonts w:ascii="Book Antiqua" w:eastAsia="宋体" w:hAnsi="Book Antiqua"/>
          <w:kern w:val="2"/>
          <w:bdr w:val="none" w:sz="0" w:space="0" w:color="auto"/>
          <w:lang w:eastAsia="zh-CN"/>
        </w:rPr>
        <w:t>Carstens</w:t>
      </w:r>
      <w:proofErr w:type="spellEnd"/>
      <w:r w:rsidRPr="00611B67">
        <w:rPr>
          <w:rFonts w:ascii="Book Antiqua" w:eastAsia="宋体" w:hAnsi="Book Antiqua"/>
          <w:kern w:val="2"/>
          <w:bdr w:val="none" w:sz="0" w:space="0" w:color="auto"/>
          <w:lang w:eastAsia="zh-CN"/>
        </w:rPr>
        <w:t xml:space="preserve"> RP, </w:t>
      </w:r>
      <w:proofErr w:type="spellStart"/>
      <w:r w:rsidRPr="00611B67">
        <w:rPr>
          <w:rFonts w:ascii="Book Antiqua" w:eastAsia="宋体" w:hAnsi="Book Antiqua"/>
          <w:kern w:val="2"/>
          <w:bdr w:val="none" w:sz="0" w:space="0" w:color="auto"/>
          <w:lang w:eastAsia="zh-CN"/>
        </w:rPr>
        <w:t>Anakk</w:t>
      </w:r>
      <w:proofErr w:type="spellEnd"/>
      <w:r w:rsidRPr="00611B67">
        <w:rPr>
          <w:rFonts w:ascii="Book Antiqua" w:eastAsia="宋体" w:hAnsi="Book Antiqua"/>
          <w:kern w:val="2"/>
          <w:bdr w:val="none" w:sz="0" w:space="0" w:color="auto"/>
          <w:lang w:eastAsia="zh-CN"/>
        </w:rPr>
        <w:t xml:space="preserve"> S, </w:t>
      </w:r>
      <w:proofErr w:type="spellStart"/>
      <w:r w:rsidRPr="00611B67">
        <w:rPr>
          <w:rFonts w:ascii="Book Antiqua" w:eastAsia="宋体" w:hAnsi="Book Antiqua"/>
          <w:kern w:val="2"/>
          <w:bdr w:val="none" w:sz="0" w:space="0" w:color="auto"/>
          <w:lang w:eastAsia="zh-CN"/>
        </w:rPr>
        <w:t>Kalsotra</w:t>
      </w:r>
      <w:proofErr w:type="spellEnd"/>
      <w:r w:rsidRPr="00611B67">
        <w:rPr>
          <w:rFonts w:ascii="Book Antiqua" w:eastAsia="宋体" w:hAnsi="Book Antiqua"/>
          <w:kern w:val="2"/>
          <w:bdr w:val="none" w:sz="0" w:space="0" w:color="auto"/>
          <w:lang w:eastAsia="zh-CN"/>
        </w:rPr>
        <w:t xml:space="preserve"> A. Alternative splicing rewires Hippo signaling pathway in hepat</w:t>
      </w:r>
      <w:r w:rsidRPr="00611B67">
        <w:rPr>
          <w:rFonts w:ascii="Book Antiqua" w:eastAsia="宋体" w:hAnsi="Book Antiqua"/>
          <w:kern w:val="2"/>
          <w:bdr w:val="none" w:sz="0" w:space="0" w:color="auto"/>
          <w:lang w:eastAsia="zh-CN"/>
        </w:rPr>
        <w:t>o</w:t>
      </w:r>
      <w:r w:rsidRPr="00611B67">
        <w:rPr>
          <w:rFonts w:ascii="Book Antiqua" w:eastAsia="宋体" w:hAnsi="Book Antiqua"/>
          <w:kern w:val="2"/>
          <w:bdr w:val="none" w:sz="0" w:space="0" w:color="auto"/>
          <w:lang w:eastAsia="zh-CN"/>
        </w:rPr>
        <w:t xml:space="preserve">cytes to promote liver regeneration. </w:t>
      </w:r>
      <w:r w:rsidRPr="00611B67">
        <w:rPr>
          <w:rFonts w:ascii="Book Antiqua" w:eastAsia="宋体" w:hAnsi="Book Antiqua"/>
          <w:i/>
          <w:kern w:val="2"/>
          <w:bdr w:val="none" w:sz="0" w:space="0" w:color="auto"/>
          <w:lang w:eastAsia="zh-CN"/>
        </w:rPr>
        <w:t>Nat Struct Mol Biol</w:t>
      </w:r>
      <w:r w:rsidRPr="00611B67">
        <w:rPr>
          <w:rFonts w:ascii="Book Antiqua" w:eastAsia="宋体" w:hAnsi="Book Antiqua"/>
          <w:kern w:val="2"/>
          <w:bdr w:val="none" w:sz="0" w:space="0" w:color="auto"/>
          <w:lang w:eastAsia="zh-CN"/>
        </w:rPr>
        <w:t xml:space="preserve"> 2018; </w:t>
      </w:r>
      <w:r w:rsidRPr="00611B67">
        <w:rPr>
          <w:rFonts w:ascii="Book Antiqua" w:eastAsia="宋体" w:hAnsi="Book Antiqua"/>
          <w:b/>
          <w:kern w:val="2"/>
          <w:bdr w:val="none" w:sz="0" w:space="0" w:color="auto"/>
          <w:lang w:eastAsia="zh-CN"/>
        </w:rPr>
        <w:t>25</w:t>
      </w:r>
      <w:r w:rsidRPr="00611B67">
        <w:rPr>
          <w:rFonts w:ascii="Book Antiqua" w:eastAsia="宋体" w:hAnsi="Book Antiqua"/>
          <w:kern w:val="2"/>
          <w:bdr w:val="none" w:sz="0" w:space="0" w:color="auto"/>
          <w:lang w:eastAsia="zh-CN"/>
        </w:rPr>
        <w:t>: 928-939 [PMID: 30250226 DOI: 10.1038/s41594-018-0129-2]</w:t>
      </w:r>
    </w:p>
    <w:p w14:paraId="70C27EB6"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23 </w:t>
      </w:r>
      <w:proofErr w:type="spellStart"/>
      <w:r w:rsidRPr="00611B67">
        <w:rPr>
          <w:rFonts w:ascii="Book Antiqua" w:eastAsia="宋体" w:hAnsi="Book Antiqua"/>
          <w:b/>
          <w:kern w:val="2"/>
          <w:bdr w:val="none" w:sz="0" w:space="0" w:color="auto"/>
          <w:lang w:eastAsia="zh-CN"/>
        </w:rPr>
        <w:t>Tarlá</w:t>
      </w:r>
      <w:proofErr w:type="spellEnd"/>
      <w:r w:rsidRPr="00611B67">
        <w:rPr>
          <w:rFonts w:ascii="Book Antiqua" w:eastAsia="宋体" w:hAnsi="Book Antiqua"/>
          <w:b/>
          <w:kern w:val="2"/>
          <w:bdr w:val="none" w:sz="0" w:space="0" w:color="auto"/>
          <w:lang w:eastAsia="zh-CN"/>
        </w:rPr>
        <w:t xml:space="preserve"> MR</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Ramalho</w:t>
      </w:r>
      <w:proofErr w:type="spellEnd"/>
      <w:r w:rsidRPr="00611B67">
        <w:rPr>
          <w:rFonts w:ascii="Book Antiqua" w:eastAsia="宋体" w:hAnsi="Book Antiqua"/>
          <w:kern w:val="2"/>
          <w:bdr w:val="none" w:sz="0" w:space="0" w:color="auto"/>
          <w:lang w:eastAsia="zh-CN"/>
        </w:rPr>
        <w:t xml:space="preserve"> FS, </w:t>
      </w:r>
      <w:proofErr w:type="spellStart"/>
      <w:r w:rsidRPr="00611B67">
        <w:rPr>
          <w:rFonts w:ascii="Book Antiqua" w:eastAsia="宋体" w:hAnsi="Book Antiqua"/>
          <w:kern w:val="2"/>
          <w:bdr w:val="none" w:sz="0" w:space="0" w:color="auto"/>
          <w:lang w:eastAsia="zh-CN"/>
        </w:rPr>
        <w:t>Ramalho</w:t>
      </w:r>
      <w:proofErr w:type="spellEnd"/>
      <w:r w:rsidRPr="00611B67">
        <w:rPr>
          <w:rFonts w:ascii="Book Antiqua" w:eastAsia="宋体" w:hAnsi="Book Antiqua"/>
          <w:kern w:val="2"/>
          <w:bdr w:val="none" w:sz="0" w:space="0" w:color="auto"/>
          <w:lang w:eastAsia="zh-CN"/>
        </w:rPr>
        <w:t xml:space="preserve"> LN, Silva </w:t>
      </w:r>
      <w:proofErr w:type="spellStart"/>
      <w:r w:rsidRPr="00611B67">
        <w:rPr>
          <w:rFonts w:ascii="Book Antiqua" w:eastAsia="宋体" w:hAnsi="Book Antiqua"/>
          <w:kern w:val="2"/>
          <w:bdr w:val="none" w:sz="0" w:space="0" w:color="auto"/>
          <w:lang w:eastAsia="zh-CN"/>
        </w:rPr>
        <w:t>Tde</w:t>
      </w:r>
      <w:proofErr w:type="spellEnd"/>
      <w:r w:rsidRPr="00611B67">
        <w:rPr>
          <w:rFonts w:ascii="Book Antiqua" w:eastAsia="宋体" w:hAnsi="Book Antiqua"/>
          <w:kern w:val="2"/>
          <w:bdr w:val="none" w:sz="0" w:space="0" w:color="auto"/>
          <w:lang w:eastAsia="zh-CN"/>
        </w:rPr>
        <w:t xml:space="preserve"> C, </w:t>
      </w:r>
      <w:proofErr w:type="spellStart"/>
      <w:r w:rsidRPr="00611B67">
        <w:rPr>
          <w:rFonts w:ascii="Book Antiqua" w:eastAsia="宋体" w:hAnsi="Book Antiqua"/>
          <w:kern w:val="2"/>
          <w:bdr w:val="none" w:sz="0" w:space="0" w:color="auto"/>
          <w:lang w:eastAsia="zh-CN"/>
        </w:rPr>
        <w:t>Brandão</w:t>
      </w:r>
      <w:proofErr w:type="spellEnd"/>
      <w:r w:rsidRPr="00611B67">
        <w:rPr>
          <w:rFonts w:ascii="Book Antiqua" w:eastAsia="宋体" w:hAnsi="Book Antiqua"/>
          <w:kern w:val="2"/>
          <w:bdr w:val="none" w:sz="0" w:space="0" w:color="auto"/>
          <w:lang w:eastAsia="zh-CN"/>
        </w:rPr>
        <w:t xml:space="preserve"> DF, Ferreira J, Si</w:t>
      </w:r>
      <w:r w:rsidRPr="00611B67">
        <w:rPr>
          <w:rFonts w:ascii="Book Antiqua" w:eastAsia="宋体" w:hAnsi="Book Antiqua"/>
          <w:kern w:val="2"/>
          <w:bdr w:val="none" w:sz="0" w:space="0" w:color="auto"/>
          <w:lang w:eastAsia="zh-CN"/>
        </w:rPr>
        <w:t>l</w:t>
      </w:r>
      <w:r w:rsidRPr="00611B67">
        <w:rPr>
          <w:rFonts w:ascii="Book Antiqua" w:eastAsia="宋体" w:hAnsi="Book Antiqua"/>
          <w:kern w:val="2"/>
          <w:bdr w:val="none" w:sz="0" w:space="0" w:color="auto"/>
          <w:lang w:eastAsia="zh-CN"/>
        </w:rPr>
        <w:t xml:space="preserve">va Ode C, </w:t>
      </w:r>
      <w:proofErr w:type="spellStart"/>
      <w:r w:rsidRPr="00611B67">
        <w:rPr>
          <w:rFonts w:ascii="Book Antiqua" w:eastAsia="宋体" w:hAnsi="Book Antiqua"/>
          <w:kern w:val="2"/>
          <w:bdr w:val="none" w:sz="0" w:space="0" w:color="auto"/>
          <w:lang w:eastAsia="zh-CN"/>
        </w:rPr>
        <w:t>Zucoloto</w:t>
      </w:r>
      <w:proofErr w:type="spellEnd"/>
      <w:r w:rsidRPr="00611B67">
        <w:rPr>
          <w:rFonts w:ascii="Book Antiqua" w:eastAsia="宋体" w:hAnsi="Book Antiqua"/>
          <w:kern w:val="2"/>
          <w:bdr w:val="none" w:sz="0" w:space="0" w:color="auto"/>
          <w:lang w:eastAsia="zh-CN"/>
        </w:rPr>
        <w:t xml:space="preserve"> S. A molecular view of liver regeneration. </w:t>
      </w:r>
      <w:r w:rsidRPr="00611B67">
        <w:rPr>
          <w:rFonts w:ascii="Book Antiqua" w:eastAsia="宋体" w:hAnsi="Book Antiqua"/>
          <w:i/>
          <w:kern w:val="2"/>
          <w:bdr w:val="none" w:sz="0" w:space="0" w:color="auto"/>
          <w:lang w:eastAsia="zh-CN"/>
        </w:rPr>
        <w:t>Acta Cir Bras</w:t>
      </w:r>
      <w:r w:rsidRPr="00611B67">
        <w:rPr>
          <w:rFonts w:ascii="Book Antiqua" w:eastAsia="宋体" w:hAnsi="Book Antiqua"/>
          <w:kern w:val="2"/>
          <w:bdr w:val="none" w:sz="0" w:space="0" w:color="auto"/>
          <w:lang w:eastAsia="zh-CN"/>
        </w:rPr>
        <w:t xml:space="preserve"> 2006; </w:t>
      </w:r>
      <w:r w:rsidRPr="00611B67">
        <w:rPr>
          <w:rFonts w:ascii="Book Antiqua" w:eastAsia="宋体" w:hAnsi="Book Antiqua"/>
          <w:b/>
          <w:kern w:val="2"/>
          <w:bdr w:val="none" w:sz="0" w:space="0" w:color="auto"/>
          <w:lang w:eastAsia="zh-CN"/>
        </w:rPr>
        <w:t>21 Suppl 1</w:t>
      </w:r>
      <w:r w:rsidRPr="00611B67">
        <w:rPr>
          <w:rFonts w:ascii="Book Antiqua" w:eastAsia="宋体" w:hAnsi="Book Antiqua"/>
          <w:kern w:val="2"/>
          <w:bdr w:val="none" w:sz="0" w:space="0" w:color="auto"/>
          <w:lang w:eastAsia="zh-CN"/>
        </w:rPr>
        <w:t>: 58-62 [PMID: 17013516 DOI: 10.1590/S0102-86502006000700014]</w:t>
      </w:r>
    </w:p>
    <w:p w14:paraId="7083F337"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24 </w:t>
      </w:r>
      <w:r w:rsidRPr="00611B67">
        <w:rPr>
          <w:rFonts w:ascii="Book Antiqua" w:eastAsia="宋体" w:hAnsi="Book Antiqua"/>
          <w:b/>
          <w:kern w:val="2"/>
          <w:bdr w:val="none" w:sz="0" w:space="0" w:color="auto"/>
          <w:lang w:eastAsia="zh-CN"/>
        </w:rPr>
        <w:t>Fausto N</w:t>
      </w:r>
      <w:r w:rsidRPr="00611B67">
        <w:rPr>
          <w:rFonts w:ascii="Book Antiqua" w:eastAsia="宋体" w:hAnsi="Book Antiqua"/>
          <w:kern w:val="2"/>
          <w:bdr w:val="none" w:sz="0" w:space="0" w:color="auto"/>
          <w:lang w:eastAsia="zh-CN"/>
        </w:rPr>
        <w:t xml:space="preserve">, Campbell JS, Riehle KJ. Liver regeneration. </w:t>
      </w:r>
      <w:r w:rsidRPr="00611B67">
        <w:rPr>
          <w:rFonts w:ascii="Book Antiqua" w:eastAsia="宋体" w:hAnsi="Book Antiqua"/>
          <w:i/>
          <w:kern w:val="2"/>
          <w:bdr w:val="none" w:sz="0" w:space="0" w:color="auto"/>
          <w:lang w:eastAsia="zh-CN"/>
        </w:rPr>
        <w:t>Hepatology</w:t>
      </w:r>
      <w:r w:rsidRPr="00611B67">
        <w:rPr>
          <w:rFonts w:ascii="Book Antiqua" w:eastAsia="宋体" w:hAnsi="Book Antiqua"/>
          <w:kern w:val="2"/>
          <w:bdr w:val="none" w:sz="0" w:space="0" w:color="auto"/>
          <w:lang w:eastAsia="zh-CN"/>
        </w:rPr>
        <w:t xml:space="preserve"> 2006; </w:t>
      </w:r>
      <w:r w:rsidRPr="00611B67">
        <w:rPr>
          <w:rFonts w:ascii="Book Antiqua" w:eastAsia="宋体" w:hAnsi="Book Antiqua"/>
          <w:b/>
          <w:kern w:val="2"/>
          <w:bdr w:val="none" w:sz="0" w:space="0" w:color="auto"/>
          <w:lang w:eastAsia="zh-CN"/>
        </w:rPr>
        <w:t>43</w:t>
      </w:r>
      <w:r w:rsidRPr="00611B67">
        <w:rPr>
          <w:rFonts w:ascii="Book Antiqua" w:eastAsia="宋体" w:hAnsi="Book Antiqua"/>
          <w:kern w:val="2"/>
          <w:bdr w:val="none" w:sz="0" w:space="0" w:color="auto"/>
          <w:lang w:eastAsia="zh-CN"/>
        </w:rPr>
        <w:t>: S45-S53 [PMID: 16447274 DOI: 10.1002/hep.20969]</w:t>
      </w:r>
    </w:p>
    <w:p w14:paraId="111682CA"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25 </w:t>
      </w:r>
      <w:proofErr w:type="spellStart"/>
      <w:r w:rsidRPr="00611B67">
        <w:rPr>
          <w:rFonts w:ascii="Book Antiqua" w:eastAsia="宋体" w:hAnsi="Book Antiqua"/>
          <w:b/>
          <w:kern w:val="2"/>
          <w:bdr w:val="none" w:sz="0" w:space="0" w:color="auto"/>
          <w:lang w:eastAsia="zh-CN"/>
        </w:rPr>
        <w:t>Dezső</w:t>
      </w:r>
      <w:proofErr w:type="spellEnd"/>
      <w:r w:rsidRPr="00611B67">
        <w:rPr>
          <w:rFonts w:ascii="Book Antiqua" w:eastAsia="宋体" w:hAnsi="Book Antiqua"/>
          <w:b/>
          <w:kern w:val="2"/>
          <w:bdr w:val="none" w:sz="0" w:space="0" w:color="auto"/>
          <w:lang w:eastAsia="zh-CN"/>
        </w:rPr>
        <w:t xml:space="preserve"> K</w:t>
      </w:r>
      <w:r w:rsidRPr="00611B67">
        <w:rPr>
          <w:rFonts w:ascii="Book Antiqua" w:eastAsia="宋体" w:hAnsi="Book Antiqua"/>
          <w:kern w:val="2"/>
          <w:bdr w:val="none" w:sz="0" w:space="0" w:color="auto"/>
          <w:lang w:eastAsia="zh-CN"/>
        </w:rPr>
        <w:t xml:space="preserve">, Papp V, </w:t>
      </w:r>
      <w:proofErr w:type="spellStart"/>
      <w:r w:rsidRPr="00611B67">
        <w:rPr>
          <w:rFonts w:ascii="Book Antiqua" w:eastAsia="宋体" w:hAnsi="Book Antiqua"/>
          <w:kern w:val="2"/>
          <w:bdr w:val="none" w:sz="0" w:space="0" w:color="auto"/>
          <w:lang w:eastAsia="zh-CN"/>
        </w:rPr>
        <w:t>Bugyik</w:t>
      </w:r>
      <w:proofErr w:type="spellEnd"/>
      <w:r w:rsidRPr="00611B67">
        <w:rPr>
          <w:rFonts w:ascii="Book Antiqua" w:eastAsia="宋体" w:hAnsi="Book Antiqua"/>
          <w:kern w:val="2"/>
          <w:bdr w:val="none" w:sz="0" w:space="0" w:color="auto"/>
          <w:lang w:eastAsia="zh-CN"/>
        </w:rPr>
        <w:t xml:space="preserve"> E, </w:t>
      </w:r>
      <w:proofErr w:type="spellStart"/>
      <w:r w:rsidRPr="00611B67">
        <w:rPr>
          <w:rFonts w:ascii="Book Antiqua" w:eastAsia="宋体" w:hAnsi="Book Antiqua"/>
          <w:kern w:val="2"/>
          <w:bdr w:val="none" w:sz="0" w:space="0" w:color="auto"/>
          <w:lang w:eastAsia="zh-CN"/>
        </w:rPr>
        <w:t>Hegyesi</w:t>
      </w:r>
      <w:proofErr w:type="spellEnd"/>
      <w:r w:rsidRPr="00611B67">
        <w:rPr>
          <w:rFonts w:ascii="Book Antiqua" w:eastAsia="宋体" w:hAnsi="Book Antiqua"/>
          <w:kern w:val="2"/>
          <w:bdr w:val="none" w:sz="0" w:space="0" w:color="auto"/>
          <w:lang w:eastAsia="zh-CN"/>
        </w:rPr>
        <w:t xml:space="preserve"> H, </w:t>
      </w:r>
      <w:proofErr w:type="spellStart"/>
      <w:r w:rsidRPr="00611B67">
        <w:rPr>
          <w:rFonts w:ascii="Book Antiqua" w:eastAsia="宋体" w:hAnsi="Book Antiqua"/>
          <w:kern w:val="2"/>
          <w:bdr w:val="none" w:sz="0" w:space="0" w:color="auto"/>
          <w:lang w:eastAsia="zh-CN"/>
        </w:rPr>
        <w:t>Sáfrány</w:t>
      </w:r>
      <w:proofErr w:type="spellEnd"/>
      <w:r w:rsidRPr="00611B67">
        <w:rPr>
          <w:rFonts w:ascii="Book Antiqua" w:eastAsia="宋体" w:hAnsi="Book Antiqua"/>
          <w:kern w:val="2"/>
          <w:bdr w:val="none" w:sz="0" w:space="0" w:color="auto"/>
          <w:lang w:eastAsia="zh-CN"/>
        </w:rPr>
        <w:t xml:space="preserve"> G, </w:t>
      </w:r>
      <w:proofErr w:type="spellStart"/>
      <w:r w:rsidRPr="00611B67">
        <w:rPr>
          <w:rFonts w:ascii="Book Antiqua" w:eastAsia="宋体" w:hAnsi="Book Antiqua"/>
          <w:kern w:val="2"/>
          <w:bdr w:val="none" w:sz="0" w:space="0" w:color="auto"/>
          <w:lang w:eastAsia="zh-CN"/>
        </w:rPr>
        <w:t>Bödör</w:t>
      </w:r>
      <w:proofErr w:type="spellEnd"/>
      <w:r w:rsidRPr="00611B67">
        <w:rPr>
          <w:rFonts w:ascii="Book Antiqua" w:eastAsia="宋体" w:hAnsi="Book Antiqua"/>
          <w:kern w:val="2"/>
          <w:bdr w:val="none" w:sz="0" w:space="0" w:color="auto"/>
          <w:lang w:eastAsia="zh-CN"/>
        </w:rPr>
        <w:t xml:space="preserve"> C, Nagy P, </w:t>
      </w:r>
      <w:proofErr w:type="spellStart"/>
      <w:r w:rsidRPr="00611B67">
        <w:rPr>
          <w:rFonts w:ascii="Book Antiqua" w:eastAsia="宋体" w:hAnsi="Book Antiqua"/>
          <w:kern w:val="2"/>
          <w:bdr w:val="none" w:sz="0" w:space="0" w:color="auto"/>
          <w:lang w:eastAsia="zh-CN"/>
        </w:rPr>
        <w:t>Paku</w:t>
      </w:r>
      <w:proofErr w:type="spellEnd"/>
      <w:r w:rsidRPr="00611B67">
        <w:rPr>
          <w:rFonts w:ascii="Book Antiqua" w:eastAsia="宋体" w:hAnsi="Book Antiqua"/>
          <w:kern w:val="2"/>
          <w:bdr w:val="none" w:sz="0" w:space="0" w:color="auto"/>
          <w:lang w:eastAsia="zh-CN"/>
        </w:rPr>
        <w:t xml:space="preserve"> S. Structural analysis of oval-cell-mediated liver regeneration in rats. </w:t>
      </w:r>
      <w:r w:rsidRPr="00611B67">
        <w:rPr>
          <w:rFonts w:ascii="Book Antiqua" w:eastAsia="宋体" w:hAnsi="Book Antiqua"/>
          <w:i/>
          <w:kern w:val="2"/>
          <w:bdr w:val="none" w:sz="0" w:space="0" w:color="auto"/>
          <w:lang w:eastAsia="zh-CN"/>
        </w:rPr>
        <w:t>Hepatology</w:t>
      </w:r>
      <w:r w:rsidRPr="00611B67">
        <w:rPr>
          <w:rFonts w:ascii="Book Antiqua" w:eastAsia="宋体" w:hAnsi="Book Antiqua"/>
          <w:kern w:val="2"/>
          <w:bdr w:val="none" w:sz="0" w:space="0" w:color="auto"/>
          <w:lang w:eastAsia="zh-CN"/>
        </w:rPr>
        <w:t xml:space="preserve"> 2012; </w:t>
      </w:r>
      <w:r w:rsidRPr="00611B67">
        <w:rPr>
          <w:rFonts w:ascii="Book Antiqua" w:eastAsia="宋体" w:hAnsi="Book Antiqua"/>
          <w:b/>
          <w:kern w:val="2"/>
          <w:bdr w:val="none" w:sz="0" w:space="0" w:color="auto"/>
          <w:lang w:eastAsia="zh-CN"/>
        </w:rPr>
        <w:t>56</w:t>
      </w:r>
      <w:r w:rsidRPr="00611B67">
        <w:rPr>
          <w:rFonts w:ascii="Book Antiqua" w:eastAsia="宋体" w:hAnsi="Book Antiqua"/>
          <w:kern w:val="2"/>
          <w:bdr w:val="none" w:sz="0" w:space="0" w:color="auto"/>
          <w:lang w:eastAsia="zh-CN"/>
        </w:rPr>
        <w:t>: 1457-1467 [PMID: 22419534 DOI: 10.1002/hep.25713]</w:t>
      </w:r>
    </w:p>
    <w:p w14:paraId="27A431F6"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26 </w:t>
      </w:r>
      <w:proofErr w:type="spellStart"/>
      <w:r w:rsidRPr="00611B67">
        <w:rPr>
          <w:rFonts w:ascii="Book Antiqua" w:eastAsia="宋体" w:hAnsi="Book Antiqua"/>
          <w:b/>
          <w:kern w:val="2"/>
          <w:bdr w:val="none" w:sz="0" w:space="0" w:color="auto"/>
          <w:lang w:eastAsia="zh-CN"/>
        </w:rPr>
        <w:t>Wagenaar</w:t>
      </w:r>
      <w:proofErr w:type="spellEnd"/>
      <w:r w:rsidRPr="00611B67">
        <w:rPr>
          <w:rFonts w:ascii="Book Antiqua" w:eastAsia="宋体" w:hAnsi="Book Antiqua"/>
          <w:b/>
          <w:kern w:val="2"/>
          <w:bdr w:val="none" w:sz="0" w:space="0" w:color="auto"/>
          <w:lang w:eastAsia="zh-CN"/>
        </w:rPr>
        <w:t xml:space="preserve"> GT</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Chamuleau</w:t>
      </w:r>
      <w:proofErr w:type="spellEnd"/>
      <w:r w:rsidRPr="00611B67">
        <w:rPr>
          <w:rFonts w:ascii="Book Antiqua" w:eastAsia="宋体" w:hAnsi="Book Antiqua"/>
          <w:kern w:val="2"/>
          <w:bdr w:val="none" w:sz="0" w:space="0" w:color="auto"/>
          <w:lang w:eastAsia="zh-CN"/>
        </w:rPr>
        <w:t xml:space="preserve"> RA, Pool CW, de </w:t>
      </w:r>
      <w:proofErr w:type="spellStart"/>
      <w:r w:rsidRPr="00611B67">
        <w:rPr>
          <w:rFonts w:ascii="Book Antiqua" w:eastAsia="宋体" w:hAnsi="Book Antiqua"/>
          <w:kern w:val="2"/>
          <w:bdr w:val="none" w:sz="0" w:space="0" w:color="auto"/>
          <w:lang w:eastAsia="zh-CN"/>
        </w:rPr>
        <w:t>Haan</w:t>
      </w:r>
      <w:proofErr w:type="spellEnd"/>
      <w:r w:rsidRPr="00611B67">
        <w:rPr>
          <w:rFonts w:ascii="Book Antiqua" w:eastAsia="宋体" w:hAnsi="Book Antiqua"/>
          <w:kern w:val="2"/>
          <w:bdr w:val="none" w:sz="0" w:space="0" w:color="auto"/>
          <w:lang w:eastAsia="zh-CN"/>
        </w:rPr>
        <w:t xml:space="preserve"> JG, Maas MA, </w:t>
      </w:r>
      <w:proofErr w:type="spellStart"/>
      <w:r w:rsidRPr="00611B67">
        <w:rPr>
          <w:rFonts w:ascii="Book Antiqua" w:eastAsia="宋体" w:hAnsi="Book Antiqua"/>
          <w:kern w:val="2"/>
          <w:bdr w:val="none" w:sz="0" w:space="0" w:color="auto"/>
          <w:lang w:eastAsia="zh-CN"/>
        </w:rPr>
        <w:t>Korfage</w:t>
      </w:r>
      <w:proofErr w:type="spellEnd"/>
      <w:r w:rsidRPr="00611B67">
        <w:rPr>
          <w:rFonts w:ascii="Book Antiqua" w:eastAsia="宋体" w:hAnsi="Book Antiqua"/>
          <w:kern w:val="2"/>
          <w:bdr w:val="none" w:sz="0" w:space="0" w:color="auto"/>
          <w:lang w:eastAsia="zh-CN"/>
        </w:rPr>
        <w:t xml:space="preserve"> HA, </w:t>
      </w:r>
      <w:proofErr w:type="spellStart"/>
      <w:r w:rsidRPr="00611B67">
        <w:rPr>
          <w:rFonts w:ascii="Book Antiqua" w:eastAsia="宋体" w:hAnsi="Book Antiqua"/>
          <w:kern w:val="2"/>
          <w:bdr w:val="none" w:sz="0" w:space="0" w:color="auto"/>
          <w:lang w:eastAsia="zh-CN"/>
        </w:rPr>
        <w:t>Lamers</w:t>
      </w:r>
      <w:proofErr w:type="spellEnd"/>
      <w:r w:rsidRPr="00611B67">
        <w:rPr>
          <w:rFonts w:ascii="Book Antiqua" w:eastAsia="宋体" w:hAnsi="Book Antiqua"/>
          <w:kern w:val="2"/>
          <w:bdr w:val="none" w:sz="0" w:space="0" w:color="auto"/>
          <w:lang w:eastAsia="zh-CN"/>
        </w:rPr>
        <w:t xml:space="preserve"> WH. Distribution and activity of glutamine synthase and </w:t>
      </w:r>
      <w:proofErr w:type="spellStart"/>
      <w:r w:rsidRPr="00611B67">
        <w:rPr>
          <w:rFonts w:ascii="Book Antiqua" w:eastAsia="宋体" w:hAnsi="Book Antiqua"/>
          <w:kern w:val="2"/>
          <w:bdr w:val="none" w:sz="0" w:space="0" w:color="auto"/>
          <w:lang w:eastAsia="zh-CN"/>
        </w:rPr>
        <w:t>ca</w:t>
      </w:r>
      <w:r w:rsidRPr="00611B67">
        <w:rPr>
          <w:rFonts w:ascii="Book Antiqua" w:eastAsia="宋体" w:hAnsi="Book Antiqua"/>
          <w:kern w:val="2"/>
          <w:bdr w:val="none" w:sz="0" w:space="0" w:color="auto"/>
          <w:lang w:eastAsia="zh-CN"/>
        </w:rPr>
        <w:t>r</w:t>
      </w:r>
      <w:r w:rsidRPr="00611B67">
        <w:rPr>
          <w:rFonts w:ascii="Book Antiqua" w:eastAsia="宋体" w:hAnsi="Book Antiqua"/>
          <w:kern w:val="2"/>
          <w:bdr w:val="none" w:sz="0" w:space="0" w:color="auto"/>
          <w:lang w:eastAsia="zh-CN"/>
        </w:rPr>
        <w:t>bamoylphosphate</w:t>
      </w:r>
      <w:proofErr w:type="spellEnd"/>
      <w:r w:rsidRPr="00611B67">
        <w:rPr>
          <w:rFonts w:ascii="Book Antiqua" w:eastAsia="宋体" w:hAnsi="Book Antiqua"/>
          <w:kern w:val="2"/>
          <w:bdr w:val="none" w:sz="0" w:space="0" w:color="auto"/>
          <w:lang w:eastAsia="zh-CN"/>
        </w:rPr>
        <w:t xml:space="preserve"> synthase upon enlargement of the liver lobule by repeated partial hepatectomies. </w:t>
      </w:r>
      <w:r w:rsidRPr="00611B67">
        <w:rPr>
          <w:rFonts w:ascii="Book Antiqua" w:eastAsia="宋体" w:hAnsi="Book Antiqua"/>
          <w:i/>
          <w:kern w:val="2"/>
          <w:bdr w:val="none" w:sz="0" w:space="0" w:color="auto"/>
          <w:lang w:eastAsia="zh-CN"/>
        </w:rPr>
        <w:t>J Hepatol</w:t>
      </w:r>
      <w:r w:rsidRPr="00611B67">
        <w:rPr>
          <w:rFonts w:ascii="Book Antiqua" w:eastAsia="宋体" w:hAnsi="Book Antiqua"/>
          <w:kern w:val="2"/>
          <w:bdr w:val="none" w:sz="0" w:space="0" w:color="auto"/>
          <w:lang w:eastAsia="zh-CN"/>
        </w:rPr>
        <w:t xml:space="preserve"> 1993; </w:t>
      </w:r>
      <w:r w:rsidRPr="00611B67">
        <w:rPr>
          <w:rFonts w:ascii="Book Antiqua" w:eastAsia="宋体" w:hAnsi="Book Antiqua"/>
          <w:b/>
          <w:kern w:val="2"/>
          <w:bdr w:val="none" w:sz="0" w:space="0" w:color="auto"/>
          <w:lang w:eastAsia="zh-CN"/>
        </w:rPr>
        <w:t>17</w:t>
      </w:r>
      <w:r w:rsidRPr="00611B67">
        <w:rPr>
          <w:rFonts w:ascii="Book Antiqua" w:eastAsia="宋体" w:hAnsi="Book Antiqua"/>
          <w:kern w:val="2"/>
          <w:bdr w:val="none" w:sz="0" w:space="0" w:color="auto"/>
          <w:lang w:eastAsia="zh-CN"/>
        </w:rPr>
        <w:t>: 397-407 [PMID: 8100248 DOI: 10.1016/S0168-8278(05)80224-7]</w:t>
      </w:r>
    </w:p>
    <w:p w14:paraId="611D7525"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27 </w:t>
      </w:r>
      <w:proofErr w:type="spellStart"/>
      <w:r w:rsidRPr="00611B67">
        <w:rPr>
          <w:rFonts w:ascii="Book Antiqua" w:eastAsia="宋体" w:hAnsi="Book Antiqua"/>
          <w:b/>
          <w:kern w:val="2"/>
          <w:bdr w:val="none" w:sz="0" w:space="0" w:color="auto"/>
          <w:lang w:eastAsia="zh-CN"/>
        </w:rPr>
        <w:t>Kandilis</w:t>
      </w:r>
      <w:proofErr w:type="spellEnd"/>
      <w:r w:rsidRPr="00611B67">
        <w:rPr>
          <w:rFonts w:ascii="Book Antiqua" w:eastAsia="宋体" w:hAnsi="Book Antiqua"/>
          <w:b/>
          <w:kern w:val="2"/>
          <w:bdr w:val="none" w:sz="0" w:space="0" w:color="auto"/>
          <w:lang w:eastAsia="zh-CN"/>
        </w:rPr>
        <w:t xml:space="preserve"> AN</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Koskinas</w:t>
      </w:r>
      <w:proofErr w:type="spellEnd"/>
      <w:r w:rsidRPr="00611B67">
        <w:rPr>
          <w:rFonts w:ascii="Book Antiqua" w:eastAsia="宋体" w:hAnsi="Book Antiqua"/>
          <w:kern w:val="2"/>
          <w:bdr w:val="none" w:sz="0" w:space="0" w:color="auto"/>
          <w:lang w:eastAsia="zh-CN"/>
        </w:rPr>
        <w:t xml:space="preserve"> J, Vlachos I, </w:t>
      </w:r>
      <w:proofErr w:type="spellStart"/>
      <w:r w:rsidRPr="00611B67">
        <w:rPr>
          <w:rFonts w:ascii="Book Antiqua" w:eastAsia="宋体" w:hAnsi="Book Antiqua"/>
          <w:kern w:val="2"/>
          <w:bdr w:val="none" w:sz="0" w:space="0" w:color="auto"/>
          <w:lang w:eastAsia="zh-CN"/>
        </w:rPr>
        <w:t>Skaltsas</w:t>
      </w:r>
      <w:proofErr w:type="spellEnd"/>
      <w:r w:rsidRPr="00611B67">
        <w:rPr>
          <w:rFonts w:ascii="Book Antiqua" w:eastAsia="宋体" w:hAnsi="Book Antiqua"/>
          <w:kern w:val="2"/>
          <w:bdr w:val="none" w:sz="0" w:space="0" w:color="auto"/>
          <w:lang w:eastAsia="zh-CN"/>
        </w:rPr>
        <w:t xml:space="preserve"> S, </w:t>
      </w:r>
      <w:proofErr w:type="spellStart"/>
      <w:r w:rsidRPr="00611B67">
        <w:rPr>
          <w:rFonts w:ascii="Book Antiqua" w:eastAsia="宋体" w:hAnsi="Book Antiqua"/>
          <w:kern w:val="2"/>
          <w:bdr w:val="none" w:sz="0" w:space="0" w:color="auto"/>
          <w:lang w:eastAsia="zh-CN"/>
        </w:rPr>
        <w:t>Karandrea</w:t>
      </w:r>
      <w:proofErr w:type="spellEnd"/>
      <w:r w:rsidRPr="00611B67">
        <w:rPr>
          <w:rFonts w:ascii="Book Antiqua" w:eastAsia="宋体" w:hAnsi="Book Antiqua"/>
          <w:kern w:val="2"/>
          <w:bdr w:val="none" w:sz="0" w:space="0" w:color="auto"/>
          <w:lang w:eastAsia="zh-CN"/>
        </w:rPr>
        <w:t xml:space="preserve"> D, </w:t>
      </w:r>
      <w:proofErr w:type="spellStart"/>
      <w:r w:rsidRPr="00611B67">
        <w:rPr>
          <w:rFonts w:ascii="Book Antiqua" w:eastAsia="宋体" w:hAnsi="Book Antiqua"/>
          <w:kern w:val="2"/>
          <w:bdr w:val="none" w:sz="0" w:space="0" w:color="auto"/>
          <w:lang w:eastAsia="zh-CN"/>
        </w:rPr>
        <w:t>Karakitsos</w:t>
      </w:r>
      <w:proofErr w:type="spellEnd"/>
      <w:r w:rsidRPr="00611B67">
        <w:rPr>
          <w:rFonts w:ascii="Book Antiqua" w:eastAsia="宋体" w:hAnsi="Book Antiqua"/>
          <w:kern w:val="2"/>
          <w:bdr w:val="none" w:sz="0" w:space="0" w:color="auto"/>
          <w:lang w:eastAsia="zh-CN"/>
        </w:rPr>
        <w:t xml:space="preserve"> P, </w:t>
      </w:r>
      <w:proofErr w:type="spellStart"/>
      <w:r w:rsidRPr="00611B67">
        <w:rPr>
          <w:rFonts w:ascii="Book Antiqua" w:eastAsia="宋体" w:hAnsi="Book Antiqua"/>
          <w:kern w:val="2"/>
          <w:bdr w:val="none" w:sz="0" w:space="0" w:color="auto"/>
          <w:lang w:eastAsia="zh-CN"/>
        </w:rPr>
        <w:t>Pantopoulou</w:t>
      </w:r>
      <w:proofErr w:type="spellEnd"/>
      <w:r w:rsidRPr="00611B67">
        <w:rPr>
          <w:rFonts w:ascii="Book Antiqua" w:eastAsia="宋体" w:hAnsi="Book Antiqua"/>
          <w:kern w:val="2"/>
          <w:bdr w:val="none" w:sz="0" w:space="0" w:color="auto"/>
          <w:lang w:eastAsia="zh-CN"/>
        </w:rPr>
        <w:t xml:space="preserve"> A, </w:t>
      </w:r>
      <w:proofErr w:type="spellStart"/>
      <w:r w:rsidRPr="00611B67">
        <w:rPr>
          <w:rFonts w:ascii="Book Antiqua" w:eastAsia="宋体" w:hAnsi="Book Antiqua"/>
          <w:kern w:val="2"/>
          <w:bdr w:val="none" w:sz="0" w:space="0" w:color="auto"/>
          <w:lang w:eastAsia="zh-CN"/>
        </w:rPr>
        <w:t>Palaiologou</w:t>
      </w:r>
      <w:proofErr w:type="spellEnd"/>
      <w:r w:rsidRPr="00611B67">
        <w:rPr>
          <w:rFonts w:ascii="Book Antiqua" w:eastAsia="宋体" w:hAnsi="Book Antiqua"/>
          <w:kern w:val="2"/>
          <w:bdr w:val="none" w:sz="0" w:space="0" w:color="auto"/>
          <w:lang w:eastAsia="zh-CN"/>
        </w:rPr>
        <w:t xml:space="preserve"> M, </w:t>
      </w:r>
      <w:proofErr w:type="spellStart"/>
      <w:r w:rsidRPr="00611B67">
        <w:rPr>
          <w:rFonts w:ascii="Book Antiqua" w:eastAsia="宋体" w:hAnsi="Book Antiqua"/>
          <w:kern w:val="2"/>
          <w:bdr w:val="none" w:sz="0" w:space="0" w:color="auto"/>
          <w:lang w:eastAsia="zh-CN"/>
        </w:rPr>
        <w:t>Nikiteas</w:t>
      </w:r>
      <w:proofErr w:type="spellEnd"/>
      <w:r w:rsidRPr="00611B67">
        <w:rPr>
          <w:rFonts w:ascii="Book Antiqua" w:eastAsia="宋体" w:hAnsi="Book Antiqua"/>
          <w:kern w:val="2"/>
          <w:bdr w:val="none" w:sz="0" w:space="0" w:color="auto"/>
          <w:lang w:eastAsia="zh-CN"/>
        </w:rPr>
        <w:t xml:space="preserve"> N, </w:t>
      </w:r>
      <w:proofErr w:type="spellStart"/>
      <w:r w:rsidRPr="00611B67">
        <w:rPr>
          <w:rFonts w:ascii="Book Antiqua" w:eastAsia="宋体" w:hAnsi="Book Antiqua"/>
          <w:kern w:val="2"/>
          <w:bdr w:val="none" w:sz="0" w:space="0" w:color="auto"/>
          <w:lang w:eastAsia="zh-CN"/>
        </w:rPr>
        <w:t>Tiniakos</w:t>
      </w:r>
      <w:proofErr w:type="spellEnd"/>
      <w:r w:rsidRPr="00611B67">
        <w:rPr>
          <w:rFonts w:ascii="Book Antiqua" w:eastAsia="宋体" w:hAnsi="Book Antiqua"/>
          <w:kern w:val="2"/>
          <w:bdr w:val="none" w:sz="0" w:space="0" w:color="auto"/>
          <w:lang w:eastAsia="zh-CN"/>
        </w:rPr>
        <w:t xml:space="preserve"> DG, </w:t>
      </w:r>
      <w:proofErr w:type="spellStart"/>
      <w:r w:rsidRPr="00611B67">
        <w:rPr>
          <w:rFonts w:ascii="Book Antiqua" w:eastAsia="宋体" w:hAnsi="Book Antiqua"/>
          <w:kern w:val="2"/>
          <w:bdr w:val="none" w:sz="0" w:space="0" w:color="auto"/>
          <w:lang w:eastAsia="zh-CN"/>
        </w:rPr>
        <w:t>Perrea</w:t>
      </w:r>
      <w:proofErr w:type="spellEnd"/>
      <w:r w:rsidRPr="00611B67">
        <w:rPr>
          <w:rFonts w:ascii="Book Antiqua" w:eastAsia="宋体" w:hAnsi="Book Antiqua"/>
          <w:kern w:val="2"/>
          <w:bdr w:val="none" w:sz="0" w:space="0" w:color="auto"/>
          <w:lang w:eastAsia="zh-CN"/>
        </w:rPr>
        <w:t xml:space="preserve"> DN. Liver r</w:t>
      </w:r>
      <w:r w:rsidRPr="00611B67">
        <w:rPr>
          <w:rFonts w:ascii="Book Antiqua" w:eastAsia="宋体" w:hAnsi="Book Antiqua"/>
          <w:kern w:val="2"/>
          <w:bdr w:val="none" w:sz="0" w:space="0" w:color="auto"/>
          <w:lang w:eastAsia="zh-CN"/>
        </w:rPr>
        <w:t>e</w:t>
      </w:r>
      <w:r w:rsidRPr="00611B67">
        <w:rPr>
          <w:rFonts w:ascii="Book Antiqua" w:eastAsia="宋体" w:hAnsi="Book Antiqua"/>
          <w:kern w:val="2"/>
          <w:bdr w:val="none" w:sz="0" w:space="0" w:color="auto"/>
          <w:lang w:eastAsia="zh-CN"/>
        </w:rPr>
        <w:t xml:space="preserve">generation: immunohistochemical study of intrinsic hepatic innervation after partial hepatectomy in rats. </w:t>
      </w:r>
      <w:r w:rsidRPr="00611B67">
        <w:rPr>
          <w:rFonts w:ascii="Book Antiqua" w:eastAsia="宋体" w:hAnsi="Book Antiqua"/>
          <w:i/>
          <w:kern w:val="2"/>
          <w:bdr w:val="none" w:sz="0" w:space="0" w:color="auto"/>
          <w:lang w:eastAsia="zh-CN"/>
        </w:rPr>
        <w:t>BMC Gastroenterol</w:t>
      </w:r>
      <w:r w:rsidRPr="00611B67">
        <w:rPr>
          <w:rFonts w:ascii="Book Antiqua" w:eastAsia="宋体" w:hAnsi="Book Antiqua"/>
          <w:kern w:val="2"/>
          <w:bdr w:val="none" w:sz="0" w:space="0" w:color="auto"/>
          <w:lang w:eastAsia="zh-CN"/>
        </w:rPr>
        <w:t xml:space="preserve"> 2014; </w:t>
      </w:r>
      <w:r w:rsidRPr="00611B67">
        <w:rPr>
          <w:rFonts w:ascii="Book Antiqua" w:eastAsia="宋体" w:hAnsi="Book Antiqua"/>
          <w:b/>
          <w:kern w:val="2"/>
          <w:bdr w:val="none" w:sz="0" w:space="0" w:color="auto"/>
          <w:lang w:eastAsia="zh-CN"/>
        </w:rPr>
        <w:t>14</w:t>
      </w:r>
      <w:r w:rsidRPr="00611B67">
        <w:rPr>
          <w:rFonts w:ascii="Book Antiqua" w:eastAsia="宋体" w:hAnsi="Book Antiqua"/>
          <w:kern w:val="2"/>
          <w:bdr w:val="none" w:sz="0" w:space="0" w:color="auto"/>
          <w:lang w:eastAsia="zh-CN"/>
        </w:rPr>
        <w:t xml:space="preserve">: 202 [PMID: 25421900 </w:t>
      </w:r>
      <w:r w:rsidRPr="00611B67">
        <w:rPr>
          <w:rFonts w:ascii="Book Antiqua" w:eastAsia="宋体" w:hAnsi="Book Antiqua"/>
          <w:kern w:val="2"/>
          <w:bdr w:val="none" w:sz="0" w:space="0" w:color="auto"/>
          <w:lang w:eastAsia="zh-CN"/>
        </w:rPr>
        <w:lastRenderedPageBreak/>
        <w:t>DOI: 10.1186/s12876-014-0202-1]</w:t>
      </w:r>
    </w:p>
    <w:p w14:paraId="4223F0EC"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28 </w:t>
      </w:r>
      <w:r w:rsidRPr="00611B67">
        <w:rPr>
          <w:rFonts w:ascii="Book Antiqua" w:eastAsia="宋体" w:hAnsi="Book Antiqua"/>
          <w:b/>
          <w:kern w:val="2"/>
          <w:bdr w:val="none" w:sz="0" w:space="0" w:color="auto"/>
          <w:lang w:eastAsia="zh-CN"/>
        </w:rPr>
        <w:t>Nagy P</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Teramoto</w:t>
      </w:r>
      <w:proofErr w:type="spellEnd"/>
      <w:r w:rsidRPr="00611B67">
        <w:rPr>
          <w:rFonts w:ascii="Book Antiqua" w:eastAsia="宋体" w:hAnsi="Book Antiqua"/>
          <w:kern w:val="2"/>
          <w:bdr w:val="none" w:sz="0" w:space="0" w:color="auto"/>
          <w:lang w:eastAsia="zh-CN"/>
        </w:rPr>
        <w:t xml:space="preserve"> T, Factor VM, Sanchez A, </w:t>
      </w:r>
      <w:proofErr w:type="spellStart"/>
      <w:r w:rsidRPr="00611B67">
        <w:rPr>
          <w:rFonts w:ascii="Book Antiqua" w:eastAsia="宋体" w:hAnsi="Book Antiqua"/>
          <w:kern w:val="2"/>
          <w:bdr w:val="none" w:sz="0" w:space="0" w:color="auto"/>
          <w:lang w:eastAsia="zh-CN"/>
        </w:rPr>
        <w:t>Schnur</w:t>
      </w:r>
      <w:proofErr w:type="spellEnd"/>
      <w:r w:rsidRPr="00611B67">
        <w:rPr>
          <w:rFonts w:ascii="Book Antiqua" w:eastAsia="宋体" w:hAnsi="Book Antiqua"/>
          <w:kern w:val="2"/>
          <w:bdr w:val="none" w:sz="0" w:space="0" w:color="auto"/>
          <w:lang w:eastAsia="zh-CN"/>
        </w:rPr>
        <w:t xml:space="preserve"> J, </w:t>
      </w:r>
      <w:proofErr w:type="spellStart"/>
      <w:r w:rsidRPr="00611B67">
        <w:rPr>
          <w:rFonts w:ascii="Book Antiqua" w:eastAsia="宋体" w:hAnsi="Book Antiqua"/>
          <w:kern w:val="2"/>
          <w:bdr w:val="none" w:sz="0" w:space="0" w:color="auto"/>
          <w:lang w:eastAsia="zh-CN"/>
        </w:rPr>
        <w:t>Paku</w:t>
      </w:r>
      <w:proofErr w:type="spellEnd"/>
      <w:r w:rsidRPr="00611B67">
        <w:rPr>
          <w:rFonts w:ascii="Book Antiqua" w:eastAsia="宋体" w:hAnsi="Book Antiqua"/>
          <w:kern w:val="2"/>
          <w:bdr w:val="none" w:sz="0" w:space="0" w:color="auto"/>
          <w:lang w:eastAsia="zh-CN"/>
        </w:rPr>
        <w:t xml:space="preserve"> S, </w:t>
      </w:r>
      <w:proofErr w:type="spellStart"/>
      <w:r w:rsidRPr="00611B67">
        <w:rPr>
          <w:rFonts w:ascii="Book Antiqua" w:eastAsia="宋体" w:hAnsi="Book Antiqua"/>
          <w:kern w:val="2"/>
          <w:bdr w:val="none" w:sz="0" w:space="0" w:color="auto"/>
          <w:lang w:eastAsia="zh-CN"/>
        </w:rPr>
        <w:t>Thorgeirsson</w:t>
      </w:r>
      <w:proofErr w:type="spellEnd"/>
      <w:r w:rsidRPr="00611B67">
        <w:rPr>
          <w:rFonts w:ascii="Book Antiqua" w:eastAsia="宋体" w:hAnsi="Book Antiqua"/>
          <w:kern w:val="2"/>
          <w:bdr w:val="none" w:sz="0" w:space="0" w:color="auto"/>
          <w:lang w:eastAsia="zh-CN"/>
        </w:rPr>
        <w:t xml:space="preserve"> SS. Reconstitution of liver mass via cellular hypertrophy in the rat. </w:t>
      </w:r>
      <w:r w:rsidRPr="00611B67">
        <w:rPr>
          <w:rFonts w:ascii="Book Antiqua" w:eastAsia="宋体" w:hAnsi="Book Antiqua"/>
          <w:i/>
          <w:kern w:val="2"/>
          <w:bdr w:val="none" w:sz="0" w:space="0" w:color="auto"/>
          <w:lang w:eastAsia="zh-CN"/>
        </w:rPr>
        <w:t>Hepatology</w:t>
      </w:r>
      <w:r w:rsidRPr="00611B67">
        <w:rPr>
          <w:rFonts w:ascii="Book Antiqua" w:eastAsia="宋体" w:hAnsi="Book Antiqua"/>
          <w:kern w:val="2"/>
          <w:bdr w:val="none" w:sz="0" w:space="0" w:color="auto"/>
          <w:lang w:eastAsia="zh-CN"/>
        </w:rPr>
        <w:t xml:space="preserve"> 2001; </w:t>
      </w:r>
      <w:r w:rsidRPr="00611B67">
        <w:rPr>
          <w:rFonts w:ascii="Book Antiqua" w:eastAsia="宋体" w:hAnsi="Book Antiqua"/>
          <w:b/>
          <w:kern w:val="2"/>
          <w:bdr w:val="none" w:sz="0" w:space="0" w:color="auto"/>
          <w:lang w:eastAsia="zh-CN"/>
        </w:rPr>
        <w:t>33</w:t>
      </w:r>
      <w:r w:rsidRPr="00611B67">
        <w:rPr>
          <w:rFonts w:ascii="Book Antiqua" w:eastAsia="宋体" w:hAnsi="Book Antiqua"/>
          <w:kern w:val="2"/>
          <w:bdr w:val="none" w:sz="0" w:space="0" w:color="auto"/>
          <w:lang w:eastAsia="zh-CN"/>
        </w:rPr>
        <w:t>: 339-345 [PMID: 11172335 DOI: 10.1053/jhep.2001.21326]</w:t>
      </w:r>
    </w:p>
    <w:p w14:paraId="77DE5776"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29 </w:t>
      </w:r>
      <w:proofErr w:type="spellStart"/>
      <w:r w:rsidRPr="00611B67">
        <w:rPr>
          <w:rFonts w:ascii="Book Antiqua" w:eastAsia="宋体" w:hAnsi="Book Antiqua"/>
          <w:b/>
          <w:kern w:val="2"/>
          <w:bdr w:val="none" w:sz="0" w:space="0" w:color="auto"/>
          <w:lang w:eastAsia="zh-CN"/>
        </w:rPr>
        <w:t>Dezso</w:t>
      </w:r>
      <w:proofErr w:type="spellEnd"/>
      <w:r w:rsidRPr="00611B67">
        <w:rPr>
          <w:rFonts w:ascii="Book Antiqua" w:eastAsia="宋体" w:hAnsi="Book Antiqua"/>
          <w:b/>
          <w:kern w:val="2"/>
          <w:bdr w:val="none" w:sz="0" w:space="0" w:color="auto"/>
          <w:lang w:eastAsia="zh-CN"/>
        </w:rPr>
        <w:t xml:space="preserve"> K</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Bugyik</w:t>
      </w:r>
      <w:proofErr w:type="spellEnd"/>
      <w:r w:rsidRPr="00611B67">
        <w:rPr>
          <w:rFonts w:ascii="Book Antiqua" w:eastAsia="宋体" w:hAnsi="Book Antiqua"/>
          <w:kern w:val="2"/>
          <w:bdr w:val="none" w:sz="0" w:space="0" w:color="auto"/>
          <w:lang w:eastAsia="zh-CN"/>
        </w:rPr>
        <w:t xml:space="preserve"> E, Papp V, </w:t>
      </w:r>
      <w:proofErr w:type="spellStart"/>
      <w:r w:rsidRPr="00611B67">
        <w:rPr>
          <w:rFonts w:ascii="Book Antiqua" w:eastAsia="宋体" w:hAnsi="Book Antiqua"/>
          <w:kern w:val="2"/>
          <w:bdr w:val="none" w:sz="0" w:space="0" w:color="auto"/>
          <w:lang w:eastAsia="zh-CN"/>
        </w:rPr>
        <w:t>László</w:t>
      </w:r>
      <w:proofErr w:type="spellEnd"/>
      <w:r w:rsidRPr="00611B67">
        <w:rPr>
          <w:rFonts w:ascii="Book Antiqua" w:eastAsia="宋体" w:hAnsi="Book Antiqua"/>
          <w:kern w:val="2"/>
          <w:bdr w:val="none" w:sz="0" w:space="0" w:color="auto"/>
          <w:lang w:eastAsia="zh-CN"/>
        </w:rPr>
        <w:t xml:space="preserve"> V, </w:t>
      </w:r>
      <w:proofErr w:type="spellStart"/>
      <w:r w:rsidRPr="00611B67">
        <w:rPr>
          <w:rFonts w:ascii="Book Antiqua" w:eastAsia="宋体" w:hAnsi="Book Antiqua"/>
          <w:kern w:val="2"/>
          <w:bdr w:val="none" w:sz="0" w:space="0" w:color="auto"/>
          <w:lang w:eastAsia="zh-CN"/>
        </w:rPr>
        <w:t>Döme</w:t>
      </w:r>
      <w:proofErr w:type="spellEnd"/>
      <w:r w:rsidRPr="00611B67">
        <w:rPr>
          <w:rFonts w:ascii="Book Antiqua" w:eastAsia="宋体" w:hAnsi="Book Antiqua"/>
          <w:kern w:val="2"/>
          <w:bdr w:val="none" w:sz="0" w:space="0" w:color="auto"/>
          <w:lang w:eastAsia="zh-CN"/>
        </w:rPr>
        <w:t xml:space="preserve"> B, </w:t>
      </w:r>
      <w:proofErr w:type="spellStart"/>
      <w:r w:rsidRPr="00611B67">
        <w:rPr>
          <w:rFonts w:ascii="Book Antiqua" w:eastAsia="宋体" w:hAnsi="Book Antiqua"/>
          <w:kern w:val="2"/>
          <w:bdr w:val="none" w:sz="0" w:space="0" w:color="auto"/>
          <w:lang w:eastAsia="zh-CN"/>
        </w:rPr>
        <w:t>Tóvári</w:t>
      </w:r>
      <w:proofErr w:type="spellEnd"/>
      <w:r w:rsidRPr="00611B67">
        <w:rPr>
          <w:rFonts w:ascii="Book Antiqua" w:eastAsia="宋体" w:hAnsi="Book Antiqua"/>
          <w:kern w:val="2"/>
          <w:bdr w:val="none" w:sz="0" w:space="0" w:color="auto"/>
          <w:lang w:eastAsia="zh-CN"/>
        </w:rPr>
        <w:t xml:space="preserve"> J, </w:t>
      </w:r>
      <w:proofErr w:type="spellStart"/>
      <w:r w:rsidRPr="00611B67">
        <w:rPr>
          <w:rFonts w:ascii="Book Antiqua" w:eastAsia="宋体" w:hAnsi="Book Antiqua"/>
          <w:kern w:val="2"/>
          <w:bdr w:val="none" w:sz="0" w:space="0" w:color="auto"/>
          <w:lang w:eastAsia="zh-CN"/>
        </w:rPr>
        <w:t>Tímár</w:t>
      </w:r>
      <w:proofErr w:type="spellEnd"/>
      <w:r w:rsidRPr="00611B67">
        <w:rPr>
          <w:rFonts w:ascii="Book Antiqua" w:eastAsia="宋体" w:hAnsi="Book Antiqua"/>
          <w:kern w:val="2"/>
          <w:bdr w:val="none" w:sz="0" w:space="0" w:color="auto"/>
          <w:lang w:eastAsia="zh-CN"/>
        </w:rPr>
        <w:t xml:space="preserve"> J, Nagy P, </w:t>
      </w:r>
      <w:proofErr w:type="spellStart"/>
      <w:r w:rsidRPr="00611B67">
        <w:rPr>
          <w:rFonts w:ascii="Book Antiqua" w:eastAsia="宋体" w:hAnsi="Book Antiqua"/>
          <w:kern w:val="2"/>
          <w:bdr w:val="none" w:sz="0" w:space="0" w:color="auto"/>
          <w:lang w:eastAsia="zh-CN"/>
        </w:rPr>
        <w:t>Paku</w:t>
      </w:r>
      <w:proofErr w:type="spellEnd"/>
      <w:r w:rsidRPr="00611B67">
        <w:rPr>
          <w:rFonts w:ascii="Book Antiqua" w:eastAsia="宋体" w:hAnsi="Book Antiqua"/>
          <w:kern w:val="2"/>
          <w:bdr w:val="none" w:sz="0" w:space="0" w:color="auto"/>
          <w:lang w:eastAsia="zh-CN"/>
        </w:rPr>
        <w:t xml:space="preserve"> S. Development of arterial blood supply in experimental liver metastases. </w:t>
      </w:r>
      <w:r w:rsidRPr="00611B67">
        <w:rPr>
          <w:rFonts w:ascii="Book Antiqua" w:eastAsia="宋体" w:hAnsi="Book Antiqua"/>
          <w:i/>
          <w:kern w:val="2"/>
          <w:bdr w:val="none" w:sz="0" w:space="0" w:color="auto"/>
          <w:lang w:eastAsia="zh-CN"/>
        </w:rPr>
        <w:t xml:space="preserve">Am J </w:t>
      </w:r>
      <w:proofErr w:type="spellStart"/>
      <w:r w:rsidRPr="00611B67">
        <w:rPr>
          <w:rFonts w:ascii="Book Antiqua" w:eastAsia="宋体" w:hAnsi="Book Antiqua"/>
          <w:i/>
          <w:kern w:val="2"/>
          <w:bdr w:val="none" w:sz="0" w:space="0" w:color="auto"/>
          <w:lang w:eastAsia="zh-CN"/>
        </w:rPr>
        <w:t>Pathol</w:t>
      </w:r>
      <w:proofErr w:type="spellEnd"/>
      <w:r w:rsidRPr="00611B67">
        <w:rPr>
          <w:rFonts w:ascii="Book Antiqua" w:eastAsia="宋体" w:hAnsi="Book Antiqua"/>
          <w:kern w:val="2"/>
          <w:bdr w:val="none" w:sz="0" w:space="0" w:color="auto"/>
          <w:lang w:eastAsia="zh-CN"/>
        </w:rPr>
        <w:t xml:space="preserve"> 2009; </w:t>
      </w:r>
      <w:r w:rsidRPr="00611B67">
        <w:rPr>
          <w:rFonts w:ascii="Book Antiqua" w:eastAsia="宋体" w:hAnsi="Book Antiqua"/>
          <w:b/>
          <w:kern w:val="2"/>
          <w:bdr w:val="none" w:sz="0" w:space="0" w:color="auto"/>
          <w:lang w:eastAsia="zh-CN"/>
        </w:rPr>
        <w:t>175</w:t>
      </w:r>
      <w:r w:rsidRPr="00611B67">
        <w:rPr>
          <w:rFonts w:ascii="Book Antiqua" w:eastAsia="宋体" w:hAnsi="Book Antiqua"/>
          <w:kern w:val="2"/>
          <w:bdr w:val="none" w:sz="0" w:space="0" w:color="auto"/>
          <w:lang w:eastAsia="zh-CN"/>
        </w:rPr>
        <w:t>: 835-843 [PMID: 19574433 DOI: 10.2353/ajpath.2009.090095]</w:t>
      </w:r>
    </w:p>
    <w:p w14:paraId="27CE3FE2"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30 </w:t>
      </w:r>
      <w:proofErr w:type="spellStart"/>
      <w:r w:rsidRPr="00611B67">
        <w:rPr>
          <w:rFonts w:ascii="Book Antiqua" w:eastAsia="宋体" w:hAnsi="Book Antiqua"/>
          <w:b/>
          <w:kern w:val="2"/>
          <w:bdr w:val="none" w:sz="0" w:space="0" w:color="auto"/>
          <w:lang w:eastAsia="zh-CN"/>
        </w:rPr>
        <w:t>Vellimana</w:t>
      </w:r>
      <w:proofErr w:type="spellEnd"/>
      <w:r w:rsidRPr="00611B67">
        <w:rPr>
          <w:rFonts w:ascii="Book Antiqua" w:eastAsia="宋体" w:hAnsi="Book Antiqua"/>
          <w:b/>
          <w:kern w:val="2"/>
          <w:bdr w:val="none" w:sz="0" w:space="0" w:color="auto"/>
          <w:lang w:eastAsia="zh-CN"/>
        </w:rPr>
        <w:t xml:space="preserve"> AK</w:t>
      </w:r>
      <w:r w:rsidRPr="00611B67">
        <w:rPr>
          <w:rFonts w:ascii="Book Antiqua" w:eastAsia="宋体" w:hAnsi="Book Antiqua"/>
          <w:kern w:val="2"/>
          <w:bdr w:val="none" w:sz="0" w:space="0" w:color="auto"/>
          <w:lang w:eastAsia="zh-CN"/>
        </w:rPr>
        <w:t xml:space="preserve">, Milner E, Azad TD, Harries MD, Zhou ML, </w:t>
      </w:r>
      <w:proofErr w:type="spellStart"/>
      <w:r w:rsidRPr="00611B67">
        <w:rPr>
          <w:rFonts w:ascii="Book Antiqua" w:eastAsia="宋体" w:hAnsi="Book Antiqua"/>
          <w:kern w:val="2"/>
          <w:bdr w:val="none" w:sz="0" w:space="0" w:color="auto"/>
          <w:lang w:eastAsia="zh-CN"/>
        </w:rPr>
        <w:t>Gidday</w:t>
      </w:r>
      <w:proofErr w:type="spellEnd"/>
      <w:r w:rsidRPr="00611B67">
        <w:rPr>
          <w:rFonts w:ascii="Book Antiqua" w:eastAsia="宋体" w:hAnsi="Book Antiqua"/>
          <w:kern w:val="2"/>
          <w:bdr w:val="none" w:sz="0" w:space="0" w:color="auto"/>
          <w:lang w:eastAsia="zh-CN"/>
        </w:rPr>
        <w:t xml:space="preserve"> JM, Han BH, Zipfel GJ. Endothelial nitric oxide synthase mediates endogenous protection against subarachnoid hemorrhage-induced cerebral vasospasm. </w:t>
      </w:r>
      <w:r w:rsidRPr="00611B67">
        <w:rPr>
          <w:rFonts w:ascii="Book Antiqua" w:eastAsia="宋体" w:hAnsi="Book Antiqua"/>
          <w:i/>
          <w:kern w:val="2"/>
          <w:bdr w:val="none" w:sz="0" w:space="0" w:color="auto"/>
          <w:lang w:eastAsia="zh-CN"/>
        </w:rPr>
        <w:t>Stroke</w:t>
      </w:r>
      <w:r w:rsidRPr="00611B67">
        <w:rPr>
          <w:rFonts w:ascii="Book Antiqua" w:eastAsia="宋体" w:hAnsi="Book Antiqua"/>
          <w:kern w:val="2"/>
          <w:bdr w:val="none" w:sz="0" w:space="0" w:color="auto"/>
          <w:lang w:eastAsia="zh-CN"/>
        </w:rPr>
        <w:t xml:space="preserve"> 2011; </w:t>
      </w:r>
      <w:r w:rsidRPr="00611B67">
        <w:rPr>
          <w:rFonts w:ascii="Book Antiqua" w:eastAsia="宋体" w:hAnsi="Book Antiqua"/>
          <w:b/>
          <w:kern w:val="2"/>
          <w:bdr w:val="none" w:sz="0" w:space="0" w:color="auto"/>
          <w:lang w:eastAsia="zh-CN"/>
        </w:rPr>
        <w:t>42</w:t>
      </w:r>
      <w:r w:rsidRPr="00611B67">
        <w:rPr>
          <w:rFonts w:ascii="Book Antiqua" w:eastAsia="宋体" w:hAnsi="Book Antiqua"/>
          <w:kern w:val="2"/>
          <w:bdr w:val="none" w:sz="0" w:space="0" w:color="auto"/>
          <w:lang w:eastAsia="zh-CN"/>
        </w:rPr>
        <w:t>: 776-782 [PMID: 21317271 DOI: 10.1161/STROKEAHA.110.607200]</w:t>
      </w:r>
    </w:p>
    <w:p w14:paraId="2E7577E0"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31 </w:t>
      </w:r>
      <w:proofErr w:type="spellStart"/>
      <w:r w:rsidRPr="00611B67">
        <w:rPr>
          <w:rFonts w:ascii="Book Antiqua" w:eastAsia="宋体" w:hAnsi="Book Antiqua"/>
          <w:b/>
          <w:kern w:val="2"/>
          <w:bdr w:val="none" w:sz="0" w:space="0" w:color="auto"/>
          <w:lang w:eastAsia="zh-CN"/>
        </w:rPr>
        <w:t>Aum</w:t>
      </w:r>
      <w:proofErr w:type="spellEnd"/>
      <w:r w:rsidRPr="00611B67">
        <w:rPr>
          <w:rFonts w:ascii="Book Antiqua" w:eastAsia="宋体" w:hAnsi="Book Antiqua"/>
          <w:b/>
          <w:kern w:val="2"/>
          <w:bdr w:val="none" w:sz="0" w:space="0" w:color="auto"/>
          <w:lang w:eastAsia="zh-CN"/>
        </w:rPr>
        <w:t xml:space="preserve"> DJ</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Vellimana</w:t>
      </w:r>
      <w:proofErr w:type="spellEnd"/>
      <w:r w:rsidRPr="00611B67">
        <w:rPr>
          <w:rFonts w:ascii="Book Antiqua" w:eastAsia="宋体" w:hAnsi="Book Antiqua"/>
          <w:kern w:val="2"/>
          <w:bdr w:val="none" w:sz="0" w:space="0" w:color="auto"/>
          <w:lang w:eastAsia="zh-CN"/>
        </w:rPr>
        <w:t xml:space="preserve"> AK, Singh I, Milner E, Nelson JW, Han BH, Zipfel GJ. A novel fluorescent imaging technique for assessment of cerebral vasospasm after experimental subarachnoid hemorrhage. </w:t>
      </w:r>
      <w:r w:rsidRPr="00611B67">
        <w:rPr>
          <w:rFonts w:ascii="Book Antiqua" w:eastAsia="宋体" w:hAnsi="Book Antiqua"/>
          <w:i/>
          <w:kern w:val="2"/>
          <w:bdr w:val="none" w:sz="0" w:space="0" w:color="auto"/>
          <w:lang w:eastAsia="zh-CN"/>
        </w:rPr>
        <w:t>Sci Rep</w:t>
      </w:r>
      <w:r w:rsidRPr="00611B67">
        <w:rPr>
          <w:rFonts w:ascii="Book Antiqua" w:eastAsia="宋体" w:hAnsi="Book Antiqua"/>
          <w:kern w:val="2"/>
          <w:bdr w:val="none" w:sz="0" w:space="0" w:color="auto"/>
          <w:lang w:eastAsia="zh-CN"/>
        </w:rPr>
        <w:t xml:space="preserve"> 2017; </w:t>
      </w:r>
      <w:r w:rsidRPr="00611B67">
        <w:rPr>
          <w:rFonts w:ascii="Book Antiqua" w:eastAsia="宋体" w:hAnsi="Book Antiqua"/>
          <w:b/>
          <w:kern w:val="2"/>
          <w:bdr w:val="none" w:sz="0" w:space="0" w:color="auto"/>
          <w:lang w:eastAsia="zh-CN"/>
        </w:rPr>
        <w:t>7</w:t>
      </w:r>
      <w:r w:rsidRPr="00611B67">
        <w:rPr>
          <w:rFonts w:ascii="Book Antiqua" w:eastAsia="宋体" w:hAnsi="Book Antiqua"/>
          <w:kern w:val="2"/>
          <w:bdr w:val="none" w:sz="0" w:space="0" w:color="auto"/>
          <w:lang w:eastAsia="zh-CN"/>
        </w:rPr>
        <w:t>: 9126 [PMID: 28831103 DOI: 10.1038/s41598-017-09070-y]</w:t>
      </w:r>
    </w:p>
    <w:p w14:paraId="6B849DBF"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32 </w:t>
      </w:r>
      <w:r w:rsidRPr="00611B67">
        <w:rPr>
          <w:rFonts w:ascii="Book Antiqua" w:eastAsia="宋体" w:hAnsi="Book Antiqua"/>
          <w:b/>
          <w:kern w:val="2"/>
          <w:bdr w:val="none" w:sz="0" w:space="0" w:color="auto"/>
          <w:lang w:eastAsia="zh-CN"/>
        </w:rPr>
        <w:t>Liu M</w:t>
      </w:r>
      <w:r w:rsidRPr="00611B67">
        <w:rPr>
          <w:rFonts w:ascii="Book Antiqua" w:eastAsia="宋体" w:hAnsi="Book Antiqua"/>
          <w:kern w:val="2"/>
          <w:bdr w:val="none" w:sz="0" w:space="0" w:color="auto"/>
          <w:lang w:eastAsia="zh-CN"/>
        </w:rPr>
        <w:t>, Chen P. Proliferation</w:t>
      </w:r>
      <w:r w:rsidRPr="00611B67">
        <w:rPr>
          <w:rFonts w:ascii="MS Gothic" w:eastAsia="宋体" w:hAnsi="MS Gothic" w:cs="MS Gothic"/>
          <w:kern w:val="2"/>
          <w:bdr w:val="none" w:sz="0" w:space="0" w:color="auto"/>
          <w:lang w:eastAsia="zh-CN"/>
        </w:rPr>
        <w:t>‑</w:t>
      </w:r>
      <w:r w:rsidRPr="00611B67">
        <w:rPr>
          <w:rFonts w:ascii="Book Antiqua" w:eastAsia="宋体" w:hAnsi="Book Antiqua"/>
          <w:kern w:val="2"/>
          <w:bdr w:val="none" w:sz="0" w:space="0" w:color="auto"/>
          <w:lang w:eastAsia="zh-CN"/>
        </w:rPr>
        <w:t>inhibiting pathways in liver regeneration (R</w:t>
      </w:r>
      <w:r w:rsidRPr="00611B67">
        <w:rPr>
          <w:rFonts w:ascii="Book Antiqua" w:eastAsia="宋体" w:hAnsi="Book Antiqua"/>
          <w:kern w:val="2"/>
          <w:bdr w:val="none" w:sz="0" w:space="0" w:color="auto"/>
          <w:lang w:eastAsia="zh-CN"/>
        </w:rPr>
        <w:t>e</w:t>
      </w:r>
      <w:r w:rsidRPr="00611B67">
        <w:rPr>
          <w:rFonts w:ascii="Book Antiqua" w:eastAsia="宋体" w:hAnsi="Book Antiqua"/>
          <w:kern w:val="2"/>
          <w:bdr w:val="none" w:sz="0" w:space="0" w:color="auto"/>
          <w:lang w:eastAsia="zh-CN"/>
        </w:rPr>
        <w:t xml:space="preserve">view). </w:t>
      </w:r>
      <w:r w:rsidRPr="00611B67">
        <w:rPr>
          <w:rFonts w:ascii="Book Antiqua" w:eastAsia="宋体" w:hAnsi="Book Antiqua"/>
          <w:i/>
          <w:kern w:val="2"/>
          <w:bdr w:val="none" w:sz="0" w:space="0" w:color="auto"/>
          <w:lang w:eastAsia="zh-CN"/>
        </w:rPr>
        <w:t>Mol Med Rep</w:t>
      </w:r>
      <w:r w:rsidRPr="00611B67">
        <w:rPr>
          <w:rFonts w:ascii="Book Antiqua" w:eastAsia="宋体" w:hAnsi="Book Antiqua"/>
          <w:kern w:val="2"/>
          <w:bdr w:val="none" w:sz="0" w:space="0" w:color="auto"/>
          <w:lang w:eastAsia="zh-CN"/>
        </w:rPr>
        <w:t xml:space="preserve"> 2017; </w:t>
      </w:r>
      <w:r w:rsidRPr="00611B67">
        <w:rPr>
          <w:rFonts w:ascii="Book Antiqua" w:eastAsia="宋体" w:hAnsi="Book Antiqua"/>
          <w:b/>
          <w:kern w:val="2"/>
          <w:bdr w:val="none" w:sz="0" w:space="0" w:color="auto"/>
          <w:lang w:eastAsia="zh-CN"/>
        </w:rPr>
        <w:t>16</w:t>
      </w:r>
      <w:r w:rsidRPr="00611B67">
        <w:rPr>
          <w:rFonts w:ascii="Book Antiqua" w:eastAsia="宋体" w:hAnsi="Book Antiqua"/>
          <w:kern w:val="2"/>
          <w:bdr w:val="none" w:sz="0" w:space="0" w:color="auto"/>
          <w:lang w:eastAsia="zh-CN"/>
        </w:rPr>
        <w:t>: 23-35 [PMID: 28534998 DOI: 10.3892/mmr.2017.6613]</w:t>
      </w:r>
    </w:p>
    <w:p w14:paraId="59A48C44"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33 </w:t>
      </w:r>
      <w:r w:rsidRPr="00611B67">
        <w:rPr>
          <w:rFonts w:ascii="Book Antiqua" w:eastAsia="宋体" w:hAnsi="Book Antiqua"/>
          <w:b/>
          <w:kern w:val="2"/>
          <w:bdr w:val="none" w:sz="0" w:space="0" w:color="auto"/>
          <w:lang w:eastAsia="zh-CN"/>
        </w:rPr>
        <w:t>Hoffmann K</w:t>
      </w:r>
      <w:r w:rsidRPr="00611B67">
        <w:rPr>
          <w:rFonts w:ascii="Book Antiqua" w:eastAsia="宋体" w:hAnsi="Book Antiqua"/>
          <w:kern w:val="2"/>
          <w:bdr w:val="none" w:sz="0" w:space="0" w:color="auto"/>
          <w:lang w:eastAsia="zh-CN"/>
        </w:rPr>
        <w:t xml:space="preserve">, Nagel AJ, Tanabe K, Fuchs J, </w:t>
      </w:r>
      <w:proofErr w:type="spellStart"/>
      <w:r w:rsidRPr="00611B67">
        <w:rPr>
          <w:rFonts w:ascii="Book Antiqua" w:eastAsia="宋体" w:hAnsi="Book Antiqua"/>
          <w:kern w:val="2"/>
          <w:bdr w:val="none" w:sz="0" w:space="0" w:color="auto"/>
          <w:lang w:eastAsia="zh-CN"/>
        </w:rPr>
        <w:t>Dehlke</w:t>
      </w:r>
      <w:proofErr w:type="spellEnd"/>
      <w:r w:rsidRPr="00611B67">
        <w:rPr>
          <w:rFonts w:ascii="Book Antiqua" w:eastAsia="宋体" w:hAnsi="Book Antiqua"/>
          <w:kern w:val="2"/>
          <w:bdr w:val="none" w:sz="0" w:space="0" w:color="auto"/>
          <w:lang w:eastAsia="zh-CN"/>
        </w:rPr>
        <w:t xml:space="preserve"> K, </w:t>
      </w:r>
      <w:proofErr w:type="spellStart"/>
      <w:r w:rsidRPr="00611B67">
        <w:rPr>
          <w:rFonts w:ascii="Book Antiqua" w:eastAsia="宋体" w:hAnsi="Book Antiqua"/>
          <w:kern w:val="2"/>
          <w:bdr w:val="none" w:sz="0" w:space="0" w:color="auto"/>
          <w:lang w:eastAsia="zh-CN"/>
        </w:rPr>
        <w:t>Ghamarnejad</w:t>
      </w:r>
      <w:proofErr w:type="spellEnd"/>
      <w:r w:rsidRPr="00611B67">
        <w:rPr>
          <w:rFonts w:ascii="Book Antiqua" w:eastAsia="宋体" w:hAnsi="Book Antiqua"/>
          <w:kern w:val="2"/>
          <w:bdr w:val="none" w:sz="0" w:space="0" w:color="auto"/>
          <w:lang w:eastAsia="zh-CN"/>
        </w:rPr>
        <w:t xml:space="preserve"> O, </w:t>
      </w:r>
      <w:proofErr w:type="spellStart"/>
      <w:r w:rsidRPr="00611B67">
        <w:rPr>
          <w:rFonts w:ascii="Book Antiqua" w:eastAsia="宋体" w:hAnsi="Book Antiqua"/>
          <w:kern w:val="2"/>
          <w:bdr w:val="none" w:sz="0" w:space="0" w:color="auto"/>
          <w:lang w:eastAsia="zh-CN"/>
        </w:rPr>
        <w:t>Lemekhova</w:t>
      </w:r>
      <w:proofErr w:type="spellEnd"/>
      <w:r w:rsidRPr="00611B67">
        <w:rPr>
          <w:rFonts w:ascii="Book Antiqua" w:eastAsia="宋体" w:hAnsi="Book Antiqua"/>
          <w:kern w:val="2"/>
          <w:bdr w:val="none" w:sz="0" w:space="0" w:color="auto"/>
          <w:lang w:eastAsia="zh-CN"/>
        </w:rPr>
        <w:t xml:space="preserve"> A, </w:t>
      </w:r>
      <w:proofErr w:type="spellStart"/>
      <w:r w:rsidRPr="00611B67">
        <w:rPr>
          <w:rFonts w:ascii="Book Antiqua" w:eastAsia="宋体" w:hAnsi="Book Antiqua"/>
          <w:kern w:val="2"/>
          <w:bdr w:val="none" w:sz="0" w:space="0" w:color="auto"/>
          <w:lang w:eastAsia="zh-CN"/>
        </w:rPr>
        <w:t>Mehrabi</w:t>
      </w:r>
      <w:proofErr w:type="spellEnd"/>
      <w:r w:rsidRPr="00611B67">
        <w:rPr>
          <w:rFonts w:ascii="Book Antiqua" w:eastAsia="宋体" w:hAnsi="Book Antiqua"/>
          <w:kern w:val="2"/>
          <w:bdr w:val="none" w:sz="0" w:space="0" w:color="auto"/>
          <w:lang w:eastAsia="zh-CN"/>
        </w:rPr>
        <w:t xml:space="preserve"> A. Markers of liver regeneration-the role of growth fa</w:t>
      </w:r>
      <w:r w:rsidRPr="00611B67">
        <w:rPr>
          <w:rFonts w:ascii="Book Antiqua" w:eastAsia="宋体" w:hAnsi="Book Antiqua"/>
          <w:kern w:val="2"/>
          <w:bdr w:val="none" w:sz="0" w:space="0" w:color="auto"/>
          <w:lang w:eastAsia="zh-CN"/>
        </w:rPr>
        <w:t>c</w:t>
      </w:r>
      <w:r w:rsidRPr="00611B67">
        <w:rPr>
          <w:rFonts w:ascii="Book Antiqua" w:eastAsia="宋体" w:hAnsi="Book Antiqua"/>
          <w:kern w:val="2"/>
          <w:bdr w:val="none" w:sz="0" w:space="0" w:color="auto"/>
          <w:lang w:eastAsia="zh-CN"/>
        </w:rPr>
        <w:t xml:space="preserve">tors and cytokines: a systematic review. </w:t>
      </w:r>
      <w:r w:rsidRPr="00611B67">
        <w:rPr>
          <w:rFonts w:ascii="Book Antiqua" w:eastAsia="宋体" w:hAnsi="Book Antiqua"/>
          <w:i/>
          <w:kern w:val="2"/>
          <w:bdr w:val="none" w:sz="0" w:space="0" w:color="auto"/>
          <w:lang w:eastAsia="zh-CN"/>
        </w:rPr>
        <w:t>BMC Surg</w:t>
      </w:r>
      <w:r w:rsidRPr="00611B67">
        <w:rPr>
          <w:rFonts w:ascii="Book Antiqua" w:eastAsia="宋体" w:hAnsi="Book Antiqua"/>
          <w:kern w:val="2"/>
          <w:bdr w:val="none" w:sz="0" w:space="0" w:color="auto"/>
          <w:lang w:eastAsia="zh-CN"/>
        </w:rPr>
        <w:t xml:space="preserve"> 2020; </w:t>
      </w:r>
      <w:r w:rsidRPr="00611B67">
        <w:rPr>
          <w:rFonts w:ascii="Book Antiqua" w:eastAsia="宋体" w:hAnsi="Book Antiqua"/>
          <w:b/>
          <w:kern w:val="2"/>
          <w:bdr w:val="none" w:sz="0" w:space="0" w:color="auto"/>
          <w:lang w:eastAsia="zh-CN"/>
        </w:rPr>
        <w:t>20</w:t>
      </w:r>
      <w:r w:rsidRPr="00611B67">
        <w:rPr>
          <w:rFonts w:ascii="Book Antiqua" w:eastAsia="宋体" w:hAnsi="Book Antiqua"/>
          <w:kern w:val="2"/>
          <w:bdr w:val="none" w:sz="0" w:space="0" w:color="auto"/>
          <w:lang w:eastAsia="zh-CN"/>
        </w:rPr>
        <w:t>: 31 [PMID: 32050952 DOI: 10.1186/s12893-019-0664-8]</w:t>
      </w:r>
    </w:p>
    <w:p w14:paraId="18A5EB7D"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34 </w:t>
      </w:r>
      <w:proofErr w:type="spellStart"/>
      <w:r w:rsidRPr="00611B67">
        <w:rPr>
          <w:rFonts w:ascii="Book Antiqua" w:eastAsia="宋体" w:hAnsi="Book Antiqua"/>
          <w:b/>
          <w:kern w:val="2"/>
          <w:bdr w:val="none" w:sz="0" w:space="0" w:color="auto"/>
          <w:lang w:eastAsia="zh-CN"/>
        </w:rPr>
        <w:t>Tsomaia</w:t>
      </w:r>
      <w:proofErr w:type="spellEnd"/>
      <w:r w:rsidRPr="00611B67">
        <w:rPr>
          <w:rFonts w:ascii="Book Antiqua" w:eastAsia="宋体" w:hAnsi="Book Antiqua"/>
          <w:b/>
          <w:kern w:val="2"/>
          <w:bdr w:val="none" w:sz="0" w:space="0" w:color="auto"/>
          <w:lang w:eastAsia="zh-CN"/>
        </w:rPr>
        <w:t xml:space="preserve"> K</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Patarashvili</w:t>
      </w:r>
      <w:proofErr w:type="spellEnd"/>
      <w:r w:rsidRPr="00611B67">
        <w:rPr>
          <w:rFonts w:ascii="Book Antiqua" w:eastAsia="宋体" w:hAnsi="Book Antiqua"/>
          <w:kern w:val="2"/>
          <w:bdr w:val="none" w:sz="0" w:space="0" w:color="auto"/>
          <w:lang w:eastAsia="zh-CN"/>
        </w:rPr>
        <w:t xml:space="preserve"> L, </w:t>
      </w:r>
      <w:proofErr w:type="spellStart"/>
      <w:r w:rsidRPr="00611B67">
        <w:rPr>
          <w:rFonts w:ascii="Book Antiqua" w:eastAsia="宋体" w:hAnsi="Book Antiqua"/>
          <w:kern w:val="2"/>
          <w:bdr w:val="none" w:sz="0" w:space="0" w:color="auto"/>
          <w:lang w:eastAsia="zh-CN"/>
        </w:rPr>
        <w:t>Bebiashvili</w:t>
      </w:r>
      <w:proofErr w:type="spellEnd"/>
      <w:r w:rsidRPr="00611B67">
        <w:rPr>
          <w:rFonts w:ascii="Book Antiqua" w:eastAsia="宋体" w:hAnsi="Book Antiqua"/>
          <w:kern w:val="2"/>
          <w:bdr w:val="none" w:sz="0" w:space="0" w:color="auto"/>
          <w:lang w:eastAsia="zh-CN"/>
        </w:rPr>
        <w:t xml:space="preserve"> I, </w:t>
      </w:r>
      <w:proofErr w:type="spellStart"/>
      <w:r w:rsidRPr="00611B67">
        <w:rPr>
          <w:rFonts w:ascii="Book Antiqua" w:eastAsia="宋体" w:hAnsi="Book Antiqua"/>
          <w:kern w:val="2"/>
          <w:bdr w:val="none" w:sz="0" w:space="0" w:color="auto"/>
          <w:lang w:eastAsia="zh-CN"/>
        </w:rPr>
        <w:t>Azmaiparashvili</w:t>
      </w:r>
      <w:proofErr w:type="spellEnd"/>
      <w:r w:rsidRPr="00611B67">
        <w:rPr>
          <w:rFonts w:ascii="Book Antiqua" w:eastAsia="宋体" w:hAnsi="Book Antiqua"/>
          <w:kern w:val="2"/>
          <w:bdr w:val="none" w:sz="0" w:space="0" w:color="auto"/>
          <w:lang w:eastAsia="zh-CN"/>
        </w:rPr>
        <w:t xml:space="preserve"> E, </w:t>
      </w:r>
      <w:proofErr w:type="spellStart"/>
      <w:r w:rsidRPr="00611B67">
        <w:rPr>
          <w:rFonts w:ascii="Book Antiqua" w:eastAsia="宋体" w:hAnsi="Book Antiqua"/>
          <w:kern w:val="2"/>
          <w:bdr w:val="none" w:sz="0" w:space="0" w:color="auto"/>
          <w:lang w:eastAsia="zh-CN"/>
        </w:rPr>
        <w:t>Kakabadze</w:t>
      </w:r>
      <w:proofErr w:type="spellEnd"/>
      <w:r w:rsidRPr="00611B67">
        <w:rPr>
          <w:rFonts w:ascii="Book Antiqua" w:eastAsia="宋体" w:hAnsi="Book Antiqua"/>
          <w:kern w:val="2"/>
          <w:bdr w:val="none" w:sz="0" w:space="0" w:color="auto"/>
          <w:lang w:eastAsia="zh-CN"/>
        </w:rPr>
        <w:t xml:space="preserve"> M, </w:t>
      </w:r>
      <w:proofErr w:type="spellStart"/>
      <w:r w:rsidRPr="00611B67">
        <w:rPr>
          <w:rFonts w:ascii="Book Antiqua" w:eastAsia="宋体" w:hAnsi="Book Antiqua"/>
          <w:kern w:val="2"/>
          <w:bdr w:val="none" w:sz="0" w:space="0" w:color="auto"/>
          <w:lang w:eastAsia="zh-CN"/>
        </w:rPr>
        <w:t>Jalabadze</w:t>
      </w:r>
      <w:proofErr w:type="spellEnd"/>
      <w:r w:rsidRPr="00611B67">
        <w:rPr>
          <w:rFonts w:ascii="Book Antiqua" w:eastAsia="宋体" w:hAnsi="Book Antiqua"/>
          <w:kern w:val="2"/>
          <w:bdr w:val="none" w:sz="0" w:space="0" w:color="auto"/>
          <w:lang w:eastAsia="zh-CN"/>
        </w:rPr>
        <w:t xml:space="preserve"> N, </w:t>
      </w:r>
      <w:proofErr w:type="spellStart"/>
      <w:r w:rsidRPr="00611B67">
        <w:rPr>
          <w:rFonts w:ascii="Book Antiqua" w:eastAsia="宋体" w:hAnsi="Book Antiqua"/>
          <w:kern w:val="2"/>
          <w:bdr w:val="none" w:sz="0" w:space="0" w:color="auto"/>
          <w:lang w:eastAsia="zh-CN"/>
        </w:rPr>
        <w:t>Sareli</w:t>
      </w:r>
      <w:proofErr w:type="spellEnd"/>
      <w:r w:rsidRPr="00611B67">
        <w:rPr>
          <w:rFonts w:ascii="Book Antiqua" w:eastAsia="宋体" w:hAnsi="Book Antiqua"/>
          <w:kern w:val="2"/>
          <w:bdr w:val="none" w:sz="0" w:space="0" w:color="auto"/>
          <w:lang w:eastAsia="zh-CN"/>
        </w:rPr>
        <w:t xml:space="preserve"> M, </w:t>
      </w:r>
      <w:proofErr w:type="spellStart"/>
      <w:r w:rsidRPr="00611B67">
        <w:rPr>
          <w:rFonts w:ascii="Book Antiqua" w:eastAsia="宋体" w:hAnsi="Book Antiqua"/>
          <w:kern w:val="2"/>
          <w:bdr w:val="none" w:sz="0" w:space="0" w:color="auto"/>
          <w:lang w:eastAsia="zh-CN"/>
        </w:rPr>
        <w:t>Gusev</w:t>
      </w:r>
      <w:proofErr w:type="spellEnd"/>
      <w:r w:rsidRPr="00611B67">
        <w:rPr>
          <w:rFonts w:ascii="Book Antiqua" w:eastAsia="宋体" w:hAnsi="Book Antiqua"/>
          <w:kern w:val="2"/>
          <w:bdr w:val="none" w:sz="0" w:space="0" w:color="auto"/>
          <w:lang w:eastAsia="zh-CN"/>
        </w:rPr>
        <w:t xml:space="preserve"> S, </w:t>
      </w:r>
      <w:proofErr w:type="spellStart"/>
      <w:r w:rsidRPr="00611B67">
        <w:rPr>
          <w:rFonts w:ascii="Book Antiqua" w:eastAsia="宋体" w:hAnsi="Book Antiqua"/>
          <w:kern w:val="2"/>
          <w:bdr w:val="none" w:sz="0" w:space="0" w:color="auto"/>
          <w:lang w:eastAsia="zh-CN"/>
        </w:rPr>
        <w:t>Kordzaia</w:t>
      </w:r>
      <w:proofErr w:type="spellEnd"/>
      <w:r w:rsidRPr="00611B67">
        <w:rPr>
          <w:rFonts w:ascii="Book Antiqua" w:eastAsia="宋体" w:hAnsi="Book Antiqua"/>
          <w:kern w:val="2"/>
          <w:bdr w:val="none" w:sz="0" w:space="0" w:color="auto"/>
          <w:lang w:eastAsia="zh-CN"/>
        </w:rPr>
        <w:t xml:space="preserve"> D. New corrosion cast media and its ability for SEM and light microscope investigation. </w:t>
      </w:r>
      <w:proofErr w:type="spellStart"/>
      <w:r w:rsidRPr="00611B67">
        <w:rPr>
          <w:rFonts w:ascii="Book Antiqua" w:eastAsia="宋体" w:hAnsi="Book Antiqua"/>
          <w:i/>
          <w:kern w:val="2"/>
          <w:bdr w:val="none" w:sz="0" w:space="0" w:color="auto"/>
          <w:lang w:eastAsia="zh-CN"/>
        </w:rPr>
        <w:t>Microsc</w:t>
      </w:r>
      <w:proofErr w:type="spellEnd"/>
      <w:r w:rsidRPr="00611B67">
        <w:rPr>
          <w:rFonts w:ascii="Book Antiqua" w:eastAsia="宋体" w:hAnsi="Book Antiqua"/>
          <w:i/>
          <w:kern w:val="2"/>
          <w:bdr w:val="none" w:sz="0" w:space="0" w:color="auto"/>
          <w:lang w:eastAsia="zh-CN"/>
        </w:rPr>
        <w:t xml:space="preserve"> Res Tech</w:t>
      </w:r>
      <w:r w:rsidRPr="00611B67">
        <w:rPr>
          <w:rFonts w:ascii="Book Antiqua" w:eastAsia="宋体" w:hAnsi="Book Antiqua"/>
          <w:kern w:val="2"/>
          <w:bdr w:val="none" w:sz="0" w:space="0" w:color="auto"/>
          <w:lang w:eastAsia="zh-CN"/>
        </w:rPr>
        <w:t xml:space="preserve"> 2020; </w:t>
      </w:r>
      <w:r w:rsidRPr="00611B67">
        <w:rPr>
          <w:rFonts w:ascii="Book Antiqua" w:eastAsia="宋体" w:hAnsi="Book Antiqua"/>
          <w:b/>
          <w:kern w:val="2"/>
          <w:bdr w:val="none" w:sz="0" w:space="0" w:color="auto"/>
          <w:lang w:eastAsia="zh-CN"/>
        </w:rPr>
        <w:t>83</w:t>
      </w:r>
      <w:r w:rsidRPr="00611B67">
        <w:rPr>
          <w:rFonts w:ascii="Book Antiqua" w:eastAsia="宋体" w:hAnsi="Book Antiqua"/>
          <w:kern w:val="2"/>
          <w:bdr w:val="none" w:sz="0" w:space="0" w:color="auto"/>
          <w:lang w:eastAsia="zh-CN"/>
        </w:rPr>
        <w:t>: 778-789 [PMID: 32129926 DOI: 10.1002/jemt.23468]</w:t>
      </w:r>
    </w:p>
    <w:p w14:paraId="3047EBA2"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35 </w:t>
      </w:r>
      <w:proofErr w:type="spellStart"/>
      <w:r w:rsidRPr="00611B67">
        <w:rPr>
          <w:rFonts w:ascii="Book Antiqua" w:eastAsia="宋体" w:hAnsi="Book Antiqua"/>
          <w:b/>
          <w:kern w:val="2"/>
          <w:bdr w:val="none" w:sz="0" w:space="0" w:color="auto"/>
          <w:lang w:eastAsia="zh-CN"/>
        </w:rPr>
        <w:t>Kordzaya</w:t>
      </w:r>
      <w:proofErr w:type="spellEnd"/>
      <w:r w:rsidRPr="00611B67">
        <w:rPr>
          <w:rFonts w:ascii="Book Antiqua" w:eastAsia="宋体" w:hAnsi="Book Antiqua"/>
          <w:b/>
          <w:kern w:val="2"/>
          <w:bdr w:val="none" w:sz="0" w:space="0" w:color="auto"/>
          <w:lang w:eastAsia="zh-CN"/>
        </w:rPr>
        <w:t xml:space="preserve"> DJ</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Goderdzishvili</w:t>
      </w:r>
      <w:proofErr w:type="spellEnd"/>
      <w:r w:rsidRPr="00611B67">
        <w:rPr>
          <w:rFonts w:ascii="Book Antiqua" w:eastAsia="宋体" w:hAnsi="Book Antiqua"/>
          <w:kern w:val="2"/>
          <w:bdr w:val="none" w:sz="0" w:space="0" w:color="auto"/>
          <w:lang w:eastAsia="zh-CN"/>
        </w:rPr>
        <w:t xml:space="preserve"> VT. Bacterial translocation in obstructive jau</w:t>
      </w:r>
      <w:r w:rsidRPr="00611B67">
        <w:rPr>
          <w:rFonts w:ascii="Book Antiqua" w:eastAsia="宋体" w:hAnsi="Book Antiqua"/>
          <w:kern w:val="2"/>
          <w:bdr w:val="none" w:sz="0" w:space="0" w:color="auto"/>
          <w:lang w:eastAsia="zh-CN"/>
        </w:rPr>
        <w:t>n</w:t>
      </w:r>
      <w:r w:rsidRPr="00611B67">
        <w:rPr>
          <w:rFonts w:ascii="Book Antiqua" w:eastAsia="宋体" w:hAnsi="Book Antiqua"/>
          <w:kern w:val="2"/>
          <w:bdr w:val="none" w:sz="0" w:space="0" w:color="auto"/>
          <w:lang w:eastAsia="zh-CN"/>
        </w:rPr>
        <w:t xml:space="preserve">dice in rats: role of mucosal lacteals. </w:t>
      </w:r>
      <w:r w:rsidRPr="00611B67">
        <w:rPr>
          <w:rFonts w:ascii="Book Antiqua" w:eastAsia="宋体" w:hAnsi="Book Antiqua"/>
          <w:i/>
          <w:kern w:val="2"/>
          <w:bdr w:val="none" w:sz="0" w:space="0" w:color="auto"/>
          <w:lang w:eastAsia="zh-CN"/>
        </w:rPr>
        <w:t>Eur J Surg</w:t>
      </w:r>
      <w:r w:rsidRPr="00611B67">
        <w:rPr>
          <w:rFonts w:ascii="Book Antiqua" w:eastAsia="宋体" w:hAnsi="Book Antiqua"/>
          <w:kern w:val="2"/>
          <w:bdr w:val="none" w:sz="0" w:space="0" w:color="auto"/>
          <w:lang w:eastAsia="zh-CN"/>
        </w:rPr>
        <w:t xml:space="preserve"> 2000; </w:t>
      </w:r>
      <w:r w:rsidRPr="00611B67">
        <w:rPr>
          <w:rFonts w:ascii="Book Antiqua" w:eastAsia="宋体" w:hAnsi="Book Antiqua"/>
          <w:b/>
          <w:kern w:val="2"/>
          <w:bdr w:val="none" w:sz="0" w:space="0" w:color="auto"/>
          <w:lang w:eastAsia="zh-CN"/>
        </w:rPr>
        <w:t>166</w:t>
      </w:r>
      <w:r w:rsidRPr="00611B67">
        <w:rPr>
          <w:rFonts w:ascii="Book Antiqua" w:eastAsia="宋体" w:hAnsi="Book Antiqua"/>
          <w:kern w:val="2"/>
          <w:bdr w:val="none" w:sz="0" w:space="0" w:color="auto"/>
          <w:lang w:eastAsia="zh-CN"/>
        </w:rPr>
        <w:t>: 367-374 [PMID: 10881946 DOI: 10.1080/110241500750008907]</w:t>
      </w:r>
    </w:p>
    <w:p w14:paraId="52277BCB"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lastRenderedPageBreak/>
        <w:t xml:space="preserve">36 </w:t>
      </w:r>
      <w:proofErr w:type="spellStart"/>
      <w:r w:rsidRPr="00611B67">
        <w:rPr>
          <w:rFonts w:ascii="Book Antiqua" w:eastAsia="宋体" w:hAnsi="Book Antiqua"/>
          <w:b/>
          <w:kern w:val="2"/>
          <w:bdr w:val="none" w:sz="0" w:space="0" w:color="auto"/>
          <w:lang w:eastAsia="zh-CN"/>
        </w:rPr>
        <w:t>Michalopoulos</w:t>
      </w:r>
      <w:proofErr w:type="spellEnd"/>
      <w:r w:rsidRPr="00611B67">
        <w:rPr>
          <w:rFonts w:ascii="Book Antiqua" w:eastAsia="宋体" w:hAnsi="Book Antiqua"/>
          <w:b/>
          <w:kern w:val="2"/>
          <w:bdr w:val="none" w:sz="0" w:space="0" w:color="auto"/>
          <w:lang w:eastAsia="zh-CN"/>
        </w:rPr>
        <w:t xml:space="preserve"> GK</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DeFrances</w:t>
      </w:r>
      <w:proofErr w:type="spellEnd"/>
      <w:r w:rsidRPr="00611B67">
        <w:rPr>
          <w:rFonts w:ascii="Book Antiqua" w:eastAsia="宋体" w:hAnsi="Book Antiqua"/>
          <w:kern w:val="2"/>
          <w:bdr w:val="none" w:sz="0" w:space="0" w:color="auto"/>
          <w:lang w:eastAsia="zh-CN"/>
        </w:rPr>
        <w:t xml:space="preserve"> MC. Liver regeneration. </w:t>
      </w:r>
      <w:r w:rsidRPr="00611B67">
        <w:rPr>
          <w:rFonts w:ascii="Book Antiqua" w:eastAsia="宋体" w:hAnsi="Book Antiqua"/>
          <w:i/>
          <w:kern w:val="2"/>
          <w:bdr w:val="none" w:sz="0" w:space="0" w:color="auto"/>
          <w:lang w:eastAsia="zh-CN"/>
        </w:rPr>
        <w:t>Science</w:t>
      </w:r>
      <w:r w:rsidRPr="00611B67">
        <w:rPr>
          <w:rFonts w:ascii="Book Antiqua" w:eastAsia="宋体" w:hAnsi="Book Antiqua"/>
          <w:kern w:val="2"/>
          <w:bdr w:val="none" w:sz="0" w:space="0" w:color="auto"/>
          <w:lang w:eastAsia="zh-CN"/>
        </w:rPr>
        <w:t xml:space="preserve"> 1997; </w:t>
      </w:r>
      <w:r w:rsidRPr="00611B67">
        <w:rPr>
          <w:rFonts w:ascii="Book Antiqua" w:eastAsia="宋体" w:hAnsi="Book Antiqua"/>
          <w:b/>
          <w:kern w:val="2"/>
          <w:bdr w:val="none" w:sz="0" w:space="0" w:color="auto"/>
          <w:lang w:eastAsia="zh-CN"/>
        </w:rPr>
        <w:t>276</w:t>
      </w:r>
      <w:r w:rsidRPr="00611B67">
        <w:rPr>
          <w:rFonts w:ascii="Book Antiqua" w:eastAsia="宋体" w:hAnsi="Book Antiqua"/>
          <w:kern w:val="2"/>
          <w:bdr w:val="none" w:sz="0" w:space="0" w:color="auto"/>
          <w:lang w:eastAsia="zh-CN"/>
        </w:rPr>
        <w:t>: 60-66 [PMID: 9082986 DOI: 10.1126/science.276.5309.60]</w:t>
      </w:r>
    </w:p>
    <w:p w14:paraId="4FC501B2"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37 </w:t>
      </w:r>
      <w:r w:rsidRPr="00611B67">
        <w:rPr>
          <w:rFonts w:ascii="Book Antiqua" w:eastAsia="宋体" w:hAnsi="Book Antiqua"/>
          <w:b/>
          <w:kern w:val="2"/>
          <w:bdr w:val="none" w:sz="0" w:space="0" w:color="auto"/>
          <w:lang w:eastAsia="zh-CN"/>
        </w:rPr>
        <w:t>Schoen Smith JM</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Lautt</w:t>
      </w:r>
      <w:proofErr w:type="spellEnd"/>
      <w:r w:rsidRPr="00611B67">
        <w:rPr>
          <w:rFonts w:ascii="Book Antiqua" w:eastAsia="宋体" w:hAnsi="Book Antiqua"/>
          <w:kern w:val="2"/>
          <w:bdr w:val="none" w:sz="0" w:space="0" w:color="auto"/>
          <w:lang w:eastAsia="zh-CN"/>
        </w:rPr>
        <w:t xml:space="preserve"> WW. Nitric oxide and prostaglandins potentiate the liver regeneration cascade. </w:t>
      </w:r>
      <w:r w:rsidRPr="00611B67">
        <w:rPr>
          <w:rFonts w:ascii="Book Antiqua" w:eastAsia="宋体" w:hAnsi="Book Antiqua"/>
          <w:i/>
          <w:kern w:val="2"/>
          <w:bdr w:val="none" w:sz="0" w:space="0" w:color="auto"/>
          <w:lang w:eastAsia="zh-CN"/>
        </w:rPr>
        <w:t>Can J Gastroenterol</w:t>
      </w:r>
      <w:r w:rsidRPr="00611B67">
        <w:rPr>
          <w:rFonts w:ascii="Book Antiqua" w:eastAsia="宋体" w:hAnsi="Book Antiqua"/>
          <w:kern w:val="2"/>
          <w:bdr w:val="none" w:sz="0" w:space="0" w:color="auto"/>
          <w:lang w:eastAsia="zh-CN"/>
        </w:rPr>
        <w:t xml:space="preserve"> 2006; </w:t>
      </w:r>
      <w:r w:rsidRPr="00611B67">
        <w:rPr>
          <w:rFonts w:ascii="Book Antiqua" w:eastAsia="宋体" w:hAnsi="Book Antiqua"/>
          <w:b/>
          <w:kern w:val="2"/>
          <w:bdr w:val="none" w:sz="0" w:space="0" w:color="auto"/>
          <w:lang w:eastAsia="zh-CN"/>
        </w:rPr>
        <w:t>20</w:t>
      </w:r>
      <w:r w:rsidRPr="00611B67">
        <w:rPr>
          <w:rFonts w:ascii="Book Antiqua" w:eastAsia="宋体" w:hAnsi="Book Antiqua"/>
          <w:kern w:val="2"/>
          <w:bdr w:val="none" w:sz="0" w:space="0" w:color="auto"/>
          <w:lang w:eastAsia="zh-CN"/>
        </w:rPr>
        <w:t>: 329-334 [PMID: 16691298 DOI: 10.1155/2006/659027]</w:t>
      </w:r>
    </w:p>
    <w:p w14:paraId="53DEF988"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38 </w:t>
      </w:r>
      <w:r w:rsidRPr="00611B67">
        <w:rPr>
          <w:rFonts w:ascii="Book Antiqua" w:eastAsia="宋体" w:hAnsi="Book Antiqua"/>
          <w:b/>
          <w:kern w:val="2"/>
          <w:bdr w:val="none" w:sz="0" w:space="0" w:color="auto"/>
          <w:lang w:eastAsia="zh-CN"/>
        </w:rPr>
        <w:t>Schoen JM</w:t>
      </w:r>
      <w:r w:rsidRPr="00611B67">
        <w:rPr>
          <w:rFonts w:ascii="Book Antiqua" w:eastAsia="宋体" w:hAnsi="Book Antiqua"/>
          <w:kern w:val="2"/>
          <w:bdr w:val="none" w:sz="0" w:space="0" w:color="auto"/>
          <w:lang w:eastAsia="zh-CN"/>
        </w:rPr>
        <w:t xml:space="preserve">, Wang HH, </w:t>
      </w:r>
      <w:proofErr w:type="spellStart"/>
      <w:r w:rsidRPr="00611B67">
        <w:rPr>
          <w:rFonts w:ascii="Book Antiqua" w:eastAsia="宋体" w:hAnsi="Book Antiqua"/>
          <w:kern w:val="2"/>
          <w:bdr w:val="none" w:sz="0" w:space="0" w:color="auto"/>
          <w:lang w:eastAsia="zh-CN"/>
        </w:rPr>
        <w:t>Minuk</w:t>
      </w:r>
      <w:proofErr w:type="spellEnd"/>
      <w:r w:rsidRPr="00611B67">
        <w:rPr>
          <w:rFonts w:ascii="Book Antiqua" w:eastAsia="宋体" w:hAnsi="Book Antiqua"/>
          <w:kern w:val="2"/>
          <w:bdr w:val="none" w:sz="0" w:space="0" w:color="auto"/>
          <w:lang w:eastAsia="zh-CN"/>
        </w:rPr>
        <w:t xml:space="preserve"> GY, </w:t>
      </w:r>
      <w:proofErr w:type="spellStart"/>
      <w:r w:rsidRPr="00611B67">
        <w:rPr>
          <w:rFonts w:ascii="Book Antiqua" w:eastAsia="宋体" w:hAnsi="Book Antiqua"/>
          <w:kern w:val="2"/>
          <w:bdr w:val="none" w:sz="0" w:space="0" w:color="auto"/>
          <w:lang w:eastAsia="zh-CN"/>
        </w:rPr>
        <w:t>Lautt</w:t>
      </w:r>
      <w:proofErr w:type="spellEnd"/>
      <w:r w:rsidRPr="00611B67">
        <w:rPr>
          <w:rFonts w:ascii="Book Antiqua" w:eastAsia="宋体" w:hAnsi="Book Antiqua"/>
          <w:kern w:val="2"/>
          <w:bdr w:val="none" w:sz="0" w:space="0" w:color="auto"/>
          <w:lang w:eastAsia="zh-CN"/>
        </w:rPr>
        <w:t xml:space="preserve"> WW. Shear stress-induced nitric o</w:t>
      </w:r>
      <w:r w:rsidRPr="00611B67">
        <w:rPr>
          <w:rFonts w:ascii="Book Antiqua" w:eastAsia="宋体" w:hAnsi="Book Antiqua"/>
          <w:kern w:val="2"/>
          <w:bdr w:val="none" w:sz="0" w:space="0" w:color="auto"/>
          <w:lang w:eastAsia="zh-CN"/>
        </w:rPr>
        <w:t>x</w:t>
      </w:r>
      <w:r w:rsidRPr="00611B67">
        <w:rPr>
          <w:rFonts w:ascii="Book Antiqua" w:eastAsia="宋体" w:hAnsi="Book Antiqua"/>
          <w:kern w:val="2"/>
          <w:bdr w:val="none" w:sz="0" w:space="0" w:color="auto"/>
          <w:lang w:eastAsia="zh-CN"/>
        </w:rPr>
        <w:t xml:space="preserve">ide release triggers the liver regeneration cascade. </w:t>
      </w:r>
      <w:r w:rsidRPr="00611B67">
        <w:rPr>
          <w:rFonts w:ascii="Book Antiqua" w:eastAsia="宋体" w:hAnsi="Book Antiqua"/>
          <w:i/>
          <w:kern w:val="2"/>
          <w:bdr w:val="none" w:sz="0" w:space="0" w:color="auto"/>
          <w:lang w:eastAsia="zh-CN"/>
        </w:rPr>
        <w:t>Nitric Oxide</w:t>
      </w:r>
      <w:r w:rsidRPr="00611B67">
        <w:rPr>
          <w:rFonts w:ascii="Book Antiqua" w:eastAsia="宋体" w:hAnsi="Book Antiqua"/>
          <w:kern w:val="2"/>
          <w:bdr w:val="none" w:sz="0" w:space="0" w:color="auto"/>
          <w:lang w:eastAsia="zh-CN"/>
        </w:rPr>
        <w:t xml:space="preserve"> 2001; </w:t>
      </w:r>
      <w:r w:rsidRPr="00611B67">
        <w:rPr>
          <w:rFonts w:ascii="Book Antiqua" w:eastAsia="宋体" w:hAnsi="Book Antiqua"/>
          <w:b/>
          <w:kern w:val="2"/>
          <w:bdr w:val="none" w:sz="0" w:space="0" w:color="auto"/>
          <w:lang w:eastAsia="zh-CN"/>
        </w:rPr>
        <w:t>5</w:t>
      </w:r>
      <w:r w:rsidRPr="00611B67">
        <w:rPr>
          <w:rFonts w:ascii="Book Antiqua" w:eastAsia="宋体" w:hAnsi="Book Antiqua"/>
          <w:kern w:val="2"/>
          <w:bdr w:val="none" w:sz="0" w:space="0" w:color="auto"/>
          <w:lang w:eastAsia="zh-CN"/>
        </w:rPr>
        <w:t>: 453-464 [PMID: 11587560 DOI: 10.1006/niox.2001.0373]</w:t>
      </w:r>
    </w:p>
    <w:p w14:paraId="2C17B784"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39 </w:t>
      </w:r>
      <w:r w:rsidRPr="00611B67">
        <w:rPr>
          <w:rFonts w:ascii="Book Antiqua" w:eastAsia="宋体" w:hAnsi="Book Antiqua"/>
          <w:b/>
          <w:kern w:val="2"/>
          <w:bdr w:val="none" w:sz="0" w:space="0" w:color="auto"/>
          <w:lang w:eastAsia="zh-CN"/>
        </w:rPr>
        <w:t>Sato Y</w:t>
      </w:r>
      <w:r w:rsidRPr="00611B67">
        <w:rPr>
          <w:rFonts w:ascii="Book Antiqua" w:eastAsia="宋体" w:hAnsi="Book Antiqua"/>
          <w:kern w:val="2"/>
          <w:bdr w:val="none" w:sz="0" w:space="0" w:color="auto"/>
          <w:lang w:eastAsia="zh-CN"/>
        </w:rPr>
        <w:t xml:space="preserve">, Koyama S, </w:t>
      </w:r>
      <w:proofErr w:type="spellStart"/>
      <w:r w:rsidRPr="00611B67">
        <w:rPr>
          <w:rFonts w:ascii="Book Antiqua" w:eastAsia="宋体" w:hAnsi="Book Antiqua"/>
          <w:kern w:val="2"/>
          <w:bdr w:val="none" w:sz="0" w:space="0" w:color="auto"/>
          <w:lang w:eastAsia="zh-CN"/>
        </w:rPr>
        <w:t>Tsukada</w:t>
      </w:r>
      <w:proofErr w:type="spellEnd"/>
      <w:r w:rsidRPr="00611B67">
        <w:rPr>
          <w:rFonts w:ascii="Book Antiqua" w:eastAsia="宋体" w:hAnsi="Book Antiqua"/>
          <w:kern w:val="2"/>
          <w:bdr w:val="none" w:sz="0" w:space="0" w:color="auto"/>
          <w:lang w:eastAsia="zh-CN"/>
        </w:rPr>
        <w:t xml:space="preserve"> K, </w:t>
      </w:r>
      <w:proofErr w:type="spellStart"/>
      <w:r w:rsidRPr="00611B67">
        <w:rPr>
          <w:rFonts w:ascii="Book Antiqua" w:eastAsia="宋体" w:hAnsi="Book Antiqua"/>
          <w:kern w:val="2"/>
          <w:bdr w:val="none" w:sz="0" w:space="0" w:color="auto"/>
          <w:lang w:eastAsia="zh-CN"/>
        </w:rPr>
        <w:t>Hatakeyama</w:t>
      </w:r>
      <w:proofErr w:type="spellEnd"/>
      <w:r w:rsidRPr="00611B67">
        <w:rPr>
          <w:rFonts w:ascii="Book Antiqua" w:eastAsia="宋体" w:hAnsi="Book Antiqua"/>
          <w:kern w:val="2"/>
          <w:bdr w:val="none" w:sz="0" w:space="0" w:color="auto"/>
          <w:lang w:eastAsia="zh-CN"/>
        </w:rPr>
        <w:t xml:space="preserve"> K. Acute portal hypertension r</w:t>
      </w:r>
      <w:r w:rsidRPr="00611B67">
        <w:rPr>
          <w:rFonts w:ascii="Book Antiqua" w:eastAsia="宋体" w:hAnsi="Book Antiqua"/>
          <w:kern w:val="2"/>
          <w:bdr w:val="none" w:sz="0" w:space="0" w:color="auto"/>
          <w:lang w:eastAsia="zh-CN"/>
        </w:rPr>
        <w:t>e</w:t>
      </w:r>
      <w:r w:rsidRPr="00611B67">
        <w:rPr>
          <w:rFonts w:ascii="Book Antiqua" w:eastAsia="宋体" w:hAnsi="Book Antiqua"/>
          <w:kern w:val="2"/>
          <w:bdr w:val="none" w:sz="0" w:space="0" w:color="auto"/>
          <w:lang w:eastAsia="zh-CN"/>
        </w:rPr>
        <w:t>flecting shear stress as a trigger of liver regeneration following partial hepate</w:t>
      </w:r>
      <w:r w:rsidRPr="00611B67">
        <w:rPr>
          <w:rFonts w:ascii="Book Antiqua" w:eastAsia="宋体" w:hAnsi="Book Antiqua"/>
          <w:kern w:val="2"/>
          <w:bdr w:val="none" w:sz="0" w:space="0" w:color="auto"/>
          <w:lang w:eastAsia="zh-CN"/>
        </w:rPr>
        <w:t>c</w:t>
      </w:r>
      <w:r w:rsidRPr="00611B67">
        <w:rPr>
          <w:rFonts w:ascii="Book Antiqua" w:eastAsia="宋体" w:hAnsi="Book Antiqua"/>
          <w:kern w:val="2"/>
          <w:bdr w:val="none" w:sz="0" w:space="0" w:color="auto"/>
          <w:lang w:eastAsia="zh-CN"/>
        </w:rPr>
        <w:t xml:space="preserve">tomy. </w:t>
      </w:r>
      <w:r w:rsidRPr="00611B67">
        <w:rPr>
          <w:rFonts w:ascii="Book Antiqua" w:eastAsia="宋体" w:hAnsi="Book Antiqua"/>
          <w:i/>
          <w:kern w:val="2"/>
          <w:bdr w:val="none" w:sz="0" w:space="0" w:color="auto"/>
          <w:lang w:eastAsia="zh-CN"/>
        </w:rPr>
        <w:t>Surg Today</w:t>
      </w:r>
      <w:r w:rsidRPr="00611B67">
        <w:rPr>
          <w:rFonts w:ascii="Book Antiqua" w:eastAsia="宋体" w:hAnsi="Book Antiqua"/>
          <w:kern w:val="2"/>
          <w:bdr w:val="none" w:sz="0" w:space="0" w:color="auto"/>
          <w:lang w:eastAsia="zh-CN"/>
        </w:rPr>
        <w:t xml:space="preserve"> 1997; </w:t>
      </w:r>
      <w:r w:rsidRPr="00611B67">
        <w:rPr>
          <w:rFonts w:ascii="Book Antiqua" w:eastAsia="宋体" w:hAnsi="Book Antiqua"/>
          <w:b/>
          <w:kern w:val="2"/>
          <w:bdr w:val="none" w:sz="0" w:space="0" w:color="auto"/>
          <w:lang w:eastAsia="zh-CN"/>
        </w:rPr>
        <w:t>27</w:t>
      </w:r>
      <w:r w:rsidRPr="00611B67">
        <w:rPr>
          <w:rFonts w:ascii="Book Antiqua" w:eastAsia="宋体" w:hAnsi="Book Antiqua"/>
          <w:kern w:val="2"/>
          <w:bdr w:val="none" w:sz="0" w:space="0" w:color="auto"/>
          <w:lang w:eastAsia="zh-CN"/>
        </w:rPr>
        <w:t>: 518-526 [PMID: 9306545 DOI: 10.1007/BF02385805]</w:t>
      </w:r>
    </w:p>
    <w:p w14:paraId="24E80604"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40 </w:t>
      </w:r>
      <w:r w:rsidRPr="00611B67">
        <w:rPr>
          <w:rFonts w:ascii="Book Antiqua" w:eastAsia="宋体" w:hAnsi="Book Antiqua"/>
          <w:b/>
          <w:kern w:val="2"/>
          <w:bdr w:val="none" w:sz="0" w:space="0" w:color="auto"/>
          <w:lang w:eastAsia="zh-CN"/>
        </w:rPr>
        <w:t>Sato Y</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Tsukada</w:t>
      </w:r>
      <w:proofErr w:type="spellEnd"/>
      <w:r w:rsidRPr="00611B67">
        <w:rPr>
          <w:rFonts w:ascii="Book Antiqua" w:eastAsia="宋体" w:hAnsi="Book Antiqua"/>
          <w:kern w:val="2"/>
          <w:bdr w:val="none" w:sz="0" w:space="0" w:color="auto"/>
          <w:lang w:eastAsia="zh-CN"/>
        </w:rPr>
        <w:t xml:space="preserve"> K, </w:t>
      </w:r>
      <w:proofErr w:type="spellStart"/>
      <w:r w:rsidRPr="00611B67">
        <w:rPr>
          <w:rFonts w:ascii="Book Antiqua" w:eastAsia="宋体" w:hAnsi="Book Antiqua"/>
          <w:kern w:val="2"/>
          <w:bdr w:val="none" w:sz="0" w:space="0" w:color="auto"/>
          <w:lang w:eastAsia="zh-CN"/>
        </w:rPr>
        <w:t>Hatakeyama</w:t>
      </w:r>
      <w:proofErr w:type="spellEnd"/>
      <w:r w:rsidRPr="00611B67">
        <w:rPr>
          <w:rFonts w:ascii="Book Antiqua" w:eastAsia="宋体" w:hAnsi="Book Antiqua"/>
          <w:kern w:val="2"/>
          <w:bdr w:val="none" w:sz="0" w:space="0" w:color="auto"/>
          <w:lang w:eastAsia="zh-CN"/>
        </w:rPr>
        <w:t xml:space="preserve"> K. Role of shear stress and immune respon</w:t>
      </w:r>
      <w:r w:rsidRPr="00611B67">
        <w:rPr>
          <w:rFonts w:ascii="Book Antiqua" w:eastAsia="宋体" w:hAnsi="Book Antiqua"/>
          <w:kern w:val="2"/>
          <w:bdr w:val="none" w:sz="0" w:space="0" w:color="auto"/>
          <w:lang w:eastAsia="zh-CN"/>
        </w:rPr>
        <w:t>s</w:t>
      </w:r>
      <w:r w:rsidRPr="00611B67">
        <w:rPr>
          <w:rFonts w:ascii="Book Antiqua" w:eastAsia="宋体" w:hAnsi="Book Antiqua"/>
          <w:kern w:val="2"/>
          <w:bdr w:val="none" w:sz="0" w:space="0" w:color="auto"/>
          <w:lang w:eastAsia="zh-CN"/>
        </w:rPr>
        <w:t xml:space="preserve">es in liver regeneration after a partial hepatectomy. </w:t>
      </w:r>
      <w:r w:rsidRPr="00611B67">
        <w:rPr>
          <w:rFonts w:ascii="Book Antiqua" w:eastAsia="宋体" w:hAnsi="Book Antiqua"/>
          <w:i/>
          <w:kern w:val="2"/>
          <w:bdr w:val="none" w:sz="0" w:space="0" w:color="auto"/>
          <w:lang w:eastAsia="zh-CN"/>
        </w:rPr>
        <w:t>Surg Today</w:t>
      </w:r>
      <w:r w:rsidRPr="00611B67">
        <w:rPr>
          <w:rFonts w:ascii="Book Antiqua" w:eastAsia="宋体" w:hAnsi="Book Antiqua"/>
          <w:kern w:val="2"/>
          <w:bdr w:val="none" w:sz="0" w:space="0" w:color="auto"/>
          <w:lang w:eastAsia="zh-CN"/>
        </w:rPr>
        <w:t xml:space="preserve"> 1999; </w:t>
      </w:r>
      <w:r w:rsidRPr="00611B67">
        <w:rPr>
          <w:rFonts w:ascii="Book Antiqua" w:eastAsia="宋体" w:hAnsi="Book Antiqua"/>
          <w:b/>
          <w:kern w:val="2"/>
          <w:bdr w:val="none" w:sz="0" w:space="0" w:color="auto"/>
          <w:lang w:eastAsia="zh-CN"/>
        </w:rPr>
        <w:t>29</w:t>
      </w:r>
      <w:r w:rsidRPr="00611B67">
        <w:rPr>
          <w:rFonts w:ascii="Book Antiqua" w:eastAsia="宋体" w:hAnsi="Book Antiqua"/>
          <w:kern w:val="2"/>
          <w:bdr w:val="none" w:sz="0" w:space="0" w:color="auto"/>
          <w:lang w:eastAsia="zh-CN"/>
        </w:rPr>
        <w:t>: 1-9 [PMID: 9934824 DOI: 10.1007/BF02482962]</w:t>
      </w:r>
    </w:p>
    <w:p w14:paraId="743B90BB"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41 </w:t>
      </w:r>
      <w:r w:rsidRPr="00611B67">
        <w:rPr>
          <w:rFonts w:ascii="Book Antiqua" w:eastAsia="宋体" w:hAnsi="Book Antiqua"/>
          <w:b/>
          <w:kern w:val="2"/>
          <w:bdr w:val="none" w:sz="0" w:space="0" w:color="auto"/>
          <w:lang w:eastAsia="zh-CN"/>
        </w:rPr>
        <w:t>Warren A</w:t>
      </w:r>
      <w:r w:rsidRPr="00611B67">
        <w:rPr>
          <w:rFonts w:ascii="Book Antiqua" w:eastAsia="宋体" w:hAnsi="Book Antiqua"/>
          <w:kern w:val="2"/>
          <w:bdr w:val="none" w:sz="0" w:space="0" w:color="auto"/>
          <w:lang w:eastAsia="zh-CN"/>
        </w:rPr>
        <w:t xml:space="preserve">, Le </w:t>
      </w:r>
      <w:proofErr w:type="spellStart"/>
      <w:r w:rsidRPr="00611B67">
        <w:rPr>
          <w:rFonts w:ascii="Book Antiqua" w:eastAsia="宋体" w:hAnsi="Book Antiqua"/>
          <w:kern w:val="2"/>
          <w:bdr w:val="none" w:sz="0" w:space="0" w:color="auto"/>
          <w:lang w:eastAsia="zh-CN"/>
        </w:rPr>
        <w:t>Couteur</w:t>
      </w:r>
      <w:proofErr w:type="spellEnd"/>
      <w:r w:rsidRPr="00611B67">
        <w:rPr>
          <w:rFonts w:ascii="Book Antiqua" w:eastAsia="宋体" w:hAnsi="Book Antiqua"/>
          <w:kern w:val="2"/>
          <w:bdr w:val="none" w:sz="0" w:space="0" w:color="auto"/>
          <w:lang w:eastAsia="zh-CN"/>
        </w:rPr>
        <w:t xml:space="preserve"> DG, Fraser R, Bowen DG, </w:t>
      </w:r>
      <w:proofErr w:type="spellStart"/>
      <w:r w:rsidRPr="00611B67">
        <w:rPr>
          <w:rFonts w:ascii="Book Antiqua" w:eastAsia="宋体" w:hAnsi="Book Antiqua"/>
          <w:kern w:val="2"/>
          <w:bdr w:val="none" w:sz="0" w:space="0" w:color="auto"/>
          <w:lang w:eastAsia="zh-CN"/>
        </w:rPr>
        <w:t>McCaughan</w:t>
      </w:r>
      <w:proofErr w:type="spellEnd"/>
      <w:r w:rsidRPr="00611B67">
        <w:rPr>
          <w:rFonts w:ascii="Book Antiqua" w:eastAsia="宋体" w:hAnsi="Book Antiqua"/>
          <w:kern w:val="2"/>
          <w:bdr w:val="none" w:sz="0" w:space="0" w:color="auto"/>
          <w:lang w:eastAsia="zh-CN"/>
        </w:rPr>
        <w:t xml:space="preserve"> GW, </w:t>
      </w:r>
      <w:proofErr w:type="spellStart"/>
      <w:r w:rsidRPr="00611B67">
        <w:rPr>
          <w:rFonts w:ascii="Book Antiqua" w:eastAsia="宋体" w:hAnsi="Book Antiqua"/>
          <w:kern w:val="2"/>
          <w:bdr w:val="none" w:sz="0" w:space="0" w:color="auto"/>
          <w:lang w:eastAsia="zh-CN"/>
        </w:rPr>
        <w:t>Bertolino</w:t>
      </w:r>
      <w:proofErr w:type="spellEnd"/>
      <w:r w:rsidRPr="00611B67">
        <w:rPr>
          <w:rFonts w:ascii="Book Antiqua" w:eastAsia="宋体" w:hAnsi="Book Antiqua"/>
          <w:kern w:val="2"/>
          <w:bdr w:val="none" w:sz="0" w:space="0" w:color="auto"/>
          <w:lang w:eastAsia="zh-CN"/>
        </w:rPr>
        <w:t xml:space="preserve"> P. T lymphocytes interact with hepatocytes through fenestrations in murine liver sinusoidal endothelial cells. </w:t>
      </w:r>
      <w:r w:rsidRPr="00611B67">
        <w:rPr>
          <w:rFonts w:ascii="Book Antiqua" w:eastAsia="宋体" w:hAnsi="Book Antiqua"/>
          <w:i/>
          <w:kern w:val="2"/>
          <w:bdr w:val="none" w:sz="0" w:space="0" w:color="auto"/>
          <w:lang w:eastAsia="zh-CN"/>
        </w:rPr>
        <w:t>Hepatology</w:t>
      </w:r>
      <w:r w:rsidRPr="00611B67">
        <w:rPr>
          <w:rFonts w:ascii="Book Antiqua" w:eastAsia="宋体" w:hAnsi="Book Antiqua"/>
          <w:kern w:val="2"/>
          <w:bdr w:val="none" w:sz="0" w:space="0" w:color="auto"/>
          <w:lang w:eastAsia="zh-CN"/>
        </w:rPr>
        <w:t xml:space="preserve"> 2006; </w:t>
      </w:r>
      <w:r w:rsidRPr="00611B67">
        <w:rPr>
          <w:rFonts w:ascii="Book Antiqua" w:eastAsia="宋体" w:hAnsi="Book Antiqua"/>
          <w:b/>
          <w:kern w:val="2"/>
          <w:bdr w:val="none" w:sz="0" w:space="0" w:color="auto"/>
          <w:lang w:eastAsia="zh-CN"/>
        </w:rPr>
        <w:t>44</w:t>
      </w:r>
      <w:r w:rsidRPr="00611B67">
        <w:rPr>
          <w:rFonts w:ascii="Book Antiqua" w:eastAsia="宋体" w:hAnsi="Book Antiqua"/>
          <w:kern w:val="2"/>
          <w:bdr w:val="none" w:sz="0" w:space="0" w:color="auto"/>
          <w:lang w:eastAsia="zh-CN"/>
        </w:rPr>
        <w:t>: 1182-1190 [PMID: 17058232 DOI: 10.1002/hep.21378]</w:t>
      </w:r>
    </w:p>
    <w:p w14:paraId="2C2C4880"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42 </w:t>
      </w:r>
      <w:r w:rsidRPr="00611B67">
        <w:rPr>
          <w:rFonts w:ascii="Book Antiqua" w:eastAsia="宋体" w:hAnsi="Book Antiqua"/>
          <w:b/>
          <w:kern w:val="2"/>
          <w:bdr w:val="none" w:sz="0" w:space="0" w:color="auto"/>
          <w:lang w:eastAsia="zh-CN"/>
        </w:rPr>
        <w:t>Anthony P</w:t>
      </w:r>
      <w:r w:rsidRPr="00611B67">
        <w:rPr>
          <w:rFonts w:ascii="Book Antiqua" w:eastAsia="宋体" w:hAnsi="Book Antiqua"/>
          <w:kern w:val="2"/>
          <w:bdr w:val="none" w:sz="0" w:space="0" w:color="auto"/>
          <w:lang w:eastAsia="zh-CN"/>
        </w:rPr>
        <w:t>. Biopathology of the Liver. An Ultrastructural Approach.</w:t>
      </w:r>
      <w:r w:rsidRPr="00611B67">
        <w:rPr>
          <w:rFonts w:ascii="Book Antiqua" w:eastAsia="宋体" w:hAnsi="Book Antiqua"/>
          <w:i/>
          <w:kern w:val="2"/>
          <w:bdr w:val="none" w:sz="0" w:space="0" w:color="auto"/>
          <w:lang w:eastAsia="zh-CN"/>
        </w:rPr>
        <w:t xml:space="preserve"> J </w:t>
      </w:r>
      <w:proofErr w:type="spellStart"/>
      <w:r w:rsidRPr="00611B67">
        <w:rPr>
          <w:rFonts w:ascii="Book Antiqua" w:eastAsia="宋体" w:hAnsi="Book Antiqua"/>
          <w:i/>
          <w:kern w:val="2"/>
          <w:bdr w:val="none" w:sz="0" w:space="0" w:color="auto"/>
          <w:lang w:eastAsia="zh-CN"/>
        </w:rPr>
        <w:t>Clin</w:t>
      </w:r>
      <w:proofErr w:type="spellEnd"/>
      <w:r w:rsidRPr="00611B67">
        <w:rPr>
          <w:rFonts w:ascii="Book Antiqua" w:eastAsia="宋体" w:hAnsi="Book Antiqua"/>
          <w:i/>
          <w:kern w:val="2"/>
          <w:bdr w:val="none" w:sz="0" w:space="0" w:color="auto"/>
          <w:lang w:eastAsia="zh-CN"/>
        </w:rPr>
        <w:t xml:space="preserve"> </w:t>
      </w:r>
      <w:proofErr w:type="spellStart"/>
      <w:r w:rsidRPr="00611B67">
        <w:rPr>
          <w:rFonts w:ascii="Book Antiqua" w:eastAsia="宋体" w:hAnsi="Book Antiqua"/>
          <w:i/>
          <w:kern w:val="2"/>
          <w:bdr w:val="none" w:sz="0" w:space="0" w:color="auto"/>
          <w:lang w:eastAsia="zh-CN"/>
        </w:rPr>
        <w:t>Pathol</w:t>
      </w:r>
      <w:proofErr w:type="spellEnd"/>
      <w:r w:rsidRPr="00611B67">
        <w:rPr>
          <w:rFonts w:ascii="Book Antiqua" w:eastAsia="宋体" w:hAnsi="Book Antiqua"/>
          <w:kern w:val="2"/>
          <w:bdr w:val="none" w:sz="0" w:space="0" w:color="auto"/>
          <w:lang w:eastAsia="zh-CN"/>
        </w:rPr>
        <w:t xml:space="preserve"> 1989; 42: 445-446 [DOI: 10.1136/jcp.42.4.445-e]</w:t>
      </w:r>
    </w:p>
    <w:p w14:paraId="39E62600"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43 </w:t>
      </w:r>
      <w:proofErr w:type="spellStart"/>
      <w:r w:rsidRPr="00611B67">
        <w:rPr>
          <w:rFonts w:ascii="Book Antiqua" w:eastAsia="宋体" w:hAnsi="Book Antiqua"/>
          <w:b/>
          <w:kern w:val="2"/>
          <w:bdr w:val="none" w:sz="0" w:space="0" w:color="auto"/>
          <w:lang w:eastAsia="zh-CN"/>
        </w:rPr>
        <w:t>Wack</w:t>
      </w:r>
      <w:proofErr w:type="spellEnd"/>
      <w:r w:rsidRPr="00611B67">
        <w:rPr>
          <w:rFonts w:ascii="Book Antiqua" w:eastAsia="宋体" w:hAnsi="Book Antiqua"/>
          <w:b/>
          <w:kern w:val="2"/>
          <w:bdr w:val="none" w:sz="0" w:space="0" w:color="auto"/>
          <w:lang w:eastAsia="zh-CN"/>
        </w:rPr>
        <w:t xml:space="preserve"> KE</w:t>
      </w:r>
      <w:r w:rsidRPr="00611B67">
        <w:rPr>
          <w:rFonts w:ascii="Book Antiqua" w:eastAsia="宋体" w:hAnsi="Book Antiqua"/>
          <w:kern w:val="2"/>
          <w:bdr w:val="none" w:sz="0" w:space="0" w:color="auto"/>
          <w:lang w:eastAsia="zh-CN"/>
        </w:rPr>
        <w:t xml:space="preserve">, Ross MA, </w:t>
      </w:r>
      <w:proofErr w:type="spellStart"/>
      <w:r w:rsidRPr="00611B67">
        <w:rPr>
          <w:rFonts w:ascii="Book Antiqua" w:eastAsia="宋体" w:hAnsi="Book Antiqua"/>
          <w:kern w:val="2"/>
          <w:bdr w:val="none" w:sz="0" w:space="0" w:color="auto"/>
          <w:lang w:eastAsia="zh-CN"/>
        </w:rPr>
        <w:t>Zegarra</w:t>
      </w:r>
      <w:proofErr w:type="spellEnd"/>
      <w:r w:rsidRPr="00611B67">
        <w:rPr>
          <w:rFonts w:ascii="Book Antiqua" w:eastAsia="宋体" w:hAnsi="Book Antiqua"/>
          <w:kern w:val="2"/>
          <w:bdr w:val="none" w:sz="0" w:space="0" w:color="auto"/>
          <w:lang w:eastAsia="zh-CN"/>
        </w:rPr>
        <w:t xml:space="preserve"> V, </w:t>
      </w:r>
      <w:proofErr w:type="spellStart"/>
      <w:r w:rsidRPr="00611B67">
        <w:rPr>
          <w:rFonts w:ascii="Book Antiqua" w:eastAsia="宋体" w:hAnsi="Book Antiqua"/>
          <w:kern w:val="2"/>
          <w:bdr w:val="none" w:sz="0" w:space="0" w:color="auto"/>
          <w:lang w:eastAsia="zh-CN"/>
        </w:rPr>
        <w:t>Sysko</w:t>
      </w:r>
      <w:proofErr w:type="spellEnd"/>
      <w:r w:rsidRPr="00611B67">
        <w:rPr>
          <w:rFonts w:ascii="Book Antiqua" w:eastAsia="宋体" w:hAnsi="Book Antiqua"/>
          <w:kern w:val="2"/>
          <w:bdr w:val="none" w:sz="0" w:space="0" w:color="auto"/>
          <w:lang w:eastAsia="zh-CN"/>
        </w:rPr>
        <w:t xml:space="preserve"> LR, Watkins SC, Stolz DB. Sinusoidal ultrastructure evaluated during the revascularization of regenerating rat liver. </w:t>
      </w:r>
      <w:r w:rsidRPr="00611B67">
        <w:rPr>
          <w:rFonts w:ascii="Book Antiqua" w:eastAsia="宋体" w:hAnsi="Book Antiqua"/>
          <w:i/>
          <w:kern w:val="2"/>
          <w:bdr w:val="none" w:sz="0" w:space="0" w:color="auto"/>
          <w:lang w:eastAsia="zh-CN"/>
        </w:rPr>
        <w:t>Hepatology</w:t>
      </w:r>
      <w:r w:rsidRPr="00611B67">
        <w:rPr>
          <w:rFonts w:ascii="Book Antiqua" w:eastAsia="宋体" w:hAnsi="Book Antiqua"/>
          <w:kern w:val="2"/>
          <w:bdr w:val="none" w:sz="0" w:space="0" w:color="auto"/>
          <w:lang w:eastAsia="zh-CN"/>
        </w:rPr>
        <w:t xml:space="preserve"> 2001; </w:t>
      </w:r>
      <w:r w:rsidRPr="00611B67">
        <w:rPr>
          <w:rFonts w:ascii="Book Antiqua" w:eastAsia="宋体" w:hAnsi="Book Antiqua"/>
          <w:b/>
          <w:kern w:val="2"/>
          <w:bdr w:val="none" w:sz="0" w:space="0" w:color="auto"/>
          <w:lang w:eastAsia="zh-CN"/>
        </w:rPr>
        <w:t>33</w:t>
      </w:r>
      <w:r w:rsidRPr="00611B67">
        <w:rPr>
          <w:rFonts w:ascii="Book Antiqua" w:eastAsia="宋体" w:hAnsi="Book Antiqua"/>
          <w:kern w:val="2"/>
          <w:bdr w:val="none" w:sz="0" w:space="0" w:color="auto"/>
          <w:lang w:eastAsia="zh-CN"/>
        </w:rPr>
        <w:t>: 363-378 [PMID: 11172338 DOI: 10.1053/jhep.2001.21998]</w:t>
      </w:r>
    </w:p>
    <w:p w14:paraId="4D4C9D20"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44 </w:t>
      </w:r>
      <w:proofErr w:type="spellStart"/>
      <w:r w:rsidRPr="00611B67">
        <w:rPr>
          <w:rFonts w:ascii="Book Antiqua" w:eastAsia="宋体" w:hAnsi="Book Antiqua"/>
          <w:b/>
          <w:kern w:val="2"/>
          <w:bdr w:val="none" w:sz="0" w:space="0" w:color="auto"/>
          <w:lang w:eastAsia="zh-CN"/>
        </w:rPr>
        <w:t>DeLeve</w:t>
      </w:r>
      <w:proofErr w:type="spellEnd"/>
      <w:r w:rsidRPr="00611B67">
        <w:rPr>
          <w:rFonts w:ascii="Book Antiqua" w:eastAsia="宋体" w:hAnsi="Book Antiqua"/>
          <w:b/>
          <w:kern w:val="2"/>
          <w:bdr w:val="none" w:sz="0" w:space="0" w:color="auto"/>
          <w:lang w:eastAsia="zh-CN"/>
        </w:rPr>
        <w:t xml:space="preserve"> LD</w:t>
      </w:r>
      <w:r w:rsidRPr="00611B67">
        <w:rPr>
          <w:rFonts w:ascii="Book Antiqua" w:eastAsia="宋体" w:hAnsi="Book Antiqua"/>
          <w:kern w:val="2"/>
          <w:bdr w:val="none" w:sz="0" w:space="0" w:color="auto"/>
          <w:lang w:eastAsia="zh-CN"/>
        </w:rPr>
        <w:t xml:space="preserve">. Liver sinusoidal endothelial cells and liver regeneration. </w:t>
      </w:r>
      <w:r w:rsidRPr="00611B67">
        <w:rPr>
          <w:rFonts w:ascii="Book Antiqua" w:eastAsia="宋体" w:hAnsi="Book Antiqua"/>
          <w:i/>
          <w:kern w:val="2"/>
          <w:bdr w:val="none" w:sz="0" w:space="0" w:color="auto"/>
          <w:lang w:eastAsia="zh-CN"/>
        </w:rPr>
        <w:t>J Clin Invest</w:t>
      </w:r>
      <w:r w:rsidRPr="00611B67">
        <w:rPr>
          <w:rFonts w:ascii="Book Antiqua" w:eastAsia="宋体" w:hAnsi="Book Antiqua"/>
          <w:kern w:val="2"/>
          <w:bdr w:val="none" w:sz="0" w:space="0" w:color="auto"/>
          <w:lang w:eastAsia="zh-CN"/>
        </w:rPr>
        <w:t xml:space="preserve"> 2013; </w:t>
      </w:r>
      <w:r w:rsidRPr="00611B67">
        <w:rPr>
          <w:rFonts w:ascii="Book Antiqua" w:eastAsia="宋体" w:hAnsi="Book Antiqua"/>
          <w:b/>
          <w:kern w:val="2"/>
          <w:bdr w:val="none" w:sz="0" w:space="0" w:color="auto"/>
          <w:lang w:eastAsia="zh-CN"/>
        </w:rPr>
        <w:t>123</w:t>
      </w:r>
      <w:r w:rsidRPr="00611B67">
        <w:rPr>
          <w:rFonts w:ascii="Book Antiqua" w:eastAsia="宋体" w:hAnsi="Book Antiqua"/>
          <w:kern w:val="2"/>
          <w:bdr w:val="none" w:sz="0" w:space="0" w:color="auto"/>
          <w:lang w:eastAsia="zh-CN"/>
        </w:rPr>
        <w:t>: 1861-1866 [PMID: 23635783 DOI: 10.1172/JCI66025]</w:t>
      </w:r>
    </w:p>
    <w:p w14:paraId="0F34A746"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45 </w:t>
      </w:r>
      <w:proofErr w:type="spellStart"/>
      <w:r w:rsidRPr="00611B67">
        <w:rPr>
          <w:rFonts w:ascii="Book Antiqua" w:eastAsia="宋体" w:hAnsi="Book Antiqua"/>
          <w:b/>
          <w:kern w:val="2"/>
          <w:bdr w:val="none" w:sz="0" w:space="0" w:color="auto"/>
          <w:lang w:eastAsia="zh-CN"/>
        </w:rPr>
        <w:t>Miyaoka</w:t>
      </w:r>
      <w:proofErr w:type="spellEnd"/>
      <w:r w:rsidRPr="00611B67">
        <w:rPr>
          <w:rFonts w:ascii="Book Antiqua" w:eastAsia="宋体" w:hAnsi="Book Antiqua"/>
          <w:b/>
          <w:kern w:val="2"/>
          <w:bdr w:val="none" w:sz="0" w:space="0" w:color="auto"/>
          <w:lang w:eastAsia="zh-CN"/>
        </w:rPr>
        <w:t xml:space="preserve"> Y</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Ebato</w:t>
      </w:r>
      <w:proofErr w:type="spellEnd"/>
      <w:r w:rsidRPr="00611B67">
        <w:rPr>
          <w:rFonts w:ascii="Book Antiqua" w:eastAsia="宋体" w:hAnsi="Book Antiqua"/>
          <w:kern w:val="2"/>
          <w:bdr w:val="none" w:sz="0" w:space="0" w:color="auto"/>
          <w:lang w:eastAsia="zh-CN"/>
        </w:rPr>
        <w:t xml:space="preserve"> K, Kato H, Arakawa S, Shimizu S, </w:t>
      </w:r>
      <w:proofErr w:type="spellStart"/>
      <w:r w:rsidRPr="00611B67">
        <w:rPr>
          <w:rFonts w:ascii="Book Antiqua" w:eastAsia="宋体" w:hAnsi="Book Antiqua"/>
          <w:kern w:val="2"/>
          <w:bdr w:val="none" w:sz="0" w:space="0" w:color="auto"/>
          <w:lang w:eastAsia="zh-CN"/>
        </w:rPr>
        <w:t>Miyajima</w:t>
      </w:r>
      <w:proofErr w:type="spellEnd"/>
      <w:r w:rsidRPr="00611B67">
        <w:rPr>
          <w:rFonts w:ascii="Book Antiqua" w:eastAsia="宋体" w:hAnsi="Book Antiqua"/>
          <w:kern w:val="2"/>
          <w:bdr w:val="none" w:sz="0" w:space="0" w:color="auto"/>
          <w:lang w:eastAsia="zh-CN"/>
        </w:rPr>
        <w:t xml:space="preserve"> A. Hypertr</w:t>
      </w:r>
      <w:r w:rsidRPr="00611B67">
        <w:rPr>
          <w:rFonts w:ascii="Book Antiqua" w:eastAsia="宋体" w:hAnsi="Book Antiqua"/>
          <w:kern w:val="2"/>
          <w:bdr w:val="none" w:sz="0" w:space="0" w:color="auto"/>
          <w:lang w:eastAsia="zh-CN"/>
        </w:rPr>
        <w:t>o</w:t>
      </w:r>
      <w:r w:rsidRPr="00611B67">
        <w:rPr>
          <w:rFonts w:ascii="Book Antiqua" w:eastAsia="宋体" w:hAnsi="Book Antiqua"/>
          <w:kern w:val="2"/>
          <w:bdr w:val="none" w:sz="0" w:space="0" w:color="auto"/>
          <w:lang w:eastAsia="zh-CN"/>
        </w:rPr>
        <w:t xml:space="preserve">phy and unconventional cell division of hepatocytes underlie liver regeneration. </w:t>
      </w:r>
      <w:proofErr w:type="spellStart"/>
      <w:r w:rsidRPr="00611B67">
        <w:rPr>
          <w:rFonts w:ascii="Book Antiqua" w:eastAsia="宋体" w:hAnsi="Book Antiqua"/>
          <w:i/>
          <w:kern w:val="2"/>
          <w:bdr w:val="none" w:sz="0" w:space="0" w:color="auto"/>
          <w:lang w:eastAsia="zh-CN"/>
        </w:rPr>
        <w:t>Curr</w:t>
      </w:r>
      <w:proofErr w:type="spellEnd"/>
      <w:r w:rsidRPr="00611B67">
        <w:rPr>
          <w:rFonts w:ascii="Book Antiqua" w:eastAsia="宋体" w:hAnsi="Book Antiqua"/>
          <w:i/>
          <w:kern w:val="2"/>
          <w:bdr w:val="none" w:sz="0" w:space="0" w:color="auto"/>
          <w:lang w:eastAsia="zh-CN"/>
        </w:rPr>
        <w:t xml:space="preserve"> </w:t>
      </w:r>
      <w:proofErr w:type="spellStart"/>
      <w:r w:rsidRPr="00611B67">
        <w:rPr>
          <w:rFonts w:ascii="Book Antiqua" w:eastAsia="宋体" w:hAnsi="Book Antiqua"/>
          <w:i/>
          <w:kern w:val="2"/>
          <w:bdr w:val="none" w:sz="0" w:space="0" w:color="auto"/>
          <w:lang w:eastAsia="zh-CN"/>
        </w:rPr>
        <w:t>Biol</w:t>
      </w:r>
      <w:proofErr w:type="spellEnd"/>
      <w:r w:rsidRPr="00611B67">
        <w:rPr>
          <w:rFonts w:ascii="Book Antiqua" w:eastAsia="宋体" w:hAnsi="Book Antiqua"/>
          <w:kern w:val="2"/>
          <w:bdr w:val="none" w:sz="0" w:space="0" w:color="auto"/>
          <w:lang w:eastAsia="zh-CN"/>
        </w:rPr>
        <w:t xml:space="preserve"> 2012; </w:t>
      </w:r>
      <w:r w:rsidRPr="00611B67">
        <w:rPr>
          <w:rFonts w:ascii="Book Antiqua" w:eastAsia="宋体" w:hAnsi="Book Antiqua"/>
          <w:b/>
          <w:kern w:val="2"/>
          <w:bdr w:val="none" w:sz="0" w:space="0" w:color="auto"/>
          <w:lang w:eastAsia="zh-CN"/>
        </w:rPr>
        <w:t>22</w:t>
      </w:r>
      <w:r w:rsidRPr="00611B67">
        <w:rPr>
          <w:rFonts w:ascii="Book Antiqua" w:eastAsia="宋体" w:hAnsi="Book Antiqua"/>
          <w:kern w:val="2"/>
          <w:bdr w:val="none" w:sz="0" w:space="0" w:color="auto"/>
          <w:lang w:eastAsia="zh-CN"/>
        </w:rPr>
        <w:t>: 1166-1175 [PMID: 22658593 DOI: 10.1016/j.cub.2012.05.016]</w:t>
      </w:r>
    </w:p>
    <w:p w14:paraId="7201E951"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46 </w:t>
      </w:r>
      <w:proofErr w:type="spellStart"/>
      <w:r w:rsidRPr="00611B67">
        <w:rPr>
          <w:rFonts w:ascii="Book Antiqua" w:eastAsia="宋体" w:hAnsi="Book Antiqua"/>
          <w:b/>
          <w:kern w:val="2"/>
          <w:bdr w:val="none" w:sz="0" w:space="0" w:color="auto"/>
          <w:lang w:eastAsia="zh-CN"/>
        </w:rPr>
        <w:t>Iatropoulos</w:t>
      </w:r>
      <w:proofErr w:type="spellEnd"/>
      <w:r w:rsidRPr="00611B67">
        <w:rPr>
          <w:rFonts w:ascii="Book Antiqua" w:eastAsia="宋体" w:hAnsi="Book Antiqua"/>
          <w:b/>
          <w:kern w:val="2"/>
          <w:bdr w:val="none" w:sz="0" w:space="0" w:color="auto"/>
          <w:lang w:eastAsia="zh-CN"/>
        </w:rPr>
        <w:t xml:space="preserve"> MJ</w:t>
      </w:r>
      <w:r w:rsidRPr="00611B67">
        <w:rPr>
          <w:rFonts w:ascii="Book Antiqua" w:eastAsia="宋体" w:hAnsi="Book Antiqua"/>
          <w:kern w:val="2"/>
          <w:bdr w:val="none" w:sz="0" w:space="0" w:color="auto"/>
          <w:lang w:eastAsia="zh-CN"/>
        </w:rPr>
        <w:t xml:space="preserve">. Cytoarchitecture of rat liver during compensatory growth. </w:t>
      </w:r>
      <w:proofErr w:type="spellStart"/>
      <w:r w:rsidRPr="00611B67">
        <w:rPr>
          <w:rFonts w:ascii="Book Antiqua" w:eastAsia="宋体" w:hAnsi="Book Antiqua"/>
          <w:i/>
          <w:kern w:val="2"/>
          <w:bdr w:val="none" w:sz="0" w:space="0" w:color="auto"/>
          <w:lang w:eastAsia="zh-CN"/>
        </w:rPr>
        <w:lastRenderedPageBreak/>
        <w:t>Anat</w:t>
      </w:r>
      <w:proofErr w:type="spellEnd"/>
      <w:r w:rsidRPr="00611B67">
        <w:rPr>
          <w:rFonts w:ascii="Book Antiqua" w:eastAsia="宋体" w:hAnsi="Book Antiqua"/>
          <w:i/>
          <w:kern w:val="2"/>
          <w:bdr w:val="none" w:sz="0" w:space="0" w:color="auto"/>
          <w:lang w:eastAsia="zh-CN"/>
        </w:rPr>
        <w:t xml:space="preserve"> Rec</w:t>
      </w:r>
      <w:r w:rsidRPr="00611B67">
        <w:rPr>
          <w:rFonts w:ascii="Book Antiqua" w:eastAsia="宋体" w:hAnsi="Book Antiqua"/>
          <w:kern w:val="2"/>
          <w:bdr w:val="none" w:sz="0" w:space="0" w:color="auto"/>
          <w:lang w:eastAsia="zh-CN"/>
        </w:rPr>
        <w:t xml:space="preserve"> 1971; </w:t>
      </w:r>
      <w:r w:rsidRPr="00611B67">
        <w:rPr>
          <w:rFonts w:ascii="Book Antiqua" w:eastAsia="宋体" w:hAnsi="Book Antiqua"/>
          <w:b/>
          <w:kern w:val="2"/>
          <w:bdr w:val="none" w:sz="0" w:space="0" w:color="auto"/>
          <w:lang w:eastAsia="zh-CN"/>
        </w:rPr>
        <w:t>169</w:t>
      </w:r>
      <w:r w:rsidRPr="00611B67">
        <w:rPr>
          <w:rFonts w:ascii="Book Antiqua" w:eastAsia="宋体" w:hAnsi="Book Antiqua"/>
          <w:kern w:val="2"/>
          <w:bdr w:val="none" w:sz="0" w:space="0" w:color="auto"/>
          <w:lang w:eastAsia="zh-CN"/>
        </w:rPr>
        <w:t>: 509-514 [PMID: 5550530 DOI: 10.1002/ar.1091690304]</w:t>
      </w:r>
    </w:p>
    <w:p w14:paraId="4E60ADCE"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47 </w:t>
      </w:r>
      <w:r w:rsidRPr="00611B67">
        <w:rPr>
          <w:rFonts w:ascii="Book Antiqua" w:eastAsia="宋体" w:hAnsi="Book Antiqua"/>
          <w:b/>
          <w:kern w:val="2"/>
          <w:bdr w:val="none" w:sz="0" w:space="0" w:color="auto"/>
          <w:lang w:eastAsia="zh-CN"/>
        </w:rPr>
        <w:t>Papp V</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Dezsö</w:t>
      </w:r>
      <w:proofErr w:type="spellEnd"/>
      <w:r w:rsidRPr="00611B67">
        <w:rPr>
          <w:rFonts w:ascii="Book Antiqua" w:eastAsia="宋体" w:hAnsi="Book Antiqua"/>
          <w:kern w:val="2"/>
          <w:bdr w:val="none" w:sz="0" w:space="0" w:color="auto"/>
          <w:lang w:eastAsia="zh-CN"/>
        </w:rPr>
        <w:t xml:space="preserve"> K, </w:t>
      </w:r>
      <w:proofErr w:type="spellStart"/>
      <w:r w:rsidRPr="00611B67">
        <w:rPr>
          <w:rFonts w:ascii="Book Antiqua" w:eastAsia="宋体" w:hAnsi="Book Antiqua"/>
          <w:kern w:val="2"/>
          <w:bdr w:val="none" w:sz="0" w:space="0" w:color="auto"/>
          <w:lang w:eastAsia="zh-CN"/>
        </w:rPr>
        <w:t>László</w:t>
      </w:r>
      <w:proofErr w:type="spellEnd"/>
      <w:r w:rsidRPr="00611B67">
        <w:rPr>
          <w:rFonts w:ascii="Book Antiqua" w:eastAsia="宋体" w:hAnsi="Book Antiqua"/>
          <w:kern w:val="2"/>
          <w:bdr w:val="none" w:sz="0" w:space="0" w:color="auto"/>
          <w:lang w:eastAsia="zh-CN"/>
        </w:rPr>
        <w:t xml:space="preserve"> V, Nagy P, </w:t>
      </w:r>
      <w:proofErr w:type="spellStart"/>
      <w:r w:rsidRPr="00611B67">
        <w:rPr>
          <w:rFonts w:ascii="Book Antiqua" w:eastAsia="宋体" w:hAnsi="Book Antiqua"/>
          <w:kern w:val="2"/>
          <w:bdr w:val="none" w:sz="0" w:space="0" w:color="auto"/>
          <w:lang w:eastAsia="zh-CN"/>
        </w:rPr>
        <w:t>Paku</w:t>
      </w:r>
      <w:proofErr w:type="spellEnd"/>
      <w:r w:rsidRPr="00611B67">
        <w:rPr>
          <w:rFonts w:ascii="Book Antiqua" w:eastAsia="宋体" w:hAnsi="Book Antiqua"/>
          <w:kern w:val="2"/>
          <w:bdr w:val="none" w:sz="0" w:space="0" w:color="auto"/>
          <w:lang w:eastAsia="zh-CN"/>
        </w:rPr>
        <w:t xml:space="preserve"> S. Architectural changes during r</w:t>
      </w:r>
      <w:r w:rsidRPr="00611B67">
        <w:rPr>
          <w:rFonts w:ascii="Book Antiqua" w:eastAsia="宋体" w:hAnsi="Book Antiqua"/>
          <w:kern w:val="2"/>
          <w:bdr w:val="none" w:sz="0" w:space="0" w:color="auto"/>
          <w:lang w:eastAsia="zh-CN"/>
        </w:rPr>
        <w:t>e</w:t>
      </w:r>
      <w:r w:rsidRPr="00611B67">
        <w:rPr>
          <w:rFonts w:ascii="Book Antiqua" w:eastAsia="宋体" w:hAnsi="Book Antiqua"/>
          <w:kern w:val="2"/>
          <w:bdr w:val="none" w:sz="0" w:space="0" w:color="auto"/>
          <w:lang w:eastAsia="zh-CN"/>
        </w:rPr>
        <w:t xml:space="preserve">generative and </w:t>
      </w:r>
      <w:proofErr w:type="spellStart"/>
      <w:r w:rsidRPr="00611B67">
        <w:rPr>
          <w:rFonts w:ascii="Book Antiqua" w:eastAsia="宋体" w:hAnsi="Book Antiqua"/>
          <w:kern w:val="2"/>
          <w:bdr w:val="none" w:sz="0" w:space="0" w:color="auto"/>
          <w:lang w:eastAsia="zh-CN"/>
        </w:rPr>
        <w:t>ontogenic</w:t>
      </w:r>
      <w:proofErr w:type="spellEnd"/>
      <w:r w:rsidRPr="00611B67">
        <w:rPr>
          <w:rFonts w:ascii="Book Antiqua" w:eastAsia="宋体" w:hAnsi="Book Antiqua"/>
          <w:kern w:val="2"/>
          <w:bdr w:val="none" w:sz="0" w:space="0" w:color="auto"/>
          <w:lang w:eastAsia="zh-CN"/>
        </w:rPr>
        <w:t xml:space="preserve"> liver growth in the rat. </w:t>
      </w:r>
      <w:r w:rsidRPr="00611B67">
        <w:rPr>
          <w:rFonts w:ascii="Book Antiqua" w:eastAsia="宋体" w:hAnsi="Book Antiqua"/>
          <w:i/>
          <w:kern w:val="2"/>
          <w:bdr w:val="none" w:sz="0" w:space="0" w:color="auto"/>
          <w:lang w:eastAsia="zh-CN"/>
        </w:rPr>
        <w:t xml:space="preserve">Liver </w:t>
      </w:r>
      <w:proofErr w:type="spellStart"/>
      <w:r w:rsidRPr="00611B67">
        <w:rPr>
          <w:rFonts w:ascii="Book Antiqua" w:eastAsia="宋体" w:hAnsi="Book Antiqua"/>
          <w:i/>
          <w:kern w:val="2"/>
          <w:bdr w:val="none" w:sz="0" w:space="0" w:color="auto"/>
          <w:lang w:eastAsia="zh-CN"/>
        </w:rPr>
        <w:t>Transpl</w:t>
      </w:r>
      <w:proofErr w:type="spellEnd"/>
      <w:r w:rsidRPr="00611B67">
        <w:rPr>
          <w:rFonts w:ascii="Book Antiqua" w:eastAsia="宋体" w:hAnsi="Book Antiqua"/>
          <w:kern w:val="2"/>
          <w:bdr w:val="none" w:sz="0" w:space="0" w:color="auto"/>
          <w:lang w:eastAsia="zh-CN"/>
        </w:rPr>
        <w:t xml:space="preserve"> 2009; </w:t>
      </w:r>
      <w:r w:rsidRPr="00611B67">
        <w:rPr>
          <w:rFonts w:ascii="Book Antiqua" w:eastAsia="宋体" w:hAnsi="Book Antiqua"/>
          <w:b/>
          <w:kern w:val="2"/>
          <w:bdr w:val="none" w:sz="0" w:space="0" w:color="auto"/>
          <w:lang w:eastAsia="zh-CN"/>
        </w:rPr>
        <w:t>15</w:t>
      </w:r>
      <w:r w:rsidRPr="00611B67">
        <w:rPr>
          <w:rFonts w:ascii="Book Antiqua" w:eastAsia="宋体" w:hAnsi="Book Antiqua"/>
          <w:kern w:val="2"/>
          <w:bdr w:val="none" w:sz="0" w:space="0" w:color="auto"/>
          <w:lang w:eastAsia="zh-CN"/>
        </w:rPr>
        <w:t>: 177-183 [PMID: 19177433 DOI: 10.1002/lt.21665]</w:t>
      </w:r>
    </w:p>
    <w:p w14:paraId="6DF88888"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48 </w:t>
      </w:r>
      <w:proofErr w:type="spellStart"/>
      <w:r w:rsidRPr="00611B67">
        <w:rPr>
          <w:rFonts w:ascii="Book Antiqua" w:eastAsia="宋体" w:hAnsi="Book Antiqua"/>
          <w:b/>
          <w:kern w:val="2"/>
          <w:bdr w:val="none" w:sz="0" w:space="0" w:color="auto"/>
          <w:lang w:eastAsia="zh-CN"/>
        </w:rPr>
        <w:t>Desmet</w:t>
      </w:r>
      <w:proofErr w:type="spellEnd"/>
      <w:r w:rsidRPr="00611B67">
        <w:rPr>
          <w:rFonts w:ascii="Book Antiqua" w:eastAsia="宋体" w:hAnsi="Book Antiqua"/>
          <w:b/>
          <w:kern w:val="2"/>
          <w:bdr w:val="none" w:sz="0" w:space="0" w:color="auto"/>
          <w:lang w:eastAsia="zh-CN"/>
        </w:rPr>
        <w:t xml:space="preserve"> VJ</w:t>
      </w:r>
      <w:r w:rsidRPr="00611B67">
        <w:rPr>
          <w:rFonts w:ascii="Book Antiqua" w:eastAsia="宋体" w:hAnsi="Book Antiqua"/>
          <w:kern w:val="2"/>
          <w:bdr w:val="none" w:sz="0" w:space="0" w:color="auto"/>
          <w:lang w:eastAsia="zh-CN"/>
        </w:rPr>
        <w:t>. Ductal plates in hepatic ductular reactions. Hypothesis and impl</w:t>
      </w:r>
      <w:r w:rsidRPr="00611B67">
        <w:rPr>
          <w:rFonts w:ascii="Book Antiqua" w:eastAsia="宋体" w:hAnsi="Book Antiqua"/>
          <w:kern w:val="2"/>
          <w:bdr w:val="none" w:sz="0" w:space="0" w:color="auto"/>
          <w:lang w:eastAsia="zh-CN"/>
        </w:rPr>
        <w:t>i</w:t>
      </w:r>
      <w:r w:rsidRPr="00611B67">
        <w:rPr>
          <w:rFonts w:ascii="Book Antiqua" w:eastAsia="宋体" w:hAnsi="Book Antiqua"/>
          <w:kern w:val="2"/>
          <w:bdr w:val="none" w:sz="0" w:space="0" w:color="auto"/>
          <w:lang w:eastAsia="zh-CN"/>
        </w:rPr>
        <w:t xml:space="preserve">cations. III. Implications for liver pathology. </w:t>
      </w:r>
      <w:proofErr w:type="spellStart"/>
      <w:r w:rsidRPr="00611B67">
        <w:rPr>
          <w:rFonts w:ascii="Book Antiqua" w:eastAsia="宋体" w:hAnsi="Book Antiqua"/>
          <w:i/>
          <w:kern w:val="2"/>
          <w:bdr w:val="none" w:sz="0" w:space="0" w:color="auto"/>
          <w:lang w:eastAsia="zh-CN"/>
        </w:rPr>
        <w:t>Virchows</w:t>
      </w:r>
      <w:proofErr w:type="spellEnd"/>
      <w:r w:rsidRPr="00611B67">
        <w:rPr>
          <w:rFonts w:ascii="Book Antiqua" w:eastAsia="宋体" w:hAnsi="Book Antiqua"/>
          <w:i/>
          <w:kern w:val="2"/>
          <w:bdr w:val="none" w:sz="0" w:space="0" w:color="auto"/>
          <w:lang w:eastAsia="zh-CN"/>
        </w:rPr>
        <w:t xml:space="preserve"> Arch</w:t>
      </w:r>
      <w:r w:rsidRPr="00611B67">
        <w:rPr>
          <w:rFonts w:ascii="Book Antiqua" w:eastAsia="宋体" w:hAnsi="Book Antiqua"/>
          <w:kern w:val="2"/>
          <w:bdr w:val="none" w:sz="0" w:space="0" w:color="auto"/>
          <w:lang w:eastAsia="zh-CN"/>
        </w:rPr>
        <w:t xml:space="preserve"> 2011; </w:t>
      </w:r>
      <w:r w:rsidRPr="00611B67">
        <w:rPr>
          <w:rFonts w:ascii="Book Antiqua" w:eastAsia="宋体" w:hAnsi="Book Antiqua"/>
          <w:b/>
          <w:kern w:val="2"/>
          <w:bdr w:val="none" w:sz="0" w:space="0" w:color="auto"/>
          <w:lang w:eastAsia="zh-CN"/>
        </w:rPr>
        <w:t>458</w:t>
      </w:r>
      <w:r w:rsidRPr="00611B67">
        <w:rPr>
          <w:rFonts w:ascii="Book Antiqua" w:eastAsia="宋体" w:hAnsi="Book Antiqua"/>
          <w:kern w:val="2"/>
          <w:bdr w:val="none" w:sz="0" w:space="0" w:color="auto"/>
          <w:lang w:eastAsia="zh-CN"/>
        </w:rPr>
        <w:t>: 271-279 [PMID: 21301864 DOI: 10.1007/s00428-011-1048-3]</w:t>
      </w:r>
    </w:p>
    <w:p w14:paraId="729ABB4B"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49 </w:t>
      </w:r>
      <w:proofErr w:type="spellStart"/>
      <w:r w:rsidRPr="00611B67">
        <w:rPr>
          <w:rFonts w:ascii="Book Antiqua" w:eastAsia="宋体" w:hAnsi="Book Antiqua"/>
          <w:b/>
          <w:kern w:val="2"/>
          <w:bdr w:val="none" w:sz="0" w:space="0" w:color="auto"/>
          <w:lang w:eastAsia="zh-CN"/>
        </w:rPr>
        <w:t>Desmet</w:t>
      </w:r>
      <w:proofErr w:type="spellEnd"/>
      <w:r w:rsidRPr="00611B67">
        <w:rPr>
          <w:rFonts w:ascii="Book Antiqua" w:eastAsia="宋体" w:hAnsi="Book Antiqua"/>
          <w:b/>
          <w:kern w:val="2"/>
          <w:bdr w:val="none" w:sz="0" w:space="0" w:color="auto"/>
          <w:lang w:eastAsia="zh-CN"/>
        </w:rPr>
        <w:t xml:space="preserve"> V</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Roskams</w:t>
      </w:r>
      <w:proofErr w:type="spellEnd"/>
      <w:r w:rsidRPr="00611B67">
        <w:rPr>
          <w:rFonts w:ascii="Book Antiqua" w:eastAsia="宋体" w:hAnsi="Book Antiqua"/>
          <w:kern w:val="2"/>
          <w:bdr w:val="none" w:sz="0" w:space="0" w:color="auto"/>
          <w:lang w:eastAsia="zh-CN"/>
        </w:rPr>
        <w:t xml:space="preserve"> T, Van </w:t>
      </w:r>
      <w:proofErr w:type="spellStart"/>
      <w:r w:rsidRPr="00611B67">
        <w:rPr>
          <w:rFonts w:ascii="Book Antiqua" w:eastAsia="宋体" w:hAnsi="Book Antiqua"/>
          <w:kern w:val="2"/>
          <w:bdr w:val="none" w:sz="0" w:space="0" w:color="auto"/>
          <w:lang w:eastAsia="zh-CN"/>
        </w:rPr>
        <w:t>Eyken</w:t>
      </w:r>
      <w:proofErr w:type="spellEnd"/>
      <w:r w:rsidRPr="00611B67">
        <w:rPr>
          <w:rFonts w:ascii="Book Antiqua" w:eastAsia="宋体" w:hAnsi="Book Antiqua"/>
          <w:kern w:val="2"/>
          <w:bdr w:val="none" w:sz="0" w:space="0" w:color="auto"/>
          <w:lang w:eastAsia="zh-CN"/>
        </w:rPr>
        <w:t xml:space="preserve"> P. Ductular reaction in the liver. </w:t>
      </w:r>
      <w:proofErr w:type="spellStart"/>
      <w:r w:rsidRPr="00611B67">
        <w:rPr>
          <w:rFonts w:ascii="Book Antiqua" w:eastAsia="宋体" w:hAnsi="Book Antiqua"/>
          <w:i/>
          <w:kern w:val="2"/>
          <w:bdr w:val="none" w:sz="0" w:space="0" w:color="auto"/>
          <w:lang w:eastAsia="zh-CN"/>
        </w:rPr>
        <w:t>Pathol</w:t>
      </w:r>
      <w:proofErr w:type="spellEnd"/>
      <w:r w:rsidRPr="00611B67">
        <w:rPr>
          <w:rFonts w:ascii="Book Antiqua" w:eastAsia="宋体" w:hAnsi="Book Antiqua"/>
          <w:i/>
          <w:kern w:val="2"/>
          <w:bdr w:val="none" w:sz="0" w:space="0" w:color="auto"/>
          <w:lang w:eastAsia="zh-CN"/>
        </w:rPr>
        <w:t xml:space="preserve"> Res </w:t>
      </w:r>
      <w:proofErr w:type="spellStart"/>
      <w:r w:rsidRPr="00611B67">
        <w:rPr>
          <w:rFonts w:ascii="Book Antiqua" w:eastAsia="宋体" w:hAnsi="Book Antiqua"/>
          <w:i/>
          <w:kern w:val="2"/>
          <w:bdr w:val="none" w:sz="0" w:space="0" w:color="auto"/>
          <w:lang w:eastAsia="zh-CN"/>
        </w:rPr>
        <w:t>Pract</w:t>
      </w:r>
      <w:proofErr w:type="spellEnd"/>
      <w:r w:rsidRPr="00611B67">
        <w:rPr>
          <w:rFonts w:ascii="Book Antiqua" w:eastAsia="宋体" w:hAnsi="Book Antiqua"/>
          <w:kern w:val="2"/>
          <w:bdr w:val="none" w:sz="0" w:space="0" w:color="auto"/>
          <w:lang w:eastAsia="zh-CN"/>
        </w:rPr>
        <w:t xml:space="preserve"> 1995; </w:t>
      </w:r>
      <w:r w:rsidRPr="00611B67">
        <w:rPr>
          <w:rFonts w:ascii="Book Antiqua" w:eastAsia="宋体" w:hAnsi="Book Antiqua"/>
          <w:b/>
          <w:kern w:val="2"/>
          <w:bdr w:val="none" w:sz="0" w:space="0" w:color="auto"/>
          <w:lang w:eastAsia="zh-CN"/>
        </w:rPr>
        <w:t>191</w:t>
      </w:r>
      <w:r w:rsidRPr="00611B67">
        <w:rPr>
          <w:rFonts w:ascii="Book Antiqua" w:eastAsia="宋体" w:hAnsi="Book Antiqua"/>
          <w:kern w:val="2"/>
          <w:bdr w:val="none" w:sz="0" w:space="0" w:color="auto"/>
          <w:lang w:eastAsia="zh-CN"/>
        </w:rPr>
        <w:t>: 513-524 [PMID: 7479372 DOI: 10.1016/S0344-0338(11)80870-8]</w:t>
      </w:r>
    </w:p>
    <w:p w14:paraId="3510300C"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50 </w:t>
      </w:r>
      <w:proofErr w:type="spellStart"/>
      <w:r w:rsidRPr="00611B67">
        <w:rPr>
          <w:rFonts w:ascii="Book Antiqua" w:eastAsia="宋体" w:hAnsi="Book Antiqua"/>
          <w:b/>
          <w:kern w:val="2"/>
          <w:bdr w:val="none" w:sz="0" w:space="0" w:color="auto"/>
          <w:lang w:eastAsia="zh-CN"/>
        </w:rPr>
        <w:t>Azmaiparashvili</w:t>
      </w:r>
      <w:proofErr w:type="spellEnd"/>
      <w:r w:rsidRPr="00611B67">
        <w:rPr>
          <w:rFonts w:ascii="Book Antiqua" w:eastAsia="宋体" w:hAnsi="Book Antiqua"/>
          <w:b/>
          <w:kern w:val="2"/>
          <w:bdr w:val="none" w:sz="0" w:space="0" w:color="auto"/>
          <w:lang w:eastAsia="zh-CN"/>
        </w:rPr>
        <w:t xml:space="preserve"> E</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Berishvili</w:t>
      </w:r>
      <w:proofErr w:type="spellEnd"/>
      <w:r w:rsidRPr="00611B67">
        <w:rPr>
          <w:rFonts w:ascii="Book Antiqua" w:eastAsia="宋体" w:hAnsi="Book Antiqua"/>
          <w:kern w:val="2"/>
          <w:bdr w:val="none" w:sz="0" w:space="0" w:color="auto"/>
          <w:lang w:eastAsia="zh-CN"/>
        </w:rPr>
        <w:t xml:space="preserve"> E, </w:t>
      </w:r>
      <w:proofErr w:type="spellStart"/>
      <w:r w:rsidRPr="00611B67">
        <w:rPr>
          <w:rFonts w:ascii="Book Antiqua" w:eastAsia="宋体" w:hAnsi="Book Antiqua"/>
          <w:kern w:val="2"/>
          <w:bdr w:val="none" w:sz="0" w:space="0" w:color="auto"/>
          <w:lang w:eastAsia="zh-CN"/>
        </w:rPr>
        <w:t>Kakabadze</w:t>
      </w:r>
      <w:proofErr w:type="spellEnd"/>
      <w:r w:rsidRPr="00611B67">
        <w:rPr>
          <w:rFonts w:ascii="Book Antiqua" w:eastAsia="宋体" w:hAnsi="Book Antiqua"/>
          <w:kern w:val="2"/>
          <w:bdr w:val="none" w:sz="0" w:space="0" w:color="auto"/>
          <w:lang w:eastAsia="zh-CN"/>
        </w:rPr>
        <w:t xml:space="preserve"> Z, </w:t>
      </w:r>
      <w:proofErr w:type="spellStart"/>
      <w:r w:rsidRPr="00611B67">
        <w:rPr>
          <w:rFonts w:ascii="Book Antiqua" w:eastAsia="宋体" w:hAnsi="Book Antiqua"/>
          <w:kern w:val="2"/>
          <w:bdr w:val="none" w:sz="0" w:space="0" w:color="auto"/>
          <w:lang w:eastAsia="zh-CN"/>
        </w:rPr>
        <w:t>Pilishvili</w:t>
      </w:r>
      <w:proofErr w:type="spellEnd"/>
      <w:r w:rsidRPr="00611B67">
        <w:rPr>
          <w:rFonts w:ascii="Book Antiqua" w:eastAsia="宋体" w:hAnsi="Book Antiqua"/>
          <w:kern w:val="2"/>
          <w:bdr w:val="none" w:sz="0" w:space="0" w:color="auto"/>
          <w:lang w:eastAsia="zh-CN"/>
        </w:rPr>
        <w:t xml:space="preserve"> O, </w:t>
      </w:r>
      <w:proofErr w:type="spellStart"/>
      <w:r w:rsidRPr="00611B67">
        <w:rPr>
          <w:rFonts w:ascii="Book Antiqua" w:eastAsia="宋体" w:hAnsi="Book Antiqua"/>
          <w:kern w:val="2"/>
          <w:bdr w:val="none" w:sz="0" w:space="0" w:color="auto"/>
          <w:lang w:eastAsia="zh-CN"/>
        </w:rPr>
        <w:t>Mikautadze</w:t>
      </w:r>
      <w:proofErr w:type="spellEnd"/>
      <w:r w:rsidRPr="00611B67">
        <w:rPr>
          <w:rFonts w:ascii="Book Antiqua" w:eastAsia="宋体" w:hAnsi="Book Antiqua"/>
          <w:kern w:val="2"/>
          <w:bdr w:val="none" w:sz="0" w:space="0" w:color="auto"/>
          <w:lang w:eastAsia="zh-CN"/>
        </w:rPr>
        <w:t xml:space="preserve"> E, </w:t>
      </w:r>
      <w:proofErr w:type="spellStart"/>
      <w:r w:rsidRPr="00611B67">
        <w:rPr>
          <w:rFonts w:ascii="Book Antiqua" w:eastAsia="宋体" w:hAnsi="Book Antiqua"/>
          <w:kern w:val="2"/>
          <w:bdr w:val="none" w:sz="0" w:space="0" w:color="auto"/>
          <w:lang w:eastAsia="zh-CN"/>
        </w:rPr>
        <w:t>Solomonia</w:t>
      </w:r>
      <w:proofErr w:type="spellEnd"/>
      <w:r w:rsidRPr="00611B67">
        <w:rPr>
          <w:rFonts w:ascii="Book Antiqua" w:eastAsia="宋体" w:hAnsi="Book Antiqua"/>
          <w:kern w:val="2"/>
          <w:bdr w:val="none" w:sz="0" w:space="0" w:color="auto"/>
          <w:lang w:eastAsia="zh-CN"/>
        </w:rPr>
        <w:t xml:space="preserve"> R, </w:t>
      </w:r>
      <w:proofErr w:type="spellStart"/>
      <w:r w:rsidRPr="00611B67">
        <w:rPr>
          <w:rFonts w:ascii="Book Antiqua" w:eastAsia="宋体" w:hAnsi="Book Antiqua"/>
          <w:kern w:val="2"/>
          <w:bdr w:val="none" w:sz="0" w:space="0" w:color="auto"/>
          <w:lang w:eastAsia="zh-CN"/>
        </w:rPr>
        <w:t>Jangavadze</w:t>
      </w:r>
      <w:proofErr w:type="spellEnd"/>
      <w:r w:rsidRPr="00611B67">
        <w:rPr>
          <w:rFonts w:ascii="Book Antiqua" w:eastAsia="宋体" w:hAnsi="Book Antiqua"/>
          <w:kern w:val="2"/>
          <w:bdr w:val="none" w:sz="0" w:space="0" w:color="auto"/>
          <w:lang w:eastAsia="zh-CN"/>
        </w:rPr>
        <w:t xml:space="preserve"> M, </w:t>
      </w:r>
      <w:proofErr w:type="spellStart"/>
      <w:r w:rsidRPr="00611B67">
        <w:rPr>
          <w:rFonts w:ascii="Book Antiqua" w:eastAsia="宋体" w:hAnsi="Book Antiqua"/>
          <w:kern w:val="2"/>
          <w:bdr w:val="none" w:sz="0" w:space="0" w:color="auto"/>
          <w:lang w:eastAsia="zh-CN"/>
        </w:rPr>
        <w:t>Kordzaia</w:t>
      </w:r>
      <w:proofErr w:type="spellEnd"/>
      <w:r w:rsidRPr="00611B67">
        <w:rPr>
          <w:rFonts w:ascii="Book Antiqua" w:eastAsia="宋体" w:hAnsi="Book Antiqua"/>
          <w:kern w:val="2"/>
          <w:bdr w:val="none" w:sz="0" w:space="0" w:color="auto"/>
          <w:lang w:eastAsia="zh-CN"/>
        </w:rPr>
        <w:t xml:space="preserve"> D. Ductular reaction at the early terms of common bile duct ligation in the rats. </w:t>
      </w:r>
      <w:r w:rsidRPr="00611B67">
        <w:rPr>
          <w:rFonts w:ascii="Book Antiqua" w:eastAsia="宋体" w:hAnsi="Book Antiqua"/>
          <w:i/>
          <w:kern w:val="2"/>
          <w:bdr w:val="none" w:sz="0" w:space="0" w:color="auto"/>
          <w:lang w:eastAsia="zh-CN"/>
        </w:rPr>
        <w:t>Acta Biol Hung</w:t>
      </w:r>
      <w:r w:rsidRPr="00611B67">
        <w:rPr>
          <w:rFonts w:ascii="Book Antiqua" w:eastAsia="宋体" w:hAnsi="Book Antiqua"/>
          <w:kern w:val="2"/>
          <w:bdr w:val="none" w:sz="0" w:space="0" w:color="auto"/>
          <w:lang w:eastAsia="zh-CN"/>
        </w:rPr>
        <w:t xml:space="preserve"> 2012; </w:t>
      </w:r>
      <w:r w:rsidRPr="00611B67">
        <w:rPr>
          <w:rFonts w:ascii="Book Antiqua" w:eastAsia="宋体" w:hAnsi="Book Antiqua"/>
          <w:b/>
          <w:kern w:val="2"/>
          <w:bdr w:val="none" w:sz="0" w:space="0" w:color="auto"/>
          <w:lang w:eastAsia="zh-CN"/>
        </w:rPr>
        <w:t>63</w:t>
      </w:r>
      <w:r w:rsidRPr="00611B67">
        <w:rPr>
          <w:rFonts w:ascii="Book Antiqua" w:eastAsia="宋体" w:hAnsi="Book Antiqua"/>
          <w:kern w:val="2"/>
          <w:bdr w:val="none" w:sz="0" w:space="0" w:color="auto"/>
          <w:lang w:eastAsia="zh-CN"/>
        </w:rPr>
        <w:t>: 321-332 [PMID: 22963913 DOI: 10.1556/ABiol.63.2012.3.2]</w:t>
      </w:r>
    </w:p>
    <w:p w14:paraId="49100351"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51 </w:t>
      </w:r>
      <w:proofErr w:type="spellStart"/>
      <w:r w:rsidRPr="00611B67">
        <w:rPr>
          <w:rFonts w:ascii="Book Antiqua" w:eastAsia="宋体" w:hAnsi="Book Antiqua"/>
          <w:b/>
          <w:kern w:val="2"/>
          <w:bdr w:val="none" w:sz="0" w:space="0" w:color="auto"/>
          <w:lang w:eastAsia="zh-CN"/>
        </w:rPr>
        <w:t>Azmaiparashvili</w:t>
      </w:r>
      <w:proofErr w:type="spellEnd"/>
      <w:r w:rsidRPr="00611B67">
        <w:rPr>
          <w:rFonts w:ascii="Book Antiqua" w:eastAsia="宋体" w:hAnsi="Book Antiqua"/>
          <w:b/>
          <w:kern w:val="2"/>
          <w:bdr w:val="none" w:sz="0" w:space="0" w:color="auto"/>
          <w:lang w:eastAsia="zh-CN"/>
        </w:rPr>
        <w:t xml:space="preserve"> E</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Bebiashvili</w:t>
      </w:r>
      <w:proofErr w:type="spellEnd"/>
      <w:r w:rsidRPr="00611B67">
        <w:rPr>
          <w:rFonts w:ascii="Book Antiqua" w:eastAsia="宋体" w:hAnsi="Book Antiqua"/>
          <w:kern w:val="2"/>
          <w:bdr w:val="none" w:sz="0" w:space="0" w:color="auto"/>
          <w:lang w:eastAsia="zh-CN"/>
        </w:rPr>
        <w:t xml:space="preserve"> I, </w:t>
      </w:r>
      <w:proofErr w:type="spellStart"/>
      <w:r w:rsidRPr="00611B67">
        <w:rPr>
          <w:rFonts w:ascii="Book Antiqua" w:eastAsia="宋体" w:hAnsi="Book Antiqua"/>
          <w:kern w:val="2"/>
          <w:bdr w:val="none" w:sz="0" w:space="0" w:color="auto"/>
          <w:lang w:eastAsia="zh-CN"/>
        </w:rPr>
        <w:t>Karumidze</w:t>
      </w:r>
      <w:proofErr w:type="spellEnd"/>
      <w:r w:rsidRPr="00611B67">
        <w:rPr>
          <w:rFonts w:ascii="Book Antiqua" w:eastAsia="宋体" w:hAnsi="Book Antiqua"/>
          <w:kern w:val="2"/>
          <w:bdr w:val="none" w:sz="0" w:space="0" w:color="auto"/>
          <w:lang w:eastAsia="zh-CN"/>
        </w:rPr>
        <w:t xml:space="preserve"> N, </w:t>
      </w:r>
      <w:proofErr w:type="spellStart"/>
      <w:r w:rsidRPr="00611B67">
        <w:rPr>
          <w:rFonts w:ascii="Book Antiqua" w:eastAsia="宋体" w:hAnsi="Book Antiqua"/>
          <w:kern w:val="2"/>
          <w:bdr w:val="none" w:sz="0" w:space="0" w:color="auto"/>
          <w:lang w:eastAsia="zh-CN"/>
        </w:rPr>
        <w:t>Tsomaia</w:t>
      </w:r>
      <w:proofErr w:type="spellEnd"/>
      <w:r w:rsidRPr="00611B67">
        <w:rPr>
          <w:rFonts w:ascii="Book Antiqua" w:eastAsia="宋体" w:hAnsi="Book Antiqua"/>
          <w:kern w:val="2"/>
          <w:bdr w:val="none" w:sz="0" w:space="0" w:color="auto"/>
          <w:lang w:eastAsia="zh-CN"/>
        </w:rPr>
        <w:t xml:space="preserve"> K, </w:t>
      </w:r>
      <w:proofErr w:type="spellStart"/>
      <w:r w:rsidRPr="00611B67">
        <w:rPr>
          <w:rFonts w:ascii="Book Antiqua" w:eastAsia="宋体" w:hAnsi="Book Antiqua"/>
          <w:kern w:val="2"/>
          <w:bdr w:val="none" w:sz="0" w:space="0" w:color="auto"/>
          <w:lang w:eastAsia="zh-CN"/>
        </w:rPr>
        <w:t>Kordzaia</w:t>
      </w:r>
      <w:proofErr w:type="spellEnd"/>
      <w:r w:rsidRPr="00611B67">
        <w:rPr>
          <w:rFonts w:ascii="Book Antiqua" w:eastAsia="宋体" w:hAnsi="Book Antiqua"/>
          <w:kern w:val="2"/>
          <w:bdr w:val="none" w:sz="0" w:space="0" w:color="auto"/>
          <w:lang w:eastAsia="zh-CN"/>
        </w:rPr>
        <w:t xml:space="preserve"> D. Ductular reaction at the early and late stages of biliary obstruction: is the mech</w:t>
      </w:r>
      <w:r w:rsidRPr="00611B67">
        <w:rPr>
          <w:rFonts w:ascii="Book Antiqua" w:eastAsia="宋体" w:hAnsi="Book Antiqua"/>
          <w:kern w:val="2"/>
          <w:bdr w:val="none" w:sz="0" w:space="0" w:color="auto"/>
          <w:lang w:eastAsia="zh-CN"/>
        </w:rPr>
        <w:t>a</w:t>
      </w:r>
      <w:r w:rsidRPr="00611B67">
        <w:rPr>
          <w:rFonts w:ascii="Book Antiqua" w:eastAsia="宋体" w:hAnsi="Book Antiqua"/>
          <w:kern w:val="2"/>
          <w:bdr w:val="none" w:sz="0" w:space="0" w:color="auto"/>
          <w:lang w:eastAsia="zh-CN"/>
        </w:rPr>
        <w:t xml:space="preserve">nism the same? </w:t>
      </w:r>
      <w:r w:rsidRPr="00611B67">
        <w:rPr>
          <w:rFonts w:ascii="Book Antiqua" w:eastAsia="宋体" w:hAnsi="Book Antiqua"/>
          <w:i/>
          <w:kern w:val="2"/>
          <w:bdr w:val="none" w:sz="0" w:space="0" w:color="auto"/>
          <w:lang w:eastAsia="zh-CN"/>
        </w:rPr>
        <w:t>Georgian Med News</w:t>
      </w:r>
      <w:r w:rsidRPr="00611B67">
        <w:rPr>
          <w:rFonts w:ascii="Book Antiqua" w:eastAsia="宋体" w:hAnsi="Book Antiqua"/>
          <w:kern w:val="2"/>
          <w:bdr w:val="none" w:sz="0" w:space="0" w:color="auto"/>
          <w:lang w:eastAsia="zh-CN"/>
        </w:rPr>
        <w:t xml:space="preserve"> 2019; </w:t>
      </w:r>
      <w:r w:rsidRPr="00611B67">
        <w:rPr>
          <w:rFonts w:ascii="Book Antiqua" w:eastAsia="宋体" w:hAnsi="Book Antiqua"/>
          <w:b/>
          <w:kern w:val="2"/>
          <w:bdr w:val="none" w:sz="0" w:space="0" w:color="auto"/>
          <w:lang w:eastAsia="zh-CN"/>
        </w:rPr>
        <w:t>(286)</w:t>
      </w:r>
      <w:r w:rsidRPr="00611B67">
        <w:rPr>
          <w:rFonts w:ascii="Book Antiqua" w:eastAsia="宋体" w:hAnsi="Book Antiqua"/>
          <w:kern w:val="2"/>
          <w:bdr w:val="none" w:sz="0" w:space="0" w:color="auto"/>
          <w:lang w:eastAsia="zh-CN"/>
        </w:rPr>
        <w:t>: 100-106 [PMID: 30829599]</w:t>
      </w:r>
    </w:p>
    <w:p w14:paraId="065C14CB"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52 </w:t>
      </w:r>
      <w:proofErr w:type="spellStart"/>
      <w:r w:rsidRPr="00611B67">
        <w:rPr>
          <w:rFonts w:ascii="Book Antiqua" w:eastAsia="宋体" w:hAnsi="Book Antiqua"/>
          <w:b/>
          <w:kern w:val="2"/>
          <w:bdr w:val="none" w:sz="0" w:space="0" w:color="auto"/>
          <w:lang w:eastAsia="zh-CN"/>
        </w:rPr>
        <w:t>Roskams</w:t>
      </w:r>
      <w:proofErr w:type="spellEnd"/>
      <w:r w:rsidRPr="00611B67">
        <w:rPr>
          <w:rFonts w:ascii="Book Antiqua" w:eastAsia="宋体" w:hAnsi="Book Antiqua"/>
          <w:b/>
          <w:kern w:val="2"/>
          <w:bdr w:val="none" w:sz="0" w:space="0" w:color="auto"/>
          <w:lang w:eastAsia="zh-CN"/>
        </w:rPr>
        <w:t xml:space="preserve"> TA</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Theise</w:t>
      </w:r>
      <w:proofErr w:type="spellEnd"/>
      <w:r w:rsidRPr="00611B67">
        <w:rPr>
          <w:rFonts w:ascii="Book Antiqua" w:eastAsia="宋体" w:hAnsi="Book Antiqua"/>
          <w:kern w:val="2"/>
          <w:bdr w:val="none" w:sz="0" w:space="0" w:color="auto"/>
          <w:lang w:eastAsia="zh-CN"/>
        </w:rPr>
        <w:t xml:space="preserve"> ND, </w:t>
      </w:r>
      <w:proofErr w:type="spellStart"/>
      <w:r w:rsidRPr="00611B67">
        <w:rPr>
          <w:rFonts w:ascii="Book Antiqua" w:eastAsia="宋体" w:hAnsi="Book Antiqua"/>
          <w:kern w:val="2"/>
          <w:bdr w:val="none" w:sz="0" w:space="0" w:color="auto"/>
          <w:lang w:eastAsia="zh-CN"/>
        </w:rPr>
        <w:t>Balabaud</w:t>
      </w:r>
      <w:proofErr w:type="spellEnd"/>
      <w:r w:rsidRPr="00611B67">
        <w:rPr>
          <w:rFonts w:ascii="Book Antiqua" w:eastAsia="宋体" w:hAnsi="Book Antiqua"/>
          <w:kern w:val="2"/>
          <w:bdr w:val="none" w:sz="0" w:space="0" w:color="auto"/>
          <w:lang w:eastAsia="zh-CN"/>
        </w:rPr>
        <w:t xml:space="preserve"> C, </w:t>
      </w:r>
      <w:proofErr w:type="spellStart"/>
      <w:r w:rsidRPr="00611B67">
        <w:rPr>
          <w:rFonts w:ascii="Book Antiqua" w:eastAsia="宋体" w:hAnsi="Book Antiqua"/>
          <w:kern w:val="2"/>
          <w:bdr w:val="none" w:sz="0" w:space="0" w:color="auto"/>
          <w:lang w:eastAsia="zh-CN"/>
        </w:rPr>
        <w:t>Bhagat</w:t>
      </w:r>
      <w:proofErr w:type="spellEnd"/>
      <w:r w:rsidRPr="00611B67">
        <w:rPr>
          <w:rFonts w:ascii="Book Antiqua" w:eastAsia="宋体" w:hAnsi="Book Antiqua"/>
          <w:kern w:val="2"/>
          <w:bdr w:val="none" w:sz="0" w:space="0" w:color="auto"/>
          <w:lang w:eastAsia="zh-CN"/>
        </w:rPr>
        <w:t xml:space="preserve"> G, </w:t>
      </w:r>
      <w:proofErr w:type="spellStart"/>
      <w:r w:rsidRPr="00611B67">
        <w:rPr>
          <w:rFonts w:ascii="Book Antiqua" w:eastAsia="宋体" w:hAnsi="Book Antiqua"/>
          <w:kern w:val="2"/>
          <w:bdr w:val="none" w:sz="0" w:space="0" w:color="auto"/>
          <w:lang w:eastAsia="zh-CN"/>
        </w:rPr>
        <w:t>Bhathal</w:t>
      </w:r>
      <w:proofErr w:type="spellEnd"/>
      <w:r w:rsidRPr="00611B67">
        <w:rPr>
          <w:rFonts w:ascii="Book Antiqua" w:eastAsia="宋体" w:hAnsi="Book Antiqua"/>
          <w:kern w:val="2"/>
          <w:bdr w:val="none" w:sz="0" w:space="0" w:color="auto"/>
          <w:lang w:eastAsia="zh-CN"/>
        </w:rPr>
        <w:t xml:space="preserve"> PS, </w:t>
      </w:r>
      <w:proofErr w:type="spellStart"/>
      <w:r w:rsidRPr="00611B67">
        <w:rPr>
          <w:rFonts w:ascii="Book Antiqua" w:eastAsia="宋体" w:hAnsi="Book Antiqua"/>
          <w:kern w:val="2"/>
          <w:bdr w:val="none" w:sz="0" w:space="0" w:color="auto"/>
          <w:lang w:eastAsia="zh-CN"/>
        </w:rPr>
        <w:t>Bioulac</w:t>
      </w:r>
      <w:proofErr w:type="spellEnd"/>
      <w:r w:rsidRPr="00611B67">
        <w:rPr>
          <w:rFonts w:ascii="Book Antiqua" w:eastAsia="宋体" w:hAnsi="Book Antiqua"/>
          <w:kern w:val="2"/>
          <w:bdr w:val="none" w:sz="0" w:space="0" w:color="auto"/>
          <w:lang w:eastAsia="zh-CN"/>
        </w:rPr>
        <w:t xml:space="preserve">-Sage P, Brunt EM, Crawford JM, Crosby HA, </w:t>
      </w:r>
      <w:proofErr w:type="spellStart"/>
      <w:r w:rsidRPr="00611B67">
        <w:rPr>
          <w:rFonts w:ascii="Book Antiqua" w:eastAsia="宋体" w:hAnsi="Book Antiqua"/>
          <w:kern w:val="2"/>
          <w:bdr w:val="none" w:sz="0" w:space="0" w:color="auto"/>
          <w:lang w:eastAsia="zh-CN"/>
        </w:rPr>
        <w:t>Desmet</w:t>
      </w:r>
      <w:proofErr w:type="spellEnd"/>
      <w:r w:rsidRPr="00611B67">
        <w:rPr>
          <w:rFonts w:ascii="Book Antiqua" w:eastAsia="宋体" w:hAnsi="Book Antiqua"/>
          <w:kern w:val="2"/>
          <w:bdr w:val="none" w:sz="0" w:space="0" w:color="auto"/>
          <w:lang w:eastAsia="zh-CN"/>
        </w:rPr>
        <w:t xml:space="preserve"> V, </w:t>
      </w:r>
      <w:proofErr w:type="spellStart"/>
      <w:r w:rsidRPr="00611B67">
        <w:rPr>
          <w:rFonts w:ascii="Book Antiqua" w:eastAsia="宋体" w:hAnsi="Book Antiqua"/>
          <w:kern w:val="2"/>
          <w:bdr w:val="none" w:sz="0" w:space="0" w:color="auto"/>
          <w:lang w:eastAsia="zh-CN"/>
        </w:rPr>
        <w:t>Finegold</w:t>
      </w:r>
      <w:proofErr w:type="spellEnd"/>
      <w:r w:rsidRPr="00611B67">
        <w:rPr>
          <w:rFonts w:ascii="Book Antiqua" w:eastAsia="宋体" w:hAnsi="Book Antiqua"/>
          <w:kern w:val="2"/>
          <w:bdr w:val="none" w:sz="0" w:space="0" w:color="auto"/>
          <w:lang w:eastAsia="zh-CN"/>
        </w:rPr>
        <w:t xml:space="preserve"> MJ, Geller SA, </w:t>
      </w:r>
      <w:proofErr w:type="spellStart"/>
      <w:r w:rsidRPr="00611B67">
        <w:rPr>
          <w:rFonts w:ascii="Book Antiqua" w:eastAsia="宋体" w:hAnsi="Book Antiqua"/>
          <w:kern w:val="2"/>
          <w:bdr w:val="none" w:sz="0" w:space="0" w:color="auto"/>
          <w:lang w:eastAsia="zh-CN"/>
        </w:rPr>
        <w:t>Gouw</w:t>
      </w:r>
      <w:proofErr w:type="spellEnd"/>
      <w:r w:rsidRPr="00611B67">
        <w:rPr>
          <w:rFonts w:ascii="Book Antiqua" w:eastAsia="宋体" w:hAnsi="Book Antiqua"/>
          <w:kern w:val="2"/>
          <w:bdr w:val="none" w:sz="0" w:space="0" w:color="auto"/>
          <w:lang w:eastAsia="zh-CN"/>
        </w:rPr>
        <w:t xml:space="preserve"> AS, </w:t>
      </w:r>
      <w:proofErr w:type="spellStart"/>
      <w:r w:rsidRPr="00611B67">
        <w:rPr>
          <w:rFonts w:ascii="Book Antiqua" w:eastAsia="宋体" w:hAnsi="Book Antiqua"/>
          <w:kern w:val="2"/>
          <w:bdr w:val="none" w:sz="0" w:space="0" w:color="auto"/>
          <w:lang w:eastAsia="zh-CN"/>
        </w:rPr>
        <w:t>Hytiroglou</w:t>
      </w:r>
      <w:proofErr w:type="spellEnd"/>
      <w:r w:rsidRPr="00611B67">
        <w:rPr>
          <w:rFonts w:ascii="Book Antiqua" w:eastAsia="宋体" w:hAnsi="Book Antiqua"/>
          <w:kern w:val="2"/>
          <w:bdr w:val="none" w:sz="0" w:space="0" w:color="auto"/>
          <w:lang w:eastAsia="zh-CN"/>
        </w:rPr>
        <w:t xml:space="preserve"> P, </w:t>
      </w:r>
      <w:proofErr w:type="spellStart"/>
      <w:r w:rsidRPr="00611B67">
        <w:rPr>
          <w:rFonts w:ascii="Book Antiqua" w:eastAsia="宋体" w:hAnsi="Book Antiqua"/>
          <w:kern w:val="2"/>
          <w:bdr w:val="none" w:sz="0" w:space="0" w:color="auto"/>
          <w:lang w:eastAsia="zh-CN"/>
        </w:rPr>
        <w:t>Knisely</w:t>
      </w:r>
      <w:proofErr w:type="spellEnd"/>
      <w:r w:rsidRPr="00611B67">
        <w:rPr>
          <w:rFonts w:ascii="Book Antiqua" w:eastAsia="宋体" w:hAnsi="Book Antiqua"/>
          <w:kern w:val="2"/>
          <w:bdr w:val="none" w:sz="0" w:space="0" w:color="auto"/>
          <w:lang w:eastAsia="zh-CN"/>
        </w:rPr>
        <w:t xml:space="preserve"> AS, </w:t>
      </w:r>
      <w:proofErr w:type="spellStart"/>
      <w:r w:rsidRPr="00611B67">
        <w:rPr>
          <w:rFonts w:ascii="Book Antiqua" w:eastAsia="宋体" w:hAnsi="Book Antiqua"/>
          <w:kern w:val="2"/>
          <w:bdr w:val="none" w:sz="0" w:space="0" w:color="auto"/>
          <w:lang w:eastAsia="zh-CN"/>
        </w:rPr>
        <w:t>Kojiro</w:t>
      </w:r>
      <w:proofErr w:type="spellEnd"/>
      <w:r w:rsidRPr="00611B67">
        <w:rPr>
          <w:rFonts w:ascii="Book Antiqua" w:eastAsia="宋体" w:hAnsi="Book Antiqua"/>
          <w:kern w:val="2"/>
          <w:bdr w:val="none" w:sz="0" w:space="0" w:color="auto"/>
          <w:lang w:eastAsia="zh-CN"/>
        </w:rPr>
        <w:t xml:space="preserve"> M, </w:t>
      </w:r>
      <w:proofErr w:type="spellStart"/>
      <w:r w:rsidRPr="00611B67">
        <w:rPr>
          <w:rFonts w:ascii="Book Antiqua" w:eastAsia="宋体" w:hAnsi="Book Antiqua"/>
          <w:kern w:val="2"/>
          <w:bdr w:val="none" w:sz="0" w:space="0" w:color="auto"/>
          <w:lang w:eastAsia="zh-CN"/>
        </w:rPr>
        <w:t>Lefkowitch</w:t>
      </w:r>
      <w:proofErr w:type="spellEnd"/>
      <w:r w:rsidRPr="00611B67">
        <w:rPr>
          <w:rFonts w:ascii="Book Antiqua" w:eastAsia="宋体" w:hAnsi="Book Antiqua"/>
          <w:kern w:val="2"/>
          <w:bdr w:val="none" w:sz="0" w:space="0" w:color="auto"/>
          <w:lang w:eastAsia="zh-CN"/>
        </w:rPr>
        <w:t xml:space="preserve"> JH, </w:t>
      </w:r>
      <w:proofErr w:type="spellStart"/>
      <w:r w:rsidRPr="00611B67">
        <w:rPr>
          <w:rFonts w:ascii="Book Antiqua" w:eastAsia="宋体" w:hAnsi="Book Antiqua"/>
          <w:kern w:val="2"/>
          <w:bdr w:val="none" w:sz="0" w:space="0" w:color="auto"/>
          <w:lang w:eastAsia="zh-CN"/>
        </w:rPr>
        <w:t>Nakanuma</w:t>
      </w:r>
      <w:proofErr w:type="spellEnd"/>
      <w:r w:rsidRPr="00611B67">
        <w:rPr>
          <w:rFonts w:ascii="Book Antiqua" w:eastAsia="宋体" w:hAnsi="Book Antiqua"/>
          <w:kern w:val="2"/>
          <w:bdr w:val="none" w:sz="0" w:space="0" w:color="auto"/>
          <w:lang w:eastAsia="zh-CN"/>
        </w:rPr>
        <w:t xml:space="preserve"> Y, Olynyk JK, Park YN, </w:t>
      </w:r>
      <w:proofErr w:type="spellStart"/>
      <w:r w:rsidRPr="00611B67">
        <w:rPr>
          <w:rFonts w:ascii="Book Antiqua" w:eastAsia="宋体" w:hAnsi="Book Antiqua"/>
          <w:kern w:val="2"/>
          <w:bdr w:val="none" w:sz="0" w:space="0" w:color="auto"/>
          <w:lang w:eastAsia="zh-CN"/>
        </w:rPr>
        <w:t>Portmann</w:t>
      </w:r>
      <w:proofErr w:type="spellEnd"/>
      <w:r w:rsidRPr="00611B67">
        <w:rPr>
          <w:rFonts w:ascii="Book Antiqua" w:eastAsia="宋体" w:hAnsi="Book Antiqua"/>
          <w:kern w:val="2"/>
          <w:bdr w:val="none" w:sz="0" w:space="0" w:color="auto"/>
          <w:lang w:eastAsia="zh-CN"/>
        </w:rPr>
        <w:t xml:space="preserve"> B, </w:t>
      </w:r>
      <w:proofErr w:type="spellStart"/>
      <w:r w:rsidRPr="00611B67">
        <w:rPr>
          <w:rFonts w:ascii="Book Antiqua" w:eastAsia="宋体" w:hAnsi="Book Antiqua"/>
          <w:kern w:val="2"/>
          <w:bdr w:val="none" w:sz="0" w:space="0" w:color="auto"/>
          <w:lang w:eastAsia="zh-CN"/>
        </w:rPr>
        <w:t>Saxena</w:t>
      </w:r>
      <w:proofErr w:type="spellEnd"/>
      <w:r w:rsidRPr="00611B67">
        <w:rPr>
          <w:rFonts w:ascii="Book Antiqua" w:eastAsia="宋体" w:hAnsi="Book Antiqua"/>
          <w:kern w:val="2"/>
          <w:bdr w:val="none" w:sz="0" w:space="0" w:color="auto"/>
          <w:lang w:eastAsia="zh-CN"/>
        </w:rPr>
        <w:t xml:space="preserve"> R, Scheuer PJ, Strain AJ, </w:t>
      </w:r>
      <w:proofErr w:type="spellStart"/>
      <w:r w:rsidRPr="00611B67">
        <w:rPr>
          <w:rFonts w:ascii="Book Antiqua" w:eastAsia="宋体" w:hAnsi="Book Antiqua"/>
          <w:kern w:val="2"/>
          <w:bdr w:val="none" w:sz="0" w:space="0" w:color="auto"/>
          <w:lang w:eastAsia="zh-CN"/>
        </w:rPr>
        <w:t>Thung</w:t>
      </w:r>
      <w:proofErr w:type="spellEnd"/>
      <w:r w:rsidRPr="00611B67">
        <w:rPr>
          <w:rFonts w:ascii="Book Antiqua" w:eastAsia="宋体" w:hAnsi="Book Antiqua"/>
          <w:kern w:val="2"/>
          <w:bdr w:val="none" w:sz="0" w:space="0" w:color="auto"/>
          <w:lang w:eastAsia="zh-CN"/>
        </w:rPr>
        <w:t xml:space="preserve"> SN, </w:t>
      </w:r>
      <w:proofErr w:type="spellStart"/>
      <w:r w:rsidRPr="00611B67">
        <w:rPr>
          <w:rFonts w:ascii="Book Antiqua" w:eastAsia="宋体" w:hAnsi="Book Antiqua"/>
          <w:kern w:val="2"/>
          <w:bdr w:val="none" w:sz="0" w:space="0" w:color="auto"/>
          <w:lang w:eastAsia="zh-CN"/>
        </w:rPr>
        <w:t>Wanless</w:t>
      </w:r>
      <w:proofErr w:type="spellEnd"/>
      <w:r w:rsidRPr="00611B67">
        <w:rPr>
          <w:rFonts w:ascii="Book Antiqua" w:eastAsia="宋体" w:hAnsi="Book Antiqua"/>
          <w:kern w:val="2"/>
          <w:bdr w:val="none" w:sz="0" w:space="0" w:color="auto"/>
          <w:lang w:eastAsia="zh-CN"/>
        </w:rPr>
        <w:t xml:space="preserve"> IR, West AB. Nomenclature of the finer branches of the biliary tree: canals, </w:t>
      </w:r>
      <w:proofErr w:type="spellStart"/>
      <w:r w:rsidRPr="00611B67">
        <w:rPr>
          <w:rFonts w:ascii="Book Antiqua" w:eastAsia="宋体" w:hAnsi="Book Antiqua"/>
          <w:kern w:val="2"/>
          <w:bdr w:val="none" w:sz="0" w:space="0" w:color="auto"/>
          <w:lang w:eastAsia="zh-CN"/>
        </w:rPr>
        <w:t>ductules</w:t>
      </w:r>
      <w:proofErr w:type="spellEnd"/>
      <w:r w:rsidRPr="00611B67">
        <w:rPr>
          <w:rFonts w:ascii="Book Antiqua" w:eastAsia="宋体" w:hAnsi="Book Antiqua"/>
          <w:kern w:val="2"/>
          <w:bdr w:val="none" w:sz="0" w:space="0" w:color="auto"/>
          <w:lang w:eastAsia="zh-CN"/>
        </w:rPr>
        <w:t xml:space="preserve">, and </w:t>
      </w:r>
      <w:proofErr w:type="spellStart"/>
      <w:r w:rsidRPr="00611B67">
        <w:rPr>
          <w:rFonts w:ascii="Book Antiqua" w:eastAsia="宋体" w:hAnsi="Book Antiqua"/>
          <w:kern w:val="2"/>
          <w:bdr w:val="none" w:sz="0" w:space="0" w:color="auto"/>
          <w:lang w:eastAsia="zh-CN"/>
        </w:rPr>
        <w:t>ductular</w:t>
      </w:r>
      <w:proofErr w:type="spellEnd"/>
      <w:r w:rsidRPr="00611B67">
        <w:rPr>
          <w:rFonts w:ascii="Book Antiqua" w:eastAsia="宋体" w:hAnsi="Book Antiqua"/>
          <w:kern w:val="2"/>
          <w:bdr w:val="none" w:sz="0" w:space="0" w:color="auto"/>
          <w:lang w:eastAsia="zh-CN"/>
        </w:rPr>
        <w:t xml:space="preserve"> reactions in human livers. </w:t>
      </w:r>
      <w:r w:rsidRPr="00611B67">
        <w:rPr>
          <w:rFonts w:ascii="Book Antiqua" w:eastAsia="宋体" w:hAnsi="Book Antiqua"/>
          <w:i/>
          <w:kern w:val="2"/>
          <w:bdr w:val="none" w:sz="0" w:space="0" w:color="auto"/>
          <w:lang w:eastAsia="zh-CN"/>
        </w:rPr>
        <w:t>Hepatology</w:t>
      </w:r>
      <w:r w:rsidRPr="00611B67">
        <w:rPr>
          <w:rFonts w:ascii="Book Antiqua" w:eastAsia="宋体" w:hAnsi="Book Antiqua"/>
          <w:kern w:val="2"/>
          <w:bdr w:val="none" w:sz="0" w:space="0" w:color="auto"/>
          <w:lang w:eastAsia="zh-CN"/>
        </w:rPr>
        <w:t xml:space="preserve"> 2004; </w:t>
      </w:r>
      <w:r w:rsidRPr="00611B67">
        <w:rPr>
          <w:rFonts w:ascii="Book Antiqua" w:eastAsia="宋体" w:hAnsi="Book Antiqua"/>
          <w:b/>
          <w:kern w:val="2"/>
          <w:bdr w:val="none" w:sz="0" w:space="0" w:color="auto"/>
          <w:lang w:eastAsia="zh-CN"/>
        </w:rPr>
        <w:t>39</w:t>
      </w:r>
      <w:r w:rsidRPr="00611B67">
        <w:rPr>
          <w:rFonts w:ascii="Book Antiqua" w:eastAsia="宋体" w:hAnsi="Book Antiqua"/>
          <w:kern w:val="2"/>
          <w:bdr w:val="none" w:sz="0" w:space="0" w:color="auto"/>
          <w:lang w:eastAsia="zh-CN"/>
        </w:rPr>
        <w:t>: 1739-1745 [PMID: 15185318 DOI: 10.1002/hep.20130]</w:t>
      </w:r>
    </w:p>
    <w:p w14:paraId="15966579"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53 </w:t>
      </w:r>
      <w:proofErr w:type="spellStart"/>
      <w:r w:rsidRPr="00611B67">
        <w:rPr>
          <w:rFonts w:ascii="Book Antiqua" w:eastAsia="宋体" w:hAnsi="Book Antiqua"/>
          <w:b/>
          <w:kern w:val="2"/>
          <w:bdr w:val="none" w:sz="0" w:space="0" w:color="auto"/>
          <w:lang w:eastAsia="zh-CN"/>
        </w:rPr>
        <w:t>Saxena</w:t>
      </w:r>
      <w:proofErr w:type="spellEnd"/>
      <w:r w:rsidRPr="00611B67">
        <w:rPr>
          <w:rFonts w:ascii="Book Antiqua" w:eastAsia="宋体" w:hAnsi="Book Antiqua"/>
          <w:b/>
          <w:kern w:val="2"/>
          <w:bdr w:val="none" w:sz="0" w:space="0" w:color="auto"/>
          <w:lang w:eastAsia="zh-CN"/>
        </w:rPr>
        <w:t xml:space="preserve"> R</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Theise</w:t>
      </w:r>
      <w:proofErr w:type="spellEnd"/>
      <w:r w:rsidRPr="00611B67">
        <w:rPr>
          <w:rFonts w:ascii="Book Antiqua" w:eastAsia="宋体" w:hAnsi="Book Antiqua"/>
          <w:kern w:val="2"/>
          <w:bdr w:val="none" w:sz="0" w:space="0" w:color="auto"/>
          <w:lang w:eastAsia="zh-CN"/>
        </w:rPr>
        <w:t xml:space="preserve"> N. Canals of </w:t>
      </w:r>
      <w:proofErr w:type="spellStart"/>
      <w:r w:rsidRPr="00611B67">
        <w:rPr>
          <w:rFonts w:ascii="Book Antiqua" w:eastAsia="宋体" w:hAnsi="Book Antiqua"/>
          <w:kern w:val="2"/>
          <w:bdr w:val="none" w:sz="0" w:space="0" w:color="auto"/>
          <w:lang w:eastAsia="zh-CN"/>
        </w:rPr>
        <w:t>Hering</w:t>
      </w:r>
      <w:proofErr w:type="spellEnd"/>
      <w:r w:rsidRPr="00611B67">
        <w:rPr>
          <w:rFonts w:ascii="Book Antiqua" w:eastAsia="宋体" w:hAnsi="Book Antiqua"/>
          <w:kern w:val="2"/>
          <w:bdr w:val="none" w:sz="0" w:space="0" w:color="auto"/>
          <w:lang w:eastAsia="zh-CN"/>
        </w:rPr>
        <w:t xml:space="preserve">: recent insights and current knowledge. </w:t>
      </w:r>
      <w:r w:rsidRPr="00611B67">
        <w:rPr>
          <w:rFonts w:ascii="Book Antiqua" w:eastAsia="宋体" w:hAnsi="Book Antiqua"/>
          <w:i/>
          <w:kern w:val="2"/>
          <w:bdr w:val="none" w:sz="0" w:space="0" w:color="auto"/>
          <w:lang w:eastAsia="zh-CN"/>
        </w:rPr>
        <w:t>Semin Liver Dis</w:t>
      </w:r>
      <w:r w:rsidRPr="00611B67">
        <w:rPr>
          <w:rFonts w:ascii="Book Antiqua" w:eastAsia="宋体" w:hAnsi="Book Antiqua"/>
          <w:kern w:val="2"/>
          <w:bdr w:val="none" w:sz="0" w:space="0" w:color="auto"/>
          <w:lang w:eastAsia="zh-CN"/>
        </w:rPr>
        <w:t xml:space="preserve"> 2004; </w:t>
      </w:r>
      <w:r w:rsidRPr="00611B67">
        <w:rPr>
          <w:rFonts w:ascii="Book Antiqua" w:eastAsia="宋体" w:hAnsi="Book Antiqua"/>
          <w:b/>
          <w:kern w:val="2"/>
          <w:bdr w:val="none" w:sz="0" w:space="0" w:color="auto"/>
          <w:lang w:eastAsia="zh-CN"/>
        </w:rPr>
        <w:t>24</w:t>
      </w:r>
      <w:r w:rsidRPr="00611B67">
        <w:rPr>
          <w:rFonts w:ascii="Book Antiqua" w:eastAsia="宋体" w:hAnsi="Book Antiqua"/>
          <w:kern w:val="2"/>
          <w:bdr w:val="none" w:sz="0" w:space="0" w:color="auto"/>
          <w:lang w:eastAsia="zh-CN"/>
        </w:rPr>
        <w:t>: 43-48 [PMID: 15085485 DOI: 10.1055/s-2004-823100]</w:t>
      </w:r>
    </w:p>
    <w:p w14:paraId="45BF8F80"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54 </w:t>
      </w:r>
      <w:proofErr w:type="spellStart"/>
      <w:r w:rsidRPr="00611B67">
        <w:rPr>
          <w:rFonts w:ascii="Book Antiqua" w:eastAsia="宋体" w:hAnsi="Book Antiqua"/>
          <w:b/>
          <w:kern w:val="2"/>
          <w:bdr w:val="none" w:sz="0" w:space="0" w:color="auto"/>
          <w:lang w:eastAsia="zh-CN"/>
        </w:rPr>
        <w:t>Kordzaia</w:t>
      </w:r>
      <w:proofErr w:type="spellEnd"/>
      <w:r w:rsidRPr="00611B67">
        <w:rPr>
          <w:rFonts w:ascii="Book Antiqua" w:eastAsia="宋体" w:hAnsi="Book Antiqua"/>
          <w:b/>
          <w:kern w:val="2"/>
          <w:bdr w:val="none" w:sz="0" w:space="0" w:color="auto"/>
          <w:lang w:eastAsia="zh-CN"/>
        </w:rPr>
        <w:t xml:space="preserve"> D</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Jangavadze</w:t>
      </w:r>
      <w:proofErr w:type="spellEnd"/>
      <w:r w:rsidRPr="00611B67">
        <w:rPr>
          <w:rFonts w:ascii="Book Antiqua" w:eastAsia="宋体" w:hAnsi="Book Antiqua"/>
          <w:kern w:val="2"/>
          <w:bdr w:val="none" w:sz="0" w:space="0" w:color="auto"/>
          <w:lang w:eastAsia="zh-CN"/>
        </w:rPr>
        <w:t xml:space="preserve"> M. Unknown bile ductuli accompanying hepatic vein tributaries (experimental study). </w:t>
      </w:r>
      <w:r w:rsidRPr="00611B67">
        <w:rPr>
          <w:rFonts w:ascii="Book Antiqua" w:eastAsia="宋体" w:hAnsi="Book Antiqua"/>
          <w:i/>
          <w:kern w:val="2"/>
          <w:bdr w:val="none" w:sz="0" w:space="0" w:color="auto"/>
          <w:lang w:eastAsia="zh-CN"/>
        </w:rPr>
        <w:t>Georgian Med News</w:t>
      </w:r>
      <w:r w:rsidRPr="00611B67">
        <w:rPr>
          <w:rFonts w:ascii="Book Antiqua" w:eastAsia="宋体" w:hAnsi="Book Antiqua"/>
          <w:kern w:val="2"/>
          <w:bdr w:val="none" w:sz="0" w:space="0" w:color="auto"/>
          <w:lang w:eastAsia="zh-CN"/>
        </w:rPr>
        <w:t xml:space="preserve"> 2014</w:t>
      </w:r>
      <w:proofErr w:type="gramStart"/>
      <w:r w:rsidRPr="00611B67">
        <w:rPr>
          <w:rFonts w:ascii="Book Antiqua" w:eastAsia="宋体" w:hAnsi="Book Antiqua"/>
          <w:kern w:val="2"/>
          <w:bdr w:val="none" w:sz="0" w:space="0" w:color="auto"/>
          <w:lang w:eastAsia="zh-CN"/>
        </w:rPr>
        <w:t>; :</w:t>
      </w:r>
      <w:proofErr w:type="gramEnd"/>
      <w:r w:rsidRPr="00611B67">
        <w:rPr>
          <w:rFonts w:ascii="Book Antiqua" w:eastAsia="宋体" w:hAnsi="Book Antiqua"/>
          <w:kern w:val="2"/>
          <w:bdr w:val="none" w:sz="0" w:space="0" w:color="auto"/>
          <w:lang w:eastAsia="zh-CN"/>
        </w:rPr>
        <w:t xml:space="preserve"> 121-129 [PMID: 25341252]</w:t>
      </w:r>
    </w:p>
    <w:p w14:paraId="60F0F259"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55 </w:t>
      </w:r>
      <w:proofErr w:type="spellStart"/>
      <w:r w:rsidRPr="00611B67">
        <w:rPr>
          <w:rFonts w:ascii="Book Antiqua" w:eastAsia="宋体" w:hAnsi="Book Antiqua"/>
          <w:b/>
          <w:kern w:val="2"/>
          <w:bdr w:val="none" w:sz="0" w:space="0" w:color="auto"/>
          <w:lang w:eastAsia="zh-CN"/>
        </w:rPr>
        <w:t>Saxena</w:t>
      </w:r>
      <w:proofErr w:type="spellEnd"/>
      <w:r w:rsidRPr="00611B67">
        <w:rPr>
          <w:rFonts w:ascii="Book Antiqua" w:eastAsia="宋体" w:hAnsi="Book Antiqua"/>
          <w:b/>
          <w:kern w:val="2"/>
          <w:bdr w:val="none" w:sz="0" w:space="0" w:color="auto"/>
          <w:lang w:eastAsia="zh-CN"/>
        </w:rPr>
        <w:t xml:space="preserve"> R</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Hytiroglou</w:t>
      </w:r>
      <w:proofErr w:type="spellEnd"/>
      <w:r w:rsidRPr="00611B67">
        <w:rPr>
          <w:rFonts w:ascii="Book Antiqua" w:eastAsia="宋体" w:hAnsi="Book Antiqua"/>
          <w:kern w:val="2"/>
          <w:bdr w:val="none" w:sz="0" w:space="0" w:color="auto"/>
          <w:lang w:eastAsia="zh-CN"/>
        </w:rPr>
        <w:t xml:space="preserve"> P, </w:t>
      </w:r>
      <w:proofErr w:type="spellStart"/>
      <w:r w:rsidRPr="00611B67">
        <w:rPr>
          <w:rFonts w:ascii="Book Antiqua" w:eastAsia="宋体" w:hAnsi="Book Antiqua"/>
          <w:kern w:val="2"/>
          <w:bdr w:val="none" w:sz="0" w:space="0" w:color="auto"/>
          <w:lang w:eastAsia="zh-CN"/>
        </w:rPr>
        <w:t>Thung</w:t>
      </w:r>
      <w:proofErr w:type="spellEnd"/>
      <w:r w:rsidRPr="00611B67">
        <w:rPr>
          <w:rFonts w:ascii="Book Antiqua" w:eastAsia="宋体" w:hAnsi="Book Antiqua"/>
          <w:kern w:val="2"/>
          <w:bdr w:val="none" w:sz="0" w:space="0" w:color="auto"/>
          <w:lang w:eastAsia="zh-CN"/>
        </w:rPr>
        <w:t xml:space="preserve"> SN, </w:t>
      </w:r>
      <w:proofErr w:type="spellStart"/>
      <w:r w:rsidRPr="00611B67">
        <w:rPr>
          <w:rFonts w:ascii="Book Antiqua" w:eastAsia="宋体" w:hAnsi="Book Antiqua"/>
          <w:kern w:val="2"/>
          <w:bdr w:val="none" w:sz="0" w:space="0" w:color="auto"/>
          <w:lang w:eastAsia="zh-CN"/>
        </w:rPr>
        <w:t>Theise</w:t>
      </w:r>
      <w:proofErr w:type="spellEnd"/>
      <w:r w:rsidRPr="00611B67">
        <w:rPr>
          <w:rFonts w:ascii="Book Antiqua" w:eastAsia="宋体" w:hAnsi="Book Antiqua"/>
          <w:kern w:val="2"/>
          <w:bdr w:val="none" w:sz="0" w:space="0" w:color="auto"/>
          <w:lang w:eastAsia="zh-CN"/>
        </w:rPr>
        <w:t xml:space="preserve"> ND. Destruction of canals of </w:t>
      </w:r>
      <w:proofErr w:type="spellStart"/>
      <w:r w:rsidRPr="00611B67">
        <w:rPr>
          <w:rFonts w:ascii="Book Antiqua" w:eastAsia="宋体" w:hAnsi="Book Antiqua"/>
          <w:kern w:val="2"/>
          <w:bdr w:val="none" w:sz="0" w:space="0" w:color="auto"/>
          <w:lang w:eastAsia="zh-CN"/>
        </w:rPr>
        <w:t>H</w:t>
      </w:r>
      <w:r w:rsidRPr="00611B67">
        <w:rPr>
          <w:rFonts w:ascii="Book Antiqua" w:eastAsia="宋体" w:hAnsi="Book Antiqua"/>
          <w:kern w:val="2"/>
          <w:bdr w:val="none" w:sz="0" w:space="0" w:color="auto"/>
          <w:lang w:eastAsia="zh-CN"/>
        </w:rPr>
        <w:t>e</w:t>
      </w:r>
      <w:r w:rsidRPr="00611B67">
        <w:rPr>
          <w:rFonts w:ascii="Book Antiqua" w:eastAsia="宋体" w:hAnsi="Book Antiqua"/>
          <w:kern w:val="2"/>
          <w:bdr w:val="none" w:sz="0" w:space="0" w:color="auto"/>
          <w:lang w:eastAsia="zh-CN"/>
        </w:rPr>
        <w:lastRenderedPageBreak/>
        <w:t>ring</w:t>
      </w:r>
      <w:proofErr w:type="spellEnd"/>
      <w:r w:rsidRPr="00611B67">
        <w:rPr>
          <w:rFonts w:ascii="Book Antiqua" w:eastAsia="宋体" w:hAnsi="Book Antiqua"/>
          <w:kern w:val="2"/>
          <w:bdr w:val="none" w:sz="0" w:space="0" w:color="auto"/>
          <w:lang w:eastAsia="zh-CN"/>
        </w:rPr>
        <w:t xml:space="preserve"> in primary biliary cirrhosis. </w:t>
      </w:r>
      <w:r w:rsidRPr="00611B67">
        <w:rPr>
          <w:rFonts w:ascii="Book Antiqua" w:eastAsia="宋体" w:hAnsi="Book Antiqua"/>
          <w:i/>
          <w:kern w:val="2"/>
          <w:bdr w:val="none" w:sz="0" w:space="0" w:color="auto"/>
          <w:lang w:eastAsia="zh-CN"/>
        </w:rPr>
        <w:t xml:space="preserve">Hum </w:t>
      </w:r>
      <w:proofErr w:type="spellStart"/>
      <w:r w:rsidRPr="00611B67">
        <w:rPr>
          <w:rFonts w:ascii="Book Antiqua" w:eastAsia="宋体" w:hAnsi="Book Antiqua"/>
          <w:i/>
          <w:kern w:val="2"/>
          <w:bdr w:val="none" w:sz="0" w:space="0" w:color="auto"/>
          <w:lang w:eastAsia="zh-CN"/>
        </w:rPr>
        <w:t>Pathol</w:t>
      </w:r>
      <w:proofErr w:type="spellEnd"/>
      <w:r w:rsidRPr="00611B67">
        <w:rPr>
          <w:rFonts w:ascii="Book Antiqua" w:eastAsia="宋体" w:hAnsi="Book Antiqua"/>
          <w:kern w:val="2"/>
          <w:bdr w:val="none" w:sz="0" w:space="0" w:color="auto"/>
          <w:lang w:eastAsia="zh-CN"/>
        </w:rPr>
        <w:t xml:space="preserve"> 2002; </w:t>
      </w:r>
      <w:r w:rsidRPr="00611B67">
        <w:rPr>
          <w:rFonts w:ascii="Book Antiqua" w:eastAsia="宋体" w:hAnsi="Book Antiqua"/>
          <w:b/>
          <w:kern w:val="2"/>
          <w:bdr w:val="none" w:sz="0" w:space="0" w:color="auto"/>
          <w:lang w:eastAsia="zh-CN"/>
        </w:rPr>
        <w:t>33</w:t>
      </w:r>
      <w:r w:rsidRPr="00611B67">
        <w:rPr>
          <w:rFonts w:ascii="Book Antiqua" w:eastAsia="宋体" w:hAnsi="Book Antiqua"/>
          <w:kern w:val="2"/>
          <w:bdr w:val="none" w:sz="0" w:space="0" w:color="auto"/>
          <w:lang w:eastAsia="zh-CN"/>
        </w:rPr>
        <w:t>: 983-988 [PMID: 12395370 DOI: 10.1053/hupa.2002.128060]</w:t>
      </w:r>
    </w:p>
    <w:p w14:paraId="168E19CD"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56 </w:t>
      </w:r>
      <w:proofErr w:type="spellStart"/>
      <w:r w:rsidRPr="00611B67">
        <w:rPr>
          <w:rFonts w:ascii="Book Antiqua" w:eastAsia="宋体" w:hAnsi="Book Antiqua"/>
          <w:b/>
          <w:kern w:val="2"/>
          <w:bdr w:val="none" w:sz="0" w:space="0" w:color="auto"/>
          <w:lang w:eastAsia="zh-CN"/>
        </w:rPr>
        <w:t>Eberlova</w:t>
      </w:r>
      <w:proofErr w:type="spellEnd"/>
      <w:r w:rsidRPr="00611B67">
        <w:rPr>
          <w:rFonts w:ascii="Book Antiqua" w:eastAsia="宋体" w:hAnsi="Book Antiqua"/>
          <w:b/>
          <w:kern w:val="2"/>
          <w:bdr w:val="none" w:sz="0" w:space="0" w:color="auto"/>
          <w:lang w:eastAsia="zh-CN"/>
        </w:rPr>
        <w:t xml:space="preserve"> L</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Liska</w:t>
      </w:r>
      <w:proofErr w:type="spellEnd"/>
      <w:r w:rsidRPr="00611B67">
        <w:rPr>
          <w:rFonts w:ascii="Book Antiqua" w:eastAsia="宋体" w:hAnsi="Book Antiqua"/>
          <w:kern w:val="2"/>
          <w:bdr w:val="none" w:sz="0" w:space="0" w:color="auto"/>
          <w:lang w:eastAsia="zh-CN"/>
        </w:rPr>
        <w:t xml:space="preserve"> V, </w:t>
      </w:r>
      <w:proofErr w:type="spellStart"/>
      <w:r w:rsidRPr="00611B67">
        <w:rPr>
          <w:rFonts w:ascii="Book Antiqua" w:eastAsia="宋体" w:hAnsi="Book Antiqua"/>
          <w:kern w:val="2"/>
          <w:bdr w:val="none" w:sz="0" w:space="0" w:color="auto"/>
          <w:lang w:eastAsia="zh-CN"/>
        </w:rPr>
        <w:t>Mirka</w:t>
      </w:r>
      <w:proofErr w:type="spellEnd"/>
      <w:r w:rsidRPr="00611B67">
        <w:rPr>
          <w:rFonts w:ascii="Book Antiqua" w:eastAsia="宋体" w:hAnsi="Book Antiqua"/>
          <w:kern w:val="2"/>
          <w:bdr w:val="none" w:sz="0" w:space="0" w:color="auto"/>
          <w:lang w:eastAsia="zh-CN"/>
        </w:rPr>
        <w:t xml:space="preserve"> H, </w:t>
      </w:r>
      <w:proofErr w:type="spellStart"/>
      <w:r w:rsidRPr="00611B67">
        <w:rPr>
          <w:rFonts w:ascii="Book Antiqua" w:eastAsia="宋体" w:hAnsi="Book Antiqua"/>
          <w:kern w:val="2"/>
          <w:bdr w:val="none" w:sz="0" w:space="0" w:color="auto"/>
          <w:lang w:eastAsia="zh-CN"/>
        </w:rPr>
        <w:t>Gregor</w:t>
      </w:r>
      <w:proofErr w:type="spellEnd"/>
      <w:r w:rsidRPr="00611B67">
        <w:rPr>
          <w:rFonts w:ascii="Book Antiqua" w:eastAsia="宋体" w:hAnsi="Book Antiqua"/>
          <w:kern w:val="2"/>
          <w:bdr w:val="none" w:sz="0" w:space="0" w:color="auto"/>
          <w:lang w:eastAsia="zh-CN"/>
        </w:rPr>
        <w:t xml:space="preserve"> T, </w:t>
      </w:r>
      <w:proofErr w:type="spellStart"/>
      <w:r w:rsidRPr="00611B67">
        <w:rPr>
          <w:rFonts w:ascii="Book Antiqua" w:eastAsia="宋体" w:hAnsi="Book Antiqua"/>
          <w:kern w:val="2"/>
          <w:bdr w:val="none" w:sz="0" w:space="0" w:color="auto"/>
          <w:lang w:eastAsia="zh-CN"/>
        </w:rPr>
        <w:t>Tonar</w:t>
      </w:r>
      <w:proofErr w:type="spellEnd"/>
      <w:r w:rsidRPr="00611B67">
        <w:rPr>
          <w:rFonts w:ascii="Book Antiqua" w:eastAsia="宋体" w:hAnsi="Book Antiqua"/>
          <w:kern w:val="2"/>
          <w:bdr w:val="none" w:sz="0" w:space="0" w:color="auto"/>
          <w:lang w:eastAsia="zh-CN"/>
        </w:rPr>
        <w:t xml:space="preserve"> Z, </w:t>
      </w:r>
      <w:proofErr w:type="spellStart"/>
      <w:r w:rsidRPr="00611B67">
        <w:rPr>
          <w:rFonts w:ascii="Book Antiqua" w:eastAsia="宋体" w:hAnsi="Book Antiqua"/>
          <w:kern w:val="2"/>
          <w:bdr w:val="none" w:sz="0" w:space="0" w:color="auto"/>
          <w:lang w:eastAsia="zh-CN"/>
        </w:rPr>
        <w:t>Palek</w:t>
      </w:r>
      <w:proofErr w:type="spellEnd"/>
      <w:r w:rsidRPr="00611B67">
        <w:rPr>
          <w:rFonts w:ascii="Book Antiqua" w:eastAsia="宋体" w:hAnsi="Book Antiqua"/>
          <w:kern w:val="2"/>
          <w:bdr w:val="none" w:sz="0" w:space="0" w:color="auto"/>
          <w:lang w:eastAsia="zh-CN"/>
        </w:rPr>
        <w:t xml:space="preserve"> R, </w:t>
      </w:r>
      <w:proofErr w:type="spellStart"/>
      <w:r w:rsidRPr="00611B67">
        <w:rPr>
          <w:rFonts w:ascii="Book Antiqua" w:eastAsia="宋体" w:hAnsi="Book Antiqua"/>
          <w:kern w:val="2"/>
          <w:bdr w:val="none" w:sz="0" w:space="0" w:color="auto"/>
          <w:lang w:eastAsia="zh-CN"/>
        </w:rPr>
        <w:t>Skala</w:t>
      </w:r>
      <w:proofErr w:type="spellEnd"/>
      <w:r w:rsidRPr="00611B67">
        <w:rPr>
          <w:rFonts w:ascii="Book Antiqua" w:eastAsia="宋体" w:hAnsi="Book Antiqua"/>
          <w:kern w:val="2"/>
          <w:bdr w:val="none" w:sz="0" w:space="0" w:color="auto"/>
          <w:lang w:eastAsia="zh-CN"/>
        </w:rPr>
        <w:t xml:space="preserve"> M, </w:t>
      </w:r>
      <w:proofErr w:type="spellStart"/>
      <w:r w:rsidRPr="00611B67">
        <w:rPr>
          <w:rFonts w:ascii="Book Antiqua" w:eastAsia="宋体" w:hAnsi="Book Antiqua"/>
          <w:kern w:val="2"/>
          <w:bdr w:val="none" w:sz="0" w:space="0" w:color="auto"/>
          <w:lang w:eastAsia="zh-CN"/>
        </w:rPr>
        <w:t>Bruha</w:t>
      </w:r>
      <w:proofErr w:type="spellEnd"/>
      <w:r w:rsidRPr="00611B67">
        <w:rPr>
          <w:rFonts w:ascii="Book Antiqua" w:eastAsia="宋体" w:hAnsi="Book Antiqua"/>
          <w:kern w:val="2"/>
          <w:bdr w:val="none" w:sz="0" w:space="0" w:color="auto"/>
          <w:lang w:eastAsia="zh-CN"/>
        </w:rPr>
        <w:t xml:space="preserve"> J, </w:t>
      </w:r>
      <w:proofErr w:type="spellStart"/>
      <w:r w:rsidRPr="00611B67">
        <w:rPr>
          <w:rFonts w:ascii="Book Antiqua" w:eastAsia="宋体" w:hAnsi="Book Antiqua"/>
          <w:kern w:val="2"/>
          <w:bdr w:val="none" w:sz="0" w:space="0" w:color="auto"/>
          <w:lang w:eastAsia="zh-CN"/>
        </w:rPr>
        <w:t>Vycital</w:t>
      </w:r>
      <w:proofErr w:type="spellEnd"/>
      <w:r w:rsidRPr="00611B67">
        <w:rPr>
          <w:rFonts w:ascii="Book Antiqua" w:eastAsia="宋体" w:hAnsi="Book Antiqua"/>
          <w:kern w:val="2"/>
          <w:bdr w:val="none" w:sz="0" w:space="0" w:color="auto"/>
          <w:lang w:eastAsia="zh-CN"/>
        </w:rPr>
        <w:t xml:space="preserve"> O, </w:t>
      </w:r>
      <w:proofErr w:type="spellStart"/>
      <w:r w:rsidRPr="00611B67">
        <w:rPr>
          <w:rFonts w:ascii="Book Antiqua" w:eastAsia="宋体" w:hAnsi="Book Antiqua"/>
          <w:kern w:val="2"/>
          <w:bdr w:val="none" w:sz="0" w:space="0" w:color="auto"/>
          <w:lang w:eastAsia="zh-CN"/>
        </w:rPr>
        <w:t>Kalusova</w:t>
      </w:r>
      <w:proofErr w:type="spellEnd"/>
      <w:r w:rsidRPr="00611B67">
        <w:rPr>
          <w:rFonts w:ascii="Book Antiqua" w:eastAsia="宋体" w:hAnsi="Book Antiqua"/>
          <w:kern w:val="2"/>
          <w:bdr w:val="none" w:sz="0" w:space="0" w:color="auto"/>
          <w:lang w:eastAsia="zh-CN"/>
        </w:rPr>
        <w:t xml:space="preserve"> K, </w:t>
      </w:r>
      <w:proofErr w:type="spellStart"/>
      <w:r w:rsidRPr="00611B67">
        <w:rPr>
          <w:rFonts w:ascii="Book Antiqua" w:eastAsia="宋体" w:hAnsi="Book Antiqua"/>
          <w:kern w:val="2"/>
          <w:bdr w:val="none" w:sz="0" w:space="0" w:color="auto"/>
          <w:lang w:eastAsia="zh-CN"/>
        </w:rPr>
        <w:t>Haviar</w:t>
      </w:r>
      <w:proofErr w:type="spellEnd"/>
      <w:r w:rsidRPr="00611B67">
        <w:rPr>
          <w:rFonts w:ascii="Book Antiqua" w:eastAsia="宋体" w:hAnsi="Book Antiqua"/>
          <w:kern w:val="2"/>
          <w:bdr w:val="none" w:sz="0" w:space="0" w:color="auto"/>
          <w:lang w:eastAsia="zh-CN"/>
        </w:rPr>
        <w:t xml:space="preserve"> S, </w:t>
      </w:r>
      <w:proofErr w:type="spellStart"/>
      <w:r w:rsidRPr="00611B67">
        <w:rPr>
          <w:rFonts w:ascii="Book Antiqua" w:eastAsia="宋体" w:hAnsi="Book Antiqua"/>
          <w:kern w:val="2"/>
          <w:bdr w:val="none" w:sz="0" w:space="0" w:color="auto"/>
          <w:lang w:eastAsia="zh-CN"/>
        </w:rPr>
        <w:t>Kralickova</w:t>
      </w:r>
      <w:proofErr w:type="spellEnd"/>
      <w:r w:rsidRPr="00611B67">
        <w:rPr>
          <w:rFonts w:ascii="Book Antiqua" w:eastAsia="宋体" w:hAnsi="Book Antiqua"/>
          <w:kern w:val="2"/>
          <w:bdr w:val="none" w:sz="0" w:space="0" w:color="auto"/>
          <w:lang w:eastAsia="zh-CN"/>
        </w:rPr>
        <w:t xml:space="preserve"> M, </w:t>
      </w:r>
      <w:proofErr w:type="spellStart"/>
      <w:r w:rsidRPr="00611B67">
        <w:rPr>
          <w:rFonts w:ascii="Book Antiqua" w:eastAsia="宋体" w:hAnsi="Book Antiqua"/>
          <w:kern w:val="2"/>
          <w:bdr w:val="none" w:sz="0" w:space="0" w:color="auto"/>
          <w:lang w:eastAsia="zh-CN"/>
        </w:rPr>
        <w:t>Lametschwandtner</w:t>
      </w:r>
      <w:proofErr w:type="spellEnd"/>
      <w:r w:rsidRPr="00611B67">
        <w:rPr>
          <w:rFonts w:ascii="Book Antiqua" w:eastAsia="宋体" w:hAnsi="Book Antiqua"/>
          <w:kern w:val="2"/>
          <w:bdr w:val="none" w:sz="0" w:space="0" w:color="auto"/>
          <w:lang w:eastAsia="zh-CN"/>
        </w:rPr>
        <w:t xml:space="preserve"> A. Porcine liver vascular bed in </w:t>
      </w:r>
      <w:proofErr w:type="spellStart"/>
      <w:r w:rsidRPr="00611B67">
        <w:rPr>
          <w:rFonts w:ascii="Book Antiqua" w:eastAsia="宋体" w:hAnsi="Book Antiqua"/>
          <w:kern w:val="2"/>
          <w:bdr w:val="none" w:sz="0" w:space="0" w:color="auto"/>
          <w:lang w:eastAsia="zh-CN"/>
        </w:rPr>
        <w:t>Biodur</w:t>
      </w:r>
      <w:proofErr w:type="spellEnd"/>
      <w:r w:rsidRPr="00611B67">
        <w:rPr>
          <w:rFonts w:ascii="Book Antiqua" w:eastAsia="宋体" w:hAnsi="Book Antiqua"/>
          <w:kern w:val="2"/>
          <w:bdr w:val="none" w:sz="0" w:space="0" w:color="auto"/>
          <w:lang w:eastAsia="zh-CN"/>
        </w:rPr>
        <w:t xml:space="preserve"> E20 corrosion casts. </w:t>
      </w:r>
      <w:r w:rsidRPr="00611B67">
        <w:rPr>
          <w:rFonts w:ascii="Book Antiqua" w:eastAsia="宋体" w:hAnsi="Book Antiqua"/>
          <w:i/>
          <w:kern w:val="2"/>
          <w:bdr w:val="none" w:sz="0" w:space="0" w:color="auto"/>
          <w:lang w:eastAsia="zh-CN"/>
        </w:rPr>
        <w:t xml:space="preserve">Folia </w:t>
      </w:r>
      <w:proofErr w:type="spellStart"/>
      <w:r w:rsidRPr="00611B67">
        <w:rPr>
          <w:rFonts w:ascii="Book Antiqua" w:eastAsia="宋体" w:hAnsi="Book Antiqua"/>
          <w:i/>
          <w:kern w:val="2"/>
          <w:bdr w:val="none" w:sz="0" w:space="0" w:color="auto"/>
          <w:lang w:eastAsia="zh-CN"/>
        </w:rPr>
        <w:t>Morphol</w:t>
      </w:r>
      <w:proofErr w:type="spellEnd"/>
      <w:r w:rsidRPr="00611B67">
        <w:rPr>
          <w:rFonts w:ascii="Book Antiqua" w:eastAsia="宋体" w:hAnsi="Book Antiqua"/>
          <w:i/>
          <w:kern w:val="2"/>
          <w:bdr w:val="none" w:sz="0" w:space="0" w:color="auto"/>
          <w:lang w:eastAsia="zh-CN"/>
        </w:rPr>
        <w:t xml:space="preserve"> (</w:t>
      </w:r>
      <w:proofErr w:type="spellStart"/>
      <w:r w:rsidRPr="00611B67">
        <w:rPr>
          <w:rFonts w:ascii="Book Antiqua" w:eastAsia="宋体" w:hAnsi="Book Antiqua"/>
          <w:i/>
          <w:kern w:val="2"/>
          <w:bdr w:val="none" w:sz="0" w:space="0" w:color="auto"/>
          <w:lang w:eastAsia="zh-CN"/>
        </w:rPr>
        <w:t>Warsz</w:t>
      </w:r>
      <w:proofErr w:type="spellEnd"/>
      <w:r w:rsidRPr="00611B67">
        <w:rPr>
          <w:rFonts w:ascii="Book Antiqua" w:eastAsia="宋体" w:hAnsi="Book Antiqua"/>
          <w:i/>
          <w:kern w:val="2"/>
          <w:bdr w:val="none" w:sz="0" w:space="0" w:color="auto"/>
          <w:lang w:eastAsia="zh-CN"/>
        </w:rPr>
        <w:t>)</w:t>
      </w:r>
      <w:r w:rsidRPr="00611B67">
        <w:rPr>
          <w:rFonts w:ascii="Book Antiqua" w:eastAsia="宋体" w:hAnsi="Book Antiqua"/>
          <w:kern w:val="2"/>
          <w:bdr w:val="none" w:sz="0" w:space="0" w:color="auto"/>
          <w:lang w:eastAsia="zh-CN"/>
        </w:rPr>
        <w:t xml:space="preserve"> 2016; </w:t>
      </w:r>
      <w:r w:rsidRPr="00611B67">
        <w:rPr>
          <w:rFonts w:ascii="Book Antiqua" w:eastAsia="宋体" w:hAnsi="Book Antiqua"/>
          <w:b/>
          <w:kern w:val="2"/>
          <w:bdr w:val="none" w:sz="0" w:space="0" w:color="auto"/>
          <w:lang w:eastAsia="zh-CN"/>
        </w:rPr>
        <w:t>75</w:t>
      </w:r>
      <w:r w:rsidRPr="00611B67">
        <w:rPr>
          <w:rFonts w:ascii="Book Antiqua" w:eastAsia="宋体" w:hAnsi="Book Antiqua"/>
          <w:kern w:val="2"/>
          <w:bdr w:val="none" w:sz="0" w:space="0" w:color="auto"/>
          <w:lang w:eastAsia="zh-CN"/>
        </w:rPr>
        <w:t>: 154-161 [PMID: 26542961 DOI: 10.5603/FM.a2015.0094]</w:t>
      </w:r>
    </w:p>
    <w:p w14:paraId="64807C4D"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57 </w:t>
      </w:r>
      <w:proofErr w:type="spellStart"/>
      <w:r w:rsidRPr="00611B67">
        <w:rPr>
          <w:rFonts w:ascii="Book Antiqua" w:eastAsia="宋体" w:hAnsi="Book Antiqua"/>
          <w:b/>
          <w:kern w:val="2"/>
          <w:bdr w:val="none" w:sz="0" w:space="0" w:color="auto"/>
          <w:lang w:eastAsia="zh-CN"/>
        </w:rPr>
        <w:t>Eberlova</w:t>
      </w:r>
      <w:proofErr w:type="spellEnd"/>
      <w:r w:rsidRPr="00611B67">
        <w:rPr>
          <w:rFonts w:ascii="Book Antiqua" w:eastAsia="宋体" w:hAnsi="Book Antiqua"/>
          <w:b/>
          <w:kern w:val="2"/>
          <w:bdr w:val="none" w:sz="0" w:space="0" w:color="auto"/>
          <w:lang w:eastAsia="zh-CN"/>
        </w:rPr>
        <w:t xml:space="preserve"> L</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Liska</w:t>
      </w:r>
      <w:proofErr w:type="spellEnd"/>
      <w:r w:rsidRPr="00611B67">
        <w:rPr>
          <w:rFonts w:ascii="Book Antiqua" w:eastAsia="宋体" w:hAnsi="Book Antiqua"/>
          <w:kern w:val="2"/>
          <w:bdr w:val="none" w:sz="0" w:space="0" w:color="auto"/>
          <w:lang w:eastAsia="zh-CN"/>
        </w:rPr>
        <w:t xml:space="preserve"> V, </w:t>
      </w:r>
      <w:proofErr w:type="spellStart"/>
      <w:r w:rsidRPr="00611B67">
        <w:rPr>
          <w:rFonts w:ascii="Book Antiqua" w:eastAsia="宋体" w:hAnsi="Book Antiqua"/>
          <w:kern w:val="2"/>
          <w:bdr w:val="none" w:sz="0" w:space="0" w:color="auto"/>
          <w:lang w:eastAsia="zh-CN"/>
        </w:rPr>
        <w:t>Mirka</w:t>
      </w:r>
      <w:proofErr w:type="spellEnd"/>
      <w:r w:rsidRPr="00611B67">
        <w:rPr>
          <w:rFonts w:ascii="Book Antiqua" w:eastAsia="宋体" w:hAnsi="Book Antiqua"/>
          <w:kern w:val="2"/>
          <w:bdr w:val="none" w:sz="0" w:space="0" w:color="auto"/>
          <w:lang w:eastAsia="zh-CN"/>
        </w:rPr>
        <w:t xml:space="preserve"> H, </w:t>
      </w:r>
      <w:proofErr w:type="spellStart"/>
      <w:r w:rsidRPr="00611B67">
        <w:rPr>
          <w:rFonts w:ascii="Book Antiqua" w:eastAsia="宋体" w:hAnsi="Book Antiqua"/>
          <w:kern w:val="2"/>
          <w:bdr w:val="none" w:sz="0" w:space="0" w:color="auto"/>
          <w:lang w:eastAsia="zh-CN"/>
        </w:rPr>
        <w:t>Tonar</w:t>
      </w:r>
      <w:proofErr w:type="spellEnd"/>
      <w:r w:rsidRPr="00611B67">
        <w:rPr>
          <w:rFonts w:ascii="Book Antiqua" w:eastAsia="宋体" w:hAnsi="Book Antiqua"/>
          <w:kern w:val="2"/>
          <w:bdr w:val="none" w:sz="0" w:space="0" w:color="auto"/>
          <w:lang w:eastAsia="zh-CN"/>
        </w:rPr>
        <w:t xml:space="preserve"> Z, </w:t>
      </w:r>
      <w:proofErr w:type="spellStart"/>
      <w:r w:rsidRPr="00611B67">
        <w:rPr>
          <w:rFonts w:ascii="Book Antiqua" w:eastAsia="宋体" w:hAnsi="Book Antiqua"/>
          <w:kern w:val="2"/>
          <w:bdr w:val="none" w:sz="0" w:space="0" w:color="auto"/>
          <w:lang w:eastAsia="zh-CN"/>
        </w:rPr>
        <w:t>Haviar</w:t>
      </w:r>
      <w:proofErr w:type="spellEnd"/>
      <w:r w:rsidRPr="00611B67">
        <w:rPr>
          <w:rFonts w:ascii="Book Antiqua" w:eastAsia="宋体" w:hAnsi="Book Antiqua"/>
          <w:kern w:val="2"/>
          <w:bdr w:val="none" w:sz="0" w:space="0" w:color="auto"/>
          <w:lang w:eastAsia="zh-CN"/>
        </w:rPr>
        <w:t xml:space="preserve"> S, Svoboda M, Benes J, </w:t>
      </w:r>
      <w:proofErr w:type="spellStart"/>
      <w:r w:rsidRPr="00611B67">
        <w:rPr>
          <w:rFonts w:ascii="Book Antiqua" w:eastAsia="宋体" w:hAnsi="Book Antiqua"/>
          <w:kern w:val="2"/>
          <w:bdr w:val="none" w:sz="0" w:space="0" w:color="auto"/>
          <w:lang w:eastAsia="zh-CN"/>
        </w:rPr>
        <w:t>Palek</w:t>
      </w:r>
      <w:proofErr w:type="spellEnd"/>
      <w:r w:rsidRPr="00611B67">
        <w:rPr>
          <w:rFonts w:ascii="Book Antiqua" w:eastAsia="宋体" w:hAnsi="Book Antiqua"/>
          <w:kern w:val="2"/>
          <w:bdr w:val="none" w:sz="0" w:space="0" w:color="auto"/>
          <w:lang w:eastAsia="zh-CN"/>
        </w:rPr>
        <w:t xml:space="preserve"> R, </w:t>
      </w:r>
      <w:proofErr w:type="spellStart"/>
      <w:r w:rsidRPr="00611B67">
        <w:rPr>
          <w:rFonts w:ascii="Book Antiqua" w:eastAsia="宋体" w:hAnsi="Book Antiqua"/>
          <w:kern w:val="2"/>
          <w:bdr w:val="none" w:sz="0" w:space="0" w:color="auto"/>
          <w:lang w:eastAsia="zh-CN"/>
        </w:rPr>
        <w:t>Emingr</w:t>
      </w:r>
      <w:proofErr w:type="spellEnd"/>
      <w:r w:rsidRPr="00611B67">
        <w:rPr>
          <w:rFonts w:ascii="Book Antiqua" w:eastAsia="宋体" w:hAnsi="Book Antiqua"/>
          <w:kern w:val="2"/>
          <w:bdr w:val="none" w:sz="0" w:space="0" w:color="auto"/>
          <w:lang w:eastAsia="zh-CN"/>
        </w:rPr>
        <w:t xml:space="preserve"> M, </w:t>
      </w:r>
      <w:proofErr w:type="spellStart"/>
      <w:r w:rsidRPr="00611B67">
        <w:rPr>
          <w:rFonts w:ascii="Book Antiqua" w:eastAsia="宋体" w:hAnsi="Book Antiqua"/>
          <w:kern w:val="2"/>
          <w:bdr w:val="none" w:sz="0" w:space="0" w:color="auto"/>
          <w:lang w:eastAsia="zh-CN"/>
        </w:rPr>
        <w:t>Rosendorf</w:t>
      </w:r>
      <w:proofErr w:type="spellEnd"/>
      <w:r w:rsidRPr="00611B67">
        <w:rPr>
          <w:rFonts w:ascii="Book Antiqua" w:eastAsia="宋体" w:hAnsi="Book Antiqua"/>
          <w:kern w:val="2"/>
          <w:bdr w:val="none" w:sz="0" w:space="0" w:color="auto"/>
          <w:lang w:eastAsia="zh-CN"/>
        </w:rPr>
        <w:t xml:space="preserve"> J, </w:t>
      </w:r>
      <w:proofErr w:type="spellStart"/>
      <w:r w:rsidRPr="00611B67">
        <w:rPr>
          <w:rFonts w:ascii="Book Antiqua" w:eastAsia="宋体" w:hAnsi="Book Antiqua"/>
          <w:kern w:val="2"/>
          <w:bdr w:val="none" w:sz="0" w:space="0" w:color="auto"/>
          <w:lang w:eastAsia="zh-CN"/>
        </w:rPr>
        <w:t>Mik</w:t>
      </w:r>
      <w:proofErr w:type="spellEnd"/>
      <w:r w:rsidRPr="00611B67">
        <w:rPr>
          <w:rFonts w:ascii="Book Antiqua" w:eastAsia="宋体" w:hAnsi="Book Antiqua"/>
          <w:kern w:val="2"/>
          <w:bdr w:val="none" w:sz="0" w:space="0" w:color="auto"/>
          <w:lang w:eastAsia="zh-CN"/>
        </w:rPr>
        <w:t xml:space="preserve"> P, </w:t>
      </w:r>
      <w:proofErr w:type="spellStart"/>
      <w:r w:rsidRPr="00611B67">
        <w:rPr>
          <w:rFonts w:ascii="Book Antiqua" w:eastAsia="宋体" w:hAnsi="Book Antiqua"/>
          <w:kern w:val="2"/>
          <w:bdr w:val="none" w:sz="0" w:space="0" w:color="auto"/>
          <w:lang w:eastAsia="zh-CN"/>
        </w:rPr>
        <w:t>Leupen</w:t>
      </w:r>
      <w:proofErr w:type="spellEnd"/>
      <w:r w:rsidRPr="00611B67">
        <w:rPr>
          <w:rFonts w:ascii="Book Antiqua" w:eastAsia="宋体" w:hAnsi="Book Antiqua"/>
          <w:kern w:val="2"/>
          <w:bdr w:val="none" w:sz="0" w:space="0" w:color="auto"/>
          <w:lang w:eastAsia="zh-CN"/>
        </w:rPr>
        <w:t xml:space="preserve"> S, </w:t>
      </w:r>
      <w:proofErr w:type="spellStart"/>
      <w:r w:rsidRPr="00611B67">
        <w:rPr>
          <w:rFonts w:ascii="Book Antiqua" w:eastAsia="宋体" w:hAnsi="Book Antiqua"/>
          <w:kern w:val="2"/>
          <w:bdr w:val="none" w:sz="0" w:space="0" w:color="auto"/>
          <w:lang w:eastAsia="zh-CN"/>
        </w:rPr>
        <w:t>Lametschwandtner</w:t>
      </w:r>
      <w:proofErr w:type="spellEnd"/>
      <w:r w:rsidRPr="00611B67">
        <w:rPr>
          <w:rFonts w:ascii="Book Antiqua" w:eastAsia="宋体" w:hAnsi="Book Antiqua"/>
          <w:kern w:val="2"/>
          <w:bdr w:val="none" w:sz="0" w:space="0" w:color="auto"/>
          <w:lang w:eastAsia="zh-CN"/>
        </w:rPr>
        <w:t xml:space="preserve"> A. The use of po</w:t>
      </w:r>
      <w:r w:rsidRPr="00611B67">
        <w:rPr>
          <w:rFonts w:ascii="Book Antiqua" w:eastAsia="宋体" w:hAnsi="Book Antiqua"/>
          <w:kern w:val="2"/>
          <w:bdr w:val="none" w:sz="0" w:space="0" w:color="auto"/>
          <w:lang w:eastAsia="zh-CN"/>
        </w:rPr>
        <w:t>r</w:t>
      </w:r>
      <w:r w:rsidRPr="00611B67">
        <w:rPr>
          <w:rFonts w:ascii="Book Antiqua" w:eastAsia="宋体" w:hAnsi="Book Antiqua"/>
          <w:kern w:val="2"/>
          <w:bdr w:val="none" w:sz="0" w:space="0" w:color="auto"/>
          <w:lang w:eastAsia="zh-CN"/>
        </w:rPr>
        <w:t xml:space="preserve">cine corrosion casts for teaching human anatomy. </w:t>
      </w:r>
      <w:r w:rsidRPr="00611B67">
        <w:rPr>
          <w:rFonts w:ascii="Book Antiqua" w:eastAsia="宋体" w:hAnsi="Book Antiqua"/>
          <w:i/>
          <w:kern w:val="2"/>
          <w:bdr w:val="none" w:sz="0" w:space="0" w:color="auto"/>
          <w:lang w:eastAsia="zh-CN"/>
        </w:rPr>
        <w:t xml:space="preserve">Ann </w:t>
      </w:r>
      <w:proofErr w:type="spellStart"/>
      <w:r w:rsidRPr="00611B67">
        <w:rPr>
          <w:rFonts w:ascii="Book Antiqua" w:eastAsia="宋体" w:hAnsi="Book Antiqua"/>
          <w:i/>
          <w:kern w:val="2"/>
          <w:bdr w:val="none" w:sz="0" w:space="0" w:color="auto"/>
          <w:lang w:eastAsia="zh-CN"/>
        </w:rPr>
        <w:t>Anat</w:t>
      </w:r>
      <w:proofErr w:type="spellEnd"/>
      <w:r w:rsidRPr="00611B67">
        <w:rPr>
          <w:rFonts w:ascii="Book Antiqua" w:eastAsia="宋体" w:hAnsi="Book Antiqua"/>
          <w:kern w:val="2"/>
          <w:bdr w:val="none" w:sz="0" w:space="0" w:color="auto"/>
          <w:lang w:eastAsia="zh-CN"/>
        </w:rPr>
        <w:t xml:space="preserve"> 2017; </w:t>
      </w:r>
      <w:r w:rsidRPr="00611B67">
        <w:rPr>
          <w:rFonts w:ascii="Book Antiqua" w:eastAsia="宋体" w:hAnsi="Book Antiqua"/>
          <w:b/>
          <w:kern w:val="2"/>
          <w:bdr w:val="none" w:sz="0" w:space="0" w:color="auto"/>
          <w:lang w:eastAsia="zh-CN"/>
        </w:rPr>
        <w:t>213</w:t>
      </w:r>
      <w:r w:rsidRPr="00611B67">
        <w:rPr>
          <w:rFonts w:ascii="Book Antiqua" w:eastAsia="宋体" w:hAnsi="Book Antiqua"/>
          <w:kern w:val="2"/>
          <w:bdr w:val="none" w:sz="0" w:space="0" w:color="auto"/>
          <w:lang w:eastAsia="zh-CN"/>
        </w:rPr>
        <w:t>: 69-77 [PMID: 28578926 DOI: 10.1016/j.aanat.2017.05.005]</w:t>
      </w:r>
    </w:p>
    <w:p w14:paraId="302D83F8"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58 </w:t>
      </w:r>
      <w:r w:rsidRPr="00611B67">
        <w:rPr>
          <w:rFonts w:ascii="Book Antiqua" w:eastAsia="宋体" w:hAnsi="Book Antiqua"/>
          <w:b/>
          <w:kern w:val="2"/>
          <w:bdr w:val="none" w:sz="0" w:space="0" w:color="auto"/>
          <w:lang w:eastAsia="zh-CN"/>
        </w:rPr>
        <w:t>Yamamoto K</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Itoshima</w:t>
      </w:r>
      <w:proofErr w:type="spellEnd"/>
      <w:r w:rsidRPr="00611B67">
        <w:rPr>
          <w:rFonts w:ascii="Book Antiqua" w:eastAsia="宋体" w:hAnsi="Book Antiqua"/>
          <w:kern w:val="2"/>
          <w:bdr w:val="none" w:sz="0" w:space="0" w:color="auto"/>
          <w:lang w:eastAsia="zh-CN"/>
        </w:rPr>
        <w:t xml:space="preserve"> T, Tsuji T, Murakami T. Three-Dimensional Archite</w:t>
      </w:r>
      <w:r w:rsidRPr="00611B67">
        <w:rPr>
          <w:rFonts w:ascii="Book Antiqua" w:eastAsia="宋体" w:hAnsi="Book Antiqua"/>
          <w:kern w:val="2"/>
          <w:bdr w:val="none" w:sz="0" w:space="0" w:color="auto"/>
          <w:lang w:eastAsia="zh-CN"/>
        </w:rPr>
        <w:t>c</w:t>
      </w:r>
      <w:r w:rsidRPr="00611B67">
        <w:rPr>
          <w:rFonts w:ascii="Book Antiqua" w:eastAsia="宋体" w:hAnsi="Book Antiqua"/>
          <w:kern w:val="2"/>
          <w:bdr w:val="none" w:sz="0" w:space="0" w:color="auto"/>
          <w:lang w:eastAsia="zh-CN"/>
        </w:rPr>
        <w:t>ture of Blood, Lymphatic, and Biliary Pathways in the Liver by SEM of Corrosion Casts. In: Motta P.M., Murakami T. FH. Scanning Electron Microscopy of Vasc</w:t>
      </w:r>
      <w:r w:rsidRPr="00611B67">
        <w:rPr>
          <w:rFonts w:ascii="Book Antiqua" w:eastAsia="宋体" w:hAnsi="Book Antiqua"/>
          <w:kern w:val="2"/>
          <w:bdr w:val="none" w:sz="0" w:space="0" w:color="auto"/>
          <w:lang w:eastAsia="zh-CN"/>
        </w:rPr>
        <w:t>u</w:t>
      </w:r>
      <w:r w:rsidRPr="00611B67">
        <w:rPr>
          <w:rFonts w:ascii="Book Antiqua" w:eastAsia="宋体" w:hAnsi="Book Antiqua"/>
          <w:kern w:val="2"/>
          <w:bdr w:val="none" w:sz="0" w:space="0" w:color="auto"/>
          <w:lang w:eastAsia="zh-CN"/>
        </w:rPr>
        <w:t>lar Casts: Methods and Applications. Boston, MA: Springer US; 1992</w:t>
      </w:r>
      <w:r w:rsidRPr="00611B67">
        <w:rPr>
          <w:rFonts w:ascii="Book Antiqua" w:eastAsia="宋体" w:hAnsi="Book Antiqua" w:hint="eastAsia"/>
          <w:kern w:val="2"/>
          <w:bdr w:val="none" w:sz="0" w:space="0" w:color="auto"/>
          <w:lang w:eastAsia="zh-CN"/>
        </w:rPr>
        <w:t>:</w:t>
      </w:r>
      <w:r w:rsidRPr="00611B67">
        <w:rPr>
          <w:rFonts w:ascii="Book Antiqua" w:eastAsia="宋体" w:hAnsi="Book Antiqua"/>
          <w:kern w:val="2"/>
          <w:bdr w:val="none" w:sz="0" w:space="0" w:color="auto"/>
          <w:lang w:eastAsia="zh-CN"/>
        </w:rPr>
        <w:t xml:space="preserve"> 71-82 [DOI: 10.1007/978-1-4615-3488-4_6]</w:t>
      </w:r>
    </w:p>
    <w:p w14:paraId="5D2C8D72"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59 </w:t>
      </w:r>
      <w:proofErr w:type="spellStart"/>
      <w:r w:rsidRPr="00611B67">
        <w:rPr>
          <w:rFonts w:ascii="Book Antiqua" w:eastAsia="宋体" w:hAnsi="Book Antiqua"/>
          <w:b/>
          <w:kern w:val="2"/>
          <w:bdr w:val="none" w:sz="0" w:space="0" w:color="auto"/>
          <w:lang w:eastAsia="zh-CN"/>
        </w:rPr>
        <w:t>Gaudio</w:t>
      </w:r>
      <w:proofErr w:type="spellEnd"/>
      <w:r w:rsidRPr="00611B67">
        <w:rPr>
          <w:rFonts w:ascii="Book Antiqua" w:eastAsia="宋体" w:hAnsi="Book Antiqua"/>
          <w:b/>
          <w:kern w:val="2"/>
          <w:bdr w:val="none" w:sz="0" w:space="0" w:color="auto"/>
          <w:lang w:eastAsia="zh-CN"/>
        </w:rPr>
        <w:t xml:space="preserve"> E</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Pannarale</w:t>
      </w:r>
      <w:proofErr w:type="spellEnd"/>
      <w:r w:rsidRPr="00611B67">
        <w:rPr>
          <w:rFonts w:ascii="Book Antiqua" w:eastAsia="宋体" w:hAnsi="Book Antiqua"/>
          <w:kern w:val="2"/>
          <w:bdr w:val="none" w:sz="0" w:space="0" w:color="auto"/>
          <w:lang w:eastAsia="zh-CN"/>
        </w:rPr>
        <w:t xml:space="preserve"> L, </w:t>
      </w:r>
      <w:proofErr w:type="spellStart"/>
      <w:r w:rsidRPr="00611B67">
        <w:rPr>
          <w:rFonts w:ascii="Book Antiqua" w:eastAsia="宋体" w:hAnsi="Book Antiqua"/>
          <w:kern w:val="2"/>
          <w:bdr w:val="none" w:sz="0" w:space="0" w:color="auto"/>
          <w:lang w:eastAsia="zh-CN"/>
        </w:rPr>
        <w:t>Onori</w:t>
      </w:r>
      <w:proofErr w:type="spellEnd"/>
      <w:r w:rsidRPr="00611B67">
        <w:rPr>
          <w:rFonts w:ascii="Book Antiqua" w:eastAsia="宋体" w:hAnsi="Book Antiqua"/>
          <w:kern w:val="2"/>
          <w:bdr w:val="none" w:sz="0" w:space="0" w:color="auto"/>
          <w:lang w:eastAsia="zh-CN"/>
        </w:rPr>
        <w:t xml:space="preserve"> P, </w:t>
      </w:r>
      <w:proofErr w:type="spellStart"/>
      <w:r w:rsidRPr="00611B67">
        <w:rPr>
          <w:rFonts w:ascii="Book Antiqua" w:eastAsia="宋体" w:hAnsi="Book Antiqua"/>
          <w:kern w:val="2"/>
          <w:bdr w:val="none" w:sz="0" w:space="0" w:color="auto"/>
          <w:lang w:eastAsia="zh-CN"/>
        </w:rPr>
        <w:t>Riggio</w:t>
      </w:r>
      <w:proofErr w:type="spellEnd"/>
      <w:r w:rsidRPr="00611B67">
        <w:rPr>
          <w:rFonts w:ascii="Book Antiqua" w:eastAsia="宋体" w:hAnsi="Book Antiqua"/>
          <w:kern w:val="2"/>
          <w:bdr w:val="none" w:sz="0" w:space="0" w:color="auto"/>
          <w:lang w:eastAsia="zh-CN"/>
        </w:rPr>
        <w:t xml:space="preserve"> O. A scanning electron microscopic study of liver microcirculation disarrangement in experimental rat cirrhosis. </w:t>
      </w:r>
      <w:r w:rsidRPr="00611B67">
        <w:rPr>
          <w:rFonts w:ascii="Book Antiqua" w:eastAsia="宋体" w:hAnsi="Book Antiqua"/>
          <w:i/>
          <w:kern w:val="2"/>
          <w:bdr w:val="none" w:sz="0" w:space="0" w:color="auto"/>
          <w:lang w:eastAsia="zh-CN"/>
        </w:rPr>
        <w:t>Hepatology</w:t>
      </w:r>
      <w:r w:rsidRPr="00611B67">
        <w:rPr>
          <w:rFonts w:ascii="Book Antiqua" w:eastAsia="宋体" w:hAnsi="Book Antiqua"/>
          <w:kern w:val="2"/>
          <w:bdr w:val="none" w:sz="0" w:space="0" w:color="auto"/>
          <w:lang w:eastAsia="zh-CN"/>
        </w:rPr>
        <w:t xml:space="preserve"> 1993; </w:t>
      </w:r>
      <w:r w:rsidRPr="00611B67">
        <w:rPr>
          <w:rFonts w:ascii="Book Antiqua" w:eastAsia="宋体" w:hAnsi="Book Antiqua"/>
          <w:b/>
          <w:kern w:val="2"/>
          <w:bdr w:val="none" w:sz="0" w:space="0" w:color="auto"/>
          <w:lang w:eastAsia="zh-CN"/>
        </w:rPr>
        <w:t>17</w:t>
      </w:r>
      <w:r w:rsidRPr="00611B67">
        <w:rPr>
          <w:rFonts w:ascii="Book Antiqua" w:eastAsia="宋体" w:hAnsi="Book Antiqua"/>
          <w:kern w:val="2"/>
          <w:bdr w:val="none" w:sz="0" w:space="0" w:color="auto"/>
          <w:lang w:eastAsia="zh-CN"/>
        </w:rPr>
        <w:t>: 477-485 [PMID: 8444422 DOI: 10.1002/hep.1840170319]</w:t>
      </w:r>
    </w:p>
    <w:p w14:paraId="113B2BC7"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60 </w:t>
      </w:r>
      <w:proofErr w:type="spellStart"/>
      <w:r w:rsidRPr="00611B67">
        <w:rPr>
          <w:rFonts w:ascii="Book Antiqua" w:eastAsia="宋体" w:hAnsi="Book Antiqua"/>
          <w:b/>
          <w:kern w:val="2"/>
          <w:bdr w:val="none" w:sz="0" w:space="0" w:color="auto"/>
          <w:lang w:eastAsia="zh-CN"/>
        </w:rPr>
        <w:t>Widmann</w:t>
      </w:r>
      <w:proofErr w:type="spellEnd"/>
      <w:r w:rsidRPr="00611B67">
        <w:rPr>
          <w:rFonts w:ascii="Book Antiqua" w:eastAsia="宋体" w:hAnsi="Book Antiqua"/>
          <w:b/>
          <w:kern w:val="2"/>
          <w:bdr w:val="none" w:sz="0" w:space="0" w:color="auto"/>
          <w:lang w:eastAsia="zh-CN"/>
        </w:rPr>
        <w:t xml:space="preserve"> JJ</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Fahimi</w:t>
      </w:r>
      <w:proofErr w:type="spellEnd"/>
      <w:r w:rsidRPr="00611B67">
        <w:rPr>
          <w:rFonts w:ascii="Book Antiqua" w:eastAsia="宋体" w:hAnsi="Book Antiqua"/>
          <w:kern w:val="2"/>
          <w:bdr w:val="none" w:sz="0" w:space="0" w:color="auto"/>
          <w:lang w:eastAsia="zh-CN"/>
        </w:rPr>
        <w:t xml:space="preserve"> HD. Proliferation of mononuclear phagocytes (Kupffer cells) and endothelial cells in regenerating rat liver. A light and electron micr</w:t>
      </w:r>
      <w:r w:rsidRPr="00611B67">
        <w:rPr>
          <w:rFonts w:ascii="Book Antiqua" w:eastAsia="宋体" w:hAnsi="Book Antiqua"/>
          <w:kern w:val="2"/>
          <w:bdr w:val="none" w:sz="0" w:space="0" w:color="auto"/>
          <w:lang w:eastAsia="zh-CN"/>
        </w:rPr>
        <w:t>o</w:t>
      </w:r>
      <w:r w:rsidRPr="00611B67">
        <w:rPr>
          <w:rFonts w:ascii="Book Antiqua" w:eastAsia="宋体" w:hAnsi="Book Antiqua"/>
          <w:kern w:val="2"/>
          <w:bdr w:val="none" w:sz="0" w:space="0" w:color="auto"/>
          <w:lang w:eastAsia="zh-CN"/>
        </w:rPr>
        <w:t xml:space="preserve">scopic cytochemical study. </w:t>
      </w:r>
      <w:r w:rsidRPr="00611B67">
        <w:rPr>
          <w:rFonts w:ascii="Book Antiqua" w:eastAsia="宋体" w:hAnsi="Book Antiqua"/>
          <w:i/>
          <w:kern w:val="2"/>
          <w:bdr w:val="none" w:sz="0" w:space="0" w:color="auto"/>
          <w:lang w:eastAsia="zh-CN"/>
        </w:rPr>
        <w:t xml:space="preserve">Am J </w:t>
      </w:r>
      <w:proofErr w:type="spellStart"/>
      <w:r w:rsidRPr="00611B67">
        <w:rPr>
          <w:rFonts w:ascii="Book Antiqua" w:eastAsia="宋体" w:hAnsi="Book Antiqua"/>
          <w:i/>
          <w:kern w:val="2"/>
          <w:bdr w:val="none" w:sz="0" w:space="0" w:color="auto"/>
          <w:lang w:eastAsia="zh-CN"/>
        </w:rPr>
        <w:t>Pathol</w:t>
      </w:r>
      <w:proofErr w:type="spellEnd"/>
      <w:r w:rsidRPr="00611B67">
        <w:rPr>
          <w:rFonts w:ascii="Book Antiqua" w:eastAsia="宋体" w:hAnsi="Book Antiqua"/>
          <w:kern w:val="2"/>
          <w:bdr w:val="none" w:sz="0" w:space="0" w:color="auto"/>
          <w:lang w:eastAsia="zh-CN"/>
        </w:rPr>
        <w:t xml:space="preserve"> 1975; </w:t>
      </w:r>
      <w:r w:rsidRPr="00611B67">
        <w:rPr>
          <w:rFonts w:ascii="Book Antiqua" w:eastAsia="宋体" w:hAnsi="Book Antiqua"/>
          <w:b/>
          <w:kern w:val="2"/>
          <w:bdr w:val="none" w:sz="0" w:space="0" w:color="auto"/>
          <w:lang w:eastAsia="zh-CN"/>
        </w:rPr>
        <w:t>80</w:t>
      </w:r>
      <w:r w:rsidRPr="00611B67">
        <w:rPr>
          <w:rFonts w:ascii="Book Antiqua" w:eastAsia="宋体" w:hAnsi="Book Antiqua"/>
          <w:kern w:val="2"/>
          <w:bdr w:val="none" w:sz="0" w:space="0" w:color="auto"/>
          <w:lang w:eastAsia="zh-CN"/>
        </w:rPr>
        <w:t>: 349-366 [PMID: 1163635]</w:t>
      </w:r>
    </w:p>
    <w:p w14:paraId="260B3135"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61 </w:t>
      </w:r>
      <w:proofErr w:type="spellStart"/>
      <w:r w:rsidRPr="00611B67">
        <w:rPr>
          <w:rFonts w:ascii="Book Antiqua" w:eastAsia="宋体" w:hAnsi="Book Antiqua"/>
          <w:b/>
          <w:kern w:val="2"/>
          <w:bdr w:val="none" w:sz="0" w:space="0" w:color="auto"/>
          <w:lang w:eastAsia="zh-CN"/>
        </w:rPr>
        <w:t>Kordzaia</w:t>
      </w:r>
      <w:proofErr w:type="spellEnd"/>
      <w:r w:rsidRPr="00611B67">
        <w:rPr>
          <w:rFonts w:ascii="Book Antiqua" w:eastAsia="宋体" w:hAnsi="Book Antiqua"/>
          <w:b/>
          <w:kern w:val="2"/>
          <w:bdr w:val="none" w:sz="0" w:space="0" w:color="auto"/>
          <w:lang w:eastAsia="zh-CN"/>
        </w:rPr>
        <w:t xml:space="preserve"> DD</w:t>
      </w:r>
      <w:r w:rsidRPr="00611B67">
        <w:rPr>
          <w:rFonts w:ascii="Book Antiqua" w:eastAsia="宋体" w:hAnsi="Book Antiqua"/>
          <w:kern w:val="2"/>
          <w:bdr w:val="none" w:sz="0" w:space="0" w:color="auto"/>
          <w:lang w:eastAsia="zh-CN"/>
        </w:rPr>
        <w:t xml:space="preserve">. [Structure of the excretory ducts, </w:t>
      </w:r>
      <w:proofErr w:type="spellStart"/>
      <w:r w:rsidRPr="00611B67">
        <w:rPr>
          <w:rFonts w:ascii="Book Antiqua" w:eastAsia="宋体" w:hAnsi="Book Antiqua"/>
          <w:kern w:val="2"/>
          <w:bdr w:val="none" w:sz="0" w:space="0" w:color="auto"/>
          <w:lang w:eastAsia="zh-CN"/>
        </w:rPr>
        <w:t>intraorganic</w:t>
      </w:r>
      <w:proofErr w:type="spellEnd"/>
      <w:r w:rsidRPr="00611B67">
        <w:rPr>
          <w:rFonts w:ascii="Book Antiqua" w:eastAsia="宋体" w:hAnsi="Book Antiqua"/>
          <w:kern w:val="2"/>
          <w:bdr w:val="none" w:sz="0" w:space="0" w:color="auto"/>
          <w:lang w:eastAsia="zh-CN"/>
        </w:rPr>
        <w:t xml:space="preserve"> lymphatic ve</w:t>
      </w:r>
      <w:r w:rsidRPr="00611B67">
        <w:rPr>
          <w:rFonts w:ascii="Book Antiqua" w:eastAsia="宋体" w:hAnsi="Book Antiqua"/>
          <w:kern w:val="2"/>
          <w:bdr w:val="none" w:sz="0" w:space="0" w:color="auto"/>
          <w:lang w:eastAsia="zh-CN"/>
        </w:rPr>
        <w:t>s</w:t>
      </w:r>
      <w:r w:rsidRPr="00611B67">
        <w:rPr>
          <w:rFonts w:ascii="Book Antiqua" w:eastAsia="宋体" w:hAnsi="Book Antiqua"/>
          <w:kern w:val="2"/>
          <w:bdr w:val="none" w:sz="0" w:space="0" w:color="auto"/>
          <w:lang w:eastAsia="zh-CN"/>
        </w:rPr>
        <w:t xml:space="preserve">sels, tissue canals and intercellular space of various organs (data of scanning electron microscopy injection replicas)]. </w:t>
      </w:r>
      <w:proofErr w:type="spellStart"/>
      <w:r w:rsidRPr="00611B67">
        <w:rPr>
          <w:rFonts w:ascii="Book Antiqua" w:eastAsia="宋体" w:hAnsi="Book Antiqua"/>
          <w:i/>
          <w:kern w:val="2"/>
          <w:bdr w:val="none" w:sz="0" w:space="0" w:color="auto"/>
          <w:lang w:eastAsia="zh-CN"/>
        </w:rPr>
        <w:t>Arkh</w:t>
      </w:r>
      <w:proofErr w:type="spellEnd"/>
      <w:r w:rsidRPr="00611B67">
        <w:rPr>
          <w:rFonts w:ascii="Book Antiqua" w:eastAsia="宋体" w:hAnsi="Book Antiqua"/>
          <w:i/>
          <w:kern w:val="2"/>
          <w:bdr w:val="none" w:sz="0" w:space="0" w:color="auto"/>
          <w:lang w:eastAsia="zh-CN"/>
        </w:rPr>
        <w:t xml:space="preserve"> </w:t>
      </w:r>
      <w:proofErr w:type="spellStart"/>
      <w:r w:rsidRPr="00611B67">
        <w:rPr>
          <w:rFonts w:ascii="Book Antiqua" w:eastAsia="宋体" w:hAnsi="Book Antiqua"/>
          <w:i/>
          <w:kern w:val="2"/>
          <w:bdr w:val="none" w:sz="0" w:space="0" w:color="auto"/>
          <w:lang w:eastAsia="zh-CN"/>
        </w:rPr>
        <w:t>Anat</w:t>
      </w:r>
      <w:proofErr w:type="spellEnd"/>
      <w:r w:rsidRPr="00611B67">
        <w:rPr>
          <w:rFonts w:ascii="Book Antiqua" w:eastAsia="宋体" w:hAnsi="Book Antiqua"/>
          <w:i/>
          <w:kern w:val="2"/>
          <w:bdr w:val="none" w:sz="0" w:space="0" w:color="auto"/>
          <w:lang w:eastAsia="zh-CN"/>
        </w:rPr>
        <w:t xml:space="preserve"> </w:t>
      </w:r>
      <w:proofErr w:type="spellStart"/>
      <w:r w:rsidRPr="00611B67">
        <w:rPr>
          <w:rFonts w:ascii="Book Antiqua" w:eastAsia="宋体" w:hAnsi="Book Antiqua"/>
          <w:i/>
          <w:kern w:val="2"/>
          <w:bdr w:val="none" w:sz="0" w:space="0" w:color="auto"/>
          <w:lang w:eastAsia="zh-CN"/>
        </w:rPr>
        <w:t>Gistol</w:t>
      </w:r>
      <w:proofErr w:type="spellEnd"/>
      <w:r w:rsidRPr="00611B67">
        <w:rPr>
          <w:rFonts w:ascii="Book Antiqua" w:eastAsia="宋体" w:hAnsi="Book Antiqua"/>
          <w:i/>
          <w:kern w:val="2"/>
          <w:bdr w:val="none" w:sz="0" w:space="0" w:color="auto"/>
          <w:lang w:eastAsia="zh-CN"/>
        </w:rPr>
        <w:t xml:space="preserve"> </w:t>
      </w:r>
      <w:proofErr w:type="spellStart"/>
      <w:r w:rsidRPr="00611B67">
        <w:rPr>
          <w:rFonts w:ascii="Book Antiqua" w:eastAsia="宋体" w:hAnsi="Book Antiqua"/>
          <w:i/>
          <w:kern w:val="2"/>
          <w:bdr w:val="none" w:sz="0" w:space="0" w:color="auto"/>
          <w:lang w:eastAsia="zh-CN"/>
        </w:rPr>
        <w:t>Embriol</w:t>
      </w:r>
      <w:proofErr w:type="spellEnd"/>
      <w:r w:rsidRPr="00611B67">
        <w:rPr>
          <w:rFonts w:ascii="Book Antiqua" w:eastAsia="宋体" w:hAnsi="Book Antiqua"/>
          <w:kern w:val="2"/>
          <w:bdr w:val="none" w:sz="0" w:space="0" w:color="auto"/>
          <w:lang w:eastAsia="zh-CN"/>
        </w:rPr>
        <w:t xml:space="preserve"> 1989; </w:t>
      </w:r>
      <w:r w:rsidRPr="00611B67">
        <w:rPr>
          <w:rFonts w:ascii="Book Antiqua" w:eastAsia="宋体" w:hAnsi="Book Antiqua"/>
          <w:b/>
          <w:kern w:val="2"/>
          <w:bdr w:val="none" w:sz="0" w:space="0" w:color="auto"/>
          <w:lang w:eastAsia="zh-CN"/>
        </w:rPr>
        <w:t>97</w:t>
      </w:r>
      <w:r w:rsidRPr="00611B67">
        <w:rPr>
          <w:rFonts w:ascii="Book Antiqua" w:eastAsia="宋体" w:hAnsi="Book Antiqua"/>
          <w:kern w:val="2"/>
          <w:bdr w:val="none" w:sz="0" w:space="0" w:color="auto"/>
          <w:lang w:eastAsia="zh-CN"/>
        </w:rPr>
        <w:t>: 26-31 [PMID: 2589995]</w:t>
      </w:r>
    </w:p>
    <w:p w14:paraId="166B95C6"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62 </w:t>
      </w:r>
      <w:proofErr w:type="spellStart"/>
      <w:r w:rsidRPr="00611B67">
        <w:rPr>
          <w:rFonts w:ascii="Book Antiqua" w:eastAsia="宋体" w:hAnsi="Book Antiqua"/>
          <w:b/>
          <w:kern w:val="2"/>
          <w:bdr w:val="none" w:sz="0" w:space="0" w:color="auto"/>
          <w:lang w:eastAsia="zh-CN"/>
        </w:rPr>
        <w:t>Eilken</w:t>
      </w:r>
      <w:proofErr w:type="spellEnd"/>
      <w:r w:rsidRPr="00611B67">
        <w:rPr>
          <w:rFonts w:ascii="Book Antiqua" w:eastAsia="宋体" w:hAnsi="Book Antiqua"/>
          <w:b/>
          <w:kern w:val="2"/>
          <w:bdr w:val="none" w:sz="0" w:space="0" w:color="auto"/>
          <w:lang w:eastAsia="zh-CN"/>
        </w:rPr>
        <w:t xml:space="preserve"> HM</w:t>
      </w:r>
      <w:r w:rsidRPr="00611B67">
        <w:rPr>
          <w:rFonts w:ascii="Book Antiqua" w:eastAsia="宋体" w:hAnsi="Book Antiqua"/>
          <w:kern w:val="2"/>
          <w:bdr w:val="none" w:sz="0" w:space="0" w:color="auto"/>
          <w:lang w:eastAsia="zh-CN"/>
        </w:rPr>
        <w:t xml:space="preserve">, Adams RH. Dynamics of endothelial cell behavior in sprouting angiogenesis. </w:t>
      </w:r>
      <w:proofErr w:type="spellStart"/>
      <w:r w:rsidRPr="00611B67">
        <w:rPr>
          <w:rFonts w:ascii="Book Antiqua" w:eastAsia="宋体" w:hAnsi="Book Antiqua"/>
          <w:i/>
          <w:kern w:val="2"/>
          <w:bdr w:val="none" w:sz="0" w:space="0" w:color="auto"/>
          <w:lang w:eastAsia="zh-CN"/>
        </w:rPr>
        <w:t>Curr</w:t>
      </w:r>
      <w:proofErr w:type="spellEnd"/>
      <w:r w:rsidRPr="00611B67">
        <w:rPr>
          <w:rFonts w:ascii="Book Antiqua" w:eastAsia="宋体" w:hAnsi="Book Antiqua"/>
          <w:i/>
          <w:kern w:val="2"/>
          <w:bdr w:val="none" w:sz="0" w:space="0" w:color="auto"/>
          <w:lang w:eastAsia="zh-CN"/>
        </w:rPr>
        <w:t xml:space="preserve"> </w:t>
      </w:r>
      <w:proofErr w:type="spellStart"/>
      <w:r w:rsidRPr="00611B67">
        <w:rPr>
          <w:rFonts w:ascii="Book Antiqua" w:eastAsia="宋体" w:hAnsi="Book Antiqua"/>
          <w:i/>
          <w:kern w:val="2"/>
          <w:bdr w:val="none" w:sz="0" w:space="0" w:color="auto"/>
          <w:lang w:eastAsia="zh-CN"/>
        </w:rPr>
        <w:t>Opin</w:t>
      </w:r>
      <w:proofErr w:type="spellEnd"/>
      <w:r w:rsidRPr="00611B67">
        <w:rPr>
          <w:rFonts w:ascii="Book Antiqua" w:eastAsia="宋体" w:hAnsi="Book Antiqua"/>
          <w:i/>
          <w:kern w:val="2"/>
          <w:bdr w:val="none" w:sz="0" w:space="0" w:color="auto"/>
          <w:lang w:eastAsia="zh-CN"/>
        </w:rPr>
        <w:t xml:space="preserve"> Cell </w:t>
      </w:r>
      <w:proofErr w:type="spellStart"/>
      <w:r w:rsidRPr="00611B67">
        <w:rPr>
          <w:rFonts w:ascii="Book Antiqua" w:eastAsia="宋体" w:hAnsi="Book Antiqua"/>
          <w:i/>
          <w:kern w:val="2"/>
          <w:bdr w:val="none" w:sz="0" w:space="0" w:color="auto"/>
          <w:lang w:eastAsia="zh-CN"/>
        </w:rPr>
        <w:t>Biol</w:t>
      </w:r>
      <w:proofErr w:type="spellEnd"/>
      <w:r w:rsidRPr="00611B67">
        <w:rPr>
          <w:rFonts w:ascii="Book Antiqua" w:eastAsia="宋体" w:hAnsi="Book Antiqua"/>
          <w:kern w:val="2"/>
          <w:bdr w:val="none" w:sz="0" w:space="0" w:color="auto"/>
          <w:lang w:eastAsia="zh-CN"/>
        </w:rPr>
        <w:t xml:space="preserve"> 2010; </w:t>
      </w:r>
      <w:r w:rsidRPr="00611B67">
        <w:rPr>
          <w:rFonts w:ascii="Book Antiqua" w:eastAsia="宋体" w:hAnsi="Book Antiqua"/>
          <w:b/>
          <w:kern w:val="2"/>
          <w:bdr w:val="none" w:sz="0" w:space="0" w:color="auto"/>
          <w:lang w:eastAsia="zh-CN"/>
        </w:rPr>
        <w:t>22</w:t>
      </w:r>
      <w:r w:rsidRPr="00611B67">
        <w:rPr>
          <w:rFonts w:ascii="Book Antiqua" w:eastAsia="宋体" w:hAnsi="Book Antiqua"/>
          <w:kern w:val="2"/>
          <w:bdr w:val="none" w:sz="0" w:space="0" w:color="auto"/>
          <w:lang w:eastAsia="zh-CN"/>
        </w:rPr>
        <w:t>: 617-625 [PMID: 20817428 DOI: 10.1016/j.ceb.2010.08.010]</w:t>
      </w:r>
    </w:p>
    <w:p w14:paraId="385D8667"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63 </w:t>
      </w:r>
      <w:proofErr w:type="spellStart"/>
      <w:r w:rsidRPr="00611B67">
        <w:rPr>
          <w:rFonts w:ascii="Book Antiqua" w:eastAsia="宋体" w:hAnsi="Book Antiqua"/>
          <w:b/>
          <w:kern w:val="2"/>
          <w:bdr w:val="none" w:sz="0" w:space="0" w:color="auto"/>
          <w:lang w:eastAsia="zh-CN"/>
        </w:rPr>
        <w:t>Djonov</w:t>
      </w:r>
      <w:proofErr w:type="spellEnd"/>
      <w:r w:rsidRPr="00611B67">
        <w:rPr>
          <w:rFonts w:ascii="Book Antiqua" w:eastAsia="宋体" w:hAnsi="Book Antiqua"/>
          <w:b/>
          <w:kern w:val="2"/>
          <w:bdr w:val="none" w:sz="0" w:space="0" w:color="auto"/>
          <w:lang w:eastAsia="zh-CN"/>
        </w:rPr>
        <w:t xml:space="preserve"> V</w:t>
      </w:r>
      <w:r w:rsidRPr="00611B67">
        <w:rPr>
          <w:rFonts w:ascii="Book Antiqua" w:eastAsia="宋体" w:hAnsi="Book Antiqua"/>
          <w:kern w:val="2"/>
          <w:bdr w:val="none" w:sz="0" w:space="0" w:color="auto"/>
          <w:lang w:eastAsia="zh-CN"/>
        </w:rPr>
        <w:t xml:space="preserve">, Baum O, </w:t>
      </w:r>
      <w:proofErr w:type="spellStart"/>
      <w:r w:rsidRPr="00611B67">
        <w:rPr>
          <w:rFonts w:ascii="Book Antiqua" w:eastAsia="宋体" w:hAnsi="Book Antiqua"/>
          <w:kern w:val="2"/>
          <w:bdr w:val="none" w:sz="0" w:space="0" w:color="auto"/>
          <w:lang w:eastAsia="zh-CN"/>
        </w:rPr>
        <w:t>Burri</w:t>
      </w:r>
      <w:proofErr w:type="spellEnd"/>
      <w:r w:rsidRPr="00611B67">
        <w:rPr>
          <w:rFonts w:ascii="Book Antiqua" w:eastAsia="宋体" w:hAnsi="Book Antiqua"/>
          <w:kern w:val="2"/>
          <w:bdr w:val="none" w:sz="0" w:space="0" w:color="auto"/>
          <w:lang w:eastAsia="zh-CN"/>
        </w:rPr>
        <w:t xml:space="preserve"> PH. Vascular remodeling by intussusceptive angi</w:t>
      </w:r>
      <w:r w:rsidRPr="00611B67">
        <w:rPr>
          <w:rFonts w:ascii="Book Antiqua" w:eastAsia="宋体" w:hAnsi="Book Antiqua"/>
          <w:kern w:val="2"/>
          <w:bdr w:val="none" w:sz="0" w:space="0" w:color="auto"/>
          <w:lang w:eastAsia="zh-CN"/>
        </w:rPr>
        <w:t>o</w:t>
      </w:r>
      <w:r w:rsidRPr="00611B67">
        <w:rPr>
          <w:rFonts w:ascii="Book Antiqua" w:eastAsia="宋体" w:hAnsi="Book Antiqua"/>
          <w:kern w:val="2"/>
          <w:bdr w:val="none" w:sz="0" w:space="0" w:color="auto"/>
          <w:lang w:eastAsia="zh-CN"/>
        </w:rPr>
        <w:lastRenderedPageBreak/>
        <w:t xml:space="preserve">genesis. </w:t>
      </w:r>
      <w:r w:rsidRPr="00611B67">
        <w:rPr>
          <w:rFonts w:ascii="Book Antiqua" w:eastAsia="宋体" w:hAnsi="Book Antiqua"/>
          <w:i/>
          <w:kern w:val="2"/>
          <w:bdr w:val="none" w:sz="0" w:space="0" w:color="auto"/>
          <w:lang w:eastAsia="zh-CN"/>
        </w:rPr>
        <w:t>Cell Tissue Res</w:t>
      </w:r>
      <w:r w:rsidRPr="00611B67">
        <w:rPr>
          <w:rFonts w:ascii="Book Antiqua" w:eastAsia="宋体" w:hAnsi="Book Antiqua"/>
          <w:kern w:val="2"/>
          <w:bdr w:val="none" w:sz="0" w:space="0" w:color="auto"/>
          <w:lang w:eastAsia="zh-CN"/>
        </w:rPr>
        <w:t xml:space="preserve"> 2003; </w:t>
      </w:r>
      <w:r w:rsidRPr="00611B67">
        <w:rPr>
          <w:rFonts w:ascii="Book Antiqua" w:eastAsia="宋体" w:hAnsi="Book Antiqua"/>
          <w:b/>
          <w:kern w:val="2"/>
          <w:bdr w:val="none" w:sz="0" w:space="0" w:color="auto"/>
          <w:lang w:eastAsia="zh-CN"/>
        </w:rPr>
        <w:t>314</w:t>
      </w:r>
      <w:r w:rsidRPr="00611B67">
        <w:rPr>
          <w:rFonts w:ascii="Book Antiqua" w:eastAsia="宋体" w:hAnsi="Book Antiqua"/>
          <w:kern w:val="2"/>
          <w:bdr w:val="none" w:sz="0" w:space="0" w:color="auto"/>
          <w:lang w:eastAsia="zh-CN"/>
        </w:rPr>
        <w:t>: 107-117 [PMID: 14574551 DOI: 10.1007/s00441-003-0784-3]</w:t>
      </w:r>
    </w:p>
    <w:p w14:paraId="76F9DD1B"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64 </w:t>
      </w:r>
      <w:r w:rsidRPr="00611B67">
        <w:rPr>
          <w:rFonts w:ascii="Book Antiqua" w:eastAsia="宋体" w:hAnsi="Book Antiqua"/>
          <w:b/>
          <w:kern w:val="2"/>
          <w:bdr w:val="none" w:sz="0" w:space="0" w:color="auto"/>
          <w:lang w:eastAsia="zh-CN"/>
        </w:rPr>
        <w:t>Shimizu H</w:t>
      </w:r>
      <w:r w:rsidRPr="00611B67">
        <w:rPr>
          <w:rFonts w:ascii="Book Antiqua" w:eastAsia="宋体" w:hAnsi="Book Antiqua"/>
          <w:kern w:val="2"/>
          <w:bdr w:val="none" w:sz="0" w:space="0" w:color="auto"/>
          <w:lang w:eastAsia="zh-CN"/>
        </w:rPr>
        <w:t>, Miyazaki M, Wakabayashi Y, Mitsuhashi N, Kato A, Ito H, Na</w:t>
      </w:r>
      <w:r w:rsidRPr="00611B67">
        <w:rPr>
          <w:rFonts w:ascii="Book Antiqua" w:eastAsia="宋体" w:hAnsi="Book Antiqua"/>
          <w:kern w:val="2"/>
          <w:bdr w:val="none" w:sz="0" w:space="0" w:color="auto"/>
          <w:lang w:eastAsia="zh-CN"/>
        </w:rPr>
        <w:t>k</w:t>
      </w:r>
      <w:r w:rsidRPr="00611B67">
        <w:rPr>
          <w:rFonts w:ascii="Book Antiqua" w:eastAsia="宋体" w:hAnsi="Book Antiqua"/>
          <w:kern w:val="2"/>
          <w:bdr w:val="none" w:sz="0" w:space="0" w:color="auto"/>
          <w:lang w:eastAsia="zh-CN"/>
        </w:rPr>
        <w:t xml:space="preserve">agawa K, </w:t>
      </w:r>
      <w:proofErr w:type="spellStart"/>
      <w:r w:rsidRPr="00611B67">
        <w:rPr>
          <w:rFonts w:ascii="Book Antiqua" w:eastAsia="宋体" w:hAnsi="Book Antiqua"/>
          <w:kern w:val="2"/>
          <w:bdr w:val="none" w:sz="0" w:space="0" w:color="auto"/>
          <w:lang w:eastAsia="zh-CN"/>
        </w:rPr>
        <w:t>Yoshidome</w:t>
      </w:r>
      <w:proofErr w:type="spellEnd"/>
      <w:r w:rsidRPr="00611B67">
        <w:rPr>
          <w:rFonts w:ascii="Book Antiqua" w:eastAsia="宋体" w:hAnsi="Book Antiqua"/>
          <w:kern w:val="2"/>
          <w:bdr w:val="none" w:sz="0" w:space="0" w:color="auto"/>
          <w:lang w:eastAsia="zh-CN"/>
        </w:rPr>
        <w:t xml:space="preserve"> H, </w:t>
      </w:r>
      <w:proofErr w:type="spellStart"/>
      <w:r w:rsidRPr="00611B67">
        <w:rPr>
          <w:rFonts w:ascii="Book Antiqua" w:eastAsia="宋体" w:hAnsi="Book Antiqua"/>
          <w:kern w:val="2"/>
          <w:bdr w:val="none" w:sz="0" w:space="0" w:color="auto"/>
          <w:lang w:eastAsia="zh-CN"/>
        </w:rPr>
        <w:t>Kataoka</w:t>
      </w:r>
      <w:proofErr w:type="spellEnd"/>
      <w:r w:rsidRPr="00611B67">
        <w:rPr>
          <w:rFonts w:ascii="Book Antiqua" w:eastAsia="宋体" w:hAnsi="Book Antiqua"/>
          <w:kern w:val="2"/>
          <w:bdr w:val="none" w:sz="0" w:space="0" w:color="auto"/>
          <w:lang w:eastAsia="zh-CN"/>
        </w:rPr>
        <w:t xml:space="preserve"> M, Nakajima N. Vascular endothelial growth factor secreted by replicating hepatocytes induces sinusoidal endothelial cell pr</w:t>
      </w:r>
      <w:r w:rsidRPr="00611B67">
        <w:rPr>
          <w:rFonts w:ascii="Book Antiqua" w:eastAsia="宋体" w:hAnsi="Book Antiqua"/>
          <w:kern w:val="2"/>
          <w:bdr w:val="none" w:sz="0" w:space="0" w:color="auto"/>
          <w:lang w:eastAsia="zh-CN"/>
        </w:rPr>
        <w:t>o</w:t>
      </w:r>
      <w:r w:rsidRPr="00611B67">
        <w:rPr>
          <w:rFonts w:ascii="Book Antiqua" w:eastAsia="宋体" w:hAnsi="Book Antiqua"/>
          <w:kern w:val="2"/>
          <w:bdr w:val="none" w:sz="0" w:space="0" w:color="auto"/>
          <w:lang w:eastAsia="zh-CN"/>
        </w:rPr>
        <w:t xml:space="preserve">liferation during regeneration after partial hepatectomy in rats. </w:t>
      </w:r>
      <w:r w:rsidRPr="00611B67">
        <w:rPr>
          <w:rFonts w:ascii="Book Antiqua" w:eastAsia="宋体" w:hAnsi="Book Antiqua"/>
          <w:i/>
          <w:kern w:val="2"/>
          <w:bdr w:val="none" w:sz="0" w:space="0" w:color="auto"/>
          <w:lang w:eastAsia="zh-CN"/>
        </w:rPr>
        <w:t>J Hepatol</w:t>
      </w:r>
      <w:r w:rsidRPr="00611B67">
        <w:rPr>
          <w:rFonts w:ascii="Book Antiqua" w:eastAsia="宋体" w:hAnsi="Book Antiqua"/>
          <w:kern w:val="2"/>
          <w:bdr w:val="none" w:sz="0" w:space="0" w:color="auto"/>
          <w:lang w:eastAsia="zh-CN"/>
        </w:rPr>
        <w:t xml:space="preserve"> 2001; </w:t>
      </w:r>
      <w:r w:rsidRPr="00611B67">
        <w:rPr>
          <w:rFonts w:ascii="Book Antiqua" w:eastAsia="宋体" w:hAnsi="Book Antiqua"/>
          <w:b/>
          <w:kern w:val="2"/>
          <w:bdr w:val="none" w:sz="0" w:space="0" w:color="auto"/>
          <w:lang w:eastAsia="zh-CN"/>
        </w:rPr>
        <w:t>34</w:t>
      </w:r>
      <w:r w:rsidRPr="00611B67">
        <w:rPr>
          <w:rFonts w:ascii="Book Antiqua" w:eastAsia="宋体" w:hAnsi="Book Antiqua"/>
          <w:kern w:val="2"/>
          <w:bdr w:val="none" w:sz="0" w:space="0" w:color="auto"/>
          <w:lang w:eastAsia="zh-CN"/>
        </w:rPr>
        <w:t>: 683-689 [PMID: 11434614 DOI: 10.1016/S0168-8278(00)00055-6]</w:t>
      </w:r>
    </w:p>
    <w:p w14:paraId="39E30DEE" w14:textId="77777777" w:rsidR="00611B67" w:rsidRPr="00CA4C0B" w:rsidRDefault="00611B67">
      <w:pPr>
        <w:rPr>
          <w:rStyle w:val="None"/>
          <w:rFonts w:ascii="Book Antiqua" w:eastAsia="Times New Roman" w:hAnsi="Book Antiqua"/>
          <w:b/>
          <w:bCs/>
          <w:u w:val="single" w:color="000000"/>
          <w14:textOutline w14:w="12700" w14:cap="flat" w14:cmpd="sng" w14:algn="ctr">
            <w14:noFill/>
            <w14:prstDash w14:val="solid"/>
            <w14:miter w14:lim="400000"/>
          </w14:textOutline>
        </w:rPr>
      </w:pPr>
      <w:r w:rsidRPr="00CA4C0B">
        <w:rPr>
          <w:rStyle w:val="None"/>
          <w:rFonts w:ascii="Book Antiqua" w:eastAsia="Times New Roman" w:hAnsi="Book Antiqua"/>
          <w:b/>
          <w:bCs/>
          <w:u w:val="single" w:color="000000"/>
          <w14:textOutline w14:w="12700" w14:cap="flat" w14:cmpd="sng" w14:algn="ctr">
            <w14:noFill/>
            <w14:prstDash w14:val="solid"/>
            <w14:miter w14:lim="400000"/>
          </w14:textOutline>
        </w:rPr>
        <w:br w:type="page"/>
      </w:r>
    </w:p>
    <w:p w14:paraId="2EE0ED32" w14:textId="6AA43DC8" w:rsidR="002C01D0" w:rsidRPr="00CA4C0B" w:rsidRDefault="002C01D0" w:rsidP="007F2CA0">
      <w:pPr>
        <w:snapToGrid w:val="0"/>
        <w:spacing w:line="360" w:lineRule="auto"/>
        <w:jc w:val="both"/>
        <w:rPr>
          <w:rFonts w:ascii="Book Antiqua" w:hAnsi="Book Antiqua"/>
          <w:b/>
        </w:rPr>
      </w:pPr>
      <w:r w:rsidRPr="00CA4C0B">
        <w:rPr>
          <w:rFonts w:ascii="Book Antiqua" w:hAnsi="Book Antiqua"/>
          <w:b/>
        </w:rPr>
        <w:lastRenderedPageBreak/>
        <w:t>Footnotes</w:t>
      </w:r>
    </w:p>
    <w:p w14:paraId="66DBDA12" w14:textId="77777777" w:rsidR="00DD4C6B" w:rsidRPr="00CA4C0B" w:rsidRDefault="00DD4C6B" w:rsidP="00DD4C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jc w:val="both"/>
        <w:rPr>
          <w:rStyle w:val="None"/>
          <w:rFonts w:ascii="Book Antiqua" w:hAnsi="Book Antiqua" w:cs="Arial Unicode MS"/>
          <w:u w:color="000000"/>
          <w14:textOutline w14:w="12700" w14:cap="flat" w14:cmpd="sng" w14:algn="ctr">
            <w14:noFill/>
            <w14:prstDash w14:val="solid"/>
            <w14:miter w14:lim="400000"/>
          </w14:textOutline>
        </w:rPr>
      </w:pPr>
      <w:r w:rsidRPr="00CA4C0B">
        <w:rPr>
          <w:rStyle w:val="None"/>
          <w:rFonts w:ascii="Book Antiqua" w:hAnsi="Book Antiqua"/>
          <w:b/>
        </w:rPr>
        <w:t xml:space="preserve">Institutional review board statement: </w:t>
      </w:r>
      <w:r w:rsidRPr="00CA4C0B">
        <w:rPr>
          <w:rStyle w:val="None"/>
          <w:rFonts w:ascii="Book Antiqua" w:hAnsi="Book Antiqua" w:cs="Arial Unicode MS"/>
          <w:u w:color="000000"/>
          <w14:textOutline w14:w="12700" w14:cap="flat" w14:cmpd="sng" w14:algn="ctr">
            <w14:noFill/>
            <w14:prstDash w14:val="solid"/>
            <w14:miter w14:lim="400000"/>
          </w14:textOutline>
        </w:rPr>
        <w:t xml:space="preserve">The study was reviewed and approved by the Institutional Review Board (the Ethical Committee) of </w:t>
      </w:r>
      <w:proofErr w:type="spellStart"/>
      <w:r w:rsidRPr="00CA4C0B">
        <w:rPr>
          <w:rStyle w:val="None"/>
          <w:rFonts w:ascii="Book Antiqua" w:hAnsi="Book Antiqua" w:cs="Arial Unicode MS"/>
          <w:u w:color="000000"/>
          <w14:textOutline w14:w="12700" w14:cap="flat" w14:cmpd="sng" w14:algn="ctr">
            <w14:noFill/>
            <w14:prstDash w14:val="solid"/>
            <w14:miter w14:lim="400000"/>
          </w14:textOutline>
        </w:rPr>
        <w:t>Aleksandre</w:t>
      </w:r>
      <w:proofErr w:type="spellEnd"/>
      <w:r w:rsidRPr="00CA4C0B">
        <w:rPr>
          <w:rStyle w:val="None"/>
          <w:rFonts w:ascii="Book Antiqua" w:hAnsi="Book Antiqua" w:cs="Arial Unicode MS"/>
          <w:u w:color="000000"/>
          <w14:textOutline w14:w="12700" w14:cap="flat" w14:cmpd="sng" w14:algn="ctr">
            <w14:noFill/>
            <w14:prstDash w14:val="solid"/>
            <w14:miter w14:lim="400000"/>
          </w14:textOutline>
        </w:rPr>
        <w:t xml:space="preserve"> </w:t>
      </w:r>
      <w:proofErr w:type="spellStart"/>
      <w:r w:rsidRPr="00CA4C0B">
        <w:rPr>
          <w:rStyle w:val="None"/>
          <w:rFonts w:ascii="Book Antiqua" w:hAnsi="Book Antiqua" w:cs="Arial Unicode MS"/>
          <w:u w:color="000000"/>
          <w14:textOutline w14:w="12700" w14:cap="flat" w14:cmpd="sng" w14:algn="ctr">
            <w14:noFill/>
            <w14:prstDash w14:val="solid"/>
            <w14:miter w14:lim="400000"/>
          </w14:textOutline>
        </w:rPr>
        <w:t>Natishvili</w:t>
      </w:r>
      <w:proofErr w:type="spellEnd"/>
      <w:r w:rsidRPr="00CA4C0B">
        <w:rPr>
          <w:rStyle w:val="None"/>
          <w:rFonts w:ascii="Book Antiqua" w:hAnsi="Book Antiqua" w:cs="Arial Unicode MS"/>
          <w:u w:color="000000"/>
          <w14:textOutline w14:w="12700" w14:cap="flat" w14:cmpd="sng" w14:algn="ctr">
            <w14:noFill/>
            <w14:prstDash w14:val="solid"/>
            <w14:miter w14:lim="400000"/>
          </w14:textOutline>
        </w:rPr>
        <w:t xml:space="preserve"> Institute of Morphology, Tbilisi State University. </w:t>
      </w:r>
    </w:p>
    <w:p w14:paraId="21737F00" w14:textId="77777777" w:rsidR="00DD4C6B" w:rsidRPr="00CA4C0B" w:rsidRDefault="00DD4C6B" w:rsidP="007F2CA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jc w:val="both"/>
        <w:rPr>
          <w:rStyle w:val="None"/>
          <w:rFonts w:ascii="Book Antiqua" w:hAnsi="Book Antiqua"/>
          <w:b/>
        </w:rPr>
      </w:pPr>
    </w:p>
    <w:p w14:paraId="236B917A" w14:textId="6DEE8E8D" w:rsidR="007F2CA0" w:rsidRPr="00CA4C0B" w:rsidRDefault="002C01D0" w:rsidP="007F2CA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jc w:val="both"/>
        <w:rPr>
          <w:rStyle w:val="None"/>
          <w:rFonts w:ascii="Book Antiqua" w:hAnsi="Book Antiqua"/>
        </w:rPr>
      </w:pPr>
      <w:r w:rsidRPr="00CA4C0B">
        <w:rPr>
          <w:rStyle w:val="None"/>
          <w:rFonts w:ascii="Book Antiqua" w:hAnsi="Book Antiqua"/>
          <w:b/>
        </w:rPr>
        <w:t>Institutional animal care and use committee statement:</w:t>
      </w:r>
      <w:r w:rsidR="002D35B5" w:rsidRPr="00CA4C0B">
        <w:rPr>
          <w:rStyle w:val="None"/>
          <w:rFonts w:ascii="Book Antiqua" w:hAnsi="Book Antiqua"/>
          <w:b/>
        </w:rPr>
        <w:t xml:space="preserve"> </w:t>
      </w:r>
      <w:r w:rsidR="00467BA2" w:rsidRPr="00CA4C0B">
        <w:rPr>
          <w:rStyle w:val="None"/>
          <w:rFonts w:ascii="Book Antiqua" w:hAnsi="Book Antiqua"/>
          <w:b/>
        </w:rPr>
        <w:t xml:space="preserve"> </w:t>
      </w:r>
      <w:r w:rsidR="00467BA2" w:rsidRPr="00CA4C0B">
        <w:rPr>
          <w:rStyle w:val="None"/>
          <w:rFonts w:ascii="Book Antiqua" w:hAnsi="Book Antiqua"/>
        </w:rPr>
        <w:t xml:space="preserve">The experimental study was reviewed by bioethical committee of </w:t>
      </w:r>
      <w:proofErr w:type="spellStart"/>
      <w:r w:rsidR="00467BA2" w:rsidRPr="00CA4C0B">
        <w:rPr>
          <w:rStyle w:val="None"/>
          <w:rFonts w:ascii="Book Antiqua" w:hAnsi="Book Antiqua"/>
        </w:rPr>
        <w:t>Aleksandre</w:t>
      </w:r>
      <w:proofErr w:type="spellEnd"/>
      <w:r w:rsidR="00467BA2" w:rsidRPr="00CA4C0B">
        <w:rPr>
          <w:rStyle w:val="None"/>
          <w:rFonts w:ascii="Book Antiqua" w:hAnsi="Book Antiqua"/>
        </w:rPr>
        <w:t xml:space="preserve"> </w:t>
      </w:r>
      <w:proofErr w:type="spellStart"/>
      <w:r w:rsidR="00467BA2" w:rsidRPr="00CA4C0B">
        <w:rPr>
          <w:rStyle w:val="None"/>
          <w:rFonts w:ascii="Book Antiqua" w:hAnsi="Book Antiqua"/>
        </w:rPr>
        <w:t>Natishvili</w:t>
      </w:r>
      <w:proofErr w:type="spellEnd"/>
      <w:r w:rsidR="00467BA2" w:rsidRPr="00CA4C0B">
        <w:rPr>
          <w:rStyle w:val="None"/>
          <w:rFonts w:ascii="Book Antiqua" w:hAnsi="Book Antiqua"/>
        </w:rPr>
        <w:t xml:space="preserve"> Institute of Mo</w:t>
      </w:r>
      <w:r w:rsidR="00467BA2" w:rsidRPr="00CA4C0B">
        <w:rPr>
          <w:rStyle w:val="None"/>
          <w:rFonts w:ascii="Book Antiqua" w:hAnsi="Book Antiqua"/>
        </w:rPr>
        <w:t>r</w:t>
      </w:r>
      <w:r w:rsidR="00467BA2" w:rsidRPr="00CA4C0B">
        <w:rPr>
          <w:rStyle w:val="None"/>
          <w:rFonts w:ascii="Book Antiqua" w:hAnsi="Book Antiqua"/>
        </w:rPr>
        <w:t xml:space="preserve">phology, Tbilisi State </w:t>
      </w:r>
      <w:r w:rsidR="00467BA2" w:rsidRPr="00CA4C0B">
        <w:rPr>
          <w:rStyle w:val="None"/>
          <w:rFonts w:ascii="Book Antiqua" w:hAnsi="Book Antiqua"/>
          <w:caps/>
        </w:rPr>
        <w:t>u</w:t>
      </w:r>
      <w:r w:rsidR="00467BA2" w:rsidRPr="00CA4C0B">
        <w:rPr>
          <w:rStyle w:val="None"/>
          <w:rFonts w:ascii="Book Antiqua" w:hAnsi="Book Antiqua"/>
        </w:rPr>
        <w:t>niversity and approved that this study fully corresponds with EU Directive 2010/63/EU</w:t>
      </w:r>
      <w:r w:rsidR="007F2CA0" w:rsidRPr="00CA4C0B">
        <w:rPr>
          <w:rStyle w:val="None"/>
          <w:rFonts w:ascii="Book Antiqua" w:hAnsi="Book Antiqua"/>
        </w:rPr>
        <w:t xml:space="preserve"> </w:t>
      </w:r>
      <w:r w:rsidR="00467BA2" w:rsidRPr="00CA4C0B">
        <w:rPr>
          <w:rStyle w:val="None"/>
          <w:rFonts w:ascii="Book Antiqua" w:hAnsi="Book Antiqua"/>
        </w:rPr>
        <w:t>“on the protection of animals used for scientific purposes”.</w:t>
      </w:r>
    </w:p>
    <w:p w14:paraId="7B87E712" w14:textId="77777777" w:rsidR="002C01D0" w:rsidRPr="00CA4C0B" w:rsidRDefault="002C01D0" w:rsidP="007F2CA0">
      <w:pPr>
        <w:pStyle w:val="BodyA"/>
        <w:snapToGrid w:val="0"/>
        <w:spacing w:after="0" w:line="360" w:lineRule="auto"/>
        <w:jc w:val="both"/>
        <w:rPr>
          <w:rStyle w:val="None"/>
          <w:rFonts w:ascii="Sylfaen" w:hAnsi="Sylfaen"/>
          <w:b/>
          <w:color w:val="auto"/>
          <w:sz w:val="24"/>
          <w:szCs w:val="24"/>
          <w:lang w:val="ka-GE"/>
        </w:rPr>
      </w:pPr>
    </w:p>
    <w:p w14:paraId="7A87102B" w14:textId="4DCEFC32" w:rsidR="002C01D0" w:rsidRPr="00CA4C0B" w:rsidRDefault="002C01D0" w:rsidP="007F2CA0">
      <w:pPr>
        <w:pStyle w:val="BodyA"/>
        <w:snapToGrid w:val="0"/>
        <w:spacing w:after="0" w:line="360" w:lineRule="auto"/>
        <w:jc w:val="both"/>
        <w:rPr>
          <w:rStyle w:val="None"/>
          <w:rFonts w:ascii="Book Antiqua" w:hAnsi="Book Antiqua"/>
          <w:color w:val="auto"/>
          <w:sz w:val="24"/>
          <w:szCs w:val="24"/>
        </w:rPr>
      </w:pPr>
      <w:r w:rsidRPr="00CA4C0B">
        <w:rPr>
          <w:rStyle w:val="None"/>
          <w:rFonts w:ascii="Book Antiqua" w:hAnsi="Book Antiqua"/>
          <w:b/>
          <w:color w:val="auto"/>
          <w:sz w:val="24"/>
          <w:szCs w:val="24"/>
        </w:rPr>
        <w:t>Conflict-of-interest statement:</w:t>
      </w:r>
      <w:r w:rsidRPr="00CA4C0B">
        <w:rPr>
          <w:rStyle w:val="None"/>
          <w:rFonts w:ascii="Book Antiqua" w:hAnsi="Book Antiqua"/>
          <w:color w:val="auto"/>
          <w:sz w:val="24"/>
          <w:szCs w:val="24"/>
        </w:rPr>
        <w:t xml:space="preserve"> The authors declare that they have no competing interests. The authors do not have any commercial or collaborative relationships that could be constructed as biased or inappropriate.</w:t>
      </w:r>
    </w:p>
    <w:p w14:paraId="27B88C82" w14:textId="77777777" w:rsidR="002C01D0" w:rsidRPr="00CA4C0B" w:rsidRDefault="002C01D0" w:rsidP="007F2CA0">
      <w:pPr>
        <w:pStyle w:val="BodyA"/>
        <w:snapToGrid w:val="0"/>
        <w:spacing w:after="0" w:line="360" w:lineRule="auto"/>
        <w:jc w:val="both"/>
        <w:rPr>
          <w:rStyle w:val="None"/>
          <w:rFonts w:ascii="Book Antiqua" w:hAnsi="Book Antiqua"/>
          <w:color w:val="auto"/>
          <w:sz w:val="24"/>
          <w:szCs w:val="24"/>
        </w:rPr>
      </w:pPr>
    </w:p>
    <w:p w14:paraId="1F72A22E" w14:textId="77777777" w:rsidR="002C01D0" w:rsidRPr="00CA4C0B" w:rsidRDefault="002C01D0" w:rsidP="007F2CA0">
      <w:pPr>
        <w:autoSpaceDE w:val="0"/>
        <w:autoSpaceDN w:val="0"/>
        <w:adjustRightInd w:val="0"/>
        <w:snapToGrid w:val="0"/>
        <w:spacing w:line="360" w:lineRule="auto"/>
        <w:jc w:val="both"/>
        <w:rPr>
          <w:rFonts w:ascii="Book Antiqua" w:hAnsi="Book Antiqua"/>
        </w:rPr>
      </w:pPr>
      <w:r w:rsidRPr="00CA4C0B">
        <w:rPr>
          <w:rFonts w:ascii="Book Antiqua" w:hAnsi="Book Antiqua" w:cs="等线"/>
          <w:b/>
        </w:rPr>
        <w:t>Data sharing statement:</w:t>
      </w:r>
      <w:r w:rsidRPr="00CA4C0B">
        <w:rPr>
          <w:rFonts w:ascii="Book Antiqua" w:hAnsi="Book Antiqua"/>
          <w:b/>
          <w:bCs/>
        </w:rPr>
        <w:t xml:space="preserve"> </w:t>
      </w:r>
      <w:r w:rsidRPr="00CA4C0B">
        <w:rPr>
          <w:rFonts w:ascii="Book Antiqua" w:hAnsi="Book Antiqua"/>
        </w:rPr>
        <w:t>No additional data are available.</w:t>
      </w:r>
    </w:p>
    <w:p w14:paraId="0BC474F6" w14:textId="77777777" w:rsidR="002C01D0" w:rsidRPr="00CA4C0B" w:rsidRDefault="002C01D0" w:rsidP="007F2CA0">
      <w:pPr>
        <w:autoSpaceDE w:val="0"/>
        <w:autoSpaceDN w:val="0"/>
        <w:adjustRightInd w:val="0"/>
        <w:snapToGrid w:val="0"/>
        <w:spacing w:line="360" w:lineRule="auto"/>
        <w:jc w:val="both"/>
        <w:rPr>
          <w:rFonts w:ascii="Book Antiqua" w:hAnsi="Book Antiqua"/>
          <w:b/>
          <w:bCs/>
        </w:rPr>
      </w:pPr>
    </w:p>
    <w:p w14:paraId="2FCC52F9" w14:textId="2D5CF284" w:rsidR="002C01D0" w:rsidRPr="00CA4C0B" w:rsidRDefault="002C01D0" w:rsidP="007F2CA0">
      <w:pPr>
        <w:adjustRightInd w:val="0"/>
        <w:snapToGrid w:val="0"/>
        <w:spacing w:line="360" w:lineRule="auto"/>
        <w:jc w:val="both"/>
        <w:rPr>
          <w:rStyle w:val="None"/>
          <w:rFonts w:ascii="Book Antiqua" w:hAnsi="Book Antiqua"/>
          <w:b/>
          <w:bCs/>
        </w:rPr>
      </w:pPr>
      <w:bookmarkStart w:id="0" w:name="_Hlk39493516"/>
      <w:r w:rsidRPr="00CA4C0B">
        <w:rPr>
          <w:rFonts w:ascii="Book Antiqua" w:hAnsi="Book Antiqua" w:cs="等线"/>
          <w:b/>
          <w:lang w:val="hu-HU"/>
        </w:rPr>
        <w:t>ARRIVE guidelines statement:</w:t>
      </w:r>
      <w:bookmarkEnd w:id="0"/>
      <w:r w:rsidRPr="00CA4C0B">
        <w:rPr>
          <w:rFonts w:ascii="Book Antiqua" w:hAnsi="Book Antiqua" w:cs="等线"/>
          <w:b/>
          <w:lang w:val="hu-HU"/>
        </w:rPr>
        <w:t xml:space="preserve"> </w:t>
      </w:r>
      <w:r w:rsidRPr="00CA4C0B">
        <w:rPr>
          <w:rFonts w:ascii="Book Antiqua" w:hAnsi="Book Antiqua"/>
        </w:rPr>
        <w:t>The authors have read the ARRIVE guidelines, and the manuscript was prepared according to these guidelines.</w:t>
      </w:r>
    </w:p>
    <w:p w14:paraId="1C7C6F2F" w14:textId="77777777" w:rsidR="002C01D0" w:rsidRPr="00CA4C0B" w:rsidRDefault="002C01D0" w:rsidP="007F2CA0">
      <w:pPr>
        <w:snapToGrid w:val="0"/>
        <w:spacing w:line="360" w:lineRule="auto"/>
        <w:jc w:val="both"/>
        <w:rPr>
          <w:rStyle w:val="None"/>
          <w:rFonts w:ascii="Book Antiqua" w:eastAsia="Times New Roman" w:hAnsi="Book Antiqua"/>
        </w:rPr>
      </w:pPr>
    </w:p>
    <w:p w14:paraId="063C1117" w14:textId="77777777" w:rsidR="002C01D0" w:rsidRPr="00CA4C0B" w:rsidRDefault="002C01D0" w:rsidP="007F2CA0">
      <w:pPr>
        <w:widowControl w:val="0"/>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kern w:val="2"/>
          <w:bdr w:val="none" w:sz="0" w:space="0" w:color="auto"/>
          <w:lang w:eastAsia="zh-CN"/>
        </w:rPr>
      </w:pPr>
      <w:r w:rsidRPr="00CA4C0B">
        <w:rPr>
          <w:rFonts w:ascii="Book Antiqua" w:eastAsia="宋体" w:hAnsi="Book Antiqua"/>
          <w:b/>
          <w:kern w:val="2"/>
          <w:bdr w:val="none" w:sz="0" w:space="0" w:color="auto"/>
          <w:lang w:eastAsia="zh-CN"/>
        </w:rPr>
        <w:t>Open-Access:</w:t>
      </w:r>
      <w:r w:rsidRPr="00CA4C0B">
        <w:rPr>
          <w:rFonts w:ascii="Book Antiqua" w:eastAsia="宋体" w:hAnsi="Book Antiqua"/>
          <w:kern w:val="2"/>
          <w:bdr w:val="none" w:sz="0" w:space="0" w:color="auto"/>
          <w:lang w:eastAsia="zh-CN"/>
        </w:rPr>
        <w:t xml:space="preserve"> This article is an open-access article that was selected by an in-house editor and fully peer-reviewed by external reviewers. It is distributed in accordance with the Creative Commons Attribution </w:t>
      </w:r>
      <w:proofErr w:type="spellStart"/>
      <w:r w:rsidRPr="00CA4C0B">
        <w:rPr>
          <w:rFonts w:ascii="Book Antiqua" w:eastAsia="宋体" w:hAnsi="Book Antiqua"/>
          <w:kern w:val="2"/>
          <w:bdr w:val="none" w:sz="0" w:space="0" w:color="auto"/>
          <w:lang w:eastAsia="zh-CN"/>
        </w:rPr>
        <w:t>NonCommercial</w:t>
      </w:r>
      <w:proofErr w:type="spellEnd"/>
      <w:r w:rsidRPr="00CA4C0B">
        <w:rPr>
          <w:rFonts w:ascii="Book Antiqua" w:eastAsia="宋体" w:hAnsi="Book Antiqua"/>
          <w:kern w:val="2"/>
          <w:bdr w:val="none" w:sz="0" w:space="0" w:color="auto"/>
          <w:lang w:eastAsia="zh-CN"/>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49684A10" w14:textId="77777777" w:rsidR="002C01D0" w:rsidRPr="00CA4C0B" w:rsidRDefault="002C01D0" w:rsidP="007F2CA0">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dr w:val="none" w:sz="0" w:space="0" w:color="auto"/>
          <w:lang w:eastAsia="zh-CN"/>
        </w:rPr>
      </w:pPr>
    </w:p>
    <w:p w14:paraId="40EE362F" w14:textId="77777777" w:rsidR="002C01D0" w:rsidRPr="00CA4C0B" w:rsidRDefault="002C01D0" w:rsidP="007F2CA0">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Cs/>
          <w:bdr w:val="none" w:sz="0" w:space="0" w:color="auto"/>
          <w:lang w:val="fr-FR" w:eastAsia="pl-PL"/>
        </w:rPr>
      </w:pPr>
      <w:r w:rsidRPr="00CA4C0B">
        <w:rPr>
          <w:rFonts w:ascii="Book Antiqua" w:eastAsia="宋体" w:hAnsi="Book Antiqua"/>
          <w:b/>
          <w:bCs/>
          <w:bdr w:val="none" w:sz="0" w:space="0" w:color="auto"/>
          <w:lang w:val="fr-FR" w:eastAsia="pl-PL"/>
        </w:rPr>
        <w:t>Manuscript source:</w:t>
      </w:r>
      <w:r w:rsidRPr="00CA4C0B">
        <w:rPr>
          <w:rFonts w:ascii="Book Antiqua" w:eastAsia="宋体" w:hAnsi="Book Antiqua"/>
          <w:b/>
          <w:bCs/>
          <w:bdr w:val="none" w:sz="0" w:space="0" w:color="auto"/>
          <w:lang w:val="fr-FR" w:eastAsia="zh-CN"/>
        </w:rPr>
        <w:t xml:space="preserve"> </w:t>
      </w:r>
      <w:r w:rsidRPr="00CA4C0B">
        <w:rPr>
          <w:rFonts w:ascii="Book Antiqua" w:eastAsia="宋体" w:hAnsi="Book Antiqua"/>
          <w:bCs/>
          <w:bdr w:val="none" w:sz="0" w:space="0" w:color="auto"/>
          <w:lang w:val="fr-FR" w:eastAsia="pl-PL"/>
        </w:rPr>
        <w:t>Unsolicited manuscript</w:t>
      </w:r>
    </w:p>
    <w:p w14:paraId="0DA171E8" w14:textId="77777777" w:rsidR="002C01D0" w:rsidRPr="00CA4C0B" w:rsidRDefault="002C01D0" w:rsidP="007F2CA0">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
          <w:bCs/>
          <w:bdr w:val="none" w:sz="0" w:space="0" w:color="auto"/>
          <w:lang w:val="fr-FR" w:eastAsia="zh-CN"/>
        </w:rPr>
      </w:pPr>
    </w:p>
    <w:p w14:paraId="059B9A0A" w14:textId="116D5480" w:rsidR="002C01D0" w:rsidRPr="00CA4C0B" w:rsidRDefault="002C01D0" w:rsidP="007F2CA0">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
          <w:bdr w:val="none" w:sz="0" w:space="0" w:color="auto"/>
          <w:lang w:eastAsia="zh-CN"/>
        </w:rPr>
      </w:pPr>
      <w:r w:rsidRPr="00CA4C0B">
        <w:rPr>
          <w:rFonts w:ascii="Book Antiqua" w:eastAsia="宋体" w:hAnsi="Book Antiqua"/>
          <w:b/>
          <w:bdr w:val="none" w:sz="0" w:space="0" w:color="auto"/>
        </w:rPr>
        <w:t>Peer-review started:</w:t>
      </w:r>
      <w:r w:rsidRPr="00CA4C0B">
        <w:rPr>
          <w:rFonts w:ascii="Book Antiqua" w:eastAsia="宋体" w:hAnsi="Book Antiqua"/>
          <w:b/>
          <w:bdr w:val="none" w:sz="0" w:space="0" w:color="auto"/>
          <w:lang w:eastAsia="zh-CN"/>
        </w:rPr>
        <w:t xml:space="preserve"> </w:t>
      </w:r>
      <w:r w:rsidR="00A75D4A" w:rsidRPr="00CA4C0B">
        <w:rPr>
          <w:rFonts w:ascii="Book Antiqua" w:eastAsia="宋体" w:hAnsi="Book Antiqua"/>
          <w:bdr w:val="none" w:sz="0" w:space="0" w:color="auto"/>
          <w:lang w:eastAsia="zh-CN"/>
        </w:rPr>
        <w:t>February</w:t>
      </w:r>
      <w:r w:rsidRPr="00CA4C0B">
        <w:rPr>
          <w:rFonts w:ascii="Book Antiqua" w:eastAsia="宋体" w:hAnsi="Book Antiqua"/>
          <w:bdr w:val="none" w:sz="0" w:space="0" w:color="auto"/>
          <w:lang w:eastAsia="zh-CN"/>
        </w:rPr>
        <w:t xml:space="preserve"> 27, 20</w:t>
      </w:r>
      <w:r w:rsidR="00F32C3C" w:rsidRPr="00CA4C0B">
        <w:rPr>
          <w:rFonts w:ascii="Book Antiqua" w:eastAsia="宋体" w:hAnsi="Book Antiqua"/>
          <w:bdr w:val="none" w:sz="0" w:space="0" w:color="auto"/>
          <w:lang w:eastAsia="zh-CN"/>
        </w:rPr>
        <w:t>20</w:t>
      </w:r>
    </w:p>
    <w:p w14:paraId="3D71336C" w14:textId="66F392CA" w:rsidR="002C01D0" w:rsidRPr="00CA4C0B" w:rsidRDefault="002C01D0" w:rsidP="007F2CA0">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
          <w:bdr w:val="none" w:sz="0" w:space="0" w:color="auto"/>
          <w:lang w:eastAsia="zh-CN"/>
        </w:rPr>
      </w:pPr>
      <w:r w:rsidRPr="00CA4C0B">
        <w:rPr>
          <w:rFonts w:ascii="Book Antiqua" w:eastAsia="宋体" w:hAnsi="Book Antiqua"/>
          <w:b/>
          <w:bdr w:val="none" w:sz="0" w:space="0" w:color="auto"/>
        </w:rPr>
        <w:t>First decision:</w:t>
      </w:r>
      <w:r w:rsidRPr="00CA4C0B">
        <w:rPr>
          <w:rFonts w:ascii="Book Antiqua" w:eastAsia="宋体" w:hAnsi="Book Antiqua"/>
          <w:b/>
          <w:bdr w:val="none" w:sz="0" w:space="0" w:color="auto"/>
          <w:lang w:eastAsia="zh-CN"/>
        </w:rPr>
        <w:t xml:space="preserve"> </w:t>
      </w:r>
      <w:r w:rsidR="00F32C3C" w:rsidRPr="00CA4C0B">
        <w:rPr>
          <w:rFonts w:ascii="Book Antiqua" w:eastAsia="宋体" w:hAnsi="Book Antiqua"/>
          <w:bdr w:val="none" w:sz="0" w:space="0" w:color="auto"/>
          <w:lang w:eastAsia="zh-CN"/>
        </w:rPr>
        <w:t>April</w:t>
      </w:r>
      <w:r w:rsidRPr="00CA4C0B">
        <w:rPr>
          <w:rFonts w:ascii="Book Antiqua" w:eastAsia="宋体" w:hAnsi="Book Antiqua"/>
          <w:bdr w:val="none" w:sz="0" w:space="0" w:color="auto"/>
          <w:lang w:eastAsia="zh-CN"/>
        </w:rPr>
        <w:t xml:space="preserve"> </w:t>
      </w:r>
      <w:r w:rsidR="00F32C3C" w:rsidRPr="00CA4C0B">
        <w:rPr>
          <w:rFonts w:ascii="Book Antiqua" w:eastAsia="宋体" w:hAnsi="Book Antiqua"/>
          <w:bdr w:val="none" w:sz="0" w:space="0" w:color="auto"/>
          <w:lang w:eastAsia="zh-CN"/>
        </w:rPr>
        <w:t>30</w:t>
      </w:r>
      <w:r w:rsidRPr="00CA4C0B">
        <w:rPr>
          <w:rFonts w:ascii="Book Antiqua" w:eastAsia="宋体" w:hAnsi="Book Antiqua"/>
          <w:bdr w:val="none" w:sz="0" w:space="0" w:color="auto"/>
          <w:lang w:eastAsia="zh-CN"/>
        </w:rPr>
        <w:t>, 2020</w:t>
      </w:r>
    </w:p>
    <w:p w14:paraId="3ACE7C25" w14:textId="14A93813" w:rsidR="002C01D0" w:rsidRPr="00CA4C0B" w:rsidRDefault="002C01D0" w:rsidP="007F2CA0">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
          <w:bdr w:val="none" w:sz="0" w:space="0" w:color="auto"/>
          <w:lang w:eastAsia="zh-CN"/>
        </w:rPr>
      </w:pPr>
      <w:r w:rsidRPr="00CA4C0B">
        <w:rPr>
          <w:rFonts w:ascii="Book Antiqua" w:eastAsia="宋体" w:hAnsi="Book Antiqua"/>
          <w:b/>
          <w:bdr w:val="none" w:sz="0" w:space="0" w:color="auto"/>
        </w:rPr>
        <w:t>Article in press:</w:t>
      </w:r>
      <w:r w:rsidR="00D61634" w:rsidRPr="00D61634">
        <w:rPr>
          <w:rFonts w:ascii="Book Antiqua" w:eastAsia="宋体" w:hAnsi="Book Antiqua"/>
          <w:bCs/>
          <w:bdr w:val="none" w:sz="0" w:space="0" w:color="auto"/>
          <w:lang w:eastAsia="zh-CN"/>
        </w:rPr>
        <w:t xml:space="preserve"> </w:t>
      </w:r>
      <w:r w:rsidR="00D61634" w:rsidRPr="00F22581">
        <w:rPr>
          <w:rFonts w:ascii="Book Antiqua" w:eastAsia="宋体" w:hAnsi="Book Antiqua"/>
          <w:bCs/>
          <w:bdr w:val="none" w:sz="0" w:space="0" w:color="auto"/>
          <w:lang w:eastAsia="zh-CN"/>
        </w:rPr>
        <w:t>June 23, 2020</w:t>
      </w:r>
    </w:p>
    <w:p w14:paraId="1E7D5CFA" w14:textId="77777777" w:rsidR="002C01D0" w:rsidRPr="00CA4C0B" w:rsidRDefault="002C01D0" w:rsidP="007F2CA0">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
          <w:bdr w:val="none" w:sz="0" w:space="0" w:color="auto"/>
          <w:lang w:eastAsia="zh-CN"/>
        </w:rPr>
      </w:pPr>
    </w:p>
    <w:p w14:paraId="4A64ABE0" w14:textId="77777777" w:rsidR="002C01D0" w:rsidRPr="00CA4C0B" w:rsidRDefault="002C01D0" w:rsidP="007F2CA0">
      <w:pPr>
        <w:widowControl w:val="0"/>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微软雅黑" w:hAnsi="Book Antiqua"/>
          <w:bdr w:val="none" w:sz="0" w:space="0" w:color="auto"/>
          <w:lang w:val="fr-FR" w:eastAsia="zh-CN"/>
        </w:rPr>
      </w:pPr>
      <w:r w:rsidRPr="00CA4C0B">
        <w:rPr>
          <w:rFonts w:ascii="Book Antiqua" w:eastAsia="宋体" w:hAnsi="Book Antiqua"/>
          <w:b/>
          <w:bdr w:val="none" w:sz="0" w:space="0" w:color="auto"/>
          <w:lang w:val="fr-FR" w:eastAsia="zh-CN"/>
        </w:rPr>
        <w:t xml:space="preserve">Specialty type: </w:t>
      </w:r>
      <w:r w:rsidRPr="00CA4C0B">
        <w:rPr>
          <w:rFonts w:ascii="Book Antiqua" w:eastAsia="微软雅黑" w:hAnsi="Book Antiqua"/>
          <w:bdr w:val="none" w:sz="0" w:space="0" w:color="auto"/>
          <w:lang w:val="fr-FR" w:eastAsia="zh-CN"/>
        </w:rPr>
        <w:t>Gastroenterology and hepatology</w:t>
      </w:r>
    </w:p>
    <w:p w14:paraId="13228E0A" w14:textId="50DC3715" w:rsidR="002C01D0" w:rsidRPr="00CA4C0B" w:rsidRDefault="002C01D0" w:rsidP="007F2CA0">
      <w:pPr>
        <w:widowControl w:val="0"/>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
          <w:bdr w:val="none" w:sz="0" w:space="0" w:color="auto"/>
          <w:lang w:val="fr-FR" w:eastAsia="zh-CN"/>
        </w:rPr>
      </w:pPr>
      <w:r w:rsidRPr="00CA4C0B">
        <w:rPr>
          <w:rFonts w:ascii="Book Antiqua" w:eastAsia="宋体" w:hAnsi="Book Antiqua"/>
          <w:b/>
          <w:bdr w:val="none" w:sz="0" w:space="0" w:color="auto"/>
          <w:lang w:val="fr-FR" w:eastAsia="zh-CN"/>
        </w:rPr>
        <w:t>Country/Territory of origin:</w:t>
      </w:r>
      <w:r w:rsidR="003F4E3A" w:rsidRPr="00CA4C0B">
        <w:rPr>
          <w:rFonts w:ascii="Book Antiqua" w:eastAsia="宋体" w:hAnsi="Book Antiqua"/>
          <w:bdr w:val="none" w:sz="0" w:space="0" w:color="auto"/>
          <w:lang w:eastAsia="zh-CN"/>
        </w:rPr>
        <w:t xml:space="preserve"> Georgia</w:t>
      </w:r>
    </w:p>
    <w:p w14:paraId="2FAFCB0F" w14:textId="77777777" w:rsidR="002C01D0" w:rsidRPr="00CA4C0B" w:rsidRDefault="002C01D0" w:rsidP="007F2CA0">
      <w:pPr>
        <w:widowControl w:val="0"/>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
          <w:bdr w:val="none" w:sz="0" w:space="0" w:color="auto"/>
          <w:lang w:val="fr-FR" w:eastAsia="zh-CN"/>
        </w:rPr>
      </w:pPr>
      <w:r w:rsidRPr="00CA4C0B">
        <w:rPr>
          <w:rFonts w:ascii="Book Antiqua" w:eastAsia="宋体" w:hAnsi="Book Antiqua"/>
          <w:b/>
          <w:bdr w:val="none" w:sz="0" w:space="0" w:color="auto"/>
          <w:lang w:val="fr-FR" w:eastAsia="zh-CN"/>
        </w:rPr>
        <w:t>Peer-review report’s scientific quality classification</w:t>
      </w:r>
    </w:p>
    <w:p w14:paraId="060DC57C" w14:textId="77777777" w:rsidR="002C01D0" w:rsidRPr="00CA4C0B" w:rsidRDefault="002C01D0" w:rsidP="007F2CA0">
      <w:pPr>
        <w:widowControl w:val="0"/>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dr w:val="none" w:sz="0" w:space="0" w:color="auto"/>
          <w:lang w:val="fr-FR" w:eastAsia="zh-CN"/>
        </w:rPr>
      </w:pPr>
      <w:r w:rsidRPr="00CA4C0B">
        <w:rPr>
          <w:rFonts w:ascii="Book Antiqua" w:eastAsia="宋体" w:hAnsi="Book Antiqua"/>
          <w:bdr w:val="none" w:sz="0" w:space="0" w:color="auto"/>
          <w:lang w:val="fr-FR" w:eastAsia="zh-CN"/>
        </w:rPr>
        <w:t>Grade A (Excellent): 0</w:t>
      </w:r>
    </w:p>
    <w:p w14:paraId="595DE104" w14:textId="02BBB9AF" w:rsidR="002C01D0" w:rsidRPr="00CA4C0B" w:rsidRDefault="002C01D0" w:rsidP="007F2CA0">
      <w:pPr>
        <w:widowControl w:val="0"/>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dr w:val="none" w:sz="0" w:space="0" w:color="auto"/>
          <w:lang w:val="fr-FR" w:eastAsia="zh-CN"/>
        </w:rPr>
      </w:pPr>
      <w:r w:rsidRPr="00CA4C0B">
        <w:rPr>
          <w:rFonts w:ascii="Book Antiqua" w:eastAsia="宋体" w:hAnsi="Book Antiqua"/>
          <w:bdr w:val="none" w:sz="0" w:space="0" w:color="auto"/>
          <w:lang w:val="fr-FR" w:eastAsia="zh-CN"/>
        </w:rPr>
        <w:t xml:space="preserve">Grade B (Very good): </w:t>
      </w:r>
      <w:r w:rsidR="003F4E3A" w:rsidRPr="00CA4C0B">
        <w:rPr>
          <w:rFonts w:ascii="Book Antiqua" w:eastAsia="宋体" w:hAnsi="Book Antiqua"/>
          <w:bdr w:val="none" w:sz="0" w:space="0" w:color="auto"/>
          <w:lang w:val="fr-FR" w:eastAsia="zh-CN"/>
        </w:rPr>
        <w:t>0</w:t>
      </w:r>
    </w:p>
    <w:p w14:paraId="018E2E6C" w14:textId="2787DA39" w:rsidR="002C01D0" w:rsidRPr="00CA4C0B" w:rsidRDefault="002C01D0" w:rsidP="007F2CA0">
      <w:pPr>
        <w:widowControl w:val="0"/>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dr w:val="none" w:sz="0" w:space="0" w:color="auto"/>
          <w:lang w:val="fr-FR" w:eastAsia="zh-CN"/>
        </w:rPr>
      </w:pPr>
      <w:r w:rsidRPr="00CA4C0B">
        <w:rPr>
          <w:rFonts w:ascii="Book Antiqua" w:eastAsia="宋体" w:hAnsi="Book Antiqua"/>
          <w:bdr w:val="none" w:sz="0" w:space="0" w:color="auto"/>
          <w:lang w:val="fr-FR" w:eastAsia="zh-CN"/>
        </w:rPr>
        <w:t xml:space="preserve">Grade C (Good): </w:t>
      </w:r>
      <w:r w:rsidR="003F4E3A" w:rsidRPr="00CA4C0B">
        <w:rPr>
          <w:rFonts w:ascii="Book Antiqua" w:eastAsia="宋体" w:hAnsi="Book Antiqua"/>
          <w:bdr w:val="none" w:sz="0" w:space="0" w:color="auto"/>
          <w:lang w:val="fr-FR" w:eastAsia="zh-CN"/>
        </w:rPr>
        <w:t>C</w:t>
      </w:r>
    </w:p>
    <w:p w14:paraId="4697A227" w14:textId="77777777" w:rsidR="002C01D0" w:rsidRPr="00CA4C0B" w:rsidRDefault="002C01D0" w:rsidP="007F2CA0">
      <w:pPr>
        <w:widowControl w:val="0"/>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dr w:val="none" w:sz="0" w:space="0" w:color="auto"/>
          <w:lang w:val="fr-FR" w:eastAsia="zh-CN"/>
        </w:rPr>
      </w:pPr>
      <w:r w:rsidRPr="00CA4C0B">
        <w:rPr>
          <w:rFonts w:ascii="Book Antiqua" w:eastAsia="宋体" w:hAnsi="Book Antiqua"/>
          <w:bdr w:val="none" w:sz="0" w:space="0" w:color="auto"/>
          <w:lang w:val="fr-FR" w:eastAsia="zh-CN"/>
        </w:rPr>
        <w:t>Grade D (Fair): 0</w:t>
      </w:r>
    </w:p>
    <w:p w14:paraId="42347F7F" w14:textId="77777777" w:rsidR="002C01D0" w:rsidRPr="00CA4C0B" w:rsidRDefault="002C01D0" w:rsidP="007F2CA0">
      <w:pPr>
        <w:widowControl w:val="0"/>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等线" w:hAnsi="Book Antiqua"/>
          <w:kern w:val="2"/>
          <w:bdr w:val="none" w:sz="0" w:space="0" w:color="auto"/>
          <w:lang w:val="hu-HU" w:eastAsia="zh-CN"/>
        </w:rPr>
      </w:pPr>
      <w:r w:rsidRPr="00CA4C0B">
        <w:rPr>
          <w:rFonts w:ascii="Book Antiqua" w:eastAsia="宋体" w:hAnsi="Book Antiqua"/>
          <w:bdr w:val="none" w:sz="0" w:space="0" w:color="auto"/>
          <w:lang w:val="fr-FR" w:eastAsia="zh-CN"/>
        </w:rPr>
        <w:t>Grade E (Poor): 0</w:t>
      </w:r>
    </w:p>
    <w:p w14:paraId="730BFB75" w14:textId="77777777" w:rsidR="002C01D0" w:rsidRPr="00CA4C0B" w:rsidRDefault="002C01D0" w:rsidP="007F2CA0">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ind w:right="361"/>
        <w:jc w:val="both"/>
        <w:rPr>
          <w:rFonts w:ascii="Book Antiqua" w:eastAsia="宋体" w:hAnsi="Book Antiqua"/>
          <w:bdr w:val="none" w:sz="0" w:space="0" w:color="auto"/>
          <w:lang w:eastAsia="zh-CN"/>
        </w:rPr>
      </w:pPr>
    </w:p>
    <w:p w14:paraId="05F86C70" w14:textId="0B971D04" w:rsidR="002C01D0" w:rsidRPr="00CA4C0B" w:rsidRDefault="002C01D0" w:rsidP="007F2CA0">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ind w:right="361"/>
        <w:jc w:val="both"/>
        <w:rPr>
          <w:rStyle w:val="None"/>
          <w:rFonts w:ascii="Book Antiqua" w:eastAsia="宋体" w:hAnsi="Book Antiqua"/>
          <w:b/>
          <w:bCs/>
          <w:bdr w:val="none" w:sz="0" w:space="0" w:color="auto"/>
          <w:lang w:eastAsia="zh-CN"/>
        </w:rPr>
      </w:pPr>
      <w:r w:rsidRPr="00CA4C0B">
        <w:rPr>
          <w:rFonts w:ascii="Book Antiqua" w:eastAsia="宋体" w:hAnsi="Book Antiqua"/>
          <w:b/>
          <w:bdr w:val="none" w:sz="0" w:space="0" w:color="auto"/>
        </w:rPr>
        <w:t>P-Reviewer</w:t>
      </w:r>
      <w:r w:rsidRPr="00CA4C0B">
        <w:rPr>
          <w:rFonts w:ascii="Book Antiqua" w:eastAsia="宋体" w:hAnsi="Book Antiqua"/>
          <w:b/>
          <w:bdr w:val="none" w:sz="0" w:space="0" w:color="auto"/>
          <w:lang w:eastAsia="zh-CN"/>
        </w:rPr>
        <w:t>:</w:t>
      </w:r>
      <w:r w:rsidR="00F7733D" w:rsidRPr="00CA4C0B">
        <w:rPr>
          <w:rFonts w:ascii="Book Antiqua" w:eastAsia="宋体" w:hAnsi="Book Antiqua"/>
          <w:bCs/>
          <w:bdr w:val="none" w:sz="0" w:space="0" w:color="auto"/>
        </w:rPr>
        <w:t xml:space="preserve"> </w:t>
      </w:r>
      <w:r w:rsidR="003F4E3A" w:rsidRPr="00CA4C0B">
        <w:rPr>
          <w:rFonts w:ascii="Book Antiqua" w:eastAsia="宋体" w:hAnsi="Book Antiqua"/>
          <w:bCs/>
          <w:bdr w:val="none" w:sz="0" w:space="0" w:color="auto"/>
        </w:rPr>
        <w:t xml:space="preserve">Xu J </w:t>
      </w:r>
      <w:r w:rsidRPr="00CA4C0B">
        <w:rPr>
          <w:rFonts w:ascii="Book Antiqua" w:eastAsia="宋体" w:hAnsi="Book Antiqua"/>
          <w:b/>
          <w:bCs/>
          <w:bdr w:val="none" w:sz="0" w:space="0" w:color="auto"/>
        </w:rPr>
        <w:t>S-Editor</w:t>
      </w:r>
      <w:r w:rsidRPr="00CA4C0B">
        <w:rPr>
          <w:rFonts w:ascii="Book Antiqua" w:eastAsia="宋体" w:hAnsi="Book Antiqua"/>
          <w:b/>
          <w:bCs/>
          <w:bdr w:val="none" w:sz="0" w:space="0" w:color="auto"/>
          <w:lang w:eastAsia="zh-CN"/>
        </w:rPr>
        <w:t>:</w:t>
      </w:r>
      <w:r w:rsidRPr="00CA4C0B">
        <w:rPr>
          <w:rFonts w:ascii="Book Antiqua" w:eastAsia="宋体" w:hAnsi="Book Antiqua"/>
          <w:bCs/>
          <w:bdr w:val="none" w:sz="0" w:space="0" w:color="auto"/>
        </w:rPr>
        <w:t xml:space="preserve"> </w:t>
      </w:r>
      <w:r w:rsidRPr="00CA4C0B">
        <w:rPr>
          <w:rFonts w:ascii="Book Antiqua" w:eastAsia="宋体" w:hAnsi="Book Antiqua"/>
          <w:bCs/>
          <w:bdr w:val="none" w:sz="0" w:space="0" w:color="auto"/>
          <w:lang w:eastAsia="zh-CN"/>
        </w:rPr>
        <w:t>Gong ZM</w:t>
      </w:r>
      <w:r w:rsidRPr="00CA4C0B">
        <w:rPr>
          <w:rFonts w:ascii="Book Antiqua" w:eastAsia="宋体" w:hAnsi="Book Antiqua"/>
          <w:b/>
          <w:bCs/>
          <w:bdr w:val="none" w:sz="0" w:space="0" w:color="auto"/>
        </w:rPr>
        <w:t xml:space="preserve"> L-Editor</w:t>
      </w:r>
      <w:r w:rsidRPr="00CA4C0B">
        <w:rPr>
          <w:rFonts w:ascii="Book Antiqua" w:eastAsia="宋体" w:hAnsi="Book Antiqua"/>
          <w:b/>
          <w:bCs/>
          <w:bdr w:val="none" w:sz="0" w:space="0" w:color="auto"/>
          <w:lang w:eastAsia="zh-CN"/>
        </w:rPr>
        <w:t>:</w:t>
      </w:r>
      <w:r w:rsidR="00D61634">
        <w:rPr>
          <w:rFonts w:ascii="Book Antiqua" w:eastAsia="宋体" w:hAnsi="Book Antiqua" w:hint="eastAsia"/>
          <w:b/>
          <w:bCs/>
          <w:bdr w:val="none" w:sz="0" w:space="0" w:color="auto"/>
          <w:lang w:eastAsia="zh-CN"/>
        </w:rPr>
        <w:t xml:space="preserve"> </w:t>
      </w:r>
      <w:proofErr w:type="gramStart"/>
      <w:r w:rsidR="00D61634">
        <w:rPr>
          <w:rFonts w:ascii="Book Antiqua" w:eastAsia="宋体" w:hAnsi="Book Antiqua" w:hint="eastAsia"/>
          <w:b/>
          <w:bCs/>
          <w:bdr w:val="none" w:sz="0" w:space="0" w:color="auto"/>
          <w:lang w:eastAsia="zh-CN"/>
        </w:rPr>
        <w:t xml:space="preserve">A </w:t>
      </w:r>
      <w:r w:rsidRPr="00CA4C0B">
        <w:rPr>
          <w:rFonts w:ascii="Book Antiqua" w:eastAsia="宋体" w:hAnsi="Book Antiqua"/>
          <w:b/>
          <w:bCs/>
          <w:bdr w:val="none" w:sz="0" w:space="0" w:color="auto"/>
        </w:rPr>
        <w:t xml:space="preserve"> E</w:t>
      </w:r>
      <w:proofErr w:type="gramEnd"/>
      <w:r w:rsidRPr="00CA4C0B">
        <w:rPr>
          <w:rFonts w:ascii="Book Antiqua" w:eastAsia="宋体" w:hAnsi="Book Antiqua"/>
          <w:b/>
          <w:bCs/>
          <w:bdr w:val="none" w:sz="0" w:space="0" w:color="auto"/>
        </w:rPr>
        <w:t>-Editor</w:t>
      </w:r>
      <w:r w:rsidRPr="00CA4C0B">
        <w:rPr>
          <w:rFonts w:ascii="Book Antiqua" w:eastAsia="宋体" w:hAnsi="Book Antiqua"/>
          <w:b/>
          <w:bCs/>
          <w:bdr w:val="none" w:sz="0" w:space="0" w:color="auto"/>
          <w:lang w:eastAsia="zh-CN"/>
        </w:rPr>
        <w:t>:</w:t>
      </w:r>
      <w:bookmarkStart w:id="1" w:name="_GoBack"/>
      <w:bookmarkEnd w:id="1"/>
      <w:r w:rsidR="00D61634" w:rsidRPr="00D61634">
        <w:rPr>
          <w:rFonts w:ascii="Book Antiqua" w:eastAsia="宋体" w:hAnsi="Book Antiqua" w:hint="eastAsia"/>
          <w:bCs/>
          <w:bdr w:val="none" w:sz="0" w:space="0" w:color="auto"/>
          <w:lang w:eastAsia="zh-CN"/>
        </w:rPr>
        <w:t xml:space="preserve"> Ma YJ</w:t>
      </w:r>
    </w:p>
    <w:p w14:paraId="70C1F9BD" w14:textId="77777777" w:rsidR="00D00836" w:rsidRPr="00CA4C0B" w:rsidRDefault="00D00836" w:rsidP="007F2CA0">
      <w:pPr>
        <w:snapToGrid w:val="0"/>
        <w:spacing w:line="360" w:lineRule="auto"/>
        <w:jc w:val="both"/>
        <w:rPr>
          <w:rStyle w:val="None"/>
          <w:rFonts w:ascii="Book Antiqua" w:eastAsia="Times New Roman" w:hAnsi="Book Antiqua"/>
          <w:u w:color="000000"/>
          <w14:textOutline w14:w="12700" w14:cap="flat" w14:cmpd="sng" w14:algn="ctr">
            <w14:noFill/>
            <w14:prstDash w14:val="solid"/>
            <w14:miter w14:lim="400000"/>
          </w14:textOutline>
        </w:rPr>
      </w:pPr>
      <w:r w:rsidRPr="00CA4C0B">
        <w:rPr>
          <w:rStyle w:val="None"/>
          <w:rFonts w:ascii="Book Antiqua" w:eastAsia="Times New Roman" w:hAnsi="Book Antiqua"/>
        </w:rPr>
        <w:br w:type="page"/>
      </w:r>
    </w:p>
    <w:p w14:paraId="28D661CD" w14:textId="77777777" w:rsidR="00CE4AE4" w:rsidRPr="00CA4C0B" w:rsidRDefault="00CE4AE4" w:rsidP="007F2CA0">
      <w:pPr>
        <w:adjustRightInd w:val="0"/>
        <w:snapToGrid w:val="0"/>
        <w:spacing w:line="360" w:lineRule="auto"/>
        <w:jc w:val="both"/>
        <w:rPr>
          <w:rFonts w:ascii="Book Antiqua" w:hAnsi="Book Antiqua"/>
          <w:b/>
        </w:rPr>
      </w:pPr>
      <w:r w:rsidRPr="00CA4C0B">
        <w:rPr>
          <w:rFonts w:ascii="Book Antiqua" w:hAnsi="Book Antiqua"/>
          <w:b/>
        </w:rPr>
        <w:lastRenderedPageBreak/>
        <w:t>Figure Legends</w:t>
      </w:r>
    </w:p>
    <w:p w14:paraId="454777AA" w14:textId="7344D9B2" w:rsidR="003D1562" w:rsidRPr="001D2E4E" w:rsidRDefault="003D1562" w:rsidP="007F2CA0">
      <w:pPr>
        <w:pStyle w:val="BodyA"/>
        <w:snapToGrid w:val="0"/>
        <w:spacing w:after="0" w:line="360" w:lineRule="auto"/>
        <w:jc w:val="both"/>
        <w:rPr>
          <w:rStyle w:val="None"/>
          <w:rFonts w:ascii="Book Antiqua" w:eastAsia="Times New Roman" w:hAnsi="Book Antiqua" w:cs="Times New Roman"/>
          <w:color w:val="auto"/>
          <w:sz w:val="24"/>
          <w:szCs w:val="24"/>
        </w:rPr>
      </w:pPr>
      <w:r w:rsidRPr="001D2E4E">
        <w:rPr>
          <w:rFonts w:ascii="Book Antiqua" w:hAnsi="Book Antiqua"/>
          <w:noProof/>
          <w:color w:val="auto"/>
          <w:sz w:val="24"/>
          <w:szCs w:val="24"/>
          <w:lang w:eastAsia="zh-CN"/>
        </w:rPr>
        <w:drawing>
          <wp:inline distT="0" distB="0" distL="0" distR="0" wp14:anchorId="336075F4" wp14:editId="4338E345">
            <wp:extent cx="5486400" cy="297243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86400" cy="2972435"/>
                    </a:xfrm>
                    <a:prstGeom prst="rect">
                      <a:avLst/>
                    </a:prstGeom>
                  </pic:spPr>
                </pic:pic>
              </a:graphicData>
            </a:graphic>
          </wp:inline>
        </w:drawing>
      </w:r>
    </w:p>
    <w:p w14:paraId="26FD06A3" w14:textId="13748870" w:rsidR="007A58F2" w:rsidRPr="001D2E4E" w:rsidRDefault="002955C8" w:rsidP="007F2CA0">
      <w:pPr>
        <w:pStyle w:val="BodyA"/>
        <w:snapToGrid w:val="0"/>
        <w:spacing w:after="0" w:line="360" w:lineRule="auto"/>
        <w:jc w:val="both"/>
        <w:rPr>
          <w:rFonts w:ascii="Book Antiqua" w:eastAsia="Times New Roman" w:hAnsi="Book Antiqua"/>
          <w:color w:val="auto"/>
          <w:sz w:val="24"/>
          <w:szCs w:val="24"/>
        </w:rPr>
      </w:pPr>
      <w:r w:rsidRPr="001D2E4E">
        <w:rPr>
          <w:rFonts w:ascii="Book Antiqua" w:eastAsia="Times New Roman" w:hAnsi="Book Antiqua"/>
          <w:b/>
          <w:color w:val="auto"/>
          <w:sz w:val="24"/>
          <w:szCs w:val="24"/>
        </w:rPr>
        <w:t xml:space="preserve">Figure 1 Schematic and histological figures of liver lobule. </w:t>
      </w:r>
      <w:r w:rsidRPr="001D2E4E">
        <w:rPr>
          <w:rFonts w:ascii="Book Antiqua" w:eastAsia="Times New Roman" w:hAnsi="Book Antiqua"/>
          <w:color w:val="auto"/>
          <w:sz w:val="24"/>
          <w:szCs w:val="24"/>
        </w:rPr>
        <w:t>A</w:t>
      </w:r>
      <w:r w:rsidR="009149B9" w:rsidRPr="001D2E4E">
        <w:rPr>
          <w:rFonts w:ascii="Book Antiqua" w:eastAsia="Times New Roman" w:hAnsi="Book Antiqua"/>
          <w:color w:val="auto"/>
          <w:sz w:val="24"/>
          <w:szCs w:val="24"/>
        </w:rPr>
        <w:t xml:space="preserve">: </w:t>
      </w:r>
      <w:r w:rsidRPr="001D2E4E">
        <w:rPr>
          <w:rFonts w:ascii="Book Antiqua" w:eastAsia="Times New Roman" w:hAnsi="Book Antiqua"/>
          <w:color w:val="auto"/>
          <w:sz w:val="24"/>
          <w:szCs w:val="24"/>
        </w:rPr>
        <w:t>Schematic illu</w:t>
      </w:r>
      <w:r w:rsidRPr="001D2E4E">
        <w:rPr>
          <w:rFonts w:ascii="Book Antiqua" w:eastAsia="Times New Roman" w:hAnsi="Book Antiqua"/>
          <w:color w:val="auto"/>
          <w:sz w:val="24"/>
          <w:szCs w:val="24"/>
        </w:rPr>
        <w:t>s</w:t>
      </w:r>
      <w:r w:rsidRPr="001D2E4E">
        <w:rPr>
          <w:rFonts w:ascii="Book Antiqua" w:eastAsia="Times New Roman" w:hAnsi="Book Antiqua"/>
          <w:color w:val="auto"/>
          <w:sz w:val="24"/>
          <w:szCs w:val="24"/>
        </w:rPr>
        <w:t>tration of mutual compatibility of “classical” and “portal” lobules with hepatic acini. I, II, III – the zones of the acinus. The hatched periportal area “a” – loca</w:t>
      </w:r>
      <w:r w:rsidRPr="001D2E4E">
        <w:rPr>
          <w:rFonts w:ascii="Book Antiqua" w:eastAsia="Times New Roman" w:hAnsi="Book Antiqua"/>
          <w:color w:val="auto"/>
          <w:sz w:val="24"/>
          <w:szCs w:val="24"/>
        </w:rPr>
        <w:t>l</w:t>
      </w:r>
      <w:r w:rsidRPr="001D2E4E">
        <w:rPr>
          <w:rFonts w:ascii="Book Antiqua" w:eastAsia="Times New Roman" w:hAnsi="Book Antiqua"/>
          <w:color w:val="auto"/>
          <w:sz w:val="24"/>
          <w:szCs w:val="24"/>
        </w:rPr>
        <w:t>ized in the 1</w:t>
      </w:r>
      <w:r w:rsidRPr="001D2E4E">
        <w:rPr>
          <w:rFonts w:ascii="Book Antiqua" w:eastAsia="Times New Roman" w:hAnsi="Book Antiqua"/>
          <w:color w:val="auto"/>
          <w:sz w:val="24"/>
          <w:szCs w:val="24"/>
          <w:vertAlign w:val="superscript"/>
        </w:rPr>
        <w:t>st</w:t>
      </w:r>
      <w:r w:rsidRPr="001D2E4E">
        <w:rPr>
          <w:rFonts w:ascii="Book Antiqua" w:eastAsia="Times New Roman" w:hAnsi="Book Antiqua"/>
          <w:color w:val="auto"/>
          <w:sz w:val="24"/>
          <w:szCs w:val="24"/>
        </w:rPr>
        <w:t xml:space="preserve"> zone of the acinus. The hatched pericentral area “b” – localized in the 3</w:t>
      </w:r>
      <w:r w:rsidRPr="001D2E4E">
        <w:rPr>
          <w:rFonts w:ascii="Book Antiqua" w:eastAsia="Times New Roman" w:hAnsi="Book Antiqua"/>
          <w:color w:val="auto"/>
          <w:sz w:val="24"/>
          <w:szCs w:val="24"/>
          <w:vertAlign w:val="superscript"/>
        </w:rPr>
        <w:t>rd</w:t>
      </w:r>
      <w:r w:rsidRPr="001D2E4E">
        <w:rPr>
          <w:rFonts w:ascii="Book Antiqua" w:eastAsia="Times New Roman" w:hAnsi="Book Antiqua"/>
          <w:color w:val="auto"/>
          <w:sz w:val="24"/>
          <w:szCs w:val="24"/>
        </w:rPr>
        <w:t xml:space="preserve"> zone of the acinus. White arrow – central vein; black arrow – portal triad. B</w:t>
      </w:r>
      <w:r w:rsidR="009149B9" w:rsidRPr="001D2E4E">
        <w:rPr>
          <w:rFonts w:ascii="Book Antiqua" w:eastAsia="Times New Roman" w:hAnsi="Book Antiqua"/>
          <w:color w:val="auto"/>
          <w:sz w:val="24"/>
          <w:szCs w:val="24"/>
        </w:rPr>
        <w:t xml:space="preserve">: </w:t>
      </w:r>
      <w:r w:rsidRPr="001D2E4E">
        <w:rPr>
          <w:rFonts w:ascii="Book Antiqua" w:eastAsia="Times New Roman" w:hAnsi="Book Antiqua"/>
          <w:caps/>
          <w:color w:val="auto"/>
          <w:sz w:val="24"/>
          <w:szCs w:val="24"/>
        </w:rPr>
        <w:t>p</w:t>
      </w:r>
      <w:r w:rsidRPr="001D2E4E">
        <w:rPr>
          <w:rFonts w:ascii="Book Antiqua" w:eastAsia="Times New Roman" w:hAnsi="Book Antiqua"/>
          <w:color w:val="auto"/>
          <w:sz w:val="24"/>
          <w:szCs w:val="24"/>
        </w:rPr>
        <w:t>ericentral hepatocytes (CK8) ObX40; OcX20; C</w:t>
      </w:r>
      <w:r w:rsidR="006A0BCF" w:rsidRPr="001D2E4E">
        <w:rPr>
          <w:rFonts w:ascii="Book Antiqua" w:eastAsia="Times New Roman" w:hAnsi="Book Antiqua"/>
          <w:color w:val="auto"/>
          <w:sz w:val="24"/>
          <w:szCs w:val="24"/>
        </w:rPr>
        <w:t xml:space="preserve">: </w:t>
      </w:r>
      <w:r w:rsidRPr="001D2E4E">
        <w:rPr>
          <w:rFonts w:ascii="Book Antiqua" w:eastAsia="Times New Roman" w:hAnsi="Book Antiqua"/>
          <w:caps/>
          <w:color w:val="auto"/>
          <w:sz w:val="24"/>
          <w:szCs w:val="24"/>
        </w:rPr>
        <w:t>p</w:t>
      </w:r>
      <w:r w:rsidRPr="001D2E4E">
        <w:rPr>
          <w:rFonts w:ascii="Book Antiqua" w:eastAsia="Times New Roman" w:hAnsi="Book Antiqua"/>
          <w:color w:val="auto"/>
          <w:sz w:val="24"/>
          <w:szCs w:val="24"/>
        </w:rPr>
        <w:t>eriportal hepatocytes (CK8). ObX40; OcX20</w:t>
      </w:r>
      <w:r w:rsidR="007A58F2" w:rsidRPr="001D2E4E">
        <w:rPr>
          <w:rFonts w:ascii="Book Antiqua" w:hAnsi="Book Antiqua"/>
          <w:color w:val="auto"/>
          <w:sz w:val="24"/>
          <w:szCs w:val="24"/>
          <w:lang w:eastAsia="zh-CN"/>
        </w:rPr>
        <w:t>.</w:t>
      </w:r>
    </w:p>
    <w:p w14:paraId="67791ABD" w14:textId="77777777" w:rsidR="007A58F2" w:rsidRPr="00CA4C0B" w:rsidRDefault="007A58F2" w:rsidP="007F2CA0">
      <w:pPr>
        <w:spacing w:line="360" w:lineRule="auto"/>
        <w:jc w:val="both"/>
        <w:rPr>
          <w:rFonts w:ascii="Book Antiqua" w:eastAsia="Times New Roman" w:hAnsi="Book Antiqua" w:cs="Arial Unicode MS"/>
          <w:sz w:val="22"/>
          <w:szCs w:val="22"/>
          <w:u w:color="000000"/>
          <w14:textOutline w14:w="12700" w14:cap="flat" w14:cmpd="sng" w14:algn="ctr">
            <w14:noFill/>
            <w14:prstDash w14:val="solid"/>
            <w14:miter w14:lim="400000"/>
          </w14:textOutline>
        </w:rPr>
      </w:pPr>
      <w:r w:rsidRPr="00CA4C0B">
        <w:rPr>
          <w:rFonts w:ascii="Book Antiqua" w:eastAsia="Times New Roman" w:hAnsi="Book Antiqua"/>
        </w:rPr>
        <w:br w:type="page"/>
      </w:r>
    </w:p>
    <w:p w14:paraId="3B7F1C18" w14:textId="65198D75" w:rsidR="0004115B" w:rsidRPr="00CA4C0B" w:rsidRDefault="00BD6F45" w:rsidP="007F2CA0">
      <w:pPr>
        <w:snapToGrid w:val="0"/>
        <w:spacing w:line="360" w:lineRule="auto"/>
        <w:jc w:val="both"/>
        <w:rPr>
          <w:rFonts w:ascii="Book Antiqua" w:hAnsi="Book Antiqua"/>
        </w:rPr>
      </w:pPr>
      <w:r w:rsidRPr="00CA4C0B">
        <w:rPr>
          <w:rFonts w:ascii="Book Antiqua" w:hAnsi="Book Antiqua"/>
          <w:noProof/>
          <w:lang w:eastAsia="zh-CN"/>
        </w:rPr>
        <w:lastRenderedPageBreak/>
        <w:drawing>
          <wp:inline distT="0" distB="0" distL="0" distR="0" wp14:anchorId="5B87F567" wp14:editId="2054B3FF">
            <wp:extent cx="5480779" cy="3353091"/>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e 2.png"/>
                    <pic:cNvPicPr/>
                  </pic:nvPicPr>
                  <pic:blipFill>
                    <a:blip r:embed="rId10">
                      <a:extLst>
                        <a:ext uri="{28A0092B-C50C-407E-A947-70E740481C1C}">
                          <a14:useLocalDpi xmlns:a14="http://schemas.microsoft.com/office/drawing/2010/main" val="0"/>
                        </a:ext>
                      </a:extLst>
                    </a:blip>
                    <a:stretch>
                      <a:fillRect/>
                    </a:stretch>
                  </pic:blipFill>
                  <pic:spPr>
                    <a:xfrm>
                      <a:off x="0" y="0"/>
                      <a:ext cx="5480779" cy="3353091"/>
                    </a:xfrm>
                    <a:prstGeom prst="rect">
                      <a:avLst/>
                    </a:prstGeom>
                  </pic:spPr>
                </pic:pic>
              </a:graphicData>
            </a:graphic>
          </wp:inline>
        </w:drawing>
      </w:r>
    </w:p>
    <w:p w14:paraId="6E181386" w14:textId="3D01B21F" w:rsidR="00545631" w:rsidRPr="00CA4C0B" w:rsidRDefault="00545631" w:rsidP="007F2CA0">
      <w:pPr>
        <w:pStyle w:val="aa"/>
        <w:snapToGrid w:val="0"/>
        <w:spacing w:before="0" w:beforeAutospacing="0" w:after="0" w:afterAutospacing="0" w:line="360" w:lineRule="auto"/>
        <w:jc w:val="both"/>
        <w:rPr>
          <w:rFonts w:ascii="Book Antiqua" w:eastAsia="Arial Unicode MS" w:hAnsi="Book Antiqua"/>
          <w:b/>
          <w:noProof/>
          <w:bdr w:val="nil"/>
        </w:rPr>
      </w:pPr>
      <w:r w:rsidRPr="00CA4C0B">
        <w:rPr>
          <w:rFonts w:ascii="Book Antiqua" w:eastAsia="Arial Unicode MS" w:hAnsi="Book Antiqua"/>
          <w:b/>
          <w:noProof/>
          <w:bdr w:val="nil"/>
        </w:rPr>
        <w:t>Figure 2 Hepatocytes’ ploidy in normal (control), regenerated (SG</w:t>
      </w:r>
      <w:r w:rsidRPr="00CA4C0B">
        <w:rPr>
          <w:rFonts w:ascii="Book Antiqua" w:eastAsia="Arial Unicode MS" w:hAnsi="Book Antiqua"/>
          <w:b/>
          <w:noProof/>
          <w:bdr w:val="nil"/>
          <w:vertAlign w:val="subscript"/>
        </w:rPr>
        <w:t>1</w:t>
      </w:r>
      <w:r w:rsidRPr="00CA4C0B">
        <w:rPr>
          <w:rFonts w:ascii="Book Antiqua" w:eastAsia="Arial Unicode MS" w:hAnsi="Book Antiqua"/>
          <w:b/>
          <w:noProof/>
          <w:bdr w:val="nil"/>
        </w:rPr>
        <w:t>) and re-regeneration (SG</w:t>
      </w:r>
      <w:r w:rsidRPr="00CA4C0B">
        <w:rPr>
          <w:rFonts w:ascii="Book Antiqua" w:eastAsia="Arial Unicode MS" w:hAnsi="Book Antiqua"/>
          <w:b/>
          <w:noProof/>
          <w:bdr w:val="nil"/>
          <w:vertAlign w:val="subscript"/>
        </w:rPr>
        <w:t>2</w:t>
      </w:r>
      <w:r w:rsidRPr="00CA4C0B">
        <w:rPr>
          <w:rFonts w:ascii="Book Antiqua" w:eastAsia="Arial Unicode MS" w:hAnsi="Book Antiqua"/>
          <w:b/>
          <w:noProof/>
          <w:bdr w:val="nil"/>
        </w:rPr>
        <w:t>).</w:t>
      </w:r>
    </w:p>
    <w:p w14:paraId="6C8A0617" w14:textId="77777777" w:rsidR="00545631" w:rsidRPr="00CA4C0B" w:rsidRDefault="00545631" w:rsidP="007F2CA0">
      <w:pPr>
        <w:snapToGrid w:val="0"/>
        <w:spacing w:line="360" w:lineRule="auto"/>
        <w:jc w:val="both"/>
        <w:rPr>
          <w:rFonts w:ascii="Book Antiqua" w:hAnsi="Book Antiqua"/>
        </w:rPr>
      </w:pPr>
    </w:p>
    <w:p w14:paraId="78540706" w14:textId="77777777" w:rsidR="004313EE" w:rsidRPr="00CA4C0B" w:rsidRDefault="00CE6644" w:rsidP="007F2CA0">
      <w:pPr>
        <w:pStyle w:val="BodyA"/>
        <w:snapToGrid w:val="0"/>
        <w:spacing w:after="0" w:line="360" w:lineRule="auto"/>
        <w:jc w:val="both"/>
        <w:rPr>
          <w:rStyle w:val="None"/>
          <w:rFonts w:ascii="Book Antiqua" w:eastAsia="Times New Roman" w:hAnsi="Book Antiqua" w:cs="Times New Roman"/>
          <w:b/>
          <w:bCs/>
          <w:color w:val="auto"/>
          <w:sz w:val="24"/>
          <w:szCs w:val="24"/>
          <w:u w:val="single"/>
        </w:rPr>
      </w:pPr>
      <w:r w:rsidRPr="00CA4C0B">
        <w:rPr>
          <w:rStyle w:val="None"/>
          <w:rFonts w:ascii="Book Antiqua" w:eastAsia="Times New Roman" w:hAnsi="Book Antiqua" w:cs="Times New Roman"/>
          <w:noProof/>
          <w:color w:val="auto"/>
          <w:sz w:val="24"/>
          <w:szCs w:val="24"/>
          <w:lang w:eastAsia="zh-CN"/>
        </w:rPr>
        <w:lastRenderedPageBreak/>
        <w:drawing>
          <wp:inline distT="0" distB="0" distL="0" distR="0" wp14:anchorId="21898F56" wp14:editId="6FCD4818">
            <wp:extent cx="5462546" cy="7959256"/>
            <wp:effectExtent l="0" t="0" r="5080" b="3810"/>
            <wp:docPr id="1073741827" name="officeArt object" descr="Figures_Page_2.tiff"/>
            <wp:cNvGraphicFramePr/>
            <a:graphic xmlns:a="http://schemas.openxmlformats.org/drawingml/2006/main">
              <a:graphicData uri="http://schemas.openxmlformats.org/drawingml/2006/picture">
                <pic:pic xmlns:pic="http://schemas.openxmlformats.org/drawingml/2006/picture">
                  <pic:nvPicPr>
                    <pic:cNvPr id="1073741827" name="Figures_Page_2.tiff" descr="Figures_Page_2.tiff"/>
                    <pic:cNvPicPr>
                      <a:picLocks noChangeAspect="1"/>
                    </pic:cNvPicPr>
                  </pic:nvPicPr>
                  <pic:blipFill>
                    <a:blip r:embed="rId11"/>
                    <a:stretch>
                      <a:fillRect/>
                    </a:stretch>
                  </pic:blipFill>
                  <pic:spPr>
                    <a:xfrm>
                      <a:off x="0" y="0"/>
                      <a:ext cx="5469353" cy="7969175"/>
                    </a:xfrm>
                    <a:prstGeom prst="rect">
                      <a:avLst/>
                    </a:prstGeom>
                    <a:ln w="12700" cap="flat">
                      <a:noFill/>
                      <a:miter lim="400000"/>
                    </a:ln>
                    <a:effectLst/>
                  </pic:spPr>
                </pic:pic>
              </a:graphicData>
            </a:graphic>
          </wp:inline>
        </w:drawing>
      </w:r>
    </w:p>
    <w:p w14:paraId="49F5B10F" w14:textId="4EDAD1D9" w:rsidR="00882A53" w:rsidRPr="00CA4C0B" w:rsidRDefault="00882A53" w:rsidP="007F2CA0">
      <w:pPr>
        <w:pStyle w:val="aa"/>
        <w:snapToGrid w:val="0"/>
        <w:spacing w:before="0" w:beforeAutospacing="0" w:after="0" w:afterAutospacing="0" w:line="360" w:lineRule="auto"/>
        <w:jc w:val="both"/>
        <w:rPr>
          <w:rFonts w:ascii="Book Antiqua" w:eastAsia="Arial Unicode MS" w:hAnsi="Book Antiqua"/>
          <w:noProof/>
          <w:bdr w:val="nil"/>
        </w:rPr>
      </w:pPr>
      <w:r w:rsidRPr="00CA4C0B">
        <w:rPr>
          <w:rFonts w:ascii="Book Antiqua" w:eastAsia="Arial Unicode MS" w:hAnsi="Book Antiqua"/>
          <w:b/>
          <w:noProof/>
          <w:bdr w:val="nil"/>
        </w:rPr>
        <w:lastRenderedPageBreak/>
        <w:t>Figure 3</w:t>
      </w:r>
      <w:r w:rsidR="00AF5178" w:rsidRPr="00CA4C0B">
        <w:rPr>
          <w:rFonts w:ascii="Book Antiqua" w:eastAsia="Arial Unicode MS" w:hAnsi="Book Antiqua"/>
          <w:b/>
          <w:noProof/>
          <w:bdr w:val="nil"/>
        </w:rPr>
        <w:t xml:space="preserve"> </w:t>
      </w:r>
      <w:r w:rsidRPr="00CA4C0B">
        <w:rPr>
          <w:rFonts w:ascii="Book Antiqua" w:eastAsia="Arial Unicode MS" w:hAnsi="Book Antiqua"/>
          <w:b/>
          <w:noProof/>
          <w:bdr w:val="nil"/>
        </w:rPr>
        <w:t xml:space="preserve">Histology and </w:t>
      </w:r>
      <w:r w:rsidR="00BA214B" w:rsidRPr="00CA4C0B">
        <w:rPr>
          <w:rFonts w:ascii="Book Antiqua" w:eastAsia="Arial Unicode MS" w:hAnsi="Book Antiqua"/>
          <w:b/>
          <w:noProof/>
          <w:bdr w:val="nil"/>
        </w:rPr>
        <w:t>scanning electron microscopy</w:t>
      </w:r>
      <w:r w:rsidRPr="00CA4C0B">
        <w:rPr>
          <w:rFonts w:ascii="Book Antiqua" w:eastAsia="Arial Unicode MS" w:hAnsi="Book Antiqua"/>
          <w:b/>
          <w:noProof/>
          <w:bdr w:val="nil"/>
        </w:rPr>
        <w:t xml:space="preserve"> of corrosion casts of the livers from </w:t>
      </w:r>
      <w:r w:rsidR="00145D80" w:rsidRPr="00CA4C0B">
        <w:rPr>
          <w:rFonts w:ascii="Book Antiqua" w:eastAsia="Arial Unicode MS" w:hAnsi="Book Antiqua"/>
          <w:b/>
          <w:noProof/>
          <w:bdr w:val="nil"/>
        </w:rPr>
        <w:t>control g</w:t>
      </w:r>
      <w:r w:rsidRPr="00CA4C0B">
        <w:rPr>
          <w:rFonts w:ascii="Book Antiqua" w:eastAsia="Arial Unicode MS" w:hAnsi="Book Antiqua"/>
          <w:b/>
          <w:noProof/>
          <w:bdr w:val="nil"/>
        </w:rPr>
        <w:t xml:space="preserve">roup. </w:t>
      </w:r>
      <w:r w:rsidRPr="00CA4C0B">
        <w:rPr>
          <w:rFonts w:ascii="Book Antiqua" w:eastAsia="Arial Unicode MS" w:hAnsi="Book Antiqua"/>
          <w:noProof/>
          <w:bdr w:val="nil"/>
        </w:rPr>
        <w:t>A</w:t>
      </w:r>
      <w:r w:rsidR="00AF5178" w:rsidRPr="00CA4C0B">
        <w:rPr>
          <w:rFonts w:ascii="Book Antiqua" w:eastAsia="Arial Unicode MS" w:hAnsi="Book Antiqua"/>
          <w:noProof/>
          <w:bdr w:val="nil"/>
        </w:rPr>
        <w:t xml:space="preserve"> and </w:t>
      </w:r>
      <w:r w:rsidRPr="00CA4C0B">
        <w:rPr>
          <w:rFonts w:ascii="Book Antiqua" w:eastAsia="Arial Unicode MS" w:hAnsi="Book Antiqua"/>
          <w:noProof/>
          <w:bdr w:val="nil"/>
        </w:rPr>
        <w:t>B</w:t>
      </w:r>
      <w:r w:rsidR="00AF5178" w:rsidRPr="00CA4C0B">
        <w:rPr>
          <w:rFonts w:ascii="Book Antiqua" w:eastAsia="Arial Unicode MS" w:hAnsi="Book Antiqua"/>
          <w:noProof/>
          <w:bdr w:val="nil"/>
        </w:rPr>
        <w:t xml:space="preserve">: </w:t>
      </w:r>
      <w:r w:rsidRPr="00CA4C0B">
        <w:rPr>
          <w:rFonts w:ascii="Book Antiqua" w:eastAsia="Arial Unicode MS" w:hAnsi="Book Antiqua"/>
          <w:caps/>
          <w:noProof/>
          <w:bdr w:val="nil"/>
        </w:rPr>
        <w:t>l</w:t>
      </w:r>
      <w:r w:rsidRPr="00CA4C0B">
        <w:rPr>
          <w:rFonts w:ascii="Book Antiqua" w:eastAsia="Arial Unicode MS" w:hAnsi="Book Antiqua"/>
          <w:noProof/>
          <w:bdr w:val="nil"/>
        </w:rPr>
        <w:t>iver lobules histology (H&amp;E); C</w:t>
      </w:r>
      <w:r w:rsidR="00AF5178" w:rsidRPr="00CA4C0B">
        <w:rPr>
          <w:rFonts w:ascii="Book Antiqua" w:eastAsia="Arial Unicode MS" w:hAnsi="Book Antiqua"/>
          <w:noProof/>
          <w:bdr w:val="nil"/>
        </w:rPr>
        <w:t xml:space="preserve">: </w:t>
      </w:r>
      <w:r w:rsidRPr="00CA4C0B">
        <w:rPr>
          <w:rFonts w:ascii="Book Antiqua" w:eastAsia="Arial Unicode MS" w:hAnsi="Book Antiqua"/>
          <w:caps/>
          <w:noProof/>
          <w:bdr w:val="nil"/>
        </w:rPr>
        <w:t>l</w:t>
      </w:r>
      <w:r w:rsidRPr="00CA4C0B">
        <w:rPr>
          <w:rFonts w:ascii="Book Antiqua" w:eastAsia="Arial Unicode MS" w:hAnsi="Book Antiqua"/>
          <w:noProof/>
          <w:bdr w:val="nil"/>
        </w:rPr>
        <w:t>iver lobule (histology after Indian ink – gelatin injection); D</w:t>
      </w:r>
      <w:r w:rsidR="00AF5178" w:rsidRPr="00CA4C0B">
        <w:rPr>
          <w:rFonts w:ascii="Book Antiqua" w:eastAsia="Arial Unicode MS" w:hAnsi="Book Antiqua"/>
          <w:noProof/>
          <w:bdr w:val="nil"/>
        </w:rPr>
        <w:t xml:space="preserve">: </w:t>
      </w:r>
      <w:r w:rsidRPr="00CA4C0B">
        <w:rPr>
          <w:rFonts w:ascii="Book Antiqua" w:eastAsia="Arial Unicode MS" w:hAnsi="Book Antiqua"/>
          <w:caps/>
          <w:noProof/>
          <w:bdr w:val="nil"/>
        </w:rPr>
        <w:t>a</w:t>
      </w:r>
      <w:r w:rsidRPr="00CA4C0B">
        <w:rPr>
          <w:rFonts w:ascii="Book Antiqua" w:eastAsia="Arial Unicode MS" w:hAnsi="Book Antiqua"/>
          <w:noProof/>
          <w:bdr w:val="nil"/>
        </w:rPr>
        <w:t>djacent lobules with intercommunicated sinusoidal meshwork (histology after Indian ink – gelatin injection); E</w:t>
      </w:r>
      <w:r w:rsidR="00AF5178" w:rsidRPr="00CA4C0B">
        <w:rPr>
          <w:rFonts w:ascii="Book Antiqua" w:eastAsia="Arial Unicode MS" w:hAnsi="Book Antiqua"/>
          <w:noProof/>
          <w:bdr w:val="nil"/>
        </w:rPr>
        <w:t xml:space="preserve">: </w:t>
      </w:r>
      <w:r w:rsidRPr="00CA4C0B">
        <w:rPr>
          <w:rFonts w:ascii="Book Antiqua" w:eastAsia="Arial Unicode MS" w:hAnsi="Book Antiqua"/>
          <w:caps/>
          <w:noProof/>
          <w:bdr w:val="nil"/>
        </w:rPr>
        <w:t>c</w:t>
      </w:r>
      <w:r w:rsidRPr="00CA4C0B">
        <w:rPr>
          <w:rFonts w:ascii="Book Antiqua" w:eastAsia="Arial Unicode MS" w:hAnsi="Book Antiqua"/>
          <w:noProof/>
          <w:bdr w:val="nil"/>
        </w:rPr>
        <w:t>onnective-tissue sheath (arrow) around the tributary of hepatic vein (Masson’s Trichrome); F</w:t>
      </w:r>
      <w:r w:rsidR="00AF5178" w:rsidRPr="00CA4C0B">
        <w:rPr>
          <w:rFonts w:ascii="Book Antiqua" w:eastAsia="Arial Unicode MS" w:hAnsi="Book Antiqua"/>
          <w:noProof/>
          <w:bdr w:val="nil"/>
        </w:rPr>
        <w:t xml:space="preserve">: </w:t>
      </w:r>
      <w:r w:rsidR="00BA214B" w:rsidRPr="00CA4C0B">
        <w:rPr>
          <w:rStyle w:val="None"/>
          <w:rFonts w:ascii="Book Antiqua" w:hAnsi="Book Antiqua"/>
          <w:caps/>
        </w:rPr>
        <w:t>s</w:t>
      </w:r>
      <w:r w:rsidR="00BA214B" w:rsidRPr="00CA4C0B">
        <w:rPr>
          <w:rStyle w:val="None"/>
          <w:rFonts w:ascii="Book Antiqua" w:hAnsi="Book Antiqua"/>
        </w:rPr>
        <w:t>canning electron microscopy</w:t>
      </w:r>
      <w:r w:rsidR="00BA214B" w:rsidRPr="00CA4C0B">
        <w:rPr>
          <w:rFonts w:ascii="Book Antiqua" w:eastAsia="Arial Unicode MS" w:hAnsi="Book Antiqua"/>
          <w:noProof/>
          <w:bdr w:val="nil"/>
        </w:rPr>
        <w:t xml:space="preserve"> (</w:t>
      </w:r>
      <w:r w:rsidRPr="00CA4C0B">
        <w:rPr>
          <w:rFonts w:ascii="Book Antiqua" w:eastAsia="Arial Unicode MS" w:hAnsi="Book Antiqua"/>
          <w:noProof/>
          <w:bdr w:val="nil"/>
        </w:rPr>
        <w:t>SEM</w:t>
      </w:r>
      <w:r w:rsidR="00BA214B" w:rsidRPr="00CA4C0B">
        <w:rPr>
          <w:rFonts w:ascii="Book Antiqua" w:eastAsia="Arial Unicode MS" w:hAnsi="Book Antiqua"/>
          <w:noProof/>
          <w:bdr w:val="nil"/>
        </w:rPr>
        <w:t>)</w:t>
      </w:r>
      <w:r w:rsidRPr="00CA4C0B">
        <w:rPr>
          <w:rFonts w:ascii="Book Antiqua" w:eastAsia="Arial Unicode MS" w:hAnsi="Book Antiqua"/>
          <w:noProof/>
          <w:bdr w:val="nil"/>
        </w:rPr>
        <w:t xml:space="preserve"> of corrosion casts of small branches of portal vein and sinusoids; periportal plexus (arrow); G</w:t>
      </w:r>
      <w:r w:rsidR="00AF5178" w:rsidRPr="00CA4C0B">
        <w:rPr>
          <w:rFonts w:ascii="Book Antiqua" w:eastAsia="Arial Unicode MS" w:hAnsi="Book Antiqua"/>
          <w:noProof/>
          <w:bdr w:val="nil"/>
        </w:rPr>
        <w:t>-</w:t>
      </w:r>
      <w:r w:rsidRPr="00CA4C0B">
        <w:rPr>
          <w:rFonts w:ascii="Book Antiqua" w:eastAsia="Arial Unicode MS" w:hAnsi="Book Antiqua"/>
          <w:noProof/>
          <w:bdr w:val="nil"/>
        </w:rPr>
        <w:t>L</w:t>
      </w:r>
      <w:r w:rsidR="00AF5178" w:rsidRPr="00CA4C0B">
        <w:rPr>
          <w:rFonts w:ascii="Book Antiqua" w:eastAsia="Arial Unicode MS" w:hAnsi="Book Antiqua"/>
          <w:noProof/>
          <w:bdr w:val="nil"/>
        </w:rPr>
        <w:t>:</w:t>
      </w:r>
      <w:r w:rsidRPr="00CA4C0B">
        <w:rPr>
          <w:rFonts w:ascii="Book Antiqua" w:eastAsia="Arial Unicode MS" w:hAnsi="Book Antiqua"/>
          <w:noProof/>
          <w:bdr w:val="nil"/>
        </w:rPr>
        <w:t xml:space="preserve"> SEM of corrosion casts of sinusoids and related vessels; J</w:t>
      </w:r>
      <w:r w:rsidR="00AF5178" w:rsidRPr="00CA4C0B">
        <w:rPr>
          <w:rFonts w:ascii="Book Antiqua" w:eastAsia="Arial Unicode MS" w:hAnsi="Book Antiqua"/>
          <w:noProof/>
          <w:bdr w:val="nil"/>
        </w:rPr>
        <w:t xml:space="preserve"> and </w:t>
      </w:r>
      <w:r w:rsidRPr="00CA4C0B">
        <w:rPr>
          <w:rFonts w:ascii="Book Antiqua" w:eastAsia="Arial Unicode MS" w:hAnsi="Book Antiqua"/>
          <w:noProof/>
          <w:bdr w:val="nil"/>
        </w:rPr>
        <w:t>K</w:t>
      </w:r>
      <w:r w:rsidR="00AF5178" w:rsidRPr="00CA4C0B">
        <w:rPr>
          <w:rFonts w:ascii="Book Antiqua" w:eastAsia="Arial Unicode MS" w:hAnsi="Book Antiqua"/>
          <w:noProof/>
          <w:bdr w:val="nil"/>
        </w:rPr>
        <w:t xml:space="preserve">: </w:t>
      </w:r>
      <w:r w:rsidRPr="00CA4C0B">
        <w:rPr>
          <w:rFonts w:ascii="Book Antiqua" w:eastAsia="Arial Unicode MS" w:hAnsi="Book Antiqua"/>
          <w:noProof/>
          <w:bdr w:val="nil"/>
        </w:rPr>
        <w:t>SEM of corrosion casts of superficial (sub-capsular) vessels of the liver.</w:t>
      </w:r>
    </w:p>
    <w:p w14:paraId="56C0FA81" w14:textId="550AACF4" w:rsidR="00A92F71" w:rsidRPr="00CA4C0B" w:rsidRDefault="00A92F71" w:rsidP="007F2CA0">
      <w:pPr>
        <w:snapToGrid w:val="0"/>
        <w:spacing w:line="360" w:lineRule="auto"/>
        <w:jc w:val="both"/>
        <w:rPr>
          <w:rFonts w:ascii="Book Antiqua" w:hAnsi="Book Antiqua"/>
          <w:noProof/>
        </w:rPr>
      </w:pPr>
      <w:r w:rsidRPr="00CA4C0B">
        <w:rPr>
          <w:rFonts w:ascii="Book Antiqua" w:hAnsi="Book Antiqua"/>
          <w:noProof/>
        </w:rPr>
        <w:br w:type="page"/>
      </w:r>
    </w:p>
    <w:p w14:paraId="6A36EAF7" w14:textId="77777777" w:rsidR="004313EE" w:rsidRPr="00CA4C0B" w:rsidRDefault="00CE6644" w:rsidP="007F2CA0">
      <w:pPr>
        <w:pStyle w:val="BodyA"/>
        <w:snapToGrid w:val="0"/>
        <w:spacing w:after="0" w:line="360" w:lineRule="auto"/>
        <w:jc w:val="both"/>
        <w:rPr>
          <w:rStyle w:val="None"/>
          <w:rFonts w:ascii="Book Antiqua" w:eastAsia="Times New Roman" w:hAnsi="Book Antiqua" w:cs="Times New Roman"/>
          <w:b/>
          <w:bCs/>
          <w:color w:val="auto"/>
          <w:sz w:val="24"/>
          <w:szCs w:val="24"/>
          <w:u w:val="single"/>
        </w:rPr>
      </w:pPr>
      <w:r w:rsidRPr="00CA4C0B">
        <w:rPr>
          <w:rStyle w:val="None"/>
          <w:rFonts w:ascii="Book Antiqua" w:eastAsia="Times New Roman" w:hAnsi="Book Antiqua" w:cs="Times New Roman"/>
          <w:b/>
          <w:bCs/>
          <w:noProof/>
          <w:color w:val="auto"/>
          <w:sz w:val="24"/>
          <w:szCs w:val="24"/>
          <w:lang w:eastAsia="zh-CN"/>
        </w:rPr>
        <w:lastRenderedPageBreak/>
        <w:drawing>
          <wp:inline distT="0" distB="0" distL="0" distR="0" wp14:anchorId="55435E65" wp14:editId="458F09A2">
            <wp:extent cx="5406887" cy="5891917"/>
            <wp:effectExtent l="0" t="0" r="3810" b="0"/>
            <wp:docPr id="1073741828" name="officeArt object" descr="Figures_Page_3.tiff"/>
            <wp:cNvGraphicFramePr/>
            <a:graphic xmlns:a="http://schemas.openxmlformats.org/drawingml/2006/main">
              <a:graphicData uri="http://schemas.openxmlformats.org/drawingml/2006/picture">
                <pic:pic xmlns:pic="http://schemas.openxmlformats.org/drawingml/2006/picture">
                  <pic:nvPicPr>
                    <pic:cNvPr id="1073741828" name="Figures_Page_3.tiff" descr="Figures_Page_3.tiff"/>
                    <pic:cNvPicPr>
                      <a:picLocks noChangeAspect="1"/>
                    </pic:cNvPicPr>
                  </pic:nvPicPr>
                  <pic:blipFill>
                    <a:blip r:embed="rId12"/>
                    <a:stretch>
                      <a:fillRect/>
                    </a:stretch>
                  </pic:blipFill>
                  <pic:spPr>
                    <a:xfrm>
                      <a:off x="0" y="0"/>
                      <a:ext cx="5420061" cy="5906273"/>
                    </a:xfrm>
                    <a:prstGeom prst="rect">
                      <a:avLst/>
                    </a:prstGeom>
                    <a:ln w="12700" cap="flat">
                      <a:noFill/>
                      <a:miter lim="400000"/>
                    </a:ln>
                    <a:effectLst/>
                  </pic:spPr>
                </pic:pic>
              </a:graphicData>
            </a:graphic>
          </wp:inline>
        </w:drawing>
      </w:r>
    </w:p>
    <w:p w14:paraId="544499D5" w14:textId="392B8388" w:rsidR="00882A53" w:rsidRPr="00CA4C0B" w:rsidRDefault="00882A53" w:rsidP="007F2CA0">
      <w:pPr>
        <w:pStyle w:val="aa"/>
        <w:snapToGrid w:val="0"/>
        <w:spacing w:before="0" w:beforeAutospacing="0" w:after="0" w:afterAutospacing="0" w:line="360" w:lineRule="auto"/>
        <w:jc w:val="both"/>
        <w:rPr>
          <w:rFonts w:ascii="Book Antiqua" w:eastAsia="Arial Unicode MS" w:hAnsi="Book Antiqua"/>
          <w:noProof/>
          <w:bdr w:val="nil"/>
        </w:rPr>
      </w:pPr>
      <w:r w:rsidRPr="00CA4C0B">
        <w:rPr>
          <w:rFonts w:ascii="Book Antiqua" w:eastAsia="Arial Unicode MS" w:hAnsi="Book Antiqua"/>
          <w:b/>
          <w:noProof/>
          <w:bdr w:val="nil"/>
        </w:rPr>
        <w:t>Figure 4</w:t>
      </w:r>
      <w:r w:rsidR="00A92F71" w:rsidRPr="00CA4C0B">
        <w:rPr>
          <w:rFonts w:ascii="Book Antiqua" w:eastAsia="Arial Unicode MS" w:hAnsi="Book Antiqua"/>
          <w:b/>
          <w:noProof/>
          <w:bdr w:val="nil"/>
        </w:rPr>
        <w:t xml:space="preserve"> </w:t>
      </w:r>
      <w:r w:rsidRPr="00CA4C0B">
        <w:rPr>
          <w:rFonts w:ascii="Book Antiqua" w:eastAsia="Arial Unicode MS" w:hAnsi="Book Antiqua"/>
          <w:b/>
          <w:noProof/>
          <w:bdr w:val="nil"/>
        </w:rPr>
        <w:t xml:space="preserve">Histology and </w:t>
      </w:r>
      <w:r w:rsidR="00BA214B" w:rsidRPr="00CA4C0B">
        <w:rPr>
          <w:rFonts w:ascii="Book Antiqua" w:eastAsia="Arial Unicode MS" w:hAnsi="Book Antiqua"/>
          <w:b/>
          <w:noProof/>
          <w:bdr w:val="nil"/>
        </w:rPr>
        <w:t>scanning electron microscopy</w:t>
      </w:r>
      <w:r w:rsidRPr="00CA4C0B">
        <w:rPr>
          <w:rFonts w:ascii="Book Antiqua" w:eastAsia="Arial Unicode MS" w:hAnsi="Book Antiqua"/>
          <w:b/>
          <w:noProof/>
          <w:bdr w:val="nil"/>
        </w:rPr>
        <w:t xml:space="preserve"> of corrosion casts of regenerated liver (SG</w:t>
      </w:r>
      <w:r w:rsidRPr="00CA4C0B">
        <w:rPr>
          <w:rFonts w:ascii="Book Antiqua" w:eastAsia="Arial Unicode MS" w:hAnsi="Book Antiqua"/>
          <w:b/>
          <w:noProof/>
          <w:bdr w:val="nil"/>
          <w:vertAlign w:val="subscript"/>
        </w:rPr>
        <w:t>1</w:t>
      </w:r>
      <w:r w:rsidRPr="00CA4C0B">
        <w:rPr>
          <w:rFonts w:ascii="Book Antiqua" w:eastAsia="Arial Unicode MS" w:hAnsi="Book Antiqua"/>
          <w:b/>
          <w:noProof/>
          <w:bdr w:val="nil"/>
        </w:rPr>
        <w:t>).</w:t>
      </w:r>
      <w:r w:rsidRPr="00CA4C0B">
        <w:rPr>
          <w:rFonts w:ascii="Book Antiqua" w:eastAsia="Arial Unicode MS" w:hAnsi="Book Antiqua"/>
          <w:noProof/>
          <w:bdr w:val="nil"/>
        </w:rPr>
        <w:t xml:space="preserve"> A</w:t>
      </w:r>
      <w:r w:rsidR="00784AD0" w:rsidRPr="00CA4C0B">
        <w:rPr>
          <w:rFonts w:ascii="Book Antiqua" w:eastAsia="Arial Unicode MS" w:hAnsi="Book Antiqua"/>
          <w:noProof/>
          <w:bdr w:val="nil"/>
        </w:rPr>
        <w:t xml:space="preserve"> and </w:t>
      </w:r>
      <w:r w:rsidRPr="00CA4C0B">
        <w:rPr>
          <w:rFonts w:ascii="Book Antiqua" w:eastAsia="Arial Unicode MS" w:hAnsi="Book Antiqua"/>
          <w:noProof/>
          <w:bdr w:val="nil"/>
        </w:rPr>
        <w:t>B</w:t>
      </w:r>
      <w:r w:rsidR="00784AD0" w:rsidRPr="00CA4C0B">
        <w:rPr>
          <w:rFonts w:ascii="Book Antiqua" w:eastAsia="Arial Unicode MS" w:hAnsi="Book Antiqua"/>
          <w:noProof/>
          <w:bdr w:val="nil"/>
        </w:rPr>
        <w:t xml:space="preserve">: </w:t>
      </w:r>
      <w:r w:rsidRPr="00CA4C0B">
        <w:rPr>
          <w:rFonts w:ascii="Book Antiqua" w:eastAsia="Arial Unicode MS" w:hAnsi="Book Antiqua"/>
          <w:caps/>
          <w:noProof/>
          <w:bdr w:val="nil"/>
        </w:rPr>
        <w:t>l</w:t>
      </w:r>
      <w:r w:rsidRPr="00CA4C0B">
        <w:rPr>
          <w:rFonts w:ascii="Book Antiqua" w:eastAsia="Arial Unicode MS" w:hAnsi="Book Antiqua"/>
          <w:noProof/>
          <w:bdr w:val="nil"/>
        </w:rPr>
        <w:t>iver tissue histology (Mas</w:t>
      </w:r>
      <w:r w:rsidR="00784AD0" w:rsidRPr="00CA4C0B">
        <w:rPr>
          <w:rFonts w:ascii="Book Antiqua" w:eastAsia="Arial Unicode MS" w:hAnsi="Book Antiqua"/>
          <w:noProof/>
          <w:bdr w:val="nil"/>
        </w:rPr>
        <w:t xml:space="preserve">son’s Trichrome); C: </w:t>
      </w:r>
      <w:r w:rsidRPr="00CA4C0B">
        <w:rPr>
          <w:rFonts w:ascii="Book Antiqua" w:eastAsia="Arial Unicode MS" w:hAnsi="Book Antiqua"/>
          <w:caps/>
          <w:noProof/>
          <w:bdr w:val="nil"/>
        </w:rPr>
        <w:t>l</w:t>
      </w:r>
      <w:r w:rsidRPr="00CA4C0B">
        <w:rPr>
          <w:rFonts w:ascii="Book Antiqua" w:eastAsia="Arial Unicode MS" w:hAnsi="Book Antiqua"/>
          <w:noProof/>
          <w:bdr w:val="nil"/>
        </w:rPr>
        <w:t>iver lobules (histology after Indian ink – gelatin injection); D</w:t>
      </w:r>
      <w:r w:rsidR="00784AD0" w:rsidRPr="00CA4C0B">
        <w:rPr>
          <w:rFonts w:ascii="Book Antiqua" w:eastAsia="Arial Unicode MS" w:hAnsi="Book Antiqua"/>
          <w:noProof/>
          <w:bdr w:val="nil"/>
        </w:rPr>
        <w:t xml:space="preserve">: </w:t>
      </w:r>
      <w:r w:rsidRPr="00CA4C0B">
        <w:rPr>
          <w:rFonts w:ascii="Book Antiqua" w:eastAsia="Arial Unicode MS" w:hAnsi="Book Antiqua"/>
          <w:noProof/>
          <w:bdr w:val="nil"/>
        </w:rPr>
        <w:t>“mega-lobule” formed by adjacent lobules with</w:t>
      </w:r>
      <w:r w:rsidR="00784AD0" w:rsidRPr="00CA4C0B">
        <w:rPr>
          <w:rFonts w:ascii="Book Antiqua" w:eastAsia="Arial Unicode MS" w:hAnsi="Book Antiqua"/>
          <w:noProof/>
          <w:bdr w:val="nil"/>
        </w:rPr>
        <w:t xml:space="preserve"> </w:t>
      </w:r>
      <w:r w:rsidRPr="00CA4C0B">
        <w:rPr>
          <w:rFonts w:ascii="Book Antiqua" w:eastAsia="Arial Unicode MS" w:hAnsi="Book Antiqua"/>
          <w:noProof/>
          <w:bdr w:val="nil"/>
        </w:rPr>
        <w:t>intercommunicated sinusoidal meshwork (bordered by yellow line) (histology after Indian ink – gelatin injection); E-J</w:t>
      </w:r>
      <w:r w:rsidR="00784AD0" w:rsidRPr="00CA4C0B">
        <w:rPr>
          <w:rFonts w:ascii="Book Antiqua" w:eastAsia="Arial Unicode MS" w:hAnsi="Book Antiqua"/>
          <w:noProof/>
          <w:bdr w:val="nil"/>
        </w:rPr>
        <w:t xml:space="preserve">: </w:t>
      </w:r>
      <w:r w:rsidR="00784AD0" w:rsidRPr="00CA4C0B">
        <w:rPr>
          <w:rStyle w:val="None"/>
          <w:rFonts w:ascii="Book Antiqua" w:hAnsi="Book Antiqua"/>
          <w:caps/>
        </w:rPr>
        <w:t>s</w:t>
      </w:r>
      <w:r w:rsidR="00784AD0" w:rsidRPr="00CA4C0B">
        <w:rPr>
          <w:rStyle w:val="None"/>
          <w:rFonts w:ascii="Book Antiqua" w:hAnsi="Book Antiqua"/>
        </w:rPr>
        <w:t>canning electron microscopy</w:t>
      </w:r>
      <w:r w:rsidR="00784AD0" w:rsidRPr="00CA4C0B">
        <w:rPr>
          <w:rFonts w:ascii="Book Antiqua" w:eastAsia="Arial Unicode MS" w:hAnsi="Book Antiqua"/>
          <w:noProof/>
          <w:bdr w:val="nil"/>
        </w:rPr>
        <w:t xml:space="preserve"> (SEM) </w:t>
      </w:r>
      <w:r w:rsidRPr="00CA4C0B">
        <w:rPr>
          <w:rFonts w:ascii="Book Antiqua" w:eastAsia="Arial Unicode MS" w:hAnsi="Book Antiqua"/>
          <w:noProof/>
          <w:bdr w:val="nil"/>
        </w:rPr>
        <w:t>of corrosion casts of liver vessels; E</w:t>
      </w:r>
      <w:r w:rsidR="00EA4B7A" w:rsidRPr="00CA4C0B">
        <w:rPr>
          <w:rFonts w:ascii="Book Antiqua" w:eastAsia="Arial Unicode MS" w:hAnsi="Book Antiqua"/>
          <w:noProof/>
          <w:bdr w:val="nil"/>
        </w:rPr>
        <w:t xml:space="preserve"> and </w:t>
      </w:r>
      <w:r w:rsidRPr="00CA4C0B">
        <w:rPr>
          <w:rFonts w:ascii="Book Antiqua" w:eastAsia="Arial Unicode MS" w:hAnsi="Book Antiqua"/>
          <w:noProof/>
          <w:bdr w:val="nil"/>
        </w:rPr>
        <w:t>F</w:t>
      </w:r>
      <w:r w:rsidR="00EA4B7A" w:rsidRPr="00CA4C0B">
        <w:rPr>
          <w:rFonts w:ascii="Book Antiqua" w:eastAsia="Arial Unicode MS" w:hAnsi="Book Antiqua"/>
          <w:noProof/>
          <w:bdr w:val="nil"/>
        </w:rPr>
        <w:t>:</w:t>
      </w:r>
      <w:r w:rsidRPr="00CA4C0B">
        <w:rPr>
          <w:rFonts w:ascii="Book Antiqua" w:eastAsia="Arial Unicode MS" w:hAnsi="Book Antiqua"/>
          <w:noProof/>
          <w:bdr w:val="nil"/>
        </w:rPr>
        <w:t xml:space="preserve"> “mega-lobules”; G</w:t>
      </w:r>
      <w:r w:rsidR="00EA4B7A" w:rsidRPr="00CA4C0B">
        <w:rPr>
          <w:rFonts w:ascii="Book Antiqua" w:eastAsia="Arial Unicode MS" w:hAnsi="Book Antiqua"/>
          <w:noProof/>
          <w:bdr w:val="nil"/>
        </w:rPr>
        <w:t>-</w:t>
      </w:r>
      <w:r w:rsidRPr="00CA4C0B">
        <w:rPr>
          <w:rFonts w:ascii="Book Antiqua" w:eastAsia="Arial Unicode MS" w:hAnsi="Book Antiqua"/>
          <w:noProof/>
          <w:bdr w:val="nil"/>
        </w:rPr>
        <w:t>I</w:t>
      </w:r>
      <w:r w:rsidR="00EA4B7A" w:rsidRPr="00CA4C0B">
        <w:rPr>
          <w:rFonts w:ascii="Book Antiqua" w:eastAsia="Arial Unicode MS" w:hAnsi="Book Antiqua"/>
          <w:noProof/>
          <w:bdr w:val="nil"/>
        </w:rPr>
        <w:t xml:space="preserve">: </w:t>
      </w:r>
      <w:r w:rsidRPr="00CA4C0B">
        <w:rPr>
          <w:rFonts w:ascii="Book Antiqua" w:eastAsia="Arial Unicode MS" w:hAnsi="Book Antiqua"/>
          <w:noProof/>
          <w:bdr w:val="nil"/>
        </w:rPr>
        <w:t>SEM of corrosion casts of sinusoids;</w:t>
      </w:r>
      <w:r w:rsidR="00405F69" w:rsidRPr="00CA4C0B">
        <w:rPr>
          <w:rFonts w:ascii="Book Antiqua" w:eastAsia="Arial Unicode MS" w:hAnsi="Book Antiqua"/>
          <w:noProof/>
          <w:bdr w:val="nil"/>
        </w:rPr>
        <w:t xml:space="preserve"> </w:t>
      </w:r>
      <w:r w:rsidRPr="00CA4C0B">
        <w:rPr>
          <w:rFonts w:ascii="Book Antiqua" w:eastAsia="Arial Unicode MS" w:hAnsi="Book Antiqua"/>
          <w:noProof/>
          <w:bdr w:val="nil"/>
        </w:rPr>
        <w:t>J</w:t>
      </w:r>
      <w:r w:rsidR="00405F69" w:rsidRPr="00CA4C0B">
        <w:rPr>
          <w:rFonts w:ascii="Book Antiqua" w:eastAsia="Arial Unicode MS" w:hAnsi="Book Antiqua"/>
          <w:noProof/>
          <w:bdr w:val="nil"/>
        </w:rPr>
        <w:t xml:space="preserve">: </w:t>
      </w:r>
      <w:r w:rsidRPr="00CA4C0B">
        <w:rPr>
          <w:rFonts w:ascii="Book Antiqua" w:eastAsia="Arial Unicode MS" w:hAnsi="Book Antiqua"/>
          <w:noProof/>
          <w:bdr w:val="nil"/>
        </w:rPr>
        <w:t>SEM of vascular corrosion casts of liver lobe; “mega-lobules” (bordered by red line).</w:t>
      </w:r>
    </w:p>
    <w:p w14:paraId="5C7802D7" w14:textId="1B7160E6" w:rsidR="004313EE" w:rsidRPr="00CA4C0B" w:rsidRDefault="00CE6644" w:rsidP="007F2CA0">
      <w:pPr>
        <w:pStyle w:val="BodyA"/>
        <w:snapToGrid w:val="0"/>
        <w:spacing w:after="0" w:line="360" w:lineRule="auto"/>
        <w:jc w:val="both"/>
        <w:rPr>
          <w:rStyle w:val="None"/>
          <w:rFonts w:ascii="Book Antiqua" w:eastAsia="Times New Roman" w:hAnsi="Book Antiqua" w:cs="Times New Roman"/>
          <w:color w:val="auto"/>
          <w:sz w:val="24"/>
          <w:szCs w:val="24"/>
        </w:rPr>
      </w:pPr>
      <w:r w:rsidRPr="00CA4C0B">
        <w:rPr>
          <w:rStyle w:val="None"/>
          <w:rFonts w:ascii="Book Antiqua" w:eastAsia="Times New Roman" w:hAnsi="Book Antiqua" w:cs="Times New Roman"/>
          <w:noProof/>
          <w:color w:val="auto"/>
          <w:sz w:val="24"/>
          <w:szCs w:val="24"/>
          <w:lang w:eastAsia="zh-CN"/>
        </w:rPr>
        <w:lastRenderedPageBreak/>
        <w:drawing>
          <wp:inline distT="0" distB="0" distL="0" distR="0" wp14:anchorId="6A8E9DA1" wp14:editId="6B7F14D5">
            <wp:extent cx="5128591" cy="6480313"/>
            <wp:effectExtent l="0" t="0" r="0" b="0"/>
            <wp:docPr id="1073741829" name="officeArt object" descr="Figures_Page_4.tiff"/>
            <wp:cNvGraphicFramePr/>
            <a:graphic xmlns:a="http://schemas.openxmlformats.org/drawingml/2006/main">
              <a:graphicData uri="http://schemas.openxmlformats.org/drawingml/2006/picture">
                <pic:pic xmlns:pic="http://schemas.openxmlformats.org/drawingml/2006/picture">
                  <pic:nvPicPr>
                    <pic:cNvPr id="1073741829" name="Figures_Page_4.tiff" descr="Figures_Page_4.tiff"/>
                    <pic:cNvPicPr>
                      <a:picLocks noChangeAspect="1"/>
                    </pic:cNvPicPr>
                  </pic:nvPicPr>
                  <pic:blipFill>
                    <a:blip r:embed="rId13"/>
                    <a:stretch>
                      <a:fillRect/>
                    </a:stretch>
                  </pic:blipFill>
                  <pic:spPr>
                    <a:xfrm>
                      <a:off x="0" y="0"/>
                      <a:ext cx="5142903" cy="6498397"/>
                    </a:xfrm>
                    <a:prstGeom prst="rect">
                      <a:avLst/>
                    </a:prstGeom>
                    <a:ln w="12700" cap="flat">
                      <a:noFill/>
                      <a:miter lim="400000"/>
                    </a:ln>
                    <a:effectLst/>
                  </pic:spPr>
                </pic:pic>
              </a:graphicData>
            </a:graphic>
          </wp:inline>
        </w:drawing>
      </w:r>
    </w:p>
    <w:p w14:paraId="13913086" w14:textId="6DA9E78D" w:rsidR="00882A53" w:rsidRPr="00CA4C0B" w:rsidRDefault="00882A53" w:rsidP="007F2CA0">
      <w:pPr>
        <w:pStyle w:val="aa"/>
        <w:snapToGrid w:val="0"/>
        <w:spacing w:before="0" w:beforeAutospacing="0" w:after="0" w:afterAutospacing="0" w:line="360" w:lineRule="auto"/>
        <w:jc w:val="both"/>
        <w:rPr>
          <w:rFonts w:ascii="Book Antiqua" w:eastAsia="Arial Unicode MS" w:hAnsi="Book Antiqua"/>
          <w:noProof/>
          <w:bdr w:val="nil"/>
        </w:rPr>
      </w:pPr>
      <w:r w:rsidRPr="00CA4C0B">
        <w:rPr>
          <w:rFonts w:ascii="Book Antiqua" w:eastAsia="Arial Unicode MS" w:hAnsi="Book Antiqua"/>
          <w:b/>
          <w:noProof/>
          <w:bdr w:val="nil"/>
        </w:rPr>
        <w:t>Figure 5</w:t>
      </w:r>
      <w:r w:rsidR="00FF202F" w:rsidRPr="00CA4C0B">
        <w:rPr>
          <w:rFonts w:ascii="Book Antiqua" w:eastAsia="Arial Unicode MS" w:hAnsi="Book Antiqua"/>
          <w:b/>
          <w:noProof/>
          <w:bdr w:val="nil"/>
        </w:rPr>
        <w:t xml:space="preserve"> </w:t>
      </w:r>
      <w:r w:rsidRPr="00CA4C0B">
        <w:rPr>
          <w:rFonts w:ascii="Book Antiqua" w:eastAsia="Arial Unicode MS" w:hAnsi="Book Antiqua"/>
          <w:b/>
          <w:noProof/>
          <w:bdr w:val="nil"/>
        </w:rPr>
        <w:t xml:space="preserve">Histology and </w:t>
      </w:r>
      <w:r w:rsidR="00FF202F" w:rsidRPr="00CA4C0B">
        <w:rPr>
          <w:rFonts w:ascii="Book Antiqua" w:eastAsia="Arial Unicode MS" w:hAnsi="Book Antiqua"/>
          <w:b/>
          <w:noProof/>
          <w:bdr w:val="nil"/>
        </w:rPr>
        <w:t xml:space="preserve">scanning electron microscopy </w:t>
      </w:r>
      <w:r w:rsidRPr="00CA4C0B">
        <w:rPr>
          <w:rFonts w:ascii="Book Antiqua" w:eastAsia="Arial Unicode MS" w:hAnsi="Book Antiqua"/>
          <w:b/>
          <w:noProof/>
          <w:bdr w:val="nil"/>
        </w:rPr>
        <w:t>of corrosion casts of livers from re-regenerated liver (SG</w:t>
      </w:r>
      <w:r w:rsidRPr="00CA4C0B">
        <w:rPr>
          <w:rFonts w:ascii="Book Antiqua" w:eastAsia="Arial Unicode MS" w:hAnsi="Book Antiqua"/>
          <w:b/>
          <w:noProof/>
          <w:bdr w:val="nil"/>
          <w:vertAlign w:val="subscript"/>
        </w:rPr>
        <w:t>2</w:t>
      </w:r>
      <w:r w:rsidRPr="00CA4C0B">
        <w:rPr>
          <w:rFonts w:ascii="Book Antiqua" w:eastAsia="Arial Unicode MS" w:hAnsi="Book Antiqua"/>
          <w:b/>
          <w:noProof/>
          <w:bdr w:val="nil"/>
        </w:rPr>
        <w:t xml:space="preserve">). </w:t>
      </w:r>
      <w:r w:rsidRPr="00CA4C0B">
        <w:rPr>
          <w:rFonts w:ascii="Book Antiqua" w:eastAsia="Arial Unicode MS" w:hAnsi="Book Antiqua"/>
          <w:noProof/>
          <w:bdr w:val="nil"/>
        </w:rPr>
        <w:t>A</w:t>
      </w:r>
      <w:r w:rsidR="00FF202F" w:rsidRPr="00CA4C0B">
        <w:rPr>
          <w:rFonts w:ascii="Book Antiqua" w:eastAsia="Arial Unicode MS" w:hAnsi="Book Antiqua"/>
          <w:noProof/>
          <w:bdr w:val="nil"/>
        </w:rPr>
        <w:t xml:space="preserve">: </w:t>
      </w:r>
      <w:r w:rsidRPr="00CA4C0B">
        <w:rPr>
          <w:rFonts w:ascii="Book Antiqua" w:eastAsia="Arial Unicode MS" w:hAnsi="Book Antiqua"/>
          <w:caps/>
          <w:noProof/>
          <w:bdr w:val="nil"/>
        </w:rPr>
        <w:t>l</w:t>
      </w:r>
      <w:r w:rsidRPr="00CA4C0B">
        <w:rPr>
          <w:rFonts w:ascii="Book Antiqua" w:eastAsia="Arial Unicode MS" w:hAnsi="Book Antiqua"/>
          <w:noProof/>
          <w:bdr w:val="nil"/>
        </w:rPr>
        <w:t>iver tissue histology (H&amp;E); B</w:t>
      </w:r>
      <w:r w:rsidR="00FF202F" w:rsidRPr="00CA4C0B">
        <w:rPr>
          <w:rFonts w:ascii="Book Antiqua" w:eastAsia="Arial Unicode MS" w:hAnsi="Book Antiqua"/>
          <w:noProof/>
          <w:bdr w:val="nil"/>
        </w:rPr>
        <w:t xml:space="preserve"> and </w:t>
      </w:r>
      <w:r w:rsidRPr="00CA4C0B">
        <w:rPr>
          <w:rFonts w:ascii="Book Antiqua" w:eastAsia="Arial Unicode MS" w:hAnsi="Book Antiqua"/>
          <w:noProof/>
          <w:bdr w:val="nil"/>
        </w:rPr>
        <w:t>D</w:t>
      </w:r>
      <w:r w:rsidR="00FF202F" w:rsidRPr="00CA4C0B">
        <w:rPr>
          <w:rFonts w:ascii="Book Antiqua" w:eastAsia="Arial Unicode MS" w:hAnsi="Book Antiqua"/>
          <w:noProof/>
          <w:bdr w:val="nil"/>
        </w:rPr>
        <w:t xml:space="preserve">: </w:t>
      </w:r>
      <w:r w:rsidRPr="00CA4C0B">
        <w:rPr>
          <w:rFonts w:ascii="Book Antiqua" w:eastAsia="Arial Unicode MS" w:hAnsi="Book Antiqua"/>
          <w:caps/>
          <w:noProof/>
          <w:bdr w:val="nil"/>
        </w:rPr>
        <w:t>c</w:t>
      </w:r>
      <w:r w:rsidRPr="00CA4C0B">
        <w:rPr>
          <w:rFonts w:ascii="Book Antiqua" w:eastAsia="Arial Unicode MS" w:hAnsi="Book Antiqua"/>
          <w:noProof/>
          <w:bdr w:val="nil"/>
        </w:rPr>
        <w:t>onnective-tissue fibers around the portal triad and perilobular branches (Masson’s Trichrome); C</w:t>
      </w:r>
      <w:r w:rsidR="00FF202F" w:rsidRPr="00CA4C0B">
        <w:rPr>
          <w:rFonts w:ascii="Book Antiqua" w:eastAsia="Arial Unicode MS" w:hAnsi="Book Antiqua"/>
          <w:noProof/>
          <w:bdr w:val="nil"/>
        </w:rPr>
        <w:t xml:space="preserve">: </w:t>
      </w:r>
      <w:r w:rsidRPr="00CA4C0B">
        <w:rPr>
          <w:rFonts w:ascii="Book Antiqua" w:eastAsia="Arial Unicode MS" w:hAnsi="Book Antiqua"/>
          <w:caps/>
          <w:noProof/>
          <w:bdr w:val="nil"/>
        </w:rPr>
        <w:t>l</w:t>
      </w:r>
      <w:r w:rsidRPr="00CA4C0B">
        <w:rPr>
          <w:rFonts w:ascii="Book Antiqua" w:eastAsia="Arial Unicode MS" w:hAnsi="Book Antiqua"/>
          <w:noProof/>
          <w:bdr w:val="nil"/>
        </w:rPr>
        <w:t>iver lobules (histology after Indian ink – gelatin injection); E-I</w:t>
      </w:r>
      <w:r w:rsidR="00C24ED5" w:rsidRPr="00CA4C0B">
        <w:rPr>
          <w:rFonts w:ascii="Book Antiqua" w:eastAsia="Arial Unicode MS" w:hAnsi="Book Antiqua"/>
          <w:noProof/>
          <w:bdr w:val="nil"/>
        </w:rPr>
        <w:t xml:space="preserve">: </w:t>
      </w:r>
      <w:r w:rsidR="00C24ED5" w:rsidRPr="00CA4C0B">
        <w:rPr>
          <w:rStyle w:val="None"/>
          <w:rFonts w:ascii="Book Antiqua" w:hAnsi="Book Antiqua"/>
          <w:caps/>
        </w:rPr>
        <w:t>s</w:t>
      </w:r>
      <w:r w:rsidR="00C24ED5" w:rsidRPr="00CA4C0B">
        <w:rPr>
          <w:rStyle w:val="None"/>
          <w:rFonts w:ascii="Book Antiqua" w:hAnsi="Book Antiqua"/>
        </w:rPr>
        <w:t>canning electron microscopy</w:t>
      </w:r>
      <w:r w:rsidR="00C24ED5" w:rsidRPr="00CA4C0B">
        <w:rPr>
          <w:rFonts w:ascii="Book Antiqua" w:eastAsia="Arial Unicode MS" w:hAnsi="Book Antiqua"/>
          <w:noProof/>
          <w:bdr w:val="nil"/>
        </w:rPr>
        <w:t xml:space="preserve"> (SEM)</w:t>
      </w:r>
      <w:r w:rsidR="00BE042A" w:rsidRPr="00CA4C0B">
        <w:rPr>
          <w:rFonts w:ascii="Book Antiqua" w:eastAsia="Arial Unicode MS" w:hAnsi="Book Antiqua"/>
          <w:noProof/>
          <w:bdr w:val="nil"/>
        </w:rPr>
        <w:t xml:space="preserve"> </w:t>
      </w:r>
      <w:r w:rsidRPr="00CA4C0B">
        <w:rPr>
          <w:rFonts w:ascii="Book Antiqua" w:eastAsia="Arial Unicode MS" w:hAnsi="Book Antiqua"/>
          <w:noProof/>
          <w:bdr w:val="nil"/>
        </w:rPr>
        <w:t>of liver vascular corrosion casts; E</w:t>
      </w:r>
      <w:r w:rsidR="00BE042A" w:rsidRPr="00CA4C0B">
        <w:rPr>
          <w:rFonts w:ascii="Book Antiqua" w:eastAsia="Arial Unicode MS" w:hAnsi="Book Antiqua"/>
          <w:noProof/>
          <w:bdr w:val="nil"/>
        </w:rPr>
        <w:t xml:space="preserve"> and </w:t>
      </w:r>
      <w:r w:rsidRPr="00CA4C0B">
        <w:rPr>
          <w:rFonts w:ascii="Book Antiqua" w:eastAsia="Arial Unicode MS" w:hAnsi="Book Antiqua"/>
          <w:noProof/>
          <w:bdr w:val="nil"/>
        </w:rPr>
        <w:t>F</w:t>
      </w:r>
      <w:r w:rsidR="00BE042A" w:rsidRPr="00CA4C0B">
        <w:rPr>
          <w:rFonts w:ascii="Book Antiqua" w:eastAsia="Arial Unicode MS" w:hAnsi="Book Antiqua"/>
          <w:noProof/>
          <w:bdr w:val="nil"/>
        </w:rPr>
        <w:t xml:space="preserve">: </w:t>
      </w:r>
      <w:r w:rsidRPr="00CA4C0B">
        <w:rPr>
          <w:rFonts w:ascii="Book Antiqua" w:eastAsia="Arial Unicode MS" w:hAnsi="Book Antiqua"/>
          <w:noProof/>
          <w:bdr w:val="nil"/>
        </w:rPr>
        <w:t>“mega-lobules”; G</w:t>
      </w:r>
      <w:r w:rsidR="00A8650D" w:rsidRPr="00CA4C0B">
        <w:rPr>
          <w:rFonts w:ascii="Book Antiqua" w:eastAsia="Arial Unicode MS" w:hAnsi="Book Antiqua"/>
          <w:noProof/>
          <w:bdr w:val="nil"/>
        </w:rPr>
        <w:t>-</w:t>
      </w:r>
      <w:r w:rsidRPr="00CA4C0B">
        <w:rPr>
          <w:rFonts w:ascii="Book Antiqua" w:eastAsia="Arial Unicode MS" w:hAnsi="Book Antiqua"/>
          <w:noProof/>
          <w:bdr w:val="nil"/>
        </w:rPr>
        <w:t>I</w:t>
      </w:r>
      <w:r w:rsidR="00A8650D" w:rsidRPr="00CA4C0B">
        <w:rPr>
          <w:rFonts w:ascii="Book Antiqua" w:eastAsia="Arial Unicode MS" w:hAnsi="Book Antiqua"/>
          <w:noProof/>
          <w:bdr w:val="nil"/>
        </w:rPr>
        <w:t xml:space="preserve">: </w:t>
      </w:r>
      <w:r w:rsidRPr="00CA4C0B">
        <w:rPr>
          <w:rFonts w:ascii="Book Antiqua" w:eastAsia="Arial Unicode MS" w:hAnsi="Book Antiqua"/>
          <w:noProof/>
          <w:bdr w:val="nil"/>
        </w:rPr>
        <w:t>SEM of corrosion casts of sinusoids</w:t>
      </w:r>
      <w:r w:rsidR="00F7733D" w:rsidRPr="00CA4C0B">
        <w:rPr>
          <w:rFonts w:ascii="Book Antiqua" w:eastAsia="Arial Unicode MS" w:hAnsi="Book Antiqua"/>
          <w:noProof/>
          <w:bdr w:val="nil"/>
        </w:rPr>
        <w:t xml:space="preserve"> </w:t>
      </w:r>
    </w:p>
    <w:p w14:paraId="607C378D" w14:textId="172C3ABB" w:rsidR="004313EE" w:rsidRPr="00CA4C0B" w:rsidRDefault="00CE6644" w:rsidP="007F2CA0">
      <w:pPr>
        <w:pStyle w:val="BodyA"/>
        <w:snapToGrid w:val="0"/>
        <w:spacing w:after="0" w:line="360" w:lineRule="auto"/>
        <w:jc w:val="both"/>
        <w:rPr>
          <w:rStyle w:val="None"/>
          <w:rFonts w:ascii="Book Antiqua" w:eastAsia="Times New Roman" w:hAnsi="Book Antiqua" w:cs="Times New Roman"/>
          <w:color w:val="auto"/>
          <w:sz w:val="24"/>
          <w:szCs w:val="24"/>
        </w:rPr>
      </w:pPr>
      <w:r w:rsidRPr="00CA4C0B">
        <w:rPr>
          <w:rStyle w:val="None"/>
          <w:rFonts w:ascii="Book Antiqua" w:eastAsia="Times New Roman" w:hAnsi="Book Antiqua" w:cs="Times New Roman"/>
          <w:noProof/>
          <w:color w:val="auto"/>
          <w:sz w:val="24"/>
          <w:szCs w:val="24"/>
          <w:lang w:eastAsia="zh-CN"/>
        </w:rPr>
        <w:lastRenderedPageBreak/>
        <w:drawing>
          <wp:inline distT="0" distB="0" distL="0" distR="0" wp14:anchorId="0FC50E4E" wp14:editId="36807B33">
            <wp:extent cx="5343276" cy="6854024"/>
            <wp:effectExtent l="0" t="0" r="0" b="4445"/>
            <wp:docPr id="1073741830" name="officeArt object" descr="Figures_Page_5.tiff"/>
            <wp:cNvGraphicFramePr/>
            <a:graphic xmlns:a="http://schemas.openxmlformats.org/drawingml/2006/main">
              <a:graphicData uri="http://schemas.openxmlformats.org/drawingml/2006/picture">
                <pic:pic xmlns:pic="http://schemas.openxmlformats.org/drawingml/2006/picture">
                  <pic:nvPicPr>
                    <pic:cNvPr id="1073741830" name="Figures_Page_5.tiff" descr="Figures_Page_5.tiff"/>
                    <pic:cNvPicPr>
                      <a:picLocks noChangeAspect="1"/>
                    </pic:cNvPicPr>
                  </pic:nvPicPr>
                  <pic:blipFill>
                    <a:blip r:embed="rId14"/>
                    <a:stretch>
                      <a:fillRect/>
                    </a:stretch>
                  </pic:blipFill>
                  <pic:spPr>
                    <a:xfrm>
                      <a:off x="0" y="0"/>
                      <a:ext cx="5353054" cy="6866566"/>
                    </a:xfrm>
                    <a:prstGeom prst="rect">
                      <a:avLst/>
                    </a:prstGeom>
                    <a:ln w="12700" cap="flat">
                      <a:noFill/>
                      <a:miter lim="400000"/>
                    </a:ln>
                    <a:effectLst/>
                  </pic:spPr>
                </pic:pic>
              </a:graphicData>
            </a:graphic>
          </wp:inline>
        </w:drawing>
      </w:r>
    </w:p>
    <w:p w14:paraId="262F28B6" w14:textId="11DC7F19" w:rsidR="00882A53" w:rsidRPr="00CA4C0B" w:rsidRDefault="00882A53" w:rsidP="007F2CA0">
      <w:pPr>
        <w:pStyle w:val="aa"/>
        <w:snapToGrid w:val="0"/>
        <w:spacing w:before="0" w:beforeAutospacing="0" w:after="0" w:afterAutospacing="0" w:line="360" w:lineRule="auto"/>
        <w:jc w:val="both"/>
        <w:rPr>
          <w:rFonts w:ascii="Book Antiqua" w:eastAsia="Arial Unicode MS" w:hAnsi="Book Antiqua"/>
          <w:noProof/>
          <w:bdr w:val="nil"/>
        </w:rPr>
      </w:pPr>
      <w:r w:rsidRPr="00CA4C0B">
        <w:rPr>
          <w:rFonts w:ascii="Book Antiqua" w:eastAsia="Arial Unicode MS" w:hAnsi="Book Antiqua"/>
          <w:b/>
          <w:noProof/>
          <w:bdr w:val="nil"/>
        </w:rPr>
        <w:t>Figure 6</w:t>
      </w:r>
      <w:r w:rsidR="00391BA2" w:rsidRPr="00CA4C0B">
        <w:rPr>
          <w:rFonts w:ascii="Book Antiqua" w:eastAsia="Arial Unicode MS" w:hAnsi="Book Antiqua"/>
          <w:b/>
          <w:noProof/>
          <w:bdr w:val="nil"/>
        </w:rPr>
        <w:t xml:space="preserve"> </w:t>
      </w:r>
      <w:r w:rsidRPr="00CA4C0B">
        <w:rPr>
          <w:rFonts w:ascii="Book Antiqua" w:eastAsia="Arial Unicode MS" w:hAnsi="Book Antiqua"/>
          <w:b/>
          <w:noProof/>
          <w:bdr w:val="nil"/>
        </w:rPr>
        <w:t xml:space="preserve">Ductular </w:t>
      </w:r>
      <w:r w:rsidR="00391BA2" w:rsidRPr="00CA4C0B">
        <w:rPr>
          <w:rFonts w:ascii="Book Antiqua" w:eastAsia="Arial Unicode MS" w:hAnsi="Book Antiqua"/>
          <w:b/>
          <w:noProof/>
          <w:bdr w:val="nil"/>
        </w:rPr>
        <w:t>r</w:t>
      </w:r>
      <w:r w:rsidRPr="00CA4C0B">
        <w:rPr>
          <w:rFonts w:ascii="Book Antiqua" w:eastAsia="Arial Unicode MS" w:hAnsi="Book Antiqua"/>
          <w:b/>
          <w:noProof/>
          <w:bdr w:val="nil"/>
        </w:rPr>
        <w:t xml:space="preserve">eaction. </w:t>
      </w:r>
      <w:r w:rsidRPr="00CA4C0B">
        <w:rPr>
          <w:rFonts w:ascii="Book Antiqua" w:eastAsia="Arial Unicode MS" w:hAnsi="Book Antiqua"/>
          <w:noProof/>
          <w:bdr w:val="nil"/>
        </w:rPr>
        <w:t>A</w:t>
      </w:r>
      <w:r w:rsidR="00391BA2" w:rsidRPr="00CA4C0B">
        <w:rPr>
          <w:rFonts w:ascii="Book Antiqua" w:eastAsia="Arial Unicode MS" w:hAnsi="Book Antiqua"/>
          <w:noProof/>
          <w:bdr w:val="nil"/>
        </w:rPr>
        <w:t xml:space="preserve"> and </w:t>
      </w:r>
      <w:r w:rsidRPr="00CA4C0B">
        <w:rPr>
          <w:rFonts w:ascii="Book Antiqua" w:eastAsia="Arial Unicode MS" w:hAnsi="Book Antiqua"/>
          <w:noProof/>
          <w:bdr w:val="nil"/>
        </w:rPr>
        <w:t>B</w:t>
      </w:r>
      <w:r w:rsidR="000538A8" w:rsidRPr="00CA4C0B">
        <w:rPr>
          <w:rFonts w:ascii="Book Antiqua" w:eastAsia="Arial Unicode MS" w:hAnsi="Book Antiqua"/>
          <w:noProof/>
          <w:bdr w:val="nil"/>
        </w:rPr>
        <w:t xml:space="preserve">: </w:t>
      </w:r>
      <w:r w:rsidRPr="00CA4C0B">
        <w:rPr>
          <w:rFonts w:ascii="Book Antiqua" w:eastAsia="Arial Unicode MS" w:hAnsi="Book Antiqua"/>
          <w:caps/>
          <w:noProof/>
          <w:bdr w:val="nil"/>
        </w:rPr>
        <w:t>p</w:t>
      </w:r>
      <w:r w:rsidRPr="00CA4C0B">
        <w:rPr>
          <w:rFonts w:ascii="Book Antiqua" w:eastAsia="Arial Unicode MS" w:hAnsi="Book Antiqua"/>
          <w:noProof/>
          <w:bdr w:val="nil"/>
        </w:rPr>
        <w:t>ortal/periportal ductular reaction in SG</w:t>
      </w:r>
      <w:r w:rsidRPr="00CA4C0B">
        <w:rPr>
          <w:rFonts w:ascii="Book Antiqua" w:eastAsia="Arial Unicode MS" w:hAnsi="Book Antiqua"/>
          <w:noProof/>
          <w:bdr w:val="nil"/>
          <w:vertAlign w:val="subscript"/>
        </w:rPr>
        <w:t>1</w:t>
      </w:r>
      <w:r w:rsidRPr="00CA4C0B">
        <w:rPr>
          <w:rFonts w:ascii="Book Antiqua" w:eastAsia="Arial Unicode MS" w:hAnsi="Book Antiqua"/>
          <w:noProof/>
          <w:bdr w:val="nil"/>
        </w:rPr>
        <w:t xml:space="preserve"> (CK8); C</w:t>
      </w:r>
      <w:r w:rsidR="000538A8" w:rsidRPr="00CA4C0B">
        <w:rPr>
          <w:rFonts w:ascii="Book Antiqua" w:eastAsia="Arial Unicode MS" w:hAnsi="Book Antiqua"/>
          <w:noProof/>
          <w:bdr w:val="nil"/>
        </w:rPr>
        <w:t xml:space="preserve">: </w:t>
      </w:r>
      <w:r w:rsidRPr="00CA4C0B">
        <w:rPr>
          <w:rFonts w:ascii="Book Antiqua" w:eastAsia="Arial Unicode MS" w:hAnsi="Book Antiqua"/>
          <w:caps/>
          <w:noProof/>
          <w:bdr w:val="nil"/>
        </w:rPr>
        <w:t>i</w:t>
      </w:r>
      <w:r w:rsidRPr="00CA4C0B">
        <w:rPr>
          <w:rFonts w:ascii="Book Antiqua" w:eastAsia="Arial Unicode MS" w:hAnsi="Book Antiqua"/>
          <w:noProof/>
          <w:bdr w:val="nil"/>
        </w:rPr>
        <w:t>ntralobular ductular reaction in SG</w:t>
      </w:r>
      <w:r w:rsidRPr="00CA4C0B">
        <w:rPr>
          <w:rFonts w:ascii="Book Antiqua" w:eastAsia="Arial Unicode MS" w:hAnsi="Book Antiqua"/>
          <w:noProof/>
          <w:bdr w:val="nil"/>
          <w:vertAlign w:val="subscript"/>
        </w:rPr>
        <w:t>1</w:t>
      </w:r>
      <w:r w:rsidRPr="00CA4C0B">
        <w:rPr>
          <w:rFonts w:ascii="Book Antiqua" w:eastAsia="Arial Unicode MS" w:hAnsi="Book Antiqua"/>
          <w:noProof/>
          <w:bdr w:val="nil"/>
        </w:rPr>
        <w:t xml:space="preserve"> (H&amp;E); D</w:t>
      </w:r>
      <w:r w:rsidR="000538A8" w:rsidRPr="00CA4C0B">
        <w:rPr>
          <w:rFonts w:ascii="Book Antiqua" w:eastAsia="Arial Unicode MS" w:hAnsi="Book Antiqua"/>
          <w:noProof/>
          <w:bdr w:val="nil"/>
        </w:rPr>
        <w:t>-</w:t>
      </w:r>
      <w:r w:rsidRPr="00CA4C0B">
        <w:rPr>
          <w:rFonts w:ascii="Book Antiqua" w:eastAsia="Arial Unicode MS" w:hAnsi="Book Antiqua"/>
          <w:noProof/>
          <w:bdr w:val="nil"/>
        </w:rPr>
        <w:t>F</w:t>
      </w:r>
      <w:r w:rsidR="000538A8" w:rsidRPr="00CA4C0B">
        <w:rPr>
          <w:rFonts w:ascii="Book Antiqua" w:eastAsia="Arial Unicode MS" w:hAnsi="Book Antiqua"/>
          <w:noProof/>
          <w:bdr w:val="nil"/>
        </w:rPr>
        <w:t xml:space="preserve">: </w:t>
      </w:r>
      <w:r w:rsidRPr="00CA4C0B">
        <w:rPr>
          <w:rFonts w:ascii="Book Antiqua" w:eastAsia="Arial Unicode MS" w:hAnsi="Book Antiqua"/>
          <w:caps/>
          <w:noProof/>
          <w:bdr w:val="nil"/>
        </w:rPr>
        <w:t>i</w:t>
      </w:r>
      <w:r w:rsidRPr="00CA4C0B">
        <w:rPr>
          <w:rFonts w:ascii="Book Antiqua" w:eastAsia="Arial Unicode MS" w:hAnsi="Book Antiqua"/>
          <w:noProof/>
          <w:bdr w:val="nil"/>
        </w:rPr>
        <w:t>ntralobular ductular reaction in SG</w:t>
      </w:r>
      <w:r w:rsidRPr="00CA4C0B">
        <w:rPr>
          <w:rFonts w:ascii="Book Antiqua" w:eastAsia="Arial Unicode MS" w:hAnsi="Book Antiqua"/>
          <w:noProof/>
          <w:bdr w:val="nil"/>
          <w:vertAlign w:val="subscript"/>
        </w:rPr>
        <w:t>2</w:t>
      </w:r>
      <w:r w:rsidRPr="00CA4C0B">
        <w:rPr>
          <w:rFonts w:ascii="Book Antiqua" w:eastAsia="Arial Unicode MS" w:hAnsi="Book Antiqua"/>
          <w:noProof/>
          <w:bdr w:val="nil"/>
        </w:rPr>
        <w:t xml:space="preserve"> (CK8). </w:t>
      </w:r>
    </w:p>
    <w:p w14:paraId="4CE91095" w14:textId="77777777" w:rsidR="00A92F71" w:rsidRPr="00CA4C0B" w:rsidRDefault="00A92F71" w:rsidP="007F2CA0">
      <w:pPr>
        <w:snapToGrid w:val="0"/>
        <w:spacing w:line="360" w:lineRule="auto"/>
        <w:jc w:val="both"/>
        <w:rPr>
          <w:rStyle w:val="None"/>
          <w:rFonts w:ascii="Book Antiqua" w:eastAsia="Times New Roman" w:hAnsi="Book Antiqua"/>
          <w:u w:color="000000"/>
          <w14:textOutline w14:w="12700" w14:cap="flat" w14:cmpd="sng" w14:algn="ctr">
            <w14:noFill/>
            <w14:prstDash w14:val="solid"/>
            <w14:miter w14:lim="400000"/>
          </w14:textOutline>
        </w:rPr>
      </w:pPr>
      <w:r w:rsidRPr="00CA4C0B">
        <w:rPr>
          <w:rStyle w:val="None"/>
          <w:rFonts w:ascii="Book Antiqua" w:eastAsia="Times New Roman" w:hAnsi="Book Antiqua"/>
        </w:rPr>
        <w:br w:type="page"/>
      </w:r>
    </w:p>
    <w:p w14:paraId="45BBCE49" w14:textId="6FB2F5C3" w:rsidR="00A06347" w:rsidRPr="00CA4C0B" w:rsidRDefault="00581D36" w:rsidP="007F2CA0">
      <w:pPr>
        <w:pStyle w:val="BodyA"/>
        <w:snapToGrid w:val="0"/>
        <w:spacing w:after="0" w:line="360" w:lineRule="auto"/>
        <w:jc w:val="both"/>
        <w:rPr>
          <w:rStyle w:val="None"/>
          <w:rFonts w:ascii="Book Antiqua" w:eastAsia="Times New Roman" w:hAnsi="Book Antiqua" w:cs="Times New Roman"/>
          <w:b/>
          <w:color w:val="auto"/>
          <w:sz w:val="24"/>
          <w:szCs w:val="24"/>
        </w:rPr>
      </w:pPr>
      <w:r w:rsidRPr="00CA4C0B">
        <w:rPr>
          <w:rStyle w:val="None"/>
          <w:rFonts w:ascii="Book Antiqua" w:hAnsi="Book Antiqua"/>
          <w:b/>
          <w:bCs/>
          <w:iCs/>
          <w:color w:val="auto"/>
          <w:sz w:val="24"/>
          <w:szCs w:val="24"/>
          <w:lang w:val="fr-FR"/>
        </w:rPr>
        <w:lastRenderedPageBreak/>
        <w:t xml:space="preserve">Table </w:t>
      </w:r>
      <w:r w:rsidR="00A06347" w:rsidRPr="00CA4C0B">
        <w:rPr>
          <w:rStyle w:val="None"/>
          <w:rFonts w:ascii="Book Antiqua" w:hAnsi="Book Antiqua"/>
          <w:b/>
          <w:bCs/>
          <w:iCs/>
          <w:color w:val="auto"/>
          <w:sz w:val="24"/>
          <w:szCs w:val="24"/>
          <w:lang w:val="fr-FR"/>
        </w:rPr>
        <w:t>1</w:t>
      </w:r>
      <w:r w:rsidRPr="00CA4C0B">
        <w:rPr>
          <w:rStyle w:val="None"/>
          <w:rFonts w:ascii="Book Antiqua" w:hAnsi="Book Antiqua"/>
          <w:b/>
          <w:color w:val="auto"/>
          <w:sz w:val="24"/>
          <w:szCs w:val="24"/>
        </w:rPr>
        <w:t xml:space="preserve"> </w:t>
      </w:r>
      <w:r w:rsidR="00A06347" w:rsidRPr="00CA4C0B">
        <w:rPr>
          <w:rStyle w:val="None"/>
          <w:rFonts w:ascii="Book Antiqua" w:hAnsi="Book Antiqua"/>
          <w:b/>
          <w:color w:val="auto"/>
          <w:sz w:val="24"/>
          <w:szCs w:val="24"/>
        </w:rPr>
        <w:t>Distribution of the experimental animals by experimen</w:t>
      </w:r>
      <w:r w:rsidRPr="00CA4C0B">
        <w:rPr>
          <w:rStyle w:val="None"/>
          <w:rFonts w:ascii="Book Antiqua" w:hAnsi="Book Antiqua"/>
          <w:b/>
          <w:color w:val="auto"/>
          <w:sz w:val="24"/>
          <w:szCs w:val="24"/>
        </w:rPr>
        <w:t>tal models and research methods</w:t>
      </w:r>
    </w:p>
    <w:tbl>
      <w:tblPr>
        <w:tblW w:w="9640" w:type="dxa"/>
        <w:tblInd w:w="-284" w:type="dxa"/>
        <w:tblBorders>
          <w:top w:val="single" w:sz="4" w:space="0" w:color="000000"/>
          <w:bottom w:val="single" w:sz="4" w:space="0" w:color="000000"/>
        </w:tblBorders>
        <w:shd w:val="clear" w:color="auto" w:fill="CED7E7"/>
        <w:tblLayout w:type="fixed"/>
        <w:tblLook w:val="04A0" w:firstRow="1" w:lastRow="0" w:firstColumn="1" w:lastColumn="0" w:noHBand="0" w:noVBand="1"/>
      </w:tblPr>
      <w:tblGrid>
        <w:gridCol w:w="1913"/>
        <w:gridCol w:w="596"/>
        <w:gridCol w:w="1237"/>
        <w:gridCol w:w="640"/>
        <w:gridCol w:w="1290"/>
        <w:gridCol w:w="1120"/>
        <w:gridCol w:w="939"/>
        <w:gridCol w:w="1055"/>
        <w:gridCol w:w="850"/>
      </w:tblGrid>
      <w:tr w:rsidR="00A06347" w:rsidRPr="00CA4C0B" w14:paraId="0BC0AE7D" w14:textId="77777777" w:rsidTr="001B15F0">
        <w:trPr>
          <w:trHeight w:val="266"/>
        </w:trPr>
        <w:tc>
          <w:tcPr>
            <w:tcW w:w="1913" w:type="dxa"/>
            <w:vMerge w:val="restart"/>
            <w:tcBorders>
              <w:top w:val="single" w:sz="4" w:space="0" w:color="000000"/>
              <w:bottom w:val="single" w:sz="4" w:space="0" w:color="000000"/>
            </w:tcBorders>
            <w:shd w:val="clear" w:color="auto" w:fill="auto"/>
            <w:tcMar>
              <w:top w:w="80" w:type="dxa"/>
              <w:left w:w="80" w:type="dxa"/>
              <w:bottom w:w="80" w:type="dxa"/>
              <w:right w:w="80" w:type="dxa"/>
            </w:tcMar>
          </w:tcPr>
          <w:p w14:paraId="5C6E0713" w14:textId="1115EC5B" w:rsidR="00A06347" w:rsidRPr="00CA4C0B" w:rsidRDefault="00A06347" w:rsidP="007F2CA0">
            <w:pPr>
              <w:pStyle w:val="BodyA"/>
              <w:snapToGrid w:val="0"/>
              <w:spacing w:after="0" w:line="360" w:lineRule="auto"/>
              <w:jc w:val="both"/>
              <w:rPr>
                <w:rStyle w:val="None"/>
                <w:rFonts w:ascii="Book Antiqua" w:eastAsia="Times New Roman" w:hAnsi="Book Antiqua" w:cs="Times New Roman"/>
                <w:b/>
                <w:color w:val="auto"/>
                <w:sz w:val="24"/>
                <w:szCs w:val="24"/>
              </w:rPr>
            </w:pPr>
            <w:r w:rsidRPr="00CA4C0B">
              <w:rPr>
                <w:rStyle w:val="None"/>
                <w:rFonts w:ascii="Book Antiqua" w:hAnsi="Book Antiqua"/>
                <w:b/>
                <w:color w:val="auto"/>
                <w:sz w:val="24"/>
                <w:szCs w:val="24"/>
              </w:rPr>
              <w:t>Methods</w:t>
            </w:r>
          </w:p>
          <w:p w14:paraId="04123D12" w14:textId="77777777" w:rsidR="00A06347" w:rsidRPr="00CA4C0B" w:rsidRDefault="00A06347" w:rsidP="007F2CA0">
            <w:pPr>
              <w:pStyle w:val="BodyA"/>
              <w:snapToGrid w:val="0"/>
              <w:spacing w:after="0" w:line="360" w:lineRule="auto"/>
              <w:jc w:val="both"/>
              <w:rPr>
                <w:rStyle w:val="None"/>
                <w:rFonts w:ascii="Book Antiqua" w:eastAsia="Times New Roman" w:hAnsi="Book Antiqua" w:cs="Times New Roman"/>
                <w:b/>
                <w:color w:val="auto"/>
                <w:sz w:val="24"/>
                <w:szCs w:val="24"/>
              </w:rPr>
            </w:pPr>
          </w:p>
          <w:p w14:paraId="4ABD94DC" w14:textId="77777777" w:rsidR="00A06347" w:rsidRPr="00CA4C0B" w:rsidRDefault="00A06347" w:rsidP="007F2CA0">
            <w:pPr>
              <w:pStyle w:val="BodyA"/>
              <w:snapToGrid w:val="0"/>
              <w:spacing w:after="0" w:line="360" w:lineRule="auto"/>
              <w:jc w:val="both"/>
              <w:rPr>
                <w:rFonts w:ascii="Book Antiqua" w:hAnsi="Book Antiqua"/>
                <w:b/>
                <w:color w:val="auto"/>
                <w:sz w:val="24"/>
                <w:szCs w:val="24"/>
              </w:rPr>
            </w:pPr>
            <w:r w:rsidRPr="00CA4C0B">
              <w:rPr>
                <w:rStyle w:val="None"/>
                <w:rFonts w:ascii="Book Antiqua" w:hAnsi="Book Antiqua"/>
                <w:b/>
                <w:color w:val="auto"/>
                <w:sz w:val="24"/>
                <w:szCs w:val="24"/>
              </w:rPr>
              <w:t>Groups</w:t>
            </w:r>
          </w:p>
        </w:tc>
        <w:tc>
          <w:tcPr>
            <w:tcW w:w="4883" w:type="dxa"/>
            <w:gridSpan w:val="5"/>
            <w:tcBorders>
              <w:top w:val="single" w:sz="4" w:space="0" w:color="000000"/>
              <w:bottom w:val="single" w:sz="4" w:space="0" w:color="000000"/>
            </w:tcBorders>
            <w:shd w:val="clear" w:color="auto" w:fill="auto"/>
            <w:tcMar>
              <w:top w:w="80" w:type="dxa"/>
              <w:left w:w="80" w:type="dxa"/>
              <w:bottom w:w="80" w:type="dxa"/>
              <w:right w:w="80" w:type="dxa"/>
            </w:tcMar>
          </w:tcPr>
          <w:p w14:paraId="66049409" w14:textId="534F5A33" w:rsidR="00A06347" w:rsidRPr="00CA4C0B" w:rsidRDefault="00A06347" w:rsidP="007F2CA0">
            <w:pPr>
              <w:pStyle w:val="BodyA"/>
              <w:snapToGrid w:val="0"/>
              <w:spacing w:after="0" w:line="360" w:lineRule="auto"/>
              <w:jc w:val="both"/>
              <w:rPr>
                <w:rFonts w:ascii="Book Antiqua" w:hAnsi="Book Antiqua"/>
                <w:b/>
                <w:color w:val="auto"/>
                <w:sz w:val="24"/>
                <w:szCs w:val="24"/>
              </w:rPr>
            </w:pPr>
            <w:r w:rsidRPr="00CA4C0B">
              <w:rPr>
                <w:rStyle w:val="None"/>
                <w:rFonts w:ascii="Book Antiqua" w:hAnsi="Book Antiqua"/>
                <w:b/>
                <w:color w:val="auto"/>
                <w:sz w:val="24"/>
                <w:szCs w:val="24"/>
              </w:rPr>
              <w:t>Histology</w:t>
            </w:r>
          </w:p>
        </w:tc>
        <w:tc>
          <w:tcPr>
            <w:tcW w:w="939" w:type="dxa"/>
            <w:vMerge w:val="restart"/>
            <w:tcBorders>
              <w:top w:val="single" w:sz="4" w:space="0" w:color="000000"/>
              <w:bottom w:val="single" w:sz="4" w:space="0" w:color="000000"/>
            </w:tcBorders>
            <w:shd w:val="clear" w:color="auto" w:fill="auto"/>
            <w:tcMar>
              <w:top w:w="80" w:type="dxa"/>
              <w:left w:w="80" w:type="dxa"/>
              <w:bottom w:w="80" w:type="dxa"/>
              <w:right w:w="80" w:type="dxa"/>
            </w:tcMar>
          </w:tcPr>
          <w:p w14:paraId="58B00E7C" w14:textId="60865E2D" w:rsidR="00A06347" w:rsidRPr="00CA4C0B" w:rsidRDefault="00A06347" w:rsidP="007F2CA0">
            <w:pPr>
              <w:pStyle w:val="BodyA"/>
              <w:tabs>
                <w:tab w:val="left" w:pos="591"/>
              </w:tabs>
              <w:snapToGrid w:val="0"/>
              <w:spacing w:after="0" w:line="360" w:lineRule="auto"/>
              <w:jc w:val="both"/>
              <w:rPr>
                <w:rFonts w:ascii="Book Antiqua" w:hAnsi="Book Antiqua"/>
                <w:b/>
                <w:color w:val="auto"/>
                <w:sz w:val="24"/>
                <w:szCs w:val="24"/>
              </w:rPr>
            </w:pPr>
            <w:r w:rsidRPr="00CA4C0B">
              <w:rPr>
                <w:rStyle w:val="None"/>
                <w:rFonts w:ascii="Book Antiqua" w:hAnsi="Book Antiqua"/>
                <w:b/>
                <w:color w:val="auto"/>
                <w:sz w:val="24"/>
                <w:szCs w:val="24"/>
              </w:rPr>
              <w:t xml:space="preserve">SEM of </w:t>
            </w:r>
            <w:r w:rsidR="0054300E" w:rsidRPr="00CA4C0B">
              <w:rPr>
                <w:rStyle w:val="None"/>
                <w:rFonts w:ascii="Book Antiqua" w:hAnsi="Book Antiqua"/>
                <w:b/>
                <w:color w:val="auto"/>
                <w:sz w:val="24"/>
                <w:szCs w:val="24"/>
              </w:rPr>
              <w:t>c</w:t>
            </w:r>
            <w:r w:rsidRPr="00CA4C0B">
              <w:rPr>
                <w:rStyle w:val="None"/>
                <w:rFonts w:ascii="Book Antiqua" w:hAnsi="Book Antiqua"/>
                <w:b/>
                <w:color w:val="auto"/>
                <w:sz w:val="24"/>
                <w:szCs w:val="24"/>
              </w:rPr>
              <w:t>o</w:t>
            </w:r>
            <w:r w:rsidRPr="00CA4C0B">
              <w:rPr>
                <w:rStyle w:val="None"/>
                <w:rFonts w:ascii="Book Antiqua" w:hAnsi="Book Antiqua"/>
                <w:b/>
                <w:color w:val="auto"/>
                <w:sz w:val="24"/>
                <w:szCs w:val="24"/>
              </w:rPr>
              <w:t>r</w:t>
            </w:r>
            <w:r w:rsidRPr="00CA4C0B">
              <w:rPr>
                <w:rStyle w:val="None"/>
                <w:rFonts w:ascii="Book Antiqua" w:hAnsi="Book Antiqua"/>
                <w:b/>
                <w:color w:val="auto"/>
                <w:sz w:val="24"/>
                <w:szCs w:val="24"/>
              </w:rPr>
              <w:t>rosion cast</w:t>
            </w:r>
            <w:r w:rsidRPr="00CA4C0B">
              <w:rPr>
                <w:rStyle w:val="None"/>
                <w:rFonts w:ascii="Book Antiqua" w:hAnsi="Book Antiqua"/>
                <w:b/>
                <w:color w:val="auto"/>
                <w:sz w:val="24"/>
                <w:szCs w:val="24"/>
              </w:rPr>
              <w:tab/>
            </w:r>
          </w:p>
        </w:tc>
        <w:tc>
          <w:tcPr>
            <w:tcW w:w="1055" w:type="dxa"/>
            <w:vMerge w:val="restart"/>
            <w:tcBorders>
              <w:top w:val="single" w:sz="4" w:space="0" w:color="000000"/>
              <w:bottom w:val="single" w:sz="4" w:space="0" w:color="000000"/>
            </w:tcBorders>
            <w:shd w:val="clear" w:color="auto" w:fill="auto"/>
            <w:tcMar>
              <w:top w:w="80" w:type="dxa"/>
              <w:left w:w="80" w:type="dxa"/>
              <w:bottom w:w="80" w:type="dxa"/>
              <w:right w:w="80" w:type="dxa"/>
            </w:tcMar>
          </w:tcPr>
          <w:p w14:paraId="7528967E" w14:textId="7AC020F3" w:rsidR="00A06347" w:rsidRPr="00CA4C0B" w:rsidRDefault="00A06347" w:rsidP="007F2CA0">
            <w:pPr>
              <w:pStyle w:val="BodyA"/>
              <w:snapToGrid w:val="0"/>
              <w:spacing w:after="0" w:line="360" w:lineRule="auto"/>
              <w:jc w:val="both"/>
              <w:rPr>
                <w:rFonts w:ascii="Book Antiqua" w:hAnsi="Book Antiqua"/>
                <w:b/>
                <w:color w:val="auto"/>
                <w:sz w:val="24"/>
                <w:szCs w:val="24"/>
              </w:rPr>
            </w:pPr>
            <w:r w:rsidRPr="00CA4C0B">
              <w:rPr>
                <w:rStyle w:val="None"/>
                <w:rFonts w:ascii="Book Antiqua" w:hAnsi="Book Antiqua"/>
                <w:b/>
                <w:color w:val="auto"/>
                <w:sz w:val="24"/>
                <w:szCs w:val="24"/>
              </w:rPr>
              <w:t xml:space="preserve">Ploidy of </w:t>
            </w:r>
            <w:r w:rsidR="0054300E" w:rsidRPr="00CA4C0B">
              <w:rPr>
                <w:rStyle w:val="None"/>
                <w:rFonts w:ascii="Book Antiqua" w:hAnsi="Book Antiqua"/>
                <w:b/>
                <w:color w:val="auto"/>
                <w:sz w:val="24"/>
                <w:szCs w:val="24"/>
              </w:rPr>
              <w:t>h</w:t>
            </w:r>
            <w:r w:rsidRPr="00CA4C0B">
              <w:rPr>
                <w:rStyle w:val="None"/>
                <w:rFonts w:ascii="Book Antiqua" w:hAnsi="Book Antiqua"/>
                <w:b/>
                <w:color w:val="auto"/>
                <w:sz w:val="24"/>
                <w:szCs w:val="24"/>
              </w:rPr>
              <w:t>epat</w:t>
            </w:r>
            <w:r w:rsidRPr="00CA4C0B">
              <w:rPr>
                <w:rStyle w:val="None"/>
                <w:rFonts w:ascii="Book Antiqua" w:hAnsi="Book Antiqua"/>
                <w:b/>
                <w:color w:val="auto"/>
                <w:sz w:val="24"/>
                <w:szCs w:val="24"/>
              </w:rPr>
              <w:t>o</w:t>
            </w:r>
            <w:r w:rsidRPr="00CA4C0B">
              <w:rPr>
                <w:rStyle w:val="None"/>
                <w:rFonts w:ascii="Book Antiqua" w:hAnsi="Book Antiqua"/>
                <w:b/>
                <w:color w:val="auto"/>
                <w:sz w:val="24"/>
                <w:szCs w:val="24"/>
              </w:rPr>
              <w:t xml:space="preserve">cytes </w:t>
            </w:r>
          </w:p>
        </w:tc>
        <w:tc>
          <w:tcPr>
            <w:tcW w:w="850" w:type="dxa"/>
            <w:vMerge w:val="restart"/>
            <w:tcBorders>
              <w:top w:val="single" w:sz="4" w:space="0" w:color="000000"/>
              <w:bottom w:val="single" w:sz="4" w:space="0" w:color="000000"/>
            </w:tcBorders>
            <w:shd w:val="clear" w:color="auto" w:fill="auto"/>
            <w:tcMar>
              <w:top w:w="80" w:type="dxa"/>
              <w:left w:w="80" w:type="dxa"/>
              <w:bottom w:w="80" w:type="dxa"/>
              <w:right w:w="80" w:type="dxa"/>
            </w:tcMar>
          </w:tcPr>
          <w:p w14:paraId="31224BBF" w14:textId="77777777" w:rsidR="00A06347" w:rsidRPr="00CA4C0B" w:rsidRDefault="00A06347" w:rsidP="007F2CA0">
            <w:pPr>
              <w:pStyle w:val="BodyA"/>
              <w:snapToGrid w:val="0"/>
              <w:spacing w:after="0" w:line="360" w:lineRule="auto"/>
              <w:jc w:val="both"/>
              <w:rPr>
                <w:rFonts w:ascii="Book Antiqua" w:hAnsi="Book Antiqua"/>
                <w:b/>
                <w:color w:val="auto"/>
                <w:sz w:val="24"/>
                <w:szCs w:val="24"/>
              </w:rPr>
            </w:pPr>
            <w:r w:rsidRPr="00CA4C0B">
              <w:rPr>
                <w:rStyle w:val="None"/>
                <w:rFonts w:ascii="Book Antiqua" w:hAnsi="Book Antiqua"/>
                <w:b/>
                <w:color w:val="auto"/>
                <w:sz w:val="24"/>
                <w:szCs w:val="24"/>
              </w:rPr>
              <w:t>Number of an</w:t>
            </w:r>
            <w:r w:rsidRPr="00CA4C0B">
              <w:rPr>
                <w:rStyle w:val="None"/>
                <w:rFonts w:ascii="Book Antiqua" w:hAnsi="Book Antiqua"/>
                <w:b/>
                <w:color w:val="auto"/>
                <w:sz w:val="24"/>
                <w:szCs w:val="24"/>
              </w:rPr>
              <w:t>i</w:t>
            </w:r>
            <w:r w:rsidRPr="00CA4C0B">
              <w:rPr>
                <w:rStyle w:val="None"/>
                <w:rFonts w:ascii="Book Antiqua" w:hAnsi="Book Antiqua"/>
                <w:b/>
                <w:color w:val="auto"/>
                <w:sz w:val="24"/>
                <w:szCs w:val="24"/>
              </w:rPr>
              <w:t xml:space="preserve">mals </w:t>
            </w:r>
          </w:p>
        </w:tc>
      </w:tr>
      <w:tr w:rsidR="00A06347" w:rsidRPr="00CA4C0B" w14:paraId="0ABDE8DA" w14:textId="77777777" w:rsidTr="001B15F0">
        <w:trPr>
          <w:trHeight w:val="4160"/>
        </w:trPr>
        <w:tc>
          <w:tcPr>
            <w:tcW w:w="1913" w:type="dxa"/>
            <w:vMerge/>
            <w:tcBorders>
              <w:top w:val="single" w:sz="4" w:space="0" w:color="000000"/>
              <w:bottom w:val="single" w:sz="4" w:space="0" w:color="000000"/>
            </w:tcBorders>
            <w:shd w:val="clear" w:color="auto" w:fill="auto"/>
          </w:tcPr>
          <w:p w14:paraId="79F2AB8D" w14:textId="77777777" w:rsidR="00A06347" w:rsidRPr="00CA4C0B" w:rsidRDefault="00A06347" w:rsidP="007F2CA0">
            <w:pPr>
              <w:snapToGrid w:val="0"/>
              <w:spacing w:line="360" w:lineRule="auto"/>
              <w:jc w:val="both"/>
              <w:rPr>
                <w:rFonts w:ascii="Book Antiqua" w:hAnsi="Book Antiqua"/>
              </w:rPr>
            </w:pPr>
          </w:p>
        </w:tc>
        <w:tc>
          <w:tcPr>
            <w:tcW w:w="596" w:type="dxa"/>
            <w:tcBorders>
              <w:top w:val="single" w:sz="4" w:space="0" w:color="000000"/>
              <w:bottom w:val="single" w:sz="4" w:space="0" w:color="000000"/>
            </w:tcBorders>
            <w:shd w:val="clear" w:color="auto" w:fill="auto"/>
            <w:tcMar>
              <w:top w:w="80" w:type="dxa"/>
              <w:left w:w="80" w:type="dxa"/>
              <w:bottom w:w="80" w:type="dxa"/>
              <w:right w:w="80" w:type="dxa"/>
            </w:tcMar>
          </w:tcPr>
          <w:p w14:paraId="6DAC3EA0" w14:textId="77777777" w:rsidR="00A06347" w:rsidRPr="00CA4C0B" w:rsidRDefault="00A06347" w:rsidP="007F2CA0">
            <w:pPr>
              <w:pStyle w:val="BodyA"/>
              <w:snapToGrid w:val="0"/>
              <w:spacing w:after="0" w:line="360" w:lineRule="auto"/>
              <w:jc w:val="both"/>
              <w:rPr>
                <w:rFonts w:ascii="Book Antiqua" w:hAnsi="Book Antiqua"/>
                <w:b/>
                <w:color w:val="auto"/>
                <w:sz w:val="24"/>
                <w:szCs w:val="24"/>
              </w:rPr>
            </w:pPr>
            <w:r w:rsidRPr="00CA4C0B">
              <w:rPr>
                <w:rStyle w:val="None"/>
                <w:rFonts w:ascii="Book Antiqua" w:hAnsi="Book Antiqua"/>
                <w:b/>
                <w:color w:val="auto"/>
                <w:sz w:val="24"/>
                <w:szCs w:val="24"/>
              </w:rPr>
              <w:t>H&amp;E</w:t>
            </w:r>
          </w:p>
        </w:tc>
        <w:tc>
          <w:tcPr>
            <w:tcW w:w="1237" w:type="dxa"/>
            <w:tcBorders>
              <w:top w:val="single" w:sz="4" w:space="0" w:color="000000"/>
              <w:bottom w:val="single" w:sz="4" w:space="0" w:color="000000"/>
            </w:tcBorders>
            <w:shd w:val="clear" w:color="auto" w:fill="auto"/>
            <w:tcMar>
              <w:top w:w="80" w:type="dxa"/>
              <w:left w:w="80" w:type="dxa"/>
              <w:bottom w:w="80" w:type="dxa"/>
              <w:right w:w="80" w:type="dxa"/>
            </w:tcMar>
          </w:tcPr>
          <w:p w14:paraId="03EB6A74" w14:textId="77777777" w:rsidR="00A06347" w:rsidRPr="00CA4C0B" w:rsidRDefault="00A06347" w:rsidP="007F2CA0">
            <w:pPr>
              <w:pStyle w:val="BodyA"/>
              <w:snapToGrid w:val="0"/>
              <w:spacing w:after="0" w:line="360" w:lineRule="auto"/>
              <w:jc w:val="both"/>
              <w:rPr>
                <w:rStyle w:val="None"/>
                <w:rFonts w:ascii="Book Antiqua" w:eastAsia="Times New Roman" w:hAnsi="Book Antiqua" w:cs="Times New Roman"/>
                <w:b/>
                <w:color w:val="auto"/>
                <w:sz w:val="24"/>
                <w:szCs w:val="24"/>
              </w:rPr>
            </w:pPr>
            <w:r w:rsidRPr="00CA4C0B">
              <w:rPr>
                <w:rStyle w:val="None"/>
                <w:rFonts w:ascii="Book Antiqua" w:hAnsi="Book Antiqua"/>
                <w:b/>
                <w:color w:val="auto"/>
                <w:sz w:val="24"/>
                <w:szCs w:val="24"/>
              </w:rPr>
              <w:t>Hist</w:t>
            </w:r>
            <w:r w:rsidRPr="00CA4C0B">
              <w:rPr>
                <w:rStyle w:val="None"/>
                <w:rFonts w:ascii="Book Antiqua" w:hAnsi="Book Antiqua"/>
                <w:b/>
                <w:color w:val="auto"/>
                <w:sz w:val="24"/>
                <w:szCs w:val="24"/>
              </w:rPr>
              <w:t>o</w:t>
            </w:r>
            <w:r w:rsidRPr="00CA4C0B">
              <w:rPr>
                <w:rStyle w:val="None"/>
                <w:rFonts w:ascii="Book Antiqua" w:hAnsi="Book Antiqua"/>
                <w:b/>
                <w:color w:val="auto"/>
                <w:sz w:val="24"/>
                <w:szCs w:val="24"/>
              </w:rPr>
              <w:t>chemi</w:t>
            </w:r>
            <w:r w:rsidRPr="00CA4C0B">
              <w:rPr>
                <w:rStyle w:val="None"/>
                <w:rFonts w:ascii="Book Antiqua" w:hAnsi="Book Antiqua"/>
                <w:b/>
                <w:color w:val="auto"/>
                <w:sz w:val="24"/>
                <w:szCs w:val="24"/>
              </w:rPr>
              <w:t>s</w:t>
            </w:r>
            <w:r w:rsidRPr="00CA4C0B">
              <w:rPr>
                <w:rStyle w:val="None"/>
                <w:rFonts w:ascii="Book Antiqua" w:hAnsi="Book Antiqua"/>
                <w:b/>
                <w:color w:val="auto"/>
                <w:sz w:val="24"/>
                <w:szCs w:val="24"/>
              </w:rPr>
              <w:t>try</w:t>
            </w:r>
          </w:p>
          <w:p w14:paraId="795F8E06" w14:textId="77777777" w:rsidR="00A06347" w:rsidRPr="00CA4C0B" w:rsidRDefault="00A06347" w:rsidP="007F2CA0">
            <w:pPr>
              <w:pStyle w:val="BodyA"/>
              <w:snapToGrid w:val="0"/>
              <w:spacing w:after="0" w:line="360" w:lineRule="auto"/>
              <w:jc w:val="both"/>
              <w:rPr>
                <w:rFonts w:ascii="Book Antiqua" w:hAnsi="Book Antiqua"/>
                <w:b/>
                <w:color w:val="auto"/>
                <w:sz w:val="24"/>
                <w:szCs w:val="24"/>
              </w:rPr>
            </w:pPr>
            <w:r w:rsidRPr="00CA4C0B">
              <w:rPr>
                <w:rStyle w:val="None"/>
                <w:rFonts w:ascii="Book Antiqua" w:hAnsi="Book Antiqua"/>
                <w:b/>
                <w:color w:val="auto"/>
                <w:sz w:val="24"/>
                <w:szCs w:val="24"/>
              </w:rPr>
              <w:t>(Ma</w:t>
            </w:r>
            <w:r w:rsidRPr="00CA4C0B">
              <w:rPr>
                <w:rStyle w:val="None"/>
                <w:rFonts w:ascii="Book Antiqua" w:hAnsi="Book Antiqua"/>
                <w:b/>
                <w:color w:val="auto"/>
                <w:sz w:val="24"/>
                <w:szCs w:val="24"/>
              </w:rPr>
              <w:t>s</w:t>
            </w:r>
            <w:r w:rsidRPr="00CA4C0B">
              <w:rPr>
                <w:rStyle w:val="None"/>
                <w:rFonts w:ascii="Book Antiqua" w:hAnsi="Book Antiqua"/>
                <w:b/>
                <w:color w:val="auto"/>
                <w:sz w:val="24"/>
                <w:szCs w:val="24"/>
              </w:rPr>
              <w:t>son’s Tr</w:t>
            </w:r>
            <w:r w:rsidRPr="00CA4C0B">
              <w:rPr>
                <w:rStyle w:val="None"/>
                <w:rFonts w:ascii="Book Antiqua" w:hAnsi="Book Antiqua"/>
                <w:b/>
                <w:color w:val="auto"/>
                <w:sz w:val="24"/>
                <w:szCs w:val="24"/>
              </w:rPr>
              <w:t>i</w:t>
            </w:r>
            <w:r w:rsidRPr="00CA4C0B">
              <w:rPr>
                <w:rStyle w:val="None"/>
                <w:rFonts w:ascii="Book Antiqua" w:hAnsi="Book Antiqua"/>
                <w:b/>
                <w:color w:val="auto"/>
                <w:sz w:val="24"/>
                <w:szCs w:val="24"/>
              </w:rPr>
              <w:t>chrome)</w:t>
            </w:r>
          </w:p>
        </w:tc>
        <w:tc>
          <w:tcPr>
            <w:tcW w:w="640" w:type="dxa"/>
            <w:tcBorders>
              <w:top w:val="single" w:sz="4" w:space="0" w:color="000000"/>
              <w:bottom w:val="single" w:sz="4" w:space="0" w:color="000000"/>
            </w:tcBorders>
            <w:shd w:val="clear" w:color="auto" w:fill="auto"/>
            <w:tcMar>
              <w:top w:w="80" w:type="dxa"/>
              <w:left w:w="80" w:type="dxa"/>
              <w:bottom w:w="80" w:type="dxa"/>
              <w:right w:w="80" w:type="dxa"/>
            </w:tcMar>
          </w:tcPr>
          <w:p w14:paraId="61D86A9F" w14:textId="77777777" w:rsidR="00A06347" w:rsidRPr="00CA4C0B" w:rsidRDefault="00A06347" w:rsidP="007F2CA0">
            <w:pPr>
              <w:pStyle w:val="BodyA"/>
              <w:snapToGrid w:val="0"/>
              <w:spacing w:after="0" w:line="360" w:lineRule="auto"/>
              <w:jc w:val="both"/>
              <w:rPr>
                <w:rFonts w:ascii="Book Antiqua" w:hAnsi="Book Antiqua"/>
                <w:b/>
                <w:color w:val="auto"/>
                <w:sz w:val="24"/>
                <w:szCs w:val="24"/>
              </w:rPr>
            </w:pPr>
            <w:r w:rsidRPr="00CA4C0B">
              <w:rPr>
                <w:rStyle w:val="None"/>
                <w:rFonts w:ascii="Book Antiqua" w:hAnsi="Book Antiqua"/>
                <w:b/>
                <w:color w:val="auto"/>
                <w:sz w:val="24"/>
                <w:szCs w:val="24"/>
              </w:rPr>
              <w:t>IHC (CK8)</w:t>
            </w:r>
          </w:p>
        </w:tc>
        <w:tc>
          <w:tcPr>
            <w:tcW w:w="1290" w:type="dxa"/>
            <w:tcBorders>
              <w:top w:val="single" w:sz="4" w:space="0" w:color="000000"/>
              <w:bottom w:val="single" w:sz="4" w:space="0" w:color="000000"/>
            </w:tcBorders>
            <w:shd w:val="clear" w:color="auto" w:fill="auto"/>
            <w:tcMar>
              <w:top w:w="80" w:type="dxa"/>
              <w:left w:w="80" w:type="dxa"/>
              <w:bottom w:w="80" w:type="dxa"/>
              <w:right w:w="80" w:type="dxa"/>
            </w:tcMar>
          </w:tcPr>
          <w:p w14:paraId="467F4C13" w14:textId="77777777" w:rsidR="00A06347" w:rsidRPr="00CA4C0B" w:rsidRDefault="00A06347" w:rsidP="007F2CA0">
            <w:pPr>
              <w:pStyle w:val="BodyA"/>
              <w:snapToGrid w:val="0"/>
              <w:spacing w:after="0" w:line="360" w:lineRule="auto"/>
              <w:jc w:val="both"/>
              <w:rPr>
                <w:rStyle w:val="None"/>
                <w:rFonts w:ascii="Book Antiqua" w:eastAsia="Times New Roman" w:hAnsi="Book Antiqua" w:cs="Times New Roman"/>
                <w:b/>
                <w:color w:val="auto"/>
                <w:sz w:val="24"/>
                <w:szCs w:val="24"/>
              </w:rPr>
            </w:pPr>
            <w:r w:rsidRPr="00CA4C0B">
              <w:rPr>
                <w:rStyle w:val="None"/>
                <w:rFonts w:ascii="Book Antiqua" w:hAnsi="Book Antiqua"/>
                <w:b/>
                <w:color w:val="auto"/>
                <w:sz w:val="24"/>
                <w:szCs w:val="24"/>
              </w:rPr>
              <w:t>Mo</w:t>
            </w:r>
            <w:r w:rsidRPr="00CA4C0B">
              <w:rPr>
                <w:rStyle w:val="None"/>
                <w:rFonts w:ascii="Book Antiqua" w:hAnsi="Book Antiqua"/>
                <w:b/>
                <w:color w:val="auto"/>
                <w:sz w:val="24"/>
                <w:szCs w:val="24"/>
              </w:rPr>
              <w:t>r</w:t>
            </w:r>
            <w:r w:rsidRPr="00CA4C0B">
              <w:rPr>
                <w:rStyle w:val="None"/>
                <w:rFonts w:ascii="Book Antiqua" w:hAnsi="Book Antiqua"/>
                <w:b/>
                <w:color w:val="auto"/>
                <w:sz w:val="24"/>
                <w:szCs w:val="24"/>
              </w:rPr>
              <w:t xml:space="preserve">phometry </w:t>
            </w:r>
          </w:p>
          <w:p w14:paraId="1C96477A" w14:textId="77777777" w:rsidR="00A06347" w:rsidRPr="00CA4C0B" w:rsidRDefault="00A06347" w:rsidP="007F2CA0">
            <w:pPr>
              <w:pStyle w:val="BodyA"/>
              <w:snapToGrid w:val="0"/>
              <w:spacing w:after="0" w:line="360" w:lineRule="auto"/>
              <w:jc w:val="both"/>
              <w:rPr>
                <w:rFonts w:ascii="Book Antiqua" w:hAnsi="Book Antiqua"/>
                <w:b/>
                <w:color w:val="auto"/>
                <w:sz w:val="24"/>
                <w:szCs w:val="24"/>
              </w:rPr>
            </w:pPr>
            <w:r w:rsidRPr="00CA4C0B">
              <w:rPr>
                <w:rStyle w:val="None"/>
                <w:rFonts w:ascii="Book Antiqua" w:hAnsi="Book Antiqua"/>
                <w:b/>
                <w:color w:val="auto"/>
                <w:sz w:val="24"/>
                <w:szCs w:val="24"/>
              </w:rPr>
              <w:t>(perim</w:t>
            </w:r>
            <w:r w:rsidRPr="00CA4C0B">
              <w:rPr>
                <w:rStyle w:val="None"/>
                <w:rFonts w:ascii="Book Antiqua" w:hAnsi="Book Antiqua"/>
                <w:b/>
                <w:color w:val="auto"/>
                <w:sz w:val="24"/>
                <w:szCs w:val="24"/>
              </w:rPr>
              <w:t>e</w:t>
            </w:r>
            <w:r w:rsidRPr="00CA4C0B">
              <w:rPr>
                <w:rStyle w:val="None"/>
                <w:rFonts w:ascii="Book Antiqua" w:hAnsi="Book Antiqua"/>
                <w:b/>
                <w:color w:val="auto"/>
                <w:sz w:val="24"/>
                <w:szCs w:val="24"/>
              </w:rPr>
              <w:t>ters and areas of the hepat</w:t>
            </w:r>
            <w:r w:rsidRPr="00CA4C0B">
              <w:rPr>
                <w:rStyle w:val="None"/>
                <w:rFonts w:ascii="Book Antiqua" w:hAnsi="Book Antiqua"/>
                <w:b/>
                <w:color w:val="auto"/>
                <w:sz w:val="24"/>
                <w:szCs w:val="24"/>
              </w:rPr>
              <w:t>o</w:t>
            </w:r>
            <w:r w:rsidRPr="00CA4C0B">
              <w:rPr>
                <w:rStyle w:val="None"/>
                <w:rFonts w:ascii="Book Antiqua" w:hAnsi="Book Antiqua"/>
                <w:b/>
                <w:color w:val="auto"/>
                <w:sz w:val="24"/>
                <w:szCs w:val="24"/>
              </w:rPr>
              <w:t>cytes and their n</w:t>
            </w:r>
            <w:r w:rsidRPr="00CA4C0B">
              <w:rPr>
                <w:rStyle w:val="None"/>
                <w:rFonts w:ascii="Book Antiqua" w:hAnsi="Book Antiqua"/>
                <w:b/>
                <w:color w:val="auto"/>
                <w:sz w:val="24"/>
                <w:szCs w:val="24"/>
              </w:rPr>
              <w:t>u</w:t>
            </w:r>
            <w:r w:rsidRPr="00CA4C0B">
              <w:rPr>
                <w:rStyle w:val="None"/>
                <w:rFonts w:ascii="Book Antiqua" w:hAnsi="Book Antiqua"/>
                <w:b/>
                <w:color w:val="auto"/>
                <w:sz w:val="24"/>
                <w:szCs w:val="24"/>
              </w:rPr>
              <w:t>clei)</w:t>
            </w:r>
          </w:p>
        </w:tc>
        <w:tc>
          <w:tcPr>
            <w:tcW w:w="1120" w:type="dxa"/>
            <w:tcBorders>
              <w:top w:val="single" w:sz="4" w:space="0" w:color="000000"/>
              <w:bottom w:val="single" w:sz="4" w:space="0" w:color="000000"/>
            </w:tcBorders>
            <w:shd w:val="clear" w:color="auto" w:fill="auto"/>
            <w:tcMar>
              <w:top w:w="80" w:type="dxa"/>
              <w:left w:w="80" w:type="dxa"/>
              <w:bottom w:w="80" w:type="dxa"/>
              <w:right w:w="80" w:type="dxa"/>
            </w:tcMar>
          </w:tcPr>
          <w:p w14:paraId="4C40CD3D" w14:textId="77777777" w:rsidR="00A06347" w:rsidRPr="00CA4C0B" w:rsidRDefault="00A06347" w:rsidP="007F2CA0">
            <w:pPr>
              <w:pStyle w:val="BodyA"/>
              <w:snapToGrid w:val="0"/>
              <w:spacing w:after="0" w:line="360" w:lineRule="auto"/>
              <w:jc w:val="both"/>
              <w:rPr>
                <w:rFonts w:ascii="Book Antiqua" w:hAnsi="Book Antiqua"/>
                <w:b/>
                <w:color w:val="auto"/>
                <w:sz w:val="24"/>
                <w:szCs w:val="24"/>
              </w:rPr>
            </w:pPr>
            <w:r w:rsidRPr="00CA4C0B">
              <w:rPr>
                <w:rStyle w:val="None"/>
                <w:rFonts w:ascii="Book Antiqua" w:hAnsi="Book Antiqua"/>
                <w:b/>
                <w:color w:val="auto"/>
                <w:sz w:val="24"/>
                <w:szCs w:val="24"/>
              </w:rPr>
              <w:t>Tran</w:t>
            </w:r>
            <w:r w:rsidRPr="00CA4C0B">
              <w:rPr>
                <w:rStyle w:val="None"/>
                <w:rFonts w:ascii="Book Antiqua" w:hAnsi="Book Antiqua"/>
                <w:b/>
                <w:color w:val="auto"/>
                <w:sz w:val="24"/>
                <w:szCs w:val="24"/>
              </w:rPr>
              <w:t>s</w:t>
            </w:r>
            <w:r w:rsidRPr="00CA4C0B">
              <w:rPr>
                <w:rStyle w:val="None"/>
                <w:rFonts w:ascii="Book Antiqua" w:hAnsi="Book Antiqua"/>
                <w:b/>
                <w:color w:val="auto"/>
                <w:sz w:val="24"/>
                <w:szCs w:val="24"/>
              </w:rPr>
              <w:t>parent slides after I</w:t>
            </w:r>
            <w:r w:rsidRPr="00CA4C0B">
              <w:rPr>
                <w:rStyle w:val="None"/>
                <w:rFonts w:ascii="Book Antiqua" w:hAnsi="Book Antiqua"/>
                <w:b/>
                <w:color w:val="auto"/>
                <w:sz w:val="24"/>
                <w:szCs w:val="24"/>
              </w:rPr>
              <w:t>n</w:t>
            </w:r>
            <w:r w:rsidRPr="00CA4C0B">
              <w:rPr>
                <w:rStyle w:val="None"/>
                <w:rFonts w:ascii="Book Antiqua" w:hAnsi="Book Antiqua"/>
                <w:b/>
                <w:color w:val="auto"/>
                <w:sz w:val="24"/>
                <w:szCs w:val="24"/>
              </w:rPr>
              <w:t>dian Ink inje</w:t>
            </w:r>
            <w:r w:rsidRPr="00CA4C0B">
              <w:rPr>
                <w:rStyle w:val="None"/>
                <w:rFonts w:ascii="Book Antiqua" w:hAnsi="Book Antiqua"/>
                <w:b/>
                <w:color w:val="auto"/>
                <w:sz w:val="24"/>
                <w:szCs w:val="24"/>
              </w:rPr>
              <w:t>c</w:t>
            </w:r>
            <w:r w:rsidRPr="00CA4C0B">
              <w:rPr>
                <w:rStyle w:val="None"/>
                <w:rFonts w:ascii="Book Antiqua" w:hAnsi="Book Antiqua"/>
                <w:b/>
                <w:color w:val="auto"/>
                <w:sz w:val="24"/>
                <w:szCs w:val="24"/>
              </w:rPr>
              <w:t>tion</w:t>
            </w:r>
          </w:p>
        </w:tc>
        <w:tc>
          <w:tcPr>
            <w:tcW w:w="939" w:type="dxa"/>
            <w:vMerge/>
            <w:tcBorders>
              <w:top w:val="single" w:sz="4" w:space="0" w:color="000000"/>
              <w:bottom w:val="single" w:sz="4" w:space="0" w:color="000000"/>
            </w:tcBorders>
            <w:shd w:val="clear" w:color="auto" w:fill="auto"/>
          </w:tcPr>
          <w:p w14:paraId="6D0E86A8" w14:textId="77777777" w:rsidR="00A06347" w:rsidRPr="00CA4C0B" w:rsidRDefault="00A06347" w:rsidP="007F2CA0">
            <w:pPr>
              <w:snapToGrid w:val="0"/>
              <w:spacing w:line="360" w:lineRule="auto"/>
              <w:jc w:val="both"/>
              <w:rPr>
                <w:rFonts w:ascii="Book Antiqua" w:hAnsi="Book Antiqua"/>
              </w:rPr>
            </w:pPr>
          </w:p>
        </w:tc>
        <w:tc>
          <w:tcPr>
            <w:tcW w:w="1055" w:type="dxa"/>
            <w:vMerge/>
            <w:tcBorders>
              <w:top w:val="single" w:sz="4" w:space="0" w:color="000000"/>
              <w:bottom w:val="single" w:sz="4" w:space="0" w:color="000000"/>
            </w:tcBorders>
            <w:shd w:val="clear" w:color="auto" w:fill="auto"/>
          </w:tcPr>
          <w:p w14:paraId="6150D1A4" w14:textId="77777777" w:rsidR="00A06347" w:rsidRPr="00CA4C0B" w:rsidRDefault="00A06347" w:rsidP="007F2CA0">
            <w:pPr>
              <w:snapToGrid w:val="0"/>
              <w:spacing w:line="360" w:lineRule="auto"/>
              <w:jc w:val="both"/>
              <w:rPr>
                <w:rFonts w:ascii="Book Antiqua" w:hAnsi="Book Antiqua"/>
              </w:rPr>
            </w:pPr>
          </w:p>
        </w:tc>
        <w:tc>
          <w:tcPr>
            <w:tcW w:w="850" w:type="dxa"/>
            <w:vMerge/>
            <w:tcBorders>
              <w:top w:val="single" w:sz="4" w:space="0" w:color="000000"/>
              <w:bottom w:val="single" w:sz="4" w:space="0" w:color="000000"/>
            </w:tcBorders>
            <w:shd w:val="clear" w:color="auto" w:fill="auto"/>
          </w:tcPr>
          <w:p w14:paraId="74876F18" w14:textId="77777777" w:rsidR="00A06347" w:rsidRPr="00CA4C0B" w:rsidRDefault="00A06347" w:rsidP="007F2CA0">
            <w:pPr>
              <w:snapToGrid w:val="0"/>
              <w:spacing w:line="360" w:lineRule="auto"/>
              <w:jc w:val="both"/>
              <w:rPr>
                <w:rFonts w:ascii="Book Antiqua" w:hAnsi="Book Antiqua"/>
              </w:rPr>
            </w:pPr>
          </w:p>
        </w:tc>
      </w:tr>
      <w:tr w:rsidR="00A06347" w:rsidRPr="00CA4C0B" w14:paraId="2BB9FE45" w14:textId="77777777" w:rsidTr="001B15F0">
        <w:trPr>
          <w:trHeight w:val="214"/>
        </w:trPr>
        <w:tc>
          <w:tcPr>
            <w:tcW w:w="1913" w:type="dxa"/>
            <w:tcBorders>
              <w:top w:val="single" w:sz="4" w:space="0" w:color="000000"/>
            </w:tcBorders>
            <w:shd w:val="clear" w:color="auto" w:fill="auto"/>
            <w:tcMar>
              <w:top w:w="80" w:type="dxa"/>
              <w:left w:w="80" w:type="dxa"/>
              <w:bottom w:w="80" w:type="dxa"/>
              <w:right w:w="80" w:type="dxa"/>
            </w:tcMar>
          </w:tcPr>
          <w:p w14:paraId="329AB3DC"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Control</w:t>
            </w:r>
          </w:p>
        </w:tc>
        <w:tc>
          <w:tcPr>
            <w:tcW w:w="596" w:type="dxa"/>
            <w:tcBorders>
              <w:top w:val="single" w:sz="4" w:space="0" w:color="000000"/>
            </w:tcBorders>
            <w:shd w:val="clear" w:color="auto" w:fill="auto"/>
            <w:tcMar>
              <w:top w:w="80" w:type="dxa"/>
              <w:left w:w="80" w:type="dxa"/>
              <w:bottom w:w="80" w:type="dxa"/>
              <w:right w:w="80" w:type="dxa"/>
            </w:tcMar>
          </w:tcPr>
          <w:p w14:paraId="73F2CF64"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6*</w:t>
            </w:r>
          </w:p>
        </w:tc>
        <w:tc>
          <w:tcPr>
            <w:tcW w:w="1237" w:type="dxa"/>
            <w:tcBorders>
              <w:top w:val="single" w:sz="4" w:space="0" w:color="000000"/>
            </w:tcBorders>
            <w:shd w:val="clear" w:color="auto" w:fill="auto"/>
            <w:tcMar>
              <w:top w:w="80" w:type="dxa"/>
              <w:left w:w="80" w:type="dxa"/>
              <w:bottom w:w="80" w:type="dxa"/>
              <w:right w:w="80" w:type="dxa"/>
            </w:tcMar>
          </w:tcPr>
          <w:p w14:paraId="450B32AD"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6*</w:t>
            </w:r>
          </w:p>
        </w:tc>
        <w:tc>
          <w:tcPr>
            <w:tcW w:w="640" w:type="dxa"/>
            <w:tcBorders>
              <w:top w:val="single" w:sz="4" w:space="0" w:color="000000"/>
            </w:tcBorders>
            <w:shd w:val="clear" w:color="auto" w:fill="auto"/>
            <w:tcMar>
              <w:top w:w="80" w:type="dxa"/>
              <w:left w:w="80" w:type="dxa"/>
              <w:bottom w:w="80" w:type="dxa"/>
              <w:right w:w="80" w:type="dxa"/>
            </w:tcMar>
          </w:tcPr>
          <w:p w14:paraId="59A400B8"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6*</w:t>
            </w:r>
          </w:p>
        </w:tc>
        <w:tc>
          <w:tcPr>
            <w:tcW w:w="1290" w:type="dxa"/>
            <w:tcBorders>
              <w:top w:val="single" w:sz="4" w:space="0" w:color="000000"/>
            </w:tcBorders>
            <w:shd w:val="clear" w:color="auto" w:fill="auto"/>
            <w:tcMar>
              <w:top w:w="80" w:type="dxa"/>
              <w:left w:w="80" w:type="dxa"/>
              <w:bottom w:w="80" w:type="dxa"/>
              <w:right w:w="80" w:type="dxa"/>
            </w:tcMar>
          </w:tcPr>
          <w:p w14:paraId="03BC85F0"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6*</w:t>
            </w:r>
          </w:p>
        </w:tc>
        <w:tc>
          <w:tcPr>
            <w:tcW w:w="1120" w:type="dxa"/>
            <w:tcBorders>
              <w:top w:val="single" w:sz="4" w:space="0" w:color="000000"/>
            </w:tcBorders>
            <w:shd w:val="clear" w:color="auto" w:fill="auto"/>
            <w:tcMar>
              <w:top w:w="80" w:type="dxa"/>
              <w:left w:w="80" w:type="dxa"/>
              <w:bottom w:w="80" w:type="dxa"/>
              <w:right w:w="80" w:type="dxa"/>
            </w:tcMar>
          </w:tcPr>
          <w:p w14:paraId="726AFBA9"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4</w:t>
            </w:r>
          </w:p>
        </w:tc>
        <w:tc>
          <w:tcPr>
            <w:tcW w:w="939" w:type="dxa"/>
            <w:tcBorders>
              <w:top w:val="single" w:sz="4" w:space="0" w:color="000000"/>
            </w:tcBorders>
            <w:shd w:val="clear" w:color="auto" w:fill="auto"/>
            <w:tcMar>
              <w:top w:w="80" w:type="dxa"/>
              <w:left w:w="80" w:type="dxa"/>
              <w:bottom w:w="80" w:type="dxa"/>
              <w:right w:w="80" w:type="dxa"/>
            </w:tcMar>
          </w:tcPr>
          <w:p w14:paraId="0D457A6F"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6</w:t>
            </w:r>
          </w:p>
        </w:tc>
        <w:tc>
          <w:tcPr>
            <w:tcW w:w="1055" w:type="dxa"/>
            <w:tcBorders>
              <w:top w:val="single" w:sz="4" w:space="0" w:color="000000"/>
            </w:tcBorders>
            <w:shd w:val="clear" w:color="auto" w:fill="auto"/>
            <w:tcMar>
              <w:top w:w="80" w:type="dxa"/>
              <w:left w:w="80" w:type="dxa"/>
              <w:bottom w:w="80" w:type="dxa"/>
              <w:right w:w="80" w:type="dxa"/>
            </w:tcMar>
          </w:tcPr>
          <w:p w14:paraId="3D76A780"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3*</w:t>
            </w:r>
          </w:p>
        </w:tc>
        <w:tc>
          <w:tcPr>
            <w:tcW w:w="850" w:type="dxa"/>
            <w:tcBorders>
              <w:top w:val="single" w:sz="4" w:space="0" w:color="000000"/>
            </w:tcBorders>
            <w:shd w:val="clear" w:color="auto" w:fill="auto"/>
            <w:tcMar>
              <w:top w:w="80" w:type="dxa"/>
              <w:left w:w="80" w:type="dxa"/>
              <w:bottom w:w="80" w:type="dxa"/>
              <w:right w:w="80" w:type="dxa"/>
            </w:tcMar>
          </w:tcPr>
          <w:p w14:paraId="0C04B5AA"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16</w:t>
            </w:r>
          </w:p>
        </w:tc>
      </w:tr>
      <w:tr w:rsidR="00A06347" w:rsidRPr="00CA4C0B" w14:paraId="4222308B" w14:textId="77777777" w:rsidTr="001B15F0">
        <w:trPr>
          <w:trHeight w:val="600"/>
        </w:trPr>
        <w:tc>
          <w:tcPr>
            <w:tcW w:w="1913" w:type="dxa"/>
            <w:shd w:val="clear" w:color="auto" w:fill="auto"/>
            <w:tcMar>
              <w:top w:w="80" w:type="dxa"/>
              <w:left w:w="80" w:type="dxa"/>
              <w:bottom w:w="80" w:type="dxa"/>
              <w:right w:w="80" w:type="dxa"/>
            </w:tcMar>
          </w:tcPr>
          <w:p w14:paraId="195C69CC" w14:textId="744C186A"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 xml:space="preserve">Study </w:t>
            </w:r>
            <w:r w:rsidR="00A26C4B" w:rsidRPr="00CA4C0B">
              <w:rPr>
                <w:rStyle w:val="None"/>
                <w:rFonts w:ascii="Book Antiqua" w:hAnsi="Book Antiqua"/>
                <w:color w:val="auto"/>
                <w:sz w:val="24"/>
                <w:szCs w:val="24"/>
              </w:rPr>
              <w:t>g</w:t>
            </w:r>
            <w:r w:rsidRPr="00CA4C0B">
              <w:rPr>
                <w:rStyle w:val="None"/>
                <w:rFonts w:ascii="Book Antiqua" w:hAnsi="Book Antiqua"/>
                <w:color w:val="auto"/>
                <w:sz w:val="24"/>
                <w:szCs w:val="24"/>
              </w:rPr>
              <w:t xml:space="preserve">roup 1 (9 </w:t>
            </w:r>
            <w:proofErr w:type="spellStart"/>
            <w:r w:rsidRPr="00CA4C0B">
              <w:rPr>
                <w:rStyle w:val="None"/>
                <w:rFonts w:ascii="Book Antiqua" w:hAnsi="Book Antiqua"/>
                <w:color w:val="auto"/>
                <w:sz w:val="24"/>
                <w:szCs w:val="24"/>
              </w:rPr>
              <w:t>mo</w:t>
            </w:r>
            <w:proofErr w:type="spellEnd"/>
            <w:r w:rsidR="00E406AC"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after PH)</w:t>
            </w:r>
          </w:p>
        </w:tc>
        <w:tc>
          <w:tcPr>
            <w:tcW w:w="596" w:type="dxa"/>
            <w:shd w:val="clear" w:color="auto" w:fill="auto"/>
            <w:tcMar>
              <w:top w:w="80" w:type="dxa"/>
              <w:left w:w="80" w:type="dxa"/>
              <w:bottom w:w="80" w:type="dxa"/>
              <w:right w:w="80" w:type="dxa"/>
            </w:tcMar>
          </w:tcPr>
          <w:p w14:paraId="09536A97"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6**</w:t>
            </w:r>
          </w:p>
        </w:tc>
        <w:tc>
          <w:tcPr>
            <w:tcW w:w="1237" w:type="dxa"/>
            <w:shd w:val="clear" w:color="auto" w:fill="auto"/>
            <w:tcMar>
              <w:top w:w="80" w:type="dxa"/>
              <w:left w:w="80" w:type="dxa"/>
              <w:bottom w:w="80" w:type="dxa"/>
              <w:right w:w="80" w:type="dxa"/>
            </w:tcMar>
          </w:tcPr>
          <w:p w14:paraId="602CCE2A"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6**</w:t>
            </w:r>
          </w:p>
        </w:tc>
        <w:tc>
          <w:tcPr>
            <w:tcW w:w="640" w:type="dxa"/>
            <w:shd w:val="clear" w:color="auto" w:fill="auto"/>
            <w:tcMar>
              <w:top w:w="80" w:type="dxa"/>
              <w:left w:w="80" w:type="dxa"/>
              <w:bottom w:w="80" w:type="dxa"/>
              <w:right w:w="80" w:type="dxa"/>
            </w:tcMar>
          </w:tcPr>
          <w:p w14:paraId="31EDFAA6"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6**</w:t>
            </w:r>
          </w:p>
        </w:tc>
        <w:tc>
          <w:tcPr>
            <w:tcW w:w="1290" w:type="dxa"/>
            <w:shd w:val="clear" w:color="auto" w:fill="auto"/>
            <w:tcMar>
              <w:top w:w="80" w:type="dxa"/>
              <w:left w:w="80" w:type="dxa"/>
              <w:bottom w:w="80" w:type="dxa"/>
              <w:right w:w="80" w:type="dxa"/>
            </w:tcMar>
          </w:tcPr>
          <w:p w14:paraId="11B58088"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6**</w:t>
            </w:r>
          </w:p>
        </w:tc>
        <w:tc>
          <w:tcPr>
            <w:tcW w:w="1120" w:type="dxa"/>
            <w:shd w:val="clear" w:color="auto" w:fill="auto"/>
            <w:tcMar>
              <w:top w:w="80" w:type="dxa"/>
              <w:left w:w="80" w:type="dxa"/>
              <w:bottom w:w="80" w:type="dxa"/>
              <w:right w:w="80" w:type="dxa"/>
            </w:tcMar>
          </w:tcPr>
          <w:p w14:paraId="7B10AD28"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4</w:t>
            </w:r>
          </w:p>
        </w:tc>
        <w:tc>
          <w:tcPr>
            <w:tcW w:w="939" w:type="dxa"/>
            <w:shd w:val="clear" w:color="auto" w:fill="auto"/>
            <w:tcMar>
              <w:top w:w="80" w:type="dxa"/>
              <w:left w:w="80" w:type="dxa"/>
              <w:bottom w:w="80" w:type="dxa"/>
              <w:right w:w="80" w:type="dxa"/>
            </w:tcMar>
          </w:tcPr>
          <w:p w14:paraId="49CFC9DF"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4</w:t>
            </w:r>
          </w:p>
        </w:tc>
        <w:tc>
          <w:tcPr>
            <w:tcW w:w="1055" w:type="dxa"/>
            <w:shd w:val="clear" w:color="auto" w:fill="auto"/>
            <w:tcMar>
              <w:top w:w="80" w:type="dxa"/>
              <w:left w:w="80" w:type="dxa"/>
              <w:bottom w:w="80" w:type="dxa"/>
              <w:right w:w="80" w:type="dxa"/>
            </w:tcMar>
          </w:tcPr>
          <w:p w14:paraId="4380510B"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3**</w:t>
            </w:r>
          </w:p>
        </w:tc>
        <w:tc>
          <w:tcPr>
            <w:tcW w:w="850" w:type="dxa"/>
            <w:shd w:val="clear" w:color="auto" w:fill="auto"/>
            <w:tcMar>
              <w:top w:w="80" w:type="dxa"/>
              <w:left w:w="80" w:type="dxa"/>
              <w:bottom w:w="80" w:type="dxa"/>
              <w:right w:w="80" w:type="dxa"/>
            </w:tcMar>
          </w:tcPr>
          <w:p w14:paraId="2CB1F574"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14</w:t>
            </w:r>
          </w:p>
        </w:tc>
      </w:tr>
      <w:tr w:rsidR="00A06347" w:rsidRPr="00CA4C0B" w14:paraId="2CC2A848" w14:textId="77777777" w:rsidTr="001B15F0">
        <w:trPr>
          <w:trHeight w:val="1373"/>
        </w:trPr>
        <w:tc>
          <w:tcPr>
            <w:tcW w:w="1913" w:type="dxa"/>
            <w:shd w:val="clear" w:color="auto" w:fill="auto"/>
            <w:tcMar>
              <w:top w:w="80" w:type="dxa"/>
              <w:left w:w="80" w:type="dxa"/>
              <w:bottom w:w="80" w:type="dxa"/>
              <w:right w:w="80" w:type="dxa"/>
            </w:tcMar>
          </w:tcPr>
          <w:p w14:paraId="34AD1053" w14:textId="2078AE98"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 xml:space="preserve">Study </w:t>
            </w:r>
            <w:r w:rsidR="00A26C4B" w:rsidRPr="00CA4C0B">
              <w:rPr>
                <w:rStyle w:val="None"/>
                <w:rFonts w:ascii="Book Antiqua" w:hAnsi="Book Antiqua"/>
                <w:color w:val="auto"/>
                <w:sz w:val="24"/>
                <w:szCs w:val="24"/>
              </w:rPr>
              <w:t>g</w:t>
            </w:r>
            <w:r w:rsidRPr="00CA4C0B">
              <w:rPr>
                <w:rStyle w:val="None"/>
                <w:rFonts w:ascii="Book Antiqua" w:hAnsi="Book Antiqua"/>
                <w:color w:val="auto"/>
                <w:sz w:val="24"/>
                <w:szCs w:val="24"/>
              </w:rPr>
              <w:t xml:space="preserve">roup 2 (6 </w:t>
            </w:r>
            <w:proofErr w:type="spellStart"/>
            <w:r w:rsidRPr="00CA4C0B">
              <w:rPr>
                <w:rStyle w:val="None"/>
                <w:rFonts w:ascii="Book Antiqua" w:hAnsi="Book Antiqua"/>
                <w:color w:val="auto"/>
                <w:sz w:val="24"/>
                <w:szCs w:val="24"/>
              </w:rPr>
              <w:t>mo</w:t>
            </w:r>
            <w:proofErr w:type="spellEnd"/>
            <w:r w:rsidR="005E3FDC"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xml:space="preserve">after </w:t>
            </w:r>
            <w:r w:rsidR="005E3FDC" w:rsidRPr="00CA4C0B">
              <w:rPr>
                <w:rStyle w:val="None"/>
                <w:rFonts w:ascii="Book Antiqua" w:hAnsi="Book Antiqua"/>
                <w:color w:val="auto"/>
                <w:sz w:val="24"/>
                <w:szCs w:val="24"/>
              </w:rPr>
              <w:t>r</w:t>
            </w:r>
            <w:r w:rsidR="005E3FDC" w:rsidRPr="00CA4C0B">
              <w:rPr>
                <w:rStyle w:val="None"/>
                <w:rFonts w:ascii="Book Antiqua" w:hAnsi="Book Antiqua"/>
                <w:color w:val="auto"/>
                <w:sz w:val="24"/>
                <w:szCs w:val="24"/>
              </w:rPr>
              <w:t>e</w:t>
            </w:r>
            <w:r w:rsidR="005E3FDC" w:rsidRPr="00CA4C0B">
              <w:rPr>
                <w:rStyle w:val="None"/>
                <w:rFonts w:ascii="Book Antiqua" w:hAnsi="Book Antiqua"/>
                <w:color w:val="auto"/>
                <w:sz w:val="24"/>
                <w:szCs w:val="24"/>
              </w:rPr>
              <w:t>peated PH co</w:t>
            </w:r>
            <w:r w:rsidR="005E3FDC" w:rsidRPr="00CA4C0B">
              <w:rPr>
                <w:rStyle w:val="None"/>
                <w:rFonts w:ascii="Book Antiqua" w:hAnsi="Book Antiqua"/>
                <w:color w:val="auto"/>
                <w:sz w:val="24"/>
                <w:szCs w:val="24"/>
              </w:rPr>
              <w:t>n</w:t>
            </w:r>
            <w:r w:rsidR="005E3FDC" w:rsidRPr="00CA4C0B">
              <w:rPr>
                <w:rStyle w:val="None"/>
                <w:rFonts w:ascii="Book Antiqua" w:hAnsi="Book Antiqua"/>
                <w:color w:val="auto"/>
                <w:sz w:val="24"/>
                <w:szCs w:val="24"/>
              </w:rPr>
              <w:t xml:space="preserve">ducted after 9 </w:t>
            </w:r>
            <w:proofErr w:type="spellStart"/>
            <w:r w:rsidR="005E3FDC" w:rsidRPr="00CA4C0B">
              <w:rPr>
                <w:rStyle w:val="None"/>
                <w:rFonts w:ascii="Book Antiqua" w:hAnsi="Book Antiqua"/>
                <w:color w:val="auto"/>
                <w:sz w:val="24"/>
                <w:szCs w:val="24"/>
              </w:rPr>
              <w:t>mo</w:t>
            </w:r>
            <w:proofErr w:type="spellEnd"/>
            <w:r w:rsidR="005E3FDC"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from prim</w:t>
            </w:r>
            <w:r w:rsidRPr="00CA4C0B">
              <w:rPr>
                <w:rStyle w:val="None"/>
                <w:rFonts w:ascii="Book Antiqua" w:hAnsi="Book Antiqua"/>
                <w:color w:val="auto"/>
                <w:sz w:val="24"/>
                <w:szCs w:val="24"/>
              </w:rPr>
              <w:t>a</w:t>
            </w:r>
            <w:r w:rsidRPr="00CA4C0B">
              <w:rPr>
                <w:rStyle w:val="None"/>
                <w:rFonts w:ascii="Book Antiqua" w:hAnsi="Book Antiqua"/>
                <w:color w:val="auto"/>
                <w:sz w:val="24"/>
                <w:szCs w:val="24"/>
              </w:rPr>
              <w:t>ry intervention )</w:t>
            </w:r>
          </w:p>
        </w:tc>
        <w:tc>
          <w:tcPr>
            <w:tcW w:w="596" w:type="dxa"/>
            <w:shd w:val="clear" w:color="auto" w:fill="auto"/>
            <w:tcMar>
              <w:top w:w="80" w:type="dxa"/>
              <w:left w:w="80" w:type="dxa"/>
              <w:bottom w:w="80" w:type="dxa"/>
              <w:right w:w="80" w:type="dxa"/>
            </w:tcMar>
          </w:tcPr>
          <w:p w14:paraId="6E581318"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4***</w:t>
            </w:r>
          </w:p>
        </w:tc>
        <w:tc>
          <w:tcPr>
            <w:tcW w:w="1237" w:type="dxa"/>
            <w:shd w:val="clear" w:color="auto" w:fill="auto"/>
            <w:tcMar>
              <w:top w:w="80" w:type="dxa"/>
              <w:left w:w="80" w:type="dxa"/>
              <w:bottom w:w="80" w:type="dxa"/>
              <w:right w:w="80" w:type="dxa"/>
            </w:tcMar>
          </w:tcPr>
          <w:p w14:paraId="43E182D8"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4***</w:t>
            </w:r>
          </w:p>
        </w:tc>
        <w:tc>
          <w:tcPr>
            <w:tcW w:w="640" w:type="dxa"/>
            <w:shd w:val="clear" w:color="auto" w:fill="auto"/>
            <w:tcMar>
              <w:top w:w="80" w:type="dxa"/>
              <w:left w:w="80" w:type="dxa"/>
              <w:bottom w:w="80" w:type="dxa"/>
              <w:right w:w="80" w:type="dxa"/>
            </w:tcMar>
          </w:tcPr>
          <w:p w14:paraId="3D656D83"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4***</w:t>
            </w:r>
          </w:p>
        </w:tc>
        <w:tc>
          <w:tcPr>
            <w:tcW w:w="1290" w:type="dxa"/>
            <w:shd w:val="clear" w:color="auto" w:fill="auto"/>
            <w:tcMar>
              <w:top w:w="80" w:type="dxa"/>
              <w:left w:w="80" w:type="dxa"/>
              <w:bottom w:w="80" w:type="dxa"/>
              <w:right w:w="80" w:type="dxa"/>
            </w:tcMar>
          </w:tcPr>
          <w:p w14:paraId="77271AA5"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4***</w:t>
            </w:r>
          </w:p>
        </w:tc>
        <w:tc>
          <w:tcPr>
            <w:tcW w:w="1120" w:type="dxa"/>
            <w:shd w:val="clear" w:color="auto" w:fill="auto"/>
            <w:tcMar>
              <w:top w:w="80" w:type="dxa"/>
              <w:left w:w="80" w:type="dxa"/>
              <w:bottom w:w="80" w:type="dxa"/>
              <w:right w:w="80" w:type="dxa"/>
            </w:tcMar>
          </w:tcPr>
          <w:p w14:paraId="323626E6"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2</w:t>
            </w:r>
          </w:p>
        </w:tc>
        <w:tc>
          <w:tcPr>
            <w:tcW w:w="939" w:type="dxa"/>
            <w:shd w:val="clear" w:color="auto" w:fill="auto"/>
            <w:tcMar>
              <w:top w:w="80" w:type="dxa"/>
              <w:left w:w="80" w:type="dxa"/>
              <w:bottom w:w="80" w:type="dxa"/>
              <w:right w:w="80" w:type="dxa"/>
            </w:tcMar>
          </w:tcPr>
          <w:p w14:paraId="627F223D"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4</w:t>
            </w:r>
          </w:p>
        </w:tc>
        <w:tc>
          <w:tcPr>
            <w:tcW w:w="1055" w:type="dxa"/>
            <w:shd w:val="clear" w:color="auto" w:fill="auto"/>
            <w:tcMar>
              <w:top w:w="80" w:type="dxa"/>
              <w:left w:w="80" w:type="dxa"/>
              <w:bottom w:w="80" w:type="dxa"/>
              <w:right w:w="80" w:type="dxa"/>
            </w:tcMar>
          </w:tcPr>
          <w:p w14:paraId="42517273"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3***</w:t>
            </w:r>
          </w:p>
        </w:tc>
        <w:tc>
          <w:tcPr>
            <w:tcW w:w="850" w:type="dxa"/>
            <w:shd w:val="clear" w:color="auto" w:fill="auto"/>
            <w:tcMar>
              <w:top w:w="80" w:type="dxa"/>
              <w:left w:w="80" w:type="dxa"/>
              <w:bottom w:w="80" w:type="dxa"/>
              <w:right w:w="80" w:type="dxa"/>
            </w:tcMar>
          </w:tcPr>
          <w:p w14:paraId="49A07C05"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10</w:t>
            </w:r>
          </w:p>
        </w:tc>
      </w:tr>
      <w:tr w:rsidR="00A06347" w:rsidRPr="00CA4C0B" w14:paraId="22EE1FF5" w14:textId="77777777" w:rsidTr="001B15F0">
        <w:trPr>
          <w:trHeight w:val="407"/>
        </w:trPr>
        <w:tc>
          <w:tcPr>
            <w:tcW w:w="9640" w:type="dxa"/>
            <w:gridSpan w:val="9"/>
            <w:shd w:val="clear" w:color="auto" w:fill="auto"/>
            <w:tcMar>
              <w:top w:w="80" w:type="dxa"/>
              <w:left w:w="80" w:type="dxa"/>
              <w:bottom w:w="80" w:type="dxa"/>
              <w:right w:w="80" w:type="dxa"/>
            </w:tcMar>
          </w:tcPr>
          <w:p w14:paraId="42BE8B2D" w14:textId="2E304E4C" w:rsidR="00A06347" w:rsidRPr="00CA4C0B" w:rsidRDefault="00F7733D"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 xml:space="preserve"> </w:t>
            </w:r>
            <w:r w:rsidR="00A06347" w:rsidRPr="00CA4C0B">
              <w:rPr>
                <w:rStyle w:val="None"/>
                <w:rFonts w:ascii="Book Antiqua" w:hAnsi="Book Antiqua"/>
                <w:color w:val="auto"/>
                <w:sz w:val="24"/>
                <w:szCs w:val="24"/>
              </w:rPr>
              <w:t>Total</w:t>
            </w:r>
            <w:r w:rsidRPr="00CA4C0B">
              <w:rPr>
                <w:rStyle w:val="None"/>
                <w:rFonts w:ascii="Book Antiqua" w:hAnsi="Book Antiqua"/>
                <w:color w:val="auto"/>
                <w:sz w:val="24"/>
                <w:szCs w:val="24"/>
              </w:rPr>
              <w:t xml:space="preserve"> </w:t>
            </w:r>
            <w:r w:rsidR="00A06347" w:rsidRPr="00CA4C0B">
              <w:rPr>
                <w:rStyle w:val="None"/>
                <w:rFonts w:ascii="Book Antiqua" w:hAnsi="Book Antiqua"/>
                <w:color w:val="auto"/>
                <w:sz w:val="24"/>
                <w:szCs w:val="24"/>
              </w:rPr>
              <w:t>40</w:t>
            </w:r>
          </w:p>
        </w:tc>
      </w:tr>
    </w:tbl>
    <w:p w14:paraId="6561D742" w14:textId="16BF09B4" w:rsidR="00A06347" w:rsidRPr="00CA4C0B" w:rsidRDefault="00A06347" w:rsidP="007F2CA0">
      <w:pPr>
        <w:pStyle w:val="BodyA"/>
        <w:snapToGrid w:val="0"/>
        <w:spacing w:after="0" w:line="360" w:lineRule="auto"/>
        <w:jc w:val="both"/>
        <w:rPr>
          <w:rStyle w:val="None"/>
          <w:rFonts w:ascii="Book Antiqua" w:eastAsia="Times New Roman" w:hAnsi="Book Antiqua" w:cs="Times New Roman"/>
          <w:iCs/>
          <w:color w:val="auto"/>
          <w:sz w:val="24"/>
          <w:szCs w:val="24"/>
        </w:rPr>
      </w:pPr>
      <w:r w:rsidRPr="00CA4C0B">
        <w:rPr>
          <w:rStyle w:val="None"/>
          <w:rFonts w:ascii="Book Antiqua" w:hAnsi="Book Antiqua"/>
          <w:iCs/>
          <w:color w:val="auto"/>
          <w:sz w:val="24"/>
          <w:szCs w:val="24"/>
        </w:rPr>
        <w:t>Note: A similar number of (*) indicates that the same animals were used for di</w:t>
      </w:r>
      <w:r w:rsidRPr="00CA4C0B">
        <w:rPr>
          <w:rStyle w:val="None"/>
          <w:rFonts w:ascii="Book Antiqua" w:hAnsi="Book Antiqua"/>
          <w:iCs/>
          <w:color w:val="auto"/>
          <w:sz w:val="24"/>
          <w:szCs w:val="24"/>
        </w:rPr>
        <w:t>f</w:t>
      </w:r>
      <w:r w:rsidRPr="00CA4C0B">
        <w:rPr>
          <w:rStyle w:val="None"/>
          <w:rFonts w:ascii="Book Antiqua" w:hAnsi="Book Antiqua"/>
          <w:iCs/>
          <w:color w:val="auto"/>
          <w:sz w:val="24"/>
          <w:szCs w:val="24"/>
        </w:rPr>
        <w:t>ferent research methods.</w:t>
      </w:r>
      <w:r w:rsidR="00E930AB" w:rsidRPr="00CA4C0B">
        <w:rPr>
          <w:rStyle w:val="None"/>
          <w:rFonts w:ascii="Book Antiqua" w:hAnsi="Book Antiqua"/>
          <w:iCs/>
          <w:color w:val="auto"/>
          <w:sz w:val="24"/>
          <w:szCs w:val="24"/>
        </w:rPr>
        <w:t xml:space="preserve"> </w:t>
      </w:r>
      <w:r w:rsidR="0054300E" w:rsidRPr="00CA4C0B">
        <w:rPr>
          <w:rStyle w:val="None"/>
          <w:rFonts w:ascii="Book Antiqua" w:hAnsi="Book Antiqua"/>
          <w:iCs/>
          <w:color w:val="auto"/>
          <w:sz w:val="24"/>
          <w:szCs w:val="24"/>
        </w:rPr>
        <w:t xml:space="preserve">PH: </w:t>
      </w:r>
      <w:r w:rsidR="00FF7E92" w:rsidRPr="00CA4C0B">
        <w:rPr>
          <w:rStyle w:val="None"/>
          <w:rFonts w:ascii="Book Antiqua" w:hAnsi="Book Antiqua"/>
          <w:caps/>
          <w:color w:val="auto"/>
          <w:sz w:val="24"/>
          <w:szCs w:val="24"/>
        </w:rPr>
        <w:t>p</w:t>
      </w:r>
      <w:r w:rsidR="00FF7E92" w:rsidRPr="00CA4C0B">
        <w:rPr>
          <w:rStyle w:val="None"/>
          <w:rFonts w:ascii="Book Antiqua" w:hAnsi="Book Antiqua"/>
          <w:color w:val="auto"/>
          <w:sz w:val="24"/>
          <w:szCs w:val="24"/>
        </w:rPr>
        <w:t xml:space="preserve">artial hepatectomy; </w:t>
      </w:r>
      <w:r w:rsidR="00FF7E92" w:rsidRPr="00CA4C0B">
        <w:rPr>
          <w:rStyle w:val="None"/>
          <w:rFonts w:ascii="Book Antiqua" w:hAnsi="Book Antiqua"/>
          <w:iCs/>
          <w:color w:val="auto"/>
          <w:sz w:val="24"/>
          <w:szCs w:val="24"/>
        </w:rPr>
        <w:t xml:space="preserve">SEM: </w:t>
      </w:r>
      <w:r w:rsidR="00FF7E92" w:rsidRPr="00CA4C0B">
        <w:rPr>
          <w:rStyle w:val="None"/>
          <w:rFonts w:ascii="Book Antiqua" w:hAnsi="Book Antiqua"/>
          <w:caps/>
          <w:color w:val="auto"/>
          <w:sz w:val="24"/>
          <w:szCs w:val="24"/>
        </w:rPr>
        <w:t>s</w:t>
      </w:r>
      <w:r w:rsidR="00FF7E92" w:rsidRPr="00CA4C0B">
        <w:rPr>
          <w:rStyle w:val="None"/>
          <w:rFonts w:ascii="Book Antiqua" w:hAnsi="Book Antiqua"/>
          <w:color w:val="auto"/>
          <w:sz w:val="24"/>
          <w:szCs w:val="24"/>
        </w:rPr>
        <w:t>canning electron m</w:t>
      </w:r>
      <w:r w:rsidR="00FF7E92" w:rsidRPr="00CA4C0B">
        <w:rPr>
          <w:rStyle w:val="None"/>
          <w:rFonts w:ascii="Book Antiqua" w:hAnsi="Book Antiqua"/>
          <w:color w:val="auto"/>
          <w:sz w:val="24"/>
          <w:szCs w:val="24"/>
        </w:rPr>
        <w:t>i</w:t>
      </w:r>
      <w:r w:rsidR="00FF7E92" w:rsidRPr="00CA4C0B">
        <w:rPr>
          <w:rStyle w:val="None"/>
          <w:rFonts w:ascii="Book Antiqua" w:hAnsi="Book Antiqua"/>
          <w:color w:val="auto"/>
          <w:sz w:val="24"/>
          <w:szCs w:val="24"/>
        </w:rPr>
        <w:t>croscopy</w:t>
      </w:r>
      <w:r w:rsidR="00FF7E92" w:rsidRPr="00CA4C0B">
        <w:rPr>
          <w:rFonts w:ascii="Book Antiqua" w:hAnsi="Book Antiqua"/>
          <w:noProof/>
          <w:color w:val="auto"/>
        </w:rPr>
        <w:t>.</w:t>
      </w:r>
    </w:p>
    <w:p w14:paraId="3357BBAA" w14:textId="5B815609" w:rsidR="00D80A78" w:rsidRPr="00CA4C0B" w:rsidRDefault="00D80A78" w:rsidP="007F2CA0">
      <w:pPr>
        <w:pStyle w:val="BodyA"/>
        <w:snapToGrid w:val="0"/>
        <w:spacing w:after="0" w:line="360" w:lineRule="auto"/>
        <w:jc w:val="both"/>
        <w:rPr>
          <w:rStyle w:val="None"/>
          <w:rFonts w:ascii="Book Antiqua" w:eastAsia="Times New Roman" w:hAnsi="Book Antiqua" w:cs="Times New Roman"/>
          <w:b/>
          <w:color w:val="auto"/>
          <w:sz w:val="24"/>
          <w:szCs w:val="24"/>
        </w:rPr>
      </w:pPr>
      <w:r w:rsidRPr="00CA4C0B">
        <w:rPr>
          <w:rStyle w:val="None"/>
          <w:rFonts w:ascii="Book Antiqua" w:hAnsi="Book Antiqua"/>
          <w:b/>
          <w:color w:val="auto"/>
          <w:sz w:val="24"/>
          <w:szCs w:val="24"/>
          <w:lang w:val="fr-FR"/>
        </w:rPr>
        <w:lastRenderedPageBreak/>
        <w:t>Table 2</w:t>
      </w:r>
      <w:r w:rsidR="00787065" w:rsidRPr="00CA4C0B">
        <w:rPr>
          <w:rStyle w:val="Hyperlink2"/>
          <w:rFonts w:ascii="Book Antiqua" w:eastAsia="Arial Unicode MS" w:hAnsi="Book Antiqua"/>
          <w:b/>
          <w:color w:val="auto"/>
        </w:rPr>
        <w:t xml:space="preserve"> </w:t>
      </w:r>
      <w:r w:rsidRPr="00CA4C0B">
        <w:rPr>
          <w:rStyle w:val="Hyperlink2"/>
          <w:rFonts w:ascii="Book Antiqua" w:eastAsia="Arial Unicode MS" w:hAnsi="Book Antiqua"/>
          <w:b/>
          <w:color w:val="auto"/>
        </w:rPr>
        <w:t>Data of the morphometric study of hepatocyte areas and perimeters of the 1</w:t>
      </w:r>
      <w:r w:rsidRPr="00CA4C0B">
        <w:rPr>
          <w:rStyle w:val="None"/>
          <w:rFonts w:ascii="Book Antiqua" w:hAnsi="Book Antiqua"/>
          <w:b/>
          <w:color w:val="auto"/>
          <w:sz w:val="24"/>
          <w:szCs w:val="24"/>
          <w:vertAlign w:val="superscript"/>
        </w:rPr>
        <w:t>st</w:t>
      </w:r>
      <w:r w:rsidRPr="00CA4C0B">
        <w:rPr>
          <w:rStyle w:val="Hyperlink2"/>
          <w:rFonts w:ascii="Book Antiqua" w:eastAsia="Arial Unicode MS" w:hAnsi="Book Antiqua"/>
          <w:b/>
          <w:color w:val="auto"/>
        </w:rPr>
        <w:t xml:space="preserve"> and 3</w:t>
      </w:r>
      <w:r w:rsidRPr="00CA4C0B">
        <w:rPr>
          <w:rStyle w:val="None"/>
          <w:rFonts w:ascii="Book Antiqua" w:hAnsi="Book Antiqua"/>
          <w:b/>
          <w:color w:val="auto"/>
          <w:sz w:val="24"/>
          <w:szCs w:val="24"/>
          <w:vertAlign w:val="superscript"/>
        </w:rPr>
        <w:t>rd</w:t>
      </w:r>
      <w:r w:rsidRPr="00CA4C0B">
        <w:rPr>
          <w:rStyle w:val="Hyperlink2"/>
          <w:rFonts w:ascii="Book Antiqua" w:eastAsia="Arial Unicode MS" w:hAnsi="Book Antiqua"/>
          <w:b/>
          <w:color w:val="auto"/>
        </w:rPr>
        <w:t xml:space="preserve"> zones of liver acini of </w:t>
      </w:r>
      <w:r w:rsidR="0072656A" w:rsidRPr="00CA4C0B">
        <w:rPr>
          <w:rStyle w:val="Hyperlink2"/>
          <w:rFonts w:ascii="Book Antiqua" w:eastAsia="Arial Unicode MS" w:hAnsi="Book Antiqua"/>
          <w:b/>
          <w:color w:val="auto"/>
        </w:rPr>
        <w:t>control group</w:t>
      </w:r>
      <w:r w:rsidRPr="00CA4C0B">
        <w:rPr>
          <w:rStyle w:val="Hyperlink2"/>
          <w:rFonts w:ascii="Book Antiqua" w:eastAsia="Arial Unicode MS" w:hAnsi="Book Antiqua"/>
          <w:b/>
          <w:color w:val="auto"/>
        </w:rPr>
        <w:t xml:space="preserve">, </w:t>
      </w:r>
      <w:r w:rsidR="0072656A" w:rsidRPr="00CA4C0B">
        <w:rPr>
          <w:rStyle w:val="Hyperlink2"/>
          <w:rFonts w:ascii="Book Antiqua" w:eastAsia="Arial Unicode MS" w:hAnsi="Book Antiqua"/>
          <w:b/>
          <w:color w:val="auto"/>
        </w:rPr>
        <w:t>study group 1</w:t>
      </w:r>
      <w:r w:rsidRPr="00CA4C0B">
        <w:rPr>
          <w:rStyle w:val="Hyperlink2"/>
          <w:rFonts w:ascii="Book Antiqua" w:eastAsia="Arial Unicode MS" w:hAnsi="Book Antiqua"/>
          <w:b/>
          <w:color w:val="auto"/>
        </w:rPr>
        <w:t xml:space="preserve"> and </w:t>
      </w:r>
      <w:r w:rsidR="00432345" w:rsidRPr="00CA4C0B">
        <w:rPr>
          <w:rStyle w:val="Hyperlink2"/>
          <w:rFonts w:ascii="Book Antiqua" w:eastAsia="Arial Unicode MS" w:hAnsi="Book Antiqua"/>
          <w:b/>
          <w:color w:val="auto"/>
        </w:rPr>
        <w:t>s</w:t>
      </w:r>
      <w:r w:rsidR="0072656A" w:rsidRPr="00CA4C0B">
        <w:rPr>
          <w:rStyle w:val="Hyperlink2"/>
          <w:rFonts w:ascii="Book Antiqua" w:eastAsia="Arial Unicode MS" w:hAnsi="Book Antiqua"/>
          <w:b/>
          <w:color w:val="auto"/>
        </w:rPr>
        <w:t>tudy group 2</w:t>
      </w:r>
    </w:p>
    <w:tbl>
      <w:tblPr>
        <w:tblW w:w="8587" w:type="dxa"/>
        <w:tblInd w:w="-10" w:type="dxa"/>
        <w:tblBorders>
          <w:top w:val="single" w:sz="8" w:space="0" w:color="000000"/>
          <w:bottom w:val="single" w:sz="8" w:space="0" w:color="000000"/>
        </w:tblBorders>
        <w:shd w:val="clear" w:color="auto" w:fill="CED7E7"/>
        <w:tblLayout w:type="fixed"/>
        <w:tblLook w:val="04A0" w:firstRow="1" w:lastRow="0" w:firstColumn="1" w:lastColumn="0" w:noHBand="0" w:noVBand="1"/>
      </w:tblPr>
      <w:tblGrid>
        <w:gridCol w:w="2418"/>
        <w:gridCol w:w="1458"/>
        <w:gridCol w:w="1525"/>
        <w:gridCol w:w="1524"/>
        <w:gridCol w:w="1662"/>
      </w:tblGrid>
      <w:tr w:rsidR="00D80A78" w:rsidRPr="00CA4C0B" w14:paraId="77F09A15" w14:textId="77777777" w:rsidTr="00D9232A">
        <w:trPr>
          <w:trHeight w:val="309"/>
        </w:trPr>
        <w:tc>
          <w:tcPr>
            <w:tcW w:w="2418" w:type="dxa"/>
            <w:vMerge w:val="restart"/>
            <w:tcBorders>
              <w:top w:val="single" w:sz="8" w:space="0" w:color="000000"/>
              <w:bottom w:val="single" w:sz="8" w:space="0" w:color="000000"/>
            </w:tcBorders>
            <w:shd w:val="clear" w:color="auto" w:fill="auto"/>
            <w:tcMar>
              <w:top w:w="80" w:type="dxa"/>
              <w:left w:w="80" w:type="dxa"/>
              <w:bottom w:w="80" w:type="dxa"/>
              <w:right w:w="80" w:type="dxa"/>
            </w:tcMar>
            <w:vAlign w:val="center"/>
          </w:tcPr>
          <w:p w14:paraId="425E38BD" w14:textId="67BF05D8"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b/>
                <w:bCs/>
                <w:color w:val="auto"/>
                <w:sz w:val="24"/>
                <w:szCs w:val="24"/>
              </w:rPr>
              <w:t xml:space="preserve">Study </w:t>
            </w:r>
            <w:r w:rsidR="00EC62AB" w:rsidRPr="00CA4C0B">
              <w:rPr>
                <w:rStyle w:val="None"/>
                <w:rFonts w:ascii="Book Antiqua" w:hAnsi="Book Antiqua" w:cs="Times New Roman"/>
                <w:b/>
                <w:bCs/>
                <w:color w:val="auto"/>
                <w:sz w:val="24"/>
                <w:szCs w:val="24"/>
              </w:rPr>
              <w:t>g</w:t>
            </w:r>
            <w:r w:rsidRPr="00CA4C0B">
              <w:rPr>
                <w:rStyle w:val="None"/>
                <w:rFonts w:ascii="Book Antiqua" w:hAnsi="Book Antiqua" w:cs="Times New Roman"/>
                <w:b/>
                <w:bCs/>
                <w:color w:val="auto"/>
                <w:sz w:val="24"/>
                <w:szCs w:val="24"/>
              </w:rPr>
              <w:t>roups</w:t>
            </w:r>
          </w:p>
        </w:tc>
        <w:tc>
          <w:tcPr>
            <w:tcW w:w="2983" w:type="dxa"/>
            <w:gridSpan w:val="2"/>
            <w:tcBorders>
              <w:top w:val="single" w:sz="8" w:space="0" w:color="000000"/>
              <w:bottom w:val="single" w:sz="8" w:space="0" w:color="000000"/>
            </w:tcBorders>
            <w:shd w:val="clear" w:color="auto" w:fill="auto"/>
            <w:tcMar>
              <w:top w:w="80" w:type="dxa"/>
              <w:left w:w="80" w:type="dxa"/>
              <w:bottom w:w="80" w:type="dxa"/>
              <w:right w:w="80" w:type="dxa"/>
            </w:tcMar>
            <w:vAlign w:val="center"/>
          </w:tcPr>
          <w:p w14:paraId="33B37391" w14:textId="006B40BD"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b/>
                <w:bCs/>
                <w:color w:val="auto"/>
                <w:sz w:val="24"/>
                <w:szCs w:val="24"/>
              </w:rPr>
              <w:t>III</w:t>
            </w:r>
            <w:r w:rsidR="00F7733D" w:rsidRPr="00CA4C0B">
              <w:rPr>
                <w:rStyle w:val="None"/>
                <w:rFonts w:ascii="Book Antiqua" w:hAnsi="Book Antiqua" w:cs="Times New Roman"/>
                <w:b/>
                <w:bCs/>
                <w:color w:val="auto"/>
                <w:sz w:val="24"/>
                <w:szCs w:val="24"/>
              </w:rPr>
              <w:t xml:space="preserve"> </w:t>
            </w:r>
            <w:r w:rsidRPr="00CA4C0B">
              <w:rPr>
                <w:rStyle w:val="None"/>
                <w:rFonts w:ascii="Book Antiqua" w:hAnsi="Book Antiqua" w:cs="Times New Roman"/>
                <w:b/>
                <w:bCs/>
                <w:color w:val="auto"/>
                <w:sz w:val="24"/>
                <w:szCs w:val="24"/>
              </w:rPr>
              <w:t>zone (mean</w:t>
            </w:r>
            <w:r w:rsidR="00EC62AB" w:rsidRPr="00CA4C0B">
              <w:rPr>
                <w:rStyle w:val="None"/>
                <w:rFonts w:ascii="Book Antiqua" w:hAnsi="Book Antiqua" w:cs="Times New Roman"/>
                <w:b/>
                <w:bCs/>
                <w:color w:val="auto"/>
                <w:sz w:val="24"/>
                <w:szCs w:val="24"/>
              </w:rPr>
              <w:t xml:space="preserve"> </w:t>
            </w:r>
            <w:r w:rsidRPr="00CA4C0B">
              <w:rPr>
                <w:rStyle w:val="None"/>
                <w:rFonts w:ascii="Book Antiqua" w:hAnsi="Book Antiqua" w:cs="Times New Roman"/>
                <w:b/>
                <w:bCs/>
                <w:color w:val="auto"/>
                <w:sz w:val="24"/>
                <w:szCs w:val="24"/>
              </w:rPr>
              <w:t>±</w:t>
            </w:r>
            <w:r w:rsidR="00EC62AB" w:rsidRPr="00CA4C0B">
              <w:rPr>
                <w:rStyle w:val="None"/>
                <w:rFonts w:ascii="Book Antiqua" w:hAnsi="Book Antiqua" w:cs="Times New Roman"/>
                <w:b/>
                <w:bCs/>
                <w:color w:val="auto"/>
                <w:sz w:val="24"/>
                <w:szCs w:val="24"/>
              </w:rPr>
              <w:t xml:space="preserve"> </w:t>
            </w:r>
            <w:r w:rsidRPr="00CA4C0B">
              <w:rPr>
                <w:rStyle w:val="None"/>
                <w:rFonts w:ascii="Book Antiqua" w:hAnsi="Book Antiqua" w:cs="Times New Roman"/>
                <w:b/>
                <w:bCs/>
                <w:color w:val="auto"/>
                <w:sz w:val="24"/>
                <w:szCs w:val="24"/>
              </w:rPr>
              <w:t>SD)</w:t>
            </w:r>
          </w:p>
        </w:tc>
        <w:tc>
          <w:tcPr>
            <w:tcW w:w="3186" w:type="dxa"/>
            <w:gridSpan w:val="2"/>
            <w:tcBorders>
              <w:top w:val="single" w:sz="8" w:space="0" w:color="000000"/>
              <w:bottom w:val="single" w:sz="8" w:space="0" w:color="000000"/>
            </w:tcBorders>
            <w:shd w:val="clear" w:color="auto" w:fill="auto"/>
            <w:tcMar>
              <w:top w:w="80" w:type="dxa"/>
              <w:left w:w="80" w:type="dxa"/>
              <w:bottom w:w="80" w:type="dxa"/>
              <w:right w:w="80" w:type="dxa"/>
            </w:tcMar>
            <w:vAlign w:val="center"/>
          </w:tcPr>
          <w:p w14:paraId="06655167" w14:textId="518D5653"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b/>
                <w:bCs/>
                <w:color w:val="auto"/>
                <w:sz w:val="24"/>
                <w:szCs w:val="24"/>
              </w:rPr>
              <w:t>I zone (mean</w:t>
            </w:r>
            <w:r w:rsidR="00EC62AB" w:rsidRPr="00CA4C0B">
              <w:rPr>
                <w:rStyle w:val="None"/>
                <w:rFonts w:ascii="Book Antiqua" w:hAnsi="Book Antiqua" w:cs="Times New Roman"/>
                <w:b/>
                <w:bCs/>
                <w:color w:val="auto"/>
                <w:sz w:val="24"/>
                <w:szCs w:val="24"/>
              </w:rPr>
              <w:t xml:space="preserve"> </w:t>
            </w:r>
            <w:r w:rsidRPr="00CA4C0B">
              <w:rPr>
                <w:rStyle w:val="None"/>
                <w:rFonts w:ascii="Book Antiqua" w:hAnsi="Book Antiqua" w:cs="Times New Roman"/>
                <w:b/>
                <w:bCs/>
                <w:color w:val="auto"/>
                <w:sz w:val="24"/>
                <w:szCs w:val="24"/>
              </w:rPr>
              <w:t>±</w:t>
            </w:r>
            <w:r w:rsidR="00EC62AB" w:rsidRPr="00CA4C0B">
              <w:rPr>
                <w:rStyle w:val="None"/>
                <w:rFonts w:ascii="Book Antiqua" w:hAnsi="Book Antiqua" w:cs="Times New Roman"/>
                <w:b/>
                <w:bCs/>
                <w:color w:val="auto"/>
                <w:sz w:val="24"/>
                <w:szCs w:val="24"/>
              </w:rPr>
              <w:t xml:space="preserve"> </w:t>
            </w:r>
            <w:r w:rsidRPr="00CA4C0B">
              <w:rPr>
                <w:rStyle w:val="None"/>
                <w:rFonts w:ascii="Book Antiqua" w:hAnsi="Book Antiqua" w:cs="Times New Roman"/>
                <w:b/>
                <w:bCs/>
                <w:color w:val="auto"/>
                <w:sz w:val="24"/>
                <w:szCs w:val="24"/>
              </w:rPr>
              <w:t>SD)</w:t>
            </w:r>
          </w:p>
        </w:tc>
      </w:tr>
      <w:tr w:rsidR="00D80A78" w:rsidRPr="00CA4C0B" w14:paraId="057BE95B" w14:textId="77777777" w:rsidTr="00D9232A">
        <w:trPr>
          <w:trHeight w:val="261"/>
        </w:trPr>
        <w:tc>
          <w:tcPr>
            <w:tcW w:w="2418" w:type="dxa"/>
            <w:vMerge/>
            <w:tcBorders>
              <w:top w:val="single" w:sz="8" w:space="0" w:color="000000"/>
              <w:bottom w:val="single" w:sz="8" w:space="0" w:color="000000"/>
            </w:tcBorders>
            <w:shd w:val="clear" w:color="auto" w:fill="auto"/>
          </w:tcPr>
          <w:p w14:paraId="64540446" w14:textId="77777777" w:rsidR="00D80A78" w:rsidRPr="00CA4C0B" w:rsidRDefault="00D80A78" w:rsidP="007F2CA0">
            <w:pPr>
              <w:snapToGrid w:val="0"/>
              <w:spacing w:line="360" w:lineRule="auto"/>
              <w:jc w:val="both"/>
              <w:rPr>
                <w:rFonts w:ascii="Book Antiqua" w:hAnsi="Book Antiqua"/>
              </w:rPr>
            </w:pPr>
          </w:p>
        </w:tc>
        <w:tc>
          <w:tcPr>
            <w:tcW w:w="1458" w:type="dxa"/>
            <w:tcBorders>
              <w:top w:val="single" w:sz="8" w:space="0" w:color="000000"/>
              <w:bottom w:val="single" w:sz="8" w:space="0" w:color="000000"/>
            </w:tcBorders>
            <w:shd w:val="clear" w:color="auto" w:fill="auto"/>
            <w:tcMar>
              <w:top w:w="80" w:type="dxa"/>
              <w:left w:w="80" w:type="dxa"/>
              <w:bottom w:w="80" w:type="dxa"/>
              <w:right w:w="80" w:type="dxa"/>
            </w:tcMar>
            <w:vAlign w:val="center"/>
          </w:tcPr>
          <w:p w14:paraId="0634D9F5" w14:textId="77777777"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b/>
                <w:bCs/>
                <w:caps/>
                <w:color w:val="auto"/>
                <w:sz w:val="24"/>
                <w:szCs w:val="24"/>
              </w:rPr>
              <w:t>a</w:t>
            </w:r>
            <w:r w:rsidRPr="00CA4C0B">
              <w:rPr>
                <w:rStyle w:val="None"/>
                <w:rFonts w:ascii="Book Antiqua" w:hAnsi="Book Antiqua" w:cs="Times New Roman"/>
                <w:b/>
                <w:bCs/>
                <w:color w:val="auto"/>
                <w:sz w:val="24"/>
                <w:szCs w:val="24"/>
              </w:rPr>
              <w:t>rea</w:t>
            </w:r>
          </w:p>
        </w:tc>
        <w:tc>
          <w:tcPr>
            <w:tcW w:w="1525" w:type="dxa"/>
            <w:tcBorders>
              <w:top w:val="single" w:sz="8" w:space="0" w:color="000000"/>
              <w:bottom w:val="single" w:sz="8" w:space="0" w:color="000000"/>
            </w:tcBorders>
            <w:shd w:val="clear" w:color="auto" w:fill="auto"/>
            <w:tcMar>
              <w:top w:w="80" w:type="dxa"/>
              <w:left w:w="80" w:type="dxa"/>
              <w:bottom w:w="80" w:type="dxa"/>
              <w:right w:w="80" w:type="dxa"/>
            </w:tcMar>
            <w:vAlign w:val="center"/>
          </w:tcPr>
          <w:p w14:paraId="349A4E64" w14:textId="77777777"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b/>
                <w:bCs/>
                <w:caps/>
                <w:color w:val="auto"/>
                <w:sz w:val="24"/>
                <w:szCs w:val="24"/>
              </w:rPr>
              <w:t>p</w:t>
            </w:r>
            <w:r w:rsidRPr="00CA4C0B">
              <w:rPr>
                <w:rStyle w:val="None"/>
                <w:rFonts w:ascii="Book Antiqua" w:hAnsi="Book Antiqua" w:cs="Times New Roman"/>
                <w:b/>
                <w:bCs/>
                <w:color w:val="auto"/>
                <w:sz w:val="24"/>
                <w:szCs w:val="24"/>
              </w:rPr>
              <w:t>erimeter</w:t>
            </w:r>
          </w:p>
        </w:tc>
        <w:tc>
          <w:tcPr>
            <w:tcW w:w="1524" w:type="dxa"/>
            <w:tcBorders>
              <w:top w:val="single" w:sz="8" w:space="0" w:color="000000"/>
              <w:bottom w:val="single" w:sz="8" w:space="0" w:color="000000"/>
            </w:tcBorders>
            <w:shd w:val="clear" w:color="auto" w:fill="auto"/>
            <w:tcMar>
              <w:top w:w="80" w:type="dxa"/>
              <w:left w:w="80" w:type="dxa"/>
              <w:bottom w:w="80" w:type="dxa"/>
              <w:right w:w="80" w:type="dxa"/>
            </w:tcMar>
            <w:vAlign w:val="center"/>
          </w:tcPr>
          <w:p w14:paraId="1EBE299F" w14:textId="77777777"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b/>
                <w:bCs/>
                <w:caps/>
                <w:color w:val="auto"/>
                <w:sz w:val="24"/>
                <w:szCs w:val="24"/>
              </w:rPr>
              <w:t>a</w:t>
            </w:r>
            <w:r w:rsidRPr="00CA4C0B">
              <w:rPr>
                <w:rStyle w:val="None"/>
                <w:rFonts w:ascii="Book Antiqua" w:hAnsi="Book Antiqua" w:cs="Times New Roman"/>
                <w:b/>
                <w:bCs/>
                <w:color w:val="auto"/>
                <w:sz w:val="24"/>
                <w:szCs w:val="24"/>
              </w:rPr>
              <w:t>rea</w:t>
            </w:r>
          </w:p>
        </w:tc>
        <w:tc>
          <w:tcPr>
            <w:tcW w:w="1662" w:type="dxa"/>
            <w:tcBorders>
              <w:top w:val="single" w:sz="8" w:space="0" w:color="000000"/>
              <w:bottom w:val="single" w:sz="8" w:space="0" w:color="000000"/>
            </w:tcBorders>
            <w:shd w:val="clear" w:color="auto" w:fill="auto"/>
            <w:tcMar>
              <w:top w:w="80" w:type="dxa"/>
              <w:left w:w="80" w:type="dxa"/>
              <w:bottom w:w="80" w:type="dxa"/>
              <w:right w:w="80" w:type="dxa"/>
            </w:tcMar>
            <w:vAlign w:val="center"/>
          </w:tcPr>
          <w:p w14:paraId="004F83B2" w14:textId="77777777"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b/>
                <w:bCs/>
                <w:caps/>
                <w:color w:val="auto"/>
                <w:sz w:val="24"/>
                <w:szCs w:val="24"/>
              </w:rPr>
              <w:t>p</w:t>
            </w:r>
            <w:r w:rsidRPr="00CA4C0B">
              <w:rPr>
                <w:rStyle w:val="None"/>
                <w:rFonts w:ascii="Book Antiqua" w:hAnsi="Book Antiqua" w:cs="Times New Roman"/>
                <w:b/>
                <w:bCs/>
                <w:color w:val="auto"/>
                <w:sz w:val="24"/>
                <w:szCs w:val="24"/>
              </w:rPr>
              <w:t>erimeter</w:t>
            </w:r>
          </w:p>
        </w:tc>
      </w:tr>
      <w:tr w:rsidR="00D80A78" w:rsidRPr="00CA4C0B" w14:paraId="3BA079C9" w14:textId="77777777" w:rsidTr="007937A2">
        <w:trPr>
          <w:trHeight w:val="256"/>
        </w:trPr>
        <w:tc>
          <w:tcPr>
            <w:tcW w:w="2418" w:type="dxa"/>
            <w:tcBorders>
              <w:top w:val="single" w:sz="8" w:space="0" w:color="000000"/>
            </w:tcBorders>
            <w:shd w:val="clear" w:color="auto" w:fill="auto"/>
            <w:tcMar>
              <w:top w:w="80" w:type="dxa"/>
              <w:left w:w="80" w:type="dxa"/>
              <w:bottom w:w="80" w:type="dxa"/>
              <w:right w:w="80" w:type="dxa"/>
            </w:tcMar>
            <w:vAlign w:val="bottom"/>
          </w:tcPr>
          <w:p w14:paraId="7DB4098B" w14:textId="1168C2CE"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 xml:space="preserve">Control </w:t>
            </w:r>
            <w:r w:rsidR="00EC62AB" w:rsidRPr="00CA4C0B">
              <w:rPr>
                <w:rStyle w:val="None"/>
                <w:rFonts w:ascii="Book Antiqua" w:hAnsi="Book Antiqua" w:cs="Times New Roman"/>
                <w:color w:val="auto"/>
                <w:sz w:val="24"/>
                <w:szCs w:val="24"/>
              </w:rPr>
              <w:t>g</w:t>
            </w:r>
            <w:r w:rsidRPr="00CA4C0B">
              <w:rPr>
                <w:rStyle w:val="None"/>
                <w:rFonts w:ascii="Book Antiqua" w:hAnsi="Book Antiqua" w:cs="Times New Roman"/>
                <w:color w:val="auto"/>
                <w:sz w:val="24"/>
                <w:szCs w:val="24"/>
              </w:rPr>
              <w:t>roup (CG)</w:t>
            </w:r>
          </w:p>
        </w:tc>
        <w:tc>
          <w:tcPr>
            <w:tcW w:w="1458" w:type="dxa"/>
            <w:tcBorders>
              <w:top w:val="single" w:sz="8" w:space="0" w:color="000000"/>
            </w:tcBorders>
            <w:shd w:val="clear" w:color="auto" w:fill="auto"/>
            <w:tcMar>
              <w:top w:w="80" w:type="dxa"/>
              <w:left w:w="80" w:type="dxa"/>
              <w:bottom w:w="80" w:type="dxa"/>
              <w:right w:w="80" w:type="dxa"/>
            </w:tcMar>
            <w:vAlign w:val="center"/>
          </w:tcPr>
          <w:p w14:paraId="7EDF1EA0" w14:textId="6C7E33F3"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283</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88</w:t>
            </w:r>
          </w:p>
        </w:tc>
        <w:tc>
          <w:tcPr>
            <w:tcW w:w="1525" w:type="dxa"/>
            <w:tcBorders>
              <w:top w:val="single" w:sz="8" w:space="0" w:color="000000"/>
            </w:tcBorders>
            <w:shd w:val="clear" w:color="auto" w:fill="auto"/>
            <w:tcMar>
              <w:top w:w="80" w:type="dxa"/>
              <w:left w:w="80" w:type="dxa"/>
              <w:bottom w:w="80" w:type="dxa"/>
              <w:right w:w="80" w:type="dxa"/>
            </w:tcMar>
            <w:vAlign w:val="center"/>
          </w:tcPr>
          <w:p w14:paraId="50A6E738" w14:textId="4AA790FF"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64</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10</w:t>
            </w:r>
          </w:p>
        </w:tc>
        <w:tc>
          <w:tcPr>
            <w:tcW w:w="1524" w:type="dxa"/>
            <w:tcBorders>
              <w:top w:val="single" w:sz="8" w:space="0" w:color="000000"/>
            </w:tcBorders>
            <w:shd w:val="clear" w:color="auto" w:fill="auto"/>
            <w:tcMar>
              <w:top w:w="80" w:type="dxa"/>
              <w:left w:w="80" w:type="dxa"/>
              <w:bottom w:w="80" w:type="dxa"/>
              <w:right w:w="80" w:type="dxa"/>
            </w:tcMar>
            <w:vAlign w:val="center"/>
          </w:tcPr>
          <w:p w14:paraId="2E013C5E" w14:textId="1F46357F"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255</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66</w:t>
            </w:r>
          </w:p>
        </w:tc>
        <w:tc>
          <w:tcPr>
            <w:tcW w:w="1662" w:type="dxa"/>
            <w:tcBorders>
              <w:top w:val="single" w:sz="8" w:space="0" w:color="000000"/>
            </w:tcBorders>
            <w:shd w:val="clear" w:color="auto" w:fill="auto"/>
            <w:tcMar>
              <w:top w:w="80" w:type="dxa"/>
              <w:left w:w="80" w:type="dxa"/>
              <w:bottom w:w="80" w:type="dxa"/>
              <w:right w:w="80" w:type="dxa"/>
            </w:tcMar>
            <w:vAlign w:val="center"/>
          </w:tcPr>
          <w:p w14:paraId="0075A0A5" w14:textId="7FE6F6C6"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62</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8</w:t>
            </w:r>
          </w:p>
        </w:tc>
      </w:tr>
      <w:tr w:rsidR="00D80A78" w:rsidRPr="00CA4C0B" w14:paraId="1B2940BA" w14:textId="77777777" w:rsidTr="007937A2">
        <w:trPr>
          <w:trHeight w:val="322"/>
        </w:trPr>
        <w:tc>
          <w:tcPr>
            <w:tcW w:w="2418" w:type="dxa"/>
            <w:shd w:val="clear" w:color="auto" w:fill="auto"/>
            <w:tcMar>
              <w:top w:w="80" w:type="dxa"/>
              <w:left w:w="80" w:type="dxa"/>
              <w:bottom w:w="80" w:type="dxa"/>
              <w:right w:w="80" w:type="dxa"/>
            </w:tcMar>
            <w:vAlign w:val="bottom"/>
          </w:tcPr>
          <w:p w14:paraId="166CF56E" w14:textId="77777777"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Study group 1 (SG</w:t>
            </w:r>
            <w:r w:rsidRPr="00CA4C0B">
              <w:rPr>
                <w:rStyle w:val="None"/>
                <w:rFonts w:ascii="Book Antiqua" w:hAnsi="Book Antiqua" w:cs="Times New Roman"/>
                <w:color w:val="auto"/>
                <w:sz w:val="24"/>
                <w:szCs w:val="24"/>
                <w:vertAlign w:val="subscript"/>
              </w:rPr>
              <w:t>1</w:t>
            </w:r>
            <w:r w:rsidRPr="00CA4C0B">
              <w:rPr>
                <w:rStyle w:val="None"/>
                <w:rFonts w:ascii="Book Antiqua" w:hAnsi="Book Antiqua" w:cs="Times New Roman"/>
                <w:color w:val="auto"/>
                <w:sz w:val="24"/>
                <w:szCs w:val="24"/>
              </w:rPr>
              <w:t>)</w:t>
            </w:r>
          </w:p>
        </w:tc>
        <w:tc>
          <w:tcPr>
            <w:tcW w:w="1458" w:type="dxa"/>
            <w:shd w:val="clear" w:color="auto" w:fill="auto"/>
            <w:tcMar>
              <w:top w:w="80" w:type="dxa"/>
              <w:left w:w="80" w:type="dxa"/>
              <w:bottom w:w="80" w:type="dxa"/>
              <w:right w:w="80" w:type="dxa"/>
            </w:tcMar>
            <w:vAlign w:val="center"/>
          </w:tcPr>
          <w:p w14:paraId="6D1040FE" w14:textId="3277C636"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lang w:val="ru-RU"/>
              </w:rPr>
              <w:t>331</w:t>
            </w:r>
            <w:r w:rsidR="00EC62AB" w:rsidRPr="00CA4C0B">
              <w:rPr>
                <w:rStyle w:val="None"/>
                <w:rFonts w:ascii="Book Antiqua" w:hAnsi="Book Antiqua" w:cs="Times New Roman"/>
                <w:color w:val="auto"/>
                <w:sz w:val="24"/>
                <w:szCs w:val="24"/>
                <w:lang w:val="ru-RU"/>
              </w:rPr>
              <w:t xml:space="preserve"> </w:t>
            </w:r>
            <w:r w:rsidRPr="00CA4C0B">
              <w:rPr>
                <w:rStyle w:val="None"/>
                <w:rFonts w:ascii="Book Antiqua" w:hAnsi="Book Antiqua" w:cs="Times New Roman"/>
                <w:color w:val="auto"/>
                <w:sz w:val="24"/>
                <w:szCs w:val="24"/>
                <w:lang w:val="ru-RU"/>
              </w:rPr>
              <w:t>±</w:t>
            </w:r>
            <w:r w:rsidR="00EC62AB" w:rsidRPr="00CA4C0B">
              <w:rPr>
                <w:rStyle w:val="None"/>
                <w:rFonts w:ascii="Book Antiqua" w:hAnsi="Book Antiqua" w:cs="Times New Roman"/>
                <w:color w:val="auto"/>
                <w:sz w:val="24"/>
                <w:szCs w:val="24"/>
                <w:lang w:val="ru-RU"/>
              </w:rPr>
              <w:t xml:space="preserve"> </w:t>
            </w:r>
            <w:r w:rsidRPr="00CA4C0B">
              <w:rPr>
                <w:rStyle w:val="None"/>
                <w:rFonts w:ascii="Book Antiqua" w:hAnsi="Book Antiqua" w:cs="Times New Roman"/>
                <w:color w:val="auto"/>
                <w:sz w:val="24"/>
                <w:szCs w:val="24"/>
                <w:lang w:val="ru-RU"/>
              </w:rPr>
              <w:t>95</w:t>
            </w:r>
          </w:p>
        </w:tc>
        <w:tc>
          <w:tcPr>
            <w:tcW w:w="1525" w:type="dxa"/>
            <w:shd w:val="clear" w:color="auto" w:fill="auto"/>
            <w:tcMar>
              <w:top w:w="80" w:type="dxa"/>
              <w:left w:w="80" w:type="dxa"/>
              <w:bottom w:w="80" w:type="dxa"/>
              <w:right w:w="80" w:type="dxa"/>
            </w:tcMar>
            <w:vAlign w:val="center"/>
          </w:tcPr>
          <w:p w14:paraId="239A4DC8" w14:textId="52C6C72F"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lang w:val="ru-RU"/>
              </w:rPr>
              <w:t>71</w:t>
            </w:r>
            <w:r w:rsidR="00EC62AB" w:rsidRPr="00CA4C0B">
              <w:rPr>
                <w:rStyle w:val="None"/>
                <w:rFonts w:ascii="Book Antiqua" w:hAnsi="Book Antiqua" w:cs="Times New Roman"/>
                <w:color w:val="auto"/>
                <w:sz w:val="24"/>
                <w:szCs w:val="24"/>
                <w:lang w:val="ru-RU"/>
              </w:rPr>
              <w:t xml:space="preserve"> </w:t>
            </w:r>
            <w:r w:rsidRPr="00CA4C0B">
              <w:rPr>
                <w:rStyle w:val="None"/>
                <w:rFonts w:ascii="Book Antiqua" w:hAnsi="Book Antiqua" w:cs="Times New Roman"/>
                <w:color w:val="auto"/>
                <w:sz w:val="24"/>
                <w:szCs w:val="24"/>
                <w:lang w:val="ru-RU"/>
              </w:rPr>
              <w:t>±</w:t>
            </w:r>
            <w:r w:rsidR="00EC62AB" w:rsidRPr="00CA4C0B">
              <w:rPr>
                <w:rStyle w:val="None"/>
                <w:rFonts w:ascii="Book Antiqua" w:hAnsi="Book Antiqua" w:cs="Times New Roman"/>
                <w:color w:val="auto"/>
                <w:sz w:val="24"/>
                <w:szCs w:val="24"/>
                <w:lang w:val="ru-RU"/>
              </w:rPr>
              <w:t xml:space="preserve"> </w:t>
            </w:r>
            <w:r w:rsidRPr="00CA4C0B">
              <w:rPr>
                <w:rStyle w:val="None"/>
                <w:rFonts w:ascii="Book Antiqua" w:hAnsi="Book Antiqua" w:cs="Times New Roman"/>
                <w:color w:val="auto"/>
                <w:sz w:val="24"/>
                <w:szCs w:val="24"/>
                <w:lang w:val="ru-RU"/>
              </w:rPr>
              <w:t>11</w:t>
            </w:r>
          </w:p>
        </w:tc>
        <w:tc>
          <w:tcPr>
            <w:tcW w:w="1524" w:type="dxa"/>
            <w:shd w:val="clear" w:color="auto" w:fill="auto"/>
            <w:tcMar>
              <w:top w:w="80" w:type="dxa"/>
              <w:left w:w="80" w:type="dxa"/>
              <w:bottom w:w="80" w:type="dxa"/>
              <w:right w:w="80" w:type="dxa"/>
            </w:tcMar>
            <w:vAlign w:val="center"/>
          </w:tcPr>
          <w:p w14:paraId="71A6AEB8" w14:textId="1AD8D742"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348</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90</w:t>
            </w:r>
          </w:p>
        </w:tc>
        <w:tc>
          <w:tcPr>
            <w:tcW w:w="1662" w:type="dxa"/>
            <w:shd w:val="clear" w:color="auto" w:fill="auto"/>
            <w:tcMar>
              <w:top w:w="80" w:type="dxa"/>
              <w:left w:w="80" w:type="dxa"/>
              <w:bottom w:w="80" w:type="dxa"/>
              <w:right w:w="80" w:type="dxa"/>
            </w:tcMar>
            <w:vAlign w:val="center"/>
          </w:tcPr>
          <w:p w14:paraId="2289CA79" w14:textId="252D994A"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lang w:val="ru-RU"/>
              </w:rPr>
              <w:t>71</w:t>
            </w:r>
            <w:r w:rsidR="00EC62AB" w:rsidRPr="00CA4C0B">
              <w:rPr>
                <w:rStyle w:val="None"/>
                <w:rFonts w:ascii="Book Antiqua" w:hAnsi="Book Antiqua" w:cs="Times New Roman"/>
                <w:color w:val="auto"/>
                <w:sz w:val="24"/>
                <w:szCs w:val="24"/>
                <w:lang w:val="ru-RU"/>
              </w:rPr>
              <w:t xml:space="preserve"> </w:t>
            </w:r>
            <w:r w:rsidRPr="00CA4C0B">
              <w:rPr>
                <w:rStyle w:val="None"/>
                <w:rFonts w:ascii="Book Antiqua" w:hAnsi="Book Antiqua" w:cs="Times New Roman"/>
                <w:color w:val="auto"/>
                <w:sz w:val="24"/>
                <w:szCs w:val="24"/>
                <w:lang w:val="ru-RU"/>
              </w:rPr>
              <w:t>±</w:t>
            </w:r>
            <w:r w:rsidR="00EC62AB" w:rsidRPr="00CA4C0B">
              <w:rPr>
                <w:rStyle w:val="None"/>
                <w:rFonts w:ascii="Book Antiqua" w:hAnsi="Book Antiqua" w:cs="Times New Roman"/>
                <w:color w:val="auto"/>
                <w:sz w:val="24"/>
                <w:szCs w:val="24"/>
                <w:lang w:val="ru-RU"/>
              </w:rPr>
              <w:t xml:space="preserve"> </w:t>
            </w:r>
            <w:r w:rsidRPr="00CA4C0B">
              <w:rPr>
                <w:rStyle w:val="None"/>
                <w:rFonts w:ascii="Book Antiqua" w:hAnsi="Book Antiqua" w:cs="Times New Roman"/>
                <w:color w:val="auto"/>
                <w:sz w:val="24"/>
                <w:szCs w:val="24"/>
                <w:lang w:val="ru-RU"/>
              </w:rPr>
              <w:t>10</w:t>
            </w:r>
          </w:p>
        </w:tc>
      </w:tr>
      <w:tr w:rsidR="00D80A78" w:rsidRPr="00CA4C0B" w14:paraId="2E9BB53D" w14:textId="77777777" w:rsidTr="007937A2">
        <w:trPr>
          <w:trHeight w:val="256"/>
        </w:trPr>
        <w:tc>
          <w:tcPr>
            <w:tcW w:w="2418" w:type="dxa"/>
            <w:shd w:val="clear" w:color="auto" w:fill="auto"/>
            <w:tcMar>
              <w:top w:w="80" w:type="dxa"/>
              <w:left w:w="80" w:type="dxa"/>
              <w:bottom w:w="80" w:type="dxa"/>
              <w:right w:w="80" w:type="dxa"/>
            </w:tcMar>
            <w:vAlign w:val="bottom"/>
          </w:tcPr>
          <w:p w14:paraId="18A4DEF6" w14:textId="77777777"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Study group 2 (SG</w:t>
            </w:r>
            <w:r w:rsidRPr="00CA4C0B">
              <w:rPr>
                <w:rStyle w:val="None"/>
                <w:rFonts w:ascii="Book Antiqua" w:hAnsi="Book Antiqua" w:cs="Times New Roman"/>
                <w:color w:val="auto"/>
                <w:sz w:val="24"/>
                <w:szCs w:val="24"/>
                <w:vertAlign w:val="subscript"/>
              </w:rPr>
              <w:t>2</w:t>
            </w:r>
            <w:r w:rsidRPr="00CA4C0B">
              <w:rPr>
                <w:rStyle w:val="None"/>
                <w:rFonts w:ascii="Book Antiqua" w:hAnsi="Book Antiqua" w:cs="Times New Roman"/>
                <w:color w:val="auto"/>
                <w:sz w:val="24"/>
                <w:szCs w:val="24"/>
              </w:rPr>
              <w:t>)</w:t>
            </w:r>
          </w:p>
        </w:tc>
        <w:tc>
          <w:tcPr>
            <w:tcW w:w="1458" w:type="dxa"/>
            <w:shd w:val="clear" w:color="auto" w:fill="auto"/>
            <w:tcMar>
              <w:top w:w="80" w:type="dxa"/>
              <w:left w:w="80" w:type="dxa"/>
              <w:bottom w:w="80" w:type="dxa"/>
              <w:right w:w="80" w:type="dxa"/>
            </w:tcMar>
            <w:vAlign w:val="center"/>
          </w:tcPr>
          <w:p w14:paraId="080A5079" w14:textId="504BD021"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390</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128</w:t>
            </w:r>
          </w:p>
        </w:tc>
        <w:tc>
          <w:tcPr>
            <w:tcW w:w="1525" w:type="dxa"/>
            <w:shd w:val="clear" w:color="auto" w:fill="auto"/>
            <w:tcMar>
              <w:top w:w="80" w:type="dxa"/>
              <w:left w:w="80" w:type="dxa"/>
              <w:bottom w:w="80" w:type="dxa"/>
              <w:right w:w="80" w:type="dxa"/>
            </w:tcMar>
            <w:vAlign w:val="center"/>
          </w:tcPr>
          <w:p w14:paraId="0EBDE1EA" w14:textId="1CEE794E"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75</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11</w:t>
            </w:r>
          </w:p>
        </w:tc>
        <w:tc>
          <w:tcPr>
            <w:tcW w:w="1524" w:type="dxa"/>
            <w:shd w:val="clear" w:color="auto" w:fill="auto"/>
            <w:tcMar>
              <w:top w:w="80" w:type="dxa"/>
              <w:left w:w="80" w:type="dxa"/>
              <w:bottom w:w="80" w:type="dxa"/>
              <w:right w:w="80" w:type="dxa"/>
            </w:tcMar>
            <w:vAlign w:val="center"/>
          </w:tcPr>
          <w:p w14:paraId="25908B14" w14:textId="656A67C1"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372</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107</w:t>
            </w:r>
          </w:p>
        </w:tc>
        <w:tc>
          <w:tcPr>
            <w:tcW w:w="1662" w:type="dxa"/>
            <w:shd w:val="clear" w:color="auto" w:fill="auto"/>
            <w:tcMar>
              <w:top w:w="80" w:type="dxa"/>
              <w:left w:w="80" w:type="dxa"/>
              <w:bottom w:w="80" w:type="dxa"/>
              <w:right w:w="80" w:type="dxa"/>
            </w:tcMar>
            <w:vAlign w:val="center"/>
          </w:tcPr>
          <w:p w14:paraId="3534332A" w14:textId="34B04CA0"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73</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11</w:t>
            </w:r>
          </w:p>
        </w:tc>
      </w:tr>
    </w:tbl>
    <w:p w14:paraId="2C01DDF7" w14:textId="4F925511" w:rsidR="00F3136B" w:rsidRPr="00CA4C0B" w:rsidRDefault="00A661E8" w:rsidP="007F2CA0">
      <w:pPr>
        <w:pStyle w:val="BodyA"/>
        <w:snapToGrid w:val="0"/>
        <w:spacing w:after="0" w:line="360" w:lineRule="auto"/>
        <w:jc w:val="both"/>
        <w:rPr>
          <w:rStyle w:val="None"/>
          <w:rFonts w:ascii="Book Antiqua" w:eastAsia="Times New Roman" w:hAnsi="Book Antiqua" w:cs="Times New Roman"/>
          <w:b/>
          <w:bCs/>
          <w:color w:val="auto"/>
          <w:sz w:val="24"/>
          <w:szCs w:val="24"/>
        </w:rPr>
      </w:pPr>
      <w:r w:rsidRPr="00CA4C0B">
        <w:rPr>
          <w:rStyle w:val="Hyperlink2"/>
          <w:rFonts w:ascii="Book Antiqua" w:eastAsia="Arial Unicode MS" w:hAnsi="Book Antiqua"/>
          <w:caps/>
          <w:color w:val="auto"/>
        </w:rPr>
        <w:t>a</w:t>
      </w:r>
      <w:r w:rsidRPr="00CA4C0B">
        <w:rPr>
          <w:rStyle w:val="Hyperlink2"/>
          <w:rFonts w:ascii="Book Antiqua" w:eastAsia="Arial Unicode MS" w:hAnsi="Book Antiqua"/>
          <w:color w:val="auto"/>
        </w:rPr>
        <w:t>ll measurements are carried out and presented</w:t>
      </w:r>
      <w:r w:rsidRPr="00CA4C0B">
        <w:rPr>
          <w:rStyle w:val="None"/>
          <w:rFonts w:ascii="Book Antiqua" w:hAnsi="Book Antiqua"/>
          <w:color w:val="auto"/>
          <w:sz w:val="24"/>
          <w:szCs w:val="24"/>
          <w:lang w:val="it-IT"/>
        </w:rPr>
        <w:t xml:space="preserve"> in micrometers.</w:t>
      </w:r>
      <w:r w:rsidR="00EE10CE" w:rsidRPr="00CA4C0B">
        <w:rPr>
          <w:rStyle w:val="None"/>
          <w:rFonts w:ascii="Book Antiqua" w:hAnsi="Book Antiqua"/>
          <w:color w:val="auto"/>
          <w:sz w:val="24"/>
          <w:szCs w:val="24"/>
          <w:lang w:val="it-IT"/>
        </w:rPr>
        <w:t xml:space="preserve"> </w:t>
      </w:r>
      <w:r w:rsidRPr="00CA4C0B">
        <w:rPr>
          <w:rStyle w:val="None"/>
          <w:rFonts w:ascii="Book Antiqua" w:hAnsi="Book Antiqua"/>
          <w:color w:val="auto"/>
          <w:sz w:val="24"/>
          <w:szCs w:val="24"/>
        </w:rPr>
        <w:t xml:space="preserve">Area, I zone of </w:t>
      </w:r>
      <w:r w:rsidR="00DE3721" w:rsidRPr="00CA4C0B">
        <w:rPr>
          <w:rStyle w:val="None"/>
          <w:rFonts w:ascii="Book Antiqua" w:hAnsi="Book Antiqua"/>
          <w:color w:val="auto"/>
          <w:sz w:val="24"/>
          <w:szCs w:val="24"/>
        </w:rPr>
        <w:t xml:space="preserve">control group (CG) </w:t>
      </w:r>
      <w:r w:rsidRPr="00CA4C0B">
        <w:rPr>
          <w:rStyle w:val="None"/>
          <w:rFonts w:ascii="Book Antiqua" w:hAnsi="Book Antiqua"/>
          <w:i/>
          <w:color w:val="auto"/>
          <w:sz w:val="24"/>
          <w:szCs w:val="24"/>
        </w:rPr>
        <w:t>vs</w:t>
      </w:r>
      <w:r w:rsidRPr="00CA4C0B">
        <w:rPr>
          <w:rStyle w:val="None"/>
          <w:rFonts w:ascii="Book Antiqua" w:hAnsi="Book Antiqua"/>
          <w:color w:val="auto"/>
          <w:sz w:val="24"/>
          <w:szCs w:val="24"/>
        </w:rPr>
        <w:t xml:space="preserve"> III zone of CG, </w:t>
      </w:r>
      <w:r w:rsidRPr="00CA4C0B">
        <w:rPr>
          <w:rStyle w:val="None"/>
          <w:rFonts w:ascii="Book Antiqua" w:hAnsi="Book Antiqua"/>
          <w:i/>
          <w:color w:val="auto"/>
          <w:sz w:val="24"/>
          <w:szCs w:val="24"/>
        </w:rPr>
        <w:t>P</w:t>
      </w:r>
      <w:r w:rsidRPr="00CA4C0B">
        <w:rPr>
          <w:rStyle w:val="None"/>
          <w:rFonts w:ascii="Book Antiqua" w:hAnsi="Book Antiqua"/>
          <w:color w:val="auto"/>
          <w:sz w:val="24"/>
          <w:szCs w:val="24"/>
        </w:rPr>
        <w:t xml:space="preserve"> &lt; 0.05; Perimeter, I zone CG </w:t>
      </w:r>
      <w:r w:rsidRPr="00CA4C0B">
        <w:rPr>
          <w:rStyle w:val="None"/>
          <w:rFonts w:ascii="Book Antiqua" w:hAnsi="Book Antiqua"/>
          <w:i/>
          <w:color w:val="auto"/>
          <w:sz w:val="24"/>
          <w:szCs w:val="24"/>
        </w:rPr>
        <w:t>vs</w:t>
      </w:r>
      <w:r w:rsidRPr="00CA4C0B">
        <w:rPr>
          <w:rStyle w:val="None"/>
          <w:rFonts w:ascii="Book Antiqua" w:hAnsi="Book Antiqua"/>
          <w:color w:val="auto"/>
          <w:sz w:val="24"/>
          <w:szCs w:val="24"/>
        </w:rPr>
        <w:t xml:space="preserve"> III zone CG, </w:t>
      </w:r>
      <w:r w:rsidRPr="00CA4C0B">
        <w:rPr>
          <w:rStyle w:val="None"/>
          <w:rFonts w:ascii="Book Antiqua" w:hAnsi="Book Antiqua"/>
          <w:i/>
          <w:color w:val="auto"/>
          <w:sz w:val="24"/>
          <w:szCs w:val="24"/>
        </w:rPr>
        <w:t>P</w:t>
      </w:r>
      <w:r w:rsidRPr="00CA4C0B">
        <w:rPr>
          <w:rStyle w:val="None"/>
          <w:rFonts w:ascii="Book Antiqua" w:hAnsi="Book Antiqua"/>
          <w:color w:val="auto"/>
          <w:sz w:val="24"/>
          <w:szCs w:val="24"/>
        </w:rPr>
        <w:t xml:space="preserve"> &gt; 0.05.</w:t>
      </w:r>
      <w:r w:rsidR="00297C99" w:rsidRPr="00CA4C0B">
        <w:rPr>
          <w:rStyle w:val="None"/>
          <w:rFonts w:ascii="Book Antiqua" w:hAnsi="Book Antiqua"/>
          <w:color w:val="auto"/>
          <w:sz w:val="24"/>
          <w:szCs w:val="24"/>
        </w:rPr>
        <w:t xml:space="preserve"> Area, III zone CG </w:t>
      </w:r>
      <w:r w:rsidR="00297C99" w:rsidRPr="00CA4C0B">
        <w:rPr>
          <w:rStyle w:val="None"/>
          <w:rFonts w:ascii="Book Antiqua" w:hAnsi="Book Antiqua"/>
          <w:i/>
          <w:color w:val="auto"/>
          <w:sz w:val="24"/>
          <w:szCs w:val="24"/>
        </w:rPr>
        <w:t>vs</w:t>
      </w:r>
      <w:r w:rsidR="00297C99" w:rsidRPr="00CA4C0B">
        <w:rPr>
          <w:rStyle w:val="None"/>
          <w:rFonts w:ascii="Book Antiqua" w:hAnsi="Book Antiqua"/>
          <w:color w:val="auto"/>
          <w:sz w:val="24"/>
          <w:szCs w:val="24"/>
        </w:rPr>
        <w:t xml:space="preserve"> </w:t>
      </w:r>
      <w:r w:rsidR="00DE3721" w:rsidRPr="00CA4C0B">
        <w:rPr>
          <w:rStyle w:val="None"/>
          <w:rFonts w:ascii="Book Antiqua" w:hAnsi="Book Antiqua"/>
          <w:color w:val="auto"/>
          <w:sz w:val="24"/>
          <w:szCs w:val="24"/>
        </w:rPr>
        <w:t>study group 1 (SG1)</w:t>
      </w:r>
      <w:r w:rsidR="00297C99" w:rsidRPr="00CA4C0B">
        <w:rPr>
          <w:rStyle w:val="None"/>
          <w:rFonts w:ascii="Book Antiqua" w:hAnsi="Book Antiqua"/>
          <w:color w:val="auto"/>
          <w:sz w:val="24"/>
          <w:szCs w:val="24"/>
        </w:rPr>
        <w:t xml:space="preserve">, </w:t>
      </w:r>
      <w:r w:rsidR="00297C99" w:rsidRPr="00CA4C0B">
        <w:rPr>
          <w:rStyle w:val="None"/>
          <w:rFonts w:ascii="Book Antiqua" w:hAnsi="Book Antiqua"/>
          <w:i/>
          <w:color w:val="auto"/>
          <w:sz w:val="24"/>
          <w:szCs w:val="24"/>
        </w:rPr>
        <w:t>P</w:t>
      </w:r>
      <w:r w:rsidR="00297C99" w:rsidRPr="00CA4C0B">
        <w:rPr>
          <w:rStyle w:val="None"/>
          <w:rFonts w:ascii="Book Antiqua" w:hAnsi="Book Antiqua"/>
          <w:color w:val="auto"/>
          <w:sz w:val="24"/>
          <w:szCs w:val="24"/>
        </w:rPr>
        <w:t xml:space="preserve"> &lt; 0.05; Perimeter, III zone CG </w:t>
      </w:r>
      <w:r w:rsidR="00AF1CB0" w:rsidRPr="00CA4C0B">
        <w:rPr>
          <w:rStyle w:val="None"/>
          <w:rFonts w:ascii="Book Antiqua" w:hAnsi="Book Antiqua"/>
          <w:i/>
          <w:color w:val="auto"/>
          <w:sz w:val="24"/>
          <w:szCs w:val="24"/>
        </w:rPr>
        <w:t>vs</w:t>
      </w:r>
      <w:r w:rsidR="00297C99" w:rsidRPr="00CA4C0B">
        <w:rPr>
          <w:rStyle w:val="None"/>
          <w:rFonts w:ascii="Book Antiqua" w:hAnsi="Book Antiqua"/>
          <w:color w:val="auto"/>
          <w:sz w:val="24"/>
          <w:szCs w:val="24"/>
        </w:rPr>
        <w:t xml:space="preserve"> SG</w:t>
      </w:r>
      <w:r w:rsidR="00297C99" w:rsidRPr="00CA4C0B">
        <w:rPr>
          <w:rStyle w:val="None"/>
          <w:rFonts w:ascii="Book Antiqua" w:hAnsi="Book Antiqua"/>
          <w:color w:val="auto"/>
          <w:sz w:val="24"/>
          <w:szCs w:val="24"/>
          <w:vertAlign w:val="subscript"/>
        </w:rPr>
        <w:t>1</w:t>
      </w:r>
      <w:r w:rsidR="00297C99" w:rsidRPr="00CA4C0B">
        <w:rPr>
          <w:rStyle w:val="None"/>
          <w:rFonts w:ascii="Book Antiqua" w:hAnsi="Book Antiqua"/>
          <w:color w:val="auto"/>
          <w:sz w:val="24"/>
          <w:szCs w:val="24"/>
        </w:rPr>
        <w:t xml:space="preserve">, </w:t>
      </w:r>
      <w:r w:rsidR="00297C99" w:rsidRPr="00CA4C0B">
        <w:rPr>
          <w:rStyle w:val="None"/>
          <w:rFonts w:ascii="Book Antiqua" w:hAnsi="Book Antiqua"/>
          <w:i/>
          <w:color w:val="auto"/>
          <w:sz w:val="24"/>
          <w:szCs w:val="24"/>
        </w:rPr>
        <w:t>P</w:t>
      </w:r>
      <w:r w:rsidR="00297C99" w:rsidRPr="00CA4C0B">
        <w:rPr>
          <w:rStyle w:val="None"/>
          <w:rFonts w:ascii="Book Antiqua" w:hAnsi="Book Antiqua"/>
          <w:color w:val="auto"/>
          <w:sz w:val="24"/>
          <w:szCs w:val="24"/>
        </w:rPr>
        <w:t xml:space="preserve"> value &lt; 0.05. Perimeter, I zone CG </w:t>
      </w:r>
      <w:r w:rsidR="00297C99" w:rsidRPr="00CA4C0B">
        <w:rPr>
          <w:rStyle w:val="None"/>
          <w:rFonts w:ascii="Book Antiqua" w:hAnsi="Book Antiqua"/>
          <w:i/>
          <w:color w:val="auto"/>
          <w:sz w:val="24"/>
          <w:szCs w:val="24"/>
        </w:rPr>
        <w:t>vs</w:t>
      </w:r>
      <w:r w:rsidR="00297C99" w:rsidRPr="00CA4C0B">
        <w:rPr>
          <w:rStyle w:val="None"/>
          <w:rFonts w:ascii="Book Antiqua" w:hAnsi="Book Antiqua"/>
          <w:color w:val="auto"/>
          <w:sz w:val="24"/>
          <w:szCs w:val="24"/>
        </w:rPr>
        <w:t xml:space="preserve"> SG</w:t>
      </w:r>
      <w:r w:rsidR="00297C99" w:rsidRPr="00CA4C0B">
        <w:rPr>
          <w:rStyle w:val="None"/>
          <w:rFonts w:ascii="Book Antiqua" w:hAnsi="Book Antiqua"/>
          <w:color w:val="auto"/>
          <w:sz w:val="24"/>
          <w:szCs w:val="24"/>
          <w:vertAlign w:val="subscript"/>
        </w:rPr>
        <w:t>1</w:t>
      </w:r>
      <w:r w:rsidR="00297C99" w:rsidRPr="00CA4C0B">
        <w:rPr>
          <w:rStyle w:val="None"/>
          <w:rFonts w:ascii="Book Antiqua" w:hAnsi="Book Antiqua"/>
          <w:color w:val="auto"/>
          <w:sz w:val="24"/>
          <w:szCs w:val="24"/>
        </w:rPr>
        <w:t xml:space="preserve">, </w:t>
      </w:r>
      <w:r w:rsidR="00297C99" w:rsidRPr="00CA4C0B">
        <w:rPr>
          <w:rStyle w:val="None"/>
          <w:rFonts w:ascii="Book Antiqua" w:hAnsi="Book Antiqua"/>
          <w:i/>
          <w:color w:val="auto"/>
          <w:sz w:val="24"/>
          <w:szCs w:val="24"/>
        </w:rPr>
        <w:t>P</w:t>
      </w:r>
      <w:r w:rsidR="00297C99" w:rsidRPr="00CA4C0B">
        <w:rPr>
          <w:rStyle w:val="None"/>
          <w:rFonts w:ascii="Book Antiqua" w:hAnsi="Book Antiqua"/>
          <w:color w:val="auto"/>
          <w:sz w:val="24"/>
          <w:szCs w:val="24"/>
        </w:rPr>
        <w:t xml:space="preserve"> &lt; 0.05. Area, I zone SG</w:t>
      </w:r>
      <w:r w:rsidR="00297C99" w:rsidRPr="00CA4C0B">
        <w:rPr>
          <w:rStyle w:val="None"/>
          <w:rFonts w:ascii="Book Antiqua" w:hAnsi="Book Antiqua"/>
          <w:color w:val="auto"/>
          <w:sz w:val="24"/>
          <w:szCs w:val="24"/>
          <w:vertAlign w:val="subscript"/>
        </w:rPr>
        <w:t>1</w:t>
      </w:r>
      <w:r w:rsidR="00297C99" w:rsidRPr="00CA4C0B">
        <w:rPr>
          <w:rStyle w:val="None"/>
          <w:rFonts w:ascii="Book Antiqua" w:hAnsi="Book Antiqua"/>
          <w:color w:val="auto"/>
          <w:sz w:val="24"/>
          <w:szCs w:val="24"/>
        </w:rPr>
        <w:t xml:space="preserve"> </w:t>
      </w:r>
      <w:r w:rsidR="00297C99" w:rsidRPr="00CA4C0B">
        <w:rPr>
          <w:rStyle w:val="None"/>
          <w:rFonts w:ascii="Book Antiqua" w:hAnsi="Book Antiqua"/>
          <w:i/>
          <w:color w:val="auto"/>
          <w:sz w:val="24"/>
          <w:szCs w:val="24"/>
        </w:rPr>
        <w:t>vs</w:t>
      </w:r>
      <w:r w:rsidR="00297C99" w:rsidRPr="00CA4C0B">
        <w:rPr>
          <w:rStyle w:val="None"/>
          <w:rFonts w:ascii="Book Antiqua" w:hAnsi="Book Antiqua"/>
          <w:color w:val="auto"/>
          <w:sz w:val="24"/>
          <w:szCs w:val="24"/>
        </w:rPr>
        <w:t xml:space="preserve"> III zone SG</w:t>
      </w:r>
      <w:r w:rsidR="00297C99" w:rsidRPr="00CA4C0B">
        <w:rPr>
          <w:rStyle w:val="None"/>
          <w:rFonts w:ascii="Book Antiqua" w:hAnsi="Book Antiqua"/>
          <w:color w:val="auto"/>
          <w:sz w:val="24"/>
          <w:szCs w:val="24"/>
          <w:vertAlign w:val="subscript"/>
        </w:rPr>
        <w:t>1</w:t>
      </w:r>
      <w:r w:rsidR="00297C99" w:rsidRPr="00CA4C0B">
        <w:rPr>
          <w:rStyle w:val="None"/>
          <w:rFonts w:ascii="Book Antiqua" w:hAnsi="Book Antiqua"/>
          <w:color w:val="auto"/>
          <w:sz w:val="24"/>
          <w:szCs w:val="24"/>
        </w:rPr>
        <w:t xml:space="preserve">, </w:t>
      </w:r>
      <w:r w:rsidR="00297C99" w:rsidRPr="00CA4C0B">
        <w:rPr>
          <w:rStyle w:val="None"/>
          <w:rFonts w:ascii="Book Antiqua" w:hAnsi="Book Antiqua"/>
          <w:i/>
          <w:color w:val="auto"/>
          <w:sz w:val="24"/>
          <w:szCs w:val="24"/>
        </w:rPr>
        <w:t>P</w:t>
      </w:r>
      <w:r w:rsidR="00297C99" w:rsidRPr="00CA4C0B">
        <w:rPr>
          <w:rStyle w:val="None"/>
          <w:rFonts w:ascii="Book Antiqua" w:hAnsi="Book Antiqua"/>
          <w:color w:val="auto"/>
          <w:sz w:val="24"/>
          <w:szCs w:val="24"/>
        </w:rPr>
        <w:t xml:space="preserve"> &gt; 0.05; Perimeter, I zone SG</w:t>
      </w:r>
      <w:r w:rsidR="00297C99" w:rsidRPr="00CA4C0B">
        <w:rPr>
          <w:rStyle w:val="None"/>
          <w:rFonts w:ascii="Book Antiqua" w:hAnsi="Book Antiqua"/>
          <w:color w:val="auto"/>
          <w:sz w:val="24"/>
          <w:szCs w:val="24"/>
          <w:vertAlign w:val="subscript"/>
        </w:rPr>
        <w:t>1</w:t>
      </w:r>
      <w:r w:rsidR="00297C99" w:rsidRPr="00CA4C0B">
        <w:rPr>
          <w:rStyle w:val="None"/>
          <w:rFonts w:ascii="Book Antiqua" w:hAnsi="Book Antiqua"/>
          <w:color w:val="auto"/>
          <w:sz w:val="24"/>
          <w:szCs w:val="24"/>
        </w:rPr>
        <w:t xml:space="preserve"> </w:t>
      </w:r>
      <w:r w:rsidR="00297C99" w:rsidRPr="00CA4C0B">
        <w:rPr>
          <w:rStyle w:val="None"/>
          <w:rFonts w:ascii="Book Antiqua" w:hAnsi="Book Antiqua"/>
          <w:i/>
          <w:color w:val="auto"/>
          <w:sz w:val="24"/>
          <w:szCs w:val="24"/>
        </w:rPr>
        <w:t>vs</w:t>
      </w:r>
      <w:r w:rsidR="00297C99" w:rsidRPr="00CA4C0B">
        <w:rPr>
          <w:rStyle w:val="None"/>
          <w:rFonts w:ascii="Book Antiqua" w:hAnsi="Book Antiqua"/>
          <w:color w:val="auto"/>
          <w:sz w:val="24"/>
          <w:szCs w:val="24"/>
        </w:rPr>
        <w:t xml:space="preserve"> III zone SG</w:t>
      </w:r>
      <w:r w:rsidR="00297C99" w:rsidRPr="00CA4C0B">
        <w:rPr>
          <w:rStyle w:val="None"/>
          <w:rFonts w:ascii="Book Antiqua" w:hAnsi="Book Antiqua"/>
          <w:color w:val="auto"/>
          <w:sz w:val="24"/>
          <w:szCs w:val="24"/>
          <w:vertAlign w:val="subscript"/>
        </w:rPr>
        <w:t>1</w:t>
      </w:r>
      <w:r w:rsidR="00297C99" w:rsidRPr="00CA4C0B">
        <w:rPr>
          <w:rStyle w:val="None"/>
          <w:rFonts w:ascii="Book Antiqua" w:hAnsi="Book Antiqua"/>
          <w:color w:val="auto"/>
          <w:sz w:val="24"/>
          <w:szCs w:val="24"/>
        </w:rPr>
        <w:t xml:space="preserve">, </w:t>
      </w:r>
      <w:r w:rsidR="00297C99" w:rsidRPr="00CA4C0B">
        <w:rPr>
          <w:rStyle w:val="None"/>
          <w:rFonts w:ascii="Book Antiqua" w:hAnsi="Book Antiqua"/>
          <w:i/>
          <w:color w:val="auto"/>
          <w:sz w:val="24"/>
          <w:szCs w:val="24"/>
        </w:rPr>
        <w:t>P</w:t>
      </w:r>
      <w:r w:rsidR="00297C99" w:rsidRPr="00CA4C0B">
        <w:rPr>
          <w:rStyle w:val="None"/>
          <w:rFonts w:ascii="Book Antiqua" w:hAnsi="Book Antiqua"/>
          <w:color w:val="auto"/>
          <w:sz w:val="24"/>
          <w:szCs w:val="24"/>
        </w:rPr>
        <w:t xml:space="preserve"> &gt; 0.05.</w:t>
      </w:r>
      <w:r w:rsidR="000243AF" w:rsidRPr="00CA4C0B">
        <w:rPr>
          <w:rStyle w:val="None"/>
          <w:rFonts w:ascii="Book Antiqua" w:hAnsi="Book Antiqua"/>
          <w:color w:val="auto"/>
          <w:sz w:val="24"/>
          <w:szCs w:val="24"/>
        </w:rPr>
        <w:t xml:space="preserve"> Area, III zone CG </w:t>
      </w:r>
      <w:r w:rsidR="000243AF" w:rsidRPr="00CA4C0B">
        <w:rPr>
          <w:rStyle w:val="None"/>
          <w:rFonts w:ascii="Book Antiqua" w:hAnsi="Book Antiqua"/>
          <w:i/>
          <w:color w:val="auto"/>
          <w:sz w:val="24"/>
          <w:szCs w:val="24"/>
        </w:rPr>
        <w:t>vs</w:t>
      </w:r>
      <w:r w:rsidR="000243AF" w:rsidRPr="00CA4C0B">
        <w:rPr>
          <w:rStyle w:val="None"/>
          <w:rFonts w:ascii="Book Antiqua" w:hAnsi="Book Antiqua"/>
          <w:color w:val="auto"/>
          <w:sz w:val="24"/>
          <w:szCs w:val="24"/>
        </w:rPr>
        <w:t xml:space="preserve"> </w:t>
      </w:r>
      <w:r w:rsidR="00CE395E" w:rsidRPr="00CA4C0B">
        <w:rPr>
          <w:rStyle w:val="None"/>
          <w:rFonts w:ascii="Book Antiqua" w:hAnsi="Book Antiqua"/>
          <w:color w:val="auto"/>
          <w:sz w:val="24"/>
          <w:szCs w:val="24"/>
        </w:rPr>
        <w:t>study group 2 (SG2)</w:t>
      </w:r>
      <w:r w:rsidR="000243AF" w:rsidRPr="00CA4C0B">
        <w:rPr>
          <w:rStyle w:val="None"/>
          <w:rFonts w:ascii="Book Antiqua" w:hAnsi="Book Antiqua"/>
          <w:color w:val="auto"/>
          <w:sz w:val="24"/>
          <w:szCs w:val="24"/>
        </w:rPr>
        <w:t xml:space="preserve">, </w:t>
      </w:r>
      <w:r w:rsidR="000243AF" w:rsidRPr="00CA4C0B">
        <w:rPr>
          <w:rStyle w:val="None"/>
          <w:rFonts w:ascii="Book Antiqua" w:hAnsi="Book Antiqua"/>
          <w:i/>
          <w:color w:val="auto"/>
          <w:sz w:val="24"/>
          <w:szCs w:val="24"/>
        </w:rPr>
        <w:t>P</w:t>
      </w:r>
      <w:r w:rsidR="000243AF" w:rsidRPr="00CA4C0B">
        <w:rPr>
          <w:rStyle w:val="None"/>
          <w:rFonts w:ascii="Book Antiqua" w:hAnsi="Book Antiqua"/>
          <w:color w:val="auto"/>
          <w:sz w:val="24"/>
          <w:szCs w:val="24"/>
        </w:rPr>
        <w:t xml:space="preserve"> &lt; 0.05; Perimeter, III zone CG </w:t>
      </w:r>
      <w:r w:rsidR="000243AF" w:rsidRPr="00CA4C0B">
        <w:rPr>
          <w:rStyle w:val="None"/>
          <w:rFonts w:ascii="Book Antiqua" w:hAnsi="Book Antiqua"/>
          <w:i/>
          <w:color w:val="auto"/>
          <w:sz w:val="24"/>
          <w:szCs w:val="24"/>
        </w:rPr>
        <w:t>vs</w:t>
      </w:r>
      <w:r w:rsidR="000243AF" w:rsidRPr="00CA4C0B">
        <w:rPr>
          <w:rStyle w:val="None"/>
          <w:rFonts w:ascii="Book Antiqua" w:hAnsi="Book Antiqua"/>
          <w:color w:val="auto"/>
          <w:sz w:val="24"/>
          <w:szCs w:val="24"/>
        </w:rPr>
        <w:t xml:space="preserve"> SG</w:t>
      </w:r>
      <w:r w:rsidR="000243AF" w:rsidRPr="00CA4C0B">
        <w:rPr>
          <w:rStyle w:val="None"/>
          <w:rFonts w:ascii="Book Antiqua" w:hAnsi="Book Antiqua"/>
          <w:color w:val="auto"/>
          <w:sz w:val="24"/>
          <w:szCs w:val="24"/>
          <w:vertAlign w:val="subscript"/>
        </w:rPr>
        <w:t>2</w:t>
      </w:r>
      <w:r w:rsidR="000243AF" w:rsidRPr="00CA4C0B">
        <w:rPr>
          <w:rStyle w:val="None"/>
          <w:rFonts w:ascii="Book Antiqua" w:hAnsi="Book Antiqua"/>
          <w:color w:val="auto"/>
          <w:sz w:val="24"/>
          <w:szCs w:val="24"/>
        </w:rPr>
        <w:t xml:space="preserve">, </w:t>
      </w:r>
      <w:r w:rsidR="000243AF" w:rsidRPr="00CA4C0B">
        <w:rPr>
          <w:rStyle w:val="None"/>
          <w:rFonts w:ascii="Book Antiqua" w:hAnsi="Book Antiqua"/>
          <w:i/>
          <w:color w:val="auto"/>
          <w:sz w:val="24"/>
          <w:szCs w:val="24"/>
        </w:rPr>
        <w:t>P</w:t>
      </w:r>
      <w:r w:rsidR="000243AF" w:rsidRPr="00CA4C0B">
        <w:rPr>
          <w:rStyle w:val="None"/>
          <w:rFonts w:ascii="Book Antiqua" w:hAnsi="Book Antiqua"/>
          <w:color w:val="auto"/>
          <w:sz w:val="24"/>
          <w:szCs w:val="24"/>
        </w:rPr>
        <w:t xml:space="preserve"> &lt; 0.05. Area, III zone SG</w:t>
      </w:r>
      <w:r w:rsidR="000243AF" w:rsidRPr="00CA4C0B">
        <w:rPr>
          <w:rStyle w:val="None"/>
          <w:rFonts w:ascii="Book Antiqua" w:hAnsi="Book Antiqua"/>
          <w:color w:val="auto"/>
          <w:sz w:val="24"/>
          <w:szCs w:val="24"/>
          <w:vertAlign w:val="subscript"/>
        </w:rPr>
        <w:t>1</w:t>
      </w:r>
      <w:r w:rsidR="000243AF" w:rsidRPr="00CA4C0B">
        <w:rPr>
          <w:rStyle w:val="None"/>
          <w:rFonts w:ascii="Book Antiqua" w:hAnsi="Book Antiqua"/>
          <w:color w:val="auto"/>
          <w:sz w:val="24"/>
          <w:szCs w:val="24"/>
        </w:rPr>
        <w:t xml:space="preserve"> </w:t>
      </w:r>
      <w:r w:rsidR="000243AF" w:rsidRPr="00CA4C0B">
        <w:rPr>
          <w:rStyle w:val="None"/>
          <w:rFonts w:ascii="Book Antiqua" w:hAnsi="Book Antiqua"/>
          <w:i/>
          <w:color w:val="auto"/>
          <w:sz w:val="24"/>
          <w:szCs w:val="24"/>
        </w:rPr>
        <w:t>vs</w:t>
      </w:r>
      <w:r w:rsidR="000243AF" w:rsidRPr="00CA4C0B">
        <w:rPr>
          <w:rStyle w:val="None"/>
          <w:rFonts w:ascii="Book Antiqua" w:hAnsi="Book Antiqua"/>
          <w:color w:val="auto"/>
          <w:sz w:val="24"/>
          <w:szCs w:val="24"/>
        </w:rPr>
        <w:t xml:space="preserve"> SG</w:t>
      </w:r>
      <w:r w:rsidR="000243AF" w:rsidRPr="00CA4C0B">
        <w:rPr>
          <w:rStyle w:val="None"/>
          <w:rFonts w:ascii="Book Antiqua" w:hAnsi="Book Antiqua"/>
          <w:color w:val="auto"/>
          <w:sz w:val="24"/>
          <w:szCs w:val="24"/>
          <w:vertAlign w:val="subscript"/>
        </w:rPr>
        <w:t>2</w:t>
      </w:r>
      <w:r w:rsidR="000243AF" w:rsidRPr="00CA4C0B">
        <w:rPr>
          <w:rStyle w:val="None"/>
          <w:rFonts w:ascii="Book Antiqua" w:hAnsi="Book Antiqua"/>
          <w:color w:val="auto"/>
          <w:sz w:val="24"/>
          <w:szCs w:val="24"/>
        </w:rPr>
        <w:t xml:space="preserve">, </w:t>
      </w:r>
      <w:r w:rsidR="000243AF" w:rsidRPr="00CA4C0B">
        <w:rPr>
          <w:rStyle w:val="None"/>
          <w:rFonts w:ascii="Book Antiqua" w:hAnsi="Book Antiqua"/>
          <w:i/>
          <w:color w:val="auto"/>
          <w:sz w:val="24"/>
          <w:szCs w:val="24"/>
        </w:rPr>
        <w:t>P</w:t>
      </w:r>
      <w:r w:rsidR="000243AF" w:rsidRPr="00CA4C0B">
        <w:rPr>
          <w:rStyle w:val="None"/>
          <w:rFonts w:ascii="Book Antiqua" w:hAnsi="Book Antiqua"/>
          <w:color w:val="auto"/>
          <w:sz w:val="24"/>
          <w:szCs w:val="24"/>
        </w:rPr>
        <w:t xml:space="preserve"> &lt; 0.05</w:t>
      </w:r>
      <w:r w:rsidR="00272E12" w:rsidRPr="00CA4C0B">
        <w:rPr>
          <w:rStyle w:val="None"/>
          <w:rFonts w:ascii="Book Antiqua" w:hAnsi="Book Antiqua"/>
          <w:color w:val="auto"/>
          <w:sz w:val="24"/>
          <w:szCs w:val="24"/>
        </w:rPr>
        <w:t>; Perimeter, III zone SG</w:t>
      </w:r>
      <w:r w:rsidR="00272E12" w:rsidRPr="00CA4C0B">
        <w:rPr>
          <w:rStyle w:val="None"/>
          <w:rFonts w:ascii="Book Antiqua" w:hAnsi="Book Antiqua"/>
          <w:color w:val="auto"/>
          <w:sz w:val="24"/>
          <w:szCs w:val="24"/>
          <w:vertAlign w:val="subscript"/>
        </w:rPr>
        <w:t>1</w:t>
      </w:r>
      <w:r w:rsidR="00272E12" w:rsidRPr="00CA4C0B">
        <w:rPr>
          <w:rStyle w:val="None"/>
          <w:rFonts w:ascii="Book Antiqua" w:hAnsi="Book Antiqua"/>
          <w:color w:val="auto"/>
          <w:sz w:val="24"/>
          <w:szCs w:val="24"/>
        </w:rPr>
        <w:t xml:space="preserve"> </w:t>
      </w:r>
      <w:r w:rsidR="00272E12" w:rsidRPr="00CA4C0B">
        <w:rPr>
          <w:rStyle w:val="None"/>
          <w:rFonts w:ascii="Book Antiqua" w:hAnsi="Book Antiqua"/>
          <w:i/>
          <w:color w:val="auto"/>
          <w:sz w:val="24"/>
          <w:szCs w:val="24"/>
        </w:rPr>
        <w:t>vs</w:t>
      </w:r>
      <w:r w:rsidR="00272E12" w:rsidRPr="00CA4C0B">
        <w:rPr>
          <w:rStyle w:val="None"/>
          <w:rFonts w:ascii="Book Antiqua" w:hAnsi="Book Antiqua"/>
          <w:color w:val="auto"/>
          <w:sz w:val="24"/>
          <w:szCs w:val="24"/>
        </w:rPr>
        <w:t xml:space="preserve"> SG</w:t>
      </w:r>
      <w:r w:rsidR="00272E12" w:rsidRPr="00CA4C0B">
        <w:rPr>
          <w:rStyle w:val="None"/>
          <w:rFonts w:ascii="Book Antiqua" w:hAnsi="Book Antiqua"/>
          <w:color w:val="auto"/>
          <w:sz w:val="24"/>
          <w:szCs w:val="24"/>
          <w:vertAlign w:val="subscript"/>
        </w:rPr>
        <w:t>2</w:t>
      </w:r>
      <w:r w:rsidR="00272E12" w:rsidRPr="00CA4C0B">
        <w:rPr>
          <w:rStyle w:val="None"/>
          <w:rFonts w:ascii="Book Antiqua" w:hAnsi="Book Antiqua"/>
          <w:color w:val="auto"/>
          <w:sz w:val="24"/>
          <w:szCs w:val="24"/>
        </w:rPr>
        <w:t xml:space="preserve">, </w:t>
      </w:r>
      <w:r w:rsidR="00272E12" w:rsidRPr="00CA4C0B">
        <w:rPr>
          <w:rStyle w:val="None"/>
          <w:rFonts w:ascii="Book Antiqua" w:hAnsi="Book Antiqua"/>
          <w:i/>
          <w:color w:val="auto"/>
          <w:sz w:val="24"/>
          <w:szCs w:val="24"/>
        </w:rPr>
        <w:t>P</w:t>
      </w:r>
      <w:r w:rsidR="00272E12" w:rsidRPr="00CA4C0B">
        <w:rPr>
          <w:rStyle w:val="None"/>
          <w:rFonts w:ascii="Book Antiqua" w:hAnsi="Book Antiqua"/>
          <w:color w:val="auto"/>
          <w:sz w:val="24"/>
          <w:szCs w:val="24"/>
        </w:rPr>
        <w:t xml:space="preserve"> &gt; 0.05</w:t>
      </w:r>
      <w:r w:rsidR="000243AF" w:rsidRPr="00CA4C0B">
        <w:rPr>
          <w:rStyle w:val="None"/>
          <w:rFonts w:ascii="Book Antiqua" w:hAnsi="Book Antiqua"/>
          <w:color w:val="auto"/>
          <w:sz w:val="24"/>
          <w:szCs w:val="24"/>
        </w:rPr>
        <w:t>.</w:t>
      </w:r>
      <w:r w:rsidR="00F7733D" w:rsidRPr="00CA4C0B">
        <w:rPr>
          <w:rStyle w:val="None"/>
          <w:rFonts w:ascii="Book Antiqua" w:hAnsi="Book Antiqua"/>
          <w:color w:val="auto"/>
          <w:sz w:val="24"/>
          <w:szCs w:val="24"/>
        </w:rPr>
        <w:t xml:space="preserve"> </w:t>
      </w:r>
      <w:r w:rsidR="000243AF" w:rsidRPr="00CA4C0B">
        <w:rPr>
          <w:rStyle w:val="None"/>
          <w:rFonts w:ascii="Book Antiqua" w:hAnsi="Book Antiqua"/>
          <w:color w:val="auto"/>
          <w:sz w:val="24"/>
          <w:szCs w:val="24"/>
        </w:rPr>
        <w:t>Area, I zone SG</w:t>
      </w:r>
      <w:r w:rsidR="000243AF" w:rsidRPr="00CA4C0B">
        <w:rPr>
          <w:rStyle w:val="None"/>
          <w:rFonts w:ascii="Book Antiqua" w:hAnsi="Book Antiqua"/>
          <w:color w:val="auto"/>
          <w:sz w:val="24"/>
          <w:szCs w:val="24"/>
          <w:vertAlign w:val="subscript"/>
        </w:rPr>
        <w:t>1</w:t>
      </w:r>
      <w:r w:rsidR="000243AF" w:rsidRPr="00CA4C0B">
        <w:rPr>
          <w:rStyle w:val="None"/>
          <w:rFonts w:ascii="Book Antiqua" w:hAnsi="Book Antiqua"/>
          <w:i/>
          <w:color w:val="auto"/>
          <w:sz w:val="24"/>
          <w:szCs w:val="24"/>
        </w:rPr>
        <w:t xml:space="preserve"> vs</w:t>
      </w:r>
      <w:r w:rsidR="000243AF" w:rsidRPr="00CA4C0B">
        <w:rPr>
          <w:rStyle w:val="None"/>
          <w:rFonts w:ascii="Book Antiqua" w:hAnsi="Book Antiqua"/>
          <w:color w:val="auto"/>
          <w:sz w:val="24"/>
          <w:szCs w:val="24"/>
        </w:rPr>
        <w:t xml:space="preserve"> SG</w:t>
      </w:r>
      <w:r w:rsidR="000243AF" w:rsidRPr="00CA4C0B">
        <w:rPr>
          <w:rStyle w:val="None"/>
          <w:rFonts w:ascii="Book Antiqua" w:hAnsi="Book Antiqua"/>
          <w:color w:val="auto"/>
          <w:sz w:val="24"/>
          <w:szCs w:val="24"/>
          <w:vertAlign w:val="subscript"/>
        </w:rPr>
        <w:t>2</w:t>
      </w:r>
      <w:r w:rsidR="000243AF" w:rsidRPr="00CA4C0B">
        <w:rPr>
          <w:rStyle w:val="None"/>
          <w:rFonts w:ascii="Book Antiqua" w:hAnsi="Book Antiqua"/>
          <w:color w:val="auto"/>
          <w:sz w:val="24"/>
          <w:szCs w:val="24"/>
        </w:rPr>
        <w:t xml:space="preserve">, </w:t>
      </w:r>
      <w:r w:rsidR="000243AF" w:rsidRPr="00CA4C0B">
        <w:rPr>
          <w:rStyle w:val="None"/>
          <w:rFonts w:ascii="Book Antiqua" w:hAnsi="Book Antiqua"/>
          <w:i/>
          <w:color w:val="auto"/>
          <w:sz w:val="24"/>
          <w:szCs w:val="24"/>
        </w:rPr>
        <w:t>P</w:t>
      </w:r>
      <w:r w:rsidR="000243AF" w:rsidRPr="00CA4C0B">
        <w:rPr>
          <w:rStyle w:val="None"/>
          <w:rFonts w:ascii="Book Antiqua" w:hAnsi="Book Antiqua"/>
          <w:color w:val="auto"/>
          <w:sz w:val="24"/>
          <w:szCs w:val="24"/>
        </w:rPr>
        <w:t xml:space="preserve"> &gt; 0.05; Perimeter, I zone SG</w:t>
      </w:r>
      <w:r w:rsidR="000243AF" w:rsidRPr="00CA4C0B">
        <w:rPr>
          <w:rStyle w:val="None"/>
          <w:rFonts w:ascii="Book Antiqua" w:hAnsi="Book Antiqua"/>
          <w:color w:val="auto"/>
          <w:sz w:val="24"/>
          <w:szCs w:val="24"/>
          <w:vertAlign w:val="subscript"/>
        </w:rPr>
        <w:t>1</w:t>
      </w:r>
      <w:r w:rsidR="000243AF" w:rsidRPr="00CA4C0B">
        <w:rPr>
          <w:rStyle w:val="None"/>
          <w:rFonts w:ascii="Book Antiqua" w:hAnsi="Book Antiqua"/>
          <w:color w:val="auto"/>
          <w:sz w:val="24"/>
          <w:szCs w:val="24"/>
        </w:rPr>
        <w:t xml:space="preserve"> </w:t>
      </w:r>
      <w:r w:rsidR="000243AF" w:rsidRPr="00CA4C0B">
        <w:rPr>
          <w:rStyle w:val="None"/>
          <w:rFonts w:ascii="Book Antiqua" w:hAnsi="Book Antiqua"/>
          <w:i/>
          <w:color w:val="auto"/>
          <w:sz w:val="24"/>
          <w:szCs w:val="24"/>
        </w:rPr>
        <w:t>vs</w:t>
      </w:r>
      <w:r w:rsidR="000243AF" w:rsidRPr="00CA4C0B">
        <w:rPr>
          <w:rStyle w:val="None"/>
          <w:rFonts w:ascii="Book Antiqua" w:hAnsi="Book Antiqua"/>
          <w:color w:val="auto"/>
          <w:sz w:val="24"/>
          <w:szCs w:val="24"/>
        </w:rPr>
        <w:t xml:space="preserve"> SG</w:t>
      </w:r>
      <w:r w:rsidR="000243AF" w:rsidRPr="00CA4C0B">
        <w:rPr>
          <w:rStyle w:val="None"/>
          <w:rFonts w:ascii="Book Antiqua" w:hAnsi="Book Antiqua"/>
          <w:color w:val="auto"/>
          <w:sz w:val="24"/>
          <w:szCs w:val="24"/>
          <w:vertAlign w:val="subscript"/>
        </w:rPr>
        <w:t>2</w:t>
      </w:r>
      <w:r w:rsidR="000243AF" w:rsidRPr="00CA4C0B">
        <w:rPr>
          <w:rStyle w:val="None"/>
          <w:rFonts w:ascii="Book Antiqua" w:hAnsi="Book Antiqua"/>
          <w:color w:val="auto"/>
          <w:sz w:val="24"/>
          <w:szCs w:val="24"/>
        </w:rPr>
        <w:t>;</w:t>
      </w:r>
      <w:r w:rsidR="00A822A0" w:rsidRPr="00CA4C0B">
        <w:rPr>
          <w:rStyle w:val="None"/>
          <w:rFonts w:ascii="Book Antiqua" w:hAnsi="Book Antiqua"/>
          <w:color w:val="auto"/>
          <w:sz w:val="24"/>
          <w:szCs w:val="24"/>
        </w:rPr>
        <w:t xml:space="preserve"> </w:t>
      </w:r>
      <w:r w:rsidR="000243AF" w:rsidRPr="00CA4C0B">
        <w:rPr>
          <w:rStyle w:val="None"/>
          <w:rFonts w:ascii="Book Antiqua" w:hAnsi="Book Antiqua"/>
          <w:i/>
          <w:color w:val="auto"/>
          <w:sz w:val="24"/>
          <w:szCs w:val="24"/>
        </w:rPr>
        <w:t>P</w:t>
      </w:r>
      <w:r w:rsidR="000243AF" w:rsidRPr="00CA4C0B">
        <w:rPr>
          <w:rStyle w:val="None"/>
          <w:rFonts w:ascii="Book Antiqua" w:hAnsi="Book Antiqua"/>
          <w:color w:val="auto"/>
          <w:sz w:val="24"/>
          <w:szCs w:val="24"/>
        </w:rPr>
        <w:t xml:space="preserve"> value &gt; 0.05</w:t>
      </w:r>
      <w:r w:rsidR="00272E12" w:rsidRPr="00CA4C0B">
        <w:rPr>
          <w:rStyle w:val="None"/>
          <w:rFonts w:ascii="Book Antiqua" w:hAnsi="Book Antiqua"/>
          <w:color w:val="auto"/>
          <w:sz w:val="24"/>
          <w:szCs w:val="24"/>
        </w:rPr>
        <w:t>.</w:t>
      </w:r>
      <w:r w:rsidR="000243AF" w:rsidRPr="00CA4C0B">
        <w:rPr>
          <w:rStyle w:val="None"/>
          <w:rFonts w:ascii="Book Antiqua" w:hAnsi="Book Antiqua"/>
          <w:color w:val="auto"/>
          <w:sz w:val="24"/>
          <w:szCs w:val="24"/>
        </w:rPr>
        <w:t xml:space="preserve"> Area, I zone SG</w:t>
      </w:r>
      <w:r w:rsidR="000243AF" w:rsidRPr="00CA4C0B">
        <w:rPr>
          <w:rStyle w:val="None"/>
          <w:rFonts w:ascii="Book Antiqua" w:hAnsi="Book Antiqua"/>
          <w:color w:val="auto"/>
          <w:sz w:val="24"/>
          <w:szCs w:val="24"/>
          <w:vertAlign w:val="subscript"/>
        </w:rPr>
        <w:t>2</w:t>
      </w:r>
      <w:r w:rsidR="000243AF" w:rsidRPr="00CA4C0B">
        <w:rPr>
          <w:rStyle w:val="None"/>
          <w:rFonts w:ascii="Book Antiqua" w:hAnsi="Book Antiqua"/>
          <w:color w:val="auto"/>
          <w:sz w:val="24"/>
          <w:szCs w:val="24"/>
        </w:rPr>
        <w:t xml:space="preserve"> </w:t>
      </w:r>
      <w:r w:rsidR="000243AF" w:rsidRPr="00CA4C0B">
        <w:rPr>
          <w:rStyle w:val="None"/>
          <w:rFonts w:ascii="Book Antiqua" w:hAnsi="Book Antiqua"/>
          <w:i/>
          <w:color w:val="auto"/>
          <w:sz w:val="24"/>
          <w:szCs w:val="24"/>
        </w:rPr>
        <w:t>vs</w:t>
      </w:r>
      <w:r w:rsidR="00272E12" w:rsidRPr="00CA4C0B">
        <w:rPr>
          <w:rStyle w:val="None"/>
          <w:rFonts w:ascii="Book Antiqua" w:hAnsi="Book Antiqua"/>
          <w:color w:val="auto"/>
          <w:sz w:val="24"/>
          <w:szCs w:val="24"/>
        </w:rPr>
        <w:t xml:space="preserve"> </w:t>
      </w:r>
      <w:r w:rsidR="000243AF" w:rsidRPr="00CA4C0B">
        <w:rPr>
          <w:rStyle w:val="None"/>
          <w:rFonts w:ascii="Book Antiqua" w:hAnsi="Book Antiqua"/>
          <w:color w:val="auto"/>
          <w:sz w:val="24"/>
          <w:szCs w:val="24"/>
        </w:rPr>
        <w:t>III zone SG</w:t>
      </w:r>
      <w:r w:rsidR="000243AF" w:rsidRPr="00CA4C0B">
        <w:rPr>
          <w:rStyle w:val="None"/>
          <w:rFonts w:ascii="Book Antiqua" w:hAnsi="Book Antiqua"/>
          <w:color w:val="auto"/>
          <w:sz w:val="24"/>
          <w:szCs w:val="24"/>
          <w:vertAlign w:val="subscript"/>
        </w:rPr>
        <w:t>2</w:t>
      </w:r>
      <w:r w:rsidR="000243AF" w:rsidRPr="00CA4C0B">
        <w:rPr>
          <w:rStyle w:val="None"/>
          <w:rFonts w:ascii="Book Antiqua" w:hAnsi="Book Antiqua"/>
          <w:color w:val="auto"/>
          <w:sz w:val="24"/>
          <w:szCs w:val="24"/>
        </w:rPr>
        <w:t>,</w:t>
      </w:r>
      <w:r w:rsidR="00272E12" w:rsidRPr="00CA4C0B">
        <w:rPr>
          <w:rStyle w:val="None"/>
          <w:rFonts w:ascii="Book Antiqua" w:hAnsi="Book Antiqua"/>
          <w:color w:val="auto"/>
          <w:sz w:val="24"/>
          <w:szCs w:val="24"/>
        </w:rPr>
        <w:t xml:space="preserve"> </w:t>
      </w:r>
      <w:r w:rsidR="000243AF" w:rsidRPr="00CA4C0B">
        <w:rPr>
          <w:rStyle w:val="None"/>
          <w:rFonts w:ascii="Book Antiqua" w:hAnsi="Book Antiqua"/>
          <w:i/>
          <w:color w:val="auto"/>
          <w:sz w:val="24"/>
          <w:szCs w:val="24"/>
        </w:rPr>
        <w:t>P</w:t>
      </w:r>
      <w:r w:rsidR="000243AF" w:rsidRPr="00CA4C0B">
        <w:rPr>
          <w:rStyle w:val="None"/>
          <w:rFonts w:ascii="Book Antiqua" w:hAnsi="Book Antiqua"/>
          <w:color w:val="auto"/>
          <w:sz w:val="24"/>
          <w:szCs w:val="24"/>
        </w:rPr>
        <w:t xml:space="preserve"> &gt; 0.05; Perimeter, I zone SG</w:t>
      </w:r>
      <w:r w:rsidR="000243AF" w:rsidRPr="00CA4C0B">
        <w:rPr>
          <w:rStyle w:val="None"/>
          <w:rFonts w:ascii="Book Antiqua" w:hAnsi="Book Antiqua"/>
          <w:color w:val="auto"/>
          <w:sz w:val="24"/>
          <w:szCs w:val="24"/>
          <w:vertAlign w:val="subscript"/>
        </w:rPr>
        <w:t>2</w:t>
      </w:r>
      <w:r w:rsidR="000243AF" w:rsidRPr="00CA4C0B">
        <w:rPr>
          <w:rStyle w:val="None"/>
          <w:rFonts w:ascii="Book Antiqua" w:hAnsi="Book Antiqua"/>
          <w:color w:val="auto"/>
          <w:sz w:val="24"/>
          <w:szCs w:val="24"/>
        </w:rPr>
        <w:t xml:space="preserve"> </w:t>
      </w:r>
      <w:r w:rsidR="000243AF" w:rsidRPr="00CA4C0B">
        <w:rPr>
          <w:rStyle w:val="None"/>
          <w:rFonts w:ascii="Book Antiqua" w:hAnsi="Book Antiqua"/>
          <w:i/>
          <w:color w:val="auto"/>
          <w:sz w:val="24"/>
          <w:szCs w:val="24"/>
        </w:rPr>
        <w:t>vs</w:t>
      </w:r>
      <w:r w:rsidR="000243AF" w:rsidRPr="00CA4C0B">
        <w:rPr>
          <w:rStyle w:val="None"/>
          <w:rFonts w:ascii="Book Antiqua" w:hAnsi="Book Antiqua"/>
          <w:color w:val="auto"/>
          <w:sz w:val="24"/>
          <w:szCs w:val="24"/>
        </w:rPr>
        <w:t xml:space="preserve"> III zone SG</w:t>
      </w:r>
      <w:r w:rsidR="000243AF" w:rsidRPr="00CA4C0B">
        <w:rPr>
          <w:rStyle w:val="None"/>
          <w:rFonts w:ascii="Book Antiqua" w:hAnsi="Book Antiqua"/>
          <w:color w:val="auto"/>
          <w:sz w:val="24"/>
          <w:szCs w:val="24"/>
          <w:vertAlign w:val="subscript"/>
        </w:rPr>
        <w:t>2</w:t>
      </w:r>
      <w:r w:rsidR="000243AF" w:rsidRPr="00CA4C0B">
        <w:rPr>
          <w:rStyle w:val="None"/>
          <w:rFonts w:ascii="Book Antiqua" w:hAnsi="Book Antiqua"/>
          <w:color w:val="auto"/>
          <w:sz w:val="24"/>
          <w:szCs w:val="24"/>
        </w:rPr>
        <w:t xml:space="preserve">, </w:t>
      </w:r>
      <w:r w:rsidR="000243AF" w:rsidRPr="00CA4C0B">
        <w:rPr>
          <w:rStyle w:val="None"/>
          <w:rFonts w:ascii="Book Antiqua" w:hAnsi="Book Antiqua"/>
          <w:i/>
          <w:color w:val="auto"/>
          <w:sz w:val="24"/>
          <w:szCs w:val="24"/>
        </w:rPr>
        <w:t>P</w:t>
      </w:r>
      <w:r w:rsidR="00F803F0" w:rsidRPr="00CA4C0B">
        <w:rPr>
          <w:rStyle w:val="None"/>
          <w:rFonts w:ascii="Book Antiqua" w:hAnsi="Book Antiqua"/>
          <w:color w:val="auto"/>
          <w:sz w:val="24"/>
          <w:szCs w:val="24"/>
        </w:rPr>
        <w:t xml:space="preserve"> </w:t>
      </w:r>
      <w:r w:rsidR="000243AF" w:rsidRPr="00CA4C0B">
        <w:rPr>
          <w:rStyle w:val="None"/>
          <w:rFonts w:ascii="Book Antiqua" w:hAnsi="Book Antiqua"/>
          <w:color w:val="auto"/>
          <w:sz w:val="24"/>
          <w:szCs w:val="24"/>
        </w:rPr>
        <w:t>&gt; 0.05.</w:t>
      </w:r>
      <w:r w:rsidR="00DE3721" w:rsidRPr="00CA4C0B">
        <w:rPr>
          <w:rStyle w:val="None"/>
          <w:rFonts w:ascii="Book Antiqua" w:hAnsi="Book Antiqua"/>
          <w:color w:val="auto"/>
          <w:sz w:val="24"/>
          <w:szCs w:val="24"/>
        </w:rPr>
        <w:t xml:space="preserve"> </w:t>
      </w:r>
    </w:p>
    <w:sectPr w:rsidR="00F3136B" w:rsidRPr="00CA4C0B" w:rsidSect="00F57720">
      <w:footerReference w:type="default" r:id="rId15"/>
      <w:pgSz w:w="12240" w:h="15840"/>
      <w:pgMar w:top="1440" w:right="1800" w:bottom="1440" w:left="1800" w:header="708" w:footer="708"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7F5BB24" w14:textId="77777777" w:rsidR="009566D7" w:rsidRDefault="009566D7">
      <w:r>
        <w:separator/>
      </w:r>
    </w:p>
  </w:endnote>
  <w:endnote w:type="continuationSeparator" w:id="0">
    <w:p w14:paraId="4BF11DD5" w14:textId="77777777" w:rsidR="009566D7" w:rsidRDefault="009566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Helvetica Neue">
    <w:altName w:val="Times New Roman"/>
    <w:charset w:val="00"/>
    <w:family w:val="auto"/>
    <w:pitch w:val="variable"/>
    <w:sig w:usb0="00000003" w:usb1="500079DB" w:usb2="00000010" w:usb3="00000000" w:csb0="00000001" w:csb1="00000000"/>
  </w:font>
  <w:font w:name="Arial Unicode MS">
    <w:panose1 w:val="020B0604020202020204"/>
    <w:charset w:val="86"/>
    <w:family w:val="swiss"/>
    <w:pitch w:val="variable"/>
    <w:sig w:usb0="F7FFAFFF" w:usb1="E9DFFFFF" w:usb2="0000003F" w:usb3="00000000" w:csb0="003F01FF"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等线">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7226280"/>
      <w:docPartObj>
        <w:docPartGallery w:val="Page Numbers (Bottom of Page)"/>
        <w:docPartUnique/>
      </w:docPartObj>
    </w:sdtPr>
    <w:sdtEndPr/>
    <w:sdtContent>
      <w:sdt>
        <w:sdtPr>
          <w:id w:val="-1705238520"/>
          <w:docPartObj>
            <w:docPartGallery w:val="Page Numbers (Top of Page)"/>
            <w:docPartUnique/>
          </w:docPartObj>
        </w:sdtPr>
        <w:sdtEndPr/>
        <w:sdtContent>
          <w:p w14:paraId="604C3530" w14:textId="4CC0D00E" w:rsidR="00050C9C" w:rsidRDefault="00050C9C" w:rsidP="00977A68">
            <w:pPr>
              <w:pStyle w:val="ac"/>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D61634">
              <w:rPr>
                <w:b/>
                <w:bCs/>
                <w:noProof/>
              </w:rPr>
              <w:t>36</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D61634">
              <w:rPr>
                <w:b/>
                <w:bCs/>
                <w:noProof/>
              </w:rPr>
              <w:t>45</w:t>
            </w:r>
            <w:r>
              <w:rPr>
                <w:b/>
                <w:bCs/>
                <w:sz w:val="24"/>
                <w:szCs w:val="24"/>
              </w:rPr>
              <w:fldChar w:fldCharType="end"/>
            </w:r>
          </w:p>
        </w:sdtContent>
      </w:sdt>
    </w:sdtContent>
  </w:sdt>
  <w:p w14:paraId="02E743CD" w14:textId="77777777" w:rsidR="00050C9C" w:rsidRDefault="00050C9C">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0EFC68" w14:textId="77777777" w:rsidR="009566D7" w:rsidRDefault="009566D7">
      <w:r>
        <w:separator/>
      </w:r>
    </w:p>
  </w:footnote>
  <w:footnote w:type="continuationSeparator" w:id="0">
    <w:p w14:paraId="58D7F897" w14:textId="77777777" w:rsidR="009566D7" w:rsidRDefault="009566D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bordersDoNotSurroundHeader/>
  <w:bordersDoNotSurroundFooter/>
  <w:proofState w:spelling="clean" w:grammar="clean"/>
  <w:defaultTabStop w:val="720"/>
  <w:autoHyphenation/>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Nja1MDA2NTe0MLQ0t7BQ0lEKTi0uzszPAykwNK0FAFSfDaktAAAA"/>
  </w:docVars>
  <w:rsids>
    <w:rsidRoot w:val="004313EE"/>
    <w:rsid w:val="00000100"/>
    <w:rsid w:val="000243AF"/>
    <w:rsid w:val="0003504D"/>
    <w:rsid w:val="00035567"/>
    <w:rsid w:val="0004039D"/>
    <w:rsid w:val="0004115B"/>
    <w:rsid w:val="0004602B"/>
    <w:rsid w:val="00050C9C"/>
    <w:rsid w:val="000538A8"/>
    <w:rsid w:val="00055F50"/>
    <w:rsid w:val="00060199"/>
    <w:rsid w:val="00065FDA"/>
    <w:rsid w:val="00071B8A"/>
    <w:rsid w:val="000900C3"/>
    <w:rsid w:val="00090C59"/>
    <w:rsid w:val="000A1065"/>
    <w:rsid w:val="000B226E"/>
    <w:rsid w:val="000B3F3E"/>
    <w:rsid w:val="000C08ED"/>
    <w:rsid w:val="000C2629"/>
    <w:rsid w:val="000C4F59"/>
    <w:rsid w:val="000C6CD8"/>
    <w:rsid w:val="000D21BA"/>
    <w:rsid w:val="000E06BC"/>
    <w:rsid w:val="000E3AF6"/>
    <w:rsid w:val="000E6670"/>
    <w:rsid w:val="000F3586"/>
    <w:rsid w:val="0010114E"/>
    <w:rsid w:val="00106400"/>
    <w:rsid w:val="00107D15"/>
    <w:rsid w:val="001122A0"/>
    <w:rsid w:val="00114946"/>
    <w:rsid w:val="00121290"/>
    <w:rsid w:val="0013682F"/>
    <w:rsid w:val="00145D80"/>
    <w:rsid w:val="00146545"/>
    <w:rsid w:val="00155B64"/>
    <w:rsid w:val="00156C39"/>
    <w:rsid w:val="001620CE"/>
    <w:rsid w:val="001660FD"/>
    <w:rsid w:val="00172DFA"/>
    <w:rsid w:val="0018062E"/>
    <w:rsid w:val="00182A9E"/>
    <w:rsid w:val="001870DB"/>
    <w:rsid w:val="00195CED"/>
    <w:rsid w:val="0019779B"/>
    <w:rsid w:val="001A0660"/>
    <w:rsid w:val="001B15F0"/>
    <w:rsid w:val="001B2D16"/>
    <w:rsid w:val="001B3C67"/>
    <w:rsid w:val="001B7C7A"/>
    <w:rsid w:val="001D29C6"/>
    <w:rsid w:val="001D2E4E"/>
    <w:rsid w:val="001D34B2"/>
    <w:rsid w:val="001D5662"/>
    <w:rsid w:val="001D688C"/>
    <w:rsid w:val="001F6D1B"/>
    <w:rsid w:val="0020208E"/>
    <w:rsid w:val="002028FD"/>
    <w:rsid w:val="00204321"/>
    <w:rsid w:val="002124A7"/>
    <w:rsid w:val="00214B7E"/>
    <w:rsid w:val="00216F6C"/>
    <w:rsid w:val="002345B7"/>
    <w:rsid w:val="00250968"/>
    <w:rsid w:val="00254025"/>
    <w:rsid w:val="002634CD"/>
    <w:rsid w:val="00264903"/>
    <w:rsid w:val="002711E4"/>
    <w:rsid w:val="00271463"/>
    <w:rsid w:val="00271F12"/>
    <w:rsid w:val="00272E12"/>
    <w:rsid w:val="002815C1"/>
    <w:rsid w:val="00286BB0"/>
    <w:rsid w:val="00290BA7"/>
    <w:rsid w:val="00295582"/>
    <w:rsid w:val="002955C8"/>
    <w:rsid w:val="00297C99"/>
    <w:rsid w:val="002B4739"/>
    <w:rsid w:val="002C01D0"/>
    <w:rsid w:val="002C2A47"/>
    <w:rsid w:val="002D35B5"/>
    <w:rsid w:val="002E1721"/>
    <w:rsid w:val="002F5BDD"/>
    <w:rsid w:val="00306D34"/>
    <w:rsid w:val="0032207E"/>
    <w:rsid w:val="0032263A"/>
    <w:rsid w:val="0032479F"/>
    <w:rsid w:val="00330513"/>
    <w:rsid w:val="00331225"/>
    <w:rsid w:val="00335060"/>
    <w:rsid w:val="00342BFB"/>
    <w:rsid w:val="00343937"/>
    <w:rsid w:val="003536FC"/>
    <w:rsid w:val="00374CF7"/>
    <w:rsid w:val="00381983"/>
    <w:rsid w:val="00382D6A"/>
    <w:rsid w:val="00382F90"/>
    <w:rsid w:val="00391BA2"/>
    <w:rsid w:val="0039625E"/>
    <w:rsid w:val="00397BAC"/>
    <w:rsid w:val="003A1FA5"/>
    <w:rsid w:val="003A30FE"/>
    <w:rsid w:val="003A4C5D"/>
    <w:rsid w:val="003B06B9"/>
    <w:rsid w:val="003B12A7"/>
    <w:rsid w:val="003B6D54"/>
    <w:rsid w:val="003C345B"/>
    <w:rsid w:val="003C5092"/>
    <w:rsid w:val="003C59FA"/>
    <w:rsid w:val="003D1562"/>
    <w:rsid w:val="003D3BC4"/>
    <w:rsid w:val="003D4AE0"/>
    <w:rsid w:val="003E41E2"/>
    <w:rsid w:val="003E7367"/>
    <w:rsid w:val="003F4CCF"/>
    <w:rsid w:val="003F4E3A"/>
    <w:rsid w:val="00401A44"/>
    <w:rsid w:val="0040338D"/>
    <w:rsid w:val="00405F27"/>
    <w:rsid w:val="00405F69"/>
    <w:rsid w:val="00416B0F"/>
    <w:rsid w:val="00421848"/>
    <w:rsid w:val="00427CB3"/>
    <w:rsid w:val="004313EE"/>
    <w:rsid w:val="00432345"/>
    <w:rsid w:val="00436BD8"/>
    <w:rsid w:val="0043728F"/>
    <w:rsid w:val="00445281"/>
    <w:rsid w:val="00445673"/>
    <w:rsid w:val="00452A04"/>
    <w:rsid w:val="004537C6"/>
    <w:rsid w:val="004561EF"/>
    <w:rsid w:val="00463099"/>
    <w:rsid w:val="00467BA2"/>
    <w:rsid w:val="00467CAA"/>
    <w:rsid w:val="0047565B"/>
    <w:rsid w:val="00491CB6"/>
    <w:rsid w:val="00493DB1"/>
    <w:rsid w:val="00495367"/>
    <w:rsid w:val="00497091"/>
    <w:rsid w:val="004A4920"/>
    <w:rsid w:val="004A54A7"/>
    <w:rsid w:val="004A5E51"/>
    <w:rsid w:val="004B4951"/>
    <w:rsid w:val="004B5272"/>
    <w:rsid w:val="004C0182"/>
    <w:rsid w:val="004E77A1"/>
    <w:rsid w:val="00503B78"/>
    <w:rsid w:val="005120E9"/>
    <w:rsid w:val="00516C46"/>
    <w:rsid w:val="005221F3"/>
    <w:rsid w:val="00527088"/>
    <w:rsid w:val="005301D1"/>
    <w:rsid w:val="00533A82"/>
    <w:rsid w:val="00533D06"/>
    <w:rsid w:val="00540774"/>
    <w:rsid w:val="0054300E"/>
    <w:rsid w:val="00545631"/>
    <w:rsid w:val="0054590F"/>
    <w:rsid w:val="0054732E"/>
    <w:rsid w:val="0056675D"/>
    <w:rsid w:val="00581D36"/>
    <w:rsid w:val="00591060"/>
    <w:rsid w:val="00592443"/>
    <w:rsid w:val="005959CA"/>
    <w:rsid w:val="00597124"/>
    <w:rsid w:val="005978B6"/>
    <w:rsid w:val="005A10BE"/>
    <w:rsid w:val="005A20B3"/>
    <w:rsid w:val="005A2223"/>
    <w:rsid w:val="005B018D"/>
    <w:rsid w:val="005B59EE"/>
    <w:rsid w:val="005B7175"/>
    <w:rsid w:val="005B719C"/>
    <w:rsid w:val="005C73C8"/>
    <w:rsid w:val="005D00CD"/>
    <w:rsid w:val="005D0266"/>
    <w:rsid w:val="005D6990"/>
    <w:rsid w:val="005E1B1A"/>
    <w:rsid w:val="005E3FDC"/>
    <w:rsid w:val="005F08BC"/>
    <w:rsid w:val="005F18A6"/>
    <w:rsid w:val="00600A34"/>
    <w:rsid w:val="00601447"/>
    <w:rsid w:val="00611B67"/>
    <w:rsid w:val="00613CFF"/>
    <w:rsid w:val="00620844"/>
    <w:rsid w:val="0063365C"/>
    <w:rsid w:val="0063709C"/>
    <w:rsid w:val="0064328A"/>
    <w:rsid w:val="00651BE2"/>
    <w:rsid w:val="0068533D"/>
    <w:rsid w:val="006857AC"/>
    <w:rsid w:val="006A0BCF"/>
    <w:rsid w:val="006A41F4"/>
    <w:rsid w:val="006B61D0"/>
    <w:rsid w:val="006C15FB"/>
    <w:rsid w:val="006D19F0"/>
    <w:rsid w:val="006D502D"/>
    <w:rsid w:val="006E61E2"/>
    <w:rsid w:val="006E79EF"/>
    <w:rsid w:val="0070302D"/>
    <w:rsid w:val="007048A7"/>
    <w:rsid w:val="00710254"/>
    <w:rsid w:val="00716B6D"/>
    <w:rsid w:val="00722E32"/>
    <w:rsid w:val="0072656A"/>
    <w:rsid w:val="00730EFD"/>
    <w:rsid w:val="00730F78"/>
    <w:rsid w:val="00733048"/>
    <w:rsid w:val="00733103"/>
    <w:rsid w:val="0073617D"/>
    <w:rsid w:val="00742698"/>
    <w:rsid w:val="007436BD"/>
    <w:rsid w:val="0074630C"/>
    <w:rsid w:val="007534F0"/>
    <w:rsid w:val="00754F22"/>
    <w:rsid w:val="00774F19"/>
    <w:rsid w:val="00774F63"/>
    <w:rsid w:val="00782688"/>
    <w:rsid w:val="00784AD0"/>
    <w:rsid w:val="00785980"/>
    <w:rsid w:val="00787065"/>
    <w:rsid w:val="007932FA"/>
    <w:rsid w:val="007937A2"/>
    <w:rsid w:val="00793F69"/>
    <w:rsid w:val="007950B5"/>
    <w:rsid w:val="007A58F2"/>
    <w:rsid w:val="007A7468"/>
    <w:rsid w:val="007D03D5"/>
    <w:rsid w:val="007D3282"/>
    <w:rsid w:val="007D3882"/>
    <w:rsid w:val="007D7378"/>
    <w:rsid w:val="007E3829"/>
    <w:rsid w:val="007E4264"/>
    <w:rsid w:val="007E7483"/>
    <w:rsid w:val="007F2CA0"/>
    <w:rsid w:val="0080576F"/>
    <w:rsid w:val="00810F1B"/>
    <w:rsid w:val="00827641"/>
    <w:rsid w:val="0083635B"/>
    <w:rsid w:val="00846E82"/>
    <w:rsid w:val="00851989"/>
    <w:rsid w:val="008654C2"/>
    <w:rsid w:val="00877371"/>
    <w:rsid w:val="00877E80"/>
    <w:rsid w:val="00882A53"/>
    <w:rsid w:val="00886DF1"/>
    <w:rsid w:val="008949EF"/>
    <w:rsid w:val="008A53CF"/>
    <w:rsid w:val="008B30F8"/>
    <w:rsid w:val="008B5866"/>
    <w:rsid w:val="008B687D"/>
    <w:rsid w:val="008B7E9D"/>
    <w:rsid w:val="008C22CF"/>
    <w:rsid w:val="008D0128"/>
    <w:rsid w:val="008D0806"/>
    <w:rsid w:val="008D12CD"/>
    <w:rsid w:val="008D4C3D"/>
    <w:rsid w:val="008D7A5B"/>
    <w:rsid w:val="008E6A17"/>
    <w:rsid w:val="009149B9"/>
    <w:rsid w:val="00916A1F"/>
    <w:rsid w:val="009216A4"/>
    <w:rsid w:val="00924E05"/>
    <w:rsid w:val="0092562F"/>
    <w:rsid w:val="00941905"/>
    <w:rsid w:val="00946425"/>
    <w:rsid w:val="00950DB0"/>
    <w:rsid w:val="009566D7"/>
    <w:rsid w:val="00956C50"/>
    <w:rsid w:val="00967489"/>
    <w:rsid w:val="0096762D"/>
    <w:rsid w:val="009722F8"/>
    <w:rsid w:val="00973CA3"/>
    <w:rsid w:val="00977A68"/>
    <w:rsid w:val="00981D3D"/>
    <w:rsid w:val="009849BB"/>
    <w:rsid w:val="00986121"/>
    <w:rsid w:val="009874F9"/>
    <w:rsid w:val="0099246D"/>
    <w:rsid w:val="009A5E33"/>
    <w:rsid w:val="009A61C3"/>
    <w:rsid w:val="009B2D7F"/>
    <w:rsid w:val="009C5E53"/>
    <w:rsid w:val="009C68F8"/>
    <w:rsid w:val="009D1809"/>
    <w:rsid w:val="009D479B"/>
    <w:rsid w:val="009E734D"/>
    <w:rsid w:val="009E7D5E"/>
    <w:rsid w:val="00A008B5"/>
    <w:rsid w:val="00A01A0D"/>
    <w:rsid w:val="00A06347"/>
    <w:rsid w:val="00A06889"/>
    <w:rsid w:val="00A11896"/>
    <w:rsid w:val="00A11DA7"/>
    <w:rsid w:val="00A14597"/>
    <w:rsid w:val="00A14B09"/>
    <w:rsid w:val="00A17A71"/>
    <w:rsid w:val="00A26C4B"/>
    <w:rsid w:val="00A30BF8"/>
    <w:rsid w:val="00A30EDE"/>
    <w:rsid w:val="00A33FE7"/>
    <w:rsid w:val="00A3741E"/>
    <w:rsid w:val="00A378BB"/>
    <w:rsid w:val="00A42758"/>
    <w:rsid w:val="00A51BC1"/>
    <w:rsid w:val="00A661E8"/>
    <w:rsid w:val="00A72EE3"/>
    <w:rsid w:val="00A75D4A"/>
    <w:rsid w:val="00A822A0"/>
    <w:rsid w:val="00A82A79"/>
    <w:rsid w:val="00A8650D"/>
    <w:rsid w:val="00A911F9"/>
    <w:rsid w:val="00A92F71"/>
    <w:rsid w:val="00A968A4"/>
    <w:rsid w:val="00AA349C"/>
    <w:rsid w:val="00AA64DE"/>
    <w:rsid w:val="00AC6F7A"/>
    <w:rsid w:val="00AE0E00"/>
    <w:rsid w:val="00AF1CB0"/>
    <w:rsid w:val="00AF4AE6"/>
    <w:rsid w:val="00AF5178"/>
    <w:rsid w:val="00B061AF"/>
    <w:rsid w:val="00B06BB0"/>
    <w:rsid w:val="00B06D00"/>
    <w:rsid w:val="00B14AE5"/>
    <w:rsid w:val="00B16A2C"/>
    <w:rsid w:val="00B2592A"/>
    <w:rsid w:val="00B32CBC"/>
    <w:rsid w:val="00B424D7"/>
    <w:rsid w:val="00B46EDC"/>
    <w:rsid w:val="00B560EC"/>
    <w:rsid w:val="00B64065"/>
    <w:rsid w:val="00B72DA0"/>
    <w:rsid w:val="00B747F2"/>
    <w:rsid w:val="00B91888"/>
    <w:rsid w:val="00BA214B"/>
    <w:rsid w:val="00BA27BF"/>
    <w:rsid w:val="00BA38B5"/>
    <w:rsid w:val="00BA4FC3"/>
    <w:rsid w:val="00BC5C9F"/>
    <w:rsid w:val="00BD3BF6"/>
    <w:rsid w:val="00BD6F45"/>
    <w:rsid w:val="00BE042A"/>
    <w:rsid w:val="00BE136C"/>
    <w:rsid w:val="00BE4AAF"/>
    <w:rsid w:val="00BE57D9"/>
    <w:rsid w:val="00C01162"/>
    <w:rsid w:val="00C018CC"/>
    <w:rsid w:val="00C05CDF"/>
    <w:rsid w:val="00C07D87"/>
    <w:rsid w:val="00C24ED5"/>
    <w:rsid w:val="00C25DF4"/>
    <w:rsid w:val="00C26DB4"/>
    <w:rsid w:val="00C27F99"/>
    <w:rsid w:val="00C30D30"/>
    <w:rsid w:val="00C4195C"/>
    <w:rsid w:val="00C41E34"/>
    <w:rsid w:val="00C41EAB"/>
    <w:rsid w:val="00C570F1"/>
    <w:rsid w:val="00C6182F"/>
    <w:rsid w:val="00C66E29"/>
    <w:rsid w:val="00C75286"/>
    <w:rsid w:val="00C831DB"/>
    <w:rsid w:val="00C91603"/>
    <w:rsid w:val="00C96700"/>
    <w:rsid w:val="00CA3187"/>
    <w:rsid w:val="00CA4C0B"/>
    <w:rsid w:val="00CB231C"/>
    <w:rsid w:val="00CC720A"/>
    <w:rsid w:val="00CD3D33"/>
    <w:rsid w:val="00CE395E"/>
    <w:rsid w:val="00CE3D22"/>
    <w:rsid w:val="00CE4AE4"/>
    <w:rsid w:val="00CE4AF2"/>
    <w:rsid w:val="00CE6644"/>
    <w:rsid w:val="00CE6FA4"/>
    <w:rsid w:val="00CF62F2"/>
    <w:rsid w:val="00CF635D"/>
    <w:rsid w:val="00CF6C6F"/>
    <w:rsid w:val="00D00836"/>
    <w:rsid w:val="00D16022"/>
    <w:rsid w:val="00D27A49"/>
    <w:rsid w:val="00D32563"/>
    <w:rsid w:val="00D61634"/>
    <w:rsid w:val="00D6515D"/>
    <w:rsid w:val="00D75A37"/>
    <w:rsid w:val="00D80A78"/>
    <w:rsid w:val="00D9232A"/>
    <w:rsid w:val="00DA5392"/>
    <w:rsid w:val="00DB4100"/>
    <w:rsid w:val="00DB6353"/>
    <w:rsid w:val="00DB767C"/>
    <w:rsid w:val="00DC60F3"/>
    <w:rsid w:val="00DD4C6B"/>
    <w:rsid w:val="00DE0BE5"/>
    <w:rsid w:val="00DE3721"/>
    <w:rsid w:val="00DE3FAB"/>
    <w:rsid w:val="00DE4BFA"/>
    <w:rsid w:val="00E050C6"/>
    <w:rsid w:val="00E13D63"/>
    <w:rsid w:val="00E154DA"/>
    <w:rsid w:val="00E157FE"/>
    <w:rsid w:val="00E20490"/>
    <w:rsid w:val="00E20712"/>
    <w:rsid w:val="00E406AC"/>
    <w:rsid w:val="00E43335"/>
    <w:rsid w:val="00E7243B"/>
    <w:rsid w:val="00E80AE3"/>
    <w:rsid w:val="00E930AB"/>
    <w:rsid w:val="00EA4B7A"/>
    <w:rsid w:val="00EB5BED"/>
    <w:rsid w:val="00EC37AA"/>
    <w:rsid w:val="00EC4BC6"/>
    <w:rsid w:val="00EC62AB"/>
    <w:rsid w:val="00EC744A"/>
    <w:rsid w:val="00ED43EA"/>
    <w:rsid w:val="00EE0365"/>
    <w:rsid w:val="00EE10CE"/>
    <w:rsid w:val="00F11C7D"/>
    <w:rsid w:val="00F219D7"/>
    <w:rsid w:val="00F22581"/>
    <w:rsid w:val="00F225E7"/>
    <w:rsid w:val="00F24841"/>
    <w:rsid w:val="00F3136B"/>
    <w:rsid w:val="00F32C3C"/>
    <w:rsid w:val="00F3379D"/>
    <w:rsid w:val="00F54695"/>
    <w:rsid w:val="00F576EA"/>
    <w:rsid w:val="00F57720"/>
    <w:rsid w:val="00F6206B"/>
    <w:rsid w:val="00F70A08"/>
    <w:rsid w:val="00F765C4"/>
    <w:rsid w:val="00F7733D"/>
    <w:rsid w:val="00F803F0"/>
    <w:rsid w:val="00F90240"/>
    <w:rsid w:val="00F90D82"/>
    <w:rsid w:val="00F943F4"/>
    <w:rsid w:val="00FA2F87"/>
    <w:rsid w:val="00FB3B80"/>
    <w:rsid w:val="00FB450E"/>
    <w:rsid w:val="00FC429A"/>
    <w:rsid w:val="00FC7178"/>
    <w:rsid w:val="00FD142B"/>
    <w:rsid w:val="00FD5A5E"/>
    <w:rsid w:val="00FD6DD7"/>
    <w:rsid w:val="00FE073E"/>
    <w:rsid w:val="00FE4E1A"/>
    <w:rsid w:val="00FF1944"/>
    <w:rsid w:val="00FF202F"/>
    <w:rsid w:val="00FF211B"/>
    <w:rsid w:val="00FF2E1F"/>
    <w:rsid w:val="00FF3831"/>
    <w:rsid w:val="00FF3BC1"/>
    <w:rsid w:val="00FF7E9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6C97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u w:color="000000"/>
      <w14:textOutline w14:w="12700" w14:cap="flat" w14:cmpd="sng" w14:algn="ctr">
        <w14:noFill/>
        <w14:prstDash w14:val="solid"/>
        <w14:miter w14:lim="400000"/>
      </w14:textOutline>
    </w:rPr>
  </w:style>
  <w:style w:type="paragraph" w:styleId="a4">
    <w:name w:val="Body Text"/>
    <w:pPr>
      <w:widowControl w:val="0"/>
      <w:ind w:left="100"/>
    </w:pPr>
    <w:rPr>
      <w:rFonts w:ascii="Sylfaen" w:hAnsi="Sylfaen" w:cs="Arial Unicode MS"/>
      <w:color w:val="000000"/>
      <w:sz w:val="22"/>
      <w:szCs w:val="22"/>
      <w:u w:color="000000"/>
    </w:rPr>
  </w:style>
  <w:style w:type="paragraph" w:customStyle="1" w:styleId="BodyA">
    <w:name w:val="Body A"/>
    <w:pPr>
      <w:spacing w:after="200" w:line="276" w:lineRule="auto"/>
    </w:pPr>
    <w:rPr>
      <w:rFonts w:ascii="Calibri" w:hAnsi="Calibri" w:cs="Arial Unicode MS"/>
      <w:color w:val="000000"/>
      <w:sz w:val="22"/>
      <w:szCs w:val="22"/>
      <w:u w:color="000000"/>
      <w14:textOutline w14:w="12700" w14:cap="flat" w14:cmpd="sng" w14:algn="ctr">
        <w14:noFill/>
        <w14:prstDash w14:val="solid"/>
        <w14:miter w14:lim="400000"/>
      </w14:textOutline>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color w:val="2E7F9F"/>
      <w:sz w:val="21"/>
      <w:szCs w:val="21"/>
      <w:u w:val="single" w:color="2E7F9F"/>
      <w:shd w:val="clear" w:color="auto" w:fill="FFFFFF"/>
      <w:lang w:val="en-US"/>
      <w14:textOutline w14:w="0" w14:cap="rnd" w14:cmpd="sng" w14:algn="ctr">
        <w14:noFill/>
        <w14:prstDash w14:val="solid"/>
        <w14:bevel/>
      </w14:textOutline>
    </w:rPr>
  </w:style>
  <w:style w:type="character" w:customStyle="1" w:styleId="Hyperlink1">
    <w:name w:val="Hyperlink.1"/>
    <w:basedOn w:val="None"/>
    <w:rPr>
      <w:rFonts w:ascii="Times New Roman" w:eastAsia="Times New Roman" w:hAnsi="Times New Roman" w:cs="Times New Roman"/>
      <w:color w:val="2E7F9F"/>
      <w:sz w:val="21"/>
      <w:szCs w:val="21"/>
      <w:u w:val="single" w:color="2E7F9F"/>
      <w:shd w:val="clear" w:color="auto" w:fill="FFFFFF"/>
      <w14:textOutline w14:w="0" w14:cap="rnd" w14:cmpd="sng" w14:algn="ctr">
        <w14:noFill/>
        <w14:prstDash w14:val="solid"/>
        <w14:bevel/>
      </w14:textOutline>
    </w:rPr>
  </w:style>
  <w:style w:type="paragraph" w:styleId="a5">
    <w:name w:val="List Paragraph"/>
    <w:pPr>
      <w:spacing w:after="160" w:line="259" w:lineRule="auto"/>
      <w:ind w:left="720"/>
    </w:pPr>
    <w:rPr>
      <w:rFonts w:ascii="Calibri" w:eastAsia="Calibri" w:hAnsi="Calibri" w:cs="Calibri"/>
      <w:color w:val="000000"/>
      <w:sz w:val="22"/>
      <w:szCs w:val="22"/>
      <w:u w:color="000000"/>
    </w:rPr>
  </w:style>
  <w:style w:type="character" w:customStyle="1" w:styleId="Hyperlink2">
    <w:name w:val="Hyperlink.2"/>
    <w:basedOn w:val="None"/>
    <w:rPr>
      <w:rFonts w:ascii="Times New Roman" w:eastAsia="Times New Roman" w:hAnsi="Times New Roman" w:cs="Times New Roman"/>
      <w:sz w:val="24"/>
      <w:szCs w:val="24"/>
      <w:lang w:val="en-US"/>
    </w:rPr>
  </w:style>
  <w:style w:type="paragraph" w:customStyle="1" w:styleId="Standard">
    <w:name w:val="Standard"/>
    <w:pPr>
      <w:suppressAutoHyphens/>
    </w:pPr>
    <w:rPr>
      <w:rFonts w:cs="Arial Unicode MS"/>
      <w:color w:val="000000"/>
      <w:kern w:val="3"/>
      <w:sz w:val="24"/>
      <w:szCs w:val="24"/>
      <w:u w:color="000000"/>
    </w:rPr>
  </w:style>
  <w:style w:type="paragraph" w:styleId="HTML">
    <w:name w:val="HTML Preformatt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Arial Unicode MS"/>
      <w:color w:val="000000"/>
      <w:u w:color="000000"/>
    </w:rPr>
  </w:style>
  <w:style w:type="paragraph" w:customStyle="1" w:styleId="Default">
    <w:name w:val="Default"/>
    <w:rPr>
      <w:rFonts w:ascii="Segoe UI" w:eastAsia="Segoe UI" w:hAnsi="Segoe UI" w:cs="Segoe UI"/>
      <w:color w:val="000000"/>
      <w:sz w:val="24"/>
      <w:szCs w:val="24"/>
      <w:u w:color="000000"/>
      <w14:textOutline w14:w="12700" w14:cap="flat" w14:cmpd="sng" w14:algn="ctr">
        <w14:noFill/>
        <w14:prstDash w14:val="solid"/>
        <w14:miter w14:lim="400000"/>
      </w14:textOutline>
    </w:rPr>
  </w:style>
  <w:style w:type="paragraph" w:styleId="a6">
    <w:name w:val="annotation text"/>
    <w:basedOn w:val="a"/>
    <w:link w:val="Char"/>
    <w:uiPriority w:val="99"/>
    <w:semiHidden/>
    <w:unhideWhenUsed/>
    <w:rPr>
      <w:sz w:val="20"/>
      <w:szCs w:val="20"/>
    </w:rPr>
  </w:style>
  <w:style w:type="character" w:customStyle="1" w:styleId="Char">
    <w:name w:val="批注文字 Char"/>
    <w:basedOn w:val="a0"/>
    <w:link w:val="a6"/>
    <w:uiPriority w:val="99"/>
    <w:semiHidden/>
  </w:style>
  <w:style w:type="character" w:styleId="a7">
    <w:name w:val="annotation reference"/>
    <w:basedOn w:val="a0"/>
    <w:uiPriority w:val="99"/>
    <w:semiHidden/>
    <w:unhideWhenUsed/>
    <w:rPr>
      <w:sz w:val="16"/>
      <w:szCs w:val="16"/>
    </w:rPr>
  </w:style>
  <w:style w:type="paragraph" w:styleId="a8">
    <w:name w:val="Balloon Text"/>
    <w:basedOn w:val="a"/>
    <w:link w:val="Char0"/>
    <w:uiPriority w:val="99"/>
    <w:semiHidden/>
    <w:unhideWhenUsed/>
    <w:rsid w:val="00A33FE7"/>
    <w:rPr>
      <w:rFonts w:ascii="Segoe UI" w:hAnsi="Segoe UI" w:cs="Segoe UI"/>
      <w:sz w:val="18"/>
      <w:szCs w:val="18"/>
    </w:rPr>
  </w:style>
  <w:style w:type="character" w:customStyle="1" w:styleId="Char0">
    <w:name w:val="批注框文本 Char"/>
    <w:basedOn w:val="a0"/>
    <w:link w:val="a8"/>
    <w:uiPriority w:val="99"/>
    <w:semiHidden/>
    <w:rsid w:val="00A33FE7"/>
    <w:rPr>
      <w:rFonts w:ascii="Segoe UI" w:hAnsi="Segoe UI" w:cs="Segoe UI"/>
      <w:sz w:val="18"/>
      <w:szCs w:val="18"/>
    </w:rPr>
  </w:style>
  <w:style w:type="paragraph" w:styleId="a9">
    <w:name w:val="annotation subject"/>
    <w:basedOn w:val="a6"/>
    <w:next w:val="a6"/>
    <w:link w:val="Char1"/>
    <w:uiPriority w:val="99"/>
    <w:semiHidden/>
    <w:unhideWhenUsed/>
    <w:rsid w:val="00A33FE7"/>
    <w:rPr>
      <w:b/>
      <w:bCs/>
    </w:rPr>
  </w:style>
  <w:style w:type="character" w:customStyle="1" w:styleId="Char1">
    <w:name w:val="批注主题 Char"/>
    <w:basedOn w:val="Char"/>
    <w:link w:val="a9"/>
    <w:uiPriority w:val="99"/>
    <w:semiHidden/>
    <w:rsid w:val="00A33FE7"/>
    <w:rPr>
      <w:b/>
      <w:bCs/>
    </w:rPr>
  </w:style>
  <w:style w:type="paragraph" w:styleId="aa">
    <w:name w:val="Normal (Web)"/>
    <w:basedOn w:val="a"/>
    <w:uiPriority w:val="99"/>
    <w:semiHidden/>
    <w:unhideWhenUsed/>
    <w:rsid w:val="0004115B"/>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bdr w:val="none" w:sz="0" w:space="0" w:color="auto"/>
    </w:rPr>
  </w:style>
  <w:style w:type="paragraph" w:styleId="ab">
    <w:name w:val="header"/>
    <w:basedOn w:val="a"/>
    <w:link w:val="Char2"/>
    <w:uiPriority w:val="99"/>
    <w:unhideWhenUsed/>
    <w:rsid w:val="001660FD"/>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b"/>
    <w:uiPriority w:val="99"/>
    <w:rsid w:val="001660FD"/>
    <w:rPr>
      <w:sz w:val="18"/>
      <w:szCs w:val="18"/>
    </w:rPr>
  </w:style>
  <w:style w:type="paragraph" w:styleId="ac">
    <w:name w:val="footer"/>
    <w:basedOn w:val="a"/>
    <w:link w:val="Char3"/>
    <w:uiPriority w:val="99"/>
    <w:unhideWhenUsed/>
    <w:rsid w:val="001660FD"/>
    <w:pPr>
      <w:tabs>
        <w:tab w:val="center" w:pos="4153"/>
        <w:tab w:val="right" w:pos="8306"/>
      </w:tabs>
      <w:snapToGrid w:val="0"/>
    </w:pPr>
    <w:rPr>
      <w:sz w:val="18"/>
      <w:szCs w:val="18"/>
    </w:rPr>
  </w:style>
  <w:style w:type="character" w:customStyle="1" w:styleId="Char3">
    <w:name w:val="页脚 Char"/>
    <w:basedOn w:val="a0"/>
    <w:link w:val="ac"/>
    <w:uiPriority w:val="99"/>
    <w:rsid w:val="001660FD"/>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u w:color="000000"/>
      <w14:textOutline w14:w="12700" w14:cap="flat" w14:cmpd="sng" w14:algn="ctr">
        <w14:noFill/>
        <w14:prstDash w14:val="solid"/>
        <w14:miter w14:lim="400000"/>
      </w14:textOutline>
    </w:rPr>
  </w:style>
  <w:style w:type="paragraph" w:styleId="a4">
    <w:name w:val="Body Text"/>
    <w:pPr>
      <w:widowControl w:val="0"/>
      <w:ind w:left="100"/>
    </w:pPr>
    <w:rPr>
      <w:rFonts w:ascii="Sylfaen" w:hAnsi="Sylfaen" w:cs="Arial Unicode MS"/>
      <w:color w:val="000000"/>
      <w:sz w:val="22"/>
      <w:szCs w:val="22"/>
      <w:u w:color="000000"/>
    </w:rPr>
  </w:style>
  <w:style w:type="paragraph" w:customStyle="1" w:styleId="BodyA">
    <w:name w:val="Body A"/>
    <w:pPr>
      <w:spacing w:after="200" w:line="276" w:lineRule="auto"/>
    </w:pPr>
    <w:rPr>
      <w:rFonts w:ascii="Calibri" w:hAnsi="Calibri" w:cs="Arial Unicode MS"/>
      <w:color w:val="000000"/>
      <w:sz w:val="22"/>
      <w:szCs w:val="22"/>
      <w:u w:color="000000"/>
      <w14:textOutline w14:w="12700" w14:cap="flat" w14:cmpd="sng" w14:algn="ctr">
        <w14:noFill/>
        <w14:prstDash w14:val="solid"/>
        <w14:miter w14:lim="400000"/>
      </w14:textOutline>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color w:val="2E7F9F"/>
      <w:sz w:val="21"/>
      <w:szCs w:val="21"/>
      <w:u w:val="single" w:color="2E7F9F"/>
      <w:shd w:val="clear" w:color="auto" w:fill="FFFFFF"/>
      <w:lang w:val="en-US"/>
      <w14:textOutline w14:w="0" w14:cap="rnd" w14:cmpd="sng" w14:algn="ctr">
        <w14:noFill/>
        <w14:prstDash w14:val="solid"/>
        <w14:bevel/>
      </w14:textOutline>
    </w:rPr>
  </w:style>
  <w:style w:type="character" w:customStyle="1" w:styleId="Hyperlink1">
    <w:name w:val="Hyperlink.1"/>
    <w:basedOn w:val="None"/>
    <w:rPr>
      <w:rFonts w:ascii="Times New Roman" w:eastAsia="Times New Roman" w:hAnsi="Times New Roman" w:cs="Times New Roman"/>
      <w:color w:val="2E7F9F"/>
      <w:sz w:val="21"/>
      <w:szCs w:val="21"/>
      <w:u w:val="single" w:color="2E7F9F"/>
      <w:shd w:val="clear" w:color="auto" w:fill="FFFFFF"/>
      <w14:textOutline w14:w="0" w14:cap="rnd" w14:cmpd="sng" w14:algn="ctr">
        <w14:noFill/>
        <w14:prstDash w14:val="solid"/>
        <w14:bevel/>
      </w14:textOutline>
    </w:rPr>
  </w:style>
  <w:style w:type="paragraph" w:styleId="a5">
    <w:name w:val="List Paragraph"/>
    <w:pPr>
      <w:spacing w:after="160" w:line="259" w:lineRule="auto"/>
      <w:ind w:left="720"/>
    </w:pPr>
    <w:rPr>
      <w:rFonts w:ascii="Calibri" w:eastAsia="Calibri" w:hAnsi="Calibri" w:cs="Calibri"/>
      <w:color w:val="000000"/>
      <w:sz w:val="22"/>
      <w:szCs w:val="22"/>
      <w:u w:color="000000"/>
    </w:rPr>
  </w:style>
  <w:style w:type="character" w:customStyle="1" w:styleId="Hyperlink2">
    <w:name w:val="Hyperlink.2"/>
    <w:basedOn w:val="None"/>
    <w:rPr>
      <w:rFonts w:ascii="Times New Roman" w:eastAsia="Times New Roman" w:hAnsi="Times New Roman" w:cs="Times New Roman"/>
      <w:sz w:val="24"/>
      <w:szCs w:val="24"/>
      <w:lang w:val="en-US"/>
    </w:rPr>
  </w:style>
  <w:style w:type="paragraph" w:customStyle="1" w:styleId="Standard">
    <w:name w:val="Standard"/>
    <w:pPr>
      <w:suppressAutoHyphens/>
    </w:pPr>
    <w:rPr>
      <w:rFonts w:cs="Arial Unicode MS"/>
      <w:color w:val="000000"/>
      <w:kern w:val="3"/>
      <w:sz w:val="24"/>
      <w:szCs w:val="24"/>
      <w:u w:color="000000"/>
    </w:rPr>
  </w:style>
  <w:style w:type="paragraph" w:styleId="HTML">
    <w:name w:val="HTML Preformatt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Arial Unicode MS"/>
      <w:color w:val="000000"/>
      <w:u w:color="000000"/>
    </w:rPr>
  </w:style>
  <w:style w:type="paragraph" w:customStyle="1" w:styleId="Default">
    <w:name w:val="Default"/>
    <w:rPr>
      <w:rFonts w:ascii="Segoe UI" w:eastAsia="Segoe UI" w:hAnsi="Segoe UI" w:cs="Segoe UI"/>
      <w:color w:val="000000"/>
      <w:sz w:val="24"/>
      <w:szCs w:val="24"/>
      <w:u w:color="000000"/>
      <w14:textOutline w14:w="12700" w14:cap="flat" w14:cmpd="sng" w14:algn="ctr">
        <w14:noFill/>
        <w14:prstDash w14:val="solid"/>
        <w14:miter w14:lim="400000"/>
      </w14:textOutline>
    </w:rPr>
  </w:style>
  <w:style w:type="paragraph" w:styleId="a6">
    <w:name w:val="annotation text"/>
    <w:basedOn w:val="a"/>
    <w:link w:val="Char"/>
    <w:uiPriority w:val="99"/>
    <w:semiHidden/>
    <w:unhideWhenUsed/>
    <w:rPr>
      <w:sz w:val="20"/>
      <w:szCs w:val="20"/>
    </w:rPr>
  </w:style>
  <w:style w:type="character" w:customStyle="1" w:styleId="Char">
    <w:name w:val="批注文字 Char"/>
    <w:basedOn w:val="a0"/>
    <w:link w:val="a6"/>
    <w:uiPriority w:val="99"/>
    <w:semiHidden/>
  </w:style>
  <w:style w:type="character" w:styleId="a7">
    <w:name w:val="annotation reference"/>
    <w:basedOn w:val="a0"/>
    <w:uiPriority w:val="99"/>
    <w:semiHidden/>
    <w:unhideWhenUsed/>
    <w:rPr>
      <w:sz w:val="16"/>
      <w:szCs w:val="16"/>
    </w:rPr>
  </w:style>
  <w:style w:type="paragraph" w:styleId="a8">
    <w:name w:val="Balloon Text"/>
    <w:basedOn w:val="a"/>
    <w:link w:val="Char0"/>
    <w:uiPriority w:val="99"/>
    <w:semiHidden/>
    <w:unhideWhenUsed/>
    <w:rsid w:val="00A33FE7"/>
    <w:rPr>
      <w:rFonts w:ascii="Segoe UI" w:hAnsi="Segoe UI" w:cs="Segoe UI"/>
      <w:sz w:val="18"/>
      <w:szCs w:val="18"/>
    </w:rPr>
  </w:style>
  <w:style w:type="character" w:customStyle="1" w:styleId="Char0">
    <w:name w:val="批注框文本 Char"/>
    <w:basedOn w:val="a0"/>
    <w:link w:val="a8"/>
    <w:uiPriority w:val="99"/>
    <w:semiHidden/>
    <w:rsid w:val="00A33FE7"/>
    <w:rPr>
      <w:rFonts w:ascii="Segoe UI" w:hAnsi="Segoe UI" w:cs="Segoe UI"/>
      <w:sz w:val="18"/>
      <w:szCs w:val="18"/>
    </w:rPr>
  </w:style>
  <w:style w:type="paragraph" w:styleId="a9">
    <w:name w:val="annotation subject"/>
    <w:basedOn w:val="a6"/>
    <w:next w:val="a6"/>
    <w:link w:val="Char1"/>
    <w:uiPriority w:val="99"/>
    <w:semiHidden/>
    <w:unhideWhenUsed/>
    <w:rsid w:val="00A33FE7"/>
    <w:rPr>
      <w:b/>
      <w:bCs/>
    </w:rPr>
  </w:style>
  <w:style w:type="character" w:customStyle="1" w:styleId="Char1">
    <w:name w:val="批注主题 Char"/>
    <w:basedOn w:val="Char"/>
    <w:link w:val="a9"/>
    <w:uiPriority w:val="99"/>
    <w:semiHidden/>
    <w:rsid w:val="00A33FE7"/>
    <w:rPr>
      <w:b/>
      <w:bCs/>
    </w:rPr>
  </w:style>
  <w:style w:type="paragraph" w:styleId="aa">
    <w:name w:val="Normal (Web)"/>
    <w:basedOn w:val="a"/>
    <w:uiPriority w:val="99"/>
    <w:semiHidden/>
    <w:unhideWhenUsed/>
    <w:rsid w:val="0004115B"/>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bdr w:val="none" w:sz="0" w:space="0" w:color="auto"/>
    </w:rPr>
  </w:style>
  <w:style w:type="paragraph" w:styleId="ab">
    <w:name w:val="header"/>
    <w:basedOn w:val="a"/>
    <w:link w:val="Char2"/>
    <w:uiPriority w:val="99"/>
    <w:unhideWhenUsed/>
    <w:rsid w:val="001660FD"/>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b"/>
    <w:uiPriority w:val="99"/>
    <w:rsid w:val="001660FD"/>
    <w:rPr>
      <w:sz w:val="18"/>
      <w:szCs w:val="18"/>
    </w:rPr>
  </w:style>
  <w:style w:type="paragraph" w:styleId="ac">
    <w:name w:val="footer"/>
    <w:basedOn w:val="a"/>
    <w:link w:val="Char3"/>
    <w:uiPriority w:val="99"/>
    <w:unhideWhenUsed/>
    <w:rsid w:val="001660FD"/>
    <w:pPr>
      <w:tabs>
        <w:tab w:val="center" w:pos="4153"/>
        <w:tab w:val="right" w:pos="8306"/>
      </w:tabs>
      <w:snapToGrid w:val="0"/>
    </w:pPr>
    <w:rPr>
      <w:sz w:val="18"/>
      <w:szCs w:val="18"/>
    </w:rPr>
  </w:style>
  <w:style w:type="character" w:customStyle="1" w:styleId="Char3">
    <w:name w:val="页脚 Char"/>
    <w:basedOn w:val="a0"/>
    <w:link w:val="ac"/>
    <w:uiPriority w:val="99"/>
    <w:rsid w:val="001660FD"/>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2783932">
      <w:bodyDiv w:val="1"/>
      <w:marLeft w:val="0"/>
      <w:marRight w:val="0"/>
      <w:marTop w:val="0"/>
      <w:marBottom w:val="0"/>
      <w:divBdr>
        <w:top w:val="none" w:sz="0" w:space="0" w:color="auto"/>
        <w:left w:val="none" w:sz="0" w:space="0" w:color="auto"/>
        <w:bottom w:val="none" w:sz="0" w:space="0" w:color="auto"/>
        <w:right w:val="none" w:sz="0" w:space="0" w:color="auto"/>
      </w:divBdr>
    </w:div>
    <w:div w:id="510609884">
      <w:bodyDiv w:val="1"/>
      <w:marLeft w:val="0"/>
      <w:marRight w:val="0"/>
      <w:marTop w:val="0"/>
      <w:marBottom w:val="0"/>
      <w:divBdr>
        <w:top w:val="none" w:sz="0" w:space="0" w:color="auto"/>
        <w:left w:val="none" w:sz="0" w:space="0" w:color="auto"/>
        <w:bottom w:val="none" w:sz="0" w:space="0" w:color="auto"/>
        <w:right w:val="none" w:sz="0" w:space="0" w:color="auto"/>
      </w:divBdr>
    </w:div>
    <w:div w:id="552273675">
      <w:bodyDiv w:val="1"/>
      <w:marLeft w:val="0"/>
      <w:marRight w:val="0"/>
      <w:marTop w:val="0"/>
      <w:marBottom w:val="0"/>
      <w:divBdr>
        <w:top w:val="none" w:sz="0" w:space="0" w:color="auto"/>
        <w:left w:val="none" w:sz="0" w:space="0" w:color="auto"/>
        <w:bottom w:val="none" w:sz="0" w:space="0" w:color="auto"/>
        <w:right w:val="none" w:sz="0" w:space="0" w:color="auto"/>
      </w:divBdr>
    </w:div>
    <w:div w:id="897667056">
      <w:bodyDiv w:val="1"/>
      <w:marLeft w:val="0"/>
      <w:marRight w:val="0"/>
      <w:marTop w:val="0"/>
      <w:marBottom w:val="0"/>
      <w:divBdr>
        <w:top w:val="none" w:sz="0" w:space="0" w:color="auto"/>
        <w:left w:val="none" w:sz="0" w:space="0" w:color="auto"/>
        <w:bottom w:val="none" w:sz="0" w:space="0" w:color="auto"/>
        <w:right w:val="none" w:sz="0" w:space="0" w:color="auto"/>
      </w:divBdr>
    </w:div>
    <w:div w:id="1507864902">
      <w:bodyDiv w:val="1"/>
      <w:marLeft w:val="0"/>
      <w:marRight w:val="0"/>
      <w:marTop w:val="0"/>
      <w:marBottom w:val="0"/>
      <w:divBdr>
        <w:top w:val="none" w:sz="0" w:space="0" w:color="auto"/>
        <w:left w:val="none" w:sz="0" w:space="0" w:color="auto"/>
        <w:bottom w:val="none" w:sz="0" w:space="0" w:color="auto"/>
        <w:right w:val="none" w:sz="0" w:space="0" w:color="auto"/>
      </w:divBdr>
    </w:div>
    <w:div w:id="1593589818">
      <w:bodyDiv w:val="1"/>
      <w:marLeft w:val="0"/>
      <w:marRight w:val="0"/>
      <w:marTop w:val="0"/>
      <w:marBottom w:val="0"/>
      <w:divBdr>
        <w:top w:val="none" w:sz="0" w:space="0" w:color="auto"/>
        <w:left w:val="none" w:sz="0" w:space="0" w:color="auto"/>
        <w:bottom w:val="none" w:sz="0" w:space="0" w:color="auto"/>
        <w:right w:val="none" w:sz="0" w:space="0" w:color="auto"/>
      </w:divBdr>
    </w:div>
    <w:div w:id="1656255334">
      <w:bodyDiv w:val="1"/>
      <w:marLeft w:val="0"/>
      <w:marRight w:val="0"/>
      <w:marTop w:val="0"/>
      <w:marBottom w:val="0"/>
      <w:divBdr>
        <w:top w:val="none" w:sz="0" w:space="0" w:color="auto"/>
        <w:left w:val="none" w:sz="0" w:space="0" w:color="auto"/>
        <w:bottom w:val="none" w:sz="0" w:space="0" w:color="auto"/>
        <w:right w:val="none" w:sz="0" w:space="0" w:color="auto"/>
      </w:divBdr>
    </w:div>
    <w:div w:id="18176023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dimitri.kordzaia@tsu.ge" TargetMode="External"/><Relationship Id="rId13" Type="http://schemas.openxmlformats.org/officeDocument/2006/relationships/image" Target="media/image5.tif"/><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ti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if"/></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黑体"/>
        <a:cs typeface="Helvetica Neue"/>
      </a:majorFont>
      <a:minorFont>
        <a:latin typeface="Helvetica Neue"/>
        <a:ea typeface="宋体"/>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8DB0BD-AEEF-45EA-9DBD-8FFC69C634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45</Pages>
  <Words>46834</Words>
  <Characters>266957</Characters>
  <Application>Microsoft Office Word</Application>
  <DocSecurity>0</DocSecurity>
  <Lines>2224</Lines>
  <Paragraphs>626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313165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Lenovo</cp:lastModifiedBy>
  <cp:revision>3</cp:revision>
  <dcterms:created xsi:type="dcterms:W3CDTF">2020-06-23T00:55:00Z</dcterms:created>
  <dcterms:modified xsi:type="dcterms:W3CDTF">2020-07-20T08:04:00Z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http://www.zotero.org/styles/chicago-fullnote-bibliography</vt:lpwstr>
  </property>
  <property fmtid="{D5CDD505-2E9C-101B-9397-08002B2CF9AE}" pid="7" name="Mendeley Recent Style Name 2_1">
    <vt:lpwstr>Chicago Manual of Style 17th edition (full note)</vt:lpwstr>
  </property>
  <property fmtid="{D5CDD505-2E9C-101B-9397-08002B2CF9AE}" pid="8" name="Mendeley Recent Style Id 3_1">
    <vt:lpwstr>http://www.zotero.org/styles/chicago-note-bibliography</vt:lpwstr>
  </property>
  <property fmtid="{D5CDD505-2E9C-101B-9397-08002B2CF9AE}" pid="9" name="Mendeley Recent Style Name 3_1">
    <vt:lpwstr>Chicago Manual of Style 17th edition (note)</vt:lpwstr>
  </property>
  <property fmtid="{D5CDD505-2E9C-101B-9397-08002B2CF9AE}" pid="10" name="Mendeley Recent Style Id 4_1">
    <vt:lpwstr>http://www.zotero.org/styles/modern-humanities-research-association</vt:lpwstr>
  </property>
  <property fmtid="{D5CDD505-2E9C-101B-9397-08002B2CF9AE}" pid="11" name="Mendeley Recent Style Name 4_1">
    <vt:lpwstr>Modern Humanities Research Association 3rd edition (note with bibliography)</vt:lpwstr>
  </property>
  <property fmtid="{D5CDD505-2E9C-101B-9397-08002B2CF9AE}" pid="12" name="Mendeley Recent Style Id 5_1">
    <vt:lpwstr>http://www.zotero.org/styles/nature</vt:lpwstr>
  </property>
  <property fmtid="{D5CDD505-2E9C-101B-9397-08002B2CF9AE}" pid="13" name="Mendeley Recent Style Name 5_1">
    <vt:lpwstr>Nature</vt:lpwstr>
  </property>
  <property fmtid="{D5CDD505-2E9C-101B-9397-08002B2CF9AE}" pid="14" name="Mendeley Recent Style Id 6_1">
    <vt:lpwstr>http://www.zotero.org/styles/sage-vancouver</vt:lpwstr>
  </property>
  <property fmtid="{D5CDD505-2E9C-101B-9397-08002B2CF9AE}" pid="15" name="Mendeley Recent Style Name 6_1">
    <vt:lpwstr>SAGE - Vancouver</vt:lpwstr>
  </property>
  <property fmtid="{D5CDD505-2E9C-101B-9397-08002B2CF9AE}" pid="16" name="Mendeley Recent Style Id 7_1">
    <vt:lpwstr>http://www.zotero.org/styles/vancouver</vt:lpwstr>
  </property>
  <property fmtid="{D5CDD505-2E9C-101B-9397-08002B2CF9AE}" pid="17" name="Mendeley Recent Style Name 7_1">
    <vt:lpwstr>Vancouver</vt:lpwstr>
  </property>
  <property fmtid="{D5CDD505-2E9C-101B-9397-08002B2CF9AE}" pid="18" name="Mendeley Recent Style Id 8_1">
    <vt:lpwstr>http://csl.mendeley.com/styles/492455211/vancouver-superscript-brackets-only-year-2-DOI</vt:lpwstr>
  </property>
  <property fmtid="{D5CDD505-2E9C-101B-9397-08002B2CF9AE}" pid="19" name="Mendeley Recent Style Name 8_1">
    <vt:lpwstr>Vancouver (superscript, brackets, only year in date) - keti Tsomaia, MD; PhD Student</vt:lpwstr>
  </property>
  <property fmtid="{D5CDD505-2E9C-101B-9397-08002B2CF9AE}" pid="20" name="Mendeley Recent Style Id 9_1">
    <vt:lpwstr>http://www.zotero.org/styles/world-journal-of-gastroenterology</vt:lpwstr>
  </property>
  <property fmtid="{D5CDD505-2E9C-101B-9397-08002B2CF9AE}" pid="21" name="Mendeley Recent Style Name 9_1">
    <vt:lpwstr>World Journal of Gastroenterology</vt:lpwstr>
  </property>
  <property fmtid="{D5CDD505-2E9C-101B-9397-08002B2CF9AE}" pid="22" name="Mendeley Citation Style_1">
    <vt:lpwstr>http://www.zotero.org/styles/world-journal-of-gastroenterology</vt:lpwstr>
  </property>
  <property fmtid="{D5CDD505-2E9C-101B-9397-08002B2CF9AE}" pid="23" name="Mendeley Document_1">
    <vt:lpwstr>True</vt:lpwstr>
  </property>
  <property fmtid="{D5CDD505-2E9C-101B-9397-08002B2CF9AE}" pid="24" name="Mendeley Unique User Id_1">
    <vt:lpwstr>221f0410-cc4b-357d-a6fb-d516d04a9361</vt:lpwstr>
  </property>
</Properties>
</file>