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eastAsia="Times New Roman" w:hAnsi="Book Antiqua" w:cs="宋体"/>
          <w:b/>
          <w:sz w:val="24"/>
          <w:szCs w:val="24"/>
        </w:rPr>
        <w:t xml:space="preserve">Name of Journal: </w:t>
      </w:r>
      <w:r w:rsidRPr="006B0C21">
        <w:rPr>
          <w:rFonts w:ascii="Book Antiqua" w:eastAsia="Times New Roman" w:hAnsi="Book Antiqua" w:cs="宋体"/>
          <w:i/>
          <w:sz w:val="24"/>
          <w:szCs w:val="24"/>
        </w:rPr>
        <w:t>World Journal of Clinical Cases</w:t>
      </w:r>
    </w:p>
    <w:p w:rsidR="00713A64" w:rsidRPr="006B0C21" w:rsidRDefault="00713A64" w:rsidP="006B0C21">
      <w:pPr>
        <w:adjustRightInd w:val="0"/>
        <w:snapToGrid w:val="0"/>
        <w:spacing w:line="360" w:lineRule="auto"/>
        <w:rPr>
          <w:rFonts w:ascii="Book Antiqua" w:eastAsia="Times New Roman" w:hAnsi="Book Antiqua" w:cs="宋体"/>
          <w:b/>
          <w:i/>
          <w:sz w:val="24"/>
          <w:szCs w:val="24"/>
        </w:rPr>
      </w:pPr>
      <w:r w:rsidRPr="006B0C21">
        <w:rPr>
          <w:rFonts w:ascii="Book Antiqua" w:hAnsi="Book Antiqua" w:cs="Arial"/>
          <w:b/>
          <w:sz w:val="24"/>
          <w:szCs w:val="24"/>
          <w:lang w:val="en"/>
        </w:rPr>
        <w:t xml:space="preserve">Manuscript NO: </w:t>
      </w:r>
      <w:r w:rsidRPr="006B0C21">
        <w:rPr>
          <w:rFonts w:ascii="Book Antiqua" w:hAnsi="Book Antiqua" w:cs="Arial"/>
          <w:sz w:val="24"/>
          <w:szCs w:val="24"/>
          <w:lang w:val="en"/>
        </w:rPr>
        <w:t>54946</w:t>
      </w:r>
    </w:p>
    <w:p w:rsidR="00713A64" w:rsidRPr="006B0C21" w:rsidRDefault="00713A64" w:rsidP="006B0C21">
      <w:pPr>
        <w:adjustRightInd w:val="0"/>
        <w:snapToGrid w:val="0"/>
        <w:spacing w:line="360" w:lineRule="auto"/>
        <w:rPr>
          <w:rFonts w:ascii="Book Antiqua" w:eastAsia="幼圆" w:hAnsi="Book Antiqua"/>
          <w:b/>
          <w:i/>
          <w:sz w:val="24"/>
          <w:szCs w:val="24"/>
        </w:rPr>
      </w:pPr>
      <w:bookmarkStart w:id="0" w:name="OLE_LINK4"/>
      <w:r w:rsidRPr="006B0C21">
        <w:rPr>
          <w:rFonts w:ascii="Book Antiqua" w:hAnsi="Book Antiqua"/>
          <w:b/>
          <w:sz w:val="24"/>
          <w:szCs w:val="24"/>
          <w:shd w:val="clear" w:color="auto" w:fill="FFFFFF"/>
        </w:rPr>
        <w:t>Manuscript Type</w:t>
      </w:r>
      <w:bookmarkEnd w:id="0"/>
      <w:r w:rsidRPr="006B0C21">
        <w:rPr>
          <w:rFonts w:ascii="Book Antiqua" w:hAnsi="Book Antiqua"/>
          <w:b/>
          <w:kern w:val="0"/>
          <w:sz w:val="24"/>
          <w:szCs w:val="24"/>
        </w:rPr>
        <w:t xml:space="preserve">: </w:t>
      </w:r>
      <w:r w:rsidRPr="006B0C21">
        <w:rPr>
          <w:rFonts w:ascii="Book Antiqua" w:hAnsi="Book Antiqua"/>
          <w:sz w:val="24"/>
          <w:szCs w:val="24"/>
        </w:rPr>
        <w:t>ORIGINAL ARTICLE</w:t>
      </w:r>
    </w:p>
    <w:p w:rsidR="00713A64" w:rsidRPr="006B0C21" w:rsidRDefault="00713A64" w:rsidP="006B0C21">
      <w:pPr>
        <w:autoSpaceDE w:val="0"/>
        <w:autoSpaceDN w:val="0"/>
        <w:adjustRightInd w:val="0"/>
        <w:snapToGrid w:val="0"/>
        <w:spacing w:line="360" w:lineRule="auto"/>
        <w:rPr>
          <w:rFonts w:ascii="Book Antiqua" w:hAnsi="Book Antiqua"/>
          <w:b/>
          <w:kern w:val="0"/>
          <w:sz w:val="24"/>
          <w:szCs w:val="24"/>
        </w:rPr>
      </w:pPr>
    </w:p>
    <w:p w:rsidR="00713A64" w:rsidRPr="006B0C21" w:rsidRDefault="00713A64" w:rsidP="006B0C21">
      <w:pPr>
        <w:adjustRightInd w:val="0"/>
        <w:snapToGrid w:val="0"/>
        <w:spacing w:line="360" w:lineRule="auto"/>
        <w:rPr>
          <w:rFonts w:ascii="Book Antiqua" w:hAnsi="Book Antiqua"/>
          <w:b/>
          <w:i/>
          <w:sz w:val="24"/>
          <w:szCs w:val="24"/>
        </w:rPr>
      </w:pPr>
      <w:bookmarkStart w:id="1" w:name="OLE_LINK1"/>
      <w:bookmarkStart w:id="2" w:name="OLE_LINK2"/>
      <w:r w:rsidRPr="006B0C21">
        <w:rPr>
          <w:rFonts w:ascii="Book Antiqua" w:eastAsia="幼圆" w:hAnsi="Book Antiqua"/>
          <w:b/>
          <w:i/>
          <w:sz w:val="24"/>
          <w:szCs w:val="24"/>
        </w:rPr>
        <w:t>Observational Study</w:t>
      </w:r>
    </w:p>
    <w:p w:rsidR="00713A64" w:rsidRPr="006B0C21" w:rsidRDefault="005C5FFF" w:rsidP="006B0C21">
      <w:pPr>
        <w:adjustRightInd w:val="0"/>
        <w:snapToGrid w:val="0"/>
        <w:spacing w:line="360" w:lineRule="auto"/>
        <w:rPr>
          <w:rFonts w:ascii="Book Antiqua" w:hAnsi="Book Antiqua"/>
          <w:b/>
          <w:sz w:val="24"/>
          <w:szCs w:val="24"/>
        </w:rPr>
      </w:pPr>
      <w:bookmarkStart w:id="3" w:name="_Hlk41363727"/>
      <w:bookmarkEnd w:id="1"/>
      <w:bookmarkEnd w:id="2"/>
      <w:r w:rsidRPr="006B0C21">
        <w:rPr>
          <w:rFonts w:ascii="Book Antiqua" w:hAnsi="Book Antiqua"/>
          <w:b/>
          <w:sz w:val="24"/>
          <w:szCs w:val="24"/>
          <w:lang w:val="en-GB"/>
        </w:rPr>
        <w:t>Endoscopic retrograde cholangiopancreatography</w:t>
      </w:r>
      <w:r w:rsidRPr="006B0C21">
        <w:rPr>
          <w:rFonts w:ascii="Book Antiqua" w:hAnsi="Book Antiqua"/>
          <w:b/>
          <w:sz w:val="24"/>
          <w:szCs w:val="24"/>
        </w:rPr>
        <w:t xml:space="preserve"> in elderly patients: Difficult </w:t>
      </w:r>
      <w:r w:rsidR="00713A64" w:rsidRPr="006B0C21">
        <w:rPr>
          <w:rFonts w:ascii="Book Antiqua" w:hAnsi="Book Antiqua"/>
          <w:b/>
          <w:sz w:val="24"/>
          <w:szCs w:val="24"/>
        </w:rPr>
        <w:t>cannulation and adverse events</w:t>
      </w:r>
    </w:p>
    <w:bookmarkEnd w:id="3"/>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Tabak</w:t>
      </w:r>
      <w:r w:rsidR="005C5FFF" w:rsidRPr="006B0C21">
        <w:rPr>
          <w:rFonts w:ascii="Book Antiqua" w:hAnsi="Book Antiqua"/>
          <w:sz w:val="24"/>
          <w:szCs w:val="24"/>
        </w:rPr>
        <w:t xml:space="preserve"> F</w:t>
      </w:r>
      <w:r w:rsidRPr="006B0C21">
        <w:rPr>
          <w:rFonts w:ascii="Book Antiqua" w:hAnsi="Book Antiqua"/>
          <w:sz w:val="24"/>
          <w:szCs w:val="24"/>
        </w:rPr>
        <w:t xml:space="preserve"> </w:t>
      </w:r>
      <w:r w:rsidRPr="006B0C21">
        <w:rPr>
          <w:rFonts w:ascii="Book Antiqua" w:hAnsi="Book Antiqua"/>
          <w:i/>
          <w:sz w:val="24"/>
          <w:szCs w:val="24"/>
        </w:rPr>
        <w:t>et al</w:t>
      </w:r>
      <w:r w:rsidRPr="006B0C21">
        <w:rPr>
          <w:rFonts w:ascii="Book Antiqua" w:hAnsi="Book Antiqua"/>
          <w:sz w:val="24"/>
          <w:szCs w:val="24"/>
        </w:rPr>
        <w:t>. Difficult biliary cannulation in elderly</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sz w:val="24"/>
          <w:szCs w:val="24"/>
        </w:rPr>
      </w:pPr>
      <w:bookmarkStart w:id="4" w:name="_Hlk41363677"/>
      <w:r w:rsidRPr="006B0C21">
        <w:rPr>
          <w:rFonts w:ascii="Book Antiqua" w:hAnsi="Book Antiqua"/>
          <w:sz w:val="24"/>
          <w:szCs w:val="24"/>
        </w:rPr>
        <w:t>Fatema Tabak, Hui-Shan Wang, Quan-Peng Li, Xian-Xiu Ge, Fei Wang, Guo-Zhong Ji, Lin Miao</w:t>
      </w:r>
    </w:p>
    <w:bookmarkEnd w:id="4"/>
    <w:p w:rsidR="00713A64" w:rsidRPr="006B0C21" w:rsidRDefault="00713A64" w:rsidP="006B0C21">
      <w:pPr>
        <w:adjustRightInd w:val="0"/>
        <w:snapToGrid w:val="0"/>
        <w:spacing w:line="360" w:lineRule="auto"/>
        <w:rPr>
          <w:rFonts w:ascii="Book Antiqua" w:hAnsi="Book Antiqua"/>
          <w:b/>
          <w:sz w:val="24"/>
          <w:szCs w:val="24"/>
        </w:rPr>
      </w:pPr>
    </w:p>
    <w:p w:rsidR="00713A64" w:rsidRPr="006B0C21" w:rsidRDefault="005C5FFF"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 xml:space="preserve">Fatema Tabak, </w:t>
      </w:r>
      <w:bookmarkStart w:id="5" w:name="OLE_LINK5"/>
      <w:r w:rsidRPr="006B0C21">
        <w:rPr>
          <w:rFonts w:ascii="Book Antiqua" w:hAnsi="Book Antiqua"/>
          <w:b/>
          <w:sz w:val="24"/>
          <w:szCs w:val="24"/>
        </w:rPr>
        <w:t>Hui-Shan</w:t>
      </w:r>
      <w:bookmarkEnd w:id="5"/>
      <w:r w:rsidRPr="006B0C21">
        <w:rPr>
          <w:rFonts w:ascii="Book Antiqua" w:hAnsi="Book Antiqua"/>
          <w:b/>
          <w:sz w:val="24"/>
          <w:szCs w:val="24"/>
        </w:rPr>
        <w:t xml:space="preserve"> Wang, </w:t>
      </w:r>
      <w:bookmarkStart w:id="6" w:name="OLE_LINK6"/>
      <w:r w:rsidRPr="006B0C21">
        <w:rPr>
          <w:rFonts w:ascii="Book Antiqua" w:hAnsi="Book Antiqua"/>
          <w:b/>
          <w:sz w:val="24"/>
          <w:szCs w:val="24"/>
        </w:rPr>
        <w:t>Quan-Peng</w:t>
      </w:r>
      <w:bookmarkEnd w:id="6"/>
      <w:r w:rsidRPr="006B0C21">
        <w:rPr>
          <w:rFonts w:ascii="Book Antiqua" w:hAnsi="Book Antiqua"/>
          <w:b/>
          <w:sz w:val="24"/>
          <w:szCs w:val="24"/>
        </w:rPr>
        <w:t xml:space="preserve"> Li, </w:t>
      </w:r>
      <w:bookmarkStart w:id="7" w:name="OLE_LINK7"/>
      <w:r w:rsidRPr="006B0C21">
        <w:rPr>
          <w:rFonts w:ascii="Book Antiqua" w:hAnsi="Book Antiqua"/>
          <w:b/>
          <w:sz w:val="24"/>
          <w:szCs w:val="24"/>
        </w:rPr>
        <w:t>Xian-Xiu</w:t>
      </w:r>
      <w:bookmarkEnd w:id="7"/>
      <w:r w:rsidRPr="006B0C21">
        <w:rPr>
          <w:rFonts w:ascii="Book Antiqua" w:hAnsi="Book Antiqua"/>
          <w:b/>
          <w:sz w:val="24"/>
          <w:szCs w:val="24"/>
        </w:rPr>
        <w:t xml:space="preserve"> Ge, Fei Wang, </w:t>
      </w:r>
      <w:bookmarkStart w:id="8" w:name="OLE_LINK8"/>
      <w:r w:rsidRPr="006B0C21">
        <w:rPr>
          <w:rFonts w:ascii="Book Antiqua" w:hAnsi="Book Antiqua"/>
          <w:b/>
          <w:sz w:val="24"/>
          <w:szCs w:val="24"/>
        </w:rPr>
        <w:t>Guo-Zhong</w:t>
      </w:r>
      <w:bookmarkEnd w:id="8"/>
      <w:r w:rsidRPr="006B0C21">
        <w:rPr>
          <w:rFonts w:ascii="Book Antiqua" w:hAnsi="Book Antiqua"/>
          <w:b/>
          <w:sz w:val="24"/>
          <w:szCs w:val="24"/>
        </w:rPr>
        <w:t xml:space="preserve"> Ji, Lin Miao, </w:t>
      </w:r>
      <w:r w:rsidR="00713A64" w:rsidRPr="006B0C21">
        <w:rPr>
          <w:rFonts w:ascii="Book Antiqua" w:hAnsi="Book Antiqua"/>
          <w:sz w:val="24"/>
          <w:szCs w:val="24"/>
        </w:rPr>
        <w:t>Institute of Digestive Endoscopy and Medical Centre for Digestive Disease, Second Affiliated Hospital of Nanjing Medical University, Nanjing 210011,</w:t>
      </w:r>
      <w:bookmarkStart w:id="9" w:name="OLE_LINK3"/>
      <w:r w:rsidR="00713A64" w:rsidRPr="006B0C21">
        <w:rPr>
          <w:rFonts w:ascii="Book Antiqua" w:hAnsi="Book Antiqua"/>
          <w:sz w:val="24"/>
          <w:szCs w:val="24"/>
        </w:rPr>
        <w:t xml:space="preserve"> Jiangsu Province, China</w:t>
      </w:r>
      <w:bookmarkEnd w:id="9"/>
    </w:p>
    <w:p w:rsidR="00713A64" w:rsidRPr="006B0C21" w:rsidRDefault="00713A64" w:rsidP="006B0C21">
      <w:pPr>
        <w:adjustRightInd w:val="0"/>
        <w:snapToGrid w:val="0"/>
        <w:spacing w:line="360" w:lineRule="auto"/>
        <w:rPr>
          <w:rFonts w:ascii="Book Antiqua" w:hAnsi="Book Antiqua"/>
          <w:b/>
          <w:sz w:val="24"/>
          <w:szCs w:val="24"/>
        </w:rPr>
      </w:pP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b/>
          <w:sz w:val="24"/>
          <w:szCs w:val="24"/>
        </w:rPr>
        <w:t xml:space="preserve">Author contributions: </w:t>
      </w:r>
      <w:r w:rsidRPr="006B0C21">
        <w:rPr>
          <w:rFonts w:ascii="Book Antiqua" w:hAnsi="Book Antiqua"/>
          <w:sz w:val="24"/>
          <w:szCs w:val="24"/>
        </w:rPr>
        <w:t>Tabak F and Li QP designed the study;</w:t>
      </w:r>
      <w:r w:rsidRPr="006B0C21">
        <w:rPr>
          <w:rFonts w:ascii="Book Antiqua" w:hAnsi="Book Antiqua"/>
          <w:b/>
          <w:sz w:val="24"/>
          <w:szCs w:val="24"/>
        </w:rPr>
        <w:t xml:space="preserve"> </w:t>
      </w:r>
      <w:r w:rsidRPr="006B0C21">
        <w:rPr>
          <w:rFonts w:ascii="Book Antiqua" w:hAnsi="Book Antiqua"/>
          <w:sz w:val="24"/>
          <w:szCs w:val="24"/>
        </w:rPr>
        <w:t>Tabak F, Wang HS, Ge XX, and Wang F recorded and analyzed the data; Tabak F and Miao L drafted the initial manuscript; Tabak F, Ji GZ</w:t>
      </w:r>
      <w:r w:rsidR="00974833">
        <w:rPr>
          <w:rFonts w:ascii="Book Antiqua" w:hAnsi="Book Antiqua"/>
          <w:sz w:val="24"/>
          <w:szCs w:val="24"/>
        </w:rPr>
        <w:t xml:space="preserve"> </w:t>
      </w:r>
      <w:r w:rsidRPr="006B0C21">
        <w:rPr>
          <w:rFonts w:ascii="Book Antiqua" w:hAnsi="Book Antiqua"/>
          <w:sz w:val="24"/>
          <w:szCs w:val="24"/>
        </w:rPr>
        <w:t>and Miao L revised the article critically for important intellectual content.</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b/>
          <w:sz w:val="24"/>
          <w:szCs w:val="24"/>
        </w:rPr>
        <w:t>Corresponding author:</w:t>
      </w:r>
      <w:r w:rsidRPr="006B0C21">
        <w:rPr>
          <w:rFonts w:ascii="Book Antiqua" w:hAnsi="Book Antiqua"/>
          <w:sz w:val="24"/>
          <w:szCs w:val="24"/>
        </w:rPr>
        <w:t xml:space="preserve"> </w:t>
      </w:r>
      <w:r w:rsidRPr="006B0C21">
        <w:rPr>
          <w:rFonts w:ascii="Book Antiqua" w:hAnsi="Book Antiqua"/>
          <w:b/>
          <w:sz w:val="24"/>
          <w:szCs w:val="24"/>
        </w:rPr>
        <w:t xml:space="preserve">Lin Miao, </w:t>
      </w:r>
      <w:r w:rsidR="005C5FFF" w:rsidRPr="006B0C21">
        <w:rPr>
          <w:rFonts w:ascii="Book Antiqua" w:hAnsi="Book Antiqua"/>
          <w:b/>
          <w:sz w:val="24"/>
          <w:szCs w:val="24"/>
        </w:rPr>
        <w:t xml:space="preserve">MD, PhD, Chief Doctor, Professor, </w:t>
      </w:r>
      <w:r w:rsidR="00C15EBB" w:rsidRPr="006B0C21">
        <w:rPr>
          <w:rFonts w:ascii="Book Antiqua" w:hAnsi="Book Antiqua"/>
          <w:sz w:val="24"/>
          <w:szCs w:val="24"/>
        </w:rPr>
        <w:t>Institute of Digestive Endoscopy and Medical Center for Digestive Disease</w:t>
      </w:r>
      <w:r w:rsidRPr="006B0C21">
        <w:rPr>
          <w:rFonts w:ascii="Book Antiqua" w:hAnsi="Book Antiqua"/>
          <w:sz w:val="24"/>
          <w:szCs w:val="24"/>
        </w:rPr>
        <w:t xml:space="preserve">, Second Affiliated Hospital of Nanjing Medical University, </w:t>
      </w:r>
      <w:bookmarkStart w:id="10" w:name="OLE_LINK9"/>
      <w:r w:rsidRPr="006B0C21">
        <w:rPr>
          <w:rFonts w:ascii="Book Antiqua" w:hAnsi="Book Antiqua"/>
          <w:sz w:val="24"/>
          <w:szCs w:val="24"/>
        </w:rPr>
        <w:t>No. 121 Jiang Jia Yuan Road</w:t>
      </w:r>
      <w:bookmarkEnd w:id="10"/>
      <w:r w:rsidRPr="006B0C21">
        <w:rPr>
          <w:rFonts w:ascii="Book Antiqua" w:hAnsi="Book Antiqua"/>
          <w:sz w:val="24"/>
          <w:szCs w:val="24"/>
        </w:rPr>
        <w:t xml:space="preserve">, Nanjing 210011, </w:t>
      </w:r>
      <w:bookmarkStart w:id="11" w:name="OLE_LINK10"/>
      <w:r w:rsidR="005C5FFF" w:rsidRPr="006B0C21">
        <w:rPr>
          <w:rFonts w:ascii="Book Antiqua" w:hAnsi="Book Antiqua"/>
          <w:sz w:val="24"/>
          <w:szCs w:val="24"/>
        </w:rPr>
        <w:t>Jiangsu Province</w:t>
      </w:r>
      <w:bookmarkEnd w:id="11"/>
      <w:r w:rsidR="005C5FFF" w:rsidRPr="006B0C21">
        <w:rPr>
          <w:rFonts w:ascii="Book Antiqua" w:hAnsi="Book Antiqua"/>
          <w:sz w:val="24"/>
          <w:szCs w:val="24"/>
        </w:rPr>
        <w:t>, China.</w:t>
      </w:r>
      <w:r w:rsidRPr="006B0C21">
        <w:rPr>
          <w:rFonts w:ascii="Book Antiqua" w:hAnsi="Book Antiqua"/>
          <w:sz w:val="24"/>
          <w:szCs w:val="24"/>
        </w:rPr>
        <w:t xml:space="preserve"> </w:t>
      </w:r>
      <w:hyperlink r:id="rId8" w:history="1">
        <w:r w:rsidRPr="006B0C21">
          <w:rPr>
            <w:rStyle w:val="a4"/>
            <w:rFonts w:ascii="Book Antiqua" w:hAnsi="Book Antiqua"/>
            <w:color w:val="auto"/>
            <w:sz w:val="24"/>
            <w:szCs w:val="24"/>
          </w:rPr>
          <w:t>linmiao@njmu.edu.cn</w:t>
        </w:r>
      </w:hyperlink>
    </w:p>
    <w:p w:rsidR="00713A64" w:rsidRPr="006B0C21" w:rsidRDefault="00713A64" w:rsidP="006B0C21">
      <w:pPr>
        <w:adjustRightInd w:val="0"/>
        <w:snapToGrid w:val="0"/>
        <w:spacing w:line="360" w:lineRule="auto"/>
        <w:rPr>
          <w:rFonts w:ascii="Book Antiqua" w:hAnsi="Book Antiqua"/>
          <w:b/>
          <w:sz w:val="24"/>
          <w:szCs w:val="24"/>
        </w:rPr>
      </w:pP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 xml:space="preserve">Received: </w:t>
      </w:r>
      <w:r w:rsidRPr="006B0C21">
        <w:rPr>
          <w:rFonts w:ascii="Book Antiqua" w:hAnsi="Book Antiqua"/>
          <w:sz w:val="24"/>
          <w:szCs w:val="24"/>
        </w:rPr>
        <w:t>March 6, 2020</w:t>
      </w: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 xml:space="preserve">Revised: </w:t>
      </w:r>
      <w:r w:rsidRPr="006B0C21">
        <w:rPr>
          <w:rFonts w:ascii="Book Antiqua" w:hAnsi="Book Antiqua"/>
          <w:sz w:val="24"/>
          <w:szCs w:val="24"/>
        </w:rPr>
        <w:t>May</w:t>
      </w:r>
      <w:r w:rsidR="00C15EBB" w:rsidRPr="006B0C21">
        <w:rPr>
          <w:rFonts w:ascii="Book Antiqua" w:hAnsi="Book Antiqua"/>
          <w:sz w:val="24"/>
          <w:szCs w:val="24"/>
        </w:rPr>
        <w:t xml:space="preserve"> 26</w:t>
      </w:r>
      <w:r w:rsidRPr="006B0C21">
        <w:rPr>
          <w:rFonts w:ascii="Book Antiqua" w:hAnsi="Book Antiqua"/>
          <w:sz w:val="24"/>
          <w:szCs w:val="24"/>
        </w:rPr>
        <w:t>, 2020</w:t>
      </w:r>
    </w:p>
    <w:p w:rsidR="00713A64" w:rsidRPr="006B0C21" w:rsidRDefault="005C5FFF"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Accepted:</w:t>
      </w:r>
      <w:r w:rsidR="006F144A" w:rsidRPr="006F144A">
        <w:t xml:space="preserve"> </w:t>
      </w:r>
      <w:r w:rsidR="006F144A" w:rsidRPr="006F144A">
        <w:rPr>
          <w:rFonts w:ascii="Book Antiqua" w:hAnsi="Book Antiqua"/>
          <w:bCs/>
          <w:sz w:val="24"/>
          <w:szCs w:val="24"/>
        </w:rPr>
        <w:t>June 19, 2020</w:t>
      </w:r>
    </w:p>
    <w:p w:rsidR="00713A64" w:rsidRPr="006B0C21" w:rsidRDefault="00713A64" w:rsidP="000400DC">
      <w:pPr>
        <w:suppressAutoHyphens/>
        <w:autoSpaceDE w:val="0"/>
        <w:autoSpaceDN w:val="0"/>
        <w:adjustRightInd w:val="0"/>
        <w:spacing w:line="200" w:lineRule="atLeast"/>
        <w:textAlignment w:val="center"/>
        <w:rPr>
          <w:rFonts w:ascii="Book Antiqua" w:hAnsi="Book Antiqua"/>
          <w:b/>
          <w:sz w:val="24"/>
          <w:szCs w:val="24"/>
        </w:rPr>
      </w:pPr>
      <w:r w:rsidRPr="006B0C21">
        <w:rPr>
          <w:rFonts w:ascii="Book Antiqua" w:hAnsi="Book Antiqua"/>
          <w:b/>
          <w:sz w:val="24"/>
          <w:szCs w:val="24"/>
        </w:rPr>
        <w:lastRenderedPageBreak/>
        <w:t>Published online:</w:t>
      </w:r>
      <w:r w:rsidR="000400DC" w:rsidRPr="000400DC">
        <w:rPr>
          <w:rFonts w:ascii="Book Antiqua" w:hAnsi="Book Antiqua" w:hint="eastAsia"/>
          <w:sz w:val="24"/>
          <w:szCs w:val="24"/>
        </w:rPr>
        <w:t xml:space="preserve"> </w:t>
      </w:r>
      <w:r w:rsidR="000400DC" w:rsidRPr="00913300">
        <w:rPr>
          <w:rFonts w:ascii="Book Antiqua" w:hAnsi="Book Antiqua" w:hint="eastAsia"/>
          <w:sz w:val="24"/>
          <w:szCs w:val="24"/>
        </w:rPr>
        <w:t>July 26, 2020</w:t>
      </w: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br w:type="page"/>
        <w:t>Abstract</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BACKGROUND</w:t>
      </w:r>
    </w:p>
    <w:p w:rsidR="005C5FFF" w:rsidRPr="006B0C21" w:rsidRDefault="005C5FFF" w:rsidP="006B0C21">
      <w:pPr>
        <w:adjustRightInd w:val="0"/>
        <w:snapToGrid w:val="0"/>
        <w:spacing w:line="360" w:lineRule="auto"/>
        <w:rPr>
          <w:rFonts w:ascii="Book Antiqua" w:hAnsi="Book Antiqua"/>
          <w:sz w:val="24"/>
          <w:szCs w:val="24"/>
        </w:rPr>
      </w:pPr>
      <w:r w:rsidRPr="006B0C21">
        <w:rPr>
          <w:rFonts w:ascii="Book Antiqua" w:hAnsi="Book Antiqua"/>
          <w:sz w:val="24"/>
          <w:szCs w:val="24"/>
          <w:lang w:val="en-GB"/>
        </w:rPr>
        <w:t xml:space="preserve">Endoscopic retrograde cholangiopancreatography (ERCP) is a valuable therapeutic technique for pancreatobiliary diseases, and its application in the elderly is no longer limited. However, a higher incidence of procedure difficulty and periprocedural adverse events might be expected in elderly patients </w:t>
      </w:r>
      <w:r w:rsidR="00873696">
        <w:rPr>
          <w:rFonts w:ascii="Book Antiqua" w:hAnsi="Book Antiqua"/>
          <w:sz w:val="24"/>
          <w:szCs w:val="24"/>
          <w:lang w:val="en-GB"/>
        </w:rPr>
        <w:t>due to the presence</w:t>
      </w:r>
      <w:r w:rsidRPr="006B0C21">
        <w:rPr>
          <w:rFonts w:ascii="Book Antiqua" w:hAnsi="Book Antiqua"/>
          <w:sz w:val="24"/>
          <w:szCs w:val="24"/>
          <w:lang w:val="en-GB"/>
        </w:rPr>
        <w:t xml:space="preserve"> of </w:t>
      </w:r>
      <w:r w:rsidR="004D0870">
        <w:rPr>
          <w:rFonts w:ascii="Book Antiqua" w:hAnsi="Book Antiqua"/>
          <w:sz w:val="24"/>
          <w:szCs w:val="24"/>
          <w:lang w:val="en-GB"/>
        </w:rPr>
        <w:t xml:space="preserve">other </w:t>
      </w:r>
      <w:r w:rsidRPr="006B0C21">
        <w:rPr>
          <w:rFonts w:ascii="Book Antiqua" w:hAnsi="Book Antiqua"/>
          <w:sz w:val="24"/>
          <w:szCs w:val="24"/>
          <w:lang w:val="en-GB"/>
        </w:rPr>
        <w:t>medical disorders and the poor general condition of this population.</w:t>
      </w:r>
    </w:p>
    <w:p w:rsidR="00713A64" w:rsidRPr="006B0C21" w:rsidRDefault="00713A64" w:rsidP="006B0C21">
      <w:pPr>
        <w:adjustRightInd w:val="0"/>
        <w:snapToGrid w:val="0"/>
        <w:spacing w:line="360" w:lineRule="auto"/>
        <w:rPr>
          <w:rFonts w:ascii="Book Antiqua" w:hAnsi="Book Antiqua"/>
          <w:b/>
          <w:i/>
          <w:sz w:val="24"/>
          <w:szCs w:val="24"/>
        </w:rPr>
      </w:pPr>
    </w:p>
    <w:p w:rsidR="00713A64" w:rsidRPr="006B0C21" w:rsidRDefault="00713A64" w:rsidP="006B0C21">
      <w:pPr>
        <w:adjustRightInd w:val="0"/>
        <w:snapToGrid w:val="0"/>
        <w:spacing w:line="360" w:lineRule="auto"/>
        <w:rPr>
          <w:rFonts w:ascii="Book Antiqua" w:hAnsi="Book Antiqua"/>
          <w:sz w:val="24"/>
          <w:szCs w:val="24"/>
          <w:lang w:val="en"/>
        </w:rPr>
      </w:pPr>
      <w:r w:rsidRPr="006B0C21">
        <w:rPr>
          <w:rFonts w:ascii="Book Antiqua" w:hAnsi="Book Antiqua"/>
          <w:sz w:val="24"/>
          <w:szCs w:val="24"/>
        </w:rPr>
        <w:t>AIM</w:t>
      </w:r>
    </w:p>
    <w:p w:rsidR="00713A64" w:rsidRPr="006B0C21" w:rsidRDefault="00C15EBB"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To </w:t>
      </w:r>
      <w:r w:rsidR="00713A64" w:rsidRPr="006B0C21">
        <w:rPr>
          <w:rFonts w:ascii="Book Antiqua" w:hAnsi="Book Antiqua"/>
          <w:sz w:val="24"/>
          <w:szCs w:val="24"/>
        </w:rPr>
        <w:t xml:space="preserve">evaluate the incidence, causes, and management of difficult biliary cannulation during </w:t>
      </w:r>
      <w:r w:rsidRPr="006B0C21">
        <w:rPr>
          <w:rFonts w:ascii="Book Antiqua" w:hAnsi="Book Antiqua"/>
          <w:sz w:val="24"/>
          <w:szCs w:val="24"/>
        </w:rPr>
        <w:t>ERCP</w:t>
      </w:r>
      <w:r w:rsidR="00713A64" w:rsidRPr="006B0C21">
        <w:rPr>
          <w:rFonts w:ascii="Book Antiqua" w:hAnsi="Book Antiqua"/>
          <w:sz w:val="24"/>
          <w:szCs w:val="24"/>
        </w:rPr>
        <w:t xml:space="preserve"> in elderly patients and the role of difficult cannulation as a risk factor for adverse events.</w:t>
      </w:r>
    </w:p>
    <w:p w:rsidR="00713A64" w:rsidRPr="006B0C21" w:rsidRDefault="00713A64" w:rsidP="006B0C21">
      <w:pPr>
        <w:adjustRightInd w:val="0"/>
        <w:snapToGrid w:val="0"/>
        <w:spacing w:line="360" w:lineRule="auto"/>
        <w:rPr>
          <w:rFonts w:ascii="Book Antiqua" w:hAnsi="Book Antiqua"/>
          <w:b/>
          <w:sz w:val="24"/>
          <w:szCs w:val="24"/>
        </w:rPr>
      </w:pPr>
    </w:p>
    <w:p w:rsidR="00713A64" w:rsidRPr="006B0C21" w:rsidRDefault="00713A64" w:rsidP="006B0C21">
      <w:pPr>
        <w:adjustRightInd w:val="0"/>
        <w:snapToGrid w:val="0"/>
        <w:spacing w:line="360" w:lineRule="auto"/>
        <w:rPr>
          <w:rFonts w:ascii="Book Antiqua" w:hAnsi="Book Antiqua"/>
          <w:sz w:val="24"/>
          <w:szCs w:val="24"/>
          <w:lang w:val="en"/>
        </w:rPr>
      </w:pPr>
      <w:r w:rsidRPr="006B0C21">
        <w:rPr>
          <w:rFonts w:ascii="Book Antiqua" w:hAnsi="Book Antiqua"/>
          <w:sz w:val="24"/>
          <w:szCs w:val="24"/>
        </w:rPr>
        <w:t>METHODS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A total of 614 patients who underwent ERCP during the study period were prospectively studied and divided into two groups based on their age. </w:t>
      </w:r>
      <w:r w:rsidR="00873696">
        <w:rPr>
          <w:rFonts w:ascii="Book Antiqua" w:hAnsi="Book Antiqua"/>
          <w:sz w:val="24"/>
          <w:szCs w:val="24"/>
        </w:rPr>
        <w:t>One hundred and forty</w:t>
      </w:r>
      <w:r w:rsidR="00A67732">
        <w:rPr>
          <w:rFonts w:ascii="Book Antiqua" w:hAnsi="Book Antiqua"/>
          <w:sz w:val="24"/>
          <w:szCs w:val="24"/>
        </w:rPr>
        <w:t>-</w:t>
      </w:r>
      <w:r w:rsidR="00873696">
        <w:rPr>
          <w:rFonts w:ascii="Book Antiqua" w:hAnsi="Book Antiqua"/>
          <w:sz w:val="24"/>
          <w:szCs w:val="24"/>
        </w:rPr>
        <w:t xml:space="preserve">six </w:t>
      </w:r>
      <w:r w:rsidRPr="006B0C21">
        <w:rPr>
          <w:rFonts w:ascii="Book Antiqua" w:hAnsi="Book Antiqua"/>
          <w:sz w:val="24"/>
          <w:szCs w:val="24"/>
        </w:rPr>
        <w:t xml:space="preserve">patients </w:t>
      </w:r>
      <w:r w:rsidR="00873696">
        <w:rPr>
          <w:rFonts w:ascii="Book Antiqua" w:hAnsi="Book Antiqua"/>
          <w:sz w:val="24"/>
          <w:szCs w:val="24"/>
        </w:rPr>
        <w:t xml:space="preserve">were </w:t>
      </w:r>
      <w:r w:rsidRPr="006B0C21">
        <w:rPr>
          <w:rFonts w:ascii="Book Antiqua" w:hAnsi="Book Antiqua"/>
          <w:sz w:val="24"/>
          <w:szCs w:val="24"/>
        </w:rPr>
        <w:t xml:space="preserve">aged 80 years or older and 468 patients </w:t>
      </w:r>
      <w:r w:rsidR="00873696">
        <w:rPr>
          <w:rFonts w:ascii="Book Antiqua" w:hAnsi="Book Antiqua"/>
          <w:sz w:val="24"/>
          <w:szCs w:val="24"/>
        </w:rPr>
        <w:t xml:space="preserve">were aged </w:t>
      </w:r>
      <w:r w:rsidRPr="006B0C21">
        <w:rPr>
          <w:rFonts w:ascii="Book Antiqua" w:hAnsi="Book Antiqua"/>
          <w:sz w:val="24"/>
          <w:szCs w:val="24"/>
        </w:rPr>
        <w:t>less than 80 years. The primary outcome measurements were cannulation difficulty, cannulation success rate, ERCP procedure time, and related adverse events.</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sz w:val="24"/>
          <w:szCs w:val="24"/>
          <w:lang w:val="en"/>
        </w:rPr>
      </w:pPr>
      <w:r w:rsidRPr="006B0C21">
        <w:rPr>
          <w:rFonts w:ascii="Book Antiqua" w:hAnsi="Book Antiqua"/>
          <w:sz w:val="24"/>
          <w:szCs w:val="24"/>
        </w:rPr>
        <w:t>RESULTS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There was no difference in the incidence of difficult cannulation </w:t>
      </w:r>
      <w:r w:rsidR="00C15EBB" w:rsidRPr="006B0C21">
        <w:rPr>
          <w:rFonts w:ascii="Book Antiqua" w:hAnsi="Book Antiqua"/>
          <w:sz w:val="24"/>
          <w:szCs w:val="24"/>
        </w:rPr>
        <w:t xml:space="preserve">among the two groups (32.9% </w:t>
      </w:r>
      <w:r w:rsidR="00C15EBB" w:rsidRPr="006B0C21">
        <w:rPr>
          <w:rFonts w:ascii="Book Antiqua" w:hAnsi="Book Antiqua"/>
          <w:i/>
          <w:sz w:val="24"/>
          <w:szCs w:val="24"/>
        </w:rPr>
        <w:t>vs</w:t>
      </w:r>
      <w:r w:rsidR="00C15EBB" w:rsidRPr="006B0C21">
        <w:rPr>
          <w:rFonts w:ascii="Book Antiqua" w:hAnsi="Book Antiqua"/>
          <w:sz w:val="24"/>
          <w:szCs w:val="24"/>
        </w:rPr>
        <w:t xml:space="preserve"> </w:t>
      </w:r>
      <w:r w:rsidRPr="006B0C21">
        <w:rPr>
          <w:rFonts w:ascii="Book Antiqua" w:hAnsi="Book Antiqua"/>
          <w:sz w:val="24"/>
          <w:szCs w:val="24"/>
        </w:rPr>
        <w:t xml:space="preserve">34.4%,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w:t>
      </w:r>
      <w:r w:rsidRPr="006B0C21">
        <w:rPr>
          <w:rFonts w:ascii="Book Antiqua" w:hAnsi="Book Antiqua"/>
          <w:sz w:val="24"/>
          <w:szCs w:val="24"/>
        </w:rPr>
        <w:t xml:space="preserve">0.765), as well as in </w:t>
      </w:r>
      <w:r w:rsidR="00873696">
        <w:rPr>
          <w:rFonts w:ascii="Book Antiqua" w:hAnsi="Book Antiqua"/>
          <w:sz w:val="24"/>
          <w:szCs w:val="24"/>
        </w:rPr>
        <w:t xml:space="preserve">the </w:t>
      </w:r>
      <w:r w:rsidRPr="006B0C21">
        <w:rPr>
          <w:rFonts w:ascii="Book Antiqua" w:hAnsi="Book Antiqua"/>
          <w:sz w:val="24"/>
          <w:szCs w:val="24"/>
        </w:rPr>
        <w:t>can</w:t>
      </w:r>
      <w:r w:rsidR="00C15EBB" w:rsidRPr="006B0C21">
        <w:rPr>
          <w:rFonts w:ascii="Book Antiqua" w:hAnsi="Book Antiqua"/>
          <w:sz w:val="24"/>
          <w:szCs w:val="24"/>
        </w:rPr>
        <w:t xml:space="preserve">nulation success rate (96.6% </w:t>
      </w:r>
      <w:r w:rsidR="00C15EBB" w:rsidRPr="006B0C21">
        <w:rPr>
          <w:rFonts w:ascii="Book Antiqua" w:hAnsi="Book Antiqua"/>
          <w:i/>
          <w:sz w:val="24"/>
          <w:szCs w:val="24"/>
        </w:rPr>
        <w:t>vs</w:t>
      </w:r>
      <w:r w:rsidRPr="006B0C21">
        <w:rPr>
          <w:rFonts w:ascii="Book Antiqua" w:hAnsi="Book Antiqua"/>
          <w:sz w:val="24"/>
          <w:szCs w:val="24"/>
        </w:rPr>
        <w:t xml:space="preserve"> 96.8%,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 xml:space="preserve">= 0.54). The cannulation techniques were shown to be safe and efficient in achieving </w:t>
      </w:r>
      <w:r w:rsidR="00873696">
        <w:rPr>
          <w:rFonts w:ascii="Book Antiqua" w:hAnsi="Book Antiqua"/>
          <w:sz w:val="24"/>
          <w:szCs w:val="24"/>
        </w:rPr>
        <w:t xml:space="preserve">successful </w:t>
      </w:r>
      <w:r w:rsidRPr="006B0C21">
        <w:rPr>
          <w:rFonts w:ascii="Book Antiqua" w:hAnsi="Book Antiqua"/>
          <w:sz w:val="24"/>
          <w:szCs w:val="24"/>
        </w:rPr>
        <w:t>cannulation. Logistic regression analysis showed that patients aged 80 years or older were not associated with increased adverse events; howeve</w:t>
      </w:r>
      <w:r w:rsidR="00C15EBB" w:rsidRPr="006B0C21">
        <w:rPr>
          <w:rFonts w:ascii="Book Antiqua" w:hAnsi="Book Antiqua"/>
          <w:sz w:val="24"/>
          <w:szCs w:val="24"/>
        </w:rPr>
        <w:t>r, difficult cannulation cases [</w:t>
      </w:r>
      <w:r w:rsidRPr="006B0C21">
        <w:rPr>
          <w:rFonts w:ascii="Book Antiqua" w:hAnsi="Book Antiqua"/>
          <w:sz w:val="24"/>
          <w:szCs w:val="24"/>
        </w:rPr>
        <w:t>a</w:t>
      </w:r>
      <w:r w:rsidR="00C15EBB" w:rsidRPr="006B0C21">
        <w:rPr>
          <w:rFonts w:ascii="Book Antiqua" w:hAnsi="Book Antiqua"/>
          <w:sz w:val="24"/>
          <w:szCs w:val="24"/>
        </w:rPr>
        <w:t xml:space="preserve">djusted odds ratio (AOR) </w:t>
      </w:r>
      <w:r w:rsidRPr="006B0C21">
        <w:rPr>
          <w:rFonts w:ascii="Book Antiqua" w:hAnsi="Book Antiqua"/>
          <w:sz w:val="24"/>
          <w:szCs w:val="24"/>
        </w:rPr>
        <w:t>=</w:t>
      </w:r>
      <w:r w:rsidR="00C15EBB" w:rsidRPr="006B0C21">
        <w:rPr>
          <w:rFonts w:ascii="Book Antiqua" w:hAnsi="Book Antiqua"/>
          <w:sz w:val="24"/>
          <w:szCs w:val="24"/>
        </w:rPr>
        <w:t xml:space="preserve"> 3.478; 95% confidence interval (CI)</w:t>
      </w:r>
      <w:r w:rsidR="00383DD9">
        <w:rPr>
          <w:rFonts w:ascii="Book Antiqua" w:hAnsi="Book Antiqua" w:hint="eastAsia"/>
          <w:sz w:val="24"/>
          <w:szCs w:val="24"/>
        </w:rPr>
        <w:t>:</w:t>
      </w:r>
      <w:r w:rsidR="00383DD9">
        <w:rPr>
          <w:rFonts w:ascii="Book Antiqua" w:hAnsi="Book Antiqua"/>
          <w:sz w:val="24"/>
          <w:szCs w:val="24"/>
        </w:rPr>
        <w:t xml:space="preserve"> </w:t>
      </w:r>
      <w:r w:rsidRPr="006B0C21">
        <w:rPr>
          <w:rFonts w:ascii="Book Antiqua" w:hAnsi="Book Antiqua"/>
          <w:sz w:val="24"/>
          <w:szCs w:val="24"/>
        </w:rPr>
        <w:t>1.877</w:t>
      </w:r>
      <w:r w:rsidR="00C15EBB" w:rsidRPr="006B0C21">
        <w:rPr>
          <w:rFonts w:ascii="Book Antiqua" w:hAnsi="Book Antiqua"/>
          <w:sz w:val="24"/>
          <w:szCs w:val="24"/>
        </w:rPr>
        <w:t>-</w:t>
      </w:r>
      <w:r w:rsidRPr="006B0C21">
        <w:rPr>
          <w:rFonts w:ascii="Book Antiqua" w:hAnsi="Book Antiqua"/>
          <w:sz w:val="24"/>
          <w:szCs w:val="24"/>
        </w:rPr>
        <w:t xml:space="preserve">6.442;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&lt;</w:t>
      </w:r>
      <w:r w:rsidR="00C15EBB" w:rsidRPr="006B0C21">
        <w:rPr>
          <w:rFonts w:ascii="Book Antiqua" w:hAnsi="Book Antiqua"/>
          <w:sz w:val="24"/>
          <w:szCs w:val="24"/>
        </w:rPr>
        <w:t xml:space="preserve"> </w:t>
      </w:r>
      <w:r w:rsidRPr="006B0C21">
        <w:rPr>
          <w:rFonts w:ascii="Book Antiqua" w:hAnsi="Book Antiqua"/>
          <w:sz w:val="24"/>
          <w:szCs w:val="24"/>
        </w:rPr>
        <w:t>0.001</w:t>
      </w:r>
      <w:r w:rsidR="00383DD9">
        <w:rPr>
          <w:rFonts w:ascii="Book Antiqua" w:hAnsi="Book Antiqua" w:hint="eastAsia"/>
          <w:sz w:val="24"/>
          <w:szCs w:val="24"/>
        </w:rPr>
        <w:t>]</w:t>
      </w:r>
      <w:r w:rsidRPr="006B0C21">
        <w:rPr>
          <w:rFonts w:ascii="Book Antiqua" w:hAnsi="Book Antiqua"/>
          <w:sz w:val="24"/>
          <w:szCs w:val="24"/>
        </w:rPr>
        <w:t xml:space="preserve"> and patients wi</w:t>
      </w:r>
      <w:r w:rsidR="00C15EBB" w:rsidRPr="006B0C21">
        <w:rPr>
          <w:rFonts w:ascii="Book Antiqua" w:hAnsi="Book Antiqua"/>
          <w:sz w:val="24"/>
          <w:szCs w:val="24"/>
        </w:rPr>
        <w:t>th Charlson Comorbidit</w:t>
      </w:r>
      <w:r w:rsidR="00873696">
        <w:rPr>
          <w:rFonts w:ascii="Book Antiqua" w:hAnsi="Book Antiqua"/>
          <w:sz w:val="24"/>
          <w:szCs w:val="24"/>
        </w:rPr>
        <w:t>y</w:t>
      </w:r>
      <w:r w:rsidR="00C15EBB" w:rsidRPr="006B0C21">
        <w:rPr>
          <w:rFonts w:ascii="Book Antiqua" w:hAnsi="Book Antiqua"/>
          <w:sz w:val="24"/>
          <w:szCs w:val="24"/>
        </w:rPr>
        <w:t xml:space="preserve"> Index</w:t>
      </w:r>
      <w:r w:rsidRPr="006B0C21">
        <w:rPr>
          <w:rFonts w:ascii="Book Antiqua" w:hAnsi="Book Antiqua"/>
          <w:sz w:val="24"/>
          <w:szCs w:val="24"/>
        </w:rPr>
        <w:t xml:space="preserve"> ≥</w:t>
      </w:r>
      <w:r w:rsidR="00C15EBB" w:rsidRPr="006B0C21">
        <w:rPr>
          <w:rFonts w:ascii="Book Antiqua" w:hAnsi="Book Antiqua"/>
          <w:sz w:val="24"/>
          <w:szCs w:val="24"/>
        </w:rPr>
        <w:t xml:space="preserve"> </w:t>
      </w:r>
      <w:r w:rsidRPr="006B0C21">
        <w:rPr>
          <w:rFonts w:ascii="Book Antiqua" w:hAnsi="Book Antiqua"/>
          <w:sz w:val="24"/>
          <w:szCs w:val="24"/>
        </w:rPr>
        <w:t>2 (AOR</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1.824; 95%</w:t>
      </w:r>
      <w:r w:rsidRPr="006B0C21">
        <w:rPr>
          <w:rFonts w:ascii="Book Antiqua" w:hAnsi="Book Antiqua"/>
          <w:sz w:val="24"/>
          <w:szCs w:val="24"/>
        </w:rPr>
        <w:t>CI</w:t>
      </w:r>
      <w:r w:rsidR="00383DD9">
        <w:rPr>
          <w:rFonts w:ascii="Book Antiqua" w:hAnsi="Book Antiqua"/>
          <w:sz w:val="24"/>
          <w:szCs w:val="24"/>
        </w:rPr>
        <w:t xml:space="preserve">: </w:t>
      </w:r>
      <w:r w:rsidRPr="006B0C21">
        <w:rPr>
          <w:rFonts w:ascii="Book Antiqua" w:hAnsi="Book Antiqua"/>
          <w:sz w:val="24"/>
          <w:szCs w:val="24"/>
        </w:rPr>
        <w:t>0.993</w:t>
      </w:r>
      <w:r w:rsidR="00C15EBB" w:rsidRPr="006B0C21">
        <w:rPr>
          <w:rFonts w:ascii="Book Antiqua" w:hAnsi="Book Antiqua"/>
          <w:sz w:val="24"/>
          <w:szCs w:val="24"/>
        </w:rPr>
        <w:t>-</w:t>
      </w:r>
      <w:r w:rsidRPr="006B0C21">
        <w:rPr>
          <w:rFonts w:ascii="Book Antiqua" w:hAnsi="Book Antiqua"/>
          <w:sz w:val="24"/>
          <w:szCs w:val="24"/>
        </w:rPr>
        <w:t xml:space="preserve">3.349;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w:t>
      </w:r>
      <w:r w:rsidRPr="006B0C21">
        <w:rPr>
          <w:rFonts w:ascii="Book Antiqua" w:hAnsi="Book Antiqua"/>
          <w:sz w:val="24"/>
          <w:szCs w:val="24"/>
        </w:rPr>
        <w:t>0.045) were more likely to develop adverse events. In contrast, other factors including age ≤</w:t>
      </w:r>
      <w:r w:rsidR="00C15EBB" w:rsidRPr="006B0C21">
        <w:rPr>
          <w:rFonts w:ascii="Book Antiqua" w:hAnsi="Book Antiqua"/>
          <w:sz w:val="24"/>
          <w:szCs w:val="24"/>
        </w:rPr>
        <w:t xml:space="preserve"> </w:t>
      </w:r>
      <w:r w:rsidRPr="006B0C21">
        <w:rPr>
          <w:rFonts w:ascii="Book Antiqua" w:hAnsi="Book Antiqua"/>
          <w:sz w:val="24"/>
          <w:szCs w:val="24"/>
        </w:rPr>
        <w:t>65 (AOR</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3.460; 95%</w:t>
      </w:r>
      <w:r w:rsidRPr="006B0C21">
        <w:rPr>
          <w:rFonts w:ascii="Book Antiqua" w:hAnsi="Book Antiqua"/>
          <w:sz w:val="24"/>
          <w:szCs w:val="24"/>
        </w:rPr>
        <w:t>CI</w:t>
      </w:r>
      <w:r w:rsidR="00383DD9">
        <w:rPr>
          <w:rFonts w:ascii="Book Antiqua" w:hAnsi="Book Antiqua"/>
          <w:sz w:val="24"/>
          <w:szCs w:val="24"/>
        </w:rPr>
        <w:t>:</w:t>
      </w:r>
      <w:r w:rsidR="00C15EBB" w:rsidRPr="006B0C21">
        <w:rPr>
          <w:rFonts w:ascii="Book Antiqua" w:hAnsi="Book Antiqua"/>
          <w:sz w:val="24"/>
          <w:szCs w:val="24"/>
        </w:rPr>
        <w:t xml:space="preserve"> </w:t>
      </w:r>
      <w:r w:rsidRPr="006B0C21">
        <w:rPr>
          <w:rFonts w:ascii="Book Antiqua" w:hAnsi="Book Antiqua"/>
          <w:sz w:val="24"/>
          <w:szCs w:val="24"/>
        </w:rPr>
        <w:t>1.511</w:t>
      </w:r>
      <w:r w:rsidR="00C15EBB" w:rsidRPr="006B0C21">
        <w:rPr>
          <w:rFonts w:ascii="Book Antiqua" w:hAnsi="Book Antiqua"/>
          <w:sz w:val="24"/>
          <w:szCs w:val="24"/>
        </w:rPr>
        <w:t>-</w:t>
      </w:r>
      <w:r w:rsidRPr="006B0C21">
        <w:rPr>
          <w:rFonts w:ascii="Book Antiqua" w:hAnsi="Book Antiqua"/>
          <w:sz w:val="24"/>
          <w:szCs w:val="24"/>
        </w:rPr>
        <w:t xml:space="preserve">7.922;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w:t>
      </w:r>
      <w:r w:rsidRPr="006B0C21">
        <w:rPr>
          <w:rFonts w:ascii="Book Antiqua" w:hAnsi="Book Antiqua"/>
          <w:sz w:val="24"/>
          <w:szCs w:val="24"/>
        </w:rPr>
        <w:t>0.003), female gender (AOR</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2.362; 95%</w:t>
      </w:r>
      <w:r w:rsidRPr="006B0C21">
        <w:rPr>
          <w:rFonts w:ascii="Book Antiqua" w:hAnsi="Book Antiqua"/>
          <w:sz w:val="24"/>
          <w:szCs w:val="24"/>
        </w:rPr>
        <w:t>CI=1.089</w:t>
      </w:r>
      <w:r w:rsidR="00C15EBB" w:rsidRPr="006B0C21">
        <w:rPr>
          <w:rFonts w:ascii="Book Antiqua" w:hAnsi="Book Antiqua"/>
          <w:sz w:val="24"/>
          <w:szCs w:val="24"/>
        </w:rPr>
        <w:t>-</w:t>
      </w:r>
      <w:r w:rsidRPr="006B0C21">
        <w:rPr>
          <w:rFonts w:ascii="Book Antiqua" w:hAnsi="Book Antiqua"/>
          <w:sz w:val="24"/>
          <w:szCs w:val="24"/>
        </w:rPr>
        <w:t xml:space="preserve">5.124;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w:t>
      </w:r>
      <w:r w:rsidRPr="006B0C21">
        <w:rPr>
          <w:rFonts w:ascii="Book Antiqua" w:hAnsi="Book Antiqua"/>
          <w:sz w:val="24"/>
          <w:szCs w:val="24"/>
        </w:rPr>
        <w:t>0.030), difficult cannulation (AOR</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4.527; 95%</w:t>
      </w:r>
      <w:r w:rsidRPr="006B0C21">
        <w:rPr>
          <w:rFonts w:ascii="Book Antiqua" w:hAnsi="Book Antiqua"/>
          <w:sz w:val="24"/>
          <w:szCs w:val="24"/>
        </w:rPr>
        <w:t>CI</w:t>
      </w:r>
      <w:r w:rsidR="00383DD9">
        <w:rPr>
          <w:rFonts w:ascii="Book Antiqua" w:hAnsi="Book Antiqua"/>
          <w:sz w:val="24"/>
          <w:szCs w:val="24"/>
        </w:rPr>
        <w:t>:</w:t>
      </w:r>
      <w:r w:rsidR="00C15EBB" w:rsidRPr="006B0C21">
        <w:rPr>
          <w:rFonts w:ascii="Book Antiqua" w:hAnsi="Book Antiqua"/>
          <w:sz w:val="24"/>
          <w:szCs w:val="24"/>
        </w:rPr>
        <w:t xml:space="preserve"> 2.078-</w:t>
      </w:r>
      <w:r w:rsidRPr="006B0C21">
        <w:rPr>
          <w:rFonts w:ascii="Book Antiqua" w:hAnsi="Book Antiqua"/>
          <w:sz w:val="24"/>
          <w:szCs w:val="24"/>
        </w:rPr>
        <w:t xml:space="preserve">9.860;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&lt;</w:t>
      </w:r>
      <w:r w:rsidR="00C15EBB" w:rsidRPr="006B0C21">
        <w:rPr>
          <w:rFonts w:ascii="Book Antiqua" w:hAnsi="Book Antiqua"/>
          <w:sz w:val="24"/>
          <w:szCs w:val="24"/>
        </w:rPr>
        <w:t xml:space="preserve"> </w:t>
      </w:r>
      <w:r w:rsidRPr="006B0C21">
        <w:rPr>
          <w:rFonts w:ascii="Book Antiqua" w:hAnsi="Book Antiqua"/>
          <w:sz w:val="24"/>
          <w:szCs w:val="24"/>
        </w:rPr>
        <w:t>0.001), and patients with cholangitis (AOR</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3.261; 95%</w:t>
      </w:r>
      <w:r w:rsidRPr="006B0C21">
        <w:rPr>
          <w:rFonts w:ascii="Book Antiqua" w:hAnsi="Book Antiqua"/>
          <w:sz w:val="24"/>
          <w:szCs w:val="24"/>
        </w:rPr>
        <w:t>CI</w:t>
      </w:r>
      <w:r w:rsidR="00383DD9">
        <w:rPr>
          <w:rFonts w:ascii="Book Antiqua" w:hAnsi="Book Antiqua"/>
          <w:sz w:val="24"/>
          <w:szCs w:val="24"/>
        </w:rPr>
        <w:t xml:space="preserve">: </w:t>
      </w:r>
      <w:r w:rsidR="00C15EBB" w:rsidRPr="006B0C21">
        <w:rPr>
          <w:rFonts w:ascii="Book Antiqua" w:hAnsi="Book Antiqua"/>
          <w:sz w:val="24"/>
          <w:szCs w:val="24"/>
        </w:rPr>
        <w:t>1.204-</w:t>
      </w:r>
      <w:r w:rsidRPr="006B0C21">
        <w:rPr>
          <w:rFonts w:ascii="Book Antiqua" w:hAnsi="Book Antiqua"/>
          <w:sz w:val="24"/>
          <w:szCs w:val="24"/>
        </w:rPr>
        <w:t xml:space="preserve">8.832; </w:t>
      </w:r>
      <w:r w:rsidRPr="006B0C21">
        <w:rPr>
          <w:rFonts w:ascii="Book Antiqua" w:hAnsi="Book Antiqua"/>
          <w:i/>
          <w:caps/>
          <w:sz w:val="24"/>
          <w:szCs w:val="24"/>
        </w:rPr>
        <w:t>p</w:t>
      </w:r>
      <w:r w:rsidR="00C15EBB" w:rsidRPr="006B0C21">
        <w:rPr>
          <w:rFonts w:ascii="Book Antiqua" w:hAnsi="Book Antiqua"/>
          <w:sz w:val="24"/>
          <w:szCs w:val="24"/>
        </w:rPr>
        <w:t xml:space="preserve"> </w:t>
      </w:r>
      <w:r w:rsidRPr="006B0C21">
        <w:rPr>
          <w:rFonts w:ascii="Book Antiqua" w:hAnsi="Book Antiqua"/>
          <w:sz w:val="24"/>
          <w:szCs w:val="24"/>
        </w:rPr>
        <w:t>=</w:t>
      </w:r>
      <w:r w:rsidR="00C15EBB" w:rsidRPr="006B0C21">
        <w:rPr>
          <w:rFonts w:ascii="Book Antiqua" w:hAnsi="Book Antiqua"/>
          <w:sz w:val="24"/>
          <w:szCs w:val="24"/>
        </w:rPr>
        <w:t xml:space="preserve"> </w:t>
      </w:r>
      <w:r w:rsidRPr="006B0C21">
        <w:rPr>
          <w:rFonts w:ascii="Book Antiqua" w:hAnsi="Book Antiqua"/>
          <w:sz w:val="24"/>
          <w:szCs w:val="24"/>
        </w:rPr>
        <w:t xml:space="preserve">0.020) were strongly associated with </w:t>
      </w:r>
      <w:r w:rsidR="00873696">
        <w:rPr>
          <w:rFonts w:ascii="Book Antiqua" w:hAnsi="Book Antiqua"/>
          <w:sz w:val="24"/>
          <w:szCs w:val="24"/>
        </w:rPr>
        <w:t xml:space="preserve">a </w:t>
      </w:r>
      <w:r w:rsidRPr="006B0C21">
        <w:rPr>
          <w:rFonts w:ascii="Book Antiqua" w:hAnsi="Book Antiqua"/>
          <w:sz w:val="24"/>
          <w:szCs w:val="24"/>
        </w:rPr>
        <w:t xml:space="preserve">higher rate of </w:t>
      </w:r>
      <w:r w:rsidR="00873696">
        <w:rPr>
          <w:rFonts w:ascii="Book Antiqua" w:hAnsi="Book Antiqua"/>
          <w:sz w:val="24"/>
          <w:szCs w:val="24"/>
        </w:rPr>
        <w:t>p</w:t>
      </w:r>
      <w:r w:rsidRPr="006B0C21">
        <w:rPr>
          <w:rFonts w:ascii="Book Antiqua" w:hAnsi="Book Antiqua"/>
          <w:sz w:val="24"/>
          <w:szCs w:val="24"/>
        </w:rPr>
        <w:t xml:space="preserve">ost-ERCP </w:t>
      </w:r>
      <w:r w:rsidR="00873696">
        <w:rPr>
          <w:rFonts w:ascii="Book Antiqua" w:hAnsi="Book Antiqua"/>
          <w:sz w:val="24"/>
          <w:szCs w:val="24"/>
        </w:rPr>
        <w:t>p</w:t>
      </w:r>
      <w:r w:rsidRPr="006B0C21">
        <w:rPr>
          <w:rFonts w:ascii="Book Antiqua" w:hAnsi="Book Antiqua"/>
          <w:sz w:val="24"/>
          <w:szCs w:val="24"/>
        </w:rPr>
        <w:t>ancreatitis.</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CONCLUSION</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Advanced age has not been proved to be a risk factor </w:t>
      </w:r>
      <w:r w:rsidR="00873696">
        <w:rPr>
          <w:rFonts w:ascii="Book Antiqua" w:hAnsi="Book Antiqua"/>
          <w:sz w:val="24"/>
          <w:szCs w:val="24"/>
        </w:rPr>
        <w:t>for</w:t>
      </w:r>
      <w:r w:rsidRPr="006B0C21">
        <w:rPr>
          <w:rFonts w:ascii="Book Antiqua" w:hAnsi="Book Antiqua"/>
          <w:sz w:val="24"/>
          <w:szCs w:val="24"/>
        </w:rPr>
        <w:t xml:space="preserve"> difficult cannulation, and secondary cannulation techniques can be safely and efficaciously utilized </w:t>
      </w:r>
      <w:r w:rsidR="00873696">
        <w:rPr>
          <w:rFonts w:ascii="Book Antiqua" w:hAnsi="Book Antiqua"/>
          <w:sz w:val="24"/>
          <w:szCs w:val="24"/>
        </w:rPr>
        <w:t>in</w:t>
      </w:r>
      <w:r w:rsidRPr="006B0C21">
        <w:rPr>
          <w:rFonts w:ascii="Book Antiqua" w:hAnsi="Book Antiqua"/>
          <w:sz w:val="24"/>
          <w:szCs w:val="24"/>
        </w:rPr>
        <w:t xml:space="preserve"> this group. Patients with </w:t>
      </w:r>
      <w:r w:rsidR="00873696">
        <w:rPr>
          <w:rFonts w:ascii="Book Antiqua" w:hAnsi="Book Antiqua"/>
          <w:sz w:val="24"/>
          <w:szCs w:val="24"/>
        </w:rPr>
        <w:t xml:space="preserve">a </w:t>
      </w:r>
      <w:r w:rsidR="00C15EBB" w:rsidRPr="006B0C21">
        <w:rPr>
          <w:rFonts w:ascii="Book Antiqua" w:hAnsi="Book Antiqua"/>
          <w:sz w:val="24"/>
          <w:szCs w:val="24"/>
        </w:rPr>
        <w:t>Charlson Comorbidit</w:t>
      </w:r>
      <w:r w:rsidR="00873696">
        <w:rPr>
          <w:rFonts w:ascii="Book Antiqua" w:hAnsi="Book Antiqua"/>
          <w:sz w:val="24"/>
          <w:szCs w:val="24"/>
        </w:rPr>
        <w:t>y</w:t>
      </w:r>
      <w:r w:rsidR="00C15EBB" w:rsidRPr="006B0C21">
        <w:rPr>
          <w:rFonts w:ascii="Book Antiqua" w:hAnsi="Book Antiqua"/>
          <w:sz w:val="24"/>
          <w:szCs w:val="24"/>
        </w:rPr>
        <w:t xml:space="preserve"> Index</w:t>
      </w:r>
      <w:r w:rsidRPr="006B0C21">
        <w:rPr>
          <w:rFonts w:ascii="Book Antiqua" w:hAnsi="Book Antiqua"/>
          <w:sz w:val="24"/>
          <w:szCs w:val="24"/>
        </w:rPr>
        <w:t xml:space="preserve"> ≥</w:t>
      </w:r>
      <w:r w:rsidR="00C15EBB" w:rsidRPr="006B0C21">
        <w:rPr>
          <w:rFonts w:ascii="Book Antiqua" w:hAnsi="Book Antiqua"/>
          <w:sz w:val="24"/>
          <w:szCs w:val="24"/>
        </w:rPr>
        <w:t xml:space="preserve"> </w:t>
      </w:r>
      <w:r w:rsidRPr="006B0C21">
        <w:rPr>
          <w:rFonts w:ascii="Book Antiqua" w:hAnsi="Book Antiqua"/>
          <w:sz w:val="24"/>
          <w:szCs w:val="24"/>
        </w:rPr>
        <w:t xml:space="preserve">2 and difficult cannulation are associated with </w:t>
      </w:r>
      <w:r w:rsidR="00873696">
        <w:rPr>
          <w:rFonts w:ascii="Book Antiqua" w:hAnsi="Book Antiqua"/>
          <w:sz w:val="24"/>
          <w:szCs w:val="24"/>
        </w:rPr>
        <w:t xml:space="preserve">an </w:t>
      </w:r>
      <w:r w:rsidRPr="006B0C21">
        <w:rPr>
          <w:rFonts w:ascii="Book Antiqua" w:hAnsi="Book Antiqua"/>
          <w:sz w:val="24"/>
          <w:szCs w:val="24"/>
        </w:rPr>
        <w:t>increased overall adverse events rate, while age ≥</w:t>
      </w:r>
      <w:r w:rsidR="00C15EBB" w:rsidRPr="006B0C21">
        <w:rPr>
          <w:rFonts w:ascii="Book Antiqua" w:hAnsi="Book Antiqua"/>
          <w:sz w:val="24"/>
          <w:szCs w:val="24"/>
        </w:rPr>
        <w:t xml:space="preserve"> </w:t>
      </w:r>
      <w:r w:rsidRPr="006B0C21">
        <w:rPr>
          <w:rFonts w:ascii="Book Antiqua" w:hAnsi="Book Antiqua"/>
          <w:sz w:val="24"/>
          <w:szCs w:val="24"/>
        </w:rPr>
        <w:t xml:space="preserve">80 </w:t>
      </w:r>
      <w:r w:rsidR="004D0870">
        <w:rPr>
          <w:rFonts w:ascii="Book Antiqua" w:hAnsi="Book Antiqua"/>
          <w:sz w:val="24"/>
          <w:szCs w:val="24"/>
        </w:rPr>
        <w:t xml:space="preserve">years </w:t>
      </w:r>
      <w:r w:rsidRPr="006B0C21">
        <w:rPr>
          <w:rFonts w:ascii="Book Antiqua" w:hAnsi="Book Antiqua"/>
          <w:sz w:val="24"/>
          <w:szCs w:val="24"/>
        </w:rPr>
        <w:t>is not.</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b/>
          <w:sz w:val="24"/>
          <w:szCs w:val="24"/>
        </w:rPr>
        <w:t xml:space="preserve">Key words: </w:t>
      </w:r>
      <w:r w:rsidRPr="006B0C21">
        <w:rPr>
          <w:rFonts w:ascii="Book Antiqua" w:hAnsi="Book Antiqua"/>
          <w:sz w:val="24"/>
          <w:szCs w:val="24"/>
        </w:rPr>
        <w:t>Endoscopic retrograde cholangiopancreatography; Difficult cannulation; Cannulation techniques; Elderly; Adverse events; Post-</w:t>
      </w:r>
      <w:r w:rsidR="00C15EBB" w:rsidRPr="006B0C21">
        <w:rPr>
          <w:rFonts w:ascii="Book Antiqua" w:hAnsi="Book Antiqua"/>
          <w:sz w:val="24"/>
          <w:szCs w:val="24"/>
          <w:lang w:val="en-GB"/>
        </w:rPr>
        <w:t xml:space="preserve"> endoscopic retrograde cholangiopancreatography</w:t>
      </w:r>
      <w:r w:rsidRPr="006B0C21">
        <w:rPr>
          <w:rFonts w:ascii="Book Antiqua" w:hAnsi="Book Antiqua"/>
          <w:sz w:val="24"/>
          <w:szCs w:val="24"/>
        </w:rPr>
        <w:t xml:space="preserve"> pancreatitis</w:t>
      </w:r>
    </w:p>
    <w:p w:rsidR="00713A64" w:rsidRPr="006B0C21" w:rsidRDefault="00713A64" w:rsidP="006B0C21">
      <w:pPr>
        <w:adjustRightInd w:val="0"/>
        <w:snapToGrid w:val="0"/>
        <w:spacing w:line="360" w:lineRule="auto"/>
        <w:rPr>
          <w:rFonts w:ascii="Book Antiqua" w:hAnsi="Book Antiqua"/>
          <w:sz w:val="24"/>
          <w:szCs w:val="24"/>
        </w:rPr>
      </w:pPr>
    </w:p>
    <w:p w:rsidR="00E8335E" w:rsidRDefault="00E8335E" w:rsidP="006B0C21">
      <w:pPr>
        <w:adjustRightInd w:val="0"/>
        <w:snapToGrid w:val="0"/>
        <w:spacing w:line="360" w:lineRule="auto"/>
        <w:rPr>
          <w:rFonts w:ascii="Book Antiqua" w:hAnsi="Book Antiqua" w:cs="Arial" w:hint="eastAsia"/>
          <w:iCs/>
          <w:kern w:val="0"/>
          <w:sz w:val="24"/>
          <w:szCs w:val="24"/>
        </w:rPr>
      </w:pPr>
      <w:r w:rsidRPr="00E8335E">
        <w:rPr>
          <w:rFonts w:ascii="Book Antiqua" w:hAnsi="Book Antiqua" w:hint="eastAsia"/>
          <w:b/>
          <w:sz w:val="24"/>
          <w:szCs w:val="24"/>
        </w:rPr>
        <w:t xml:space="preserve">Citation: </w:t>
      </w:r>
      <w:r w:rsidR="00713A64" w:rsidRPr="006B0C21">
        <w:rPr>
          <w:rFonts w:ascii="Book Antiqua" w:hAnsi="Book Antiqua"/>
          <w:sz w:val="24"/>
          <w:szCs w:val="24"/>
        </w:rPr>
        <w:t>Tabak</w:t>
      </w:r>
      <w:r w:rsidR="00C15EBB" w:rsidRPr="006B0C21">
        <w:rPr>
          <w:rFonts w:ascii="Book Antiqua" w:hAnsi="Book Antiqua"/>
          <w:sz w:val="24"/>
          <w:szCs w:val="24"/>
        </w:rPr>
        <w:t xml:space="preserve"> F</w:t>
      </w:r>
      <w:r w:rsidR="00713A64" w:rsidRPr="006B0C21">
        <w:rPr>
          <w:rFonts w:ascii="Book Antiqua" w:hAnsi="Book Antiqua"/>
          <w:sz w:val="24"/>
          <w:szCs w:val="24"/>
        </w:rPr>
        <w:t>, Wang</w:t>
      </w:r>
      <w:r w:rsidR="00C15EBB" w:rsidRPr="006B0C21">
        <w:rPr>
          <w:rFonts w:ascii="Book Antiqua" w:hAnsi="Book Antiqua"/>
          <w:sz w:val="24"/>
          <w:szCs w:val="24"/>
        </w:rPr>
        <w:t xml:space="preserve"> HS</w:t>
      </w:r>
      <w:r w:rsidR="00713A64" w:rsidRPr="006B0C21">
        <w:rPr>
          <w:rFonts w:ascii="Book Antiqua" w:hAnsi="Book Antiqua"/>
          <w:sz w:val="24"/>
          <w:szCs w:val="24"/>
        </w:rPr>
        <w:t>, Li</w:t>
      </w:r>
      <w:r w:rsidR="00C15EBB" w:rsidRPr="006B0C21">
        <w:rPr>
          <w:rFonts w:ascii="Book Antiqua" w:hAnsi="Book Antiqua"/>
          <w:sz w:val="24"/>
          <w:szCs w:val="24"/>
        </w:rPr>
        <w:t xml:space="preserve"> QP</w:t>
      </w:r>
      <w:r w:rsidR="00713A64" w:rsidRPr="006B0C21">
        <w:rPr>
          <w:rFonts w:ascii="Book Antiqua" w:hAnsi="Book Antiqua"/>
          <w:sz w:val="24"/>
          <w:szCs w:val="24"/>
        </w:rPr>
        <w:t>, Ge</w:t>
      </w:r>
      <w:r w:rsidR="00C15EBB" w:rsidRPr="006B0C21">
        <w:rPr>
          <w:rFonts w:ascii="Book Antiqua" w:hAnsi="Book Antiqua"/>
          <w:sz w:val="24"/>
          <w:szCs w:val="24"/>
        </w:rPr>
        <w:t xml:space="preserve"> XX</w:t>
      </w:r>
      <w:r w:rsidR="00713A64" w:rsidRPr="006B0C21">
        <w:rPr>
          <w:rFonts w:ascii="Book Antiqua" w:hAnsi="Book Antiqua"/>
          <w:sz w:val="24"/>
          <w:szCs w:val="24"/>
        </w:rPr>
        <w:t>, Wang</w:t>
      </w:r>
      <w:r w:rsidR="00C15EBB" w:rsidRPr="006B0C21">
        <w:rPr>
          <w:rFonts w:ascii="Book Antiqua" w:hAnsi="Book Antiqua"/>
          <w:sz w:val="24"/>
          <w:szCs w:val="24"/>
        </w:rPr>
        <w:t xml:space="preserve"> F</w:t>
      </w:r>
      <w:r w:rsidR="00713A64" w:rsidRPr="006B0C21">
        <w:rPr>
          <w:rFonts w:ascii="Book Antiqua" w:hAnsi="Book Antiqua"/>
          <w:sz w:val="24"/>
          <w:szCs w:val="24"/>
        </w:rPr>
        <w:t>, Ji</w:t>
      </w:r>
      <w:r w:rsidR="00C15EBB" w:rsidRPr="006B0C21">
        <w:rPr>
          <w:rFonts w:ascii="Book Antiqua" w:hAnsi="Book Antiqua"/>
          <w:sz w:val="24"/>
          <w:szCs w:val="24"/>
        </w:rPr>
        <w:t xml:space="preserve"> GZ</w:t>
      </w:r>
      <w:r w:rsidR="00713A64" w:rsidRPr="006B0C21">
        <w:rPr>
          <w:rFonts w:ascii="Book Antiqua" w:hAnsi="Book Antiqua"/>
          <w:sz w:val="24"/>
          <w:szCs w:val="24"/>
        </w:rPr>
        <w:t>, Miao</w:t>
      </w:r>
      <w:r w:rsidR="00C15EBB" w:rsidRPr="006B0C21">
        <w:rPr>
          <w:rFonts w:ascii="Book Antiqua" w:hAnsi="Book Antiqua"/>
          <w:sz w:val="24"/>
          <w:szCs w:val="24"/>
        </w:rPr>
        <w:t xml:space="preserve"> L</w:t>
      </w:r>
      <w:r w:rsidR="00713A64" w:rsidRPr="006B0C21">
        <w:rPr>
          <w:rFonts w:ascii="Book Antiqua" w:hAnsi="Book Antiqua"/>
          <w:sz w:val="24"/>
          <w:szCs w:val="24"/>
        </w:rPr>
        <w:t xml:space="preserve">. </w:t>
      </w:r>
      <w:r w:rsidR="00C15EBB" w:rsidRPr="006B0C21">
        <w:rPr>
          <w:rFonts w:ascii="Book Antiqua" w:hAnsi="Book Antiqua"/>
          <w:sz w:val="24"/>
          <w:szCs w:val="24"/>
        </w:rPr>
        <w:t>Endoscopic retrograde cholangiopancreatography in elderly patients: Difficult cannulation and adverse events</w:t>
      </w:r>
      <w:r w:rsidR="00713A64" w:rsidRPr="006B0C21">
        <w:rPr>
          <w:rFonts w:ascii="Book Antiqua" w:hAnsi="Book Antiqua"/>
          <w:sz w:val="24"/>
          <w:szCs w:val="24"/>
        </w:rPr>
        <w:t xml:space="preserve">. </w:t>
      </w:r>
      <w:r w:rsidR="0041139B" w:rsidRPr="006B0C21">
        <w:rPr>
          <w:rFonts w:ascii="Book Antiqua" w:hAnsi="Book Antiqua"/>
          <w:i/>
          <w:sz w:val="24"/>
          <w:szCs w:val="24"/>
        </w:rPr>
        <w:t xml:space="preserve">World J Clin Cases </w:t>
      </w:r>
      <w:r w:rsidR="0041139B" w:rsidRPr="006B0C21">
        <w:rPr>
          <w:rFonts w:ascii="Book Antiqua" w:hAnsi="Book Antiqua"/>
          <w:sz w:val="24"/>
          <w:szCs w:val="24"/>
        </w:rPr>
        <w:t xml:space="preserve">2020; </w:t>
      </w:r>
      <w:r w:rsidR="00DB2084">
        <w:rPr>
          <w:rFonts w:ascii="Book Antiqua" w:hAnsi="Book Antiqua" w:cs="Arial" w:hint="eastAsia"/>
          <w:iCs/>
          <w:kern w:val="0"/>
          <w:sz w:val="24"/>
          <w:szCs w:val="24"/>
        </w:rPr>
        <w:t>8</w:t>
      </w:r>
      <w:r w:rsidR="00DB2084" w:rsidRPr="00913300">
        <w:rPr>
          <w:rFonts w:ascii="Book Antiqua" w:hAnsi="Book Antiqua" w:cs="Arial"/>
          <w:iCs/>
          <w:kern w:val="0"/>
          <w:sz w:val="24"/>
          <w:szCs w:val="24"/>
          <w:lang w:eastAsia="en-US"/>
        </w:rPr>
        <w:t>(</w:t>
      </w:r>
      <w:r w:rsidR="00DB2084">
        <w:rPr>
          <w:rFonts w:ascii="Book Antiqua" w:hAnsi="Book Antiqua" w:cs="Arial" w:hint="eastAsia"/>
          <w:iCs/>
          <w:kern w:val="0"/>
          <w:sz w:val="24"/>
          <w:szCs w:val="24"/>
        </w:rPr>
        <w:t>14</w:t>
      </w:r>
      <w:r w:rsidR="00DB2084" w:rsidRPr="00913300">
        <w:rPr>
          <w:rFonts w:ascii="Book Antiqua" w:hAnsi="Book Antiqua" w:cs="Arial"/>
          <w:iCs/>
          <w:kern w:val="0"/>
          <w:sz w:val="24"/>
          <w:szCs w:val="24"/>
          <w:lang w:eastAsia="en-US"/>
        </w:rPr>
        <w:t xml:space="preserve">): </w:t>
      </w:r>
      <w:r w:rsidR="00094D24" w:rsidRPr="00094D24">
        <w:rPr>
          <w:rFonts w:ascii="Book Antiqua" w:hAnsi="Book Antiqua" w:cs="Arial"/>
          <w:iCs/>
          <w:kern w:val="0"/>
          <w:sz w:val="24"/>
          <w:szCs w:val="24"/>
          <w:lang w:eastAsia="en-US"/>
        </w:rPr>
        <w:t>2988-2999</w:t>
      </w:r>
      <w:r w:rsidR="00DB2084" w:rsidRPr="00913300">
        <w:rPr>
          <w:rFonts w:ascii="Book Antiqua" w:hAnsi="Book Antiqua" w:cs="Arial"/>
          <w:iCs/>
          <w:kern w:val="0"/>
          <w:sz w:val="24"/>
          <w:szCs w:val="24"/>
          <w:lang w:eastAsia="en-US"/>
        </w:rPr>
        <w:t xml:space="preserve">  </w:t>
      </w:r>
    </w:p>
    <w:p w:rsidR="00E8335E" w:rsidRDefault="00DB2084" w:rsidP="006B0C21">
      <w:pPr>
        <w:adjustRightInd w:val="0"/>
        <w:snapToGrid w:val="0"/>
        <w:spacing w:line="360" w:lineRule="auto"/>
        <w:rPr>
          <w:rFonts w:ascii="Book Antiqua" w:hAnsi="Book Antiqua" w:cs="Arial" w:hint="eastAsia"/>
          <w:iCs/>
          <w:kern w:val="0"/>
          <w:sz w:val="24"/>
          <w:szCs w:val="24"/>
        </w:rPr>
      </w:pPr>
      <w:r w:rsidRPr="00E8335E">
        <w:rPr>
          <w:rFonts w:ascii="Book Antiqua" w:hAnsi="Book Antiqua" w:cs="Arial"/>
          <w:b/>
          <w:iCs/>
          <w:kern w:val="0"/>
          <w:sz w:val="24"/>
          <w:szCs w:val="24"/>
          <w:lang w:eastAsia="en-US"/>
        </w:rPr>
        <w:t xml:space="preserve">URL: </w:t>
      </w:r>
      <w:r w:rsidRPr="00913300">
        <w:rPr>
          <w:rFonts w:ascii="Book Antiqua" w:hAnsi="Book Antiqua" w:cs="Arial"/>
          <w:iCs/>
          <w:kern w:val="0"/>
          <w:sz w:val="24"/>
          <w:szCs w:val="24"/>
          <w:lang w:eastAsia="en-US"/>
        </w:rPr>
        <w:t>https://www.wjgnet.com/</w:t>
      </w:r>
      <w:r w:rsidRPr="00E432B7">
        <w:rPr>
          <w:rFonts w:ascii="Book Antiqua" w:hAnsi="Book Antiqua" w:cs="Arial"/>
          <w:iCs/>
          <w:kern w:val="0"/>
          <w:sz w:val="24"/>
          <w:szCs w:val="24"/>
          <w:lang w:eastAsia="en-US"/>
        </w:rPr>
        <w:t>2307-8960</w:t>
      </w:r>
      <w:r w:rsidRPr="00913300">
        <w:rPr>
          <w:rFonts w:ascii="Book Antiqua" w:hAnsi="Book Antiqua" w:cs="Arial"/>
          <w:iCs/>
          <w:kern w:val="0"/>
          <w:sz w:val="24"/>
          <w:szCs w:val="24"/>
          <w:lang w:eastAsia="en-US"/>
        </w:rPr>
        <w:t>/full/v</w:t>
      </w:r>
      <w:r>
        <w:rPr>
          <w:rFonts w:ascii="Book Antiqua" w:hAnsi="Book Antiqua" w:cs="Arial" w:hint="eastAsia"/>
          <w:iCs/>
          <w:kern w:val="0"/>
          <w:sz w:val="24"/>
          <w:szCs w:val="24"/>
        </w:rPr>
        <w:t>8</w:t>
      </w:r>
      <w:r w:rsidRPr="00913300">
        <w:rPr>
          <w:rFonts w:ascii="Book Antiqua" w:hAnsi="Book Antiqua" w:cs="Arial"/>
          <w:iCs/>
          <w:kern w:val="0"/>
          <w:sz w:val="24"/>
          <w:szCs w:val="24"/>
          <w:lang w:eastAsia="en-US"/>
        </w:rPr>
        <w:t>/i</w:t>
      </w:r>
      <w:r>
        <w:rPr>
          <w:rFonts w:ascii="Book Antiqua" w:hAnsi="Book Antiqua" w:cs="Arial" w:hint="eastAsia"/>
          <w:iCs/>
          <w:kern w:val="0"/>
          <w:sz w:val="24"/>
          <w:szCs w:val="24"/>
        </w:rPr>
        <w:t>14</w:t>
      </w:r>
      <w:r w:rsidRPr="00913300">
        <w:rPr>
          <w:rFonts w:ascii="Book Antiqua" w:hAnsi="Book Antiqua" w:cs="Arial"/>
          <w:iCs/>
          <w:kern w:val="0"/>
          <w:sz w:val="24"/>
          <w:szCs w:val="24"/>
          <w:lang w:eastAsia="en-US"/>
        </w:rPr>
        <w:t>/</w:t>
      </w:r>
      <w:r w:rsidR="00094D24">
        <w:rPr>
          <w:rFonts w:ascii="Book Antiqua" w:hAnsi="Book Antiqua" w:cs="Arial" w:hint="eastAsia"/>
          <w:iCs/>
          <w:kern w:val="0"/>
          <w:sz w:val="24"/>
          <w:szCs w:val="24"/>
        </w:rPr>
        <w:t>2988</w:t>
      </w:r>
      <w:r w:rsidRPr="00913300">
        <w:rPr>
          <w:rFonts w:ascii="Book Antiqua" w:hAnsi="Book Antiqua" w:cs="Arial"/>
          <w:iCs/>
          <w:kern w:val="0"/>
          <w:sz w:val="24"/>
          <w:szCs w:val="24"/>
          <w:lang w:eastAsia="en-US"/>
        </w:rPr>
        <w:t xml:space="preserve">.htm  </w:t>
      </w:r>
    </w:p>
    <w:p w:rsidR="00713A64" w:rsidRPr="006B0C21" w:rsidRDefault="00DB2084" w:rsidP="006B0C21">
      <w:pPr>
        <w:adjustRightInd w:val="0"/>
        <w:snapToGrid w:val="0"/>
        <w:spacing w:line="360" w:lineRule="auto"/>
        <w:rPr>
          <w:rFonts w:ascii="Book Antiqua" w:hAnsi="Book Antiqua" w:hint="eastAsia"/>
          <w:bCs/>
          <w:sz w:val="24"/>
          <w:szCs w:val="24"/>
        </w:rPr>
      </w:pPr>
      <w:bookmarkStart w:id="12" w:name="_GoBack"/>
      <w:r w:rsidRPr="00E8335E">
        <w:rPr>
          <w:rFonts w:ascii="Book Antiqua" w:hAnsi="Book Antiqua" w:cs="Arial"/>
          <w:b/>
          <w:iCs/>
          <w:kern w:val="0"/>
          <w:sz w:val="24"/>
          <w:szCs w:val="24"/>
          <w:lang w:eastAsia="en-US"/>
        </w:rPr>
        <w:t>DOI:</w:t>
      </w:r>
      <w:bookmarkEnd w:id="12"/>
      <w:r w:rsidRPr="00913300">
        <w:rPr>
          <w:rFonts w:ascii="Book Antiqua" w:hAnsi="Book Antiqua" w:cs="Arial"/>
          <w:iCs/>
          <w:kern w:val="0"/>
          <w:sz w:val="24"/>
          <w:szCs w:val="24"/>
          <w:lang w:eastAsia="en-US"/>
        </w:rPr>
        <w:t xml:space="preserve"> https://dx.doi.org/</w:t>
      </w:r>
      <w:r w:rsidRPr="00E432B7">
        <w:rPr>
          <w:rFonts w:ascii="Book Antiqua" w:hAnsi="Book Antiqua" w:cs="Arial"/>
          <w:iCs/>
          <w:kern w:val="0"/>
          <w:sz w:val="24"/>
          <w:szCs w:val="24"/>
          <w:lang w:eastAsia="en-US"/>
        </w:rPr>
        <w:t>10.12998</w:t>
      </w:r>
      <w:r w:rsidRPr="00913300">
        <w:rPr>
          <w:rFonts w:ascii="Book Antiqua" w:hAnsi="Book Antiqua" w:cs="Arial"/>
          <w:iCs/>
          <w:kern w:val="0"/>
          <w:sz w:val="24"/>
          <w:szCs w:val="24"/>
          <w:lang w:eastAsia="en-US"/>
        </w:rPr>
        <w:t>/wj</w:t>
      </w:r>
      <w:r>
        <w:rPr>
          <w:rFonts w:ascii="Book Antiqua" w:hAnsi="Book Antiqua" w:cs="Arial" w:hint="eastAsia"/>
          <w:iCs/>
          <w:kern w:val="0"/>
          <w:sz w:val="24"/>
          <w:szCs w:val="24"/>
        </w:rPr>
        <w:t>cc</w:t>
      </w:r>
      <w:r w:rsidRPr="00913300">
        <w:rPr>
          <w:rFonts w:ascii="Book Antiqua" w:hAnsi="Book Antiqua" w:cs="Arial"/>
          <w:iCs/>
          <w:kern w:val="0"/>
          <w:sz w:val="24"/>
          <w:szCs w:val="24"/>
          <w:lang w:eastAsia="en-US"/>
        </w:rPr>
        <w:t>.v</w:t>
      </w:r>
      <w:r>
        <w:rPr>
          <w:rFonts w:ascii="Book Antiqua" w:hAnsi="Book Antiqua" w:cs="Arial" w:hint="eastAsia"/>
          <w:iCs/>
          <w:kern w:val="0"/>
          <w:sz w:val="24"/>
          <w:szCs w:val="24"/>
        </w:rPr>
        <w:t>8</w:t>
      </w:r>
      <w:r w:rsidRPr="00913300">
        <w:rPr>
          <w:rFonts w:ascii="Book Antiqua" w:hAnsi="Book Antiqua" w:cs="Arial"/>
          <w:iCs/>
          <w:kern w:val="0"/>
          <w:sz w:val="24"/>
          <w:szCs w:val="24"/>
          <w:lang w:eastAsia="en-US"/>
        </w:rPr>
        <w:t>.i</w:t>
      </w:r>
      <w:r>
        <w:rPr>
          <w:rFonts w:ascii="Book Antiqua" w:hAnsi="Book Antiqua" w:cs="Arial" w:hint="eastAsia"/>
          <w:iCs/>
          <w:kern w:val="0"/>
          <w:sz w:val="24"/>
          <w:szCs w:val="24"/>
        </w:rPr>
        <w:t>14</w:t>
      </w:r>
      <w:r w:rsidRPr="00913300">
        <w:rPr>
          <w:rFonts w:ascii="Book Antiqua" w:hAnsi="Book Antiqua" w:cs="Arial"/>
          <w:iCs/>
          <w:kern w:val="0"/>
          <w:sz w:val="24"/>
          <w:szCs w:val="24"/>
          <w:lang w:eastAsia="en-US"/>
        </w:rPr>
        <w:t>.</w:t>
      </w:r>
      <w:r w:rsidR="00094D24">
        <w:rPr>
          <w:rFonts w:ascii="Book Antiqua" w:hAnsi="Book Antiqua" w:cs="Arial" w:hint="eastAsia"/>
          <w:iCs/>
          <w:kern w:val="0"/>
          <w:sz w:val="24"/>
          <w:szCs w:val="24"/>
        </w:rPr>
        <w:t>2988</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b/>
          <w:sz w:val="24"/>
          <w:szCs w:val="24"/>
        </w:rPr>
        <w:t>Core tip:</w:t>
      </w:r>
      <w:r w:rsidRPr="006B0C21">
        <w:rPr>
          <w:rFonts w:ascii="Book Antiqua" w:hAnsi="Book Antiqua"/>
          <w:sz w:val="24"/>
          <w:szCs w:val="24"/>
        </w:rPr>
        <w:t xml:space="preserve"> As life expectancy has increased, the application of </w:t>
      </w:r>
      <w:r w:rsidR="00C15EBB" w:rsidRPr="006B0C21">
        <w:rPr>
          <w:rFonts w:ascii="Book Antiqua" w:hAnsi="Book Antiqua"/>
          <w:sz w:val="24"/>
          <w:szCs w:val="24"/>
          <w:lang w:val="en-GB"/>
        </w:rPr>
        <w:t>endoscopic retrograde cholangiopancreatography</w:t>
      </w:r>
      <w:r w:rsidR="004D26D4" w:rsidRPr="006B0C21">
        <w:rPr>
          <w:rFonts w:ascii="Book Antiqua" w:hAnsi="Book Antiqua"/>
          <w:sz w:val="24"/>
          <w:szCs w:val="24"/>
        </w:rPr>
        <w:t xml:space="preserve"> </w:t>
      </w:r>
      <w:r w:rsidRPr="006B0C21">
        <w:rPr>
          <w:rFonts w:ascii="Book Antiqua" w:hAnsi="Book Antiqua"/>
          <w:sz w:val="24"/>
          <w:szCs w:val="24"/>
        </w:rPr>
        <w:t xml:space="preserve">in the elderly population is no longer limited. This increase may come with more difficulty in biliary cannulation or more related adverse events in senior patients. Little is known about cannulation difficulty grading in the elderly and its relationship with adverse events. Therefore, we aimed to evaluate the risk factors </w:t>
      </w:r>
      <w:r w:rsidR="004D0870">
        <w:rPr>
          <w:rFonts w:ascii="Book Antiqua" w:hAnsi="Book Antiqua"/>
          <w:sz w:val="24"/>
          <w:szCs w:val="24"/>
        </w:rPr>
        <w:t>for</w:t>
      </w:r>
      <w:r w:rsidRPr="006B0C21">
        <w:rPr>
          <w:rFonts w:ascii="Book Antiqua" w:hAnsi="Book Antiqua"/>
          <w:sz w:val="24"/>
          <w:szCs w:val="24"/>
        </w:rPr>
        <w:t xml:space="preserve"> adverse events in elderly patients with difficult bile duct access.</w:t>
      </w:r>
    </w:p>
    <w:p w:rsidR="00713A64" w:rsidRPr="006B0C21" w:rsidRDefault="00713A64" w:rsidP="006B0C21">
      <w:pPr>
        <w:adjustRightInd w:val="0"/>
        <w:snapToGrid w:val="0"/>
        <w:spacing w:line="360" w:lineRule="auto"/>
        <w:rPr>
          <w:rFonts w:ascii="Book Antiqua" w:hAnsi="Book Antiqua"/>
          <w:b/>
          <w:sz w:val="24"/>
          <w:szCs w:val="24"/>
          <w:u w:val="single"/>
        </w:rPr>
      </w:pPr>
      <w:r w:rsidRPr="006B0C21">
        <w:rPr>
          <w:rFonts w:ascii="Book Antiqua" w:hAnsi="Book Antiqua"/>
          <w:b/>
          <w:sz w:val="24"/>
          <w:szCs w:val="24"/>
        </w:rPr>
        <w:br w:type="page"/>
      </w:r>
      <w:r w:rsidRPr="006B0C21">
        <w:rPr>
          <w:rFonts w:ascii="Book Antiqua" w:hAnsi="Book Antiqua"/>
          <w:b/>
          <w:sz w:val="24"/>
          <w:szCs w:val="24"/>
          <w:u w:val="single"/>
        </w:rPr>
        <w:t>INTRODUCTION</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Aging society is becoming a global issue, </w:t>
      </w:r>
      <w:r w:rsidR="004D0870">
        <w:rPr>
          <w:rFonts w:ascii="Book Antiqua" w:hAnsi="Book Antiqua"/>
          <w:sz w:val="24"/>
          <w:szCs w:val="24"/>
        </w:rPr>
        <w:t>and in</w:t>
      </w:r>
      <w:r w:rsidRPr="006B0C21">
        <w:rPr>
          <w:rFonts w:ascii="Book Antiqua" w:hAnsi="Book Antiqua"/>
          <w:sz w:val="24"/>
          <w:szCs w:val="24"/>
        </w:rPr>
        <w:t xml:space="preserve"> China, </w:t>
      </w:r>
      <w:r w:rsidR="004D0870">
        <w:rPr>
          <w:rFonts w:ascii="Book Antiqua" w:hAnsi="Book Antiqua"/>
          <w:sz w:val="24"/>
          <w:szCs w:val="24"/>
        </w:rPr>
        <w:t xml:space="preserve">the elderly population </w:t>
      </w:r>
      <w:r w:rsidRPr="006B0C21">
        <w:rPr>
          <w:rFonts w:ascii="Book Antiqua" w:hAnsi="Book Antiqua"/>
          <w:sz w:val="24"/>
          <w:szCs w:val="24"/>
        </w:rPr>
        <w:t xml:space="preserve">is growing </w:t>
      </w:r>
      <w:r w:rsidR="004D0870" w:rsidRPr="006B0C21">
        <w:rPr>
          <w:rFonts w:ascii="Book Antiqua" w:hAnsi="Book Antiqua"/>
          <w:sz w:val="24"/>
          <w:szCs w:val="24"/>
        </w:rPr>
        <w:t>rapidly</w:t>
      </w:r>
      <w:r w:rsidRPr="006B0C21">
        <w:rPr>
          <w:rFonts w:ascii="Book Antiqua" w:hAnsi="Book Antiqua"/>
          <w:sz w:val="24"/>
          <w:szCs w:val="24"/>
        </w:rPr>
        <w:t>. According to China’s National Working Committee on aging, it will take just 20 years to double the proportion of the elderly Chinese population from 10% to 20%</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{"citationItems":[{"id":"ITEM-1","itemData":{"abstract":"Using China’s 2000 census data, this paper conducts population projection under different fertility scenarios to gauge the likely trends in China’s future population change. The range of fertility assumptions captures the uncertainty of current fertility estimates as well as the likely trends under the family planning policy and economic development. Only one mortality scenario is applied and net international migration is assumed to be null in the population projection. Future life tables are generated by Brass logit techniques with initial 2000 life tables and assumed annual life expectancy at birth following the United Nations medium improvement model. China is experiencing unprecedented demographic transition together with the radical social and economic transformation. Demographically speaking China is now a developed country. However, China’s future population growth is substantial, a solely result of the population momentum built into the age structure by past fertility and mortality. 10 percent or 135 million increase is expected in the next 25 years under the medium fertility scenario. China would reach a maximum population of 1443 million in 2030, followed by a long-term population decline. Two major changes of the future population age structure of China are continuing demographic dividend and rapid population ageing. China’s demographic window of opportunity opened at 1990 and will close at 2033. Having a work force of around one billion has many advantages if we consider only the dependency ratio in the population or the labour supply for the development. However, China will be also experiencing a rapid population ageing after 2015. One fifth to one quarter of the Chinese population would be older people at age 65 or over after 2035. The year of 2029 would be a turning point in China’s age structure transition, when for the first time in Chinese history the elderly population would exceed the child population.","author":[{"dropping-particle":"","family":"Wei, Chen; Jinju","given":"Liu;","non-dropping-particle":"","parse-names":false,"suffix":""}],"container-title":"EconPapers","id":"ITEM-1","issue":"September 2009","issued":{"date-parts":[["2005"]]},"page":"1 - 21","title":"Future Population Trends in China :","type":"article-journal"},"uris":["http://www.mendeley.com/documents/?uuid=548d19b4-6443-4779-b485-4fcb2560fa0a"]}],"mendeley":{"formattedCitation":"&lt;sup&gt;[1]&lt;/sup&gt;","plainTextFormattedCitation":"[1]","previouslyFormattedCitation":"&lt;sup&gt;[1]&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[1]</w:t>
      </w:r>
      <w:r w:rsidRPr="006B0C21">
        <w:rPr>
          <w:rFonts w:ascii="Book Antiqua" w:hAnsi="Book Antiqua"/>
          <w:sz w:val="24"/>
          <w:szCs w:val="24"/>
        </w:rPr>
        <w:fldChar w:fldCharType="end"/>
      </w:r>
      <w:r w:rsidRPr="006B0C21">
        <w:rPr>
          <w:rFonts w:ascii="Book Antiqua" w:hAnsi="Book Antiqua"/>
          <w:sz w:val="24"/>
          <w:szCs w:val="24"/>
        </w:rPr>
        <w:t>. Moreover, by 2050, about a third of the country’s population will be over 60</w:t>
      </w:r>
      <w:r w:rsidR="004D0870">
        <w:rPr>
          <w:rFonts w:ascii="Book Antiqua" w:hAnsi="Book Antiqua"/>
          <w:sz w:val="24"/>
          <w:szCs w:val="24"/>
        </w:rPr>
        <w:t xml:space="preserve"> years</w:t>
      </w:r>
      <w:r w:rsidRPr="006B0C21">
        <w:rPr>
          <w:rFonts w:ascii="Book Antiqua" w:hAnsi="Book Antiqua"/>
          <w:sz w:val="24"/>
          <w:szCs w:val="24"/>
        </w:rPr>
        <w:t xml:space="preserve">, and thereby, the proportion of the elderly population, 80 years of age or more, will also rise. As a result of </w:t>
      </w:r>
      <w:r w:rsidR="004D0870">
        <w:rPr>
          <w:rFonts w:ascii="Book Antiqua" w:hAnsi="Book Antiqua"/>
          <w:sz w:val="24"/>
          <w:szCs w:val="24"/>
        </w:rPr>
        <w:t xml:space="preserve">increased </w:t>
      </w:r>
      <w:r w:rsidRPr="006B0C21">
        <w:rPr>
          <w:rFonts w:ascii="Book Antiqua" w:hAnsi="Book Antiqua"/>
          <w:sz w:val="24"/>
          <w:szCs w:val="24"/>
        </w:rPr>
        <w:t>life expectancy, the incidence of choledocholithiasis and pancreatobiliary malignancy is increasing in advanced age.</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Endoscopic retrograde cholangiopancreatography (ERCP) </w:t>
      </w:r>
      <w:r w:rsidR="004D0870">
        <w:rPr>
          <w:rFonts w:ascii="Book Antiqua" w:hAnsi="Book Antiqua"/>
          <w:sz w:val="24"/>
          <w:szCs w:val="24"/>
        </w:rPr>
        <w:t xml:space="preserve">has </w:t>
      </w:r>
      <w:r w:rsidRPr="006B0C21">
        <w:rPr>
          <w:rFonts w:ascii="Book Antiqua" w:hAnsi="Book Antiqua"/>
          <w:sz w:val="24"/>
          <w:szCs w:val="24"/>
        </w:rPr>
        <w:t xml:space="preserve">become </w:t>
      </w:r>
      <w:r w:rsidR="004D0870">
        <w:rPr>
          <w:rFonts w:ascii="Book Antiqua" w:hAnsi="Book Antiqua"/>
          <w:sz w:val="24"/>
          <w:szCs w:val="24"/>
        </w:rPr>
        <w:t>a</w:t>
      </w:r>
      <w:r w:rsidRPr="006B0C21">
        <w:rPr>
          <w:rFonts w:ascii="Book Antiqua" w:hAnsi="Book Antiqua"/>
          <w:sz w:val="24"/>
          <w:szCs w:val="24"/>
        </w:rPr>
        <w:t xml:space="preserve"> valuable therapeutic procedure in pancreatobiliary diseases, especially for patients with concomitant diseases, which increase the risk associated with surgery</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{"citationItems":[{"id":"ITEM-1","itemData":{"DOI":"10.1016/j.gie.2011.06.023","ISSN":"00165107","PMID":"26134610","abstract":"Background: Studies suggest that advancing age is an independent risk factor for experiencing adverse events during colonoscopy. Yet many of these studies are limited by small sample sizes and/or marked variation in reported outcomes. Objective: To determine the incidence rates for specific adverse events in elderly patients undergoing colonoscopy and calculate incidence rate ratios for selected comparison groups. Setting and Patients: Elderly patients undergoing colonoscopy. Design: Systematic review and meta-analysis. Main Outcome Measurements: Perforation, bleeding, cardiovascular (CV)/pulmonary complications, and mortality. Results: Our literature search yielded 3328 articles, of which 20 studies met our inclusion criteria. Pooled incidence rates for adverse events (per 1000 colonoscopies) in patients 65 years of age and older were 26.0 (95% CI, 25.0-27.0) for cumulative GI adverse events, 1.0 (95% CI, 0.9-1.5) for perforation, 6.3 (95% CI, 5.7-7.0) for GI bleeding, 19.1 (95% CI, 18.0-20.3) for CV/pulmonary complications, and 1.0 (95% CI, 0.7-2.2) for mortality. Among octogenarians, adverse events (per 1000 colonoscopies) were as follows: cumulative GI adverse event rate of 34.9 (95% CI, 31.9-38.0), perforation rate of 1.5 (95% CI, 1.1-1.9), GI bleeding rate of 2.4 (95% CI, 1.1-4.6), CV/pulmonary complication rate of 28.9 (95% CI, 26.2-31.8), and mortality rate of 0.5 (95% CI, 0.06-1.9). Patients 80 years of age and older experienced higher rates of cumulative GI adverse events (incidence rate ratio 1.7; 95% CI, 1.5-1.9) and had a greater risk of perforation (incidence rate ratio 1.6, 95% CI, 1.2-2.1) compared with younger patients (younger than 80 years of age). There was an increased trend toward higher rates of GI bleeding and CV/pulmonary complications in octogenarians but neither was statistically significant. Limitations: Heterogeneity of studies included and not all complications related to colonoscopy were captured. Conclusions: Elderly patients, especially octogenarians, appear to have a higher risk of complications during and after colonoscopy. These data should inform clinical decision making, the consent process, public health policy, and comparative effectiveness analyses. © 2011 American Society for Gastrointestinal Endoscopy.","author":[{"dropping-particle":"","family":"Day","given":"Lukejohn W.","non-dropping-particle":"","parse-names":false,"suffix":""},{"dropping-particle":"","family":"Kwon","given":"Annette","non-dropping-particle":"","parse-names":false,"suffix":""},{"dropping-particle":"","family":"Inadomi","given":"John M.","non-dropping-particle":"","parse-names":false,"suffix":""},{"dropping-particle":"","family":"Walter","given":"Louise C.","non-dropping-particle":"","parse-names":false,"suffix":""},{"dropping-particle":"","family":"Somsouk","given":"Ma","non-dropping-particle":"","parse-names":false,"suffix":""}],"container-title":"Endoscopy International Open","id":"ITEM-1","issue":"4","issued":{"date-parts":[["2011","3","7"]]},"page":"885-896","title":"Adverse events in older patients undergoing colonoscopy: A systematic review and meta-analysis","type":"article-journal","volume":"74"},"uris":["http://www.mendeley.com/documents/?uuid=43e84060-ed50-4c37-98ac-58406594e211"]}],"mendeley":{"formattedCitation":"&lt;sup&gt;[2]&lt;/sup&gt;","plainTextFormattedCitation":"[2]","previouslyFormattedCitation":"&lt;sup&gt;[2]&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[2]</w:t>
      </w:r>
      <w:r w:rsidRPr="006B0C21">
        <w:rPr>
          <w:rFonts w:ascii="Book Antiqua" w:hAnsi="Book Antiqua"/>
          <w:sz w:val="24"/>
          <w:szCs w:val="24"/>
        </w:rPr>
        <w:fldChar w:fldCharType="end"/>
      </w:r>
      <w:r w:rsidRPr="006B0C21">
        <w:rPr>
          <w:rFonts w:ascii="Book Antiqua" w:hAnsi="Book Antiqua"/>
          <w:sz w:val="24"/>
          <w:szCs w:val="24"/>
        </w:rPr>
        <w:t xml:space="preserve">. However, a higher incidence of procedure difficulty and periprocedural adverse events might be expected in elderly patients </w:t>
      </w:r>
      <w:r w:rsidR="004D0870">
        <w:rPr>
          <w:rFonts w:ascii="Book Antiqua" w:hAnsi="Book Antiqua"/>
          <w:sz w:val="24"/>
          <w:szCs w:val="24"/>
        </w:rPr>
        <w:t>due to the presence</w:t>
      </w:r>
      <w:r w:rsidRPr="006B0C21">
        <w:rPr>
          <w:rFonts w:ascii="Book Antiqua" w:hAnsi="Book Antiqua"/>
          <w:sz w:val="24"/>
          <w:szCs w:val="24"/>
        </w:rPr>
        <w:t xml:space="preserve"> of</w:t>
      </w:r>
      <w:r w:rsidR="004D0870">
        <w:rPr>
          <w:rFonts w:ascii="Book Antiqua" w:hAnsi="Book Antiqua"/>
          <w:sz w:val="24"/>
          <w:szCs w:val="24"/>
        </w:rPr>
        <w:t xml:space="preserve"> other</w:t>
      </w:r>
      <w:r w:rsidRPr="006B0C21">
        <w:rPr>
          <w:rFonts w:ascii="Book Antiqua" w:hAnsi="Book Antiqua"/>
          <w:sz w:val="24"/>
          <w:szCs w:val="24"/>
        </w:rPr>
        <w:t xml:space="preserve"> medical disorders and the poor general condition of this population. Furthermore, the age-related higher probability of periampullary diverticulum and post-surgical anatomy reconstruction make ERCP a challenging procedure in this group. Therefore, there is a need to assess the possible benefits and risks of ERCP </w:t>
      </w:r>
      <w:r w:rsidR="00817BBB">
        <w:rPr>
          <w:rFonts w:ascii="Book Antiqua" w:hAnsi="Book Antiqua"/>
          <w:sz w:val="24"/>
          <w:szCs w:val="24"/>
        </w:rPr>
        <w:t>in</w:t>
      </w:r>
      <w:r w:rsidRPr="006B0C21">
        <w:rPr>
          <w:rFonts w:ascii="Book Antiqua" w:hAnsi="Book Antiqua"/>
          <w:sz w:val="24"/>
          <w:szCs w:val="24"/>
        </w:rPr>
        <w:t xml:space="preserve"> every elderly patient. </w:t>
      </w:r>
      <w:r w:rsidR="00817BBB">
        <w:rPr>
          <w:rFonts w:ascii="Book Antiqua" w:hAnsi="Book Antiqua"/>
          <w:sz w:val="24"/>
          <w:szCs w:val="24"/>
        </w:rPr>
        <w:t>A s</w:t>
      </w:r>
      <w:r w:rsidRPr="006B0C21">
        <w:rPr>
          <w:rFonts w:ascii="Book Antiqua" w:hAnsi="Book Antiqua"/>
          <w:sz w:val="24"/>
          <w:szCs w:val="24"/>
        </w:rPr>
        <w:t xml:space="preserve">uccessful ERCP procedure requires deep cannulation of the common bile duct and/or main pancreatic duct </w:t>
      </w:r>
      <w:r w:rsidRPr="006B0C21">
        <w:rPr>
          <w:rFonts w:ascii="Book Antiqua" w:hAnsi="Book Antiqua"/>
          <w:i/>
          <w:sz w:val="24"/>
          <w:szCs w:val="24"/>
        </w:rPr>
        <w:t>via</w:t>
      </w:r>
      <w:r w:rsidRPr="006B0C21">
        <w:rPr>
          <w:rFonts w:ascii="Book Antiqua" w:hAnsi="Book Antiqua"/>
          <w:sz w:val="24"/>
          <w:szCs w:val="24"/>
        </w:rPr>
        <w:t xml:space="preserve"> the major duodenal papilla. </w:t>
      </w:r>
      <w:r w:rsidR="00817BBB">
        <w:rPr>
          <w:rFonts w:ascii="Book Antiqua" w:hAnsi="Book Antiqua"/>
          <w:sz w:val="24"/>
          <w:szCs w:val="24"/>
        </w:rPr>
        <w:t>A</w:t>
      </w:r>
      <w:r w:rsidRPr="006B0C21">
        <w:rPr>
          <w:rFonts w:ascii="Book Antiqua" w:hAnsi="Book Antiqua"/>
          <w:sz w:val="24"/>
          <w:szCs w:val="24"/>
        </w:rPr>
        <w:t xml:space="preserve"> recent definition of difficult biliary cannulation </w:t>
      </w:r>
      <w:r w:rsidR="00817BBB">
        <w:rPr>
          <w:rFonts w:ascii="Book Antiqua" w:hAnsi="Book Antiqua"/>
          <w:sz w:val="24"/>
          <w:szCs w:val="24"/>
        </w:rPr>
        <w:t>was</w:t>
      </w:r>
      <w:r w:rsidRPr="006B0C21">
        <w:rPr>
          <w:rFonts w:ascii="Book Antiqua" w:hAnsi="Book Antiqua"/>
          <w:sz w:val="24"/>
          <w:szCs w:val="24"/>
        </w:rPr>
        <w:t xml:space="preserve"> released by the Scandinavian Association for Digestive Endoscopy in 2014 and </w:t>
      </w:r>
      <w:r w:rsidR="00817BBB" w:rsidRPr="006B0C21">
        <w:rPr>
          <w:rFonts w:ascii="Book Antiqua" w:hAnsi="Book Antiqua"/>
          <w:sz w:val="24"/>
          <w:szCs w:val="24"/>
        </w:rPr>
        <w:t xml:space="preserve">later </w:t>
      </w:r>
      <w:r w:rsidRPr="006B0C21">
        <w:rPr>
          <w:rFonts w:ascii="Book Antiqua" w:hAnsi="Book Antiqua"/>
          <w:sz w:val="24"/>
          <w:szCs w:val="24"/>
        </w:rPr>
        <w:t>confirmed in 2016 by the European Societ</w:t>
      </w:r>
      <w:r w:rsidR="004D26D4" w:rsidRPr="006B0C21">
        <w:rPr>
          <w:rFonts w:ascii="Book Antiqua" w:hAnsi="Book Antiqua"/>
          <w:sz w:val="24"/>
          <w:szCs w:val="24"/>
        </w:rPr>
        <w:t>y of Gastrointestinal Endoscopy</w:t>
      </w:r>
      <w:r w:rsidRPr="006B0C21">
        <w:rPr>
          <w:rFonts w:ascii="Book Antiqua" w:hAnsi="Book Antiqua"/>
          <w:sz w:val="24"/>
          <w:szCs w:val="24"/>
        </w:rPr>
        <w:t xml:space="preserve"> guidelines</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{"citationItems":[{"id":"ITEM-1","itemData":{"DOI":"10.1055/s-0042-108641","ISBN":"0013-726x","ISSN":"14388812","PMID":"27299638","abstract":"This Guideline is an official statement of the European Society of Gastrointestinal Endoscopy (ESGE). It provides practical advice on how to achieve successful cannulation and sphincterotomy at minimum risk to the patient. The Grading of Recommendations Assessment, Development, and Evaluation (GRADE) system was adopted to define the strength of recommendations and the quality of evidence. Main recommendations 1 ESGE suggests that difficult biliary cannulation is defined by the presence of one or more of the following: more than 5 contacts with the papilla whilst attempting to cannulate; more than 5 minutes spent attempting to cannulate following visualization of the papilla; more than one unintended pancreatic duct cannulation or opacification (low quality evidence, weak recommendation). 2 ESGE recommends the guidewire-assisted technique for primary biliary cannulation, since it reduces the risk of post-ERCP pancreatitis (moderate quality evidence, strong recommendation). 3 ESGE recommends using pancreatic guidewire (PGW)-assisted biliary cannulation in patients where biliary cannulation is difficult and repeated unintentional access to the main pancreatic duct occurs (moderate quality evidence, strong recommendation). ESGE recommends attempting prophylactic pancreatic stenting in all patients with PGW-assisted attempts at biliary cannulation (moderate quality evidence, strong recommendation). 4 ESGE recommends needle-knife fistulotomy as the preferred technique for precutting (moderate quality evidence, strong recommendation). ESGE suggests that precutting should be used only by endoscopists who achieve selective biliary cannulation in more than 80% of cases using standard cannulation techniques (low quality evidence, weak recommendation). When access to the pancreatic duct is easy to obtain, ESGE suggests placement of a pancreatic stent prior to precutting (moderate quality evidence, weak recommendation). 5 ESGE recommends that in patients with a small papilla that is difficult to cannulate, transpancreatic biliary sphincterotomy should be considered if unintentional insertion of a guidewire into the pancreatic duct occurs (moderate quality evidence, strong recommendation). In patients who have had transpancreatic sphincterotomy, ESGE suggests prophylactic pancreatic stenting (moderate quality evidence, strong recommendation). 6 ESGE recommends that mixed current is used for sphincterotomy rather than pure cut current alone, as there is a decreased ri…","author":[{"dropping-particle":"","family":"Testoni","given":"Pier Alberto","non-dropping-particle":"","parse-names":false,"suffix":""},{"dropping-particle":"","family":"Mariani","given":"Alberto","non-dropping-particle":"","parse-names":false,"suffix":""},{"dropping-particle":"","family":"Aabakken","given":"Lars","non-dropping-particle":"","parse-names":false,"suffix":""},{"dropping-particle":"","family":"Arvanitakis","given":"Marianna","non-dropping-particle":"","parse-names":false,"suffix":""},{"dropping-particle":"","family":"Bories","given":"Erwan","non-dropping-particle":"","parse-names":false,"suffix":""},{"dropping-particle":"","family":"Costamagna","given":"Guido","non-dropping-particle":"","parse-names":false,"suffix":""},{"dropping-particle":"","family":"Devière","given":"Jacques","non-dropping-particle":"","parse-names":false,"suffix":""},{"dropping-particle":"","family":"Dinis-Ribeiro","given":"Mario","non-dropping-particle":"","parse-names":false,"suffix":""},{"dropping-particle":"","family":"Dumonceau","given":"Jean Marc","non-dropping-particle":"","parse-names":false,"suffix":""},{"dropping-particle":"","family":"Giovannini","given":"Marc","non-dropping-particle":"","parse-names":false,"suffix":""},{"dropping-particle":"","family":"Gyokeres","given":"Tibor","non-dropping-particle":"","parse-names":false,"suffix":""},{"dropping-particle":"","family":"Hafner","given":"Michael","non-dropping-particle":"","parse-names":false,"suffix":""},{"dropping-particle":"","family":"Halttunen","given":"Jorma","non-dropping-particle":"","parse-names":false,"suffix":""},{"dropping-particle":"","family":"Hassan","given":"Cesare","non-dropping-particle":"","parse-names":false,"suffix":""},{"dropping-particle":"","family":"Lopes","given":"Luis","non-dropping-particle":"","parse-names":false,"suffix":""},{"dropping-particle":"","family":"Papanikolaou","given":"Ioannis S.","non-dropping-particle":"","parse-names":false,"suffix":""},{"dropping-particle":"","family":"Tham","given":"Tony C.","non-dropping-particle":"","parse-names":false,"suffix":""},{"dropping-particle":"","family":"Tringali","given":"Andrea","non-dropping-particle":"","parse-names":false,"suffix":""},{"dropping-particle":"","family":"Hooft","given":"Jeanin","non-dropping-particle":"Van","parse-names":false,"suffix":""},{"dropping-particle":"","family":"Williams","given":"Earl J.","non-dropping-particle":"","parse-names":false,"suffix":""}],"container-title":"Endoscopy","id":"ITEM-1","issue":"7","issued":{"date-parts":[["2016","6","14"]]},"page":"657-683","title":"Papillary cannulation and sphincterotomy techniques at ERCP: European Society of Gastrointestinal Endoscopy (ESGE) Clinical Guideline","type":"article-journal","volume":"48"},"uris":["http://www.mendeley.com/documents/?uuid=da2071b9-89e0-4a3e-98c1-80b6133f0126"]},{"id":"ITEM-2","itemData":{"DOI":"10.3109/00365521.2014.894120","ISBN":"1502-7708 (Electronic)\\r0036-5521 (Linking)","ISSN":"15027708","PMID":"24628493","abstract":"Background. The definition of a \"difficult\" cannulation varies considerably in reports of endoscopic retrograde cholangiopancreatography (ERCP). Aims. To define a difficult cannulation, which translates into higher risk of post-ERCP pancreatitis. Patients and methods. Prospective consecutive recording of 907 cannulations in Scandinavian centers done by experienced endoscopists. Inclusion: indication for biliary access in patients with intact papilla. Exclusion: acute non-biliary and chronic pancreatitis at time of procedure. Results. The primary cannulation succeeded in 74.9%, with median values for time 0.88 min (53 s), with two attempts and with zero pancreatic passages or injections. The overall cannulation success was 97.4% and post-ERCP pancreatitis (PEP) rate was 5.3%. The median time for all successful cannulations was 1.55 min (range 0.02-94.2). If the primary cannulation succeeded, the pancreatitis rate was 2.8%; after secondary methods, it rose to 11.5%. Procedures lasting less than 5 min had a PEP rate of 2.6% versus 11.8% in those lasting longer. With one attempt, the PEP rate was 0.6%, with two 3.1%, with three to four 6.1%, and with five and more 11.9%. With one accidental pancreatic guide-wire passage, the risk of the PEP was 3.7%, and with two passages, it was 13.1%. Conclusions. If the increasing rate of PEP is taken as defining factor, the wire-guided cannulation of a native papilla can be considered difficult after 5 min, five attempts, and two pancreatic guide-wire passages when any of those limits is exceeded. © 2014 Informa Healthcare.","author":[{"dropping-particle":"","family":"Halttunen","given":"Jorma","non-dropping-particle":"","parse-names":false,"suffix":""},{"dropping-particle":"","family":"Meisner","given":"Soren","non-dropping-particle":"","parse-names":false,"suffix":""},{"dropping-particle":"","family":"Aabakken","given":"Lars","non-dropping-particle":"","parse-names":false,"suffix":""},{"dropping-particle":"","family":"Arnelo","given":"Urban","non-dropping-particle":"","parse-names":false,"suffix":""},{"dropping-particle":"","family":"Grönroos","given":"Juha","non-dropping-particle":"","parse-names":false,"suffix":""},{"dropping-particle":"","family":"Hauge","given":"Truls","non-dropping-particle":"","parse-names":false,"suffix":""},{"dropping-particle":"","family":"Kleveland","given":"Per M.","non-dropping-particle":"","parse-names":false,"suffix":""},{"dropping-particle":"","family":"Nordblad Schmidt","given":"Palle","non-dropping-particle":"","parse-names":false,"suffix":""},{"dropping-particle":"","family":"Saarela","given":"Arto","non-dropping-particle":"","parse-names":false,"suffix":""},{"dropping-particle":"","family":"Swahn","given":"Fredrik","non-dropping-particle":"","parse-names":false,"suffix":""},{"dropping-particle":"","family":"Toth","given":"Ervin","non-dropping-particle":"","parse-names":false,"suffix":""},{"dropping-particle":"","family":"Mustonen","given":"Harri","non-dropping-particle":"","parse-names":false,"suffix":""},{"dropping-particle":"","family":"Löhr","given":"J. Matthias","non-dropping-particle":"","parse-names":false,"suffix":""}],"container-title":"Scandinavian Journal of Gastroenterology","id":"ITEM-2","issue":"6","issued":{"date-parts":[["2014","6","14"]]},"page":"752-758","title":"Difficult cannulation as defined by a prospective study of the Scandinavian Association for Digestive Endoscopy (SADE) in 907 ERCPs","type":"article-journal","volume":"49"},"uris":["http://www.mendeley.com/documents/?uuid=b1aec462-de3a-45d6-a447-b3a9f8a76936"]}],"mendeley":{"formattedCitation":"&lt;sup&gt;[3,4]&lt;/sup&gt;","plainTextFormattedCitation":"[3,4]","previouslyFormattedCitation":"&lt;sup&gt;[3,4]&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[3,4]</w:t>
      </w:r>
      <w:r w:rsidRPr="006B0C21">
        <w:rPr>
          <w:rFonts w:ascii="Book Antiqua" w:hAnsi="Book Antiqua"/>
          <w:sz w:val="24"/>
          <w:szCs w:val="24"/>
        </w:rPr>
        <w:fldChar w:fldCharType="end"/>
      </w:r>
      <w:r w:rsidRPr="006B0C21">
        <w:rPr>
          <w:rFonts w:ascii="Book Antiqua" w:hAnsi="Book Antiqua"/>
          <w:sz w:val="24"/>
          <w:szCs w:val="24"/>
        </w:rPr>
        <w:t xml:space="preserve">. According to these new criteria, biliary cannulation is considered difficult if </w:t>
      </w:r>
      <w:r w:rsidR="00817BBB">
        <w:rPr>
          <w:rFonts w:ascii="Book Antiqua" w:hAnsi="Book Antiqua"/>
          <w:sz w:val="24"/>
          <w:szCs w:val="24"/>
        </w:rPr>
        <w:t>it</w:t>
      </w:r>
      <w:r w:rsidRPr="006B0C21">
        <w:rPr>
          <w:rFonts w:ascii="Book Antiqua" w:hAnsi="Book Antiqua"/>
          <w:sz w:val="24"/>
          <w:szCs w:val="24"/>
        </w:rPr>
        <w:t xml:space="preserve"> lasts longer than </w:t>
      </w:r>
      <w:r w:rsidR="00817BBB">
        <w:rPr>
          <w:rFonts w:ascii="Book Antiqua" w:hAnsi="Book Antiqua"/>
          <w:sz w:val="24"/>
          <w:szCs w:val="24"/>
        </w:rPr>
        <w:t>5 min</w:t>
      </w:r>
      <w:r w:rsidRPr="006B0C21">
        <w:rPr>
          <w:rFonts w:ascii="Book Antiqua" w:hAnsi="Book Antiqua"/>
          <w:sz w:val="24"/>
          <w:szCs w:val="24"/>
        </w:rPr>
        <w:t>, requires more than five attempts, or the pancreatic duct is cannulated more than twice. The probability of failed biliary cannulation ranges from 5</w:t>
      </w:r>
      <w:r w:rsidR="00817BBB">
        <w:rPr>
          <w:rFonts w:ascii="Book Antiqua" w:hAnsi="Book Antiqua"/>
          <w:sz w:val="24"/>
          <w:szCs w:val="24"/>
        </w:rPr>
        <w:t>-</w:t>
      </w:r>
      <w:r w:rsidRPr="006B0C21">
        <w:rPr>
          <w:rFonts w:ascii="Book Antiqua" w:hAnsi="Book Antiqua"/>
          <w:sz w:val="24"/>
          <w:szCs w:val="24"/>
        </w:rPr>
        <w:t>18</w:t>
      </w:r>
      <w:r w:rsidR="00817BBB">
        <w:rPr>
          <w:rFonts w:ascii="Book Antiqua" w:hAnsi="Book Antiqua"/>
          <w:sz w:val="24"/>
          <w:szCs w:val="24"/>
        </w:rPr>
        <w:t>%</w:t>
      </w:r>
      <w:r w:rsidRPr="006B0C21">
        <w:rPr>
          <w:rFonts w:ascii="Book Antiqua" w:hAnsi="Book Antiqua"/>
          <w:sz w:val="24"/>
          <w:szCs w:val="24"/>
        </w:rPr>
        <w:t xml:space="preserve"> based on the endoscopist</w:t>
      </w:r>
      <w:r w:rsidR="00817BBB">
        <w:rPr>
          <w:rFonts w:ascii="Book Antiqua" w:hAnsi="Book Antiqua"/>
          <w:sz w:val="24"/>
          <w:szCs w:val="24"/>
        </w:rPr>
        <w:t>’s</w:t>
      </w:r>
      <w:r w:rsidRPr="006B0C21">
        <w:rPr>
          <w:rFonts w:ascii="Book Antiqua" w:hAnsi="Book Antiqua"/>
          <w:sz w:val="24"/>
          <w:szCs w:val="24"/>
        </w:rPr>
        <w:t xml:space="preserve"> experience and the center volume. Some studies suggest that a higher number of cannulation attempts leads to a higher incidence of post-ERCP pancreatitis (PEP)</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{"citationItems":[{"id":"ITEM-1","itemData":{"DOI":"10.1111/j.1572-0241.2006.00380.x","ISBN":"0002-9270 (Print)\\r0002-9270 (Linking)","ISSN":"00029270","PMID":"11577302","abstract":"OBJECTIVES: Pancreatitis is the most common and serious complication of diagnostic and therapeutic ERCP. The aim of this study is to examine the potential patient- and procedure-related risk factors for post-ERCP pancreatitis in a prospective multicenter study. METHODS: A 160-variable database was prospectively collected by a defined protocol on patients undergoing diagnostic or therapeutic ERCP at 15 centers in the Midwest Pancreaticobiliary Group and participating in a randomized controlled study evaluating whether prophylactic corticosteroids will reduce the incidence of post-ERCP pancreatitis. Data were collected prior to the procedure, at the time of procedure, and 24-72 h after discharge. Post-ERCP pancreatitis was diagnosed and its severity graded according to consensus criteria. RESULTS: Of the 1,115 patients enrolled, diagnostic ERCP with or without sphincter of Oddi manometry (SOM) was performed in 536 (48.1%) and therapeutic ERCP in 579 (51.9%). Suspected sphincter of Oddi dysfunction (SOD) was the indication for the ERCP in 378 patients (33.9%). Pancreatitis developed in 168 patients (15.1%) and was graded mild in 112 (10%), moderate in 45 (4%), and severe in 11(1%). There was no difference in the incidence of pancreatitis or the frequency of investigated potential pancreatitis risk factors between the corticosteroid and placebo groups. By univariate analysis, the incidence of post-ERCP pancreatitis was significantly higher in 19 of 30 investigated variables. In the multivariate risk model, significant risk factors with adjusted odds ratios (OR) were: minor papilla sphincterotomy (OR: 3.8), suspected SOD (OR: 2.6), history of post-ERCP pancreatitis (OR: 2.0), age &lt;60 yr (OR: 1.6), ≥2 contrast injections into the pancreatic duct (OR: 1.5), and trainee involvement (OR: 1.5). Female gender, history of recurrent idiopathic pancreatitis, pancreas divisum, SOM, difficult cannulation, and major papilla sphincterotomy (either biliary or pancreatic) were not multivariate risk factors for post-ERCP pancreatitis. CONCLUSION: This study emphasizes the role of patient factors (age, SOD, prior history of post-ERCP pancreatitis) and technical factors (number of PD injections, minor papilla sphincterotomy, and operator experience) as the determining high-risk predictors for post-ERCP pancreatitis. © 2006 by Am. Coll. of Gastroenterology Published by Blackwell Publishing.","author":[{"dropping-particle":"","family":"Cheng","given":"Chi Liang","non-dropping-particle":"","parse-names":false,"suffix":""},{"dropping-particle":"","family":"Sherman","given":"Stuart","non-dropping-particle":"","parse-names":false,"suffix":""},{"dropping-particle":"","family":"Watkins","given":"James L.","non-dropping-particle":"","parse-names":false,"suffix":""},{"dropping-particle":"","family":"Barnett","given":"Jeffrey","non-dropping-particle":"","parse-names":false,"suffix":""},{"dropping-particle":"","family":"Freeman","given":"Martin","non-dropping-particle":"","parse-names":false,"suffix":""},{"dropping-particle":"","family":"Geenen","given":"Joseph","non-dropping-particle":"","parse-names":false,"suffix":""},{"dropping-particle":"","family":"Ryan","given":"Michael","non-dropping-particle":"","parse-names":false,"suffix":""},{"dropping-particle":"","family":"Parker","given":"Harrison","non-dropping-particle":"","parse-names":false,"suffix":""},{"dropping-particle":"","family":"Frakes","given":"James T.","non-dropping-particle":"","parse-names":false,"suffix":""},{"dropping-particle":"","family":"Fogel","given":"Evan L.","non-dropping-particle":"","parse-names":false,"suffix":""},{"dropping-particle":"","family":"Silverman","given":"William B.","non-dropping-particle":"","parse-names":false,"suffix":""},{"dropping-particle":"","family":"Dua","given":"Kulwinder S.","non-dropping-particle":"","parse-names":false,"suffix":""},{"dropping-particle":"","family":"Aliperti","given":"Giuseppe","non-dropping-particle":"","parse-names":false,"suffix":""},{"dropping-particle":"","family":"Yakshe","given":"Paul","non-dropping-particle":"","parse-names":false,"suffix":""},{"dropping-particle":"","family":"Uzer","given":"Michael","non-dropping-particle":"","parse-names":false,"suffix":""},{"dropping-particle":"","family":"Jones","given":"Whitney","non-dropping-particle":"","parse-names":false,"suffix":""},{"dropping-particle":"","family":"Goff","given":"John","non-dropping-particle":"","parse-names":false,"suffix":""},{"dropping-particle":"","family":"Lazzell-Pannell","given":"Laura","non-dropping-particle":"","parse-names":false,"suffix":""},{"dropping-particle":"","family":"Rashdan","given":"Abdullah","non-dropping-particle":"","parse-names":false,"suffix":""},{"dropping-particle":"","family":"Temkit","given":"M'Hamed","non-dropping-particle":"","parse-names":false,"suffix":""},{"dropping-particle":"","family":"Lehman","given":"Glen A.","non-dropping-particle":"","parse-names":false,"suffix":""}],"container-title":"American Journal of Gastroenterology","id":"ITEM-1","issue":"1","issued":{"date-parts":[["2006"]]},"page":"139-147","title":"Risk factors for post-ERCP pancreatitis: A prospective multicenter study","type":"article-journal","volume":"101"},"uris":["http://www.mendeley.com/documents/?uuid=d7488d63-0f7a-4394-ba3c-a703092e7d00"]},{"id":"ITEM-2","itemData":{"DOI":"10.1016/j.gie.2014.06.005","ISBN":"0016-5107","ISSN":"10976779","PMID":"25442080","abstract":"Background Wire-guided cannulation (WGC) was reported to decrease post-ERCP pancreatitis (PEP), but risk factors for PEP in WGC are not fully elucidated. Objective To evaluate the incidence and risk factors of PEP in WGC. Design Single-center retrospective study. Setting Academic center. Patients A total of 800 consecutive patients with a native papilla. Interventions Biliary therapeutic ERCP by using WGC. Main Outcome Measurements The rate of PEP and its risk factors. Results Biliary cannulation was successful by using WGC alone in 70.5%, and the final cannulation rate was 96.1%. Unintentional guidewire insertion and contrast material injection into the pancreatic duct (PD) during cannulation occurred in 55.3% and 21.8%, respectively. The incidence of PEP was 9.5% (mild 5.6%, moderate 2.9%, severe 1.0%). Multivariate analysis revealed a common bile duct (CBD) diameter of &lt;9 mm (odds ratio [OR] 2.03; P =.006) and unintentional guidewire insertion into the PD (OR 2.25; P =.014) as risk factors for PEP. PD opacification was not a risk factor for PEP (OR 1.15; P =.642), but the incremental increase of the PEP rate was seen in patients with CBDs &lt;9 mm: 4.6% without any PD manipulation, 8.3% with contrast material alone, 16.9% with guidewire alone, and 22.1% with both contrast material and guidewire. Limitations Retrospective design in a single center. Conclusion Unintentional PD manipulation was not uncommon in WGC. Guidewire insertion into the PD and a small CBD were risk factors for PEP in biliary therapeutic ERCP with the use of WGC.","author":[{"dropping-particle":"","family":"Nakai","given":"Yousuke","non-dropping-particle":"","parse-names":false,"suffix":""},{"dropping-particle":"","family":"Isayama","given":"Hiroyuki","non-dropping-particle":"","parse-names":false,"suffix":""},{"dropping-particle":"","family":"Sasahira","given":"Naoki","non-dropping-particle":"","parse-names":false,"suffix":""},{"dropping-particle":"","family":"Kogure","given":"Hirofumi","non-dropping-particle":"","parse-names":false,"suffix":""},{"dropping-particle":"","family":"Sasaki","given":"Takashi","non-dropping-particle":"","parse-names":false,"suffix":""},{"dropping-particle":"","family":"Yamamoto","given":"Natsuyo","non-dropping-particle":"","parse-names":false,"suffix":""},{"dropping-particle":"","family":"Saito","given":"Kei","non-dropping-particle":"","parse-names":false,"suffix":""},{"dropping-particle":"","family":"Umefune","given":"Gyotane","non-dropping-particle":"","parse-names":false,"suffix":""},{"dropping-particle":"","family":"Akiyama","given":"Dai","non-dropping-particle":"","parse-names":false,"suffix":""},{"dropping-particle":"","family":"Kawahata","given":"Shuhei","non-dropping-particle":"","parse-names":false,"suffix":""},{"dropping-particle":"","family":"Matsukawa","given":"Miho","non-dropping-particle":"","parse-names":false,"suffix":""},{"dropping-particle":"","family":"Saito","given":"Tomotaka","non-dropping-particle":"","parse-names":false,"suffix":""},{"dropping-particle":"","family":"Hamada","given":"Tsuyoshi","non-dropping-particle":"","parse-names":false,"suffix":""},{"dropping-particle":"","family":"Takahara","given":"Naminatsu","non-dropping-particle":"","parse-names":false,"suffix":""},{"dropping-particle":"","family":"Mizuno","given":"Suguru","non-dropping-particle":"","parse-names":false,"suffix":""},{"dropping-particle":"","family":"Miyabayashi","given":"Koji","non-dropping-particle":"","parse-names":false,"suffix":""},{"dropping-particle":"","family":"Mohri","given":"Dai","non-dropping-particle":"","parse-names":false,"suffix":""},{"dropping-particle":"","family":"Hirano","given":"Kenji","non-dropping-particle":"","parse-names":false,"suffix":""},{"dropping-particle":"","family":"Tada","given":"Minoru","non-dropping-particle":"","parse-names":false,"suffix":""},{"dropping-particle":"","family":"Koike","given":"Kazuhiko","non-dropping-particle":"","parse-names":false,"suffix":""}],"container-title":"Gastrointestinal Endoscopy","id":"ITEM-2","issue":"1","issued":{"date-parts":[["2015"]]},"page":"119-126","title":"Risk factors for post-ERCP pancreatitis in wire-guided cannulation for therapeutic biliary ERCP","type":"article-journal","volume":"81"},"uris":["http://www.mendeley.com/documents/?uuid=7ae697d5-0cbf-49ef-9061-01c215c35faf"]},{"id":"ITEM-3","itemData":{"DOI":"10.3109/00365521.2014.894120","ISBN":"1502-7708 (Electronic)\\r0036-5521 (Linking)","ISSN":"15027708","PMID":"24628493","abstract":"Background. The definition of a \"difficult\" cannulation varies considerably in reports of endoscopic retrograde cholangiopancreatography (ERCP). Aims. To define a difficult cannulation, which translates into higher risk of post-ERCP pancreatitis. Patients and methods. Prospective consecutive recording of 907 cannulations in Scandinavian centers done by experienced endoscopists. Inclusion: indication for biliary access in patients with intact papilla. Exclusion: acute non-biliary and chronic pancreatitis at time of procedure. Results. The primary cannulation succeeded in 74.9%, with median values for time 0.88 min (53 s), with two attempts and with zero pancreatic passages or injections. The overall cannulation success was 97.4% and post-ERCP pancreatitis (PEP) rate was 5.3%. The median time for all successful cannulations was 1.55 min (range 0.02-94.2). If the primary cannulation succeeded, the pancreatitis rate was 2.8%; after secondary methods, it rose to 11.5%. Procedures lasting less than 5 min had a PEP rate of 2.6% versus 11.8% in those lasting longer. With one attempt, the PEP rate was 0.6%, with two 3.1%, with three to four 6.1%, and with five and more 11.9%. With one accidental pancreatic guide-wire passage, the risk of the PEP was 3.7%, and with two passages, it was 13.1%. Conclusions. If the increasing rate of PEP is taken as defining factor, the wire-guided cannulation of a native papilla can be considered difficult after 5 min, five attempts, and two pancreatic guide-wire passages when any of those limits is exceeded. © 2014 Informa Healthcare.","author":[{"dropping-particle":"","family":"Halttunen","given":"Jorma","non-dropping-particle":"","parse-names":false,"suffix":""},{"dropping-particle":"","family":"Meisner","given":"Soren","non-dropping-particle":"","parse-names":false,"suffix":""},{"dropping-particle":"","family":"Aabakken","given":"Lars","non-dropping-particle":"","parse-names":false,"suffix":""},{"dropping-particle":"","family":"Arnelo","given":"Urban","non-dropping-particle":"","parse-names":false,"suffix":""},{"dropping-particle":"","family":"Grönroos","given":"Juha","non-dropping-particle":"","parse-names":false,"suffix":""},{"dropping-particle":"","family":"Hauge","given":"Truls","non-dropping-particle":"","parse-names":false,"suffix":""},{"dropping-particle":"","family":"Kleveland","given":"Per M.","non-dropping-particle":"","parse-names":false,"suffix":""},{"dropping-particle":"","family":"Nordblad Schmidt","given":"Palle","non-dropping-particle":"","parse-names":false,"suffix":""},{"dropping-particle":"","family":"Saarela","given":"Arto","non-dropping-particle":"","parse-names":false,"suffix":""},{"dropping-particle":"","family":"Swahn","given":"Fredrik","non-dropping-particle":"","parse-names":false,"suffix":""},{"dropping-particle":"","family":"Toth","given":"Ervin","non-dropping-particle":"","parse-names":false,"suffix":""},{"dropping-particle":"","family":"Mustonen","given":"Harri","non-dropping-particle":"","parse-names":false,"suffix":""},{"dropping-particle":"","family":"Löhr","given":"J. Matthias","non-dropping-particle":"","parse-names":false,"suffix":""}],"container-title":"Scandinavian Journal of Gastroenterology","id":"ITEM-3","issue":"6","issued":{"date-parts":[["2014","6","14"]]},"page":"752-758","title":"Difficult cannulation as defined by a prospective study of the Scandinavian Association for Digestive Endoscopy (SADE) in 907 ERCPs","type":"article-journal","volume":"49"},"uris":["http://www.mendeley.com/documents/?uuid=b1aec462-de3a-45d6-a447-b3a9f8a76936"]},{"id":"ITEM-4","itemData":{"DOI":"10.1016/j.ajg.2015.02.004","ISSN":"16871979","abstract":"Background and study aims: The aim of this study was to review the indications, findings, technical success, and outcomes of endoscopic retrograde cholangiopancreatography (ERCP) procedures in a large cohort of patients admitted to a single tertiary centre in Libya. Patients and methods: A total of 759 consecutive ERCP procedures were performed in 704 patients from January 2005 through December 2010 at the Endoscopy Unit of Central Hospital, Tripoli, Libya. The patients' demographic characteristics, clinical information, ERCP indications, laboratory parameters, and post-ERCP complications were reviewed. Formal written consent was obtained from all patients prior to each procedure. Results: The study included 280 (36.9%) males and 479 (63.1%) females with mean age ± standard deviation (SD) of 56.8 ± 18.7 years. Papillotomy was performed in 670 (88.3%) cases of the ERCP procedures. Common bile duct (CBD) stones were reported in 389 (51.3%) cases and were more frequent in females (234 cases, 60.1%) than males (155, 39.9%) (p = 0.01). The majority of the CBD stones were successfully retrieved with balloon extraction (304 cases, 78.2%), while mechanical lithotripsy (67 cases, 17.2%) and Dormia basket (11 cases, 2.8%) were used for difficult stones. Only seven (1.8%) cases were referred for surgery. Malignancy was found in 151 (19.9%) of the cases and was significantly more common in males than females (102, 67.5% vs. 49, 32.5%, respectively, p = 0.001). Stents for bile drainage were inserted in 26 (17.2%) of these cases. The complications encountered were acute pancreatitis in 30 cases (3.9%), minor bleeding in nine cases (1.2%), major bleeding in one case (0.15%), cholangitis in four cases (0.52%), and perforation in one case (0.15). Mortality was reported in three cases (0.4%). Conclusion: The ERCP indications and the related complications, in our centre in Libya, are comparatively consistent with those reported data in other countries. Successful biliary cannulation was achieved in most of the patients, and post-ERCP complications were uncommon except for pancreatitis, which occurred more frequently.","author":[{"dropping-particle":"","family":"Tumi","given":"Ali","non-dropping-particle":"","parse-names":false,"suffix":""},{"dropping-particle":"","family":"Magadmi","given":"Masoud","non-dropping-particle":"","parse-names":false,"suffix":""},{"dropping-particle":"","family":"Elfageih","given":"Salah","non-dropping-particle":"","parse-names":false,"suffix":""},{"dropping-particle":"","family":"Rajab","given":"Abdul-Fatah","non-dropping-particle":"","parse-names":false,"suffix":""},{"dropping-particle":"","family":"Azzabi","given":"Masoud","non-dropping-particle":"","parse-names":false,"suffix":""},{"dropping-particle":"","family":"Elzouki","given":"Abdel-Naser","non-dropping-particle":"","parse-names":false,"suffix":""}],"container-title":"Arab Journal of Gastroenterology","id":"ITEM-4","issue":"1","issued":{"date-parts":[["2015","3"]]},"page":"25-28","title":"ERCP in a cohort of 759 cases: A 6-year experience of a single tertiary centre in Libya","type":"article-journal","volume":"16"},"uris":["http://www.mendeley.com/documents/?uuid=a0944767-3b23-4503-8a5b-22ccf40c9723"]}],"mendeley":{"formattedCitation":"&lt;sup&gt;[4–7]&lt;/sup&gt;","plainTextFormattedCitation":"[4–7]","previouslyFormattedCitation":"&lt;sup&gt;[4–7]&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[4–7]</w:t>
      </w:r>
      <w:r w:rsidRPr="006B0C21">
        <w:rPr>
          <w:rFonts w:ascii="Book Antiqua" w:hAnsi="Book Antiqua"/>
          <w:sz w:val="24"/>
          <w:szCs w:val="24"/>
        </w:rPr>
        <w:fldChar w:fldCharType="end"/>
      </w:r>
      <w:r w:rsidRPr="006B0C21">
        <w:rPr>
          <w:rFonts w:ascii="Book Antiqua" w:hAnsi="Book Antiqua"/>
          <w:sz w:val="24"/>
          <w:szCs w:val="24"/>
        </w:rPr>
        <w:t>.</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Although multiple studies on the safety of ERCPs in </w:t>
      </w:r>
      <w:r w:rsidR="00817BBB">
        <w:rPr>
          <w:rFonts w:ascii="Book Antiqua" w:hAnsi="Book Antiqua"/>
          <w:sz w:val="24"/>
          <w:szCs w:val="24"/>
        </w:rPr>
        <w:t xml:space="preserve">the </w:t>
      </w:r>
      <w:r w:rsidRPr="006B0C21">
        <w:rPr>
          <w:rFonts w:ascii="Book Antiqua" w:hAnsi="Book Antiqua"/>
          <w:sz w:val="24"/>
          <w:szCs w:val="24"/>
        </w:rPr>
        <w:t>elderly have been published</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{"citationItems":[{"id":"ITEM-1","itemData":{"DOI":"10.1097/SLE.0000000000000499","ISSN":"15344908","PMID":"29252934","abstract":"Background: Endoscopic retrograde cholangiopancreatography (ERCP) has been an important therapeutic measure for the treatment of pancreatobiliary diseases in the elderly, but limited data on the use of ERCP in the super-aged elderly are available. This study aimed to evaluate the efficacy and safety of ERCP in patients 80 years of age or older. Methods: All therapeutic ERCPs performed from January 2012 to December 2015 at our endoscopy unit were retrospectively reviewed to evaluate the clinical outcomes and ERCP-related complications in patients 80 years of age or older (group A) and in patients younger than 65 years of age (group B). Results: A total of 141 patients (182 procedures) were 80 years of age or older (group A), and 513 patients (610 procedures) were 65 years old or younger (group B). Chronic concomitant diseases (73.05% vs. 31.19%, P&lt;0.01) and the use of antithrombotic drugs (25.53% vs. 15.01%, P&lt;0.01) were more frequent in group A than in group B. Common bile duct (CBD) stones were the most common indication for ERCP in both groups. The rate of a difficult cannulation was higher in group A than in group B (23.63% vs. 16.56%, P&lt;0.01). The mean procedure time was longer, and second ERCPs were performed more frequently in group A than in group B. In addition, periampullary diverticulum was observed significantly more frequently in group A (30.22% vs. 20%, P&lt;0.01) than in group B. The overall success rate (92.31% vs. 93.93%, P&gt;0.05) and the complication rate (6.59% vs. 5.25%, P&gt;0.05) were not significantly different between the 2 groups. Conclusions: ERCP is a safe and effective intervention in patients 80 years of age or older, although elderly patients had a high rate of concomitant chronic diseases and used antithrombotic drugs more frequently.","author":[{"dropping-particle":"","family":"Yang","given":"Jia Hua","non-dropping-particle":"","parse-names":false,"suffix":""},{"dropping-particle":"","family":"Li","given":"Wei","non-dropping-particle":"","parse-names":false,"suffix":""},{"dropping-particle":"","family":"Si","given":"Xian Ke","non-dropping-particle":"","parse-names":false,"suffix":""},{"dropping-particle":"","family":"Zhang","given":"Ji Xun","non-dropping-particle":"","parse-names":false,"suffix":""},{"dropping-particle":"","family":"Cao","given":"Yi Jun","non-dropping-particle":"","parse-names":false,"suffix":""}],"container-title":"Surgical Laparoscopy, Endoscopy and Percutaneous Techniques","id":"ITEM-1","issue":"2","issued":{"date-parts":[["2018","1"]]},"page":"e44-e48","title":"Efficacy and safety of therapeutic ERCP in the elderly: A single center experience","type":"article-journal","volume":"28"},"uris":["http://www.mendeley.com/documents/?uuid=efa7de70-9d9f-407c-af9c-99269823feb0"]},{"id":"ITEM-2","itemData":{"DOI":"10.3748/wjg.v22.i37.8382","ISSN":"22192840","PMID":"27729744","abstract":"AIM To investigate the efficacy and safety of emergency endoscopic retrograde cholangiopancreatography (ERCP) in elderly patients with acute cholangitis. METHODS From June 2008 to May 2016, emergency ERCPs were performed in 207 cases of acute cholangitis at our institution. Patients were classified as elderly if they were aged 80 years and older (n = 102); controls were under the age of 80 years (n = 105). The patients' medical records were retrospectively reviewed for comorbidities, laboratory data, etiology of cholangitis (presence of biliary stones, biliary stricture and malignancy), details of the ERCP (therapeutic approaches, technical success rates, procedure duration), ERCP-related complications and mortality. RESULTS The frequency of comorbidities was higher in the elderly group than the control group (91.2% vs 67.6%). Periampullary diverticulum was observed in the elderly group at a higher frequency than the control group (24.5% vs 13.3%). Between the groups, there was no significant difference in the technical success rates (95.1% vs 95.2%) or endoscopic procedure durations. With regard to the frequency of ERCP-related complications, there was no significant difference between the two groups (6.9% vs 6.7%), except for a lower rate of post-ERCP pancreatitis in the elderly group than in the control group (1.0% vs 3.8%). Neither angiographic nor surgical intervention was required in any of the cases with ERCP-related complications. There was no mortality during the observational periods. CONCLUSION Emergency ERCP for acute cholangitis can be performed safely even in elderly patients aged 80 years and older.","author":[{"dropping-particle":"","family":"Tohda","given":"Gen","non-dropping-particle":"","parse-names":false,"suffix":""},{"dropping-particle":"","family":"Ohtani","given":"Masahiro","non-dropping-particle":"","parse-names":false,"suffix":""},{"dropping-particle":"","family":"Dochin","given":"Masaki","non-dropping-particle":"","parse-names":false,"suffix":""}],"container-title":"World journal of gastroenterology","id":"ITEM-2","issue":"37","issued":{"date-parts":[["2016","10","7"]]},"page":"8382-8388","title":"Efficacy and safety of emergency endoscopic retrograde cholangiopancreatography for acute cholangitis in the elderly.","type":"article-journal","volume":"22"},"uris":["http://www.mendeley.com/documents/?uuid=7d1af50d-1960-4be3-ad6f-01b9d925d56b"]},{"id":"ITEM-3","itemData":{"DOI":"10.1007/s10620-016-4064-y","ISSN":"15732568","PMID":"26873537","abstract":"Background/Aims: Concern regarding the safety and efficacy of therapeutic endoscopic retrograde cholangiopancreatography (ERCP) in elderly patients is increasing as a result of the aging society. However, there are limited data, especially in the super-aged elderly. This study aimed to evaluate the efficacy and safety of therapeutic ERCP in patients ≥80 years of age. Methods: Patients 80 years of age or older (n = 312) and younger than 65 years (n = 312) who underwent therapeutic ERCP from June 2006 to April 2014 were randomly selected and analyzed retrospectively. The main outcome measurements were therapeutic ERCP-related complications and clinical outcomes in the two groups. Results: Choledocholithiasis combined with gallbladder stone was the most common indication for ERCP in both groups. Comorbid diseases (70.5 and 29.8 %, p &lt; 0.001) and the use of anti-thrombotic drugs (18.6 and 1.6 %, p &lt; 0.001) were more frequent in the super-aged group. The mean procedure time was longer, and the frequency of second ERCP was more common in the super-aged group. However, the technical success rate (94.9 and 97.4 %, p = 0.096) and the procedure-related complication rate (4.8 and 5.8 %, p = 0.592) were not different between the two groups. Post-ERCP pancreatitis occurred in 1.3 % of the super-aged group and in 2.9 % of the control group (p = 0.262). Cardiopulmonary complications occurred in 1.9 % of patients in each group (p = 1.0). Conclusions: Therapeutic ERCP is comparable in terms of efficacy and safety between patients ≥80 years and those &lt;65 years of age, although the elderly group had a higher rate of comorbid diseases and used anti-thrombotic drugs more frequently.","author":[{"dropping-particle":"","family":"Han","given":"Su Jung","non-dropping-particle":"","parse-names":false,"suffix":""},{"dropping-particle":"","family":"Lee","given":"Tae Hoon","non-dropping-particle":"","parse-names":false,"suffix":""},{"dropping-particle":"Il","family":"Kang","given":"Byong","non-dropping-particle":"","parse-names":false,"suffix":""},{"dropping-particle":"","family":"Choi","given":"Hyun Jong","non-dropping-particle":"","parse-names":false,"suffix":""},{"dropping-particle":"","family":"Lee","given":"Yun Nah","non-dropping-particle":"","parse-names":false,"suffix":""},{"dropping-particle":"","family":"Cha","given":"Sang Woo","non-dropping-particle":"","parse-names":false,"suffix":""},{"dropping-particle":"","family":"Moon","given":"Jong Ho","non-dropping-particle":"","parse-names":false,"suffix":""},{"dropping-particle":"","family":"Cho","given":"Young Deok","non-dropping-particle":"","parse-names":false,"suffix":""},{"dropping-particle":"","family":"Park","given":"Sang Hum","non-dropping-particle":"","parse-names":false,"suffix":""},{"dropping-particle":"","family":"Kim","given":"Sun Joo","non-dropping-particle":"","parse-names":false,"suffix":""}],"container-title":"Digestive Diseases and Sciences","id":"ITEM-3","issue":"7","issued":{"date-parts":[["2016"]]},"page":"2094-2101","title":"Efficacy and Safety of Therapeutic Endoscopic Retrograde Cholangiopancreatography in the Elderly Over 80 Years","type":"article-journal","volume":"61"},"uris":["http://www.mendeley.com/documents/?uuid=cde51ab5-eaf2-4cec-81e5-4f9247d00427"]},{"id":"ITEM-4","itemData":{"DOI":"10.1007/s10620-010-1304-4","ISSN":"01632116","PMID":"2011136215","abstract":"Background: Pancreatobiliary disease is increased in elderly patients. Because of significant comorbidities, these patients may be at greater risk of developing complications related to endoscopic retrograde cholangiopantreatography (ERCP). Objective: The purpose of this study was to compare the indications, interventions, and complications of ERCP of octogenarians with nonoctogenarians. Methods: A retrospective review of patient records from a single tertiary care hospital was performed. Adult patients undergoing ERCP were divided into two groups according to age. Group 1 patients were of age &lt; 80 years (N = 391), and group 2 patients were &gt; 80 years of age (N = 102). Indications, therapeutic interventions, use of conscious sedation, duration of procedure and complications were retrieved from the patient records. Main outcome measurements included: indications, therapeutic interventions, use of conscious sedation, duration of procedure and complications. Results: There was an increase in sphincterotomy rates (74 vs 63%; P &lt; 0.05) and stent insertions (48 vs 29%; P &lt; 0.001) in the octogenarian group. In group 1 there were 19 cases (4.9%) of post ERCP pancreatitis who spent 251 hospital days (including 59 ICU days) compared with one case (0.98%) in group 2 who required ten hospital days (P &lt; 0.05) and 0 ICU days. Procedure time for octogenarians was greater than nonoctogenarians (33.1 vs 29.8 min; P &lt; 0.05). Octogenarians required less conscious sedation than nonoctogenarians (midazolam 4.1 vs 5.9 mg; P &lt; 0.05 and fentanyl 45.5 vs 80.4 mcg; P &lt; 0.05). Conclusions: In octogenarians, ERCP is efficacious and safe. It is associated with a lower rate of hospitalization for pancreatitis. ERCP in octogenarians takes longer, is associated with increased interventions (stent insertion and sphincterotomy) and requires less sedation. © 2010 Springer Science+Business Media, LLC.","author":[{"dropping-particle":"","family":"Ali","given":"Massud","non-dropping-particle":"","parse-names":false,"suffix":""},{"dropping-particle":"","family":"Ward","given":"Greg","non-dropping-particle":"","parse-names":false,"suffix":""},{"dropping-particle":"","family":"Staley","given":"Doug","non-dropping-particle":"","parse-names":false,"suffix":""},{"dropping-particle":"","family":"Duerksen","given":"Donald R.","non-dropping-particle":"","parse-names":false,"suffix":""}],"container-title":"Digestive Diseases and Sciences","id":"ITEM-4","issue":"2","issued":{"date-parts":[["2011","2"]]},"page":"586-590","title":"A retrospective study of the safety and efficacy of ERCP in octogenarians","type":"article-journal","volume":"56"},"uris":["http://www.mendeley.com/documents/?uuid=bd6d6bba-572e-4a08-9b7d-252d7f82f5a3"]}],"mendeley":{"formattedCitation":"&lt;sup&gt;[8–11]&lt;/sup&gt;","plainTextFormattedCitation":"[8–11]","previouslyFormattedCitation":"&lt;sup&gt;[8–11]&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[8–11]</w:t>
      </w:r>
      <w:r w:rsidRPr="006B0C21">
        <w:rPr>
          <w:rFonts w:ascii="Book Antiqua" w:hAnsi="Book Antiqua"/>
          <w:sz w:val="24"/>
          <w:szCs w:val="24"/>
        </w:rPr>
        <w:fldChar w:fldCharType="end"/>
      </w:r>
      <w:r w:rsidRPr="006B0C21">
        <w:rPr>
          <w:rFonts w:ascii="Book Antiqua" w:hAnsi="Book Antiqua"/>
          <w:sz w:val="24"/>
          <w:szCs w:val="24"/>
        </w:rPr>
        <w:t xml:space="preserve">, not enough studies </w:t>
      </w:r>
      <w:r w:rsidR="00817BBB">
        <w:rPr>
          <w:rFonts w:ascii="Book Antiqua" w:hAnsi="Book Antiqua"/>
          <w:sz w:val="24"/>
          <w:szCs w:val="24"/>
        </w:rPr>
        <w:t xml:space="preserve">have </w:t>
      </w:r>
      <w:r w:rsidRPr="006B0C21">
        <w:rPr>
          <w:rFonts w:ascii="Book Antiqua" w:hAnsi="Book Antiqua"/>
          <w:sz w:val="24"/>
          <w:szCs w:val="24"/>
        </w:rPr>
        <w:t>focused on difficult cannulation and the safety of different cannulation techniques used in elderly patients.</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The first objective of this study </w:t>
      </w:r>
      <w:r w:rsidR="00A67732">
        <w:rPr>
          <w:rFonts w:ascii="Book Antiqua" w:hAnsi="Book Antiqua"/>
          <w:sz w:val="24"/>
          <w:szCs w:val="24"/>
        </w:rPr>
        <w:t>was</w:t>
      </w:r>
      <w:r w:rsidRPr="006B0C21">
        <w:rPr>
          <w:rFonts w:ascii="Book Antiqua" w:hAnsi="Book Antiqua"/>
          <w:sz w:val="24"/>
          <w:szCs w:val="24"/>
        </w:rPr>
        <w:t xml:space="preserve"> to present a new inclusive study on the age-dependent safety and efficacy of ERCP taking into account the choice of using multiple techniques to accomplish deep cannulation of the common bile duct (CBD). The second objective </w:t>
      </w:r>
      <w:r w:rsidR="00A67732">
        <w:rPr>
          <w:rFonts w:ascii="Book Antiqua" w:hAnsi="Book Antiqua"/>
          <w:sz w:val="24"/>
          <w:szCs w:val="24"/>
        </w:rPr>
        <w:t>was</w:t>
      </w:r>
      <w:r w:rsidRPr="006B0C21">
        <w:rPr>
          <w:rFonts w:ascii="Book Antiqua" w:hAnsi="Book Antiqua"/>
          <w:sz w:val="24"/>
          <w:szCs w:val="24"/>
        </w:rPr>
        <w:t xml:space="preserve"> to study the influence of cannulation difficulty as a risk factor </w:t>
      </w:r>
      <w:r w:rsidR="00817BBB">
        <w:rPr>
          <w:rFonts w:ascii="Book Antiqua" w:hAnsi="Book Antiqua"/>
          <w:sz w:val="24"/>
          <w:szCs w:val="24"/>
        </w:rPr>
        <w:t>for</w:t>
      </w:r>
      <w:r w:rsidRPr="006B0C21">
        <w:rPr>
          <w:rFonts w:ascii="Book Antiqua" w:hAnsi="Book Antiqua"/>
          <w:sz w:val="24"/>
          <w:szCs w:val="24"/>
        </w:rPr>
        <w:t xml:space="preserve"> adverse events, especially PEP.</w:t>
      </w:r>
    </w:p>
    <w:p w:rsidR="00713A64" w:rsidRPr="006B0C21" w:rsidRDefault="00713A64" w:rsidP="006B0C21">
      <w:pPr>
        <w:adjustRightInd w:val="0"/>
        <w:snapToGrid w:val="0"/>
        <w:spacing w:line="360" w:lineRule="auto"/>
        <w:rPr>
          <w:rFonts w:ascii="Book Antiqua" w:hAnsi="Book Antiqua"/>
          <w:sz w:val="24"/>
          <w:szCs w:val="24"/>
        </w:rPr>
      </w:pPr>
    </w:p>
    <w:p w:rsidR="004D26D4" w:rsidRPr="006B0C21" w:rsidRDefault="004D26D4" w:rsidP="006B0C21">
      <w:pPr>
        <w:adjustRightInd w:val="0"/>
        <w:snapToGrid w:val="0"/>
        <w:spacing w:line="360" w:lineRule="auto"/>
        <w:rPr>
          <w:rFonts w:ascii="Book Antiqua" w:hAnsi="Book Antiqua"/>
          <w:b/>
          <w:bCs/>
          <w:color w:val="000000"/>
          <w:sz w:val="24"/>
          <w:szCs w:val="24"/>
          <w:u w:val="single"/>
        </w:rPr>
      </w:pPr>
      <w:r w:rsidRPr="006B0C21">
        <w:rPr>
          <w:rFonts w:ascii="Book Antiqua" w:hAnsi="Book Antiqua"/>
          <w:b/>
          <w:bCs/>
          <w:color w:val="000000"/>
          <w:sz w:val="24"/>
          <w:szCs w:val="24"/>
          <w:u w:val="single"/>
        </w:rPr>
        <w:t>MATERIALS AND METHODS</w:t>
      </w: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Data source and participants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The study protocol was approved by the </w:t>
      </w:r>
      <w:r w:rsidR="00817BBB">
        <w:rPr>
          <w:rFonts w:ascii="Book Antiqua" w:hAnsi="Book Antiqua"/>
          <w:sz w:val="24"/>
          <w:szCs w:val="24"/>
        </w:rPr>
        <w:t>I</w:t>
      </w:r>
      <w:r w:rsidRPr="006B0C21">
        <w:rPr>
          <w:rFonts w:ascii="Book Antiqua" w:hAnsi="Book Antiqua"/>
          <w:sz w:val="24"/>
          <w:szCs w:val="24"/>
        </w:rPr>
        <w:t xml:space="preserve">nstitutional </w:t>
      </w:r>
      <w:r w:rsidR="00817BBB">
        <w:rPr>
          <w:rFonts w:ascii="Book Antiqua" w:hAnsi="Book Antiqua"/>
          <w:sz w:val="24"/>
          <w:szCs w:val="24"/>
        </w:rPr>
        <w:t>R</w:t>
      </w:r>
      <w:r w:rsidRPr="006B0C21">
        <w:rPr>
          <w:rFonts w:ascii="Book Antiqua" w:hAnsi="Book Antiqua"/>
          <w:sz w:val="24"/>
          <w:szCs w:val="24"/>
        </w:rPr>
        <w:t xml:space="preserve">eview </w:t>
      </w:r>
      <w:r w:rsidR="00817BBB">
        <w:rPr>
          <w:rFonts w:ascii="Book Antiqua" w:hAnsi="Book Antiqua"/>
          <w:sz w:val="24"/>
          <w:szCs w:val="24"/>
        </w:rPr>
        <w:t>B</w:t>
      </w:r>
      <w:r w:rsidRPr="006B0C21">
        <w:rPr>
          <w:rFonts w:ascii="Book Antiqua" w:hAnsi="Book Antiqua"/>
          <w:sz w:val="24"/>
          <w:szCs w:val="24"/>
        </w:rPr>
        <w:t xml:space="preserve">oard of the Second Affiliated Hospital of Nanjing Medical University. A total of 930 consecutive ERCPs were performed in our endoscopy center between July 2016 and January 2018, and the clinical and therapeutic related data were prospectively collected. Patients with previous sphincterotomy and patients with altered anatomy (Billroth ll, Roux-en-y reconstruction, or duodenum stricture), in whom we could not reach the papilla, were excluded. For the purpose of analysis, a total of 614 patients with a native papilla enrolled in this study were divided into two groups based on their age. </w:t>
      </w:r>
      <w:r w:rsidR="00817BBB">
        <w:rPr>
          <w:rFonts w:ascii="Book Antiqua" w:hAnsi="Book Antiqua"/>
          <w:sz w:val="24"/>
          <w:szCs w:val="24"/>
        </w:rPr>
        <w:t>T</w:t>
      </w:r>
      <w:r w:rsidRPr="006B0C21">
        <w:rPr>
          <w:rFonts w:ascii="Book Antiqua" w:hAnsi="Book Antiqua"/>
          <w:sz w:val="24"/>
          <w:szCs w:val="24"/>
        </w:rPr>
        <w:t xml:space="preserve">hose 614 patients were </w:t>
      </w:r>
      <w:r w:rsidR="00817BBB">
        <w:rPr>
          <w:rFonts w:ascii="Book Antiqua" w:hAnsi="Book Antiqua"/>
          <w:sz w:val="24"/>
          <w:szCs w:val="24"/>
        </w:rPr>
        <w:t xml:space="preserve">subsequently </w:t>
      </w:r>
      <w:r w:rsidRPr="006B0C21">
        <w:rPr>
          <w:rFonts w:ascii="Book Antiqua" w:hAnsi="Book Antiqua"/>
          <w:sz w:val="24"/>
          <w:szCs w:val="24"/>
        </w:rPr>
        <w:t>filtered based on difficult cannulation grading (Figure 1). All patients signed an informed consent form before ERCP was performed.</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Patients’ clinical data</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Data describing the patients' clinical and therapeutic features, including demographics, comorbid diseases, procedure details, and ERCP</w:t>
      </w:r>
      <w:r w:rsidR="00817BBB">
        <w:rPr>
          <w:rFonts w:ascii="Book Antiqua" w:hAnsi="Book Antiqua"/>
          <w:sz w:val="24"/>
          <w:szCs w:val="24"/>
        </w:rPr>
        <w:t>-</w:t>
      </w:r>
      <w:r w:rsidRPr="006B0C21">
        <w:rPr>
          <w:rFonts w:ascii="Book Antiqua" w:hAnsi="Book Antiqua"/>
          <w:sz w:val="24"/>
          <w:szCs w:val="24"/>
        </w:rPr>
        <w:t xml:space="preserve">related adverse events, were prospectively collected. Also, the cannulation duration and </w:t>
      </w:r>
      <w:r w:rsidR="00817BBB">
        <w:rPr>
          <w:rFonts w:ascii="Book Antiqua" w:hAnsi="Book Antiqua"/>
          <w:sz w:val="24"/>
          <w:szCs w:val="24"/>
        </w:rPr>
        <w:t xml:space="preserve">number of </w:t>
      </w:r>
      <w:r w:rsidRPr="006B0C21">
        <w:rPr>
          <w:rFonts w:ascii="Book Antiqua" w:hAnsi="Book Antiqua"/>
          <w:sz w:val="24"/>
          <w:szCs w:val="24"/>
        </w:rPr>
        <w:t xml:space="preserve">attempts were carefully </w:t>
      </w:r>
      <w:r w:rsidR="00817BBB">
        <w:rPr>
          <w:rFonts w:ascii="Book Antiqua" w:hAnsi="Book Antiqua"/>
          <w:sz w:val="24"/>
          <w:szCs w:val="24"/>
        </w:rPr>
        <w:t>recorded</w:t>
      </w:r>
      <w:r w:rsidRPr="006B0C21">
        <w:rPr>
          <w:rFonts w:ascii="Book Antiqua" w:hAnsi="Book Antiqua"/>
          <w:sz w:val="24"/>
          <w:szCs w:val="24"/>
        </w:rPr>
        <w:t>.</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Comorbid diseases were classified as hypertension, cardiac diseases (ischemic heart diseases, heart failure), diabetes mellitus, neurolog</w:t>
      </w:r>
      <w:r w:rsidR="00817BBB">
        <w:rPr>
          <w:rFonts w:ascii="Book Antiqua" w:hAnsi="Book Antiqua"/>
          <w:sz w:val="24"/>
          <w:szCs w:val="24"/>
        </w:rPr>
        <w:t>ical diseases</w:t>
      </w:r>
      <w:r w:rsidRPr="006B0C21">
        <w:rPr>
          <w:rFonts w:ascii="Book Antiqua" w:hAnsi="Book Antiqua"/>
          <w:sz w:val="24"/>
          <w:szCs w:val="24"/>
        </w:rPr>
        <w:t xml:space="preserve"> (cerebrovascular diseases, dementia), hepatic diseases, malignancy, chronic pulmonary diseases, and renal diseases. Additionally, comorbidities were weighted using the Charlson Comorbidity Index (CCI), which is based on varying assigned weights of comorbid conditions depending on the risk of mortality associated with each one. We used the cutoff of CCI</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2 to stratify the patients based on their comorbidities.</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Indications were grouped into choledocholithiasis with or without biliary pancreatitis or cholangitis, chronic pancreatitis, benign strictures, and patients with known or suspected cholangiocarcinoma, ampullary or pancreatic carcinoma. Additionally, the second ERCP was performed to complete the clearance of biliary stones, </w:t>
      </w:r>
      <w:r w:rsidR="00817BBB">
        <w:rPr>
          <w:rFonts w:ascii="Book Antiqua" w:hAnsi="Book Antiqua"/>
          <w:sz w:val="24"/>
          <w:szCs w:val="24"/>
        </w:rPr>
        <w:t>insert</w:t>
      </w:r>
      <w:r w:rsidRPr="006B0C21">
        <w:rPr>
          <w:rFonts w:ascii="Book Antiqua" w:hAnsi="Book Antiqua"/>
          <w:sz w:val="24"/>
          <w:szCs w:val="24"/>
        </w:rPr>
        <w:t xml:space="preserve"> or exchange biliary stents.</w:t>
      </w:r>
    </w:p>
    <w:p w:rsidR="00713A64" w:rsidRPr="006B0C21" w:rsidRDefault="00713A64" w:rsidP="006B0C21">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kern w:val="2"/>
          <w:sz w:val="24"/>
          <w:szCs w:val="24"/>
        </w:rPr>
      </w:pP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Endoscopic procedure</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All patients underwent therapeutic ERCP using </w:t>
      </w:r>
      <w:r w:rsidR="00817BBB">
        <w:rPr>
          <w:rFonts w:ascii="Book Antiqua" w:hAnsi="Book Antiqua"/>
          <w:sz w:val="24"/>
          <w:szCs w:val="24"/>
        </w:rPr>
        <w:t xml:space="preserve">a </w:t>
      </w:r>
      <w:r w:rsidRPr="006B0C21">
        <w:rPr>
          <w:rFonts w:ascii="Book Antiqua" w:hAnsi="Book Antiqua"/>
          <w:sz w:val="24"/>
          <w:szCs w:val="24"/>
        </w:rPr>
        <w:t xml:space="preserve">side-view duodenoscope in the prone or left lateral position following overnight fasting. The patients were sedated using intravenous midazolam with adjusted propofol dosage for suitable sedation in advanced age. Patients were monitored continuously during the procedure by an anesthesiologist using a pulse oximeter, electrocardiography monitoring, and supplementary oxygen when needed. Prophylactic octreotide dose was administered to all patients before ERCP for PEP prevention. </w:t>
      </w:r>
      <w:r w:rsidR="001C5F89">
        <w:rPr>
          <w:rFonts w:ascii="Book Antiqua" w:hAnsi="Book Antiqua"/>
          <w:sz w:val="24"/>
          <w:szCs w:val="24"/>
        </w:rPr>
        <w:t>In addition</w:t>
      </w:r>
      <w:r w:rsidRPr="006B0C21">
        <w:rPr>
          <w:rFonts w:ascii="Book Antiqua" w:hAnsi="Book Antiqua"/>
          <w:sz w:val="24"/>
          <w:szCs w:val="24"/>
        </w:rPr>
        <w:t xml:space="preserve">, prophylactic placement of </w:t>
      </w:r>
      <w:r w:rsidR="001C5F89">
        <w:rPr>
          <w:rFonts w:ascii="Book Antiqua" w:hAnsi="Book Antiqua"/>
          <w:sz w:val="24"/>
          <w:szCs w:val="24"/>
        </w:rPr>
        <w:t xml:space="preserve">a </w:t>
      </w:r>
      <w:r w:rsidRPr="006B0C21">
        <w:rPr>
          <w:rFonts w:ascii="Book Antiqua" w:hAnsi="Book Antiqua"/>
          <w:sz w:val="24"/>
          <w:szCs w:val="24"/>
        </w:rPr>
        <w:t xml:space="preserve">pancreatic stent was </w:t>
      </w:r>
      <w:r w:rsidR="00E868B5">
        <w:rPr>
          <w:rFonts w:ascii="Book Antiqua" w:hAnsi="Book Antiqua"/>
          <w:sz w:val="24"/>
          <w:szCs w:val="24"/>
        </w:rPr>
        <w:t>carried out</w:t>
      </w:r>
      <w:r w:rsidRPr="006B0C21">
        <w:rPr>
          <w:rFonts w:ascii="Book Antiqua" w:hAnsi="Book Antiqua"/>
          <w:sz w:val="24"/>
          <w:szCs w:val="24"/>
        </w:rPr>
        <w:t xml:space="preserve"> </w:t>
      </w:r>
      <w:r w:rsidR="001C5F89">
        <w:rPr>
          <w:rFonts w:ascii="Book Antiqua" w:hAnsi="Book Antiqua"/>
          <w:sz w:val="24"/>
          <w:szCs w:val="24"/>
        </w:rPr>
        <w:t>in</w:t>
      </w:r>
      <w:r w:rsidRPr="006B0C21">
        <w:rPr>
          <w:rFonts w:ascii="Book Antiqua" w:hAnsi="Book Antiqua"/>
          <w:sz w:val="24"/>
          <w:szCs w:val="24"/>
        </w:rPr>
        <w:t xml:space="preserve"> patients with difficult cannulation, especially those with multiple pancreatic cannulations. Rectal non-steroidal anti-inflammatory drugs were not administered for the prevention of PEP during the study period.</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Standard biliary cannulation was initially performed using </w:t>
      </w:r>
      <w:r w:rsidR="001C5F89">
        <w:rPr>
          <w:rFonts w:ascii="Book Antiqua" w:hAnsi="Book Antiqua"/>
          <w:sz w:val="24"/>
          <w:szCs w:val="24"/>
        </w:rPr>
        <w:t xml:space="preserve">a </w:t>
      </w:r>
      <w:r w:rsidRPr="006B0C21">
        <w:rPr>
          <w:rFonts w:ascii="Book Antiqua" w:hAnsi="Book Antiqua"/>
          <w:sz w:val="24"/>
          <w:szCs w:val="24"/>
        </w:rPr>
        <w:t xml:space="preserve">guidewire-assisted technique with </w:t>
      </w:r>
      <w:r w:rsidR="001C5F89">
        <w:rPr>
          <w:rFonts w:ascii="Book Antiqua" w:hAnsi="Book Antiqua"/>
          <w:sz w:val="24"/>
          <w:szCs w:val="24"/>
        </w:rPr>
        <w:t xml:space="preserve">a </w:t>
      </w:r>
      <w:r w:rsidRPr="006B0C21">
        <w:rPr>
          <w:rFonts w:ascii="Book Antiqua" w:hAnsi="Book Antiqua"/>
          <w:sz w:val="24"/>
          <w:szCs w:val="24"/>
        </w:rPr>
        <w:t xml:space="preserve">sphincterotome. Needle knife precut (NKP) or transpancreatic sphincterotomy (TPS) were </w:t>
      </w:r>
      <w:r w:rsidR="001C5F89">
        <w:rPr>
          <w:rFonts w:ascii="Book Antiqua" w:hAnsi="Book Antiqua"/>
          <w:sz w:val="24"/>
          <w:szCs w:val="24"/>
        </w:rPr>
        <w:t>carried out</w:t>
      </w:r>
      <w:r w:rsidRPr="006B0C21">
        <w:rPr>
          <w:rFonts w:ascii="Book Antiqua" w:hAnsi="Book Antiqua"/>
          <w:sz w:val="24"/>
          <w:szCs w:val="24"/>
        </w:rPr>
        <w:t xml:space="preserve"> when selective biliary access failed after standard cannulation attempts. Choosing the </w:t>
      </w:r>
      <w:r w:rsidR="001C5F89">
        <w:rPr>
          <w:rFonts w:ascii="Book Antiqua" w:hAnsi="Book Antiqua"/>
          <w:sz w:val="24"/>
          <w:szCs w:val="24"/>
        </w:rPr>
        <w:t xml:space="preserve">most </w:t>
      </w:r>
      <w:r w:rsidRPr="006B0C21">
        <w:rPr>
          <w:rFonts w:ascii="Book Antiqua" w:hAnsi="Book Antiqua"/>
          <w:sz w:val="24"/>
          <w:szCs w:val="24"/>
        </w:rPr>
        <w:t>suitable secondary cannulation technique was according to the endoscopist</w:t>
      </w:r>
      <w:r w:rsidR="001C5F89">
        <w:rPr>
          <w:rFonts w:ascii="Book Antiqua" w:hAnsi="Book Antiqua"/>
          <w:sz w:val="24"/>
          <w:szCs w:val="24"/>
        </w:rPr>
        <w:t>’</w:t>
      </w:r>
      <w:r w:rsidRPr="006B0C21">
        <w:rPr>
          <w:rFonts w:ascii="Book Antiqua" w:hAnsi="Book Antiqua"/>
          <w:sz w:val="24"/>
          <w:szCs w:val="24"/>
        </w:rPr>
        <w:t>s</w:t>
      </w:r>
      <w:r w:rsidR="001C5F89" w:rsidRPr="001C5F89">
        <w:rPr>
          <w:rFonts w:ascii="Book Antiqua" w:hAnsi="Book Antiqua"/>
          <w:sz w:val="24"/>
          <w:szCs w:val="24"/>
        </w:rPr>
        <w:t xml:space="preserve"> </w:t>
      </w:r>
      <w:r w:rsidR="001C5F89" w:rsidRPr="006B0C21">
        <w:rPr>
          <w:rFonts w:ascii="Book Antiqua" w:hAnsi="Book Antiqua"/>
          <w:sz w:val="24"/>
          <w:szCs w:val="24"/>
        </w:rPr>
        <w:t>expertise</w:t>
      </w:r>
      <w:r w:rsidRPr="006B0C21">
        <w:rPr>
          <w:rFonts w:ascii="Book Antiqua" w:hAnsi="Book Antiqua"/>
          <w:sz w:val="24"/>
          <w:szCs w:val="24"/>
        </w:rPr>
        <w:t xml:space="preserve">, which was mainly based on the repetitive unintended guidewire insertion into the pancreatic duct. NKP was considered as the preferred choice in the absence of pancreatic cannulation and </w:t>
      </w:r>
      <w:r w:rsidR="001C5F89">
        <w:rPr>
          <w:rFonts w:ascii="Book Antiqua" w:hAnsi="Book Antiqua"/>
          <w:sz w:val="24"/>
          <w:szCs w:val="24"/>
        </w:rPr>
        <w:t>in</w:t>
      </w:r>
      <w:r w:rsidRPr="006B0C21">
        <w:rPr>
          <w:rFonts w:ascii="Book Antiqua" w:hAnsi="Book Antiqua"/>
          <w:sz w:val="24"/>
          <w:szCs w:val="24"/>
        </w:rPr>
        <w:t xml:space="preserve"> cases with impacted biliary stones at the ampulla or the distal CBD. In cases of prior pancreatic guidewire insertion, TPS was performed with placement of a prophylactic pancreatic stent. I</w:t>
      </w:r>
      <w:r w:rsidR="00197A0C">
        <w:rPr>
          <w:rFonts w:ascii="Book Antiqua" w:hAnsi="Book Antiqua"/>
          <w:sz w:val="24"/>
          <w:szCs w:val="24"/>
        </w:rPr>
        <w:t>t is</w:t>
      </w:r>
      <w:r w:rsidRPr="006B0C21">
        <w:rPr>
          <w:rFonts w:ascii="Book Antiqua" w:hAnsi="Book Antiqua"/>
          <w:sz w:val="24"/>
          <w:szCs w:val="24"/>
        </w:rPr>
        <w:t xml:space="preserve"> standard proce</w:t>
      </w:r>
      <w:r w:rsidR="001C5F89">
        <w:rPr>
          <w:rFonts w:ascii="Book Antiqua" w:hAnsi="Book Antiqua"/>
          <w:sz w:val="24"/>
          <w:szCs w:val="24"/>
        </w:rPr>
        <w:t>dure in</w:t>
      </w:r>
      <w:r w:rsidRPr="006B0C21">
        <w:rPr>
          <w:rFonts w:ascii="Book Antiqua" w:hAnsi="Book Antiqua"/>
          <w:sz w:val="24"/>
          <w:szCs w:val="24"/>
        </w:rPr>
        <w:t xml:space="preserve"> our hospital, </w:t>
      </w:r>
      <w:r w:rsidR="00197A0C">
        <w:rPr>
          <w:rFonts w:ascii="Book Antiqua" w:hAnsi="Book Antiqua"/>
          <w:sz w:val="24"/>
          <w:szCs w:val="24"/>
        </w:rPr>
        <w:t xml:space="preserve">that </w:t>
      </w:r>
      <w:r w:rsidRPr="006B0C21">
        <w:rPr>
          <w:rFonts w:ascii="Book Antiqua" w:hAnsi="Book Antiqua"/>
          <w:sz w:val="24"/>
          <w:szCs w:val="24"/>
        </w:rPr>
        <w:t xml:space="preserve">all patients undergoing ERCP require a three-day hospitalization </w:t>
      </w:r>
      <w:r w:rsidR="00197A0C">
        <w:rPr>
          <w:rFonts w:ascii="Book Antiqua" w:hAnsi="Book Antiqua"/>
          <w:sz w:val="24"/>
          <w:szCs w:val="24"/>
        </w:rPr>
        <w:t xml:space="preserve">period </w:t>
      </w:r>
      <w:r w:rsidRPr="006B0C21">
        <w:rPr>
          <w:rFonts w:ascii="Book Antiqua" w:hAnsi="Book Antiqua"/>
          <w:sz w:val="24"/>
          <w:szCs w:val="24"/>
        </w:rPr>
        <w:t>for observation and follow</w:t>
      </w:r>
      <w:r w:rsidR="00197A0C">
        <w:rPr>
          <w:rFonts w:ascii="Book Antiqua" w:hAnsi="Book Antiqua"/>
          <w:sz w:val="24"/>
          <w:szCs w:val="24"/>
        </w:rPr>
        <w:t>-</w:t>
      </w:r>
      <w:r w:rsidRPr="006B0C21">
        <w:rPr>
          <w:rFonts w:ascii="Book Antiqua" w:hAnsi="Book Antiqua"/>
          <w:sz w:val="24"/>
          <w:szCs w:val="24"/>
        </w:rPr>
        <w:t>up serum amylase</w:t>
      </w:r>
      <w:r w:rsidR="00197A0C">
        <w:rPr>
          <w:rFonts w:ascii="Book Antiqua" w:hAnsi="Book Antiqua"/>
          <w:sz w:val="24"/>
          <w:szCs w:val="24"/>
        </w:rPr>
        <w:t xml:space="preserve"> measurement</w:t>
      </w:r>
      <w:r w:rsidRPr="006B0C21">
        <w:rPr>
          <w:rFonts w:ascii="Book Antiqua" w:hAnsi="Book Antiqua"/>
          <w:sz w:val="24"/>
          <w:szCs w:val="24"/>
        </w:rPr>
        <w:t>.</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4D26D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Definitions and criteria</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Cannulation was considered difficult if </w:t>
      </w:r>
      <w:r w:rsidR="00197A0C">
        <w:rPr>
          <w:rFonts w:ascii="Book Antiqua" w:hAnsi="Book Antiqua"/>
          <w:sz w:val="24"/>
          <w:szCs w:val="24"/>
        </w:rPr>
        <w:t>it</w:t>
      </w:r>
      <w:r w:rsidRPr="006B0C21">
        <w:rPr>
          <w:rFonts w:ascii="Book Antiqua" w:hAnsi="Book Antiqua"/>
          <w:sz w:val="24"/>
          <w:szCs w:val="24"/>
        </w:rPr>
        <w:t xml:space="preserve"> took more than 5 min, needed more than five cannulation attempts </w:t>
      </w:r>
      <w:r w:rsidR="00197A0C">
        <w:rPr>
          <w:rFonts w:ascii="Book Antiqua" w:hAnsi="Book Antiqua"/>
          <w:sz w:val="24"/>
          <w:szCs w:val="24"/>
        </w:rPr>
        <w:t>i</w:t>
      </w:r>
      <w:r w:rsidRPr="006B0C21">
        <w:rPr>
          <w:rFonts w:ascii="Book Antiqua" w:hAnsi="Book Antiqua"/>
          <w:sz w:val="24"/>
          <w:szCs w:val="24"/>
        </w:rPr>
        <w:t>n the papilla, or the pancreatic duct was cannulated more than twice</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{"citationItems":[{"id":"ITEM-1","itemData":{"DOI":"10.1055/s-0042-108641","ISBN":"0013-726x","ISSN":"14388812","PMID":"27299638","abstract":"This Guideline is an official statement of the European Society of Gastrointestinal Endoscopy (ESGE). It provides practical advice on how to achieve successful cannulation and sphincterotomy at minimum risk to the patient. The Grading of Recommendations Assessment, Development, and Evaluation (GRADE) system was adopted to define the strength of recommendations and the quality of evidence. Main recommendations 1 ESGE suggests that difficult biliary cannulation is defined by the presence of one or more of the following: more than 5 contacts with the papilla whilst attempting to cannulate; more than 5 minutes spent attempting to cannulate following visualization of the papilla; more than one unintended pancreatic duct cannulation or opacification (low quality evidence, weak recommendation). 2 ESGE recommends the guidewire-assisted technique for primary biliary cannulation, since it reduces the risk of post-ERCP pancreatitis (moderate quality evidence, strong recommendation). 3 ESGE recommends using pancreatic guidewire (PGW)-assisted biliary cannulation in patients where biliary cannulation is difficult and repeated unintentional access to the main pancreatic duct occurs (moderate quality evidence, strong recommendation). ESGE recommends attempting prophylactic pancreatic stenting in all patients with PGW-assisted attempts at biliary cannulation (moderate quality evidence, strong recommendation). 4 ESGE recommends needle-knife fistulotomy as the preferred technique for precutting (moderate quality evidence, strong recommendation). ESGE suggests that precutting should be used only by endoscopists who achieve selective biliary cannulation in more than 80% of cases using standard cannulation techniques (low quality evidence, weak recommendation). When access to the pancreatic duct is easy to obtain, ESGE suggests placement of a pancreatic stent prior to precutting (moderate quality evidence, weak recommendation). 5 ESGE recommends that in patients with a small papilla that is difficult to cannulate, transpancreatic biliary sphincterotomy should be considered if unintentional insertion of a guidewire into the pancreatic duct occurs (moderate quality evidence, strong recommendation). In patients who have had transpancreatic sphincterotomy, ESGE suggests prophylactic pancreatic stenting (moderate quality evidence, strong recommendation). 6 ESGE recommends that mixed current is used for sphincterotomy rather than pure cut current alone, as there is a decreased ri…","author":[{"dropping-particle":"","family":"Testoni","given":"Pier Alberto","non-dropping-particle":"","parse-names":false,"suffix":""},{"dropping-particle":"","family":"Mariani","given":"Alberto","non-dropping-particle":"","parse-names":false,"suffix":""},{"dropping-particle":"","family":"Aabakken","given":"Lars","non-dropping-particle":"","parse-names":false,"suffix":""},{"dropping-particle":"","family":"Arvanitakis","given":"Marianna","non-dropping-particle":"","parse-names":false,"suffix":""},{"dropping-particle":"","family":"Bories","given":"Erwan","non-dropping-particle":"","parse-names":false,"suffix":""},{"dropping-particle":"","family":"Costamagna","given":"Guido","non-dropping-particle":"","parse-names":false,"suffix":""},{"dropping-particle":"","family":"Devière","given":"Jacques","non-dropping-particle":"","parse-names":false,"suffix":""},{"dropping-particle":"","family":"Dinis-Ribeiro","given":"Mario","non-dropping-particle":"","parse-names":false,"suffix":""},{"dropping-particle":"","family":"Dumonceau","given":"Jean Marc","non-dropping-particle":"","parse-names":false,"suffix":""},{"dropping-particle":"","family":"Giovannini","given":"Marc","non-dropping-particle":"","parse-names":false,"suffix":""},{"dropping-particle":"","family":"Gyokeres","given":"Tibor","non-dropping-particle":"","parse-names":false,"suffix":""},{"dropping-particle":"","family":"Hafner","given":"Michael","non-dropping-particle":"","parse-names":false,"suffix":""},{"dropping-particle":"","family":"Halttunen","given":"Jorma","non-dropping-particle":"","parse-names":false,"suffix":""},{"dropping-particle":"","family":"Hassan","given":"Cesare","non-dropping-particle":"","parse-names":false,"suffix":""},{"dropping-particle":"","family":"Lopes","given":"Luis","non-dropping-particle":"","parse-names":false,"suffix":""},{"dropping-particle":"","family":"Papanikolaou","given":"Ioannis S.","non-dropping-particle":"","parse-names":false,"suffix":""},{"dropping-particle":"","family":"Tham","given":"Tony C.","non-dropping-particle":"","parse-names":false,"suffix":""},{"dropping-particle":"","family":"Tringali","given":"Andrea","non-dropping-particle":"","parse-names":false,"suffix":""},{"dropping-particle":"","family":"Hooft","given":"Jeanin","non-dropping-particle":"Van","parse-names":false,"suffix":""},{"dropping-particle":"","family":"Williams","given":"Earl J.","non-dropping-particle":"","parse-names":false,"suffix":""}],"container-title":"Endoscopy","id":"ITEM-1","issue":"7","issued":{"date-parts":[["2016","6","14"]]},"page":"657-683","title":"Papillary cannulation and sphincterotomy techniques at ERCP: European Society of Gastrointestinal Endoscopy (ESGE) Clinical Guideline","type":"article-journal","volume":"48"},"uris":["http://www.mendeley.com/documents/?uuid=da2071b9-89e0-4a3e-98c1-80b6133f0126"]}],"mendeley":{"formattedCitation":"&lt;sup&gt;[3]&lt;/sup&gt;","plainTextFormattedCitation":"[3]","previouslyFormattedCitation":"&lt;sup&gt;[3]&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[3]</w:t>
      </w:r>
      <w:r w:rsidRPr="006B0C21">
        <w:rPr>
          <w:rFonts w:ascii="Book Antiqua" w:hAnsi="Book Antiqua"/>
          <w:sz w:val="24"/>
          <w:szCs w:val="24"/>
        </w:rPr>
        <w:fldChar w:fldCharType="end"/>
      </w:r>
      <w:r w:rsidRPr="006B0C21">
        <w:rPr>
          <w:rFonts w:ascii="Book Antiqua" w:hAnsi="Book Antiqua"/>
          <w:sz w:val="24"/>
          <w:szCs w:val="24"/>
        </w:rPr>
        <w:t>. In this study, we used cannulation time scoring to grade cannulation difficulty. Therefore, we consider</w:t>
      </w:r>
      <w:r w:rsidR="00197A0C">
        <w:rPr>
          <w:rFonts w:ascii="Book Antiqua" w:hAnsi="Book Antiqua"/>
          <w:sz w:val="24"/>
          <w:szCs w:val="24"/>
        </w:rPr>
        <w:t>ed</w:t>
      </w:r>
      <w:r w:rsidRPr="006B0C21">
        <w:rPr>
          <w:rFonts w:ascii="Book Antiqua" w:hAnsi="Book Antiqua"/>
          <w:sz w:val="24"/>
          <w:szCs w:val="24"/>
        </w:rPr>
        <w:t xml:space="preserve"> the cannulation difficulty moderate if cannulation time was 5-10 min and difficult if it took more than 10 min. The most probable causes of difficult cannulation were grouped into periampullary diverticulum, CBD distal stricture, and stone impaction in the distal bile duct. </w:t>
      </w:r>
      <w:r w:rsidR="00197A0C">
        <w:rPr>
          <w:rFonts w:ascii="Book Antiqua" w:hAnsi="Book Antiqua"/>
          <w:sz w:val="24"/>
          <w:szCs w:val="24"/>
        </w:rPr>
        <w:t>The s</w:t>
      </w:r>
      <w:r w:rsidRPr="006B0C21">
        <w:rPr>
          <w:rFonts w:ascii="Book Antiqua" w:hAnsi="Book Antiqua"/>
          <w:sz w:val="24"/>
          <w:szCs w:val="24"/>
        </w:rPr>
        <w:t xml:space="preserve">ize of the papilla including small and protruding papilla, in addition to other variant anatomy in the orientation and location of the papilla were reported under the cause of papillary anatomy. Other causes of difficult cannulation were ampullary carcinoma and surgically altered anatomy in which </w:t>
      </w:r>
      <w:r w:rsidR="00197A0C">
        <w:rPr>
          <w:rFonts w:ascii="Book Antiqua" w:hAnsi="Book Antiqua"/>
          <w:sz w:val="24"/>
          <w:szCs w:val="24"/>
        </w:rPr>
        <w:t>the papilla</w:t>
      </w:r>
      <w:r w:rsidRPr="006B0C21">
        <w:rPr>
          <w:rFonts w:ascii="Book Antiqua" w:hAnsi="Book Antiqua"/>
          <w:sz w:val="24"/>
          <w:szCs w:val="24"/>
        </w:rPr>
        <w:t xml:space="preserve"> could </w:t>
      </w:r>
      <w:r w:rsidR="00197A0C">
        <w:rPr>
          <w:rFonts w:ascii="Book Antiqua" w:hAnsi="Book Antiqua"/>
          <w:sz w:val="24"/>
          <w:szCs w:val="24"/>
        </w:rPr>
        <w:t xml:space="preserve">not be </w:t>
      </w:r>
      <w:r w:rsidRPr="006B0C21">
        <w:rPr>
          <w:rFonts w:ascii="Book Antiqua" w:hAnsi="Book Antiqua"/>
          <w:sz w:val="24"/>
          <w:szCs w:val="24"/>
        </w:rPr>
        <w:t>reach</w:t>
      </w:r>
      <w:r w:rsidR="00197A0C">
        <w:rPr>
          <w:rFonts w:ascii="Book Antiqua" w:hAnsi="Book Antiqua"/>
          <w:sz w:val="24"/>
          <w:szCs w:val="24"/>
        </w:rPr>
        <w:t>ed</w:t>
      </w:r>
      <w:r w:rsidRPr="006B0C21">
        <w:rPr>
          <w:rFonts w:ascii="Book Antiqua" w:hAnsi="Book Antiqua"/>
          <w:sz w:val="24"/>
          <w:szCs w:val="24"/>
        </w:rPr>
        <w:t>.</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P</w:t>
      </w:r>
      <w:r w:rsidR="00197A0C">
        <w:rPr>
          <w:rFonts w:ascii="Book Antiqua" w:hAnsi="Book Antiqua"/>
          <w:sz w:val="24"/>
          <w:szCs w:val="24"/>
        </w:rPr>
        <w:t>EP</w:t>
      </w:r>
      <w:r w:rsidRPr="006B0C21">
        <w:rPr>
          <w:rFonts w:ascii="Book Antiqua" w:hAnsi="Book Antiqua"/>
          <w:sz w:val="24"/>
          <w:szCs w:val="24"/>
        </w:rPr>
        <w:t xml:space="preserve"> was diagnosed when the patient had new or worsened abdominal pain in addition to </w:t>
      </w:r>
      <w:r w:rsidR="00197A0C">
        <w:rPr>
          <w:rFonts w:ascii="Book Antiqua" w:hAnsi="Book Antiqua"/>
          <w:sz w:val="24"/>
          <w:szCs w:val="24"/>
        </w:rPr>
        <w:t xml:space="preserve">an </w:t>
      </w:r>
      <w:r w:rsidRPr="006B0C21">
        <w:rPr>
          <w:rFonts w:ascii="Book Antiqua" w:hAnsi="Book Antiqua"/>
          <w:sz w:val="24"/>
          <w:szCs w:val="24"/>
        </w:rPr>
        <w:t>elevation in amylase at least three times the upper limit of the normal level, at more than 24</w:t>
      </w:r>
      <w:r w:rsidR="004D26D4" w:rsidRPr="006B0C21">
        <w:rPr>
          <w:rFonts w:ascii="Book Antiqua" w:hAnsi="Book Antiqua"/>
          <w:sz w:val="24"/>
          <w:szCs w:val="24"/>
        </w:rPr>
        <w:t xml:space="preserve"> </w:t>
      </w:r>
      <w:r w:rsidRPr="006B0C21">
        <w:rPr>
          <w:rFonts w:ascii="Book Antiqua" w:hAnsi="Book Antiqua"/>
          <w:sz w:val="24"/>
          <w:szCs w:val="24"/>
        </w:rPr>
        <w:t>h after ERCP, which requir</w:t>
      </w:r>
      <w:r w:rsidR="00197A0C">
        <w:rPr>
          <w:rFonts w:ascii="Book Antiqua" w:hAnsi="Book Antiqua"/>
          <w:sz w:val="24"/>
          <w:szCs w:val="24"/>
        </w:rPr>
        <w:t>ed</w:t>
      </w:r>
      <w:r w:rsidRPr="006B0C21">
        <w:rPr>
          <w:rFonts w:ascii="Book Antiqua" w:hAnsi="Book Antiqua"/>
          <w:sz w:val="24"/>
          <w:szCs w:val="24"/>
        </w:rPr>
        <w:t xml:space="preserve"> hospitalization extension. Post-procedural bleeding was evidenced by a drop-in hemoglobin</w:t>
      </w:r>
      <w:r w:rsidR="004D26D4" w:rsidRPr="006B0C21">
        <w:rPr>
          <w:rFonts w:ascii="Book Antiqua" w:hAnsi="Book Antiqua"/>
          <w:sz w:val="24"/>
          <w:szCs w:val="24"/>
        </w:rPr>
        <w:t xml:space="preserve"> </w:t>
      </w:r>
      <w:r w:rsidRPr="006B0C21">
        <w:rPr>
          <w:rFonts w:ascii="Book Antiqua" w:hAnsi="Book Antiqua"/>
          <w:sz w:val="24"/>
          <w:szCs w:val="24"/>
        </w:rPr>
        <w:t>&gt;</w:t>
      </w:r>
      <w:r w:rsidR="004D26D4" w:rsidRPr="006B0C21">
        <w:rPr>
          <w:rFonts w:ascii="Book Antiqua" w:hAnsi="Book Antiqua"/>
          <w:sz w:val="24"/>
          <w:szCs w:val="24"/>
        </w:rPr>
        <w:t xml:space="preserve"> </w:t>
      </w:r>
      <w:r w:rsidRPr="006B0C21">
        <w:rPr>
          <w:rFonts w:ascii="Book Antiqua" w:hAnsi="Book Antiqua"/>
          <w:sz w:val="24"/>
          <w:szCs w:val="24"/>
        </w:rPr>
        <w:t>2</w:t>
      </w:r>
      <w:r w:rsidR="004D26D4" w:rsidRPr="006B0C21">
        <w:rPr>
          <w:rFonts w:ascii="Book Antiqua" w:hAnsi="Book Antiqua"/>
          <w:sz w:val="24"/>
          <w:szCs w:val="24"/>
        </w:rPr>
        <w:t xml:space="preserve"> </w:t>
      </w:r>
      <w:r w:rsidRPr="006B0C21">
        <w:rPr>
          <w:rFonts w:ascii="Book Antiqua" w:hAnsi="Book Antiqua"/>
          <w:sz w:val="24"/>
          <w:szCs w:val="24"/>
        </w:rPr>
        <w:t>g/d</w:t>
      </w:r>
      <w:r w:rsidR="004D26D4" w:rsidRPr="006B0C21">
        <w:rPr>
          <w:rFonts w:ascii="Book Antiqua" w:hAnsi="Book Antiqua"/>
          <w:sz w:val="24"/>
          <w:szCs w:val="24"/>
        </w:rPr>
        <w:t>L</w:t>
      </w:r>
      <w:r w:rsidRPr="006B0C21">
        <w:rPr>
          <w:rFonts w:ascii="Book Antiqua" w:hAnsi="Book Antiqua"/>
          <w:sz w:val="24"/>
          <w:szCs w:val="24"/>
        </w:rPr>
        <w:t>. Other adverse events, including perforations, cholangitis, and cardiopulmonary events, were defined according to published criteria</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{"citationItems":[{"id":"ITEM-1","itemData":{"DOI":"10.1056/NEJM199609263351301","ISBN":"0263276880","ISSN":"00284793","PMID":"8782497","abstract":"Background: Endoscopic sphincterotomy is commonly used to remove bile- duct stones and to treat other problems. We prospectively investigated risk factors for complications of this procedure and their outcomes. Methods: We studied complications that occurred within 30 days of endoscopic biliary sphincterotomy in consecutive patients treated at 17 institutions in the United States and Canada from 1992 through 1994. Results: Of 2347 patients, 229 (9.8 percent) had a complication, including pancreatitis in 127 (5.4 percent) and hemorrhage in 48 (2.0 percent). There were 55 deaths from all causes within 30 days; death was directly or indirectly related to the procedure in 10 cases. Of five significant risk factors for complications identified in a multivariate analysis, two were characteristics of the patients (suspected dysfunction of the sphincter of Oddi as an indication for the procedure and the presence of cirrhosis) and three were related to the endoscopic technique (difficulty in cannulating the bile duct, achievement of access to the bile duct by 'precut' sphincterotomy, and use of a combined percutaneous-endoscopic procedure). The overall risk of complications was not related to the patient's age, the number of coexisting illnesses, or the diameter of the bile duct. The rate of complications was highest when the indication for the procedure was suspected dysfunction of the sphincter of Oddi (21.7 percent) and lowest when the indication was removal of bile-duct stones within 30 days of laparoscopic cholecystectomy (4.9 percent). As compared with those who performed fewer procedures, endoscopists who performed more than one sphincterotomy per week had lower rates of complications (8.4 percent vs. 11.1 percent, P=0.03). Conclusions: The rate of complications after endoscopic biliary sphincterotomy can vary widely in different circumstances and is primarily related to the indication for the procedure and to endoscopic technique, rather than to the age or general medical condition of the patient.","author":[{"dropping-particle":"","family":"Freeman","given":"Martin L.","non-dropping-particle":"","parse-names":false,"suffix":""},{"dropping-particle":"","family":"Nelson","given":"Douglas B.","non-dropping-particle":"","parse-names":false,"suffix":""},{"dropping-particle":"","family":"Sherman","given":"Stuart","non-dropping-particle":"","parse-names":false,"suffix":""},{"dropping-particle":"","family":"Haber","given":"Gregory B.","non-dropping-particle":"","parse-names":false,"suffix":""},{"dropping-particle":"","family":"Herman","given":"Mary E.","non-dropping-particle":"","parse-names":false,"suffix":""},{"dropping-particle":"","family":"Dorsher","given":"Paul J.","non-dropping-particle":"","parse-names":false,"suffix":""},{"dropping-particle":"","family":"Moore","given":"Joseph P.","non-dropping-particle":"","parse-names":false,"suffix":""},{"dropping-particle":"","family":"Fennerty","given":"M. Brian","non-dropping-particle":"","parse-names":false,"suffix":""},{"dropping-particle":"","family":"Ryan","given":"Michael E.","non-dropping-particle":"","parse-names":false,"suffix":""},{"dropping-particle":"","family":"Shaw","given":"Michael J.","non-dropping-particle":"","parse-names":false,"suffix":""},{"dropping-particle":"","family":"Lande","given":"Jeffrey D.","non-dropping-particle":"","parse-names":false,"suffix":""},{"dropping-particle":"","family":"Pheley","given":"Alfred M.","non-dropping-particle":"","parse-names":false,"suffix":""},{"dropping-particle":"","family":"Mackie","given":"Robert D.","non-dropping-particle":"","parse-names":false,"suffix":""},{"dropping-particle":"","family":"Imperial","given":"Joanne C.","non-dropping-particle":"","parse-names":false,"suffix":""},{"dropping-particle":"","family":"Silvis","given":"Stephen E.","non-dropping-particle":"","parse-names":false,"suffix":""},{"dropping-particle":"","family":"Kortan","given":"Paul P.","non-dropping-particle":"","parse-names":false,"suffix":""},{"dropping-particle":"","family":"Silverman","given":"William B.","non-dropping-particle":"","parse-names":false,"suffix":""},{"dropping-particle":"","family":"Cunningham","given":"John T.","non-dropping-particle":"","parse-names":false,"suffix":""},{"dropping-particle":"","family":"DiSario","given":"James A.","non-dropping-particle":"","parse-names":false,"suffix":""},{"dropping-particle":"","family":"Jamidar","given":"Priya A.","non-dropping-particle":"","parse-names":false,"suffix":""},{"dropping-particle":"","family":"Yakshe","given":"Paul N.","non-dropping-particle":"","parse-names":false,"suffix":""},{"dropping-particle":"","family":"Logan","given":"George M.","non-dropping-particle":"","parse-names":false,"suffix":""}],"container-title":"New England Journal of Medicine","id":"ITEM-1","issue":"13","issued":{"date-parts":[["1996"]]},"page":"909-918","title":"Complications of endoscopic biliary sphincterotomy","type":"article-journal","volume":"335"},"uris":["http://www.mendeley.com/documents/?uuid=9ffdc42a-955c-4d11-a926-91c1aecf337f"]}],"mendeley":{"formattedCitation":"&lt;sup&gt;[12]&lt;/sup&gt;","plainTextFormattedCitation":"[12]","previouslyFormattedCitation":"&lt;sup&gt;[12]&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[12]</w:t>
      </w:r>
      <w:r w:rsidRPr="006B0C21">
        <w:rPr>
          <w:rFonts w:ascii="Book Antiqua" w:hAnsi="Book Antiqua"/>
          <w:sz w:val="24"/>
          <w:szCs w:val="24"/>
        </w:rPr>
        <w:fldChar w:fldCharType="end"/>
      </w:r>
      <w:r w:rsidRPr="006B0C21">
        <w:rPr>
          <w:rFonts w:ascii="Book Antiqua" w:hAnsi="Book Antiqua"/>
          <w:sz w:val="24"/>
          <w:szCs w:val="24"/>
        </w:rPr>
        <w:t>.</w:t>
      </w:r>
    </w:p>
    <w:p w:rsidR="00713A64" w:rsidRPr="006B0C21" w:rsidRDefault="00713A64" w:rsidP="006B0C21">
      <w:pPr>
        <w:adjustRightInd w:val="0"/>
        <w:snapToGrid w:val="0"/>
        <w:spacing w:line="360" w:lineRule="auto"/>
        <w:rPr>
          <w:rFonts w:ascii="Book Antiqua" w:hAnsi="Book Antiqua"/>
          <w:sz w:val="24"/>
          <w:szCs w:val="24"/>
        </w:rPr>
      </w:pPr>
    </w:p>
    <w:p w:rsidR="004D26D4" w:rsidRPr="006B0C21" w:rsidRDefault="004D26D4" w:rsidP="006B0C21">
      <w:pPr>
        <w:adjustRightInd w:val="0"/>
        <w:snapToGrid w:val="0"/>
        <w:spacing w:line="360" w:lineRule="auto"/>
        <w:rPr>
          <w:rFonts w:ascii="Book Antiqua" w:hAnsi="Book Antiqua"/>
          <w:sz w:val="24"/>
          <w:szCs w:val="24"/>
        </w:rPr>
      </w:pPr>
      <w:bookmarkStart w:id="13" w:name="_Hlk40010626"/>
      <w:r w:rsidRPr="006B0C21">
        <w:rPr>
          <w:rFonts w:ascii="Book Antiqua" w:hAnsi="Book Antiqua"/>
          <w:b/>
          <w:bCs/>
          <w:i/>
          <w:iCs/>
          <w:color w:val="000000"/>
          <w:sz w:val="24"/>
          <w:szCs w:val="24"/>
        </w:rPr>
        <w:t>Statistical analysis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Our sample size was larger than the theoretical sample size estimated by (Gpower 3.1, α 0.05; statistical power 80%; 1:3 allocation ratio, Fisher’s exact test) and c</w:t>
      </w:r>
      <w:r w:rsidR="00197A0C">
        <w:rPr>
          <w:rFonts w:ascii="Book Antiqua" w:hAnsi="Book Antiqua"/>
          <w:sz w:val="24"/>
          <w:szCs w:val="24"/>
        </w:rPr>
        <w:t>ould</w:t>
      </w:r>
      <w:r w:rsidRPr="006B0C21">
        <w:rPr>
          <w:rFonts w:ascii="Book Antiqua" w:hAnsi="Book Antiqua"/>
          <w:sz w:val="24"/>
          <w:szCs w:val="24"/>
        </w:rPr>
        <w:t xml:space="preserve"> lead to sufficient conclusions.</w:t>
      </w:r>
      <w:bookmarkEnd w:id="13"/>
      <w:r w:rsidRPr="006B0C21">
        <w:rPr>
          <w:rFonts w:ascii="Book Antiqua" w:hAnsi="Book Antiqua"/>
          <w:b/>
          <w:bCs/>
          <w:sz w:val="24"/>
          <w:szCs w:val="24"/>
        </w:rPr>
        <w:t xml:space="preserve"> </w:t>
      </w:r>
      <w:r w:rsidRPr="006B0C21">
        <w:rPr>
          <w:rFonts w:ascii="Book Antiqua" w:hAnsi="Book Antiqua"/>
          <w:sz w:val="24"/>
          <w:szCs w:val="24"/>
        </w:rPr>
        <w:t>Data are presented in the form of the median, the number of patients, and percentages. The data were analyzed using SPSS version 20 (IBM Corporation, Somers, NY</w:t>
      </w:r>
      <w:r w:rsidR="004D26D4" w:rsidRPr="006B0C21">
        <w:rPr>
          <w:rFonts w:ascii="Book Antiqua" w:hAnsi="Book Antiqua"/>
          <w:sz w:val="24"/>
          <w:szCs w:val="24"/>
        </w:rPr>
        <w:t>, United States</w:t>
      </w:r>
      <w:r w:rsidRPr="006B0C21">
        <w:rPr>
          <w:rFonts w:ascii="Book Antiqua" w:hAnsi="Book Antiqua"/>
          <w:sz w:val="24"/>
          <w:szCs w:val="24"/>
        </w:rPr>
        <w:t xml:space="preserve">). Differences among different patient cohorts were determined using Fisher’s exact test for categorical variables, and </w:t>
      </w:r>
      <w:r w:rsidR="00197A0C">
        <w:rPr>
          <w:rFonts w:ascii="Book Antiqua" w:hAnsi="Book Antiqua"/>
          <w:sz w:val="24"/>
          <w:szCs w:val="24"/>
        </w:rPr>
        <w:t xml:space="preserve">the </w:t>
      </w:r>
      <w:r w:rsidRPr="006B0C21">
        <w:rPr>
          <w:rFonts w:ascii="Book Antiqua" w:hAnsi="Book Antiqua"/>
          <w:sz w:val="24"/>
          <w:szCs w:val="24"/>
        </w:rPr>
        <w:t xml:space="preserve">Mann–Whitney </w:t>
      </w:r>
      <w:r w:rsidRPr="006B0C21">
        <w:rPr>
          <w:rFonts w:ascii="Book Antiqua" w:hAnsi="Book Antiqua"/>
          <w:i/>
          <w:sz w:val="24"/>
          <w:szCs w:val="24"/>
        </w:rPr>
        <w:t>U</w:t>
      </w:r>
      <w:r w:rsidRPr="006B0C21">
        <w:rPr>
          <w:rFonts w:ascii="Book Antiqua" w:hAnsi="Book Antiqua"/>
          <w:sz w:val="24"/>
          <w:szCs w:val="24"/>
        </w:rPr>
        <w:t xml:space="preserve"> test for non-categorical variables. Variables of potential significance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value &lt;</w:t>
      </w:r>
      <w:r w:rsidR="004D26D4" w:rsidRPr="006B0C21">
        <w:rPr>
          <w:rFonts w:ascii="Book Antiqua" w:hAnsi="Book Antiqua"/>
          <w:sz w:val="24"/>
          <w:szCs w:val="24"/>
        </w:rPr>
        <w:t xml:space="preserve"> </w:t>
      </w:r>
      <w:r w:rsidRPr="006B0C21">
        <w:rPr>
          <w:rFonts w:ascii="Book Antiqua" w:hAnsi="Book Antiqua"/>
          <w:sz w:val="24"/>
          <w:szCs w:val="24"/>
        </w:rPr>
        <w:t xml:space="preserve">0.10) were entered </w:t>
      </w:r>
      <w:r w:rsidR="00197A0C">
        <w:rPr>
          <w:rFonts w:ascii="Book Antiqua" w:hAnsi="Book Antiqua"/>
          <w:sz w:val="24"/>
          <w:szCs w:val="24"/>
        </w:rPr>
        <w:t xml:space="preserve">into </w:t>
      </w:r>
      <w:r w:rsidRPr="006B0C21">
        <w:rPr>
          <w:rFonts w:ascii="Book Antiqua" w:hAnsi="Book Antiqua"/>
          <w:sz w:val="24"/>
          <w:szCs w:val="24"/>
        </w:rPr>
        <w:t xml:space="preserve">a multivariate analysis (logistic regression analysis, enter method). Statistical significance was set at the level of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value &lt;</w:t>
      </w:r>
      <w:r w:rsidR="004D26D4" w:rsidRPr="006B0C21">
        <w:rPr>
          <w:rFonts w:ascii="Book Antiqua" w:hAnsi="Book Antiqua"/>
          <w:sz w:val="24"/>
          <w:szCs w:val="24"/>
        </w:rPr>
        <w:t xml:space="preserve"> </w:t>
      </w:r>
      <w:r w:rsidRPr="006B0C21">
        <w:rPr>
          <w:rFonts w:ascii="Book Antiqua" w:hAnsi="Book Antiqua"/>
          <w:sz w:val="24"/>
          <w:szCs w:val="24"/>
        </w:rPr>
        <w:t>0.05 (two-sided). Multiple statistical comparisons were performed using multivariate logistic regression analysis (binary logistic regression, enter method).</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sz w:val="24"/>
          <w:szCs w:val="24"/>
          <w:u w:val="single"/>
        </w:rPr>
      </w:pPr>
      <w:r w:rsidRPr="006B0C21">
        <w:rPr>
          <w:rFonts w:ascii="Book Antiqua" w:hAnsi="Book Antiqua"/>
          <w:b/>
          <w:sz w:val="24"/>
          <w:szCs w:val="24"/>
          <w:u w:val="single"/>
        </w:rPr>
        <w:t>RESULTS</w:t>
      </w:r>
    </w:p>
    <w:p w:rsidR="00713A64" w:rsidRPr="006B0C21" w:rsidRDefault="00713A64" w:rsidP="006B0C21">
      <w:pPr>
        <w:adjustRightInd w:val="0"/>
        <w:snapToGrid w:val="0"/>
        <w:spacing w:line="360" w:lineRule="auto"/>
        <w:rPr>
          <w:rFonts w:ascii="Book Antiqua" w:hAnsi="Book Antiqua"/>
          <w:b/>
          <w:i/>
          <w:sz w:val="24"/>
          <w:szCs w:val="24"/>
          <w:lang w:val="de-DE"/>
        </w:rPr>
      </w:pPr>
      <w:r w:rsidRPr="006B0C21">
        <w:rPr>
          <w:rFonts w:ascii="Book Antiqua" w:hAnsi="Book Antiqua"/>
          <w:b/>
          <w:i/>
          <w:sz w:val="24"/>
          <w:szCs w:val="24"/>
          <w:lang w:val="de-DE"/>
        </w:rPr>
        <w:t>Patients‘ characteristics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There were 146 patients (23.8%) aged 80 years or older</w:t>
      </w:r>
      <w:r w:rsidR="004D26D4" w:rsidRPr="006B0C21">
        <w:rPr>
          <w:rFonts w:ascii="Book Antiqua" w:hAnsi="Book Antiqua"/>
          <w:sz w:val="24"/>
          <w:szCs w:val="24"/>
        </w:rPr>
        <w:t xml:space="preserve"> with a median age of 83 years [</w:t>
      </w:r>
      <w:r w:rsidR="004D26D4" w:rsidRPr="006B0C21">
        <w:rPr>
          <w:rFonts w:ascii="Book Antiqua" w:eastAsia="MinionPro-Regular" w:hAnsi="Book Antiqua"/>
          <w:sz w:val="24"/>
          <w:szCs w:val="24"/>
        </w:rPr>
        <w:t>interquartile range</w:t>
      </w:r>
      <w:r w:rsidR="004D26D4" w:rsidRPr="006B0C21">
        <w:rPr>
          <w:rFonts w:ascii="Book Antiqua" w:hAnsi="Book Antiqua"/>
          <w:sz w:val="24"/>
          <w:szCs w:val="24"/>
        </w:rPr>
        <w:t xml:space="preserve"> (</w:t>
      </w:r>
      <w:r w:rsidRPr="006B0C21">
        <w:rPr>
          <w:rFonts w:ascii="Book Antiqua" w:hAnsi="Book Antiqua"/>
          <w:sz w:val="24"/>
          <w:szCs w:val="24"/>
        </w:rPr>
        <w:t>IQR</w:t>
      </w:r>
      <w:r w:rsidR="004D26D4" w:rsidRPr="006B0C21">
        <w:rPr>
          <w:rFonts w:ascii="Book Antiqua" w:hAnsi="Book Antiqua"/>
          <w:sz w:val="24"/>
          <w:szCs w:val="24"/>
        </w:rPr>
        <w:t>): 81-86]</w:t>
      </w:r>
      <w:r w:rsidRPr="006B0C21">
        <w:rPr>
          <w:rFonts w:ascii="Book Antiqua" w:hAnsi="Book Antiqua"/>
          <w:sz w:val="24"/>
          <w:szCs w:val="24"/>
        </w:rPr>
        <w:t xml:space="preserve"> and 468 patients (76.2%) younger than 80 years with a median age of 62 years (IQR</w:t>
      </w:r>
      <w:r w:rsidR="004D26D4" w:rsidRPr="006B0C21">
        <w:rPr>
          <w:rFonts w:ascii="Book Antiqua" w:hAnsi="Book Antiqua"/>
          <w:sz w:val="24"/>
          <w:szCs w:val="24"/>
        </w:rPr>
        <w:t>: 50-</w:t>
      </w:r>
      <w:r w:rsidRPr="006B0C21">
        <w:rPr>
          <w:rFonts w:ascii="Book Antiqua" w:hAnsi="Book Antiqua"/>
          <w:sz w:val="24"/>
          <w:szCs w:val="24"/>
        </w:rPr>
        <w:t xml:space="preserve">71) (Table 1). There was no difference in patient gender </w:t>
      </w:r>
      <w:r w:rsidR="00197A0C">
        <w:rPr>
          <w:rFonts w:ascii="Book Antiqua" w:hAnsi="Book Antiqua"/>
          <w:sz w:val="24"/>
          <w:szCs w:val="24"/>
        </w:rPr>
        <w:t>between the</w:t>
      </w:r>
      <w:r w:rsidRPr="006B0C21">
        <w:rPr>
          <w:rFonts w:ascii="Book Antiqua" w:hAnsi="Book Antiqua"/>
          <w:sz w:val="24"/>
          <w:szCs w:val="24"/>
        </w:rPr>
        <w:t xml:space="preserve"> groups with </w:t>
      </w:r>
      <w:r w:rsidR="00197A0C">
        <w:rPr>
          <w:rFonts w:ascii="Book Antiqua" w:hAnsi="Book Antiqua"/>
          <w:sz w:val="24"/>
          <w:szCs w:val="24"/>
        </w:rPr>
        <w:t xml:space="preserve">a </w:t>
      </w:r>
      <w:r w:rsidR="004D26D4" w:rsidRPr="006B0C21">
        <w:rPr>
          <w:rFonts w:ascii="Book Antiqua" w:hAnsi="Book Antiqua"/>
          <w:sz w:val="24"/>
          <w:szCs w:val="24"/>
        </w:rPr>
        <w:t xml:space="preserve">comparable male ratio (51.4% </w:t>
      </w:r>
      <w:r w:rsidR="004D26D4" w:rsidRPr="006B0C21">
        <w:rPr>
          <w:rFonts w:ascii="Book Antiqua" w:hAnsi="Book Antiqua"/>
          <w:i/>
          <w:sz w:val="24"/>
          <w:szCs w:val="24"/>
        </w:rPr>
        <w:t>vs</w:t>
      </w:r>
      <w:r w:rsidRPr="006B0C21">
        <w:rPr>
          <w:rFonts w:ascii="Book Antiqua" w:hAnsi="Book Antiqua"/>
          <w:i/>
          <w:sz w:val="24"/>
          <w:szCs w:val="24"/>
        </w:rPr>
        <w:t xml:space="preserve"> </w:t>
      </w:r>
      <w:r w:rsidRPr="006B0C21">
        <w:rPr>
          <w:rFonts w:ascii="Book Antiqua" w:hAnsi="Book Antiqua"/>
          <w:sz w:val="24"/>
          <w:szCs w:val="24"/>
        </w:rPr>
        <w:t xml:space="preserve">53.8%,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 xml:space="preserve">0.636). The most common indication in both groups was </w:t>
      </w:r>
      <w:r w:rsidR="004D26D4" w:rsidRPr="006B0C21">
        <w:rPr>
          <w:rFonts w:ascii="Book Antiqua" w:hAnsi="Book Antiqua"/>
          <w:sz w:val="24"/>
          <w:szCs w:val="24"/>
        </w:rPr>
        <w:t xml:space="preserve">biliary stone disease (82.9% </w:t>
      </w:r>
      <w:r w:rsidR="004D26D4" w:rsidRPr="006B0C21">
        <w:rPr>
          <w:rFonts w:ascii="Book Antiqua" w:hAnsi="Book Antiqua"/>
          <w:i/>
          <w:sz w:val="24"/>
          <w:szCs w:val="24"/>
        </w:rPr>
        <w:t>vs</w:t>
      </w:r>
      <w:r w:rsidRPr="006B0C21">
        <w:rPr>
          <w:rFonts w:ascii="Book Antiqua" w:hAnsi="Book Antiqua"/>
          <w:sz w:val="24"/>
          <w:szCs w:val="24"/>
        </w:rPr>
        <w:t xml:space="preserve"> 82.3%,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0.468); followed by b</w:t>
      </w:r>
      <w:r w:rsidR="004D26D4" w:rsidRPr="006B0C21">
        <w:rPr>
          <w:rFonts w:ascii="Book Antiqua" w:hAnsi="Book Antiqua"/>
          <w:sz w:val="24"/>
          <w:szCs w:val="24"/>
        </w:rPr>
        <w:t xml:space="preserve">enign biliary stricture (11% </w:t>
      </w:r>
      <w:r w:rsidR="004D26D4" w:rsidRPr="006B0C21">
        <w:rPr>
          <w:rFonts w:ascii="Book Antiqua" w:hAnsi="Book Antiqua"/>
          <w:i/>
          <w:sz w:val="24"/>
          <w:szCs w:val="24"/>
        </w:rPr>
        <w:t>vs</w:t>
      </w:r>
      <w:r w:rsidRPr="006B0C21">
        <w:rPr>
          <w:rFonts w:ascii="Book Antiqua" w:hAnsi="Book Antiqua"/>
          <w:sz w:val="24"/>
          <w:szCs w:val="24"/>
        </w:rPr>
        <w:t xml:space="preserve"> 13.2%,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 xml:space="preserve">0.287). The younger group had a higher proportion of patients with cholangitis and gallstone pancreatitis. Also, the older group had a higher proportion of patients undergoing the procedure </w:t>
      </w:r>
      <w:r w:rsidR="00A67EF7">
        <w:rPr>
          <w:rFonts w:ascii="Book Antiqua" w:hAnsi="Book Antiqua"/>
          <w:sz w:val="24"/>
          <w:szCs w:val="24"/>
        </w:rPr>
        <w:t>due to</w:t>
      </w:r>
      <w:r w:rsidRPr="006B0C21">
        <w:rPr>
          <w:rFonts w:ascii="Book Antiqua" w:hAnsi="Book Antiqua"/>
          <w:sz w:val="24"/>
          <w:szCs w:val="24"/>
        </w:rPr>
        <w:t xml:space="preserve"> tumors, especially ampullary carcinoma. However, no significant difference was found in the distribution </w:t>
      </w:r>
      <w:r w:rsidR="00A67EF7">
        <w:rPr>
          <w:rFonts w:ascii="Book Antiqua" w:hAnsi="Book Antiqua"/>
          <w:sz w:val="24"/>
          <w:szCs w:val="24"/>
        </w:rPr>
        <w:t xml:space="preserve">of </w:t>
      </w:r>
      <w:r w:rsidR="00A67EF7" w:rsidRPr="006B0C21">
        <w:rPr>
          <w:rFonts w:ascii="Book Antiqua" w:hAnsi="Book Antiqua"/>
          <w:sz w:val="24"/>
          <w:szCs w:val="24"/>
        </w:rPr>
        <w:t>indications</w:t>
      </w:r>
      <w:r w:rsidR="00A67EF7">
        <w:rPr>
          <w:rFonts w:ascii="Book Antiqua" w:hAnsi="Book Antiqua"/>
          <w:sz w:val="24"/>
          <w:szCs w:val="24"/>
        </w:rPr>
        <w:t xml:space="preserve"> </w:t>
      </w:r>
      <w:r w:rsidRPr="006B0C21">
        <w:rPr>
          <w:rFonts w:ascii="Book Antiqua" w:hAnsi="Book Antiqua"/>
          <w:sz w:val="24"/>
          <w:szCs w:val="24"/>
        </w:rPr>
        <w:t>between the two groups. The elderly group was more likely to have comorbid disease</w:t>
      </w:r>
      <w:r w:rsidR="00A67EF7">
        <w:rPr>
          <w:rFonts w:ascii="Book Antiqua" w:hAnsi="Book Antiqua"/>
          <w:sz w:val="24"/>
          <w:szCs w:val="24"/>
        </w:rPr>
        <w:t>s</w:t>
      </w:r>
      <w:r w:rsidRPr="006B0C21">
        <w:rPr>
          <w:rFonts w:ascii="Book Antiqua" w:hAnsi="Book Antiqua"/>
          <w:sz w:val="24"/>
          <w:szCs w:val="24"/>
        </w:rPr>
        <w:t xml:space="preserve"> and a significantly higher proportion of patients with CCI ≥</w:t>
      </w:r>
      <w:r w:rsidR="004D26D4" w:rsidRPr="006B0C21">
        <w:rPr>
          <w:rFonts w:ascii="Book Antiqua" w:hAnsi="Book Antiqua"/>
          <w:sz w:val="24"/>
          <w:szCs w:val="24"/>
        </w:rPr>
        <w:t xml:space="preserve"> </w:t>
      </w:r>
      <w:r w:rsidRPr="006B0C21">
        <w:rPr>
          <w:rFonts w:ascii="Book Antiqua" w:hAnsi="Book Antiqua"/>
          <w:sz w:val="24"/>
          <w:szCs w:val="24"/>
        </w:rPr>
        <w:t>2 th</w:t>
      </w:r>
      <w:r w:rsidR="004D26D4" w:rsidRPr="006B0C21">
        <w:rPr>
          <w:rFonts w:ascii="Book Antiqua" w:hAnsi="Book Antiqua"/>
          <w:sz w:val="24"/>
          <w:szCs w:val="24"/>
        </w:rPr>
        <w:t xml:space="preserve">an the younger group (29.5% </w:t>
      </w:r>
      <w:r w:rsidR="004D26D4" w:rsidRPr="006B0C21">
        <w:rPr>
          <w:rFonts w:ascii="Book Antiqua" w:hAnsi="Book Antiqua"/>
          <w:i/>
          <w:sz w:val="24"/>
          <w:szCs w:val="24"/>
        </w:rPr>
        <w:t>vs</w:t>
      </w:r>
      <w:r w:rsidR="004D26D4" w:rsidRPr="006B0C21">
        <w:rPr>
          <w:rFonts w:ascii="Book Antiqua" w:hAnsi="Book Antiqua"/>
          <w:sz w:val="24"/>
          <w:szCs w:val="24"/>
        </w:rPr>
        <w:t xml:space="preserve"> </w:t>
      </w:r>
      <w:r w:rsidRPr="006B0C21">
        <w:rPr>
          <w:rFonts w:ascii="Book Antiqua" w:hAnsi="Book Antiqua"/>
          <w:sz w:val="24"/>
          <w:szCs w:val="24"/>
        </w:rPr>
        <w:t xml:space="preserve">18.3%,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 xml:space="preserve">0.005). </w:t>
      </w:r>
      <w:r w:rsidR="00A67EF7">
        <w:rPr>
          <w:rFonts w:ascii="Book Antiqua" w:hAnsi="Book Antiqua"/>
          <w:sz w:val="24"/>
          <w:szCs w:val="24"/>
        </w:rPr>
        <w:t>The e</w:t>
      </w:r>
      <w:r w:rsidRPr="006B0C21">
        <w:rPr>
          <w:rFonts w:ascii="Book Antiqua" w:hAnsi="Book Antiqua"/>
          <w:sz w:val="24"/>
          <w:szCs w:val="24"/>
        </w:rPr>
        <w:t>lderly group had a significantly higher</w:t>
      </w:r>
      <w:r w:rsidR="004D26D4" w:rsidRPr="006B0C21">
        <w:rPr>
          <w:rFonts w:ascii="Book Antiqua" w:hAnsi="Book Antiqua"/>
          <w:sz w:val="24"/>
          <w:szCs w:val="24"/>
        </w:rPr>
        <w:t xml:space="preserve"> rate of hypertension (38.4% </w:t>
      </w:r>
      <w:r w:rsidR="004D26D4" w:rsidRPr="006B0C21">
        <w:rPr>
          <w:rFonts w:ascii="Book Antiqua" w:hAnsi="Book Antiqua"/>
          <w:i/>
          <w:sz w:val="24"/>
          <w:szCs w:val="24"/>
        </w:rPr>
        <w:t>vs</w:t>
      </w:r>
      <w:r w:rsidRPr="006B0C21">
        <w:rPr>
          <w:rFonts w:ascii="Book Antiqua" w:hAnsi="Book Antiqua"/>
          <w:sz w:val="24"/>
          <w:szCs w:val="24"/>
        </w:rPr>
        <w:t xml:space="preserve"> 26.7%,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0.009), cardiac dis</w:t>
      </w:r>
      <w:r w:rsidR="004D26D4" w:rsidRPr="006B0C21">
        <w:rPr>
          <w:rFonts w:ascii="Book Antiqua" w:hAnsi="Book Antiqua"/>
          <w:sz w:val="24"/>
          <w:szCs w:val="24"/>
        </w:rPr>
        <w:t xml:space="preserve">eases (15.1% </w:t>
      </w:r>
      <w:r w:rsidR="004D26D4" w:rsidRPr="006B0C21">
        <w:rPr>
          <w:rFonts w:ascii="Book Antiqua" w:hAnsi="Book Antiqua"/>
          <w:i/>
          <w:sz w:val="24"/>
          <w:szCs w:val="24"/>
        </w:rPr>
        <w:t>vs</w:t>
      </w:r>
      <w:r w:rsidRPr="006B0C21">
        <w:rPr>
          <w:rFonts w:ascii="Book Antiqua" w:hAnsi="Book Antiqua"/>
          <w:sz w:val="24"/>
          <w:szCs w:val="24"/>
        </w:rPr>
        <w:t xml:space="preserve"> 5.1%, </w:t>
      </w:r>
      <w:r w:rsidRPr="001073AC">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&lt;</w:t>
      </w:r>
      <w:r w:rsidR="004D26D4" w:rsidRPr="006B0C21">
        <w:rPr>
          <w:rFonts w:ascii="Book Antiqua" w:hAnsi="Book Antiqua"/>
          <w:sz w:val="24"/>
          <w:szCs w:val="24"/>
        </w:rPr>
        <w:t xml:space="preserve"> </w:t>
      </w:r>
      <w:r w:rsidRPr="006B0C21">
        <w:rPr>
          <w:rFonts w:ascii="Book Antiqua" w:hAnsi="Book Antiqua"/>
          <w:sz w:val="24"/>
          <w:szCs w:val="24"/>
        </w:rPr>
        <w:t>0.001), and cere</w:t>
      </w:r>
      <w:r w:rsidR="004D26D4" w:rsidRPr="006B0C21">
        <w:rPr>
          <w:rFonts w:ascii="Book Antiqua" w:hAnsi="Book Antiqua"/>
          <w:sz w:val="24"/>
          <w:szCs w:val="24"/>
        </w:rPr>
        <w:t xml:space="preserve">brovascular accident (21.9% </w:t>
      </w:r>
      <w:r w:rsidR="004D26D4" w:rsidRPr="006B0C21">
        <w:rPr>
          <w:rFonts w:ascii="Book Antiqua" w:hAnsi="Book Antiqua"/>
          <w:i/>
          <w:sz w:val="24"/>
          <w:szCs w:val="24"/>
        </w:rPr>
        <w:t>vs</w:t>
      </w:r>
      <w:r w:rsidR="004D26D4" w:rsidRPr="006B0C21">
        <w:rPr>
          <w:rFonts w:ascii="Book Antiqua" w:hAnsi="Book Antiqua"/>
          <w:sz w:val="24"/>
          <w:szCs w:val="24"/>
        </w:rPr>
        <w:t xml:space="preserve"> </w:t>
      </w:r>
      <w:r w:rsidRPr="006B0C21">
        <w:rPr>
          <w:rFonts w:ascii="Book Antiqua" w:hAnsi="Book Antiqua"/>
          <w:sz w:val="24"/>
          <w:szCs w:val="24"/>
        </w:rPr>
        <w:t xml:space="preserve">9.6%, </w:t>
      </w:r>
      <w:r w:rsidR="00A67EF7">
        <w:rPr>
          <w:rFonts w:ascii="Book Antiqua" w:hAnsi="Book Antiqua"/>
          <w:i/>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&lt;</w:t>
      </w:r>
      <w:r w:rsidR="004D26D4" w:rsidRPr="006B0C21">
        <w:rPr>
          <w:rFonts w:ascii="Book Antiqua" w:hAnsi="Book Antiqua"/>
          <w:sz w:val="24"/>
          <w:szCs w:val="24"/>
        </w:rPr>
        <w:t xml:space="preserve"> </w:t>
      </w:r>
      <w:r w:rsidRPr="006B0C21">
        <w:rPr>
          <w:rFonts w:ascii="Book Antiqua" w:hAnsi="Book Antiqua"/>
          <w:sz w:val="24"/>
          <w:szCs w:val="24"/>
        </w:rPr>
        <w:t>0.001).</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There were no significant differences in the cannulation success rate, cannulation, and ERCP procedure time between the two groups. The median cannulation time was 3.6 min</w:t>
      </w:r>
      <w:r w:rsidR="004D26D4" w:rsidRPr="006B0C21">
        <w:rPr>
          <w:rFonts w:ascii="Book Antiqua" w:hAnsi="Book Antiqua"/>
          <w:sz w:val="24"/>
          <w:szCs w:val="24"/>
        </w:rPr>
        <w:t xml:space="preserve"> [3.4 (0.8-11.2) </w:t>
      </w:r>
      <w:r w:rsidR="004D26D4" w:rsidRPr="006B0C21">
        <w:rPr>
          <w:rFonts w:ascii="Book Antiqua" w:hAnsi="Book Antiqua"/>
          <w:i/>
          <w:sz w:val="24"/>
          <w:szCs w:val="24"/>
        </w:rPr>
        <w:t>vs</w:t>
      </w:r>
      <w:r w:rsidR="004D26D4" w:rsidRPr="006B0C21">
        <w:rPr>
          <w:rFonts w:ascii="Book Antiqua" w:hAnsi="Book Antiqua"/>
          <w:sz w:val="24"/>
          <w:szCs w:val="24"/>
        </w:rPr>
        <w:t xml:space="preserve"> 3.7 (0.8-</w:t>
      </w:r>
      <w:r w:rsidRPr="006B0C21">
        <w:rPr>
          <w:rFonts w:ascii="Book Antiqua" w:hAnsi="Book Antiqua"/>
          <w:sz w:val="24"/>
          <w:szCs w:val="24"/>
        </w:rPr>
        <w:t xml:space="preserve">12),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0.292]</w:t>
      </w:r>
      <w:r w:rsidRPr="006B0C21">
        <w:rPr>
          <w:rFonts w:ascii="Book Antiqua" w:hAnsi="Book Antiqua"/>
          <w:sz w:val="24"/>
          <w:szCs w:val="24"/>
        </w:rPr>
        <w:t xml:space="preserve">, and the </w:t>
      </w:r>
      <w:r w:rsidR="00A67EF7" w:rsidRPr="006B0C21">
        <w:rPr>
          <w:rFonts w:ascii="Book Antiqua" w:hAnsi="Book Antiqua"/>
          <w:sz w:val="24"/>
          <w:szCs w:val="24"/>
        </w:rPr>
        <w:t xml:space="preserve">median </w:t>
      </w:r>
      <w:r w:rsidRPr="006B0C21">
        <w:rPr>
          <w:rFonts w:ascii="Book Antiqua" w:hAnsi="Book Antiqua"/>
          <w:sz w:val="24"/>
          <w:szCs w:val="24"/>
        </w:rPr>
        <w:t>ERCP procedure time was 30 min</w:t>
      </w:r>
      <w:r w:rsidR="004D26D4" w:rsidRPr="006B0C21">
        <w:rPr>
          <w:rFonts w:ascii="Book Antiqua" w:hAnsi="Book Antiqua"/>
          <w:sz w:val="24"/>
          <w:szCs w:val="24"/>
        </w:rPr>
        <w:t xml:space="preserve"> [30 (23-45) </w:t>
      </w:r>
      <w:r w:rsidR="004D26D4" w:rsidRPr="006B0C21">
        <w:rPr>
          <w:rFonts w:ascii="Book Antiqua" w:hAnsi="Book Antiqua"/>
          <w:i/>
          <w:sz w:val="24"/>
          <w:szCs w:val="24"/>
        </w:rPr>
        <w:t>vs</w:t>
      </w:r>
      <w:r w:rsidR="004D26D4" w:rsidRPr="006B0C21">
        <w:rPr>
          <w:rFonts w:ascii="Book Antiqua" w:hAnsi="Book Antiqua"/>
          <w:sz w:val="24"/>
          <w:szCs w:val="24"/>
        </w:rPr>
        <w:t xml:space="preserve"> 30 (24-</w:t>
      </w:r>
      <w:r w:rsidRPr="006B0C21">
        <w:rPr>
          <w:rFonts w:ascii="Book Antiqua" w:hAnsi="Book Antiqua"/>
          <w:sz w:val="24"/>
          <w:szCs w:val="24"/>
        </w:rPr>
        <w:t xml:space="preserve">45),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0.711). The frequency of the second ERCP for therapy completion was th</w:t>
      </w:r>
      <w:r w:rsidR="004D26D4" w:rsidRPr="006B0C21">
        <w:rPr>
          <w:rFonts w:ascii="Book Antiqua" w:hAnsi="Book Antiqua"/>
          <w:sz w:val="24"/>
          <w:szCs w:val="24"/>
        </w:rPr>
        <w:t xml:space="preserve">e same in both groups (20.5% </w:t>
      </w:r>
      <w:r w:rsidR="004D26D4" w:rsidRPr="006B0C21">
        <w:rPr>
          <w:rFonts w:ascii="Book Antiqua" w:hAnsi="Book Antiqua"/>
          <w:i/>
          <w:sz w:val="24"/>
          <w:szCs w:val="24"/>
        </w:rPr>
        <w:t>vs</w:t>
      </w:r>
      <w:r w:rsidRPr="006B0C21">
        <w:rPr>
          <w:rFonts w:ascii="Book Antiqua" w:hAnsi="Book Antiqua"/>
          <w:sz w:val="24"/>
          <w:szCs w:val="24"/>
        </w:rPr>
        <w:t xml:space="preserve"> 20.3%,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0.512).</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As expected, </w:t>
      </w:r>
      <w:r w:rsidR="00A67EF7">
        <w:rPr>
          <w:rFonts w:ascii="Book Antiqua" w:hAnsi="Book Antiqua"/>
          <w:sz w:val="24"/>
          <w:szCs w:val="24"/>
        </w:rPr>
        <w:t xml:space="preserve">the </w:t>
      </w:r>
      <w:r w:rsidRPr="006B0C21">
        <w:rPr>
          <w:rFonts w:ascii="Book Antiqua" w:hAnsi="Book Antiqua"/>
          <w:sz w:val="24"/>
          <w:szCs w:val="24"/>
        </w:rPr>
        <w:t>elderly group had a higher prevalence of peria</w:t>
      </w:r>
      <w:r w:rsidR="004D26D4" w:rsidRPr="006B0C21">
        <w:rPr>
          <w:rFonts w:ascii="Book Antiqua" w:hAnsi="Book Antiqua"/>
          <w:sz w:val="24"/>
          <w:szCs w:val="24"/>
        </w:rPr>
        <w:t xml:space="preserve">mpullary diverticulum (29.5% </w:t>
      </w:r>
      <w:r w:rsidR="004D26D4" w:rsidRPr="006B0C21">
        <w:rPr>
          <w:rFonts w:ascii="Book Antiqua" w:hAnsi="Book Antiqua"/>
          <w:i/>
          <w:sz w:val="24"/>
          <w:szCs w:val="24"/>
        </w:rPr>
        <w:t>vs</w:t>
      </w:r>
      <w:r w:rsidRPr="006B0C21">
        <w:rPr>
          <w:rFonts w:ascii="Book Antiqua" w:hAnsi="Book Antiqua"/>
          <w:sz w:val="24"/>
          <w:szCs w:val="24"/>
        </w:rPr>
        <w:t xml:space="preserve"> 16.7%,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 xml:space="preserve">0.001). However, </w:t>
      </w:r>
      <w:r w:rsidR="00A67EF7" w:rsidRPr="006B0C21">
        <w:rPr>
          <w:rFonts w:ascii="Book Antiqua" w:hAnsi="Book Antiqua"/>
          <w:sz w:val="24"/>
          <w:szCs w:val="24"/>
        </w:rPr>
        <w:t xml:space="preserve">cannulation difficulty grading </w:t>
      </w:r>
      <w:r w:rsidR="00A67EF7">
        <w:rPr>
          <w:rFonts w:ascii="Book Antiqua" w:hAnsi="Book Antiqua"/>
          <w:sz w:val="24"/>
          <w:szCs w:val="24"/>
        </w:rPr>
        <w:t xml:space="preserve">was </w:t>
      </w:r>
      <w:r w:rsidRPr="006B0C21">
        <w:rPr>
          <w:rFonts w:ascii="Book Antiqua" w:hAnsi="Book Antiqua"/>
          <w:sz w:val="24"/>
          <w:szCs w:val="24"/>
        </w:rPr>
        <w:t xml:space="preserve">not significantly different </w:t>
      </w:r>
      <w:r w:rsidR="00A67EF7" w:rsidRPr="006B0C21">
        <w:rPr>
          <w:rFonts w:ascii="Book Antiqua" w:hAnsi="Book Antiqua"/>
          <w:sz w:val="24"/>
          <w:szCs w:val="24"/>
        </w:rPr>
        <w:t>b</w:t>
      </w:r>
      <w:r w:rsidR="00A67EF7">
        <w:rPr>
          <w:rFonts w:ascii="Book Antiqua" w:hAnsi="Book Antiqua"/>
          <w:sz w:val="24"/>
          <w:szCs w:val="24"/>
        </w:rPr>
        <w:t>etween the</w:t>
      </w:r>
      <w:r w:rsidR="00A67EF7" w:rsidRPr="006B0C21">
        <w:rPr>
          <w:rFonts w:ascii="Book Antiqua" w:hAnsi="Book Antiqua"/>
          <w:sz w:val="24"/>
          <w:szCs w:val="24"/>
        </w:rPr>
        <w:t xml:space="preserve"> groups</w:t>
      </w:r>
      <w:r w:rsidR="004D26D4" w:rsidRPr="006B0C21">
        <w:rPr>
          <w:rFonts w:ascii="Book Antiqua" w:hAnsi="Book Antiqua"/>
          <w:sz w:val="24"/>
          <w:szCs w:val="24"/>
        </w:rPr>
        <w:t xml:space="preserve">; easy cannulation (67.1% </w:t>
      </w:r>
      <w:r w:rsidR="004D26D4" w:rsidRPr="006B0C21">
        <w:rPr>
          <w:rFonts w:ascii="Book Antiqua" w:hAnsi="Book Antiqua"/>
          <w:i/>
          <w:sz w:val="24"/>
          <w:szCs w:val="24"/>
        </w:rPr>
        <w:t>vs</w:t>
      </w:r>
      <w:r w:rsidRPr="006B0C21">
        <w:rPr>
          <w:rFonts w:ascii="Book Antiqua" w:hAnsi="Book Antiqua"/>
          <w:sz w:val="24"/>
          <w:szCs w:val="24"/>
        </w:rPr>
        <w:t xml:space="preserve"> 65.6%,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0.621); moderate diffi</w:t>
      </w:r>
      <w:r w:rsidR="004D26D4" w:rsidRPr="006B0C21">
        <w:rPr>
          <w:rFonts w:ascii="Book Antiqua" w:hAnsi="Book Antiqua"/>
          <w:sz w:val="24"/>
          <w:szCs w:val="24"/>
        </w:rPr>
        <w:t xml:space="preserve">culty of cannulation (10.3% </w:t>
      </w:r>
      <w:r w:rsidR="004D26D4" w:rsidRPr="006B0C21">
        <w:rPr>
          <w:rFonts w:ascii="Book Antiqua" w:hAnsi="Book Antiqua"/>
          <w:i/>
          <w:sz w:val="24"/>
          <w:szCs w:val="24"/>
        </w:rPr>
        <w:t>vs</w:t>
      </w:r>
      <w:r w:rsidR="004D26D4" w:rsidRPr="006B0C21">
        <w:rPr>
          <w:rFonts w:ascii="Book Antiqua" w:hAnsi="Book Antiqua"/>
          <w:sz w:val="24"/>
          <w:szCs w:val="24"/>
        </w:rPr>
        <w:t xml:space="preserve"> </w:t>
      </w:r>
      <w:r w:rsidRPr="006B0C21">
        <w:rPr>
          <w:rFonts w:ascii="Book Antiqua" w:hAnsi="Book Antiqua"/>
          <w:sz w:val="24"/>
          <w:szCs w:val="24"/>
        </w:rPr>
        <w:t xml:space="preserve">12.2%, </w:t>
      </w:r>
      <w:r w:rsidRPr="006B0C21">
        <w:rPr>
          <w:rFonts w:ascii="Book Antiqua" w:hAnsi="Book Antiqua"/>
          <w:i/>
          <w:caps/>
          <w:sz w:val="24"/>
          <w:szCs w:val="24"/>
        </w:rPr>
        <w:t>p</w:t>
      </w:r>
      <w:r w:rsidRPr="006B0C21">
        <w:rPr>
          <w:rFonts w:ascii="Book Antiqua" w:hAnsi="Book Antiqua"/>
          <w:sz w:val="24"/>
          <w:szCs w:val="24"/>
        </w:rPr>
        <w:t xml:space="preserve"> =</w:t>
      </w:r>
      <w:r w:rsidR="004D26D4" w:rsidRPr="006B0C21">
        <w:rPr>
          <w:rFonts w:ascii="Book Antiqua" w:hAnsi="Book Antiqua"/>
          <w:sz w:val="24"/>
          <w:szCs w:val="24"/>
        </w:rPr>
        <w:t xml:space="preserve"> </w:t>
      </w:r>
      <w:r w:rsidRPr="006B0C21">
        <w:rPr>
          <w:rFonts w:ascii="Book Antiqua" w:hAnsi="Book Antiqua"/>
          <w:sz w:val="24"/>
          <w:szCs w:val="24"/>
        </w:rPr>
        <w:t xml:space="preserve">0.658); and </w:t>
      </w:r>
      <w:r w:rsidR="004D26D4" w:rsidRPr="006B0C21">
        <w:rPr>
          <w:rFonts w:ascii="Book Antiqua" w:hAnsi="Book Antiqua"/>
          <w:sz w:val="24"/>
          <w:szCs w:val="24"/>
        </w:rPr>
        <w:t xml:space="preserve">difficult cannulation (22.6% </w:t>
      </w:r>
      <w:r w:rsidR="004D26D4" w:rsidRPr="006B0C21">
        <w:rPr>
          <w:rFonts w:ascii="Book Antiqua" w:hAnsi="Book Antiqua"/>
          <w:i/>
          <w:sz w:val="24"/>
          <w:szCs w:val="24"/>
        </w:rPr>
        <w:t>vs</w:t>
      </w:r>
      <w:r w:rsidR="00C27402">
        <w:rPr>
          <w:rFonts w:ascii="Book Antiqua" w:hAnsi="Book Antiqua"/>
          <w:sz w:val="24"/>
          <w:szCs w:val="24"/>
        </w:rPr>
        <w:t xml:space="preserve"> 22.2%</w:t>
      </w:r>
      <w:r w:rsidRPr="006B0C21">
        <w:rPr>
          <w:rFonts w:ascii="Book Antiqua" w:hAnsi="Book Antiqua"/>
          <w:sz w:val="24"/>
          <w:szCs w:val="24"/>
        </w:rPr>
        <w:t xml:space="preserve">, </w:t>
      </w:r>
      <w:r w:rsidRPr="006B0C21">
        <w:rPr>
          <w:rFonts w:ascii="Book Antiqua" w:hAnsi="Book Antiqua"/>
          <w:i/>
          <w:caps/>
          <w:sz w:val="24"/>
          <w:szCs w:val="24"/>
        </w:rPr>
        <w:t>p</w:t>
      </w:r>
      <w:r w:rsidR="004D26D4" w:rsidRPr="006B0C21">
        <w:rPr>
          <w:rFonts w:ascii="Book Antiqua" w:hAnsi="Book Antiqua"/>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0.910).</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bookmarkStart w:id="14" w:name="_Hlk40008643"/>
      <w:r w:rsidRPr="006B0C21">
        <w:rPr>
          <w:rFonts w:ascii="Book Antiqua" w:hAnsi="Book Antiqua"/>
          <w:sz w:val="24"/>
          <w:szCs w:val="24"/>
        </w:rPr>
        <w:t xml:space="preserve">PEP was the most frequent adverse event in both groups with a lower incidence in the elderly patient group without a significant difference (2.7% </w:t>
      </w:r>
      <w:r w:rsidRPr="006B0C21">
        <w:rPr>
          <w:rFonts w:ascii="Book Antiqua" w:hAnsi="Book Antiqua"/>
          <w:i/>
          <w:sz w:val="24"/>
          <w:szCs w:val="24"/>
        </w:rPr>
        <w:t>v</w:t>
      </w:r>
      <w:r w:rsidR="004D26D4" w:rsidRPr="006B0C21">
        <w:rPr>
          <w:rFonts w:ascii="Book Antiqua" w:hAnsi="Book Antiqua"/>
          <w:i/>
          <w:sz w:val="24"/>
          <w:szCs w:val="24"/>
        </w:rPr>
        <w:t>s</w:t>
      </w:r>
      <w:r w:rsidRPr="006B0C21">
        <w:rPr>
          <w:rFonts w:ascii="Book Antiqua" w:hAnsi="Book Antiqua"/>
          <w:sz w:val="24"/>
          <w:szCs w:val="24"/>
        </w:rPr>
        <w:t xml:space="preserve"> 6%, </w:t>
      </w:r>
      <w:r w:rsidRPr="006B0C21">
        <w:rPr>
          <w:rFonts w:ascii="Book Antiqua" w:hAnsi="Book Antiqua"/>
          <w:i/>
          <w:caps/>
          <w:sz w:val="24"/>
          <w:szCs w:val="24"/>
        </w:rPr>
        <w:t>p</w:t>
      </w:r>
      <w:r w:rsidR="004D26D4" w:rsidRPr="006B0C21">
        <w:rPr>
          <w:rFonts w:ascii="Book Antiqua" w:hAnsi="Book Antiqua"/>
          <w:i/>
          <w:sz w:val="24"/>
          <w:szCs w:val="24"/>
        </w:rPr>
        <w:t xml:space="preserve"> </w:t>
      </w:r>
      <w:r w:rsidRPr="006B0C21">
        <w:rPr>
          <w:rFonts w:ascii="Book Antiqua" w:hAnsi="Book Antiqua"/>
          <w:sz w:val="24"/>
          <w:szCs w:val="24"/>
        </w:rPr>
        <w:t>=</w:t>
      </w:r>
      <w:r w:rsidR="004D26D4" w:rsidRPr="006B0C21">
        <w:rPr>
          <w:rFonts w:ascii="Book Antiqua" w:hAnsi="Book Antiqua"/>
          <w:sz w:val="24"/>
          <w:szCs w:val="24"/>
        </w:rPr>
        <w:t xml:space="preserve"> </w:t>
      </w:r>
      <w:r w:rsidRPr="006B0C21">
        <w:rPr>
          <w:rFonts w:ascii="Book Antiqua" w:hAnsi="Book Antiqua"/>
          <w:sz w:val="24"/>
          <w:szCs w:val="24"/>
        </w:rPr>
        <w:t>0.088). Most patients in both groups were diagnosed with mild pancreatitis; only two cases of moderate pancreatitis developed in the younger group, and all patients were treated conservatively.</w:t>
      </w:r>
      <w:bookmarkEnd w:id="14"/>
      <w:r w:rsidRPr="006B0C21">
        <w:rPr>
          <w:rFonts w:ascii="Book Antiqua" w:hAnsi="Book Antiqua"/>
          <w:sz w:val="24"/>
          <w:szCs w:val="24"/>
        </w:rPr>
        <w:t xml:space="preserve"> Cardiopulmonary events and hypoxia were not significantly diffe</w:t>
      </w:r>
      <w:r w:rsidR="00B61167" w:rsidRPr="006B0C21">
        <w:rPr>
          <w:rFonts w:ascii="Book Antiqua" w:hAnsi="Book Antiqua"/>
          <w:sz w:val="24"/>
          <w:szCs w:val="24"/>
        </w:rPr>
        <w:t xml:space="preserve">rent in the two groups (0.7% </w:t>
      </w:r>
      <w:r w:rsidR="00B61167" w:rsidRPr="006B0C21">
        <w:rPr>
          <w:rFonts w:ascii="Book Antiqua" w:hAnsi="Book Antiqua"/>
          <w:i/>
          <w:sz w:val="24"/>
          <w:szCs w:val="24"/>
        </w:rPr>
        <w:t>vs</w:t>
      </w:r>
      <w:r w:rsidRPr="006B0C21">
        <w:rPr>
          <w:rFonts w:ascii="Book Antiqua" w:hAnsi="Book Antiqua"/>
          <w:sz w:val="24"/>
          <w:szCs w:val="24"/>
        </w:rPr>
        <w:t xml:space="preserve"> 0.6%,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 xml:space="preserve">0.443). </w:t>
      </w:r>
      <w:r w:rsidR="00A67EF7">
        <w:rPr>
          <w:rFonts w:ascii="Book Antiqua" w:hAnsi="Book Antiqua"/>
          <w:sz w:val="24"/>
          <w:szCs w:val="24"/>
        </w:rPr>
        <w:t xml:space="preserve">Patients with </w:t>
      </w:r>
      <w:r w:rsidRPr="006B0C21">
        <w:rPr>
          <w:rFonts w:ascii="Book Antiqua" w:hAnsi="Book Antiqua"/>
          <w:sz w:val="24"/>
          <w:szCs w:val="24"/>
        </w:rPr>
        <w:t>ERCP-related bleeding were managed with endoscopic submucosal injection of saline-epinephrine and/or placement of hemostatic clips, and blood transfusion when needed with no requirement for surgical intervention. There was no significant difference in the bleeding rate between the two groups, although there was a higher ra</w:t>
      </w:r>
      <w:r w:rsidR="00B61167" w:rsidRPr="006B0C21">
        <w:rPr>
          <w:rFonts w:ascii="Book Antiqua" w:hAnsi="Book Antiqua"/>
          <w:sz w:val="24"/>
          <w:szCs w:val="24"/>
        </w:rPr>
        <w:t xml:space="preserve">te in elderly patients (4.1% </w:t>
      </w:r>
      <w:r w:rsidR="00B61167" w:rsidRPr="006B0C21">
        <w:rPr>
          <w:rFonts w:ascii="Book Antiqua" w:hAnsi="Book Antiqua"/>
          <w:i/>
          <w:sz w:val="24"/>
          <w:szCs w:val="24"/>
        </w:rPr>
        <w:t>vs</w:t>
      </w:r>
      <w:r w:rsidRPr="006B0C21">
        <w:rPr>
          <w:rFonts w:ascii="Book Antiqua" w:hAnsi="Book Antiqua"/>
          <w:sz w:val="24"/>
          <w:szCs w:val="24"/>
        </w:rPr>
        <w:t xml:space="preserve"> 1.3%,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0.111). Th</w:t>
      </w:r>
      <w:r w:rsidR="00A67EF7">
        <w:rPr>
          <w:rFonts w:ascii="Book Antiqua" w:hAnsi="Book Antiqua"/>
          <w:sz w:val="24"/>
          <w:szCs w:val="24"/>
        </w:rPr>
        <w:t>is may have</w:t>
      </w:r>
      <w:r w:rsidRPr="006B0C21">
        <w:rPr>
          <w:rFonts w:ascii="Book Antiqua" w:hAnsi="Book Antiqua"/>
          <w:sz w:val="24"/>
          <w:szCs w:val="24"/>
        </w:rPr>
        <w:t xml:space="preserve"> be</w:t>
      </w:r>
      <w:r w:rsidR="00A67EF7">
        <w:rPr>
          <w:rFonts w:ascii="Book Antiqua" w:hAnsi="Book Antiqua"/>
          <w:sz w:val="24"/>
          <w:szCs w:val="24"/>
        </w:rPr>
        <w:t>en</w:t>
      </w:r>
      <w:r w:rsidRPr="006B0C21">
        <w:rPr>
          <w:rFonts w:ascii="Book Antiqua" w:hAnsi="Book Antiqua"/>
          <w:sz w:val="24"/>
          <w:szCs w:val="24"/>
        </w:rPr>
        <w:t xml:space="preserve"> due to the frequent use of antithrombotic drugs in the older</w:t>
      </w:r>
      <w:r w:rsidR="00B61167" w:rsidRPr="006B0C21">
        <w:rPr>
          <w:rFonts w:ascii="Book Antiqua" w:hAnsi="Book Antiqua"/>
          <w:sz w:val="24"/>
          <w:szCs w:val="24"/>
        </w:rPr>
        <w:t xml:space="preserve"> group (7.5% </w:t>
      </w:r>
      <w:r w:rsidR="00B61167" w:rsidRPr="006B0C21">
        <w:rPr>
          <w:rFonts w:ascii="Book Antiqua" w:hAnsi="Book Antiqua"/>
          <w:i/>
          <w:sz w:val="24"/>
          <w:szCs w:val="24"/>
        </w:rPr>
        <w:t>vs</w:t>
      </w:r>
      <w:r w:rsidRPr="006B0C21">
        <w:rPr>
          <w:rFonts w:ascii="Book Antiqua" w:hAnsi="Book Antiqua"/>
          <w:sz w:val="24"/>
          <w:szCs w:val="24"/>
        </w:rPr>
        <w:t xml:space="preserve"> 4.9%,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&lt;</w:t>
      </w:r>
      <w:r w:rsidR="00B61167" w:rsidRPr="006B0C21">
        <w:rPr>
          <w:rFonts w:ascii="Book Antiqua" w:hAnsi="Book Antiqua"/>
          <w:sz w:val="24"/>
          <w:szCs w:val="24"/>
        </w:rPr>
        <w:t xml:space="preserve"> </w:t>
      </w:r>
      <w:r w:rsidRPr="006B0C21">
        <w:rPr>
          <w:rFonts w:ascii="Book Antiqua" w:hAnsi="Book Antiqua"/>
          <w:sz w:val="24"/>
          <w:szCs w:val="24"/>
        </w:rPr>
        <w:t xml:space="preserve">0.001). In our sample, two </w:t>
      </w:r>
      <w:r w:rsidR="00A67EF7">
        <w:rPr>
          <w:rFonts w:ascii="Book Antiqua" w:hAnsi="Book Antiqua"/>
          <w:sz w:val="24"/>
          <w:szCs w:val="24"/>
        </w:rPr>
        <w:t xml:space="preserve">patients had a </w:t>
      </w:r>
      <w:r w:rsidRPr="006B0C21">
        <w:rPr>
          <w:rFonts w:ascii="Book Antiqua" w:hAnsi="Book Antiqua"/>
          <w:sz w:val="24"/>
          <w:szCs w:val="24"/>
        </w:rPr>
        <w:t xml:space="preserve">perforation, one in each group with no </w:t>
      </w:r>
      <w:r w:rsidR="00B61167" w:rsidRPr="006B0C21">
        <w:rPr>
          <w:rFonts w:ascii="Book Antiqua" w:hAnsi="Book Antiqua"/>
          <w:sz w:val="24"/>
          <w:szCs w:val="24"/>
        </w:rPr>
        <w:t xml:space="preserve">significant difference (0.7% </w:t>
      </w:r>
      <w:r w:rsidR="00B61167" w:rsidRPr="006B0C21">
        <w:rPr>
          <w:rFonts w:ascii="Book Antiqua" w:hAnsi="Book Antiqua"/>
          <w:i/>
          <w:sz w:val="24"/>
          <w:szCs w:val="24"/>
        </w:rPr>
        <w:t>vs</w:t>
      </w:r>
      <w:r w:rsidRPr="006B0C21">
        <w:rPr>
          <w:rFonts w:ascii="Book Antiqua" w:hAnsi="Book Antiqua"/>
          <w:sz w:val="24"/>
          <w:szCs w:val="24"/>
        </w:rPr>
        <w:t xml:space="preserve"> 0.4%,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0.557). Th</w:t>
      </w:r>
      <w:r w:rsidR="00A67EF7">
        <w:rPr>
          <w:rFonts w:ascii="Book Antiqua" w:hAnsi="Book Antiqua"/>
          <w:sz w:val="24"/>
          <w:szCs w:val="24"/>
        </w:rPr>
        <w:t>ese patients</w:t>
      </w:r>
      <w:r w:rsidRPr="006B0C21">
        <w:rPr>
          <w:rFonts w:ascii="Book Antiqua" w:hAnsi="Book Antiqua"/>
          <w:sz w:val="24"/>
          <w:szCs w:val="24"/>
        </w:rPr>
        <w:t xml:space="preserve"> were identified immediately at the time of ERCP and treated conservatively, </w:t>
      </w:r>
      <w:r w:rsidR="00A67EF7">
        <w:rPr>
          <w:rFonts w:ascii="Book Antiqua" w:hAnsi="Book Antiqua"/>
          <w:sz w:val="24"/>
          <w:szCs w:val="24"/>
        </w:rPr>
        <w:t xml:space="preserve">and </w:t>
      </w:r>
      <w:r w:rsidRPr="006B0C21">
        <w:rPr>
          <w:rFonts w:ascii="Book Antiqua" w:hAnsi="Book Antiqua"/>
          <w:sz w:val="24"/>
          <w:szCs w:val="24"/>
        </w:rPr>
        <w:t>requir</w:t>
      </w:r>
      <w:r w:rsidR="00A67EF7">
        <w:rPr>
          <w:rFonts w:ascii="Book Antiqua" w:hAnsi="Book Antiqua"/>
          <w:sz w:val="24"/>
          <w:szCs w:val="24"/>
        </w:rPr>
        <w:t>ed</w:t>
      </w:r>
      <w:r w:rsidRPr="006B0C21">
        <w:rPr>
          <w:rFonts w:ascii="Book Antiqua" w:hAnsi="Book Antiqua"/>
          <w:sz w:val="24"/>
          <w:szCs w:val="24"/>
        </w:rPr>
        <w:t xml:space="preserve"> more </w:t>
      </w:r>
      <w:r w:rsidR="00B61167" w:rsidRPr="006B0C21">
        <w:rPr>
          <w:rFonts w:ascii="Book Antiqua" w:hAnsi="Book Antiqua"/>
          <w:sz w:val="24"/>
          <w:szCs w:val="24"/>
        </w:rPr>
        <w:t>than nine</w:t>
      </w:r>
      <w:r w:rsidR="00A67EF7">
        <w:rPr>
          <w:rFonts w:ascii="Book Antiqua" w:hAnsi="Book Antiqua"/>
          <w:sz w:val="24"/>
          <w:szCs w:val="24"/>
        </w:rPr>
        <w:t xml:space="preserve"> </w:t>
      </w:r>
      <w:r w:rsidR="00B61167" w:rsidRPr="006B0C21">
        <w:rPr>
          <w:rFonts w:ascii="Book Antiqua" w:hAnsi="Book Antiqua"/>
          <w:sz w:val="24"/>
          <w:szCs w:val="24"/>
        </w:rPr>
        <w:t>day</w:t>
      </w:r>
      <w:r w:rsidR="00A67EF7">
        <w:rPr>
          <w:rFonts w:ascii="Book Antiqua" w:hAnsi="Book Antiqua"/>
          <w:sz w:val="24"/>
          <w:szCs w:val="24"/>
        </w:rPr>
        <w:t>s of</w:t>
      </w:r>
      <w:r w:rsidRPr="006B0C21">
        <w:rPr>
          <w:rFonts w:ascii="Book Antiqua" w:hAnsi="Book Antiqua"/>
          <w:sz w:val="24"/>
          <w:szCs w:val="24"/>
        </w:rPr>
        <w:t xml:space="preserve"> hospitalization with no </w:t>
      </w:r>
      <w:r w:rsidR="00A67EF7">
        <w:rPr>
          <w:rFonts w:ascii="Book Antiqua" w:hAnsi="Book Antiqua"/>
          <w:sz w:val="24"/>
          <w:szCs w:val="24"/>
        </w:rPr>
        <w:t>need</w:t>
      </w:r>
      <w:r w:rsidR="00A67EF7" w:rsidRPr="006B0C21">
        <w:rPr>
          <w:rFonts w:ascii="Book Antiqua" w:hAnsi="Book Antiqua"/>
          <w:sz w:val="24"/>
          <w:szCs w:val="24"/>
        </w:rPr>
        <w:t xml:space="preserve"> </w:t>
      </w:r>
      <w:r w:rsidRPr="006B0C21">
        <w:rPr>
          <w:rFonts w:ascii="Book Antiqua" w:hAnsi="Book Antiqua"/>
          <w:sz w:val="24"/>
          <w:szCs w:val="24"/>
        </w:rPr>
        <w:t xml:space="preserve">for surgical intervention. </w:t>
      </w:r>
      <w:r w:rsidR="00A67EF7">
        <w:rPr>
          <w:rFonts w:ascii="Book Antiqua" w:hAnsi="Book Antiqua"/>
          <w:sz w:val="24"/>
          <w:szCs w:val="24"/>
        </w:rPr>
        <w:t>H</w:t>
      </w:r>
      <w:r w:rsidRPr="006B0C21">
        <w:rPr>
          <w:rFonts w:ascii="Book Antiqua" w:hAnsi="Book Antiqua"/>
          <w:sz w:val="24"/>
          <w:szCs w:val="24"/>
        </w:rPr>
        <w:t>ospitalization duration was similar in both groups, and no procedure-related death</w:t>
      </w:r>
      <w:r w:rsidR="00A67EF7">
        <w:rPr>
          <w:rFonts w:ascii="Book Antiqua" w:hAnsi="Book Antiqua"/>
          <w:sz w:val="24"/>
          <w:szCs w:val="24"/>
        </w:rPr>
        <w:t>s</w:t>
      </w:r>
      <w:r w:rsidRPr="006B0C21">
        <w:rPr>
          <w:rFonts w:ascii="Book Antiqua" w:hAnsi="Book Antiqua"/>
          <w:sz w:val="24"/>
          <w:szCs w:val="24"/>
        </w:rPr>
        <w:t xml:space="preserve"> </w:t>
      </w:r>
      <w:r w:rsidR="00A67EF7">
        <w:rPr>
          <w:rFonts w:ascii="Book Antiqua" w:hAnsi="Book Antiqua"/>
          <w:sz w:val="24"/>
          <w:szCs w:val="24"/>
        </w:rPr>
        <w:t>were</w:t>
      </w:r>
      <w:r w:rsidRPr="006B0C21">
        <w:rPr>
          <w:rFonts w:ascii="Book Antiqua" w:hAnsi="Book Antiqua"/>
          <w:sz w:val="24"/>
          <w:szCs w:val="24"/>
        </w:rPr>
        <w:t xml:space="preserve"> recorded during </w:t>
      </w:r>
      <w:r w:rsidR="00A67EF7">
        <w:rPr>
          <w:rFonts w:ascii="Book Antiqua" w:hAnsi="Book Antiqua"/>
          <w:sz w:val="24"/>
          <w:szCs w:val="24"/>
        </w:rPr>
        <w:t>the</w:t>
      </w:r>
      <w:r w:rsidRPr="006B0C21">
        <w:rPr>
          <w:rFonts w:ascii="Book Antiqua" w:hAnsi="Book Antiqua"/>
          <w:sz w:val="24"/>
          <w:szCs w:val="24"/>
        </w:rPr>
        <w:t xml:space="preserve"> study period.</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i/>
          <w:sz w:val="24"/>
          <w:szCs w:val="24"/>
          <w:lang w:val="de-DE"/>
        </w:rPr>
      </w:pPr>
      <w:r w:rsidRPr="006B0C21">
        <w:rPr>
          <w:rFonts w:ascii="Book Antiqua" w:hAnsi="Book Antiqua"/>
          <w:b/>
          <w:i/>
          <w:sz w:val="24"/>
          <w:szCs w:val="24"/>
          <w:lang w:val="de-DE"/>
        </w:rPr>
        <w:t>Difficult cannulation</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Considering the cannulation difficulty grading, 209 patients had moderate or difficult cannulation, </w:t>
      </w:r>
      <w:r w:rsidR="00CB1426">
        <w:rPr>
          <w:rFonts w:ascii="Book Antiqua" w:hAnsi="Book Antiqua"/>
          <w:sz w:val="24"/>
          <w:szCs w:val="24"/>
        </w:rPr>
        <w:t>including</w:t>
      </w:r>
      <w:r w:rsidRPr="006B0C21">
        <w:rPr>
          <w:rFonts w:ascii="Book Antiqua" w:hAnsi="Book Antiqua"/>
          <w:sz w:val="24"/>
          <w:szCs w:val="24"/>
        </w:rPr>
        <w:t xml:space="preserve"> 49 patients (23.4%) 80 years of age or more (Table 2). The presence of periampullary diverticulum was significantly higher in the elderly group </w:t>
      </w:r>
      <w:r w:rsidR="00CB1426">
        <w:rPr>
          <w:rFonts w:ascii="Book Antiqua" w:hAnsi="Book Antiqua"/>
          <w:sz w:val="24"/>
          <w:szCs w:val="24"/>
        </w:rPr>
        <w:t>and was</w:t>
      </w:r>
      <w:r w:rsidR="00CB1426" w:rsidRPr="006B0C21">
        <w:rPr>
          <w:rFonts w:ascii="Book Antiqua" w:hAnsi="Book Antiqua"/>
          <w:sz w:val="24"/>
          <w:szCs w:val="24"/>
        </w:rPr>
        <w:t xml:space="preserve"> </w:t>
      </w:r>
      <w:r w:rsidRPr="006B0C21">
        <w:rPr>
          <w:rFonts w:ascii="Book Antiqua" w:hAnsi="Book Antiqua"/>
          <w:sz w:val="24"/>
          <w:szCs w:val="24"/>
        </w:rPr>
        <w:t>the most common cause of difficult cann</w:t>
      </w:r>
      <w:r w:rsidR="00B61167" w:rsidRPr="006B0C21">
        <w:rPr>
          <w:rFonts w:ascii="Book Antiqua" w:hAnsi="Book Antiqua"/>
          <w:sz w:val="24"/>
          <w:szCs w:val="24"/>
        </w:rPr>
        <w:t xml:space="preserve">ulation in this group (26.5% </w:t>
      </w:r>
      <w:r w:rsidR="00B61167" w:rsidRPr="006B0C21">
        <w:rPr>
          <w:rFonts w:ascii="Book Antiqua" w:hAnsi="Book Antiqua"/>
          <w:i/>
          <w:sz w:val="24"/>
          <w:szCs w:val="24"/>
        </w:rPr>
        <w:t>vs</w:t>
      </w:r>
      <w:r w:rsidRPr="006B0C21">
        <w:rPr>
          <w:rFonts w:ascii="Book Antiqua" w:hAnsi="Book Antiqua"/>
          <w:sz w:val="24"/>
          <w:szCs w:val="24"/>
        </w:rPr>
        <w:t xml:space="preserve"> 15.6%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007D7E41" w:rsidRPr="006B0C21">
        <w:rPr>
          <w:rFonts w:ascii="Book Antiqua" w:hAnsi="Book Antiqua"/>
          <w:sz w:val="24"/>
          <w:szCs w:val="24"/>
        </w:rPr>
        <w:t xml:space="preserve">0.047). </w:t>
      </w:r>
      <w:r w:rsidRPr="006B0C21">
        <w:rPr>
          <w:rFonts w:ascii="Book Antiqua" w:hAnsi="Book Antiqua"/>
          <w:sz w:val="24"/>
          <w:szCs w:val="24"/>
        </w:rPr>
        <w:t xml:space="preserve">Also, ampullary carcinoma was noted </w:t>
      </w:r>
      <w:r w:rsidR="00CB1426">
        <w:rPr>
          <w:rFonts w:ascii="Book Antiqua" w:hAnsi="Book Antiqua"/>
          <w:sz w:val="24"/>
          <w:szCs w:val="24"/>
        </w:rPr>
        <w:t>to be</w:t>
      </w:r>
      <w:r w:rsidRPr="006B0C21">
        <w:rPr>
          <w:rFonts w:ascii="Book Antiqua" w:hAnsi="Book Antiqua"/>
          <w:sz w:val="24"/>
          <w:szCs w:val="24"/>
        </w:rPr>
        <w:t xml:space="preserve"> a significant cause of difficult cannulation</w:t>
      </w:r>
      <w:r w:rsidR="00B61167" w:rsidRPr="006B0C21">
        <w:rPr>
          <w:rFonts w:ascii="Book Antiqua" w:hAnsi="Book Antiqua"/>
          <w:sz w:val="24"/>
          <w:szCs w:val="24"/>
        </w:rPr>
        <w:t xml:space="preserve"> in the elderly group (14.3% </w:t>
      </w:r>
      <w:r w:rsidR="00B61167" w:rsidRPr="006B0C21">
        <w:rPr>
          <w:rFonts w:ascii="Book Antiqua" w:hAnsi="Book Antiqua"/>
          <w:i/>
          <w:sz w:val="24"/>
          <w:szCs w:val="24"/>
        </w:rPr>
        <w:t>vs</w:t>
      </w:r>
      <w:r w:rsidRPr="006B0C21">
        <w:rPr>
          <w:rFonts w:ascii="Book Antiqua" w:hAnsi="Book Antiqua"/>
          <w:sz w:val="24"/>
          <w:szCs w:val="24"/>
        </w:rPr>
        <w:t xml:space="preserve"> 1.9%,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0.001). In contrast, distal stricture or impacted stone was the most frequent cause of difficult cannulation in younger patients</w:t>
      </w:r>
      <w:r w:rsidR="00CB1426">
        <w:rPr>
          <w:rFonts w:ascii="Book Antiqua" w:hAnsi="Book Antiqua"/>
          <w:sz w:val="24"/>
          <w:szCs w:val="24"/>
        </w:rPr>
        <w:t>, but the difference was not statistically</w:t>
      </w:r>
      <w:r w:rsidRPr="006B0C21">
        <w:rPr>
          <w:rFonts w:ascii="Book Antiqua" w:hAnsi="Book Antiqua"/>
          <w:sz w:val="24"/>
          <w:szCs w:val="24"/>
        </w:rPr>
        <w:t xml:space="preserve"> s</w:t>
      </w:r>
      <w:r w:rsidR="00B61167" w:rsidRPr="006B0C21">
        <w:rPr>
          <w:rFonts w:ascii="Book Antiqua" w:hAnsi="Book Antiqua"/>
          <w:sz w:val="24"/>
          <w:szCs w:val="24"/>
        </w:rPr>
        <w:t xml:space="preserve">ignificant (22.4% </w:t>
      </w:r>
      <w:r w:rsidR="00B61167" w:rsidRPr="006B0C21">
        <w:rPr>
          <w:rFonts w:ascii="Book Antiqua" w:hAnsi="Book Antiqua"/>
          <w:i/>
          <w:sz w:val="24"/>
          <w:szCs w:val="24"/>
        </w:rPr>
        <w:t>vs</w:t>
      </w:r>
      <w:r w:rsidRPr="006B0C21">
        <w:rPr>
          <w:rFonts w:ascii="Book Antiqua" w:hAnsi="Book Antiqua"/>
          <w:i/>
          <w:sz w:val="24"/>
          <w:szCs w:val="24"/>
        </w:rPr>
        <w:t xml:space="preserve"> </w:t>
      </w:r>
      <w:r w:rsidRPr="006B0C21">
        <w:rPr>
          <w:rFonts w:ascii="Book Antiqua" w:hAnsi="Book Antiqua"/>
          <w:sz w:val="24"/>
          <w:szCs w:val="24"/>
        </w:rPr>
        <w:t xml:space="preserve">35.6%,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 xml:space="preserve">0.108). The second </w:t>
      </w:r>
      <w:r w:rsidR="00CB1426">
        <w:rPr>
          <w:rFonts w:ascii="Book Antiqua" w:hAnsi="Book Antiqua"/>
          <w:sz w:val="24"/>
          <w:szCs w:val="24"/>
        </w:rPr>
        <w:t xml:space="preserve">most </w:t>
      </w:r>
      <w:r w:rsidRPr="006B0C21">
        <w:rPr>
          <w:rFonts w:ascii="Book Antiqua" w:hAnsi="Book Antiqua"/>
          <w:sz w:val="24"/>
          <w:szCs w:val="24"/>
        </w:rPr>
        <w:t>common cause in the younger group was papillary anatomy, with a significant difference among the</w:t>
      </w:r>
      <w:r w:rsidR="00B61167" w:rsidRPr="006B0C21">
        <w:rPr>
          <w:rFonts w:ascii="Book Antiqua" w:hAnsi="Book Antiqua"/>
          <w:sz w:val="24"/>
          <w:szCs w:val="24"/>
        </w:rPr>
        <w:t xml:space="preserve"> two groups (18.4% </w:t>
      </w:r>
      <w:r w:rsidR="00B61167" w:rsidRPr="006B0C21">
        <w:rPr>
          <w:rFonts w:ascii="Book Antiqua" w:hAnsi="Book Antiqua"/>
          <w:i/>
          <w:sz w:val="24"/>
          <w:szCs w:val="24"/>
        </w:rPr>
        <w:t>vs</w:t>
      </w:r>
      <w:r w:rsidRPr="006B0C21">
        <w:rPr>
          <w:rFonts w:ascii="Book Antiqua" w:hAnsi="Book Antiqua"/>
          <w:sz w:val="24"/>
          <w:szCs w:val="24"/>
        </w:rPr>
        <w:t xml:space="preserve"> 35%,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 xml:space="preserve">0.029). NKP was the most common cannulation technique used in </w:t>
      </w:r>
      <w:r w:rsidR="00CB1426">
        <w:rPr>
          <w:rFonts w:ascii="Book Antiqua" w:hAnsi="Book Antiqua"/>
          <w:sz w:val="24"/>
          <w:szCs w:val="24"/>
        </w:rPr>
        <w:t xml:space="preserve">the </w:t>
      </w:r>
      <w:r w:rsidRPr="006B0C21">
        <w:rPr>
          <w:rFonts w:ascii="Book Antiqua" w:hAnsi="Book Antiqua"/>
          <w:sz w:val="24"/>
          <w:szCs w:val="24"/>
        </w:rPr>
        <w:t xml:space="preserve">elderly group for difficult cannulation cases (42.8% </w:t>
      </w:r>
      <w:r w:rsidRPr="006B0C21">
        <w:rPr>
          <w:rFonts w:ascii="Book Antiqua" w:hAnsi="Book Antiqua"/>
          <w:i/>
          <w:sz w:val="24"/>
          <w:szCs w:val="24"/>
        </w:rPr>
        <w:t>vs</w:t>
      </w:r>
      <w:r w:rsidRPr="006B0C21">
        <w:rPr>
          <w:rFonts w:ascii="Book Antiqua" w:hAnsi="Book Antiqua"/>
          <w:sz w:val="24"/>
          <w:szCs w:val="24"/>
        </w:rPr>
        <w:t xml:space="preserve"> 36.2%,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0.239) followed by guidewi</w:t>
      </w:r>
      <w:r w:rsidR="00B61167" w:rsidRPr="006B0C21">
        <w:rPr>
          <w:rFonts w:ascii="Book Antiqua" w:hAnsi="Book Antiqua"/>
          <w:sz w:val="24"/>
          <w:szCs w:val="24"/>
        </w:rPr>
        <w:t xml:space="preserve">re-assisted technique (38.7% </w:t>
      </w:r>
      <w:r w:rsidR="00B61167" w:rsidRPr="006B0C21">
        <w:rPr>
          <w:rFonts w:ascii="Book Antiqua" w:hAnsi="Book Antiqua"/>
          <w:i/>
          <w:sz w:val="24"/>
          <w:szCs w:val="24"/>
        </w:rPr>
        <w:t>vs</w:t>
      </w:r>
      <w:r w:rsidRPr="006B0C21">
        <w:rPr>
          <w:rFonts w:ascii="Book Antiqua" w:hAnsi="Book Antiqua"/>
          <w:sz w:val="24"/>
          <w:szCs w:val="24"/>
        </w:rPr>
        <w:t xml:space="preserve"> 42.5%, </w:t>
      </w:r>
      <w:r w:rsidRPr="006B0C21">
        <w:rPr>
          <w:rFonts w:ascii="Book Antiqua" w:hAnsi="Book Antiqua"/>
          <w:i/>
          <w:caps/>
          <w:sz w:val="24"/>
          <w:szCs w:val="24"/>
        </w:rPr>
        <w:t>p</w:t>
      </w:r>
      <w:r w:rsidR="00B61167" w:rsidRPr="006B0C21">
        <w:rPr>
          <w:rFonts w:ascii="Book Antiqua" w:hAnsi="Book Antiqua"/>
          <w:i/>
          <w:caps/>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0.743) and TPS (16.7% </w:t>
      </w:r>
      <w:r w:rsidR="00B61167" w:rsidRPr="006B0C21">
        <w:rPr>
          <w:rFonts w:ascii="Book Antiqua" w:hAnsi="Book Antiqua"/>
          <w:i/>
          <w:sz w:val="24"/>
          <w:szCs w:val="24"/>
        </w:rPr>
        <w:t xml:space="preserve">vs </w:t>
      </w:r>
      <w:r w:rsidRPr="006B0C21">
        <w:rPr>
          <w:rFonts w:ascii="Book Antiqua" w:hAnsi="Book Antiqua"/>
          <w:sz w:val="24"/>
          <w:szCs w:val="24"/>
        </w:rPr>
        <w:t xml:space="preserve">21.2%,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 xml:space="preserve">0.546). No significant difference </w:t>
      </w:r>
      <w:r w:rsidR="00CB1426">
        <w:rPr>
          <w:rFonts w:ascii="Book Antiqua" w:hAnsi="Book Antiqua"/>
          <w:sz w:val="24"/>
          <w:szCs w:val="24"/>
        </w:rPr>
        <w:t>w</w:t>
      </w:r>
      <w:r w:rsidRPr="006B0C21">
        <w:rPr>
          <w:rFonts w:ascii="Book Antiqua" w:hAnsi="Book Antiqua"/>
          <w:sz w:val="24"/>
          <w:szCs w:val="24"/>
        </w:rPr>
        <w:t xml:space="preserve">as noted in the rate of techniques </w:t>
      </w:r>
      <w:r w:rsidR="00CB1426">
        <w:rPr>
          <w:rFonts w:ascii="Book Antiqua" w:hAnsi="Book Antiqua"/>
          <w:sz w:val="24"/>
          <w:szCs w:val="24"/>
        </w:rPr>
        <w:t xml:space="preserve">used </w:t>
      </w:r>
      <w:r w:rsidRPr="006B0C21">
        <w:rPr>
          <w:rFonts w:ascii="Book Antiqua" w:hAnsi="Book Antiqua"/>
          <w:sz w:val="24"/>
          <w:szCs w:val="24"/>
        </w:rPr>
        <w:t xml:space="preserve">between </w:t>
      </w:r>
      <w:r w:rsidR="00CB1426">
        <w:rPr>
          <w:rFonts w:ascii="Book Antiqua" w:hAnsi="Book Antiqua"/>
          <w:sz w:val="24"/>
          <w:szCs w:val="24"/>
        </w:rPr>
        <w:t xml:space="preserve">the </w:t>
      </w:r>
      <w:r w:rsidRPr="006B0C21">
        <w:rPr>
          <w:rFonts w:ascii="Book Antiqua" w:hAnsi="Book Antiqua"/>
          <w:sz w:val="24"/>
          <w:szCs w:val="24"/>
        </w:rPr>
        <w:t>two groups as well as the rate of pancreatic stent placement in diffic</w:t>
      </w:r>
      <w:r w:rsidR="00B61167" w:rsidRPr="006B0C21">
        <w:rPr>
          <w:rFonts w:ascii="Book Antiqua" w:hAnsi="Book Antiqua"/>
          <w:sz w:val="24"/>
          <w:szCs w:val="24"/>
        </w:rPr>
        <w:t xml:space="preserve">ult cannulation cases (22.9% </w:t>
      </w:r>
      <w:r w:rsidR="00B61167" w:rsidRPr="006B0C21">
        <w:rPr>
          <w:rFonts w:ascii="Book Antiqua" w:hAnsi="Book Antiqua"/>
          <w:i/>
          <w:sz w:val="24"/>
          <w:szCs w:val="24"/>
        </w:rPr>
        <w:t>vs</w:t>
      </w:r>
      <w:r w:rsidRPr="006B0C21">
        <w:rPr>
          <w:rFonts w:ascii="Book Antiqua" w:hAnsi="Book Antiqua"/>
          <w:sz w:val="24"/>
          <w:szCs w:val="24"/>
        </w:rPr>
        <w:t xml:space="preserve"> 28.1%, </w:t>
      </w:r>
      <w:r w:rsidRPr="006B0C21">
        <w:rPr>
          <w:rFonts w:ascii="Book Antiqua" w:hAnsi="Book Antiqua"/>
          <w:i/>
          <w:caps/>
          <w:sz w:val="24"/>
          <w:szCs w:val="24"/>
        </w:rPr>
        <w:t>p</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0.489).</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B61167" w:rsidP="006B0C21">
      <w:pPr>
        <w:adjustRightInd w:val="0"/>
        <w:snapToGrid w:val="0"/>
        <w:spacing w:line="360" w:lineRule="auto"/>
        <w:rPr>
          <w:rFonts w:ascii="Book Antiqua" w:hAnsi="Book Antiqua"/>
          <w:b/>
          <w:i/>
          <w:sz w:val="24"/>
          <w:szCs w:val="24"/>
          <w:lang w:val="de-DE"/>
        </w:rPr>
      </w:pPr>
      <w:r w:rsidRPr="006B0C21">
        <w:rPr>
          <w:rFonts w:ascii="Book Antiqua" w:hAnsi="Book Antiqua"/>
          <w:b/>
          <w:i/>
          <w:sz w:val="24"/>
          <w:szCs w:val="24"/>
          <w:lang w:val="de-DE"/>
        </w:rPr>
        <w:t>Cannulation techniques</w:t>
      </w:r>
    </w:p>
    <w:p w:rsidR="00713A64" w:rsidRPr="006B0C21" w:rsidRDefault="00CB1426" w:rsidP="006B0C21">
      <w:pPr>
        <w:adjustRightInd w:val="0"/>
        <w:snapToGrid w:val="0"/>
        <w:spacing w:line="360" w:lineRule="auto"/>
        <w:rPr>
          <w:rFonts w:ascii="Book Antiqua" w:hAnsi="Book Antiqua"/>
          <w:sz w:val="24"/>
          <w:szCs w:val="24"/>
        </w:rPr>
      </w:pPr>
      <w:r>
        <w:rPr>
          <w:rFonts w:ascii="Book Antiqua" w:hAnsi="Book Antiqua"/>
          <w:sz w:val="24"/>
          <w:szCs w:val="24"/>
        </w:rPr>
        <w:t>With r</w:t>
      </w:r>
      <w:r w:rsidR="00713A64" w:rsidRPr="006B0C21">
        <w:rPr>
          <w:rFonts w:ascii="Book Antiqua" w:hAnsi="Book Antiqua"/>
          <w:sz w:val="24"/>
          <w:szCs w:val="24"/>
        </w:rPr>
        <w:t>egard</w:t>
      </w:r>
      <w:r>
        <w:rPr>
          <w:rFonts w:ascii="Book Antiqua" w:hAnsi="Book Antiqua"/>
          <w:sz w:val="24"/>
          <w:szCs w:val="24"/>
        </w:rPr>
        <w:t xml:space="preserve"> to</w:t>
      </w:r>
      <w:r w:rsidR="00713A64" w:rsidRPr="006B0C21">
        <w:rPr>
          <w:rFonts w:ascii="Book Antiqua" w:hAnsi="Book Antiqua"/>
          <w:sz w:val="24"/>
          <w:szCs w:val="24"/>
        </w:rPr>
        <w:t xml:space="preserve"> the safety of cannulation techniques in the elderly group, Table 3 shows that there </w:t>
      </w:r>
      <w:r>
        <w:rPr>
          <w:rFonts w:ascii="Book Antiqua" w:hAnsi="Book Antiqua"/>
          <w:sz w:val="24"/>
          <w:szCs w:val="24"/>
        </w:rPr>
        <w:t>was</w:t>
      </w:r>
      <w:r w:rsidR="00713A64" w:rsidRPr="006B0C21">
        <w:rPr>
          <w:rFonts w:ascii="Book Antiqua" w:hAnsi="Book Antiqua"/>
          <w:sz w:val="24"/>
          <w:szCs w:val="24"/>
        </w:rPr>
        <w:t xml:space="preserve"> no significant difference in the incidence of overall adverse events using different cannulation techniques. Furthermore, there were no PEP cases in elderly patients who received NKP or TPS, while PEP developed </w:t>
      </w:r>
      <w:r>
        <w:rPr>
          <w:rFonts w:ascii="Book Antiqua" w:hAnsi="Book Antiqua"/>
          <w:sz w:val="24"/>
          <w:szCs w:val="24"/>
        </w:rPr>
        <w:t xml:space="preserve">in two cases </w:t>
      </w:r>
      <w:r w:rsidR="00713A64" w:rsidRPr="006B0C21">
        <w:rPr>
          <w:rFonts w:ascii="Book Antiqua" w:hAnsi="Book Antiqua"/>
          <w:sz w:val="24"/>
          <w:szCs w:val="24"/>
        </w:rPr>
        <w:t>after repeating the standard cannulation using the guidewire.</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B61167" w:rsidP="006B0C21">
      <w:pPr>
        <w:adjustRightInd w:val="0"/>
        <w:snapToGrid w:val="0"/>
        <w:spacing w:line="360" w:lineRule="auto"/>
        <w:rPr>
          <w:rFonts w:ascii="Book Antiqua" w:hAnsi="Book Antiqua"/>
          <w:b/>
          <w:i/>
          <w:sz w:val="24"/>
          <w:szCs w:val="24"/>
          <w:lang w:val="de-DE"/>
        </w:rPr>
      </w:pPr>
      <w:r w:rsidRPr="006B0C21">
        <w:rPr>
          <w:rFonts w:ascii="Book Antiqua" w:hAnsi="Book Antiqua"/>
          <w:b/>
          <w:i/>
          <w:sz w:val="24"/>
          <w:szCs w:val="24"/>
          <w:lang w:val="de-DE"/>
        </w:rPr>
        <w:t xml:space="preserve">Risk factors </w:t>
      </w:r>
      <w:r w:rsidR="00CB1426">
        <w:rPr>
          <w:rFonts w:ascii="Book Antiqua" w:hAnsi="Book Antiqua"/>
          <w:b/>
          <w:i/>
          <w:sz w:val="24"/>
          <w:szCs w:val="24"/>
          <w:lang w:val="de-DE"/>
        </w:rPr>
        <w:t>for</w:t>
      </w:r>
      <w:r w:rsidRPr="006B0C21">
        <w:rPr>
          <w:rFonts w:ascii="Book Antiqua" w:hAnsi="Book Antiqua"/>
          <w:b/>
          <w:i/>
          <w:sz w:val="24"/>
          <w:szCs w:val="24"/>
          <w:lang w:val="de-DE"/>
        </w:rPr>
        <w:t xml:space="preserve"> adverse events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The adverse events multivariate analysis model was created considering age, CCI ≥</w:t>
      </w:r>
      <w:r w:rsidR="00B61167" w:rsidRPr="006B0C21">
        <w:rPr>
          <w:rFonts w:ascii="Book Antiqua" w:hAnsi="Book Antiqua"/>
          <w:sz w:val="24"/>
          <w:szCs w:val="24"/>
        </w:rPr>
        <w:t xml:space="preserve"> </w:t>
      </w:r>
      <w:r w:rsidRPr="006B0C21">
        <w:rPr>
          <w:rFonts w:ascii="Book Antiqua" w:hAnsi="Book Antiqua"/>
          <w:sz w:val="24"/>
          <w:szCs w:val="24"/>
        </w:rPr>
        <w:t>2, indications, difficult cannulation, and cannulation techniques as independent variables (Table 4). Logistic regression analysis showed that age ≥</w:t>
      </w:r>
      <w:r w:rsidR="00B61167" w:rsidRPr="006B0C21">
        <w:rPr>
          <w:rFonts w:ascii="Book Antiqua" w:hAnsi="Book Antiqua"/>
          <w:sz w:val="24"/>
          <w:szCs w:val="24"/>
        </w:rPr>
        <w:t xml:space="preserve"> </w:t>
      </w:r>
      <w:r w:rsidRPr="006B0C21">
        <w:rPr>
          <w:rFonts w:ascii="Book Antiqua" w:hAnsi="Book Antiqua"/>
          <w:sz w:val="24"/>
          <w:szCs w:val="24"/>
        </w:rPr>
        <w:t xml:space="preserve">80 </w:t>
      </w:r>
      <w:r w:rsidR="00CB1426">
        <w:rPr>
          <w:rFonts w:ascii="Book Antiqua" w:hAnsi="Book Antiqua"/>
          <w:sz w:val="24"/>
          <w:szCs w:val="24"/>
        </w:rPr>
        <w:t xml:space="preserve">years </w:t>
      </w:r>
      <w:r w:rsidRPr="006B0C21">
        <w:rPr>
          <w:rFonts w:ascii="Book Antiqua" w:hAnsi="Book Antiqua"/>
          <w:sz w:val="24"/>
          <w:szCs w:val="24"/>
        </w:rPr>
        <w:t>was not associated with increased adverse events</w:t>
      </w:r>
      <w:r w:rsidR="00CB1426">
        <w:rPr>
          <w:rFonts w:ascii="Book Antiqua" w:hAnsi="Book Antiqua"/>
          <w:sz w:val="24"/>
          <w:szCs w:val="24"/>
        </w:rPr>
        <w:t>;</w:t>
      </w:r>
      <w:r w:rsidRPr="006B0C21">
        <w:rPr>
          <w:rFonts w:ascii="Book Antiqua" w:hAnsi="Book Antiqua"/>
          <w:sz w:val="24"/>
          <w:szCs w:val="24"/>
        </w:rPr>
        <w:t xml:space="preserve"> however</w:t>
      </w:r>
      <w:r w:rsidR="00CB1426">
        <w:rPr>
          <w:rFonts w:ascii="Book Antiqua" w:hAnsi="Book Antiqua"/>
          <w:sz w:val="24"/>
          <w:szCs w:val="24"/>
        </w:rPr>
        <w:t>,</w:t>
      </w:r>
      <w:r w:rsidRPr="006B0C21">
        <w:rPr>
          <w:rFonts w:ascii="Book Antiqua" w:hAnsi="Book Antiqua"/>
          <w:sz w:val="24"/>
          <w:szCs w:val="24"/>
        </w:rPr>
        <w:t xml:space="preserve"> difficult cannulation (AOR</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3.478) and CCI</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2 (AOR</w:t>
      </w:r>
      <w:r w:rsidR="00B61167" w:rsidRPr="006B0C21">
        <w:rPr>
          <w:rFonts w:ascii="Book Antiqua" w:hAnsi="Book Antiqua"/>
          <w:sz w:val="24"/>
          <w:szCs w:val="24"/>
        </w:rPr>
        <w:t xml:space="preserve"> </w:t>
      </w:r>
      <w:r w:rsidRPr="006B0C21">
        <w:rPr>
          <w:rFonts w:ascii="Book Antiqua" w:hAnsi="Book Antiqua"/>
          <w:sz w:val="24"/>
          <w:szCs w:val="24"/>
        </w:rPr>
        <w:t>=</w:t>
      </w:r>
      <w:r w:rsidR="00B61167" w:rsidRPr="006B0C21">
        <w:rPr>
          <w:rFonts w:ascii="Book Antiqua" w:hAnsi="Book Antiqua"/>
          <w:sz w:val="24"/>
          <w:szCs w:val="24"/>
        </w:rPr>
        <w:t xml:space="preserve"> </w:t>
      </w:r>
      <w:r w:rsidRPr="006B0C21">
        <w:rPr>
          <w:rFonts w:ascii="Book Antiqua" w:hAnsi="Book Antiqua"/>
          <w:sz w:val="24"/>
          <w:szCs w:val="24"/>
        </w:rPr>
        <w:t xml:space="preserve">1.824) were more likely to </w:t>
      </w:r>
      <w:r w:rsidR="00CB1426">
        <w:rPr>
          <w:rFonts w:ascii="Book Antiqua" w:hAnsi="Book Antiqua"/>
          <w:sz w:val="24"/>
          <w:szCs w:val="24"/>
        </w:rPr>
        <w:t>result in</w:t>
      </w:r>
      <w:r w:rsidRPr="006B0C21">
        <w:rPr>
          <w:rFonts w:ascii="Book Antiqua" w:hAnsi="Book Antiqua"/>
          <w:sz w:val="24"/>
          <w:szCs w:val="24"/>
        </w:rPr>
        <w:t xml:space="preserve"> adverse events when adjusted for the other variables.</w:t>
      </w:r>
    </w:p>
    <w:p w:rsidR="00713A64" w:rsidRPr="006B0C21" w:rsidRDefault="00CB1426" w:rsidP="006B0C21">
      <w:pPr>
        <w:adjustRightInd w:val="0"/>
        <w:snapToGrid w:val="0"/>
        <w:spacing w:line="360" w:lineRule="auto"/>
        <w:ind w:firstLineChars="100" w:firstLine="240"/>
        <w:rPr>
          <w:rFonts w:ascii="Book Antiqua" w:hAnsi="Book Antiqua"/>
          <w:sz w:val="24"/>
          <w:szCs w:val="24"/>
        </w:rPr>
      </w:pPr>
      <w:r>
        <w:rPr>
          <w:rFonts w:ascii="Book Antiqua" w:hAnsi="Book Antiqua"/>
          <w:sz w:val="24"/>
          <w:szCs w:val="24"/>
        </w:rPr>
        <w:t>In</w:t>
      </w:r>
      <w:r w:rsidR="00713A64" w:rsidRPr="006B0C21">
        <w:rPr>
          <w:rFonts w:ascii="Book Antiqua" w:hAnsi="Book Antiqua"/>
          <w:sz w:val="24"/>
          <w:szCs w:val="24"/>
        </w:rPr>
        <w:t xml:space="preserve"> the second multivariate model, we studied the risk factors related to PEP, a</w:t>
      </w:r>
      <w:r>
        <w:rPr>
          <w:rFonts w:ascii="Book Antiqua" w:hAnsi="Book Antiqua"/>
          <w:sz w:val="24"/>
          <w:szCs w:val="24"/>
        </w:rPr>
        <w:t>s</w:t>
      </w:r>
      <w:r w:rsidR="00713A64" w:rsidRPr="006B0C21">
        <w:rPr>
          <w:rFonts w:ascii="Book Antiqua" w:hAnsi="Book Antiqua"/>
          <w:sz w:val="24"/>
          <w:szCs w:val="24"/>
        </w:rPr>
        <w:t xml:space="preserve"> shown in Table 5. Logistic regression analysis showed that difficult cannulation (AOR</w:t>
      </w:r>
      <w:r w:rsidR="00B61167" w:rsidRPr="006B0C21">
        <w:rPr>
          <w:rFonts w:ascii="Book Antiqua" w:hAnsi="Book Antiqua"/>
          <w:sz w:val="24"/>
          <w:szCs w:val="24"/>
        </w:rPr>
        <w:t xml:space="preserve"> </w:t>
      </w:r>
      <w:r w:rsidR="00713A64" w:rsidRPr="006B0C21">
        <w:rPr>
          <w:rFonts w:ascii="Book Antiqua" w:hAnsi="Book Antiqua"/>
          <w:sz w:val="24"/>
          <w:szCs w:val="24"/>
        </w:rPr>
        <w:t>=</w:t>
      </w:r>
      <w:r w:rsidR="00B61167" w:rsidRPr="006B0C21">
        <w:rPr>
          <w:rFonts w:ascii="Book Antiqua" w:hAnsi="Book Antiqua"/>
          <w:sz w:val="24"/>
          <w:szCs w:val="24"/>
        </w:rPr>
        <w:t xml:space="preserve"> </w:t>
      </w:r>
      <w:r w:rsidR="00713A64" w:rsidRPr="006B0C21">
        <w:rPr>
          <w:rFonts w:ascii="Book Antiqua" w:hAnsi="Book Antiqua"/>
          <w:sz w:val="24"/>
          <w:szCs w:val="24"/>
        </w:rPr>
        <w:t>4.527), age ≤ 65 (AOR</w:t>
      </w:r>
      <w:r w:rsidR="00B61167" w:rsidRPr="006B0C21">
        <w:rPr>
          <w:rFonts w:ascii="Book Antiqua" w:hAnsi="Book Antiqua"/>
          <w:sz w:val="24"/>
          <w:szCs w:val="24"/>
        </w:rPr>
        <w:t xml:space="preserve"> </w:t>
      </w:r>
      <w:r w:rsidR="00713A64" w:rsidRPr="006B0C21">
        <w:rPr>
          <w:rFonts w:ascii="Book Antiqua" w:hAnsi="Book Antiqua"/>
          <w:sz w:val="24"/>
          <w:szCs w:val="24"/>
        </w:rPr>
        <w:t>=</w:t>
      </w:r>
      <w:r w:rsidR="00B61167" w:rsidRPr="006B0C21">
        <w:rPr>
          <w:rFonts w:ascii="Book Antiqua" w:hAnsi="Book Antiqua"/>
          <w:sz w:val="24"/>
          <w:szCs w:val="24"/>
        </w:rPr>
        <w:t xml:space="preserve"> </w:t>
      </w:r>
      <w:r w:rsidR="00713A64" w:rsidRPr="006B0C21">
        <w:rPr>
          <w:rFonts w:ascii="Book Antiqua" w:hAnsi="Book Antiqua"/>
          <w:sz w:val="24"/>
          <w:szCs w:val="24"/>
        </w:rPr>
        <w:t>3.460), cholangitis (AOR</w:t>
      </w:r>
      <w:r w:rsidR="00B61167" w:rsidRPr="006B0C21">
        <w:rPr>
          <w:rFonts w:ascii="Book Antiqua" w:hAnsi="Book Antiqua"/>
          <w:sz w:val="24"/>
          <w:szCs w:val="24"/>
        </w:rPr>
        <w:t xml:space="preserve"> </w:t>
      </w:r>
      <w:r w:rsidR="00713A64" w:rsidRPr="006B0C21">
        <w:rPr>
          <w:rFonts w:ascii="Book Antiqua" w:hAnsi="Book Antiqua"/>
          <w:sz w:val="24"/>
          <w:szCs w:val="24"/>
        </w:rPr>
        <w:t>=</w:t>
      </w:r>
      <w:r w:rsidR="00B61167" w:rsidRPr="006B0C21">
        <w:rPr>
          <w:rFonts w:ascii="Book Antiqua" w:hAnsi="Book Antiqua"/>
          <w:sz w:val="24"/>
          <w:szCs w:val="24"/>
        </w:rPr>
        <w:t xml:space="preserve"> </w:t>
      </w:r>
      <w:r w:rsidR="00713A64" w:rsidRPr="006B0C21">
        <w:rPr>
          <w:rFonts w:ascii="Book Antiqua" w:hAnsi="Book Antiqua"/>
          <w:sz w:val="24"/>
          <w:szCs w:val="24"/>
        </w:rPr>
        <w:t>3.261), and female gender (AOR</w:t>
      </w:r>
      <w:r w:rsidR="00B61167" w:rsidRPr="006B0C21">
        <w:rPr>
          <w:rFonts w:ascii="Book Antiqua" w:hAnsi="Book Antiqua"/>
          <w:sz w:val="24"/>
          <w:szCs w:val="24"/>
        </w:rPr>
        <w:t xml:space="preserve"> </w:t>
      </w:r>
      <w:r w:rsidR="00713A64" w:rsidRPr="006B0C21">
        <w:rPr>
          <w:rFonts w:ascii="Book Antiqua" w:hAnsi="Book Antiqua"/>
          <w:sz w:val="24"/>
          <w:szCs w:val="24"/>
        </w:rPr>
        <w:t>=</w:t>
      </w:r>
      <w:r w:rsidR="00B61167" w:rsidRPr="006B0C21">
        <w:rPr>
          <w:rFonts w:ascii="Book Antiqua" w:hAnsi="Book Antiqua"/>
          <w:sz w:val="24"/>
          <w:szCs w:val="24"/>
        </w:rPr>
        <w:t xml:space="preserve"> </w:t>
      </w:r>
      <w:r w:rsidR="00713A64" w:rsidRPr="006B0C21">
        <w:rPr>
          <w:rFonts w:ascii="Book Antiqua" w:hAnsi="Book Antiqua"/>
          <w:sz w:val="24"/>
          <w:szCs w:val="24"/>
        </w:rPr>
        <w:t>2.362) were strongly associated wit</w:t>
      </w:r>
      <w:r w:rsidR="007D7E41" w:rsidRPr="006B0C21">
        <w:rPr>
          <w:rFonts w:ascii="Book Antiqua" w:hAnsi="Book Antiqua"/>
          <w:sz w:val="24"/>
          <w:szCs w:val="24"/>
        </w:rPr>
        <w:t>h increas</w:t>
      </w:r>
      <w:r>
        <w:rPr>
          <w:rFonts w:ascii="Book Antiqua" w:hAnsi="Book Antiqua"/>
          <w:sz w:val="24"/>
          <w:szCs w:val="24"/>
        </w:rPr>
        <w:t>ed</w:t>
      </w:r>
      <w:r w:rsidR="007D7E41" w:rsidRPr="006B0C21">
        <w:rPr>
          <w:rFonts w:ascii="Book Antiqua" w:hAnsi="Book Antiqua"/>
          <w:sz w:val="24"/>
          <w:szCs w:val="24"/>
        </w:rPr>
        <w:t xml:space="preserve"> PEP. However, </w:t>
      </w:r>
      <w:r>
        <w:rPr>
          <w:rFonts w:ascii="Book Antiqua" w:hAnsi="Book Antiqua"/>
          <w:sz w:val="24"/>
          <w:szCs w:val="24"/>
        </w:rPr>
        <w:t xml:space="preserve">a </w:t>
      </w:r>
      <w:r w:rsidR="007D7E41" w:rsidRPr="006B0C21">
        <w:rPr>
          <w:rFonts w:ascii="Book Antiqua" w:hAnsi="Book Antiqua"/>
          <w:sz w:val="24"/>
          <w:szCs w:val="24"/>
        </w:rPr>
        <w:t xml:space="preserve">CCI </w:t>
      </w:r>
      <w:r w:rsidR="00713A64" w:rsidRPr="006B0C21">
        <w:rPr>
          <w:rFonts w:ascii="Book Antiqua" w:hAnsi="Book Antiqua"/>
          <w:sz w:val="24"/>
          <w:szCs w:val="24"/>
        </w:rPr>
        <w:t>≥</w:t>
      </w:r>
      <w:r w:rsidR="00B61167" w:rsidRPr="006B0C21">
        <w:rPr>
          <w:rFonts w:ascii="Book Antiqua" w:hAnsi="Book Antiqua"/>
          <w:sz w:val="24"/>
          <w:szCs w:val="24"/>
        </w:rPr>
        <w:t xml:space="preserve"> </w:t>
      </w:r>
      <w:r w:rsidR="00713A64" w:rsidRPr="006B0C21">
        <w:rPr>
          <w:rFonts w:ascii="Book Antiqua" w:hAnsi="Book Antiqua"/>
          <w:sz w:val="24"/>
          <w:szCs w:val="24"/>
        </w:rPr>
        <w:t xml:space="preserve">2 was less likely to </w:t>
      </w:r>
      <w:r>
        <w:rPr>
          <w:rFonts w:ascii="Book Antiqua" w:hAnsi="Book Antiqua"/>
          <w:sz w:val="24"/>
          <w:szCs w:val="24"/>
        </w:rPr>
        <w:t>be associated with</w:t>
      </w:r>
      <w:r w:rsidR="00713A64" w:rsidRPr="006B0C21">
        <w:rPr>
          <w:rFonts w:ascii="Book Antiqua" w:hAnsi="Book Antiqua"/>
          <w:sz w:val="24"/>
          <w:szCs w:val="24"/>
        </w:rPr>
        <w:t xml:space="preserve"> PEP when adjusted for the other variables.</w:t>
      </w:r>
    </w:p>
    <w:p w:rsidR="00713A64" w:rsidRPr="006B0C21" w:rsidRDefault="00713A64" w:rsidP="006B0C21">
      <w:pPr>
        <w:adjustRightInd w:val="0"/>
        <w:snapToGrid w:val="0"/>
        <w:spacing w:line="360" w:lineRule="auto"/>
        <w:rPr>
          <w:rFonts w:ascii="Book Antiqua" w:hAnsi="Book Antiqua"/>
          <w:sz w:val="24"/>
          <w:szCs w:val="24"/>
        </w:rPr>
      </w:pPr>
    </w:p>
    <w:p w:rsidR="00B61167" w:rsidRPr="006B0C21" w:rsidRDefault="00B61167" w:rsidP="006B0C21">
      <w:pPr>
        <w:adjustRightInd w:val="0"/>
        <w:snapToGrid w:val="0"/>
        <w:spacing w:line="360" w:lineRule="auto"/>
        <w:rPr>
          <w:rFonts w:ascii="Book Antiqua" w:hAnsi="Book Antiqua"/>
          <w:b/>
          <w:bCs/>
          <w:color w:val="000000"/>
          <w:sz w:val="24"/>
          <w:szCs w:val="24"/>
          <w:u w:val="single"/>
        </w:rPr>
      </w:pPr>
      <w:r w:rsidRPr="006B0C21">
        <w:rPr>
          <w:rFonts w:ascii="Book Antiqua" w:hAnsi="Book Antiqua"/>
          <w:b/>
          <w:bCs/>
          <w:color w:val="000000"/>
          <w:sz w:val="24"/>
          <w:szCs w:val="24"/>
          <w:u w:val="single"/>
        </w:rPr>
        <w:t>DISCUSSION</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The average life expectancy world</w:t>
      </w:r>
      <w:r w:rsidR="00CB1426">
        <w:rPr>
          <w:rFonts w:ascii="Book Antiqua" w:hAnsi="Book Antiqua"/>
          <w:sz w:val="24"/>
          <w:szCs w:val="24"/>
        </w:rPr>
        <w:t>wide</w:t>
      </w:r>
      <w:r w:rsidRPr="006B0C21">
        <w:rPr>
          <w:rFonts w:ascii="Book Antiqua" w:hAnsi="Book Antiqua"/>
          <w:sz w:val="24"/>
          <w:szCs w:val="24"/>
        </w:rPr>
        <w:t xml:space="preserve"> continues to increase, resulting in a </w:t>
      </w:r>
      <w:r w:rsidR="00CB1426">
        <w:rPr>
          <w:rFonts w:ascii="Book Antiqua" w:hAnsi="Book Antiqua"/>
          <w:sz w:val="24"/>
          <w:szCs w:val="24"/>
        </w:rPr>
        <w:t>rising</w:t>
      </w:r>
      <w:r w:rsidRPr="006B0C21">
        <w:rPr>
          <w:rFonts w:ascii="Book Antiqua" w:hAnsi="Book Antiqua"/>
          <w:sz w:val="24"/>
          <w:szCs w:val="24"/>
        </w:rPr>
        <w:t xml:space="preserve"> number of elderly individuals </w:t>
      </w:r>
      <w:r w:rsidR="00CB1426">
        <w:rPr>
          <w:rFonts w:ascii="Book Antiqua" w:hAnsi="Book Antiqua"/>
          <w:sz w:val="24"/>
          <w:szCs w:val="24"/>
        </w:rPr>
        <w:t xml:space="preserve">aged </w:t>
      </w:r>
      <w:r w:rsidRPr="006B0C21">
        <w:rPr>
          <w:rFonts w:ascii="Book Antiqua" w:hAnsi="Book Antiqua"/>
          <w:sz w:val="24"/>
          <w:szCs w:val="24"/>
        </w:rPr>
        <w:t>80 years and older</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{"citationItems":[{"id":"ITEM-1","itemData":{"DOI":"10.1136/gut.41.4.433","ISBN":"0017-5749","ISSN":"00175749","PMID":"9391238","abstract":"Elderly people commonly present with biliary tract disease. Gallstone disease is an important cause of recurrent abdominal symptoms, and we advocate an aggressive approach in stable patients not at risk to improve the quality of their lives. Choledocholithiasis is optimally treated by ERCP (98% success) even in patients who are at great risk. Endoscopic intervention often obviates the need for emergency biliary tract surgery in the elderly, is better tolerated, and is associated with significantly less risk and a lower mortality. In contrast, emergency surgery in the elderly is poorly tolerated. Even cholecystitis and biliary pancreatitis (not discussed here) are amenable to endoscopic treatment. Malignant biliary obstruction should not and cannot be treated as aggressively as benign disorders affecting the biliary tree as the long term outlook is poor. Endoscopic palliation usually suffices in maximising treatment and improving the patient's quality of life with few associated complications or postprocedural machinations (drainage bags or tubes). The afflicted population in general and the elderly in particular benefit from minimally invasive endoscopic decompression techniques.","author":[{"dropping-particle":"","family":"Siegel","given":"Jerome H.","non-dropping-particle":"","parse-names":false,"suffix":""},{"dropping-particle":"","family":"Kasmin","given":"Franklin E.","non-dropping-particle":"","parse-names":false,"suffix":""}],"container-title":"Gut","id":"ITEM-1","issue":"4","issued":{"date-parts":[["1997"]]},"page":"433-435","title":"Biliary tract diseases in the elderly: Management and outcomes","type":"article-journal","volume":"41"},"uris":["http://www.mendeley.com/documents/?uuid=dba1da05-cc77-40ea-8a0c-260baa80e41c"]}],"mendeley":{"formattedCitation":"&lt;sup&gt;[13]&lt;/sup&gt;","plainTextFormattedCitation":"[13]","previouslyFormattedCitation":"&lt;sup&gt;[13]&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[13]</w:t>
      </w:r>
      <w:r w:rsidRPr="006B0C21">
        <w:rPr>
          <w:rFonts w:ascii="Book Antiqua" w:hAnsi="Book Antiqua"/>
          <w:sz w:val="24"/>
          <w:szCs w:val="24"/>
        </w:rPr>
        <w:fldChar w:fldCharType="end"/>
      </w:r>
      <w:r w:rsidRPr="006B0C21">
        <w:rPr>
          <w:rFonts w:ascii="Book Antiqua" w:hAnsi="Book Antiqua"/>
          <w:sz w:val="24"/>
          <w:szCs w:val="24"/>
        </w:rPr>
        <w:t>. This issue is evident in the Chinese population, which will become one of the world’s most aged society in 2030</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{"citationItems":[{"id":"ITEM-1","itemData":{"abstract":"Using China’s 2000 census data, this paper conducts population projection under different fertility scenarios to gauge the likely trends in China’s future population change. The range of fertility assumptions captures the uncertainty of current fertility estimates as well as the likely trends under the family planning policy and economic development. Only one mortality scenario is applied and net international migration is assumed to be null in the population projection. Future life tables are generated by Brass logit techniques with initial 2000 life tables and assumed annual life expectancy at birth following the United Nations medium improvement model. China is experiencing unprecedented demographic transition together with the radical social and economic transformation. Demographically speaking China is now a developed country. However, China’s future population growth is substantial, a solely result of the population momentum built into the age structure by past fertility and mortality. 10 percent or 135 million increase is expected in the next 25 years under the medium fertility scenario. China would reach a maximum population of 1443 million in 2030, followed by a long-term population decline. Two major changes of the future population age structure of China are continuing demographic dividend and rapid population ageing. China’s demographic window of opportunity opened at 1990 and will close at 2033. Having a work force of around one billion has many advantages if we consider only the dependency ratio in the population or the labour supply for the development. However, China will be also experiencing a rapid population ageing after 2015. One fifth to one quarter of the Chinese population would be older people at age 65 or over after 2035. The year of 2029 would be a turning point in China’s age structure transition, when for the first time in Chinese history the elderly population would exceed the child population.","author":[{"dropping-particle":"","family":"Wei, Chen; Jinju","given":"Liu;","non-dropping-particle":"","parse-names":false,"suffix":""}],"container-title":"EconPapers","id":"ITEM-1","issue":"September 2009","issued":{"date-parts":[["2005"]]},"page":"1 - 21","title":"Future Population Trends in China :","type":"article-journal"},"uris":["http://www.mendeley.com/documents/?uuid=548d19b4-6443-4779-b485-4fcb2560fa0a"]}],"mendeley":{"formattedCitation":"&lt;sup&gt;[1]&lt;/sup&gt;","plainTextFormattedCitation":"[1]","previouslyFormattedCitation":"&lt;sup&gt;[1]&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[1]</w:t>
      </w:r>
      <w:r w:rsidRPr="006B0C21">
        <w:rPr>
          <w:rFonts w:ascii="Book Antiqua" w:hAnsi="Book Antiqua"/>
          <w:sz w:val="24"/>
          <w:szCs w:val="24"/>
        </w:rPr>
        <w:fldChar w:fldCharType="end"/>
      </w:r>
      <w:r w:rsidRPr="006B0C21">
        <w:rPr>
          <w:rFonts w:ascii="Book Antiqua" w:hAnsi="Book Antiqua"/>
          <w:sz w:val="24"/>
          <w:szCs w:val="24"/>
        </w:rPr>
        <w:t xml:space="preserve">. The risk of choledocholithiasis and pancreatobiliary malignancies increases with advancing age, </w:t>
      </w:r>
      <w:r w:rsidR="0077181B">
        <w:rPr>
          <w:rFonts w:ascii="Book Antiqua" w:hAnsi="Book Antiqua"/>
          <w:sz w:val="24"/>
          <w:szCs w:val="24"/>
        </w:rPr>
        <w:t>resulting in</w:t>
      </w:r>
      <w:r w:rsidRPr="006B0C21">
        <w:rPr>
          <w:rFonts w:ascii="Book Antiqua" w:hAnsi="Book Antiqua"/>
          <w:sz w:val="24"/>
          <w:szCs w:val="24"/>
        </w:rPr>
        <w:t xml:space="preserve"> the older population requiring </w:t>
      </w:r>
      <w:r w:rsidR="0077181B">
        <w:rPr>
          <w:rFonts w:ascii="Book Antiqua" w:hAnsi="Book Antiqua"/>
          <w:sz w:val="24"/>
          <w:szCs w:val="24"/>
        </w:rPr>
        <w:t xml:space="preserve">more </w:t>
      </w:r>
      <w:r w:rsidRPr="006B0C21">
        <w:rPr>
          <w:rFonts w:ascii="Book Antiqua" w:hAnsi="Book Antiqua"/>
          <w:sz w:val="24"/>
          <w:szCs w:val="24"/>
        </w:rPr>
        <w:t>invasive procedures.</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Several studies have reported the safety and efficacy of ERCP in elderly patients, although the</w:t>
      </w:r>
      <w:r w:rsidR="0077181B">
        <w:rPr>
          <w:rFonts w:ascii="Book Antiqua" w:hAnsi="Book Antiqua"/>
          <w:sz w:val="24"/>
          <w:szCs w:val="24"/>
        </w:rPr>
        <w:t xml:space="preserve">se patients </w:t>
      </w:r>
      <w:r w:rsidRPr="006B0C21">
        <w:rPr>
          <w:rFonts w:ascii="Book Antiqua" w:hAnsi="Book Antiqua"/>
          <w:sz w:val="24"/>
          <w:szCs w:val="24"/>
        </w:rPr>
        <w:t xml:space="preserve">were more likely to have underlying </w:t>
      </w:r>
      <w:r w:rsidR="0077181B">
        <w:rPr>
          <w:rFonts w:ascii="Book Antiqua" w:hAnsi="Book Antiqua"/>
          <w:sz w:val="24"/>
          <w:szCs w:val="24"/>
        </w:rPr>
        <w:t>diseases</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{"citationItems":[{"id":"ITEM-1","itemData":{"DOI":"10.1007/s10620-016-4064-y","ISSN":"15732568","PMID":"26873537","abstract":"Background/Aims: Concern regarding the safety and efficacy of therapeutic endoscopic retrograde cholangiopancreatography (ERCP) in elderly patients is increasing as a result of the aging society. However, there are limited data, especially in the super-aged elderly. This study aimed to evaluate the efficacy and safety of therapeutic ERCP in patients ≥80 years of age. Methods: Patients 80 years of age or older (n = 312) and younger than 65 years (n = 312) who underwent therapeutic ERCP from June 2006 to April 2014 were randomly selected and analyzed retrospectively. The main outcome measurements were therapeutic ERCP-related complications and clinical outcomes in the two groups. Results: Choledocholithiasis combined with gallbladder stone was the most common indication for ERCP in both groups. Comorbid diseases (70.5 and 29.8 %, p &lt; 0.001) and the use of anti-thrombotic drugs (18.6 and 1.6 %, p &lt; 0.001) were more frequent in the super-aged group. The mean procedure time was longer, and the frequency of second ERCP was more common in the super-aged group. However, the technical success rate (94.9 and 97.4 %, p = 0.096) and the procedure-related complication rate (4.8 and 5.8 %, p = 0.592) were not different between the two groups. Post-ERCP pancreatitis occurred in 1.3 % of the super-aged group and in 2.9 % of the control group (p = 0.262). Cardiopulmonary complications occurred in 1.9 % of patients in each group (p = 1.0). Conclusions: Therapeutic ERCP is comparable in terms of efficacy and safety between patients ≥80 years and those &lt;65 years of age, although the elderly group had a higher rate of comorbid diseases and used anti-thrombotic drugs more frequently.","author":[{"dropping-particle":"","family":"Han","given":"Su Jung","non-dropping-particle":"","parse-names":false,"suffix":""},{"dropping-particle":"","family":"Lee","given":"Tae Hoon","non-dropping-particle":"","parse-names":false,"suffix":""},{"dropping-particle":"Il","family":"Kang","given":"Byong","non-dropping-particle":"","parse-names":false,"suffix":""},{"dropping-particle":"","family":"Choi","given":"Hyun Jong","non-dropping-particle":"","parse-names":false,"suffix":""},{"dropping-particle":"","family":"Lee","given":"Yun Nah","non-dropping-particle":"","parse-names":false,"suffix":""},{"dropping-particle":"","family":"Cha","given":"Sang Woo","non-dropping-particle":"","parse-names":false,"suffix":""},{"dropping-particle":"","family":"Moon","given":"Jong Ho","non-dropping-particle":"","parse-names":false,"suffix":""},{"dropping-particle":"","family":"Cho","given":"Young Deok","non-dropping-particle":"","parse-names":false,"suffix":""},{"dropping-particle":"","family":"Park","given":"Sang Hum","non-dropping-particle":"","parse-names":false,"suffix":""},{"dropping-particle":"","family":"Kim","given":"Sun Joo","non-dropping-particle":"","parse-names":false,"suffix":""}],"container-title":"Digestive Diseases and Sciences","id":"ITEM-1","issue":"7","issued":{"date-parts":[["2016"]]},"page":"2094-2101","title":"Efficacy and Safety of Therapeutic Endoscopic Retrograde Cholangiopancreatography in the Elderly Over 80 Years","type":"article-journal","volume":"61"},"uris":["http://www.mendeley.com/documents/?uuid=cde51ab5-eaf2-4cec-81e5-4f9247d00427"]},{"id":"ITEM-2","itemData":{"DOI":"10.1016/S0002-9270(00)02387-X","ISBN":"0002-9270 (Print)","ISSN":"00029270","PMID":"11232684","abstract":"OBJECTIVES: Diagnostic and therapeutic endoscopic retrograde cholangiopancreatography (ERCP/ES) can be associated with unforeseeable complications, especially when involving postprocedural pancreatitis. The aim of the study was to investigate risk factors for complications of ERCP/ES in a prospective multicentric study. METHODS: One hundred fifty variables were prospectively collected at time of ERCP/ES and before hospital discharge over 2 years, in consecutive patients undergoing the procedure in nine endoscopic units in the Lombardy region of Italy. More than 150 ERCPs were performed in each center per year by a single operator or by a team of no more than three endoscopists. RESULTS: Two thousand four hundred sixty-two procedures were performed; 18 patients were discharged because the papilla of Vater was not reached (duodenal obstruction, previous gastrectomy, etc.). Two thousand four hundred forty-four procedures were considered in 2103 patients. Overall complications occurred in 121 patients (4.95% of cases): Pancreatitis in 44 patients (1.8%), hemorrhage in 30 (1.13%), cholangitis in 14 (0.57%), perforation during ES in 14 (0.57%), and others in 14 (0.57%); deaths occurred in three patients (0.12%). In multivariate analysis, the following were significant risk factors: A) for pancreatitis, age (≤60 yr), use of precutting technique, and failed clearing of biliary stones, and b) for hemorrhage, precut sphincterotomy and obstruction of the orifice of the papilla of Vater. CONCLUSIONS: The results of our study further contribute to the assessment of risk factors for complications related to ERCP/ES. It is crucial to identify high risk patients to reduce complications of the procedures. © 2001 by Am. Coll. of Gastroenterology.","author":[{"dropping-particle":"","family":"Masci","given":"E.","non-dropping-particle":"","parse-names":false,"suffix":""},{"dropping-particle":"","family":"Toti","given":"G.","non-dropping-particle":"","parse-names":false,"suffix":""},{"dropping-particle":"","family":"Mariani","given":"A.","non-dropping-particle":"","parse-names":false,"suffix":""},{"dropping-particle":"","family":"Curioni","given":"S.","non-dropping-particle":"","parse-names":false,"suffix":""},{"dropping-particle":"","family":"Lomazzi","given":"A.","non-dropping-particle":"","parse-names":false,"suffix":""},{"dropping-particle":"","family":"Dinelli","given":"M.","non-dropping-particle":"","parse-names":false,"suffix":""},{"dropping-particle":"","family":"Minoli","given":"G.","non-dropping-particle":"","parse-names":false,"suffix":""},{"dropping-particle":"","family":"Crosta","given":"C.","non-dropping-particle":"","parse-names":false,"suffix":""},{"dropping-particle":"","family":"Comin","given":"U.","non-dropping-particle":"","parse-names":false,"suffix":""},{"dropping-particle":"","family":"Fertitta","given":"A.","non-dropping-particle":"","parse-names":false,"suffix":""},{"dropping-particle":"","family":"Prada","given":"A.","non-dropping-particle":"","parse-names":false,"suffix":""},{"dropping-particle":"","family":"Rubis Passoni","given":"G.","non-dropping-particle":"","parse-names":false,"suffix":""},{"dropping-particle":"","family":"Testoni","given":"P. A.","non-dropping-particle":"","parse-names":false,"suffix":""}],"container-title":"American Journal of Gastroenterology","id":"ITEM-2","issue":"2","issued":{"date-parts":[["2001"]]},"page":"417-423","title":"Complications of diagnostic and therapeutic ERCP: A prospective multicenter study","type":"article-journal","volume":"96"},"uris":["http://www.mendeley.com/documents/?uuid=95fe913b-1d50-444c-befd-2da4c311f56c"]}],"mendeley":{"formattedCitation":"&lt;sup&gt;[10,14]&lt;/sup&gt;","plainTextFormattedCitation":"[10,14]","previouslyFormattedCitation":"&lt;sup&gt;[10,14]&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[10,14]</w:t>
      </w:r>
      <w:r w:rsidRPr="006B0C21">
        <w:rPr>
          <w:rFonts w:ascii="Book Antiqua" w:hAnsi="Book Antiqua"/>
          <w:sz w:val="24"/>
          <w:szCs w:val="24"/>
        </w:rPr>
        <w:fldChar w:fldCharType="end"/>
      </w:r>
      <w:r w:rsidRPr="006B0C21">
        <w:rPr>
          <w:rFonts w:ascii="Book Antiqua" w:hAnsi="Book Antiqua"/>
          <w:sz w:val="24"/>
          <w:szCs w:val="24"/>
        </w:rPr>
        <w:t xml:space="preserve">. Comorbid diseases </w:t>
      </w:r>
      <w:r w:rsidR="0077181B">
        <w:rPr>
          <w:rFonts w:ascii="Book Antiqua" w:hAnsi="Book Antiqua"/>
          <w:sz w:val="24"/>
          <w:szCs w:val="24"/>
        </w:rPr>
        <w:t>were also</w:t>
      </w:r>
      <w:r w:rsidRPr="006B0C21">
        <w:rPr>
          <w:rFonts w:ascii="Book Antiqua" w:hAnsi="Book Antiqua"/>
          <w:sz w:val="24"/>
          <w:szCs w:val="24"/>
        </w:rPr>
        <w:t xml:space="preserve"> more common in this group</w:t>
      </w:r>
      <w:r w:rsidR="0077181B">
        <w:rPr>
          <w:rFonts w:ascii="Book Antiqua" w:hAnsi="Book Antiqua"/>
          <w:sz w:val="24"/>
          <w:szCs w:val="24"/>
        </w:rPr>
        <w:t xml:space="preserve"> in our study</w:t>
      </w:r>
      <w:r w:rsidRPr="006B0C21">
        <w:rPr>
          <w:rFonts w:ascii="Book Antiqua" w:hAnsi="Book Antiqua"/>
          <w:sz w:val="24"/>
          <w:szCs w:val="24"/>
        </w:rPr>
        <w:t xml:space="preserve">. </w:t>
      </w:r>
      <w:r w:rsidR="0077181B">
        <w:rPr>
          <w:rFonts w:ascii="Book Antiqua" w:hAnsi="Book Antiqua"/>
          <w:sz w:val="24"/>
          <w:szCs w:val="24"/>
        </w:rPr>
        <w:t>In addition</w:t>
      </w:r>
      <w:r w:rsidRPr="006B0C21">
        <w:rPr>
          <w:rFonts w:ascii="Book Antiqua" w:hAnsi="Book Antiqua"/>
          <w:sz w:val="24"/>
          <w:szCs w:val="24"/>
        </w:rPr>
        <w:t xml:space="preserve">, the older group </w:t>
      </w:r>
      <w:r w:rsidR="0077181B">
        <w:rPr>
          <w:rFonts w:ascii="Book Antiqua" w:hAnsi="Book Antiqua"/>
          <w:sz w:val="24"/>
          <w:szCs w:val="24"/>
        </w:rPr>
        <w:t>had</w:t>
      </w:r>
      <w:r w:rsidRPr="006B0C21">
        <w:rPr>
          <w:rFonts w:ascii="Book Antiqua" w:hAnsi="Book Antiqua"/>
          <w:sz w:val="24"/>
          <w:szCs w:val="24"/>
        </w:rPr>
        <w:t xml:space="preserve"> a higher proportion of patients with a CCI ≥</w:t>
      </w:r>
      <w:r w:rsidR="00B61167" w:rsidRPr="006B0C21">
        <w:rPr>
          <w:rFonts w:ascii="Book Antiqua" w:hAnsi="Book Antiqua"/>
          <w:sz w:val="24"/>
          <w:szCs w:val="24"/>
        </w:rPr>
        <w:t xml:space="preserve"> </w:t>
      </w:r>
      <w:r w:rsidRPr="006B0C21">
        <w:rPr>
          <w:rFonts w:ascii="Book Antiqua" w:hAnsi="Book Antiqua"/>
          <w:sz w:val="24"/>
          <w:szCs w:val="24"/>
        </w:rPr>
        <w:t xml:space="preserve">2. </w:t>
      </w:r>
      <w:r w:rsidR="0077181B">
        <w:rPr>
          <w:rFonts w:ascii="Book Antiqua" w:hAnsi="Book Antiqua"/>
          <w:sz w:val="24"/>
          <w:szCs w:val="24"/>
        </w:rPr>
        <w:t>B</w:t>
      </w:r>
      <w:r w:rsidRPr="006B0C21">
        <w:rPr>
          <w:rFonts w:ascii="Book Antiqua" w:hAnsi="Book Antiqua"/>
          <w:sz w:val="24"/>
          <w:szCs w:val="24"/>
        </w:rPr>
        <w:t>iliary stones w</w:t>
      </w:r>
      <w:r w:rsidR="00E868B5">
        <w:rPr>
          <w:rFonts w:ascii="Book Antiqua" w:hAnsi="Book Antiqua"/>
          <w:sz w:val="24"/>
          <w:szCs w:val="24"/>
        </w:rPr>
        <w:t>ere</w:t>
      </w:r>
      <w:r w:rsidRPr="006B0C21">
        <w:rPr>
          <w:rFonts w:ascii="Book Antiqua" w:hAnsi="Book Antiqua"/>
          <w:sz w:val="24"/>
          <w:szCs w:val="24"/>
        </w:rPr>
        <w:t xml:space="preserve"> the main indication for </w:t>
      </w:r>
      <w:r w:rsidR="0077181B">
        <w:rPr>
          <w:rFonts w:ascii="Book Antiqua" w:hAnsi="Book Antiqua"/>
          <w:sz w:val="24"/>
          <w:szCs w:val="24"/>
        </w:rPr>
        <w:t>ERCP</w:t>
      </w:r>
      <w:r w:rsidRPr="006B0C21">
        <w:rPr>
          <w:rFonts w:ascii="Book Antiqua" w:hAnsi="Book Antiqua"/>
          <w:sz w:val="24"/>
          <w:szCs w:val="24"/>
        </w:rPr>
        <w:t xml:space="preserve"> in both groups, followed by benign stricture and malignancy. Cholangitis and biliary pancreatitis were more common in younger patients compared to elderly patients. A higher proportion of tumors, especially ampullary carcinoma, </w:t>
      </w:r>
      <w:r w:rsidR="0077181B">
        <w:rPr>
          <w:rFonts w:ascii="Book Antiqua" w:hAnsi="Book Antiqua"/>
          <w:sz w:val="24"/>
          <w:szCs w:val="24"/>
        </w:rPr>
        <w:t>was found</w:t>
      </w:r>
      <w:r w:rsidRPr="006B0C21">
        <w:rPr>
          <w:rFonts w:ascii="Book Antiqua" w:hAnsi="Book Antiqua"/>
          <w:sz w:val="24"/>
          <w:szCs w:val="24"/>
        </w:rPr>
        <w:t xml:space="preserve"> in older patients as th</w:t>
      </w:r>
      <w:r w:rsidR="0077181B">
        <w:rPr>
          <w:rFonts w:ascii="Book Antiqua" w:hAnsi="Book Antiqua"/>
          <w:sz w:val="24"/>
          <w:szCs w:val="24"/>
        </w:rPr>
        <w:t>e</w:t>
      </w:r>
      <w:r w:rsidRPr="006B0C21">
        <w:rPr>
          <w:rFonts w:ascii="Book Antiqua" w:hAnsi="Book Antiqua"/>
          <w:sz w:val="24"/>
          <w:szCs w:val="24"/>
        </w:rPr>
        <w:t>se indications increase with age</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{"citationItems":[{"id":"ITEM-1","itemData":{"DOI":"10.1136/gut.41.4.433","ISBN":"0017-5749","ISSN":"00175749","PMID":"9391238","abstract":"Elderly people commonly present with biliary tract disease. Gallstone disease is an important cause of recurrent abdominal symptoms, and we advocate an aggressive approach in stable patients not at risk to improve the quality of their lives. Choledocholithiasis is optimally treated by ERCP (98% success) even in patients who are at great risk. Endoscopic intervention often obviates the need for emergency biliary tract surgery in the elderly, is better tolerated, and is associated with significantly less risk and a lower mortality. In contrast, emergency surgery in the elderly is poorly tolerated. Even cholecystitis and biliary pancreatitis (not discussed here) are amenable to endoscopic treatment. Malignant biliary obstruction should not and cannot be treated as aggressively as benign disorders affecting the biliary tree as the long term outlook is poor. Endoscopic palliation usually suffices in maximising treatment and improving the patient's quality of life with few associated complications or postprocedural machinations (drainage bags or tubes). The afflicted population in general and the elderly in particular benefit from minimally invasive endoscopic decompression techniques.","author":[{"dropping-particle":"","family":"Siegel","given":"Jerome H.","non-dropping-particle":"","parse-names":false,"suffix":""},{"dropping-particle":"","family":"Kasmin","given":"Franklin E.","non-dropping-particle":"","parse-names":false,"suffix":""}],"container-title":"Gut","id":"ITEM-1","issue":"4","issued":{"date-parts":[["1997"]]},"page":"433-435","title":"Biliary tract diseases in the elderly: Management and outcomes","type":"article-journal","volume":"41"},"uris":["http://www.mendeley.com/documents/?uuid=dba1da05-cc77-40ea-8a0c-260baa80e41c"]}],"mendeley":{"formattedCitation":"&lt;sup&gt;[13]&lt;/sup&gt;","plainTextFormattedCitation":"[13]","previouslyFormattedCitation":"&lt;sup&gt;[13]&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[13]</w:t>
      </w:r>
      <w:r w:rsidRPr="006B0C21">
        <w:rPr>
          <w:rFonts w:ascii="Book Antiqua" w:hAnsi="Book Antiqua"/>
          <w:sz w:val="24"/>
          <w:szCs w:val="24"/>
        </w:rPr>
        <w:fldChar w:fldCharType="end"/>
      </w:r>
      <w:r w:rsidRPr="006B0C21">
        <w:rPr>
          <w:rFonts w:ascii="Book Antiqua" w:hAnsi="Book Antiqua"/>
          <w:sz w:val="24"/>
          <w:szCs w:val="24"/>
        </w:rPr>
        <w:t>.</w:t>
      </w:r>
    </w:p>
    <w:p w:rsidR="00713A64" w:rsidRPr="006B0C21" w:rsidRDefault="0077181B" w:rsidP="006B0C21">
      <w:pPr>
        <w:adjustRightInd w:val="0"/>
        <w:snapToGrid w:val="0"/>
        <w:spacing w:line="360" w:lineRule="auto"/>
        <w:ind w:firstLineChars="100" w:firstLine="240"/>
        <w:rPr>
          <w:rFonts w:ascii="Book Antiqua" w:hAnsi="Book Antiqua"/>
          <w:sz w:val="24"/>
          <w:szCs w:val="24"/>
          <w:lang w:val="de-DE"/>
        </w:rPr>
      </w:pPr>
      <w:r>
        <w:rPr>
          <w:rFonts w:ascii="Book Antiqua" w:hAnsi="Book Antiqua"/>
          <w:sz w:val="24"/>
          <w:szCs w:val="24"/>
        </w:rPr>
        <w:t>With r</w:t>
      </w:r>
      <w:r w:rsidR="00713A64" w:rsidRPr="006B0C21">
        <w:rPr>
          <w:rFonts w:ascii="Book Antiqua" w:hAnsi="Book Antiqua"/>
          <w:sz w:val="24"/>
          <w:szCs w:val="24"/>
        </w:rPr>
        <w:t>egard</w:t>
      </w:r>
      <w:r>
        <w:rPr>
          <w:rFonts w:ascii="Book Antiqua" w:hAnsi="Book Antiqua"/>
          <w:sz w:val="24"/>
          <w:szCs w:val="24"/>
        </w:rPr>
        <w:t xml:space="preserve"> to</w:t>
      </w:r>
      <w:r w:rsidR="00713A64" w:rsidRPr="006B0C21">
        <w:rPr>
          <w:rFonts w:ascii="Book Antiqua" w:hAnsi="Book Antiqua"/>
          <w:sz w:val="24"/>
          <w:szCs w:val="24"/>
        </w:rPr>
        <w:t xml:space="preserve"> ERCP outcomes, most previous studies reported similar efficacy of therapeutic ERCP in patients over 80 years of age and younger patients</w:t>
      </w:r>
      <w:r w:rsidR="00713A64" w:rsidRPr="006B0C21">
        <w:rPr>
          <w:rFonts w:ascii="Book Antiqua" w:hAnsi="Book Antiqua"/>
          <w:sz w:val="24"/>
          <w:szCs w:val="24"/>
        </w:rPr>
        <w:fldChar w:fldCharType="begin" w:fldLock="1"/>
      </w:r>
      <w:r w:rsidR="00713A64" w:rsidRPr="006B0C21">
        <w:rPr>
          <w:rFonts w:ascii="Book Antiqua" w:hAnsi="Book Antiqua"/>
          <w:sz w:val="24"/>
          <w:szCs w:val="24"/>
        </w:rPr>
        <w:instrText>ADDIN CSL_CITATION {"citationItems":[{"id":"ITEM-1","itemData":{"DOI":"10.20452/pamw.630","ISSN":"00323772","PMID":"19514642","abstract":"Introduction Biliary and pancreatic diseases, especially choledocholithiasis and neoplastic diseases, are commonly seen in elderly patients. Endoscopic retrograde cholangiopancreatography (ERCP) is a diagnostic and therapeutic procedure performed more and more frequently also in elderly patients. objectives The aim of this study was to evaluate the utility and safety of ERCP in patients &gt;80 years of age. patients and methods We retrospectively analyzed 821 ERCP performed in the Department of Gastrointestinal Diseases, Medical University of Łódź in the years 2005-2007. We compared age, sex, clinical symptoms, laboratory findings, ERCP efficacy and safety in patients &gt;80 years of age versus younger subjects. results ERCP was performed in 96 patients &gt;80 years of age (11.7%). ERCP-related complications occured in 48 (5.8%) patients, including 44 (6.1%) younger and 4 (4.2%) older subjects (p &gt;0.05). Acute pancreatitis was observed in 34 patients (32 [4.4%] younger and 2 [2.1%] older patients; p &gt;0.05). In 12 patients gastrointestinal hemorrhage and in 2 patients perforation were diagnosed. There was no statistical difference between the number of complications in the 2 compared patient groups. A mean length of hospital stay was similar in both groups, 4.8 days in the younger, and 5.7 days in older patients (p &gt;0.05). conclusions ERCP is a safe and effective method for diagnosis and treatment of both elderly and younger patients. Copyright by Medycyna Praktyczna, Kraków 2009.","author":[{"dropping-particle":"","family":"Talar-Wojnarowska","given":"Renata","non-dropping-particle":"","parse-names":false,"suffix":""},{"dropping-particle":"","family":"Szulc","given":"Grazyna","non-dropping-particle":"","parse-names":false,"suffix":""},{"dropping-particle":"","family":"Woźniak","given":"Beata","non-dropping-particle":"","parse-names":false,"suffix":""},{"dropping-particle":"","family":"Pazurek","given":"Marek","non-dropping-particle":"","parse-names":false,"suffix":""},{"dropping-particle":"","family":"Małecka-Panas","given":"Ewa","non-dropping-particle":"","parse-names":false,"suffix":""}],"container-title":"Polskie Archiwum Medycyny Wewnetrznej","id":"ITEM-1","issue":"3","issued":{"date-parts":[["2009"]]},"page":"136-140","title":"Assessment of frequency and safety of endoscopic retrograde cholangiopancreatography in patients over 80 years of age","type":"article-journal","volume":"119"},"uris":["http://www.mendeley.com/documents/?uuid=1b6a0e59-8563-4a98-a22d-ad1636060842"]},{"id":"ITEM-2","itemData":{"DOI":"10.1016/j.gie.2006.05.010","ISSN":"00165107","PMID":"17140895","abstract":"Background: Biliary disease frequently occurs in the elderly, but there are limited data on ERCP in the elderly population. Patients: A total of 502 patients (group A, 97; group B, 405) underwent 724 ERCP procedures. Main Outcome Measurements: All consecutive ERCPs performed between 2000 and 2002 at a single center were retrospectively reviewed for patients ≥80 years old (group A) and patients &lt;80 years old (group B) to evaluate endoscopic findings, interventions, complications, and mortality related to complications. Results: The number of important chronic concomitant diseases was significantly higher in the older group (average per patient 1.08 vs 0.57, P &lt; .001). Successful cannulation was achieved in 88% in group A versus 86% in group B, and endoscopic sphincterotomy was performed in 63.2% versus 51.4%. Periampullary diverticulum was found significantly more often in patients of group A (39.2%) than of group B (14.1%, P &lt; .001). Stents were used in 24.1% of ERCP procedures in group A and in 22.9% in group B. There was no significant difference in the complication rate between group A (6.8%) and group B (5.1%) and in early mortality (1.03% vs 0.25%), respectively. Conclusion: ERCP is a safe and effective intervention in the elderly because complication and early mortality rates are comparable to those of younger patients, although comorbidity is significantly higher. © 2006 American Society for Gastrointestinal Endoscopy.","author":[{"dropping-particle":"","family":"Fritz","given":"Eva","non-dropping-particle":"","parse-names":false,"suffix":""},{"dropping-particle":"","family":"Kirchgatterer","given":"Andreas","non-dropping-particle":"","parse-names":false,"suffix":""},{"dropping-particle":"","family":"Hubner","given":"Dietmar","non-dropping-particle":"","parse-names":false,"suffix":""},{"dropping-particle":"","family":"Aschl","given":"Gerhard","non-dropping-particle":"","parse-names":false,"suffix":""},{"dropping-particle":"","family":"Hinterreiter","given":"Maximilian","non-dropping-particle":"","parse-names":false,"suffix":""},{"dropping-particle":"","family":"Stadler","given":"Bernhard","non-dropping-particle":"","parse-names":false,"suffix":""},{"dropping-particle":"","family":"Knoflach","given":"Peter","non-dropping-particle":"","parse-names":false,"suffix":""}],"container-title":"Gastrointestinal Endoscopy","id":"ITEM-2","issue":"6","issued":{"date-parts":[["2006"]]},"page":"899-905","title":"ERCP is safe and effective in patients 80 years of age and older compared with younger patients","type":"article-journal","volume":"64"},"uris":["http://www.mendeley.com/documents/?uuid=9c231578-3744-4c4d-8271-e467daa196ca"]},{"id":"ITEM-3","itemData":{"DOI":"10.1016/j.amjms.2015.10.003","ISBN":"0002-9270 (Print)\\r0002-9270 (Linking)","ISSN":"15382990","PMID":"10408661","abstract":"BACKGROUND: The use of gastrointestinal endoscopy in geriatric patients is rising as an increasing proportion of the population is reaching an advanced age. Most studies of endoscopic retrograde cholangiopancreatography (ERCP) in the elderly have been done in tertiary care or referral centers. METHODS: We analyzed the clinical and endoscopic data on all ERCPs in patients aged 65 years and older in a retrospective review of medical records of patients at the county hospitals in El Paso and Lubbock, Texas between 2004 and 2008. ERCP data in patients aged 75 years and older were compared with those who were 65-74 years. RESULTS: There were 125 ERCPs performed in 89 patients (74 procedures in 54 patients older than 75 years, 51 procedures in 35 patients younger than 75 years). The average age was 76.0 (range: 65-94), 62.4% were female and 79.2% were Hispanic. Indications were similar between groups: jaundice (66.9%), abnormal liver tests (87.2%), abdominal pain (79.2%), cholangitis (24.0%), pancreatitis (32.8%) and stent change (12.9%). Concomitant illnesses were also similar. Lower doses of midazolam and meperidine were used for moderate sedation in the older group (P &lt; 0.01). ERCP findings were similar in both groups: stones (40.8%), stricture (18.4%) and stent placement (30.4%). Complications occurred in 6.4%. CONCLUSIONS: This study of ERCP in elderly predominantly Hispanic patients found similar indications, efficacy and safety in patients 75 years and older compared with those 65-74 years old. Advanced age is not a contraindication to ERCP, but issues related to sedation and the use of antithrombotic therapy need to be addressed in the elderly.","author":[{"dropping-particle":"","family":"Garcia","given":"Cesar J.","non-dropping-particle":"","parse-names":false,"suffix":""},{"dropping-particle":"","family":"Lopez","given":"Oscar A.","non-dropping-particle":"","parse-names":false,"suffix":""},{"dropping-particle":"","family":"Islam","given":"Sameer","non-dropping-particle":"","parse-names":false,"suffix":""},{"dropping-particle":"","family":"Othman","given":"Mohamed","non-dropping-particle":"","parse-names":false,"suffix":""},{"dropping-particle":"","family":"Jia","given":"Yi","non-dropping-particle":"","parse-names":false,"suffix":""},{"dropping-particle":"","family":"Mulla","given":"Zuber D.","non-dropping-particle":"","parse-names":false,"suffix":""},{"dropping-particle":"","family":"Zuckerman","given":"Marc J.","non-dropping-particle":"","parse-names":false,"suffix":""}],"container-title":"American Journal of the Medical Sciences","id":"ITEM-3","issue":"1","issued":{"date-parts":[["2016","1"]]},"page":"84-90","title":"Endoscopic Retrograde Cholangiopancreatography in the Elderly","type":"article-journal","volume":"351"},"uris":["http://www.mendeley.com/documents/?uuid=8b3d4380-6640-4fe1-95e0-6629534eb753"]},{"id":"ITEM-4","itemData":{"DOI":"10.1097/MCG.0b013e3181b3830f","ISSN":"1539-2031","PMID":"19730113","author":[{"dropping-particle":"","family":"Grönroos","given":"Juha M.","non-dropping-particle":"","parse-names":false,"suffix":""},{"dropping-particle":"","family":"Salminen","given":"Paulina","non-dropping-particle":"","parse-names":false,"suffix":""},{"dropping-particle":"","family":"Laine","given":"Simo","non-dropping-particle":"","parse-names":false,"suffix":""},{"dropping-particle":"","family":"Gullichsen","given":"Risto","non-dropping-particle":"","parse-names":false,"suffix":""}],"container-title":"Journal of clinical gastroenterology","id":"ITEM-4","issue":"3","issued":{"date-parts":[["2010","3"]]},"page":"227-8","title":"Feasibility of ERCP procedures in patients 90 years of age and older.","type":"article-journal","volume":"44"},"uris":["http://www.mendeley.com/documents/?uuid=173422e0-b4d0-38ef-9875-bf9ae8fc9137"]}],"mendeley":{"formattedCitation":"&lt;sup&gt;[15–18]&lt;/sup&gt;","plainTextFormattedCitation":"[15–18]","previouslyFormattedCitation":"&lt;sup&gt;[15–18]&lt;/sup&gt;"},"properties":{"noteIndex":0},"schema":"https://github.com/citation-style-language/schema/raw/master/csl-citation.json"}</w:instrText>
      </w:r>
      <w:r w:rsidR="00713A64" w:rsidRPr="006B0C21">
        <w:rPr>
          <w:rFonts w:ascii="Book Antiqua" w:hAnsi="Book Antiqua"/>
          <w:sz w:val="24"/>
          <w:szCs w:val="24"/>
        </w:rPr>
        <w:fldChar w:fldCharType="separate"/>
      </w:r>
      <w:r w:rsidR="00713A64" w:rsidRPr="006B0C21">
        <w:rPr>
          <w:rFonts w:ascii="Book Antiqua" w:hAnsi="Book Antiqua"/>
          <w:sz w:val="24"/>
          <w:szCs w:val="24"/>
          <w:vertAlign w:val="superscript"/>
        </w:rPr>
        <w:t>[15–18]</w:t>
      </w:r>
      <w:r w:rsidR="00713A64" w:rsidRPr="006B0C21">
        <w:rPr>
          <w:rFonts w:ascii="Book Antiqua" w:hAnsi="Book Antiqua"/>
          <w:sz w:val="24"/>
          <w:szCs w:val="24"/>
        </w:rPr>
        <w:fldChar w:fldCharType="end"/>
      </w:r>
      <w:r w:rsidR="00713A64" w:rsidRPr="006B0C21">
        <w:rPr>
          <w:rFonts w:ascii="Book Antiqua" w:hAnsi="Book Antiqua"/>
          <w:sz w:val="24"/>
          <w:szCs w:val="24"/>
        </w:rPr>
        <w:t xml:space="preserve">. In the current study, there was no difference in the procedural success rate </w:t>
      </w:r>
      <w:r>
        <w:rPr>
          <w:rFonts w:ascii="Book Antiqua" w:hAnsi="Book Antiqua"/>
          <w:sz w:val="24"/>
          <w:szCs w:val="24"/>
        </w:rPr>
        <w:t>or</w:t>
      </w:r>
      <w:r w:rsidR="00713A64" w:rsidRPr="006B0C21">
        <w:rPr>
          <w:rFonts w:ascii="Book Antiqua" w:hAnsi="Book Antiqua"/>
          <w:sz w:val="24"/>
          <w:szCs w:val="24"/>
        </w:rPr>
        <w:t xml:space="preserve"> the procedure time between the two groups. Although periampullary diverticulum was more common in </w:t>
      </w:r>
      <w:r>
        <w:rPr>
          <w:rFonts w:ascii="Book Antiqua" w:hAnsi="Book Antiqua"/>
          <w:sz w:val="24"/>
          <w:szCs w:val="24"/>
        </w:rPr>
        <w:t xml:space="preserve">the </w:t>
      </w:r>
      <w:r w:rsidR="00713A64" w:rsidRPr="006B0C21">
        <w:rPr>
          <w:rFonts w:ascii="Book Antiqua" w:hAnsi="Book Antiqua"/>
          <w:sz w:val="24"/>
          <w:szCs w:val="24"/>
        </w:rPr>
        <w:t xml:space="preserve">elderly, difficult cannulation grading according to the cannulation time, </w:t>
      </w:r>
      <w:r>
        <w:rPr>
          <w:rFonts w:ascii="Book Antiqua" w:hAnsi="Book Antiqua"/>
          <w:sz w:val="24"/>
          <w:szCs w:val="24"/>
        </w:rPr>
        <w:t>did</w:t>
      </w:r>
      <w:r w:rsidR="00713A64" w:rsidRPr="006B0C21">
        <w:rPr>
          <w:rFonts w:ascii="Book Antiqua" w:hAnsi="Book Antiqua"/>
          <w:sz w:val="24"/>
          <w:szCs w:val="24"/>
        </w:rPr>
        <w:t xml:space="preserve"> not </w:t>
      </w:r>
      <w:r>
        <w:rPr>
          <w:rFonts w:ascii="Book Antiqua" w:hAnsi="Book Antiqua"/>
          <w:sz w:val="24"/>
          <w:szCs w:val="24"/>
        </w:rPr>
        <w:t>show</w:t>
      </w:r>
      <w:r w:rsidR="00713A64" w:rsidRPr="006B0C21">
        <w:rPr>
          <w:rFonts w:ascii="Book Antiqua" w:hAnsi="Book Antiqua"/>
          <w:sz w:val="24"/>
          <w:szCs w:val="24"/>
        </w:rPr>
        <w:t xml:space="preserve"> any differences related to age. On the other hand, </w:t>
      </w:r>
      <w:r>
        <w:rPr>
          <w:rFonts w:ascii="Book Antiqua" w:hAnsi="Book Antiqua"/>
          <w:sz w:val="24"/>
          <w:szCs w:val="24"/>
        </w:rPr>
        <w:t xml:space="preserve">the causes of </w:t>
      </w:r>
      <w:r w:rsidR="00713A64" w:rsidRPr="006B0C21">
        <w:rPr>
          <w:rFonts w:ascii="Book Antiqua" w:hAnsi="Book Antiqua"/>
          <w:sz w:val="24"/>
          <w:szCs w:val="24"/>
        </w:rPr>
        <w:t xml:space="preserve">difficult cannulation were distributed </w:t>
      </w:r>
      <w:r w:rsidRPr="006B0C21">
        <w:rPr>
          <w:rFonts w:ascii="Book Antiqua" w:hAnsi="Book Antiqua"/>
          <w:sz w:val="24"/>
          <w:szCs w:val="24"/>
        </w:rPr>
        <w:t xml:space="preserve">differently </w:t>
      </w:r>
      <w:r w:rsidR="00713A64" w:rsidRPr="006B0C21">
        <w:rPr>
          <w:rFonts w:ascii="Book Antiqua" w:hAnsi="Book Antiqua"/>
          <w:sz w:val="24"/>
          <w:szCs w:val="24"/>
        </w:rPr>
        <w:t xml:space="preserve">between the two groups. </w:t>
      </w:r>
      <w:r>
        <w:rPr>
          <w:rFonts w:ascii="Book Antiqua" w:hAnsi="Book Antiqua"/>
          <w:sz w:val="24"/>
          <w:szCs w:val="24"/>
        </w:rPr>
        <w:t>As</w:t>
      </w:r>
      <w:r w:rsidR="00713A64" w:rsidRPr="006B0C21">
        <w:rPr>
          <w:rFonts w:ascii="Book Antiqua" w:hAnsi="Book Antiqua"/>
          <w:sz w:val="24"/>
          <w:szCs w:val="24"/>
        </w:rPr>
        <w:t xml:space="preserve"> periampullary diverticula sharply increase with age</w:t>
      </w:r>
      <w:r w:rsidR="00713A64" w:rsidRPr="006B0C21">
        <w:rPr>
          <w:rFonts w:ascii="Book Antiqua" w:hAnsi="Book Antiqua"/>
          <w:sz w:val="24"/>
          <w:szCs w:val="24"/>
        </w:rPr>
        <w:fldChar w:fldCharType="begin" w:fldLock="1"/>
      </w:r>
      <w:r w:rsidR="00713A64" w:rsidRPr="006B0C21">
        <w:rPr>
          <w:rFonts w:ascii="Book Antiqua" w:hAnsi="Book Antiqua"/>
          <w:sz w:val="24"/>
          <w:szCs w:val="24"/>
        </w:rPr>
        <w:instrText>ADDIN CSL_CITATION {"citationItems":[{"id":"ITEM-1","itemData":{"DOI":"10.1016/j.gie.2008.03.1092","ISBN":"0016-5107","ISSN":"00165107","PMID":"18635174","abstract":"Background: Periampullary diverticula (PAD) are found in 9% to 32% of patients who undergo an ERCP. Published studies confer conflicting results regarding the true impact of PAD on the technical success and complications of ERCP. Objective: The aim of the study was to investigate and compare success rate, difficulty at cannulation, and complications between patients with and without PAD, as well as to identify independent factors that influence the difficulty at cannulation. Design: A prospective study. Setting: Tzaneio General Hospital. Patients: A total of 601 consecutive patients who underwent an ERCP were divided into 2 groups according to the presence (group A, 117 patients) or absence (group B, 484 patients) of PAD. Patients with undetectable papilla were excluded from the study cohort. The incidence of undetectable papilla was 8.3% in patients with duodenal diverticula and 0.9% in patients without duodenal diverticula (P = .000). Results: Successful cannulation was achieved in up to 94.9% and 94.8% in groups A and B, respectively. The effort and difficulty at attempting this goal was different between the groups (43.5% vs 59.1%, P = .003), because patients without PAD were subjected to more vigorous attempts or even the pre-cut technique to attain a cholangiogram. There was no significant difference between the groups in the complication rate either in total or in any particular patient. Multivariate logistic regression analysis showed 3 of the variables, namely choledocholithiasis, abnormal papilla, and the presence of diverticula, remained significant, and all of them presented with odds ratios indicating an easier cannulation attempt. Limitation: A nonrandomized study. Conclusions: The finding of a periampullary diverticulum during an ERCP should not be considered an obstacle to a successful cannulation and, furthermore, may be an indicator of an easier cannulation attempt, provided that the papilla can be found with confidence. Concerns about increased complications are not substantiated in this study. © 2008 American Society for Gastrointestinal Endoscopy.","author":[{"dropping-particle":"","family":"Panteris","given":"Vasilios","non-dropping-particle":"","parse-names":false,"suffix":""},{"dropping-particle":"","family":"Vezakis","given":"Antonios","non-dropping-particle":"","parse-names":false,"suffix":""},{"dropping-particle":"","family":"Filippou","given":"Georgios","non-dropping-particle":"","parse-names":false,"suffix":""},{"dropping-particle":"","family":"Filippou","given":"Demetrios","non-dropping-particle":"","parse-names":false,"suffix":""},{"dropping-particle":"","family":"Karamanolis","given":"Demetrios","non-dropping-particle":"","parse-names":false,"suffix":""},{"dropping-particle":"","family":"Rizos","given":"Spiridon","non-dropping-particle":"","parse-names":false,"suffix":""}],"container-title":"Gastrointestinal Endoscopy","id":"ITEM-1","issue":"5","issued":{"date-parts":[["2008"]]},"page":"903-910","title":"Influence of juxtapapillary diverticula on the success or difficulty of cannulation and complication rate","type":"article-journal","volume":"68"},"uris":["http://www.mendeley.com/documents/?uuid=39a43e81-6ed1-4e44-a431-3ef7b42e5d3e"]},{"id":"ITEM-2","itemData":{"DOI":"10.1136/gut.41.4.433","ISBN":"0017-5749","ISSN":"00175749","PMID":"9391238","abstract":"Elderly people commonly present with biliary tract disease. Gallstone disease is an important cause of recurrent abdominal symptoms, and we advocate an aggressive approach in stable patients not at risk to improve the quality of their lives. Choledocholithiasis is optimally treated by ERCP (98% success) even in patients who are at great risk. Endoscopic intervention often obviates the need for emergency biliary tract surgery in the elderly, is better tolerated, and is associated with significantly less risk and a lower mortality. In contrast, emergency surgery in the elderly is poorly tolerated. Even cholecystitis and biliary pancreatitis (not discussed here) are amenable to endoscopic treatment. Malignant biliary obstruction should not and cannot be treated as aggressively as benign disorders affecting the biliary tree as the long term outlook is poor. Endoscopic palliation usually suffices in maximising treatment and improving the patient's quality of life with few associated complications or postprocedural machinations (drainage bags or tubes). The afflicted population in general and the elderly in particular benefit from minimally invasive endoscopic decompression techniques.","author":[{"dropping-particle":"","family":"Siegel","given":"Jerome H.","non-dropping-particle":"","parse-names":false,"suffix":""},{"dropping-particle":"","family":"Kasmin","given":"Franklin E.","non-dropping-particle":"","parse-names":false,"suffix":""}],"container-title":"Gut","id":"ITEM-2","issue":"4","issued":{"date-parts":[["1997"]]},"page":"433-435","title":"Biliary tract diseases in the elderly: Management and outcomes","type":"article-journal","volume":"41"},"uris":["http://www.mendeley.com/documents/?uuid=dba1da05-cc77-40ea-8a0c-260baa80e41c"]}],"mendeley":{"formattedCitation":"&lt;sup&gt;[13,19]&lt;/sup&gt;","plainTextFormattedCitation":"[13,19]","previouslyFormattedCitation":"&lt;sup&gt;[13,19]&lt;/sup&gt;"},"properties":{"noteIndex":0},"schema":"https://github.com/citation-style-language/schema/raw/master/csl-citation.json"}</w:instrText>
      </w:r>
      <w:r w:rsidR="00713A64" w:rsidRPr="006B0C21">
        <w:rPr>
          <w:rFonts w:ascii="Book Antiqua" w:hAnsi="Book Antiqua"/>
          <w:sz w:val="24"/>
          <w:szCs w:val="24"/>
        </w:rPr>
        <w:fldChar w:fldCharType="separate"/>
      </w:r>
      <w:r w:rsidR="00713A64" w:rsidRPr="006B0C21">
        <w:rPr>
          <w:rFonts w:ascii="Book Antiqua" w:hAnsi="Book Antiqua"/>
          <w:sz w:val="24"/>
          <w:szCs w:val="24"/>
          <w:vertAlign w:val="superscript"/>
        </w:rPr>
        <w:t>[13,19]</w:t>
      </w:r>
      <w:r w:rsidR="00713A64" w:rsidRPr="006B0C21">
        <w:rPr>
          <w:rFonts w:ascii="Book Antiqua" w:hAnsi="Book Antiqua"/>
          <w:sz w:val="24"/>
          <w:szCs w:val="24"/>
        </w:rPr>
        <w:fldChar w:fldCharType="end"/>
      </w:r>
      <w:r w:rsidR="00713A64" w:rsidRPr="006B0C21">
        <w:rPr>
          <w:rFonts w:ascii="Book Antiqua" w:hAnsi="Book Antiqua"/>
          <w:sz w:val="24"/>
          <w:szCs w:val="24"/>
        </w:rPr>
        <w:t xml:space="preserve">, </w:t>
      </w:r>
      <w:r w:rsidR="004D1F12">
        <w:rPr>
          <w:rFonts w:ascii="Book Antiqua" w:hAnsi="Book Antiqua"/>
          <w:sz w:val="24"/>
          <w:szCs w:val="24"/>
        </w:rPr>
        <w:t>this</w:t>
      </w:r>
      <w:r w:rsidR="00713A64" w:rsidRPr="006B0C21">
        <w:rPr>
          <w:rFonts w:ascii="Book Antiqua" w:hAnsi="Book Antiqua"/>
          <w:sz w:val="24"/>
          <w:szCs w:val="24"/>
        </w:rPr>
        <w:t xml:space="preserve"> was the leading cause of difficult cannulation in the elderly group. </w:t>
      </w:r>
      <w:r w:rsidR="004D1F12">
        <w:rPr>
          <w:rFonts w:ascii="Book Antiqua" w:hAnsi="Book Antiqua"/>
          <w:sz w:val="24"/>
          <w:szCs w:val="24"/>
        </w:rPr>
        <w:t>In addition</w:t>
      </w:r>
      <w:r w:rsidR="00713A64" w:rsidRPr="006B0C21">
        <w:rPr>
          <w:rFonts w:ascii="Book Antiqua" w:hAnsi="Book Antiqua"/>
          <w:sz w:val="24"/>
          <w:szCs w:val="24"/>
        </w:rPr>
        <w:t xml:space="preserve">, the higher proportion of tumors in elderly patients, especially </w:t>
      </w:r>
      <w:r w:rsidR="00713A64" w:rsidRPr="006B0C21">
        <w:rPr>
          <w:rFonts w:ascii="Book Antiqua" w:hAnsi="Book Antiqua"/>
          <w:sz w:val="24"/>
          <w:szCs w:val="24"/>
          <w:lang w:val="de-DE"/>
        </w:rPr>
        <w:t xml:space="preserve">ampullary carcinoma, </w:t>
      </w:r>
      <w:r w:rsidR="004D1F12">
        <w:rPr>
          <w:rFonts w:ascii="Book Antiqua" w:hAnsi="Book Antiqua"/>
          <w:sz w:val="24"/>
          <w:szCs w:val="24"/>
          <w:lang w:val="de-DE"/>
        </w:rPr>
        <w:t>resulted in</w:t>
      </w:r>
      <w:r w:rsidR="00713A64" w:rsidRPr="006B0C21">
        <w:rPr>
          <w:rFonts w:ascii="Book Antiqua" w:hAnsi="Book Antiqua"/>
          <w:sz w:val="24"/>
          <w:szCs w:val="24"/>
          <w:lang w:val="de-DE"/>
        </w:rPr>
        <w:t xml:space="preserve"> tumor growth </w:t>
      </w:r>
      <w:r w:rsidR="004D1F12">
        <w:rPr>
          <w:rFonts w:ascii="Book Antiqua" w:hAnsi="Book Antiqua"/>
          <w:sz w:val="24"/>
          <w:szCs w:val="24"/>
          <w:lang w:val="de-DE"/>
        </w:rPr>
        <w:t xml:space="preserve">being the </w:t>
      </w:r>
      <w:r w:rsidR="00713A64" w:rsidRPr="006B0C21">
        <w:rPr>
          <w:rFonts w:ascii="Book Antiqua" w:hAnsi="Book Antiqua"/>
          <w:sz w:val="24"/>
          <w:szCs w:val="24"/>
          <w:lang w:val="de-DE"/>
        </w:rPr>
        <w:t>mo</w:t>
      </w:r>
      <w:r w:rsidR="004D1F12">
        <w:rPr>
          <w:rFonts w:ascii="Book Antiqua" w:hAnsi="Book Antiqua"/>
          <w:sz w:val="24"/>
          <w:szCs w:val="24"/>
          <w:lang w:val="de-DE"/>
        </w:rPr>
        <w:t>st</w:t>
      </w:r>
      <w:r w:rsidR="00713A64" w:rsidRPr="006B0C21">
        <w:rPr>
          <w:rFonts w:ascii="Book Antiqua" w:hAnsi="Book Antiqua"/>
          <w:sz w:val="24"/>
          <w:szCs w:val="24"/>
          <w:lang w:val="de-DE"/>
        </w:rPr>
        <w:t xml:space="preserve"> common cause </w:t>
      </w:r>
      <w:r w:rsidR="004D1F12">
        <w:rPr>
          <w:rFonts w:ascii="Book Antiqua" w:hAnsi="Book Antiqua"/>
          <w:sz w:val="24"/>
          <w:szCs w:val="24"/>
          <w:lang w:val="de-DE"/>
        </w:rPr>
        <w:t xml:space="preserve">of </w:t>
      </w:r>
      <w:r w:rsidR="00713A64" w:rsidRPr="006B0C21">
        <w:rPr>
          <w:rFonts w:ascii="Book Antiqua" w:hAnsi="Book Antiqua"/>
          <w:sz w:val="24"/>
          <w:szCs w:val="24"/>
          <w:lang w:val="de-DE"/>
        </w:rPr>
        <w:t>difficult cannulation compar</w:t>
      </w:r>
      <w:r w:rsidR="004D1F12">
        <w:rPr>
          <w:rFonts w:ascii="Book Antiqua" w:hAnsi="Book Antiqua"/>
          <w:sz w:val="24"/>
          <w:szCs w:val="24"/>
          <w:lang w:val="de-DE"/>
        </w:rPr>
        <w:t>ed</w:t>
      </w:r>
      <w:r w:rsidR="00713A64" w:rsidRPr="006B0C21">
        <w:rPr>
          <w:rFonts w:ascii="Book Antiqua" w:hAnsi="Book Antiqua"/>
          <w:sz w:val="24"/>
          <w:szCs w:val="24"/>
          <w:lang w:val="de-DE"/>
        </w:rPr>
        <w:t xml:space="preserve"> with the younger group. </w:t>
      </w:r>
      <w:r w:rsidR="004D1F12">
        <w:rPr>
          <w:rFonts w:ascii="Book Antiqua" w:hAnsi="Book Antiqua"/>
          <w:sz w:val="24"/>
          <w:szCs w:val="24"/>
          <w:lang w:val="de-DE"/>
        </w:rPr>
        <w:t>A l</w:t>
      </w:r>
      <w:r w:rsidR="00713A64" w:rsidRPr="006B0C21">
        <w:rPr>
          <w:rFonts w:ascii="Book Antiqua" w:hAnsi="Book Antiqua"/>
          <w:sz w:val="24"/>
          <w:szCs w:val="24"/>
          <w:lang w:val="de-DE"/>
        </w:rPr>
        <w:t xml:space="preserve">ower incidence of benign CBD distal strictures and stone impaction in the elderly might be due to the age-related increase </w:t>
      </w:r>
      <w:r w:rsidR="004D1F12">
        <w:rPr>
          <w:rFonts w:ascii="Book Antiqua" w:hAnsi="Book Antiqua"/>
          <w:sz w:val="24"/>
          <w:szCs w:val="24"/>
          <w:lang w:val="de-DE"/>
        </w:rPr>
        <w:t>in</w:t>
      </w:r>
      <w:r w:rsidR="00713A64" w:rsidRPr="006B0C21">
        <w:rPr>
          <w:rFonts w:ascii="Book Antiqua" w:hAnsi="Book Antiqua"/>
          <w:sz w:val="24"/>
          <w:szCs w:val="24"/>
          <w:lang w:val="de-DE"/>
        </w:rPr>
        <w:t xml:space="preserve"> CBD diameter, which plays </w:t>
      </w:r>
      <w:r w:rsidR="004D1F12">
        <w:rPr>
          <w:rFonts w:ascii="Book Antiqua" w:hAnsi="Book Antiqua"/>
          <w:sz w:val="24"/>
          <w:szCs w:val="24"/>
          <w:lang w:val="de-DE"/>
        </w:rPr>
        <w:t>a</w:t>
      </w:r>
      <w:r w:rsidR="00713A64" w:rsidRPr="006B0C21">
        <w:rPr>
          <w:rFonts w:ascii="Book Antiqua" w:hAnsi="Book Antiqua"/>
          <w:sz w:val="24"/>
          <w:szCs w:val="24"/>
          <w:lang w:val="de-DE"/>
        </w:rPr>
        <w:t xml:space="preserve"> </w:t>
      </w:r>
      <w:r w:rsidR="004D1F12">
        <w:rPr>
          <w:rFonts w:ascii="Book Antiqua" w:hAnsi="Book Antiqua"/>
          <w:sz w:val="24"/>
          <w:szCs w:val="24"/>
          <w:lang w:val="de-DE"/>
        </w:rPr>
        <w:t xml:space="preserve">protective </w:t>
      </w:r>
      <w:r w:rsidR="00713A64" w:rsidRPr="006B0C21">
        <w:rPr>
          <w:rFonts w:ascii="Book Antiqua" w:hAnsi="Book Antiqua"/>
          <w:sz w:val="24"/>
          <w:szCs w:val="24"/>
          <w:lang w:val="de-DE"/>
        </w:rPr>
        <w:t xml:space="preserve">role </w:t>
      </w:r>
      <w:r w:rsidR="005244E7">
        <w:rPr>
          <w:rFonts w:ascii="Book Antiqua" w:hAnsi="Book Antiqua"/>
          <w:sz w:val="24"/>
          <w:szCs w:val="24"/>
          <w:lang w:val="de-DE"/>
        </w:rPr>
        <w:t>o</w:t>
      </w:r>
      <w:r w:rsidR="004D1F12">
        <w:rPr>
          <w:rFonts w:ascii="Book Antiqua" w:hAnsi="Book Antiqua"/>
          <w:sz w:val="24"/>
          <w:szCs w:val="24"/>
          <w:lang w:val="de-DE"/>
        </w:rPr>
        <w:t>n</w:t>
      </w:r>
      <w:r w:rsidR="00713A64" w:rsidRPr="006B0C21">
        <w:rPr>
          <w:rFonts w:ascii="Book Antiqua" w:hAnsi="Book Antiqua"/>
          <w:sz w:val="24"/>
          <w:szCs w:val="24"/>
          <w:lang w:val="de-DE"/>
        </w:rPr>
        <w:t xml:space="preserve"> impaction in some elderly</w:t>
      </w:r>
      <w:r w:rsidR="004D1F12">
        <w:rPr>
          <w:rFonts w:ascii="Book Antiqua" w:hAnsi="Book Antiqua"/>
          <w:sz w:val="24"/>
          <w:szCs w:val="24"/>
          <w:lang w:val="de-DE"/>
        </w:rPr>
        <w:t xml:space="preserve"> patients</w:t>
      </w:r>
      <w:r w:rsidR="00713A64" w:rsidRPr="006B0C21">
        <w:rPr>
          <w:rFonts w:ascii="Book Antiqua" w:hAnsi="Book Antiqua"/>
          <w:sz w:val="24"/>
          <w:szCs w:val="24"/>
          <w:lang w:val="de-DE"/>
        </w:rPr>
        <w:t xml:space="preserve">. </w:t>
      </w:r>
      <w:r w:rsidR="00713A64" w:rsidRPr="006B0C21">
        <w:rPr>
          <w:rFonts w:ascii="Book Antiqua" w:hAnsi="Book Antiqua"/>
          <w:sz w:val="24"/>
          <w:szCs w:val="24"/>
        </w:rPr>
        <w:t>Successful cannulation in difficult cases was achieved in both groups at a similar rate with no significant difference. Different cannulation techniques were effective in achieving successful biliary access in both groups.</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Several studies </w:t>
      </w:r>
      <w:r w:rsidR="004D1F12">
        <w:rPr>
          <w:rFonts w:ascii="Book Antiqua" w:hAnsi="Book Antiqua"/>
          <w:sz w:val="24"/>
          <w:szCs w:val="24"/>
        </w:rPr>
        <w:t xml:space="preserve">have </w:t>
      </w:r>
      <w:r w:rsidRPr="006B0C21">
        <w:rPr>
          <w:rFonts w:ascii="Book Antiqua" w:hAnsi="Book Antiqua"/>
          <w:sz w:val="24"/>
          <w:szCs w:val="24"/>
        </w:rPr>
        <w:t xml:space="preserve">reported the safety of ERCP in elderly patients, and </w:t>
      </w:r>
      <w:r w:rsidR="004D1F12">
        <w:rPr>
          <w:rFonts w:ascii="Book Antiqua" w:hAnsi="Book Antiqua"/>
          <w:sz w:val="24"/>
          <w:szCs w:val="24"/>
        </w:rPr>
        <w:t>have</w:t>
      </w:r>
      <w:r w:rsidRPr="006B0C21">
        <w:rPr>
          <w:rFonts w:ascii="Book Antiqua" w:hAnsi="Book Antiqua"/>
          <w:sz w:val="24"/>
          <w:szCs w:val="24"/>
        </w:rPr>
        <w:t xml:space="preserve"> found no significant difference in the incidence of ERCP-related adverse events</w:t>
      </w:r>
      <w:r w:rsidRPr="006B0C21">
        <w:rPr>
          <w:rFonts w:ascii="Book Antiqua" w:hAnsi="Book Antiqua"/>
          <w:sz w:val="24"/>
          <w:szCs w:val="24"/>
        </w:rPr>
        <w:fldChar w:fldCharType="begin" w:fldLock="1"/>
      </w:r>
      <w:r w:rsidRPr="006B0C21">
        <w:rPr>
          <w:rFonts w:ascii="Book Antiqua" w:hAnsi="Book Antiqua"/>
          <w:sz w:val="24"/>
          <w:szCs w:val="24"/>
        </w:rPr>
        <w:instrText>ADDIN CSL_CITATION {"citationItems":[{"id":"ITEM-1","itemData":{"DOI":"10.20452/pamw.630","ISSN":"00323772","PMID":"19514642","abstract":"Introduction Biliary and pancreatic diseases, especially choledocholithiasis and neoplastic diseases, are commonly seen in elderly patients. Endoscopic retrograde cholangiopancreatography (ERCP) is a diagnostic and therapeutic procedure performed more and more frequently also in elderly patients. objectives The aim of this study was to evaluate the utility and safety of ERCP in patients &gt;80 years of age. patients and methods We retrospectively analyzed 821 ERCP performed in the Department of Gastrointestinal Diseases, Medical University of Łódź in the years 2005-2007. We compared age, sex, clinical symptoms, laboratory findings, ERCP efficacy and safety in patients &gt;80 years of age versus younger subjects. results ERCP was performed in 96 patients &gt;80 years of age (11.7%). ERCP-related complications occured in 48 (5.8%) patients, including 44 (6.1%) younger and 4 (4.2%) older subjects (p &gt;0.05). Acute pancreatitis was observed in 34 patients (32 [4.4%] younger and 2 [2.1%] older patients; p &gt;0.05). In 12 patients gastrointestinal hemorrhage and in 2 patients perforation were diagnosed. There was no statistical difference between the number of complications in the 2 compared patient groups. A mean length of hospital stay was similar in both groups, 4.8 days in the younger, and 5.7 days in older patients (p &gt;0.05). conclusions ERCP is a safe and effective method for diagnosis and treatment of both elderly and younger patients. Copyright by Medycyna Praktyczna, Kraków 2009.","author":[{"dropping-particle":"","family":"Talar-Wojnarowska","given":"Renata","non-dropping-particle":"","parse-names":false,"suffix":""},{"dropping-particle":"","family":"Szulc","given":"Grazyna","non-dropping-particle":"","parse-names":false,"suffix":""},{"dropping-particle":"","family":"Woźniak","given":"Beata","non-dropping-particle":"","parse-names":false,"suffix":""},{"dropping-particle":"","family":"Pazurek","given":"Marek","non-dropping-particle":"","parse-names":false,"suffix":""},{"dropping-particle":"","family":"Małecka-Panas","given":"Ewa","non-dropping-particle":"","parse-names":false,"suffix":""}],"container-title":"Polskie Archiwum Medycyny Wewnetrznej","id":"ITEM-1","issue":"3","issued":{"date-parts":[["2009"]]},"page":"136-140","title":"Assessment of frequency and safety of endoscopic retrograde cholangiopancreatography in patients over 80 years of age","type":"article-journal","volume":"119"},"uris":["http://www.mendeley.com/documents/?uuid=1b6a0e59-8563-4a98-a22d-ad1636060842"]},{"id":"ITEM-2","itemData":{"DOI":"10.1016/S0002-9270(00)02387-X","ISBN":"0002-9270 (Print)","ISSN":"00029270","PMID":"11232684","abstract":"OBJECTIVES: Diagnostic and therapeutic endoscopic retrograde cholangiopancreatography (ERCP/ES) can be associated with unforeseeable complications, especially when involving postprocedural pancreatitis. The aim of the study was to investigate risk factors for complications of ERCP/ES in a prospective multicentric study. METHODS: One hundred fifty variables were prospectively collected at time of ERCP/ES and before hospital discharge over 2 years, in consecutive patients undergoing the procedure in nine endoscopic units in the Lombardy region of Italy. More than 150 ERCPs were performed in each center per year by a single operator or by a team of no more than three endoscopists. RESULTS: Two thousand four hundred sixty-two procedures were performed; 18 patients were discharged because the papilla of Vater was not reached (duodenal obstruction, previous gastrectomy, etc.). Two thousand four hundred forty-four procedures were considered in 2103 patients. Overall complications occurred in 121 patients (4.95% of cases): Pancreatitis in 44 patients (1.8%), hemorrhage in 30 (1.13%), cholangitis in 14 (0.57%), perforation during ES in 14 (0.57%), and others in 14 (0.57%); deaths occurred in three patients (0.12%). In multivariate analysis, the following were significant risk factors: A) for pancreatitis, age (≤60 yr), use of precutting technique, and failed clearing of biliary stones, and b) for hemorrhage, precut sphincterotomy and obstruction of the orifice of the papilla of Vater. CONCLUSIONS: The results of our study further contribute to the assessment of risk factors for complications related to ERCP/ES. It is crucial to identify high risk patients to reduce complications of the procedures. © 2001 by Am. Coll. of Gastroenterology.","author":[{"dropping-particle":"","family":"Masci","given":"E.","non-dropping-particle":"","parse-names":false,"suffix":""},{"dropping-particle":"","family":"Toti","given":"G.","non-dropping-particle":"","parse-names":false,"suffix":""},{"dropping-particle":"","family":"Mariani","given":"A.","non-dropping-particle":"","parse-names":false,"suffix":""},{"dropping-particle":"","family":"Curioni","given":"S.","non-dropping-particle":"","parse-names":false,"suffix":""},{"dropping-particle":"","family":"Lomazzi","given":"A.","non-dropping-particle":"","parse-names":false,"suffix":""},{"dropping-particle":"","family":"Dinelli","given":"M.","non-dropping-particle":"","parse-names":false,"suffix":""},{"dropping-particle":"","family":"Minoli","given":"G.","non-dropping-particle":"","parse-names":false,"suffix":""},{"dropping-particle":"","family":"Crosta","given":"C.","non-dropping-particle":"","parse-names":false,"suffix":""},{"dropping-particle":"","family":"Comin","given":"U.","non-dropping-particle":"","parse-names":false,"suffix":""},{"dropping-particle":"","family":"Fertitta","given":"A.","non-dropping-particle":"","parse-names":false,"suffix":""},{"dropping-particle":"","family":"Prada","given":"A.","non-dropping-particle":"","parse-names":false,"suffix":""},{"dropping-particle":"","family":"Rubis Passoni","given":"G.","non-dropping-particle":"","parse-names":false,"suffix":""},{"dropping-particle":"","family":"Testoni","given":"P. A.","non-dropping-particle":"","parse-names":false,"suffix":""}],"container-title":"American Journal of Gastroenterology","id":"ITEM-2","issue":"2","issued":{"date-parts":[["2001"]]},"page":"417-423","title":"Complications of diagnostic and therapeutic ERCP: A prospective multicenter study","type":"article-journal","volume":"96"},"uris":["http://www.mendeley.com/documents/?uuid=95fe913b-1d50-444c-befd-2da4c311f56c"]},{"id":"ITEM-3","itemData":{"DOI":"10.1097/SLE.0000000000000499","ISSN":"15344908","PMID":"29252934","abstract":"Background: Endoscopic retrograde cholangiopancreatography (ERCP) has been an important therapeutic measure for the treatment of pancreatobiliary diseases in the elderly, but limited data on the use of ERCP in the super-aged elderly are available. This study aimed to evaluate the efficacy and safety of ERCP in patients 80 years of age or older. Methods: All therapeutic ERCPs performed from January 2012 to December 2015 at our endoscopy unit were retrospectively reviewed to evaluate the clinical outcomes and ERCP-related complications in patients 80 years of age or older (group A) and in patients younger than 65 years of age (group B). Results: A total of 141 patients (182 procedures) were 80 years of age or older (group A), and 513 patients (610 procedures) were 65 years old or younger (group B). Chronic concomitant diseases (73.05% vs. 31.19%, P&lt;0.01) and the use of antithrombotic drugs (25.53% vs. 15.01%, P&lt;0.01) were more frequent in group A than in group B. Common bile duct (CBD) stones were the most common indication for ERCP in both groups. The rate of a difficult cannulation was higher in group A than in group B (23.63% vs. 16.56%, P&lt;0.01). The mean procedure time was longer, and second ERCPs were performed more frequently in group A than in group B. In addition, periampullary diverticulum was observed significantly more frequently in group A (30.22% vs. 20%, P&lt;0.01) than in group B. The overall success rate (92.31% vs. 93.93%, P&gt;0.05) and the complication rate (6.59% vs. 5.25%, P&gt;0.05) were not significantly different between the 2 groups. Conclusions: ERCP is a safe and effective intervention in patients 80 years of age or older, although elderly patients had a high rate of concomitant chronic diseases and used antithrombotic drugs more frequently.","author":[{"dropping-particle":"","family":"Yang","given":"Jia Hua","non-dropping-particle":"","parse-names":false,"suffix":""},{"dropping-particle":"","family":"Li","given":"Wei","non-dropping-particle":"","parse-names":false,"suffix":""},{"dropping-particle":"","family":"Si","given":"Xian Ke","non-dropping-particle":"","parse-names":false,"suffix":""},{"dropping-particle":"","family":"Zhang","given":"Ji Xun","non-dropping-particle":"","parse-names":false,"suffix":""},{"dropping-particle":"","family":"Cao","given":"Yi Jun","non-dropping-particle":"","parse-names":false,"suffix":""}],"container-title":"Surgical Laparoscopy, Endoscopy and Percutaneous Techniques","id":"ITEM-3","issue":"2","issued":{"date-parts":[["2018","1"]]},"page":"e44-e48","title":"Efficacy and safety of therapeutic ERCP in the elderly: A single center experience","type":"article-journal","volume":"28"},"uris":["http://www.mendeley.com/documents/?uuid=efa7de70-9d9f-407c-af9c-99269823feb0"]},{"id":"ITEM-4","itemData":{"DOI":"10.1016/j.gie.2006.05.010","ISSN":"00165107","PMID":"17140895","abstract":"Background: Biliary disease frequently occurs in the elderly, but there are limited data on ERCP in the elderly population. Patients: A total of 502 patients (group A, 97; group B, 405) underwent 724 ERCP procedures. Main Outcome Measurements: All consecutive ERCPs performed between 2000 and 2002 at a single center were retrospectively reviewed for patients ≥80 years old (group A) and patients &lt;80 years old (group B) to evaluate endoscopic findings, interventions, complications, and mortality related to complications. Results: The number of important chronic concomitant diseases was significantly higher in the older group (average per patient 1.08 vs 0.57, P &lt; .001). Successful cannulation was achieved in 88% in group A versus 86% in group B, and endoscopic sphincterotomy was performed in 63.2% versus 51.4%. Periampullary diverticulum was found significantly more often in patients of group A (39.2%) than of group B (14.1%, P &lt; .001). Stents were used in 24.1% of ERCP procedures in group A and in 22.9% in group B. There was no significant difference in the complication rate between group A (6.8%) and group B (5.1%) and in early mortality (1.03% vs 0.25%), respectively. Conclusion: ERCP is a safe and effective intervention in the elderly because complication and early mortality rates are comparable to those of younger patients, although comorbidity is significantly higher. © 2006 American Society for Gastrointestinal Endoscopy.","author":[{"dropping-particle":"","family":"Fritz","given":"Eva","non-dropping-particle":"","parse-names":false,"suffix":""},{"dropping-particle":"","family":"Kirchgatterer","given":"Andreas","non-dropping-particle":"","parse-names":false,"suffix":""},{"dropping-particle":"","family":"Hubner","given":"Dietmar","non-dropping-particle":"","parse-names":false,"suffix":""},{"dropping-particle":"","family":"Aschl","given":"Gerhard","non-dropping-particle":"","parse-names":false,"suffix":""},{"dropping-particle":"","family":"Hinterreiter","given":"Maximilian","non-dropping-particle":"","parse-names":false,"suffix":""},{"dropping-particle":"","family":"Stadler","given":"Bernhard","non-dropping-particle":"","parse-names":false,"suffix":""},{"dropping-particle":"","family":"Knoflach","given":"Peter","non-dropping-particle":"","parse-names":false,"suffix":""}],"container-title":"Gastrointestinal Endoscopy","id":"ITEM-4","issue":"6","issued":{"date-parts":[["2006"]]},"page":"899-905","title":"ERCP is safe and effective in patients 80 years of age and older compared with younger patients","type":"article-journal","volume":"64"},"uris":["http://www.mendeley.com/documents/?uuid=9c231578-3744-4c4d-8271-e467daa196ca"]},{"id":"ITEM-5","itemData":{"DOI":"10.1097/MCG.0b013e3181b3830f","ISSN":"1539-2031","PMID":"19730113","author":[{"dropping-particle":"","family":"Grönroos","given":"Juha M.","non-dropping-particle":"","parse-names":false,"suffix":""},{"dropping-particle":"","family":"Salminen","given":"Paulina","non-dropping-particle":"","parse-names":false,"suffix":""},{"dropping-particle":"","family":"Laine","given":"Simo","non-dropping-particle":"","parse-names":false,"suffix":""},{"dropping-particle":"","family":"Gullichsen","given":"Risto","non-dropping-particle":"","parse-names":false,"suffix":""}],"container-title":"Journal of clinical gastroenterology","id":"ITEM-5","issue":"3","issued":{"date-parts":[["2010","3"]]},"page":"227-8","title":"Feasibility of ERCP procedures in patients 90 years of age and older.","type":"article-journal","volume":"44"},"uris":["http://www.mendeley.com/documents/?uuid=173422e0-b4d0-38ef-9875-bf9ae8fc9137"]}],"mendeley":{"formattedCitation":"&lt;sup&gt;[8,14–16,18]&lt;/sup&gt;","plainTextFormattedCitation":"[8,14–16,18]","previouslyFormattedCitation":"&lt;sup&gt;[8,14–16,18]&lt;/sup&gt;"},"properties":{"noteIndex":0},"schema":"https://github.com/citation-style-language/schema/raw/master/csl-citation.json"}</w:instrText>
      </w:r>
      <w:r w:rsidRPr="006B0C21">
        <w:rPr>
          <w:rFonts w:ascii="Book Antiqua" w:hAnsi="Book Antiqua"/>
          <w:sz w:val="24"/>
          <w:szCs w:val="24"/>
        </w:rPr>
        <w:fldChar w:fldCharType="separate"/>
      </w:r>
      <w:r w:rsidRPr="006B0C21">
        <w:rPr>
          <w:rFonts w:ascii="Book Antiqua" w:hAnsi="Book Antiqua"/>
          <w:sz w:val="24"/>
          <w:szCs w:val="24"/>
          <w:vertAlign w:val="superscript"/>
        </w:rPr>
        <w:t>[8,14–16,18]</w:t>
      </w:r>
      <w:r w:rsidRPr="006B0C21">
        <w:rPr>
          <w:rFonts w:ascii="Book Antiqua" w:hAnsi="Book Antiqua"/>
          <w:sz w:val="24"/>
          <w:szCs w:val="24"/>
        </w:rPr>
        <w:fldChar w:fldCharType="end"/>
      </w:r>
      <w:r w:rsidRPr="006B0C21">
        <w:rPr>
          <w:rFonts w:ascii="Book Antiqua" w:hAnsi="Book Antiqua"/>
          <w:sz w:val="24"/>
          <w:szCs w:val="24"/>
        </w:rPr>
        <w:t>. In our study, we did not find any increased rate of overall adverse events in patients aged ≥</w:t>
      </w:r>
      <w:r w:rsidR="00B61167" w:rsidRPr="006B0C21">
        <w:rPr>
          <w:rFonts w:ascii="Book Antiqua" w:hAnsi="Book Antiqua"/>
          <w:sz w:val="24"/>
          <w:szCs w:val="24"/>
        </w:rPr>
        <w:t xml:space="preserve"> </w:t>
      </w:r>
      <w:r w:rsidRPr="006B0C21">
        <w:rPr>
          <w:rFonts w:ascii="Book Antiqua" w:hAnsi="Book Antiqua"/>
          <w:sz w:val="24"/>
          <w:szCs w:val="24"/>
        </w:rPr>
        <w:t xml:space="preserve">80 years when compared to younger patients. PEP was the most frequent adverse event in our </w:t>
      </w:r>
      <w:r w:rsidR="004D1F12">
        <w:rPr>
          <w:rFonts w:ascii="Book Antiqua" w:hAnsi="Book Antiqua"/>
          <w:sz w:val="24"/>
          <w:szCs w:val="24"/>
        </w:rPr>
        <w:t>study</w:t>
      </w:r>
      <w:r w:rsidRPr="006B0C21">
        <w:rPr>
          <w:rFonts w:ascii="Book Antiqua" w:hAnsi="Book Antiqua"/>
          <w:sz w:val="24"/>
          <w:szCs w:val="24"/>
        </w:rPr>
        <w:t>, and elderly patients tend</w:t>
      </w:r>
      <w:r w:rsidR="004D1F12">
        <w:rPr>
          <w:rFonts w:ascii="Book Antiqua" w:hAnsi="Book Antiqua"/>
          <w:sz w:val="24"/>
          <w:szCs w:val="24"/>
        </w:rPr>
        <w:t>ed</w:t>
      </w:r>
      <w:r w:rsidRPr="006B0C21">
        <w:rPr>
          <w:rFonts w:ascii="Book Antiqua" w:hAnsi="Book Antiqua"/>
          <w:sz w:val="24"/>
          <w:szCs w:val="24"/>
        </w:rPr>
        <w:t xml:space="preserve"> to have a lower rate of pancreatitis. Possible reasons for this lower rate include pancreatic fibrosis and atrophy in the elderly, as well as decreased pancreatic enzyme secretion. There was no significant difference in the rates of ERCP-related perforation, cholangitis, and bleeding, although there was a higher rate of bleeding in elderly patients due to the frequent use of antithrombotic drugs.</w:t>
      </w:r>
    </w:p>
    <w:p w:rsidR="00713A64" w:rsidRPr="006B0C21" w:rsidRDefault="004D1F12" w:rsidP="006B0C21">
      <w:pPr>
        <w:adjustRightInd w:val="0"/>
        <w:snapToGrid w:val="0"/>
        <w:spacing w:line="360" w:lineRule="auto"/>
        <w:ind w:firstLineChars="100" w:firstLine="240"/>
        <w:rPr>
          <w:rFonts w:ascii="Book Antiqua" w:hAnsi="Book Antiqua"/>
          <w:sz w:val="24"/>
          <w:szCs w:val="24"/>
        </w:rPr>
      </w:pPr>
      <w:r>
        <w:rPr>
          <w:rFonts w:ascii="Book Antiqua" w:hAnsi="Book Antiqua"/>
          <w:sz w:val="24"/>
          <w:szCs w:val="24"/>
        </w:rPr>
        <w:t xml:space="preserve">With regard to </w:t>
      </w:r>
      <w:r w:rsidR="00713A64" w:rsidRPr="006B0C21">
        <w:rPr>
          <w:rFonts w:ascii="Book Antiqua" w:hAnsi="Book Antiqua"/>
          <w:sz w:val="24"/>
          <w:szCs w:val="24"/>
        </w:rPr>
        <w:t>the relation</w:t>
      </w:r>
      <w:r>
        <w:rPr>
          <w:rFonts w:ascii="Book Antiqua" w:hAnsi="Book Antiqua"/>
          <w:sz w:val="24"/>
          <w:szCs w:val="24"/>
        </w:rPr>
        <w:t>ship</w:t>
      </w:r>
      <w:r w:rsidR="00713A64" w:rsidRPr="006B0C21">
        <w:rPr>
          <w:rFonts w:ascii="Book Antiqua" w:hAnsi="Book Antiqua"/>
          <w:sz w:val="24"/>
          <w:szCs w:val="24"/>
        </w:rPr>
        <w:t xml:space="preserve"> between difficult cannulation techniques and adverse events, many studies </w:t>
      </w:r>
      <w:r>
        <w:rPr>
          <w:rFonts w:ascii="Book Antiqua" w:hAnsi="Book Antiqua"/>
          <w:sz w:val="24"/>
          <w:szCs w:val="24"/>
        </w:rPr>
        <w:t xml:space="preserve">have </w:t>
      </w:r>
      <w:r w:rsidR="00713A64" w:rsidRPr="006B0C21">
        <w:rPr>
          <w:rFonts w:ascii="Book Antiqua" w:hAnsi="Book Antiqua"/>
          <w:sz w:val="24"/>
          <w:szCs w:val="24"/>
        </w:rPr>
        <w:t>show</w:t>
      </w:r>
      <w:r>
        <w:rPr>
          <w:rFonts w:ascii="Book Antiqua" w:hAnsi="Book Antiqua"/>
          <w:sz w:val="24"/>
          <w:szCs w:val="24"/>
        </w:rPr>
        <w:t>n</w:t>
      </w:r>
      <w:r w:rsidR="00713A64" w:rsidRPr="006B0C21">
        <w:rPr>
          <w:rFonts w:ascii="Book Antiqua" w:hAnsi="Book Antiqua"/>
          <w:sz w:val="24"/>
          <w:szCs w:val="24"/>
        </w:rPr>
        <w:t xml:space="preserve"> an association between </w:t>
      </w:r>
      <w:r>
        <w:rPr>
          <w:rFonts w:ascii="Book Antiqua" w:hAnsi="Book Antiqua"/>
          <w:sz w:val="24"/>
          <w:szCs w:val="24"/>
        </w:rPr>
        <w:t xml:space="preserve">the </w:t>
      </w:r>
      <w:r w:rsidR="00713A64" w:rsidRPr="006B0C21">
        <w:rPr>
          <w:rFonts w:ascii="Book Antiqua" w:hAnsi="Book Antiqua"/>
          <w:sz w:val="24"/>
          <w:szCs w:val="24"/>
        </w:rPr>
        <w:t>overall rate of adverse events, especially PEP, and repeat</w:t>
      </w:r>
      <w:r>
        <w:rPr>
          <w:rFonts w:ascii="Book Antiqua" w:hAnsi="Book Antiqua"/>
          <w:sz w:val="24"/>
          <w:szCs w:val="24"/>
        </w:rPr>
        <w:t>ed</w:t>
      </w:r>
      <w:r w:rsidR="00713A64" w:rsidRPr="006B0C21">
        <w:rPr>
          <w:rFonts w:ascii="Book Antiqua" w:hAnsi="Book Antiqua"/>
          <w:sz w:val="24"/>
          <w:szCs w:val="24"/>
        </w:rPr>
        <w:t xml:space="preserve"> initial cannulation attempts or </w:t>
      </w:r>
      <w:r>
        <w:rPr>
          <w:rFonts w:ascii="Book Antiqua" w:hAnsi="Book Antiqua"/>
          <w:sz w:val="24"/>
          <w:szCs w:val="24"/>
        </w:rPr>
        <w:t xml:space="preserve">the </w:t>
      </w:r>
      <w:r w:rsidR="00713A64" w:rsidRPr="006B0C21">
        <w:rPr>
          <w:rFonts w:ascii="Book Antiqua" w:hAnsi="Book Antiqua"/>
          <w:sz w:val="24"/>
          <w:szCs w:val="24"/>
        </w:rPr>
        <w:t>us</w:t>
      </w:r>
      <w:r>
        <w:rPr>
          <w:rFonts w:ascii="Book Antiqua" w:hAnsi="Book Antiqua"/>
          <w:sz w:val="24"/>
          <w:szCs w:val="24"/>
        </w:rPr>
        <w:t>e of</w:t>
      </w:r>
      <w:r w:rsidR="00713A64" w:rsidRPr="006B0C21">
        <w:rPr>
          <w:rFonts w:ascii="Book Antiqua" w:hAnsi="Book Antiqua"/>
          <w:sz w:val="24"/>
          <w:szCs w:val="24"/>
        </w:rPr>
        <w:t xml:space="preserve"> advanced techniques in difficult cases</w:t>
      </w:r>
      <w:r w:rsidR="00713A64" w:rsidRPr="006B0C21">
        <w:rPr>
          <w:rFonts w:ascii="Book Antiqua" w:hAnsi="Book Antiqua"/>
          <w:sz w:val="24"/>
          <w:szCs w:val="24"/>
        </w:rPr>
        <w:fldChar w:fldCharType="begin" w:fldLock="1"/>
      </w:r>
      <w:r w:rsidR="00713A64" w:rsidRPr="006B0C21">
        <w:rPr>
          <w:rFonts w:ascii="Book Antiqua" w:hAnsi="Book Antiqua"/>
          <w:sz w:val="24"/>
          <w:szCs w:val="24"/>
        </w:rPr>
        <w:instrText>ADDIN CSL_CITATION {"citationItems":[{"id":"ITEM-1","itemData":{"DOI":"10.1055/s-0042-108641","ISBN":"0013-726x","ISSN":"14388812","PMID":"27299638","abstract":"This Guideline is an official statement of the European Society of Gastrointestinal Endoscopy (ESGE). It provides practical advice on how to achieve successful cannulation and sphincterotomy at minimum risk to the patient. The Grading of Recommendations Assessment, Development, and Evaluation (GRADE) system was adopted to define the strength of recommendations and the quality of evidence. Main recommendations 1 ESGE suggests that difficult biliary cannulation is defined by the presence of one or more of the following: more than 5 contacts with the papilla whilst attempting to cannulate; more than 5 minutes spent attempting to cannulate following visualization of the papilla; more than one unintended pancreatic duct cannulation or opacification (low quality evidence, weak recommendation). 2 ESGE recommends the guidewire-assisted technique for primary biliary cannulation, since it reduces the risk of post-ERCP pancreatitis (moderate quality evidence, strong recommendation). 3 ESGE recommends using pancreatic guidewire (PGW)-assisted biliary cannulation in patients where biliary cannulation is difficult and repeated unintentional access to the main pancreatic duct occurs (moderate quality evidence, strong recommendation). ESGE recommends attempting prophylactic pancreatic stenting in all patients with PGW-assisted attempts at biliary cannulation (moderate quality evidence, strong recommendation). 4 ESGE recommends needle-knife fistulotomy as the preferred technique for precutting (moderate quality evidence, strong recommendation). ESGE suggests that precutting should be used only by endoscopists who achieve selective biliary cannulation in more than 80% of cases using standard cannulation techniques (low quality evidence, weak recommendation). When access to the pancreatic duct is easy to obtain, ESGE suggests placement of a pancreatic stent prior to precutting (moderate quality evidence, weak recommendation). 5 ESGE recommends that in patients with a small papilla that is difficult to cannulate, transpancreatic biliary sphincterotomy should be considered if unintentional insertion of a guidewire into the pancreatic duct occurs (moderate quality evidence, strong recommendation). In patients who have had transpancreatic sphincterotomy, ESGE suggests prophylactic pancreatic stenting (moderate quality evidence, strong recommendation). 6 ESGE recommends that mixed current is used for sphincterotomy rather than pure cut current alone, as there is a decreased ri…","author":[{"dropping-particle":"","family":"Testoni","given":"Pier Alberto","non-dropping-particle":"","parse-names":false,"suffix":""},{"dropping-particle":"","family":"Mariani","given":"Alberto","non-dropping-particle":"","parse-names":false,"suffix":""},{"dropping-particle":"","family":"Aabakken","given":"Lars","non-dropping-particle":"","parse-names":false,"suffix":""},{"dropping-particle":"","family":"Arvanitakis","given":"Marianna","non-dropping-particle":"","parse-names":false,"suffix":""},{"dropping-particle":"","family":"Bories","given":"Erwan","non-dropping-particle":"","parse-names":false,"suffix":""},{"dropping-particle":"","family":"Costamagna","given":"Guido","non-dropping-particle":"","parse-names":false,"suffix":""},{"dropping-particle":"","family":"Devière","given":"Jacques","non-dropping-particle":"","parse-names":false,"suffix":""},{"dropping-particle":"","family":"Dinis-Ribeiro","given":"Mario","non-dropping-particle":"","parse-names":false,"suffix":""},{"dropping-particle":"","family":"Dumonceau","given":"Jean Marc","non-dropping-particle":"","parse-names":false,"suffix":""},{"dropping-particle":"","family":"Giovannini","given":"Marc","non-dropping-particle":"","parse-names":false,"suffix":""},{"dropping-particle":"","family":"Gyokeres","given":"Tibor","non-dropping-particle":"","parse-names":false,"suffix":""},{"dropping-particle":"","family":"Hafner","given":"Michael","non-dropping-particle":"","parse-names":false,"suffix":""},{"dropping-particle":"","family":"Halttunen","given":"Jorma","non-dropping-particle":"","parse-names":false,"suffix":""},{"dropping-particle":"","family":"Hassan","given":"Cesare","non-dropping-particle":"","parse-names":false,"suffix":""},{"dropping-particle":"","family":"Lopes","given":"Luis","non-dropping-particle":"","parse-names":false,"suffix":""},{"dropping-particle":"","family":"Papanikolaou","given":"Ioannis S.","non-dropping-particle":"","parse-names":false,"suffix":""},{"dropping-particle":"","family":"Tham","given":"Tony C.","non-dropping-particle":"","parse-names":false,"suffix":""},{"dropping-particle":"","family":"Tringali","given":"Andrea","non-dropping-particle":"","parse-names":false,"suffix":""},{"dropping-particle":"","family":"Hooft","given":"Jeanin","non-dropping-particle":"Van","parse-names":false,"suffix":""},{"dropping-particle":"","family":"Williams","given":"Earl J.","non-dropping-particle":"","parse-names":false,"suffix":""}],"container-title":"Endoscopy","id":"ITEM-1","issue":"7","issued":{"date-parts":[["2016","6","14"]]},"page":"657-683","title":"Papillary cannulation and sphincterotomy techniques at ERCP: European Society of Gastrointestinal Endoscopy (ESGE) Clinical Guideline","type":"article-journal","volume":"48"},"uris":["http://www.mendeley.com/documents/?uuid=da2071b9-89e0-4a3e-98c1-80b6133f0126"]},{"id":"ITEM-2","itemData":{"DOI":"10.1097/MD.0000000000009522","ISSN":"15365964","PMID":"29505527","abstract":"This study aimed to assess the clinical value of transprepancreatic septotomy indwelling guide wire or pancreatic duct stent in intractable endoscopic retrograde cholangiopancreatography (ERCP) for bile duct cannulation. Of the 2107 patients treated by ERCP, a total of 81 cases with difficult bile duct cannulation underwent transprebiliopancreatic septotomy (referred to as the septotomy group, 37 cases) and transprepancreatic septotomy with pancreatic duct stent (modified septotomy group, 44 cases). Success rates of cannulation and postoperative complications for both methods were compared. Among them, 77 cases were successfully administered bile duct cannulation. The success rates of the septotomy and modified septotomy groups were 91.89% and 97.73%, respectively, with no significant difference (P = .489). Of the 77 patients, 12 cases had complications. The septotomy group included 7 acute pancreatitis, 1 bleeding, and 1 biliary tract infection cases; while in the modified septotomy group, there were 1 acute pancreatitis, 1 bleeding, and 1 biliary tract infection cases. The occurrence rate of acute pancreatitis in the modified septotomy group was lower than that of the septotomy group (2.33% vs 20.59%) with a significant difference (P = .026). These findings indicate that transprepancreatic septotomy with pancreatic duct stent seems to be a safe and feasible operation with reducing complication rates.","author":[{"dropping-particle":"","family":"Zhong","given":"Henggao","non-dropping-particle":"","parse-names":false,"suffix":""},{"dropping-particle":"","family":"Wang","given":"Xiaohong","non-dropping-particle":"","parse-names":false,"suffix":""},{"dropping-particle":"","family":"Yang","given":"Lihua","non-dropping-particle":"","parse-names":false,"suffix":""},{"dropping-particle":"","family":"Miao","given":"Lin","non-dropping-particle":"","parse-names":false,"suffix":""},{"dropping-particle":"","family":"Ji","given":"Guozhong","non-dropping-particle":"","parse-names":false,"suffix":""},{"dropping-particle":"","family":"Fan","given":"Zhining","non-dropping-particle":"","parse-names":false,"suffix":""}],"container-title":"Medicine (United States)","id":"ITEM-2","issue":"1","issued":{"date-parts":[["2018","1"]]},"page":"e9522","title":"Modified transprepancreatic septotomy reduces postoperative complications after intractable biliary access","type":"article-journal","volume":"97"},"uris":["http://www.mendeley.com/documents/?uuid=8966882f-6ccb-4470-86eb-8fe91b31ca97"]},{"id":"ITEM-3","itemData":{"DOI":"10.5152/tjg.2014.13005","ISSN":"13004948","PMID":"25254514","abstract":"Acute pancreatitis (AP) constitutes the majority of cases requiring hospital admission in gastroenterology. We are yet to know many things about its pathophysiology which is a certain drawback for the progress in its treatment. Prediction of severity is necessary for the plan of the management. The existing scoring systems are yet to be satisfactory. However our progress in the field was significant in the recent decade and a leap forward is expected in this cumbersome-to-manage condition which has many unmet needs. In this review, we are going to summarize the hitherto data in pathogenesis and would weigh the usefulnes and weaknes of each of existing scoring systems in the management of AP.","author":[{"dropping-particle":"","family":"Ince","given":"Ali Tüzün","non-dropping-particle":"","parse-names":false,"suffix":""},{"dropping-particle":"","family":"Baysal","given":"Birol","non-dropping-particle":"","parse-names":false,"suffix":""}],"container-title":"Turkish Journal of Gastroenterology","id":"ITEM-3","issue":"4","issued":{"date-parts":[["2014","9","23"]]},"page":"351-357","title":"Pathophysiology, classification and available guidelines of acute pancreatitis","type":"article-journal","volume":"25"},"uris":["http://www.mendeley.com/documents/?uuid=338f72ce-d426-4655-b655-e1f860219d6a"]},{"id":"ITEM-4","itemData":{"DOI":"10.20944/preprints202001.0076.v1","author":[{"dropping-particle":"","family":"Tabak","given":"Fatema","non-dropping-particle":"","parse-names":false,"suffix":""},{"dropping-particle":"","family":"Ji","given":"Guo-Zhong","non-dropping-particle":"","parse-names":false,"suffix":""},{"dropping-particle":"","family":"Miao","given":"Lin","non-dropping-particle":"","parse-names":false,"suffix":""}],"container-title":"Preprints","id":"ITEM-4","issued":{"date-parts":[["2020"]]},"page":"2020010076","title":"Impact of Periampullary Diverticulum on ERCP Papillary Cannulation.","type":"article-journal"},"uris":["http://www.mendeley.com/documents/?uuid=513dbc22-9ee8-4ffe-aa2e-870df994cd3e"]},{"id":"ITEM-5","itemData":{"DOI":"10.12998/wjcc.v2.i9.426","ISSN":"2307-8960","PMID":"25232545","abstract":"Endoscopic retrograde cholangiopancreatography (ERCP) is an endoscopic procedure with high frequency of accidental symptoms, and particularly some patients who develop and aggravate pancreatitis due to the procedure may need treatment of surgery or die. Various attempts were performed so far to prevent post-ERCP pancreatitis, however, it is impossible to completely prevent pancreatitis at this time because there are various factors for occurrence of post-ERCP pancreatitis. One of the most frequent causes of post-ERCP pancreatitis is considered to be congestion of pancreatic juice associated with duodenal papilledema after examination or treatment. Recently it is often reported that use of a pancreatic duct stent may prevent occurrence of pancreatitis which occurs because of an increased inner pressure of the pancreatic duct caused by congestion of pancreatic juice associated with duodenal papilledema. However, there are some patients who develop pancreatitis even if treated with the pancreatic duct stent, thus further clarification of the pathology and advancement of the prophylactic method will be needed.","author":[{"dropping-particle":"","family":"Sakai","given":"Yuji","non-dropping-particle":"","parse-names":false,"suffix":""}],"container-title":"World Journal of Clinical Cases","id":"ITEM-5","issue":"9","issued":{"date-parts":[["2014"]]},"page":"426","title":"Clinical usefulness and current problems of pancreatic duct stenting for preventing post-ERCP pancreatitis","type":"article-journal","volume":"2"},"uris":["http://www.mendeley.com/documents/?uuid=bca8e213-d002-4a5a-a8de-665278337f63"]}],"mendeley":{"formattedCitation":"&lt;sup&gt;[3,20–23]&lt;/sup&gt;","plainTextFormattedCitation":"[3,20–23]","previouslyFormattedCitation":"&lt;sup&gt;[3,20–22]&lt;/sup&gt;"},"properties":{"noteIndex":0},"schema":"https://github.com/citation-style-language/schema/raw/master/csl-citation.json"}</w:instrText>
      </w:r>
      <w:r w:rsidR="00713A64" w:rsidRPr="006B0C21">
        <w:rPr>
          <w:rFonts w:ascii="Book Antiqua" w:hAnsi="Book Antiqua"/>
          <w:sz w:val="24"/>
          <w:szCs w:val="24"/>
        </w:rPr>
        <w:fldChar w:fldCharType="separate"/>
      </w:r>
      <w:r w:rsidR="00713A64" w:rsidRPr="006B0C21">
        <w:rPr>
          <w:rFonts w:ascii="Book Antiqua" w:hAnsi="Book Antiqua"/>
          <w:sz w:val="24"/>
          <w:szCs w:val="24"/>
          <w:vertAlign w:val="superscript"/>
        </w:rPr>
        <w:t>[3,20–23]</w:t>
      </w:r>
      <w:r w:rsidR="00713A64" w:rsidRPr="006B0C21">
        <w:rPr>
          <w:rFonts w:ascii="Book Antiqua" w:hAnsi="Book Antiqua"/>
          <w:sz w:val="24"/>
          <w:szCs w:val="24"/>
        </w:rPr>
        <w:fldChar w:fldCharType="end"/>
      </w:r>
      <w:r w:rsidR="00713A64" w:rsidRPr="006B0C21">
        <w:rPr>
          <w:rFonts w:ascii="Book Antiqua" w:hAnsi="Book Antiqua"/>
          <w:sz w:val="24"/>
          <w:szCs w:val="24"/>
        </w:rPr>
        <w:t>. Our study found that in the elderly group, repeat</w:t>
      </w:r>
      <w:r>
        <w:rPr>
          <w:rFonts w:ascii="Book Antiqua" w:hAnsi="Book Antiqua"/>
          <w:sz w:val="24"/>
          <w:szCs w:val="24"/>
        </w:rPr>
        <w:t>ed</w:t>
      </w:r>
      <w:r w:rsidR="00713A64" w:rsidRPr="006B0C21">
        <w:rPr>
          <w:rFonts w:ascii="Book Antiqua" w:hAnsi="Book Antiqua"/>
          <w:sz w:val="24"/>
          <w:szCs w:val="24"/>
        </w:rPr>
        <w:t xml:space="preserve"> standard cannulation attempts using </w:t>
      </w:r>
      <w:r>
        <w:rPr>
          <w:rFonts w:ascii="Book Antiqua" w:hAnsi="Book Antiqua"/>
          <w:sz w:val="24"/>
          <w:szCs w:val="24"/>
        </w:rPr>
        <w:t xml:space="preserve">a </w:t>
      </w:r>
      <w:r w:rsidR="00713A64" w:rsidRPr="006B0C21">
        <w:rPr>
          <w:rFonts w:ascii="Book Antiqua" w:hAnsi="Book Antiqua"/>
          <w:sz w:val="24"/>
          <w:szCs w:val="24"/>
        </w:rPr>
        <w:t>guidewire caused a higher rate of pancreatitis compar</w:t>
      </w:r>
      <w:r w:rsidR="005244E7">
        <w:rPr>
          <w:rFonts w:ascii="Book Antiqua" w:hAnsi="Book Antiqua"/>
          <w:sz w:val="24"/>
          <w:szCs w:val="24"/>
        </w:rPr>
        <w:t xml:space="preserve">ed </w:t>
      </w:r>
      <w:r w:rsidR="00713A64" w:rsidRPr="006B0C21">
        <w:rPr>
          <w:rFonts w:ascii="Book Antiqua" w:hAnsi="Book Antiqua"/>
          <w:sz w:val="24"/>
          <w:szCs w:val="24"/>
        </w:rPr>
        <w:t>with NKP and TPS, but without a significant difference. This result is consistent with some studies in that early precut is associated with a lower incidence of PEP when compared with repeated standard papillary cannulation attempts</w:t>
      </w:r>
      <w:r w:rsidR="00713A64" w:rsidRPr="006B0C21">
        <w:rPr>
          <w:rFonts w:ascii="Book Antiqua" w:hAnsi="Book Antiqua"/>
          <w:sz w:val="24"/>
          <w:szCs w:val="24"/>
        </w:rPr>
        <w:fldChar w:fldCharType="begin" w:fldLock="1"/>
      </w:r>
      <w:r w:rsidR="00713A64" w:rsidRPr="006B0C21">
        <w:rPr>
          <w:rFonts w:ascii="Book Antiqua" w:hAnsi="Book Antiqua"/>
          <w:sz w:val="24"/>
          <w:szCs w:val="24"/>
        </w:rPr>
        <w:instrText>ADDIN CSL_CITATION {"citationItems":[{"id":"ITEM-1","itemData":{"DOI":"10.1016/j.cgh.2015.06.035","ISBN":"1542-3565","ISSN":"15427714","PMID":"26144018","abstract":"Use of precut sphincterotomy during endoscopic retrograde cholangiopancreatography (ERCP) can increase the odds for cannulation success but is associated with increased risk of post-ERCP pancreatitis. Earlier, rather than delayed, use of precut sphincterotomy for cases with difficult biliary access might reduce this risk. We performed a meta-analysis of randomized controlled trials to determine how early use of precut sphincterotomy affects the risk of pancreatitis and rate of cannulation success compared with persistent standard cannulation. Methods: We searched MEDLINE, EMBASE, and the Cochrane central register of controlled trials, along with meeting abstracts, through August 2014 for randomized controlled trials in which early precut sphincterotomy was compared with persistent standard cannulation in adults with difficult biliary access. Outcomes considered included primary cannulation success, overall cannulation success, incidence of post-ERCP pancreatitis, and overall adverse event rate. Findings from a random-effects model were expressed as pooled risk ratios (RRs) with 95% confidence intervals (CIs). Results: We analyzed data from 5 studies (523 participants). The incidence of post-ERCP pancreatitis and success of overall cannulation did not differ significantly between the early precut and persistent standard therapy groups. Early use of precut sphincterotomy was associated with increased odds for primary cannulation success (RR, 1.32; 95% CI, 1.04-1.68). In subgroup analysis of studies that involved only fully qualified biliary endoscopists (not fellows), we found a significant reduction in risk of pancreatitis among patients receiving early precut vs the standard technique (RR, 0.29; 95% CI, 0.10-0.86). Conclusion: Compared with standard therapy, early use of precut sphincterotomy did not increase the risk of post-ERCP pancreatitis in a meta-analysis. When the procedure is performed by qualified biliary endoscopists, early precut can reduce the risk of post-ERCP pancreatitis. Rates of primary cannulation increase with early precut. Further studies are needed to confirm these findings.","author":[{"dropping-particle":"","family":"Sundaralingam","given":"Prakalathan","non-dropping-particle":"","parse-names":false,"suffix":""},{"dropping-particle":"","family":"Masson","given":"Philip","non-dropping-particle":"","parse-names":false,"suffix":""},{"dropping-particle":"","family":"Bourke","given":"Michael J.","non-dropping-particle":"","parse-names":false,"suffix":""}],"container-title":"Clinical Gastroenterology and Hepatology","id":"ITEM-1","issue":"10","issued":{"date-parts":[["2015"]]},"page":"1722-1729.e2","title":"Early Precut Sphincterotomy Does Not Increase Risk During Endoscopic Retrograde Cholangiopancreatography in Patients With Difficult Biliary Access: A Meta-analysis of Randomized Controlled Trials","type":"article-journal","volume":"13"},"uris":["http://www.mendeley.com/documents/?uuid=3bc06ba5-b246-4f3b-9cca-ac0eb41168ae"]},{"id":"ITEM-2","itemData":{"DOI":"10.1055/s-0042-108641","ISBN":"0013-726x","ISSN":"14388812","PMID":"27299638","abstract":"This Guideline is an official statement of the European Society of Gastrointestinal Endoscopy (ESGE). It provides practical advice on how to achieve successful cannulation and sphincterotomy at minimum risk to the patient. The Grading of Recommendations Assessment, Development, and Evaluation (GRADE) system was adopted to define the strength of recommendations and the quality of evidence. Main recommendations 1 ESGE suggests that difficult biliary cannulation is defined by the presence of one or more of the following: more than 5 contacts with the papilla whilst attempting to cannulate; more than 5 minutes spent attempting to cannulate following visualization of the papilla; more than one unintended pancreatic duct cannulation or opacification (low quality evidence, weak recommendation). 2 ESGE recommends the guidewire-assisted technique for primary biliary cannulation, since it reduces the risk of post-ERCP pancreatitis (moderate quality evidence, strong recommendation). 3 ESGE recommends using pancreatic guidewire (PGW)-assisted biliary cannulation in patients where biliary cannulation is difficult and repeated unintentional access to the main pancreatic duct occurs (moderate quality evidence, strong recommendation). ESGE recommends attempting prophylactic pancreatic stenting in all patients with PGW-assisted attempts at biliary cannulation (moderate quality evidence, strong recommendation). 4 ESGE recommends needle-knife fistulotomy as the preferred technique for precutting (moderate quality evidence, strong recommendation). ESGE suggests that precutting should be used only by endoscopists who achieve selective biliary cannulation in more than 80% of cases using standard cannulation techniques (low quality evidence, weak recommendation). When access to the pancreatic duct is easy to obtain, ESGE suggests placement of a pancreatic stent prior to precutting (moderate quality evidence, weak recommendation). 5 ESGE recommends that in patients with a small papilla that is difficult to cannulate, transpancreatic biliary sphincterotomy should be considered if unintentional insertion of a guidewire into the pancreatic duct occurs (moderate quality evidence, strong recommendation). In patients who have had transpancreatic sphincterotomy, ESGE suggests prophylactic pancreatic stenting (moderate quality evidence, strong recommendation). 6 ESGE recommends that mixed current is used for sphincterotomy rather than pure cut current alone, as there is a decreased ri…","author":[{"dropping-particle":"","family":"Testoni","given":"Pier Alberto","non-dropping-particle":"","parse-names":false,"suffix":""},{"dropping-particle":"","family":"Mariani","given":"Alberto","non-dropping-particle":"","parse-names":false,"suffix":""},{"dropping-particle":"","family":"Aabakken","given":"Lars","non-dropping-particle":"","parse-names":false,"suffix":""},{"dropping-particle":"","family":"Arvanitakis","given":"Marianna","non-dropping-particle":"","parse-names":false,"suffix":""},{"dropping-particle":"","family":"Bories","given":"Erwan","non-dropping-particle":"","parse-names":false,"suffix":""},{"dropping-particle":"","family":"Costamagna","given":"Guido","non-dropping-particle":"","parse-names":false,"suffix":""},{"dropping-particle":"","family":"Devière","given":"Jacques","non-dropping-particle":"","parse-names":false,"suffix":""},{"dropping-particle":"","family":"Dinis-Ribeiro","given":"Mario","non-dropping-particle":"","parse-names":false,"suffix":""},{"dropping-particle":"","family":"Dumonceau","given":"Jean Marc","non-dropping-particle":"","parse-names":false,"suffix":""},{"dropping-particle":"","family":"Giovannini","given":"Marc","non-dropping-particle":"","parse-names":false,"suffix":""},{"dropping-particle":"","family":"Gyokeres","given":"Tibor","non-dropping-particle":"","parse-names":false,"suffix":""},{"dropping-particle":"","family":"Hafner","given":"Michael","non-dropping-particle":"","parse-names":false,"suffix":""},{"dropping-particle":"","family":"Halttunen","given":"Jorma","non-dropping-particle":"","parse-names":false,"suffix":""},{"dropping-particle":"","family":"Hassan","given":"Cesare","non-dropping-particle":"","parse-names":false,"suffix":""},{"dropping-particle":"","family":"Lopes","given":"Luis","non-dropping-particle":"","parse-names":false,"suffix":""},{"dropping-particle":"","family":"Papanikolaou","given":"Ioannis S.","non-dropping-particle":"","parse-names":false,"suffix":""},{"dropping-particle":"","family":"Tham","given":"Tony C.","non-dropping-particle":"","parse-names":false,"suffix":""},{"dropping-particle":"","family":"Tringali","given":"Andrea","non-dropping-particle":"","parse-names":false,"suffix":""},{"dropping-particle":"","family":"Hooft","given":"Jeanin","non-dropping-particle":"Van","parse-names":false,"suffix":""},{"dropping-particle":"","family":"Williams","given":"Earl J.","non-dropping-particle":"","parse-names":false,"suffix":""}],"container-title":"Endoscopy","id":"ITEM-2","issue":"7","issued":{"date-parts":[["2016","6","14"]]},"page":"657-683","title":"Papillary cannulation and sphincterotomy techniques at ERCP: European Society of Gastrointestinal Endoscopy (ESGE) Clinical Guideline","type":"article-journal","volume":"48"},"uris":["http://www.mendeley.com/documents/?uuid=da2071b9-89e0-4a3e-98c1-80b6133f0126"]}],"mendeley":{"formattedCitation":"&lt;sup&gt;[3,24]&lt;/sup&gt;","plainTextFormattedCitation":"[3,24]","previouslyFormattedCitation":"&lt;sup&gt;[3,23]&lt;/sup&gt;"},"properties":{"noteIndex":0},"schema":"https://github.com/citation-style-language/schema/raw/master/csl-citation.json"}</w:instrText>
      </w:r>
      <w:r w:rsidR="00713A64" w:rsidRPr="006B0C21">
        <w:rPr>
          <w:rFonts w:ascii="Book Antiqua" w:hAnsi="Book Antiqua"/>
          <w:sz w:val="24"/>
          <w:szCs w:val="24"/>
        </w:rPr>
        <w:fldChar w:fldCharType="separate"/>
      </w:r>
      <w:r w:rsidR="00713A64" w:rsidRPr="006B0C21">
        <w:rPr>
          <w:rFonts w:ascii="Book Antiqua" w:hAnsi="Book Antiqua"/>
          <w:sz w:val="24"/>
          <w:szCs w:val="24"/>
          <w:vertAlign w:val="superscript"/>
        </w:rPr>
        <w:t>[3,24]</w:t>
      </w:r>
      <w:r w:rsidR="00713A64" w:rsidRPr="006B0C21">
        <w:rPr>
          <w:rFonts w:ascii="Book Antiqua" w:hAnsi="Book Antiqua"/>
          <w:sz w:val="24"/>
          <w:szCs w:val="24"/>
        </w:rPr>
        <w:fldChar w:fldCharType="end"/>
      </w:r>
      <w:r w:rsidR="00713A64" w:rsidRPr="006B0C21">
        <w:rPr>
          <w:rFonts w:ascii="Book Antiqua" w:hAnsi="Book Antiqua"/>
          <w:sz w:val="24"/>
          <w:szCs w:val="24"/>
        </w:rPr>
        <w:t xml:space="preserve">. </w:t>
      </w:r>
      <w:r>
        <w:rPr>
          <w:rFonts w:ascii="Book Antiqua" w:hAnsi="Book Antiqua"/>
          <w:sz w:val="24"/>
          <w:szCs w:val="24"/>
        </w:rPr>
        <w:t>The</w:t>
      </w:r>
      <w:r w:rsidR="00713A64" w:rsidRPr="006B0C21">
        <w:rPr>
          <w:rFonts w:ascii="Book Antiqua" w:hAnsi="Book Antiqua"/>
          <w:sz w:val="24"/>
          <w:szCs w:val="24"/>
        </w:rPr>
        <w:t xml:space="preserve"> us</w:t>
      </w:r>
      <w:r>
        <w:rPr>
          <w:rFonts w:ascii="Book Antiqua" w:hAnsi="Book Antiqua"/>
          <w:sz w:val="24"/>
          <w:szCs w:val="24"/>
        </w:rPr>
        <w:t>e of</w:t>
      </w:r>
      <w:r w:rsidR="00713A64" w:rsidRPr="006B0C21">
        <w:rPr>
          <w:rFonts w:ascii="Book Antiqua" w:hAnsi="Book Antiqua"/>
          <w:sz w:val="24"/>
          <w:szCs w:val="24"/>
        </w:rPr>
        <w:t xml:space="preserve"> TPS </w:t>
      </w:r>
      <w:r>
        <w:rPr>
          <w:rFonts w:ascii="Book Antiqua" w:hAnsi="Book Antiqua"/>
          <w:sz w:val="24"/>
          <w:szCs w:val="24"/>
        </w:rPr>
        <w:t>resulted in a lower</w:t>
      </w:r>
      <w:r w:rsidR="00713A64" w:rsidRPr="006B0C21">
        <w:rPr>
          <w:rFonts w:ascii="Book Antiqua" w:hAnsi="Book Antiqua"/>
          <w:sz w:val="24"/>
          <w:szCs w:val="24"/>
        </w:rPr>
        <w:t xml:space="preserve"> rate of adverse events and can be considered a safe cannulation technique </w:t>
      </w:r>
      <w:r w:rsidR="002866B6" w:rsidRPr="006B0C21">
        <w:rPr>
          <w:rFonts w:ascii="Book Antiqua" w:hAnsi="Book Antiqua"/>
          <w:sz w:val="24"/>
          <w:szCs w:val="24"/>
        </w:rPr>
        <w:t xml:space="preserve">for elderly patients </w:t>
      </w:r>
      <w:r w:rsidR="002866B6">
        <w:rPr>
          <w:rFonts w:ascii="Book Antiqua" w:hAnsi="Book Antiqua"/>
          <w:sz w:val="24"/>
          <w:szCs w:val="24"/>
        </w:rPr>
        <w:t>with</w:t>
      </w:r>
      <w:r w:rsidR="00713A64" w:rsidRPr="006B0C21">
        <w:rPr>
          <w:rFonts w:ascii="Book Antiqua" w:hAnsi="Book Antiqua"/>
          <w:sz w:val="24"/>
          <w:szCs w:val="24"/>
        </w:rPr>
        <w:t xml:space="preserve"> diffic</w:t>
      </w:r>
      <w:r w:rsidR="00B61167" w:rsidRPr="006B0C21">
        <w:rPr>
          <w:rFonts w:ascii="Book Antiqua" w:hAnsi="Book Antiqua"/>
          <w:sz w:val="24"/>
          <w:szCs w:val="24"/>
        </w:rPr>
        <w:t>ult ca</w:t>
      </w:r>
      <w:r w:rsidR="002866B6">
        <w:rPr>
          <w:rFonts w:ascii="Book Antiqua" w:hAnsi="Book Antiqua"/>
          <w:sz w:val="24"/>
          <w:szCs w:val="24"/>
        </w:rPr>
        <w:t>nnulation</w:t>
      </w:r>
      <w:r w:rsidR="00B61167" w:rsidRPr="006B0C21">
        <w:rPr>
          <w:rFonts w:ascii="Book Antiqua" w:hAnsi="Book Antiqua"/>
          <w:sz w:val="24"/>
          <w:szCs w:val="24"/>
        </w:rPr>
        <w:t>.</w:t>
      </w:r>
    </w:p>
    <w:p w:rsidR="00713A64" w:rsidRPr="006B0C21" w:rsidRDefault="002866B6" w:rsidP="006B0C21">
      <w:pPr>
        <w:adjustRightInd w:val="0"/>
        <w:snapToGrid w:val="0"/>
        <w:spacing w:line="360" w:lineRule="auto"/>
        <w:ind w:firstLineChars="100" w:firstLine="240"/>
        <w:rPr>
          <w:rFonts w:ascii="Book Antiqua" w:hAnsi="Book Antiqua"/>
          <w:sz w:val="24"/>
          <w:szCs w:val="24"/>
        </w:rPr>
      </w:pPr>
      <w:r>
        <w:rPr>
          <w:rFonts w:ascii="Book Antiqua" w:hAnsi="Book Antiqua"/>
          <w:sz w:val="24"/>
          <w:szCs w:val="24"/>
        </w:rPr>
        <w:t>In terms of</w:t>
      </w:r>
      <w:r w:rsidR="00713A64" w:rsidRPr="006B0C21">
        <w:rPr>
          <w:rFonts w:ascii="Book Antiqua" w:hAnsi="Book Antiqua"/>
          <w:sz w:val="24"/>
          <w:szCs w:val="24"/>
        </w:rPr>
        <w:t xml:space="preserve"> the risk factors </w:t>
      </w:r>
      <w:r w:rsidR="005244E7">
        <w:rPr>
          <w:rFonts w:ascii="Book Antiqua" w:hAnsi="Book Antiqua"/>
          <w:sz w:val="24"/>
          <w:szCs w:val="24"/>
        </w:rPr>
        <w:t>for</w:t>
      </w:r>
      <w:r w:rsidR="00713A64" w:rsidRPr="006B0C21">
        <w:rPr>
          <w:rFonts w:ascii="Book Antiqua" w:hAnsi="Book Antiqua"/>
          <w:sz w:val="24"/>
          <w:szCs w:val="24"/>
        </w:rPr>
        <w:t xml:space="preserve"> adverse events, we did not </w:t>
      </w:r>
      <w:r>
        <w:rPr>
          <w:rFonts w:ascii="Book Antiqua" w:hAnsi="Book Antiqua"/>
          <w:sz w:val="24"/>
          <w:szCs w:val="24"/>
        </w:rPr>
        <w:t>observe</w:t>
      </w:r>
      <w:r w:rsidR="00713A64" w:rsidRPr="006B0C21">
        <w:rPr>
          <w:rFonts w:ascii="Book Antiqua" w:hAnsi="Book Antiqua"/>
          <w:sz w:val="24"/>
          <w:szCs w:val="24"/>
        </w:rPr>
        <w:t xml:space="preserve"> an increase in the odds of adverse events in the elderly </w:t>
      </w:r>
      <w:r w:rsidRPr="006B0C21">
        <w:rPr>
          <w:rFonts w:ascii="Book Antiqua" w:hAnsi="Book Antiqua"/>
          <w:sz w:val="24"/>
          <w:szCs w:val="24"/>
        </w:rPr>
        <w:t xml:space="preserve">group </w:t>
      </w:r>
      <w:r w:rsidR="00713A64" w:rsidRPr="006B0C21">
        <w:rPr>
          <w:rFonts w:ascii="Book Antiqua" w:hAnsi="Book Antiqua"/>
          <w:sz w:val="24"/>
          <w:szCs w:val="24"/>
        </w:rPr>
        <w:t xml:space="preserve">compared to the younger group. However, an increased </w:t>
      </w:r>
      <w:r>
        <w:rPr>
          <w:rFonts w:ascii="Book Antiqua" w:hAnsi="Book Antiqua"/>
          <w:sz w:val="24"/>
          <w:szCs w:val="24"/>
        </w:rPr>
        <w:t>risk</w:t>
      </w:r>
      <w:r w:rsidR="00713A64" w:rsidRPr="006B0C21">
        <w:rPr>
          <w:rFonts w:ascii="Book Antiqua" w:hAnsi="Book Antiqua"/>
          <w:sz w:val="24"/>
          <w:szCs w:val="24"/>
        </w:rPr>
        <w:t xml:space="preserve"> of adverse events w</w:t>
      </w:r>
      <w:r>
        <w:rPr>
          <w:rFonts w:ascii="Book Antiqua" w:hAnsi="Book Antiqua"/>
          <w:sz w:val="24"/>
          <w:szCs w:val="24"/>
        </w:rPr>
        <w:t>as</w:t>
      </w:r>
      <w:r w:rsidR="00713A64" w:rsidRPr="006B0C21">
        <w:rPr>
          <w:rFonts w:ascii="Book Antiqua" w:hAnsi="Book Antiqua"/>
          <w:sz w:val="24"/>
          <w:szCs w:val="24"/>
        </w:rPr>
        <w:t xml:space="preserve"> noted with difficult cannulation and a CCI ≥</w:t>
      </w:r>
      <w:r w:rsidR="00B61167" w:rsidRPr="006B0C21">
        <w:rPr>
          <w:rFonts w:ascii="Book Antiqua" w:hAnsi="Book Antiqua"/>
          <w:sz w:val="24"/>
          <w:szCs w:val="24"/>
        </w:rPr>
        <w:t xml:space="preserve"> </w:t>
      </w:r>
      <w:r w:rsidR="00713A64" w:rsidRPr="006B0C21">
        <w:rPr>
          <w:rFonts w:ascii="Book Antiqua" w:hAnsi="Book Antiqua"/>
          <w:sz w:val="24"/>
          <w:szCs w:val="24"/>
        </w:rPr>
        <w:t xml:space="preserve">2. Four risk factors for PEP were identified in this study: </w:t>
      </w:r>
      <w:r w:rsidR="00DA7101">
        <w:rPr>
          <w:rFonts w:ascii="Book Antiqua" w:hAnsi="Book Antiqua" w:hint="eastAsia"/>
          <w:sz w:val="24"/>
          <w:szCs w:val="24"/>
        </w:rPr>
        <w:t>D</w:t>
      </w:r>
      <w:r w:rsidR="00713A64" w:rsidRPr="006B0C21">
        <w:rPr>
          <w:rFonts w:ascii="Book Antiqua" w:hAnsi="Book Antiqua"/>
          <w:sz w:val="24"/>
          <w:szCs w:val="24"/>
        </w:rPr>
        <w:t>ifficult cannulation, age less than 65</w:t>
      </w:r>
      <w:r>
        <w:rPr>
          <w:rFonts w:ascii="Book Antiqua" w:hAnsi="Book Antiqua"/>
          <w:sz w:val="24"/>
          <w:szCs w:val="24"/>
        </w:rPr>
        <w:t xml:space="preserve"> years</w:t>
      </w:r>
      <w:r w:rsidR="00713A64" w:rsidRPr="006B0C21">
        <w:rPr>
          <w:rFonts w:ascii="Book Antiqua" w:hAnsi="Book Antiqua"/>
          <w:sz w:val="24"/>
          <w:szCs w:val="24"/>
        </w:rPr>
        <w:t xml:space="preserve">, cholangitis, and female gender. These results are consistent with previous reports </w:t>
      </w:r>
      <w:r>
        <w:rPr>
          <w:rFonts w:ascii="Book Antiqua" w:hAnsi="Book Antiqua"/>
          <w:sz w:val="24"/>
          <w:szCs w:val="24"/>
        </w:rPr>
        <w:t>on</w:t>
      </w:r>
      <w:r w:rsidR="00713A64" w:rsidRPr="006B0C21">
        <w:rPr>
          <w:rFonts w:ascii="Book Antiqua" w:hAnsi="Book Antiqua"/>
          <w:sz w:val="24"/>
          <w:szCs w:val="24"/>
        </w:rPr>
        <w:t xml:space="preserve"> the safety of ERCP in elderly patients</w:t>
      </w:r>
      <w:r w:rsidR="00713A64" w:rsidRPr="006B0C21">
        <w:rPr>
          <w:rFonts w:ascii="Book Antiqua" w:hAnsi="Book Antiqua"/>
          <w:sz w:val="24"/>
          <w:szCs w:val="24"/>
        </w:rPr>
        <w:fldChar w:fldCharType="begin" w:fldLock="1"/>
      </w:r>
      <w:r w:rsidR="00713A64" w:rsidRPr="006B0C21">
        <w:rPr>
          <w:rFonts w:ascii="Book Antiqua" w:hAnsi="Book Antiqua"/>
          <w:sz w:val="24"/>
          <w:szCs w:val="24"/>
        </w:rPr>
        <w:instrText>ADDIN CSL_CITATION {"citationItems":[{"id":"ITEM-1","itemData":{"DOI":"10.3748/wjg.v22.i37.8382","ISSN":"22192840","PMID":"27729744","abstract":"AIM To investigate the efficacy and safety of emergency endoscopic retrograde cholangiopancreatography (ERCP) in elderly patients with acute cholangitis. METHODS From June 2008 to May 2016, emergency ERCPs were performed in 207 cases of acute cholangitis at our institution. Patients were classified as elderly if they were aged 80 years and older (n = 102); controls were under the age of 80 years (n = 105). The patients' medical records were retrospectively reviewed for comorbidities, laboratory data, etiology of cholangitis (presence of biliary stones, biliary stricture and malignancy), details of the ERCP (therapeutic approaches, technical success rates, procedure duration), ERCP-related complications and mortality. RESULTS The frequency of comorbidities was higher in the elderly group than the control group (91.2% vs 67.6%). Periampullary diverticulum was observed in the elderly group at a higher frequency than the control group (24.5% vs 13.3%). Between the groups, there was no significant difference in the technical success rates (95.1% vs 95.2%) or endoscopic procedure durations. With regard to the frequency of ERCP-related complications, there was no significant difference between the two groups (6.9% vs 6.7%), except for a lower rate of post-ERCP pancreatitis in the elderly group than in the control group (1.0% vs 3.8%). Neither angiographic nor surgical intervention was required in any of the cases with ERCP-related complications. There was no mortality during the observational periods. CONCLUSION Emergency ERCP for acute cholangitis can be performed safely even in elderly patients aged 80 years and older.","author":[{"dropping-particle":"","family":"Tohda","given":"Gen","non-dropping-particle":"","parse-names":false,"suffix":""},{"dropping-particle":"","family":"Ohtani","given":"Masahiro","non-dropping-particle":"","parse-names":false,"suffix":""},{"dropping-particle":"","family":"Dochin","given":"Masaki","non-dropping-particle":"","parse-names":false,"suffix":""}],"container-title":"World journal of gastroenterology","id":"ITEM-1","issue":"37","issued":{"date-parts":[["2016","10","7"]]},"page":"8382-8388","title":"Efficacy and safety of emergency endoscopic retrograde cholangiopancreatography for acute cholangitis in the elderly.","type":"article-journal","volume":"22"},"uris":["http://www.mendeley.com/documents/?uuid=7d1af50d-1960-4be3-ad6f-01b9d925d56b"]},{"id":"ITEM-2","itemData":{"DOI":"10.1007/s10620-016-4064-y","ISSN":"15732568","PMID":"26873537","abstract":"Background/Aims: Concern regarding the safety and efficacy of therapeutic endoscopic retrograde cholangiopancreatography (ERCP) in elderly patients is increasing as a result of the aging society. However, there are limited data, especially in the super-aged elderly. This study aimed to evaluate the efficacy and safety of therapeutic ERCP in patients ≥80 years of age. Methods: Patients 80 years of age or older (n = 312) and younger than 65 years (n = 312) who underwent therapeutic ERCP from June 2006 to April 2014 were randomly selected and analyzed retrospectively. The main outcome measurements were therapeutic ERCP-related complications and clinical outcomes in the two groups. Results: Choledocholithiasis combined with gallbladder stone was the most common indication for ERCP in both groups. Comorbid diseases (70.5 and 29.8 %, p &lt; 0.001) and the use of anti-thrombotic drugs (18.6 and 1.6 %, p &lt; 0.001) were more frequent in the super-aged group. The mean procedure time was longer, and the frequency of second ERCP was more common in the super-aged group. However, the technical success rate (94.9 and 97.4 %, p = 0.096) and the procedure-related complication rate (4.8 and 5.8 %, p = 0.592) were not different between the two groups. Post-ERCP pancreatitis occurred in 1.3 % of the super-aged group and in 2.9 % of the control group (p = 0.262). Cardiopulmonary complications occurred in 1.9 % of patients in each group (p = 1.0). Conclusions: Therapeutic ERCP is comparable in terms of efficacy and safety between patients ≥80 years and those &lt;65 years of age, although the elderly group had a higher rate of comorbid diseases and used anti-thrombotic drugs more frequently.","author":[{"dropping-particle":"","family":"Han","given":"Su Jung","non-dropping-particle":"","parse-names":false,"suffix":""},{"dropping-particle":"","family":"Lee","given":"Tae Hoon","non-dropping-particle":"","parse-names":false,"suffix":""},{"dropping-particle":"Il","family":"Kang","given":"Byong","non-dropping-particle":"","parse-names":false,"suffix":""},{"dropping-particle":"","family":"Choi","given":"Hyun Jong","non-dropping-particle":"","parse-names":false,"suffix":""},{"dropping-particle":"","family":"Lee","given":"Yun Nah","non-dropping-particle":"","parse-names":false,"suffix":""},{"dropping-particle":"","family":"Cha","given":"Sang Woo","non-dropping-particle":"","parse-names":false,"suffix":""},{"dropping-particle":"","family":"Moon","given":"Jong Ho","non-dropping-particle":"","parse-names":false,"suffix":""},{"dropping-particle":"","family":"Cho","given":"Young Deok","non-dropping-particle":"","parse-names":false,"suffix":""},{"dropping-particle":"","family":"Park","given":"Sang Hum","non-dropping-particle":"","parse-names":false,"suffix":""},{"dropping-particle":"","family":"Kim","given":"Sun Joo","non-dropping-particle":"","parse-names":false,"suffix":""}],"container-title":"Digestive Diseases and Sciences","id":"ITEM-2","issue":"7","issued":{"date-parts":[["2016"]]},"page":"2094-2101","title":"Efficacy and Safety of Therapeutic Endoscopic Retrograde Cholangiopancreatography in the Elderly Over 80 Years","type":"article-journal","volume":"61"},"uris":["http://www.mendeley.com/documents/?uuid=cde51ab5-eaf2-4cec-81e5-4f9247d00427"]},{"id":"ITEM-3","itemData":{"DOI":"10.1007/s10620-010-1304-4","ISSN":"01632116","PMID":"2011136215","abstract":"Background: Pancreatobiliary disease is increased in elderly patients. Because of significant comorbidities, these patients may be at greater risk of developing complications related to endoscopic retrograde cholangiopantreatography (ERCP). Objective: The purpose of this study was to compare the indications, interventions, and complications of ERCP of octogenarians with nonoctogenarians. Methods: A retrospective review of patient records from a single tertiary care hospital was performed. Adult patients undergoing ERCP were divided into two groups according to age. Group 1 patients were of age &lt; 80 years (N = 391), and group 2 patients were &gt; 80 years of age (N = 102). Indications, therapeutic interventions, use of conscious sedation, duration of procedure and complications were retrieved from the patient records. Main outcome measurements included: indications, therapeutic interventions, use of conscious sedation, duration of procedure and complications. Results: There was an increase in sphincterotomy rates (74 vs 63%; P &lt; 0.05) and stent insertions (48 vs 29%; P &lt; 0.001) in the octogenarian group. In group 1 there were 19 cases (4.9%) of post ERCP pancreatitis who spent 251 hospital days (including 59 ICU days) compared with one case (0.98%) in group 2 who required ten hospital days (P &lt; 0.05) and 0 ICU days. Procedure time for octogenarians was greater than nonoctogenarians (33.1 vs 29.8 min; P &lt; 0.05). Octogenarians required less conscious sedation than nonoctogenarians (midazolam 4.1 vs 5.9 mg; P &lt; 0.05 and fentanyl 45.5 vs 80.4 mcg; P &lt; 0.05). Conclusions: In octogenarians, ERCP is efficacious and safe. It is associated with a lower rate of hospitalization for pancreatitis. ERCP in octogenarians takes longer, is associated with increased interventions (stent insertion and sphincterotomy) and requires less sedation. © 2010 Springer Science+Business Media, LLC.","author":[{"dropping-particle":"","family":"Ali","given":"Massud","non-dropping-particle":"","parse-names":false,"suffix":""},{"dropping-particle":"","family":"Ward","given":"Greg","non-dropping-particle":"","parse-names":false,"suffix":""},{"dropping-particle":"","family":"Staley","given":"Doug","non-dropping-particle":"","parse-names":false,"suffix":""},{"dropping-particle":"","family":"Duerksen","given":"Donald R.","non-dropping-particle":"","parse-names":false,"suffix":""}],"container-title":"Digestive Diseases and Sciences","id":"ITEM-3","issue":"2","issued":{"date-parts":[["2011","2"]]},"page":"586-590","title":"A retrospective study of the safety and efficacy of ERCP in octogenarians","type":"article-journal","volume":"56"},"uris":["http://www.mendeley.com/documents/?uuid=bd6d6bba-572e-4a08-9b7d-252d7f82f5a3"]},{"id":"ITEM-4","itemData":{"DOI":"10.1007/s10620-009-0784-6","ISBN":"1573-2568 (Electronic)\\r0163-2116 (Linking)","ISSN":"01632116","PMID":"19337836","abstract":"Life expectancy is rising, which is increasing the demand for endoscopic retrograde cholangiopancreatography (ERCP) in the elderly. Little data, particularly on complex procedures, has been reported. In this study, we compare the differences in the success and complications in ERCP between patients older and younger than 80 years old. We used a large endoscopic database reviewing the ERCPs performed and 30-day complications addressing age, degree of difficulty of procedures, and complications. A total of 2,606 patients underwent 3,924 ERCPs. Six hundred and twenty-eight were octogenarians undergoing 728 procedures. Mean age was 83.5 years in the octogenarian group and 59.0 years in the younger group. The endoscopic success rate was lower in octogenarians (96.9 vs. 98.3%, P = 0.004). Overall, complication rates between both groups was significantly less in older compared to younger patients (1.64 vs. 3.50%, P = 0.006). Complication and failure rates were higher as procedure complexity increased in all patients. ERCP in the elderly carries a high degree of success with low complication rates. Elderly patients carry similar risks of bleeding and perforation and a lower risk of pancreatitis. © 2009 Springer Science+Business Media, LLC.","author":[{"dropping-particle":"","family":"Lukens","given":"Frank J.","non-dropping-particle":"","parse-names":false,"suffix":""},{"dropping-particle":"","family":"Howell","given":"Douglas A.","non-dropping-particle":"","parse-names":false,"suffix":""},{"dropping-particle":"","family":"Upender","given":"Sunil","non-dropping-particle":"","parse-names":false,"suffix":""},{"dropping-particle":"","family":"Sheth","given":"Sunil G.","non-dropping-particle":"","parse-names":false,"suffix":""},{"dropping-particle":"","family":"Jafri","given":"Syed Mohammed R.","non-dropping-particle":"","parse-names":false,"suffix":""}],"container-title":"Digestive Diseases and Sciences","id":"ITEM-4","issue":"3","issued":{"date-parts":[["2010"]]},"page":"847-851","title":"ERCP in the very elderly: Outcomes among patients older than eighty","type":"article-journal","volume":"55"},"uris":["http://www.mendeley.com/documents/?uuid=197e4b0a-a688-49b0-bec1-7cc280571eaa"]}],"mendeley":{"formattedCitation":"&lt;sup&gt;[9–11,25]&lt;/sup&gt;","plainTextFormattedCitation":"[9–11,25]","previouslyFormattedCitation":"&lt;sup&gt;[9–11,24]&lt;/sup&gt;"},"properties":{"noteIndex":0},"schema":"https://github.com/citation-style-language/schema/raw/master/csl-citation.json"}</w:instrText>
      </w:r>
      <w:r w:rsidR="00713A64" w:rsidRPr="006B0C21">
        <w:rPr>
          <w:rFonts w:ascii="Book Antiqua" w:hAnsi="Book Antiqua"/>
          <w:sz w:val="24"/>
          <w:szCs w:val="24"/>
        </w:rPr>
        <w:fldChar w:fldCharType="separate"/>
      </w:r>
      <w:r w:rsidR="00713A64" w:rsidRPr="006B0C21">
        <w:rPr>
          <w:rFonts w:ascii="Book Antiqua" w:hAnsi="Book Antiqua"/>
          <w:sz w:val="24"/>
          <w:szCs w:val="24"/>
          <w:vertAlign w:val="superscript"/>
        </w:rPr>
        <w:t>[9–11,25]</w:t>
      </w:r>
      <w:r w:rsidR="00713A64" w:rsidRPr="006B0C21">
        <w:rPr>
          <w:rFonts w:ascii="Book Antiqua" w:hAnsi="Book Antiqua"/>
          <w:sz w:val="24"/>
          <w:szCs w:val="24"/>
        </w:rPr>
        <w:fldChar w:fldCharType="end"/>
      </w:r>
      <w:r w:rsidR="00713A64" w:rsidRPr="006B0C21">
        <w:rPr>
          <w:rFonts w:ascii="Book Antiqua" w:hAnsi="Book Antiqua"/>
          <w:sz w:val="24"/>
          <w:szCs w:val="24"/>
        </w:rPr>
        <w:t>.</w:t>
      </w:r>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The main strength of this study is its prospective nature, and to the best of our knowledge, it is the first prospective study t</w:t>
      </w:r>
      <w:r w:rsidR="002866B6">
        <w:rPr>
          <w:rFonts w:ascii="Book Antiqua" w:hAnsi="Book Antiqua"/>
          <w:sz w:val="24"/>
          <w:szCs w:val="24"/>
        </w:rPr>
        <w:t>o</w:t>
      </w:r>
      <w:r w:rsidRPr="006B0C21">
        <w:rPr>
          <w:rFonts w:ascii="Book Antiqua" w:hAnsi="Book Antiqua"/>
          <w:sz w:val="24"/>
          <w:szCs w:val="24"/>
        </w:rPr>
        <w:t xml:space="preserve"> focus on difficult cannulation and its causes in elderly ERCP patients. </w:t>
      </w:r>
      <w:bookmarkStart w:id="15" w:name="_Hlk40271044"/>
      <w:r w:rsidRPr="006B0C21">
        <w:rPr>
          <w:rFonts w:ascii="Book Antiqua" w:hAnsi="Book Antiqua"/>
          <w:sz w:val="24"/>
          <w:szCs w:val="24"/>
        </w:rPr>
        <w:t xml:space="preserve">There are a few limitations to this study. </w:t>
      </w:r>
      <w:bookmarkStart w:id="16" w:name="_Hlk40126330"/>
      <w:r w:rsidRPr="006B0C21">
        <w:rPr>
          <w:rFonts w:ascii="Book Antiqua" w:hAnsi="Book Antiqua"/>
          <w:sz w:val="24"/>
          <w:szCs w:val="24"/>
        </w:rPr>
        <w:t>First, the study was performed at a single center with a limited number of elderly patients. The second limitation is the rarity of specific adverse events, especially PEP, which may affect the results of multivariate analyses.</w:t>
      </w:r>
      <w:bookmarkEnd w:id="15"/>
      <w:bookmarkEnd w:id="16"/>
    </w:p>
    <w:p w:rsidR="00713A64" w:rsidRPr="006B0C21" w:rsidRDefault="00713A64" w:rsidP="006B0C21">
      <w:pPr>
        <w:adjustRightInd w:val="0"/>
        <w:snapToGrid w:val="0"/>
        <w:spacing w:line="360" w:lineRule="auto"/>
        <w:ind w:firstLineChars="100" w:firstLine="240"/>
        <w:rPr>
          <w:rFonts w:ascii="Book Antiqua" w:hAnsi="Book Antiqua"/>
          <w:sz w:val="24"/>
          <w:szCs w:val="24"/>
        </w:rPr>
      </w:pPr>
      <w:r w:rsidRPr="006B0C21">
        <w:rPr>
          <w:rFonts w:ascii="Book Antiqua" w:hAnsi="Book Antiqua"/>
          <w:sz w:val="24"/>
          <w:szCs w:val="24"/>
        </w:rPr>
        <w:t xml:space="preserve">In conclusion, this study has shown that the prevalence of difficult cannulation in ERCP is not more common in patients over 80 years of age, and </w:t>
      </w:r>
      <w:r w:rsidR="002866B6">
        <w:rPr>
          <w:rFonts w:ascii="Book Antiqua" w:hAnsi="Book Antiqua"/>
          <w:sz w:val="24"/>
          <w:szCs w:val="24"/>
        </w:rPr>
        <w:t xml:space="preserve">the </w:t>
      </w:r>
      <w:r w:rsidRPr="006B0C21">
        <w:rPr>
          <w:rFonts w:ascii="Book Antiqua" w:hAnsi="Book Antiqua"/>
          <w:sz w:val="24"/>
          <w:szCs w:val="24"/>
        </w:rPr>
        <w:t>us</w:t>
      </w:r>
      <w:r w:rsidR="002866B6">
        <w:rPr>
          <w:rFonts w:ascii="Book Antiqua" w:hAnsi="Book Antiqua"/>
          <w:sz w:val="24"/>
          <w:szCs w:val="24"/>
        </w:rPr>
        <w:t>e of</w:t>
      </w:r>
      <w:r w:rsidRPr="006B0C21">
        <w:rPr>
          <w:rFonts w:ascii="Book Antiqua" w:hAnsi="Book Antiqua"/>
          <w:sz w:val="24"/>
          <w:szCs w:val="24"/>
        </w:rPr>
        <w:t xml:space="preserve"> different cannulation techniques is well tolerated with a lower rate of </w:t>
      </w:r>
      <w:r w:rsidR="002866B6">
        <w:rPr>
          <w:rFonts w:ascii="Book Antiqua" w:hAnsi="Book Antiqua"/>
          <w:sz w:val="24"/>
          <w:szCs w:val="24"/>
        </w:rPr>
        <w:t>PEP</w:t>
      </w:r>
      <w:r w:rsidRPr="006B0C21">
        <w:rPr>
          <w:rFonts w:ascii="Book Antiqua" w:hAnsi="Book Antiqua"/>
          <w:sz w:val="24"/>
          <w:szCs w:val="24"/>
        </w:rPr>
        <w:t xml:space="preserve"> compared with younger patients. </w:t>
      </w:r>
      <w:r w:rsidR="002866B6">
        <w:rPr>
          <w:rFonts w:ascii="Book Antiqua" w:hAnsi="Book Antiqua"/>
          <w:sz w:val="24"/>
          <w:szCs w:val="24"/>
        </w:rPr>
        <w:t>Although</w:t>
      </w:r>
      <w:r w:rsidRPr="006B0C21">
        <w:rPr>
          <w:rFonts w:ascii="Book Antiqua" w:hAnsi="Book Antiqua"/>
          <w:sz w:val="24"/>
          <w:szCs w:val="24"/>
        </w:rPr>
        <w:t xml:space="preserve"> successful cannulation rate and procedure duration in difficult cases </w:t>
      </w:r>
      <w:r w:rsidR="002866B6">
        <w:rPr>
          <w:rFonts w:ascii="Book Antiqua" w:hAnsi="Book Antiqua"/>
          <w:sz w:val="24"/>
          <w:szCs w:val="24"/>
        </w:rPr>
        <w:t>were</w:t>
      </w:r>
      <w:r w:rsidRPr="006B0C21">
        <w:rPr>
          <w:rFonts w:ascii="Book Antiqua" w:hAnsi="Book Antiqua"/>
          <w:sz w:val="24"/>
          <w:szCs w:val="24"/>
        </w:rPr>
        <w:t xml:space="preserve"> similar in both groups, different causes </w:t>
      </w:r>
      <w:r w:rsidR="002866B6">
        <w:rPr>
          <w:rFonts w:ascii="Book Antiqua" w:hAnsi="Book Antiqua"/>
          <w:sz w:val="24"/>
          <w:szCs w:val="24"/>
        </w:rPr>
        <w:t>were</w:t>
      </w:r>
      <w:r w:rsidRPr="006B0C21">
        <w:rPr>
          <w:rFonts w:ascii="Book Antiqua" w:hAnsi="Book Antiqua"/>
          <w:sz w:val="24"/>
          <w:szCs w:val="24"/>
        </w:rPr>
        <w:t xml:space="preserve"> found to affect cannulation difficulty in the two groups. Our study demonstrated that age over 80 </w:t>
      </w:r>
      <w:r w:rsidR="002866B6">
        <w:rPr>
          <w:rFonts w:ascii="Book Antiqua" w:hAnsi="Book Antiqua"/>
          <w:sz w:val="24"/>
          <w:szCs w:val="24"/>
        </w:rPr>
        <w:t xml:space="preserve">years </w:t>
      </w:r>
      <w:r w:rsidRPr="006B0C21">
        <w:rPr>
          <w:rFonts w:ascii="Book Antiqua" w:hAnsi="Book Antiqua"/>
          <w:sz w:val="24"/>
          <w:szCs w:val="24"/>
        </w:rPr>
        <w:t xml:space="preserve">is not a risk factor </w:t>
      </w:r>
      <w:r w:rsidR="002866B6">
        <w:rPr>
          <w:rFonts w:ascii="Book Antiqua" w:hAnsi="Book Antiqua"/>
          <w:sz w:val="24"/>
          <w:szCs w:val="24"/>
        </w:rPr>
        <w:t>for</w:t>
      </w:r>
      <w:r w:rsidRPr="006B0C21">
        <w:rPr>
          <w:rFonts w:ascii="Book Antiqua" w:hAnsi="Book Antiqua"/>
          <w:sz w:val="24"/>
          <w:szCs w:val="24"/>
        </w:rPr>
        <w:t xml:space="preserve"> ERCP</w:t>
      </w:r>
      <w:r w:rsidR="002866B6">
        <w:rPr>
          <w:rFonts w:ascii="Book Antiqua" w:hAnsi="Book Antiqua"/>
          <w:sz w:val="24"/>
          <w:szCs w:val="24"/>
        </w:rPr>
        <w:t>-related</w:t>
      </w:r>
      <w:r w:rsidRPr="006B0C21">
        <w:rPr>
          <w:rFonts w:ascii="Book Antiqua" w:hAnsi="Book Antiqua"/>
          <w:sz w:val="24"/>
          <w:szCs w:val="24"/>
        </w:rPr>
        <w:t xml:space="preserve"> adverse events. However, difficult cannulation and increasing comorbidities with </w:t>
      </w:r>
      <w:r w:rsidR="005244E7">
        <w:rPr>
          <w:rFonts w:ascii="Book Antiqua" w:hAnsi="Book Antiqua"/>
          <w:sz w:val="24"/>
          <w:szCs w:val="24"/>
        </w:rPr>
        <w:t xml:space="preserve">a </w:t>
      </w:r>
      <w:r w:rsidRPr="006B0C21">
        <w:rPr>
          <w:rFonts w:ascii="Book Antiqua" w:hAnsi="Book Antiqua"/>
          <w:sz w:val="24"/>
          <w:szCs w:val="24"/>
        </w:rPr>
        <w:t>CCI ≥</w:t>
      </w:r>
      <w:r w:rsidR="00B61167" w:rsidRPr="006B0C21">
        <w:rPr>
          <w:rFonts w:ascii="Book Antiqua" w:hAnsi="Book Antiqua"/>
          <w:sz w:val="24"/>
          <w:szCs w:val="24"/>
        </w:rPr>
        <w:t xml:space="preserve"> </w:t>
      </w:r>
      <w:r w:rsidRPr="006B0C21">
        <w:rPr>
          <w:rFonts w:ascii="Book Antiqua" w:hAnsi="Book Antiqua"/>
          <w:sz w:val="24"/>
          <w:szCs w:val="24"/>
        </w:rPr>
        <w:t xml:space="preserve">2 </w:t>
      </w:r>
      <w:r w:rsidR="002866B6">
        <w:rPr>
          <w:rFonts w:ascii="Book Antiqua" w:hAnsi="Book Antiqua"/>
          <w:sz w:val="24"/>
          <w:szCs w:val="24"/>
        </w:rPr>
        <w:t xml:space="preserve">are </w:t>
      </w:r>
      <w:r w:rsidRPr="006B0C21">
        <w:rPr>
          <w:rFonts w:ascii="Book Antiqua" w:hAnsi="Book Antiqua"/>
          <w:sz w:val="24"/>
          <w:szCs w:val="24"/>
        </w:rPr>
        <w:t xml:space="preserve">both significantly </w:t>
      </w:r>
      <w:r w:rsidR="002866B6">
        <w:rPr>
          <w:rFonts w:ascii="Book Antiqua" w:hAnsi="Book Antiqua"/>
          <w:sz w:val="24"/>
          <w:szCs w:val="24"/>
        </w:rPr>
        <w:t>associated with</w:t>
      </w:r>
      <w:r w:rsidRPr="006B0C21">
        <w:rPr>
          <w:rFonts w:ascii="Book Antiqua" w:hAnsi="Book Antiqua"/>
          <w:sz w:val="24"/>
          <w:szCs w:val="24"/>
        </w:rPr>
        <w:t xml:space="preserve"> overall adverse events.</w:t>
      </w:r>
    </w:p>
    <w:p w:rsidR="00713A64" w:rsidRPr="006B0C21" w:rsidRDefault="00713A64" w:rsidP="006B0C21">
      <w:pPr>
        <w:adjustRightInd w:val="0"/>
        <w:snapToGrid w:val="0"/>
        <w:spacing w:line="360" w:lineRule="auto"/>
        <w:rPr>
          <w:rFonts w:ascii="Book Antiqua" w:hAnsi="Book Antiqua"/>
          <w:b/>
          <w:sz w:val="24"/>
          <w:szCs w:val="24"/>
        </w:rPr>
      </w:pPr>
    </w:p>
    <w:p w:rsidR="00713A64" w:rsidRPr="006B0C21" w:rsidRDefault="00713A64" w:rsidP="006B0C21">
      <w:pPr>
        <w:adjustRightInd w:val="0"/>
        <w:snapToGrid w:val="0"/>
        <w:spacing w:line="360" w:lineRule="auto"/>
        <w:rPr>
          <w:rFonts w:ascii="Book Antiqua" w:hAnsi="Book Antiqua"/>
          <w:b/>
          <w:sz w:val="24"/>
          <w:szCs w:val="24"/>
          <w:u w:val="single"/>
        </w:rPr>
      </w:pPr>
    </w:p>
    <w:p w:rsidR="00713A64" w:rsidRPr="006B0C21" w:rsidRDefault="00713A64" w:rsidP="006B0C21">
      <w:pPr>
        <w:adjustRightInd w:val="0"/>
        <w:snapToGrid w:val="0"/>
        <w:spacing w:line="360" w:lineRule="auto"/>
        <w:rPr>
          <w:rFonts w:ascii="Book Antiqua" w:hAnsi="Book Antiqua"/>
          <w:b/>
          <w:sz w:val="24"/>
          <w:szCs w:val="24"/>
          <w:u w:val="single"/>
        </w:rPr>
      </w:pPr>
      <w:r w:rsidRPr="006B0C21">
        <w:rPr>
          <w:rFonts w:ascii="Book Antiqua" w:hAnsi="Book Antiqua"/>
          <w:b/>
          <w:sz w:val="24"/>
          <w:szCs w:val="24"/>
          <w:u w:val="single"/>
        </w:rPr>
        <w:t>ARTICLE HIGHLIGHTS</w:t>
      </w: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Research background</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lang w:val="en-GB"/>
        </w:rPr>
        <w:t xml:space="preserve">Endoscopic retrograde cholangiopancreatography (ERCP) is a valuable therapeutic technique for pancreatobiliary diseases, and its application in the elderly is no longer limited. However, a higher incidence of procedure difficulty and periprocedural adverse events might be expected in elderly patients </w:t>
      </w:r>
      <w:r w:rsidR="009B17A1">
        <w:rPr>
          <w:rFonts w:ascii="Book Antiqua" w:hAnsi="Book Antiqua"/>
          <w:sz w:val="24"/>
          <w:szCs w:val="24"/>
          <w:lang w:val="en-GB"/>
        </w:rPr>
        <w:t>due to the presence</w:t>
      </w:r>
      <w:r w:rsidRPr="006B0C21">
        <w:rPr>
          <w:rFonts w:ascii="Book Antiqua" w:hAnsi="Book Antiqua"/>
          <w:sz w:val="24"/>
          <w:szCs w:val="24"/>
          <w:lang w:val="en-GB"/>
        </w:rPr>
        <w:t xml:space="preserve"> of </w:t>
      </w:r>
      <w:r w:rsidR="009B17A1">
        <w:rPr>
          <w:rFonts w:ascii="Book Antiqua" w:hAnsi="Book Antiqua"/>
          <w:sz w:val="24"/>
          <w:szCs w:val="24"/>
          <w:lang w:val="en-GB"/>
        </w:rPr>
        <w:t>other</w:t>
      </w:r>
      <w:r w:rsidRPr="006B0C21">
        <w:rPr>
          <w:rFonts w:ascii="Book Antiqua" w:hAnsi="Book Antiqua"/>
          <w:sz w:val="24"/>
          <w:szCs w:val="24"/>
          <w:lang w:val="en-GB"/>
        </w:rPr>
        <w:t xml:space="preserve"> medical disorders and the poor general condition of this population.</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Research motivation</w:t>
      </w:r>
    </w:p>
    <w:p w:rsidR="00713A64" w:rsidRPr="006B0C21" w:rsidRDefault="00713A64" w:rsidP="006B0C21">
      <w:pPr>
        <w:adjustRightInd w:val="0"/>
        <w:snapToGrid w:val="0"/>
        <w:spacing w:line="360" w:lineRule="auto"/>
        <w:rPr>
          <w:rFonts w:ascii="Book Antiqua" w:hAnsi="Book Antiqua"/>
          <w:sz w:val="24"/>
          <w:szCs w:val="24"/>
          <w:lang w:val="en-GB"/>
        </w:rPr>
      </w:pPr>
      <w:r w:rsidRPr="006B0C21">
        <w:rPr>
          <w:rFonts w:ascii="Book Antiqua" w:hAnsi="Book Antiqua"/>
          <w:sz w:val="24"/>
          <w:szCs w:val="24"/>
          <w:lang w:val="en-GB"/>
        </w:rPr>
        <w:t xml:space="preserve">The risk of choledocholithiasis and pancreatobiliary malignancies increases with advancing age, </w:t>
      </w:r>
      <w:r w:rsidR="009B17A1">
        <w:rPr>
          <w:rFonts w:ascii="Book Antiqua" w:hAnsi="Book Antiqua"/>
          <w:sz w:val="24"/>
          <w:szCs w:val="24"/>
          <w:lang w:val="en-GB"/>
        </w:rPr>
        <w:t>resulting in</w:t>
      </w:r>
      <w:r w:rsidRPr="006B0C21">
        <w:rPr>
          <w:rFonts w:ascii="Book Antiqua" w:hAnsi="Book Antiqua"/>
          <w:sz w:val="24"/>
          <w:szCs w:val="24"/>
          <w:lang w:val="en-GB"/>
        </w:rPr>
        <w:t xml:space="preserve"> the older population requiring </w:t>
      </w:r>
      <w:r w:rsidR="009B17A1" w:rsidRPr="006B0C21">
        <w:rPr>
          <w:rFonts w:ascii="Book Antiqua" w:hAnsi="Book Antiqua"/>
          <w:sz w:val="24"/>
          <w:szCs w:val="24"/>
          <w:lang w:val="en-GB"/>
        </w:rPr>
        <w:t xml:space="preserve">more </w:t>
      </w:r>
      <w:r w:rsidRPr="006B0C21">
        <w:rPr>
          <w:rFonts w:ascii="Book Antiqua" w:hAnsi="Book Antiqua"/>
          <w:sz w:val="24"/>
          <w:szCs w:val="24"/>
          <w:lang w:val="en-GB"/>
        </w:rPr>
        <w:t xml:space="preserve">invasive procedures. Although several studies on the safety of ERCPs in the elderly have been published, </w:t>
      </w:r>
      <w:r w:rsidR="009B17A1">
        <w:rPr>
          <w:rFonts w:ascii="Book Antiqua" w:hAnsi="Book Antiqua"/>
          <w:sz w:val="24"/>
          <w:szCs w:val="24"/>
          <w:lang w:val="en-GB"/>
        </w:rPr>
        <w:t>further</w:t>
      </w:r>
      <w:r w:rsidRPr="006B0C21">
        <w:rPr>
          <w:rFonts w:ascii="Book Antiqua" w:hAnsi="Book Antiqua"/>
          <w:sz w:val="24"/>
          <w:szCs w:val="24"/>
          <w:lang w:val="en-GB"/>
        </w:rPr>
        <w:t xml:space="preserve"> investigation </w:t>
      </w:r>
      <w:r w:rsidR="009B17A1">
        <w:rPr>
          <w:rFonts w:ascii="Book Antiqua" w:hAnsi="Book Antiqua"/>
          <w:sz w:val="24"/>
          <w:szCs w:val="24"/>
          <w:lang w:val="en-GB"/>
        </w:rPr>
        <w:t>regarding</w:t>
      </w:r>
      <w:r w:rsidRPr="006B0C21">
        <w:rPr>
          <w:rFonts w:ascii="Book Antiqua" w:hAnsi="Book Antiqua"/>
          <w:sz w:val="24"/>
          <w:szCs w:val="24"/>
          <w:lang w:val="en-GB"/>
        </w:rPr>
        <w:t xml:space="preserve"> the association between advanced</w:t>
      </w:r>
      <w:r w:rsidR="009B17A1">
        <w:rPr>
          <w:rFonts w:ascii="Book Antiqua" w:hAnsi="Book Antiqua"/>
          <w:sz w:val="24"/>
          <w:szCs w:val="24"/>
          <w:lang w:val="en-GB"/>
        </w:rPr>
        <w:t xml:space="preserve"> </w:t>
      </w:r>
      <w:r w:rsidRPr="006B0C21">
        <w:rPr>
          <w:rFonts w:ascii="Book Antiqua" w:hAnsi="Book Antiqua"/>
          <w:sz w:val="24"/>
          <w:szCs w:val="24"/>
          <w:lang w:val="en-GB"/>
        </w:rPr>
        <w:t>ag</w:t>
      </w:r>
      <w:r w:rsidR="009B17A1">
        <w:rPr>
          <w:rFonts w:ascii="Book Antiqua" w:hAnsi="Book Antiqua"/>
          <w:sz w:val="24"/>
          <w:szCs w:val="24"/>
          <w:lang w:val="en-GB"/>
        </w:rPr>
        <w:t>e</w:t>
      </w:r>
      <w:r w:rsidRPr="006B0C21">
        <w:rPr>
          <w:rFonts w:ascii="Book Antiqua" w:hAnsi="Book Antiqua"/>
          <w:sz w:val="24"/>
          <w:szCs w:val="24"/>
          <w:lang w:val="en-GB"/>
        </w:rPr>
        <w:t xml:space="preserve"> and difficult c</w:t>
      </w:r>
      <w:r w:rsidR="00B61167" w:rsidRPr="006B0C21">
        <w:rPr>
          <w:rFonts w:ascii="Book Antiqua" w:hAnsi="Book Antiqua"/>
          <w:sz w:val="24"/>
          <w:szCs w:val="24"/>
          <w:lang w:val="en-GB"/>
        </w:rPr>
        <w:t xml:space="preserve">annulation </w:t>
      </w:r>
      <w:r w:rsidR="009B17A1">
        <w:rPr>
          <w:rFonts w:ascii="Book Antiqua" w:hAnsi="Book Antiqua"/>
          <w:sz w:val="24"/>
          <w:szCs w:val="24"/>
          <w:lang w:val="en-GB"/>
        </w:rPr>
        <w:t>is required</w:t>
      </w:r>
      <w:r w:rsidR="00B61167" w:rsidRPr="006B0C21">
        <w:rPr>
          <w:rFonts w:ascii="Book Antiqua" w:hAnsi="Book Antiqua"/>
          <w:sz w:val="24"/>
          <w:szCs w:val="24"/>
          <w:lang w:val="en-GB"/>
        </w:rPr>
        <w:t>.</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B61167"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Research objectives</w:t>
      </w:r>
    </w:p>
    <w:p w:rsidR="00713A64" w:rsidRPr="006B0C21" w:rsidRDefault="00713A64" w:rsidP="006B0C21">
      <w:pPr>
        <w:adjustRightInd w:val="0"/>
        <w:snapToGrid w:val="0"/>
        <w:spacing w:line="360" w:lineRule="auto"/>
        <w:rPr>
          <w:rFonts w:ascii="Book Antiqua" w:hAnsi="Book Antiqua"/>
          <w:sz w:val="24"/>
          <w:szCs w:val="24"/>
          <w:lang w:val="en-GB"/>
        </w:rPr>
      </w:pPr>
      <w:r w:rsidRPr="006B0C21">
        <w:rPr>
          <w:rFonts w:ascii="Book Antiqua" w:hAnsi="Book Antiqua"/>
          <w:sz w:val="24"/>
          <w:szCs w:val="24"/>
          <w:lang w:val="en-GB"/>
        </w:rPr>
        <w:t xml:space="preserve">The purpose of this study </w:t>
      </w:r>
      <w:r w:rsidR="009B17A1">
        <w:rPr>
          <w:rFonts w:ascii="Book Antiqua" w:hAnsi="Book Antiqua"/>
          <w:sz w:val="24"/>
          <w:szCs w:val="24"/>
          <w:lang w:val="en-GB"/>
        </w:rPr>
        <w:t>was</w:t>
      </w:r>
      <w:r w:rsidRPr="006B0C21">
        <w:rPr>
          <w:rFonts w:ascii="Book Antiqua" w:hAnsi="Book Antiqua"/>
          <w:sz w:val="24"/>
          <w:szCs w:val="24"/>
          <w:lang w:val="en-GB"/>
        </w:rPr>
        <w:t xml:space="preserve"> to investigate the association between the advanced</w:t>
      </w:r>
      <w:r w:rsidR="009B17A1">
        <w:rPr>
          <w:rFonts w:ascii="Book Antiqua" w:hAnsi="Book Antiqua"/>
          <w:sz w:val="24"/>
          <w:szCs w:val="24"/>
          <w:lang w:val="en-GB"/>
        </w:rPr>
        <w:t xml:space="preserve"> </w:t>
      </w:r>
      <w:r w:rsidRPr="006B0C21">
        <w:rPr>
          <w:rFonts w:ascii="Book Antiqua" w:hAnsi="Book Antiqua"/>
          <w:sz w:val="24"/>
          <w:szCs w:val="24"/>
          <w:lang w:val="en-GB"/>
        </w:rPr>
        <w:t>ag</w:t>
      </w:r>
      <w:r w:rsidR="009B17A1">
        <w:rPr>
          <w:rFonts w:ascii="Book Antiqua" w:hAnsi="Book Antiqua"/>
          <w:sz w:val="24"/>
          <w:szCs w:val="24"/>
          <w:lang w:val="en-GB"/>
        </w:rPr>
        <w:t>e</w:t>
      </w:r>
      <w:r w:rsidRPr="006B0C21">
        <w:rPr>
          <w:rFonts w:ascii="Book Antiqua" w:hAnsi="Book Antiqua"/>
          <w:sz w:val="24"/>
          <w:szCs w:val="24"/>
          <w:lang w:val="en-GB"/>
        </w:rPr>
        <w:t xml:space="preserve"> and difficult cannulation and the efficacy of different cannulation techniques. </w:t>
      </w:r>
      <w:r w:rsidR="009B17A1">
        <w:rPr>
          <w:rFonts w:ascii="Book Antiqua" w:hAnsi="Book Antiqua"/>
          <w:sz w:val="24"/>
          <w:szCs w:val="24"/>
          <w:lang w:val="en-GB"/>
        </w:rPr>
        <w:t>W</w:t>
      </w:r>
      <w:r w:rsidRPr="006B0C21">
        <w:rPr>
          <w:rFonts w:ascii="Book Antiqua" w:hAnsi="Book Antiqua"/>
          <w:sz w:val="24"/>
          <w:szCs w:val="24"/>
          <w:lang w:val="en-GB"/>
        </w:rPr>
        <w:t xml:space="preserve">e </w:t>
      </w:r>
      <w:r w:rsidR="009B17A1">
        <w:rPr>
          <w:rFonts w:ascii="Book Antiqua" w:hAnsi="Book Antiqua"/>
          <w:sz w:val="24"/>
          <w:szCs w:val="24"/>
          <w:lang w:val="en-GB"/>
        </w:rPr>
        <w:t xml:space="preserve">also </w:t>
      </w:r>
      <w:r w:rsidRPr="006B0C21">
        <w:rPr>
          <w:rFonts w:ascii="Book Antiqua" w:hAnsi="Book Antiqua"/>
          <w:sz w:val="24"/>
          <w:szCs w:val="24"/>
          <w:lang w:val="en-GB"/>
        </w:rPr>
        <w:t>aim</w:t>
      </w:r>
      <w:r w:rsidR="009B17A1">
        <w:rPr>
          <w:rFonts w:ascii="Book Antiqua" w:hAnsi="Book Antiqua"/>
          <w:sz w:val="24"/>
          <w:szCs w:val="24"/>
          <w:lang w:val="en-GB"/>
        </w:rPr>
        <w:t>ed</w:t>
      </w:r>
      <w:r w:rsidRPr="006B0C21">
        <w:rPr>
          <w:rFonts w:ascii="Book Antiqua" w:hAnsi="Book Antiqua"/>
          <w:sz w:val="24"/>
          <w:szCs w:val="24"/>
          <w:lang w:val="en-GB"/>
        </w:rPr>
        <w:t xml:space="preserve"> to evaluate the impact of difficult cannulation </w:t>
      </w:r>
      <w:r w:rsidR="009B17A1">
        <w:rPr>
          <w:rFonts w:ascii="Book Antiqua" w:hAnsi="Book Antiqua"/>
          <w:sz w:val="24"/>
          <w:szCs w:val="24"/>
          <w:lang w:val="en-GB"/>
        </w:rPr>
        <w:t>o</w:t>
      </w:r>
      <w:r w:rsidRPr="006B0C21">
        <w:rPr>
          <w:rFonts w:ascii="Book Antiqua" w:hAnsi="Book Antiqua"/>
          <w:sz w:val="24"/>
          <w:szCs w:val="24"/>
          <w:lang w:val="en-GB"/>
        </w:rPr>
        <w:t>n the occurrence of ERCP-related adverse events.</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Research methods</w:t>
      </w:r>
    </w:p>
    <w:p w:rsidR="00713A64" w:rsidRPr="006B0C21" w:rsidRDefault="00713A64" w:rsidP="006B0C21">
      <w:pPr>
        <w:adjustRightInd w:val="0"/>
        <w:snapToGrid w:val="0"/>
        <w:spacing w:line="360" w:lineRule="auto"/>
        <w:rPr>
          <w:rFonts w:ascii="Book Antiqua" w:hAnsi="Book Antiqua"/>
          <w:sz w:val="24"/>
          <w:szCs w:val="24"/>
          <w:lang w:val="en-GB"/>
        </w:rPr>
      </w:pPr>
      <w:r w:rsidRPr="006B0C21">
        <w:rPr>
          <w:rFonts w:ascii="Book Antiqua" w:hAnsi="Book Antiqua"/>
          <w:sz w:val="24"/>
          <w:szCs w:val="24"/>
          <w:lang w:val="en-GB"/>
        </w:rPr>
        <w:t>Patients who underwent ERCP during the study period were prospectively studied and divided into two groups based on their age. The primary outcome measurements were cannulation difficulty, cannulation success rate, and ERCP procedure time in both groups. Causes of difficult cannulation</w:t>
      </w:r>
      <w:r w:rsidR="009B17A1">
        <w:rPr>
          <w:rFonts w:ascii="Book Antiqua" w:hAnsi="Book Antiqua"/>
          <w:sz w:val="24"/>
          <w:szCs w:val="24"/>
          <w:lang w:val="en-GB"/>
        </w:rPr>
        <w:t>,</w:t>
      </w:r>
      <w:r w:rsidRPr="006B0C21">
        <w:rPr>
          <w:rFonts w:ascii="Book Antiqua" w:hAnsi="Book Antiqua"/>
          <w:sz w:val="24"/>
          <w:szCs w:val="24"/>
          <w:lang w:val="en-GB"/>
        </w:rPr>
        <w:t xml:space="preserve"> cannulation techniques</w:t>
      </w:r>
      <w:r w:rsidR="009B17A1" w:rsidRPr="009B17A1">
        <w:rPr>
          <w:rFonts w:ascii="Book Antiqua" w:hAnsi="Book Antiqua"/>
          <w:sz w:val="24"/>
          <w:szCs w:val="24"/>
          <w:lang w:val="en-GB"/>
        </w:rPr>
        <w:t xml:space="preserve"> </w:t>
      </w:r>
      <w:r w:rsidR="009B17A1" w:rsidRPr="006B0C21">
        <w:rPr>
          <w:rFonts w:ascii="Book Antiqua" w:hAnsi="Book Antiqua"/>
          <w:sz w:val="24"/>
          <w:szCs w:val="24"/>
          <w:lang w:val="en-GB"/>
        </w:rPr>
        <w:t>used</w:t>
      </w:r>
      <w:r w:rsidRPr="006B0C21">
        <w:rPr>
          <w:rFonts w:ascii="Book Antiqua" w:hAnsi="Book Antiqua"/>
          <w:sz w:val="24"/>
          <w:szCs w:val="24"/>
          <w:lang w:val="en-GB"/>
        </w:rPr>
        <w:t>, and related adverse events were analyzed.</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Research results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lang w:val="en-GB"/>
        </w:rPr>
        <w:t>A total of 614 patients who underwent ERCP with a native papilla were included, of whom 146 were age</w:t>
      </w:r>
      <w:r w:rsidR="009B17A1">
        <w:rPr>
          <w:rFonts w:ascii="Book Antiqua" w:hAnsi="Book Antiqua"/>
          <w:sz w:val="24"/>
          <w:szCs w:val="24"/>
          <w:lang w:val="en-GB"/>
        </w:rPr>
        <w:t>d</w:t>
      </w:r>
      <w:r w:rsidRPr="006B0C21">
        <w:rPr>
          <w:rFonts w:ascii="Book Antiqua" w:hAnsi="Book Antiqua"/>
          <w:sz w:val="24"/>
          <w:szCs w:val="24"/>
          <w:lang w:val="en-GB"/>
        </w:rPr>
        <w:t xml:space="preserve"> 80 years or older. The incidence of difficult cannulation and cannulation success rate in </w:t>
      </w:r>
      <w:r w:rsidR="009B17A1">
        <w:rPr>
          <w:rFonts w:ascii="Book Antiqua" w:hAnsi="Book Antiqua"/>
          <w:sz w:val="24"/>
          <w:szCs w:val="24"/>
          <w:lang w:val="en-GB"/>
        </w:rPr>
        <w:t>elderly</w:t>
      </w:r>
      <w:r w:rsidRPr="006B0C21">
        <w:rPr>
          <w:rFonts w:ascii="Book Antiqua" w:hAnsi="Book Antiqua"/>
          <w:sz w:val="24"/>
          <w:szCs w:val="24"/>
          <w:lang w:val="en-GB"/>
        </w:rPr>
        <w:t xml:space="preserve"> patients were comparable to those </w:t>
      </w:r>
      <w:r w:rsidR="009B17A1">
        <w:rPr>
          <w:rFonts w:ascii="Book Antiqua" w:hAnsi="Book Antiqua"/>
          <w:sz w:val="24"/>
          <w:szCs w:val="24"/>
          <w:lang w:val="en-GB"/>
        </w:rPr>
        <w:t>in</w:t>
      </w:r>
      <w:r w:rsidRPr="006B0C21">
        <w:rPr>
          <w:rFonts w:ascii="Book Antiqua" w:hAnsi="Book Antiqua"/>
          <w:sz w:val="24"/>
          <w:szCs w:val="24"/>
          <w:lang w:val="en-GB"/>
        </w:rPr>
        <w:t xml:space="preserve"> younger </w:t>
      </w:r>
      <w:r w:rsidR="009B17A1">
        <w:rPr>
          <w:rFonts w:ascii="Book Antiqua" w:hAnsi="Book Antiqua"/>
          <w:sz w:val="24"/>
          <w:szCs w:val="24"/>
          <w:lang w:val="en-GB"/>
        </w:rPr>
        <w:t>patients</w:t>
      </w:r>
      <w:r w:rsidRPr="006B0C21">
        <w:rPr>
          <w:rFonts w:ascii="Book Antiqua" w:hAnsi="Book Antiqua"/>
          <w:sz w:val="24"/>
          <w:szCs w:val="24"/>
          <w:lang w:val="en-GB"/>
        </w:rPr>
        <w:t xml:space="preserve">, and secondary cannulation techniques can be safely and efficaciously utilized </w:t>
      </w:r>
      <w:r w:rsidR="009B17A1">
        <w:rPr>
          <w:rFonts w:ascii="Book Antiqua" w:hAnsi="Book Antiqua"/>
          <w:sz w:val="24"/>
          <w:szCs w:val="24"/>
          <w:lang w:val="en-GB"/>
        </w:rPr>
        <w:t>in</w:t>
      </w:r>
      <w:r w:rsidRPr="006B0C21">
        <w:rPr>
          <w:rFonts w:ascii="Book Antiqua" w:hAnsi="Book Antiqua"/>
          <w:sz w:val="24"/>
          <w:szCs w:val="24"/>
          <w:lang w:val="en-GB"/>
        </w:rPr>
        <w:t xml:space="preserve"> this group. In multivaria</w:t>
      </w:r>
      <w:r w:rsidR="009B17A1">
        <w:rPr>
          <w:rFonts w:ascii="Book Antiqua" w:hAnsi="Book Antiqua"/>
          <w:sz w:val="24"/>
          <w:szCs w:val="24"/>
          <w:lang w:val="en-GB"/>
        </w:rPr>
        <w:t>t</w:t>
      </w:r>
      <w:r w:rsidRPr="006B0C21">
        <w:rPr>
          <w:rFonts w:ascii="Book Antiqua" w:hAnsi="Book Antiqua"/>
          <w:sz w:val="24"/>
          <w:szCs w:val="24"/>
          <w:lang w:val="en-GB"/>
        </w:rPr>
        <w:t xml:space="preserve">e analyses with adjustment for potential confounders, age </w:t>
      </w:r>
      <w:r w:rsidR="009B17A1">
        <w:rPr>
          <w:rFonts w:ascii="Book Antiqua" w:hAnsi="Book Antiqua"/>
          <w:sz w:val="24"/>
          <w:szCs w:val="24"/>
          <w:lang w:val="en-GB"/>
        </w:rPr>
        <w:t>greater</w:t>
      </w:r>
      <w:r w:rsidRPr="006B0C21">
        <w:rPr>
          <w:rFonts w:ascii="Book Antiqua" w:hAnsi="Book Antiqua"/>
          <w:sz w:val="24"/>
          <w:szCs w:val="24"/>
          <w:lang w:val="en-GB"/>
        </w:rPr>
        <w:t xml:space="preserve"> than 80 </w:t>
      </w:r>
      <w:r w:rsidR="009B17A1">
        <w:rPr>
          <w:rFonts w:ascii="Book Antiqua" w:hAnsi="Book Antiqua"/>
          <w:sz w:val="24"/>
          <w:szCs w:val="24"/>
          <w:lang w:val="en-GB"/>
        </w:rPr>
        <w:t xml:space="preserve">years </w:t>
      </w:r>
      <w:r w:rsidRPr="006B0C21">
        <w:rPr>
          <w:rFonts w:ascii="Book Antiqua" w:hAnsi="Book Antiqua"/>
          <w:sz w:val="24"/>
          <w:szCs w:val="24"/>
          <w:lang w:val="en-GB"/>
        </w:rPr>
        <w:t>was not associated with an increase</w:t>
      </w:r>
      <w:r w:rsidR="009B17A1">
        <w:rPr>
          <w:rFonts w:ascii="Book Antiqua" w:hAnsi="Book Antiqua"/>
          <w:sz w:val="24"/>
          <w:szCs w:val="24"/>
          <w:lang w:val="en-GB"/>
        </w:rPr>
        <w:t xml:space="preserve"> in</w:t>
      </w:r>
      <w:r w:rsidRPr="006B0C21">
        <w:rPr>
          <w:rFonts w:ascii="Book Antiqua" w:hAnsi="Book Antiqua"/>
          <w:sz w:val="24"/>
          <w:szCs w:val="24"/>
          <w:lang w:val="en-GB"/>
        </w:rPr>
        <w:t xml:space="preserve"> adverse event</w:t>
      </w:r>
      <w:r w:rsidR="009B17A1">
        <w:rPr>
          <w:rFonts w:ascii="Book Antiqua" w:hAnsi="Book Antiqua"/>
          <w:sz w:val="24"/>
          <w:szCs w:val="24"/>
          <w:lang w:val="en-GB"/>
        </w:rPr>
        <w:t>s</w:t>
      </w:r>
      <w:r w:rsidRPr="006B0C21">
        <w:rPr>
          <w:rFonts w:ascii="Book Antiqua" w:hAnsi="Book Antiqua"/>
          <w:sz w:val="24"/>
          <w:szCs w:val="24"/>
          <w:lang w:val="en-GB"/>
        </w:rPr>
        <w:t xml:space="preserve">. However, </w:t>
      </w:r>
      <w:r w:rsidR="009B17A1">
        <w:rPr>
          <w:rFonts w:ascii="Book Antiqua" w:hAnsi="Book Antiqua"/>
          <w:sz w:val="24"/>
          <w:szCs w:val="24"/>
          <w:lang w:val="en-GB"/>
        </w:rPr>
        <w:t xml:space="preserve">patients with </w:t>
      </w:r>
      <w:r w:rsidRPr="006B0C21">
        <w:rPr>
          <w:rFonts w:ascii="Book Antiqua" w:hAnsi="Book Antiqua"/>
          <w:sz w:val="24"/>
          <w:szCs w:val="24"/>
          <w:lang w:val="en-GB"/>
        </w:rPr>
        <w:t>difficult cannulation and th</w:t>
      </w:r>
      <w:r w:rsidR="009B17A1">
        <w:rPr>
          <w:rFonts w:ascii="Book Antiqua" w:hAnsi="Book Antiqua"/>
          <w:sz w:val="24"/>
          <w:szCs w:val="24"/>
          <w:lang w:val="en-GB"/>
        </w:rPr>
        <w:t xml:space="preserve">ose </w:t>
      </w:r>
      <w:r w:rsidRPr="006B0C21">
        <w:rPr>
          <w:rFonts w:ascii="Book Antiqua" w:hAnsi="Book Antiqua"/>
          <w:sz w:val="24"/>
          <w:szCs w:val="24"/>
          <w:lang w:val="en-GB"/>
        </w:rPr>
        <w:t>wi</w:t>
      </w:r>
      <w:r w:rsidR="00B61167" w:rsidRPr="006B0C21">
        <w:rPr>
          <w:rFonts w:ascii="Book Antiqua" w:hAnsi="Book Antiqua"/>
          <w:sz w:val="24"/>
          <w:szCs w:val="24"/>
          <w:lang w:val="en-GB"/>
        </w:rPr>
        <w:t xml:space="preserve">th </w:t>
      </w:r>
      <w:r w:rsidR="009B17A1">
        <w:rPr>
          <w:rFonts w:ascii="Book Antiqua" w:hAnsi="Book Antiqua"/>
          <w:sz w:val="24"/>
          <w:szCs w:val="24"/>
          <w:lang w:val="en-GB"/>
        </w:rPr>
        <w:t xml:space="preserve">a </w:t>
      </w:r>
      <w:r w:rsidR="00B61167" w:rsidRPr="006B0C21">
        <w:rPr>
          <w:rFonts w:ascii="Book Antiqua" w:hAnsi="Book Antiqua"/>
          <w:sz w:val="24"/>
          <w:szCs w:val="24"/>
          <w:lang w:val="en-GB"/>
        </w:rPr>
        <w:t xml:space="preserve">Charlson </w:t>
      </w:r>
      <w:r w:rsidR="00F00808">
        <w:rPr>
          <w:rFonts w:ascii="Book Antiqua" w:hAnsi="Book Antiqua"/>
          <w:sz w:val="24"/>
          <w:szCs w:val="24"/>
          <w:lang w:val="en-GB"/>
        </w:rPr>
        <w:t>C</w:t>
      </w:r>
      <w:r w:rsidR="00B61167" w:rsidRPr="006B0C21">
        <w:rPr>
          <w:rFonts w:ascii="Book Antiqua" w:hAnsi="Book Antiqua"/>
          <w:sz w:val="24"/>
          <w:szCs w:val="24"/>
          <w:lang w:val="en-GB"/>
        </w:rPr>
        <w:t>omorbidit</w:t>
      </w:r>
      <w:r w:rsidR="009B17A1">
        <w:rPr>
          <w:rFonts w:ascii="Book Antiqua" w:hAnsi="Book Antiqua"/>
          <w:sz w:val="24"/>
          <w:szCs w:val="24"/>
          <w:lang w:val="en-GB"/>
        </w:rPr>
        <w:t>y</w:t>
      </w:r>
      <w:r w:rsidR="00B61167" w:rsidRPr="006B0C21">
        <w:rPr>
          <w:rFonts w:ascii="Book Antiqua" w:hAnsi="Book Antiqua"/>
          <w:sz w:val="24"/>
          <w:szCs w:val="24"/>
          <w:lang w:val="en-GB"/>
        </w:rPr>
        <w:t xml:space="preserve"> </w:t>
      </w:r>
      <w:r w:rsidR="00F00808">
        <w:rPr>
          <w:rFonts w:ascii="Book Antiqua" w:hAnsi="Book Antiqua"/>
          <w:sz w:val="24"/>
          <w:szCs w:val="24"/>
          <w:lang w:val="en-GB"/>
        </w:rPr>
        <w:t>I</w:t>
      </w:r>
      <w:r w:rsidR="00B61167" w:rsidRPr="006B0C21">
        <w:rPr>
          <w:rFonts w:ascii="Book Antiqua" w:hAnsi="Book Antiqua"/>
          <w:sz w:val="24"/>
          <w:szCs w:val="24"/>
          <w:lang w:val="en-GB"/>
        </w:rPr>
        <w:t>ndex</w:t>
      </w:r>
      <w:r w:rsidRPr="006B0C21">
        <w:rPr>
          <w:rFonts w:ascii="Book Antiqua" w:hAnsi="Book Antiqua"/>
          <w:sz w:val="24"/>
          <w:szCs w:val="24"/>
          <w:lang w:val="en-GB"/>
        </w:rPr>
        <w:t xml:space="preserve"> ≥</w:t>
      </w:r>
      <w:r w:rsidR="00B61167" w:rsidRPr="006B0C21">
        <w:rPr>
          <w:rFonts w:ascii="Book Antiqua" w:hAnsi="Book Antiqua"/>
          <w:sz w:val="24"/>
          <w:szCs w:val="24"/>
          <w:lang w:val="en-GB"/>
        </w:rPr>
        <w:t xml:space="preserve"> </w:t>
      </w:r>
      <w:r w:rsidRPr="006B0C21">
        <w:rPr>
          <w:rFonts w:ascii="Book Antiqua" w:hAnsi="Book Antiqua"/>
          <w:sz w:val="24"/>
          <w:szCs w:val="24"/>
          <w:lang w:val="en-GB"/>
        </w:rPr>
        <w:t>2 were more likely to develop adverse events.</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Research conclusions</w:t>
      </w:r>
    </w:p>
    <w:p w:rsidR="00713A64" w:rsidRPr="006B0C21" w:rsidRDefault="00713A64" w:rsidP="006B0C21">
      <w:pPr>
        <w:adjustRightInd w:val="0"/>
        <w:snapToGrid w:val="0"/>
        <w:spacing w:line="360" w:lineRule="auto"/>
        <w:rPr>
          <w:rFonts w:ascii="Book Antiqua" w:hAnsi="Book Antiqua"/>
          <w:sz w:val="24"/>
          <w:szCs w:val="24"/>
          <w:lang w:val="en-GB"/>
        </w:rPr>
      </w:pPr>
      <w:r w:rsidRPr="006B0C21">
        <w:rPr>
          <w:rFonts w:ascii="Book Antiqua" w:hAnsi="Book Antiqua"/>
          <w:sz w:val="24"/>
          <w:szCs w:val="24"/>
          <w:lang w:val="en-GB"/>
        </w:rPr>
        <w:t>The prevalence of difficult biliary cannulation during ERCP is not more common in patients over 80 years of age. Using different cannulation techniques is effective in achieving biliary access in the elderly with a lower rate of post</w:t>
      </w:r>
      <w:r w:rsidR="009B17A1">
        <w:rPr>
          <w:rFonts w:ascii="Book Antiqua" w:hAnsi="Book Antiqua"/>
          <w:sz w:val="24"/>
          <w:szCs w:val="24"/>
          <w:lang w:val="en-GB"/>
        </w:rPr>
        <w:t>-</w:t>
      </w:r>
      <w:r w:rsidRPr="006B0C21">
        <w:rPr>
          <w:rFonts w:ascii="Book Antiqua" w:hAnsi="Book Antiqua"/>
          <w:sz w:val="24"/>
          <w:szCs w:val="24"/>
          <w:lang w:val="en-GB"/>
        </w:rPr>
        <w:t>ERCP pancreatitis compared with younger patients.</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i/>
          <w:sz w:val="24"/>
          <w:szCs w:val="24"/>
        </w:rPr>
      </w:pPr>
      <w:r w:rsidRPr="006B0C21">
        <w:rPr>
          <w:rFonts w:ascii="Book Antiqua" w:hAnsi="Book Antiqua"/>
          <w:b/>
          <w:i/>
          <w:sz w:val="24"/>
          <w:szCs w:val="24"/>
        </w:rPr>
        <w:t>Research perspectives</w:t>
      </w:r>
    </w:p>
    <w:p w:rsidR="00713A64" w:rsidRPr="006B0C21" w:rsidRDefault="00713A64" w:rsidP="006B0C21">
      <w:pPr>
        <w:adjustRightInd w:val="0"/>
        <w:snapToGrid w:val="0"/>
        <w:spacing w:line="360" w:lineRule="auto"/>
        <w:rPr>
          <w:rFonts w:ascii="Book Antiqua" w:hAnsi="Book Antiqua"/>
          <w:sz w:val="24"/>
          <w:szCs w:val="24"/>
          <w:lang w:val="en-GB"/>
        </w:rPr>
      </w:pPr>
      <w:r w:rsidRPr="006B0C21">
        <w:rPr>
          <w:rFonts w:ascii="Book Antiqua" w:hAnsi="Book Antiqua"/>
          <w:sz w:val="24"/>
          <w:szCs w:val="24"/>
        </w:rPr>
        <w:t>Th</w:t>
      </w:r>
      <w:r w:rsidR="009B17A1">
        <w:rPr>
          <w:rFonts w:ascii="Book Antiqua" w:hAnsi="Book Antiqua"/>
          <w:sz w:val="24"/>
          <w:szCs w:val="24"/>
        </w:rPr>
        <w:t>is</w:t>
      </w:r>
      <w:r w:rsidRPr="006B0C21">
        <w:rPr>
          <w:rFonts w:ascii="Book Antiqua" w:hAnsi="Book Antiqua"/>
          <w:sz w:val="24"/>
          <w:szCs w:val="24"/>
        </w:rPr>
        <w:t xml:space="preserve"> study was performed at a single center with a limited number of elderly patients. </w:t>
      </w:r>
      <w:r w:rsidRPr="006B0C21">
        <w:rPr>
          <w:rFonts w:ascii="Book Antiqua" w:hAnsi="Book Antiqua"/>
          <w:sz w:val="24"/>
          <w:szCs w:val="24"/>
          <w:lang w:val="en-GB"/>
        </w:rPr>
        <w:t xml:space="preserve">Multi-center prospective studies with a large sample of </w:t>
      </w:r>
      <w:r w:rsidR="009B17A1">
        <w:rPr>
          <w:rFonts w:ascii="Book Antiqua" w:hAnsi="Book Antiqua"/>
          <w:sz w:val="24"/>
          <w:szCs w:val="24"/>
          <w:lang w:val="en-GB"/>
        </w:rPr>
        <w:t>elderly</w:t>
      </w:r>
      <w:r w:rsidRPr="006B0C21">
        <w:rPr>
          <w:rFonts w:ascii="Book Antiqua" w:hAnsi="Book Antiqua"/>
          <w:sz w:val="24"/>
          <w:szCs w:val="24"/>
          <w:lang w:val="en-GB"/>
        </w:rPr>
        <w:t xml:space="preserve"> patients are required to evaluate the short-and long-term consequences of difficult cannulation and advanced cannulation techniques.</w:t>
      </w:r>
    </w:p>
    <w:p w:rsidR="00713A64" w:rsidRPr="006B0C21" w:rsidRDefault="00713A64" w:rsidP="006B0C21">
      <w:pPr>
        <w:adjustRightInd w:val="0"/>
        <w:snapToGrid w:val="0"/>
        <w:spacing w:line="360" w:lineRule="auto"/>
        <w:rPr>
          <w:rFonts w:ascii="Book Antiqua" w:hAnsi="Book Antiqua"/>
          <w:b/>
          <w:sz w:val="24"/>
          <w:szCs w:val="24"/>
        </w:rPr>
      </w:pPr>
    </w:p>
    <w:p w:rsidR="00B61167" w:rsidRPr="006B0C21" w:rsidRDefault="00B61167" w:rsidP="006B0C21">
      <w:pPr>
        <w:adjustRightInd w:val="0"/>
        <w:snapToGrid w:val="0"/>
        <w:spacing w:line="360" w:lineRule="auto"/>
        <w:rPr>
          <w:rFonts w:ascii="Book Antiqua" w:hAnsi="Book Antiqua"/>
          <w:b/>
          <w:bCs/>
          <w:color w:val="000000"/>
          <w:sz w:val="24"/>
          <w:szCs w:val="24"/>
          <w:u w:val="single"/>
        </w:rPr>
      </w:pPr>
      <w:r w:rsidRPr="006B0C21">
        <w:rPr>
          <w:rFonts w:ascii="Book Antiqua" w:hAnsi="Book Antiqua"/>
          <w:b/>
          <w:bCs/>
          <w:color w:val="000000"/>
          <w:sz w:val="24"/>
          <w:szCs w:val="24"/>
          <w:u w:val="single"/>
        </w:rPr>
        <w:t>ACKOWLEDGEMENTS</w:t>
      </w:r>
    </w:p>
    <w:p w:rsidR="00713A64" w:rsidRPr="006B0C21" w:rsidRDefault="00713A64"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The authors thank the editors and four reviewers for their valuable comments, which resulted in considerable improvements to our manuscript. Also, the authors thank Dr. Saeed Assani for his professional suggestions.</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REFERENCES</w:t>
      </w:r>
    </w:p>
    <w:p w:rsidR="00DE3FAF" w:rsidRPr="006B0C21" w:rsidRDefault="00DE3FAF" w:rsidP="006B0C21">
      <w:pPr>
        <w:adjustRightInd w:val="0"/>
        <w:snapToGrid w:val="0"/>
        <w:spacing w:line="360" w:lineRule="auto"/>
        <w:rPr>
          <w:rFonts w:ascii="Book Antiqua" w:hAnsi="Book Antiqua"/>
          <w:sz w:val="24"/>
          <w:szCs w:val="24"/>
        </w:rPr>
      </w:pPr>
      <w:r w:rsidRPr="004831CD">
        <w:rPr>
          <w:rFonts w:ascii="Book Antiqua" w:hAnsi="Book Antiqua"/>
          <w:sz w:val="24"/>
          <w:szCs w:val="24"/>
        </w:rPr>
        <w:t xml:space="preserve">1 </w:t>
      </w:r>
      <w:r w:rsidRPr="004831CD">
        <w:rPr>
          <w:rFonts w:ascii="Book Antiqua" w:hAnsi="Book Antiqua"/>
          <w:b/>
          <w:bCs/>
          <w:sz w:val="24"/>
          <w:szCs w:val="24"/>
        </w:rPr>
        <w:t>Wei C,</w:t>
      </w:r>
      <w:r w:rsidRPr="004831CD">
        <w:rPr>
          <w:rFonts w:ascii="Book Antiqua" w:hAnsi="Book Antiqua"/>
          <w:sz w:val="24"/>
          <w:szCs w:val="24"/>
        </w:rPr>
        <w:t xml:space="preserve"> Jin-Ju L. Future Population Trends in China: 2005-2050. Available from: </w:t>
      </w:r>
      <w:r w:rsidR="001073AC" w:rsidRPr="00C853A9">
        <w:rPr>
          <w:rFonts w:ascii="Book Antiqua" w:hAnsi="Book Antiqua"/>
          <w:sz w:val="24"/>
          <w:szCs w:val="24"/>
        </w:rPr>
        <w:t>https://cn.bing.com/search?q=Future+Population+Trends+in+China&amp;qs=n&amp;form=QBRE&amp;sp=-1&amp;pq=future+population+trends+in+china&amp;sc=0-33&amp;sk=&amp;cvid=9A4A66A2B094409191E0A5D5FF852ED4</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2 </w:t>
      </w:r>
      <w:r w:rsidRPr="006B0C21">
        <w:rPr>
          <w:rFonts w:ascii="Book Antiqua" w:hAnsi="Book Antiqua"/>
          <w:b/>
          <w:bCs/>
          <w:sz w:val="24"/>
          <w:szCs w:val="24"/>
        </w:rPr>
        <w:t>Day LW</w:t>
      </w:r>
      <w:r w:rsidRPr="006B0C21">
        <w:rPr>
          <w:rFonts w:ascii="Book Antiqua" w:hAnsi="Book Antiqua"/>
          <w:sz w:val="24"/>
          <w:szCs w:val="24"/>
        </w:rPr>
        <w:t xml:space="preserve">, Lin L, Somsouk M. Adverse events in older patients undergoing ERCP: a systematic review and meta-analysis. </w:t>
      </w:r>
      <w:r w:rsidRPr="006B0C21">
        <w:rPr>
          <w:rFonts w:ascii="Book Antiqua" w:hAnsi="Book Antiqua"/>
          <w:i/>
          <w:iCs/>
          <w:sz w:val="24"/>
          <w:szCs w:val="24"/>
        </w:rPr>
        <w:t>Endosc Int Open</w:t>
      </w:r>
      <w:r w:rsidRPr="006B0C21">
        <w:rPr>
          <w:rFonts w:ascii="Book Antiqua" w:hAnsi="Book Antiqua"/>
          <w:sz w:val="24"/>
          <w:szCs w:val="24"/>
        </w:rPr>
        <w:t xml:space="preserve"> 2014; </w:t>
      </w:r>
      <w:r w:rsidRPr="006B0C21">
        <w:rPr>
          <w:rFonts w:ascii="Book Antiqua" w:hAnsi="Book Antiqua"/>
          <w:b/>
          <w:bCs/>
          <w:sz w:val="24"/>
          <w:szCs w:val="24"/>
        </w:rPr>
        <w:t>2</w:t>
      </w:r>
      <w:r w:rsidRPr="006B0C21">
        <w:rPr>
          <w:rFonts w:ascii="Book Antiqua" w:hAnsi="Book Antiqua"/>
          <w:sz w:val="24"/>
          <w:szCs w:val="24"/>
        </w:rPr>
        <w:t>: E28-E36 [PMID: 26134610 DOI: 10.1016/j.gie.2011.06.023]</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3 </w:t>
      </w:r>
      <w:r w:rsidRPr="006B0C21">
        <w:rPr>
          <w:rFonts w:ascii="Book Antiqua" w:hAnsi="Book Antiqua"/>
          <w:b/>
          <w:bCs/>
          <w:sz w:val="24"/>
          <w:szCs w:val="24"/>
        </w:rPr>
        <w:t>Testoni PA</w:t>
      </w:r>
      <w:r w:rsidRPr="006B0C21">
        <w:rPr>
          <w:rFonts w:ascii="Book Antiqua" w:hAnsi="Book Antiqua"/>
          <w:sz w:val="24"/>
          <w:szCs w:val="24"/>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European Society of Gastrointestinal Endoscopy (ESGE) Clinical Guideline. </w:t>
      </w:r>
      <w:r w:rsidRPr="006B0C21">
        <w:rPr>
          <w:rFonts w:ascii="Book Antiqua" w:hAnsi="Book Antiqua"/>
          <w:i/>
          <w:iCs/>
          <w:sz w:val="24"/>
          <w:szCs w:val="24"/>
        </w:rPr>
        <w:t>Endoscopy</w:t>
      </w:r>
      <w:r w:rsidRPr="006B0C21">
        <w:rPr>
          <w:rFonts w:ascii="Book Antiqua" w:hAnsi="Book Antiqua"/>
          <w:sz w:val="24"/>
          <w:szCs w:val="24"/>
        </w:rPr>
        <w:t xml:space="preserve"> 2016; </w:t>
      </w:r>
      <w:r w:rsidRPr="006B0C21">
        <w:rPr>
          <w:rFonts w:ascii="Book Antiqua" w:hAnsi="Book Antiqua"/>
          <w:b/>
          <w:bCs/>
          <w:sz w:val="24"/>
          <w:szCs w:val="24"/>
        </w:rPr>
        <w:t>48</w:t>
      </w:r>
      <w:r w:rsidRPr="006B0C21">
        <w:rPr>
          <w:rFonts w:ascii="Book Antiqua" w:hAnsi="Book Antiqua"/>
          <w:sz w:val="24"/>
          <w:szCs w:val="24"/>
        </w:rPr>
        <w:t>: 657-683 [PMID: 27299638 DOI: 10.1055/s-0042-108641]</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4 </w:t>
      </w:r>
      <w:r w:rsidRPr="006B0C21">
        <w:rPr>
          <w:rFonts w:ascii="Book Antiqua" w:hAnsi="Book Antiqua"/>
          <w:b/>
          <w:bCs/>
          <w:sz w:val="24"/>
          <w:szCs w:val="24"/>
        </w:rPr>
        <w:t>Halttunen J</w:t>
      </w:r>
      <w:r w:rsidRPr="006B0C21">
        <w:rPr>
          <w:rFonts w:ascii="Book Antiqua" w:hAnsi="Book Antiqua"/>
          <w:sz w:val="24"/>
          <w:szCs w:val="24"/>
        </w:rPr>
        <w:t xml:space="preserve">, Meisner S, Aabakken L, Arnelo U, Grönroos J, Hauge T, Kleveland PM, Nordblad Schmidt P, Saarela A, Swahn F, Toth E, Mustonen H, Löhr JM. Difficult cannulation as defined by a prospective study of the Scandinavian Association for Digestive Endoscopy (SADE) in 907 ERCPs. </w:t>
      </w:r>
      <w:r w:rsidRPr="006B0C21">
        <w:rPr>
          <w:rFonts w:ascii="Book Antiqua" w:hAnsi="Book Antiqua"/>
          <w:i/>
          <w:iCs/>
          <w:sz w:val="24"/>
          <w:szCs w:val="24"/>
        </w:rPr>
        <w:t>Scand J Gastroenterol</w:t>
      </w:r>
      <w:r w:rsidRPr="006B0C21">
        <w:rPr>
          <w:rFonts w:ascii="Book Antiqua" w:hAnsi="Book Antiqua"/>
          <w:sz w:val="24"/>
          <w:szCs w:val="24"/>
        </w:rPr>
        <w:t xml:space="preserve"> 2014; </w:t>
      </w:r>
      <w:r w:rsidRPr="006B0C21">
        <w:rPr>
          <w:rFonts w:ascii="Book Antiqua" w:hAnsi="Book Antiqua"/>
          <w:b/>
          <w:bCs/>
          <w:sz w:val="24"/>
          <w:szCs w:val="24"/>
        </w:rPr>
        <w:t>49</w:t>
      </w:r>
      <w:r w:rsidRPr="006B0C21">
        <w:rPr>
          <w:rFonts w:ascii="Book Antiqua" w:hAnsi="Book Antiqua"/>
          <w:sz w:val="24"/>
          <w:szCs w:val="24"/>
        </w:rPr>
        <w:t>: 752-758 [PMID: 24628493 DOI: 10.3109/00365521.2014.894120]</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5 </w:t>
      </w:r>
      <w:r w:rsidRPr="006B0C21">
        <w:rPr>
          <w:rFonts w:ascii="Book Antiqua" w:hAnsi="Book Antiqua"/>
          <w:b/>
          <w:bCs/>
          <w:sz w:val="24"/>
          <w:szCs w:val="24"/>
        </w:rPr>
        <w:t>Cheng CL</w:t>
      </w:r>
      <w:r w:rsidRPr="006B0C21">
        <w:rPr>
          <w:rFonts w:ascii="Book Antiqua" w:hAnsi="Book Antiqua"/>
          <w:sz w:val="24"/>
          <w:szCs w:val="24"/>
        </w:rP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sidRPr="006B0C21">
        <w:rPr>
          <w:rFonts w:ascii="Book Antiqua" w:hAnsi="Book Antiqua"/>
          <w:i/>
          <w:iCs/>
          <w:sz w:val="24"/>
          <w:szCs w:val="24"/>
        </w:rPr>
        <w:t>Am J Gastroenterol</w:t>
      </w:r>
      <w:r w:rsidRPr="006B0C21">
        <w:rPr>
          <w:rFonts w:ascii="Book Antiqua" w:hAnsi="Book Antiqua"/>
          <w:sz w:val="24"/>
          <w:szCs w:val="24"/>
        </w:rPr>
        <w:t xml:space="preserve"> 2006; </w:t>
      </w:r>
      <w:r w:rsidRPr="006B0C21">
        <w:rPr>
          <w:rFonts w:ascii="Book Antiqua" w:hAnsi="Book Antiqua"/>
          <w:b/>
          <w:bCs/>
          <w:sz w:val="24"/>
          <w:szCs w:val="24"/>
        </w:rPr>
        <w:t>101</w:t>
      </w:r>
      <w:r w:rsidRPr="006B0C21">
        <w:rPr>
          <w:rFonts w:ascii="Book Antiqua" w:hAnsi="Book Antiqua"/>
          <w:sz w:val="24"/>
          <w:szCs w:val="24"/>
        </w:rPr>
        <w:t>: 139-147 [PMID: 16405547 DOI: 10.1111/j.1572-0241.2006.00380.x]</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6 </w:t>
      </w:r>
      <w:r w:rsidRPr="006B0C21">
        <w:rPr>
          <w:rFonts w:ascii="Book Antiqua" w:hAnsi="Book Antiqua"/>
          <w:b/>
          <w:bCs/>
          <w:sz w:val="24"/>
          <w:szCs w:val="24"/>
        </w:rPr>
        <w:t>Nakai Y</w:t>
      </w:r>
      <w:r w:rsidRPr="006B0C21">
        <w:rPr>
          <w:rFonts w:ascii="Book Antiqua" w:hAnsi="Book Antiqua"/>
          <w:sz w:val="24"/>
          <w:szCs w:val="24"/>
        </w:rPr>
        <w:t xml:space="preserve">, Isayama H, Sasahira N, Kogure H, Sasaki T, Yamamoto N, Saito K, Umefune G, Akiyama D, Kawahata S, Matsukawa M, Saito T, Hamada T, Takahara N, Mizuno S, Miyabayashi K, Mohri D, Hirano K, Tada M, Koike K. Risk factors for post-ERCP pancreatitis in wire-guided cannulation for therapeutic biliary ERCP. </w:t>
      </w:r>
      <w:r w:rsidRPr="006B0C21">
        <w:rPr>
          <w:rFonts w:ascii="Book Antiqua" w:hAnsi="Book Antiqua"/>
          <w:i/>
          <w:iCs/>
          <w:sz w:val="24"/>
          <w:szCs w:val="24"/>
        </w:rPr>
        <w:t>Gastrointest Endosc</w:t>
      </w:r>
      <w:r w:rsidRPr="006B0C21">
        <w:rPr>
          <w:rFonts w:ascii="Book Antiqua" w:hAnsi="Book Antiqua"/>
          <w:sz w:val="24"/>
          <w:szCs w:val="24"/>
        </w:rPr>
        <w:t xml:space="preserve"> 2015; </w:t>
      </w:r>
      <w:r w:rsidRPr="006B0C21">
        <w:rPr>
          <w:rFonts w:ascii="Book Antiqua" w:hAnsi="Book Antiqua"/>
          <w:b/>
          <w:bCs/>
          <w:sz w:val="24"/>
          <w:szCs w:val="24"/>
        </w:rPr>
        <w:t>81</w:t>
      </w:r>
      <w:r w:rsidRPr="006B0C21">
        <w:rPr>
          <w:rFonts w:ascii="Book Antiqua" w:hAnsi="Book Antiqua"/>
          <w:sz w:val="24"/>
          <w:szCs w:val="24"/>
        </w:rPr>
        <w:t>: 119-126 [PMID: 25442080 DOI: 10.1016/j.gie.2014.06.005]</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7 </w:t>
      </w:r>
      <w:r w:rsidRPr="006B0C21">
        <w:rPr>
          <w:rFonts w:ascii="Book Antiqua" w:hAnsi="Book Antiqua"/>
          <w:b/>
          <w:bCs/>
          <w:sz w:val="24"/>
          <w:szCs w:val="24"/>
        </w:rPr>
        <w:t>Tumi A,</w:t>
      </w:r>
      <w:r w:rsidR="00791A52">
        <w:rPr>
          <w:rFonts w:ascii="Book Antiqua" w:hAnsi="Book Antiqua"/>
          <w:sz w:val="24"/>
          <w:szCs w:val="24"/>
        </w:rPr>
        <w:t xml:space="preserve"> Magadmi M, Elfageih S, Rajab AF, Azzabi M, Elzouki A</w:t>
      </w:r>
      <w:r w:rsidRPr="006B0C21">
        <w:rPr>
          <w:rFonts w:ascii="Book Antiqua" w:hAnsi="Book Antiqua"/>
          <w:sz w:val="24"/>
          <w:szCs w:val="24"/>
        </w:rPr>
        <w:t xml:space="preserve">N. ERCP in a cohort of 759 cases: A 6-year experience of a single tertiary centre in Libya. </w:t>
      </w:r>
      <w:r w:rsidRPr="006B0C21">
        <w:rPr>
          <w:rFonts w:ascii="Book Antiqua" w:hAnsi="Book Antiqua"/>
          <w:i/>
          <w:sz w:val="24"/>
          <w:szCs w:val="24"/>
        </w:rPr>
        <w:t>Arab J</w:t>
      </w:r>
      <w:r w:rsidR="00791A52">
        <w:rPr>
          <w:rFonts w:ascii="Book Antiqua" w:hAnsi="Book Antiqua"/>
          <w:i/>
          <w:sz w:val="24"/>
          <w:szCs w:val="24"/>
        </w:rPr>
        <w:t xml:space="preserve"> </w:t>
      </w:r>
      <w:r w:rsidRPr="006B0C21">
        <w:rPr>
          <w:rFonts w:ascii="Book Antiqua" w:hAnsi="Book Antiqua"/>
          <w:i/>
          <w:sz w:val="24"/>
          <w:szCs w:val="24"/>
        </w:rPr>
        <w:t>Gastroenterol</w:t>
      </w:r>
      <w:r w:rsidR="00791A52">
        <w:rPr>
          <w:rFonts w:ascii="Book Antiqua" w:hAnsi="Book Antiqua"/>
          <w:i/>
          <w:sz w:val="24"/>
          <w:szCs w:val="24"/>
        </w:rPr>
        <w:t xml:space="preserve"> </w:t>
      </w:r>
      <w:r w:rsidR="00516D8E" w:rsidRPr="00516D8E">
        <w:rPr>
          <w:rFonts w:ascii="Book Antiqua" w:hAnsi="Book Antiqua"/>
          <w:sz w:val="24"/>
          <w:szCs w:val="24"/>
        </w:rPr>
        <w:t>2</w:t>
      </w:r>
      <w:r w:rsidRPr="006B0C21">
        <w:rPr>
          <w:rFonts w:ascii="Book Antiqua" w:hAnsi="Book Antiqua"/>
          <w:sz w:val="24"/>
          <w:szCs w:val="24"/>
        </w:rPr>
        <w:t xml:space="preserve">015; </w:t>
      </w:r>
      <w:r w:rsidRPr="006B0C21">
        <w:rPr>
          <w:rFonts w:ascii="Book Antiqua" w:hAnsi="Book Antiqua"/>
          <w:b/>
          <w:sz w:val="24"/>
          <w:szCs w:val="24"/>
        </w:rPr>
        <w:t>16</w:t>
      </w:r>
      <w:r w:rsidRPr="006B0C21">
        <w:rPr>
          <w:rFonts w:ascii="Book Antiqua" w:hAnsi="Book Antiqua"/>
          <w:sz w:val="24"/>
          <w:szCs w:val="24"/>
        </w:rPr>
        <w:t>: 25</w:t>
      </w:r>
      <w:r w:rsidR="00791A52">
        <w:rPr>
          <w:rFonts w:ascii="Book Antiqua" w:hAnsi="Book Antiqua"/>
          <w:sz w:val="24"/>
          <w:szCs w:val="24"/>
        </w:rPr>
        <w:t>-2</w:t>
      </w:r>
      <w:r w:rsidRPr="006B0C21">
        <w:rPr>
          <w:rFonts w:ascii="Book Antiqua" w:hAnsi="Book Antiqua"/>
          <w:sz w:val="24"/>
          <w:szCs w:val="24"/>
        </w:rPr>
        <w:t>8 [DOI: 10.1016/j.ajg.2015.02.004]</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8 </w:t>
      </w:r>
      <w:r w:rsidRPr="006B0C21">
        <w:rPr>
          <w:rFonts w:ascii="Book Antiqua" w:hAnsi="Book Antiqua"/>
          <w:b/>
          <w:bCs/>
          <w:sz w:val="24"/>
          <w:szCs w:val="24"/>
        </w:rPr>
        <w:t>Yang JH</w:t>
      </w:r>
      <w:r w:rsidRPr="006B0C21">
        <w:rPr>
          <w:rFonts w:ascii="Book Antiqua" w:hAnsi="Book Antiqua"/>
          <w:sz w:val="24"/>
          <w:szCs w:val="24"/>
        </w:rPr>
        <w:t xml:space="preserve">, Li W, Si XK, Zhang JX, Cao YJ. Efficacy and Safety of Therapeutic ERCP in the Elderly: A Single Center Experience. </w:t>
      </w:r>
      <w:r w:rsidRPr="006B0C21">
        <w:rPr>
          <w:rFonts w:ascii="Book Antiqua" w:hAnsi="Book Antiqua"/>
          <w:i/>
          <w:iCs/>
          <w:sz w:val="24"/>
          <w:szCs w:val="24"/>
        </w:rPr>
        <w:t>Surg Laparosc Endosc Percutan Tech</w:t>
      </w:r>
      <w:r w:rsidRPr="006B0C21">
        <w:rPr>
          <w:rFonts w:ascii="Book Antiqua" w:hAnsi="Book Antiqua"/>
          <w:sz w:val="24"/>
          <w:szCs w:val="24"/>
        </w:rPr>
        <w:t xml:space="preserve"> 2018; </w:t>
      </w:r>
      <w:r w:rsidRPr="006B0C21">
        <w:rPr>
          <w:rFonts w:ascii="Book Antiqua" w:hAnsi="Book Antiqua"/>
          <w:b/>
          <w:bCs/>
          <w:sz w:val="24"/>
          <w:szCs w:val="24"/>
        </w:rPr>
        <w:t>28</w:t>
      </w:r>
      <w:r w:rsidRPr="006B0C21">
        <w:rPr>
          <w:rFonts w:ascii="Book Antiqua" w:hAnsi="Book Antiqua"/>
          <w:sz w:val="24"/>
          <w:szCs w:val="24"/>
        </w:rPr>
        <w:t>: e44-e48 [PMID: 29252934 DOI: 10.1097/SLE.0000000000000499]</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9 </w:t>
      </w:r>
      <w:r w:rsidRPr="006B0C21">
        <w:rPr>
          <w:rFonts w:ascii="Book Antiqua" w:hAnsi="Book Antiqua"/>
          <w:b/>
          <w:bCs/>
          <w:sz w:val="24"/>
          <w:szCs w:val="24"/>
        </w:rPr>
        <w:t>Tohda G</w:t>
      </w:r>
      <w:r w:rsidRPr="006B0C21">
        <w:rPr>
          <w:rFonts w:ascii="Book Antiqua" w:hAnsi="Book Antiqua"/>
          <w:sz w:val="24"/>
          <w:szCs w:val="24"/>
        </w:rPr>
        <w:t xml:space="preserve">, Ohtani M, Dochin M. Efficacy and safety of emergency endoscopic retrograde cholangiopancreatography for acute cholangitis in the elderly. </w:t>
      </w:r>
      <w:r w:rsidRPr="006B0C21">
        <w:rPr>
          <w:rFonts w:ascii="Book Antiqua" w:hAnsi="Book Antiqua"/>
          <w:i/>
          <w:iCs/>
          <w:sz w:val="24"/>
          <w:szCs w:val="24"/>
        </w:rPr>
        <w:t>World J Gastroenterol</w:t>
      </w:r>
      <w:r w:rsidRPr="006B0C21">
        <w:rPr>
          <w:rFonts w:ascii="Book Antiqua" w:hAnsi="Book Antiqua"/>
          <w:sz w:val="24"/>
          <w:szCs w:val="24"/>
        </w:rPr>
        <w:t xml:space="preserve"> 2016; </w:t>
      </w:r>
      <w:r w:rsidRPr="006B0C21">
        <w:rPr>
          <w:rFonts w:ascii="Book Antiqua" w:hAnsi="Book Antiqua"/>
          <w:b/>
          <w:bCs/>
          <w:sz w:val="24"/>
          <w:szCs w:val="24"/>
        </w:rPr>
        <w:t>22</w:t>
      </w:r>
      <w:r w:rsidRPr="006B0C21">
        <w:rPr>
          <w:rFonts w:ascii="Book Antiqua" w:hAnsi="Book Antiqua"/>
          <w:sz w:val="24"/>
          <w:szCs w:val="24"/>
        </w:rPr>
        <w:t>: 8382-8388 [PMID: 27729744 DOI: 10.3748/wjg.v22.i37.8382]</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10 </w:t>
      </w:r>
      <w:r w:rsidRPr="006B0C21">
        <w:rPr>
          <w:rFonts w:ascii="Book Antiqua" w:hAnsi="Book Antiqua"/>
          <w:b/>
          <w:bCs/>
          <w:sz w:val="24"/>
          <w:szCs w:val="24"/>
        </w:rPr>
        <w:t>Han SJ</w:t>
      </w:r>
      <w:r w:rsidRPr="006B0C21">
        <w:rPr>
          <w:rFonts w:ascii="Book Antiqua" w:hAnsi="Book Antiqua"/>
          <w:sz w:val="24"/>
          <w:szCs w:val="24"/>
        </w:rPr>
        <w:t xml:space="preserve">, Lee TH, Kang BI, Choi HJ, Lee YN, Cha SW, Moon JH, Cho YD, Park SH, Kim SJ. Efficacy and Safety of Therapeutic Endoscopic Retrograde Cholangiopancreatography in the Elderly Over 80 Years. </w:t>
      </w:r>
      <w:r w:rsidRPr="006B0C21">
        <w:rPr>
          <w:rFonts w:ascii="Book Antiqua" w:hAnsi="Book Antiqua"/>
          <w:i/>
          <w:iCs/>
          <w:sz w:val="24"/>
          <w:szCs w:val="24"/>
        </w:rPr>
        <w:t>Dig Dis Sci</w:t>
      </w:r>
      <w:r w:rsidRPr="006B0C21">
        <w:rPr>
          <w:rFonts w:ascii="Book Antiqua" w:hAnsi="Book Antiqua"/>
          <w:sz w:val="24"/>
          <w:szCs w:val="24"/>
        </w:rPr>
        <w:t xml:space="preserve"> 2016; </w:t>
      </w:r>
      <w:r w:rsidRPr="006B0C21">
        <w:rPr>
          <w:rFonts w:ascii="Book Antiqua" w:hAnsi="Book Antiqua"/>
          <w:b/>
          <w:bCs/>
          <w:sz w:val="24"/>
          <w:szCs w:val="24"/>
        </w:rPr>
        <w:t>61</w:t>
      </w:r>
      <w:r w:rsidRPr="006B0C21">
        <w:rPr>
          <w:rFonts w:ascii="Book Antiqua" w:hAnsi="Book Antiqua"/>
          <w:sz w:val="24"/>
          <w:szCs w:val="24"/>
        </w:rPr>
        <w:t>: 2094-2101 [PMID: 26873537 DOI: 10.1007/s10620-016-4064-y]</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11 </w:t>
      </w:r>
      <w:r w:rsidRPr="006B0C21">
        <w:rPr>
          <w:rFonts w:ascii="Book Antiqua" w:hAnsi="Book Antiqua"/>
          <w:b/>
          <w:bCs/>
          <w:sz w:val="24"/>
          <w:szCs w:val="24"/>
        </w:rPr>
        <w:t>Ali M</w:t>
      </w:r>
      <w:r w:rsidRPr="006B0C21">
        <w:rPr>
          <w:rFonts w:ascii="Book Antiqua" w:hAnsi="Book Antiqua"/>
          <w:sz w:val="24"/>
          <w:szCs w:val="24"/>
        </w:rPr>
        <w:t xml:space="preserve">, Ward G, Staley D, Duerksen DR. A retrospective study of the safety and efficacy of ERCP in octogenarians. </w:t>
      </w:r>
      <w:r w:rsidRPr="006B0C21">
        <w:rPr>
          <w:rFonts w:ascii="Book Antiqua" w:hAnsi="Book Antiqua"/>
          <w:i/>
          <w:iCs/>
          <w:sz w:val="24"/>
          <w:szCs w:val="24"/>
        </w:rPr>
        <w:t>Dig Dis Sci</w:t>
      </w:r>
      <w:r w:rsidRPr="006B0C21">
        <w:rPr>
          <w:rFonts w:ascii="Book Antiqua" w:hAnsi="Book Antiqua"/>
          <w:sz w:val="24"/>
          <w:szCs w:val="24"/>
        </w:rPr>
        <w:t xml:space="preserve"> 2011; </w:t>
      </w:r>
      <w:r w:rsidRPr="006B0C21">
        <w:rPr>
          <w:rFonts w:ascii="Book Antiqua" w:hAnsi="Book Antiqua"/>
          <w:b/>
          <w:bCs/>
          <w:sz w:val="24"/>
          <w:szCs w:val="24"/>
        </w:rPr>
        <w:t>56</w:t>
      </w:r>
      <w:r w:rsidRPr="006B0C21">
        <w:rPr>
          <w:rFonts w:ascii="Book Antiqua" w:hAnsi="Book Antiqua"/>
          <w:sz w:val="24"/>
          <w:szCs w:val="24"/>
        </w:rPr>
        <w:t>: 586-590 [PMID: 20585982 DOI: 10.1007/s10620-010-1304-4]</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12 </w:t>
      </w:r>
      <w:r w:rsidRPr="006B0C21">
        <w:rPr>
          <w:rFonts w:ascii="Book Antiqua" w:hAnsi="Book Antiqua"/>
          <w:b/>
          <w:bCs/>
          <w:sz w:val="24"/>
          <w:szCs w:val="24"/>
        </w:rPr>
        <w:t>Freeman ML</w:t>
      </w:r>
      <w:r w:rsidRPr="006B0C21">
        <w:rPr>
          <w:rFonts w:ascii="Book Antiqua" w:hAnsi="Book Antiqua"/>
          <w:sz w:val="24"/>
          <w:szCs w:val="24"/>
        </w:rPr>
        <w:t xml:space="preserve">, Nelson DB, Sherman S, Haber GB, Herman ME, Dorsher PJ, Moore JP, Fennerty MB, Ryan ME, Shaw MJ, Lande JD, Pheley AM. Complications of endoscopic biliary sphincterotomy. </w:t>
      </w:r>
      <w:r w:rsidRPr="006B0C21">
        <w:rPr>
          <w:rFonts w:ascii="Book Antiqua" w:hAnsi="Book Antiqua"/>
          <w:i/>
          <w:iCs/>
          <w:sz w:val="24"/>
          <w:szCs w:val="24"/>
        </w:rPr>
        <w:t>N Engl J Med</w:t>
      </w:r>
      <w:r w:rsidRPr="006B0C21">
        <w:rPr>
          <w:rFonts w:ascii="Book Antiqua" w:hAnsi="Book Antiqua"/>
          <w:sz w:val="24"/>
          <w:szCs w:val="24"/>
        </w:rPr>
        <w:t xml:space="preserve"> 1996; </w:t>
      </w:r>
      <w:r w:rsidRPr="006B0C21">
        <w:rPr>
          <w:rFonts w:ascii="Book Antiqua" w:hAnsi="Book Antiqua"/>
          <w:b/>
          <w:bCs/>
          <w:sz w:val="24"/>
          <w:szCs w:val="24"/>
        </w:rPr>
        <w:t>335</w:t>
      </w:r>
      <w:r w:rsidRPr="006B0C21">
        <w:rPr>
          <w:rFonts w:ascii="Book Antiqua" w:hAnsi="Book Antiqua"/>
          <w:sz w:val="24"/>
          <w:szCs w:val="24"/>
        </w:rPr>
        <w:t>: 909-918 [PMID: 8782497 DOI: 10.1056/NEJM199609263351301]</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13 </w:t>
      </w:r>
      <w:r w:rsidRPr="006B0C21">
        <w:rPr>
          <w:rFonts w:ascii="Book Antiqua" w:hAnsi="Book Antiqua"/>
          <w:b/>
          <w:bCs/>
          <w:sz w:val="24"/>
          <w:szCs w:val="24"/>
        </w:rPr>
        <w:t>Siegel JH</w:t>
      </w:r>
      <w:r w:rsidRPr="006B0C21">
        <w:rPr>
          <w:rFonts w:ascii="Book Antiqua" w:hAnsi="Book Antiqua"/>
          <w:sz w:val="24"/>
          <w:szCs w:val="24"/>
        </w:rPr>
        <w:t xml:space="preserve">, Kasmin FE. Biliary tract diseases in the elderly: management and outcomes. </w:t>
      </w:r>
      <w:r w:rsidRPr="006B0C21">
        <w:rPr>
          <w:rFonts w:ascii="Book Antiqua" w:hAnsi="Book Antiqua"/>
          <w:i/>
          <w:iCs/>
          <w:sz w:val="24"/>
          <w:szCs w:val="24"/>
        </w:rPr>
        <w:t>Gut</w:t>
      </w:r>
      <w:r w:rsidRPr="006B0C21">
        <w:rPr>
          <w:rFonts w:ascii="Book Antiqua" w:hAnsi="Book Antiqua"/>
          <w:sz w:val="24"/>
          <w:szCs w:val="24"/>
        </w:rPr>
        <w:t xml:space="preserve"> 1997; </w:t>
      </w:r>
      <w:r w:rsidRPr="006B0C21">
        <w:rPr>
          <w:rFonts w:ascii="Book Antiqua" w:hAnsi="Book Antiqua"/>
          <w:b/>
          <w:bCs/>
          <w:sz w:val="24"/>
          <w:szCs w:val="24"/>
        </w:rPr>
        <w:t>41</w:t>
      </w:r>
      <w:r w:rsidRPr="006B0C21">
        <w:rPr>
          <w:rFonts w:ascii="Book Antiqua" w:hAnsi="Book Antiqua"/>
          <w:sz w:val="24"/>
          <w:szCs w:val="24"/>
        </w:rPr>
        <w:t>: 433-435 [PMID: 9391238 DOI: 10.1136/gut.41.4.433]</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14 </w:t>
      </w:r>
      <w:r w:rsidRPr="006B0C21">
        <w:rPr>
          <w:rFonts w:ascii="Book Antiqua" w:hAnsi="Book Antiqua"/>
          <w:b/>
          <w:bCs/>
          <w:sz w:val="24"/>
          <w:szCs w:val="24"/>
        </w:rPr>
        <w:t>Masci E</w:t>
      </w:r>
      <w:r w:rsidRPr="006B0C21">
        <w:rPr>
          <w:rFonts w:ascii="Book Antiqua" w:hAnsi="Book Antiqua"/>
          <w:sz w:val="24"/>
          <w:szCs w:val="24"/>
        </w:rPr>
        <w:t xml:space="preserve">, Toti G, Mariani A, Curioni S, Lomazzi A, Dinelli M, Minoli G, Crosta C, Comin U, Fertitta A, Prada A, Passoni GR, Testoni PA. Complications of diagnostic and therapeutic ERCP: a prospective multicenter study. </w:t>
      </w:r>
      <w:r w:rsidRPr="006B0C21">
        <w:rPr>
          <w:rFonts w:ascii="Book Antiqua" w:hAnsi="Book Antiqua"/>
          <w:i/>
          <w:iCs/>
          <w:sz w:val="24"/>
          <w:szCs w:val="24"/>
        </w:rPr>
        <w:t>Am J Gastroenterol</w:t>
      </w:r>
      <w:r w:rsidRPr="006B0C21">
        <w:rPr>
          <w:rFonts w:ascii="Book Antiqua" w:hAnsi="Book Antiqua"/>
          <w:sz w:val="24"/>
          <w:szCs w:val="24"/>
        </w:rPr>
        <w:t xml:space="preserve"> 2001; </w:t>
      </w:r>
      <w:r w:rsidRPr="006B0C21">
        <w:rPr>
          <w:rFonts w:ascii="Book Antiqua" w:hAnsi="Book Antiqua"/>
          <w:b/>
          <w:bCs/>
          <w:sz w:val="24"/>
          <w:szCs w:val="24"/>
        </w:rPr>
        <w:t>96</w:t>
      </w:r>
      <w:r w:rsidRPr="006B0C21">
        <w:rPr>
          <w:rFonts w:ascii="Book Antiqua" w:hAnsi="Book Antiqua"/>
          <w:sz w:val="24"/>
          <w:szCs w:val="24"/>
        </w:rPr>
        <w:t>: 417-423 [PMID: 11232684 DOI: 10.1016/S0002-9270(00)02387-X]</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15 </w:t>
      </w:r>
      <w:r w:rsidRPr="006B0C21">
        <w:rPr>
          <w:rFonts w:ascii="Book Antiqua" w:hAnsi="Book Antiqua"/>
          <w:b/>
          <w:bCs/>
          <w:sz w:val="24"/>
          <w:szCs w:val="24"/>
        </w:rPr>
        <w:t>Talar-Wojnarowska R</w:t>
      </w:r>
      <w:r w:rsidRPr="006B0C21">
        <w:rPr>
          <w:rFonts w:ascii="Book Antiqua" w:hAnsi="Book Antiqua"/>
          <w:sz w:val="24"/>
          <w:szCs w:val="24"/>
        </w:rPr>
        <w:t xml:space="preserve">, Szulc G, Woźniak B, Pazurek M, Małecka-Panas E. Assessment of frequency and safety of endoscopic retrograde cholangiopancreatography in patients over 80 years of age. </w:t>
      </w:r>
      <w:r w:rsidRPr="006B0C21">
        <w:rPr>
          <w:rFonts w:ascii="Book Antiqua" w:hAnsi="Book Antiqua"/>
          <w:i/>
          <w:iCs/>
          <w:sz w:val="24"/>
          <w:szCs w:val="24"/>
        </w:rPr>
        <w:t>Pol Arch Med Wewn</w:t>
      </w:r>
      <w:r w:rsidRPr="006B0C21">
        <w:rPr>
          <w:rFonts w:ascii="Book Antiqua" w:hAnsi="Book Antiqua"/>
          <w:sz w:val="24"/>
          <w:szCs w:val="24"/>
        </w:rPr>
        <w:t xml:space="preserve"> 2009; </w:t>
      </w:r>
      <w:r w:rsidRPr="006B0C21">
        <w:rPr>
          <w:rFonts w:ascii="Book Antiqua" w:hAnsi="Book Antiqua"/>
          <w:b/>
          <w:bCs/>
          <w:sz w:val="24"/>
          <w:szCs w:val="24"/>
        </w:rPr>
        <w:t>119</w:t>
      </w:r>
      <w:r w:rsidRPr="006B0C21">
        <w:rPr>
          <w:rFonts w:ascii="Book Antiqua" w:hAnsi="Book Antiqua"/>
          <w:sz w:val="24"/>
          <w:szCs w:val="24"/>
        </w:rPr>
        <w:t>: 136-140 [PMID: 19514642 DOI: 10.20452/pamw.630]</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16 </w:t>
      </w:r>
      <w:r w:rsidRPr="006B0C21">
        <w:rPr>
          <w:rFonts w:ascii="Book Antiqua" w:hAnsi="Book Antiqua"/>
          <w:b/>
          <w:bCs/>
          <w:sz w:val="24"/>
          <w:szCs w:val="24"/>
        </w:rPr>
        <w:t>Fritz E</w:t>
      </w:r>
      <w:r w:rsidRPr="006B0C21">
        <w:rPr>
          <w:rFonts w:ascii="Book Antiqua" w:hAnsi="Book Antiqua"/>
          <w:sz w:val="24"/>
          <w:szCs w:val="24"/>
        </w:rPr>
        <w:t xml:space="preserve">, Kirchgatterer A, Hubner D, Aschl G, Hinterreiter M, Stadler B, Knoflach P. ERCP is safe and effective in patients 80 years of age and older compared with younger patients. </w:t>
      </w:r>
      <w:r w:rsidRPr="006B0C21">
        <w:rPr>
          <w:rFonts w:ascii="Book Antiqua" w:hAnsi="Book Antiqua"/>
          <w:i/>
          <w:iCs/>
          <w:sz w:val="24"/>
          <w:szCs w:val="24"/>
        </w:rPr>
        <w:t>Gastrointest Endosc</w:t>
      </w:r>
      <w:r w:rsidRPr="006B0C21">
        <w:rPr>
          <w:rFonts w:ascii="Book Antiqua" w:hAnsi="Book Antiqua"/>
          <w:sz w:val="24"/>
          <w:szCs w:val="24"/>
        </w:rPr>
        <w:t xml:space="preserve"> 2006; </w:t>
      </w:r>
      <w:r w:rsidRPr="006B0C21">
        <w:rPr>
          <w:rFonts w:ascii="Book Antiqua" w:hAnsi="Book Antiqua"/>
          <w:b/>
          <w:bCs/>
          <w:sz w:val="24"/>
          <w:szCs w:val="24"/>
        </w:rPr>
        <w:t>64</w:t>
      </w:r>
      <w:r w:rsidRPr="006B0C21">
        <w:rPr>
          <w:rFonts w:ascii="Book Antiqua" w:hAnsi="Book Antiqua"/>
          <w:sz w:val="24"/>
          <w:szCs w:val="24"/>
        </w:rPr>
        <w:t>: 899-905 [PMID: 17140895 DOI: 10.1016/j.gie.2006.05.010]</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17 </w:t>
      </w:r>
      <w:r w:rsidRPr="006B0C21">
        <w:rPr>
          <w:rFonts w:ascii="Book Antiqua" w:hAnsi="Book Antiqua"/>
          <w:b/>
          <w:bCs/>
          <w:sz w:val="24"/>
          <w:szCs w:val="24"/>
        </w:rPr>
        <w:t>Ashton CE</w:t>
      </w:r>
      <w:r w:rsidRPr="006B0C21">
        <w:rPr>
          <w:rFonts w:ascii="Book Antiqua" w:hAnsi="Book Antiqua"/>
          <w:sz w:val="24"/>
          <w:szCs w:val="24"/>
        </w:rPr>
        <w:t xml:space="preserve">, McNabb WR, Wilkinson ML, Lewis RR. Endoscopic retrograde cholangiopancreatography in elderly patients. </w:t>
      </w:r>
      <w:r w:rsidRPr="006B0C21">
        <w:rPr>
          <w:rFonts w:ascii="Book Antiqua" w:hAnsi="Book Antiqua"/>
          <w:i/>
          <w:iCs/>
          <w:sz w:val="24"/>
          <w:szCs w:val="24"/>
        </w:rPr>
        <w:t>Age Ageing</w:t>
      </w:r>
      <w:r w:rsidRPr="006B0C21">
        <w:rPr>
          <w:rFonts w:ascii="Book Antiqua" w:hAnsi="Book Antiqua"/>
          <w:sz w:val="24"/>
          <w:szCs w:val="24"/>
        </w:rPr>
        <w:t xml:space="preserve"> 1998; </w:t>
      </w:r>
      <w:r w:rsidRPr="006B0C21">
        <w:rPr>
          <w:rFonts w:ascii="Book Antiqua" w:hAnsi="Book Antiqua"/>
          <w:b/>
          <w:bCs/>
          <w:sz w:val="24"/>
          <w:szCs w:val="24"/>
        </w:rPr>
        <w:t>27</w:t>
      </w:r>
      <w:r w:rsidRPr="006B0C21">
        <w:rPr>
          <w:rFonts w:ascii="Book Antiqua" w:hAnsi="Book Antiqua"/>
          <w:sz w:val="24"/>
          <w:szCs w:val="24"/>
        </w:rPr>
        <w:t>: 683-688 [PMID: 10408661 DOI: 10.1016/j.amjms.2015.10.003]</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18 </w:t>
      </w:r>
      <w:r w:rsidRPr="006B0C21">
        <w:rPr>
          <w:rFonts w:ascii="Book Antiqua" w:hAnsi="Book Antiqua"/>
          <w:b/>
          <w:bCs/>
          <w:sz w:val="24"/>
          <w:szCs w:val="24"/>
        </w:rPr>
        <w:t>Grönroos JM</w:t>
      </w:r>
      <w:r w:rsidRPr="006B0C21">
        <w:rPr>
          <w:rFonts w:ascii="Book Antiqua" w:hAnsi="Book Antiqua"/>
          <w:sz w:val="24"/>
          <w:szCs w:val="24"/>
        </w:rPr>
        <w:t xml:space="preserve">, Salminen P, Laine S, Gullichsen R. Feasibility of ERCP procedures in patients 90 years of age and older. </w:t>
      </w:r>
      <w:r w:rsidRPr="006B0C21">
        <w:rPr>
          <w:rFonts w:ascii="Book Antiqua" w:hAnsi="Book Antiqua"/>
          <w:i/>
          <w:iCs/>
          <w:sz w:val="24"/>
          <w:szCs w:val="24"/>
        </w:rPr>
        <w:t>J Clin Gastroenterol</w:t>
      </w:r>
      <w:r w:rsidRPr="006B0C21">
        <w:rPr>
          <w:rFonts w:ascii="Book Antiqua" w:hAnsi="Book Antiqua"/>
          <w:sz w:val="24"/>
          <w:szCs w:val="24"/>
        </w:rPr>
        <w:t xml:space="preserve"> 2010; </w:t>
      </w:r>
      <w:r w:rsidRPr="006B0C21">
        <w:rPr>
          <w:rFonts w:ascii="Book Antiqua" w:hAnsi="Book Antiqua"/>
          <w:b/>
          <w:bCs/>
          <w:sz w:val="24"/>
          <w:szCs w:val="24"/>
        </w:rPr>
        <w:t>44</w:t>
      </w:r>
      <w:r w:rsidRPr="006B0C21">
        <w:rPr>
          <w:rFonts w:ascii="Book Antiqua" w:hAnsi="Book Antiqua"/>
          <w:sz w:val="24"/>
          <w:szCs w:val="24"/>
        </w:rPr>
        <w:t>: 227-228 [PMID: 19730113 DOI: 10.1097/MCG.0b013e3181b3830f]</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19 </w:t>
      </w:r>
      <w:r w:rsidRPr="006B0C21">
        <w:rPr>
          <w:rFonts w:ascii="Book Antiqua" w:hAnsi="Book Antiqua"/>
          <w:b/>
          <w:bCs/>
          <w:sz w:val="24"/>
          <w:szCs w:val="24"/>
        </w:rPr>
        <w:t>Panteris V</w:t>
      </w:r>
      <w:r w:rsidRPr="006B0C21">
        <w:rPr>
          <w:rFonts w:ascii="Book Antiqua" w:hAnsi="Book Antiqua"/>
          <w:sz w:val="24"/>
          <w:szCs w:val="24"/>
        </w:rPr>
        <w:t xml:space="preserve">, Vezakis A, Filippou G, Filippou D, Karamanolis D, Rizos S. Influence of juxtapapillary diverticula on the success or difficulty of cannulation and complication rate. </w:t>
      </w:r>
      <w:r w:rsidRPr="006B0C21">
        <w:rPr>
          <w:rFonts w:ascii="Book Antiqua" w:hAnsi="Book Antiqua"/>
          <w:i/>
          <w:iCs/>
          <w:sz w:val="24"/>
          <w:szCs w:val="24"/>
        </w:rPr>
        <w:t>Gastrointest Endosc</w:t>
      </w:r>
      <w:r w:rsidRPr="006B0C21">
        <w:rPr>
          <w:rFonts w:ascii="Book Antiqua" w:hAnsi="Book Antiqua"/>
          <w:sz w:val="24"/>
          <w:szCs w:val="24"/>
        </w:rPr>
        <w:t xml:space="preserve"> 2008; </w:t>
      </w:r>
      <w:r w:rsidRPr="006B0C21">
        <w:rPr>
          <w:rFonts w:ascii="Book Antiqua" w:hAnsi="Book Antiqua"/>
          <w:b/>
          <w:bCs/>
          <w:sz w:val="24"/>
          <w:szCs w:val="24"/>
        </w:rPr>
        <w:t>68</w:t>
      </w:r>
      <w:r w:rsidRPr="006B0C21">
        <w:rPr>
          <w:rFonts w:ascii="Book Antiqua" w:hAnsi="Book Antiqua"/>
          <w:sz w:val="24"/>
          <w:szCs w:val="24"/>
        </w:rPr>
        <w:t>: 903-910 [PMID: 18635174 DOI: 10.1016/j.gie.2008.03.1092]</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20 </w:t>
      </w:r>
      <w:r w:rsidRPr="006B0C21">
        <w:rPr>
          <w:rFonts w:ascii="Book Antiqua" w:hAnsi="Book Antiqua"/>
          <w:b/>
          <w:bCs/>
          <w:sz w:val="24"/>
          <w:szCs w:val="24"/>
        </w:rPr>
        <w:t>Zhong H</w:t>
      </w:r>
      <w:r w:rsidRPr="006B0C21">
        <w:rPr>
          <w:rFonts w:ascii="Book Antiqua" w:hAnsi="Book Antiqua"/>
          <w:sz w:val="24"/>
          <w:szCs w:val="24"/>
        </w:rPr>
        <w:t xml:space="preserve">, Wang X, Yang L, Miao L, Ji G, Fan Z. Modified transprepancreatic septotomy reduces postoperative complications after intractable biliary access. </w:t>
      </w:r>
      <w:r w:rsidRPr="006B0C21">
        <w:rPr>
          <w:rFonts w:ascii="Book Antiqua" w:hAnsi="Book Antiqua"/>
          <w:i/>
          <w:iCs/>
          <w:sz w:val="24"/>
          <w:szCs w:val="24"/>
        </w:rPr>
        <w:t>Medicine (Baltimore)</w:t>
      </w:r>
      <w:r w:rsidRPr="006B0C21">
        <w:rPr>
          <w:rFonts w:ascii="Book Antiqua" w:hAnsi="Book Antiqua"/>
          <w:sz w:val="24"/>
          <w:szCs w:val="24"/>
        </w:rPr>
        <w:t xml:space="preserve"> 2018; </w:t>
      </w:r>
      <w:r w:rsidRPr="006B0C21">
        <w:rPr>
          <w:rFonts w:ascii="Book Antiqua" w:hAnsi="Book Antiqua"/>
          <w:b/>
          <w:bCs/>
          <w:sz w:val="24"/>
          <w:szCs w:val="24"/>
        </w:rPr>
        <w:t>97</w:t>
      </w:r>
      <w:r w:rsidRPr="006B0C21">
        <w:rPr>
          <w:rFonts w:ascii="Book Antiqua" w:hAnsi="Book Antiqua"/>
          <w:sz w:val="24"/>
          <w:szCs w:val="24"/>
        </w:rPr>
        <w:t>: e9522 [PMID: 29505527 DOI: 10.1097/MD.0000000000009522]</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21 </w:t>
      </w:r>
      <w:r w:rsidRPr="006B0C21">
        <w:rPr>
          <w:rFonts w:ascii="Book Antiqua" w:hAnsi="Book Antiqua"/>
          <w:b/>
          <w:bCs/>
          <w:sz w:val="24"/>
          <w:szCs w:val="24"/>
        </w:rPr>
        <w:t>Ince AT</w:t>
      </w:r>
      <w:r w:rsidRPr="006B0C21">
        <w:rPr>
          <w:rFonts w:ascii="Book Antiqua" w:hAnsi="Book Antiqua"/>
          <w:sz w:val="24"/>
          <w:szCs w:val="24"/>
        </w:rPr>
        <w:t xml:space="preserve">, Baysal B. Pathophysiology, classification and available guidelines of acute pancreatitis. </w:t>
      </w:r>
      <w:r w:rsidRPr="006B0C21">
        <w:rPr>
          <w:rFonts w:ascii="Book Antiqua" w:hAnsi="Book Antiqua"/>
          <w:i/>
          <w:iCs/>
          <w:sz w:val="24"/>
          <w:szCs w:val="24"/>
        </w:rPr>
        <w:t>Turk J Gastroenterol</w:t>
      </w:r>
      <w:r w:rsidRPr="006B0C21">
        <w:rPr>
          <w:rFonts w:ascii="Book Antiqua" w:hAnsi="Book Antiqua"/>
          <w:sz w:val="24"/>
          <w:szCs w:val="24"/>
        </w:rPr>
        <w:t xml:space="preserve"> 2014; </w:t>
      </w:r>
      <w:r w:rsidRPr="006B0C21">
        <w:rPr>
          <w:rFonts w:ascii="Book Antiqua" w:hAnsi="Book Antiqua"/>
          <w:b/>
          <w:bCs/>
          <w:sz w:val="24"/>
          <w:szCs w:val="24"/>
        </w:rPr>
        <w:t>25</w:t>
      </w:r>
      <w:r w:rsidRPr="006B0C21">
        <w:rPr>
          <w:rFonts w:ascii="Book Antiqua" w:hAnsi="Book Antiqua"/>
          <w:sz w:val="24"/>
          <w:szCs w:val="24"/>
        </w:rPr>
        <w:t>: 351-357 [PMID: 25254514 DOI: 10.5152/tjg.2014.13005]</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22 </w:t>
      </w:r>
      <w:r w:rsidRPr="006B0C21">
        <w:rPr>
          <w:rFonts w:ascii="Book Antiqua" w:hAnsi="Book Antiqua"/>
          <w:b/>
          <w:bCs/>
          <w:sz w:val="24"/>
          <w:szCs w:val="24"/>
        </w:rPr>
        <w:t>Tabak F,</w:t>
      </w:r>
      <w:r w:rsidR="007D7E41" w:rsidRPr="006B0C21">
        <w:rPr>
          <w:rFonts w:ascii="Book Antiqua" w:hAnsi="Book Antiqua"/>
          <w:sz w:val="24"/>
          <w:szCs w:val="24"/>
        </w:rPr>
        <w:t xml:space="preserve"> </w:t>
      </w:r>
      <w:r w:rsidR="0036722D">
        <w:rPr>
          <w:rFonts w:ascii="Book Antiqua" w:hAnsi="Book Antiqua"/>
          <w:sz w:val="24"/>
          <w:szCs w:val="24"/>
        </w:rPr>
        <w:t>Ji G</w:t>
      </w:r>
      <w:r w:rsidRPr="006B0C21">
        <w:rPr>
          <w:rFonts w:ascii="Book Antiqua" w:hAnsi="Book Antiqua"/>
          <w:sz w:val="24"/>
          <w:szCs w:val="24"/>
        </w:rPr>
        <w:t xml:space="preserve">Z, Miao L. </w:t>
      </w:r>
      <w:bookmarkStart w:id="17" w:name="OLE_LINK12"/>
      <w:r w:rsidRPr="006B0C21">
        <w:rPr>
          <w:rFonts w:ascii="Book Antiqua" w:hAnsi="Book Antiqua"/>
          <w:sz w:val="24"/>
          <w:szCs w:val="24"/>
        </w:rPr>
        <w:t>Impact of Periampullary Diverticulum on ERCP Papillary Cannulation</w:t>
      </w:r>
      <w:bookmarkEnd w:id="17"/>
      <w:r w:rsidRPr="006B0C21">
        <w:rPr>
          <w:rFonts w:ascii="Book Antiqua" w:hAnsi="Book Antiqua"/>
          <w:sz w:val="24"/>
          <w:szCs w:val="24"/>
        </w:rPr>
        <w:t xml:space="preserve">. </w:t>
      </w:r>
      <w:r w:rsidRPr="006B0C21">
        <w:rPr>
          <w:rFonts w:ascii="Book Antiqua" w:hAnsi="Book Antiqua"/>
          <w:i/>
          <w:sz w:val="24"/>
          <w:szCs w:val="24"/>
        </w:rPr>
        <w:t>Preprints</w:t>
      </w:r>
      <w:r w:rsidRPr="006B0C21">
        <w:rPr>
          <w:rFonts w:ascii="Book Antiqua" w:hAnsi="Book Antiqua"/>
          <w:sz w:val="24"/>
          <w:szCs w:val="24"/>
        </w:rPr>
        <w:t xml:space="preserve"> 2020; 2020010076 [DOI: 10.20944/preprints202001.0076.v1]</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23 </w:t>
      </w:r>
      <w:r w:rsidRPr="006B0C21">
        <w:rPr>
          <w:rFonts w:ascii="Book Antiqua" w:hAnsi="Book Antiqua"/>
          <w:b/>
          <w:bCs/>
          <w:sz w:val="24"/>
          <w:szCs w:val="24"/>
        </w:rPr>
        <w:t>Sakai Y</w:t>
      </w:r>
      <w:r w:rsidRPr="006B0C21">
        <w:rPr>
          <w:rFonts w:ascii="Book Antiqua" w:hAnsi="Book Antiqua"/>
          <w:sz w:val="24"/>
          <w:szCs w:val="24"/>
        </w:rPr>
        <w:t xml:space="preserve">, Tsuyuguchi T, Yokosuka O. Clinical usefulness and current problems of pancreatic duct stenting for preventing post-ERCP pancreatitis. </w:t>
      </w:r>
      <w:r w:rsidRPr="006B0C21">
        <w:rPr>
          <w:rFonts w:ascii="Book Antiqua" w:hAnsi="Book Antiqua"/>
          <w:i/>
          <w:iCs/>
          <w:sz w:val="24"/>
          <w:szCs w:val="24"/>
        </w:rPr>
        <w:t>World J Clin Cases</w:t>
      </w:r>
      <w:r w:rsidRPr="006B0C21">
        <w:rPr>
          <w:rFonts w:ascii="Book Antiqua" w:hAnsi="Book Antiqua"/>
          <w:sz w:val="24"/>
          <w:szCs w:val="24"/>
        </w:rPr>
        <w:t xml:space="preserve"> 2014; </w:t>
      </w:r>
      <w:r w:rsidRPr="006B0C21">
        <w:rPr>
          <w:rFonts w:ascii="Book Antiqua" w:hAnsi="Book Antiqua"/>
          <w:b/>
          <w:bCs/>
          <w:sz w:val="24"/>
          <w:szCs w:val="24"/>
        </w:rPr>
        <w:t>2</w:t>
      </w:r>
      <w:r w:rsidRPr="006B0C21">
        <w:rPr>
          <w:rFonts w:ascii="Book Antiqua" w:hAnsi="Book Antiqua"/>
          <w:sz w:val="24"/>
          <w:szCs w:val="24"/>
        </w:rPr>
        <w:t>: 426-431 [PMID: 25232545 DOI: 10.12998/wjcc.v2.i9.426]</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24 </w:t>
      </w:r>
      <w:r w:rsidRPr="006B0C21">
        <w:rPr>
          <w:rFonts w:ascii="Book Antiqua" w:hAnsi="Book Antiqua"/>
          <w:b/>
          <w:bCs/>
          <w:sz w:val="24"/>
          <w:szCs w:val="24"/>
        </w:rPr>
        <w:t>Sundaralingam P</w:t>
      </w:r>
      <w:r w:rsidRPr="006B0C21">
        <w:rPr>
          <w:rFonts w:ascii="Book Antiqua" w:hAnsi="Book Antiqua"/>
          <w:sz w:val="24"/>
          <w:szCs w:val="24"/>
        </w:rPr>
        <w:t xml:space="preserve">, Masson P, Bourke MJ. Early Precut Sphincterotomy Does Not Increase Risk During Endoscopic Retrograde Cholangiopancreatography in Patients With Difficult Biliary Access: A Meta-analysis of Randomized Controlled Trials. </w:t>
      </w:r>
      <w:r w:rsidRPr="006B0C21">
        <w:rPr>
          <w:rFonts w:ascii="Book Antiqua" w:hAnsi="Book Antiqua"/>
          <w:i/>
          <w:iCs/>
          <w:sz w:val="24"/>
          <w:szCs w:val="24"/>
        </w:rPr>
        <w:t>Clin Gastroenterol Hepatol</w:t>
      </w:r>
      <w:r w:rsidRPr="006B0C21">
        <w:rPr>
          <w:rFonts w:ascii="Book Antiqua" w:hAnsi="Book Antiqua"/>
          <w:sz w:val="24"/>
          <w:szCs w:val="24"/>
        </w:rPr>
        <w:t xml:space="preserve"> 2015; </w:t>
      </w:r>
      <w:r w:rsidRPr="006B0C21">
        <w:rPr>
          <w:rFonts w:ascii="Book Antiqua" w:hAnsi="Book Antiqua"/>
          <w:b/>
          <w:bCs/>
          <w:sz w:val="24"/>
          <w:szCs w:val="24"/>
        </w:rPr>
        <w:t>13</w:t>
      </w:r>
      <w:r w:rsidRPr="006B0C21">
        <w:rPr>
          <w:rFonts w:ascii="Book Antiqua" w:hAnsi="Book Antiqua"/>
          <w:sz w:val="24"/>
          <w:szCs w:val="24"/>
        </w:rPr>
        <w:t>: 1722-1729.e2 [PMID: 26144018 DOI: 10.1016/j.cgh.2015.06.035]</w:t>
      </w: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sz w:val="24"/>
          <w:szCs w:val="24"/>
        </w:rPr>
        <w:t xml:space="preserve">25 </w:t>
      </w:r>
      <w:r w:rsidRPr="006B0C21">
        <w:rPr>
          <w:rFonts w:ascii="Book Antiqua" w:hAnsi="Book Antiqua"/>
          <w:b/>
          <w:bCs/>
          <w:sz w:val="24"/>
          <w:szCs w:val="24"/>
        </w:rPr>
        <w:t>Lukens FJ</w:t>
      </w:r>
      <w:r w:rsidRPr="006B0C21">
        <w:rPr>
          <w:rFonts w:ascii="Book Antiqua" w:hAnsi="Book Antiqua"/>
          <w:sz w:val="24"/>
          <w:szCs w:val="24"/>
        </w:rPr>
        <w:t xml:space="preserve">, Howell DA, Upender S, Sheth SG, Jafri SM. ERCP in the very elderly: outcomes among patients older than eighty. </w:t>
      </w:r>
      <w:r w:rsidRPr="006B0C21">
        <w:rPr>
          <w:rFonts w:ascii="Book Antiqua" w:hAnsi="Book Antiqua"/>
          <w:i/>
          <w:iCs/>
          <w:sz w:val="24"/>
          <w:szCs w:val="24"/>
        </w:rPr>
        <w:t>Dig Dis Sci</w:t>
      </w:r>
      <w:r w:rsidRPr="006B0C21">
        <w:rPr>
          <w:rFonts w:ascii="Book Antiqua" w:hAnsi="Book Antiqua"/>
          <w:sz w:val="24"/>
          <w:szCs w:val="24"/>
        </w:rPr>
        <w:t xml:space="preserve"> 2010; </w:t>
      </w:r>
      <w:r w:rsidRPr="006B0C21">
        <w:rPr>
          <w:rFonts w:ascii="Book Antiqua" w:hAnsi="Book Antiqua"/>
          <w:b/>
          <w:bCs/>
          <w:sz w:val="24"/>
          <w:szCs w:val="24"/>
        </w:rPr>
        <w:t>55</w:t>
      </w:r>
      <w:r w:rsidRPr="006B0C21">
        <w:rPr>
          <w:rFonts w:ascii="Book Antiqua" w:hAnsi="Book Antiqua"/>
          <w:sz w:val="24"/>
          <w:szCs w:val="24"/>
        </w:rPr>
        <w:t>: 847-851 [PMID: 19337836 DOI: 10.1007/s10620-009-0784-6]</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sz w:val="24"/>
          <w:szCs w:val="24"/>
        </w:rPr>
        <w:br w:type="page"/>
      </w:r>
      <w:bookmarkStart w:id="18" w:name="OLE_LINK30"/>
      <w:r w:rsidRPr="006B0C21">
        <w:rPr>
          <w:rFonts w:ascii="Book Antiqua" w:hAnsi="Book Antiqua"/>
          <w:b/>
          <w:sz w:val="24"/>
          <w:szCs w:val="24"/>
        </w:rPr>
        <w:t>Footnotes</w:t>
      </w: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Institutional review board statement</w:t>
      </w:r>
      <w:r w:rsidRPr="006B0C21">
        <w:rPr>
          <w:rFonts w:ascii="Book Antiqua" w:hAnsi="Book Antiqua"/>
          <w:b/>
          <w:bCs/>
          <w:iCs/>
          <w:kern w:val="0"/>
          <w:sz w:val="24"/>
          <w:szCs w:val="24"/>
        </w:rPr>
        <w:t xml:space="preserve">: </w:t>
      </w:r>
      <w:r w:rsidRPr="006B0C21">
        <w:rPr>
          <w:rFonts w:ascii="Book Antiqua" w:hAnsi="Book Antiqua" w:cs="TimesNewRomanPS-BoldItalicMT"/>
          <w:bCs/>
          <w:iCs/>
          <w:sz w:val="24"/>
          <w:szCs w:val="24"/>
        </w:rPr>
        <w:t>This study was reviewed and approved by the Ethics Committee of the Second Affiliated Hospital of Nanjing Medical University.</w:t>
      </w:r>
    </w:p>
    <w:p w:rsidR="00713A64" w:rsidRPr="006B0C21" w:rsidRDefault="00713A64" w:rsidP="006B0C21">
      <w:pPr>
        <w:autoSpaceDE w:val="0"/>
        <w:autoSpaceDN w:val="0"/>
        <w:adjustRightInd w:val="0"/>
        <w:snapToGrid w:val="0"/>
        <w:spacing w:line="360" w:lineRule="auto"/>
        <w:rPr>
          <w:rFonts w:ascii="Book Antiqua" w:hAnsi="Book Antiqua" w:cs="TimesNewRomanPS-BoldItalicMT"/>
          <w:bCs/>
          <w:iCs/>
          <w:sz w:val="24"/>
          <w:szCs w:val="24"/>
        </w:rPr>
      </w:pP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Informed consent statement</w:t>
      </w:r>
      <w:r w:rsidRPr="006B0C21">
        <w:rPr>
          <w:rFonts w:ascii="Book Antiqua" w:hAnsi="Book Antiqua"/>
          <w:b/>
          <w:bCs/>
          <w:iCs/>
          <w:sz w:val="24"/>
          <w:szCs w:val="24"/>
        </w:rPr>
        <w:t>:</w:t>
      </w:r>
      <w:r w:rsidRPr="006B0C21">
        <w:rPr>
          <w:rFonts w:ascii="Book Antiqua" w:hAnsi="Book Antiqua"/>
          <w:b/>
          <w:bCs/>
          <w:iCs/>
          <w:kern w:val="0"/>
          <w:sz w:val="24"/>
          <w:szCs w:val="24"/>
        </w:rPr>
        <w:t xml:space="preserve"> </w:t>
      </w:r>
      <w:r w:rsidRPr="006B0C21">
        <w:rPr>
          <w:rFonts w:ascii="Book Antiqua" w:hAnsi="Book Antiqua"/>
          <w:bCs/>
          <w:iCs/>
          <w:kern w:val="0"/>
          <w:sz w:val="24"/>
          <w:szCs w:val="24"/>
        </w:rPr>
        <w:t>All study participants, or their legal guardian, provided informed written consent prior to study enrollment.</w:t>
      </w:r>
    </w:p>
    <w:p w:rsidR="00713A64" w:rsidRPr="006B0C21" w:rsidRDefault="00713A64" w:rsidP="006B0C21">
      <w:pPr>
        <w:autoSpaceDE w:val="0"/>
        <w:autoSpaceDN w:val="0"/>
        <w:adjustRightInd w:val="0"/>
        <w:snapToGrid w:val="0"/>
        <w:spacing w:line="360" w:lineRule="auto"/>
        <w:rPr>
          <w:rFonts w:ascii="Book Antiqua" w:hAnsi="Book Antiqua"/>
          <w:bCs/>
          <w:iCs/>
          <w:kern w:val="0"/>
          <w:sz w:val="24"/>
          <w:szCs w:val="24"/>
        </w:rPr>
      </w:pPr>
    </w:p>
    <w:p w:rsidR="00713A64" w:rsidRPr="006B0C21" w:rsidRDefault="00713A64" w:rsidP="006B0C21">
      <w:pPr>
        <w:autoSpaceDE w:val="0"/>
        <w:autoSpaceDN w:val="0"/>
        <w:adjustRightInd w:val="0"/>
        <w:snapToGrid w:val="0"/>
        <w:spacing w:line="360" w:lineRule="auto"/>
        <w:rPr>
          <w:rFonts w:ascii="Book Antiqua" w:hAnsi="Book Antiqua" w:cs="TimesNewRomanPS-BoldItalicMT"/>
          <w:bCs/>
          <w:iCs/>
          <w:sz w:val="24"/>
          <w:szCs w:val="24"/>
        </w:rPr>
      </w:pPr>
      <w:r w:rsidRPr="006B0C21">
        <w:rPr>
          <w:rFonts w:ascii="Book Antiqua" w:hAnsi="Book Antiqua"/>
          <w:b/>
          <w:sz w:val="24"/>
          <w:szCs w:val="24"/>
        </w:rPr>
        <w:t>Conflict-of-interest statement</w:t>
      </w:r>
      <w:r w:rsidRPr="006B0C21">
        <w:rPr>
          <w:rFonts w:ascii="Book Antiqua" w:hAnsi="Book Antiqua" w:cs="TimesNewRomanPS-BoldItalicMT"/>
          <w:b/>
          <w:bCs/>
          <w:iCs/>
          <w:sz w:val="24"/>
          <w:szCs w:val="24"/>
        </w:rPr>
        <w:t xml:space="preserve">: </w:t>
      </w:r>
      <w:r w:rsidRPr="006B0C21">
        <w:rPr>
          <w:rFonts w:ascii="Book Antiqua" w:hAnsi="Book Antiqua" w:cs="TimesNewRomanPS-BoldItalicMT"/>
          <w:bCs/>
          <w:iCs/>
          <w:sz w:val="24"/>
          <w:szCs w:val="24"/>
        </w:rPr>
        <w:t>There are no conflicts of interest to report.</w:t>
      </w:r>
    </w:p>
    <w:p w:rsidR="00713A64" w:rsidRPr="006B0C21" w:rsidRDefault="00713A64" w:rsidP="006B0C21">
      <w:pPr>
        <w:autoSpaceDE w:val="0"/>
        <w:autoSpaceDN w:val="0"/>
        <w:adjustRightInd w:val="0"/>
        <w:snapToGrid w:val="0"/>
        <w:spacing w:line="360" w:lineRule="auto"/>
        <w:rPr>
          <w:rFonts w:ascii="Book Antiqua" w:hAnsi="Book Antiqua" w:cs="TimesNewRomanPS-BoldItalicMT"/>
          <w:b/>
          <w:bCs/>
          <w:iCs/>
          <w:sz w:val="24"/>
          <w:szCs w:val="24"/>
        </w:rPr>
      </w:pPr>
    </w:p>
    <w:p w:rsidR="00713A64" w:rsidRPr="006B0C21" w:rsidRDefault="00713A64" w:rsidP="006B0C21">
      <w:pPr>
        <w:autoSpaceDE w:val="0"/>
        <w:autoSpaceDN w:val="0"/>
        <w:adjustRightInd w:val="0"/>
        <w:snapToGrid w:val="0"/>
        <w:spacing w:line="360" w:lineRule="auto"/>
        <w:rPr>
          <w:rFonts w:ascii="Book Antiqua" w:hAnsi="Book Antiqua"/>
          <w:bCs/>
          <w:iCs/>
          <w:kern w:val="0"/>
          <w:sz w:val="24"/>
          <w:szCs w:val="24"/>
        </w:rPr>
      </w:pPr>
      <w:r w:rsidRPr="006B0C21">
        <w:rPr>
          <w:rFonts w:ascii="Book Antiqua" w:hAnsi="Book Antiqua"/>
          <w:b/>
          <w:sz w:val="24"/>
          <w:szCs w:val="24"/>
        </w:rPr>
        <w:t>Data sharing statement</w:t>
      </w:r>
      <w:r w:rsidRPr="006B0C21">
        <w:rPr>
          <w:rFonts w:ascii="Book Antiqua" w:hAnsi="Book Antiqua" w:cs="TimesNewRomanPS-BoldItalicMT"/>
          <w:b/>
          <w:bCs/>
          <w:iCs/>
          <w:sz w:val="24"/>
          <w:szCs w:val="24"/>
        </w:rPr>
        <w:t>:</w:t>
      </w:r>
      <w:r w:rsidRPr="006B0C21">
        <w:rPr>
          <w:rFonts w:ascii="Book Antiqua" w:eastAsia="Times New Roman" w:hAnsi="Book Antiqua"/>
          <w:sz w:val="24"/>
          <w:szCs w:val="24"/>
        </w:rPr>
        <w:t xml:space="preserve"> </w:t>
      </w:r>
      <w:r w:rsidRPr="006B0C21">
        <w:rPr>
          <w:rFonts w:ascii="Book Antiqua" w:hAnsi="Book Antiqua"/>
          <w:bCs/>
          <w:iCs/>
          <w:kern w:val="0"/>
          <w:sz w:val="24"/>
          <w:szCs w:val="24"/>
        </w:rPr>
        <w:t>The datasets used and analyzed during the current study are available from the corresponding author on reasonable request.</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Cs/>
          <w:sz w:val="24"/>
          <w:szCs w:val="24"/>
          <w:lang w:val="en-GB"/>
        </w:rPr>
      </w:pPr>
      <w:bookmarkStart w:id="19" w:name="OLE_LINK507"/>
      <w:bookmarkStart w:id="20" w:name="OLE_LINK506"/>
      <w:bookmarkStart w:id="21" w:name="OLE_LINK496"/>
      <w:bookmarkStart w:id="22" w:name="OLE_LINK479"/>
      <w:r w:rsidRPr="006B0C21">
        <w:rPr>
          <w:rFonts w:ascii="Book Antiqua" w:hAnsi="Book Antiqua"/>
          <w:b/>
          <w:sz w:val="24"/>
          <w:szCs w:val="24"/>
        </w:rPr>
        <w:t xml:space="preserve">STROBE statement: </w:t>
      </w:r>
      <w:r w:rsidRPr="006B0C21">
        <w:rPr>
          <w:rFonts w:ascii="Book Antiqua" w:hAnsi="Book Antiqua"/>
          <w:bCs/>
          <w:sz w:val="24"/>
          <w:szCs w:val="24"/>
          <w:lang w:val="en-GB"/>
        </w:rPr>
        <w:t>The authors have read the STROBE Statement-checklist of items, and the manuscript was prepared and revised according to the STROBE Statement-checklist of items.</w:t>
      </w:r>
    </w:p>
    <w:p w:rsidR="00713A64" w:rsidRPr="006B0C21" w:rsidRDefault="00713A64" w:rsidP="006B0C21">
      <w:pPr>
        <w:adjustRightInd w:val="0"/>
        <w:snapToGrid w:val="0"/>
        <w:spacing w:line="360" w:lineRule="auto"/>
        <w:rPr>
          <w:rFonts w:ascii="Book Antiqua" w:hAnsi="Book Antiqua"/>
          <w:b/>
          <w:sz w:val="24"/>
          <w:szCs w:val="24"/>
        </w:rPr>
      </w:pPr>
    </w:p>
    <w:bookmarkEnd w:id="19"/>
    <w:bookmarkEnd w:id="20"/>
    <w:bookmarkEnd w:id="21"/>
    <w:bookmarkEnd w:id="22"/>
    <w:p w:rsidR="00DE3FAF" w:rsidRPr="006B0C21" w:rsidRDefault="00DE3FAF" w:rsidP="006B0C21">
      <w:pPr>
        <w:adjustRightInd w:val="0"/>
        <w:snapToGrid w:val="0"/>
        <w:spacing w:line="360" w:lineRule="auto"/>
        <w:rPr>
          <w:rFonts w:ascii="Book Antiqua" w:hAnsi="Book Antiqua"/>
          <w:color w:val="000000"/>
          <w:sz w:val="24"/>
          <w:szCs w:val="24"/>
        </w:rPr>
      </w:pPr>
      <w:r w:rsidRPr="006B0C21">
        <w:rPr>
          <w:rFonts w:ascii="Book Antiqua" w:hAnsi="Book Antiqua"/>
          <w:b/>
          <w:bCs/>
          <w:color w:val="000000"/>
          <w:sz w:val="24"/>
          <w:szCs w:val="24"/>
        </w:rPr>
        <w:t>Open-Access:</w:t>
      </w:r>
      <w:r w:rsidRPr="006B0C21">
        <w:rPr>
          <w:rFonts w:ascii="Book Antiqua" w:hAnsi="Book Antiqua"/>
          <w:color w:val="000000"/>
          <w:sz w:val="24"/>
          <w:szCs w:val="24"/>
        </w:rPr>
        <w:t xml:space="preserve"> This article is an open-access </w:t>
      </w:r>
      <w:r w:rsidRPr="006B0C21">
        <w:rPr>
          <w:rFonts w:ascii="Book Antiqua" w:hAnsi="Book Antiqua"/>
          <w:sz w:val="24"/>
          <w:szCs w:val="24"/>
        </w:rPr>
        <w:t xml:space="preserve">article that was selected </w:t>
      </w:r>
      <w:r w:rsidRPr="006B0C2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Cs/>
          <w:sz w:val="24"/>
          <w:szCs w:val="24"/>
        </w:rPr>
      </w:pPr>
      <w:r w:rsidRPr="006B0C21">
        <w:rPr>
          <w:rFonts w:ascii="Book Antiqua" w:hAnsi="Book Antiqua"/>
          <w:b/>
          <w:bCs/>
          <w:sz w:val="24"/>
          <w:szCs w:val="24"/>
          <w:lang w:eastAsia="pl-PL"/>
        </w:rPr>
        <w:t>Manuscript source:</w:t>
      </w:r>
      <w:r w:rsidRPr="006B0C21">
        <w:rPr>
          <w:rFonts w:ascii="Book Antiqua" w:hAnsi="Book Antiqua"/>
          <w:b/>
          <w:bCs/>
          <w:sz w:val="24"/>
          <w:szCs w:val="24"/>
        </w:rPr>
        <w:t xml:space="preserve"> </w:t>
      </w:r>
      <w:r w:rsidRPr="006B0C21">
        <w:rPr>
          <w:rFonts w:ascii="Book Antiqua" w:hAnsi="Book Antiqua"/>
          <w:bCs/>
          <w:sz w:val="24"/>
          <w:szCs w:val="24"/>
          <w:lang w:eastAsia="pl-PL"/>
        </w:rPr>
        <w:t>Unsolicited manuscript</w:t>
      </w:r>
    </w:p>
    <w:p w:rsidR="00713A64" w:rsidRPr="006B0C21" w:rsidRDefault="00713A64" w:rsidP="006B0C21">
      <w:pPr>
        <w:adjustRightInd w:val="0"/>
        <w:snapToGrid w:val="0"/>
        <w:spacing w:line="360" w:lineRule="auto"/>
        <w:rPr>
          <w:rFonts w:ascii="Book Antiqua" w:hAnsi="Book Antiqua"/>
          <w:sz w:val="24"/>
          <w:szCs w:val="24"/>
        </w:rPr>
      </w:pPr>
    </w:p>
    <w:p w:rsidR="00713A64" w:rsidRPr="006B0C21" w:rsidRDefault="00713A64" w:rsidP="006B0C21">
      <w:pPr>
        <w:adjustRightInd w:val="0"/>
        <w:snapToGrid w:val="0"/>
        <w:spacing w:line="360" w:lineRule="auto"/>
        <w:rPr>
          <w:rFonts w:ascii="Book Antiqua" w:hAnsi="Book Antiqua"/>
          <w:b/>
          <w:sz w:val="24"/>
          <w:szCs w:val="24"/>
        </w:rPr>
      </w:pPr>
      <w:bookmarkStart w:id="23" w:name="OLE_LINK38"/>
      <w:bookmarkStart w:id="24" w:name="OLE_LINK39"/>
      <w:r w:rsidRPr="006B0C21">
        <w:rPr>
          <w:rFonts w:ascii="Book Antiqua" w:hAnsi="Book Antiqua"/>
          <w:b/>
          <w:sz w:val="24"/>
          <w:szCs w:val="24"/>
        </w:rPr>
        <w:t xml:space="preserve">Peer-review started: </w:t>
      </w:r>
      <w:r w:rsidRPr="006B0C21">
        <w:rPr>
          <w:rFonts w:ascii="Book Antiqua" w:hAnsi="Book Antiqua"/>
          <w:sz w:val="24"/>
          <w:szCs w:val="24"/>
        </w:rPr>
        <w:t>March 6, 2020</w:t>
      </w: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 xml:space="preserve">First decision: </w:t>
      </w:r>
      <w:r w:rsidRPr="006B0C21">
        <w:rPr>
          <w:rFonts w:ascii="Book Antiqua" w:hAnsi="Book Antiqua"/>
          <w:sz w:val="24"/>
          <w:szCs w:val="24"/>
        </w:rPr>
        <w:t>April 12, 2020</w:t>
      </w: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Article in press:</w:t>
      </w:r>
      <w:r w:rsidR="00DB2084" w:rsidRPr="006F144A">
        <w:t xml:space="preserve"> </w:t>
      </w:r>
      <w:r w:rsidR="00DB2084" w:rsidRPr="006F144A">
        <w:rPr>
          <w:rFonts w:ascii="Book Antiqua" w:hAnsi="Book Antiqua"/>
          <w:bCs/>
          <w:sz w:val="24"/>
          <w:szCs w:val="24"/>
        </w:rPr>
        <w:t>June 19, 2020</w:t>
      </w:r>
    </w:p>
    <w:p w:rsidR="00713A64" w:rsidRPr="006B0C21" w:rsidRDefault="00713A64" w:rsidP="006B0C21">
      <w:pPr>
        <w:adjustRightInd w:val="0"/>
        <w:snapToGrid w:val="0"/>
        <w:spacing w:line="360" w:lineRule="auto"/>
        <w:rPr>
          <w:rFonts w:ascii="Book Antiqua" w:hAnsi="Book Antiqua"/>
          <w:b/>
          <w:sz w:val="24"/>
          <w:szCs w:val="24"/>
        </w:rPr>
      </w:pPr>
    </w:p>
    <w:p w:rsidR="00DE3FAF" w:rsidRPr="006B0C21" w:rsidRDefault="00DE3FAF" w:rsidP="006B0C21">
      <w:pPr>
        <w:adjustRightInd w:val="0"/>
        <w:snapToGrid w:val="0"/>
        <w:spacing w:line="360" w:lineRule="auto"/>
        <w:rPr>
          <w:rFonts w:ascii="Book Antiqua" w:hAnsi="Book Antiqua"/>
          <w:sz w:val="24"/>
          <w:szCs w:val="24"/>
        </w:rPr>
      </w:pPr>
      <w:r w:rsidRPr="006B0C21">
        <w:rPr>
          <w:rFonts w:ascii="Book Antiqua" w:hAnsi="Book Antiqua"/>
          <w:b/>
          <w:bCs/>
          <w:sz w:val="24"/>
          <w:szCs w:val="24"/>
        </w:rPr>
        <w:t>Specialty type:</w:t>
      </w:r>
      <w:r w:rsidRPr="006B0C21">
        <w:rPr>
          <w:rFonts w:ascii="Book Antiqua" w:hAnsi="Book Antiqua"/>
          <w:sz w:val="24"/>
          <w:szCs w:val="24"/>
        </w:rPr>
        <w:t xml:space="preserve"> Medicine, research and experimental</w:t>
      </w:r>
    </w:p>
    <w:p w:rsidR="00DE3FAF" w:rsidRPr="006B0C21" w:rsidRDefault="00DE3FAF" w:rsidP="006B0C21">
      <w:pPr>
        <w:adjustRightInd w:val="0"/>
        <w:snapToGrid w:val="0"/>
        <w:spacing w:line="360" w:lineRule="auto"/>
        <w:rPr>
          <w:rFonts w:ascii="Book Antiqua" w:hAnsi="Book Antiqua"/>
          <w:color w:val="000000"/>
          <w:sz w:val="24"/>
          <w:szCs w:val="24"/>
        </w:rPr>
      </w:pPr>
      <w:r w:rsidRPr="006B0C21">
        <w:rPr>
          <w:rFonts w:ascii="Book Antiqua" w:hAnsi="Book Antiqua" w:cs="宋体"/>
          <w:b/>
          <w:bCs/>
          <w:sz w:val="24"/>
          <w:szCs w:val="24"/>
        </w:rPr>
        <w:t>Country/Territory of origin:</w:t>
      </w:r>
      <w:r w:rsidRPr="006B0C21">
        <w:rPr>
          <w:rStyle w:val="15"/>
        </w:rPr>
        <w:t xml:space="preserve"> </w:t>
      </w:r>
      <w:r w:rsidRPr="006B0C21">
        <w:rPr>
          <w:rStyle w:val="16"/>
        </w:rPr>
        <w:t>China</w:t>
      </w:r>
    </w:p>
    <w:p w:rsidR="00DE3FAF" w:rsidRPr="006B0C21" w:rsidRDefault="00DE3FAF" w:rsidP="006B0C21">
      <w:pPr>
        <w:adjustRightInd w:val="0"/>
        <w:snapToGrid w:val="0"/>
        <w:spacing w:line="360" w:lineRule="auto"/>
        <w:rPr>
          <w:rFonts w:ascii="Book Antiqua" w:hAnsi="Book Antiqua" w:cs="宋体"/>
          <w:sz w:val="24"/>
          <w:szCs w:val="24"/>
        </w:rPr>
      </w:pPr>
      <w:r w:rsidRPr="006B0C21">
        <w:rPr>
          <w:rFonts w:ascii="Book Antiqua" w:hAnsi="Book Antiqua" w:cs="宋体"/>
          <w:b/>
          <w:bCs/>
          <w:sz w:val="24"/>
          <w:szCs w:val="24"/>
        </w:rPr>
        <w:t>Peer-review report’s scientific quality classification</w:t>
      </w:r>
      <w:r w:rsidRPr="006B0C21">
        <w:rPr>
          <w:rFonts w:ascii="Book Antiqua" w:hAnsi="Book Antiqua"/>
          <w:b/>
          <w:bCs/>
          <w:color w:val="000000"/>
          <w:sz w:val="24"/>
          <w:szCs w:val="24"/>
        </w:rPr>
        <w:br/>
      </w:r>
      <w:r w:rsidRPr="006B0C21">
        <w:rPr>
          <w:rFonts w:ascii="Book Antiqua" w:hAnsi="Book Antiqua" w:cs="宋体"/>
          <w:sz w:val="24"/>
          <w:szCs w:val="24"/>
        </w:rPr>
        <w:t>Grade A (Excellent): 0</w:t>
      </w:r>
    </w:p>
    <w:p w:rsidR="00DE3FAF" w:rsidRPr="006B0C21" w:rsidRDefault="00713A64" w:rsidP="006B0C21">
      <w:pPr>
        <w:adjustRightInd w:val="0"/>
        <w:snapToGrid w:val="0"/>
        <w:spacing w:line="360" w:lineRule="auto"/>
        <w:rPr>
          <w:rFonts w:ascii="Book Antiqua" w:hAnsi="Book Antiqua" w:cs="宋体"/>
          <w:sz w:val="24"/>
          <w:szCs w:val="24"/>
        </w:rPr>
      </w:pPr>
      <w:r w:rsidRPr="006B0C21">
        <w:rPr>
          <w:rFonts w:ascii="Book Antiqua" w:hAnsi="Book Antiqua" w:cs="宋体"/>
          <w:sz w:val="24"/>
          <w:szCs w:val="24"/>
        </w:rPr>
        <w:t>Grade B (Very good): 0</w:t>
      </w:r>
    </w:p>
    <w:p w:rsidR="00DE3FAF" w:rsidRPr="006B0C21" w:rsidRDefault="00713A64" w:rsidP="006B0C21">
      <w:pPr>
        <w:adjustRightInd w:val="0"/>
        <w:snapToGrid w:val="0"/>
        <w:spacing w:line="360" w:lineRule="auto"/>
        <w:rPr>
          <w:rFonts w:ascii="Book Antiqua" w:hAnsi="Book Antiqua" w:cs="宋体"/>
          <w:sz w:val="24"/>
          <w:szCs w:val="24"/>
        </w:rPr>
      </w:pPr>
      <w:r w:rsidRPr="006B0C21">
        <w:rPr>
          <w:rFonts w:ascii="Book Antiqua" w:hAnsi="Book Antiqua" w:cs="宋体"/>
          <w:sz w:val="24"/>
          <w:szCs w:val="24"/>
        </w:rPr>
        <w:t>Grade C (Good): C, C, C</w:t>
      </w:r>
    </w:p>
    <w:p w:rsidR="00DE3FAF" w:rsidRPr="006B0C21" w:rsidRDefault="00713A64" w:rsidP="006B0C21">
      <w:pPr>
        <w:adjustRightInd w:val="0"/>
        <w:snapToGrid w:val="0"/>
        <w:spacing w:line="360" w:lineRule="auto"/>
        <w:rPr>
          <w:rFonts w:ascii="Book Antiqua" w:hAnsi="Book Antiqua" w:cs="宋体"/>
          <w:sz w:val="24"/>
          <w:szCs w:val="24"/>
        </w:rPr>
      </w:pPr>
      <w:r w:rsidRPr="006B0C21">
        <w:rPr>
          <w:rFonts w:ascii="Book Antiqua" w:hAnsi="Book Antiqua" w:cs="宋体"/>
          <w:sz w:val="24"/>
          <w:szCs w:val="24"/>
        </w:rPr>
        <w:t>Grade D (Fair): D</w:t>
      </w:r>
    </w:p>
    <w:p w:rsidR="00DE3FAF" w:rsidRPr="006B0C21" w:rsidRDefault="00DE3FAF" w:rsidP="006B0C21">
      <w:pPr>
        <w:adjustRightInd w:val="0"/>
        <w:snapToGrid w:val="0"/>
        <w:spacing w:line="360" w:lineRule="auto"/>
        <w:rPr>
          <w:rFonts w:ascii="Book Antiqua" w:eastAsia="等线" w:hAnsi="Book Antiqua"/>
          <w:sz w:val="24"/>
          <w:szCs w:val="24"/>
        </w:rPr>
      </w:pPr>
      <w:r w:rsidRPr="006B0C21">
        <w:rPr>
          <w:rFonts w:ascii="Book Antiqua" w:hAnsi="Book Antiqua" w:cs="宋体"/>
          <w:sz w:val="24"/>
          <w:szCs w:val="24"/>
        </w:rPr>
        <w:t>Grade E (Poor): 0</w:t>
      </w:r>
    </w:p>
    <w:p w:rsidR="00DE3FAF" w:rsidRPr="006B0C21" w:rsidRDefault="00DE3FAF" w:rsidP="006B0C21">
      <w:pPr>
        <w:adjustRightInd w:val="0"/>
        <w:snapToGrid w:val="0"/>
        <w:spacing w:line="360" w:lineRule="auto"/>
        <w:rPr>
          <w:rFonts w:ascii="Book Antiqua" w:hAnsi="Book Antiqua"/>
          <w:b/>
          <w:bCs/>
          <w:color w:val="000000"/>
          <w:sz w:val="24"/>
          <w:szCs w:val="24"/>
        </w:rPr>
      </w:pPr>
      <w:r w:rsidRPr="006B0C21">
        <w:rPr>
          <w:rFonts w:ascii="Book Antiqua" w:hAnsi="Book Antiqua"/>
          <w:b/>
          <w:bCs/>
          <w:color w:val="000000"/>
          <w:sz w:val="24"/>
          <w:szCs w:val="24"/>
        </w:rPr>
        <w:t xml:space="preserve"> </w:t>
      </w:r>
    </w:p>
    <w:p w:rsidR="00713A64" w:rsidRPr="006B0C21" w:rsidRDefault="00DE3FAF" w:rsidP="006B0C21">
      <w:pPr>
        <w:adjustRightInd w:val="0"/>
        <w:snapToGrid w:val="0"/>
        <w:spacing w:line="360" w:lineRule="auto"/>
        <w:rPr>
          <w:rFonts w:ascii="Book Antiqua" w:hAnsi="Book Antiqua"/>
          <w:b/>
          <w:bCs/>
          <w:color w:val="000000"/>
          <w:sz w:val="24"/>
          <w:szCs w:val="24"/>
        </w:rPr>
      </w:pPr>
      <w:r w:rsidRPr="006B0C21">
        <w:rPr>
          <w:rFonts w:ascii="Book Antiqua" w:hAnsi="Book Antiqua"/>
          <w:b/>
          <w:bCs/>
          <w:color w:val="000000"/>
          <w:sz w:val="24"/>
          <w:szCs w:val="24"/>
        </w:rPr>
        <w:t xml:space="preserve">P-Reviewer: </w:t>
      </w:r>
      <w:r w:rsidR="00713A64" w:rsidRPr="006B0C21">
        <w:rPr>
          <w:rFonts w:ascii="Book Antiqua" w:hAnsi="Book Antiqua"/>
          <w:color w:val="000000"/>
          <w:sz w:val="24"/>
          <w:szCs w:val="24"/>
        </w:rPr>
        <w:t>Kitamura K, Logiudice FP, Sugimoto M, Venu R</w:t>
      </w:r>
      <w:r w:rsidRPr="006B0C21">
        <w:rPr>
          <w:rFonts w:ascii="Book Antiqua" w:hAnsi="Book Antiqua"/>
          <w:b/>
          <w:bCs/>
          <w:color w:val="000000"/>
          <w:sz w:val="24"/>
          <w:szCs w:val="24"/>
        </w:rPr>
        <w:t xml:space="preserve"> S-Editor:</w:t>
      </w:r>
      <w:r w:rsidRPr="006B0C21">
        <w:rPr>
          <w:rFonts w:ascii="Book Antiqua" w:hAnsi="Book Antiqua"/>
          <w:color w:val="000000"/>
          <w:sz w:val="24"/>
          <w:szCs w:val="24"/>
        </w:rPr>
        <w:t xml:space="preserve"> Zhang L </w:t>
      </w:r>
      <w:r w:rsidRPr="006B0C21">
        <w:rPr>
          <w:rFonts w:ascii="Book Antiqua" w:hAnsi="Book Antiqua"/>
          <w:b/>
          <w:bCs/>
          <w:color w:val="000000"/>
          <w:sz w:val="24"/>
          <w:szCs w:val="24"/>
        </w:rPr>
        <w:t>L-Editor:</w:t>
      </w:r>
      <w:r w:rsidRPr="006B0C21">
        <w:rPr>
          <w:rFonts w:ascii="Book Antiqua" w:hAnsi="Book Antiqua"/>
          <w:color w:val="000000"/>
          <w:sz w:val="24"/>
          <w:szCs w:val="24"/>
        </w:rPr>
        <w:t xml:space="preserve"> </w:t>
      </w:r>
      <w:r w:rsidR="00F00808">
        <w:rPr>
          <w:rFonts w:ascii="Book Antiqua" w:hAnsi="Book Antiqua"/>
          <w:color w:val="000000"/>
          <w:sz w:val="24"/>
          <w:szCs w:val="24"/>
        </w:rPr>
        <w:t xml:space="preserve">Webster JR </w:t>
      </w:r>
      <w:r w:rsidRPr="006B0C21">
        <w:rPr>
          <w:rFonts w:ascii="Book Antiqua" w:hAnsi="Book Antiqua"/>
          <w:b/>
          <w:bCs/>
          <w:color w:val="000000"/>
          <w:sz w:val="24"/>
          <w:szCs w:val="24"/>
        </w:rPr>
        <w:t>E-Editor:</w:t>
      </w:r>
      <w:r w:rsidR="00DB2084" w:rsidRPr="00DB2084">
        <w:rPr>
          <w:rFonts w:ascii="Book Antiqua" w:hAnsi="Book Antiqua" w:hint="eastAsia"/>
          <w:bCs/>
          <w:color w:val="000000"/>
          <w:sz w:val="24"/>
          <w:szCs w:val="24"/>
        </w:rPr>
        <w:t xml:space="preserve"> </w:t>
      </w:r>
      <w:r w:rsidR="00DB2084" w:rsidRPr="00267EF4">
        <w:rPr>
          <w:rFonts w:ascii="Book Antiqua" w:hAnsi="Book Antiqua" w:hint="eastAsia"/>
          <w:bCs/>
          <w:color w:val="000000"/>
          <w:sz w:val="24"/>
          <w:szCs w:val="24"/>
        </w:rPr>
        <w:t>Wang LL</w:t>
      </w:r>
    </w:p>
    <w:bookmarkEnd w:id="18"/>
    <w:bookmarkEnd w:id="23"/>
    <w:bookmarkEnd w:id="24"/>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br w:type="page"/>
        <w:t>Figures</w:t>
      </w:r>
    </w:p>
    <w:p w:rsidR="00713A64" w:rsidRPr="006B0C21" w:rsidRDefault="008874F4" w:rsidP="006B0C21">
      <w:pPr>
        <w:adjustRightInd w:val="0"/>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5172075" cy="515747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5157470"/>
                    </a:xfrm>
                    <a:prstGeom prst="rect">
                      <a:avLst/>
                    </a:prstGeom>
                    <a:noFill/>
                    <a:ln>
                      <a:noFill/>
                    </a:ln>
                  </pic:spPr>
                </pic:pic>
              </a:graphicData>
            </a:graphic>
          </wp:inline>
        </w:drawing>
      </w:r>
    </w:p>
    <w:p w:rsidR="00713A64" w:rsidRPr="006B0C21" w:rsidRDefault="00713A64" w:rsidP="006B0C21">
      <w:pPr>
        <w:adjustRightInd w:val="0"/>
        <w:snapToGrid w:val="0"/>
        <w:spacing w:line="360" w:lineRule="auto"/>
        <w:rPr>
          <w:rFonts w:ascii="Book Antiqua" w:hAnsi="Book Antiqua"/>
          <w:b/>
          <w:sz w:val="24"/>
          <w:szCs w:val="24"/>
        </w:rPr>
      </w:pPr>
      <w:r w:rsidRPr="006B0C21">
        <w:rPr>
          <w:rFonts w:ascii="Book Antiqua" w:hAnsi="Book Antiqua"/>
          <w:b/>
          <w:sz w:val="24"/>
          <w:szCs w:val="24"/>
        </w:rPr>
        <w:t xml:space="preserve">Figure 1 </w:t>
      </w:r>
      <w:r w:rsidRPr="006B0C21">
        <w:rPr>
          <w:rFonts w:ascii="Book Antiqua" w:hAnsi="Book Antiqua"/>
          <w:b/>
          <w:sz w:val="24"/>
          <w:szCs w:val="24"/>
          <w:lang w:val="en-GB"/>
        </w:rPr>
        <w:t>Endoscopic retrograde cholangiopancreatography</w:t>
      </w:r>
      <w:r w:rsidRPr="006B0C21">
        <w:rPr>
          <w:rFonts w:ascii="Book Antiqua" w:hAnsi="Book Antiqua"/>
          <w:b/>
          <w:sz w:val="24"/>
          <w:szCs w:val="24"/>
        </w:rPr>
        <w:t xml:space="preserve"> sample breakdown.</w:t>
      </w:r>
      <w:r w:rsidRPr="006B0C21">
        <w:rPr>
          <w:rFonts w:ascii="Book Antiqua" w:hAnsi="Book Antiqua"/>
          <w:sz w:val="24"/>
          <w:szCs w:val="24"/>
        </w:rPr>
        <w:t xml:space="preserve"> ERCP: </w:t>
      </w:r>
      <w:r w:rsidRPr="006B0C21">
        <w:rPr>
          <w:rFonts w:ascii="Book Antiqua" w:hAnsi="Book Antiqua"/>
          <w:sz w:val="24"/>
          <w:szCs w:val="24"/>
          <w:lang w:val="en-GB"/>
        </w:rPr>
        <w:t>Endoscopic retrograde cholangiopancreatography.</w:t>
      </w:r>
    </w:p>
    <w:p w:rsidR="00713A64" w:rsidRPr="006B0C21" w:rsidRDefault="00713A64" w:rsidP="006B0C21">
      <w:pPr>
        <w:autoSpaceDE w:val="0"/>
        <w:autoSpaceDN w:val="0"/>
        <w:adjustRightInd w:val="0"/>
        <w:snapToGrid w:val="0"/>
        <w:spacing w:line="360" w:lineRule="auto"/>
        <w:rPr>
          <w:rFonts w:ascii="Book Antiqua" w:eastAsia="MinionPro-Regular" w:hAnsi="Book Antiqua"/>
          <w:b/>
          <w:kern w:val="0"/>
          <w:sz w:val="24"/>
          <w:szCs w:val="24"/>
        </w:rPr>
      </w:pPr>
      <w:r w:rsidRPr="006B0C21">
        <w:rPr>
          <w:rFonts w:ascii="Book Antiqua" w:hAnsi="Book Antiqua"/>
          <w:b/>
          <w:sz w:val="24"/>
          <w:szCs w:val="24"/>
        </w:rPr>
        <w:br w:type="page"/>
      </w:r>
      <w:r w:rsidRPr="006B0C21">
        <w:rPr>
          <w:rFonts w:ascii="Book Antiqua" w:eastAsia="MinionPro-Regular" w:hAnsi="Book Antiqua"/>
          <w:b/>
          <w:kern w:val="0"/>
          <w:sz w:val="24"/>
          <w:szCs w:val="24"/>
        </w:rPr>
        <w:t xml:space="preserve">Table 1 Summary of </w:t>
      </w:r>
      <w:r w:rsidR="00F00808">
        <w:rPr>
          <w:rFonts w:ascii="Book Antiqua" w:eastAsia="MinionPro-Regular" w:hAnsi="Book Antiqua"/>
          <w:b/>
          <w:kern w:val="0"/>
          <w:sz w:val="24"/>
          <w:szCs w:val="24"/>
        </w:rPr>
        <w:t>patient</w:t>
      </w:r>
      <w:r w:rsidRPr="006B0C21">
        <w:rPr>
          <w:rFonts w:ascii="Book Antiqua" w:eastAsia="MinionPro-Regular" w:hAnsi="Book Antiqua"/>
          <w:b/>
          <w:kern w:val="0"/>
          <w:sz w:val="24"/>
          <w:szCs w:val="24"/>
        </w:rPr>
        <w:t xml:space="preserve"> characteristics in </w:t>
      </w:r>
      <w:r w:rsidR="00F00808">
        <w:rPr>
          <w:rFonts w:ascii="Book Antiqua" w:eastAsia="MinionPro-Regular" w:hAnsi="Book Antiqua"/>
          <w:b/>
          <w:kern w:val="0"/>
          <w:sz w:val="24"/>
          <w:szCs w:val="24"/>
        </w:rPr>
        <w:t xml:space="preserve">the </w:t>
      </w:r>
      <w:r w:rsidRPr="006B0C21">
        <w:rPr>
          <w:rFonts w:ascii="Book Antiqua" w:eastAsia="MinionPro-Regular" w:hAnsi="Book Antiqua"/>
          <w:b/>
          <w:kern w:val="0"/>
          <w:sz w:val="24"/>
          <w:szCs w:val="24"/>
        </w:rPr>
        <w:t>older and younger groups</w:t>
      </w:r>
    </w:p>
    <w:tbl>
      <w:tblPr>
        <w:tblW w:w="8472" w:type="dxa"/>
        <w:tblBorders>
          <w:top w:val="single" w:sz="4" w:space="0" w:color="auto"/>
          <w:bottom w:val="single" w:sz="4" w:space="0" w:color="auto"/>
        </w:tblBorders>
        <w:tblLook w:val="0000" w:firstRow="0" w:lastRow="0" w:firstColumn="0" w:lastColumn="0" w:noHBand="0" w:noVBand="0"/>
      </w:tblPr>
      <w:tblGrid>
        <w:gridCol w:w="2943"/>
        <w:gridCol w:w="1418"/>
        <w:gridCol w:w="156"/>
        <w:gridCol w:w="1335"/>
        <w:gridCol w:w="1486"/>
        <w:gridCol w:w="1134"/>
      </w:tblGrid>
      <w:tr w:rsidR="00713A64" w:rsidRPr="006B0C21" w:rsidTr="00713A64">
        <w:tc>
          <w:tcPr>
            <w:tcW w:w="2943"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Parameter</w:t>
            </w:r>
          </w:p>
        </w:tc>
        <w:tc>
          <w:tcPr>
            <w:tcW w:w="1418"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Overall</w:t>
            </w:r>
            <w:r w:rsidR="003B4478" w:rsidRPr="00966665">
              <w:rPr>
                <w:rFonts w:ascii="Book Antiqua" w:hAnsi="Book Antiqua" w:cs="Arial" w:hint="eastAsia"/>
                <w:b/>
                <w:bCs/>
                <w:kern w:val="0"/>
                <w:sz w:val="24"/>
                <w:szCs w:val="24"/>
              </w:rPr>
              <w:t xml:space="preserve"> </w:t>
            </w:r>
            <w:r w:rsidRPr="006B0C21">
              <w:rPr>
                <w:rFonts w:ascii="Book Antiqua" w:eastAsia="MinionPro-Regular" w:hAnsi="Book Antiqua" w:cs="Arial"/>
                <w:b/>
                <w:bCs/>
                <w:kern w:val="0"/>
                <w:sz w:val="24"/>
                <w:szCs w:val="24"/>
              </w:rPr>
              <w:t>(</w:t>
            </w:r>
            <w:r w:rsidRPr="006B0C21">
              <w:rPr>
                <w:rFonts w:ascii="Book Antiqua" w:eastAsia="MinionPro-Regular" w:hAnsi="Book Antiqua" w:cs="Arial"/>
                <w:b/>
                <w:bCs/>
                <w:i/>
                <w:kern w:val="0"/>
                <w:sz w:val="24"/>
                <w:szCs w:val="24"/>
              </w:rPr>
              <w:t>n</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614)</w:t>
            </w:r>
          </w:p>
        </w:tc>
        <w:tc>
          <w:tcPr>
            <w:tcW w:w="1491" w:type="dxa"/>
            <w:gridSpan w:val="2"/>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Age ≥ 80</w:t>
            </w:r>
            <w:r w:rsidR="003B4478" w:rsidRPr="00966665">
              <w:rPr>
                <w:rFonts w:ascii="Book Antiqua" w:hAnsi="Book Antiqua" w:cs="Arial" w:hint="eastAsia"/>
                <w:b/>
                <w:bCs/>
                <w:kern w:val="0"/>
                <w:sz w:val="24"/>
                <w:szCs w:val="24"/>
              </w:rPr>
              <w:t xml:space="preserve"> </w:t>
            </w:r>
            <w:r w:rsidRPr="006B0C21">
              <w:rPr>
                <w:rFonts w:ascii="Book Antiqua" w:eastAsia="MinionPro-Regular" w:hAnsi="Book Antiqua" w:cs="Arial"/>
                <w:b/>
                <w:bCs/>
                <w:kern w:val="0"/>
                <w:sz w:val="24"/>
                <w:szCs w:val="24"/>
              </w:rPr>
              <w:t>(</w:t>
            </w:r>
            <w:r w:rsidRPr="006B0C21">
              <w:rPr>
                <w:rFonts w:ascii="Book Antiqua" w:eastAsia="MinionPro-Regular" w:hAnsi="Book Antiqua" w:cs="Arial"/>
                <w:b/>
                <w:bCs/>
                <w:i/>
                <w:kern w:val="0"/>
                <w:sz w:val="24"/>
                <w:szCs w:val="24"/>
              </w:rPr>
              <w:t>n</w:t>
            </w:r>
            <w:r w:rsidRPr="00084DA8">
              <w:rPr>
                <w:rFonts w:ascii="Book Antiqua" w:hAnsi="Book Antiqua" w:cs="Arial"/>
                <w:b/>
                <w:bCs/>
                <w:i/>
                <w:kern w:val="0"/>
                <w:sz w:val="24"/>
                <w:szCs w:val="24"/>
              </w:rPr>
              <w:t xml:space="preserve"> </w:t>
            </w:r>
            <w:r w:rsidRPr="006B0C21">
              <w:rPr>
                <w:rFonts w:ascii="Book Antiqua" w:eastAsia="MinionPro-Regular" w:hAnsi="Book Antiqua" w:cs="Arial"/>
                <w:b/>
                <w:bCs/>
                <w:kern w:val="0"/>
                <w:sz w:val="24"/>
                <w:szCs w:val="24"/>
              </w:rPr>
              <w:t>=</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146)</w:t>
            </w:r>
          </w:p>
        </w:tc>
        <w:tc>
          <w:tcPr>
            <w:tcW w:w="1486"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Age &lt; 80</w:t>
            </w:r>
            <w:r w:rsidR="003B4478" w:rsidRPr="00966665">
              <w:rPr>
                <w:rFonts w:ascii="Book Antiqua" w:hAnsi="Book Antiqua" w:cs="Arial" w:hint="eastAsia"/>
                <w:b/>
                <w:bCs/>
                <w:kern w:val="0"/>
                <w:sz w:val="24"/>
                <w:szCs w:val="24"/>
              </w:rPr>
              <w:t xml:space="preserve"> </w:t>
            </w:r>
            <w:r w:rsidRPr="006B0C21">
              <w:rPr>
                <w:rFonts w:ascii="Book Antiqua" w:eastAsia="MinionPro-Regular" w:hAnsi="Book Antiqua" w:cs="Arial"/>
                <w:b/>
                <w:bCs/>
                <w:kern w:val="0"/>
                <w:sz w:val="24"/>
                <w:szCs w:val="24"/>
              </w:rPr>
              <w:t>(</w:t>
            </w:r>
            <w:r w:rsidRPr="006B0C21">
              <w:rPr>
                <w:rFonts w:ascii="Book Antiqua" w:eastAsia="MinionPro-Regular" w:hAnsi="Book Antiqua" w:cs="Arial"/>
                <w:b/>
                <w:bCs/>
                <w:i/>
                <w:kern w:val="0"/>
                <w:sz w:val="24"/>
                <w:szCs w:val="24"/>
              </w:rPr>
              <w:t>n</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468)</w:t>
            </w:r>
          </w:p>
        </w:tc>
        <w:tc>
          <w:tcPr>
            <w:tcW w:w="1134"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i/>
                <w:kern w:val="0"/>
                <w:sz w:val="24"/>
                <w:szCs w:val="24"/>
              </w:rPr>
              <w:t>P</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value</w:t>
            </w:r>
          </w:p>
        </w:tc>
      </w:tr>
      <w:tr w:rsidR="00713A64" w:rsidRPr="006B0C21" w:rsidTr="00713A64">
        <w:tc>
          <w:tcPr>
            <w:tcW w:w="2943"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Age [median (IQR)] (yr)</w:t>
            </w:r>
          </w:p>
        </w:tc>
        <w:tc>
          <w:tcPr>
            <w:tcW w:w="1418"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68 (54</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79)</w:t>
            </w:r>
          </w:p>
        </w:tc>
        <w:tc>
          <w:tcPr>
            <w:tcW w:w="1491" w:type="dxa"/>
            <w:gridSpan w:val="2"/>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83 (81</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86)</w:t>
            </w:r>
          </w:p>
        </w:tc>
        <w:tc>
          <w:tcPr>
            <w:tcW w:w="1486"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62 (50</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71)</w:t>
            </w:r>
          </w:p>
        </w:tc>
        <w:tc>
          <w:tcPr>
            <w:tcW w:w="1134"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Charlson score [median (IQR)]</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 (0</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 (0</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2)</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 (0</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0.001</w:t>
            </w:r>
            <w:r w:rsidRPr="006B0C21">
              <w:rPr>
                <w:rFonts w:ascii="Book Antiqua" w:eastAsia="MinionPro-Regular" w:hAnsi="Book Antiqua" w:cs="Arial"/>
                <w:kern w:val="0"/>
                <w:sz w:val="24"/>
                <w:szCs w:val="24"/>
                <w:vertAlign w:val="superscript"/>
              </w:rPr>
              <w:t>a</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Charlson score ≥</w:t>
            </w:r>
            <w:r w:rsidRPr="00084DA8">
              <w:rPr>
                <w:rFonts w:ascii="Book Antiqua" w:hAnsi="Book Antiqua" w:cs="Arial"/>
                <w:bCs/>
                <w:kern w:val="0"/>
                <w:sz w:val="24"/>
                <w:szCs w:val="24"/>
              </w:rPr>
              <w:t xml:space="preserve"> </w:t>
            </w:r>
            <w:r w:rsidRPr="006B0C21">
              <w:rPr>
                <w:rFonts w:ascii="Book Antiqua" w:eastAsia="MinionPro-Regular" w:hAnsi="Book Antiqua" w:cs="Arial"/>
                <w:bCs/>
                <w:kern w:val="0"/>
                <w:sz w:val="24"/>
                <w:szCs w:val="24"/>
              </w:rPr>
              <w:t>2</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21% (129)</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29.5% (43)</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18.4% (86)</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0.005</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ERCP procedure time [median (IQR)] (min)</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30 (23</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45)</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30 (23</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45)</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30 (24</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45)</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0.711</w:t>
            </w:r>
            <w:r w:rsidRPr="006B0C21">
              <w:rPr>
                <w:rFonts w:ascii="Book Antiqua" w:eastAsia="MinionPro-Regular" w:hAnsi="Book Antiqua" w:cs="Arial"/>
                <w:kern w:val="0"/>
                <w:sz w:val="24"/>
                <w:szCs w:val="24"/>
                <w:vertAlign w:val="superscript"/>
              </w:rPr>
              <w:t>a</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Cannulation time [median (IQR)] (min)</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3.6 (0.8</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11.8)</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3.4 (0.8</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11.2)</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3.7 (0.8</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12)</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0.292</w:t>
            </w:r>
            <w:r w:rsidRPr="006B0C21">
              <w:rPr>
                <w:rFonts w:ascii="Book Antiqua" w:eastAsia="MinionPro-Regular" w:hAnsi="Book Antiqua" w:cs="Arial"/>
                <w:kern w:val="0"/>
                <w:sz w:val="24"/>
                <w:szCs w:val="24"/>
                <w:vertAlign w:val="superscript"/>
              </w:rPr>
              <w:t>a</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Male</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53.2% (327)</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51.4% (75)</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53.8% (252)</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0.636</w:t>
            </w:r>
            <w:r w:rsidRPr="006B0C21">
              <w:rPr>
                <w:rFonts w:ascii="Book Antiqua" w:eastAsia="MinionPro-Regular" w:hAnsi="Book Antiqua" w:cs="Arial"/>
                <w:kern w:val="0"/>
                <w:sz w:val="24"/>
                <w:szCs w:val="24"/>
                <w:vertAlign w:val="superscript"/>
              </w:rPr>
              <w:t>b</w:t>
            </w:r>
            <w:r w:rsidRPr="006B0C21">
              <w:rPr>
                <w:rFonts w:ascii="Book Antiqua" w:eastAsia="MinionPro-Regular" w:hAnsi="Book Antiqua" w:cs="Arial"/>
                <w:kern w:val="0"/>
                <w:sz w:val="24"/>
                <w:szCs w:val="24"/>
              </w:rPr>
              <w:t xml:space="preserve"> </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Cannulation success rate</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96.7% (595)</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96.6% (141)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96.8% (454)</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0.547</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Indications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Biliary stones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82.4% (506)</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82.9% (121)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82.3% (385)</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0.468</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Benign strictures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12.7% (78)</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 (16)</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13.2% (62)</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0.287</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Cholangiocarcinoma</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4.2% (26)</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4.8% (7)</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4.1% (19)</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0.424</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Cholangitis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9.1% (56)</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6.8% (10)</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9.8% (46)</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0.180</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Biliary pancreatitis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5.9% (36)</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4.8% (7)</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6.2% (29)</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0.346</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Chronic pancreatitis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1.3% (8)</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 (0)</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1.7% (8)</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0.113</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Ampullary carcinoma</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3.3% (20)</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5.5% (8)</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2.6% (12)</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0.076</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Pancreatic cancer</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3.6% (22)</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2.7% (4)</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3.8% (18)</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0.371</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Comorbidities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Hypertension</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29.5% (181)</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38.4% (56)</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26.7% (125)</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0.009</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Cardiac diseases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7.5% (46)</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15.1% (22)</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5.1% (24)</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&lt;</w:t>
            </w:r>
            <w:r w:rsidRPr="00084DA8">
              <w:rPr>
                <w:rFonts w:ascii="Book Antiqua" w:hAnsi="Book Antiqua" w:cs="Arial"/>
                <w:kern w:val="0"/>
                <w:sz w:val="24"/>
                <w:szCs w:val="24"/>
              </w:rPr>
              <w:t xml:space="preserve"> </w:t>
            </w:r>
            <w:r w:rsidRPr="006B0C21">
              <w:rPr>
                <w:rFonts w:ascii="Book Antiqua" w:eastAsia="MinionPro-Regular" w:hAnsi="Book Antiqua" w:cs="Arial"/>
                <w:kern w:val="0"/>
                <w:sz w:val="24"/>
                <w:szCs w:val="24"/>
              </w:rPr>
              <w:t>0.001</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Diabetes mellitus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11.7% (72)</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13% (19)</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11.3% (53)</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0.558</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F00808">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Neurolog</w:t>
            </w:r>
            <w:r w:rsidR="00F00808">
              <w:rPr>
                <w:rFonts w:ascii="Book Antiqua" w:eastAsia="MinionPro-Regular" w:hAnsi="Book Antiqua" w:cs="Arial"/>
                <w:kern w:val="0"/>
                <w:sz w:val="24"/>
                <w:szCs w:val="24"/>
              </w:rPr>
              <w:t>ical</w:t>
            </w:r>
            <w:r w:rsidRPr="006B0C21">
              <w:rPr>
                <w:rFonts w:ascii="Book Antiqua" w:eastAsia="MinionPro-Regular" w:hAnsi="Book Antiqua" w:cs="Arial"/>
                <w:kern w:val="0"/>
                <w:sz w:val="24"/>
                <w:szCs w:val="24"/>
              </w:rPr>
              <w:t xml:space="preserve"> diseases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12.5% (77)</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21.9% (32)</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9.6% (45)</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&lt;</w:t>
            </w:r>
            <w:r w:rsidRPr="00084DA8">
              <w:rPr>
                <w:rFonts w:ascii="Book Antiqua" w:hAnsi="Book Antiqua" w:cs="Arial"/>
                <w:kern w:val="0"/>
                <w:sz w:val="24"/>
                <w:szCs w:val="24"/>
              </w:rPr>
              <w:t xml:space="preserve"> </w:t>
            </w:r>
            <w:r w:rsidRPr="006B0C21">
              <w:rPr>
                <w:rFonts w:ascii="Book Antiqua" w:eastAsia="MinionPro-Regular" w:hAnsi="Book Antiqua" w:cs="Arial"/>
                <w:kern w:val="0"/>
                <w:sz w:val="24"/>
                <w:szCs w:val="24"/>
              </w:rPr>
              <w:t>0.001</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Hepatic diseases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7.8% (48)</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5.5% (8)</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8.5% (40)</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0.290</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Malignancy</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9.3% (57)</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 (16)</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8.8% (41)</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0.256</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Others</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9.9% (61)</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14.4% (21)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8.5% (40)</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0.031</w:t>
            </w:r>
            <w:r w:rsidRPr="006B0C21">
              <w:rPr>
                <w:rFonts w:ascii="Book Antiqua" w:eastAsia="MinionPro-Regular" w:hAnsi="Book Antiqua" w:cs="Arial"/>
                <w:kern w:val="0"/>
                <w:sz w:val="24"/>
                <w:szCs w:val="24"/>
                <w:vertAlign w:val="superscript"/>
              </w:rPr>
              <w:t>b</w:t>
            </w:r>
          </w:p>
        </w:tc>
      </w:tr>
      <w:tr w:rsidR="00713A64"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Periampullary diverticulum</w:t>
            </w:r>
          </w:p>
        </w:tc>
        <w:tc>
          <w:tcPr>
            <w:tcW w:w="141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19.7% (121)</w:t>
            </w:r>
          </w:p>
        </w:tc>
        <w:tc>
          <w:tcPr>
            <w:tcW w:w="1491"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29.5% (43)</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16.7% (78)</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0.001</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Cannulation grade of difficulty</w:t>
            </w:r>
          </w:p>
        </w:tc>
        <w:tc>
          <w:tcPr>
            <w:tcW w:w="5529" w:type="dxa"/>
            <w:gridSpan w:val="5"/>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Easy cannulation</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66% (405)</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67.1% (98)</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65.6% (307)</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0.621</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Moderate cannulation</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11.7% (72)</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10.3% (15)</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12.2% (57)</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0.658</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Difficult cannulation</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22.3% (137)</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22.6% (33)</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22.2% (104)</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0.910</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Second ERCP</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20.4% (125)</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20.5% (30)</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20.3% (95)</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0.512</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Adverse events</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9.8% (60)</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13% (19)</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8.8% (41)</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0.089</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PEP</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5.2% (32)</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2.7% (4)</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 (28)</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0.088</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Perforation</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 (3)</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0.7% (1)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0.4% (2)</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0.557</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Bleeding</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1.9% (12)</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4.1% (6)</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1.3% (6)</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0.111</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Cholangitis</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 (4)</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0.7% (1)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 (3)</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0.663</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Cardiopulmonary</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 (4)</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0.7% (1)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 (3)</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0.443</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Duration of hospitalization [median (IQR)] (d)</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 (6</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13)</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 (7</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13)</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 (6</w:t>
            </w:r>
            <w:r w:rsidRPr="00084DA8">
              <w:rPr>
                <w:rFonts w:ascii="Book Antiqua" w:hAnsi="Book Antiqua" w:cs="Arial"/>
                <w:kern w:val="0"/>
                <w:sz w:val="24"/>
                <w:szCs w:val="24"/>
              </w:rPr>
              <w:t>-</w:t>
            </w:r>
            <w:r w:rsidRPr="006B0C21">
              <w:rPr>
                <w:rFonts w:ascii="Book Antiqua" w:eastAsia="MinionPro-Regular" w:hAnsi="Book Antiqua" w:cs="Arial"/>
                <w:kern w:val="0"/>
                <w:sz w:val="24"/>
                <w:szCs w:val="24"/>
              </w:rPr>
              <w:t>13)</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0.208</w:t>
            </w:r>
            <w:r w:rsidRPr="006B0C21">
              <w:rPr>
                <w:rFonts w:ascii="Book Antiqua" w:eastAsia="MinionPro-Regular" w:hAnsi="Book Antiqua" w:cs="Arial"/>
                <w:kern w:val="0"/>
                <w:sz w:val="24"/>
                <w:szCs w:val="24"/>
                <w:vertAlign w:val="superscript"/>
              </w:rPr>
              <w:t>a</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Pancreatic stent</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10.4% (64)</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7.5% (11)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11.3% (53)</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0.124</w:t>
            </w:r>
            <w:r w:rsidRPr="006B0C21">
              <w:rPr>
                <w:rFonts w:ascii="Book Antiqua" w:eastAsia="MinionPro-Regular" w:hAnsi="Book Antiqua" w:cs="Arial"/>
                <w:kern w:val="0"/>
                <w:sz w:val="24"/>
                <w:szCs w:val="24"/>
                <w:vertAlign w:val="superscript"/>
              </w:rPr>
              <w:t>b</w:t>
            </w:r>
          </w:p>
        </w:tc>
      </w:tr>
      <w:tr w:rsidR="005C5FFF" w:rsidRPr="006B0C21" w:rsidTr="00713A64">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Anti-thrombotic drug</w:t>
            </w:r>
          </w:p>
        </w:tc>
        <w:tc>
          <w:tcPr>
            <w:tcW w:w="1574" w:type="dxa"/>
            <w:gridSpan w:val="2"/>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5.5% (34)</w:t>
            </w:r>
          </w:p>
        </w:tc>
        <w:tc>
          <w:tcPr>
            <w:tcW w:w="13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7.5% (11)</w:t>
            </w:r>
          </w:p>
        </w:tc>
        <w:tc>
          <w:tcPr>
            <w:tcW w:w="1486"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4.9% (23)</w:t>
            </w:r>
          </w:p>
        </w:tc>
        <w:tc>
          <w:tcPr>
            <w:tcW w:w="113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&lt;</w:t>
            </w:r>
            <w:r w:rsidRPr="00084DA8">
              <w:rPr>
                <w:rFonts w:ascii="Book Antiqua" w:hAnsi="Book Antiqua" w:cs="Arial"/>
                <w:kern w:val="0"/>
                <w:sz w:val="24"/>
                <w:szCs w:val="24"/>
              </w:rPr>
              <w:t xml:space="preserve"> </w:t>
            </w:r>
            <w:r w:rsidRPr="006B0C21">
              <w:rPr>
                <w:rFonts w:ascii="Book Antiqua" w:eastAsia="MinionPro-Regular" w:hAnsi="Book Antiqua" w:cs="Arial"/>
                <w:kern w:val="0"/>
                <w:sz w:val="24"/>
                <w:szCs w:val="24"/>
              </w:rPr>
              <w:t>0.001</w:t>
            </w:r>
            <w:r w:rsidRPr="006B0C21">
              <w:rPr>
                <w:rFonts w:ascii="Book Antiqua" w:eastAsia="MinionPro-Regular" w:hAnsi="Book Antiqua" w:cs="Arial"/>
                <w:kern w:val="0"/>
                <w:sz w:val="24"/>
                <w:szCs w:val="24"/>
                <w:vertAlign w:val="superscript"/>
              </w:rPr>
              <w:t>b</w:t>
            </w:r>
          </w:p>
        </w:tc>
      </w:tr>
    </w:tbl>
    <w:p w:rsidR="00713A64" w:rsidRPr="00084DA8" w:rsidRDefault="00713A64" w:rsidP="006B0C21">
      <w:pPr>
        <w:suppressAutoHyphens/>
        <w:autoSpaceDE w:val="0"/>
        <w:autoSpaceDN w:val="0"/>
        <w:adjustRightInd w:val="0"/>
        <w:snapToGrid w:val="0"/>
        <w:spacing w:line="360" w:lineRule="auto"/>
        <w:textAlignment w:val="center"/>
        <w:rPr>
          <w:rFonts w:ascii="Book Antiqua" w:hAnsi="Book Antiqua"/>
          <w:sz w:val="24"/>
          <w:szCs w:val="24"/>
        </w:rPr>
      </w:pPr>
      <w:r w:rsidRPr="006B0C21">
        <w:rPr>
          <w:rFonts w:ascii="Book Antiqua" w:eastAsia="MinionPro-Regular" w:hAnsi="Book Antiqua"/>
          <w:sz w:val="24"/>
          <w:szCs w:val="24"/>
          <w:vertAlign w:val="superscript"/>
        </w:rPr>
        <w:t>a</w:t>
      </w:r>
      <w:r w:rsidRPr="006B0C21">
        <w:rPr>
          <w:rFonts w:ascii="Book Antiqua" w:eastAsia="MinionPro-Regular" w:hAnsi="Book Antiqua"/>
          <w:sz w:val="24"/>
          <w:szCs w:val="24"/>
        </w:rPr>
        <w:t xml:space="preserve">Independent sample Mann-Whitney </w:t>
      </w:r>
      <w:r w:rsidRPr="006B0C21">
        <w:rPr>
          <w:rFonts w:ascii="Book Antiqua" w:eastAsia="MinionPro-Regular" w:hAnsi="Book Antiqua"/>
          <w:i/>
          <w:sz w:val="24"/>
          <w:szCs w:val="24"/>
        </w:rPr>
        <w:t>U</w:t>
      </w:r>
      <w:r w:rsidRPr="006B0C21">
        <w:rPr>
          <w:rFonts w:ascii="Book Antiqua" w:eastAsia="MinionPro-Regular" w:hAnsi="Book Antiqua"/>
          <w:sz w:val="24"/>
          <w:szCs w:val="24"/>
        </w:rPr>
        <w:t>-test.</w:t>
      </w:r>
      <w:r w:rsidRPr="00084DA8">
        <w:rPr>
          <w:rFonts w:ascii="Book Antiqua" w:hAnsi="Book Antiqua"/>
          <w:sz w:val="24"/>
          <w:szCs w:val="24"/>
        </w:rPr>
        <w:t xml:space="preserve"> </w:t>
      </w:r>
      <w:r w:rsidRPr="006B0C21">
        <w:rPr>
          <w:rFonts w:ascii="Book Antiqua" w:eastAsia="MinionPro-Regular" w:hAnsi="Book Antiqua"/>
          <w:sz w:val="24"/>
          <w:szCs w:val="24"/>
          <w:vertAlign w:val="superscript"/>
        </w:rPr>
        <w:t>b</w:t>
      </w:r>
      <w:r w:rsidRPr="006B0C21">
        <w:rPr>
          <w:rFonts w:ascii="Book Antiqua" w:eastAsia="MinionPro-Regular" w:hAnsi="Book Antiqua"/>
          <w:sz w:val="24"/>
          <w:szCs w:val="24"/>
        </w:rPr>
        <w:t>Fisher’s exact test. IQR</w:t>
      </w:r>
      <w:r w:rsidRPr="006B0C21">
        <w:rPr>
          <w:rFonts w:ascii="Book Antiqua" w:hAnsi="Book Antiqua"/>
          <w:sz w:val="24"/>
          <w:szCs w:val="24"/>
        </w:rPr>
        <w:t>:</w:t>
      </w:r>
      <w:r w:rsidRPr="006B0C21">
        <w:rPr>
          <w:rFonts w:ascii="Book Antiqua" w:eastAsia="MinionPro-Regular" w:hAnsi="Book Antiqua"/>
          <w:sz w:val="24"/>
          <w:szCs w:val="24"/>
        </w:rPr>
        <w:t xml:space="preserve"> Interquartile range</w:t>
      </w:r>
      <w:r w:rsidRPr="00084DA8">
        <w:rPr>
          <w:rFonts w:ascii="Book Antiqua" w:hAnsi="Book Antiqua"/>
          <w:sz w:val="24"/>
          <w:szCs w:val="24"/>
        </w:rPr>
        <w:t>;</w:t>
      </w:r>
      <w:r w:rsidRPr="006B0C21">
        <w:rPr>
          <w:rFonts w:ascii="Book Antiqua" w:hAnsi="Book Antiqua"/>
          <w:sz w:val="24"/>
          <w:szCs w:val="24"/>
        </w:rPr>
        <w:t xml:space="preserve"> ERCP: </w:t>
      </w:r>
      <w:r w:rsidRPr="006B0C21">
        <w:rPr>
          <w:rFonts w:ascii="Book Antiqua" w:hAnsi="Book Antiqua"/>
          <w:sz w:val="24"/>
          <w:szCs w:val="24"/>
          <w:lang w:val="en-GB"/>
        </w:rPr>
        <w:t>Endoscopic retrograde cholangiopancreatography.</w:t>
      </w:r>
    </w:p>
    <w:p w:rsidR="00713A64" w:rsidRPr="006B0C21" w:rsidRDefault="00713A64" w:rsidP="006B0C21">
      <w:pPr>
        <w:suppressAutoHyphens/>
        <w:autoSpaceDE w:val="0"/>
        <w:autoSpaceDN w:val="0"/>
        <w:adjustRightInd w:val="0"/>
        <w:snapToGrid w:val="0"/>
        <w:spacing w:line="360" w:lineRule="auto"/>
        <w:textAlignment w:val="center"/>
        <w:rPr>
          <w:rFonts w:ascii="Book Antiqua" w:eastAsia="MinionPro-Regular" w:hAnsi="Book Antiqua"/>
          <w:sz w:val="24"/>
          <w:szCs w:val="24"/>
        </w:rPr>
      </w:pPr>
    </w:p>
    <w:p w:rsidR="00713A64" w:rsidRPr="006B0C21" w:rsidRDefault="00713A64" w:rsidP="006B0C21">
      <w:pPr>
        <w:suppressAutoHyphens/>
        <w:autoSpaceDE w:val="0"/>
        <w:autoSpaceDN w:val="0"/>
        <w:adjustRightInd w:val="0"/>
        <w:snapToGrid w:val="0"/>
        <w:spacing w:line="360" w:lineRule="auto"/>
        <w:textAlignment w:val="center"/>
        <w:rPr>
          <w:rFonts w:ascii="Book Antiqua" w:hAnsi="Book Antiqua"/>
          <w:b/>
          <w:sz w:val="24"/>
          <w:szCs w:val="24"/>
        </w:rPr>
      </w:pPr>
      <w:r w:rsidRPr="006B0C21">
        <w:rPr>
          <w:rFonts w:ascii="Book Antiqua" w:hAnsi="Book Antiqua"/>
          <w:b/>
          <w:sz w:val="24"/>
          <w:szCs w:val="24"/>
        </w:rPr>
        <w:br w:type="page"/>
      </w:r>
      <w:r w:rsidRPr="006B0C21">
        <w:rPr>
          <w:rFonts w:ascii="Book Antiqua" w:eastAsia="MinionPro-Regular" w:hAnsi="Book Antiqua"/>
          <w:b/>
          <w:sz w:val="24"/>
          <w:szCs w:val="24"/>
        </w:rPr>
        <w:t>Table 2</w:t>
      </w:r>
      <w:r w:rsidRPr="00084DA8">
        <w:rPr>
          <w:rFonts w:ascii="Book Antiqua" w:hAnsi="Book Antiqua"/>
          <w:b/>
          <w:sz w:val="24"/>
          <w:szCs w:val="24"/>
        </w:rPr>
        <w:t xml:space="preserve"> </w:t>
      </w:r>
      <w:r w:rsidRPr="006B0C21">
        <w:rPr>
          <w:rFonts w:ascii="Book Antiqua" w:hAnsi="Book Antiqua"/>
          <w:b/>
          <w:sz w:val="24"/>
          <w:szCs w:val="24"/>
        </w:rPr>
        <w:t xml:space="preserve">Summary of causes, cannulation techniques, and adverse events of difficult cannulation patients in </w:t>
      </w:r>
      <w:r w:rsidR="00F00808">
        <w:rPr>
          <w:rFonts w:ascii="Book Antiqua" w:hAnsi="Book Antiqua"/>
          <w:b/>
          <w:sz w:val="24"/>
          <w:szCs w:val="24"/>
        </w:rPr>
        <w:t xml:space="preserve">the </w:t>
      </w:r>
      <w:r w:rsidRPr="006B0C21">
        <w:rPr>
          <w:rFonts w:ascii="Book Antiqua" w:hAnsi="Book Antiqua"/>
          <w:b/>
          <w:sz w:val="24"/>
          <w:szCs w:val="24"/>
        </w:rPr>
        <w:t>older and younger groups</w:t>
      </w:r>
    </w:p>
    <w:tbl>
      <w:tblPr>
        <w:tblW w:w="9066" w:type="dxa"/>
        <w:tblLook w:val="0000" w:firstRow="0" w:lastRow="0" w:firstColumn="0" w:lastColumn="0" w:noHBand="0" w:noVBand="0"/>
      </w:tblPr>
      <w:tblGrid>
        <w:gridCol w:w="2943"/>
        <w:gridCol w:w="1647"/>
        <w:gridCol w:w="1472"/>
        <w:gridCol w:w="1559"/>
        <w:gridCol w:w="1445"/>
      </w:tblGrid>
      <w:tr w:rsidR="005C5FFF" w:rsidRPr="006B0C21" w:rsidTr="003C45CE">
        <w:tc>
          <w:tcPr>
            <w:tcW w:w="2943"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647" w:type="dxa"/>
            <w:tcBorders>
              <w:top w:val="single" w:sz="4" w:space="0" w:color="auto"/>
              <w:bottom w:val="single" w:sz="4" w:space="0" w:color="auto"/>
            </w:tcBorders>
          </w:tcPr>
          <w:p w:rsidR="00713A64" w:rsidRPr="005A1D42"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Overall</w:t>
            </w:r>
            <w:r w:rsidR="005A1D42" w:rsidRPr="00966665">
              <w:rPr>
                <w:rFonts w:ascii="Book Antiqua" w:hAnsi="Book Antiqua" w:cs="Arial" w:hint="eastAsia"/>
                <w:b/>
                <w:bCs/>
                <w:kern w:val="0"/>
                <w:sz w:val="24"/>
                <w:szCs w:val="24"/>
              </w:rPr>
              <w:t xml:space="preserve"> </w:t>
            </w:r>
            <w:r w:rsidRPr="006B0C21">
              <w:rPr>
                <w:rFonts w:ascii="Book Antiqua" w:eastAsia="MinionPro-Regular" w:hAnsi="Book Antiqua" w:cs="Arial"/>
                <w:b/>
                <w:bCs/>
                <w:kern w:val="0"/>
                <w:sz w:val="24"/>
                <w:szCs w:val="24"/>
              </w:rPr>
              <w:t>(</w:t>
            </w:r>
            <w:r w:rsidRPr="006B0C21">
              <w:rPr>
                <w:rFonts w:ascii="Book Antiqua" w:eastAsia="MinionPro-Regular" w:hAnsi="Book Antiqua" w:cs="Arial"/>
                <w:b/>
                <w:bCs/>
                <w:i/>
                <w:kern w:val="0"/>
                <w:sz w:val="24"/>
                <w:szCs w:val="24"/>
              </w:rPr>
              <w:t>n</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209)</w:t>
            </w:r>
            <w:r w:rsidR="003C45CE" w:rsidRPr="00084DA8">
              <w:rPr>
                <w:rFonts w:ascii="Book Antiqua" w:hAnsi="Book Antiqua" w:cs="Arial"/>
                <w:b/>
                <w:bCs/>
                <w:kern w:val="0"/>
                <w:sz w:val="24"/>
                <w:szCs w:val="24"/>
              </w:rPr>
              <w:t>, %</w:t>
            </w:r>
          </w:p>
        </w:tc>
        <w:tc>
          <w:tcPr>
            <w:tcW w:w="1472" w:type="dxa"/>
            <w:tcBorders>
              <w:top w:val="single" w:sz="4" w:space="0" w:color="auto"/>
              <w:bottom w:val="single" w:sz="4" w:space="0" w:color="auto"/>
            </w:tcBorders>
          </w:tcPr>
          <w:p w:rsidR="00713A64" w:rsidRPr="005A1D42"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Age ≥ 80</w:t>
            </w:r>
            <w:r w:rsidR="005A1D42" w:rsidRPr="00966665">
              <w:rPr>
                <w:rFonts w:ascii="Book Antiqua" w:hAnsi="Book Antiqua" w:cs="Arial" w:hint="eastAsia"/>
                <w:b/>
                <w:bCs/>
                <w:kern w:val="0"/>
                <w:sz w:val="24"/>
                <w:szCs w:val="24"/>
              </w:rPr>
              <w:t xml:space="preserve"> </w:t>
            </w:r>
            <w:r w:rsidRPr="006B0C21">
              <w:rPr>
                <w:rFonts w:ascii="Book Antiqua" w:eastAsia="MinionPro-Regular" w:hAnsi="Book Antiqua" w:cs="Arial"/>
                <w:b/>
                <w:bCs/>
                <w:kern w:val="0"/>
                <w:sz w:val="24"/>
                <w:szCs w:val="24"/>
              </w:rPr>
              <w:t>(</w:t>
            </w:r>
            <w:r w:rsidRPr="006B0C21">
              <w:rPr>
                <w:rFonts w:ascii="Book Antiqua" w:eastAsia="MinionPro-Regular" w:hAnsi="Book Antiqua" w:cs="Arial"/>
                <w:b/>
                <w:bCs/>
                <w:i/>
                <w:kern w:val="0"/>
                <w:sz w:val="24"/>
                <w:szCs w:val="24"/>
              </w:rPr>
              <w:t>n</w:t>
            </w:r>
            <w:r w:rsidRPr="00084DA8">
              <w:rPr>
                <w:rFonts w:ascii="Book Antiqua" w:hAnsi="Book Antiqua" w:cs="Arial"/>
                <w:b/>
                <w:bCs/>
                <w:i/>
                <w:kern w:val="0"/>
                <w:sz w:val="24"/>
                <w:szCs w:val="24"/>
              </w:rPr>
              <w:t xml:space="preserve"> </w:t>
            </w:r>
            <w:r w:rsidRPr="006B0C21">
              <w:rPr>
                <w:rFonts w:ascii="Book Antiqua" w:eastAsia="MinionPro-Regular" w:hAnsi="Book Antiqua" w:cs="Arial"/>
                <w:b/>
                <w:bCs/>
                <w:kern w:val="0"/>
                <w:sz w:val="24"/>
                <w:szCs w:val="24"/>
              </w:rPr>
              <w:t>=</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49)</w:t>
            </w:r>
            <w:r w:rsidR="003C45CE" w:rsidRPr="00084DA8">
              <w:rPr>
                <w:rFonts w:ascii="Book Antiqua" w:hAnsi="Book Antiqua" w:cs="Arial"/>
                <w:b/>
                <w:bCs/>
                <w:kern w:val="0"/>
                <w:sz w:val="24"/>
                <w:szCs w:val="24"/>
              </w:rPr>
              <w:t>,%</w:t>
            </w:r>
          </w:p>
        </w:tc>
        <w:tc>
          <w:tcPr>
            <w:tcW w:w="1559" w:type="dxa"/>
            <w:tcBorders>
              <w:top w:val="single" w:sz="4" w:space="0" w:color="auto"/>
              <w:bottom w:val="single" w:sz="4" w:space="0" w:color="auto"/>
            </w:tcBorders>
          </w:tcPr>
          <w:p w:rsidR="00713A64" w:rsidRPr="005A1D42"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Age &lt; 80</w:t>
            </w:r>
            <w:r w:rsidR="005A1D42" w:rsidRPr="00966665">
              <w:rPr>
                <w:rFonts w:ascii="Book Antiqua" w:hAnsi="Book Antiqua" w:cs="Arial" w:hint="eastAsia"/>
                <w:b/>
                <w:bCs/>
                <w:kern w:val="0"/>
                <w:sz w:val="24"/>
                <w:szCs w:val="24"/>
              </w:rPr>
              <w:t xml:space="preserve"> </w:t>
            </w:r>
            <w:r w:rsidRPr="006B0C21">
              <w:rPr>
                <w:rFonts w:ascii="Book Antiqua" w:eastAsia="MinionPro-Regular" w:hAnsi="Book Antiqua" w:cs="Arial"/>
                <w:b/>
                <w:bCs/>
                <w:kern w:val="0"/>
                <w:sz w:val="24"/>
                <w:szCs w:val="24"/>
              </w:rPr>
              <w:t>(</w:t>
            </w:r>
            <w:r w:rsidRPr="006B0C21">
              <w:rPr>
                <w:rFonts w:ascii="Book Antiqua" w:eastAsia="MinionPro-Regular" w:hAnsi="Book Antiqua" w:cs="Arial"/>
                <w:b/>
                <w:bCs/>
                <w:i/>
                <w:kern w:val="0"/>
                <w:sz w:val="24"/>
                <w:szCs w:val="24"/>
              </w:rPr>
              <w:t>n</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160)</w:t>
            </w:r>
            <w:r w:rsidR="003C45CE" w:rsidRPr="00084DA8">
              <w:rPr>
                <w:rFonts w:ascii="Book Antiqua" w:hAnsi="Book Antiqua" w:cs="Arial"/>
                <w:b/>
                <w:bCs/>
                <w:kern w:val="0"/>
                <w:sz w:val="24"/>
                <w:szCs w:val="24"/>
              </w:rPr>
              <w:t>, %</w:t>
            </w:r>
          </w:p>
        </w:tc>
        <w:tc>
          <w:tcPr>
            <w:tcW w:w="1445"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i/>
                <w:kern w:val="0"/>
                <w:sz w:val="24"/>
                <w:szCs w:val="24"/>
              </w:rPr>
              <w:t>P</w:t>
            </w:r>
            <w:r w:rsidRPr="00084DA8">
              <w:rPr>
                <w:rFonts w:ascii="Book Antiqua" w:hAnsi="Book Antiqua" w:cs="Arial"/>
                <w:b/>
                <w:bCs/>
                <w:kern w:val="0"/>
                <w:sz w:val="24"/>
                <w:szCs w:val="24"/>
              </w:rPr>
              <w:t xml:space="preserve"> </w:t>
            </w:r>
            <w:r w:rsidRPr="006B0C21">
              <w:rPr>
                <w:rFonts w:ascii="Book Antiqua" w:eastAsia="MinionPro-Regular" w:hAnsi="Book Antiqua" w:cs="Arial"/>
                <w:b/>
                <w:bCs/>
                <w:kern w:val="0"/>
                <w:sz w:val="24"/>
                <w:szCs w:val="24"/>
              </w:rPr>
              <w:t>value</w:t>
            </w:r>
            <w:r w:rsidR="005A1D42" w:rsidRPr="005A1D42">
              <w:rPr>
                <w:rFonts w:ascii="Book Antiqua" w:eastAsia="MinionPro-Regular" w:hAnsi="Book Antiqua" w:cs="Arial"/>
                <w:b/>
                <w:bCs/>
                <w:kern w:val="0"/>
                <w:sz w:val="24"/>
                <w:szCs w:val="24"/>
                <w:vertAlign w:val="superscript"/>
              </w:rPr>
              <w:t>1</w:t>
            </w:r>
          </w:p>
        </w:tc>
      </w:tr>
      <w:tr w:rsidR="005C5FFF" w:rsidRPr="006B0C21" w:rsidTr="003C45CE">
        <w:tc>
          <w:tcPr>
            <w:tcW w:w="2943"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Causes of difficulty</w:t>
            </w:r>
          </w:p>
        </w:tc>
        <w:tc>
          <w:tcPr>
            <w:tcW w:w="1647"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72"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559"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45"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等线" w:hAnsi="Book Antiqua" w:cs="Arial"/>
                <w:kern w:val="0"/>
                <w:sz w:val="24"/>
                <w:szCs w:val="24"/>
                <w:lang w:val="de-DE"/>
              </w:rPr>
              <w:t>Papillary anatomy</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31.1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(65)</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18.4</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(9)</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35</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(56)</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0.029</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Distal stricture or impacted stone</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32.5</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(68)</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22.4</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(11)</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35.6</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(57)</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0.108</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Diverticulum</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18.2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(38)</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26.5</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(13)</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15.6</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(25)</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0.047</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Ampullary carcinoma</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4.8</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(10)</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14.3</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(7)</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1.9</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(3)</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0.001</w:t>
            </w:r>
          </w:p>
        </w:tc>
      </w:tr>
      <w:tr w:rsidR="005C5FFF" w:rsidRPr="006B0C21" w:rsidTr="003C45CE">
        <w:tc>
          <w:tcPr>
            <w:tcW w:w="2943" w:type="dxa"/>
          </w:tcPr>
          <w:p w:rsidR="00713A64" w:rsidRPr="006B0C21" w:rsidRDefault="00713A64" w:rsidP="00664C0B">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Altered anatomy</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8.6</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(18)</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10.2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(5)</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(13)</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0.326</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Cannulation failure</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5.7</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(12)</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8.3</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(4)</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(8)</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0.286</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Cannulation techniques</w:t>
            </w:r>
          </w:p>
        </w:tc>
        <w:tc>
          <w:tcPr>
            <w:tcW w:w="1647"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72"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559"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 xml:space="preserve">Guidewire assisted </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42.1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(88)</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40.8</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(20)</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42.5</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(68)</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0.868</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NKP</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37.7</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(79)</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42.8</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(21)</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36.2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(58)</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0.239</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TPS</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20.1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(42)</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16.7</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(8)</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21.2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(34)</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0.546</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highlight w:val="red"/>
              </w:rPr>
            </w:pPr>
            <w:r w:rsidRPr="006B0C21">
              <w:rPr>
                <w:rFonts w:ascii="Book Antiqua" w:eastAsia="MinionPro-Regular" w:hAnsi="Book Antiqua" w:cs="Arial"/>
                <w:bCs/>
                <w:kern w:val="0"/>
                <w:sz w:val="24"/>
                <w:szCs w:val="24"/>
              </w:rPr>
              <w:t>Pancreatic stent</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26.8</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(56)</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22.9</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(11)</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28.1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(45)</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0.489</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Adverse events</w:t>
            </w:r>
          </w:p>
        </w:tc>
        <w:tc>
          <w:tcPr>
            <w:tcW w:w="1647"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72"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559"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PEP</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10</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(21)</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11.8</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(19)</w:t>
            </w:r>
          </w:p>
        </w:tc>
        <w:tc>
          <w:tcPr>
            <w:tcW w:w="1445" w:type="dxa"/>
          </w:tcPr>
          <w:p w:rsidR="00713A64" w:rsidRPr="006B0C21" w:rsidRDefault="00713A64" w:rsidP="005A1D42">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0.096</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Perforation</w:t>
            </w:r>
          </w:p>
        </w:tc>
        <w:tc>
          <w:tcPr>
            <w:tcW w:w="1647"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w:t>
            </w:r>
            <w:r w:rsidR="00B70F80" w:rsidRPr="00084DA8">
              <w:rPr>
                <w:rFonts w:ascii="Book Antiqua" w:hAnsi="Book Antiqua" w:cs="Arial"/>
                <w:kern w:val="0"/>
                <w:sz w:val="24"/>
                <w:szCs w:val="24"/>
              </w:rPr>
              <w:t xml:space="preserve"> </w:t>
            </w:r>
            <w:r w:rsidRPr="006B0C21">
              <w:rPr>
                <w:rFonts w:ascii="Book Antiqua" w:eastAsia="MinionPro-Regular" w:hAnsi="Book Antiqua" w:cs="Arial"/>
                <w:kern w:val="0"/>
                <w:sz w:val="24"/>
                <w:szCs w:val="24"/>
              </w:rPr>
              <w:t>(2)</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w:t>
            </w:r>
          </w:p>
        </w:tc>
        <w:tc>
          <w:tcPr>
            <w:tcW w:w="1445" w:type="dxa"/>
          </w:tcPr>
          <w:p w:rsidR="00713A64" w:rsidRPr="006B0C21" w:rsidRDefault="00713A64" w:rsidP="005A1D42">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0.407</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Bleeding</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1.9</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(4)</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w:t>
            </w:r>
          </w:p>
        </w:tc>
        <w:tc>
          <w:tcPr>
            <w:tcW w:w="1445" w:type="dxa"/>
          </w:tcPr>
          <w:p w:rsidR="00713A64" w:rsidRPr="006B0C21" w:rsidRDefault="00713A64" w:rsidP="005A1D42">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0.227</w:t>
            </w:r>
          </w:p>
        </w:tc>
      </w:tr>
      <w:tr w:rsidR="005C5FFF" w:rsidRPr="006B0C21" w:rsidTr="003C45CE">
        <w:tc>
          <w:tcPr>
            <w:tcW w:w="294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Cholangitis</w:t>
            </w:r>
          </w:p>
        </w:tc>
        <w:tc>
          <w:tcPr>
            <w:tcW w:w="164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1.9</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(4)</w:t>
            </w:r>
          </w:p>
        </w:tc>
        <w:tc>
          <w:tcPr>
            <w:tcW w:w="1472"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(1)</w:t>
            </w:r>
          </w:p>
        </w:tc>
        <w:tc>
          <w:tcPr>
            <w:tcW w:w="1559"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1.9</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(3)</w:t>
            </w:r>
          </w:p>
        </w:tc>
        <w:tc>
          <w:tcPr>
            <w:tcW w:w="1445" w:type="dxa"/>
          </w:tcPr>
          <w:p w:rsidR="00713A64" w:rsidRPr="006B0C21" w:rsidRDefault="00713A64" w:rsidP="005A1D42">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0.651</w:t>
            </w:r>
          </w:p>
        </w:tc>
      </w:tr>
      <w:tr w:rsidR="005C5FFF" w:rsidRPr="006B0C21" w:rsidTr="003C45CE">
        <w:tc>
          <w:tcPr>
            <w:tcW w:w="2943"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Cardiopulmonary</w:t>
            </w:r>
          </w:p>
        </w:tc>
        <w:tc>
          <w:tcPr>
            <w:tcW w:w="1647" w:type="dxa"/>
            <w:tcBorders>
              <w:bottom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w:t>
            </w:r>
          </w:p>
        </w:tc>
        <w:tc>
          <w:tcPr>
            <w:tcW w:w="1472"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 (0)</w:t>
            </w:r>
          </w:p>
        </w:tc>
        <w:tc>
          <w:tcPr>
            <w:tcW w:w="1559" w:type="dxa"/>
            <w:tcBorders>
              <w:bottom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1.2</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w:t>
            </w:r>
          </w:p>
        </w:tc>
        <w:tc>
          <w:tcPr>
            <w:tcW w:w="1445" w:type="dxa"/>
            <w:tcBorders>
              <w:bottom w:val="single" w:sz="4" w:space="0" w:color="auto"/>
            </w:tcBorders>
          </w:tcPr>
          <w:p w:rsidR="00713A64" w:rsidRPr="006B0C21" w:rsidRDefault="00713A64" w:rsidP="005A1D42">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0.593</w:t>
            </w:r>
          </w:p>
        </w:tc>
      </w:tr>
    </w:tbl>
    <w:p w:rsidR="003C45CE" w:rsidRPr="006B0C21" w:rsidRDefault="005A1D42" w:rsidP="006B0C21">
      <w:pPr>
        <w:suppressAutoHyphens/>
        <w:autoSpaceDE w:val="0"/>
        <w:autoSpaceDN w:val="0"/>
        <w:adjustRightInd w:val="0"/>
        <w:snapToGrid w:val="0"/>
        <w:spacing w:line="360" w:lineRule="auto"/>
        <w:textAlignment w:val="center"/>
        <w:rPr>
          <w:rFonts w:ascii="Book Antiqua" w:hAnsi="Book Antiqua"/>
          <w:sz w:val="24"/>
          <w:szCs w:val="24"/>
          <w:lang w:val="en-GB"/>
        </w:rPr>
      </w:pPr>
      <w:r>
        <w:rPr>
          <w:rFonts w:ascii="Book Antiqua" w:eastAsia="MinionPro-Regular" w:hAnsi="Book Antiqua"/>
          <w:sz w:val="24"/>
          <w:szCs w:val="24"/>
          <w:vertAlign w:val="superscript"/>
        </w:rPr>
        <w:t>1</w:t>
      </w:r>
      <w:r w:rsidR="00713A64" w:rsidRPr="006B0C21">
        <w:rPr>
          <w:rFonts w:ascii="Book Antiqua" w:eastAsia="MinionPro-Regular" w:hAnsi="Book Antiqua"/>
          <w:sz w:val="24"/>
          <w:szCs w:val="24"/>
        </w:rPr>
        <w:t>Fisher’s exact test.</w:t>
      </w:r>
      <w:r w:rsidR="003C45CE" w:rsidRPr="006B0C21">
        <w:rPr>
          <w:rFonts w:ascii="Book Antiqua" w:eastAsia="MinionPro-Regular" w:hAnsi="Book Antiqua"/>
          <w:sz w:val="24"/>
          <w:szCs w:val="24"/>
        </w:rPr>
        <w:t xml:space="preserve"> IQR</w:t>
      </w:r>
      <w:r w:rsidR="003C45CE" w:rsidRPr="006B0C21">
        <w:rPr>
          <w:rFonts w:ascii="Book Antiqua" w:hAnsi="Book Antiqua"/>
          <w:sz w:val="24"/>
          <w:szCs w:val="24"/>
        </w:rPr>
        <w:t>:</w:t>
      </w:r>
      <w:r w:rsidR="003C45CE" w:rsidRPr="006B0C21">
        <w:rPr>
          <w:rFonts w:ascii="Book Antiqua" w:eastAsia="MinionPro-Regular" w:hAnsi="Book Antiqua"/>
          <w:sz w:val="24"/>
          <w:szCs w:val="24"/>
        </w:rPr>
        <w:t xml:space="preserve"> Interquartile range</w:t>
      </w:r>
      <w:r w:rsidR="003C45CE" w:rsidRPr="006B0C21">
        <w:rPr>
          <w:rFonts w:ascii="Book Antiqua" w:hAnsi="Book Antiqua"/>
          <w:sz w:val="24"/>
          <w:szCs w:val="24"/>
        </w:rPr>
        <w:t xml:space="preserve">; ERCP: </w:t>
      </w:r>
      <w:r w:rsidR="003C45CE" w:rsidRPr="006B0C21">
        <w:rPr>
          <w:rFonts w:ascii="Book Antiqua" w:hAnsi="Book Antiqua"/>
          <w:sz w:val="24"/>
          <w:szCs w:val="24"/>
          <w:lang w:val="en-GB"/>
        </w:rPr>
        <w:t xml:space="preserve">Endoscopic retrograde cholangiopancreatography; PEP: </w:t>
      </w:r>
      <w:r w:rsidR="003C45CE" w:rsidRPr="006B0C21">
        <w:rPr>
          <w:rFonts w:ascii="Book Antiqua" w:hAnsi="Book Antiqua"/>
          <w:sz w:val="24"/>
          <w:szCs w:val="24"/>
        </w:rPr>
        <w:t>Post-</w:t>
      </w:r>
      <w:r w:rsidR="003C45CE" w:rsidRPr="006B0C21">
        <w:rPr>
          <w:rFonts w:ascii="Book Antiqua" w:hAnsi="Book Antiqua"/>
          <w:sz w:val="24"/>
          <w:szCs w:val="24"/>
          <w:lang w:val="en-GB"/>
        </w:rPr>
        <w:t xml:space="preserve">endoscopic retrograde cholangiopancreatography; TPS: </w:t>
      </w:r>
      <w:r w:rsidR="003C45CE" w:rsidRPr="006B0C21">
        <w:rPr>
          <w:rFonts w:ascii="Book Antiqua" w:hAnsi="Book Antiqua"/>
          <w:sz w:val="24"/>
          <w:szCs w:val="24"/>
        </w:rPr>
        <w:t>Transpancreatic sphincterotomy; NKP: Needle knife precut.</w:t>
      </w:r>
    </w:p>
    <w:p w:rsidR="00713A64" w:rsidRPr="006B0C21" w:rsidRDefault="00713A64" w:rsidP="006B0C21">
      <w:pPr>
        <w:suppressAutoHyphens/>
        <w:autoSpaceDE w:val="0"/>
        <w:autoSpaceDN w:val="0"/>
        <w:adjustRightInd w:val="0"/>
        <w:snapToGrid w:val="0"/>
        <w:spacing w:line="360" w:lineRule="auto"/>
        <w:textAlignment w:val="center"/>
        <w:rPr>
          <w:rFonts w:ascii="Book Antiqua" w:eastAsia="MinionPro-Regular" w:hAnsi="Book Antiqua"/>
          <w:sz w:val="24"/>
          <w:szCs w:val="24"/>
        </w:rPr>
      </w:pPr>
    </w:p>
    <w:p w:rsidR="00713A64" w:rsidRPr="006B0C21" w:rsidRDefault="00713A64" w:rsidP="006B0C21">
      <w:pPr>
        <w:autoSpaceDE w:val="0"/>
        <w:autoSpaceDN w:val="0"/>
        <w:adjustRightInd w:val="0"/>
        <w:snapToGrid w:val="0"/>
        <w:spacing w:line="360" w:lineRule="auto"/>
        <w:rPr>
          <w:rFonts w:ascii="Book Antiqua" w:hAnsi="Book Antiqua"/>
          <w:b/>
          <w:kern w:val="0"/>
          <w:sz w:val="24"/>
          <w:szCs w:val="24"/>
          <w:lang w:val="de-DE"/>
        </w:rPr>
      </w:pPr>
      <w:r w:rsidRPr="006B0C21">
        <w:rPr>
          <w:rFonts w:ascii="Book Antiqua" w:hAnsi="Book Antiqua"/>
          <w:b/>
          <w:sz w:val="24"/>
          <w:szCs w:val="24"/>
        </w:rPr>
        <w:br w:type="page"/>
      </w:r>
      <w:r w:rsidR="003C45CE" w:rsidRPr="006B0C21">
        <w:rPr>
          <w:rFonts w:ascii="Book Antiqua" w:hAnsi="Book Antiqua"/>
          <w:b/>
          <w:kern w:val="0"/>
          <w:sz w:val="24"/>
          <w:szCs w:val="24"/>
          <w:lang w:val="de-DE"/>
        </w:rPr>
        <w:t>Table 3</w:t>
      </w:r>
      <w:r w:rsidRPr="006B0C21">
        <w:rPr>
          <w:rFonts w:ascii="Book Antiqua" w:hAnsi="Book Antiqua"/>
          <w:b/>
          <w:kern w:val="0"/>
          <w:sz w:val="24"/>
          <w:szCs w:val="24"/>
          <w:lang w:val="de-DE"/>
        </w:rPr>
        <w:t xml:space="preserve"> The incidence of adverse events in difficult cannulation cases </w:t>
      </w:r>
      <w:r w:rsidR="00F00808">
        <w:rPr>
          <w:rFonts w:ascii="Book Antiqua" w:hAnsi="Book Antiqua"/>
          <w:b/>
          <w:kern w:val="0"/>
          <w:sz w:val="24"/>
          <w:szCs w:val="24"/>
          <w:lang w:val="de-DE"/>
        </w:rPr>
        <w:t>in</w:t>
      </w:r>
      <w:r w:rsidRPr="006B0C21">
        <w:rPr>
          <w:rFonts w:ascii="Book Antiqua" w:hAnsi="Book Antiqua"/>
          <w:b/>
          <w:kern w:val="0"/>
          <w:sz w:val="24"/>
          <w:szCs w:val="24"/>
          <w:lang w:val="de-DE"/>
        </w:rPr>
        <w:t xml:space="preserve"> the elderly group after repeat</w:t>
      </w:r>
      <w:r w:rsidR="00F00808">
        <w:rPr>
          <w:rFonts w:ascii="Book Antiqua" w:hAnsi="Book Antiqua"/>
          <w:b/>
          <w:kern w:val="0"/>
          <w:sz w:val="24"/>
          <w:szCs w:val="24"/>
          <w:lang w:val="de-DE"/>
        </w:rPr>
        <w:t>ed</w:t>
      </w:r>
      <w:r w:rsidRPr="006B0C21">
        <w:rPr>
          <w:rFonts w:ascii="Book Antiqua" w:hAnsi="Book Antiqua"/>
          <w:b/>
          <w:kern w:val="0"/>
          <w:sz w:val="24"/>
          <w:szCs w:val="24"/>
          <w:lang w:val="de-DE"/>
        </w:rPr>
        <w:t xml:space="preserve"> </w:t>
      </w:r>
      <w:r w:rsidRPr="006B0C21">
        <w:rPr>
          <w:rFonts w:ascii="Book Antiqua" w:hAnsi="Book Antiqua"/>
          <w:b/>
          <w:spacing w:val="-1"/>
          <w:kern w:val="0"/>
          <w:sz w:val="24"/>
          <w:szCs w:val="24"/>
        </w:rPr>
        <w:t>guidewire-assisted cannulation,</w:t>
      </w:r>
      <w:r w:rsidRPr="006B0C21">
        <w:rPr>
          <w:rFonts w:ascii="Book Antiqua" w:hAnsi="Book Antiqua"/>
          <w:b/>
          <w:kern w:val="0"/>
          <w:sz w:val="24"/>
          <w:szCs w:val="24"/>
          <w:lang w:val="de-DE"/>
        </w:rPr>
        <w:t xml:space="preserve"> </w:t>
      </w:r>
      <w:r w:rsidR="003C45CE" w:rsidRPr="006B0C21">
        <w:rPr>
          <w:rFonts w:ascii="Book Antiqua" w:hAnsi="Book Antiqua"/>
          <w:b/>
          <w:sz w:val="24"/>
          <w:szCs w:val="24"/>
        </w:rPr>
        <w:t>needle knife precut</w:t>
      </w:r>
      <w:r w:rsidRPr="006B0C21">
        <w:rPr>
          <w:rFonts w:ascii="Book Antiqua" w:hAnsi="Book Antiqua"/>
          <w:b/>
          <w:kern w:val="0"/>
          <w:sz w:val="24"/>
          <w:szCs w:val="24"/>
          <w:lang w:val="de-DE"/>
        </w:rPr>
        <w:t xml:space="preserve">, and </w:t>
      </w:r>
      <w:r w:rsidR="003C45CE" w:rsidRPr="006B0C21">
        <w:rPr>
          <w:rFonts w:ascii="Book Antiqua" w:hAnsi="Book Antiqua"/>
          <w:b/>
          <w:sz w:val="24"/>
          <w:szCs w:val="24"/>
        </w:rPr>
        <w:t>transpancreatic sphincterotomy</w:t>
      </w:r>
    </w:p>
    <w:tbl>
      <w:tblPr>
        <w:tblW w:w="9360" w:type="dxa"/>
        <w:tblLook w:val="0000" w:firstRow="0" w:lastRow="0" w:firstColumn="0" w:lastColumn="0" w:noHBand="0" w:noVBand="0"/>
      </w:tblPr>
      <w:tblGrid>
        <w:gridCol w:w="2983"/>
        <w:gridCol w:w="1787"/>
        <w:gridCol w:w="1468"/>
        <w:gridCol w:w="1563"/>
        <w:gridCol w:w="1559"/>
      </w:tblGrid>
      <w:tr w:rsidR="005C5FFF" w:rsidRPr="006B0C21">
        <w:tc>
          <w:tcPr>
            <w:tcW w:w="2983"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787"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Guidewire</w:t>
            </w:r>
          </w:p>
        </w:tc>
        <w:tc>
          <w:tcPr>
            <w:tcW w:w="1468"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NKP</w:t>
            </w:r>
          </w:p>
        </w:tc>
        <w:tc>
          <w:tcPr>
            <w:tcW w:w="1563"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TPS</w:t>
            </w:r>
          </w:p>
        </w:tc>
        <w:tc>
          <w:tcPr>
            <w:tcW w:w="1559" w:type="dxa"/>
            <w:tcBorders>
              <w:top w:val="single" w:sz="4" w:space="0" w:color="auto"/>
              <w:bottom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i/>
                <w:kern w:val="0"/>
                <w:sz w:val="24"/>
                <w:szCs w:val="24"/>
              </w:rPr>
              <w:t>P</w:t>
            </w:r>
            <w:r w:rsidRPr="00084DA8">
              <w:rPr>
                <w:rFonts w:ascii="Book Antiqua" w:hAnsi="Book Antiqua" w:cs="Arial"/>
                <w:b/>
                <w:bCs/>
                <w:kern w:val="0"/>
                <w:sz w:val="24"/>
                <w:szCs w:val="24"/>
              </w:rPr>
              <w:t xml:space="preserve"> </w:t>
            </w:r>
            <w:r w:rsidR="00713A64" w:rsidRPr="006B0C21">
              <w:rPr>
                <w:rFonts w:ascii="Book Antiqua" w:eastAsia="MinionPro-Regular" w:hAnsi="Book Antiqua" w:cs="Arial"/>
                <w:b/>
                <w:bCs/>
                <w:kern w:val="0"/>
                <w:sz w:val="24"/>
                <w:szCs w:val="24"/>
              </w:rPr>
              <w:t>value</w:t>
            </w:r>
            <w:r w:rsidR="001D59CD" w:rsidRPr="001D59CD">
              <w:rPr>
                <w:rFonts w:ascii="Book Antiqua" w:eastAsia="MinionPro-Regular" w:hAnsi="Book Antiqua" w:cs="Arial"/>
                <w:b/>
                <w:bCs/>
                <w:kern w:val="0"/>
                <w:sz w:val="24"/>
                <w:szCs w:val="24"/>
                <w:vertAlign w:val="superscript"/>
              </w:rPr>
              <w:t>1</w:t>
            </w:r>
          </w:p>
        </w:tc>
      </w:tr>
      <w:tr w:rsidR="005C5FFF" w:rsidRPr="006B0C21">
        <w:tc>
          <w:tcPr>
            <w:tcW w:w="2983"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Adverse events</w:t>
            </w:r>
          </w:p>
        </w:tc>
        <w:tc>
          <w:tcPr>
            <w:tcW w:w="1787" w:type="dxa"/>
            <w:tcBorders>
              <w:top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084DA8">
              <w:rPr>
                <w:rFonts w:ascii="Book Antiqua" w:hAnsi="Book Antiqua" w:cs="Arial"/>
                <w:bCs/>
                <w:i/>
                <w:kern w:val="0"/>
                <w:sz w:val="24"/>
                <w:szCs w:val="24"/>
              </w:rPr>
              <w:t>n</w:t>
            </w:r>
            <w:r w:rsidRPr="00084DA8">
              <w:rPr>
                <w:rFonts w:ascii="Book Antiqua" w:hAnsi="Book Antiqua" w:cs="Arial"/>
                <w:bCs/>
                <w:kern w:val="0"/>
                <w:sz w:val="24"/>
                <w:szCs w:val="24"/>
              </w:rPr>
              <w:t xml:space="preserve"> </w:t>
            </w:r>
            <w:r w:rsidR="00713A64" w:rsidRPr="006B0C21">
              <w:rPr>
                <w:rFonts w:ascii="Book Antiqua" w:eastAsia="MinionPro-Regular" w:hAnsi="Book Antiqua" w:cs="Arial"/>
                <w:bCs/>
                <w:kern w:val="0"/>
                <w:sz w:val="24"/>
                <w:szCs w:val="24"/>
              </w:rPr>
              <w:t>=</w:t>
            </w:r>
            <w:r w:rsidRPr="00084DA8">
              <w:rPr>
                <w:rFonts w:ascii="Book Antiqua" w:hAnsi="Book Antiqua" w:cs="Arial"/>
                <w:bCs/>
                <w:kern w:val="0"/>
                <w:sz w:val="24"/>
                <w:szCs w:val="24"/>
              </w:rPr>
              <w:t xml:space="preserve"> </w:t>
            </w:r>
            <w:r w:rsidR="00713A64" w:rsidRPr="006B0C21">
              <w:rPr>
                <w:rFonts w:ascii="Book Antiqua" w:eastAsia="MinionPro-Regular" w:hAnsi="Book Antiqua" w:cs="Arial"/>
                <w:bCs/>
                <w:kern w:val="0"/>
                <w:sz w:val="24"/>
                <w:szCs w:val="24"/>
              </w:rPr>
              <w:t>20</w:t>
            </w:r>
          </w:p>
        </w:tc>
        <w:tc>
          <w:tcPr>
            <w:tcW w:w="1468" w:type="dxa"/>
            <w:tcBorders>
              <w:top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084DA8">
              <w:rPr>
                <w:rFonts w:ascii="Book Antiqua" w:hAnsi="Book Antiqua" w:cs="Arial"/>
                <w:bCs/>
                <w:i/>
                <w:kern w:val="0"/>
                <w:sz w:val="24"/>
                <w:szCs w:val="24"/>
              </w:rPr>
              <w:t>n</w:t>
            </w:r>
            <w:r w:rsidRPr="00084DA8">
              <w:rPr>
                <w:rFonts w:ascii="Book Antiqua" w:hAnsi="Book Antiqua" w:cs="Arial"/>
                <w:bCs/>
                <w:kern w:val="0"/>
                <w:sz w:val="24"/>
                <w:szCs w:val="24"/>
              </w:rPr>
              <w:t xml:space="preserve"> </w:t>
            </w:r>
            <w:r w:rsidR="00713A64" w:rsidRPr="006B0C21">
              <w:rPr>
                <w:rFonts w:ascii="Book Antiqua" w:eastAsia="MinionPro-Regular" w:hAnsi="Book Antiqua" w:cs="Arial"/>
                <w:bCs/>
                <w:kern w:val="0"/>
                <w:sz w:val="24"/>
                <w:szCs w:val="24"/>
              </w:rPr>
              <w:t>=</w:t>
            </w:r>
            <w:r w:rsidRPr="00084DA8">
              <w:rPr>
                <w:rFonts w:ascii="Book Antiqua" w:hAnsi="Book Antiqua" w:cs="Arial"/>
                <w:bCs/>
                <w:kern w:val="0"/>
                <w:sz w:val="24"/>
                <w:szCs w:val="24"/>
              </w:rPr>
              <w:t xml:space="preserve"> </w:t>
            </w:r>
            <w:r w:rsidR="00713A64" w:rsidRPr="006B0C21">
              <w:rPr>
                <w:rFonts w:ascii="Book Antiqua" w:eastAsia="MinionPro-Regular" w:hAnsi="Book Antiqua" w:cs="Arial"/>
                <w:bCs/>
                <w:kern w:val="0"/>
                <w:sz w:val="24"/>
                <w:szCs w:val="24"/>
              </w:rPr>
              <w:t>21</w:t>
            </w:r>
          </w:p>
        </w:tc>
        <w:tc>
          <w:tcPr>
            <w:tcW w:w="1563" w:type="dxa"/>
            <w:tcBorders>
              <w:top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084DA8">
              <w:rPr>
                <w:rFonts w:ascii="Book Antiqua" w:hAnsi="Book Antiqua" w:cs="Arial"/>
                <w:bCs/>
                <w:i/>
                <w:kern w:val="0"/>
                <w:sz w:val="24"/>
                <w:szCs w:val="24"/>
              </w:rPr>
              <w:t>n</w:t>
            </w:r>
            <w:r w:rsidRPr="00084DA8">
              <w:rPr>
                <w:rFonts w:ascii="Book Antiqua" w:hAnsi="Book Antiqua" w:cs="Arial"/>
                <w:bCs/>
                <w:kern w:val="0"/>
                <w:sz w:val="24"/>
                <w:szCs w:val="24"/>
              </w:rPr>
              <w:t xml:space="preserve"> </w:t>
            </w:r>
            <w:r w:rsidR="00713A64" w:rsidRPr="006B0C21">
              <w:rPr>
                <w:rFonts w:ascii="Book Antiqua" w:eastAsia="MinionPro-Regular" w:hAnsi="Book Antiqua" w:cs="Arial"/>
                <w:bCs/>
                <w:kern w:val="0"/>
                <w:sz w:val="24"/>
                <w:szCs w:val="24"/>
              </w:rPr>
              <w:t>=</w:t>
            </w:r>
            <w:r w:rsidRPr="00084DA8">
              <w:rPr>
                <w:rFonts w:ascii="Book Antiqua" w:hAnsi="Book Antiqua" w:cs="Arial"/>
                <w:bCs/>
                <w:kern w:val="0"/>
                <w:sz w:val="24"/>
                <w:szCs w:val="24"/>
              </w:rPr>
              <w:t xml:space="preserve"> </w:t>
            </w:r>
            <w:r w:rsidR="00713A64" w:rsidRPr="006B0C21">
              <w:rPr>
                <w:rFonts w:ascii="Book Antiqua" w:eastAsia="MinionPro-Regular" w:hAnsi="Book Antiqua" w:cs="Arial"/>
                <w:bCs/>
                <w:kern w:val="0"/>
                <w:sz w:val="24"/>
                <w:szCs w:val="24"/>
              </w:rPr>
              <w:t>8</w:t>
            </w:r>
          </w:p>
        </w:tc>
        <w:tc>
          <w:tcPr>
            <w:tcW w:w="1559"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5C5FFF" w:rsidRPr="006B0C21">
        <w:tc>
          <w:tcPr>
            <w:tcW w:w="2983" w:type="dxa"/>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PEP</w:t>
            </w:r>
          </w:p>
        </w:tc>
        <w:tc>
          <w:tcPr>
            <w:tcW w:w="1787" w:type="dxa"/>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10%</w:t>
            </w:r>
            <w:r w:rsidR="00B70F80"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(2)</w:t>
            </w:r>
          </w:p>
        </w:tc>
        <w:tc>
          <w:tcPr>
            <w:tcW w:w="1468"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 (0)</w:t>
            </w:r>
          </w:p>
        </w:tc>
        <w:tc>
          <w:tcPr>
            <w:tcW w:w="1563"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 (0)</w:t>
            </w:r>
          </w:p>
        </w:tc>
        <w:tc>
          <w:tcPr>
            <w:tcW w:w="1559"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0.203</w:t>
            </w:r>
          </w:p>
        </w:tc>
      </w:tr>
      <w:tr w:rsidR="005C5FFF" w:rsidRPr="006B0C21">
        <w:tc>
          <w:tcPr>
            <w:tcW w:w="2983"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ind w:firstLine="163"/>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Overall adverse events</w:t>
            </w:r>
          </w:p>
        </w:tc>
        <w:tc>
          <w:tcPr>
            <w:tcW w:w="1787" w:type="dxa"/>
            <w:tcBorders>
              <w:bottom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15%</w:t>
            </w:r>
            <w:r w:rsidR="007D7E41"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(3)</w:t>
            </w:r>
          </w:p>
        </w:tc>
        <w:tc>
          <w:tcPr>
            <w:tcW w:w="1468" w:type="dxa"/>
            <w:tcBorders>
              <w:bottom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14.3%</w:t>
            </w:r>
            <w:r w:rsidR="007D7E41" w:rsidRPr="00084DA8">
              <w:rPr>
                <w:rFonts w:ascii="Book Antiqua" w:hAnsi="Book Antiqua" w:cs="Arial"/>
                <w:kern w:val="0"/>
                <w:sz w:val="24"/>
                <w:szCs w:val="24"/>
              </w:rPr>
              <w:t xml:space="preserve"> </w:t>
            </w:r>
            <w:r w:rsidR="00713A64" w:rsidRPr="006B0C21">
              <w:rPr>
                <w:rFonts w:ascii="Book Antiqua" w:eastAsia="MinionPro-Regular" w:hAnsi="Book Antiqua" w:cs="Arial"/>
                <w:kern w:val="0"/>
                <w:sz w:val="24"/>
                <w:szCs w:val="24"/>
              </w:rPr>
              <w:t>(3)</w:t>
            </w:r>
          </w:p>
        </w:tc>
        <w:tc>
          <w:tcPr>
            <w:tcW w:w="1563"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 (0)</w:t>
            </w:r>
          </w:p>
        </w:tc>
        <w:tc>
          <w:tcPr>
            <w:tcW w:w="1559"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0.129</w:t>
            </w:r>
          </w:p>
        </w:tc>
      </w:tr>
    </w:tbl>
    <w:p w:rsidR="00713A64" w:rsidRPr="006B0C21" w:rsidRDefault="001D59CD" w:rsidP="006B0C21">
      <w:pPr>
        <w:suppressAutoHyphens/>
        <w:autoSpaceDE w:val="0"/>
        <w:autoSpaceDN w:val="0"/>
        <w:adjustRightInd w:val="0"/>
        <w:snapToGrid w:val="0"/>
        <w:spacing w:line="360" w:lineRule="auto"/>
        <w:textAlignment w:val="center"/>
        <w:rPr>
          <w:rFonts w:ascii="Book Antiqua" w:hAnsi="Book Antiqua"/>
          <w:sz w:val="24"/>
          <w:szCs w:val="24"/>
          <w:lang w:val="en-GB"/>
        </w:rPr>
      </w:pPr>
      <w:r>
        <w:rPr>
          <w:rFonts w:ascii="Book Antiqua" w:eastAsia="MinionPro-Regular" w:hAnsi="Book Antiqua"/>
          <w:sz w:val="24"/>
          <w:szCs w:val="24"/>
          <w:vertAlign w:val="superscript"/>
        </w:rPr>
        <w:t>1</w:t>
      </w:r>
      <w:r w:rsidR="00713A64" w:rsidRPr="006B0C21">
        <w:rPr>
          <w:rFonts w:ascii="Book Antiqua" w:eastAsia="MinionPro-Regular" w:hAnsi="Book Antiqua"/>
          <w:sz w:val="24"/>
          <w:szCs w:val="24"/>
        </w:rPr>
        <w:t xml:space="preserve">Fisher’s exact test. </w:t>
      </w:r>
      <w:r w:rsidR="003C45CE" w:rsidRPr="006B0C21">
        <w:rPr>
          <w:rFonts w:ascii="Book Antiqua" w:hAnsi="Book Antiqua"/>
          <w:sz w:val="24"/>
          <w:szCs w:val="24"/>
          <w:lang w:val="en-GB"/>
        </w:rPr>
        <w:t xml:space="preserve">PEP: </w:t>
      </w:r>
      <w:r w:rsidR="003C45CE" w:rsidRPr="006B0C21">
        <w:rPr>
          <w:rFonts w:ascii="Book Antiqua" w:hAnsi="Book Antiqua"/>
          <w:sz w:val="24"/>
          <w:szCs w:val="24"/>
        </w:rPr>
        <w:t>Post-</w:t>
      </w:r>
      <w:r w:rsidR="003C45CE" w:rsidRPr="006B0C21">
        <w:rPr>
          <w:rFonts w:ascii="Book Antiqua" w:hAnsi="Book Antiqua"/>
          <w:sz w:val="24"/>
          <w:szCs w:val="24"/>
          <w:lang w:val="en-GB"/>
        </w:rPr>
        <w:t xml:space="preserve">endoscopic retrograde cholangiopancreatography; TPS: </w:t>
      </w:r>
      <w:r w:rsidR="003C45CE" w:rsidRPr="006B0C21">
        <w:rPr>
          <w:rFonts w:ascii="Book Antiqua" w:hAnsi="Book Antiqua"/>
          <w:sz w:val="24"/>
          <w:szCs w:val="24"/>
        </w:rPr>
        <w:t>Transpancreatic sphincterotomy; NKP: Needle knife precut.</w:t>
      </w:r>
    </w:p>
    <w:p w:rsidR="00713A64" w:rsidRPr="006B0C21" w:rsidRDefault="00713A64" w:rsidP="006B0C21">
      <w:pPr>
        <w:autoSpaceDE w:val="0"/>
        <w:autoSpaceDN w:val="0"/>
        <w:adjustRightInd w:val="0"/>
        <w:snapToGrid w:val="0"/>
        <w:spacing w:line="360" w:lineRule="auto"/>
        <w:rPr>
          <w:rFonts w:ascii="Book Antiqua" w:eastAsia="MinionPro-Regular" w:hAnsi="Book Antiqua"/>
          <w:b/>
          <w:bCs/>
          <w:kern w:val="0"/>
          <w:sz w:val="24"/>
          <w:szCs w:val="24"/>
        </w:rPr>
      </w:pPr>
      <w:r w:rsidRPr="006B0C21">
        <w:rPr>
          <w:rFonts w:ascii="Book Antiqua" w:hAnsi="Book Antiqua"/>
          <w:b/>
          <w:bCs/>
          <w:sz w:val="24"/>
          <w:szCs w:val="24"/>
        </w:rPr>
        <w:br w:type="page"/>
      </w:r>
      <w:r w:rsidR="003C45CE" w:rsidRPr="006B0C21">
        <w:rPr>
          <w:rFonts w:ascii="Book Antiqua" w:eastAsia="MinionPro-Regular" w:hAnsi="Book Antiqua"/>
          <w:b/>
          <w:bCs/>
          <w:kern w:val="0"/>
          <w:sz w:val="24"/>
          <w:szCs w:val="24"/>
        </w:rPr>
        <w:t>Table 4</w:t>
      </w:r>
      <w:r w:rsidRPr="006B0C21">
        <w:rPr>
          <w:rFonts w:ascii="Book Antiqua" w:eastAsia="MinionPro-Regular" w:hAnsi="Book Antiqua"/>
          <w:b/>
          <w:bCs/>
          <w:kern w:val="0"/>
          <w:sz w:val="24"/>
          <w:szCs w:val="24"/>
        </w:rPr>
        <w:t xml:space="preserve"> Multivariate analysis of risk factors </w:t>
      </w:r>
      <w:r w:rsidR="00F00808">
        <w:rPr>
          <w:rFonts w:ascii="Book Antiqua" w:eastAsia="MinionPro-Regular" w:hAnsi="Book Antiqua"/>
          <w:b/>
          <w:bCs/>
          <w:kern w:val="0"/>
          <w:sz w:val="24"/>
          <w:szCs w:val="24"/>
        </w:rPr>
        <w:t>for</w:t>
      </w:r>
      <w:r w:rsidRPr="006B0C21">
        <w:rPr>
          <w:rFonts w:ascii="Book Antiqua" w:eastAsia="MinionPro-Regular" w:hAnsi="Book Antiqua"/>
          <w:b/>
          <w:bCs/>
          <w:kern w:val="0"/>
          <w:sz w:val="24"/>
          <w:szCs w:val="24"/>
        </w:rPr>
        <w:t xml:space="preserve"> adverse events considering age ≥ 80, </w:t>
      </w:r>
      <w:r w:rsidR="003C45CE" w:rsidRPr="006B0C21">
        <w:rPr>
          <w:rFonts w:ascii="Book Antiqua" w:hAnsi="Book Antiqua"/>
          <w:b/>
          <w:sz w:val="24"/>
          <w:szCs w:val="24"/>
        </w:rPr>
        <w:t>Charlson Comorbidity Index</w:t>
      </w:r>
      <w:r w:rsidRPr="006B0C21">
        <w:rPr>
          <w:rFonts w:ascii="Book Antiqua" w:eastAsia="MinionPro-Regular" w:hAnsi="Book Antiqua"/>
          <w:b/>
          <w:bCs/>
          <w:kern w:val="0"/>
          <w:sz w:val="24"/>
          <w:szCs w:val="24"/>
        </w:rPr>
        <w:t xml:space="preserve"> ≥ 2, difficult cannulation, ampullary carcinoma, and </w:t>
      </w:r>
      <w:r w:rsidR="003C45CE" w:rsidRPr="006B0C21">
        <w:rPr>
          <w:rFonts w:ascii="Book Antiqua" w:hAnsi="Book Antiqua"/>
          <w:b/>
          <w:sz w:val="24"/>
          <w:szCs w:val="24"/>
        </w:rPr>
        <w:t>needle knife precut</w:t>
      </w:r>
    </w:p>
    <w:tbl>
      <w:tblPr>
        <w:tblW w:w="9365" w:type="dxa"/>
        <w:tblLook w:val="0000" w:firstRow="0" w:lastRow="0" w:firstColumn="0" w:lastColumn="0" w:noHBand="0" w:noVBand="0"/>
      </w:tblPr>
      <w:tblGrid>
        <w:gridCol w:w="2235"/>
        <w:gridCol w:w="2445"/>
        <w:gridCol w:w="1800"/>
        <w:gridCol w:w="1440"/>
        <w:gridCol w:w="1445"/>
      </w:tblGrid>
      <w:tr w:rsidR="005C5FFF" w:rsidRPr="006B0C21" w:rsidTr="003C45CE">
        <w:trPr>
          <w:trHeight w:val="263"/>
        </w:trPr>
        <w:tc>
          <w:tcPr>
            <w:tcW w:w="2235" w:type="dxa"/>
            <w:vMerge w:val="restart"/>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2445" w:type="dxa"/>
            <w:vMerge w:val="restart"/>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Adjusted odds ratio</w:t>
            </w:r>
          </w:p>
        </w:tc>
        <w:tc>
          <w:tcPr>
            <w:tcW w:w="3240" w:type="dxa"/>
            <w:gridSpan w:val="2"/>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95% Confidence interval</w:t>
            </w:r>
          </w:p>
        </w:tc>
        <w:tc>
          <w:tcPr>
            <w:tcW w:w="1445" w:type="dxa"/>
            <w:vMerge w:val="restart"/>
            <w:tcBorders>
              <w:top w:val="single" w:sz="4" w:space="0" w:color="auto"/>
              <w:bottom w:val="single" w:sz="4" w:space="0" w:color="auto"/>
            </w:tcBorders>
          </w:tcPr>
          <w:p w:rsidR="00713A64" w:rsidRPr="006B0C21" w:rsidRDefault="003C45CE"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i/>
                <w:kern w:val="0"/>
                <w:sz w:val="24"/>
                <w:szCs w:val="24"/>
              </w:rPr>
              <w:t>P</w:t>
            </w:r>
            <w:r w:rsidRPr="00084DA8">
              <w:rPr>
                <w:rFonts w:ascii="Book Antiqua" w:hAnsi="Book Antiqua" w:cs="Arial"/>
                <w:b/>
                <w:bCs/>
                <w:kern w:val="0"/>
                <w:sz w:val="24"/>
                <w:szCs w:val="24"/>
              </w:rPr>
              <w:t xml:space="preserve"> </w:t>
            </w:r>
            <w:r w:rsidR="00713A64" w:rsidRPr="006B0C21">
              <w:rPr>
                <w:rFonts w:ascii="Book Antiqua" w:eastAsia="MinionPro-Regular" w:hAnsi="Book Antiqua" w:cs="Arial"/>
                <w:b/>
                <w:bCs/>
                <w:kern w:val="0"/>
                <w:sz w:val="24"/>
                <w:szCs w:val="24"/>
              </w:rPr>
              <w:t>value</w:t>
            </w:r>
          </w:p>
        </w:tc>
      </w:tr>
      <w:tr w:rsidR="005C5FFF" w:rsidRPr="006B0C21" w:rsidTr="003C45CE">
        <w:trPr>
          <w:trHeight w:val="263"/>
        </w:trPr>
        <w:tc>
          <w:tcPr>
            <w:tcW w:w="2235" w:type="dxa"/>
            <w:vMerge/>
            <w:tcBorders>
              <w:bottom w:val="single" w:sz="4" w:space="0" w:color="auto"/>
            </w:tcBorders>
          </w:tcPr>
          <w:p w:rsidR="00713A64" w:rsidRPr="006B0C21" w:rsidRDefault="00713A64" w:rsidP="006B0C21">
            <w:pPr>
              <w:widowControl/>
              <w:adjustRightInd w:val="0"/>
              <w:snapToGrid w:val="0"/>
              <w:spacing w:line="360" w:lineRule="auto"/>
              <w:rPr>
                <w:rFonts w:ascii="Book Antiqua" w:eastAsia="MinionPro-Regular" w:hAnsi="Book Antiqua" w:cs="Arial"/>
                <w:kern w:val="0"/>
                <w:sz w:val="24"/>
                <w:szCs w:val="24"/>
              </w:rPr>
            </w:pPr>
          </w:p>
        </w:tc>
        <w:tc>
          <w:tcPr>
            <w:tcW w:w="2445" w:type="dxa"/>
            <w:vMerge/>
            <w:tcBorders>
              <w:bottom w:val="single" w:sz="4" w:space="0" w:color="auto"/>
            </w:tcBorders>
          </w:tcPr>
          <w:p w:rsidR="00713A64" w:rsidRPr="006B0C21" w:rsidRDefault="00713A64" w:rsidP="006B0C21">
            <w:pPr>
              <w:widowControl/>
              <w:adjustRightInd w:val="0"/>
              <w:snapToGrid w:val="0"/>
              <w:spacing w:line="360" w:lineRule="auto"/>
              <w:rPr>
                <w:rFonts w:ascii="Book Antiqua" w:eastAsia="MinionPro-Regular" w:hAnsi="Book Antiqua" w:cs="Arial"/>
                <w:b/>
                <w:bCs/>
                <w:kern w:val="0"/>
                <w:sz w:val="24"/>
                <w:szCs w:val="24"/>
              </w:rPr>
            </w:pPr>
          </w:p>
        </w:tc>
        <w:tc>
          <w:tcPr>
            <w:tcW w:w="1800"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Lower</w:t>
            </w:r>
          </w:p>
        </w:tc>
        <w:tc>
          <w:tcPr>
            <w:tcW w:w="1440"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Upper</w:t>
            </w:r>
          </w:p>
        </w:tc>
        <w:tc>
          <w:tcPr>
            <w:tcW w:w="1445" w:type="dxa"/>
            <w:vMerge/>
            <w:tcBorders>
              <w:top w:val="single" w:sz="4" w:space="0" w:color="auto"/>
              <w:bottom w:val="single" w:sz="4" w:space="0" w:color="auto"/>
            </w:tcBorders>
          </w:tcPr>
          <w:p w:rsidR="00713A64" w:rsidRPr="006B0C21" w:rsidRDefault="00713A64" w:rsidP="006B0C21">
            <w:pPr>
              <w:widowControl/>
              <w:adjustRightInd w:val="0"/>
              <w:snapToGrid w:val="0"/>
              <w:spacing w:line="360" w:lineRule="auto"/>
              <w:rPr>
                <w:rFonts w:ascii="Book Antiqua" w:eastAsia="MinionPro-Regular" w:hAnsi="Book Antiqua" w:cs="Arial"/>
                <w:b/>
                <w:bCs/>
                <w:kern w:val="0"/>
                <w:sz w:val="24"/>
                <w:szCs w:val="24"/>
              </w:rPr>
            </w:pPr>
          </w:p>
        </w:tc>
      </w:tr>
      <w:tr w:rsidR="005C5FFF" w:rsidRPr="006B0C21" w:rsidTr="003C45CE">
        <w:tc>
          <w:tcPr>
            <w:tcW w:w="2235"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Adverse events</w:t>
            </w:r>
          </w:p>
        </w:tc>
        <w:tc>
          <w:tcPr>
            <w:tcW w:w="2445"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800"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40"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445"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5C5FFF" w:rsidRPr="006B0C21" w:rsidTr="003C45CE">
        <w:tc>
          <w:tcPr>
            <w:tcW w:w="22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Age ≥ 80</w:t>
            </w:r>
          </w:p>
        </w:tc>
        <w:tc>
          <w:tcPr>
            <w:tcW w:w="2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1.568</w:t>
            </w:r>
          </w:p>
        </w:tc>
        <w:tc>
          <w:tcPr>
            <w:tcW w:w="180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0.861</w:t>
            </w:r>
          </w:p>
        </w:tc>
        <w:tc>
          <w:tcPr>
            <w:tcW w:w="144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2.854</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0.141</w:t>
            </w:r>
          </w:p>
        </w:tc>
      </w:tr>
      <w:tr w:rsidR="005C5FFF" w:rsidRPr="006B0C21" w:rsidTr="003C45CE">
        <w:tc>
          <w:tcPr>
            <w:tcW w:w="22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CCI ≥ 2</w:t>
            </w:r>
          </w:p>
        </w:tc>
        <w:tc>
          <w:tcPr>
            <w:tcW w:w="2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1.824</w:t>
            </w:r>
          </w:p>
        </w:tc>
        <w:tc>
          <w:tcPr>
            <w:tcW w:w="180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0.993</w:t>
            </w:r>
          </w:p>
        </w:tc>
        <w:tc>
          <w:tcPr>
            <w:tcW w:w="144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3.349</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0.045</w:t>
            </w:r>
          </w:p>
        </w:tc>
      </w:tr>
      <w:tr w:rsidR="005C5FFF" w:rsidRPr="006B0C21" w:rsidTr="003C45CE">
        <w:tc>
          <w:tcPr>
            <w:tcW w:w="22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Difficult cannulation</w:t>
            </w:r>
          </w:p>
        </w:tc>
        <w:tc>
          <w:tcPr>
            <w:tcW w:w="2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3.478</w:t>
            </w:r>
          </w:p>
        </w:tc>
        <w:tc>
          <w:tcPr>
            <w:tcW w:w="180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1.877</w:t>
            </w:r>
          </w:p>
        </w:tc>
        <w:tc>
          <w:tcPr>
            <w:tcW w:w="144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6.442</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&lt;</w:t>
            </w:r>
            <w:r w:rsidR="003C45CE" w:rsidRPr="00084DA8">
              <w:rPr>
                <w:rFonts w:ascii="Book Antiqua" w:hAnsi="Book Antiqua" w:cs="Arial"/>
                <w:kern w:val="0"/>
                <w:sz w:val="24"/>
                <w:szCs w:val="24"/>
              </w:rPr>
              <w:t xml:space="preserve"> </w:t>
            </w:r>
            <w:r w:rsidRPr="006B0C21">
              <w:rPr>
                <w:rFonts w:ascii="Book Antiqua" w:eastAsia="MinionPro-Regular" w:hAnsi="Book Antiqua" w:cs="Arial"/>
                <w:kern w:val="0"/>
                <w:sz w:val="24"/>
                <w:szCs w:val="24"/>
              </w:rPr>
              <w:t>0.001</w:t>
            </w:r>
          </w:p>
        </w:tc>
      </w:tr>
      <w:tr w:rsidR="005C5FFF" w:rsidRPr="006B0C21" w:rsidTr="003C45CE">
        <w:tc>
          <w:tcPr>
            <w:tcW w:w="223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Ampullary carcinoma</w:t>
            </w:r>
          </w:p>
        </w:tc>
        <w:tc>
          <w:tcPr>
            <w:tcW w:w="2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0.551</w:t>
            </w:r>
          </w:p>
        </w:tc>
        <w:tc>
          <w:tcPr>
            <w:tcW w:w="180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0.116</w:t>
            </w:r>
          </w:p>
        </w:tc>
        <w:tc>
          <w:tcPr>
            <w:tcW w:w="1440"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2.610</w:t>
            </w:r>
          </w:p>
        </w:tc>
        <w:tc>
          <w:tcPr>
            <w:tcW w:w="144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0.453</w:t>
            </w:r>
          </w:p>
        </w:tc>
      </w:tr>
      <w:tr w:rsidR="005C5FFF" w:rsidRPr="006B0C21" w:rsidTr="003C45CE">
        <w:tc>
          <w:tcPr>
            <w:tcW w:w="2235"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NKP</w:t>
            </w:r>
          </w:p>
        </w:tc>
        <w:tc>
          <w:tcPr>
            <w:tcW w:w="2445"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0.506</w:t>
            </w:r>
          </w:p>
        </w:tc>
        <w:tc>
          <w:tcPr>
            <w:tcW w:w="1800"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0.229</w:t>
            </w:r>
          </w:p>
        </w:tc>
        <w:tc>
          <w:tcPr>
            <w:tcW w:w="1440"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1.121</w:t>
            </w:r>
          </w:p>
        </w:tc>
        <w:tc>
          <w:tcPr>
            <w:tcW w:w="1445"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0.093</w:t>
            </w:r>
          </w:p>
        </w:tc>
      </w:tr>
    </w:tbl>
    <w:p w:rsidR="003C45CE" w:rsidRPr="006B0C21" w:rsidRDefault="003C45CE" w:rsidP="006B0C21">
      <w:pPr>
        <w:suppressAutoHyphens/>
        <w:autoSpaceDE w:val="0"/>
        <w:autoSpaceDN w:val="0"/>
        <w:adjustRightInd w:val="0"/>
        <w:snapToGrid w:val="0"/>
        <w:spacing w:line="360" w:lineRule="auto"/>
        <w:textAlignment w:val="center"/>
        <w:rPr>
          <w:rFonts w:ascii="Book Antiqua" w:hAnsi="Book Antiqua"/>
          <w:sz w:val="24"/>
          <w:szCs w:val="24"/>
          <w:lang w:val="en-GB"/>
        </w:rPr>
      </w:pPr>
      <w:r w:rsidRPr="006B0C21">
        <w:rPr>
          <w:rFonts w:ascii="Book Antiqua" w:eastAsia="MinionPro-Regular" w:hAnsi="Book Antiqua" w:cs="Arial"/>
          <w:kern w:val="0"/>
          <w:sz w:val="24"/>
          <w:szCs w:val="24"/>
        </w:rPr>
        <w:t>CCI</w:t>
      </w:r>
      <w:r w:rsidRPr="00084DA8">
        <w:rPr>
          <w:rFonts w:ascii="Book Antiqua" w:hAnsi="Book Antiqua" w:cs="Arial"/>
          <w:kern w:val="0"/>
          <w:sz w:val="24"/>
          <w:szCs w:val="24"/>
        </w:rPr>
        <w:t xml:space="preserve">: </w:t>
      </w:r>
      <w:r w:rsidRPr="006B0C21">
        <w:rPr>
          <w:rFonts w:ascii="Book Antiqua" w:hAnsi="Book Antiqua"/>
          <w:sz w:val="24"/>
          <w:szCs w:val="24"/>
        </w:rPr>
        <w:t>Charlson Comorbidity Index; NKP: Needle knife precut.</w:t>
      </w:r>
    </w:p>
    <w:p w:rsidR="00713A64" w:rsidRPr="006B0C21" w:rsidRDefault="003C45CE" w:rsidP="006B0C21">
      <w:pPr>
        <w:autoSpaceDE w:val="0"/>
        <w:autoSpaceDN w:val="0"/>
        <w:adjustRightInd w:val="0"/>
        <w:snapToGrid w:val="0"/>
        <w:spacing w:line="360" w:lineRule="auto"/>
        <w:textAlignment w:val="center"/>
        <w:rPr>
          <w:rFonts w:ascii="Book Antiqua" w:hAnsi="Book Antiqua"/>
          <w:b/>
          <w:bCs/>
          <w:spacing w:val="-2"/>
          <w:kern w:val="0"/>
          <w:sz w:val="24"/>
          <w:szCs w:val="24"/>
          <w:u w:val="single"/>
          <w:lang w:val="de-DE"/>
        </w:rPr>
      </w:pPr>
      <w:r w:rsidRPr="00084DA8">
        <w:rPr>
          <w:rFonts w:ascii="Book Antiqua" w:hAnsi="Book Antiqua"/>
          <w:sz w:val="24"/>
          <w:szCs w:val="24"/>
          <w:lang w:val="en-GB"/>
        </w:rPr>
        <w:br w:type="page"/>
      </w:r>
      <w:r w:rsidR="00B746DB" w:rsidRPr="006B0C21">
        <w:rPr>
          <w:rFonts w:ascii="Book Antiqua" w:eastAsia="MinionPro-Regular" w:hAnsi="Book Antiqua"/>
          <w:b/>
          <w:bCs/>
          <w:kern w:val="0"/>
          <w:sz w:val="24"/>
          <w:szCs w:val="24"/>
        </w:rPr>
        <w:t>Table 5</w:t>
      </w:r>
      <w:r w:rsidR="00B746DB" w:rsidRPr="00084DA8">
        <w:rPr>
          <w:rFonts w:ascii="Book Antiqua" w:hAnsi="Book Antiqua"/>
          <w:b/>
          <w:bCs/>
          <w:kern w:val="0"/>
          <w:sz w:val="24"/>
          <w:szCs w:val="24"/>
        </w:rPr>
        <w:t xml:space="preserve"> </w:t>
      </w:r>
      <w:r w:rsidR="00713A64" w:rsidRPr="006B0C21">
        <w:rPr>
          <w:rFonts w:ascii="Book Antiqua" w:eastAsia="MinionPro-Regular" w:hAnsi="Book Antiqua"/>
          <w:b/>
          <w:bCs/>
          <w:kern w:val="0"/>
          <w:sz w:val="24"/>
          <w:szCs w:val="24"/>
        </w:rPr>
        <w:t xml:space="preserve">Multivariate analysis of risk factors </w:t>
      </w:r>
      <w:r w:rsidR="00F00808">
        <w:rPr>
          <w:rFonts w:ascii="Book Antiqua" w:eastAsia="MinionPro-Regular" w:hAnsi="Book Antiqua"/>
          <w:b/>
          <w:bCs/>
          <w:kern w:val="0"/>
          <w:sz w:val="24"/>
          <w:szCs w:val="24"/>
        </w:rPr>
        <w:t>for</w:t>
      </w:r>
      <w:r w:rsidR="00713A64" w:rsidRPr="006B0C21">
        <w:rPr>
          <w:rFonts w:ascii="Book Antiqua" w:eastAsia="MinionPro-Regular" w:hAnsi="Book Antiqua"/>
          <w:b/>
          <w:bCs/>
          <w:kern w:val="0"/>
          <w:sz w:val="24"/>
          <w:szCs w:val="24"/>
        </w:rPr>
        <w:t xml:space="preserve"> </w:t>
      </w:r>
      <w:r w:rsidR="00B746DB" w:rsidRPr="006B0C21">
        <w:rPr>
          <w:rFonts w:ascii="Book Antiqua" w:hAnsi="Book Antiqua"/>
          <w:b/>
          <w:sz w:val="24"/>
          <w:szCs w:val="24"/>
        </w:rPr>
        <w:t>post-</w:t>
      </w:r>
      <w:r w:rsidR="00B746DB" w:rsidRPr="006B0C21">
        <w:rPr>
          <w:rFonts w:ascii="Book Antiqua" w:hAnsi="Book Antiqua"/>
          <w:b/>
          <w:sz w:val="24"/>
          <w:szCs w:val="24"/>
          <w:lang w:val="en-GB"/>
        </w:rPr>
        <w:t>endoscopic retrograde cholangiopancreatography</w:t>
      </w:r>
      <w:r w:rsidR="00713A64" w:rsidRPr="006B0C21">
        <w:rPr>
          <w:rFonts w:ascii="Book Antiqua" w:eastAsia="MinionPro-Regular" w:hAnsi="Book Antiqua"/>
          <w:b/>
          <w:bCs/>
          <w:kern w:val="0"/>
          <w:sz w:val="24"/>
          <w:szCs w:val="24"/>
        </w:rPr>
        <w:t xml:space="preserve"> considering difficult cannulation, age ≤ 65, female gender, cholangitis, and </w:t>
      </w:r>
      <w:r w:rsidRPr="006B0C21">
        <w:rPr>
          <w:rFonts w:ascii="Book Antiqua" w:hAnsi="Book Antiqua"/>
          <w:b/>
          <w:sz w:val="24"/>
          <w:szCs w:val="24"/>
        </w:rPr>
        <w:t>Charlson Comorbidity Index</w:t>
      </w:r>
      <w:r w:rsidR="00713A64" w:rsidRPr="006B0C21">
        <w:rPr>
          <w:rFonts w:ascii="Book Antiqua" w:eastAsia="MinionPro-Regular" w:hAnsi="Book Antiqua"/>
          <w:b/>
          <w:bCs/>
          <w:kern w:val="0"/>
          <w:sz w:val="24"/>
          <w:szCs w:val="24"/>
        </w:rPr>
        <w:t xml:space="preserve"> ≥ 2</w:t>
      </w:r>
    </w:p>
    <w:tbl>
      <w:tblPr>
        <w:tblW w:w="9360" w:type="dxa"/>
        <w:tblLook w:val="0000" w:firstRow="0" w:lastRow="0" w:firstColumn="0" w:lastColumn="0" w:noHBand="0" w:noVBand="0"/>
      </w:tblPr>
      <w:tblGrid>
        <w:gridCol w:w="1951"/>
        <w:gridCol w:w="2639"/>
        <w:gridCol w:w="1704"/>
        <w:gridCol w:w="1705"/>
        <w:gridCol w:w="1361"/>
      </w:tblGrid>
      <w:tr w:rsidR="005C5FFF" w:rsidRPr="006B0C21" w:rsidTr="00B746DB">
        <w:trPr>
          <w:trHeight w:val="263"/>
        </w:trPr>
        <w:tc>
          <w:tcPr>
            <w:tcW w:w="1951" w:type="dxa"/>
            <w:vMerge w:val="restart"/>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2639" w:type="dxa"/>
            <w:vMerge w:val="restart"/>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Adjusted odds ratio</w:t>
            </w:r>
          </w:p>
        </w:tc>
        <w:tc>
          <w:tcPr>
            <w:tcW w:w="3409" w:type="dxa"/>
            <w:gridSpan w:val="2"/>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95% Confidence interval</w:t>
            </w:r>
          </w:p>
        </w:tc>
        <w:tc>
          <w:tcPr>
            <w:tcW w:w="1361" w:type="dxa"/>
            <w:vMerge w:val="restart"/>
            <w:tcBorders>
              <w:top w:val="single" w:sz="4" w:space="0" w:color="auto"/>
              <w:bottom w:val="single" w:sz="4" w:space="0" w:color="auto"/>
            </w:tcBorders>
          </w:tcPr>
          <w:p w:rsidR="00713A64" w:rsidRPr="006B0C21" w:rsidRDefault="00B746DB"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i/>
                <w:kern w:val="0"/>
                <w:sz w:val="24"/>
                <w:szCs w:val="24"/>
              </w:rPr>
              <w:t>P</w:t>
            </w:r>
            <w:r w:rsidRPr="00084DA8">
              <w:rPr>
                <w:rFonts w:ascii="Book Antiqua" w:hAnsi="Book Antiqua" w:cs="Arial"/>
                <w:b/>
                <w:bCs/>
                <w:kern w:val="0"/>
                <w:sz w:val="24"/>
                <w:szCs w:val="24"/>
              </w:rPr>
              <w:t xml:space="preserve"> </w:t>
            </w:r>
            <w:r w:rsidR="00713A64" w:rsidRPr="006B0C21">
              <w:rPr>
                <w:rFonts w:ascii="Book Antiqua" w:eastAsia="MinionPro-Regular" w:hAnsi="Book Antiqua" w:cs="Arial"/>
                <w:b/>
                <w:bCs/>
                <w:kern w:val="0"/>
                <w:sz w:val="24"/>
                <w:szCs w:val="24"/>
              </w:rPr>
              <w:t>value</w:t>
            </w:r>
          </w:p>
        </w:tc>
      </w:tr>
      <w:tr w:rsidR="005C5FFF" w:rsidRPr="006B0C21" w:rsidTr="00B746DB">
        <w:trPr>
          <w:trHeight w:val="263"/>
        </w:trPr>
        <w:tc>
          <w:tcPr>
            <w:tcW w:w="1951" w:type="dxa"/>
            <w:vMerge/>
            <w:tcBorders>
              <w:top w:val="single" w:sz="4" w:space="0" w:color="auto"/>
              <w:bottom w:val="single" w:sz="4" w:space="0" w:color="auto"/>
            </w:tcBorders>
          </w:tcPr>
          <w:p w:rsidR="00713A64" w:rsidRPr="006B0C21" w:rsidRDefault="00713A64" w:rsidP="006B0C21">
            <w:pPr>
              <w:widowControl/>
              <w:adjustRightInd w:val="0"/>
              <w:snapToGrid w:val="0"/>
              <w:spacing w:line="360" w:lineRule="auto"/>
              <w:rPr>
                <w:rFonts w:ascii="Book Antiqua" w:eastAsia="MinionPro-Regular" w:hAnsi="Book Antiqua" w:cs="Arial"/>
                <w:kern w:val="0"/>
                <w:sz w:val="24"/>
                <w:szCs w:val="24"/>
              </w:rPr>
            </w:pPr>
          </w:p>
        </w:tc>
        <w:tc>
          <w:tcPr>
            <w:tcW w:w="2639" w:type="dxa"/>
            <w:vMerge/>
            <w:tcBorders>
              <w:top w:val="single" w:sz="4" w:space="0" w:color="auto"/>
              <w:bottom w:val="single" w:sz="4" w:space="0" w:color="auto"/>
            </w:tcBorders>
          </w:tcPr>
          <w:p w:rsidR="00713A64" w:rsidRPr="006B0C21" w:rsidRDefault="00713A64" w:rsidP="006B0C21">
            <w:pPr>
              <w:widowControl/>
              <w:adjustRightInd w:val="0"/>
              <w:snapToGrid w:val="0"/>
              <w:spacing w:line="360" w:lineRule="auto"/>
              <w:rPr>
                <w:rFonts w:ascii="Book Antiqua" w:eastAsia="MinionPro-Regular" w:hAnsi="Book Antiqua" w:cs="Arial"/>
                <w:b/>
                <w:bCs/>
                <w:kern w:val="0"/>
                <w:sz w:val="24"/>
                <w:szCs w:val="24"/>
              </w:rPr>
            </w:pPr>
          </w:p>
        </w:tc>
        <w:tc>
          <w:tcPr>
            <w:tcW w:w="1704"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Lower</w:t>
            </w:r>
          </w:p>
        </w:tc>
        <w:tc>
          <w:tcPr>
            <w:tcW w:w="1705" w:type="dxa"/>
            <w:tcBorders>
              <w:top w:val="single" w:sz="4" w:space="0" w:color="auto"/>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
                <w:bCs/>
                <w:kern w:val="0"/>
                <w:sz w:val="24"/>
                <w:szCs w:val="24"/>
              </w:rPr>
            </w:pPr>
            <w:r w:rsidRPr="006B0C21">
              <w:rPr>
                <w:rFonts w:ascii="Book Antiqua" w:eastAsia="MinionPro-Regular" w:hAnsi="Book Antiqua" w:cs="Arial"/>
                <w:b/>
                <w:bCs/>
                <w:kern w:val="0"/>
                <w:sz w:val="24"/>
                <w:szCs w:val="24"/>
              </w:rPr>
              <w:t>Upper</w:t>
            </w:r>
          </w:p>
        </w:tc>
        <w:tc>
          <w:tcPr>
            <w:tcW w:w="1361" w:type="dxa"/>
            <w:vMerge/>
            <w:tcBorders>
              <w:top w:val="single" w:sz="4" w:space="0" w:color="auto"/>
              <w:bottom w:val="single" w:sz="4" w:space="0" w:color="auto"/>
            </w:tcBorders>
          </w:tcPr>
          <w:p w:rsidR="00713A64" w:rsidRPr="006B0C21" w:rsidRDefault="00713A64" w:rsidP="006B0C21">
            <w:pPr>
              <w:widowControl/>
              <w:adjustRightInd w:val="0"/>
              <w:snapToGrid w:val="0"/>
              <w:spacing w:line="360" w:lineRule="auto"/>
              <w:rPr>
                <w:rFonts w:ascii="Book Antiqua" w:eastAsia="MinionPro-Regular" w:hAnsi="Book Antiqua" w:cs="Arial"/>
                <w:b/>
                <w:bCs/>
                <w:kern w:val="0"/>
                <w:sz w:val="24"/>
                <w:szCs w:val="24"/>
              </w:rPr>
            </w:pPr>
          </w:p>
        </w:tc>
      </w:tr>
      <w:tr w:rsidR="005C5FFF" w:rsidRPr="006B0C21" w:rsidTr="00B746DB">
        <w:tc>
          <w:tcPr>
            <w:tcW w:w="1951"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bCs/>
                <w:kern w:val="0"/>
                <w:sz w:val="24"/>
                <w:szCs w:val="24"/>
              </w:rPr>
            </w:pPr>
            <w:r w:rsidRPr="006B0C21">
              <w:rPr>
                <w:rFonts w:ascii="Book Antiqua" w:eastAsia="MinionPro-Regular" w:hAnsi="Book Antiqua" w:cs="Arial"/>
                <w:bCs/>
                <w:kern w:val="0"/>
                <w:sz w:val="24"/>
                <w:szCs w:val="24"/>
              </w:rPr>
              <w:t>PEP</w:t>
            </w:r>
          </w:p>
        </w:tc>
        <w:tc>
          <w:tcPr>
            <w:tcW w:w="2639"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704"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705"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c>
          <w:tcPr>
            <w:tcW w:w="1361" w:type="dxa"/>
            <w:tcBorders>
              <w:top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p>
        </w:tc>
      </w:tr>
      <w:tr w:rsidR="005C5FFF" w:rsidRPr="006B0C21" w:rsidTr="00B746DB">
        <w:tc>
          <w:tcPr>
            <w:tcW w:w="1951" w:type="dxa"/>
          </w:tcPr>
          <w:p w:rsidR="00713A64" w:rsidRPr="006B0C21" w:rsidRDefault="00713A64" w:rsidP="006B0C21">
            <w:pPr>
              <w:widowControl/>
              <w:autoSpaceDE w:val="0"/>
              <w:autoSpaceDN w:val="0"/>
              <w:adjustRightInd w:val="0"/>
              <w:snapToGrid w:val="0"/>
              <w:spacing w:line="360" w:lineRule="auto"/>
              <w:ind w:firstLine="76"/>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Difficult cannulation</w:t>
            </w:r>
          </w:p>
        </w:tc>
        <w:tc>
          <w:tcPr>
            <w:tcW w:w="2639"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4.527</w:t>
            </w:r>
          </w:p>
        </w:tc>
        <w:tc>
          <w:tcPr>
            <w:tcW w:w="170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2.078</w:t>
            </w:r>
          </w:p>
        </w:tc>
        <w:tc>
          <w:tcPr>
            <w:tcW w:w="170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9.860</w:t>
            </w:r>
          </w:p>
        </w:tc>
        <w:tc>
          <w:tcPr>
            <w:tcW w:w="1361"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&lt;</w:t>
            </w:r>
            <w:r w:rsidR="00B746DB" w:rsidRPr="00084DA8">
              <w:rPr>
                <w:rFonts w:ascii="Book Antiqua" w:hAnsi="Book Antiqua" w:cs="Arial"/>
                <w:kern w:val="0"/>
                <w:sz w:val="24"/>
                <w:szCs w:val="24"/>
              </w:rPr>
              <w:t xml:space="preserve"> </w:t>
            </w:r>
            <w:r w:rsidRPr="006B0C21">
              <w:rPr>
                <w:rFonts w:ascii="Book Antiqua" w:eastAsia="MinionPro-Regular" w:hAnsi="Book Antiqua" w:cs="Arial"/>
                <w:kern w:val="0"/>
                <w:sz w:val="24"/>
                <w:szCs w:val="24"/>
              </w:rPr>
              <w:t>0.001</w:t>
            </w:r>
          </w:p>
        </w:tc>
      </w:tr>
      <w:tr w:rsidR="005C5FFF" w:rsidRPr="006B0C21" w:rsidTr="00B746DB">
        <w:tc>
          <w:tcPr>
            <w:tcW w:w="1951" w:type="dxa"/>
          </w:tcPr>
          <w:p w:rsidR="00713A64" w:rsidRPr="006B0C21" w:rsidRDefault="00713A64" w:rsidP="006B0C21">
            <w:pPr>
              <w:widowControl/>
              <w:autoSpaceDE w:val="0"/>
              <w:autoSpaceDN w:val="0"/>
              <w:adjustRightInd w:val="0"/>
              <w:snapToGrid w:val="0"/>
              <w:spacing w:line="360" w:lineRule="auto"/>
              <w:ind w:firstLine="76"/>
              <w:rPr>
                <w:rFonts w:ascii="Book Antiqua" w:eastAsia="MinionPro-Regular" w:hAnsi="Book Antiqua" w:cs="Arial"/>
                <w:kern w:val="0"/>
                <w:sz w:val="24"/>
                <w:szCs w:val="24"/>
              </w:rPr>
            </w:pPr>
            <w:r w:rsidRPr="006B0C21">
              <w:rPr>
                <w:rFonts w:ascii="Book Antiqua" w:eastAsia="等线" w:hAnsi="Book Antiqua" w:cs="Arial"/>
                <w:kern w:val="0"/>
                <w:sz w:val="24"/>
                <w:szCs w:val="24"/>
              </w:rPr>
              <w:t>Age ≤ 65</w:t>
            </w:r>
            <w:r w:rsidR="00F00808">
              <w:rPr>
                <w:rFonts w:ascii="Book Antiqua" w:eastAsia="等线" w:hAnsi="Book Antiqua" w:cs="Arial"/>
                <w:kern w:val="0"/>
                <w:sz w:val="24"/>
                <w:szCs w:val="24"/>
              </w:rPr>
              <w:t xml:space="preserve"> yr</w:t>
            </w:r>
          </w:p>
        </w:tc>
        <w:tc>
          <w:tcPr>
            <w:tcW w:w="2639"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3.460</w:t>
            </w:r>
          </w:p>
        </w:tc>
        <w:tc>
          <w:tcPr>
            <w:tcW w:w="170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1.511</w:t>
            </w:r>
          </w:p>
        </w:tc>
        <w:tc>
          <w:tcPr>
            <w:tcW w:w="170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7.922</w:t>
            </w:r>
          </w:p>
        </w:tc>
        <w:tc>
          <w:tcPr>
            <w:tcW w:w="1361"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0.003</w:t>
            </w:r>
          </w:p>
        </w:tc>
      </w:tr>
      <w:tr w:rsidR="005C5FFF" w:rsidRPr="006B0C21" w:rsidTr="00B746DB">
        <w:tc>
          <w:tcPr>
            <w:tcW w:w="1951" w:type="dxa"/>
          </w:tcPr>
          <w:p w:rsidR="00713A64" w:rsidRPr="006B0C21" w:rsidRDefault="00713A64" w:rsidP="006B0C21">
            <w:pPr>
              <w:widowControl/>
              <w:autoSpaceDE w:val="0"/>
              <w:autoSpaceDN w:val="0"/>
              <w:adjustRightInd w:val="0"/>
              <w:snapToGrid w:val="0"/>
              <w:spacing w:line="360" w:lineRule="auto"/>
              <w:ind w:firstLine="76"/>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Female</w:t>
            </w:r>
          </w:p>
        </w:tc>
        <w:tc>
          <w:tcPr>
            <w:tcW w:w="2639"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2.362</w:t>
            </w:r>
          </w:p>
        </w:tc>
        <w:tc>
          <w:tcPr>
            <w:tcW w:w="170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1.089</w:t>
            </w:r>
          </w:p>
        </w:tc>
        <w:tc>
          <w:tcPr>
            <w:tcW w:w="170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5.124</w:t>
            </w:r>
          </w:p>
        </w:tc>
        <w:tc>
          <w:tcPr>
            <w:tcW w:w="1361"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0.030</w:t>
            </w:r>
          </w:p>
        </w:tc>
      </w:tr>
      <w:tr w:rsidR="005C5FFF" w:rsidRPr="006B0C21" w:rsidTr="00B746DB">
        <w:tc>
          <w:tcPr>
            <w:tcW w:w="1951" w:type="dxa"/>
          </w:tcPr>
          <w:p w:rsidR="00713A64" w:rsidRPr="006B0C21" w:rsidRDefault="00713A64" w:rsidP="006B0C21">
            <w:pPr>
              <w:widowControl/>
              <w:autoSpaceDE w:val="0"/>
              <w:autoSpaceDN w:val="0"/>
              <w:adjustRightInd w:val="0"/>
              <w:snapToGrid w:val="0"/>
              <w:spacing w:line="360" w:lineRule="auto"/>
              <w:ind w:firstLine="76"/>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Cholangitis</w:t>
            </w:r>
          </w:p>
        </w:tc>
        <w:tc>
          <w:tcPr>
            <w:tcW w:w="2639"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3.261</w:t>
            </w:r>
          </w:p>
        </w:tc>
        <w:tc>
          <w:tcPr>
            <w:tcW w:w="1704"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1.204</w:t>
            </w:r>
          </w:p>
        </w:tc>
        <w:tc>
          <w:tcPr>
            <w:tcW w:w="1705"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8.832</w:t>
            </w:r>
          </w:p>
        </w:tc>
        <w:tc>
          <w:tcPr>
            <w:tcW w:w="1361" w:type="dxa"/>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0.020</w:t>
            </w:r>
          </w:p>
        </w:tc>
      </w:tr>
      <w:tr w:rsidR="005C5FFF" w:rsidRPr="006B0C21" w:rsidTr="00B746DB">
        <w:tc>
          <w:tcPr>
            <w:tcW w:w="1951"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ind w:firstLine="76"/>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CCI ≥ 2</w:t>
            </w:r>
          </w:p>
        </w:tc>
        <w:tc>
          <w:tcPr>
            <w:tcW w:w="2639"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2.253</w:t>
            </w:r>
          </w:p>
        </w:tc>
        <w:tc>
          <w:tcPr>
            <w:tcW w:w="1704"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0.923</w:t>
            </w:r>
          </w:p>
        </w:tc>
        <w:tc>
          <w:tcPr>
            <w:tcW w:w="1705"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5.497</w:t>
            </w:r>
          </w:p>
        </w:tc>
        <w:tc>
          <w:tcPr>
            <w:tcW w:w="1361" w:type="dxa"/>
            <w:tcBorders>
              <w:bottom w:val="single" w:sz="4" w:space="0" w:color="auto"/>
            </w:tcBorders>
          </w:tcPr>
          <w:p w:rsidR="00713A64" w:rsidRPr="006B0C21" w:rsidRDefault="00713A64" w:rsidP="006B0C21">
            <w:pPr>
              <w:widowControl/>
              <w:autoSpaceDE w:val="0"/>
              <w:autoSpaceDN w:val="0"/>
              <w:adjustRightInd w:val="0"/>
              <w:snapToGrid w:val="0"/>
              <w:spacing w:line="360" w:lineRule="auto"/>
              <w:rPr>
                <w:rFonts w:ascii="Book Antiqua" w:eastAsia="MinionPro-Regular" w:hAnsi="Book Antiqua" w:cs="Arial"/>
                <w:kern w:val="0"/>
                <w:sz w:val="24"/>
                <w:szCs w:val="24"/>
              </w:rPr>
            </w:pPr>
            <w:r w:rsidRPr="006B0C21">
              <w:rPr>
                <w:rFonts w:ascii="Book Antiqua" w:eastAsia="MinionPro-Regular" w:hAnsi="Book Antiqua" w:cs="Arial"/>
                <w:kern w:val="0"/>
                <w:sz w:val="24"/>
                <w:szCs w:val="24"/>
              </w:rPr>
              <w:t>0.074</w:t>
            </w:r>
          </w:p>
        </w:tc>
      </w:tr>
    </w:tbl>
    <w:p w:rsidR="00713A64" w:rsidRPr="00084DA8" w:rsidRDefault="00B746DB" w:rsidP="006B0C21">
      <w:pPr>
        <w:adjustRightInd w:val="0"/>
        <w:snapToGrid w:val="0"/>
        <w:spacing w:line="360" w:lineRule="auto"/>
        <w:rPr>
          <w:rFonts w:ascii="Book Antiqua" w:hAnsi="Book Antiqua"/>
          <w:b/>
          <w:sz w:val="24"/>
          <w:szCs w:val="24"/>
        </w:rPr>
      </w:pPr>
      <w:r w:rsidRPr="006B0C21">
        <w:rPr>
          <w:rFonts w:ascii="Book Antiqua" w:eastAsia="MinionPro-Regular" w:hAnsi="Book Antiqua" w:cs="Arial"/>
          <w:bCs/>
          <w:kern w:val="0"/>
          <w:sz w:val="24"/>
          <w:szCs w:val="24"/>
        </w:rPr>
        <w:t>PEP</w:t>
      </w:r>
      <w:r w:rsidRPr="006B0C21">
        <w:rPr>
          <w:rFonts w:ascii="Book Antiqua" w:hAnsi="Book Antiqua"/>
          <w:sz w:val="24"/>
          <w:szCs w:val="24"/>
        </w:rPr>
        <w:t>: Post-</w:t>
      </w:r>
      <w:r w:rsidRPr="006B0C21">
        <w:rPr>
          <w:rFonts w:ascii="Book Antiqua" w:hAnsi="Book Antiqua"/>
          <w:sz w:val="24"/>
          <w:szCs w:val="24"/>
          <w:lang w:val="en-GB"/>
        </w:rPr>
        <w:t xml:space="preserve">endoscopic retrograde cholangiopancreatography; </w:t>
      </w:r>
      <w:r w:rsidRPr="006B0C21">
        <w:rPr>
          <w:rFonts w:ascii="Book Antiqua" w:eastAsia="MinionPro-Regular" w:hAnsi="Book Antiqua" w:cs="Arial"/>
          <w:kern w:val="0"/>
          <w:sz w:val="24"/>
          <w:szCs w:val="24"/>
        </w:rPr>
        <w:t>CCI</w:t>
      </w:r>
      <w:r w:rsidRPr="00084DA8">
        <w:rPr>
          <w:rFonts w:ascii="Book Antiqua" w:hAnsi="Book Antiqua" w:cs="Arial"/>
          <w:kern w:val="0"/>
          <w:sz w:val="24"/>
          <w:szCs w:val="24"/>
        </w:rPr>
        <w:t xml:space="preserve">: </w:t>
      </w:r>
      <w:r w:rsidRPr="006B0C21">
        <w:rPr>
          <w:rFonts w:ascii="Book Antiqua" w:hAnsi="Book Antiqua"/>
          <w:sz w:val="24"/>
          <w:szCs w:val="24"/>
        </w:rPr>
        <w:t>Charlson Comorbidity Index.</w:t>
      </w:r>
    </w:p>
    <w:sectPr w:rsidR="00713A64" w:rsidRPr="00084DA8">
      <w:headerReference w:type="even" r:id="rId10"/>
      <w:headerReference w:type="default" r:id="rId11"/>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10" w:rsidRDefault="00A04910">
      <w:r>
        <w:separator/>
      </w:r>
    </w:p>
  </w:endnote>
  <w:endnote w:type="continuationSeparator" w:id="0">
    <w:p w:rsidR="00A04910" w:rsidRDefault="00A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inionPro-Regular">
    <w:altName w:val="Yu Gothic"/>
    <w:panose1 w:val="02040503050306020203"/>
    <w:charset w:val="80"/>
    <w:family w:val="roman"/>
    <w:pitch w:val="default"/>
    <w:sig w:usb0="00000000" w:usb1="00000000" w:usb2="00000010" w:usb3="00000000" w:csb0="00020000" w:csb1="00000000"/>
  </w:font>
  <w:font w:name="TimesNewRomanPS-BoldItalicMT">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32" w:rsidRDefault="00A67732">
    <w:pPr>
      <w:pStyle w:val="a9"/>
      <w:framePr w:wrap="around" w:vAnchor="text" w:hAnchor="margin" w:xAlign="center" w:y="1"/>
      <w:rPr>
        <w:rStyle w:val="a3"/>
      </w:rPr>
    </w:pPr>
    <w:r>
      <w:fldChar w:fldCharType="begin"/>
    </w:r>
    <w:r>
      <w:rPr>
        <w:rStyle w:val="a3"/>
      </w:rPr>
      <w:instrText xml:space="preserve">PAGE  </w:instrText>
    </w:r>
    <w:r>
      <w:fldChar w:fldCharType="end"/>
    </w:r>
  </w:p>
  <w:p w:rsidR="00A67732" w:rsidRDefault="00A6773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32" w:rsidRDefault="00A67732" w:rsidP="00974833">
    <w:pPr>
      <w:pStyle w:val="a9"/>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0491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04910">
      <w:rPr>
        <w:b/>
        <w:bCs/>
        <w:noProof/>
      </w:rPr>
      <w:t>1</w:t>
    </w:r>
    <w:r>
      <w:rPr>
        <w:b/>
        <w:bCs/>
        <w:sz w:val="24"/>
        <w:szCs w:val="24"/>
      </w:rPr>
      <w:fldChar w:fldCharType="end"/>
    </w:r>
  </w:p>
  <w:p w:rsidR="00A67732" w:rsidRDefault="00A677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10" w:rsidRDefault="00A04910">
      <w:r>
        <w:separator/>
      </w:r>
    </w:p>
  </w:footnote>
  <w:footnote w:type="continuationSeparator" w:id="0">
    <w:p w:rsidR="00A04910" w:rsidRDefault="00A0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32" w:rsidRDefault="00A67732">
    <w:pPr>
      <w:pStyle w:val="a7"/>
      <w:framePr w:wrap="around" w:vAnchor="text" w:hAnchor="margin" w:xAlign="right" w:y="1"/>
      <w:rPr>
        <w:rStyle w:val="a3"/>
      </w:rPr>
    </w:pPr>
    <w:r>
      <w:fldChar w:fldCharType="begin"/>
    </w:r>
    <w:r>
      <w:rPr>
        <w:rStyle w:val="a3"/>
      </w:rPr>
      <w:instrText xml:space="preserve">PAGE  </w:instrText>
    </w:r>
    <w:r>
      <w:fldChar w:fldCharType="end"/>
    </w:r>
  </w:p>
  <w:p w:rsidR="00A67732" w:rsidRDefault="00A6773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32" w:rsidRDefault="00A67732" w:rsidP="00974833">
    <w:pPr>
      <w:pStyle w:val="a7"/>
    </w:pPr>
    <w:r>
      <w:rPr>
        <w:lang w:val="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0NLY0NrI0N7awNDBV0lEKTi0uzszPAykwqQUA9fe8RywAAAA="/>
  </w:docVars>
  <w:rsids>
    <w:rsidRoot w:val="00172A27"/>
    <w:rsid w:val="00001458"/>
    <w:rsid w:val="0000151F"/>
    <w:rsid w:val="00001876"/>
    <w:rsid w:val="00002005"/>
    <w:rsid w:val="000022C6"/>
    <w:rsid w:val="00002518"/>
    <w:rsid w:val="000048A0"/>
    <w:rsid w:val="000067D2"/>
    <w:rsid w:val="000109B3"/>
    <w:rsid w:val="00010D99"/>
    <w:rsid w:val="00010DC5"/>
    <w:rsid w:val="000113B2"/>
    <w:rsid w:val="000120DF"/>
    <w:rsid w:val="000133A6"/>
    <w:rsid w:val="0001477A"/>
    <w:rsid w:val="00014AE6"/>
    <w:rsid w:val="00015E4F"/>
    <w:rsid w:val="00021156"/>
    <w:rsid w:val="00021E7C"/>
    <w:rsid w:val="00022F24"/>
    <w:rsid w:val="00025C43"/>
    <w:rsid w:val="000303FC"/>
    <w:rsid w:val="000304FD"/>
    <w:rsid w:val="000316D2"/>
    <w:rsid w:val="000317F6"/>
    <w:rsid w:val="00032A45"/>
    <w:rsid w:val="00032D83"/>
    <w:rsid w:val="00033343"/>
    <w:rsid w:val="0003365C"/>
    <w:rsid w:val="00033B37"/>
    <w:rsid w:val="00035D40"/>
    <w:rsid w:val="0003682A"/>
    <w:rsid w:val="0003784C"/>
    <w:rsid w:val="000400DC"/>
    <w:rsid w:val="00040107"/>
    <w:rsid w:val="000402BE"/>
    <w:rsid w:val="00040342"/>
    <w:rsid w:val="00043551"/>
    <w:rsid w:val="00043971"/>
    <w:rsid w:val="000452B1"/>
    <w:rsid w:val="00045DD8"/>
    <w:rsid w:val="00046250"/>
    <w:rsid w:val="00046896"/>
    <w:rsid w:val="000475DA"/>
    <w:rsid w:val="00050081"/>
    <w:rsid w:val="0005180C"/>
    <w:rsid w:val="00051C94"/>
    <w:rsid w:val="00056222"/>
    <w:rsid w:val="00056B4B"/>
    <w:rsid w:val="00057EB6"/>
    <w:rsid w:val="00057EB9"/>
    <w:rsid w:val="00060235"/>
    <w:rsid w:val="000622EE"/>
    <w:rsid w:val="0006325F"/>
    <w:rsid w:val="0006326F"/>
    <w:rsid w:val="00064D2C"/>
    <w:rsid w:val="000675A2"/>
    <w:rsid w:val="00067A55"/>
    <w:rsid w:val="0007093D"/>
    <w:rsid w:val="00071181"/>
    <w:rsid w:val="00071B7F"/>
    <w:rsid w:val="00072BA5"/>
    <w:rsid w:val="00073244"/>
    <w:rsid w:val="00073453"/>
    <w:rsid w:val="0007512B"/>
    <w:rsid w:val="0007525F"/>
    <w:rsid w:val="0007642B"/>
    <w:rsid w:val="00077367"/>
    <w:rsid w:val="000815CA"/>
    <w:rsid w:val="00081623"/>
    <w:rsid w:val="00081B0A"/>
    <w:rsid w:val="00082577"/>
    <w:rsid w:val="000832B4"/>
    <w:rsid w:val="0008395A"/>
    <w:rsid w:val="00084841"/>
    <w:rsid w:val="00084DA8"/>
    <w:rsid w:val="00084F24"/>
    <w:rsid w:val="00086BB4"/>
    <w:rsid w:val="0008721D"/>
    <w:rsid w:val="0009090F"/>
    <w:rsid w:val="00090B3C"/>
    <w:rsid w:val="00090DF5"/>
    <w:rsid w:val="000930C4"/>
    <w:rsid w:val="000938A9"/>
    <w:rsid w:val="00093950"/>
    <w:rsid w:val="00093B13"/>
    <w:rsid w:val="00093F59"/>
    <w:rsid w:val="00094034"/>
    <w:rsid w:val="000949E9"/>
    <w:rsid w:val="00094D24"/>
    <w:rsid w:val="000963E0"/>
    <w:rsid w:val="00096939"/>
    <w:rsid w:val="000A17B5"/>
    <w:rsid w:val="000A1E8C"/>
    <w:rsid w:val="000A3F3D"/>
    <w:rsid w:val="000A5052"/>
    <w:rsid w:val="000A6AA5"/>
    <w:rsid w:val="000B0063"/>
    <w:rsid w:val="000B0CBA"/>
    <w:rsid w:val="000B1E5F"/>
    <w:rsid w:val="000B22C2"/>
    <w:rsid w:val="000B28A6"/>
    <w:rsid w:val="000B5C26"/>
    <w:rsid w:val="000B6B3C"/>
    <w:rsid w:val="000B70D9"/>
    <w:rsid w:val="000B7966"/>
    <w:rsid w:val="000C0B38"/>
    <w:rsid w:val="000C1600"/>
    <w:rsid w:val="000C27E5"/>
    <w:rsid w:val="000C38E1"/>
    <w:rsid w:val="000C3BD7"/>
    <w:rsid w:val="000C4DD4"/>
    <w:rsid w:val="000C6184"/>
    <w:rsid w:val="000C6562"/>
    <w:rsid w:val="000C74E1"/>
    <w:rsid w:val="000D0B60"/>
    <w:rsid w:val="000D2EE5"/>
    <w:rsid w:val="000D4DD8"/>
    <w:rsid w:val="000D5BB1"/>
    <w:rsid w:val="000D5CEF"/>
    <w:rsid w:val="000D764C"/>
    <w:rsid w:val="000D7B1F"/>
    <w:rsid w:val="000E0AF2"/>
    <w:rsid w:val="000E10C2"/>
    <w:rsid w:val="000E2624"/>
    <w:rsid w:val="000E2DC5"/>
    <w:rsid w:val="000E2FE1"/>
    <w:rsid w:val="000E3B1B"/>
    <w:rsid w:val="000E437B"/>
    <w:rsid w:val="000E4D0D"/>
    <w:rsid w:val="000E5A63"/>
    <w:rsid w:val="000E6DFB"/>
    <w:rsid w:val="000F109C"/>
    <w:rsid w:val="000F180F"/>
    <w:rsid w:val="000F1EAD"/>
    <w:rsid w:val="000F4F56"/>
    <w:rsid w:val="000F6464"/>
    <w:rsid w:val="000F6AF0"/>
    <w:rsid w:val="000F6BF1"/>
    <w:rsid w:val="000F7E48"/>
    <w:rsid w:val="00100A9A"/>
    <w:rsid w:val="00100AD6"/>
    <w:rsid w:val="00100C08"/>
    <w:rsid w:val="00101758"/>
    <w:rsid w:val="001025C3"/>
    <w:rsid w:val="00104983"/>
    <w:rsid w:val="0010670D"/>
    <w:rsid w:val="001073AC"/>
    <w:rsid w:val="001101B6"/>
    <w:rsid w:val="00110382"/>
    <w:rsid w:val="00110835"/>
    <w:rsid w:val="00111149"/>
    <w:rsid w:val="00111A49"/>
    <w:rsid w:val="00111E5E"/>
    <w:rsid w:val="00112A0A"/>
    <w:rsid w:val="00112C41"/>
    <w:rsid w:val="0011304C"/>
    <w:rsid w:val="0011460A"/>
    <w:rsid w:val="00114BCD"/>
    <w:rsid w:val="001156D3"/>
    <w:rsid w:val="00116289"/>
    <w:rsid w:val="001169D4"/>
    <w:rsid w:val="00117FD1"/>
    <w:rsid w:val="001226A2"/>
    <w:rsid w:val="001236C9"/>
    <w:rsid w:val="00123CCD"/>
    <w:rsid w:val="00127018"/>
    <w:rsid w:val="00130CAB"/>
    <w:rsid w:val="001315B1"/>
    <w:rsid w:val="001316DF"/>
    <w:rsid w:val="00132846"/>
    <w:rsid w:val="00133BCD"/>
    <w:rsid w:val="00137753"/>
    <w:rsid w:val="00140735"/>
    <w:rsid w:val="00141069"/>
    <w:rsid w:val="00141F10"/>
    <w:rsid w:val="00143439"/>
    <w:rsid w:val="00143881"/>
    <w:rsid w:val="00143B5C"/>
    <w:rsid w:val="00147100"/>
    <w:rsid w:val="0014719D"/>
    <w:rsid w:val="0014769D"/>
    <w:rsid w:val="00147FF6"/>
    <w:rsid w:val="001502E6"/>
    <w:rsid w:val="00151049"/>
    <w:rsid w:val="0015208E"/>
    <w:rsid w:val="00152F45"/>
    <w:rsid w:val="00154AA6"/>
    <w:rsid w:val="00155D3B"/>
    <w:rsid w:val="00162DA2"/>
    <w:rsid w:val="00164E1D"/>
    <w:rsid w:val="00165505"/>
    <w:rsid w:val="001675EA"/>
    <w:rsid w:val="001704DC"/>
    <w:rsid w:val="00172100"/>
    <w:rsid w:val="00172A27"/>
    <w:rsid w:val="00172E06"/>
    <w:rsid w:val="00173646"/>
    <w:rsid w:val="0017388C"/>
    <w:rsid w:val="00173CBA"/>
    <w:rsid w:val="00174F34"/>
    <w:rsid w:val="00175A8C"/>
    <w:rsid w:val="00175DC1"/>
    <w:rsid w:val="00175F08"/>
    <w:rsid w:val="00176CF7"/>
    <w:rsid w:val="00177F3D"/>
    <w:rsid w:val="00180F5E"/>
    <w:rsid w:val="001810C4"/>
    <w:rsid w:val="001821C3"/>
    <w:rsid w:val="001831E6"/>
    <w:rsid w:val="00185A4F"/>
    <w:rsid w:val="00185CD3"/>
    <w:rsid w:val="001862D0"/>
    <w:rsid w:val="001872B9"/>
    <w:rsid w:val="00191271"/>
    <w:rsid w:val="0019165B"/>
    <w:rsid w:val="00192CC6"/>
    <w:rsid w:val="00193AA6"/>
    <w:rsid w:val="00194B4D"/>
    <w:rsid w:val="00194B90"/>
    <w:rsid w:val="0019737E"/>
    <w:rsid w:val="0019738B"/>
    <w:rsid w:val="00197A0C"/>
    <w:rsid w:val="001A27F7"/>
    <w:rsid w:val="001A46CB"/>
    <w:rsid w:val="001A4DE0"/>
    <w:rsid w:val="001A4F2C"/>
    <w:rsid w:val="001B0457"/>
    <w:rsid w:val="001B0B61"/>
    <w:rsid w:val="001B0B97"/>
    <w:rsid w:val="001B0F23"/>
    <w:rsid w:val="001B156E"/>
    <w:rsid w:val="001B182E"/>
    <w:rsid w:val="001B295D"/>
    <w:rsid w:val="001B5044"/>
    <w:rsid w:val="001B5210"/>
    <w:rsid w:val="001B530D"/>
    <w:rsid w:val="001C2787"/>
    <w:rsid w:val="001C2BDA"/>
    <w:rsid w:val="001C3302"/>
    <w:rsid w:val="001C433F"/>
    <w:rsid w:val="001C55D4"/>
    <w:rsid w:val="001C5F89"/>
    <w:rsid w:val="001C6243"/>
    <w:rsid w:val="001D2427"/>
    <w:rsid w:val="001D2495"/>
    <w:rsid w:val="001D29A1"/>
    <w:rsid w:val="001D3443"/>
    <w:rsid w:val="001D3897"/>
    <w:rsid w:val="001D41C0"/>
    <w:rsid w:val="001D4EBD"/>
    <w:rsid w:val="001D5051"/>
    <w:rsid w:val="001D5077"/>
    <w:rsid w:val="001D59CD"/>
    <w:rsid w:val="001D5B74"/>
    <w:rsid w:val="001D5F33"/>
    <w:rsid w:val="001D62D5"/>
    <w:rsid w:val="001D73EC"/>
    <w:rsid w:val="001E2707"/>
    <w:rsid w:val="001E4D62"/>
    <w:rsid w:val="001F0866"/>
    <w:rsid w:val="001F0DE7"/>
    <w:rsid w:val="001F1A42"/>
    <w:rsid w:val="001F1DB8"/>
    <w:rsid w:val="001F2508"/>
    <w:rsid w:val="001F38A2"/>
    <w:rsid w:val="001F6C3A"/>
    <w:rsid w:val="00201BAB"/>
    <w:rsid w:val="00201C9A"/>
    <w:rsid w:val="0020210B"/>
    <w:rsid w:val="00203975"/>
    <w:rsid w:val="00203BF0"/>
    <w:rsid w:val="00206F91"/>
    <w:rsid w:val="00207C9E"/>
    <w:rsid w:val="00212105"/>
    <w:rsid w:val="0021229D"/>
    <w:rsid w:val="00212799"/>
    <w:rsid w:val="00214386"/>
    <w:rsid w:val="00214AD7"/>
    <w:rsid w:val="002150C8"/>
    <w:rsid w:val="0021712F"/>
    <w:rsid w:val="00217656"/>
    <w:rsid w:val="0022013A"/>
    <w:rsid w:val="00223148"/>
    <w:rsid w:val="0022331E"/>
    <w:rsid w:val="0022409C"/>
    <w:rsid w:val="002242F9"/>
    <w:rsid w:val="0022444D"/>
    <w:rsid w:val="00224663"/>
    <w:rsid w:val="0022490C"/>
    <w:rsid w:val="00225B66"/>
    <w:rsid w:val="0022601C"/>
    <w:rsid w:val="0022649F"/>
    <w:rsid w:val="002326FD"/>
    <w:rsid w:val="002338DF"/>
    <w:rsid w:val="00236414"/>
    <w:rsid w:val="00236A8E"/>
    <w:rsid w:val="00237813"/>
    <w:rsid w:val="002407ED"/>
    <w:rsid w:val="00241878"/>
    <w:rsid w:val="00244BA5"/>
    <w:rsid w:val="002455B0"/>
    <w:rsid w:val="00246097"/>
    <w:rsid w:val="00246591"/>
    <w:rsid w:val="00247C09"/>
    <w:rsid w:val="00252E8B"/>
    <w:rsid w:val="00253D5D"/>
    <w:rsid w:val="00253DF5"/>
    <w:rsid w:val="00254D92"/>
    <w:rsid w:val="00255BDA"/>
    <w:rsid w:val="00257C83"/>
    <w:rsid w:val="00262294"/>
    <w:rsid w:val="00262993"/>
    <w:rsid w:val="00262AD6"/>
    <w:rsid w:val="00263503"/>
    <w:rsid w:val="00265368"/>
    <w:rsid w:val="002658E3"/>
    <w:rsid w:val="00265F78"/>
    <w:rsid w:val="002664CE"/>
    <w:rsid w:val="00270818"/>
    <w:rsid w:val="0027235C"/>
    <w:rsid w:val="00276378"/>
    <w:rsid w:val="00282246"/>
    <w:rsid w:val="00282A78"/>
    <w:rsid w:val="00282A9E"/>
    <w:rsid w:val="00282B49"/>
    <w:rsid w:val="0028383C"/>
    <w:rsid w:val="002866B6"/>
    <w:rsid w:val="00287248"/>
    <w:rsid w:val="00291087"/>
    <w:rsid w:val="0029274B"/>
    <w:rsid w:val="002944D0"/>
    <w:rsid w:val="0029629D"/>
    <w:rsid w:val="0029735F"/>
    <w:rsid w:val="00297C83"/>
    <w:rsid w:val="002A077C"/>
    <w:rsid w:val="002A14C6"/>
    <w:rsid w:val="002A15AD"/>
    <w:rsid w:val="002A19FA"/>
    <w:rsid w:val="002A1B3C"/>
    <w:rsid w:val="002A317A"/>
    <w:rsid w:val="002A4189"/>
    <w:rsid w:val="002A5B12"/>
    <w:rsid w:val="002A62B3"/>
    <w:rsid w:val="002A6DB3"/>
    <w:rsid w:val="002A7797"/>
    <w:rsid w:val="002A7DD8"/>
    <w:rsid w:val="002B09C3"/>
    <w:rsid w:val="002B1653"/>
    <w:rsid w:val="002B180C"/>
    <w:rsid w:val="002B1FC4"/>
    <w:rsid w:val="002B40A6"/>
    <w:rsid w:val="002B743E"/>
    <w:rsid w:val="002C0182"/>
    <w:rsid w:val="002C05E8"/>
    <w:rsid w:val="002C0A18"/>
    <w:rsid w:val="002C1F86"/>
    <w:rsid w:val="002C2726"/>
    <w:rsid w:val="002C365A"/>
    <w:rsid w:val="002C3F80"/>
    <w:rsid w:val="002C62D0"/>
    <w:rsid w:val="002C66F2"/>
    <w:rsid w:val="002C6A28"/>
    <w:rsid w:val="002C7C2F"/>
    <w:rsid w:val="002D067A"/>
    <w:rsid w:val="002D3C34"/>
    <w:rsid w:val="002D4024"/>
    <w:rsid w:val="002D5A98"/>
    <w:rsid w:val="002D703E"/>
    <w:rsid w:val="002D7C16"/>
    <w:rsid w:val="002E0609"/>
    <w:rsid w:val="002E0FB4"/>
    <w:rsid w:val="002E1318"/>
    <w:rsid w:val="002E290B"/>
    <w:rsid w:val="002E2ECF"/>
    <w:rsid w:val="002E32FC"/>
    <w:rsid w:val="002E43AE"/>
    <w:rsid w:val="002E483B"/>
    <w:rsid w:val="002E4D62"/>
    <w:rsid w:val="002E5303"/>
    <w:rsid w:val="002E71FB"/>
    <w:rsid w:val="002E772A"/>
    <w:rsid w:val="002E7EBA"/>
    <w:rsid w:val="002F0B7B"/>
    <w:rsid w:val="002F194E"/>
    <w:rsid w:val="002F3300"/>
    <w:rsid w:val="002F3313"/>
    <w:rsid w:val="002F3538"/>
    <w:rsid w:val="002F3FB6"/>
    <w:rsid w:val="002F4425"/>
    <w:rsid w:val="002F613B"/>
    <w:rsid w:val="002F6B70"/>
    <w:rsid w:val="002F718F"/>
    <w:rsid w:val="002F75CA"/>
    <w:rsid w:val="00300EBC"/>
    <w:rsid w:val="0030173B"/>
    <w:rsid w:val="0030177F"/>
    <w:rsid w:val="00301FD9"/>
    <w:rsid w:val="0030200D"/>
    <w:rsid w:val="003025C6"/>
    <w:rsid w:val="00302B98"/>
    <w:rsid w:val="00303EF4"/>
    <w:rsid w:val="0030443C"/>
    <w:rsid w:val="003052BF"/>
    <w:rsid w:val="00305450"/>
    <w:rsid w:val="003067AF"/>
    <w:rsid w:val="00306E56"/>
    <w:rsid w:val="003076D7"/>
    <w:rsid w:val="00310478"/>
    <w:rsid w:val="0031174D"/>
    <w:rsid w:val="00311773"/>
    <w:rsid w:val="0031202C"/>
    <w:rsid w:val="0031234B"/>
    <w:rsid w:val="0031517E"/>
    <w:rsid w:val="00315C25"/>
    <w:rsid w:val="00317EDA"/>
    <w:rsid w:val="00322EF5"/>
    <w:rsid w:val="003243BA"/>
    <w:rsid w:val="003249AD"/>
    <w:rsid w:val="00324C7A"/>
    <w:rsid w:val="003254FA"/>
    <w:rsid w:val="00326FD6"/>
    <w:rsid w:val="00327A88"/>
    <w:rsid w:val="00333DD7"/>
    <w:rsid w:val="0033497A"/>
    <w:rsid w:val="00335534"/>
    <w:rsid w:val="00335973"/>
    <w:rsid w:val="0033631C"/>
    <w:rsid w:val="0033720A"/>
    <w:rsid w:val="0034347E"/>
    <w:rsid w:val="00343984"/>
    <w:rsid w:val="00343D70"/>
    <w:rsid w:val="00346FAB"/>
    <w:rsid w:val="00350C41"/>
    <w:rsid w:val="003510CD"/>
    <w:rsid w:val="00353FF9"/>
    <w:rsid w:val="003557FE"/>
    <w:rsid w:val="003565A1"/>
    <w:rsid w:val="00357ADF"/>
    <w:rsid w:val="00357B2F"/>
    <w:rsid w:val="00360A81"/>
    <w:rsid w:val="00360CA5"/>
    <w:rsid w:val="00360D45"/>
    <w:rsid w:val="00361336"/>
    <w:rsid w:val="00361415"/>
    <w:rsid w:val="00362D39"/>
    <w:rsid w:val="00364204"/>
    <w:rsid w:val="00364CC8"/>
    <w:rsid w:val="00365E67"/>
    <w:rsid w:val="0036722D"/>
    <w:rsid w:val="003675C9"/>
    <w:rsid w:val="00367742"/>
    <w:rsid w:val="0037019E"/>
    <w:rsid w:val="00370BBB"/>
    <w:rsid w:val="0037132B"/>
    <w:rsid w:val="00371493"/>
    <w:rsid w:val="003726E8"/>
    <w:rsid w:val="00373DBB"/>
    <w:rsid w:val="00373E82"/>
    <w:rsid w:val="00376CF3"/>
    <w:rsid w:val="00376F51"/>
    <w:rsid w:val="00376F56"/>
    <w:rsid w:val="00377F03"/>
    <w:rsid w:val="003814E1"/>
    <w:rsid w:val="00381D44"/>
    <w:rsid w:val="003824A8"/>
    <w:rsid w:val="00382BA3"/>
    <w:rsid w:val="00383C5F"/>
    <w:rsid w:val="00383DD9"/>
    <w:rsid w:val="00385396"/>
    <w:rsid w:val="0039067A"/>
    <w:rsid w:val="00390DF2"/>
    <w:rsid w:val="00391EA1"/>
    <w:rsid w:val="0039234B"/>
    <w:rsid w:val="0039250B"/>
    <w:rsid w:val="0039302A"/>
    <w:rsid w:val="00394796"/>
    <w:rsid w:val="00394CD9"/>
    <w:rsid w:val="0039740C"/>
    <w:rsid w:val="003A0F31"/>
    <w:rsid w:val="003A151E"/>
    <w:rsid w:val="003A17D5"/>
    <w:rsid w:val="003A20B7"/>
    <w:rsid w:val="003A295E"/>
    <w:rsid w:val="003A3F4A"/>
    <w:rsid w:val="003A40F7"/>
    <w:rsid w:val="003A43AD"/>
    <w:rsid w:val="003A46FA"/>
    <w:rsid w:val="003A537E"/>
    <w:rsid w:val="003A55DA"/>
    <w:rsid w:val="003A55DB"/>
    <w:rsid w:val="003A6CBD"/>
    <w:rsid w:val="003A7CD2"/>
    <w:rsid w:val="003B2F3F"/>
    <w:rsid w:val="003B35FC"/>
    <w:rsid w:val="003B4478"/>
    <w:rsid w:val="003B53B4"/>
    <w:rsid w:val="003B5781"/>
    <w:rsid w:val="003B5AA3"/>
    <w:rsid w:val="003B6DC6"/>
    <w:rsid w:val="003B7E17"/>
    <w:rsid w:val="003C049B"/>
    <w:rsid w:val="003C0648"/>
    <w:rsid w:val="003C2932"/>
    <w:rsid w:val="003C315E"/>
    <w:rsid w:val="003C34A0"/>
    <w:rsid w:val="003C4426"/>
    <w:rsid w:val="003C45CE"/>
    <w:rsid w:val="003C56A9"/>
    <w:rsid w:val="003C7BB5"/>
    <w:rsid w:val="003C7E18"/>
    <w:rsid w:val="003C7F32"/>
    <w:rsid w:val="003D13F6"/>
    <w:rsid w:val="003D17E8"/>
    <w:rsid w:val="003D1EBB"/>
    <w:rsid w:val="003D39BF"/>
    <w:rsid w:val="003D46AF"/>
    <w:rsid w:val="003D7ADD"/>
    <w:rsid w:val="003D7CA8"/>
    <w:rsid w:val="003D7D5B"/>
    <w:rsid w:val="003E0776"/>
    <w:rsid w:val="003E0878"/>
    <w:rsid w:val="003E102A"/>
    <w:rsid w:val="003E1077"/>
    <w:rsid w:val="003E2B1E"/>
    <w:rsid w:val="003E40EB"/>
    <w:rsid w:val="003E46A2"/>
    <w:rsid w:val="003E57AC"/>
    <w:rsid w:val="003E5BD3"/>
    <w:rsid w:val="003E6A8C"/>
    <w:rsid w:val="003E6D27"/>
    <w:rsid w:val="003E77A6"/>
    <w:rsid w:val="003F0C65"/>
    <w:rsid w:val="003F1E9F"/>
    <w:rsid w:val="003F26FD"/>
    <w:rsid w:val="003F403E"/>
    <w:rsid w:val="003F469C"/>
    <w:rsid w:val="003F56CB"/>
    <w:rsid w:val="0040082F"/>
    <w:rsid w:val="0040098F"/>
    <w:rsid w:val="00401918"/>
    <w:rsid w:val="00401EE9"/>
    <w:rsid w:val="0040266A"/>
    <w:rsid w:val="00402A58"/>
    <w:rsid w:val="00402BD2"/>
    <w:rsid w:val="00402D3A"/>
    <w:rsid w:val="00402E2D"/>
    <w:rsid w:val="004034CC"/>
    <w:rsid w:val="00404A87"/>
    <w:rsid w:val="004063A8"/>
    <w:rsid w:val="00406E4F"/>
    <w:rsid w:val="00407045"/>
    <w:rsid w:val="0041007F"/>
    <w:rsid w:val="00410FD7"/>
    <w:rsid w:val="0041139B"/>
    <w:rsid w:val="00411408"/>
    <w:rsid w:val="00412341"/>
    <w:rsid w:val="004123B7"/>
    <w:rsid w:val="00413922"/>
    <w:rsid w:val="004142ED"/>
    <w:rsid w:val="00414F59"/>
    <w:rsid w:val="0041512F"/>
    <w:rsid w:val="0041520B"/>
    <w:rsid w:val="00416CCB"/>
    <w:rsid w:val="004215A6"/>
    <w:rsid w:val="0042171D"/>
    <w:rsid w:val="00421B4D"/>
    <w:rsid w:val="0042285D"/>
    <w:rsid w:val="00422C10"/>
    <w:rsid w:val="00424F81"/>
    <w:rsid w:val="004252AE"/>
    <w:rsid w:val="00425930"/>
    <w:rsid w:val="004271A4"/>
    <w:rsid w:val="004273C7"/>
    <w:rsid w:val="004311FA"/>
    <w:rsid w:val="004315E7"/>
    <w:rsid w:val="004316FD"/>
    <w:rsid w:val="00433532"/>
    <w:rsid w:val="00433669"/>
    <w:rsid w:val="00434796"/>
    <w:rsid w:val="00436946"/>
    <w:rsid w:val="00436F18"/>
    <w:rsid w:val="004422CF"/>
    <w:rsid w:val="004432B1"/>
    <w:rsid w:val="00443315"/>
    <w:rsid w:val="004451C5"/>
    <w:rsid w:val="004464D5"/>
    <w:rsid w:val="00450CA0"/>
    <w:rsid w:val="00451C04"/>
    <w:rsid w:val="00453557"/>
    <w:rsid w:val="00454AC2"/>
    <w:rsid w:val="00454C14"/>
    <w:rsid w:val="00455346"/>
    <w:rsid w:val="0045584B"/>
    <w:rsid w:val="0045603F"/>
    <w:rsid w:val="0046055F"/>
    <w:rsid w:val="004612F7"/>
    <w:rsid w:val="00461EAC"/>
    <w:rsid w:val="00462EF5"/>
    <w:rsid w:val="00465125"/>
    <w:rsid w:val="00465413"/>
    <w:rsid w:val="00465BA9"/>
    <w:rsid w:val="004660D1"/>
    <w:rsid w:val="00470148"/>
    <w:rsid w:val="00471B96"/>
    <w:rsid w:val="00472B57"/>
    <w:rsid w:val="00472DAA"/>
    <w:rsid w:val="0047375F"/>
    <w:rsid w:val="00473FD8"/>
    <w:rsid w:val="004779EC"/>
    <w:rsid w:val="0048132D"/>
    <w:rsid w:val="004819D8"/>
    <w:rsid w:val="00482B78"/>
    <w:rsid w:val="004831CD"/>
    <w:rsid w:val="00483F5F"/>
    <w:rsid w:val="004841ED"/>
    <w:rsid w:val="0048442D"/>
    <w:rsid w:val="00485D28"/>
    <w:rsid w:val="00486B1E"/>
    <w:rsid w:val="004907E7"/>
    <w:rsid w:val="00490D25"/>
    <w:rsid w:val="00493B5F"/>
    <w:rsid w:val="00493CDA"/>
    <w:rsid w:val="0049416F"/>
    <w:rsid w:val="0049461B"/>
    <w:rsid w:val="00495763"/>
    <w:rsid w:val="00496058"/>
    <w:rsid w:val="00496088"/>
    <w:rsid w:val="00496A9E"/>
    <w:rsid w:val="00497093"/>
    <w:rsid w:val="00497983"/>
    <w:rsid w:val="004A1D8C"/>
    <w:rsid w:val="004A4B0B"/>
    <w:rsid w:val="004A4CAF"/>
    <w:rsid w:val="004A50E8"/>
    <w:rsid w:val="004A7054"/>
    <w:rsid w:val="004A78AC"/>
    <w:rsid w:val="004A790E"/>
    <w:rsid w:val="004A7EA1"/>
    <w:rsid w:val="004B034B"/>
    <w:rsid w:val="004B0ACC"/>
    <w:rsid w:val="004B2385"/>
    <w:rsid w:val="004B2576"/>
    <w:rsid w:val="004B25E1"/>
    <w:rsid w:val="004B2D08"/>
    <w:rsid w:val="004B4AA6"/>
    <w:rsid w:val="004B5107"/>
    <w:rsid w:val="004B55E9"/>
    <w:rsid w:val="004B5777"/>
    <w:rsid w:val="004B5BE7"/>
    <w:rsid w:val="004B6F85"/>
    <w:rsid w:val="004C1378"/>
    <w:rsid w:val="004C163F"/>
    <w:rsid w:val="004C18D8"/>
    <w:rsid w:val="004C1912"/>
    <w:rsid w:val="004C2F4B"/>
    <w:rsid w:val="004C35FB"/>
    <w:rsid w:val="004C3A3F"/>
    <w:rsid w:val="004C5B4F"/>
    <w:rsid w:val="004C5EBD"/>
    <w:rsid w:val="004C6066"/>
    <w:rsid w:val="004D082D"/>
    <w:rsid w:val="004D0870"/>
    <w:rsid w:val="004D13C1"/>
    <w:rsid w:val="004D1F12"/>
    <w:rsid w:val="004D26D4"/>
    <w:rsid w:val="004D2F37"/>
    <w:rsid w:val="004D3321"/>
    <w:rsid w:val="004D67F4"/>
    <w:rsid w:val="004D6972"/>
    <w:rsid w:val="004D7D37"/>
    <w:rsid w:val="004E07A3"/>
    <w:rsid w:val="004E0916"/>
    <w:rsid w:val="004E2D30"/>
    <w:rsid w:val="004E3E03"/>
    <w:rsid w:val="004E4848"/>
    <w:rsid w:val="004E53FC"/>
    <w:rsid w:val="004E5A98"/>
    <w:rsid w:val="004E6400"/>
    <w:rsid w:val="004E679D"/>
    <w:rsid w:val="004E77BE"/>
    <w:rsid w:val="004F0322"/>
    <w:rsid w:val="004F1062"/>
    <w:rsid w:val="004F1402"/>
    <w:rsid w:val="004F1854"/>
    <w:rsid w:val="004F19AF"/>
    <w:rsid w:val="004F4BB6"/>
    <w:rsid w:val="004F52EB"/>
    <w:rsid w:val="004F5877"/>
    <w:rsid w:val="004F589E"/>
    <w:rsid w:val="004F63BE"/>
    <w:rsid w:val="00500AA9"/>
    <w:rsid w:val="00501025"/>
    <w:rsid w:val="005018D7"/>
    <w:rsid w:val="00501F03"/>
    <w:rsid w:val="00503A7A"/>
    <w:rsid w:val="005061C0"/>
    <w:rsid w:val="0050633C"/>
    <w:rsid w:val="0050634C"/>
    <w:rsid w:val="00507260"/>
    <w:rsid w:val="00507539"/>
    <w:rsid w:val="00510A1A"/>
    <w:rsid w:val="00510ABD"/>
    <w:rsid w:val="00511981"/>
    <w:rsid w:val="00511AD0"/>
    <w:rsid w:val="00513365"/>
    <w:rsid w:val="005141A6"/>
    <w:rsid w:val="005148BB"/>
    <w:rsid w:val="005154A6"/>
    <w:rsid w:val="00515695"/>
    <w:rsid w:val="00515BCF"/>
    <w:rsid w:val="00515EAC"/>
    <w:rsid w:val="00516D8E"/>
    <w:rsid w:val="00516E10"/>
    <w:rsid w:val="005170B1"/>
    <w:rsid w:val="0051750F"/>
    <w:rsid w:val="00520FDD"/>
    <w:rsid w:val="005212BA"/>
    <w:rsid w:val="00521896"/>
    <w:rsid w:val="005223A9"/>
    <w:rsid w:val="00522E6F"/>
    <w:rsid w:val="005237FC"/>
    <w:rsid w:val="00523F0E"/>
    <w:rsid w:val="005244E7"/>
    <w:rsid w:val="0052559E"/>
    <w:rsid w:val="00525F24"/>
    <w:rsid w:val="00526627"/>
    <w:rsid w:val="005266F3"/>
    <w:rsid w:val="00527429"/>
    <w:rsid w:val="005276C1"/>
    <w:rsid w:val="005305C8"/>
    <w:rsid w:val="00532B7B"/>
    <w:rsid w:val="0053309B"/>
    <w:rsid w:val="00533C27"/>
    <w:rsid w:val="00533DF2"/>
    <w:rsid w:val="005342DA"/>
    <w:rsid w:val="005345B9"/>
    <w:rsid w:val="00534A21"/>
    <w:rsid w:val="00535F2F"/>
    <w:rsid w:val="00536180"/>
    <w:rsid w:val="005365DD"/>
    <w:rsid w:val="005401AD"/>
    <w:rsid w:val="00540CF2"/>
    <w:rsid w:val="00541BC7"/>
    <w:rsid w:val="00542427"/>
    <w:rsid w:val="00543F2A"/>
    <w:rsid w:val="00544B86"/>
    <w:rsid w:val="00546C0C"/>
    <w:rsid w:val="00550191"/>
    <w:rsid w:val="00550C64"/>
    <w:rsid w:val="00554BED"/>
    <w:rsid w:val="00556EA5"/>
    <w:rsid w:val="00560BEF"/>
    <w:rsid w:val="00561323"/>
    <w:rsid w:val="0056164F"/>
    <w:rsid w:val="00563155"/>
    <w:rsid w:val="00563379"/>
    <w:rsid w:val="005641D8"/>
    <w:rsid w:val="0056475D"/>
    <w:rsid w:val="00567375"/>
    <w:rsid w:val="00572FD6"/>
    <w:rsid w:val="00573A90"/>
    <w:rsid w:val="005745ED"/>
    <w:rsid w:val="00574B05"/>
    <w:rsid w:val="00574F8B"/>
    <w:rsid w:val="00575441"/>
    <w:rsid w:val="005757E5"/>
    <w:rsid w:val="005770A9"/>
    <w:rsid w:val="00577365"/>
    <w:rsid w:val="00577A37"/>
    <w:rsid w:val="00577B0F"/>
    <w:rsid w:val="00580673"/>
    <w:rsid w:val="00580C38"/>
    <w:rsid w:val="00582CF6"/>
    <w:rsid w:val="005834CD"/>
    <w:rsid w:val="00583563"/>
    <w:rsid w:val="00583F4B"/>
    <w:rsid w:val="005844A1"/>
    <w:rsid w:val="00584DF3"/>
    <w:rsid w:val="0058599C"/>
    <w:rsid w:val="00585EC5"/>
    <w:rsid w:val="00586CEF"/>
    <w:rsid w:val="00587D29"/>
    <w:rsid w:val="00590193"/>
    <w:rsid w:val="00592CA6"/>
    <w:rsid w:val="00592DFC"/>
    <w:rsid w:val="00593995"/>
    <w:rsid w:val="0059410F"/>
    <w:rsid w:val="00595B01"/>
    <w:rsid w:val="00595B79"/>
    <w:rsid w:val="005969BC"/>
    <w:rsid w:val="00597646"/>
    <w:rsid w:val="00597F89"/>
    <w:rsid w:val="005A1D42"/>
    <w:rsid w:val="005A22F3"/>
    <w:rsid w:val="005A284C"/>
    <w:rsid w:val="005A31CE"/>
    <w:rsid w:val="005A3A12"/>
    <w:rsid w:val="005A4096"/>
    <w:rsid w:val="005A7A06"/>
    <w:rsid w:val="005B3141"/>
    <w:rsid w:val="005B3485"/>
    <w:rsid w:val="005B359D"/>
    <w:rsid w:val="005B5665"/>
    <w:rsid w:val="005B6F43"/>
    <w:rsid w:val="005C3119"/>
    <w:rsid w:val="005C54EE"/>
    <w:rsid w:val="005C5FFF"/>
    <w:rsid w:val="005D02E4"/>
    <w:rsid w:val="005D0550"/>
    <w:rsid w:val="005D12A4"/>
    <w:rsid w:val="005D2299"/>
    <w:rsid w:val="005D4D8A"/>
    <w:rsid w:val="005D5EE9"/>
    <w:rsid w:val="005D638C"/>
    <w:rsid w:val="005D68A7"/>
    <w:rsid w:val="005E0064"/>
    <w:rsid w:val="005E17B9"/>
    <w:rsid w:val="005E1A78"/>
    <w:rsid w:val="005E3EF5"/>
    <w:rsid w:val="005E409C"/>
    <w:rsid w:val="005E5B87"/>
    <w:rsid w:val="005F041B"/>
    <w:rsid w:val="005F1A16"/>
    <w:rsid w:val="005F28D6"/>
    <w:rsid w:val="005F2A7E"/>
    <w:rsid w:val="005F2CB2"/>
    <w:rsid w:val="005F3419"/>
    <w:rsid w:val="005F66DB"/>
    <w:rsid w:val="0060397A"/>
    <w:rsid w:val="00603E52"/>
    <w:rsid w:val="0060438E"/>
    <w:rsid w:val="006050BE"/>
    <w:rsid w:val="00605C2D"/>
    <w:rsid w:val="00606309"/>
    <w:rsid w:val="00606E16"/>
    <w:rsid w:val="0060705D"/>
    <w:rsid w:val="00611405"/>
    <w:rsid w:val="00612A41"/>
    <w:rsid w:val="006135A4"/>
    <w:rsid w:val="00614872"/>
    <w:rsid w:val="00615F83"/>
    <w:rsid w:val="00616312"/>
    <w:rsid w:val="00616824"/>
    <w:rsid w:val="00617155"/>
    <w:rsid w:val="0062155F"/>
    <w:rsid w:val="00623437"/>
    <w:rsid w:val="00623B60"/>
    <w:rsid w:val="00624903"/>
    <w:rsid w:val="006257C7"/>
    <w:rsid w:val="00625F80"/>
    <w:rsid w:val="006265D6"/>
    <w:rsid w:val="006267D2"/>
    <w:rsid w:val="0062728A"/>
    <w:rsid w:val="006339B4"/>
    <w:rsid w:val="00633D63"/>
    <w:rsid w:val="006341D0"/>
    <w:rsid w:val="006341EB"/>
    <w:rsid w:val="006349E0"/>
    <w:rsid w:val="00634A08"/>
    <w:rsid w:val="00634ADF"/>
    <w:rsid w:val="006362AD"/>
    <w:rsid w:val="00636B92"/>
    <w:rsid w:val="00637BBC"/>
    <w:rsid w:val="00637DA1"/>
    <w:rsid w:val="00640179"/>
    <w:rsid w:val="00640328"/>
    <w:rsid w:val="00640737"/>
    <w:rsid w:val="00640890"/>
    <w:rsid w:val="00640968"/>
    <w:rsid w:val="006416AB"/>
    <w:rsid w:val="006422CD"/>
    <w:rsid w:val="006431C1"/>
    <w:rsid w:val="0064361D"/>
    <w:rsid w:val="00643891"/>
    <w:rsid w:val="00643C3E"/>
    <w:rsid w:val="006452CA"/>
    <w:rsid w:val="00645414"/>
    <w:rsid w:val="00645663"/>
    <w:rsid w:val="00646FAA"/>
    <w:rsid w:val="0065210B"/>
    <w:rsid w:val="00652203"/>
    <w:rsid w:val="0065297A"/>
    <w:rsid w:val="00652E47"/>
    <w:rsid w:val="00653B35"/>
    <w:rsid w:val="00653CDD"/>
    <w:rsid w:val="00653EBE"/>
    <w:rsid w:val="00654022"/>
    <w:rsid w:val="00655227"/>
    <w:rsid w:val="00657435"/>
    <w:rsid w:val="006578A5"/>
    <w:rsid w:val="006610CD"/>
    <w:rsid w:val="00662397"/>
    <w:rsid w:val="006638BE"/>
    <w:rsid w:val="006648BE"/>
    <w:rsid w:val="00664C0B"/>
    <w:rsid w:val="00664EBD"/>
    <w:rsid w:val="006661F3"/>
    <w:rsid w:val="0067076E"/>
    <w:rsid w:val="006714E3"/>
    <w:rsid w:val="00672545"/>
    <w:rsid w:val="0067301E"/>
    <w:rsid w:val="00673D7F"/>
    <w:rsid w:val="00674753"/>
    <w:rsid w:val="00674B0B"/>
    <w:rsid w:val="00674C5A"/>
    <w:rsid w:val="00676B90"/>
    <w:rsid w:val="00677C82"/>
    <w:rsid w:val="00680260"/>
    <w:rsid w:val="00680387"/>
    <w:rsid w:val="00680A68"/>
    <w:rsid w:val="00681D88"/>
    <w:rsid w:val="0068286C"/>
    <w:rsid w:val="006829EE"/>
    <w:rsid w:val="0068452E"/>
    <w:rsid w:val="0068677B"/>
    <w:rsid w:val="00686BDA"/>
    <w:rsid w:val="006871CA"/>
    <w:rsid w:val="00687CAE"/>
    <w:rsid w:val="00690144"/>
    <w:rsid w:val="006902F3"/>
    <w:rsid w:val="00690A75"/>
    <w:rsid w:val="00690C7F"/>
    <w:rsid w:val="00690D85"/>
    <w:rsid w:val="006920CB"/>
    <w:rsid w:val="006921F4"/>
    <w:rsid w:val="0069271A"/>
    <w:rsid w:val="00694DC5"/>
    <w:rsid w:val="006976D3"/>
    <w:rsid w:val="006A20F5"/>
    <w:rsid w:val="006A2CE8"/>
    <w:rsid w:val="006A3459"/>
    <w:rsid w:val="006A5144"/>
    <w:rsid w:val="006A6000"/>
    <w:rsid w:val="006B00DD"/>
    <w:rsid w:val="006B0C21"/>
    <w:rsid w:val="006B293E"/>
    <w:rsid w:val="006B36A4"/>
    <w:rsid w:val="006B4066"/>
    <w:rsid w:val="006B4FE7"/>
    <w:rsid w:val="006B5DC7"/>
    <w:rsid w:val="006B6850"/>
    <w:rsid w:val="006B6A9C"/>
    <w:rsid w:val="006B6BF3"/>
    <w:rsid w:val="006B7084"/>
    <w:rsid w:val="006B7830"/>
    <w:rsid w:val="006C1AE3"/>
    <w:rsid w:val="006C4263"/>
    <w:rsid w:val="006C59AA"/>
    <w:rsid w:val="006C629B"/>
    <w:rsid w:val="006C796D"/>
    <w:rsid w:val="006C7DF7"/>
    <w:rsid w:val="006D0357"/>
    <w:rsid w:val="006D036B"/>
    <w:rsid w:val="006D0A3D"/>
    <w:rsid w:val="006D1BF0"/>
    <w:rsid w:val="006D4473"/>
    <w:rsid w:val="006D47CA"/>
    <w:rsid w:val="006D4C17"/>
    <w:rsid w:val="006D5C7C"/>
    <w:rsid w:val="006D678E"/>
    <w:rsid w:val="006D7367"/>
    <w:rsid w:val="006E03DC"/>
    <w:rsid w:val="006E0463"/>
    <w:rsid w:val="006E08C7"/>
    <w:rsid w:val="006E3A64"/>
    <w:rsid w:val="006E4AE2"/>
    <w:rsid w:val="006E4C49"/>
    <w:rsid w:val="006E7045"/>
    <w:rsid w:val="006F0303"/>
    <w:rsid w:val="006F144A"/>
    <w:rsid w:val="006F3B4B"/>
    <w:rsid w:val="006F4D19"/>
    <w:rsid w:val="006F5D20"/>
    <w:rsid w:val="006F691E"/>
    <w:rsid w:val="007016A8"/>
    <w:rsid w:val="007046D9"/>
    <w:rsid w:val="00704B03"/>
    <w:rsid w:val="007070CA"/>
    <w:rsid w:val="007077E5"/>
    <w:rsid w:val="007132A4"/>
    <w:rsid w:val="00713321"/>
    <w:rsid w:val="00713A64"/>
    <w:rsid w:val="00714245"/>
    <w:rsid w:val="00715933"/>
    <w:rsid w:val="007206F9"/>
    <w:rsid w:val="0072083B"/>
    <w:rsid w:val="00722042"/>
    <w:rsid w:val="00722163"/>
    <w:rsid w:val="00722530"/>
    <w:rsid w:val="00723FD6"/>
    <w:rsid w:val="00724DDB"/>
    <w:rsid w:val="00724E75"/>
    <w:rsid w:val="0072501F"/>
    <w:rsid w:val="00726B07"/>
    <w:rsid w:val="00726CD5"/>
    <w:rsid w:val="00727AF6"/>
    <w:rsid w:val="007306F9"/>
    <w:rsid w:val="00730A51"/>
    <w:rsid w:val="00730A5D"/>
    <w:rsid w:val="00731519"/>
    <w:rsid w:val="00731A75"/>
    <w:rsid w:val="007323AF"/>
    <w:rsid w:val="0073286D"/>
    <w:rsid w:val="00733391"/>
    <w:rsid w:val="007337C1"/>
    <w:rsid w:val="007357D4"/>
    <w:rsid w:val="00735826"/>
    <w:rsid w:val="007359AC"/>
    <w:rsid w:val="00735E45"/>
    <w:rsid w:val="00735EA9"/>
    <w:rsid w:val="007361E6"/>
    <w:rsid w:val="00736373"/>
    <w:rsid w:val="00737A4F"/>
    <w:rsid w:val="007401F6"/>
    <w:rsid w:val="00740796"/>
    <w:rsid w:val="00740A94"/>
    <w:rsid w:val="00740FDA"/>
    <w:rsid w:val="00742CC9"/>
    <w:rsid w:val="00744B1A"/>
    <w:rsid w:val="0074746A"/>
    <w:rsid w:val="00751FB3"/>
    <w:rsid w:val="00753EE1"/>
    <w:rsid w:val="007556E8"/>
    <w:rsid w:val="007563E0"/>
    <w:rsid w:val="0075669A"/>
    <w:rsid w:val="0076040D"/>
    <w:rsid w:val="00762BD5"/>
    <w:rsid w:val="00763934"/>
    <w:rsid w:val="00763D42"/>
    <w:rsid w:val="00764936"/>
    <w:rsid w:val="0076499D"/>
    <w:rsid w:val="007652ED"/>
    <w:rsid w:val="0076605F"/>
    <w:rsid w:val="0076626E"/>
    <w:rsid w:val="00766902"/>
    <w:rsid w:val="0076783E"/>
    <w:rsid w:val="00770221"/>
    <w:rsid w:val="00770D8F"/>
    <w:rsid w:val="00770FE8"/>
    <w:rsid w:val="00771139"/>
    <w:rsid w:val="0077181B"/>
    <w:rsid w:val="00772CDD"/>
    <w:rsid w:val="00773B07"/>
    <w:rsid w:val="00775E2D"/>
    <w:rsid w:val="00775F90"/>
    <w:rsid w:val="00780CCD"/>
    <w:rsid w:val="00780D9E"/>
    <w:rsid w:val="00780F9A"/>
    <w:rsid w:val="007826DF"/>
    <w:rsid w:val="00783545"/>
    <w:rsid w:val="00783990"/>
    <w:rsid w:val="00783A90"/>
    <w:rsid w:val="00784EF1"/>
    <w:rsid w:val="0078769C"/>
    <w:rsid w:val="00790A3C"/>
    <w:rsid w:val="00790D8E"/>
    <w:rsid w:val="007910A5"/>
    <w:rsid w:val="0079124B"/>
    <w:rsid w:val="00791A52"/>
    <w:rsid w:val="00791CF4"/>
    <w:rsid w:val="0079208E"/>
    <w:rsid w:val="00792498"/>
    <w:rsid w:val="007928A5"/>
    <w:rsid w:val="00792EBB"/>
    <w:rsid w:val="0079302B"/>
    <w:rsid w:val="007944B6"/>
    <w:rsid w:val="00794DBC"/>
    <w:rsid w:val="007960CB"/>
    <w:rsid w:val="00796589"/>
    <w:rsid w:val="00796C2E"/>
    <w:rsid w:val="007979D8"/>
    <w:rsid w:val="007A0588"/>
    <w:rsid w:val="007A068D"/>
    <w:rsid w:val="007A1F19"/>
    <w:rsid w:val="007A3F46"/>
    <w:rsid w:val="007A4AB6"/>
    <w:rsid w:val="007A5083"/>
    <w:rsid w:val="007A591B"/>
    <w:rsid w:val="007A5EB7"/>
    <w:rsid w:val="007A6A3D"/>
    <w:rsid w:val="007A6ADE"/>
    <w:rsid w:val="007A7056"/>
    <w:rsid w:val="007B0BC1"/>
    <w:rsid w:val="007B1CAA"/>
    <w:rsid w:val="007B2A24"/>
    <w:rsid w:val="007B31A8"/>
    <w:rsid w:val="007B3E97"/>
    <w:rsid w:val="007B5C28"/>
    <w:rsid w:val="007B6ED4"/>
    <w:rsid w:val="007B70C9"/>
    <w:rsid w:val="007B7DAF"/>
    <w:rsid w:val="007C0043"/>
    <w:rsid w:val="007C15B5"/>
    <w:rsid w:val="007C1C6B"/>
    <w:rsid w:val="007C1CE7"/>
    <w:rsid w:val="007C2BCE"/>
    <w:rsid w:val="007C35B9"/>
    <w:rsid w:val="007C3648"/>
    <w:rsid w:val="007C40FA"/>
    <w:rsid w:val="007C43A8"/>
    <w:rsid w:val="007C487A"/>
    <w:rsid w:val="007C4CBA"/>
    <w:rsid w:val="007C5F7B"/>
    <w:rsid w:val="007C7BB9"/>
    <w:rsid w:val="007D07D0"/>
    <w:rsid w:val="007D14E6"/>
    <w:rsid w:val="007D1579"/>
    <w:rsid w:val="007D18AD"/>
    <w:rsid w:val="007D1925"/>
    <w:rsid w:val="007D51B0"/>
    <w:rsid w:val="007D5472"/>
    <w:rsid w:val="007D62D4"/>
    <w:rsid w:val="007D7AB7"/>
    <w:rsid w:val="007D7E41"/>
    <w:rsid w:val="007E0358"/>
    <w:rsid w:val="007E0CDD"/>
    <w:rsid w:val="007E1ADB"/>
    <w:rsid w:val="007E1B56"/>
    <w:rsid w:val="007E2374"/>
    <w:rsid w:val="007E3A7C"/>
    <w:rsid w:val="007E4B1F"/>
    <w:rsid w:val="007E4D57"/>
    <w:rsid w:val="007E5984"/>
    <w:rsid w:val="007E5D0D"/>
    <w:rsid w:val="007E5DA8"/>
    <w:rsid w:val="007E66C6"/>
    <w:rsid w:val="007E6959"/>
    <w:rsid w:val="007E6AE3"/>
    <w:rsid w:val="007E6B2D"/>
    <w:rsid w:val="007E7537"/>
    <w:rsid w:val="007E78AD"/>
    <w:rsid w:val="007F12D9"/>
    <w:rsid w:val="007F1A6A"/>
    <w:rsid w:val="007F262C"/>
    <w:rsid w:val="007F3B2A"/>
    <w:rsid w:val="007F3B71"/>
    <w:rsid w:val="007F485A"/>
    <w:rsid w:val="007F49F0"/>
    <w:rsid w:val="007F4ABE"/>
    <w:rsid w:val="007F536E"/>
    <w:rsid w:val="007F5A96"/>
    <w:rsid w:val="00800F1D"/>
    <w:rsid w:val="008017F6"/>
    <w:rsid w:val="00801EC0"/>
    <w:rsid w:val="008021AD"/>
    <w:rsid w:val="00802C91"/>
    <w:rsid w:val="008033B7"/>
    <w:rsid w:val="0080412E"/>
    <w:rsid w:val="0080481B"/>
    <w:rsid w:val="008048ED"/>
    <w:rsid w:val="0080582C"/>
    <w:rsid w:val="00806CEE"/>
    <w:rsid w:val="008113EE"/>
    <w:rsid w:val="00811C92"/>
    <w:rsid w:val="0081328F"/>
    <w:rsid w:val="00813A14"/>
    <w:rsid w:val="008142D1"/>
    <w:rsid w:val="00814D32"/>
    <w:rsid w:val="0081788D"/>
    <w:rsid w:val="00817A8B"/>
    <w:rsid w:val="00817BBB"/>
    <w:rsid w:val="008230BB"/>
    <w:rsid w:val="00823896"/>
    <w:rsid w:val="00823C9D"/>
    <w:rsid w:val="00823E50"/>
    <w:rsid w:val="00825341"/>
    <w:rsid w:val="00826456"/>
    <w:rsid w:val="0082766E"/>
    <w:rsid w:val="00827720"/>
    <w:rsid w:val="008279CE"/>
    <w:rsid w:val="00827C48"/>
    <w:rsid w:val="0083035F"/>
    <w:rsid w:val="00830809"/>
    <w:rsid w:val="00830DF8"/>
    <w:rsid w:val="00831EE6"/>
    <w:rsid w:val="008327B2"/>
    <w:rsid w:val="00834AB2"/>
    <w:rsid w:val="00834BAA"/>
    <w:rsid w:val="0083526E"/>
    <w:rsid w:val="008370DD"/>
    <w:rsid w:val="00837B11"/>
    <w:rsid w:val="00840D14"/>
    <w:rsid w:val="0084121A"/>
    <w:rsid w:val="0084312C"/>
    <w:rsid w:val="00843A27"/>
    <w:rsid w:val="008449F8"/>
    <w:rsid w:val="00845250"/>
    <w:rsid w:val="00845C59"/>
    <w:rsid w:val="00846222"/>
    <w:rsid w:val="00847A4F"/>
    <w:rsid w:val="00851AE2"/>
    <w:rsid w:val="00852045"/>
    <w:rsid w:val="00853F35"/>
    <w:rsid w:val="008548BC"/>
    <w:rsid w:val="00854DC5"/>
    <w:rsid w:val="00855054"/>
    <w:rsid w:val="00856549"/>
    <w:rsid w:val="0085687D"/>
    <w:rsid w:val="008568A5"/>
    <w:rsid w:val="008574A1"/>
    <w:rsid w:val="00857908"/>
    <w:rsid w:val="00857A4D"/>
    <w:rsid w:val="00857CE1"/>
    <w:rsid w:val="0086056A"/>
    <w:rsid w:val="00862630"/>
    <w:rsid w:val="00862FFF"/>
    <w:rsid w:val="00864659"/>
    <w:rsid w:val="00865045"/>
    <w:rsid w:val="00865085"/>
    <w:rsid w:val="00866172"/>
    <w:rsid w:val="00866691"/>
    <w:rsid w:val="008668D9"/>
    <w:rsid w:val="0086699E"/>
    <w:rsid w:val="00870059"/>
    <w:rsid w:val="00871A42"/>
    <w:rsid w:val="008723C6"/>
    <w:rsid w:val="00872AE6"/>
    <w:rsid w:val="00872D6B"/>
    <w:rsid w:val="00873696"/>
    <w:rsid w:val="00873897"/>
    <w:rsid w:val="0087411C"/>
    <w:rsid w:val="0087436F"/>
    <w:rsid w:val="00874474"/>
    <w:rsid w:val="008769F5"/>
    <w:rsid w:val="00877AAD"/>
    <w:rsid w:val="00877C69"/>
    <w:rsid w:val="008805AD"/>
    <w:rsid w:val="008810A9"/>
    <w:rsid w:val="008824F1"/>
    <w:rsid w:val="008826F6"/>
    <w:rsid w:val="008828B0"/>
    <w:rsid w:val="008828C5"/>
    <w:rsid w:val="008874F4"/>
    <w:rsid w:val="00887CCB"/>
    <w:rsid w:val="00887EC9"/>
    <w:rsid w:val="0089052B"/>
    <w:rsid w:val="0089260A"/>
    <w:rsid w:val="00894FB8"/>
    <w:rsid w:val="00895BBC"/>
    <w:rsid w:val="00896033"/>
    <w:rsid w:val="00896304"/>
    <w:rsid w:val="00897F4F"/>
    <w:rsid w:val="008A02CD"/>
    <w:rsid w:val="008A1565"/>
    <w:rsid w:val="008A3C1E"/>
    <w:rsid w:val="008A45D6"/>
    <w:rsid w:val="008A51F8"/>
    <w:rsid w:val="008A54DF"/>
    <w:rsid w:val="008A6982"/>
    <w:rsid w:val="008A76D7"/>
    <w:rsid w:val="008A76FC"/>
    <w:rsid w:val="008B10AE"/>
    <w:rsid w:val="008B1540"/>
    <w:rsid w:val="008B3649"/>
    <w:rsid w:val="008B39D8"/>
    <w:rsid w:val="008B427A"/>
    <w:rsid w:val="008B45C2"/>
    <w:rsid w:val="008B47E9"/>
    <w:rsid w:val="008B5077"/>
    <w:rsid w:val="008C1278"/>
    <w:rsid w:val="008C21A6"/>
    <w:rsid w:val="008C2AA7"/>
    <w:rsid w:val="008C5E54"/>
    <w:rsid w:val="008C7380"/>
    <w:rsid w:val="008C7DA5"/>
    <w:rsid w:val="008D0F80"/>
    <w:rsid w:val="008D2637"/>
    <w:rsid w:val="008D3A18"/>
    <w:rsid w:val="008D5582"/>
    <w:rsid w:val="008D717B"/>
    <w:rsid w:val="008D7B5F"/>
    <w:rsid w:val="008D7F17"/>
    <w:rsid w:val="008E0599"/>
    <w:rsid w:val="008E079D"/>
    <w:rsid w:val="008E09CE"/>
    <w:rsid w:val="008E208D"/>
    <w:rsid w:val="008E30B6"/>
    <w:rsid w:val="008E3532"/>
    <w:rsid w:val="008E44AF"/>
    <w:rsid w:val="008E5ED5"/>
    <w:rsid w:val="008E6265"/>
    <w:rsid w:val="008E6827"/>
    <w:rsid w:val="008E6983"/>
    <w:rsid w:val="008E6F4B"/>
    <w:rsid w:val="008E7CD0"/>
    <w:rsid w:val="008F0719"/>
    <w:rsid w:val="008F1CEA"/>
    <w:rsid w:val="008F3977"/>
    <w:rsid w:val="008F3EB4"/>
    <w:rsid w:val="008F509A"/>
    <w:rsid w:val="008F75B2"/>
    <w:rsid w:val="00901AE5"/>
    <w:rsid w:val="00901B7F"/>
    <w:rsid w:val="0090355A"/>
    <w:rsid w:val="00903572"/>
    <w:rsid w:val="00903A3B"/>
    <w:rsid w:val="009048B7"/>
    <w:rsid w:val="00906633"/>
    <w:rsid w:val="00907923"/>
    <w:rsid w:val="00911FA9"/>
    <w:rsid w:val="00912239"/>
    <w:rsid w:val="00913A8C"/>
    <w:rsid w:val="0092036B"/>
    <w:rsid w:val="00920A08"/>
    <w:rsid w:val="00920B4C"/>
    <w:rsid w:val="0092291D"/>
    <w:rsid w:val="00923889"/>
    <w:rsid w:val="00924E44"/>
    <w:rsid w:val="00926601"/>
    <w:rsid w:val="00926AD3"/>
    <w:rsid w:val="00926C58"/>
    <w:rsid w:val="00926F46"/>
    <w:rsid w:val="00930A37"/>
    <w:rsid w:val="00930A6B"/>
    <w:rsid w:val="00931D74"/>
    <w:rsid w:val="00933B03"/>
    <w:rsid w:val="00933EB8"/>
    <w:rsid w:val="00935D0E"/>
    <w:rsid w:val="0093779B"/>
    <w:rsid w:val="009400F0"/>
    <w:rsid w:val="00940BCD"/>
    <w:rsid w:val="009418CF"/>
    <w:rsid w:val="0094237D"/>
    <w:rsid w:val="00943F7B"/>
    <w:rsid w:val="00945AE5"/>
    <w:rsid w:val="00952C36"/>
    <w:rsid w:val="00953293"/>
    <w:rsid w:val="00953D87"/>
    <w:rsid w:val="00953EAC"/>
    <w:rsid w:val="009548D0"/>
    <w:rsid w:val="00954A02"/>
    <w:rsid w:val="00954F5A"/>
    <w:rsid w:val="00955EC7"/>
    <w:rsid w:val="00956183"/>
    <w:rsid w:val="00960149"/>
    <w:rsid w:val="00960AB2"/>
    <w:rsid w:val="00960BAC"/>
    <w:rsid w:val="00963B11"/>
    <w:rsid w:val="00964672"/>
    <w:rsid w:val="00966665"/>
    <w:rsid w:val="00966BEE"/>
    <w:rsid w:val="00966CF0"/>
    <w:rsid w:val="00967315"/>
    <w:rsid w:val="009711A8"/>
    <w:rsid w:val="0097187C"/>
    <w:rsid w:val="0097287B"/>
    <w:rsid w:val="00973212"/>
    <w:rsid w:val="00973423"/>
    <w:rsid w:val="00973A6F"/>
    <w:rsid w:val="00974833"/>
    <w:rsid w:val="00975E76"/>
    <w:rsid w:val="00976B41"/>
    <w:rsid w:val="00976DB5"/>
    <w:rsid w:val="00976E15"/>
    <w:rsid w:val="00980960"/>
    <w:rsid w:val="00981C54"/>
    <w:rsid w:val="009837C0"/>
    <w:rsid w:val="0098384A"/>
    <w:rsid w:val="00983DE4"/>
    <w:rsid w:val="009840CD"/>
    <w:rsid w:val="00984232"/>
    <w:rsid w:val="00986452"/>
    <w:rsid w:val="00993AF1"/>
    <w:rsid w:val="00995634"/>
    <w:rsid w:val="009A05F3"/>
    <w:rsid w:val="009A1D23"/>
    <w:rsid w:val="009A1FEE"/>
    <w:rsid w:val="009A2371"/>
    <w:rsid w:val="009A3788"/>
    <w:rsid w:val="009A408F"/>
    <w:rsid w:val="009A509D"/>
    <w:rsid w:val="009A513F"/>
    <w:rsid w:val="009A53CD"/>
    <w:rsid w:val="009A65E0"/>
    <w:rsid w:val="009A71BC"/>
    <w:rsid w:val="009A72C2"/>
    <w:rsid w:val="009B1095"/>
    <w:rsid w:val="009B17A1"/>
    <w:rsid w:val="009B2254"/>
    <w:rsid w:val="009B269C"/>
    <w:rsid w:val="009B38F6"/>
    <w:rsid w:val="009B4C1E"/>
    <w:rsid w:val="009B509A"/>
    <w:rsid w:val="009B55E8"/>
    <w:rsid w:val="009B6AAD"/>
    <w:rsid w:val="009B7141"/>
    <w:rsid w:val="009B7F0C"/>
    <w:rsid w:val="009C0334"/>
    <w:rsid w:val="009C11E8"/>
    <w:rsid w:val="009C163A"/>
    <w:rsid w:val="009C17CB"/>
    <w:rsid w:val="009C1956"/>
    <w:rsid w:val="009C1F8A"/>
    <w:rsid w:val="009C26C4"/>
    <w:rsid w:val="009C35E6"/>
    <w:rsid w:val="009C52D6"/>
    <w:rsid w:val="009C5483"/>
    <w:rsid w:val="009C5D13"/>
    <w:rsid w:val="009C6E61"/>
    <w:rsid w:val="009D0AAB"/>
    <w:rsid w:val="009D3C6A"/>
    <w:rsid w:val="009D3F4F"/>
    <w:rsid w:val="009D6D14"/>
    <w:rsid w:val="009D6DAB"/>
    <w:rsid w:val="009D7571"/>
    <w:rsid w:val="009D7C5D"/>
    <w:rsid w:val="009E03C0"/>
    <w:rsid w:val="009E2292"/>
    <w:rsid w:val="009E3071"/>
    <w:rsid w:val="009E4D5F"/>
    <w:rsid w:val="009E4FCC"/>
    <w:rsid w:val="009E547C"/>
    <w:rsid w:val="009E5E01"/>
    <w:rsid w:val="009F2A02"/>
    <w:rsid w:val="009F3580"/>
    <w:rsid w:val="009F3AA9"/>
    <w:rsid w:val="009F3AD2"/>
    <w:rsid w:val="009F4509"/>
    <w:rsid w:val="009F7787"/>
    <w:rsid w:val="00A01FB1"/>
    <w:rsid w:val="00A028E6"/>
    <w:rsid w:val="00A0300B"/>
    <w:rsid w:val="00A03CA5"/>
    <w:rsid w:val="00A04910"/>
    <w:rsid w:val="00A05156"/>
    <w:rsid w:val="00A054A8"/>
    <w:rsid w:val="00A0578D"/>
    <w:rsid w:val="00A05B83"/>
    <w:rsid w:val="00A060AE"/>
    <w:rsid w:val="00A075A6"/>
    <w:rsid w:val="00A10DC7"/>
    <w:rsid w:val="00A133DE"/>
    <w:rsid w:val="00A14818"/>
    <w:rsid w:val="00A1518A"/>
    <w:rsid w:val="00A15333"/>
    <w:rsid w:val="00A15703"/>
    <w:rsid w:val="00A177E5"/>
    <w:rsid w:val="00A17AE6"/>
    <w:rsid w:val="00A21039"/>
    <w:rsid w:val="00A21669"/>
    <w:rsid w:val="00A21E4C"/>
    <w:rsid w:val="00A228D2"/>
    <w:rsid w:val="00A2307C"/>
    <w:rsid w:val="00A235B9"/>
    <w:rsid w:val="00A248FD"/>
    <w:rsid w:val="00A261BA"/>
    <w:rsid w:val="00A270E0"/>
    <w:rsid w:val="00A2796F"/>
    <w:rsid w:val="00A30BDF"/>
    <w:rsid w:val="00A30D6B"/>
    <w:rsid w:val="00A34440"/>
    <w:rsid w:val="00A3491B"/>
    <w:rsid w:val="00A34EC3"/>
    <w:rsid w:val="00A35199"/>
    <w:rsid w:val="00A35EB9"/>
    <w:rsid w:val="00A36140"/>
    <w:rsid w:val="00A36944"/>
    <w:rsid w:val="00A36BF6"/>
    <w:rsid w:val="00A376DC"/>
    <w:rsid w:val="00A40C8E"/>
    <w:rsid w:val="00A41447"/>
    <w:rsid w:val="00A41510"/>
    <w:rsid w:val="00A42531"/>
    <w:rsid w:val="00A43116"/>
    <w:rsid w:val="00A43926"/>
    <w:rsid w:val="00A44585"/>
    <w:rsid w:val="00A447A5"/>
    <w:rsid w:val="00A447B1"/>
    <w:rsid w:val="00A45075"/>
    <w:rsid w:val="00A4543A"/>
    <w:rsid w:val="00A4573A"/>
    <w:rsid w:val="00A47B38"/>
    <w:rsid w:val="00A502CE"/>
    <w:rsid w:val="00A5159D"/>
    <w:rsid w:val="00A51799"/>
    <w:rsid w:val="00A517E2"/>
    <w:rsid w:val="00A5393A"/>
    <w:rsid w:val="00A53D48"/>
    <w:rsid w:val="00A53D50"/>
    <w:rsid w:val="00A53E09"/>
    <w:rsid w:val="00A53E91"/>
    <w:rsid w:val="00A54838"/>
    <w:rsid w:val="00A55215"/>
    <w:rsid w:val="00A55269"/>
    <w:rsid w:val="00A554E1"/>
    <w:rsid w:val="00A5761C"/>
    <w:rsid w:val="00A62513"/>
    <w:rsid w:val="00A641AB"/>
    <w:rsid w:val="00A643F7"/>
    <w:rsid w:val="00A654E4"/>
    <w:rsid w:val="00A6737C"/>
    <w:rsid w:val="00A67732"/>
    <w:rsid w:val="00A6784B"/>
    <w:rsid w:val="00A67EF7"/>
    <w:rsid w:val="00A7086B"/>
    <w:rsid w:val="00A70CF9"/>
    <w:rsid w:val="00A72BB2"/>
    <w:rsid w:val="00A743ED"/>
    <w:rsid w:val="00A75C06"/>
    <w:rsid w:val="00A75C31"/>
    <w:rsid w:val="00A764AB"/>
    <w:rsid w:val="00A76DC4"/>
    <w:rsid w:val="00A77C24"/>
    <w:rsid w:val="00A8038E"/>
    <w:rsid w:val="00A8091F"/>
    <w:rsid w:val="00A80DDF"/>
    <w:rsid w:val="00A814EF"/>
    <w:rsid w:val="00A81CF3"/>
    <w:rsid w:val="00A82454"/>
    <w:rsid w:val="00A8463D"/>
    <w:rsid w:val="00A84856"/>
    <w:rsid w:val="00A8571B"/>
    <w:rsid w:val="00A86D01"/>
    <w:rsid w:val="00A8725E"/>
    <w:rsid w:val="00A87ACB"/>
    <w:rsid w:val="00A906BB"/>
    <w:rsid w:val="00A91227"/>
    <w:rsid w:val="00A92068"/>
    <w:rsid w:val="00A92210"/>
    <w:rsid w:val="00A92ECF"/>
    <w:rsid w:val="00A95F49"/>
    <w:rsid w:val="00A96354"/>
    <w:rsid w:val="00A96709"/>
    <w:rsid w:val="00A97073"/>
    <w:rsid w:val="00AA1248"/>
    <w:rsid w:val="00AA3C35"/>
    <w:rsid w:val="00AB0D20"/>
    <w:rsid w:val="00AB1A31"/>
    <w:rsid w:val="00AB2113"/>
    <w:rsid w:val="00AB3429"/>
    <w:rsid w:val="00AB4981"/>
    <w:rsid w:val="00AB4DAA"/>
    <w:rsid w:val="00AB6284"/>
    <w:rsid w:val="00AB630E"/>
    <w:rsid w:val="00AB67A2"/>
    <w:rsid w:val="00AC1178"/>
    <w:rsid w:val="00AC3493"/>
    <w:rsid w:val="00AC4E13"/>
    <w:rsid w:val="00AC63C5"/>
    <w:rsid w:val="00AC726A"/>
    <w:rsid w:val="00AC7613"/>
    <w:rsid w:val="00AC7D10"/>
    <w:rsid w:val="00AD02F7"/>
    <w:rsid w:val="00AD0C04"/>
    <w:rsid w:val="00AD0F3E"/>
    <w:rsid w:val="00AD15DB"/>
    <w:rsid w:val="00AD3246"/>
    <w:rsid w:val="00AD3B64"/>
    <w:rsid w:val="00AD5235"/>
    <w:rsid w:val="00AD580E"/>
    <w:rsid w:val="00AD7182"/>
    <w:rsid w:val="00AE0177"/>
    <w:rsid w:val="00AE068E"/>
    <w:rsid w:val="00AE28CA"/>
    <w:rsid w:val="00AE3A4C"/>
    <w:rsid w:val="00AE465B"/>
    <w:rsid w:val="00AE51DE"/>
    <w:rsid w:val="00AE6B1A"/>
    <w:rsid w:val="00AF02E4"/>
    <w:rsid w:val="00AF0A8A"/>
    <w:rsid w:val="00AF150E"/>
    <w:rsid w:val="00AF314D"/>
    <w:rsid w:val="00AF508A"/>
    <w:rsid w:val="00AF52F7"/>
    <w:rsid w:val="00AF7369"/>
    <w:rsid w:val="00B00211"/>
    <w:rsid w:val="00B02ACE"/>
    <w:rsid w:val="00B02C82"/>
    <w:rsid w:val="00B04784"/>
    <w:rsid w:val="00B0566E"/>
    <w:rsid w:val="00B0627D"/>
    <w:rsid w:val="00B068F6"/>
    <w:rsid w:val="00B1093E"/>
    <w:rsid w:val="00B1122F"/>
    <w:rsid w:val="00B11589"/>
    <w:rsid w:val="00B11FD1"/>
    <w:rsid w:val="00B12BDC"/>
    <w:rsid w:val="00B13C14"/>
    <w:rsid w:val="00B1581E"/>
    <w:rsid w:val="00B15CA0"/>
    <w:rsid w:val="00B16A92"/>
    <w:rsid w:val="00B178C6"/>
    <w:rsid w:val="00B17C3C"/>
    <w:rsid w:val="00B17FA8"/>
    <w:rsid w:val="00B20978"/>
    <w:rsid w:val="00B230B6"/>
    <w:rsid w:val="00B23741"/>
    <w:rsid w:val="00B23D4B"/>
    <w:rsid w:val="00B256B6"/>
    <w:rsid w:val="00B257ED"/>
    <w:rsid w:val="00B26433"/>
    <w:rsid w:val="00B27BBD"/>
    <w:rsid w:val="00B30AB0"/>
    <w:rsid w:val="00B30F79"/>
    <w:rsid w:val="00B32788"/>
    <w:rsid w:val="00B33B7B"/>
    <w:rsid w:val="00B35438"/>
    <w:rsid w:val="00B35867"/>
    <w:rsid w:val="00B37CD3"/>
    <w:rsid w:val="00B40E29"/>
    <w:rsid w:val="00B41E1E"/>
    <w:rsid w:val="00B43280"/>
    <w:rsid w:val="00B438DE"/>
    <w:rsid w:val="00B44843"/>
    <w:rsid w:val="00B44C95"/>
    <w:rsid w:val="00B45F36"/>
    <w:rsid w:val="00B4648F"/>
    <w:rsid w:val="00B46544"/>
    <w:rsid w:val="00B50421"/>
    <w:rsid w:val="00B51544"/>
    <w:rsid w:val="00B518B7"/>
    <w:rsid w:val="00B521E5"/>
    <w:rsid w:val="00B53585"/>
    <w:rsid w:val="00B545F9"/>
    <w:rsid w:val="00B55679"/>
    <w:rsid w:val="00B55B33"/>
    <w:rsid w:val="00B57778"/>
    <w:rsid w:val="00B60ED9"/>
    <w:rsid w:val="00B61167"/>
    <w:rsid w:val="00B61D36"/>
    <w:rsid w:val="00B62569"/>
    <w:rsid w:val="00B62864"/>
    <w:rsid w:val="00B662B9"/>
    <w:rsid w:val="00B66AB4"/>
    <w:rsid w:val="00B70F80"/>
    <w:rsid w:val="00B71E1A"/>
    <w:rsid w:val="00B724A9"/>
    <w:rsid w:val="00B725CF"/>
    <w:rsid w:val="00B72B05"/>
    <w:rsid w:val="00B72DE3"/>
    <w:rsid w:val="00B746DB"/>
    <w:rsid w:val="00B7770B"/>
    <w:rsid w:val="00B7790F"/>
    <w:rsid w:val="00B77C8F"/>
    <w:rsid w:val="00B801D3"/>
    <w:rsid w:val="00B81D19"/>
    <w:rsid w:val="00B82507"/>
    <w:rsid w:val="00B829AE"/>
    <w:rsid w:val="00B83CC1"/>
    <w:rsid w:val="00B86C3C"/>
    <w:rsid w:val="00B904E3"/>
    <w:rsid w:val="00B91325"/>
    <w:rsid w:val="00B91B2D"/>
    <w:rsid w:val="00B91FC3"/>
    <w:rsid w:val="00B92F1A"/>
    <w:rsid w:val="00B95317"/>
    <w:rsid w:val="00B95857"/>
    <w:rsid w:val="00B95DB0"/>
    <w:rsid w:val="00B9732B"/>
    <w:rsid w:val="00B97BF0"/>
    <w:rsid w:val="00BA2650"/>
    <w:rsid w:val="00BA3E8C"/>
    <w:rsid w:val="00BA5438"/>
    <w:rsid w:val="00BA6766"/>
    <w:rsid w:val="00BA70A9"/>
    <w:rsid w:val="00BB0094"/>
    <w:rsid w:val="00BB2B73"/>
    <w:rsid w:val="00BB2CCB"/>
    <w:rsid w:val="00BB43E2"/>
    <w:rsid w:val="00BB44B6"/>
    <w:rsid w:val="00BB531D"/>
    <w:rsid w:val="00BB5674"/>
    <w:rsid w:val="00BB7654"/>
    <w:rsid w:val="00BB7AE2"/>
    <w:rsid w:val="00BC0909"/>
    <w:rsid w:val="00BC3EDF"/>
    <w:rsid w:val="00BC46C1"/>
    <w:rsid w:val="00BC46E7"/>
    <w:rsid w:val="00BC4988"/>
    <w:rsid w:val="00BC6E4C"/>
    <w:rsid w:val="00BD3DEE"/>
    <w:rsid w:val="00BD4B70"/>
    <w:rsid w:val="00BD4F24"/>
    <w:rsid w:val="00BD4FB5"/>
    <w:rsid w:val="00BD64D9"/>
    <w:rsid w:val="00BD6ACE"/>
    <w:rsid w:val="00BD6DA9"/>
    <w:rsid w:val="00BD7365"/>
    <w:rsid w:val="00BE1992"/>
    <w:rsid w:val="00BE1CEF"/>
    <w:rsid w:val="00BE4113"/>
    <w:rsid w:val="00BE4D37"/>
    <w:rsid w:val="00BE6A18"/>
    <w:rsid w:val="00BE6EB1"/>
    <w:rsid w:val="00BE73E0"/>
    <w:rsid w:val="00BF041F"/>
    <w:rsid w:val="00BF09A4"/>
    <w:rsid w:val="00BF0A52"/>
    <w:rsid w:val="00BF131C"/>
    <w:rsid w:val="00BF4395"/>
    <w:rsid w:val="00BF4655"/>
    <w:rsid w:val="00BF4C17"/>
    <w:rsid w:val="00C01163"/>
    <w:rsid w:val="00C014AF"/>
    <w:rsid w:val="00C01E09"/>
    <w:rsid w:val="00C03C15"/>
    <w:rsid w:val="00C049F7"/>
    <w:rsid w:val="00C04BE8"/>
    <w:rsid w:val="00C067DC"/>
    <w:rsid w:val="00C07AD3"/>
    <w:rsid w:val="00C10506"/>
    <w:rsid w:val="00C1210D"/>
    <w:rsid w:val="00C122D5"/>
    <w:rsid w:val="00C13504"/>
    <w:rsid w:val="00C150AB"/>
    <w:rsid w:val="00C159F1"/>
    <w:rsid w:val="00C15EBB"/>
    <w:rsid w:val="00C160FF"/>
    <w:rsid w:val="00C16572"/>
    <w:rsid w:val="00C17FED"/>
    <w:rsid w:val="00C20546"/>
    <w:rsid w:val="00C20BD7"/>
    <w:rsid w:val="00C21621"/>
    <w:rsid w:val="00C21BE8"/>
    <w:rsid w:val="00C23E9E"/>
    <w:rsid w:val="00C23FAB"/>
    <w:rsid w:val="00C24661"/>
    <w:rsid w:val="00C270E8"/>
    <w:rsid w:val="00C27402"/>
    <w:rsid w:val="00C278AD"/>
    <w:rsid w:val="00C32CAF"/>
    <w:rsid w:val="00C3560C"/>
    <w:rsid w:val="00C36619"/>
    <w:rsid w:val="00C400AB"/>
    <w:rsid w:val="00C40166"/>
    <w:rsid w:val="00C40496"/>
    <w:rsid w:val="00C404C8"/>
    <w:rsid w:val="00C44CAF"/>
    <w:rsid w:val="00C45786"/>
    <w:rsid w:val="00C46922"/>
    <w:rsid w:val="00C46B1F"/>
    <w:rsid w:val="00C47016"/>
    <w:rsid w:val="00C473D9"/>
    <w:rsid w:val="00C47F27"/>
    <w:rsid w:val="00C51818"/>
    <w:rsid w:val="00C51C4F"/>
    <w:rsid w:val="00C53B81"/>
    <w:rsid w:val="00C57408"/>
    <w:rsid w:val="00C57AC2"/>
    <w:rsid w:val="00C600F6"/>
    <w:rsid w:val="00C60BBB"/>
    <w:rsid w:val="00C627FD"/>
    <w:rsid w:val="00C6293A"/>
    <w:rsid w:val="00C636DE"/>
    <w:rsid w:val="00C63BA0"/>
    <w:rsid w:val="00C63BC1"/>
    <w:rsid w:val="00C65158"/>
    <w:rsid w:val="00C65278"/>
    <w:rsid w:val="00C65917"/>
    <w:rsid w:val="00C66939"/>
    <w:rsid w:val="00C671BD"/>
    <w:rsid w:val="00C67EC6"/>
    <w:rsid w:val="00C67F70"/>
    <w:rsid w:val="00C705CA"/>
    <w:rsid w:val="00C72900"/>
    <w:rsid w:val="00C746B0"/>
    <w:rsid w:val="00C74757"/>
    <w:rsid w:val="00C7625D"/>
    <w:rsid w:val="00C77B36"/>
    <w:rsid w:val="00C801BA"/>
    <w:rsid w:val="00C803DF"/>
    <w:rsid w:val="00C8228D"/>
    <w:rsid w:val="00C82527"/>
    <w:rsid w:val="00C84630"/>
    <w:rsid w:val="00C8469F"/>
    <w:rsid w:val="00C84A5C"/>
    <w:rsid w:val="00C853A9"/>
    <w:rsid w:val="00C86958"/>
    <w:rsid w:val="00C86D14"/>
    <w:rsid w:val="00C87179"/>
    <w:rsid w:val="00C87A24"/>
    <w:rsid w:val="00C87F33"/>
    <w:rsid w:val="00C90BF5"/>
    <w:rsid w:val="00C90EE9"/>
    <w:rsid w:val="00C91038"/>
    <w:rsid w:val="00C92151"/>
    <w:rsid w:val="00C92825"/>
    <w:rsid w:val="00C92AEC"/>
    <w:rsid w:val="00C930B7"/>
    <w:rsid w:val="00C93123"/>
    <w:rsid w:val="00C93388"/>
    <w:rsid w:val="00C94F0C"/>
    <w:rsid w:val="00C95C0A"/>
    <w:rsid w:val="00C95E97"/>
    <w:rsid w:val="00C9795B"/>
    <w:rsid w:val="00C97CB0"/>
    <w:rsid w:val="00CA0404"/>
    <w:rsid w:val="00CA10B1"/>
    <w:rsid w:val="00CA18ED"/>
    <w:rsid w:val="00CA570C"/>
    <w:rsid w:val="00CA611E"/>
    <w:rsid w:val="00CA64B7"/>
    <w:rsid w:val="00CA7FB8"/>
    <w:rsid w:val="00CB1426"/>
    <w:rsid w:val="00CB16D9"/>
    <w:rsid w:val="00CB1EFA"/>
    <w:rsid w:val="00CB2AC2"/>
    <w:rsid w:val="00CB2FB0"/>
    <w:rsid w:val="00CB454D"/>
    <w:rsid w:val="00CB51B5"/>
    <w:rsid w:val="00CB56FC"/>
    <w:rsid w:val="00CB5F7A"/>
    <w:rsid w:val="00CB66DB"/>
    <w:rsid w:val="00CB6825"/>
    <w:rsid w:val="00CB69AF"/>
    <w:rsid w:val="00CB6E9C"/>
    <w:rsid w:val="00CB7C1B"/>
    <w:rsid w:val="00CC058F"/>
    <w:rsid w:val="00CC0E72"/>
    <w:rsid w:val="00CC1EE2"/>
    <w:rsid w:val="00CC42EB"/>
    <w:rsid w:val="00CC4968"/>
    <w:rsid w:val="00CC5246"/>
    <w:rsid w:val="00CC7BF6"/>
    <w:rsid w:val="00CC7CAB"/>
    <w:rsid w:val="00CD2587"/>
    <w:rsid w:val="00CD29EB"/>
    <w:rsid w:val="00CD2B09"/>
    <w:rsid w:val="00CD31C4"/>
    <w:rsid w:val="00CD3E31"/>
    <w:rsid w:val="00CD4912"/>
    <w:rsid w:val="00CD5220"/>
    <w:rsid w:val="00CD5B47"/>
    <w:rsid w:val="00CE0FA6"/>
    <w:rsid w:val="00CE2C8E"/>
    <w:rsid w:val="00CE39FB"/>
    <w:rsid w:val="00CE4D7B"/>
    <w:rsid w:val="00CE5249"/>
    <w:rsid w:val="00CE647C"/>
    <w:rsid w:val="00CE71D3"/>
    <w:rsid w:val="00CE75A1"/>
    <w:rsid w:val="00CE7C97"/>
    <w:rsid w:val="00CE7DF1"/>
    <w:rsid w:val="00CF0D4D"/>
    <w:rsid w:val="00CF1279"/>
    <w:rsid w:val="00CF3F43"/>
    <w:rsid w:val="00CF761A"/>
    <w:rsid w:val="00CF797F"/>
    <w:rsid w:val="00D00676"/>
    <w:rsid w:val="00D03846"/>
    <w:rsid w:val="00D03BE2"/>
    <w:rsid w:val="00D04020"/>
    <w:rsid w:val="00D04D75"/>
    <w:rsid w:val="00D06A34"/>
    <w:rsid w:val="00D103DC"/>
    <w:rsid w:val="00D11AFC"/>
    <w:rsid w:val="00D1485A"/>
    <w:rsid w:val="00D14991"/>
    <w:rsid w:val="00D16362"/>
    <w:rsid w:val="00D16C68"/>
    <w:rsid w:val="00D16D75"/>
    <w:rsid w:val="00D20397"/>
    <w:rsid w:val="00D20C41"/>
    <w:rsid w:val="00D20D06"/>
    <w:rsid w:val="00D21049"/>
    <w:rsid w:val="00D26252"/>
    <w:rsid w:val="00D27EAD"/>
    <w:rsid w:val="00D31319"/>
    <w:rsid w:val="00D31DBA"/>
    <w:rsid w:val="00D3343A"/>
    <w:rsid w:val="00D34290"/>
    <w:rsid w:val="00D34908"/>
    <w:rsid w:val="00D359D4"/>
    <w:rsid w:val="00D35F51"/>
    <w:rsid w:val="00D36ACC"/>
    <w:rsid w:val="00D37962"/>
    <w:rsid w:val="00D379A2"/>
    <w:rsid w:val="00D41DBF"/>
    <w:rsid w:val="00D42410"/>
    <w:rsid w:val="00D43E3B"/>
    <w:rsid w:val="00D47175"/>
    <w:rsid w:val="00D47D3F"/>
    <w:rsid w:val="00D502E2"/>
    <w:rsid w:val="00D52CC1"/>
    <w:rsid w:val="00D53D47"/>
    <w:rsid w:val="00D54E6E"/>
    <w:rsid w:val="00D551B3"/>
    <w:rsid w:val="00D56E26"/>
    <w:rsid w:val="00D57AE7"/>
    <w:rsid w:val="00D600EA"/>
    <w:rsid w:val="00D61993"/>
    <w:rsid w:val="00D61CAC"/>
    <w:rsid w:val="00D61FE2"/>
    <w:rsid w:val="00D634DF"/>
    <w:rsid w:val="00D65E52"/>
    <w:rsid w:val="00D6727C"/>
    <w:rsid w:val="00D67A3E"/>
    <w:rsid w:val="00D67C69"/>
    <w:rsid w:val="00D70157"/>
    <w:rsid w:val="00D704FE"/>
    <w:rsid w:val="00D70C29"/>
    <w:rsid w:val="00D710F7"/>
    <w:rsid w:val="00D73083"/>
    <w:rsid w:val="00D75035"/>
    <w:rsid w:val="00D75FD8"/>
    <w:rsid w:val="00D76F3D"/>
    <w:rsid w:val="00D805AC"/>
    <w:rsid w:val="00D808EC"/>
    <w:rsid w:val="00D81378"/>
    <w:rsid w:val="00D83B30"/>
    <w:rsid w:val="00D841A5"/>
    <w:rsid w:val="00D859D1"/>
    <w:rsid w:val="00D85C2A"/>
    <w:rsid w:val="00D85CAC"/>
    <w:rsid w:val="00D8633D"/>
    <w:rsid w:val="00D863A3"/>
    <w:rsid w:val="00D900AD"/>
    <w:rsid w:val="00D92610"/>
    <w:rsid w:val="00D937F6"/>
    <w:rsid w:val="00D940CE"/>
    <w:rsid w:val="00DA1F15"/>
    <w:rsid w:val="00DA1F6B"/>
    <w:rsid w:val="00DA21D9"/>
    <w:rsid w:val="00DA55DF"/>
    <w:rsid w:val="00DA571C"/>
    <w:rsid w:val="00DA63F0"/>
    <w:rsid w:val="00DA641E"/>
    <w:rsid w:val="00DA7101"/>
    <w:rsid w:val="00DA7458"/>
    <w:rsid w:val="00DB02A8"/>
    <w:rsid w:val="00DB0378"/>
    <w:rsid w:val="00DB06EB"/>
    <w:rsid w:val="00DB0CF3"/>
    <w:rsid w:val="00DB2084"/>
    <w:rsid w:val="00DB2387"/>
    <w:rsid w:val="00DB443F"/>
    <w:rsid w:val="00DB4B49"/>
    <w:rsid w:val="00DB52D9"/>
    <w:rsid w:val="00DC00B1"/>
    <w:rsid w:val="00DC02C4"/>
    <w:rsid w:val="00DC0AB7"/>
    <w:rsid w:val="00DC44F1"/>
    <w:rsid w:val="00DC5BCD"/>
    <w:rsid w:val="00DC5FEC"/>
    <w:rsid w:val="00DC6DB4"/>
    <w:rsid w:val="00DC759D"/>
    <w:rsid w:val="00DD4A35"/>
    <w:rsid w:val="00DD637C"/>
    <w:rsid w:val="00DD765A"/>
    <w:rsid w:val="00DE1A60"/>
    <w:rsid w:val="00DE2255"/>
    <w:rsid w:val="00DE3FAF"/>
    <w:rsid w:val="00DE44ED"/>
    <w:rsid w:val="00DE636D"/>
    <w:rsid w:val="00DE6FDA"/>
    <w:rsid w:val="00DF0C1F"/>
    <w:rsid w:val="00DF1694"/>
    <w:rsid w:val="00DF232B"/>
    <w:rsid w:val="00DF5A6D"/>
    <w:rsid w:val="00DF6CBF"/>
    <w:rsid w:val="00DF793E"/>
    <w:rsid w:val="00E02402"/>
    <w:rsid w:val="00E02EFC"/>
    <w:rsid w:val="00E032ED"/>
    <w:rsid w:val="00E044DE"/>
    <w:rsid w:val="00E04CCB"/>
    <w:rsid w:val="00E066DF"/>
    <w:rsid w:val="00E072ED"/>
    <w:rsid w:val="00E076EA"/>
    <w:rsid w:val="00E1319D"/>
    <w:rsid w:val="00E1346C"/>
    <w:rsid w:val="00E13CBB"/>
    <w:rsid w:val="00E14764"/>
    <w:rsid w:val="00E156E5"/>
    <w:rsid w:val="00E15E8A"/>
    <w:rsid w:val="00E17443"/>
    <w:rsid w:val="00E21131"/>
    <w:rsid w:val="00E2261E"/>
    <w:rsid w:val="00E22BFE"/>
    <w:rsid w:val="00E23027"/>
    <w:rsid w:val="00E24A36"/>
    <w:rsid w:val="00E24C73"/>
    <w:rsid w:val="00E27858"/>
    <w:rsid w:val="00E27B9B"/>
    <w:rsid w:val="00E30B35"/>
    <w:rsid w:val="00E31B14"/>
    <w:rsid w:val="00E32F70"/>
    <w:rsid w:val="00E333CB"/>
    <w:rsid w:val="00E339EC"/>
    <w:rsid w:val="00E34856"/>
    <w:rsid w:val="00E348B7"/>
    <w:rsid w:val="00E34CCE"/>
    <w:rsid w:val="00E34F5B"/>
    <w:rsid w:val="00E3576B"/>
    <w:rsid w:val="00E358ED"/>
    <w:rsid w:val="00E361D9"/>
    <w:rsid w:val="00E366F2"/>
    <w:rsid w:val="00E366FE"/>
    <w:rsid w:val="00E373FD"/>
    <w:rsid w:val="00E37F40"/>
    <w:rsid w:val="00E408D7"/>
    <w:rsid w:val="00E4124D"/>
    <w:rsid w:val="00E41983"/>
    <w:rsid w:val="00E41FAD"/>
    <w:rsid w:val="00E41FDA"/>
    <w:rsid w:val="00E42034"/>
    <w:rsid w:val="00E427F0"/>
    <w:rsid w:val="00E444B4"/>
    <w:rsid w:val="00E45BAB"/>
    <w:rsid w:val="00E478FF"/>
    <w:rsid w:val="00E47D03"/>
    <w:rsid w:val="00E508A7"/>
    <w:rsid w:val="00E52986"/>
    <w:rsid w:val="00E531E5"/>
    <w:rsid w:val="00E5385E"/>
    <w:rsid w:val="00E54623"/>
    <w:rsid w:val="00E55C74"/>
    <w:rsid w:val="00E55F9E"/>
    <w:rsid w:val="00E5706A"/>
    <w:rsid w:val="00E57E1E"/>
    <w:rsid w:val="00E60664"/>
    <w:rsid w:val="00E6100C"/>
    <w:rsid w:val="00E612FE"/>
    <w:rsid w:val="00E61928"/>
    <w:rsid w:val="00E61B53"/>
    <w:rsid w:val="00E61C8C"/>
    <w:rsid w:val="00E6278E"/>
    <w:rsid w:val="00E63A13"/>
    <w:rsid w:val="00E63AE8"/>
    <w:rsid w:val="00E651B3"/>
    <w:rsid w:val="00E65588"/>
    <w:rsid w:val="00E6583F"/>
    <w:rsid w:val="00E65E63"/>
    <w:rsid w:val="00E65F3F"/>
    <w:rsid w:val="00E6664F"/>
    <w:rsid w:val="00E70005"/>
    <w:rsid w:val="00E7015A"/>
    <w:rsid w:val="00E7274A"/>
    <w:rsid w:val="00E72EAA"/>
    <w:rsid w:val="00E73BA6"/>
    <w:rsid w:val="00E74504"/>
    <w:rsid w:val="00E76879"/>
    <w:rsid w:val="00E77D14"/>
    <w:rsid w:val="00E819CD"/>
    <w:rsid w:val="00E8247A"/>
    <w:rsid w:val="00E8335E"/>
    <w:rsid w:val="00E8616F"/>
    <w:rsid w:val="00E868B5"/>
    <w:rsid w:val="00E86FED"/>
    <w:rsid w:val="00E9148F"/>
    <w:rsid w:val="00E9248A"/>
    <w:rsid w:val="00E927C2"/>
    <w:rsid w:val="00E94ED6"/>
    <w:rsid w:val="00E9595F"/>
    <w:rsid w:val="00E95D6F"/>
    <w:rsid w:val="00E95FB2"/>
    <w:rsid w:val="00E964C6"/>
    <w:rsid w:val="00E96F31"/>
    <w:rsid w:val="00E9702E"/>
    <w:rsid w:val="00EA0F88"/>
    <w:rsid w:val="00EA23F8"/>
    <w:rsid w:val="00EA25C2"/>
    <w:rsid w:val="00EA25DC"/>
    <w:rsid w:val="00EA50BA"/>
    <w:rsid w:val="00EA5C95"/>
    <w:rsid w:val="00EA7361"/>
    <w:rsid w:val="00EA7935"/>
    <w:rsid w:val="00EB1DBA"/>
    <w:rsid w:val="00EB33C7"/>
    <w:rsid w:val="00EB5363"/>
    <w:rsid w:val="00EB5967"/>
    <w:rsid w:val="00EB61C4"/>
    <w:rsid w:val="00EB69F7"/>
    <w:rsid w:val="00EC0017"/>
    <w:rsid w:val="00EC1BCB"/>
    <w:rsid w:val="00EC24CC"/>
    <w:rsid w:val="00EC25C4"/>
    <w:rsid w:val="00EC2C2F"/>
    <w:rsid w:val="00EC58F8"/>
    <w:rsid w:val="00EC6640"/>
    <w:rsid w:val="00EC6C7B"/>
    <w:rsid w:val="00EC6EEA"/>
    <w:rsid w:val="00EC722F"/>
    <w:rsid w:val="00EC7B46"/>
    <w:rsid w:val="00ED2D21"/>
    <w:rsid w:val="00ED326B"/>
    <w:rsid w:val="00ED3388"/>
    <w:rsid w:val="00ED411B"/>
    <w:rsid w:val="00ED429D"/>
    <w:rsid w:val="00ED4345"/>
    <w:rsid w:val="00ED44C9"/>
    <w:rsid w:val="00ED4560"/>
    <w:rsid w:val="00ED55B5"/>
    <w:rsid w:val="00ED5C44"/>
    <w:rsid w:val="00ED6119"/>
    <w:rsid w:val="00ED64F2"/>
    <w:rsid w:val="00EE1107"/>
    <w:rsid w:val="00EE2016"/>
    <w:rsid w:val="00EE21AC"/>
    <w:rsid w:val="00EE24CA"/>
    <w:rsid w:val="00EE2935"/>
    <w:rsid w:val="00EE2A71"/>
    <w:rsid w:val="00EE2D0B"/>
    <w:rsid w:val="00EE4397"/>
    <w:rsid w:val="00EE4548"/>
    <w:rsid w:val="00EE4BB3"/>
    <w:rsid w:val="00EF0680"/>
    <w:rsid w:val="00EF1667"/>
    <w:rsid w:val="00EF18F7"/>
    <w:rsid w:val="00EF27C7"/>
    <w:rsid w:val="00EF3A64"/>
    <w:rsid w:val="00EF4983"/>
    <w:rsid w:val="00EF526F"/>
    <w:rsid w:val="00EF738F"/>
    <w:rsid w:val="00F00808"/>
    <w:rsid w:val="00F01100"/>
    <w:rsid w:val="00F019F7"/>
    <w:rsid w:val="00F01AA2"/>
    <w:rsid w:val="00F0200A"/>
    <w:rsid w:val="00F06634"/>
    <w:rsid w:val="00F07345"/>
    <w:rsid w:val="00F07859"/>
    <w:rsid w:val="00F111E3"/>
    <w:rsid w:val="00F12781"/>
    <w:rsid w:val="00F12852"/>
    <w:rsid w:val="00F13745"/>
    <w:rsid w:val="00F13ABE"/>
    <w:rsid w:val="00F153A0"/>
    <w:rsid w:val="00F1566C"/>
    <w:rsid w:val="00F1576A"/>
    <w:rsid w:val="00F15D66"/>
    <w:rsid w:val="00F16340"/>
    <w:rsid w:val="00F16D65"/>
    <w:rsid w:val="00F17207"/>
    <w:rsid w:val="00F209D8"/>
    <w:rsid w:val="00F24021"/>
    <w:rsid w:val="00F24251"/>
    <w:rsid w:val="00F24A01"/>
    <w:rsid w:val="00F25008"/>
    <w:rsid w:val="00F26169"/>
    <w:rsid w:val="00F2762D"/>
    <w:rsid w:val="00F27D35"/>
    <w:rsid w:val="00F306E3"/>
    <w:rsid w:val="00F3089D"/>
    <w:rsid w:val="00F31812"/>
    <w:rsid w:val="00F33A84"/>
    <w:rsid w:val="00F35EA6"/>
    <w:rsid w:val="00F365D8"/>
    <w:rsid w:val="00F366A5"/>
    <w:rsid w:val="00F379D5"/>
    <w:rsid w:val="00F37B03"/>
    <w:rsid w:val="00F37DE9"/>
    <w:rsid w:val="00F4186A"/>
    <w:rsid w:val="00F42279"/>
    <w:rsid w:val="00F42378"/>
    <w:rsid w:val="00F42625"/>
    <w:rsid w:val="00F4326B"/>
    <w:rsid w:val="00F43E61"/>
    <w:rsid w:val="00F455FA"/>
    <w:rsid w:val="00F45654"/>
    <w:rsid w:val="00F46EE9"/>
    <w:rsid w:val="00F4709E"/>
    <w:rsid w:val="00F47DB0"/>
    <w:rsid w:val="00F47F3D"/>
    <w:rsid w:val="00F50AE5"/>
    <w:rsid w:val="00F51B0D"/>
    <w:rsid w:val="00F51CAB"/>
    <w:rsid w:val="00F52AE4"/>
    <w:rsid w:val="00F52C75"/>
    <w:rsid w:val="00F53504"/>
    <w:rsid w:val="00F56940"/>
    <w:rsid w:val="00F60D67"/>
    <w:rsid w:val="00F60E0B"/>
    <w:rsid w:val="00F6158B"/>
    <w:rsid w:val="00F621D0"/>
    <w:rsid w:val="00F638E5"/>
    <w:rsid w:val="00F65429"/>
    <w:rsid w:val="00F65A25"/>
    <w:rsid w:val="00F65BAC"/>
    <w:rsid w:val="00F67572"/>
    <w:rsid w:val="00F712D3"/>
    <w:rsid w:val="00F71ABB"/>
    <w:rsid w:val="00F74A5A"/>
    <w:rsid w:val="00F74CC5"/>
    <w:rsid w:val="00F75866"/>
    <w:rsid w:val="00F76B67"/>
    <w:rsid w:val="00F77A34"/>
    <w:rsid w:val="00F77AEC"/>
    <w:rsid w:val="00F77D54"/>
    <w:rsid w:val="00F81422"/>
    <w:rsid w:val="00F818E6"/>
    <w:rsid w:val="00F825D2"/>
    <w:rsid w:val="00F82F9F"/>
    <w:rsid w:val="00F82FEE"/>
    <w:rsid w:val="00F83414"/>
    <w:rsid w:val="00F84C1E"/>
    <w:rsid w:val="00F85427"/>
    <w:rsid w:val="00F87DDF"/>
    <w:rsid w:val="00F92829"/>
    <w:rsid w:val="00F94798"/>
    <w:rsid w:val="00F95252"/>
    <w:rsid w:val="00F9541F"/>
    <w:rsid w:val="00F959B7"/>
    <w:rsid w:val="00F961BA"/>
    <w:rsid w:val="00F9630B"/>
    <w:rsid w:val="00F96737"/>
    <w:rsid w:val="00F96964"/>
    <w:rsid w:val="00F97139"/>
    <w:rsid w:val="00FA1B51"/>
    <w:rsid w:val="00FA25E1"/>
    <w:rsid w:val="00FA2F18"/>
    <w:rsid w:val="00FA5794"/>
    <w:rsid w:val="00FB2070"/>
    <w:rsid w:val="00FB2216"/>
    <w:rsid w:val="00FB2352"/>
    <w:rsid w:val="00FB341D"/>
    <w:rsid w:val="00FB3BA9"/>
    <w:rsid w:val="00FB4A8B"/>
    <w:rsid w:val="00FB5484"/>
    <w:rsid w:val="00FB5836"/>
    <w:rsid w:val="00FB6194"/>
    <w:rsid w:val="00FB76C6"/>
    <w:rsid w:val="00FB7745"/>
    <w:rsid w:val="00FC078C"/>
    <w:rsid w:val="00FC1789"/>
    <w:rsid w:val="00FC1B83"/>
    <w:rsid w:val="00FC3A99"/>
    <w:rsid w:val="00FC3F29"/>
    <w:rsid w:val="00FC49F0"/>
    <w:rsid w:val="00FC5704"/>
    <w:rsid w:val="00FD037B"/>
    <w:rsid w:val="00FD0B39"/>
    <w:rsid w:val="00FD442D"/>
    <w:rsid w:val="00FD52A3"/>
    <w:rsid w:val="00FD5BD2"/>
    <w:rsid w:val="00FD7DD2"/>
    <w:rsid w:val="00FE09AF"/>
    <w:rsid w:val="00FE2CF3"/>
    <w:rsid w:val="00FE331C"/>
    <w:rsid w:val="00FE43AF"/>
    <w:rsid w:val="00FE6222"/>
    <w:rsid w:val="00FF1281"/>
    <w:rsid w:val="00FF1933"/>
    <w:rsid w:val="00FF26F3"/>
    <w:rsid w:val="00FF3820"/>
    <w:rsid w:val="00FF50E6"/>
    <w:rsid w:val="00FF51C7"/>
    <w:rsid w:val="00FF593B"/>
    <w:rsid w:val="00FF6CCD"/>
    <w:rsid w:val="00FF7503"/>
    <w:rsid w:val="00FF785C"/>
    <w:rsid w:val="7FE57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nhideWhenUsed="0"/>
    <w:lsdException w:name="annotation subject"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pPr>
      <w:keepNext/>
      <w:spacing w:before="240" w:after="60"/>
      <w:outlineLvl w:val="1"/>
    </w:pPr>
    <w:rPr>
      <w:rFonts w:ascii="Calibri Light" w:eastAsia="等线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uiPriority w:val="99"/>
    <w:unhideWhenUsed/>
    <w:rPr>
      <w:color w:val="0000FF"/>
      <w:u w:val="single"/>
    </w:rPr>
  </w:style>
  <w:style w:type="character" w:styleId="a5">
    <w:name w:val="annotation reference"/>
    <w:uiPriority w:val="99"/>
    <w:unhideWhenUsed/>
    <w:rPr>
      <w:sz w:val="16"/>
      <w:szCs w:val="16"/>
    </w:rPr>
  </w:style>
  <w:style w:type="character" w:customStyle="1" w:styleId="UnresolvedMention">
    <w:name w:val="Unresolved Mention"/>
    <w:uiPriority w:val="99"/>
    <w:unhideWhenUsed/>
    <w:rPr>
      <w:color w:val="605E5C"/>
      <w:shd w:val="clear" w:color="auto" w:fill="E1DFDD"/>
    </w:rPr>
  </w:style>
  <w:style w:type="character" w:customStyle="1" w:styleId="jrnl">
    <w:name w:val="jrnl"/>
    <w:basedOn w:val="a0"/>
  </w:style>
  <w:style w:type="character" w:customStyle="1" w:styleId="Char">
    <w:name w:val="批注框文本 Char"/>
    <w:link w:val="a6"/>
    <w:uiPriority w:val="99"/>
    <w:semiHidden/>
    <w:rPr>
      <w:rFonts w:ascii="Tahoma" w:hAnsi="Tahoma"/>
      <w:sz w:val="16"/>
      <w:szCs w:val="18"/>
    </w:rPr>
  </w:style>
  <w:style w:type="character" w:customStyle="1" w:styleId="Char0">
    <w:name w:val="页眉 Char"/>
    <w:link w:val="a7"/>
    <w:uiPriority w:val="99"/>
    <w:rPr>
      <w:sz w:val="18"/>
      <w:szCs w:val="18"/>
    </w:rPr>
  </w:style>
  <w:style w:type="character" w:customStyle="1" w:styleId="apple-converted-space">
    <w:name w:val="apple-converted-space"/>
    <w:basedOn w:val="a0"/>
  </w:style>
  <w:style w:type="character" w:customStyle="1" w:styleId="Char1">
    <w:name w:val="批注文字 Char"/>
    <w:link w:val="a8"/>
    <w:uiPriority w:val="99"/>
    <w:rPr>
      <w:sz w:val="20"/>
      <w:szCs w:val="20"/>
    </w:rPr>
  </w:style>
  <w:style w:type="character" w:customStyle="1" w:styleId="Char2">
    <w:name w:val="页脚 Char"/>
    <w:link w:val="a9"/>
    <w:uiPriority w:val="99"/>
    <w:rPr>
      <w:sz w:val="18"/>
      <w:szCs w:val="18"/>
    </w:rPr>
  </w:style>
  <w:style w:type="character" w:customStyle="1" w:styleId="2Char">
    <w:name w:val="标题 2 Char"/>
    <w:link w:val="2"/>
    <w:uiPriority w:val="9"/>
    <w:semiHidden/>
    <w:rPr>
      <w:rFonts w:ascii="Calibri Light" w:eastAsia="等线 Light" w:hAnsi="Calibri Light" w:cs="Times New Roman"/>
      <w:b/>
      <w:bCs/>
      <w:i/>
      <w:iCs/>
      <w:kern w:val="2"/>
      <w:sz w:val="28"/>
      <w:szCs w:val="28"/>
      <w:lang w:val="en-US"/>
    </w:rPr>
  </w:style>
  <w:style w:type="character" w:customStyle="1" w:styleId="Char3">
    <w:name w:val="批注主题 Char"/>
    <w:link w:val="aa"/>
    <w:uiPriority w:val="99"/>
    <w:semiHidden/>
    <w:rPr>
      <w:b/>
      <w:bCs/>
      <w:sz w:val="20"/>
      <w:szCs w:val="20"/>
    </w:rPr>
  </w:style>
  <w:style w:type="character" w:customStyle="1" w:styleId="highlight">
    <w:name w:val="highlight"/>
    <w:basedOn w:val="a0"/>
  </w:style>
  <w:style w:type="character" w:customStyle="1" w:styleId="textblue">
    <w:name w:val="text_blue"/>
    <w:basedOn w:val="a0"/>
  </w:style>
  <w:style w:type="paragraph" w:styleId="a6">
    <w:name w:val="Balloon Text"/>
    <w:basedOn w:val="a"/>
    <w:link w:val="Char"/>
    <w:uiPriority w:val="99"/>
    <w:unhideWhenUsed/>
    <w:pPr>
      <w:jc w:val="left"/>
    </w:pPr>
    <w:rPr>
      <w:rFonts w:ascii="Tahoma" w:hAnsi="Tahoma"/>
      <w:sz w:val="16"/>
      <w:szCs w:val="18"/>
    </w:rPr>
  </w:style>
  <w:style w:type="paragraph" w:styleId="aa">
    <w:name w:val="annotation subject"/>
    <w:basedOn w:val="a8"/>
    <w:next w:val="a8"/>
    <w:link w:val="Char3"/>
    <w:uiPriority w:val="99"/>
    <w:unhideWhenUsed/>
    <w:rPr>
      <w:b/>
      <w:bCs/>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footer"/>
    <w:basedOn w:val="a"/>
    <w:link w:val="Char2"/>
    <w:uiPriority w:val="99"/>
    <w:unhideWhenUsed/>
    <w:pPr>
      <w:tabs>
        <w:tab w:val="center" w:pos="4153"/>
        <w:tab w:val="right" w:pos="8306"/>
      </w:tabs>
      <w:snapToGrid w:val="0"/>
      <w:jc w:val="left"/>
    </w:pPr>
    <w:rPr>
      <w:sz w:val="18"/>
      <w:szCs w:val="18"/>
    </w:rPr>
  </w:style>
  <w:style w:type="paragraph" w:styleId="a8">
    <w:name w:val="annotation text"/>
    <w:basedOn w:val="a"/>
    <w:link w:val="Char1"/>
    <w:uiPriority w:val="99"/>
    <w:unhideWhenUsed/>
    <w:rPr>
      <w:sz w:val="20"/>
      <w:szCs w:val="20"/>
    </w:rPr>
  </w:style>
  <w:style w:type="paragraph" w:customStyle="1" w:styleId="ListParagraph1">
    <w:name w:val="List Paragraph1"/>
    <w:basedOn w:val="a"/>
    <w:uiPriority w:val="34"/>
    <w:qFormat/>
    <w:pPr>
      <w:ind w:firstLineChars="200" w:firstLine="420"/>
    </w:pPr>
  </w:style>
  <w:style w:type="paragraph" w:customStyle="1" w:styleId="p0">
    <w:name w:val="p0"/>
    <w:basedOn w:val="a"/>
    <w:pPr>
      <w:widowControl/>
    </w:pPr>
    <w:rPr>
      <w:rFonts w:cs="宋体"/>
      <w:kern w:val="0"/>
      <w:szCs w:val="21"/>
    </w:rPr>
  </w:style>
  <w:style w:type="paragraph" w:customStyle="1" w:styleId="Revision1">
    <w:name w:val="Revision1"/>
    <w:uiPriority w:val="99"/>
    <w:semiHidden/>
  </w:style>
  <w:style w:type="table" w:styleId="ac">
    <w:name w:val="Table Grid"/>
    <w:basedOn w:val="a1"/>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
    <w:name w:val="Table Grid Light"/>
    <w:basedOn w:val="a1"/>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rsid w:val="00DE3FAF"/>
    <w:rPr>
      <w:rFonts w:ascii="Book Antiqua" w:hAnsi="Book Antiqua" w:hint="default"/>
      <w:b/>
      <w:bCs/>
      <w:i w:val="0"/>
      <w:iCs w:val="0"/>
      <w:color w:val="000000"/>
      <w:sz w:val="24"/>
      <w:szCs w:val="24"/>
    </w:rPr>
  </w:style>
  <w:style w:type="character" w:customStyle="1" w:styleId="16">
    <w:name w:val="16"/>
    <w:rsid w:val="00DE3FAF"/>
    <w:rPr>
      <w:rFonts w:ascii="Book Antiqua" w:hAnsi="Book Antiqu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nhideWhenUsed="0"/>
    <w:lsdException w:name="annotation subject"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pPr>
      <w:keepNext/>
      <w:spacing w:before="240" w:after="60"/>
      <w:outlineLvl w:val="1"/>
    </w:pPr>
    <w:rPr>
      <w:rFonts w:ascii="Calibri Light" w:eastAsia="等线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uiPriority w:val="99"/>
    <w:unhideWhenUsed/>
    <w:rPr>
      <w:color w:val="0000FF"/>
      <w:u w:val="single"/>
    </w:rPr>
  </w:style>
  <w:style w:type="character" w:styleId="a5">
    <w:name w:val="annotation reference"/>
    <w:uiPriority w:val="99"/>
    <w:unhideWhenUsed/>
    <w:rPr>
      <w:sz w:val="16"/>
      <w:szCs w:val="16"/>
    </w:rPr>
  </w:style>
  <w:style w:type="character" w:customStyle="1" w:styleId="UnresolvedMention">
    <w:name w:val="Unresolved Mention"/>
    <w:uiPriority w:val="99"/>
    <w:unhideWhenUsed/>
    <w:rPr>
      <w:color w:val="605E5C"/>
      <w:shd w:val="clear" w:color="auto" w:fill="E1DFDD"/>
    </w:rPr>
  </w:style>
  <w:style w:type="character" w:customStyle="1" w:styleId="jrnl">
    <w:name w:val="jrnl"/>
    <w:basedOn w:val="a0"/>
  </w:style>
  <w:style w:type="character" w:customStyle="1" w:styleId="Char">
    <w:name w:val="批注框文本 Char"/>
    <w:link w:val="a6"/>
    <w:uiPriority w:val="99"/>
    <w:semiHidden/>
    <w:rPr>
      <w:rFonts w:ascii="Tahoma" w:hAnsi="Tahoma"/>
      <w:sz w:val="16"/>
      <w:szCs w:val="18"/>
    </w:rPr>
  </w:style>
  <w:style w:type="character" w:customStyle="1" w:styleId="Char0">
    <w:name w:val="页眉 Char"/>
    <w:link w:val="a7"/>
    <w:uiPriority w:val="99"/>
    <w:rPr>
      <w:sz w:val="18"/>
      <w:szCs w:val="18"/>
    </w:rPr>
  </w:style>
  <w:style w:type="character" w:customStyle="1" w:styleId="apple-converted-space">
    <w:name w:val="apple-converted-space"/>
    <w:basedOn w:val="a0"/>
  </w:style>
  <w:style w:type="character" w:customStyle="1" w:styleId="Char1">
    <w:name w:val="批注文字 Char"/>
    <w:link w:val="a8"/>
    <w:uiPriority w:val="99"/>
    <w:rPr>
      <w:sz w:val="20"/>
      <w:szCs w:val="20"/>
    </w:rPr>
  </w:style>
  <w:style w:type="character" w:customStyle="1" w:styleId="Char2">
    <w:name w:val="页脚 Char"/>
    <w:link w:val="a9"/>
    <w:uiPriority w:val="99"/>
    <w:rPr>
      <w:sz w:val="18"/>
      <w:szCs w:val="18"/>
    </w:rPr>
  </w:style>
  <w:style w:type="character" w:customStyle="1" w:styleId="2Char">
    <w:name w:val="标题 2 Char"/>
    <w:link w:val="2"/>
    <w:uiPriority w:val="9"/>
    <w:semiHidden/>
    <w:rPr>
      <w:rFonts w:ascii="Calibri Light" w:eastAsia="等线 Light" w:hAnsi="Calibri Light" w:cs="Times New Roman"/>
      <w:b/>
      <w:bCs/>
      <w:i/>
      <w:iCs/>
      <w:kern w:val="2"/>
      <w:sz w:val="28"/>
      <w:szCs w:val="28"/>
      <w:lang w:val="en-US"/>
    </w:rPr>
  </w:style>
  <w:style w:type="character" w:customStyle="1" w:styleId="Char3">
    <w:name w:val="批注主题 Char"/>
    <w:link w:val="aa"/>
    <w:uiPriority w:val="99"/>
    <w:semiHidden/>
    <w:rPr>
      <w:b/>
      <w:bCs/>
      <w:sz w:val="20"/>
      <w:szCs w:val="20"/>
    </w:rPr>
  </w:style>
  <w:style w:type="character" w:customStyle="1" w:styleId="highlight">
    <w:name w:val="highlight"/>
    <w:basedOn w:val="a0"/>
  </w:style>
  <w:style w:type="character" w:customStyle="1" w:styleId="textblue">
    <w:name w:val="text_blue"/>
    <w:basedOn w:val="a0"/>
  </w:style>
  <w:style w:type="paragraph" w:styleId="a6">
    <w:name w:val="Balloon Text"/>
    <w:basedOn w:val="a"/>
    <w:link w:val="Char"/>
    <w:uiPriority w:val="99"/>
    <w:unhideWhenUsed/>
    <w:pPr>
      <w:jc w:val="left"/>
    </w:pPr>
    <w:rPr>
      <w:rFonts w:ascii="Tahoma" w:hAnsi="Tahoma"/>
      <w:sz w:val="16"/>
      <w:szCs w:val="18"/>
    </w:rPr>
  </w:style>
  <w:style w:type="paragraph" w:styleId="aa">
    <w:name w:val="annotation subject"/>
    <w:basedOn w:val="a8"/>
    <w:next w:val="a8"/>
    <w:link w:val="Char3"/>
    <w:uiPriority w:val="99"/>
    <w:unhideWhenUsed/>
    <w:rPr>
      <w:b/>
      <w:bCs/>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footer"/>
    <w:basedOn w:val="a"/>
    <w:link w:val="Char2"/>
    <w:uiPriority w:val="99"/>
    <w:unhideWhenUsed/>
    <w:pPr>
      <w:tabs>
        <w:tab w:val="center" w:pos="4153"/>
        <w:tab w:val="right" w:pos="8306"/>
      </w:tabs>
      <w:snapToGrid w:val="0"/>
      <w:jc w:val="left"/>
    </w:pPr>
    <w:rPr>
      <w:sz w:val="18"/>
      <w:szCs w:val="18"/>
    </w:rPr>
  </w:style>
  <w:style w:type="paragraph" w:styleId="a8">
    <w:name w:val="annotation text"/>
    <w:basedOn w:val="a"/>
    <w:link w:val="Char1"/>
    <w:uiPriority w:val="99"/>
    <w:unhideWhenUsed/>
    <w:rPr>
      <w:sz w:val="20"/>
      <w:szCs w:val="20"/>
    </w:rPr>
  </w:style>
  <w:style w:type="paragraph" w:customStyle="1" w:styleId="ListParagraph1">
    <w:name w:val="List Paragraph1"/>
    <w:basedOn w:val="a"/>
    <w:uiPriority w:val="34"/>
    <w:qFormat/>
    <w:pPr>
      <w:ind w:firstLineChars="200" w:firstLine="420"/>
    </w:pPr>
  </w:style>
  <w:style w:type="paragraph" w:customStyle="1" w:styleId="p0">
    <w:name w:val="p0"/>
    <w:basedOn w:val="a"/>
    <w:pPr>
      <w:widowControl/>
    </w:pPr>
    <w:rPr>
      <w:rFonts w:cs="宋体"/>
      <w:kern w:val="0"/>
      <w:szCs w:val="21"/>
    </w:rPr>
  </w:style>
  <w:style w:type="paragraph" w:customStyle="1" w:styleId="Revision1">
    <w:name w:val="Revision1"/>
    <w:uiPriority w:val="99"/>
    <w:semiHidden/>
  </w:style>
  <w:style w:type="table" w:styleId="ac">
    <w:name w:val="Table Grid"/>
    <w:basedOn w:val="a1"/>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
    <w:name w:val="Table Grid Light"/>
    <w:basedOn w:val="a1"/>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59"/>
    <w:pPr>
      <w:spacing w:after="160" w:line="259"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rsid w:val="00DE3FAF"/>
    <w:rPr>
      <w:rFonts w:ascii="Book Antiqua" w:hAnsi="Book Antiqua" w:hint="default"/>
      <w:b/>
      <w:bCs/>
      <w:i w:val="0"/>
      <w:iCs w:val="0"/>
      <w:color w:val="000000"/>
      <w:sz w:val="24"/>
      <w:szCs w:val="24"/>
    </w:rPr>
  </w:style>
  <w:style w:type="character" w:customStyle="1" w:styleId="16">
    <w:name w:val="16"/>
    <w:rsid w:val="00DE3FAF"/>
    <w:rPr>
      <w:rFonts w:ascii="Book Antiqua" w:hAnsi="Book 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6950">
      <w:bodyDiv w:val="1"/>
      <w:marLeft w:val="0"/>
      <w:marRight w:val="0"/>
      <w:marTop w:val="0"/>
      <w:marBottom w:val="0"/>
      <w:divBdr>
        <w:top w:val="none" w:sz="0" w:space="0" w:color="auto"/>
        <w:left w:val="none" w:sz="0" w:space="0" w:color="auto"/>
        <w:bottom w:val="none" w:sz="0" w:space="0" w:color="auto"/>
        <w:right w:val="none" w:sz="0" w:space="0" w:color="auto"/>
      </w:divBdr>
    </w:div>
    <w:div w:id="182016541">
      <w:bodyDiv w:val="1"/>
      <w:marLeft w:val="0"/>
      <w:marRight w:val="0"/>
      <w:marTop w:val="0"/>
      <w:marBottom w:val="0"/>
      <w:divBdr>
        <w:top w:val="none" w:sz="0" w:space="0" w:color="auto"/>
        <w:left w:val="none" w:sz="0" w:space="0" w:color="auto"/>
        <w:bottom w:val="none" w:sz="0" w:space="0" w:color="auto"/>
        <w:right w:val="none" w:sz="0" w:space="0" w:color="auto"/>
      </w:divBdr>
    </w:div>
    <w:div w:id="506478017">
      <w:bodyDiv w:val="1"/>
      <w:marLeft w:val="0"/>
      <w:marRight w:val="0"/>
      <w:marTop w:val="0"/>
      <w:marBottom w:val="0"/>
      <w:divBdr>
        <w:top w:val="none" w:sz="0" w:space="0" w:color="auto"/>
        <w:left w:val="none" w:sz="0" w:space="0" w:color="auto"/>
        <w:bottom w:val="none" w:sz="0" w:space="0" w:color="auto"/>
        <w:right w:val="none" w:sz="0" w:space="0" w:color="auto"/>
      </w:divBdr>
    </w:div>
    <w:div w:id="668289711">
      <w:bodyDiv w:val="1"/>
      <w:marLeft w:val="0"/>
      <w:marRight w:val="0"/>
      <w:marTop w:val="0"/>
      <w:marBottom w:val="0"/>
      <w:divBdr>
        <w:top w:val="none" w:sz="0" w:space="0" w:color="auto"/>
        <w:left w:val="none" w:sz="0" w:space="0" w:color="auto"/>
        <w:bottom w:val="none" w:sz="0" w:space="0" w:color="auto"/>
        <w:right w:val="none" w:sz="0" w:space="0" w:color="auto"/>
      </w:divBdr>
    </w:div>
    <w:div w:id="1010572307">
      <w:bodyDiv w:val="1"/>
      <w:marLeft w:val="0"/>
      <w:marRight w:val="0"/>
      <w:marTop w:val="0"/>
      <w:marBottom w:val="0"/>
      <w:divBdr>
        <w:top w:val="none" w:sz="0" w:space="0" w:color="auto"/>
        <w:left w:val="none" w:sz="0" w:space="0" w:color="auto"/>
        <w:bottom w:val="none" w:sz="0" w:space="0" w:color="auto"/>
        <w:right w:val="none" w:sz="0" w:space="0" w:color="auto"/>
      </w:divBdr>
    </w:div>
    <w:div w:id="1188058271">
      <w:bodyDiv w:val="1"/>
      <w:marLeft w:val="0"/>
      <w:marRight w:val="0"/>
      <w:marTop w:val="0"/>
      <w:marBottom w:val="0"/>
      <w:divBdr>
        <w:top w:val="none" w:sz="0" w:space="0" w:color="auto"/>
        <w:left w:val="none" w:sz="0" w:space="0" w:color="auto"/>
        <w:bottom w:val="none" w:sz="0" w:space="0" w:color="auto"/>
        <w:right w:val="none" w:sz="0" w:space="0" w:color="auto"/>
      </w:divBdr>
    </w:div>
    <w:div w:id="1473329632">
      <w:bodyDiv w:val="1"/>
      <w:marLeft w:val="0"/>
      <w:marRight w:val="0"/>
      <w:marTop w:val="0"/>
      <w:marBottom w:val="0"/>
      <w:divBdr>
        <w:top w:val="none" w:sz="0" w:space="0" w:color="auto"/>
        <w:left w:val="none" w:sz="0" w:space="0" w:color="auto"/>
        <w:bottom w:val="none" w:sz="0" w:space="0" w:color="auto"/>
        <w:right w:val="none" w:sz="0" w:space="0" w:color="auto"/>
      </w:divBdr>
    </w:div>
    <w:div w:id="2033610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linmiao@njmu.edu.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3E36-AA31-4C25-823F-4A8A6298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25976</Words>
  <Characters>148068</Characters>
  <Application>Microsoft Office Word</Application>
  <DocSecurity>0</DocSecurity>
  <PresentationFormat/>
  <Lines>1233</Lines>
  <Paragraphs>347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current status and trends of liver transplantation for children with biliary atresia in mainland China</vt:lpstr>
    </vt:vector>
  </TitlesOfParts>
  <Company>微软中国</Company>
  <LinksUpToDate>false</LinksUpToDate>
  <CharactersWithSpaces>173697</CharactersWithSpaces>
  <SharedDoc>false</SharedDoc>
  <HLinks>
    <vt:vector size="6" baseType="variant">
      <vt:variant>
        <vt:i4>7274499</vt:i4>
      </vt:variant>
      <vt:variant>
        <vt:i4>0</vt:i4>
      </vt:variant>
      <vt:variant>
        <vt:i4>0</vt:i4>
      </vt:variant>
      <vt:variant>
        <vt:i4>5</vt:i4>
      </vt:variant>
      <vt:variant>
        <vt:lpwstr>mailto:linmiao@njmu.edu.cn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status and trends of liver transplantation for children with biliary atresia in mainland China</dc:title>
  <dc:creator>LQG</dc:creator>
  <cp:lastModifiedBy>liujihong2008@qq.con</cp:lastModifiedBy>
  <cp:revision>4</cp:revision>
  <cp:lastPrinted>2019-12-11T10:11:00Z</cp:lastPrinted>
  <dcterms:created xsi:type="dcterms:W3CDTF">2020-07-22T07:30:00Z</dcterms:created>
  <dcterms:modified xsi:type="dcterms:W3CDTF">2020-07-22T14:36:00Z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