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3F72" w14:textId="67BDFC29" w:rsidR="003C3651" w:rsidRPr="00B747CD" w:rsidRDefault="003C3651" w:rsidP="00B747CD">
      <w:pPr>
        <w:adjustRightInd w:val="0"/>
        <w:snapToGrid w:val="0"/>
        <w:spacing w:after="0" w:line="360" w:lineRule="auto"/>
        <w:jc w:val="both"/>
        <w:rPr>
          <w:rFonts w:ascii="Book Antiqua" w:eastAsia="Times New Roman" w:hAnsi="Book Antiqua" w:cs="Times New Roman"/>
          <w:i/>
          <w:iCs/>
          <w:color w:val="000000" w:themeColor="text1"/>
          <w:sz w:val="24"/>
          <w:szCs w:val="24"/>
          <w:lang w:eastAsia="en-GB"/>
        </w:rPr>
      </w:pPr>
      <w:r w:rsidRPr="00B747CD">
        <w:rPr>
          <w:rFonts w:ascii="Book Antiqua" w:eastAsia="Times New Roman" w:hAnsi="Book Antiqua" w:cs="Times New Roman"/>
          <w:b/>
          <w:bCs/>
          <w:color w:val="000000" w:themeColor="text1"/>
          <w:sz w:val="24"/>
          <w:szCs w:val="24"/>
          <w:lang w:eastAsia="en-GB"/>
        </w:rPr>
        <w:t>Name of Journal:</w:t>
      </w:r>
      <w:r w:rsidRPr="00B747CD">
        <w:rPr>
          <w:rFonts w:ascii="Book Antiqua" w:eastAsia="Times New Roman" w:hAnsi="Book Antiqua" w:cs="Times New Roman"/>
          <w:color w:val="000000" w:themeColor="text1"/>
          <w:sz w:val="24"/>
          <w:szCs w:val="24"/>
          <w:lang w:eastAsia="en-GB"/>
        </w:rPr>
        <w:t xml:space="preserve"> </w:t>
      </w:r>
      <w:r w:rsidRPr="00B747CD">
        <w:rPr>
          <w:rFonts w:ascii="Book Antiqua" w:eastAsia="Times New Roman" w:hAnsi="Book Antiqua" w:cs="Times New Roman"/>
          <w:i/>
          <w:iCs/>
          <w:color w:val="000000" w:themeColor="text1"/>
          <w:sz w:val="24"/>
          <w:szCs w:val="24"/>
          <w:lang w:eastAsia="en-GB"/>
        </w:rPr>
        <w:t xml:space="preserve">World Journal of </w:t>
      </w:r>
      <w:r w:rsidR="00105066" w:rsidRPr="00B747CD">
        <w:rPr>
          <w:rFonts w:ascii="Book Antiqua" w:eastAsia="Times New Roman" w:hAnsi="Book Antiqua" w:cs="Times New Roman"/>
          <w:i/>
          <w:iCs/>
          <w:color w:val="000000" w:themeColor="text1"/>
          <w:sz w:val="24"/>
          <w:szCs w:val="24"/>
          <w:lang w:eastAsia="en-GB"/>
        </w:rPr>
        <w:t>Meta-Analysis</w:t>
      </w:r>
    </w:p>
    <w:p w14:paraId="5480F489" w14:textId="5F4DD211" w:rsidR="003B4C8C" w:rsidRPr="00B747CD" w:rsidRDefault="003C3651" w:rsidP="00B747CD">
      <w:pPr>
        <w:adjustRightInd w:val="0"/>
        <w:snapToGrid w:val="0"/>
        <w:spacing w:after="0" w:line="360" w:lineRule="auto"/>
        <w:jc w:val="both"/>
        <w:rPr>
          <w:rFonts w:ascii="Book Antiqua" w:eastAsia="Times New Roman" w:hAnsi="Book Antiqua" w:cs="Times New Roman"/>
          <w:color w:val="000000" w:themeColor="text1"/>
          <w:sz w:val="24"/>
          <w:szCs w:val="24"/>
          <w:lang w:eastAsia="en-GB"/>
        </w:rPr>
      </w:pPr>
      <w:r w:rsidRPr="00B747CD">
        <w:rPr>
          <w:rFonts w:ascii="Book Antiqua" w:eastAsia="Times New Roman" w:hAnsi="Book Antiqua" w:cs="Times New Roman"/>
          <w:b/>
          <w:bCs/>
          <w:color w:val="000000" w:themeColor="text1"/>
          <w:sz w:val="24"/>
          <w:szCs w:val="24"/>
          <w:lang w:eastAsia="en-GB"/>
        </w:rPr>
        <w:t xml:space="preserve">Manuscript </w:t>
      </w:r>
      <w:r w:rsidR="003B4C8C" w:rsidRPr="00B747CD">
        <w:rPr>
          <w:rFonts w:ascii="Book Antiqua" w:eastAsia="Times New Roman" w:hAnsi="Book Antiqua" w:cs="Times New Roman"/>
          <w:b/>
          <w:bCs/>
          <w:color w:val="000000" w:themeColor="text1"/>
          <w:sz w:val="24"/>
          <w:szCs w:val="24"/>
          <w:lang w:eastAsia="en-GB"/>
        </w:rPr>
        <w:t xml:space="preserve">NO: </w:t>
      </w:r>
      <w:r w:rsidR="007D759C" w:rsidRPr="00B747CD">
        <w:rPr>
          <w:rFonts w:ascii="Book Antiqua" w:eastAsia="Times New Roman" w:hAnsi="Book Antiqua" w:cs="Times New Roman"/>
          <w:color w:val="000000" w:themeColor="text1"/>
          <w:sz w:val="24"/>
          <w:szCs w:val="24"/>
          <w:lang w:eastAsia="en-GB"/>
        </w:rPr>
        <w:t>55078</w:t>
      </w:r>
    </w:p>
    <w:p w14:paraId="6FE6DA9A" w14:textId="32A1F073" w:rsidR="003C3651" w:rsidRPr="00B747CD" w:rsidRDefault="00B744D9" w:rsidP="00B747CD">
      <w:pPr>
        <w:adjustRightInd w:val="0"/>
        <w:snapToGrid w:val="0"/>
        <w:spacing w:after="0" w:line="360" w:lineRule="auto"/>
        <w:jc w:val="both"/>
        <w:rPr>
          <w:rFonts w:ascii="Book Antiqua" w:eastAsia="Times New Roman" w:hAnsi="Book Antiqua" w:cs="Times New Roman"/>
          <w:color w:val="000000" w:themeColor="text1"/>
          <w:sz w:val="24"/>
          <w:szCs w:val="24"/>
          <w:lang w:eastAsia="en-GB"/>
        </w:rPr>
      </w:pPr>
      <w:r w:rsidRPr="00B747CD">
        <w:rPr>
          <w:rFonts w:ascii="Book Antiqua" w:eastAsia="Times New Roman" w:hAnsi="Book Antiqua" w:cs="Times New Roman"/>
          <w:b/>
          <w:bCs/>
          <w:color w:val="000000" w:themeColor="text1"/>
          <w:sz w:val="24"/>
          <w:szCs w:val="24"/>
          <w:lang w:eastAsia="en-GB"/>
        </w:rPr>
        <w:t>Manuscript Type:</w:t>
      </w:r>
      <w:r w:rsidR="003C3651" w:rsidRPr="00B747CD">
        <w:rPr>
          <w:rFonts w:ascii="Book Antiqua" w:eastAsia="Times New Roman" w:hAnsi="Book Antiqua" w:cs="Times New Roman"/>
          <w:color w:val="000000" w:themeColor="text1"/>
          <w:sz w:val="24"/>
          <w:szCs w:val="24"/>
          <w:lang w:eastAsia="en-GB"/>
        </w:rPr>
        <w:t xml:space="preserve"> </w:t>
      </w:r>
      <w:r w:rsidR="0029342D" w:rsidRPr="00B747CD">
        <w:rPr>
          <w:rFonts w:ascii="Book Antiqua" w:eastAsia="Times New Roman" w:hAnsi="Book Antiqua" w:cs="Times New Roman"/>
          <w:color w:val="000000" w:themeColor="text1"/>
          <w:sz w:val="24"/>
          <w:szCs w:val="24"/>
          <w:lang w:eastAsia="en-GB"/>
        </w:rPr>
        <w:t>MINIREVIEWS</w:t>
      </w:r>
    </w:p>
    <w:p w14:paraId="645C2BB4" w14:textId="77777777" w:rsidR="003C3651" w:rsidRPr="00B747CD" w:rsidRDefault="003C3651" w:rsidP="00B747CD">
      <w:pPr>
        <w:pStyle w:val="a3"/>
        <w:adjustRightInd w:val="0"/>
        <w:snapToGrid w:val="0"/>
        <w:spacing w:line="360" w:lineRule="auto"/>
        <w:contextualSpacing w:val="0"/>
        <w:jc w:val="both"/>
        <w:rPr>
          <w:rFonts w:ascii="Book Antiqua" w:hAnsi="Book Antiqua" w:cs="Arial"/>
          <w:b/>
          <w:color w:val="000000" w:themeColor="text1"/>
          <w:spacing w:val="0"/>
          <w:kern w:val="0"/>
          <w:sz w:val="24"/>
          <w:szCs w:val="24"/>
        </w:rPr>
      </w:pPr>
    </w:p>
    <w:p w14:paraId="7B2FEB35" w14:textId="2244B34C" w:rsidR="0089274F" w:rsidRPr="00B747CD" w:rsidRDefault="0089274F" w:rsidP="00B747CD">
      <w:pPr>
        <w:pStyle w:val="a3"/>
        <w:adjustRightInd w:val="0"/>
        <w:snapToGrid w:val="0"/>
        <w:spacing w:line="360" w:lineRule="auto"/>
        <w:contextualSpacing w:val="0"/>
        <w:jc w:val="both"/>
        <w:rPr>
          <w:rFonts w:ascii="Book Antiqua" w:hAnsi="Book Antiqua" w:cs="Arial"/>
          <w:b/>
          <w:color w:val="000000" w:themeColor="text1"/>
          <w:spacing w:val="0"/>
          <w:kern w:val="0"/>
          <w:sz w:val="24"/>
          <w:szCs w:val="24"/>
          <w:lang w:eastAsia="zh-CN"/>
        </w:rPr>
      </w:pPr>
      <w:r w:rsidRPr="00B747CD">
        <w:rPr>
          <w:rFonts w:ascii="Book Antiqua" w:hAnsi="Book Antiqua" w:cs="Arial"/>
          <w:b/>
          <w:color w:val="000000" w:themeColor="text1"/>
          <w:spacing w:val="0"/>
          <w:kern w:val="0"/>
          <w:sz w:val="24"/>
          <w:szCs w:val="24"/>
        </w:rPr>
        <w:t>Thrombopoietin</w:t>
      </w:r>
      <w:r w:rsidR="00730817" w:rsidRPr="00B747CD">
        <w:rPr>
          <w:rFonts w:ascii="Book Antiqua" w:hAnsi="Book Antiqua" w:cs="Arial"/>
          <w:b/>
          <w:color w:val="000000" w:themeColor="text1"/>
          <w:spacing w:val="0"/>
          <w:kern w:val="0"/>
          <w:sz w:val="24"/>
          <w:szCs w:val="24"/>
        </w:rPr>
        <w:t>-</w:t>
      </w:r>
      <w:r w:rsidR="0029342D" w:rsidRPr="00B747CD">
        <w:rPr>
          <w:rFonts w:ascii="Book Antiqua" w:hAnsi="Book Antiqua" w:cs="Arial"/>
          <w:b/>
          <w:color w:val="000000" w:themeColor="text1"/>
          <w:spacing w:val="0"/>
          <w:kern w:val="0"/>
          <w:sz w:val="24"/>
          <w:szCs w:val="24"/>
        </w:rPr>
        <w:t>r</w:t>
      </w:r>
      <w:r w:rsidRPr="00B747CD">
        <w:rPr>
          <w:rFonts w:ascii="Book Antiqua" w:hAnsi="Book Antiqua" w:cs="Arial"/>
          <w:b/>
          <w:color w:val="000000" w:themeColor="text1"/>
          <w:spacing w:val="0"/>
          <w:kern w:val="0"/>
          <w:sz w:val="24"/>
          <w:szCs w:val="24"/>
        </w:rPr>
        <w:t xml:space="preserve">eceptor </w:t>
      </w:r>
      <w:r w:rsidR="0029342D" w:rsidRPr="00B747CD">
        <w:rPr>
          <w:rFonts w:ascii="Book Antiqua" w:hAnsi="Book Antiqua" w:cs="Arial"/>
          <w:b/>
          <w:color w:val="000000" w:themeColor="text1"/>
          <w:spacing w:val="0"/>
          <w:kern w:val="0"/>
          <w:sz w:val="24"/>
          <w:szCs w:val="24"/>
        </w:rPr>
        <w:t>a</w:t>
      </w:r>
      <w:r w:rsidRPr="00B747CD">
        <w:rPr>
          <w:rFonts w:ascii="Book Antiqua" w:hAnsi="Book Antiqua" w:cs="Arial"/>
          <w:b/>
          <w:color w:val="000000" w:themeColor="text1"/>
          <w:spacing w:val="0"/>
          <w:kern w:val="0"/>
          <w:sz w:val="24"/>
          <w:szCs w:val="24"/>
        </w:rPr>
        <w:t>gonists in</w:t>
      </w:r>
      <w:r w:rsidR="00105066" w:rsidRPr="00B747CD">
        <w:rPr>
          <w:rFonts w:ascii="Book Antiqua" w:hAnsi="Book Antiqua" w:cs="Arial"/>
          <w:b/>
          <w:color w:val="000000" w:themeColor="text1"/>
          <w:spacing w:val="0"/>
          <w:kern w:val="0"/>
          <w:sz w:val="24"/>
          <w:szCs w:val="24"/>
        </w:rPr>
        <w:t xml:space="preserve"> </w:t>
      </w:r>
      <w:r w:rsidR="0029342D" w:rsidRPr="00B747CD">
        <w:rPr>
          <w:rFonts w:ascii="Book Antiqua" w:hAnsi="Book Antiqua" w:cs="Arial"/>
          <w:b/>
          <w:color w:val="000000" w:themeColor="text1"/>
          <w:spacing w:val="0"/>
          <w:kern w:val="0"/>
          <w:sz w:val="24"/>
          <w:szCs w:val="24"/>
        </w:rPr>
        <w:t>p</w:t>
      </w:r>
      <w:r w:rsidR="00105066" w:rsidRPr="00B747CD">
        <w:rPr>
          <w:rFonts w:ascii="Book Antiqua" w:hAnsi="Book Antiqua" w:cs="Arial"/>
          <w:b/>
          <w:color w:val="000000" w:themeColor="text1"/>
          <w:spacing w:val="0"/>
          <w:kern w:val="0"/>
          <w:sz w:val="24"/>
          <w:szCs w:val="24"/>
        </w:rPr>
        <w:t xml:space="preserve">erioperative </w:t>
      </w:r>
      <w:r w:rsidR="0029342D" w:rsidRPr="00B747CD">
        <w:rPr>
          <w:rFonts w:ascii="Book Antiqua" w:hAnsi="Book Antiqua" w:cs="Arial"/>
          <w:b/>
          <w:color w:val="000000" w:themeColor="text1"/>
          <w:spacing w:val="0"/>
          <w:kern w:val="0"/>
          <w:sz w:val="24"/>
          <w:szCs w:val="24"/>
        </w:rPr>
        <w:t>t</w:t>
      </w:r>
      <w:r w:rsidR="00105066" w:rsidRPr="00B747CD">
        <w:rPr>
          <w:rFonts w:ascii="Book Antiqua" w:hAnsi="Book Antiqua" w:cs="Arial"/>
          <w:b/>
          <w:color w:val="000000" w:themeColor="text1"/>
          <w:spacing w:val="0"/>
          <w:kern w:val="0"/>
          <w:sz w:val="24"/>
          <w:szCs w:val="24"/>
        </w:rPr>
        <w:t xml:space="preserve">reatment </w:t>
      </w:r>
      <w:r w:rsidR="003D3F50" w:rsidRPr="00B747CD">
        <w:rPr>
          <w:rFonts w:ascii="Book Antiqua" w:hAnsi="Book Antiqua" w:cs="Arial"/>
          <w:b/>
          <w:color w:val="000000" w:themeColor="text1"/>
          <w:spacing w:val="0"/>
          <w:kern w:val="0"/>
          <w:sz w:val="24"/>
          <w:szCs w:val="24"/>
        </w:rPr>
        <w:t xml:space="preserve">of </w:t>
      </w:r>
      <w:r w:rsidR="0029342D" w:rsidRPr="00B747CD">
        <w:rPr>
          <w:rFonts w:ascii="Book Antiqua" w:hAnsi="Book Antiqua" w:cs="Arial"/>
          <w:b/>
          <w:color w:val="000000" w:themeColor="text1"/>
          <w:spacing w:val="0"/>
          <w:kern w:val="0"/>
          <w:sz w:val="24"/>
          <w:szCs w:val="24"/>
        </w:rPr>
        <w:t>p</w:t>
      </w:r>
      <w:r w:rsidR="003D3F50" w:rsidRPr="00B747CD">
        <w:rPr>
          <w:rFonts w:ascii="Book Antiqua" w:hAnsi="Book Antiqua" w:cs="Arial"/>
          <w:b/>
          <w:color w:val="000000" w:themeColor="text1"/>
          <w:spacing w:val="0"/>
          <w:kern w:val="0"/>
          <w:sz w:val="24"/>
          <w:szCs w:val="24"/>
        </w:rPr>
        <w:t xml:space="preserve">atients with </w:t>
      </w:r>
      <w:r w:rsidR="0029342D" w:rsidRPr="00B747CD">
        <w:rPr>
          <w:rFonts w:ascii="Book Antiqua" w:hAnsi="Book Antiqua" w:cs="Arial"/>
          <w:b/>
          <w:color w:val="000000" w:themeColor="text1"/>
          <w:spacing w:val="0"/>
          <w:kern w:val="0"/>
          <w:sz w:val="24"/>
          <w:szCs w:val="24"/>
        </w:rPr>
        <w:t>c</w:t>
      </w:r>
      <w:r w:rsidR="003D3F50" w:rsidRPr="00B747CD">
        <w:rPr>
          <w:rFonts w:ascii="Book Antiqua" w:hAnsi="Book Antiqua" w:cs="Arial"/>
          <w:b/>
          <w:color w:val="000000" w:themeColor="text1"/>
          <w:spacing w:val="0"/>
          <w:kern w:val="0"/>
          <w:sz w:val="24"/>
          <w:szCs w:val="24"/>
        </w:rPr>
        <w:t xml:space="preserve">hronic </w:t>
      </w:r>
      <w:r w:rsidR="0029342D" w:rsidRPr="00B747CD">
        <w:rPr>
          <w:rFonts w:ascii="Book Antiqua" w:hAnsi="Book Antiqua" w:cs="Arial"/>
          <w:b/>
          <w:color w:val="000000" w:themeColor="text1"/>
          <w:spacing w:val="0"/>
          <w:kern w:val="0"/>
          <w:sz w:val="24"/>
          <w:szCs w:val="24"/>
        </w:rPr>
        <w:t>l</w:t>
      </w:r>
      <w:r w:rsidR="003D3F50" w:rsidRPr="00B747CD">
        <w:rPr>
          <w:rFonts w:ascii="Book Antiqua" w:hAnsi="Book Antiqua" w:cs="Arial"/>
          <w:b/>
          <w:color w:val="000000" w:themeColor="text1"/>
          <w:spacing w:val="0"/>
          <w:kern w:val="0"/>
          <w:sz w:val="24"/>
          <w:szCs w:val="24"/>
        </w:rPr>
        <w:t xml:space="preserve">iver </w:t>
      </w:r>
      <w:r w:rsidR="0029342D" w:rsidRPr="00B747CD">
        <w:rPr>
          <w:rFonts w:ascii="Book Antiqua" w:hAnsi="Book Antiqua" w:cs="Arial"/>
          <w:b/>
          <w:color w:val="000000" w:themeColor="text1"/>
          <w:spacing w:val="0"/>
          <w:kern w:val="0"/>
          <w:sz w:val="24"/>
          <w:szCs w:val="24"/>
        </w:rPr>
        <w:t>d</w:t>
      </w:r>
      <w:r w:rsidR="003D3F50" w:rsidRPr="00B747CD">
        <w:rPr>
          <w:rFonts w:ascii="Book Antiqua" w:hAnsi="Book Antiqua" w:cs="Arial"/>
          <w:b/>
          <w:color w:val="000000" w:themeColor="text1"/>
          <w:spacing w:val="0"/>
          <w:kern w:val="0"/>
          <w:sz w:val="24"/>
          <w:szCs w:val="24"/>
        </w:rPr>
        <w:t>isease</w:t>
      </w:r>
    </w:p>
    <w:p w14:paraId="7A8A76AA" w14:textId="3A19CA8D" w:rsidR="0089274F" w:rsidRPr="00B747CD" w:rsidRDefault="0089274F" w:rsidP="00B747CD">
      <w:pPr>
        <w:adjustRightInd w:val="0"/>
        <w:snapToGrid w:val="0"/>
        <w:spacing w:after="0" w:line="360" w:lineRule="auto"/>
        <w:jc w:val="both"/>
        <w:rPr>
          <w:rFonts w:ascii="Book Antiqua" w:hAnsi="Book Antiqua" w:cs="Arial"/>
          <w:b/>
          <w:color w:val="000000" w:themeColor="text1"/>
          <w:sz w:val="24"/>
          <w:szCs w:val="24"/>
        </w:rPr>
      </w:pPr>
    </w:p>
    <w:p w14:paraId="0A7C4DDB" w14:textId="15F3334B" w:rsidR="00BB2E0C" w:rsidRPr="00B747CD" w:rsidRDefault="00BB2E0C" w:rsidP="00B747CD">
      <w:pPr>
        <w:adjustRightInd w:val="0"/>
        <w:snapToGrid w:val="0"/>
        <w:spacing w:after="0" w:line="360" w:lineRule="auto"/>
        <w:jc w:val="both"/>
        <w:rPr>
          <w:rFonts w:ascii="Book Antiqua" w:hAnsi="Book Antiqua" w:cs="Arial"/>
          <w:b/>
          <w:color w:val="000000" w:themeColor="text1"/>
          <w:sz w:val="24"/>
          <w:szCs w:val="24"/>
        </w:rPr>
      </w:pPr>
      <w:r w:rsidRPr="00B747CD">
        <w:rPr>
          <w:rFonts w:ascii="Book Antiqua" w:hAnsi="Book Antiqua" w:cs="Arial"/>
          <w:bCs/>
          <w:color w:val="000000" w:themeColor="text1"/>
          <w:sz w:val="24"/>
          <w:szCs w:val="24"/>
        </w:rPr>
        <w:t xml:space="preserve">Qureshi K </w:t>
      </w:r>
      <w:r w:rsidR="00C01CF1" w:rsidRPr="00B747CD">
        <w:rPr>
          <w:rFonts w:ascii="Book Antiqua" w:hAnsi="Book Antiqua" w:cs="Arial"/>
          <w:bCs/>
          <w:i/>
          <w:color w:val="000000" w:themeColor="text1"/>
          <w:sz w:val="24"/>
          <w:szCs w:val="24"/>
          <w:lang w:eastAsia="zh-CN"/>
        </w:rPr>
        <w:t>et al</w:t>
      </w:r>
      <w:r w:rsidRPr="00B747CD">
        <w:rPr>
          <w:rFonts w:ascii="Book Antiqua" w:hAnsi="Book Antiqua" w:cs="Arial"/>
          <w:bCs/>
          <w:color w:val="000000" w:themeColor="text1"/>
          <w:sz w:val="24"/>
          <w:szCs w:val="24"/>
        </w:rPr>
        <w:t>.</w:t>
      </w:r>
      <w:r w:rsidR="00F10A59" w:rsidRPr="00B747CD">
        <w:rPr>
          <w:rFonts w:ascii="Book Antiqua" w:hAnsi="Book Antiqua" w:cs="Arial"/>
          <w:bCs/>
          <w:color w:val="000000" w:themeColor="text1"/>
          <w:sz w:val="24"/>
          <w:szCs w:val="24"/>
        </w:rPr>
        <w:t xml:space="preserve"> </w:t>
      </w:r>
      <w:r w:rsidR="00F10A59" w:rsidRPr="00B747CD">
        <w:rPr>
          <w:rFonts w:ascii="Book Antiqua" w:eastAsia="Times New Roman" w:hAnsi="Book Antiqua" w:cs="Arial"/>
          <w:color w:val="000000" w:themeColor="text1"/>
          <w:sz w:val="24"/>
          <w:szCs w:val="24"/>
        </w:rPr>
        <w:t>TPO-RAs for perioperative treatment in CLD</w:t>
      </w:r>
      <w:r w:rsidRPr="00B747CD">
        <w:rPr>
          <w:rFonts w:ascii="Book Antiqua" w:hAnsi="Book Antiqua" w:cs="Arial"/>
          <w:b/>
          <w:color w:val="000000" w:themeColor="text1"/>
          <w:sz w:val="24"/>
          <w:szCs w:val="24"/>
        </w:rPr>
        <w:t xml:space="preserve"> </w:t>
      </w:r>
    </w:p>
    <w:p w14:paraId="31FD2178" w14:textId="77777777" w:rsidR="00BB2E0C" w:rsidRPr="00B747CD" w:rsidRDefault="00BB2E0C" w:rsidP="00B747CD">
      <w:pPr>
        <w:adjustRightInd w:val="0"/>
        <w:snapToGrid w:val="0"/>
        <w:spacing w:after="0" w:line="360" w:lineRule="auto"/>
        <w:jc w:val="both"/>
        <w:rPr>
          <w:rFonts w:ascii="Book Antiqua" w:hAnsi="Book Antiqua" w:cs="Arial"/>
          <w:b/>
          <w:color w:val="000000" w:themeColor="text1"/>
          <w:sz w:val="24"/>
          <w:szCs w:val="24"/>
        </w:rPr>
      </w:pPr>
    </w:p>
    <w:p w14:paraId="2CF7442E" w14:textId="5222AD08" w:rsidR="0089274F" w:rsidRPr="00B747CD" w:rsidRDefault="003C3651" w:rsidP="00B747CD">
      <w:pPr>
        <w:adjustRightInd w:val="0"/>
        <w:snapToGrid w:val="0"/>
        <w:spacing w:after="0"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Kamran Qureshi, Alan Bonder</w:t>
      </w:r>
    </w:p>
    <w:p w14:paraId="51E90BBD" w14:textId="77777777" w:rsidR="003C3651" w:rsidRPr="00B747CD" w:rsidRDefault="003C3651" w:rsidP="00B747CD">
      <w:pPr>
        <w:adjustRightInd w:val="0"/>
        <w:snapToGrid w:val="0"/>
        <w:spacing w:after="0" w:line="360" w:lineRule="auto"/>
        <w:jc w:val="both"/>
        <w:rPr>
          <w:rFonts w:ascii="Book Antiqua" w:hAnsi="Book Antiqua" w:cs="Arial"/>
          <w:b/>
          <w:color w:val="000000" w:themeColor="text1"/>
          <w:sz w:val="24"/>
          <w:szCs w:val="24"/>
        </w:rPr>
      </w:pPr>
    </w:p>
    <w:p w14:paraId="7098F7D2" w14:textId="5A50751F" w:rsidR="00AB7D0B" w:rsidRPr="00B747CD" w:rsidRDefault="00AB7D0B" w:rsidP="00B747CD">
      <w:pPr>
        <w:adjustRightInd w:val="0"/>
        <w:snapToGrid w:val="0"/>
        <w:spacing w:after="0" w:line="360" w:lineRule="auto"/>
        <w:jc w:val="both"/>
        <w:rPr>
          <w:rFonts w:ascii="Book Antiqua" w:hAnsi="Book Antiqua" w:cs="Arial"/>
          <w:color w:val="000000" w:themeColor="text1"/>
          <w:sz w:val="24"/>
          <w:szCs w:val="24"/>
        </w:rPr>
      </w:pPr>
      <w:r w:rsidRPr="00B747CD">
        <w:rPr>
          <w:rFonts w:ascii="Book Antiqua" w:hAnsi="Book Antiqua" w:cs="Arial"/>
          <w:b/>
          <w:color w:val="000000" w:themeColor="text1"/>
          <w:sz w:val="24"/>
          <w:szCs w:val="24"/>
        </w:rPr>
        <w:t>Kamran Qureshi</w:t>
      </w:r>
      <w:r w:rsidRPr="00B747CD">
        <w:rPr>
          <w:rFonts w:ascii="Book Antiqua" w:hAnsi="Book Antiqua" w:cs="Arial"/>
          <w:b/>
          <w:bCs/>
          <w:color w:val="000000" w:themeColor="text1"/>
          <w:sz w:val="24"/>
          <w:szCs w:val="24"/>
        </w:rPr>
        <w:t>,</w:t>
      </w:r>
      <w:r w:rsidRPr="00B747CD">
        <w:rPr>
          <w:rFonts w:ascii="Book Antiqua" w:hAnsi="Book Antiqua" w:cs="Arial"/>
          <w:color w:val="000000" w:themeColor="text1"/>
          <w:sz w:val="24"/>
          <w:szCs w:val="24"/>
        </w:rPr>
        <w:t xml:space="preserve"> Department of Internal Medicine, Division of Gastroenterology and Hepatology, Saint Louis University School of Medicine, St. Louis, </w:t>
      </w:r>
      <w:r w:rsidR="0029342D" w:rsidRPr="00B747CD">
        <w:rPr>
          <w:rFonts w:ascii="Book Antiqua" w:hAnsi="Book Antiqua" w:cs="Arial"/>
          <w:color w:val="000000" w:themeColor="text1"/>
          <w:sz w:val="24"/>
          <w:szCs w:val="24"/>
        </w:rPr>
        <w:t>MO</w:t>
      </w:r>
      <w:r w:rsidR="00C01CF1" w:rsidRPr="00B747CD">
        <w:rPr>
          <w:rFonts w:ascii="Book Antiqua" w:hAnsi="Book Antiqua" w:cs="Arial"/>
          <w:color w:val="000000" w:themeColor="text1"/>
          <w:sz w:val="24"/>
          <w:szCs w:val="24"/>
          <w:lang w:eastAsia="zh-CN"/>
        </w:rPr>
        <w:t xml:space="preserve"> </w:t>
      </w:r>
      <w:r w:rsidR="00572892" w:rsidRPr="00B747CD">
        <w:rPr>
          <w:rFonts w:ascii="Book Antiqua" w:hAnsi="Book Antiqua" w:cs="Arial"/>
          <w:color w:val="000000" w:themeColor="text1"/>
          <w:sz w:val="24"/>
          <w:szCs w:val="24"/>
        </w:rPr>
        <w:t xml:space="preserve">63104, </w:t>
      </w:r>
      <w:r w:rsidR="000D6328" w:rsidRPr="00B747CD">
        <w:rPr>
          <w:rFonts w:ascii="Book Antiqua" w:hAnsi="Book Antiqua" w:cs="Arial"/>
          <w:color w:val="000000" w:themeColor="text1"/>
          <w:sz w:val="24"/>
          <w:szCs w:val="24"/>
        </w:rPr>
        <w:t>U</w:t>
      </w:r>
      <w:r w:rsidR="0052447F" w:rsidRPr="00B747CD">
        <w:rPr>
          <w:rFonts w:ascii="Book Antiqua" w:hAnsi="Book Antiqua" w:cs="Arial"/>
          <w:color w:val="000000" w:themeColor="text1"/>
          <w:sz w:val="24"/>
          <w:szCs w:val="24"/>
        </w:rPr>
        <w:t>nited States</w:t>
      </w:r>
    </w:p>
    <w:p w14:paraId="33C8F3E9" w14:textId="77777777" w:rsidR="00BB2E0C" w:rsidRPr="00B747CD" w:rsidRDefault="00BB2E0C" w:rsidP="00B747CD">
      <w:pPr>
        <w:adjustRightInd w:val="0"/>
        <w:snapToGrid w:val="0"/>
        <w:spacing w:after="0" w:line="360" w:lineRule="auto"/>
        <w:jc w:val="both"/>
        <w:rPr>
          <w:rFonts w:ascii="Book Antiqua" w:hAnsi="Book Antiqua" w:cs="Arial"/>
          <w:color w:val="000000" w:themeColor="text1"/>
          <w:sz w:val="24"/>
          <w:szCs w:val="24"/>
        </w:rPr>
      </w:pPr>
    </w:p>
    <w:p w14:paraId="24FF6C42" w14:textId="74F2C413" w:rsidR="0089274F" w:rsidRPr="00B747CD" w:rsidRDefault="0089274F" w:rsidP="00B747CD">
      <w:pPr>
        <w:adjustRightInd w:val="0"/>
        <w:snapToGrid w:val="0"/>
        <w:spacing w:after="0" w:line="360" w:lineRule="auto"/>
        <w:jc w:val="both"/>
        <w:rPr>
          <w:rFonts w:ascii="Book Antiqua" w:hAnsi="Book Antiqua" w:cs="Arial"/>
          <w:color w:val="000000" w:themeColor="text1"/>
          <w:sz w:val="24"/>
          <w:szCs w:val="24"/>
        </w:rPr>
      </w:pPr>
      <w:r w:rsidRPr="00B747CD">
        <w:rPr>
          <w:rFonts w:ascii="Book Antiqua" w:hAnsi="Book Antiqua" w:cs="Arial"/>
          <w:b/>
          <w:color w:val="000000" w:themeColor="text1"/>
          <w:sz w:val="24"/>
          <w:szCs w:val="24"/>
        </w:rPr>
        <w:t>Alan Bonder</w:t>
      </w:r>
      <w:r w:rsidRPr="00B747CD">
        <w:rPr>
          <w:rFonts w:ascii="Book Antiqua" w:hAnsi="Book Antiqua" w:cs="Arial"/>
          <w:b/>
          <w:bCs/>
          <w:color w:val="000000" w:themeColor="text1"/>
          <w:sz w:val="24"/>
          <w:szCs w:val="24"/>
        </w:rPr>
        <w:t>,</w:t>
      </w:r>
      <w:r w:rsidRPr="00B747CD">
        <w:rPr>
          <w:rFonts w:ascii="Book Antiqua" w:hAnsi="Book Antiqua" w:cs="Arial"/>
          <w:color w:val="000000" w:themeColor="text1"/>
          <w:sz w:val="24"/>
          <w:szCs w:val="24"/>
        </w:rPr>
        <w:t xml:space="preserve"> Division of Gastroenterology/Liver Center, Beth Israel Deaconess Medical Center, Boston, </w:t>
      </w:r>
      <w:r w:rsidR="0029342D" w:rsidRPr="00B747CD">
        <w:rPr>
          <w:rFonts w:ascii="Book Antiqua" w:hAnsi="Book Antiqua" w:cs="Arial"/>
          <w:color w:val="000000" w:themeColor="text1"/>
          <w:sz w:val="24"/>
          <w:szCs w:val="24"/>
        </w:rPr>
        <w:t>MA</w:t>
      </w:r>
      <w:r w:rsidR="000D6328" w:rsidRPr="00B747CD">
        <w:rPr>
          <w:rFonts w:ascii="Book Antiqua" w:hAnsi="Book Antiqua" w:cs="Arial"/>
          <w:color w:val="000000" w:themeColor="text1"/>
          <w:sz w:val="24"/>
          <w:szCs w:val="24"/>
        </w:rPr>
        <w:t xml:space="preserve"> </w:t>
      </w:r>
      <w:r w:rsidR="00B91161" w:rsidRPr="00B747CD">
        <w:rPr>
          <w:rFonts w:ascii="Book Antiqua" w:hAnsi="Book Antiqua" w:cs="Arial"/>
          <w:color w:val="000000" w:themeColor="text1"/>
          <w:sz w:val="24"/>
          <w:szCs w:val="24"/>
        </w:rPr>
        <w:t xml:space="preserve">02215, </w:t>
      </w:r>
      <w:r w:rsidR="000D6328" w:rsidRPr="00B747CD">
        <w:rPr>
          <w:rFonts w:ascii="Book Antiqua" w:hAnsi="Book Antiqua" w:cs="Arial"/>
          <w:color w:val="000000" w:themeColor="text1"/>
          <w:sz w:val="24"/>
          <w:szCs w:val="24"/>
        </w:rPr>
        <w:t>U</w:t>
      </w:r>
      <w:r w:rsidR="0052447F" w:rsidRPr="00B747CD">
        <w:rPr>
          <w:rFonts w:ascii="Book Antiqua" w:hAnsi="Book Antiqua" w:cs="Arial"/>
          <w:color w:val="000000" w:themeColor="text1"/>
          <w:sz w:val="24"/>
          <w:szCs w:val="24"/>
        </w:rPr>
        <w:t>nited States</w:t>
      </w:r>
    </w:p>
    <w:p w14:paraId="75147727" w14:textId="0AC8D9D1" w:rsidR="00CA7180" w:rsidRPr="00B747CD" w:rsidRDefault="00CA7180" w:rsidP="00B747CD">
      <w:pPr>
        <w:adjustRightInd w:val="0"/>
        <w:snapToGrid w:val="0"/>
        <w:spacing w:after="0" w:line="360" w:lineRule="auto"/>
        <w:jc w:val="both"/>
        <w:rPr>
          <w:rFonts w:ascii="Book Antiqua" w:hAnsi="Book Antiqua" w:cs="Arial"/>
          <w:color w:val="000000" w:themeColor="text1"/>
          <w:sz w:val="24"/>
          <w:szCs w:val="24"/>
        </w:rPr>
      </w:pPr>
    </w:p>
    <w:p w14:paraId="25EAC09E" w14:textId="20590D7B" w:rsidR="00B677AC" w:rsidRPr="00B747CD" w:rsidRDefault="00B677AC" w:rsidP="00B747CD">
      <w:pPr>
        <w:adjustRightInd w:val="0"/>
        <w:snapToGrid w:val="0"/>
        <w:spacing w:after="0" w:line="360" w:lineRule="auto"/>
        <w:jc w:val="both"/>
        <w:rPr>
          <w:rFonts w:ascii="Book Antiqua" w:hAnsi="Book Antiqua" w:cs="Arial"/>
          <w:color w:val="000000" w:themeColor="text1"/>
          <w:sz w:val="24"/>
          <w:szCs w:val="24"/>
        </w:rPr>
      </w:pPr>
      <w:r w:rsidRPr="00B747CD">
        <w:rPr>
          <w:rFonts w:ascii="Book Antiqua" w:hAnsi="Book Antiqua" w:cs="Arial"/>
          <w:b/>
          <w:bCs/>
          <w:color w:val="000000" w:themeColor="text1"/>
          <w:sz w:val="24"/>
          <w:szCs w:val="24"/>
        </w:rPr>
        <w:t>Author contributions:</w:t>
      </w:r>
      <w:r w:rsidRPr="00B747CD">
        <w:rPr>
          <w:rFonts w:ascii="Book Antiqua" w:hAnsi="Book Antiqua" w:cs="Arial"/>
          <w:color w:val="000000" w:themeColor="text1"/>
          <w:sz w:val="24"/>
          <w:szCs w:val="24"/>
        </w:rPr>
        <w:t xml:space="preserve"> Qureshi </w:t>
      </w:r>
      <w:r w:rsidR="0029342D" w:rsidRPr="00B747CD">
        <w:rPr>
          <w:rFonts w:ascii="Book Antiqua" w:hAnsi="Book Antiqua" w:cs="Arial"/>
          <w:color w:val="000000" w:themeColor="text1"/>
          <w:sz w:val="24"/>
          <w:szCs w:val="24"/>
        </w:rPr>
        <w:t xml:space="preserve">K </w:t>
      </w:r>
      <w:r w:rsidRPr="00B747CD">
        <w:rPr>
          <w:rFonts w:ascii="Book Antiqua" w:hAnsi="Book Antiqua" w:cs="Arial"/>
          <w:color w:val="000000" w:themeColor="text1"/>
          <w:sz w:val="24"/>
          <w:szCs w:val="24"/>
        </w:rPr>
        <w:t xml:space="preserve">and Bonder </w:t>
      </w:r>
      <w:r w:rsidR="0029342D" w:rsidRPr="00B747CD">
        <w:rPr>
          <w:rFonts w:ascii="Book Antiqua" w:hAnsi="Book Antiqua" w:cs="Arial"/>
          <w:color w:val="000000" w:themeColor="text1"/>
          <w:sz w:val="24"/>
          <w:szCs w:val="24"/>
        </w:rPr>
        <w:t xml:space="preserve">A </w:t>
      </w:r>
      <w:r w:rsidRPr="00B747CD">
        <w:rPr>
          <w:rFonts w:ascii="Book Antiqua" w:hAnsi="Book Antiqua" w:cs="Arial"/>
          <w:color w:val="000000" w:themeColor="text1"/>
          <w:sz w:val="24"/>
          <w:szCs w:val="24"/>
        </w:rPr>
        <w:t xml:space="preserve">conceived </w:t>
      </w:r>
      <w:r w:rsidR="0029342D" w:rsidRPr="00B747CD">
        <w:rPr>
          <w:rFonts w:ascii="Book Antiqua" w:hAnsi="Book Antiqua" w:cs="Arial"/>
          <w:color w:val="000000" w:themeColor="text1"/>
          <w:sz w:val="24"/>
          <w:szCs w:val="24"/>
        </w:rPr>
        <w:t xml:space="preserve">of </w:t>
      </w:r>
      <w:r w:rsidRPr="00B747CD">
        <w:rPr>
          <w:rFonts w:ascii="Book Antiqua" w:hAnsi="Book Antiqua" w:cs="Arial"/>
          <w:color w:val="000000" w:themeColor="text1"/>
          <w:sz w:val="24"/>
          <w:szCs w:val="24"/>
        </w:rPr>
        <w:t xml:space="preserve">the review, assisted </w:t>
      </w:r>
      <w:r w:rsidR="0029342D" w:rsidRPr="00B747CD">
        <w:rPr>
          <w:rFonts w:ascii="Book Antiqua" w:hAnsi="Book Antiqua" w:cs="Arial"/>
          <w:color w:val="000000" w:themeColor="text1"/>
          <w:sz w:val="24"/>
          <w:szCs w:val="24"/>
        </w:rPr>
        <w:t xml:space="preserve">in </w:t>
      </w:r>
      <w:r w:rsidRPr="00B747CD">
        <w:rPr>
          <w:rFonts w:ascii="Book Antiqua" w:hAnsi="Book Antiqua" w:cs="Arial"/>
          <w:color w:val="000000" w:themeColor="text1"/>
          <w:sz w:val="24"/>
          <w:szCs w:val="24"/>
        </w:rPr>
        <w:t>writing and revising the various drafts of the paper, and agreed on the final version.</w:t>
      </w:r>
    </w:p>
    <w:p w14:paraId="205E7C1C" w14:textId="77777777" w:rsidR="003C3651" w:rsidRPr="00B747CD" w:rsidRDefault="003C3651" w:rsidP="00B747CD">
      <w:pPr>
        <w:adjustRightInd w:val="0"/>
        <w:snapToGrid w:val="0"/>
        <w:spacing w:after="0" w:line="360" w:lineRule="auto"/>
        <w:jc w:val="both"/>
        <w:rPr>
          <w:rFonts w:ascii="Book Antiqua" w:hAnsi="Book Antiqua" w:cs="Arial"/>
          <w:b/>
          <w:bCs/>
          <w:color w:val="000000" w:themeColor="text1"/>
          <w:sz w:val="24"/>
          <w:szCs w:val="24"/>
        </w:rPr>
      </w:pPr>
    </w:p>
    <w:p w14:paraId="4A49B8C2" w14:textId="105DA9AD" w:rsidR="003C3651" w:rsidRPr="00B747CD" w:rsidRDefault="003C3651" w:rsidP="00B747CD">
      <w:pPr>
        <w:adjustRightInd w:val="0"/>
        <w:snapToGrid w:val="0"/>
        <w:spacing w:after="0" w:line="360" w:lineRule="auto"/>
        <w:jc w:val="both"/>
        <w:rPr>
          <w:rFonts w:ascii="Book Antiqua" w:hAnsi="Book Antiqua" w:cs="Arial"/>
          <w:color w:val="000000" w:themeColor="text1"/>
          <w:sz w:val="24"/>
          <w:szCs w:val="24"/>
          <w:lang w:eastAsia="zh-CN"/>
        </w:rPr>
      </w:pPr>
      <w:r w:rsidRPr="00B747CD">
        <w:rPr>
          <w:rFonts w:ascii="Book Antiqua" w:hAnsi="Book Antiqua" w:cs="Arial"/>
          <w:b/>
          <w:bCs/>
          <w:color w:val="000000" w:themeColor="text1"/>
          <w:sz w:val="24"/>
          <w:szCs w:val="24"/>
        </w:rPr>
        <w:t>Corresponding author:</w:t>
      </w:r>
      <w:r w:rsidR="003E4043" w:rsidRPr="00B747CD">
        <w:rPr>
          <w:rFonts w:ascii="Book Antiqua" w:hAnsi="Book Antiqua" w:cs="Arial"/>
          <w:b/>
          <w:bCs/>
          <w:color w:val="000000" w:themeColor="text1"/>
          <w:sz w:val="24"/>
          <w:szCs w:val="24"/>
        </w:rPr>
        <w:t xml:space="preserve"> </w:t>
      </w:r>
      <w:r w:rsidR="0098226D" w:rsidRPr="00B747CD">
        <w:rPr>
          <w:rFonts w:ascii="Book Antiqua" w:hAnsi="Book Antiqua"/>
          <w:b/>
          <w:bCs/>
          <w:color w:val="000000" w:themeColor="text1"/>
          <w:sz w:val="24"/>
          <w:szCs w:val="24"/>
        </w:rPr>
        <w:t>Alan Bonder, MD, Attending Doctor,</w:t>
      </w:r>
      <w:r w:rsidR="0098226D" w:rsidRPr="00B747CD">
        <w:rPr>
          <w:rFonts w:ascii="Book Antiqua" w:hAnsi="Book Antiqua"/>
          <w:color w:val="000000" w:themeColor="text1"/>
          <w:sz w:val="24"/>
          <w:szCs w:val="24"/>
        </w:rPr>
        <w:t xml:space="preserve"> Division of Gastroenterology and Hepatology, Beth Israel Deaconess Medical Center, 110 Francis St. Suite 8E, Boston, MA 02215, United States. </w:t>
      </w:r>
      <w:hyperlink r:id="rId11" w:history="1">
        <w:r w:rsidR="00B747CD" w:rsidRPr="00A304D1">
          <w:rPr>
            <w:rStyle w:val="af3"/>
            <w:rFonts w:ascii="Book Antiqua" w:hAnsi="Book Antiqua"/>
            <w:sz w:val="24"/>
            <w:szCs w:val="24"/>
          </w:rPr>
          <w:t>abonder@bidmc.harvard.edu</w:t>
        </w:r>
      </w:hyperlink>
    </w:p>
    <w:p w14:paraId="393BC7F2" w14:textId="77777777" w:rsidR="00F70EFB" w:rsidRPr="00B747CD" w:rsidRDefault="00F70EFB" w:rsidP="00B747CD">
      <w:pPr>
        <w:adjustRightInd w:val="0"/>
        <w:snapToGrid w:val="0"/>
        <w:spacing w:after="0" w:line="360" w:lineRule="auto"/>
        <w:jc w:val="both"/>
        <w:rPr>
          <w:rFonts w:ascii="Book Antiqua" w:hAnsi="Book Antiqua"/>
          <w:color w:val="000000" w:themeColor="text1"/>
          <w:sz w:val="24"/>
          <w:szCs w:val="24"/>
        </w:rPr>
      </w:pPr>
    </w:p>
    <w:p w14:paraId="457273EB" w14:textId="2203BAC2" w:rsidR="00F70EFB" w:rsidRPr="00B747CD" w:rsidRDefault="00F70EFB" w:rsidP="00B747CD">
      <w:pPr>
        <w:adjustRightInd w:val="0"/>
        <w:snapToGrid w:val="0"/>
        <w:spacing w:after="0" w:line="360" w:lineRule="auto"/>
        <w:jc w:val="both"/>
        <w:rPr>
          <w:rFonts w:ascii="Book Antiqua" w:hAnsi="Book Antiqua"/>
          <w:b/>
          <w:bCs/>
          <w:color w:val="000000" w:themeColor="text1"/>
          <w:sz w:val="24"/>
          <w:szCs w:val="24"/>
          <w:lang w:eastAsia="zh-CN"/>
        </w:rPr>
      </w:pPr>
      <w:r w:rsidRPr="00B747CD">
        <w:rPr>
          <w:rFonts w:ascii="Book Antiqua" w:hAnsi="Book Antiqua"/>
          <w:b/>
          <w:bCs/>
          <w:color w:val="000000" w:themeColor="text1"/>
          <w:sz w:val="24"/>
          <w:szCs w:val="24"/>
        </w:rPr>
        <w:t>Received:</w:t>
      </w:r>
      <w:r w:rsidR="001812C4" w:rsidRPr="00B747CD">
        <w:rPr>
          <w:rFonts w:ascii="Book Antiqua" w:hAnsi="Book Antiqua"/>
          <w:b/>
          <w:bCs/>
          <w:color w:val="000000" w:themeColor="text1"/>
          <w:sz w:val="24"/>
          <w:szCs w:val="24"/>
          <w:lang w:eastAsia="zh-CN"/>
        </w:rPr>
        <w:t xml:space="preserve"> </w:t>
      </w:r>
      <w:r w:rsidR="001812C4" w:rsidRPr="00B747CD">
        <w:rPr>
          <w:rFonts w:ascii="Book Antiqua" w:hAnsi="Book Antiqua"/>
          <w:bCs/>
          <w:color w:val="000000" w:themeColor="text1"/>
          <w:sz w:val="24"/>
          <w:szCs w:val="24"/>
          <w:lang w:eastAsia="zh-CN"/>
        </w:rPr>
        <w:t>March 2, 2020</w:t>
      </w:r>
    </w:p>
    <w:p w14:paraId="52D5D284" w14:textId="18C62857" w:rsidR="00F70EFB" w:rsidRPr="00B747CD" w:rsidRDefault="00F70EFB" w:rsidP="00B747CD">
      <w:pPr>
        <w:adjustRightInd w:val="0"/>
        <w:snapToGrid w:val="0"/>
        <w:spacing w:after="0" w:line="360" w:lineRule="auto"/>
        <w:jc w:val="both"/>
        <w:rPr>
          <w:rFonts w:ascii="Book Antiqua" w:hAnsi="Book Antiqua"/>
          <w:b/>
          <w:bCs/>
          <w:color w:val="000000" w:themeColor="text1"/>
          <w:sz w:val="24"/>
          <w:szCs w:val="24"/>
          <w:lang w:eastAsia="zh-CN"/>
        </w:rPr>
      </w:pPr>
      <w:r w:rsidRPr="00B747CD">
        <w:rPr>
          <w:rFonts w:ascii="Book Antiqua" w:hAnsi="Book Antiqua"/>
          <w:b/>
          <w:bCs/>
          <w:color w:val="000000" w:themeColor="text1"/>
          <w:sz w:val="24"/>
          <w:szCs w:val="24"/>
        </w:rPr>
        <w:t>Revised:</w:t>
      </w:r>
      <w:r w:rsidR="001812C4" w:rsidRPr="00B747CD">
        <w:rPr>
          <w:rFonts w:ascii="Book Antiqua" w:hAnsi="Book Antiqua"/>
          <w:b/>
          <w:bCs/>
          <w:color w:val="000000" w:themeColor="text1"/>
          <w:sz w:val="24"/>
          <w:szCs w:val="24"/>
          <w:lang w:eastAsia="zh-CN"/>
        </w:rPr>
        <w:t xml:space="preserve"> </w:t>
      </w:r>
      <w:r w:rsidR="001812C4" w:rsidRPr="00B747CD">
        <w:rPr>
          <w:rFonts w:ascii="Book Antiqua" w:hAnsi="Book Antiqua"/>
          <w:bCs/>
          <w:color w:val="000000" w:themeColor="text1"/>
          <w:sz w:val="24"/>
          <w:szCs w:val="24"/>
          <w:lang w:eastAsia="zh-CN"/>
        </w:rPr>
        <w:t>May 20, 2020</w:t>
      </w:r>
    </w:p>
    <w:p w14:paraId="6FF9EB1D" w14:textId="12F3B7B1" w:rsidR="00F70EFB" w:rsidRPr="00B747CD" w:rsidRDefault="00F70EFB" w:rsidP="00B747CD">
      <w:pPr>
        <w:adjustRightInd w:val="0"/>
        <w:snapToGrid w:val="0"/>
        <w:spacing w:after="0" w:line="360" w:lineRule="auto"/>
        <w:jc w:val="both"/>
        <w:rPr>
          <w:rFonts w:ascii="Book Antiqua" w:hAnsi="Book Antiqua"/>
          <w:b/>
          <w:bCs/>
          <w:color w:val="000000" w:themeColor="text1"/>
          <w:sz w:val="24"/>
          <w:szCs w:val="24"/>
        </w:rPr>
      </w:pPr>
      <w:r w:rsidRPr="00B747CD">
        <w:rPr>
          <w:rFonts w:ascii="Book Antiqua" w:hAnsi="Book Antiqua"/>
          <w:b/>
          <w:bCs/>
          <w:color w:val="000000" w:themeColor="text1"/>
          <w:sz w:val="24"/>
          <w:szCs w:val="24"/>
        </w:rPr>
        <w:t>Accepted:</w:t>
      </w:r>
      <w:r w:rsidR="0087457A" w:rsidRPr="0087457A">
        <w:t xml:space="preserve"> </w:t>
      </w:r>
      <w:r w:rsidR="0087457A" w:rsidRPr="0087457A">
        <w:rPr>
          <w:rFonts w:ascii="Book Antiqua" w:hAnsi="Book Antiqua"/>
          <w:color w:val="000000" w:themeColor="text1"/>
          <w:sz w:val="24"/>
          <w:szCs w:val="24"/>
        </w:rPr>
        <w:t>June 10, 2020</w:t>
      </w:r>
    </w:p>
    <w:p w14:paraId="3318F6C5" w14:textId="77777777" w:rsidR="001812C4" w:rsidRPr="00B747CD" w:rsidRDefault="00F70EFB" w:rsidP="00B747CD">
      <w:pPr>
        <w:adjustRightInd w:val="0"/>
        <w:snapToGrid w:val="0"/>
        <w:spacing w:after="0" w:line="360" w:lineRule="auto"/>
        <w:jc w:val="both"/>
        <w:rPr>
          <w:rFonts w:ascii="Book Antiqua" w:hAnsi="Book Antiqua" w:cs="Arial"/>
          <w:b/>
          <w:bCs/>
          <w:color w:val="000000" w:themeColor="text1"/>
          <w:sz w:val="24"/>
          <w:szCs w:val="24"/>
          <w:lang w:eastAsia="zh-CN"/>
        </w:rPr>
      </w:pPr>
      <w:r w:rsidRPr="00B747CD">
        <w:rPr>
          <w:rFonts w:ascii="Book Antiqua" w:hAnsi="Book Antiqua"/>
          <w:b/>
          <w:bCs/>
          <w:color w:val="000000" w:themeColor="text1"/>
          <w:sz w:val="24"/>
          <w:szCs w:val="24"/>
        </w:rPr>
        <w:t>Published online:</w:t>
      </w:r>
      <w:r w:rsidR="00730817" w:rsidRPr="00B747CD">
        <w:rPr>
          <w:rFonts w:ascii="Book Antiqua" w:hAnsi="Book Antiqua" w:cs="Arial"/>
          <w:b/>
          <w:bCs/>
          <w:color w:val="000000" w:themeColor="text1"/>
          <w:sz w:val="24"/>
          <w:szCs w:val="24"/>
        </w:rPr>
        <w:br w:type="page"/>
      </w:r>
    </w:p>
    <w:p w14:paraId="2BEBDB1E" w14:textId="5FBFB1B7" w:rsidR="003C3651" w:rsidRPr="00B747CD" w:rsidRDefault="003C3651" w:rsidP="00B747CD">
      <w:pPr>
        <w:adjustRightInd w:val="0"/>
        <w:snapToGrid w:val="0"/>
        <w:spacing w:after="0" w:line="360" w:lineRule="auto"/>
        <w:jc w:val="both"/>
        <w:rPr>
          <w:rFonts w:ascii="Book Antiqua" w:eastAsiaTheme="majorEastAsia" w:hAnsi="Book Antiqua" w:cs="Arial"/>
          <w:b/>
          <w:bCs/>
          <w:color w:val="000000" w:themeColor="text1"/>
          <w:sz w:val="24"/>
          <w:szCs w:val="24"/>
        </w:rPr>
      </w:pPr>
      <w:r w:rsidRPr="00B747CD">
        <w:rPr>
          <w:rFonts w:ascii="Book Antiqua" w:hAnsi="Book Antiqua" w:cs="Arial"/>
          <w:b/>
          <w:bCs/>
          <w:color w:val="000000" w:themeColor="text1"/>
          <w:sz w:val="24"/>
          <w:szCs w:val="24"/>
        </w:rPr>
        <w:lastRenderedPageBreak/>
        <w:t>Abstract</w:t>
      </w:r>
    </w:p>
    <w:p w14:paraId="55EDB871" w14:textId="77777777" w:rsidR="001812C4" w:rsidRPr="00B747CD" w:rsidRDefault="003C3651" w:rsidP="00B747CD">
      <w:pPr>
        <w:adjustRightInd w:val="0"/>
        <w:snapToGrid w:val="0"/>
        <w:spacing w:after="0" w:line="360" w:lineRule="auto"/>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Thrombocytopenia is a multifactorial disorder that is common in patients with chronic liver disease (CLD)</w:t>
      </w:r>
      <w:r w:rsidR="00730817"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leading to challenging perioperative planning. </w:t>
      </w:r>
      <w:r w:rsidRPr="00B747CD">
        <w:rPr>
          <w:rFonts w:ascii="Book Antiqua" w:eastAsia="Times New Roman" w:hAnsi="Book Antiqua" w:cs="Arial"/>
          <w:color w:val="000000" w:themeColor="text1"/>
          <w:sz w:val="24"/>
          <w:szCs w:val="24"/>
        </w:rPr>
        <w:t>As thrombocytopenia in CLD is associated with thrombopoietin (TPO) deficiency, the use of TPO-receptor agonists (TPO-RA</w:t>
      </w:r>
      <w:r w:rsidR="007A71EB" w:rsidRPr="00B747CD">
        <w:rPr>
          <w:rFonts w:ascii="Book Antiqua" w:eastAsia="Times New Roman" w:hAnsi="Book Antiqua" w:cs="Arial"/>
          <w:color w:val="000000" w:themeColor="text1"/>
          <w:sz w:val="24"/>
          <w:szCs w:val="24"/>
        </w:rPr>
        <w:t>s</w:t>
      </w:r>
      <w:r w:rsidRPr="00B747CD">
        <w:rPr>
          <w:rFonts w:ascii="Book Antiqua" w:eastAsia="Times New Roman" w:hAnsi="Book Antiqua" w:cs="Arial"/>
          <w:color w:val="000000" w:themeColor="text1"/>
          <w:sz w:val="24"/>
          <w:szCs w:val="24"/>
        </w:rPr>
        <w:t>) to increase platelet counts is a promising approach. This has</w:t>
      </w:r>
      <w:r w:rsidRPr="00B747CD">
        <w:rPr>
          <w:rFonts w:ascii="Book Antiqua" w:hAnsi="Book Antiqua" w:cs="Arial"/>
          <w:color w:val="000000" w:themeColor="text1"/>
          <w:sz w:val="24"/>
          <w:szCs w:val="24"/>
        </w:rPr>
        <w:t xml:space="preserve"> led to the development of various TPO-RAs</w:t>
      </w:r>
      <w:r w:rsidR="00730817"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including romiplostim,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w:t>
      </w:r>
      <w:proofErr w:type="spellStart"/>
      <w:r w:rsidRPr="00B747CD">
        <w:rPr>
          <w:rFonts w:ascii="Book Antiqua" w:hAnsi="Book Antiqua" w:cs="Arial"/>
          <w:color w:val="000000" w:themeColor="text1"/>
          <w:sz w:val="24"/>
          <w:szCs w:val="24"/>
        </w:rPr>
        <w:t>avatrombopag</w:t>
      </w:r>
      <w:proofErr w:type="spellEnd"/>
      <w:r w:rsidR="007A71EB"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and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 Of these, only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 and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 are approved</w:t>
      </w:r>
      <w:r w:rsidR="00730817" w:rsidRPr="00B747CD">
        <w:rPr>
          <w:rFonts w:ascii="Book Antiqua" w:hAnsi="Book Antiqua" w:cs="Arial"/>
          <w:color w:val="000000" w:themeColor="text1"/>
          <w:sz w:val="24"/>
          <w:szCs w:val="24"/>
        </w:rPr>
        <w:t xml:space="preserve"> by the United States Food and Drug Administration</w:t>
      </w:r>
      <w:r w:rsidRPr="00B747CD">
        <w:rPr>
          <w:rFonts w:ascii="Book Antiqua" w:hAnsi="Book Antiqua" w:cs="Arial"/>
          <w:color w:val="000000" w:themeColor="text1"/>
          <w:sz w:val="24"/>
          <w:szCs w:val="24"/>
        </w:rPr>
        <w:t xml:space="preserve"> for the perioperative treatment of thrombocytopenia in patients with CLD. Platelet transfusion is commonly used for the clinical management of thrombocytopenia in patients with CLD undergoing invasive procedures. However, the limitations and possible risks of transfusion, including short duration of efficacy, development of antiplatelet antibodies, risk of infections and </w:t>
      </w:r>
      <w:r w:rsidR="00730817" w:rsidRPr="00B747CD">
        <w:rPr>
          <w:rFonts w:ascii="Book Antiqua" w:hAnsi="Book Antiqua" w:cs="Arial"/>
          <w:color w:val="000000" w:themeColor="text1"/>
          <w:sz w:val="24"/>
          <w:szCs w:val="24"/>
        </w:rPr>
        <w:t xml:space="preserve">such </w:t>
      </w:r>
      <w:r w:rsidRPr="00B747CD">
        <w:rPr>
          <w:rFonts w:ascii="Book Antiqua" w:hAnsi="Book Antiqua" w:cs="Arial"/>
          <w:color w:val="000000" w:themeColor="text1"/>
          <w:sz w:val="24"/>
          <w:szCs w:val="24"/>
        </w:rPr>
        <w:t>complications as transfusion-related acute lung injury or circulatory overload, and possibility of refractoriness, limit its use. Moreover, there is no consensus among guidelines as to the platelet count at which transfusions are indicated. Results from studies using TPO-RAs perioperatively in patients with thrombocytopenia and CLD are promising and provide an alternative to platelet transfusions in the pre- and post-operative setting. These TPO-RAs are the subject of this review</w:t>
      </w:r>
      <w:r w:rsidR="00730817"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with focus on their use in the perioperative setting in patients with thrombocytopenia, associated supporting clinical trials, efficacy and safety data, and their use with respect to platelet transfusions. </w:t>
      </w:r>
    </w:p>
    <w:p w14:paraId="20C0E16B" w14:textId="77777777" w:rsidR="001812C4" w:rsidRPr="00B747CD" w:rsidRDefault="001812C4" w:rsidP="00B747CD">
      <w:pPr>
        <w:adjustRightInd w:val="0"/>
        <w:snapToGrid w:val="0"/>
        <w:spacing w:after="0" w:line="360" w:lineRule="auto"/>
        <w:jc w:val="both"/>
        <w:rPr>
          <w:rFonts w:ascii="Book Antiqua" w:hAnsi="Book Antiqua" w:cs="Arial"/>
          <w:color w:val="000000" w:themeColor="text1"/>
          <w:sz w:val="24"/>
          <w:szCs w:val="24"/>
          <w:lang w:eastAsia="zh-CN"/>
        </w:rPr>
      </w:pPr>
    </w:p>
    <w:p w14:paraId="0FA596A2" w14:textId="7EE5B2B9" w:rsidR="00815416" w:rsidRPr="00B747CD" w:rsidRDefault="00815416" w:rsidP="00B747CD">
      <w:pPr>
        <w:adjustRightInd w:val="0"/>
        <w:snapToGrid w:val="0"/>
        <w:spacing w:after="0" w:line="360" w:lineRule="auto"/>
        <w:jc w:val="both"/>
        <w:rPr>
          <w:rFonts w:ascii="Book Antiqua" w:hAnsi="Book Antiqua" w:cs="Arial"/>
          <w:color w:val="000000" w:themeColor="text1"/>
          <w:sz w:val="24"/>
          <w:szCs w:val="24"/>
        </w:rPr>
      </w:pPr>
      <w:r w:rsidRPr="00B747CD">
        <w:rPr>
          <w:rFonts w:ascii="Book Antiqua" w:hAnsi="Book Antiqua"/>
          <w:b/>
          <w:bCs/>
          <w:color w:val="000000" w:themeColor="text1"/>
          <w:sz w:val="24"/>
          <w:szCs w:val="24"/>
        </w:rPr>
        <w:t>Key</w:t>
      </w:r>
      <w:r w:rsidR="00730817" w:rsidRPr="00B747CD">
        <w:rPr>
          <w:rFonts w:ascii="Book Antiqua" w:hAnsi="Book Antiqua"/>
          <w:b/>
          <w:bCs/>
          <w:color w:val="000000" w:themeColor="text1"/>
          <w:sz w:val="24"/>
          <w:szCs w:val="24"/>
        </w:rPr>
        <w:t xml:space="preserve"> </w:t>
      </w:r>
      <w:r w:rsidRPr="00B747CD">
        <w:rPr>
          <w:rFonts w:ascii="Book Antiqua" w:hAnsi="Book Antiqua"/>
          <w:b/>
          <w:bCs/>
          <w:color w:val="000000" w:themeColor="text1"/>
          <w:sz w:val="24"/>
          <w:szCs w:val="24"/>
        </w:rPr>
        <w:t>words</w:t>
      </w:r>
      <w:r w:rsidR="00730817" w:rsidRPr="00B747CD">
        <w:rPr>
          <w:rFonts w:ascii="Book Antiqua" w:hAnsi="Book Antiqua"/>
          <w:b/>
          <w:bCs/>
          <w:color w:val="000000" w:themeColor="text1"/>
          <w:sz w:val="24"/>
          <w:szCs w:val="24"/>
        </w:rPr>
        <w:t xml:space="preserve">: </w:t>
      </w:r>
      <w:r w:rsidRPr="00B747CD">
        <w:rPr>
          <w:rFonts w:ascii="Book Antiqua" w:hAnsi="Book Antiqua"/>
          <w:color w:val="000000" w:themeColor="text1"/>
          <w:sz w:val="24"/>
          <w:szCs w:val="24"/>
        </w:rPr>
        <w:t xml:space="preserve">Chronic </w:t>
      </w:r>
      <w:r w:rsidR="00730817" w:rsidRPr="00B747CD">
        <w:rPr>
          <w:rFonts w:ascii="Book Antiqua" w:hAnsi="Book Antiqua"/>
          <w:color w:val="000000" w:themeColor="text1"/>
          <w:sz w:val="24"/>
          <w:szCs w:val="24"/>
        </w:rPr>
        <w:t>l</w:t>
      </w:r>
      <w:r w:rsidRPr="00B747CD">
        <w:rPr>
          <w:rFonts w:ascii="Book Antiqua" w:hAnsi="Book Antiqua"/>
          <w:color w:val="000000" w:themeColor="text1"/>
          <w:sz w:val="24"/>
          <w:szCs w:val="24"/>
        </w:rPr>
        <w:t xml:space="preserve">iver </w:t>
      </w:r>
      <w:r w:rsidR="00730817" w:rsidRPr="00B747CD">
        <w:rPr>
          <w:rFonts w:ascii="Book Antiqua" w:hAnsi="Book Antiqua"/>
          <w:color w:val="000000" w:themeColor="text1"/>
          <w:sz w:val="24"/>
          <w:szCs w:val="24"/>
        </w:rPr>
        <w:t>d</w:t>
      </w:r>
      <w:r w:rsidRPr="00B747CD">
        <w:rPr>
          <w:rFonts w:ascii="Book Antiqua" w:hAnsi="Book Antiqua"/>
          <w:color w:val="000000" w:themeColor="text1"/>
          <w:sz w:val="24"/>
          <w:szCs w:val="24"/>
        </w:rPr>
        <w:t>isease</w:t>
      </w:r>
      <w:r w:rsidR="00730817" w:rsidRPr="00B747CD">
        <w:rPr>
          <w:rFonts w:ascii="Book Antiqua" w:hAnsi="Book Antiqua"/>
          <w:color w:val="000000" w:themeColor="text1"/>
          <w:sz w:val="24"/>
          <w:szCs w:val="24"/>
        </w:rPr>
        <w:t>;</w:t>
      </w:r>
      <w:r w:rsidRPr="00B747CD">
        <w:rPr>
          <w:rFonts w:ascii="Book Antiqua" w:hAnsi="Book Antiqua"/>
          <w:color w:val="000000" w:themeColor="text1"/>
          <w:sz w:val="24"/>
          <w:szCs w:val="24"/>
        </w:rPr>
        <w:t xml:space="preserve"> Thrombocytopenia</w:t>
      </w:r>
      <w:r w:rsidR="00730817" w:rsidRPr="00B747CD">
        <w:rPr>
          <w:rFonts w:ascii="Book Antiqua" w:hAnsi="Book Antiqua"/>
          <w:color w:val="000000" w:themeColor="text1"/>
          <w:sz w:val="24"/>
          <w:szCs w:val="24"/>
        </w:rPr>
        <w:t>;</w:t>
      </w:r>
      <w:r w:rsidRPr="00B747CD">
        <w:rPr>
          <w:rFonts w:ascii="Book Antiqua" w:hAnsi="Book Antiqua"/>
          <w:color w:val="000000" w:themeColor="text1"/>
          <w:sz w:val="24"/>
          <w:szCs w:val="24"/>
        </w:rPr>
        <w:t xml:space="preserve"> Thrombopoietin</w:t>
      </w:r>
      <w:r w:rsidR="00730817" w:rsidRPr="00B747CD">
        <w:rPr>
          <w:rFonts w:ascii="Book Antiqua" w:hAnsi="Book Antiqua"/>
          <w:color w:val="000000" w:themeColor="text1"/>
          <w:sz w:val="24"/>
          <w:szCs w:val="24"/>
        </w:rPr>
        <w:t>;</w:t>
      </w:r>
      <w:r w:rsidRPr="00B747CD">
        <w:rPr>
          <w:rFonts w:ascii="Book Antiqua" w:hAnsi="Book Antiqua"/>
          <w:color w:val="000000" w:themeColor="text1"/>
          <w:sz w:val="24"/>
          <w:szCs w:val="24"/>
        </w:rPr>
        <w:t xml:space="preserve"> </w:t>
      </w:r>
      <w:r w:rsidR="00730817" w:rsidRPr="00B747CD">
        <w:rPr>
          <w:rFonts w:ascii="Book Antiqua" w:hAnsi="Book Antiqua"/>
          <w:color w:val="000000" w:themeColor="text1"/>
          <w:sz w:val="24"/>
          <w:szCs w:val="24"/>
        </w:rPr>
        <w:t>R</w:t>
      </w:r>
      <w:r w:rsidRPr="00B747CD">
        <w:rPr>
          <w:rFonts w:ascii="Book Antiqua" w:hAnsi="Book Antiqua"/>
          <w:color w:val="000000" w:themeColor="text1"/>
          <w:sz w:val="24"/>
          <w:szCs w:val="24"/>
        </w:rPr>
        <w:t>eceptor agonist</w:t>
      </w:r>
      <w:r w:rsidR="00730817" w:rsidRPr="00B747CD">
        <w:rPr>
          <w:rFonts w:ascii="Book Antiqua" w:hAnsi="Book Antiqua"/>
          <w:color w:val="000000" w:themeColor="text1"/>
          <w:sz w:val="24"/>
          <w:szCs w:val="24"/>
        </w:rPr>
        <w:t>;</w:t>
      </w:r>
      <w:r w:rsidRPr="00B747CD">
        <w:rPr>
          <w:rFonts w:ascii="Book Antiqua" w:hAnsi="Book Antiqua"/>
          <w:color w:val="000000" w:themeColor="text1"/>
          <w:sz w:val="24"/>
          <w:szCs w:val="24"/>
        </w:rPr>
        <w:t xml:space="preserve"> </w:t>
      </w:r>
      <w:proofErr w:type="spellStart"/>
      <w:r w:rsidRPr="00B747CD">
        <w:rPr>
          <w:rFonts w:ascii="Book Antiqua" w:hAnsi="Book Antiqua"/>
          <w:color w:val="000000" w:themeColor="text1"/>
          <w:sz w:val="24"/>
          <w:szCs w:val="24"/>
        </w:rPr>
        <w:t>Avatrombopag</w:t>
      </w:r>
      <w:proofErr w:type="spellEnd"/>
      <w:r w:rsidR="00730817" w:rsidRPr="00B747CD">
        <w:rPr>
          <w:rFonts w:ascii="Book Antiqua" w:hAnsi="Book Antiqua"/>
          <w:color w:val="000000" w:themeColor="text1"/>
          <w:sz w:val="24"/>
          <w:szCs w:val="24"/>
        </w:rPr>
        <w:t>;</w:t>
      </w:r>
      <w:r w:rsidRPr="00B747CD">
        <w:rPr>
          <w:rFonts w:ascii="Book Antiqua" w:hAnsi="Book Antiqua"/>
          <w:color w:val="000000" w:themeColor="text1"/>
          <w:sz w:val="24"/>
          <w:szCs w:val="24"/>
        </w:rPr>
        <w:t xml:space="preserve"> </w:t>
      </w:r>
      <w:proofErr w:type="spellStart"/>
      <w:r w:rsidRPr="00B747CD">
        <w:rPr>
          <w:rFonts w:ascii="Book Antiqua" w:hAnsi="Book Antiqua"/>
          <w:color w:val="000000" w:themeColor="text1"/>
          <w:sz w:val="24"/>
          <w:szCs w:val="24"/>
        </w:rPr>
        <w:t>Lusutrombopag</w:t>
      </w:r>
      <w:proofErr w:type="spellEnd"/>
      <w:r w:rsidR="00730817" w:rsidRPr="00B747CD">
        <w:rPr>
          <w:rFonts w:ascii="Book Antiqua" w:hAnsi="Book Antiqua"/>
          <w:color w:val="000000" w:themeColor="text1"/>
          <w:sz w:val="24"/>
          <w:szCs w:val="24"/>
        </w:rPr>
        <w:t>;</w:t>
      </w:r>
      <w:r w:rsidRPr="00B747CD">
        <w:rPr>
          <w:rFonts w:ascii="Book Antiqua" w:hAnsi="Book Antiqua"/>
          <w:color w:val="000000" w:themeColor="text1"/>
          <w:sz w:val="24"/>
          <w:szCs w:val="24"/>
        </w:rPr>
        <w:t xml:space="preserve"> Romiplostim</w:t>
      </w:r>
      <w:r w:rsidR="00730817" w:rsidRPr="00B747CD">
        <w:rPr>
          <w:rFonts w:ascii="Book Antiqua" w:hAnsi="Book Antiqua"/>
          <w:color w:val="000000" w:themeColor="text1"/>
          <w:sz w:val="24"/>
          <w:szCs w:val="24"/>
        </w:rPr>
        <w:t>;</w:t>
      </w:r>
      <w:r w:rsidR="001859FB" w:rsidRPr="00B747CD">
        <w:rPr>
          <w:rFonts w:ascii="Book Antiqua" w:hAnsi="Book Antiqua"/>
          <w:color w:val="000000" w:themeColor="text1"/>
          <w:sz w:val="24"/>
          <w:szCs w:val="24"/>
        </w:rPr>
        <w:t xml:space="preserve"> Perioperative</w:t>
      </w:r>
    </w:p>
    <w:p w14:paraId="1098CD8E" w14:textId="77777777" w:rsidR="00B744D9" w:rsidRPr="00B747CD" w:rsidRDefault="00B744D9" w:rsidP="00B747CD">
      <w:pPr>
        <w:adjustRightInd w:val="0"/>
        <w:snapToGrid w:val="0"/>
        <w:spacing w:after="0" w:line="360" w:lineRule="auto"/>
        <w:jc w:val="both"/>
        <w:rPr>
          <w:rFonts w:ascii="Book Antiqua" w:hAnsi="Book Antiqua" w:cs="Arial"/>
          <w:b/>
          <w:bCs/>
          <w:color w:val="000000" w:themeColor="text1"/>
          <w:sz w:val="24"/>
          <w:szCs w:val="24"/>
        </w:rPr>
      </w:pPr>
    </w:p>
    <w:p w14:paraId="17ADE99D" w14:textId="77777777" w:rsidR="005860B4" w:rsidRPr="00B747CD" w:rsidRDefault="001C0ECA" w:rsidP="00B747CD">
      <w:pPr>
        <w:adjustRightInd w:val="0"/>
        <w:snapToGrid w:val="0"/>
        <w:spacing w:after="0" w:line="360" w:lineRule="auto"/>
        <w:jc w:val="both"/>
        <w:rPr>
          <w:rFonts w:ascii="Book Antiqua" w:hAnsi="Book Antiqua"/>
          <w:color w:val="000000" w:themeColor="text1"/>
          <w:sz w:val="24"/>
          <w:szCs w:val="24"/>
          <w:lang w:eastAsia="zh-CN"/>
        </w:rPr>
      </w:pPr>
      <w:r w:rsidRPr="00B747CD">
        <w:rPr>
          <w:rFonts w:ascii="Book Antiqua" w:hAnsi="Book Antiqua" w:cs="Arial"/>
          <w:color w:val="000000" w:themeColor="text1"/>
          <w:sz w:val="24"/>
          <w:szCs w:val="24"/>
        </w:rPr>
        <w:t xml:space="preserve">Qureshi K, Bonder A. </w:t>
      </w:r>
      <w:r w:rsidRPr="00B747CD">
        <w:rPr>
          <w:rFonts w:ascii="Book Antiqua" w:hAnsi="Book Antiqua" w:cs="Arial"/>
          <w:bCs/>
          <w:color w:val="000000" w:themeColor="text1"/>
          <w:sz w:val="24"/>
          <w:szCs w:val="24"/>
        </w:rPr>
        <w:t>Thrombopoietin</w:t>
      </w:r>
      <w:r w:rsidR="00730817" w:rsidRPr="00B747CD">
        <w:rPr>
          <w:rFonts w:ascii="Book Antiqua" w:hAnsi="Book Antiqua" w:cs="Arial"/>
          <w:bCs/>
          <w:color w:val="000000" w:themeColor="text1"/>
          <w:sz w:val="24"/>
          <w:szCs w:val="24"/>
        </w:rPr>
        <w:t>-</w:t>
      </w:r>
      <w:r w:rsidRPr="00B747CD">
        <w:rPr>
          <w:rFonts w:ascii="Book Antiqua" w:hAnsi="Book Antiqua" w:cs="Arial"/>
          <w:bCs/>
          <w:color w:val="000000" w:themeColor="text1"/>
          <w:sz w:val="24"/>
          <w:szCs w:val="24"/>
        </w:rPr>
        <w:t xml:space="preserve">receptor agonists in perioperative treatment of patients with chronic liver disease. </w:t>
      </w:r>
      <w:r w:rsidRPr="00B747CD">
        <w:rPr>
          <w:rFonts w:ascii="Book Antiqua" w:hAnsi="Book Antiqua"/>
          <w:i/>
          <w:iCs/>
          <w:color w:val="000000" w:themeColor="text1"/>
          <w:sz w:val="24"/>
          <w:szCs w:val="24"/>
        </w:rPr>
        <w:t xml:space="preserve">World J </w:t>
      </w:r>
      <w:r w:rsidR="009069A2" w:rsidRPr="00B747CD">
        <w:rPr>
          <w:rFonts w:ascii="Book Antiqua" w:hAnsi="Book Antiqua"/>
          <w:i/>
          <w:iCs/>
          <w:color w:val="000000" w:themeColor="text1"/>
          <w:sz w:val="24"/>
          <w:szCs w:val="24"/>
        </w:rPr>
        <w:t>Meta-Anal</w:t>
      </w:r>
      <w:r w:rsidRPr="00B747CD">
        <w:rPr>
          <w:rFonts w:ascii="Book Antiqua" w:hAnsi="Book Antiqua"/>
          <w:i/>
          <w:iCs/>
          <w:color w:val="000000" w:themeColor="text1"/>
          <w:sz w:val="24"/>
          <w:szCs w:val="24"/>
        </w:rPr>
        <w:t xml:space="preserve"> </w:t>
      </w:r>
      <w:r w:rsidRPr="00B747CD">
        <w:rPr>
          <w:rFonts w:ascii="Book Antiqua" w:hAnsi="Book Antiqua"/>
          <w:color w:val="000000" w:themeColor="text1"/>
          <w:sz w:val="24"/>
          <w:szCs w:val="24"/>
        </w:rPr>
        <w:t>2020; In press</w:t>
      </w:r>
    </w:p>
    <w:p w14:paraId="2B59B78E" w14:textId="77777777" w:rsidR="005860B4" w:rsidRPr="00B747CD" w:rsidRDefault="005860B4" w:rsidP="00B747CD">
      <w:pPr>
        <w:adjustRightInd w:val="0"/>
        <w:snapToGrid w:val="0"/>
        <w:spacing w:after="0" w:line="360" w:lineRule="auto"/>
        <w:jc w:val="both"/>
        <w:rPr>
          <w:rFonts w:ascii="Book Antiqua" w:hAnsi="Book Antiqua"/>
          <w:color w:val="000000" w:themeColor="text1"/>
          <w:sz w:val="24"/>
          <w:szCs w:val="24"/>
          <w:lang w:eastAsia="zh-CN"/>
        </w:rPr>
      </w:pPr>
    </w:p>
    <w:p w14:paraId="6BEDDD73" w14:textId="5B1A1889" w:rsidR="0089274F" w:rsidRPr="00B747CD" w:rsidRDefault="00815416" w:rsidP="00B747CD">
      <w:pPr>
        <w:adjustRightInd w:val="0"/>
        <w:snapToGrid w:val="0"/>
        <w:spacing w:after="0" w:line="360" w:lineRule="auto"/>
        <w:jc w:val="both"/>
        <w:rPr>
          <w:rFonts w:ascii="Book Antiqua" w:hAnsi="Book Antiqua" w:cs="Arial"/>
          <w:color w:val="000000" w:themeColor="text1"/>
          <w:sz w:val="24"/>
          <w:szCs w:val="24"/>
          <w:lang w:eastAsia="zh-CN"/>
        </w:rPr>
      </w:pPr>
      <w:r w:rsidRPr="00B747CD">
        <w:rPr>
          <w:rFonts w:ascii="Book Antiqua" w:hAnsi="Book Antiqua"/>
          <w:b/>
          <w:bCs/>
          <w:color w:val="000000" w:themeColor="text1"/>
          <w:sz w:val="24"/>
          <w:szCs w:val="24"/>
        </w:rPr>
        <w:lastRenderedPageBreak/>
        <w:t xml:space="preserve">Core </w:t>
      </w:r>
      <w:r w:rsidR="00730817" w:rsidRPr="00B747CD">
        <w:rPr>
          <w:rFonts w:ascii="Book Antiqua" w:hAnsi="Book Antiqua"/>
          <w:b/>
          <w:bCs/>
          <w:color w:val="000000" w:themeColor="text1"/>
          <w:sz w:val="24"/>
          <w:szCs w:val="24"/>
        </w:rPr>
        <w:t>t</w:t>
      </w:r>
      <w:r w:rsidRPr="00B747CD">
        <w:rPr>
          <w:rFonts w:ascii="Book Antiqua" w:hAnsi="Book Antiqua"/>
          <w:b/>
          <w:bCs/>
          <w:color w:val="000000" w:themeColor="text1"/>
          <w:sz w:val="24"/>
          <w:szCs w:val="24"/>
        </w:rPr>
        <w:t>ip</w:t>
      </w:r>
      <w:r w:rsidR="00730817" w:rsidRPr="00B747CD">
        <w:rPr>
          <w:rFonts w:ascii="Book Antiqua" w:hAnsi="Book Antiqua"/>
          <w:b/>
          <w:bCs/>
          <w:color w:val="000000" w:themeColor="text1"/>
          <w:sz w:val="24"/>
          <w:szCs w:val="24"/>
        </w:rPr>
        <w:t>:</w:t>
      </w:r>
      <w:r w:rsidR="00730817" w:rsidRPr="00B747CD">
        <w:rPr>
          <w:rFonts w:ascii="Book Antiqua" w:hAnsi="Book Antiqua" w:cs="Arial"/>
          <w:b/>
          <w:bCs/>
          <w:color w:val="000000" w:themeColor="text1"/>
          <w:sz w:val="24"/>
          <w:szCs w:val="24"/>
        </w:rPr>
        <w:t xml:space="preserve"> </w:t>
      </w:r>
      <w:r w:rsidRPr="00B747CD">
        <w:rPr>
          <w:rFonts w:ascii="Book Antiqua" w:eastAsiaTheme="minorHAnsi" w:hAnsi="Book Antiqua" w:cs="Arial"/>
          <w:color w:val="000000" w:themeColor="text1"/>
          <w:sz w:val="24"/>
          <w:szCs w:val="24"/>
        </w:rPr>
        <w:t>Thrombocytopenia in patients with chronic liver disease complicates perioperative planning. Platelet transfusions are typically used as periprocedural treatment in these patients</w:t>
      </w:r>
      <w:r w:rsidR="00537A6F" w:rsidRPr="00B747CD">
        <w:rPr>
          <w:rFonts w:ascii="Book Antiqua" w:eastAsiaTheme="minorHAnsi" w:hAnsi="Book Antiqua" w:cs="Arial"/>
          <w:color w:val="000000" w:themeColor="text1"/>
          <w:sz w:val="24"/>
          <w:szCs w:val="24"/>
        </w:rPr>
        <w:t>,</w:t>
      </w:r>
      <w:r w:rsidRPr="00B747CD">
        <w:rPr>
          <w:rFonts w:ascii="Book Antiqua" w:eastAsiaTheme="minorHAnsi" w:hAnsi="Book Antiqua" w:cs="Arial"/>
          <w:color w:val="000000" w:themeColor="text1"/>
          <w:sz w:val="24"/>
          <w:szCs w:val="24"/>
        </w:rPr>
        <w:t xml:space="preserve"> but their use is complicated due to risk factors such as the development of infections and refractoriness. This has led to the development of thrombopoietin-receptor agonists</w:t>
      </w:r>
      <w:r w:rsidR="00730817" w:rsidRPr="00B747CD">
        <w:rPr>
          <w:rFonts w:ascii="Book Antiqua" w:eastAsiaTheme="minorHAnsi" w:hAnsi="Book Antiqua" w:cs="Arial"/>
          <w:color w:val="000000" w:themeColor="text1"/>
          <w:sz w:val="24"/>
          <w:szCs w:val="24"/>
        </w:rPr>
        <w:t>,</w:t>
      </w:r>
      <w:r w:rsidRPr="00B747CD">
        <w:rPr>
          <w:rFonts w:ascii="Book Antiqua" w:eastAsiaTheme="minorHAnsi" w:hAnsi="Book Antiqua" w:cs="Arial"/>
          <w:color w:val="000000" w:themeColor="text1"/>
          <w:sz w:val="24"/>
          <w:szCs w:val="24"/>
        </w:rPr>
        <w:t xml:space="preserve"> such as </w:t>
      </w:r>
      <w:proofErr w:type="spellStart"/>
      <w:r w:rsidRPr="00B747CD">
        <w:rPr>
          <w:rFonts w:ascii="Book Antiqua" w:eastAsiaTheme="minorHAnsi" w:hAnsi="Book Antiqua" w:cs="Arial"/>
          <w:color w:val="000000" w:themeColor="text1"/>
          <w:sz w:val="24"/>
          <w:szCs w:val="24"/>
        </w:rPr>
        <w:t>avatrombopag</w:t>
      </w:r>
      <w:proofErr w:type="spellEnd"/>
      <w:r w:rsidRPr="00B747CD">
        <w:rPr>
          <w:rFonts w:ascii="Book Antiqua" w:eastAsiaTheme="minorHAnsi" w:hAnsi="Book Antiqua" w:cs="Arial"/>
          <w:color w:val="000000" w:themeColor="text1"/>
          <w:sz w:val="24"/>
          <w:szCs w:val="24"/>
        </w:rPr>
        <w:t xml:space="preserve"> and </w:t>
      </w:r>
      <w:proofErr w:type="spellStart"/>
      <w:r w:rsidRPr="00B747CD">
        <w:rPr>
          <w:rFonts w:ascii="Book Antiqua" w:eastAsiaTheme="minorHAnsi" w:hAnsi="Book Antiqua" w:cs="Arial"/>
          <w:color w:val="000000" w:themeColor="text1"/>
          <w:sz w:val="24"/>
          <w:szCs w:val="24"/>
        </w:rPr>
        <w:t>lusutrombopag</w:t>
      </w:r>
      <w:proofErr w:type="spellEnd"/>
      <w:r w:rsidR="00730817" w:rsidRPr="00B747CD">
        <w:rPr>
          <w:rFonts w:ascii="Book Antiqua" w:eastAsiaTheme="minorHAnsi" w:hAnsi="Book Antiqua" w:cs="Arial"/>
          <w:color w:val="000000" w:themeColor="text1"/>
          <w:sz w:val="24"/>
          <w:szCs w:val="24"/>
        </w:rPr>
        <w:t>,</w:t>
      </w:r>
      <w:r w:rsidR="00801DF3">
        <w:rPr>
          <w:rFonts w:ascii="Book Antiqua" w:eastAsiaTheme="minorHAnsi" w:hAnsi="Book Antiqua" w:cs="Arial"/>
          <w:color w:val="000000" w:themeColor="text1"/>
          <w:sz w:val="24"/>
          <w:szCs w:val="24"/>
        </w:rPr>
        <w:t xml:space="preserve"> </w:t>
      </w:r>
      <w:r w:rsidRPr="00B747CD">
        <w:rPr>
          <w:rFonts w:ascii="Book Antiqua" w:eastAsiaTheme="minorHAnsi" w:hAnsi="Book Antiqua" w:cs="Arial"/>
          <w:color w:val="000000" w:themeColor="text1"/>
          <w:sz w:val="24"/>
          <w:szCs w:val="24"/>
        </w:rPr>
        <w:t xml:space="preserve">that can increase platelet counts in patients with compromised </w:t>
      </w:r>
      <w:r w:rsidR="00730817" w:rsidRPr="00B747CD">
        <w:rPr>
          <w:rFonts w:ascii="Book Antiqua" w:eastAsiaTheme="minorHAnsi" w:hAnsi="Book Antiqua" w:cs="Arial"/>
          <w:color w:val="000000" w:themeColor="text1"/>
          <w:sz w:val="24"/>
          <w:szCs w:val="24"/>
        </w:rPr>
        <w:t>thrombopoietin</w:t>
      </w:r>
      <w:r w:rsidRPr="00B747CD">
        <w:rPr>
          <w:rFonts w:ascii="Book Antiqua" w:eastAsiaTheme="minorHAnsi" w:hAnsi="Book Antiqua" w:cs="Arial"/>
          <w:color w:val="000000" w:themeColor="text1"/>
          <w:sz w:val="24"/>
          <w:szCs w:val="24"/>
        </w:rPr>
        <w:t xml:space="preserve"> production and </w:t>
      </w:r>
      <w:r w:rsidR="00730817" w:rsidRPr="00B747CD">
        <w:rPr>
          <w:rFonts w:ascii="Book Antiqua" w:eastAsiaTheme="minorHAnsi" w:hAnsi="Book Antiqua" w:cs="Arial"/>
          <w:color w:val="000000" w:themeColor="text1"/>
          <w:sz w:val="24"/>
          <w:szCs w:val="24"/>
        </w:rPr>
        <w:t>chronic liver disease</w:t>
      </w:r>
      <w:r w:rsidRPr="00B747CD">
        <w:rPr>
          <w:rFonts w:ascii="Book Antiqua" w:eastAsiaTheme="minorHAnsi" w:hAnsi="Book Antiqua" w:cs="Arial"/>
          <w:color w:val="000000" w:themeColor="text1"/>
          <w:sz w:val="24"/>
          <w:szCs w:val="24"/>
        </w:rPr>
        <w:t xml:space="preserve">. These </w:t>
      </w:r>
      <w:r w:rsidR="00730817" w:rsidRPr="00B747CD">
        <w:rPr>
          <w:rFonts w:ascii="Book Antiqua" w:eastAsiaTheme="minorHAnsi" w:hAnsi="Book Antiqua" w:cs="Arial"/>
          <w:color w:val="000000" w:themeColor="text1"/>
          <w:sz w:val="24"/>
          <w:szCs w:val="24"/>
        </w:rPr>
        <w:t xml:space="preserve">thrombopoietin-receptor agonists </w:t>
      </w:r>
      <w:r w:rsidRPr="00B747CD">
        <w:rPr>
          <w:rFonts w:ascii="Book Antiqua" w:eastAsiaTheme="minorHAnsi" w:hAnsi="Book Antiqua" w:cs="Arial"/>
          <w:color w:val="000000" w:themeColor="text1"/>
          <w:sz w:val="24"/>
          <w:szCs w:val="24"/>
        </w:rPr>
        <w:t>can provide physicians with a safe and effective alternative to platelet transfusions and their use in clinical practice is the focus of this review.</w:t>
      </w:r>
    </w:p>
    <w:p w14:paraId="3DEC6861" w14:textId="77777777" w:rsidR="003C3651" w:rsidRPr="00B747CD" w:rsidRDefault="003C3651" w:rsidP="00B747CD">
      <w:pPr>
        <w:adjustRightInd w:val="0"/>
        <w:snapToGrid w:val="0"/>
        <w:spacing w:after="0" w:line="360" w:lineRule="auto"/>
        <w:jc w:val="both"/>
        <w:rPr>
          <w:rFonts w:ascii="Book Antiqua" w:eastAsiaTheme="majorEastAsia" w:hAnsi="Book Antiqua" w:cs="Arial"/>
          <w:color w:val="000000" w:themeColor="text1"/>
          <w:sz w:val="24"/>
          <w:szCs w:val="24"/>
        </w:rPr>
      </w:pPr>
      <w:r w:rsidRPr="00B747CD">
        <w:rPr>
          <w:rFonts w:ascii="Book Antiqua" w:hAnsi="Book Antiqua" w:cs="Arial"/>
          <w:color w:val="000000" w:themeColor="text1"/>
          <w:sz w:val="24"/>
          <w:szCs w:val="24"/>
        </w:rPr>
        <w:br w:type="page"/>
      </w:r>
    </w:p>
    <w:p w14:paraId="287B2791" w14:textId="73FC043B" w:rsidR="0089274F" w:rsidRPr="00B747CD" w:rsidRDefault="00730817" w:rsidP="00B747CD">
      <w:pPr>
        <w:adjustRightInd w:val="0"/>
        <w:snapToGrid w:val="0"/>
        <w:spacing w:after="0" w:line="360" w:lineRule="auto"/>
        <w:jc w:val="both"/>
        <w:rPr>
          <w:rFonts w:ascii="Book Antiqua" w:hAnsi="Book Antiqua" w:cs="Arial"/>
          <w:b/>
          <w:color w:val="000000" w:themeColor="text1"/>
          <w:sz w:val="24"/>
          <w:szCs w:val="24"/>
          <w:u w:val="single"/>
        </w:rPr>
      </w:pPr>
      <w:r w:rsidRPr="00B747CD">
        <w:rPr>
          <w:rFonts w:ascii="Book Antiqua" w:hAnsi="Book Antiqua" w:cs="Arial"/>
          <w:b/>
          <w:color w:val="000000" w:themeColor="text1"/>
          <w:sz w:val="24"/>
          <w:szCs w:val="24"/>
          <w:u w:val="single"/>
        </w:rPr>
        <w:lastRenderedPageBreak/>
        <w:t>INTRODUCTION</w:t>
      </w:r>
    </w:p>
    <w:p w14:paraId="6612A877" w14:textId="77777777" w:rsidR="00981CE2" w:rsidRPr="00B747CD" w:rsidRDefault="0089274F" w:rsidP="00B747CD">
      <w:pPr>
        <w:adjustRightInd w:val="0"/>
        <w:snapToGrid w:val="0"/>
        <w:spacing w:after="0" w:line="360" w:lineRule="auto"/>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Thrombopoietin (TPO) is a hormone produced by the liver that regulates platelet production by binding to and activating TPO receptors that are present on the surface of megakaryocytes. This induces a series of signaling cascades</w:t>
      </w:r>
      <w:r w:rsidR="003C3EF5"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leading to increased platelet </w:t>
      </w:r>
      <w:proofErr w:type="gramStart"/>
      <w:r w:rsidRPr="00B747CD">
        <w:rPr>
          <w:rFonts w:ascii="Book Antiqua" w:hAnsi="Book Antiqua" w:cs="Arial"/>
          <w:color w:val="000000" w:themeColor="text1"/>
          <w:sz w:val="24"/>
          <w:szCs w:val="24"/>
        </w:rPr>
        <w:t>production</w:t>
      </w:r>
      <w:r w:rsidR="00D10DE6"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1</w:t>
      </w:r>
      <w:r w:rsidR="00D10DE6" w:rsidRPr="00B747CD">
        <w:rPr>
          <w:rFonts w:ascii="Book Antiqua" w:hAnsi="Book Antiqua" w:cs="Arial"/>
          <w:color w:val="000000" w:themeColor="text1"/>
          <w:sz w:val="24"/>
          <w:szCs w:val="24"/>
          <w:vertAlign w:val="superscript"/>
        </w:rPr>
        <w:t>]</w:t>
      </w:r>
      <w:r w:rsidR="003C3EF5"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As a result, TPO levels typically decrease as liver disease progresses. This impaired TPO production</w:t>
      </w:r>
      <w:r w:rsidR="00E65ACE"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along with other factors</w:t>
      </w:r>
      <w:r w:rsidR="003149AE"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including platelet sequestration due to </w:t>
      </w:r>
      <w:proofErr w:type="gramStart"/>
      <w:r w:rsidRPr="00B747CD">
        <w:rPr>
          <w:rFonts w:ascii="Book Antiqua" w:hAnsi="Book Antiqua" w:cs="Arial"/>
          <w:color w:val="000000" w:themeColor="text1"/>
          <w:sz w:val="24"/>
          <w:szCs w:val="24"/>
        </w:rPr>
        <w:t>hypersplenism</w:t>
      </w:r>
      <w:r w:rsidR="00707ED6"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2</w:t>
      </w:r>
      <w:r w:rsidR="00707ED6" w:rsidRPr="00B747CD">
        <w:rPr>
          <w:rFonts w:ascii="Book Antiqua" w:hAnsi="Book Antiqua" w:cs="Arial"/>
          <w:color w:val="000000" w:themeColor="text1"/>
          <w:sz w:val="24"/>
          <w:szCs w:val="24"/>
          <w:vertAlign w:val="superscript"/>
        </w:rPr>
        <w:t>]</w:t>
      </w:r>
      <w:r w:rsidR="003149AE"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bone marrow suppression, altered TPO metabolism, and development of anti-platelet antibodies</w:t>
      </w:r>
      <w:r w:rsidR="003149AE"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can contribute to thrombocytopenia</w:t>
      </w:r>
      <w:r w:rsidR="00707ED6" w:rsidRPr="00B747CD">
        <w:rPr>
          <w:rFonts w:ascii="Book Antiqua" w:hAnsi="Book Antiqua" w:cs="Arial"/>
          <w:color w:val="000000" w:themeColor="text1"/>
          <w:sz w:val="24"/>
          <w:szCs w:val="24"/>
          <w:vertAlign w:val="superscript"/>
        </w:rPr>
        <w:t>[</w:t>
      </w:r>
      <w:r w:rsidRPr="00B747CD">
        <w:rPr>
          <w:rFonts w:ascii="Book Antiqua" w:hAnsi="Book Antiqua" w:cs="Arial"/>
          <w:color w:val="000000" w:themeColor="text1"/>
          <w:sz w:val="24"/>
          <w:szCs w:val="24"/>
          <w:vertAlign w:val="superscript"/>
        </w:rPr>
        <w:t>3</w:t>
      </w:r>
      <w:r w:rsidR="00707ED6" w:rsidRPr="00B747CD">
        <w:rPr>
          <w:rFonts w:ascii="Book Antiqua" w:hAnsi="Book Antiqua" w:cs="Arial"/>
          <w:color w:val="000000" w:themeColor="text1"/>
          <w:sz w:val="24"/>
          <w:szCs w:val="24"/>
          <w:vertAlign w:val="superscript"/>
        </w:rPr>
        <w:t>]</w:t>
      </w:r>
      <w:r w:rsidR="003149AE"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p>
    <w:p w14:paraId="3A6AA633" w14:textId="77777777" w:rsidR="007545C4" w:rsidRPr="00B747CD" w:rsidRDefault="0089274F" w:rsidP="00B747CD">
      <w:pPr>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 xml:space="preserve">Recombinant </w:t>
      </w:r>
      <w:r w:rsidR="00B42E40" w:rsidRPr="00B747CD">
        <w:rPr>
          <w:rFonts w:ascii="Book Antiqua" w:hAnsi="Book Antiqua" w:cs="Arial"/>
          <w:color w:val="000000" w:themeColor="text1"/>
          <w:sz w:val="24"/>
          <w:szCs w:val="24"/>
        </w:rPr>
        <w:t>TPOs</w:t>
      </w:r>
      <w:r w:rsidR="003149AE"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as a treatment option</w:t>
      </w:r>
      <w:r w:rsidR="003149AE"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were developed to counter the lowered TPO levels by stimulating the TPO receptor. These pharmacologic agents mimic the action of TPO by binding to and activating different receptors on the megakaryocytes. The first generation of TPO-receptor agonists (TPO-RAs) included recombinant human thrombopoietin (</w:t>
      </w:r>
      <w:r w:rsidR="003149AE" w:rsidRPr="00B747CD">
        <w:rPr>
          <w:rFonts w:ascii="Book Antiqua" w:hAnsi="Book Antiqua" w:cs="Arial"/>
          <w:color w:val="000000" w:themeColor="text1"/>
          <w:sz w:val="24"/>
          <w:szCs w:val="24"/>
        </w:rPr>
        <w:t xml:space="preserve">known as </w:t>
      </w:r>
      <w:proofErr w:type="spellStart"/>
      <w:r w:rsidRPr="00B747CD">
        <w:rPr>
          <w:rFonts w:ascii="Book Antiqua" w:hAnsi="Book Antiqua" w:cs="Arial"/>
          <w:color w:val="000000" w:themeColor="text1"/>
          <w:sz w:val="24"/>
          <w:szCs w:val="24"/>
        </w:rPr>
        <w:t>rhTPO</w:t>
      </w:r>
      <w:proofErr w:type="spellEnd"/>
      <w:r w:rsidRPr="00B747CD">
        <w:rPr>
          <w:rFonts w:ascii="Book Antiqua" w:hAnsi="Book Antiqua" w:cs="Arial"/>
          <w:color w:val="000000" w:themeColor="text1"/>
          <w:sz w:val="24"/>
          <w:szCs w:val="24"/>
        </w:rPr>
        <w:t>) and pegylated</w:t>
      </w:r>
      <w:r w:rsidR="003149AE"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human recombinant megakaryocyte growth and development factor (</w:t>
      </w:r>
      <w:r w:rsidR="003149AE" w:rsidRPr="00B747CD">
        <w:rPr>
          <w:rFonts w:ascii="Book Antiqua" w:hAnsi="Book Antiqua" w:cs="Arial"/>
          <w:color w:val="000000" w:themeColor="text1"/>
          <w:sz w:val="24"/>
          <w:szCs w:val="24"/>
        </w:rPr>
        <w:t xml:space="preserve">known as </w:t>
      </w:r>
      <w:r w:rsidRPr="00B747CD">
        <w:rPr>
          <w:rFonts w:ascii="Book Antiqua" w:hAnsi="Book Antiqua" w:cs="Arial"/>
          <w:color w:val="000000" w:themeColor="text1"/>
          <w:sz w:val="24"/>
          <w:szCs w:val="24"/>
        </w:rPr>
        <w:t>Peg-</w:t>
      </w:r>
      <w:proofErr w:type="spellStart"/>
      <w:r w:rsidRPr="00B747CD">
        <w:rPr>
          <w:rFonts w:ascii="Book Antiqua" w:hAnsi="Book Antiqua" w:cs="Arial"/>
          <w:color w:val="000000" w:themeColor="text1"/>
          <w:sz w:val="24"/>
          <w:szCs w:val="24"/>
        </w:rPr>
        <w:t>rHuMGDF</w:t>
      </w:r>
      <w:proofErr w:type="spellEnd"/>
      <w:r w:rsidRPr="00B747CD">
        <w:rPr>
          <w:rFonts w:ascii="Book Antiqua" w:hAnsi="Book Antiqua" w:cs="Arial"/>
          <w:color w:val="000000" w:themeColor="text1"/>
          <w:sz w:val="24"/>
          <w:szCs w:val="24"/>
        </w:rPr>
        <w:t>). These resulted in the development of neutralizing autoantibodies that cross-reacted with endogenous TPO and were therefore discontinued. The next</w:t>
      </w:r>
      <w:r w:rsidR="003C5732"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generation TPO-RAs developed did not have homology to endogenous TPO and did not, therefore, produce an antigenic effect. These included romiplostim (NPLATE</w:t>
      </w:r>
      <w:r w:rsidRPr="00B747CD">
        <w:rPr>
          <w:rFonts w:ascii="Book Antiqua" w:hAnsi="Book Antiqua" w:cs="Arial"/>
          <w:color w:val="000000" w:themeColor="text1"/>
          <w:sz w:val="24"/>
          <w:szCs w:val="24"/>
          <w:vertAlign w:val="superscript"/>
        </w:rPr>
        <w:t>®</w:t>
      </w:r>
      <w:r w:rsidRPr="00B747CD">
        <w:rPr>
          <w:rFonts w:ascii="Book Antiqua" w:hAnsi="Book Antiqua" w:cs="Arial"/>
          <w:color w:val="000000" w:themeColor="text1"/>
          <w:sz w:val="24"/>
          <w:szCs w:val="24"/>
        </w:rPr>
        <w:t xml:space="preserve">) and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w:t>
      </w:r>
      <w:proofErr w:type="spellStart"/>
      <w:r w:rsidRPr="00B747CD">
        <w:rPr>
          <w:rFonts w:ascii="Book Antiqua" w:hAnsi="Book Antiqua" w:cs="Arial"/>
          <w:color w:val="000000" w:themeColor="text1"/>
          <w:sz w:val="24"/>
          <w:szCs w:val="24"/>
        </w:rPr>
        <w:t>Promacta</w:t>
      </w:r>
      <w:proofErr w:type="spellEnd"/>
      <w:r w:rsidRPr="00B747CD">
        <w:rPr>
          <w:rFonts w:ascii="Book Antiqua" w:hAnsi="Book Antiqua" w:cs="Arial"/>
          <w:color w:val="000000" w:themeColor="text1"/>
          <w:sz w:val="24"/>
          <w:szCs w:val="24"/>
          <w:vertAlign w:val="superscript"/>
        </w:rPr>
        <w:t>®</w:t>
      </w:r>
      <w:r w:rsidRPr="00B747CD">
        <w:rPr>
          <w:rFonts w:ascii="Book Antiqua" w:hAnsi="Book Antiqua" w:cs="Arial"/>
          <w:color w:val="000000" w:themeColor="text1"/>
          <w:sz w:val="24"/>
          <w:szCs w:val="24"/>
        </w:rPr>
        <w:t>/</w:t>
      </w:r>
      <w:proofErr w:type="spellStart"/>
      <w:r w:rsidRPr="00B747CD">
        <w:rPr>
          <w:rFonts w:ascii="Book Antiqua" w:hAnsi="Book Antiqua" w:cs="Arial"/>
          <w:color w:val="000000" w:themeColor="text1"/>
          <w:sz w:val="24"/>
          <w:szCs w:val="24"/>
        </w:rPr>
        <w:t>Revolade</w:t>
      </w:r>
      <w:proofErr w:type="spellEnd"/>
      <w:r w:rsidRPr="00B747CD">
        <w:rPr>
          <w:rFonts w:ascii="Book Antiqua" w:hAnsi="Book Antiqua" w:cs="Arial"/>
          <w:color w:val="000000" w:themeColor="text1"/>
          <w:sz w:val="24"/>
          <w:szCs w:val="24"/>
          <w:vertAlign w:val="superscript"/>
        </w:rPr>
        <w:t>®</w:t>
      </w:r>
      <w:r w:rsidRPr="00B747CD">
        <w:rPr>
          <w:rFonts w:ascii="Book Antiqua" w:hAnsi="Book Antiqua" w:cs="Arial"/>
          <w:color w:val="000000" w:themeColor="text1"/>
          <w:sz w:val="24"/>
          <w:szCs w:val="24"/>
        </w:rPr>
        <w:t xml:space="preserve">), and most recently,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 (</w:t>
      </w:r>
      <w:proofErr w:type="spellStart"/>
      <w:r w:rsidRPr="00B747CD">
        <w:rPr>
          <w:rFonts w:ascii="Book Antiqua" w:hAnsi="Book Antiqua" w:cs="Arial"/>
          <w:color w:val="000000" w:themeColor="text1"/>
          <w:sz w:val="24"/>
          <w:szCs w:val="24"/>
        </w:rPr>
        <w:t>Doptelet</w:t>
      </w:r>
      <w:proofErr w:type="spellEnd"/>
      <w:r w:rsidRPr="00B747CD">
        <w:rPr>
          <w:rFonts w:ascii="Book Antiqua" w:hAnsi="Book Antiqua" w:cs="Arial"/>
          <w:color w:val="000000" w:themeColor="text1"/>
          <w:sz w:val="24"/>
          <w:szCs w:val="24"/>
          <w:vertAlign w:val="superscript"/>
        </w:rPr>
        <w:t>®</w:t>
      </w:r>
      <w:r w:rsidRPr="00B747CD">
        <w:rPr>
          <w:rFonts w:ascii="Book Antiqua" w:hAnsi="Book Antiqua" w:cs="Arial"/>
          <w:color w:val="000000" w:themeColor="text1"/>
          <w:sz w:val="24"/>
          <w:szCs w:val="24"/>
        </w:rPr>
        <w:t xml:space="preserve">) and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 (</w:t>
      </w:r>
      <w:proofErr w:type="spellStart"/>
      <w:r w:rsidRPr="00B747CD">
        <w:rPr>
          <w:rFonts w:ascii="Book Antiqua" w:hAnsi="Book Antiqua" w:cs="Arial"/>
          <w:color w:val="000000" w:themeColor="text1"/>
          <w:sz w:val="24"/>
          <w:szCs w:val="24"/>
        </w:rPr>
        <w:t>Mulpleta</w:t>
      </w:r>
      <w:proofErr w:type="spellEnd"/>
      <w:proofErr w:type="gramStart"/>
      <w:r w:rsidRPr="00B747CD">
        <w:rPr>
          <w:rFonts w:ascii="Book Antiqua" w:hAnsi="Book Antiqua" w:cs="Arial"/>
          <w:color w:val="000000" w:themeColor="text1"/>
          <w:sz w:val="24"/>
          <w:szCs w:val="24"/>
          <w:vertAlign w:val="superscript"/>
        </w:rPr>
        <w:t>®</w:t>
      </w:r>
      <w:r w:rsidRPr="00B747CD">
        <w:rPr>
          <w:rFonts w:ascii="Book Antiqua" w:hAnsi="Book Antiqua" w:cs="Arial"/>
          <w:color w:val="000000" w:themeColor="text1"/>
          <w:sz w:val="24"/>
          <w:szCs w:val="24"/>
        </w:rPr>
        <w:t>)</w:t>
      </w:r>
      <w:r w:rsidR="00531667"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4-7</w:t>
      </w:r>
      <w:r w:rsidR="00531667" w:rsidRPr="00B747CD">
        <w:rPr>
          <w:rFonts w:ascii="Book Antiqua" w:hAnsi="Book Antiqua" w:cs="Arial"/>
          <w:color w:val="000000" w:themeColor="text1"/>
          <w:sz w:val="24"/>
          <w:szCs w:val="24"/>
          <w:vertAlign w:val="superscript"/>
        </w:rPr>
        <w:t>]</w:t>
      </w:r>
      <w:r w:rsidR="003C5732"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Of these,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 and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 are approved by the U</w:t>
      </w:r>
      <w:r w:rsidR="003C5732" w:rsidRPr="00B747CD">
        <w:rPr>
          <w:rFonts w:ascii="Book Antiqua" w:hAnsi="Book Antiqua" w:cs="Arial"/>
          <w:color w:val="000000" w:themeColor="text1"/>
          <w:sz w:val="24"/>
          <w:szCs w:val="24"/>
        </w:rPr>
        <w:t xml:space="preserve">nited </w:t>
      </w:r>
      <w:r w:rsidRPr="00B747CD">
        <w:rPr>
          <w:rFonts w:ascii="Book Antiqua" w:hAnsi="Book Antiqua" w:cs="Arial"/>
          <w:color w:val="000000" w:themeColor="text1"/>
          <w:sz w:val="24"/>
          <w:szCs w:val="24"/>
        </w:rPr>
        <w:t>S</w:t>
      </w:r>
      <w:r w:rsidR="003C5732" w:rsidRPr="00B747CD">
        <w:rPr>
          <w:rFonts w:ascii="Book Antiqua" w:hAnsi="Book Antiqua" w:cs="Arial"/>
          <w:color w:val="000000" w:themeColor="text1"/>
          <w:sz w:val="24"/>
          <w:szCs w:val="24"/>
        </w:rPr>
        <w:t>tates</w:t>
      </w:r>
      <w:r w:rsidRPr="00B747CD">
        <w:rPr>
          <w:rFonts w:ascii="Book Antiqua" w:hAnsi="Book Antiqua" w:cs="Arial"/>
          <w:color w:val="000000" w:themeColor="text1"/>
          <w:sz w:val="24"/>
          <w:szCs w:val="24"/>
        </w:rPr>
        <w:t xml:space="preserve"> Food and Drug Administration for the treatment of thrombocytopenia in patients with </w:t>
      </w:r>
      <w:r w:rsidR="003C5732" w:rsidRPr="00B747CD">
        <w:rPr>
          <w:rFonts w:ascii="Book Antiqua" w:hAnsi="Book Antiqua" w:cs="Arial"/>
          <w:color w:val="000000" w:themeColor="text1"/>
          <w:sz w:val="24"/>
          <w:szCs w:val="24"/>
        </w:rPr>
        <w:t>chronic liver disease (</w:t>
      </w:r>
      <w:r w:rsidRPr="00B747CD">
        <w:rPr>
          <w:rFonts w:ascii="Book Antiqua" w:hAnsi="Book Antiqua" w:cs="Arial"/>
          <w:color w:val="000000" w:themeColor="text1"/>
          <w:sz w:val="24"/>
          <w:szCs w:val="24"/>
        </w:rPr>
        <w:t>CLD</w:t>
      </w:r>
      <w:r w:rsidR="003C5732"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who are scheduled to undergo a procedure. </w:t>
      </w:r>
      <w:proofErr w:type="spellStart"/>
      <w:r w:rsidRPr="00B747CD">
        <w:rPr>
          <w:rFonts w:ascii="Book Antiqua" w:hAnsi="Book Antiqua" w:cs="Arial"/>
          <w:color w:val="000000" w:themeColor="text1"/>
          <w:sz w:val="24"/>
          <w:szCs w:val="24"/>
        </w:rPr>
        <w:t>Hetrombopag</w:t>
      </w:r>
      <w:proofErr w:type="spellEnd"/>
      <w:r w:rsidRPr="00B747CD">
        <w:rPr>
          <w:rFonts w:ascii="Book Antiqua" w:hAnsi="Book Antiqua" w:cs="Arial"/>
          <w:color w:val="000000" w:themeColor="text1"/>
          <w:sz w:val="24"/>
          <w:szCs w:val="24"/>
        </w:rPr>
        <w:t xml:space="preserve"> is another TPO-RA that is currently undergoing Phase 2 trials. </w:t>
      </w:r>
    </w:p>
    <w:p w14:paraId="29E7F74D" w14:textId="77777777" w:rsidR="007545C4" w:rsidRPr="00B747CD" w:rsidRDefault="0089274F" w:rsidP="00B747CD">
      <w:pPr>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Patients with thrombocytopenia can have a negative perioperative outcome and platelet transfusions can be used to manage platelet counts during this period.</w:t>
      </w:r>
      <w:r w:rsidRPr="00B747CD">
        <w:rPr>
          <w:rFonts w:ascii="Book Antiqua" w:hAnsi="Book Antiqua"/>
          <w:color w:val="000000" w:themeColor="text1"/>
          <w:sz w:val="24"/>
          <w:szCs w:val="24"/>
        </w:rPr>
        <w:t xml:space="preserve"> Bleeding risk associated with low platelet counts has been demonstrated in several studies</w:t>
      </w:r>
      <w:r w:rsidR="009C1799" w:rsidRPr="00B747CD">
        <w:rPr>
          <w:rFonts w:ascii="Book Antiqua" w:hAnsi="Book Antiqua"/>
          <w:color w:val="000000" w:themeColor="text1"/>
          <w:sz w:val="24"/>
          <w:szCs w:val="24"/>
        </w:rPr>
        <w:t>;</w:t>
      </w:r>
      <w:r w:rsidRPr="00B747CD">
        <w:rPr>
          <w:rFonts w:ascii="Book Antiqua" w:hAnsi="Book Antiqua"/>
          <w:color w:val="000000" w:themeColor="text1"/>
          <w:sz w:val="24"/>
          <w:szCs w:val="24"/>
        </w:rPr>
        <w:t xml:space="preserve"> however</w:t>
      </w:r>
      <w:r w:rsidR="009C1799" w:rsidRPr="00B747CD">
        <w:rPr>
          <w:rFonts w:ascii="Book Antiqua" w:hAnsi="Book Antiqua"/>
          <w:color w:val="000000" w:themeColor="text1"/>
          <w:sz w:val="24"/>
          <w:szCs w:val="24"/>
        </w:rPr>
        <w:t>,</w:t>
      </w:r>
      <w:r w:rsidRPr="00B747CD">
        <w:rPr>
          <w:rFonts w:ascii="Book Antiqua" w:hAnsi="Book Antiqua"/>
          <w:color w:val="000000" w:themeColor="text1"/>
          <w:sz w:val="24"/>
          <w:szCs w:val="24"/>
        </w:rPr>
        <w:t xml:space="preserve"> the literature is equivocal</w:t>
      </w:r>
      <w:r w:rsidR="006E36DC" w:rsidRPr="00B747CD">
        <w:rPr>
          <w:rFonts w:ascii="Book Antiqua" w:hAnsi="Book Antiqua"/>
          <w:color w:val="000000" w:themeColor="text1"/>
          <w:sz w:val="24"/>
          <w:szCs w:val="24"/>
        </w:rPr>
        <w:t>,</w:t>
      </w:r>
      <w:r w:rsidRPr="00B747CD">
        <w:rPr>
          <w:rFonts w:ascii="Book Antiqua" w:hAnsi="Book Antiqua"/>
          <w:color w:val="000000" w:themeColor="text1"/>
          <w:sz w:val="24"/>
          <w:szCs w:val="24"/>
        </w:rPr>
        <w:t xml:space="preserve"> as some studies do not support an association. </w:t>
      </w:r>
      <w:r w:rsidRPr="00B747CD">
        <w:rPr>
          <w:rFonts w:ascii="Book Antiqua" w:hAnsi="Book Antiqua" w:cs="Arial"/>
          <w:color w:val="000000" w:themeColor="text1"/>
          <w:sz w:val="24"/>
          <w:szCs w:val="24"/>
        </w:rPr>
        <w:t>The optimal platelet count prior to performance of surgery varies</w:t>
      </w:r>
      <w:r w:rsidR="006E36DC"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depending on the </w:t>
      </w:r>
      <w:r w:rsidRPr="00B747CD">
        <w:rPr>
          <w:rFonts w:ascii="Book Antiqua" w:hAnsi="Book Antiqua" w:cs="Arial"/>
          <w:color w:val="000000" w:themeColor="text1"/>
          <w:sz w:val="24"/>
          <w:szCs w:val="24"/>
        </w:rPr>
        <w:lastRenderedPageBreak/>
        <w:t xml:space="preserve">procedure and on patient variables, and while various guidelines advocate different platelet count thresholds for different invasive procedures, there </w:t>
      </w:r>
      <w:r w:rsidR="009332C7" w:rsidRPr="00B747CD">
        <w:rPr>
          <w:rFonts w:ascii="Book Antiqua" w:hAnsi="Book Antiqua" w:cs="Arial"/>
          <w:color w:val="000000" w:themeColor="text1"/>
          <w:sz w:val="24"/>
          <w:szCs w:val="24"/>
        </w:rPr>
        <w:t>are</w:t>
      </w:r>
      <w:r w:rsidRPr="00B747CD">
        <w:rPr>
          <w:rFonts w:ascii="Book Antiqua" w:hAnsi="Book Antiqua" w:cs="Arial"/>
          <w:color w:val="000000" w:themeColor="text1"/>
          <w:sz w:val="24"/>
          <w:szCs w:val="24"/>
        </w:rPr>
        <w:t xml:space="preserve"> inadequate data to support these recommendations. For instance, the British Society of Hematology proposes thresholds of 50, 80 and 100 </w:t>
      </w:r>
      <w:r w:rsidR="006E36DC" w:rsidRPr="00B747CD">
        <w:rPr>
          <w:rFonts w:ascii="Book Antiqua" w:hAnsi="Book Antiqua" w:cs="Arial"/>
          <w:color w:val="000000" w:themeColor="text1"/>
          <w:sz w:val="24"/>
          <w:szCs w:val="24"/>
        </w:rPr>
        <w:sym w:font="Symbol" w:char="F0B4"/>
      </w:r>
      <w:r w:rsidR="00335B2F"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10</w:t>
      </w:r>
      <w:r w:rsidRPr="00B747CD">
        <w:rPr>
          <w:rFonts w:ascii="Book Antiqua" w:eastAsia="Times New Roman" w:hAnsi="Book Antiqua" w:cs="Arial"/>
          <w:bCs/>
          <w:color w:val="000000" w:themeColor="text1"/>
          <w:sz w:val="24"/>
          <w:szCs w:val="24"/>
          <w:vertAlign w:val="superscript"/>
        </w:rPr>
        <w:t>9</w:t>
      </w:r>
      <w:r w:rsidRPr="00B747CD">
        <w:rPr>
          <w:rFonts w:ascii="Book Antiqua" w:hAnsi="Book Antiqua" w:cs="Arial"/>
          <w:color w:val="000000" w:themeColor="text1"/>
          <w:sz w:val="24"/>
          <w:szCs w:val="24"/>
        </w:rPr>
        <w:t xml:space="preserve">/L </w:t>
      </w:r>
      <w:r w:rsidR="006E36DC" w:rsidRPr="00B747CD">
        <w:rPr>
          <w:rFonts w:ascii="Book Antiqua" w:hAnsi="Book Antiqua" w:cs="Arial"/>
          <w:color w:val="000000" w:themeColor="text1"/>
          <w:sz w:val="24"/>
          <w:szCs w:val="24"/>
        </w:rPr>
        <w:t>according to</w:t>
      </w:r>
      <w:r w:rsidRPr="00B747CD">
        <w:rPr>
          <w:rFonts w:ascii="Book Antiqua" w:hAnsi="Book Antiqua" w:cs="Arial"/>
          <w:color w:val="000000" w:themeColor="text1"/>
          <w:sz w:val="24"/>
          <w:szCs w:val="24"/>
        </w:rPr>
        <w:t xml:space="preserve"> the type of invasive </w:t>
      </w:r>
      <w:proofErr w:type="gramStart"/>
      <w:r w:rsidRPr="00B747CD">
        <w:rPr>
          <w:rFonts w:ascii="Book Antiqua" w:hAnsi="Book Antiqua" w:cs="Arial"/>
          <w:color w:val="000000" w:themeColor="text1"/>
          <w:sz w:val="24"/>
          <w:szCs w:val="24"/>
        </w:rPr>
        <w:t>procedure</w:t>
      </w:r>
      <w:r w:rsidR="00AA0903"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8</w:t>
      </w:r>
      <w:r w:rsidR="00AA0903" w:rsidRPr="00B747CD">
        <w:rPr>
          <w:rFonts w:ascii="Book Antiqua" w:hAnsi="Book Antiqua" w:cs="Arial"/>
          <w:color w:val="000000" w:themeColor="text1"/>
          <w:sz w:val="24"/>
          <w:szCs w:val="24"/>
          <w:vertAlign w:val="superscript"/>
        </w:rPr>
        <w:t>]</w:t>
      </w:r>
      <w:r w:rsidR="006E36DC" w:rsidRPr="00B747CD">
        <w:rPr>
          <w:rFonts w:ascii="Book Antiqua" w:hAnsi="Book Antiqua" w:cs="Arial"/>
          <w:color w:val="000000" w:themeColor="text1"/>
          <w:sz w:val="24"/>
          <w:szCs w:val="24"/>
        </w:rPr>
        <w:t>.</w:t>
      </w:r>
    </w:p>
    <w:p w14:paraId="5D652205" w14:textId="77777777" w:rsidR="007545C4" w:rsidRPr="00B747CD" w:rsidRDefault="0089274F" w:rsidP="00B747CD">
      <w:pPr>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This review will provide an overview of the currently available TPO-RAs</w:t>
      </w:r>
      <w:r w:rsidR="008B5B7D"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with a focus on their use in the perioperative setting in patients with thrombocytopenia and CLD, associated supporting clinical trials</w:t>
      </w:r>
      <w:r w:rsidR="008B5B7D"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including the efficacy and safety data, and their use with respect to platelet transfusions. </w:t>
      </w:r>
    </w:p>
    <w:p w14:paraId="5392CB88" w14:textId="77777777" w:rsidR="007545C4" w:rsidRPr="00B747CD" w:rsidRDefault="007545C4" w:rsidP="00B747CD">
      <w:pPr>
        <w:adjustRightInd w:val="0"/>
        <w:snapToGrid w:val="0"/>
        <w:spacing w:after="0" w:line="360" w:lineRule="auto"/>
        <w:jc w:val="both"/>
        <w:rPr>
          <w:rFonts w:ascii="Book Antiqua" w:hAnsi="Book Antiqua" w:cs="Arial"/>
          <w:color w:val="000000" w:themeColor="text1"/>
          <w:sz w:val="24"/>
          <w:szCs w:val="24"/>
          <w:lang w:eastAsia="zh-CN"/>
        </w:rPr>
      </w:pPr>
    </w:p>
    <w:p w14:paraId="14FC1FC6" w14:textId="0BD70977" w:rsidR="0089274F" w:rsidRPr="00B747CD" w:rsidRDefault="00A86760" w:rsidP="00B747CD">
      <w:pPr>
        <w:adjustRightInd w:val="0"/>
        <w:snapToGrid w:val="0"/>
        <w:spacing w:after="0" w:line="360" w:lineRule="auto"/>
        <w:jc w:val="both"/>
        <w:rPr>
          <w:rFonts w:ascii="Book Antiqua" w:hAnsi="Book Antiqua" w:cs="Arial"/>
          <w:color w:val="000000" w:themeColor="text1"/>
          <w:sz w:val="24"/>
          <w:szCs w:val="24"/>
        </w:rPr>
      </w:pPr>
      <w:r w:rsidRPr="00B747CD">
        <w:rPr>
          <w:rFonts w:ascii="Book Antiqua" w:hAnsi="Book Antiqua" w:cs="Arial"/>
          <w:b/>
          <w:bCs/>
          <w:color w:val="000000" w:themeColor="text1"/>
          <w:sz w:val="24"/>
          <w:szCs w:val="24"/>
          <w:u w:val="single"/>
        </w:rPr>
        <w:t>ROMIPLOSTIM</w:t>
      </w:r>
    </w:p>
    <w:p w14:paraId="275B991E" w14:textId="23E6E0BB" w:rsidR="0089274F" w:rsidRPr="00B747CD" w:rsidRDefault="0089274F" w:rsidP="00B747CD">
      <w:pPr>
        <w:adjustRightInd w:val="0"/>
        <w:snapToGrid w:val="0"/>
        <w:spacing w:after="0"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Romiplostim is a recombinant fusion protein (</w:t>
      </w:r>
      <w:proofErr w:type="spellStart"/>
      <w:r w:rsidRPr="00B747CD">
        <w:rPr>
          <w:rFonts w:ascii="Book Antiqua" w:hAnsi="Book Antiqua" w:cs="Arial"/>
          <w:color w:val="000000" w:themeColor="text1"/>
          <w:sz w:val="24"/>
          <w:szCs w:val="24"/>
        </w:rPr>
        <w:t>peptibody</w:t>
      </w:r>
      <w:proofErr w:type="spellEnd"/>
      <w:proofErr w:type="gramStart"/>
      <w:r w:rsidRPr="00B747CD">
        <w:rPr>
          <w:rFonts w:ascii="Book Antiqua" w:hAnsi="Book Antiqua" w:cs="Arial"/>
          <w:color w:val="000000" w:themeColor="text1"/>
          <w:sz w:val="24"/>
          <w:szCs w:val="24"/>
        </w:rPr>
        <w:t>)</w:t>
      </w:r>
      <w:r w:rsidR="00AA0903"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4</w:t>
      </w:r>
      <w:r w:rsidR="00AA0903" w:rsidRPr="00B747CD">
        <w:rPr>
          <w:rFonts w:ascii="Book Antiqua" w:hAnsi="Book Antiqua" w:cs="Arial"/>
          <w:color w:val="000000" w:themeColor="text1"/>
          <w:sz w:val="24"/>
          <w:szCs w:val="24"/>
          <w:vertAlign w:val="superscript"/>
        </w:rPr>
        <w:t>]</w:t>
      </w:r>
      <w:r w:rsidRPr="00B747CD">
        <w:rPr>
          <w:rFonts w:ascii="Book Antiqua" w:hAnsi="Book Antiqua" w:cs="Arial"/>
          <w:color w:val="000000" w:themeColor="text1"/>
          <w:sz w:val="24"/>
          <w:szCs w:val="24"/>
        </w:rPr>
        <w:t xml:space="preserve"> containing </w:t>
      </w:r>
      <w:r w:rsidR="00335B2F" w:rsidRPr="00B747CD">
        <w:rPr>
          <w:rFonts w:ascii="Book Antiqua" w:hAnsi="Book Antiqua" w:cs="Arial"/>
          <w:color w:val="000000" w:themeColor="text1"/>
          <w:sz w:val="24"/>
          <w:szCs w:val="24"/>
        </w:rPr>
        <w:t>two</w:t>
      </w:r>
      <w:r w:rsidRPr="00B747CD">
        <w:rPr>
          <w:rFonts w:ascii="Book Antiqua" w:hAnsi="Book Antiqua" w:cs="Arial"/>
          <w:color w:val="000000" w:themeColor="text1"/>
          <w:sz w:val="24"/>
          <w:szCs w:val="24"/>
        </w:rPr>
        <w:t xml:space="preserve"> identical single-chain subunits, each consisting of a human immunoglobulin IgG1 Fc domain covalently linked to a peptide</w:t>
      </w:r>
      <w:r w:rsidR="008B5B7D" w:rsidRPr="00B747CD">
        <w:rPr>
          <w:rFonts w:ascii="Book Antiqua" w:hAnsi="Book Antiqua" w:cs="Arial"/>
          <w:color w:val="000000" w:themeColor="text1"/>
          <w:sz w:val="24"/>
          <w:szCs w:val="24"/>
        </w:rPr>
        <w:t>, itself</w:t>
      </w:r>
      <w:r w:rsidRPr="00B747CD">
        <w:rPr>
          <w:rFonts w:ascii="Book Antiqua" w:hAnsi="Book Antiqua" w:cs="Arial"/>
          <w:color w:val="000000" w:themeColor="text1"/>
          <w:sz w:val="24"/>
          <w:szCs w:val="24"/>
        </w:rPr>
        <w:t xml:space="preserve"> containing two TPO receptor binding domains. It has no sequence homology to endogenous TPO and is produced using recombinant DNA technology in </w:t>
      </w:r>
      <w:r w:rsidRPr="00B747CD">
        <w:rPr>
          <w:rFonts w:ascii="Book Antiqua" w:hAnsi="Book Antiqua" w:cs="Arial"/>
          <w:i/>
          <w:color w:val="000000" w:themeColor="text1"/>
          <w:sz w:val="24"/>
          <w:szCs w:val="24"/>
        </w:rPr>
        <w:t>Escherichia coli</w:t>
      </w:r>
      <w:r w:rsidRPr="00B747CD">
        <w:rPr>
          <w:rFonts w:ascii="Book Antiqua" w:hAnsi="Book Antiqua" w:cs="Arial"/>
          <w:color w:val="000000" w:themeColor="text1"/>
          <w:sz w:val="24"/>
          <w:szCs w:val="24"/>
        </w:rPr>
        <w:t xml:space="preserve">. </w:t>
      </w:r>
      <w:r w:rsidRPr="00B747CD">
        <w:rPr>
          <w:rFonts w:ascii="Book Antiqua" w:eastAsia="Times New Roman" w:hAnsi="Book Antiqua" w:cs="Arial"/>
          <w:bCs/>
          <w:color w:val="000000" w:themeColor="text1"/>
          <w:sz w:val="24"/>
          <w:szCs w:val="24"/>
        </w:rPr>
        <w:t>Romiplostim increases platelet production in a dose-dependent manner by the binding and activation of the TPO receptor</w:t>
      </w:r>
      <w:r w:rsidR="00FC5D3D"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c</w:t>
      </w:r>
      <w:r w:rsidR="00FC5D3D" w:rsidRPr="00B747CD">
        <w:rPr>
          <w:rFonts w:ascii="Book Antiqua" w:eastAsia="Times New Roman" w:hAnsi="Book Antiqua" w:cs="Arial"/>
          <w:bCs/>
          <w:color w:val="000000" w:themeColor="text1"/>
          <w:sz w:val="24"/>
          <w:szCs w:val="24"/>
        </w:rPr>
        <w:t>-</w:t>
      </w:r>
      <w:proofErr w:type="spellStart"/>
      <w:r w:rsidRPr="00B747CD">
        <w:rPr>
          <w:rFonts w:ascii="Book Antiqua" w:eastAsia="Times New Roman" w:hAnsi="Book Antiqua" w:cs="Arial"/>
          <w:bCs/>
          <w:color w:val="000000" w:themeColor="text1"/>
          <w:sz w:val="24"/>
          <w:szCs w:val="24"/>
        </w:rPr>
        <w:t>Mpl</w:t>
      </w:r>
      <w:proofErr w:type="spellEnd"/>
      <w:r w:rsidRPr="00B747CD">
        <w:rPr>
          <w:rFonts w:ascii="Book Antiqua" w:eastAsia="Times New Roman" w:hAnsi="Book Antiqua" w:cs="Arial"/>
          <w:bCs/>
          <w:color w:val="000000" w:themeColor="text1"/>
          <w:sz w:val="24"/>
          <w:szCs w:val="24"/>
        </w:rPr>
        <w:t xml:space="preserve">. </w:t>
      </w:r>
      <w:r w:rsidR="0068302E" w:rsidRPr="00B747CD">
        <w:rPr>
          <w:rFonts w:ascii="Book Antiqua" w:eastAsia="Times New Roman" w:hAnsi="Book Antiqua" w:cs="Arial"/>
          <w:bCs/>
          <w:color w:val="000000" w:themeColor="text1"/>
          <w:sz w:val="24"/>
          <w:szCs w:val="24"/>
        </w:rPr>
        <w:t>As it is given intravenously, romiplostim avoids first</w:t>
      </w:r>
      <w:r w:rsidR="00FC5D3D" w:rsidRPr="00B747CD">
        <w:rPr>
          <w:rFonts w:ascii="Book Antiqua" w:eastAsia="Times New Roman" w:hAnsi="Book Antiqua" w:cs="Arial"/>
          <w:bCs/>
          <w:color w:val="000000" w:themeColor="text1"/>
          <w:sz w:val="24"/>
          <w:szCs w:val="24"/>
        </w:rPr>
        <w:t>-</w:t>
      </w:r>
      <w:r w:rsidR="0068302E" w:rsidRPr="00B747CD">
        <w:rPr>
          <w:rFonts w:ascii="Book Antiqua" w:eastAsia="Times New Roman" w:hAnsi="Book Antiqua" w:cs="Arial"/>
          <w:bCs/>
          <w:color w:val="000000" w:themeColor="text1"/>
          <w:sz w:val="24"/>
          <w:szCs w:val="24"/>
        </w:rPr>
        <w:t>pass metabolism and is cleared by its binding to c-</w:t>
      </w:r>
      <w:proofErr w:type="spellStart"/>
      <w:r w:rsidR="0068302E" w:rsidRPr="00B747CD">
        <w:rPr>
          <w:rFonts w:ascii="Book Antiqua" w:eastAsia="Times New Roman" w:hAnsi="Book Antiqua" w:cs="Arial"/>
          <w:bCs/>
          <w:color w:val="000000" w:themeColor="text1"/>
          <w:sz w:val="24"/>
          <w:szCs w:val="24"/>
        </w:rPr>
        <w:t>Mpl</w:t>
      </w:r>
      <w:proofErr w:type="spellEnd"/>
      <w:r w:rsidR="0068302E" w:rsidRPr="00B747CD">
        <w:rPr>
          <w:rFonts w:ascii="Book Antiqua" w:eastAsia="Times New Roman" w:hAnsi="Book Antiqua" w:cs="Arial"/>
          <w:bCs/>
          <w:color w:val="000000" w:themeColor="text1"/>
          <w:sz w:val="24"/>
          <w:szCs w:val="24"/>
        </w:rPr>
        <w:t xml:space="preserve"> receptors and </w:t>
      </w:r>
      <w:r w:rsidR="0068302E" w:rsidRPr="00B747CD">
        <w:rPr>
          <w:rFonts w:ascii="Book Antiqua" w:eastAsia="Times New Roman" w:hAnsi="Book Antiqua" w:cs="Arial"/>
          <w:bCs/>
          <w:i/>
          <w:iCs/>
          <w:color w:val="000000" w:themeColor="text1"/>
          <w:sz w:val="24"/>
          <w:szCs w:val="24"/>
        </w:rPr>
        <w:t>via</w:t>
      </w:r>
      <w:r w:rsidR="0068302E" w:rsidRPr="00B747CD">
        <w:rPr>
          <w:rFonts w:ascii="Book Antiqua" w:eastAsia="Times New Roman" w:hAnsi="Book Antiqua" w:cs="Arial"/>
          <w:bCs/>
          <w:color w:val="000000" w:themeColor="text1"/>
          <w:sz w:val="24"/>
          <w:szCs w:val="24"/>
        </w:rPr>
        <w:t xml:space="preserve"> the renal pathway. </w:t>
      </w:r>
      <w:r w:rsidRPr="00B747CD">
        <w:rPr>
          <w:rFonts w:ascii="Book Antiqua" w:eastAsia="Times New Roman" w:hAnsi="Book Antiqua" w:cs="Arial"/>
          <w:bCs/>
          <w:color w:val="000000" w:themeColor="text1"/>
          <w:sz w:val="24"/>
          <w:szCs w:val="24"/>
        </w:rPr>
        <w:t xml:space="preserve">A single subcutaneous dose of 1 </w:t>
      </w:r>
      <w:r w:rsidR="00FC5D3D" w:rsidRPr="00B747CD">
        <w:rPr>
          <w:rFonts w:ascii="Book Antiqua" w:eastAsia="Times New Roman" w:hAnsi="Book Antiqua" w:cs="Arial"/>
          <w:bCs/>
          <w:color w:val="000000" w:themeColor="text1"/>
          <w:sz w:val="24"/>
          <w:szCs w:val="24"/>
        </w:rPr>
        <w:t xml:space="preserve">mcg/kg </w:t>
      </w:r>
      <w:r w:rsidRPr="00B747CD">
        <w:rPr>
          <w:rFonts w:ascii="Book Antiqua" w:eastAsia="Times New Roman" w:hAnsi="Book Antiqua" w:cs="Arial"/>
          <w:bCs/>
          <w:color w:val="000000" w:themeColor="text1"/>
          <w:sz w:val="24"/>
          <w:szCs w:val="24"/>
        </w:rPr>
        <w:t>to</w:t>
      </w:r>
      <w:r w:rsidR="00780C02"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10</w:t>
      </w:r>
      <w:r w:rsidR="00780C02"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mcg/kg in patients with immune thrombocytopenia (ITP) results in a peak platelet count 1.3</w:t>
      </w:r>
      <w:r w:rsidR="00FC5D3D"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14.9 times greater than the baseline platelet count over a 2-</w:t>
      </w:r>
      <w:r w:rsidR="00FC5D3D" w:rsidRPr="00B747CD">
        <w:rPr>
          <w:rFonts w:ascii="Book Antiqua" w:eastAsia="Times New Roman" w:hAnsi="Book Antiqua" w:cs="Arial"/>
          <w:bCs/>
          <w:color w:val="000000" w:themeColor="text1"/>
          <w:sz w:val="24"/>
          <w:szCs w:val="24"/>
        </w:rPr>
        <w:t>wk</w:t>
      </w:r>
      <w:r w:rsidRPr="00B747CD">
        <w:rPr>
          <w:rFonts w:ascii="Book Antiqua" w:eastAsia="Times New Roman" w:hAnsi="Book Antiqua" w:cs="Arial"/>
          <w:bCs/>
          <w:color w:val="000000" w:themeColor="text1"/>
          <w:sz w:val="24"/>
          <w:szCs w:val="24"/>
        </w:rPr>
        <w:t xml:space="preserve"> to 3-wk study </w:t>
      </w:r>
      <w:proofErr w:type="gramStart"/>
      <w:r w:rsidRPr="00B747CD">
        <w:rPr>
          <w:rFonts w:ascii="Book Antiqua" w:eastAsia="Times New Roman" w:hAnsi="Book Antiqua" w:cs="Arial"/>
          <w:bCs/>
          <w:color w:val="000000" w:themeColor="text1"/>
          <w:sz w:val="24"/>
          <w:szCs w:val="24"/>
        </w:rPr>
        <w:t>period</w:t>
      </w:r>
      <w:r w:rsidR="00B13940" w:rsidRPr="00B747CD">
        <w:rPr>
          <w:rFonts w:ascii="Book Antiqua" w:hAnsi="Book Antiqua" w:cs="Arial"/>
          <w:color w:val="000000" w:themeColor="text1"/>
          <w:sz w:val="24"/>
          <w:szCs w:val="24"/>
          <w:vertAlign w:val="superscript"/>
        </w:rPr>
        <w:t>[</w:t>
      </w:r>
      <w:proofErr w:type="gramEnd"/>
      <w:r w:rsidRPr="00B747CD">
        <w:rPr>
          <w:rFonts w:ascii="Book Antiqua" w:eastAsia="Times New Roman" w:hAnsi="Book Antiqua" w:cs="Arial"/>
          <w:bCs/>
          <w:color w:val="000000" w:themeColor="text1"/>
          <w:sz w:val="24"/>
          <w:szCs w:val="24"/>
          <w:vertAlign w:val="superscript"/>
        </w:rPr>
        <w:t>4</w:t>
      </w:r>
      <w:r w:rsidR="00A3582B" w:rsidRPr="00B747CD">
        <w:rPr>
          <w:rFonts w:ascii="Book Antiqua" w:eastAsia="Times New Roman" w:hAnsi="Book Antiqua" w:cs="Arial"/>
          <w:bCs/>
          <w:color w:val="000000" w:themeColor="text1"/>
          <w:sz w:val="24"/>
          <w:szCs w:val="24"/>
          <w:vertAlign w:val="superscript"/>
        </w:rPr>
        <w:t>]</w:t>
      </w:r>
      <w:r w:rsidR="00FC5D3D" w:rsidRPr="00B747CD">
        <w:rPr>
          <w:rFonts w:ascii="Book Antiqua" w:eastAsia="Times New Roman" w:hAnsi="Book Antiqua" w:cs="Arial"/>
          <w:bCs/>
          <w:color w:val="000000" w:themeColor="text1"/>
          <w:sz w:val="24"/>
          <w:szCs w:val="24"/>
        </w:rPr>
        <w:t>.</w:t>
      </w:r>
    </w:p>
    <w:p w14:paraId="000DD17E" w14:textId="77777777" w:rsidR="0089274F" w:rsidRPr="00B747CD" w:rsidRDefault="0089274F" w:rsidP="00B747CD">
      <w:pPr>
        <w:adjustRightInd w:val="0"/>
        <w:snapToGrid w:val="0"/>
        <w:spacing w:after="0" w:line="360" w:lineRule="auto"/>
        <w:jc w:val="both"/>
        <w:rPr>
          <w:rFonts w:ascii="Book Antiqua" w:hAnsi="Book Antiqua" w:cs="Arial"/>
          <w:color w:val="000000" w:themeColor="text1"/>
          <w:sz w:val="24"/>
          <w:szCs w:val="24"/>
        </w:rPr>
      </w:pPr>
    </w:p>
    <w:p w14:paraId="2D2A8E17" w14:textId="77777777" w:rsidR="0089274F" w:rsidRPr="00B747CD" w:rsidRDefault="0089274F" w:rsidP="00B747CD">
      <w:pPr>
        <w:adjustRightInd w:val="0"/>
        <w:snapToGrid w:val="0"/>
        <w:spacing w:after="0" w:line="360" w:lineRule="auto"/>
        <w:jc w:val="both"/>
        <w:rPr>
          <w:rFonts w:ascii="Book Antiqua" w:hAnsi="Book Antiqua" w:cs="Arial"/>
          <w:b/>
          <w:i/>
          <w:color w:val="000000" w:themeColor="text1"/>
          <w:sz w:val="24"/>
          <w:szCs w:val="24"/>
        </w:rPr>
      </w:pPr>
      <w:r w:rsidRPr="00B747CD">
        <w:rPr>
          <w:rFonts w:ascii="Book Antiqua" w:hAnsi="Book Antiqua" w:cs="Arial"/>
          <w:b/>
          <w:i/>
          <w:color w:val="000000" w:themeColor="text1"/>
          <w:sz w:val="24"/>
          <w:szCs w:val="24"/>
        </w:rPr>
        <w:t>Efficacy and safety in clinical studies</w:t>
      </w:r>
    </w:p>
    <w:p w14:paraId="2E9CFCB2" w14:textId="77777777" w:rsidR="00231AD7" w:rsidRPr="00B747CD" w:rsidRDefault="0089274F" w:rsidP="00B747CD">
      <w:pPr>
        <w:adjustRightInd w:val="0"/>
        <w:snapToGrid w:val="0"/>
        <w:spacing w:after="0" w:line="360" w:lineRule="auto"/>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 xml:space="preserve">Romiplostim is a subcutaneously administered drug indicated in the treatment of thrombocytopenia in patients with chronic ITP who have </w:t>
      </w:r>
      <w:r w:rsidR="00DB79EB" w:rsidRPr="00B747CD">
        <w:rPr>
          <w:rFonts w:ascii="Book Antiqua" w:hAnsi="Book Antiqua" w:cs="Arial"/>
          <w:color w:val="000000" w:themeColor="text1"/>
          <w:sz w:val="24"/>
          <w:szCs w:val="24"/>
        </w:rPr>
        <w:t>shown</w:t>
      </w:r>
      <w:r w:rsidRPr="00B747CD">
        <w:rPr>
          <w:rFonts w:ascii="Book Antiqua" w:hAnsi="Book Antiqua" w:cs="Arial"/>
          <w:color w:val="000000" w:themeColor="text1"/>
          <w:sz w:val="24"/>
          <w:szCs w:val="24"/>
        </w:rPr>
        <w:t xml:space="preserve"> an insufficient response to corticosteroids, immunoglobulins, or splenectomy. Several studies have explored the efficacy of romiplostim for the management of perioperative thrombocytopenia in patients with CLD (</w:t>
      </w:r>
      <w:r w:rsidRPr="00B747CD">
        <w:rPr>
          <w:rFonts w:ascii="Book Antiqua" w:hAnsi="Book Antiqua" w:cs="Arial"/>
          <w:bCs/>
          <w:color w:val="000000" w:themeColor="text1"/>
          <w:sz w:val="24"/>
          <w:szCs w:val="24"/>
        </w:rPr>
        <w:t>Table 1</w:t>
      </w:r>
      <w:r w:rsidRPr="00B747CD">
        <w:rPr>
          <w:rFonts w:ascii="Book Antiqua" w:hAnsi="Book Antiqua" w:cs="Arial"/>
          <w:color w:val="000000" w:themeColor="text1"/>
          <w:sz w:val="24"/>
          <w:szCs w:val="24"/>
        </w:rPr>
        <w:t xml:space="preserve">). However, the small sample size in </w:t>
      </w:r>
      <w:r w:rsidRPr="00B747CD">
        <w:rPr>
          <w:rFonts w:ascii="Book Antiqua" w:hAnsi="Book Antiqua" w:cs="Arial"/>
          <w:color w:val="000000" w:themeColor="text1"/>
          <w:sz w:val="24"/>
          <w:szCs w:val="24"/>
        </w:rPr>
        <w:lastRenderedPageBreak/>
        <w:t xml:space="preserve">these studies is a major limitation. A 3-mo, single-center, single-arm, open-label study by Moussa </w:t>
      </w:r>
      <w:r w:rsidRPr="00B747CD">
        <w:rPr>
          <w:rFonts w:ascii="Book Antiqua" w:hAnsi="Book Antiqua" w:cs="Arial"/>
          <w:i/>
          <w:color w:val="000000" w:themeColor="text1"/>
          <w:sz w:val="24"/>
          <w:szCs w:val="24"/>
        </w:rPr>
        <w:t>et al</w:t>
      </w:r>
      <w:r w:rsidR="00DB79EB" w:rsidRPr="00B747CD">
        <w:rPr>
          <w:rFonts w:ascii="Book Antiqua" w:hAnsi="Book Antiqua" w:cs="Arial"/>
          <w:color w:val="000000" w:themeColor="text1"/>
          <w:sz w:val="24"/>
          <w:szCs w:val="24"/>
          <w:vertAlign w:val="superscript"/>
        </w:rPr>
        <w:t>[3]</w:t>
      </w:r>
      <w:r w:rsidRPr="00B747CD">
        <w:rPr>
          <w:rFonts w:ascii="Book Antiqua" w:hAnsi="Book Antiqua" w:cs="Arial"/>
          <w:color w:val="000000" w:themeColor="text1"/>
          <w:sz w:val="24"/>
          <w:szCs w:val="24"/>
        </w:rPr>
        <w:t xml:space="preserve"> evaluated the efficacy of preoperative romiplostim treatment in 35 male patients with chronic hepatitis C, liver cirrhosis, and thrombocytopenia secondary to </w:t>
      </w:r>
      <w:r w:rsidR="00DB79EB" w:rsidRPr="00B747CD">
        <w:rPr>
          <w:rFonts w:ascii="Book Antiqua" w:hAnsi="Book Antiqua" w:cs="Arial"/>
          <w:color w:val="000000" w:themeColor="text1"/>
          <w:sz w:val="24"/>
          <w:szCs w:val="24"/>
        </w:rPr>
        <w:t xml:space="preserve">hepatitis C virus </w:t>
      </w:r>
      <w:r w:rsidRPr="00B747CD">
        <w:rPr>
          <w:rFonts w:ascii="Book Antiqua" w:hAnsi="Book Antiqua" w:cs="Arial"/>
          <w:color w:val="000000" w:themeColor="text1"/>
          <w:sz w:val="24"/>
          <w:szCs w:val="24"/>
        </w:rPr>
        <w:t>infection over 90 d. Romiplostim administered at 2</w:t>
      </w:r>
      <w:r w:rsidR="00DB79EB"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sym w:font="Symbol" w:char="F06D"/>
      </w:r>
      <w:r w:rsidRPr="00B747CD">
        <w:rPr>
          <w:rFonts w:ascii="Book Antiqua" w:hAnsi="Book Antiqua" w:cs="Arial"/>
          <w:color w:val="000000" w:themeColor="text1"/>
          <w:sz w:val="24"/>
          <w:szCs w:val="24"/>
        </w:rPr>
        <w:t xml:space="preserve">g/kg once a week for up to </w:t>
      </w:r>
      <w:r w:rsidR="00DB79EB" w:rsidRPr="00B747CD">
        <w:rPr>
          <w:rFonts w:ascii="Book Antiqua" w:hAnsi="Book Antiqua" w:cs="Arial"/>
          <w:color w:val="000000" w:themeColor="text1"/>
          <w:sz w:val="24"/>
          <w:szCs w:val="24"/>
        </w:rPr>
        <w:t xml:space="preserve">1 </w:t>
      </w:r>
      <w:proofErr w:type="spellStart"/>
      <w:r w:rsidR="00DB79EB" w:rsidRPr="00B747CD">
        <w:rPr>
          <w:rFonts w:ascii="Book Antiqua" w:hAnsi="Book Antiqua" w:cs="Arial"/>
          <w:color w:val="000000" w:themeColor="text1"/>
          <w:sz w:val="24"/>
          <w:szCs w:val="24"/>
        </w:rPr>
        <w:t>mo</w:t>
      </w:r>
      <w:proofErr w:type="spellEnd"/>
      <w:r w:rsidRPr="00B747CD">
        <w:rPr>
          <w:rFonts w:ascii="Book Antiqua" w:hAnsi="Book Antiqua" w:cs="Arial"/>
          <w:color w:val="000000" w:themeColor="text1"/>
          <w:sz w:val="24"/>
          <w:szCs w:val="24"/>
        </w:rPr>
        <w:t xml:space="preserve"> before the scheduled surgeries resulted in an increase in platelet counts (</w:t>
      </w:r>
      <w:r w:rsidRPr="00B747CD">
        <w:rPr>
          <w:rFonts w:ascii="Book Antiqua" w:hAnsi="Book Antiqua" w:cs="Arial"/>
          <w:color w:val="000000" w:themeColor="text1"/>
          <w:sz w:val="24"/>
          <w:szCs w:val="24"/>
        </w:rPr>
        <w:sym w:font="Symbol" w:char="F0B3"/>
      </w:r>
      <w:r w:rsidR="00DB79EB"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70 </w:t>
      </w:r>
      <w:r w:rsidR="00DB79EB" w:rsidRPr="00B747CD">
        <w:rPr>
          <w:rFonts w:ascii="Book Antiqua" w:hAnsi="Book Antiqua" w:cs="Arial"/>
          <w:color w:val="000000" w:themeColor="text1"/>
          <w:sz w:val="24"/>
          <w:szCs w:val="24"/>
        </w:rPr>
        <w:sym w:font="Symbol" w:char="F0B4"/>
      </w:r>
      <w:r w:rsidRPr="00B747CD">
        <w:rPr>
          <w:rFonts w:ascii="Book Antiqua" w:hAnsi="Book Antiqua" w:cs="Arial"/>
          <w:color w:val="000000" w:themeColor="text1"/>
          <w:sz w:val="24"/>
          <w:szCs w:val="24"/>
        </w:rPr>
        <w:t xml:space="preserve"> 10</w:t>
      </w:r>
      <w:r w:rsidRPr="00B747CD">
        <w:rPr>
          <w:rFonts w:ascii="Book Antiqua" w:hAnsi="Book Antiqua" w:cs="Arial"/>
          <w:color w:val="000000" w:themeColor="text1"/>
          <w:sz w:val="24"/>
          <w:szCs w:val="24"/>
          <w:vertAlign w:val="superscript"/>
        </w:rPr>
        <w:t>9</w:t>
      </w:r>
      <w:r w:rsidRPr="00B747CD">
        <w:rPr>
          <w:rFonts w:ascii="Book Antiqua" w:hAnsi="Book Antiqua" w:cs="Arial"/>
          <w:color w:val="000000" w:themeColor="text1"/>
          <w:sz w:val="24"/>
          <w:szCs w:val="24"/>
        </w:rPr>
        <w:t>/L) in 33 of the 35 patients, making them eligible for the procedure. Additionally, no serious adverse events</w:t>
      </w:r>
      <w:r w:rsidR="00350EE8" w:rsidRPr="00B747CD">
        <w:rPr>
          <w:rFonts w:ascii="Book Antiqua" w:hAnsi="Book Antiqua" w:cs="Arial"/>
          <w:color w:val="000000" w:themeColor="text1"/>
          <w:sz w:val="24"/>
          <w:szCs w:val="24"/>
        </w:rPr>
        <w:t xml:space="preserve"> (AEs)</w:t>
      </w:r>
      <w:r w:rsidRPr="00B747CD">
        <w:rPr>
          <w:rFonts w:ascii="Book Antiqua" w:hAnsi="Book Antiqua" w:cs="Arial"/>
          <w:color w:val="000000" w:themeColor="text1"/>
          <w:sz w:val="24"/>
          <w:szCs w:val="24"/>
        </w:rPr>
        <w:t xml:space="preserve"> were observed during the treatment period (up to day 30) and none of the patients experienced postoperative bleeding or a thrombotic event within 60 d of the </w:t>
      </w:r>
      <w:proofErr w:type="gramStart"/>
      <w:r w:rsidRPr="00B747CD">
        <w:rPr>
          <w:rFonts w:ascii="Book Antiqua" w:hAnsi="Book Antiqua" w:cs="Arial"/>
          <w:color w:val="000000" w:themeColor="text1"/>
          <w:sz w:val="24"/>
          <w:szCs w:val="24"/>
        </w:rPr>
        <w:t>operation</w:t>
      </w:r>
      <w:r w:rsidR="00B21385"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3</w:t>
      </w:r>
      <w:r w:rsidR="00B21385" w:rsidRPr="00B747CD">
        <w:rPr>
          <w:rFonts w:ascii="Book Antiqua" w:hAnsi="Book Antiqua" w:cs="Arial"/>
          <w:color w:val="000000" w:themeColor="text1"/>
          <w:sz w:val="24"/>
          <w:szCs w:val="24"/>
          <w:vertAlign w:val="superscript"/>
        </w:rPr>
        <w:t>]</w:t>
      </w:r>
      <w:r w:rsidR="00DB79EB"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The authors concluded that preoperative treatment with romiplostim could be a viable and cost-effective alternative for patients </w:t>
      </w:r>
      <w:r w:rsidR="004A3C7F" w:rsidRPr="00B747CD">
        <w:rPr>
          <w:rFonts w:ascii="Book Antiqua" w:hAnsi="Book Antiqua" w:cs="Arial"/>
          <w:color w:val="000000" w:themeColor="text1"/>
          <w:sz w:val="24"/>
          <w:szCs w:val="24"/>
        </w:rPr>
        <w:t xml:space="preserve">who are </w:t>
      </w:r>
      <w:r w:rsidRPr="00B747CD">
        <w:rPr>
          <w:rFonts w:ascii="Book Antiqua" w:hAnsi="Book Antiqua" w:cs="Arial"/>
          <w:color w:val="000000" w:themeColor="text1"/>
          <w:sz w:val="24"/>
          <w:szCs w:val="24"/>
        </w:rPr>
        <w:t xml:space="preserve">unresponsive to standard therapy. </w:t>
      </w:r>
    </w:p>
    <w:p w14:paraId="4A7565AA" w14:textId="77777777" w:rsidR="00054247" w:rsidRPr="00B747CD" w:rsidRDefault="0089274F" w:rsidP="00B747CD">
      <w:pPr>
        <w:adjustRightInd w:val="0"/>
        <w:snapToGrid w:val="0"/>
        <w:spacing w:after="0" w:line="360" w:lineRule="auto"/>
        <w:ind w:firstLineChars="200" w:firstLine="480"/>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 xml:space="preserve">A recent single-center retrospective review of 47 patients treated with romiplostim perioperatively showed that the median platelet counts improved from 47 </w:t>
      </w:r>
      <w:r w:rsidR="004A3C7F" w:rsidRPr="00B747CD">
        <w:rPr>
          <w:rFonts w:ascii="Book Antiqua" w:hAnsi="Book Antiqua" w:cs="Arial"/>
          <w:color w:val="000000" w:themeColor="text1"/>
          <w:sz w:val="24"/>
          <w:szCs w:val="24"/>
        </w:rPr>
        <w:sym w:font="Symbol" w:char="F0B4"/>
      </w:r>
      <w:r w:rsidRPr="00B747CD">
        <w:rPr>
          <w:rFonts w:ascii="Book Antiqua" w:hAnsi="Book Antiqua" w:cs="Arial"/>
          <w:color w:val="000000" w:themeColor="text1"/>
          <w:sz w:val="24"/>
          <w:szCs w:val="24"/>
        </w:rPr>
        <w:t xml:space="preserve"> 10</w:t>
      </w:r>
      <w:r w:rsidRPr="00B747CD">
        <w:rPr>
          <w:rFonts w:ascii="Book Antiqua" w:hAnsi="Book Antiqua" w:cs="Arial"/>
          <w:color w:val="000000" w:themeColor="text1"/>
          <w:sz w:val="24"/>
          <w:szCs w:val="24"/>
          <w:vertAlign w:val="superscript"/>
        </w:rPr>
        <w:t>9</w:t>
      </w:r>
      <w:r w:rsidRPr="00B747CD">
        <w:rPr>
          <w:rFonts w:ascii="Book Antiqua" w:hAnsi="Book Antiqua" w:cs="Arial"/>
          <w:color w:val="000000" w:themeColor="text1"/>
          <w:sz w:val="24"/>
          <w:szCs w:val="24"/>
        </w:rPr>
        <w:t xml:space="preserve">/L at the time of romiplostim initiation to 164 </w:t>
      </w:r>
      <w:r w:rsidR="004A3C7F" w:rsidRPr="00B747CD">
        <w:rPr>
          <w:rFonts w:ascii="Book Antiqua" w:hAnsi="Book Antiqua" w:cs="Arial"/>
          <w:color w:val="000000" w:themeColor="text1"/>
          <w:sz w:val="24"/>
          <w:szCs w:val="24"/>
        </w:rPr>
        <w:sym w:font="Symbol" w:char="F0B4"/>
      </w:r>
      <w:r w:rsidRPr="00B747CD">
        <w:rPr>
          <w:rFonts w:ascii="Book Antiqua" w:hAnsi="Book Antiqua" w:cs="Arial"/>
          <w:color w:val="000000" w:themeColor="text1"/>
          <w:sz w:val="24"/>
          <w:szCs w:val="24"/>
        </w:rPr>
        <w:t xml:space="preserve"> 10</w:t>
      </w:r>
      <w:r w:rsidRPr="00B747CD">
        <w:rPr>
          <w:rFonts w:ascii="Book Antiqua" w:hAnsi="Book Antiqua" w:cs="Arial"/>
          <w:color w:val="000000" w:themeColor="text1"/>
          <w:sz w:val="24"/>
          <w:szCs w:val="24"/>
          <w:vertAlign w:val="superscript"/>
        </w:rPr>
        <w:t>9</w:t>
      </w:r>
      <w:r w:rsidRPr="00B747CD">
        <w:rPr>
          <w:rFonts w:ascii="Book Antiqua" w:hAnsi="Book Antiqua" w:cs="Arial"/>
          <w:color w:val="000000" w:themeColor="text1"/>
          <w:sz w:val="24"/>
          <w:szCs w:val="24"/>
        </w:rPr>
        <w:t>/L at the time of surgery. Romiplostim at a dose of 3</w:t>
      </w:r>
      <w:r w:rsidR="004A3C7F"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sym w:font="Symbol" w:char="F06D"/>
      </w:r>
      <w:r w:rsidRPr="00B747CD">
        <w:rPr>
          <w:rFonts w:ascii="Book Antiqua" w:hAnsi="Book Antiqua" w:cs="Arial"/>
          <w:color w:val="000000" w:themeColor="text1"/>
          <w:sz w:val="24"/>
          <w:szCs w:val="24"/>
        </w:rPr>
        <w:t xml:space="preserve">g/kg per week for 2 </w:t>
      </w:r>
      <w:proofErr w:type="spellStart"/>
      <w:r w:rsidRPr="00B747CD">
        <w:rPr>
          <w:rFonts w:ascii="Book Antiqua" w:hAnsi="Book Antiqua" w:cs="Arial"/>
          <w:color w:val="000000" w:themeColor="text1"/>
          <w:sz w:val="24"/>
          <w:szCs w:val="24"/>
        </w:rPr>
        <w:t>wk</w:t>
      </w:r>
      <w:proofErr w:type="spellEnd"/>
      <w:r w:rsidRPr="00B747CD">
        <w:rPr>
          <w:rFonts w:ascii="Book Antiqua" w:hAnsi="Book Antiqua" w:cs="Arial"/>
          <w:color w:val="000000" w:themeColor="text1"/>
          <w:sz w:val="24"/>
          <w:szCs w:val="24"/>
        </w:rPr>
        <w:t xml:space="preserve"> increased the platelet count to over 100 </w:t>
      </w:r>
      <w:r w:rsidR="004A3C7F" w:rsidRPr="00B747CD">
        <w:rPr>
          <w:rFonts w:ascii="Book Antiqua" w:hAnsi="Book Antiqua" w:cs="Arial"/>
          <w:color w:val="000000" w:themeColor="text1"/>
          <w:sz w:val="24"/>
          <w:szCs w:val="24"/>
        </w:rPr>
        <w:sym w:font="Symbol" w:char="F0B4"/>
      </w:r>
      <w:r w:rsidRPr="00B747CD">
        <w:rPr>
          <w:rFonts w:ascii="Book Antiqua" w:hAnsi="Book Antiqua" w:cs="Arial"/>
          <w:color w:val="000000" w:themeColor="text1"/>
          <w:sz w:val="24"/>
          <w:szCs w:val="24"/>
        </w:rPr>
        <w:t xml:space="preserve"> 10</w:t>
      </w:r>
      <w:r w:rsidRPr="00B747CD">
        <w:rPr>
          <w:rFonts w:ascii="Book Antiqua" w:hAnsi="Book Antiqua" w:cs="Arial"/>
          <w:color w:val="000000" w:themeColor="text1"/>
          <w:sz w:val="24"/>
          <w:szCs w:val="24"/>
          <w:vertAlign w:val="superscript"/>
        </w:rPr>
        <w:t>9</w:t>
      </w:r>
      <w:r w:rsidRPr="00B747CD">
        <w:rPr>
          <w:rFonts w:ascii="Book Antiqua" w:hAnsi="Book Antiqua" w:cs="Arial"/>
          <w:color w:val="000000" w:themeColor="text1"/>
          <w:sz w:val="24"/>
          <w:szCs w:val="24"/>
        </w:rPr>
        <w:t xml:space="preserve">/L in 79% of patients. Additionally, bleeding and thromboembolic events were within acceptable limits in these </w:t>
      </w:r>
      <w:proofErr w:type="gramStart"/>
      <w:r w:rsidRPr="00B747CD">
        <w:rPr>
          <w:rFonts w:ascii="Book Antiqua" w:hAnsi="Book Antiqua" w:cs="Arial"/>
          <w:color w:val="000000" w:themeColor="text1"/>
          <w:sz w:val="24"/>
          <w:szCs w:val="24"/>
        </w:rPr>
        <w:t>patients</w:t>
      </w:r>
      <w:r w:rsidR="00B21385"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9</w:t>
      </w:r>
      <w:r w:rsidR="00B21385" w:rsidRPr="00B747CD">
        <w:rPr>
          <w:rFonts w:ascii="Book Antiqua" w:hAnsi="Book Antiqua" w:cs="Arial"/>
          <w:color w:val="000000" w:themeColor="text1"/>
          <w:sz w:val="24"/>
          <w:szCs w:val="24"/>
          <w:vertAlign w:val="superscript"/>
        </w:rPr>
        <w:t>]</w:t>
      </w:r>
      <w:r w:rsidR="009326F9"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The large cohort of patients, the fact that patients in this study had a wide variety of etiologies of thrombocytopenia, and that they underwent major surgical procedures</w:t>
      </w:r>
      <w:r w:rsidR="004A3C7F"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such as open cardiac surgery (unlike previous studies where procedures were minor in nature)</w:t>
      </w:r>
      <w:r w:rsidR="004A3C7F"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makes this study stand out from the rest. However, the fact</w:t>
      </w:r>
      <w:r w:rsidR="004A3C7F" w:rsidRPr="00B747CD">
        <w:rPr>
          <w:rFonts w:ascii="Book Antiqua" w:hAnsi="Book Antiqua" w:cs="Arial"/>
          <w:color w:val="000000" w:themeColor="text1"/>
          <w:sz w:val="24"/>
          <w:szCs w:val="24"/>
        </w:rPr>
        <w:t>s</w:t>
      </w:r>
      <w:r w:rsidRPr="00B747CD">
        <w:rPr>
          <w:rFonts w:ascii="Book Antiqua" w:hAnsi="Book Antiqua" w:cs="Arial"/>
          <w:color w:val="000000" w:themeColor="text1"/>
          <w:sz w:val="24"/>
          <w:szCs w:val="24"/>
        </w:rPr>
        <w:t xml:space="preserve"> that this was a retrospective study without randomization, that no uniform platelet count threshold was set prior to proceeding with the medical procedure, that romiplostim doses were not standardized, and that bone marrow evaluation was not performed limits the conclusions that can be </w:t>
      </w:r>
      <w:proofErr w:type="gramStart"/>
      <w:r w:rsidRPr="00B747CD">
        <w:rPr>
          <w:rFonts w:ascii="Book Antiqua" w:hAnsi="Book Antiqua" w:cs="Arial"/>
          <w:color w:val="000000" w:themeColor="text1"/>
          <w:sz w:val="24"/>
          <w:szCs w:val="24"/>
        </w:rPr>
        <w:t>drawn</w:t>
      </w:r>
      <w:r w:rsidR="00CA7E8B"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9</w:t>
      </w:r>
      <w:r w:rsidR="00CA7E8B" w:rsidRPr="00B747CD">
        <w:rPr>
          <w:rFonts w:ascii="Book Antiqua" w:hAnsi="Book Antiqua" w:cs="Arial"/>
          <w:color w:val="000000" w:themeColor="text1"/>
          <w:sz w:val="24"/>
          <w:szCs w:val="24"/>
          <w:vertAlign w:val="superscript"/>
        </w:rPr>
        <w:t>]</w:t>
      </w:r>
      <w:r w:rsidR="004A3C7F"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Nevertheless, this study provides evidence for the use of romiplostim perioperatively in patients with chronic thrombocytopenia; although</w:t>
      </w:r>
      <w:r w:rsidR="004A3C7F"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this remains an off-label use for romiplostim.</w:t>
      </w:r>
      <w:r w:rsidR="00151957" w:rsidRPr="00B747CD">
        <w:rPr>
          <w:rFonts w:ascii="Book Antiqua" w:hAnsi="Book Antiqua" w:cs="Arial"/>
          <w:color w:val="000000" w:themeColor="text1"/>
          <w:sz w:val="24"/>
          <w:szCs w:val="24"/>
        </w:rPr>
        <w:t xml:space="preserve"> </w:t>
      </w:r>
    </w:p>
    <w:p w14:paraId="5499CE7D" w14:textId="14C9FF21" w:rsidR="0089274F" w:rsidRPr="00B747CD" w:rsidRDefault="00780422" w:rsidP="00B747CD">
      <w:pPr>
        <w:adjustRightInd w:val="0"/>
        <w:snapToGrid w:val="0"/>
        <w:spacing w:after="0" w:line="360" w:lineRule="auto"/>
        <w:ind w:firstLineChars="200" w:firstLine="48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 xml:space="preserve">Romiplostim treatment was </w:t>
      </w:r>
      <w:r w:rsidR="004A3C7F" w:rsidRPr="00B747CD">
        <w:rPr>
          <w:rFonts w:ascii="Book Antiqua" w:hAnsi="Book Antiqua" w:cs="Arial"/>
          <w:color w:val="000000" w:themeColor="text1"/>
          <w:sz w:val="24"/>
          <w:szCs w:val="24"/>
        </w:rPr>
        <w:t xml:space="preserve">also </w:t>
      </w:r>
      <w:r w:rsidRPr="00B747CD">
        <w:rPr>
          <w:rFonts w:ascii="Book Antiqua" w:hAnsi="Book Antiqua" w:cs="Arial"/>
          <w:color w:val="000000" w:themeColor="text1"/>
          <w:sz w:val="24"/>
          <w:szCs w:val="24"/>
        </w:rPr>
        <w:t>found to cause partial portal vein thrombosis</w:t>
      </w:r>
      <w:r w:rsidR="00981015" w:rsidRPr="00B747CD">
        <w:rPr>
          <w:rFonts w:ascii="Book Antiqua" w:hAnsi="Book Antiqua" w:cs="Arial"/>
          <w:color w:val="000000" w:themeColor="text1"/>
          <w:sz w:val="24"/>
          <w:szCs w:val="24"/>
        </w:rPr>
        <w:t xml:space="preserve"> (PVT)</w:t>
      </w:r>
      <w:r w:rsidR="004A3C7F" w:rsidRPr="00B747CD">
        <w:rPr>
          <w:rFonts w:ascii="Book Antiqua" w:hAnsi="Book Antiqua" w:cs="Arial"/>
          <w:color w:val="000000" w:themeColor="text1"/>
          <w:sz w:val="24"/>
          <w:szCs w:val="24"/>
        </w:rPr>
        <w:t>, as reported for</w:t>
      </w:r>
      <w:r w:rsidRPr="00B747CD">
        <w:rPr>
          <w:rFonts w:ascii="Book Antiqua" w:hAnsi="Book Antiqua" w:cs="Arial"/>
          <w:color w:val="000000" w:themeColor="text1"/>
          <w:sz w:val="24"/>
          <w:szCs w:val="24"/>
        </w:rPr>
        <w:t xml:space="preserve"> a 50-year</w:t>
      </w:r>
      <w:r w:rsidR="009326F9"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old woman with Child class B liver cirrhosis and hepatitis C-associated</w:t>
      </w:r>
      <w:r w:rsidR="00995808"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ITP; upon discontinuation of treatment complete recanalization </w:t>
      </w:r>
      <w:r w:rsidRPr="00B747CD">
        <w:rPr>
          <w:rFonts w:ascii="Book Antiqua" w:hAnsi="Book Antiqua" w:cs="Arial"/>
          <w:color w:val="000000" w:themeColor="text1"/>
          <w:sz w:val="24"/>
          <w:szCs w:val="24"/>
        </w:rPr>
        <w:lastRenderedPageBreak/>
        <w:t xml:space="preserve">of the portal vein was </w:t>
      </w:r>
      <w:proofErr w:type="gramStart"/>
      <w:r w:rsidRPr="00B747CD">
        <w:rPr>
          <w:rFonts w:ascii="Book Antiqua" w:hAnsi="Book Antiqua" w:cs="Arial"/>
          <w:color w:val="000000" w:themeColor="text1"/>
          <w:sz w:val="24"/>
          <w:szCs w:val="24"/>
        </w:rPr>
        <w:t>noted</w:t>
      </w:r>
      <w:r w:rsidR="004A3C7F" w:rsidRPr="00B747CD">
        <w:rPr>
          <w:rFonts w:ascii="Book Antiqua" w:hAnsi="Book Antiqua" w:cs="Arial"/>
          <w:color w:val="000000" w:themeColor="text1"/>
          <w:sz w:val="24"/>
          <w:szCs w:val="24"/>
          <w:vertAlign w:val="superscript"/>
        </w:rPr>
        <w:t>[</w:t>
      </w:r>
      <w:proofErr w:type="gramEnd"/>
      <w:r w:rsidR="004A3C7F" w:rsidRPr="00B747CD">
        <w:rPr>
          <w:rFonts w:ascii="Book Antiqua" w:hAnsi="Book Antiqua" w:cs="Arial"/>
          <w:color w:val="000000" w:themeColor="text1"/>
          <w:sz w:val="24"/>
          <w:szCs w:val="24"/>
          <w:vertAlign w:val="superscript"/>
        </w:rPr>
        <w:t>10]</w:t>
      </w:r>
      <w:r w:rsidRPr="00B747CD">
        <w:rPr>
          <w:rFonts w:ascii="Book Antiqua" w:hAnsi="Book Antiqua" w:cs="Arial"/>
          <w:color w:val="000000" w:themeColor="text1"/>
          <w:sz w:val="24"/>
          <w:szCs w:val="24"/>
        </w:rPr>
        <w:t>. Based on this case study, caution must be exercised in the use of romiplostim in patients with advanced liver cirrhosis.</w:t>
      </w:r>
      <w:r w:rsidRPr="00B747CD">
        <w:rPr>
          <w:rFonts w:ascii="Book Antiqua" w:hAnsi="Book Antiqua" w:cs="Arial"/>
          <w:color w:val="000000" w:themeColor="text1"/>
          <w:sz w:val="24"/>
          <w:szCs w:val="24"/>
          <w:vertAlign w:val="superscript"/>
        </w:rPr>
        <w:t xml:space="preserve"> </w:t>
      </w:r>
    </w:p>
    <w:p w14:paraId="059BCF50" w14:textId="77777777" w:rsidR="00DD13BA" w:rsidRPr="00B747CD" w:rsidRDefault="00DD13BA" w:rsidP="00B747CD">
      <w:pPr>
        <w:adjustRightInd w:val="0"/>
        <w:snapToGrid w:val="0"/>
        <w:spacing w:after="0" w:line="360" w:lineRule="auto"/>
        <w:jc w:val="both"/>
        <w:rPr>
          <w:rFonts w:ascii="Book Antiqua" w:hAnsi="Book Antiqua" w:cs="Arial"/>
          <w:b/>
          <w:color w:val="000000" w:themeColor="text1"/>
          <w:sz w:val="24"/>
          <w:szCs w:val="24"/>
        </w:rPr>
      </w:pPr>
    </w:p>
    <w:p w14:paraId="2B93797D" w14:textId="41306941" w:rsidR="0089274F" w:rsidRPr="00B747CD" w:rsidRDefault="00CE7623" w:rsidP="00B747CD">
      <w:pPr>
        <w:adjustRightInd w:val="0"/>
        <w:snapToGrid w:val="0"/>
        <w:spacing w:after="0" w:line="360" w:lineRule="auto"/>
        <w:jc w:val="both"/>
        <w:rPr>
          <w:rFonts w:ascii="Book Antiqua" w:hAnsi="Book Antiqua" w:cs="Arial"/>
          <w:b/>
          <w:color w:val="000000" w:themeColor="text1"/>
          <w:sz w:val="24"/>
          <w:szCs w:val="24"/>
          <w:u w:val="single"/>
        </w:rPr>
      </w:pPr>
      <w:r w:rsidRPr="00B747CD">
        <w:rPr>
          <w:rFonts w:ascii="Book Antiqua" w:hAnsi="Book Antiqua" w:cs="Arial"/>
          <w:b/>
          <w:color w:val="000000" w:themeColor="text1"/>
          <w:sz w:val="24"/>
          <w:szCs w:val="24"/>
          <w:u w:val="single"/>
        </w:rPr>
        <w:t>ELTROMBOPAG</w:t>
      </w:r>
    </w:p>
    <w:p w14:paraId="53A86F59" w14:textId="546B664A" w:rsidR="0089274F" w:rsidRPr="00B747CD" w:rsidRDefault="0089274F" w:rsidP="00B747CD">
      <w:pPr>
        <w:adjustRightInd w:val="0"/>
        <w:snapToGrid w:val="0"/>
        <w:spacing w:after="0" w:line="360" w:lineRule="auto"/>
        <w:jc w:val="both"/>
        <w:rPr>
          <w:rFonts w:ascii="Book Antiqua" w:hAnsi="Book Antiqua" w:cs="Arial"/>
          <w:color w:val="000000" w:themeColor="text1"/>
          <w:sz w:val="24"/>
          <w:szCs w:val="24"/>
        </w:rPr>
      </w:pP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is a small-molecule non-peptide TPO-RA that interacts with the transmembrane domain of the TPO receptor on megakaryocyte precursors and megakaryocytes, leading to increased platelet </w:t>
      </w:r>
      <w:proofErr w:type="gramStart"/>
      <w:r w:rsidRPr="00B747CD">
        <w:rPr>
          <w:rFonts w:ascii="Book Antiqua" w:hAnsi="Book Antiqua" w:cs="Arial"/>
          <w:color w:val="000000" w:themeColor="text1"/>
          <w:sz w:val="24"/>
          <w:szCs w:val="24"/>
        </w:rPr>
        <w:t>production</w:t>
      </w:r>
      <w:r w:rsidR="00CA7E8B"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5</w:t>
      </w:r>
      <w:r w:rsidR="00CA7E8B" w:rsidRPr="00B747CD">
        <w:rPr>
          <w:rFonts w:ascii="Book Antiqua" w:hAnsi="Book Antiqua" w:cs="Arial"/>
          <w:color w:val="000000" w:themeColor="text1"/>
          <w:sz w:val="24"/>
          <w:szCs w:val="24"/>
          <w:vertAlign w:val="superscript"/>
        </w:rPr>
        <w:t>]</w:t>
      </w:r>
      <w:r w:rsidR="00721D1E" w:rsidRPr="00B747CD">
        <w:rPr>
          <w:rFonts w:ascii="Book Antiqua" w:hAnsi="Book Antiqua" w:cs="Arial"/>
          <w:color w:val="000000" w:themeColor="text1"/>
          <w:sz w:val="24"/>
          <w:szCs w:val="24"/>
        </w:rPr>
        <w:t xml:space="preserve">. </w:t>
      </w:r>
      <w:proofErr w:type="spellStart"/>
      <w:r w:rsidR="00C96E4C" w:rsidRPr="00B747CD">
        <w:rPr>
          <w:rFonts w:ascii="Book Antiqua" w:hAnsi="Book Antiqua" w:cs="Arial"/>
          <w:color w:val="000000" w:themeColor="text1"/>
          <w:sz w:val="24"/>
          <w:szCs w:val="24"/>
        </w:rPr>
        <w:t>Eltrombopag</w:t>
      </w:r>
      <w:proofErr w:type="spellEnd"/>
      <w:r w:rsidR="00C96E4C" w:rsidRPr="00B747CD">
        <w:rPr>
          <w:rFonts w:ascii="Book Antiqua" w:hAnsi="Book Antiqua" w:cs="Arial"/>
          <w:color w:val="000000" w:themeColor="text1"/>
          <w:sz w:val="24"/>
          <w:szCs w:val="24"/>
        </w:rPr>
        <w:t xml:space="preserve"> is metabolized </w:t>
      </w:r>
      <w:r w:rsidR="00C96E4C" w:rsidRPr="00B747CD">
        <w:rPr>
          <w:rFonts w:ascii="Book Antiqua" w:hAnsi="Book Antiqua" w:cs="Arial"/>
          <w:i/>
          <w:iCs/>
          <w:color w:val="000000" w:themeColor="text1"/>
          <w:sz w:val="24"/>
          <w:szCs w:val="24"/>
        </w:rPr>
        <w:t>via</w:t>
      </w:r>
      <w:r w:rsidR="00C96E4C" w:rsidRPr="00B747CD">
        <w:rPr>
          <w:rFonts w:ascii="Book Antiqua" w:hAnsi="Book Antiqua" w:cs="Arial"/>
          <w:color w:val="000000" w:themeColor="text1"/>
          <w:sz w:val="24"/>
          <w:szCs w:val="24"/>
        </w:rPr>
        <w:t xml:space="preserve"> </w:t>
      </w:r>
      <w:r w:rsidR="005D3A81" w:rsidRPr="00B747CD">
        <w:rPr>
          <w:rFonts w:ascii="Book Antiqua" w:hAnsi="Book Antiqua" w:cs="Arial"/>
          <w:color w:val="000000" w:themeColor="text1"/>
          <w:sz w:val="24"/>
          <w:szCs w:val="24"/>
        </w:rPr>
        <w:t xml:space="preserve">cleavage, oxidation, and conjugation with glucuronic acid, glutathione, or cysteine. The cytochrome P450 enzymes involved in the oxidation pathway include CTP1A2 and CYP2C8, whereas UGT1A1 and UFT1A3 are involved in the glucuronidation </w:t>
      </w:r>
      <w:proofErr w:type="gramStart"/>
      <w:r w:rsidR="005D3A81" w:rsidRPr="00B747CD">
        <w:rPr>
          <w:rFonts w:ascii="Book Antiqua" w:hAnsi="Book Antiqua" w:cs="Arial"/>
          <w:color w:val="000000" w:themeColor="text1"/>
          <w:sz w:val="24"/>
          <w:szCs w:val="24"/>
        </w:rPr>
        <w:t>pathway</w:t>
      </w:r>
      <w:r w:rsidR="00CA7E8B" w:rsidRPr="00B747CD">
        <w:rPr>
          <w:rFonts w:ascii="Book Antiqua" w:hAnsi="Book Antiqua" w:cs="Arial"/>
          <w:color w:val="000000" w:themeColor="text1"/>
          <w:sz w:val="24"/>
          <w:szCs w:val="24"/>
          <w:vertAlign w:val="superscript"/>
        </w:rPr>
        <w:t>[</w:t>
      </w:r>
      <w:proofErr w:type="gramEnd"/>
      <w:r w:rsidR="005D3A81" w:rsidRPr="00B747CD">
        <w:rPr>
          <w:rFonts w:ascii="Book Antiqua" w:hAnsi="Book Antiqua" w:cs="Arial"/>
          <w:color w:val="000000" w:themeColor="text1"/>
          <w:sz w:val="24"/>
          <w:szCs w:val="24"/>
          <w:vertAlign w:val="superscript"/>
        </w:rPr>
        <w:t>5</w:t>
      </w:r>
      <w:r w:rsidR="00CA7E8B" w:rsidRPr="00B747CD">
        <w:rPr>
          <w:rFonts w:ascii="Book Antiqua" w:hAnsi="Book Antiqua" w:cs="Arial"/>
          <w:color w:val="000000" w:themeColor="text1"/>
          <w:sz w:val="24"/>
          <w:szCs w:val="24"/>
          <w:vertAlign w:val="superscript"/>
        </w:rPr>
        <w:t>]</w:t>
      </w:r>
      <w:r w:rsidR="00A86760" w:rsidRPr="00B747CD">
        <w:rPr>
          <w:rFonts w:ascii="Book Antiqua" w:hAnsi="Book Antiqua" w:cs="Arial"/>
          <w:color w:val="000000" w:themeColor="text1"/>
          <w:sz w:val="24"/>
          <w:szCs w:val="24"/>
        </w:rPr>
        <w:t>.</w:t>
      </w:r>
      <w:r w:rsidR="005D3A81" w:rsidRPr="00B747CD">
        <w:rPr>
          <w:rFonts w:ascii="Book Antiqua" w:hAnsi="Book Antiqua" w:cs="Arial"/>
          <w:color w:val="000000" w:themeColor="text1"/>
          <w:sz w:val="24"/>
          <w:szCs w:val="24"/>
        </w:rPr>
        <w:t xml:space="preserve">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increases platelet production after 7 d of repeated dosing, and platelet counts decrease to baseline 1 </w:t>
      </w:r>
      <w:proofErr w:type="spellStart"/>
      <w:r w:rsidR="00A86760" w:rsidRPr="00B747CD">
        <w:rPr>
          <w:rFonts w:ascii="Book Antiqua" w:hAnsi="Book Antiqua" w:cs="Arial"/>
          <w:color w:val="000000" w:themeColor="text1"/>
          <w:sz w:val="24"/>
          <w:szCs w:val="24"/>
        </w:rPr>
        <w:t>wk</w:t>
      </w:r>
      <w:proofErr w:type="spellEnd"/>
      <w:r w:rsidR="00A8676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to 2 </w:t>
      </w:r>
      <w:proofErr w:type="spellStart"/>
      <w:r w:rsidRPr="00B747CD">
        <w:rPr>
          <w:rFonts w:ascii="Book Antiqua" w:hAnsi="Book Antiqua" w:cs="Arial"/>
          <w:color w:val="000000" w:themeColor="text1"/>
          <w:sz w:val="24"/>
          <w:szCs w:val="24"/>
        </w:rPr>
        <w:t>wk</w:t>
      </w:r>
      <w:proofErr w:type="spellEnd"/>
      <w:r w:rsidRPr="00B747CD">
        <w:rPr>
          <w:rFonts w:ascii="Book Antiqua" w:hAnsi="Book Antiqua" w:cs="Arial"/>
          <w:color w:val="000000" w:themeColor="text1"/>
          <w:sz w:val="24"/>
          <w:szCs w:val="24"/>
        </w:rPr>
        <w:t xml:space="preserve"> after discontinuing </w:t>
      </w:r>
      <w:proofErr w:type="gramStart"/>
      <w:r w:rsidRPr="00B747CD">
        <w:rPr>
          <w:rFonts w:ascii="Book Antiqua" w:hAnsi="Book Antiqua" w:cs="Arial"/>
          <w:color w:val="000000" w:themeColor="text1"/>
          <w:sz w:val="24"/>
          <w:szCs w:val="24"/>
        </w:rPr>
        <w:t>treatment</w:t>
      </w:r>
      <w:r w:rsidR="00CA7E8B"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1</w:t>
      </w:r>
      <w:r w:rsidR="00CA7E8B" w:rsidRPr="00B747CD">
        <w:rPr>
          <w:rFonts w:ascii="Book Antiqua" w:hAnsi="Book Antiqua" w:cs="Arial"/>
          <w:color w:val="000000" w:themeColor="text1"/>
          <w:sz w:val="24"/>
          <w:szCs w:val="24"/>
          <w:vertAlign w:val="superscript"/>
        </w:rPr>
        <w:t>]</w:t>
      </w:r>
      <w:r w:rsidR="00A86760" w:rsidRPr="00B747CD">
        <w:rPr>
          <w:rFonts w:ascii="Book Antiqua" w:hAnsi="Book Antiqua" w:cs="Arial"/>
          <w:color w:val="000000" w:themeColor="text1"/>
          <w:sz w:val="24"/>
          <w:szCs w:val="24"/>
        </w:rPr>
        <w:t xml:space="preserve">.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is approved for the treatment of thrombocytopenia in adults and children with chronic ITP who have an insufficient response to corticosteroids, immunoglobulins, or splenectomy, in patients with chronic </w:t>
      </w:r>
      <w:r w:rsidR="00A86760" w:rsidRPr="00B747CD">
        <w:rPr>
          <w:rFonts w:ascii="Book Antiqua" w:hAnsi="Book Antiqua" w:cs="Arial"/>
          <w:color w:val="000000" w:themeColor="text1"/>
          <w:sz w:val="24"/>
          <w:szCs w:val="24"/>
        </w:rPr>
        <w:t xml:space="preserve">hepatitis C virus </w:t>
      </w:r>
      <w:r w:rsidRPr="00B747CD">
        <w:rPr>
          <w:rFonts w:ascii="Book Antiqua" w:hAnsi="Book Antiqua" w:cs="Arial"/>
          <w:color w:val="000000" w:themeColor="text1"/>
          <w:sz w:val="24"/>
          <w:szCs w:val="24"/>
        </w:rPr>
        <w:t xml:space="preserve">infection to allow initiation and maintenance of </w:t>
      </w:r>
      <w:r w:rsidR="00A86760" w:rsidRPr="00B747CD">
        <w:rPr>
          <w:rFonts w:ascii="Book Antiqua" w:hAnsi="Book Antiqua" w:cs="Arial"/>
          <w:color w:val="000000" w:themeColor="text1"/>
          <w:sz w:val="24"/>
          <w:szCs w:val="24"/>
        </w:rPr>
        <w:t>interferon</w:t>
      </w:r>
      <w:r w:rsidRPr="00B747CD">
        <w:rPr>
          <w:rFonts w:ascii="Book Antiqua" w:hAnsi="Book Antiqua" w:cs="Arial"/>
          <w:color w:val="000000" w:themeColor="text1"/>
          <w:sz w:val="24"/>
          <w:szCs w:val="24"/>
        </w:rPr>
        <w:t>-based therapy, and in patients with severe aplastic anemia who have an insufficient response to immunosuppressive therapy</w:t>
      </w:r>
      <w:r w:rsidR="00CA7E8B" w:rsidRPr="00B747CD">
        <w:rPr>
          <w:rFonts w:ascii="Book Antiqua" w:hAnsi="Book Antiqua" w:cs="Arial"/>
          <w:color w:val="000000" w:themeColor="text1"/>
          <w:sz w:val="24"/>
          <w:szCs w:val="24"/>
          <w:vertAlign w:val="superscript"/>
        </w:rPr>
        <w:t>[</w:t>
      </w:r>
      <w:r w:rsidRPr="00B747CD">
        <w:rPr>
          <w:rFonts w:ascii="Book Antiqua" w:hAnsi="Book Antiqua" w:cs="Arial"/>
          <w:color w:val="000000" w:themeColor="text1"/>
          <w:sz w:val="24"/>
          <w:szCs w:val="24"/>
          <w:vertAlign w:val="superscript"/>
        </w:rPr>
        <w:t>5</w:t>
      </w:r>
      <w:r w:rsidR="00CA7E8B" w:rsidRPr="00B747CD">
        <w:rPr>
          <w:rFonts w:ascii="Book Antiqua" w:hAnsi="Book Antiqua" w:cs="Arial"/>
          <w:color w:val="000000" w:themeColor="text1"/>
          <w:sz w:val="24"/>
          <w:szCs w:val="24"/>
          <w:vertAlign w:val="superscript"/>
        </w:rPr>
        <w:t>]</w:t>
      </w:r>
      <w:r w:rsidR="00A8676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vertAlign w:val="superscript"/>
        </w:rPr>
        <w:t xml:space="preserve"> </w:t>
      </w:r>
    </w:p>
    <w:p w14:paraId="7F59002B" w14:textId="77777777" w:rsidR="00DD13BA" w:rsidRPr="00B747CD" w:rsidRDefault="00DD13BA" w:rsidP="00B747CD">
      <w:pPr>
        <w:adjustRightInd w:val="0"/>
        <w:snapToGrid w:val="0"/>
        <w:spacing w:after="0" w:line="360" w:lineRule="auto"/>
        <w:jc w:val="both"/>
        <w:rPr>
          <w:rFonts w:ascii="Book Antiqua" w:hAnsi="Book Antiqua" w:cs="Arial"/>
          <w:color w:val="000000" w:themeColor="text1"/>
          <w:sz w:val="24"/>
          <w:szCs w:val="24"/>
        </w:rPr>
      </w:pPr>
    </w:p>
    <w:p w14:paraId="7FC49959" w14:textId="456CF0A7" w:rsidR="0089274F" w:rsidRPr="00B747CD" w:rsidRDefault="0089274F" w:rsidP="00B747CD">
      <w:pPr>
        <w:adjustRightInd w:val="0"/>
        <w:snapToGrid w:val="0"/>
        <w:spacing w:after="0" w:line="360" w:lineRule="auto"/>
        <w:jc w:val="both"/>
        <w:rPr>
          <w:rFonts w:ascii="Book Antiqua" w:hAnsi="Book Antiqua" w:cs="Arial"/>
          <w:b/>
          <w:i/>
          <w:color w:val="000000" w:themeColor="text1"/>
          <w:sz w:val="24"/>
          <w:szCs w:val="24"/>
        </w:rPr>
      </w:pPr>
      <w:r w:rsidRPr="00B747CD">
        <w:rPr>
          <w:rFonts w:ascii="Book Antiqua" w:hAnsi="Book Antiqua" w:cs="Arial"/>
          <w:b/>
          <w:i/>
          <w:color w:val="000000" w:themeColor="text1"/>
          <w:sz w:val="24"/>
          <w:szCs w:val="24"/>
        </w:rPr>
        <w:t>Efficacy and safety in clinical studies</w:t>
      </w:r>
    </w:p>
    <w:p w14:paraId="274ED2B1" w14:textId="77777777" w:rsidR="009E5D7D" w:rsidRPr="00B747CD" w:rsidRDefault="0089274F" w:rsidP="00B747CD">
      <w:pPr>
        <w:adjustRightInd w:val="0"/>
        <w:snapToGrid w:val="0"/>
        <w:spacing w:after="0" w:line="360" w:lineRule="auto"/>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 xml:space="preserve">The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Evaluated for Its Ability to Overcome Thrombocytopenia and Enable Procedures (</w:t>
      </w:r>
      <w:r w:rsidR="00CE7623" w:rsidRPr="00B747CD">
        <w:rPr>
          <w:rFonts w:ascii="Book Antiqua" w:hAnsi="Book Antiqua" w:cs="Arial"/>
          <w:color w:val="000000" w:themeColor="text1"/>
          <w:sz w:val="24"/>
          <w:szCs w:val="24"/>
        </w:rPr>
        <w:t>referred to as ‘</w:t>
      </w:r>
      <w:r w:rsidRPr="00B747CD">
        <w:rPr>
          <w:rFonts w:ascii="Book Antiqua" w:hAnsi="Book Antiqua" w:cs="Arial"/>
          <w:color w:val="000000" w:themeColor="text1"/>
          <w:sz w:val="24"/>
          <w:szCs w:val="24"/>
        </w:rPr>
        <w:t>ELEVATE</w:t>
      </w:r>
      <w:r w:rsidR="00CE7623"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study was a double-blind, randomized, placebo-controlled, </w:t>
      </w:r>
      <w:r w:rsidR="000C5B16" w:rsidRPr="00B747CD">
        <w:rPr>
          <w:rFonts w:ascii="Book Antiqua" w:hAnsi="Book Antiqua" w:cs="Arial"/>
          <w:color w:val="000000" w:themeColor="text1"/>
          <w:sz w:val="24"/>
          <w:szCs w:val="24"/>
        </w:rPr>
        <w:t>P</w:t>
      </w:r>
      <w:r w:rsidRPr="00B747CD">
        <w:rPr>
          <w:rFonts w:ascii="Book Antiqua" w:hAnsi="Book Antiqua" w:cs="Arial"/>
          <w:color w:val="000000" w:themeColor="text1"/>
          <w:sz w:val="24"/>
          <w:szCs w:val="24"/>
        </w:rPr>
        <w:t xml:space="preserve">hase 3 trial conducted in 288 patients with CLD and platelet counts below 50 </w:t>
      </w:r>
      <w:r w:rsidR="000C5B16" w:rsidRPr="00B747CD">
        <w:rPr>
          <w:rFonts w:ascii="Book Antiqua" w:hAnsi="Book Antiqua" w:cs="Arial"/>
          <w:color w:val="000000" w:themeColor="text1"/>
          <w:sz w:val="24"/>
          <w:szCs w:val="24"/>
        </w:rPr>
        <w:sym w:font="Symbol" w:char="F0B4"/>
      </w:r>
      <w:r w:rsidRPr="00B747CD">
        <w:rPr>
          <w:rFonts w:ascii="Book Antiqua" w:hAnsi="Book Antiqua" w:cs="Arial"/>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hAnsi="Book Antiqua" w:cs="Arial"/>
          <w:color w:val="000000" w:themeColor="text1"/>
          <w:sz w:val="24"/>
          <w:szCs w:val="24"/>
        </w:rPr>
        <w:t xml:space="preserve">/L to study the ability of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to increase platelet counts and to reduce the need for platelet transfusions in patients undergoing an elective invasive procedure</w:t>
      </w:r>
      <w:r w:rsidR="0002064A" w:rsidRPr="00B747CD">
        <w:rPr>
          <w:rFonts w:ascii="Book Antiqua" w:hAnsi="Book Antiqua" w:cs="Arial"/>
          <w:color w:val="000000" w:themeColor="text1"/>
          <w:sz w:val="24"/>
          <w:szCs w:val="24"/>
          <w:vertAlign w:val="superscript"/>
        </w:rPr>
        <w:t>[</w:t>
      </w:r>
      <w:r w:rsidR="00995F70" w:rsidRPr="00B747CD">
        <w:rPr>
          <w:rFonts w:ascii="Book Antiqua" w:hAnsi="Book Antiqua" w:cs="Arial"/>
          <w:color w:val="000000" w:themeColor="text1"/>
          <w:sz w:val="24"/>
          <w:szCs w:val="24"/>
          <w:vertAlign w:val="superscript"/>
        </w:rPr>
        <w:t>11</w:t>
      </w:r>
      <w:r w:rsidR="0002064A" w:rsidRPr="00B747CD">
        <w:rPr>
          <w:rFonts w:ascii="Book Antiqua" w:hAnsi="Book Antiqua" w:cs="Arial"/>
          <w:color w:val="000000" w:themeColor="text1"/>
          <w:sz w:val="24"/>
          <w:szCs w:val="24"/>
          <w:vertAlign w:val="superscript"/>
        </w:rPr>
        <w:t>]</w:t>
      </w:r>
      <w:r w:rsidR="000C5B16" w:rsidRPr="00B747CD">
        <w:rPr>
          <w:rFonts w:ascii="Book Antiqua" w:hAnsi="Book Antiqua" w:cs="Arial"/>
          <w:color w:val="000000" w:themeColor="text1"/>
          <w:sz w:val="24"/>
          <w:szCs w:val="24"/>
        </w:rPr>
        <w:t>.</w:t>
      </w:r>
      <w:r w:rsidR="00995F7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Patients received either 75 mg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once daily or placebo. The primary efficacy endpoint was the proportion of patients who did not require a platelet transfusion before, during, and up to 7 d after the elective invasive procedure, and the secondary endpoint was the proportion of patients with bleeding before, during, and </w:t>
      </w:r>
      <w:r w:rsidRPr="00B747CD">
        <w:rPr>
          <w:rFonts w:ascii="Book Antiqua" w:hAnsi="Book Antiqua" w:cs="Arial"/>
          <w:color w:val="000000" w:themeColor="text1"/>
          <w:sz w:val="24"/>
          <w:szCs w:val="24"/>
        </w:rPr>
        <w:lastRenderedPageBreak/>
        <w:t xml:space="preserve">up to 7 d after the procedure. A majority of patients in the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and placebo groups (62% and 56%, respectively) underwent elective invasive procedures that were in the lowest bleeding risk category. At the end of 2 </w:t>
      </w:r>
      <w:proofErr w:type="spellStart"/>
      <w:r w:rsidRPr="00B747CD">
        <w:rPr>
          <w:rFonts w:ascii="Book Antiqua" w:hAnsi="Book Antiqua" w:cs="Arial"/>
          <w:color w:val="000000" w:themeColor="text1"/>
          <w:sz w:val="24"/>
          <w:szCs w:val="24"/>
        </w:rPr>
        <w:t>wk</w:t>
      </w:r>
      <w:proofErr w:type="spellEnd"/>
      <w:r w:rsidRPr="00B747CD">
        <w:rPr>
          <w:rFonts w:ascii="Book Antiqua" w:hAnsi="Book Antiqua" w:cs="Arial"/>
          <w:color w:val="000000" w:themeColor="text1"/>
          <w:sz w:val="24"/>
          <w:szCs w:val="24"/>
        </w:rPr>
        <w:t xml:space="preserve">, 59% of patients treated with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and 5% of those receiving placebo had an increased platelet count, and primary endpoint was achieved in 72% and 19% of patients, respectively. With the exception of thrombotic events being higher in the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group</w:t>
      </w:r>
      <w:r w:rsidR="001C2205" w:rsidRPr="00B747CD">
        <w:rPr>
          <w:rFonts w:ascii="Book Antiqua" w:hAnsi="Book Antiqua" w:cs="Arial"/>
          <w:color w:val="000000" w:themeColor="text1"/>
          <w:sz w:val="24"/>
          <w:szCs w:val="24"/>
        </w:rPr>
        <w:t xml:space="preserve"> (4% </w:t>
      </w:r>
      <w:r w:rsidR="001C2205" w:rsidRPr="00B747CD">
        <w:rPr>
          <w:rFonts w:ascii="Book Antiqua" w:hAnsi="Book Antiqua" w:cs="Arial"/>
          <w:i/>
          <w:iCs/>
          <w:color w:val="000000" w:themeColor="text1"/>
          <w:sz w:val="24"/>
          <w:szCs w:val="24"/>
        </w:rPr>
        <w:t>vs</w:t>
      </w:r>
      <w:r w:rsidR="001C2205" w:rsidRPr="00B747CD">
        <w:rPr>
          <w:rFonts w:ascii="Book Antiqua" w:hAnsi="Book Antiqua" w:cs="Arial"/>
          <w:color w:val="000000" w:themeColor="text1"/>
          <w:sz w:val="24"/>
          <w:szCs w:val="24"/>
        </w:rPr>
        <w:t xml:space="preserve"> 1% in the placebo group),</w:t>
      </w:r>
      <w:r w:rsidRPr="00B747CD">
        <w:rPr>
          <w:rFonts w:ascii="Book Antiqua" w:hAnsi="Book Antiqua" w:cs="Arial"/>
          <w:color w:val="000000" w:themeColor="text1"/>
          <w:sz w:val="24"/>
          <w:szCs w:val="24"/>
        </w:rPr>
        <w:t xml:space="preserve"> the incidence and severity of</w:t>
      </w:r>
      <w:r w:rsidR="001C2205" w:rsidRPr="00B747CD">
        <w:rPr>
          <w:rFonts w:ascii="Book Antiqua" w:hAnsi="Book Antiqua" w:cs="Arial"/>
          <w:color w:val="000000" w:themeColor="text1"/>
          <w:sz w:val="24"/>
          <w:szCs w:val="24"/>
        </w:rPr>
        <w:t xml:space="preserve"> AEs</w:t>
      </w:r>
      <w:r w:rsidRPr="00B747CD">
        <w:rPr>
          <w:rFonts w:ascii="Book Antiqua" w:hAnsi="Book Antiqua" w:cs="Arial"/>
          <w:color w:val="000000" w:themeColor="text1"/>
          <w:sz w:val="24"/>
          <w:szCs w:val="24"/>
        </w:rPr>
        <w:t xml:space="preserve"> were similar in both groups. Serious AEs occurred in 13% and 12% of patients in the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and placebo groups, respectively. </w:t>
      </w:r>
      <w:r w:rsidR="000C5B16" w:rsidRPr="00B747CD">
        <w:rPr>
          <w:rFonts w:ascii="Book Antiqua" w:hAnsi="Book Antiqua" w:cs="Arial"/>
          <w:color w:val="000000" w:themeColor="text1"/>
          <w:sz w:val="24"/>
          <w:szCs w:val="24"/>
        </w:rPr>
        <w:t>A total of 8 patients, comprising 6</w:t>
      </w:r>
      <w:r w:rsidRPr="00B747CD">
        <w:rPr>
          <w:rFonts w:ascii="Book Antiqua" w:hAnsi="Book Antiqua" w:cs="Arial"/>
          <w:color w:val="000000" w:themeColor="text1"/>
          <w:sz w:val="24"/>
          <w:szCs w:val="24"/>
        </w:rPr>
        <w:t xml:space="preserve"> in the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group and 2 in the placebo group</w:t>
      </w:r>
      <w:r w:rsidR="000C5B16"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0C5B16" w:rsidRPr="00B747CD">
        <w:rPr>
          <w:rFonts w:ascii="Book Antiqua" w:hAnsi="Book Antiqua" w:cs="Arial"/>
          <w:color w:val="000000" w:themeColor="text1"/>
          <w:sz w:val="24"/>
          <w:szCs w:val="24"/>
        </w:rPr>
        <w:t>experienced</w:t>
      </w:r>
      <w:r w:rsidRPr="00B747CD">
        <w:rPr>
          <w:rFonts w:ascii="Book Antiqua" w:hAnsi="Book Antiqua" w:cs="Arial"/>
          <w:color w:val="000000" w:themeColor="text1"/>
          <w:sz w:val="24"/>
          <w:szCs w:val="24"/>
        </w:rPr>
        <w:t xml:space="preserve"> 10 thrombotic events, with 9 of those events involving the portal venous system.</w:t>
      </w:r>
      <w:r w:rsidR="001C2205" w:rsidRPr="00B747CD">
        <w:rPr>
          <w:rFonts w:ascii="Book Antiqua" w:hAnsi="Book Antiqua" w:cs="Arial"/>
          <w:color w:val="000000" w:themeColor="text1"/>
          <w:sz w:val="24"/>
          <w:szCs w:val="24"/>
        </w:rPr>
        <w:t xml:space="preserve"> It must be noted that none of the 8 </w:t>
      </w:r>
      <w:r w:rsidR="000C5B16" w:rsidRPr="00B747CD">
        <w:rPr>
          <w:rFonts w:ascii="Book Antiqua" w:hAnsi="Book Antiqua" w:cs="Arial"/>
          <w:color w:val="000000" w:themeColor="text1"/>
          <w:sz w:val="24"/>
          <w:szCs w:val="24"/>
        </w:rPr>
        <w:t xml:space="preserve">total </w:t>
      </w:r>
      <w:r w:rsidR="001C2205" w:rsidRPr="00B747CD">
        <w:rPr>
          <w:rFonts w:ascii="Book Antiqua" w:hAnsi="Book Antiqua" w:cs="Arial"/>
          <w:color w:val="000000" w:themeColor="text1"/>
          <w:sz w:val="24"/>
          <w:szCs w:val="24"/>
        </w:rPr>
        <w:t xml:space="preserve">patients with a thrombotic event had received both </w:t>
      </w:r>
      <w:proofErr w:type="spellStart"/>
      <w:r w:rsidR="001C2205" w:rsidRPr="00B747CD">
        <w:rPr>
          <w:rFonts w:ascii="Book Antiqua" w:hAnsi="Book Antiqua" w:cs="Arial"/>
          <w:color w:val="000000" w:themeColor="text1"/>
          <w:sz w:val="24"/>
          <w:szCs w:val="24"/>
        </w:rPr>
        <w:t>eltrombopag</w:t>
      </w:r>
      <w:proofErr w:type="spellEnd"/>
      <w:r w:rsidR="001C2205" w:rsidRPr="00B747CD">
        <w:rPr>
          <w:rFonts w:ascii="Book Antiqua" w:hAnsi="Book Antiqua" w:cs="Arial"/>
          <w:color w:val="000000" w:themeColor="text1"/>
          <w:sz w:val="24"/>
          <w:szCs w:val="24"/>
        </w:rPr>
        <w:t xml:space="preserve"> and a platelet/blood product transfusion, and of the 26 patients who received both </w:t>
      </w:r>
      <w:proofErr w:type="spellStart"/>
      <w:r w:rsidR="001C2205" w:rsidRPr="00B747CD">
        <w:rPr>
          <w:rFonts w:ascii="Book Antiqua" w:hAnsi="Book Antiqua" w:cs="Arial"/>
          <w:color w:val="000000" w:themeColor="text1"/>
          <w:sz w:val="24"/>
          <w:szCs w:val="24"/>
        </w:rPr>
        <w:t>eltrombopag</w:t>
      </w:r>
      <w:proofErr w:type="spellEnd"/>
      <w:r w:rsidR="001C2205" w:rsidRPr="00B747CD">
        <w:rPr>
          <w:rFonts w:ascii="Book Antiqua" w:hAnsi="Book Antiqua" w:cs="Arial"/>
          <w:color w:val="000000" w:themeColor="text1"/>
          <w:sz w:val="24"/>
          <w:szCs w:val="24"/>
        </w:rPr>
        <w:t xml:space="preserve"> and a transfusion, none had a thrombotic event.</w:t>
      </w:r>
      <w:r w:rsidR="00995808" w:rsidRPr="00B747CD">
        <w:rPr>
          <w:rFonts w:ascii="Book Antiqua" w:hAnsi="Book Antiqua" w:cs="Arial"/>
          <w:color w:val="000000" w:themeColor="text1"/>
          <w:sz w:val="24"/>
          <w:szCs w:val="24"/>
        </w:rPr>
        <w:t xml:space="preserve"> </w:t>
      </w:r>
      <w:r w:rsidR="001C2205" w:rsidRPr="00B747CD">
        <w:rPr>
          <w:rFonts w:ascii="Book Antiqua" w:hAnsi="Book Antiqua" w:cs="Arial"/>
          <w:color w:val="000000" w:themeColor="text1"/>
          <w:sz w:val="24"/>
          <w:szCs w:val="24"/>
        </w:rPr>
        <w:t xml:space="preserve">Additionally, 5 out of </w:t>
      </w:r>
      <w:r w:rsidR="000C5B16" w:rsidRPr="00B747CD">
        <w:rPr>
          <w:rFonts w:ascii="Book Antiqua" w:hAnsi="Book Antiqua" w:cs="Arial"/>
          <w:color w:val="000000" w:themeColor="text1"/>
          <w:sz w:val="24"/>
          <w:szCs w:val="24"/>
        </w:rPr>
        <w:t xml:space="preserve">the total </w:t>
      </w:r>
      <w:r w:rsidR="001C2205" w:rsidRPr="00B747CD">
        <w:rPr>
          <w:rFonts w:ascii="Book Antiqua" w:hAnsi="Book Antiqua" w:cs="Arial"/>
          <w:color w:val="000000" w:themeColor="text1"/>
          <w:sz w:val="24"/>
          <w:szCs w:val="24"/>
        </w:rPr>
        <w:t>8 patients who had a thrombotic event were found to have cancer. However, a separate post hoc analysis identified an</w:t>
      </w:r>
      <w:r w:rsidR="00995808"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association between higher platelet counts (&gt; 200 </w:t>
      </w:r>
      <w:r w:rsidR="000C5B16" w:rsidRPr="00B747CD">
        <w:rPr>
          <w:rFonts w:ascii="Book Antiqua" w:hAnsi="Book Antiqua" w:cs="Arial"/>
          <w:color w:val="000000" w:themeColor="text1"/>
          <w:sz w:val="24"/>
          <w:szCs w:val="24"/>
        </w:rPr>
        <w:sym w:font="Symbol" w:char="F0B4"/>
      </w:r>
      <w:r w:rsidRPr="00B747CD">
        <w:rPr>
          <w:rFonts w:ascii="Book Antiqua" w:hAnsi="Book Antiqua" w:cs="Arial"/>
          <w:color w:val="000000" w:themeColor="text1"/>
          <w:sz w:val="24"/>
          <w:szCs w:val="24"/>
        </w:rPr>
        <w:t xml:space="preserve"> 10</w:t>
      </w:r>
      <w:r w:rsidRPr="00B747CD">
        <w:rPr>
          <w:rFonts w:ascii="Book Antiqua" w:hAnsi="Book Antiqua" w:cs="Arial"/>
          <w:color w:val="000000" w:themeColor="text1"/>
          <w:sz w:val="24"/>
          <w:szCs w:val="24"/>
          <w:vertAlign w:val="superscript"/>
        </w:rPr>
        <w:t>9</w:t>
      </w:r>
      <w:r w:rsidRPr="00B747CD">
        <w:rPr>
          <w:rFonts w:ascii="Book Antiqua" w:hAnsi="Book Antiqua" w:cs="Arial"/>
          <w:color w:val="000000" w:themeColor="text1"/>
          <w:sz w:val="24"/>
          <w:szCs w:val="24"/>
        </w:rPr>
        <w:t xml:space="preserve">/L) and an increased risk of thrombotic </w:t>
      </w:r>
      <w:proofErr w:type="gramStart"/>
      <w:r w:rsidRPr="00B747CD">
        <w:rPr>
          <w:rFonts w:ascii="Book Antiqua" w:hAnsi="Book Antiqua" w:cs="Arial"/>
          <w:color w:val="000000" w:themeColor="text1"/>
          <w:sz w:val="24"/>
          <w:szCs w:val="24"/>
        </w:rPr>
        <w:t>events</w:t>
      </w:r>
      <w:r w:rsidR="000717AC" w:rsidRPr="00B747CD">
        <w:rPr>
          <w:rFonts w:ascii="Book Antiqua" w:hAnsi="Book Antiqua" w:cs="Arial"/>
          <w:color w:val="000000" w:themeColor="text1"/>
          <w:sz w:val="24"/>
          <w:szCs w:val="24"/>
          <w:vertAlign w:val="superscript"/>
        </w:rPr>
        <w:t>[</w:t>
      </w:r>
      <w:proofErr w:type="gramEnd"/>
      <w:r w:rsidR="00995F70" w:rsidRPr="00B747CD">
        <w:rPr>
          <w:rFonts w:ascii="Book Antiqua" w:hAnsi="Book Antiqua" w:cs="Arial"/>
          <w:color w:val="000000" w:themeColor="text1"/>
          <w:sz w:val="24"/>
          <w:szCs w:val="24"/>
          <w:vertAlign w:val="superscript"/>
        </w:rPr>
        <w:t>11</w:t>
      </w:r>
      <w:r w:rsidR="000717AC" w:rsidRPr="00B747CD">
        <w:rPr>
          <w:rFonts w:ascii="Book Antiqua" w:hAnsi="Book Antiqua" w:cs="Arial"/>
          <w:color w:val="000000" w:themeColor="text1"/>
          <w:sz w:val="24"/>
          <w:szCs w:val="24"/>
          <w:vertAlign w:val="superscript"/>
        </w:rPr>
        <w:t>]</w:t>
      </w:r>
      <w:r w:rsidR="000C5B16" w:rsidRPr="00B747CD">
        <w:rPr>
          <w:rFonts w:ascii="Book Antiqua" w:hAnsi="Book Antiqua" w:cs="Arial"/>
          <w:color w:val="000000" w:themeColor="text1"/>
          <w:sz w:val="24"/>
          <w:szCs w:val="24"/>
        </w:rPr>
        <w:t>,</w:t>
      </w:r>
      <w:r w:rsidR="00995F7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and the study was terminated early due to the increased incidence of </w:t>
      </w:r>
      <w:r w:rsidR="006A68E6" w:rsidRPr="00B747CD">
        <w:rPr>
          <w:rFonts w:ascii="Book Antiqua" w:hAnsi="Book Antiqua" w:cs="Arial"/>
          <w:color w:val="000000" w:themeColor="text1"/>
          <w:sz w:val="24"/>
          <w:szCs w:val="24"/>
        </w:rPr>
        <w:t>PVT</w:t>
      </w:r>
      <w:r w:rsidRPr="00B747CD">
        <w:rPr>
          <w:rFonts w:ascii="Book Antiqua" w:hAnsi="Book Antiqua" w:cs="Arial"/>
          <w:color w:val="000000" w:themeColor="text1"/>
          <w:sz w:val="24"/>
          <w:szCs w:val="24"/>
        </w:rPr>
        <w:t xml:space="preserve"> in the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arm. Key efficacy and safety data from the study are outlined in </w:t>
      </w:r>
      <w:r w:rsidRPr="00B747CD">
        <w:rPr>
          <w:rFonts w:ascii="Book Antiqua" w:hAnsi="Book Antiqua" w:cs="Arial"/>
          <w:bCs/>
          <w:color w:val="000000" w:themeColor="text1"/>
          <w:sz w:val="24"/>
          <w:szCs w:val="24"/>
        </w:rPr>
        <w:t>Table 1</w:t>
      </w:r>
      <w:r w:rsidRPr="00B747CD">
        <w:rPr>
          <w:rFonts w:ascii="Book Antiqua" w:hAnsi="Book Antiqua" w:cs="Arial"/>
          <w:color w:val="000000" w:themeColor="text1"/>
          <w:sz w:val="24"/>
          <w:szCs w:val="24"/>
        </w:rPr>
        <w:t xml:space="preserve">. </w:t>
      </w:r>
    </w:p>
    <w:p w14:paraId="343BDA60" w14:textId="15F5A1FA" w:rsidR="0089274F" w:rsidRPr="00B747CD" w:rsidRDefault="00112854" w:rsidP="00B747CD">
      <w:pPr>
        <w:adjustRightInd w:val="0"/>
        <w:snapToGrid w:val="0"/>
        <w:spacing w:after="0" w:line="360" w:lineRule="auto"/>
        <w:ind w:firstLineChars="200" w:firstLine="48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 xml:space="preserve">In the absence of better identification of risk factors for the development of thrombotic events, dose optimization, and the risk of PVT in </w:t>
      </w:r>
      <w:r w:rsidR="0089274F" w:rsidRPr="00B747CD">
        <w:rPr>
          <w:rFonts w:ascii="Book Antiqua" w:hAnsi="Book Antiqua" w:cs="Arial"/>
          <w:color w:val="000000" w:themeColor="text1"/>
          <w:sz w:val="24"/>
          <w:szCs w:val="24"/>
        </w:rPr>
        <w:t>patients with thrombocytopenia and CLD undergoing an elective procedure</w:t>
      </w:r>
      <w:r w:rsidR="00001D6B" w:rsidRPr="00B747CD">
        <w:rPr>
          <w:rFonts w:ascii="Book Antiqua" w:hAnsi="Book Antiqua" w:cs="Arial"/>
          <w:color w:val="000000" w:themeColor="text1"/>
          <w:sz w:val="24"/>
          <w:szCs w:val="24"/>
        </w:rPr>
        <w:t xml:space="preserve">, </w:t>
      </w:r>
      <w:proofErr w:type="spellStart"/>
      <w:r w:rsidR="00001D6B" w:rsidRPr="00B747CD">
        <w:rPr>
          <w:rFonts w:ascii="Book Antiqua" w:hAnsi="Book Antiqua" w:cs="Arial"/>
          <w:color w:val="000000" w:themeColor="text1"/>
          <w:sz w:val="24"/>
          <w:szCs w:val="24"/>
        </w:rPr>
        <w:t>eltrombopag</w:t>
      </w:r>
      <w:proofErr w:type="spellEnd"/>
      <w:r w:rsidR="00001D6B" w:rsidRPr="00B747CD">
        <w:rPr>
          <w:rFonts w:ascii="Book Antiqua" w:hAnsi="Book Antiqua" w:cs="Arial"/>
          <w:color w:val="000000" w:themeColor="text1"/>
          <w:sz w:val="24"/>
          <w:szCs w:val="24"/>
        </w:rPr>
        <w:t xml:space="preserve"> must be used with caution and is not recommended as an alternative to platelet transfusions in this group of patients</w:t>
      </w:r>
      <w:r w:rsidR="0089274F" w:rsidRPr="00B747CD">
        <w:rPr>
          <w:rFonts w:ascii="Book Antiqua" w:hAnsi="Book Antiqua" w:cs="Arial"/>
          <w:color w:val="000000" w:themeColor="text1"/>
          <w:sz w:val="24"/>
          <w:szCs w:val="24"/>
        </w:rPr>
        <w:t xml:space="preserve">; this is an off-label use of </w:t>
      </w:r>
      <w:proofErr w:type="spellStart"/>
      <w:r w:rsidR="0089274F" w:rsidRPr="00B747CD">
        <w:rPr>
          <w:rFonts w:ascii="Book Antiqua" w:hAnsi="Book Antiqua" w:cs="Arial"/>
          <w:color w:val="000000" w:themeColor="text1"/>
          <w:sz w:val="24"/>
          <w:szCs w:val="24"/>
        </w:rPr>
        <w:t>eltrombopag</w:t>
      </w:r>
      <w:proofErr w:type="spellEnd"/>
      <w:r w:rsidR="0089274F" w:rsidRPr="00B747CD">
        <w:rPr>
          <w:rFonts w:ascii="Book Antiqua" w:hAnsi="Book Antiqua" w:cs="Arial"/>
          <w:color w:val="000000" w:themeColor="text1"/>
          <w:sz w:val="24"/>
          <w:szCs w:val="24"/>
        </w:rPr>
        <w:t>.</w:t>
      </w:r>
    </w:p>
    <w:p w14:paraId="2B54A0C3" w14:textId="77777777" w:rsidR="000C5B16" w:rsidRPr="00B747CD" w:rsidRDefault="000C5B16" w:rsidP="00B747CD">
      <w:pPr>
        <w:adjustRightInd w:val="0"/>
        <w:snapToGrid w:val="0"/>
        <w:spacing w:after="0" w:line="360" w:lineRule="auto"/>
        <w:jc w:val="both"/>
        <w:rPr>
          <w:rFonts w:ascii="Book Antiqua" w:hAnsi="Book Antiqua" w:cs="Arial"/>
          <w:color w:val="000000" w:themeColor="text1"/>
          <w:sz w:val="24"/>
          <w:szCs w:val="24"/>
        </w:rPr>
      </w:pPr>
    </w:p>
    <w:p w14:paraId="77357634" w14:textId="0E64C5BA" w:rsidR="0089274F" w:rsidRPr="00B747CD" w:rsidRDefault="0089274F" w:rsidP="00B747CD">
      <w:pPr>
        <w:adjustRightInd w:val="0"/>
        <w:snapToGrid w:val="0"/>
        <w:spacing w:after="0" w:line="360" w:lineRule="auto"/>
        <w:jc w:val="both"/>
        <w:rPr>
          <w:rFonts w:ascii="Book Antiqua" w:hAnsi="Book Antiqua" w:cs="Arial"/>
          <w:b/>
          <w:color w:val="000000" w:themeColor="text1"/>
          <w:sz w:val="24"/>
          <w:szCs w:val="24"/>
          <w:u w:val="single"/>
        </w:rPr>
      </w:pPr>
      <w:r w:rsidRPr="00B747CD">
        <w:rPr>
          <w:rFonts w:ascii="Book Antiqua" w:hAnsi="Book Antiqua" w:cs="Arial"/>
          <w:b/>
          <w:color w:val="000000" w:themeColor="text1"/>
          <w:sz w:val="24"/>
          <w:szCs w:val="24"/>
          <w:u w:val="single"/>
        </w:rPr>
        <w:t>A</w:t>
      </w:r>
      <w:r w:rsidR="000C5B16" w:rsidRPr="00B747CD">
        <w:rPr>
          <w:rFonts w:ascii="Book Antiqua" w:hAnsi="Book Antiqua" w:cs="Arial"/>
          <w:b/>
          <w:color w:val="000000" w:themeColor="text1"/>
          <w:sz w:val="24"/>
          <w:szCs w:val="24"/>
          <w:u w:val="single"/>
        </w:rPr>
        <w:t>VATROMBOPAG</w:t>
      </w:r>
    </w:p>
    <w:p w14:paraId="5904A738" w14:textId="7918A880" w:rsidR="0089274F" w:rsidRPr="00B747CD" w:rsidRDefault="0089274F" w:rsidP="00B747CD">
      <w:pPr>
        <w:adjustRightInd w:val="0"/>
        <w:snapToGrid w:val="0"/>
        <w:spacing w:after="0" w:line="360" w:lineRule="auto"/>
        <w:jc w:val="both"/>
        <w:rPr>
          <w:rFonts w:ascii="Book Antiqua" w:hAnsi="Book Antiqua" w:cs="Arial"/>
          <w:color w:val="000000" w:themeColor="text1"/>
          <w:sz w:val="24"/>
          <w:szCs w:val="24"/>
        </w:rPr>
      </w:pP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 is an oral, small-molecule non-peptide TPO-RA that, like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binds to the TPO receptor to bring out a number of cellular reactions that give rise to megakaryocytic proliferation and differentiation and increased platelet production. </w:t>
      </w:r>
      <w:r w:rsidR="00577879" w:rsidRPr="00B747CD">
        <w:rPr>
          <w:rFonts w:ascii="Book Antiqua" w:hAnsi="Book Antiqua" w:cs="Arial"/>
          <w:color w:val="000000" w:themeColor="text1"/>
          <w:sz w:val="24"/>
          <w:szCs w:val="24"/>
        </w:rPr>
        <w:lastRenderedPageBreak/>
        <w:t xml:space="preserve">Similar to </w:t>
      </w:r>
      <w:proofErr w:type="spellStart"/>
      <w:r w:rsidR="00577879" w:rsidRPr="00B747CD">
        <w:rPr>
          <w:rFonts w:ascii="Book Antiqua" w:hAnsi="Book Antiqua" w:cs="Arial"/>
          <w:color w:val="000000" w:themeColor="text1"/>
          <w:sz w:val="24"/>
          <w:szCs w:val="24"/>
        </w:rPr>
        <w:t>eltrombopag</w:t>
      </w:r>
      <w:proofErr w:type="spellEnd"/>
      <w:r w:rsidR="00C96E4C" w:rsidRPr="00B747CD">
        <w:rPr>
          <w:rFonts w:ascii="Book Antiqua" w:hAnsi="Book Antiqua" w:cs="Arial"/>
          <w:color w:val="000000" w:themeColor="text1"/>
          <w:sz w:val="24"/>
          <w:szCs w:val="24"/>
        </w:rPr>
        <w:t xml:space="preserve"> and </w:t>
      </w:r>
      <w:proofErr w:type="spellStart"/>
      <w:proofErr w:type="gramStart"/>
      <w:r w:rsidR="00C96E4C" w:rsidRPr="00B747CD">
        <w:rPr>
          <w:rFonts w:ascii="Book Antiqua" w:hAnsi="Book Antiqua" w:cs="Arial"/>
          <w:color w:val="000000" w:themeColor="text1"/>
          <w:sz w:val="24"/>
          <w:szCs w:val="24"/>
        </w:rPr>
        <w:t>lusutrombopag</w:t>
      </w:r>
      <w:proofErr w:type="spellEnd"/>
      <w:r w:rsidR="00094A3A" w:rsidRPr="00B747CD">
        <w:rPr>
          <w:rFonts w:ascii="Book Antiqua" w:hAnsi="Book Antiqua" w:cs="Arial"/>
          <w:color w:val="000000" w:themeColor="text1"/>
          <w:sz w:val="24"/>
          <w:szCs w:val="24"/>
          <w:vertAlign w:val="superscript"/>
        </w:rPr>
        <w:t>[</w:t>
      </w:r>
      <w:proofErr w:type="gramEnd"/>
      <w:r w:rsidR="00103C2C" w:rsidRPr="00B747CD">
        <w:rPr>
          <w:rFonts w:ascii="Book Antiqua" w:hAnsi="Book Antiqua" w:cs="Arial"/>
          <w:color w:val="000000" w:themeColor="text1"/>
          <w:sz w:val="24"/>
          <w:szCs w:val="24"/>
          <w:vertAlign w:val="superscript"/>
        </w:rPr>
        <w:t>7</w:t>
      </w:r>
      <w:r w:rsidR="00094A3A" w:rsidRPr="00B747CD">
        <w:rPr>
          <w:rFonts w:ascii="Book Antiqua" w:hAnsi="Book Antiqua" w:cs="Arial"/>
          <w:color w:val="000000" w:themeColor="text1"/>
          <w:sz w:val="24"/>
          <w:szCs w:val="24"/>
          <w:vertAlign w:val="superscript"/>
        </w:rPr>
        <w:t>]</w:t>
      </w:r>
      <w:r w:rsidR="000C5B16" w:rsidRPr="00B747CD">
        <w:rPr>
          <w:rFonts w:ascii="Book Antiqua" w:hAnsi="Book Antiqua" w:cs="Arial"/>
          <w:color w:val="000000" w:themeColor="text1"/>
          <w:sz w:val="24"/>
          <w:szCs w:val="24"/>
        </w:rPr>
        <w:t>,</w:t>
      </w:r>
      <w:r w:rsidR="00577879" w:rsidRPr="00B747CD">
        <w:rPr>
          <w:rFonts w:ascii="Book Antiqua" w:hAnsi="Book Antiqua" w:cs="Arial"/>
          <w:color w:val="000000" w:themeColor="text1"/>
          <w:sz w:val="24"/>
          <w:szCs w:val="24"/>
        </w:rPr>
        <w:t xml:space="preserve"> it </w:t>
      </w:r>
      <w:r w:rsidRPr="00B747CD">
        <w:rPr>
          <w:rFonts w:ascii="Book Antiqua" w:hAnsi="Book Antiqua" w:cs="Arial"/>
          <w:color w:val="000000" w:themeColor="text1"/>
          <w:sz w:val="24"/>
          <w:szCs w:val="24"/>
        </w:rPr>
        <w:t>does not compete with TPO for binding to the TPO</w:t>
      </w:r>
      <w:r w:rsidR="000D10AB" w:rsidRPr="00B747CD">
        <w:rPr>
          <w:rFonts w:ascii="Book Antiqua" w:hAnsi="Book Antiqua" w:cs="Arial"/>
          <w:color w:val="000000" w:themeColor="text1"/>
          <w:sz w:val="24"/>
          <w:szCs w:val="24"/>
        </w:rPr>
        <w:t xml:space="preserve"> receptor</w:t>
      </w:r>
      <w:r w:rsidRPr="00B747CD">
        <w:rPr>
          <w:rFonts w:ascii="Book Antiqua" w:hAnsi="Book Antiqua" w:cs="Arial"/>
          <w:color w:val="000000" w:themeColor="text1"/>
          <w:sz w:val="24"/>
          <w:szCs w:val="24"/>
        </w:rPr>
        <w:t xml:space="preserve">, </w:t>
      </w:r>
      <w:r w:rsidR="00577879" w:rsidRPr="00B747CD">
        <w:rPr>
          <w:rFonts w:ascii="Book Antiqua" w:hAnsi="Book Antiqua" w:cs="Arial"/>
          <w:color w:val="000000" w:themeColor="text1"/>
          <w:sz w:val="24"/>
          <w:szCs w:val="24"/>
        </w:rPr>
        <w:t xml:space="preserve">and may thus </w:t>
      </w:r>
      <w:r w:rsidRPr="00B747CD">
        <w:rPr>
          <w:rFonts w:ascii="Book Antiqua" w:hAnsi="Book Antiqua" w:cs="Arial"/>
          <w:color w:val="000000" w:themeColor="text1"/>
          <w:sz w:val="24"/>
          <w:szCs w:val="24"/>
        </w:rPr>
        <w:t>ha</w:t>
      </w:r>
      <w:r w:rsidR="00577879" w:rsidRPr="00B747CD">
        <w:rPr>
          <w:rFonts w:ascii="Book Antiqua" w:hAnsi="Book Antiqua" w:cs="Arial"/>
          <w:color w:val="000000" w:themeColor="text1"/>
          <w:sz w:val="24"/>
          <w:szCs w:val="24"/>
        </w:rPr>
        <w:t>ve</w:t>
      </w:r>
      <w:r w:rsidRPr="00B747CD">
        <w:rPr>
          <w:rFonts w:ascii="Book Antiqua" w:hAnsi="Book Antiqua" w:cs="Arial"/>
          <w:color w:val="000000" w:themeColor="text1"/>
          <w:sz w:val="24"/>
          <w:szCs w:val="24"/>
        </w:rPr>
        <w:t xml:space="preserve"> an additive effect with TPO on platelet production</w:t>
      </w:r>
      <w:r w:rsidR="00094A3A" w:rsidRPr="00B747CD">
        <w:rPr>
          <w:rFonts w:ascii="Book Antiqua" w:hAnsi="Book Antiqua" w:cs="Arial"/>
          <w:color w:val="000000" w:themeColor="text1"/>
          <w:sz w:val="24"/>
          <w:szCs w:val="24"/>
          <w:vertAlign w:val="superscript"/>
        </w:rPr>
        <w:t>[</w:t>
      </w:r>
      <w:r w:rsidRPr="00B747CD">
        <w:rPr>
          <w:rFonts w:ascii="Book Antiqua" w:hAnsi="Book Antiqua" w:cs="Arial"/>
          <w:color w:val="000000" w:themeColor="text1"/>
          <w:sz w:val="24"/>
          <w:szCs w:val="24"/>
          <w:vertAlign w:val="superscript"/>
        </w:rPr>
        <w:t>6</w:t>
      </w:r>
      <w:r w:rsidR="00C757FC" w:rsidRPr="00B747CD">
        <w:rPr>
          <w:rFonts w:ascii="Book Antiqua" w:hAnsi="Book Antiqua" w:cs="Arial"/>
          <w:color w:val="000000" w:themeColor="text1"/>
          <w:sz w:val="24"/>
          <w:szCs w:val="24"/>
          <w:vertAlign w:val="superscript"/>
        </w:rPr>
        <w:t>,12</w:t>
      </w:r>
      <w:r w:rsidR="00094A3A" w:rsidRPr="00B747CD">
        <w:rPr>
          <w:rFonts w:ascii="Book Antiqua" w:hAnsi="Book Antiqua" w:cs="Arial"/>
          <w:color w:val="000000" w:themeColor="text1"/>
          <w:sz w:val="24"/>
          <w:szCs w:val="24"/>
          <w:vertAlign w:val="superscript"/>
        </w:rPr>
        <w:t>]</w:t>
      </w:r>
      <w:r w:rsidR="000D10AB"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C96E4C" w:rsidRPr="00B747CD">
        <w:rPr>
          <w:rFonts w:ascii="Book Antiqua" w:hAnsi="Book Antiqua" w:cs="Arial"/>
          <w:color w:val="000000" w:themeColor="text1"/>
          <w:sz w:val="24"/>
          <w:szCs w:val="24"/>
        </w:rPr>
        <w:t xml:space="preserve">Cytochrome P450 enzymes CYP2C9 and 3A are responsible for metabolizing </w:t>
      </w:r>
      <w:proofErr w:type="spellStart"/>
      <w:r w:rsidR="00C96E4C" w:rsidRPr="00B747CD">
        <w:rPr>
          <w:rFonts w:ascii="Book Antiqua" w:hAnsi="Book Antiqua" w:cs="Arial"/>
          <w:color w:val="000000" w:themeColor="text1"/>
          <w:sz w:val="24"/>
          <w:szCs w:val="24"/>
        </w:rPr>
        <w:t>avatrombopag</w:t>
      </w:r>
      <w:proofErr w:type="spellEnd"/>
      <w:r w:rsidR="00C96E4C" w:rsidRPr="00B747CD">
        <w:rPr>
          <w:rFonts w:ascii="Book Antiqua" w:hAnsi="Book Antiqua" w:cs="Arial"/>
          <w:color w:val="000000" w:themeColor="text1"/>
          <w:sz w:val="24"/>
          <w:szCs w:val="24"/>
        </w:rPr>
        <w:t xml:space="preserve"> to corresponding 4-hydroxylated products, with the former enzyme playing the predominant </w:t>
      </w:r>
      <w:proofErr w:type="gramStart"/>
      <w:r w:rsidR="00C96E4C" w:rsidRPr="00B747CD">
        <w:rPr>
          <w:rFonts w:ascii="Book Antiqua" w:hAnsi="Book Antiqua" w:cs="Arial"/>
          <w:color w:val="000000" w:themeColor="text1"/>
          <w:sz w:val="24"/>
          <w:szCs w:val="24"/>
        </w:rPr>
        <w:t>role</w:t>
      </w:r>
      <w:r w:rsidR="00094A3A" w:rsidRPr="00B747CD">
        <w:rPr>
          <w:rFonts w:ascii="Book Antiqua" w:hAnsi="Book Antiqua" w:cs="Arial"/>
          <w:color w:val="000000" w:themeColor="text1"/>
          <w:sz w:val="24"/>
          <w:szCs w:val="24"/>
          <w:vertAlign w:val="superscript"/>
        </w:rPr>
        <w:t>[</w:t>
      </w:r>
      <w:proofErr w:type="gramEnd"/>
      <w:r w:rsidR="00103C2C" w:rsidRPr="00B747CD">
        <w:rPr>
          <w:rFonts w:ascii="Book Antiqua" w:hAnsi="Book Antiqua" w:cs="Arial"/>
          <w:color w:val="000000" w:themeColor="text1"/>
          <w:sz w:val="24"/>
          <w:szCs w:val="24"/>
          <w:vertAlign w:val="superscript"/>
        </w:rPr>
        <w:t>13</w:t>
      </w:r>
      <w:r w:rsidR="00094A3A" w:rsidRPr="00B747CD">
        <w:rPr>
          <w:rFonts w:ascii="Book Antiqua" w:hAnsi="Book Antiqua" w:cs="Arial"/>
          <w:color w:val="000000" w:themeColor="text1"/>
          <w:sz w:val="24"/>
          <w:szCs w:val="24"/>
          <w:vertAlign w:val="superscript"/>
        </w:rPr>
        <w:t>]</w:t>
      </w:r>
      <w:r w:rsidR="000D10AB" w:rsidRPr="00B747CD">
        <w:rPr>
          <w:rFonts w:ascii="Book Antiqua" w:hAnsi="Book Antiqua" w:cs="Arial"/>
          <w:color w:val="000000" w:themeColor="text1"/>
          <w:sz w:val="24"/>
          <w:szCs w:val="24"/>
        </w:rPr>
        <w:t>.</w:t>
      </w:r>
      <w:r w:rsidR="00C96E4C"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It is the first TPO-RA to be approved for use perioperatively to treat thrombocytopenia in adult patients with CLD scheduled to undergo a </w:t>
      </w:r>
      <w:proofErr w:type="gramStart"/>
      <w:r w:rsidRPr="00B747CD">
        <w:rPr>
          <w:rFonts w:ascii="Book Antiqua" w:hAnsi="Book Antiqua" w:cs="Arial"/>
          <w:color w:val="000000" w:themeColor="text1"/>
          <w:sz w:val="24"/>
          <w:szCs w:val="24"/>
        </w:rPr>
        <w:t>procedure</w:t>
      </w:r>
      <w:r w:rsidR="00094A3A"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6</w:t>
      </w:r>
      <w:r w:rsidR="00094A3A" w:rsidRPr="00B747CD">
        <w:rPr>
          <w:rFonts w:ascii="Book Antiqua" w:hAnsi="Book Antiqua" w:cs="Arial"/>
          <w:color w:val="000000" w:themeColor="text1"/>
          <w:sz w:val="24"/>
          <w:szCs w:val="24"/>
          <w:vertAlign w:val="superscript"/>
        </w:rPr>
        <w:t>]</w:t>
      </w:r>
      <w:r w:rsidR="00F85C82"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 is an orally administered drug that is taken with food for 5 d </w:t>
      </w:r>
      <w:r w:rsidR="00F85C82" w:rsidRPr="00B747CD">
        <w:rPr>
          <w:rFonts w:ascii="Book Antiqua" w:hAnsi="Book Antiqua" w:cs="Arial"/>
          <w:color w:val="000000" w:themeColor="text1"/>
          <w:sz w:val="24"/>
          <w:szCs w:val="24"/>
        </w:rPr>
        <w:t xml:space="preserve">consecutively </w:t>
      </w:r>
      <w:r w:rsidRPr="00B747CD">
        <w:rPr>
          <w:rFonts w:ascii="Book Antiqua" w:hAnsi="Book Antiqua" w:cs="Arial"/>
          <w:color w:val="000000" w:themeColor="text1"/>
          <w:sz w:val="24"/>
          <w:szCs w:val="24"/>
        </w:rPr>
        <w:t xml:space="preserve">prior to an elective procedure.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 results in a dose- and exposure-dependent increase in platelet counts in adults within 3-5 d of treatment, with a peak effect occurring after 10-13 d and counts remain</w:t>
      </w:r>
      <w:r w:rsidR="00617E37" w:rsidRPr="00B747CD">
        <w:rPr>
          <w:rFonts w:ascii="Book Antiqua" w:hAnsi="Book Antiqua" w:cs="Arial"/>
          <w:color w:val="000000" w:themeColor="text1"/>
          <w:sz w:val="24"/>
          <w:szCs w:val="24"/>
        </w:rPr>
        <w:t>ing</w:t>
      </w:r>
      <w:r w:rsidRPr="00B747CD">
        <w:rPr>
          <w:rFonts w:ascii="Book Antiqua" w:hAnsi="Book Antiqua" w:cs="Arial"/>
          <w:color w:val="000000" w:themeColor="text1"/>
          <w:sz w:val="24"/>
          <w:szCs w:val="24"/>
        </w:rPr>
        <w:t xml:space="preserve"> elevated over 50 </w:t>
      </w:r>
      <w:r w:rsidR="00F85C82" w:rsidRPr="00B747CD">
        <w:rPr>
          <w:rFonts w:ascii="Book Antiqua" w:hAnsi="Book Antiqua" w:cs="Arial"/>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w:t>
      </w:r>
      <w:r w:rsidRPr="00B747CD">
        <w:rPr>
          <w:rFonts w:ascii="Book Antiqua" w:hAnsi="Book Antiqua" w:cs="Arial"/>
          <w:color w:val="000000" w:themeColor="text1"/>
          <w:sz w:val="24"/>
          <w:szCs w:val="24"/>
        </w:rPr>
        <w:t xml:space="preserve">for at least 7 d post-procedure. Baseline levels are achieved after 35 </w:t>
      </w:r>
      <w:proofErr w:type="gramStart"/>
      <w:r w:rsidRPr="00B747CD">
        <w:rPr>
          <w:rFonts w:ascii="Book Antiqua" w:hAnsi="Book Antiqua" w:cs="Arial"/>
          <w:color w:val="000000" w:themeColor="text1"/>
          <w:sz w:val="24"/>
          <w:szCs w:val="24"/>
        </w:rPr>
        <w:t>d</w:t>
      </w:r>
      <w:r w:rsidR="00094A3A"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6</w:t>
      </w:r>
      <w:r w:rsidR="00094A3A" w:rsidRPr="00B747CD">
        <w:rPr>
          <w:rFonts w:ascii="Book Antiqua" w:hAnsi="Book Antiqua" w:cs="Arial"/>
          <w:color w:val="000000" w:themeColor="text1"/>
          <w:sz w:val="24"/>
          <w:szCs w:val="24"/>
          <w:vertAlign w:val="superscript"/>
        </w:rPr>
        <w:t>]</w:t>
      </w:r>
      <w:r w:rsidR="00F85C82"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p>
    <w:p w14:paraId="09E07B38" w14:textId="77777777" w:rsidR="00F85C82" w:rsidRPr="00B747CD" w:rsidRDefault="00F85C82" w:rsidP="00B747CD">
      <w:pPr>
        <w:adjustRightInd w:val="0"/>
        <w:snapToGrid w:val="0"/>
        <w:spacing w:after="0" w:line="360" w:lineRule="auto"/>
        <w:jc w:val="both"/>
        <w:rPr>
          <w:rFonts w:ascii="Book Antiqua" w:eastAsia="Times New Roman" w:hAnsi="Book Antiqua" w:cs="Arial"/>
          <w:bCs/>
          <w:color w:val="000000" w:themeColor="text1"/>
          <w:sz w:val="24"/>
          <w:szCs w:val="24"/>
        </w:rPr>
      </w:pPr>
    </w:p>
    <w:p w14:paraId="228FF2C7" w14:textId="246D22E5" w:rsidR="0089274F" w:rsidRPr="00B747CD" w:rsidRDefault="0089274F" w:rsidP="00B747CD">
      <w:pPr>
        <w:adjustRightInd w:val="0"/>
        <w:snapToGrid w:val="0"/>
        <w:spacing w:after="0" w:line="360" w:lineRule="auto"/>
        <w:jc w:val="both"/>
        <w:rPr>
          <w:rFonts w:ascii="Book Antiqua" w:eastAsia="Times New Roman" w:hAnsi="Book Antiqua" w:cs="Arial"/>
          <w:b/>
          <w:bCs/>
          <w:i/>
          <w:color w:val="000000" w:themeColor="text1"/>
          <w:sz w:val="24"/>
          <w:szCs w:val="24"/>
        </w:rPr>
      </w:pPr>
      <w:r w:rsidRPr="00B747CD">
        <w:rPr>
          <w:rFonts w:ascii="Book Antiqua" w:eastAsia="Times New Roman" w:hAnsi="Book Antiqua" w:cs="Arial"/>
          <w:b/>
          <w:bCs/>
          <w:i/>
          <w:color w:val="000000" w:themeColor="text1"/>
          <w:sz w:val="24"/>
          <w:szCs w:val="24"/>
        </w:rPr>
        <w:t>Efficacy and safety in clinical studies</w:t>
      </w:r>
    </w:p>
    <w:p w14:paraId="07568E6C" w14:textId="77777777" w:rsidR="00B77418" w:rsidRPr="00B747CD" w:rsidRDefault="0089274F" w:rsidP="00B747CD">
      <w:pPr>
        <w:adjustRightInd w:val="0"/>
        <w:snapToGrid w:val="0"/>
        <w:spacing w:after="0" w:line="360" w:lineRule="auto"/>
        <w:jc w:val="both"/>
        <w:rPr>
          <w:rFonts w:ascii="Book Antiqua" w:hAnsi="Book Antiqua" w:cs="Arial"/>
          <w:bCs/>
          <w:color w:val="000000" w:themeColor="text1"/>
          <w:sz w:val="24"/>
          <w:szCs w:val="24"/>
          <w:lang w:eastAsia="zh-CN"/>
        </w:rPr>
      </w:pPr>
      <w:r w:rsidRPr="00B747CD">
        <w:rPr>
          <w:rFonts w:ascii="Book Antiqua" w:eastAsia="Times New Roman" w:hAnsi="Book Antiqua" w:cs="Arial"/>
          <w:bCs/>
          <w:color w:val="000000" w:themeColor="text1"/>
          <w:sz w:val="24"/>
          <w:szCs w:val="24"/>
        </w:rPr>
        <w:t xml:space="preserve">There have been two randomized, double-blind, placebo-controlled </w:t>
      </w:r>
      <w:r w:rsidR="00184906" w:rsidRPr="00B747CD">
        <w:rPr>
          <w:rFonts w:ascii="Book Antiqua" w:eastAsia="Times New Roman" w:hAnsi="Book Antiqua" w:cs="Arial"/>
          <w:bCs/>
          <w:color w:val="000000" w:themeColor="text1"/>
          <w:sz w:val="24"/>
          <w:szCs w:val="24"/>
        </w:rPr>
        <w:t>P</w:t>
      </w:r>
      <w:r w:rsidRPr="00B747CD">
        <w:rPr>
          <w:rFonts w:ascii="Book Antiqua" w:eastAsia="Times New Roman" w:hAnsi="Book Antiqua" w:cs="Arial"/>
          <w:bCs/>
          <w:color w:val="000000" w:themeColor="text1"/>
          <w:sz w:val="24"/>
          <w:szCs w:val="24"/>
        </w:rPr>
        <w:t xml:space="preserve">hase 3 </w:t>
      </w:r>
      <w:proofErr w:type="gramStart"/>
      <w:r w:rsidRPr="00B747CD">
        <w:rPr>
          <w:rFonts w:ascii="Book Antiqua" w:eastAsia="Times New Roman" w:hAnsi="Book Antiqua" w:cs="Arial"/>
          <w:bCs/>
          <w:color w:val="000000" w:themeColor="text1"/>
          <w:sz w:val="24"/>
          <w:szCs w:val="24"/>
        </w:rPr>
        <w:t>trials</w:t>
      </w:r>
      <w:r w:rsidR="00094A3A" w:rsidRPr="00B747CD">
        <w:rPr>
          <w:rFonts w:ascii="Book Antiqua" w:eastAsia="Times New Roman" w:hAnsi="Book Antiqua" w:cs="Arial"/>
          <w:bCs/>
          <w:color w:val="000000" w:themeColor="text1"/>
          <w:sz w:val="24"/>
          <w:szCs w:val="24"/>
          <w:vertAlign w:val="superscript"/>
        </w:rPr>
        <w:t>[</w:t>
      </w:r>
      <w:proofErr w:type="gramEnd"/>
      <w:r w:rsidR="00995F70" w:rsidRPr="00B747CD">
        <w:rPr>
          <w:rFonts w:ascii="Book Antiqua" w:eastAsia="Times New Roman" w:hAnsi="Book Antiqua" w:cs="Arial"/>
          <w:bCs/>
          <w:color w:val="000000" w:themeColor="text1"/>
          <w:sz w:val="24"/>
          <w:szCs w:val="24"/>
          <w:vertAlign w:val="superscript"/>
        </w:rPr>
        <w:t>1</w:t>
      </w:r>
      <w:r w:rsidR="00103C2C" w:rsidRPr="00B747CD">
        <w:rPr>
          <w:rFonts w:ascii="Book Antiqua" w:eastAsia="Times New Roman" w:hAnsi="Book Antiqua" w:cs="Arial"/>
          <w:bCs/>
          <w:color w:val="000000" w:themeColor="text1"/>
          <w:sz w:val="24"/>
          <w:szCs w:val="24"/>
          <w:vertAlign w:val="superscript"/>
        </w:rPr>
        <w:t>4</w:t>
      </w:r>
      <w:r w:rsidR="00094A3A" w:rsidRPr="00B747CD">
        <w:rPr>
          <w:rFonts w:ascii="Book Antiqua" w:eastAsia="Times New Roman" w:hAnsi="Book Antiqua" w:cs="Arial"/>
          <w:bCs/>
          <w:color w:val="000000" w:themeColor="text1"/>
          <w:sz w:val="24"/>
          <w:szCs w:val="24"/>
          <w:vertAlign w:val="superscript"/>
        </w:rPr>
        <w:t>]</w:t>
      </w:r>
      <w:r w:rsidR="009E5D7D" w:rsidRPr="00B747CD">
        <w:rPr>
          <w:rFonts w:ascii="Book Antiqua" w:hAnsi="Book Antiqua" w:cs="Arial"/>
          <w:bCs/>
          <w:color w:val="000000" w:themeColor="text1"/>
          <w:sz w:val="24"/>
          <w:szCs w:val="24"/>
          <w:vertAlign w:val="superscript"/>
          <w:lang w:eastAsia="zh-CN"/>
        </w:rPr>
        <w:t xml:space="preserve"> </w:t>
      </w:r>
      <w:r w:rsidR="009E5D7D" w:rsidRPr="00B747CD">
        <w:rPr>
          <w:rFonts w:ascii="Book Antiqua" w:hAnsi="Book Antiqua" w:cs="Arial"/>
          <w:bCs/>
          <w:color w:val="000000" w:themeColor="text1"/>
          <w:sz w:val="24"/>
          <w:szCs w:val="24"/>
          <w:lang w:eastAsia="zh-CN"/>
        </w:rPr>
        <w:t>-</w:t>
      </w:r>
      <w:r w:rsidR="00995F70" w:rsidRPr="00B747CD">
        <w:rPr>
          <w:rFonts w:ascii="Book Antiqua" w:eastAsia="Times New Roman" w:hAnsi="Book Antiqua" w:cs="Arial"/>
          <w:bCs/>
          <w:color w:val="000000" w:themeColor="text1"/>
          <w:sz w:val="24"/>
          <w:szCs w:val="24"/>
        </w:rPr>
        <w:t xml:space="preserve"> </w:t>
      </w:r>
      <w:r w:rsidR="009E5D7D" w:rsidRPr="00B747CD">
        <w:rPr>
          <w:rFonts w:ascii="Book Antiqua" w:eastAsia="Times New Roman" w:hAnsi="Book Antiqua" w:cs="Arial"/>
          <w:bCs/>
          <w:color w:val="000000" w:themeColor="text1"/>
          <w:sz w:val="24"/>
          <w:szCs w:val="24"/>
        </w:rPr>
        <w:t>ADAPT-1 and ADAPT-2</w:t>
      </w:r>
      <w:r w:rsidR="009E5D7D" w:rsidRPr="00B747CD">
        <w:rPr>
          <w:rFonts w:ascii="Book Antiqua" w:hAnsi="Book Antiqua" w:cs="Arial"/>
          <w:bCs/>
          <w:color w:val="000000" w:themeColor="text1"/>
          <w:sz w:val="24"/>
          <w:szCs w:val="24"/>
          <w:lang w:eastAsia="zh-CN"/>
        </w:rPr>
        <w:t xml:space="preserve"> - </w:t>
      </w:r>
      <w:r w:rsidRPr="00B747CD">
        <w:rPr>
          <w:rFonts w:ascii="Book Antiqua" w:eastAsia="Times New Roman" w:hAnsi="Book Antiqua" w:cs="Arial"/>
          <w:bCs/>
          <w:color w:val="000000" w:themeColor="text1"/>
          <w:sz w:val="24"/>
          <w:szCs w:val="24"/>
        </w:rPr>
        <w:t xml:space="preserve">with identical designs that have studied the effectiveness and safety of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in reducing the need for platelet transfusion and rescue from bleeding in patients with CLD scheduled for a procedure.</w:t>
      </w:r>
      <w:r w:rsidR="00ED3D62" w:rsidRPr="00B747CD">
        <w:rPr>
          <w:rFonts w:ascii="Book Antiqua" w:eastAsia="Times New Roman" w:hAnsi="Book Antiqua" w:cs="Arial"/>
          <w:bCs/>
          <w:color w:val="000000" w:themeColor="text1"/>
          <w:sz w:val="24"/>
          <w:szCs w:val="24"/>
        </w:rPr>
        <w:t xml:space="preserve"> Patients were screened to exclude several criteria</w:t>
      </w:r>
      <w:r w:rsidR="00184906" w:rsidRPr="00B747CD">
        <w:rPr>
          <w:rFonts w:ascii="Book Antiqua" w:eastAsia="Times New Roman" w:hAnsi="Book Antiqua" w:cs="Arial"/>
          <w:bCs/>
          <w:color w:val="000000" w:themeColor="text1"/>
          <w:sz w:val="24"/>
          <w:szCs w:val="24"/>
        </w:rPr>
        <w:t>,</w:t>
      </w:r>
      <w:r w:rsidR="00ED3D62" w:rsidRPr="00B747CD">
        <w:rPr>
          <w:rFonts w:ascii="Book Antiqua" w:eastAsia="Times New Roman" w:hAnsi="Book Antiqua" w:cs="Arial"/>
          <w:bCs/>
          <w:color w:val="000000" w:themeColor="text1"/>
          <w:sz w:val="24"/>
          <w:szCs w:val="24"/>
        </w:rPr>
        <w:t xml:space="preserve"> including presence of arterial or venous thrombosis and a portal vein blood flow </w:t>
      </w:r>
      <w:r w:rsidR="00D359F1" w:rsidRPr="00B747CD">
        <w:rPr>
          <w:rFonts w:ascii="Book Antiqua" w:eastAsia="Times New Roman" w:hAnsi="Book Antiqua" w:cs="Arial"/>
          <w:bCs/>
          <w:color w:val="000000" w:themeColor="text1"/>
          <w:sz w:val="24"/>
          <w:szCs w:val="24"/>
        </w:rPr>
        <w:t>below</w:t>
      </w:r>
      <w:r w:rsidR="00184906" w:rsidRPr="00B747CD">
        <w:rPr>
          <w:rFonts w:ascii="Book Antiqua" w:eastAsia="Times New Roman" w:hAnsi="Book Antiqua" w:cs="Arial"/>
          <w:bCs/>
          <w:color w:val="000000" w:themeColor="text1"/>
          <w:sz w:val="24"/>
          <w:szCs w:val="24"/>
        </w:rPr>
        <w:t xml:space="preserve"> </w:t>
      </w:r>
      <w:r w:rsidR="00EF5C43" w:rsidRPr="00B747CD">
        <w:rPr>
          <w:rFonts w:ascii="Book Antiqua" w:eastAsia="Times New Roman" w:hAnsi="Book Antiqua" w:cs="Arial"/>
          <w:bCs/>
          <w:color w:val="000000" w:themeColor="text1"/>
          <w:sz w:val="24"/>
          <w:szCs w:val="24"/>
        </w:rPr>
        <w:t>10 cm/s</w:t>
      </w:r>
      <w:r w:rsidR="00ED3D62"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w:t>
      </w:r>
      <w:r w:rsidR="00397FCD" w:rsidRPr="00B747CD">
        <w:rPr>
          <w:rFonts w:ascii="Book Antiqua" w:eastAsia="Times New Roman" w:hAnsi="Book Antiqua" w:cs="Arial"/>
          <w:bCs/>
          <w:color w:val="000000" w:themeColor="text1"/>
          <w:sz w:val="24"/>
          <w:szCs w:val="24"/>
        </w:rPr>
        <w:t>Included p</w:t>
      </w:r>
      <w:r w:rsidRPr="00B747CD">
        <w:rPr>
          <w:rFonts w:ascii="Book Antiqua" w:eastAsia="Times New Roman" w:hAnsi="Book Antiqua" w:cs="Arial"/>
          <w:bCs/>
          <w:color w:val="000000" w:themeColor="text1"/>
          <w:sz w:val="24"/>
          <w:szCs w:val="24"/>
        </w:rPr>
        <w:t>atients were divided into low and high baseline platelet count cohorts and received 60</w:t>
      </w:r>
      <w:r w:rsidR="00397FCD"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mg/d and 40</w:t>
      </w:r>
      <w:r w:rsidR="00397FCD"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 xml:space="preserve">mg/d of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respectively. The primary endpoint of these studies was the proportion of patients who did not require a platelet transfusion or rescue procedure for bleeding after randomization and up to 7 d after a scheduled procedure. Secondary efficacy endpoints included the proportion of patients achieving the target platelet count of </w:t>
      </w:r>
      <w:r w:rsidRPr="00B747CD">
        <w:rPr>
          <w:rFonts w:ascii="Book Antiqua" w:eastAsia="Times New Roman" w:hAnsi="Book Antiqua" w:cs="Arial"/>
          <w:bCs/>
          <w:color w:val="000000" w:themeColor="text1"/>
          <w:sz w:val="24"/>
          <w:szCs w:val="24"/>
        </w:rPr>
        <w:sym w:font="Symbol" w:char="F0B3"/>
      </w:r>
      <w:r w:rsidRPr="00B747CD">
        <w:rPr>
          <w:rFonts w:ascii="Book Antiqua" w:eastAsia="Times New Roman" w:hAnsi="Book Antiqua" w:cs="Arial"/>
          <w:bCs/>
          <w:color w:val="000000" w:themeColor="text1"/>
          <w:sz w:val="24"/>
          <w:szCs w:val="24"/>
        </w:rPr>
        <w:t xml:space="preserve"> 50 </w:t>
      </w:r>
      <w:r w:rsidR="00397FCD" w:rsidRPr="00B747CD">
        <w:rPr>
          <w:rFonts w:ascii="Book Antiqua" w:eastAsia="Times New Roman" w:hAnsi="Book Antiqua" w:cs="Arial"/>
          <w:bCs/>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on the day of the procedure and the mean change in platelet count from baseline to procedure day. Patients treated with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demonstrated increased platelet counts that were approximately 30-50 </w:t>
      </w:r>
      <w:r w:rsidR="00397FCD" w:rsidRPr="00B747CD">
        <w:rPr>
          <w:rFonts w:ascii="Book Antiqua" w:eastAsia="Times New Roman" w:hAnsi="Book Antiqua" w:cs="Arial"/>
          <w:bCs/>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higher on average compared with patients treated with placebo before minor invasive procedures, with a net doubling of counts on average. There </w:t>
      </w:r>
      <w:r w:rsidR="00B10D99" w:rsidRPr="00B747CD">
        <w:rPr>
          <w:rFonts w:ascii="Book Antiqua" w:eastAsia="Times New Roman" w:hAnsi="Book Antiqua" w:cs="Arial"/>
          <w:bCs/>
          <w:color w:val="000000" w:themeColor="text1"/>
          <w:sz w:val="24"/>
          <w:szCs w:val="24"/>
        </w:rPr>
        <w:t xml:space="preserve">were no meaningful differences in AEs of special </w:t>
      </w:r>
      <w:r w:rsidR="00B10D99" w:rsidRPr="00B747CD">
        <w:rPr>
          <w:rFonts w:ascii="Book Antiqua" w:eastAsia="Times New Roman" w:hAnsi="Book Antiqua" w:cs="Arial"/>
          <w:bCs/>
          <w:color w:val="000000" w:themeColor="text1"/>
          <w:sz w:val="24"/>
          <w:szCs w:val="24"/>
        </w:rPr>
        <w:lastRenderedPageBreak/>
        <w:t xml:space="preserve">interest </w:t>
      </w:r>
      <w:r w:rsidR="00397FCD" w:rsidRPr="00B747CD">
        <w:rPr>
          <w:rFonts w:ascii="Book Antiqua" w:eastAsia="Times New Roman" w:hAnsi="Book Antiqua" w:cs="Arial"/>
          <w:bCs/>
          <w:color w:val="000000" w:themeColor="text1"/>
          <w:sz w:val="24"/>
          <w:szCs w:val="24"/>
        </w:rPr>
        <w:t>among the</w:t>
      </w:r>
      <w:r w:rsidR="00B10D99" w:rsidRPr="00B747CD">
        <w:rPr>
          <w:rFonts w:ascii="Book Antiqua" w:eastAsia="Times New Roman" w:hAnsi="Book Antiqua" w:cs="Arial"/>
          <w:bCs/>
          <w:color w:val="000000" w:themeColor="text1"/>
          <w:sz w:val="24"/>
          <w:szCs w:val="24"/>
        </w:rPr>
        <w:t xml:space="preserve"> </w:t>
      </w:r>
      <w:proofErr w:type="spellStart"/>
      <w:r w:rsidR="00B10D99" w:rsidRPr="00B747CD">
        <w:rPr>
          <w:rFonts w:ascii="Book Antiqua" w:eastAsia="Times New Roman" w:hAnsi="Book Antiqua" w:cs="Arial"/>
          <w:bCs/>
          <w:color w:val="000000" w:themeColor="text1"/>
          <w:sz w:val="24"/>
          <w:szCs w:val="24"/>
        </w:rPr>
        <w:t>avatrombopag</w:t>
      </w:r>
      <w:proofErr w:type="spellEnd"/>
      <w:r w:rsidR="00B10D99" w:rsidRPr="00B747CD">
        <w:rPr>
          <w:rFonts w:ascii="Book Antiqua" w:eastAsia="Times New Roman" w:hAnsi="Book Antiqua" w:cs="Arial"/>
          <w:bCs/>
          <w:color w:val="000000" w:themeColor="text1"/>
          <w:sz w:val="24"/>
          <w:szCs w:val="24"/>
        </w:rPr>
        <w:t>-treated and placebo-treated patients</w:t>
      </w:r>
      <w:r w:rsidR="00397FCD" w:rsidRPr="00B747CD">
        <w:rPr>
          <w:rFonts w:ascii="Book Antiqua" w:eastAsia="Times New Roman" w:hAnsi="Book Antiqua" w:cs="Arial"/>
          <w:bCs/>
          <w:color w:val="000000" w:themeColor="text1"/>
          <w:sz w:val="24"/>
          <w:szCs w:val="24"/>
        </w:rPr>
        <w:t>,</w:t>
      </w:r>
      <w:r w:rsidR="00B10D99" w:rsidRPr="00B747CD">
        <w:rPr>
          <w:rFonts w:ascii="Book Antiqua" w:eastAsia="Times New Roman" w:hAnsi="Book Antiqua" w:cs="Arial"/>
          <w:bCs/>
          <w:color w:val="000000" w:themeColor="text1"/>
          <w:sz w:val="24"/>
          <w:szCs w:val="24"/>
        </w:rPr>
        <w:t xml:space="preserve"> including</w:t>
      </w:r>
      <w:r w:rsidRPr="00B747CD">
        <w:rPr>
          <w:rFonts w:ascii="Book Antiqua" w:eastAsia="Times New Roman" w:hAnsi="Book Antiqua" w:cs="Arial"/>
          <w:bCs/>
          <w:color w:val="000000" w:themeColor="text1"/>
          <w:sz w:val="24"/>
          <w:szCs w:val="24"/>
        </w:rPr>
        <w:t xml:space="preserve"> thromboembolism, and the rates of occurrence of </w:t>
      </w:r>
      <w:r w:rsidR="00617E37" w:rsidRPr="00B747CD">
        <w:rPr>
          <w:rFonts w:ascii="Book Antiqua" w:eastAsia="Times New Roman" w:hAnsi="Book Antiqua" w:cs="Arial"/>
          <w:bCs/>
          <w:color w:val="000000" w:themeColor="text1"/>
          <w:sz w:val="24"/>
          <w:szCs w:val="24"/>
        </w:rPr>
        <w:t>AE</w:t>
      </w:r>
      <w:r w:rsidRPr="00B747CD">
        <w:rPr>
          <w:rFonts w:ascii="Book Antiqua" w:eastAsia="Times New Roman" w:hAnsi="Book Antiqua" w:cs="Arial"/>
          <w:bCs/>
          <w:color w:val="000000" w:themeColor="text1"/>
          <w:sz w:val="24"/>
          <w:szCs w:val="24"/>
        </w:rPr>
        <w:t xml:space="preserve">s </w:t>
      </w:r>
      <w:r w:rsidR="00B10D99" w:rsidRPr="00B747CD">
        <w:rPr>
          <w:rFonts w:ascii="Book Antiqua" w:eastAsia="Times New Roman" w:hAnsi="Book Antiqua" w:cs="Arial"/>
          <w:bCs/>
          <w:color w:val="000000" w:themeColor="text1"/>
          <w:sz w:val="24"/>
          <w:szCs w:val="24"/>
        </w:rPr>
        <w:t xml:space="preserve">across both the studies </w:t>
      </w:r>
      <w:r w:rsidRPr="00B747CD">
        <w:rPr>
          <w:rFonts w:ascii="Book Antiqua" w:eastAsia="Times New Roman" w:hAnsi="Book Antiqua" w:cs="Arial"/>
          <w:bCs/>
          <w:color w:val="000000" w:themeColor="text1"/>
          <w:sz w:val="24"/>
          <w:szCs w:val="24"/>
        </w:rPr>
        <w:t xml:space="preserve">were </w:t>
      </w:r>
      <w:r w:rsidR="00B10D99" w:rsidRPr="00B747CD">
        <w:rPr>
          <w:rFonts w:ascii="Book Antiqua" w:eastAsia="Times New Roman" w:hAnsi="Book Antiqua" w:cs="Arial"/>
          <w:bCs/>
          <w:color w:val="000000" w:themeColor="text1"/>
          <w:sz w:val="24"/>
          <w:szCs w:val="24"/>
        </w:rPr>
        <w:t xml:space="preserve">comparable </w:t>
      </w:r>
      <w:r w:rsidRPr="00B747CD">
        <w:rPr>
          <w:rFonts w:ascii="Book Antiqua" w:eastAsia="Times New Roman" w:hAnsi="Book Antiqua" w:cs="Arial"/>
          <w:bCs/>
          <w:color w:val="000000" w:themeColor="text1"/>
          <w:sz w:val="24"/>
          <w:szCs w:val="24"/>
        </w:rPr>
        <w:t xml:space="preserve">in the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and placebo-treated </w:t>
      </w:r>
      <w:proofErr w:type="gramStart"/>
      <w:r w:rsidRPr="00B747CD">
        <w:rPr>
          <w:rFonts w:ascii="Book Antiqua" w:eastAsia="Times New Roman" w:hAnsi="Book Antiqua" w:cs="Arial"/>
          <w:bCs/>
          <w:color w:val="000000" w:themeColor="text1"/>
          <w:sz w:val="24"/>
          <w:szCs w:val="24"/>
        </w:rPr>
        <w:t>groups</w:t>
      </w:r>
      <w:r w:rsidR="00671EE0" w:rsidRPr="00B747CD">
        <w:rPr>
          <w:rFonts w:ascii="Book Antiqua" w:eastAsia="Times New Roman" w:hAnsi="Book Antiqua" w:cs="Arial"/>
          <w:bCs/>
          <w:color w:val="000000" w:themeColor="text1"/>
          <w:sz w:val="24"/>
          <w:szCs w:val="24"/>
          <w:vertAlign w:val="superscript"/>
        </w:rPr>
        <w:t>[</w:t>
      </w:r>
      <w:proofErr w:type="gramEnd"/>
      <w:r w:rsidR="00995F70" w:rsidRPr="00B747CD">
        <w:rPr>
          <w:rFonts w:ascii="Book Antiqua" w:eastAsia="Times New Roman" w:hAnsi="Book Antiqua" w:cs="Arial"/>
          <w:bCs/>
          <w:color w:val="000000" w:themeColor="text1"/>
          <w:sz w:val="24"/>
          <w:szCs w:val="24"/>
          <w:vertAlign w:val="superscript"/>
        </w:rPr>
        <w:t>1</w:t>
      </w:r>
      <w:r w:rsidR="00103C2C" w:rsidRPr="00B747CD">
        <w:rPr>
          <w:rFonts w:ascii="Book Antiqua" w:eastAsia="Times New Roman" w:hAnsi="Book Antiqua" w:cs="Arial"/>
          <w:bCs/>
          <w:color w:val="000000" w:themeColor="text1"/>
          <w:sz w:val="24"/>
          <w:szCs w:val="24"/>
          <w:vertAlign w:val="superscript"/>
        </w:rPr>
        <w:t>4</w:t>
      </w:r>
      <w:r w:rsidR="00671EE0" w:rsidRPr="00B747CD">
        <w:rPr>
          <w:rFonts w:ascii="Book Antiqua" w:eastAsia="Times New Roman" w:hAnsi="Book Antiqua" w:cs="Arial"/>
          <w:bCs/>
          <w:color w:val="000000" w:themeColor="text1"/>
          <w:sz w:val="24"/>
          <w:szCs w:val="24"/>
          <w:vertAlign w:val="superscript"/>
        </w:rPr>
        <w:t>]</w:t>
      </w:r>
      <w:r w:rsidR="00397FCD" w:rsidRPr="00B747CD">
        <w:rPr>
          <w:rFonts w:ascii="Book Antiqua" w:eastAsia="Times New Roman" w:hAnsi="Book Antiqua" w:cs="Arial"/>
          <w:bCs/>
          <w:color w:val="000000" w:themeColor="text1"/>
          <w:sz w:val="24"/>
          <w:szCs w:val="24"/>
        </w:rPr>
        <w:t>.</w:t>
      </w:r>
      <w:r w:rsidR="00995F70" w:rsidRPr="00B747CD">
        <w:rPr>
          <w:rFonts w:ascii="Book Antiqua" w:eastAsia="Times New Roman" w:hAnsi="Book Antiqua" w:cs="Arial"/>
          <w:bCs/>
          <w:color w:val="000000" w:themeColor="text1"/>
          <w:sz w:val="24"/>
          <w:szCs w:val="24"/>
          <w:vertAlign w:val="superscript"/>
        </w:rPr>
        <w:t xml:space="preserve"> </w:t>
      </w:r>
      <w:r w:rsidR="00B10D99" w:rsidRPr="00B747CD">
        <w:rPr>
          <w:rFonts w:ascii="Book Antiqua" w:eastAsia="Times New Roman" w:hAnsi="Book Antiqua" w:cs="Arial"/>
          <w:color w:val="000000" w:themeColor="text1"/>
          <w:sz w:val="24"/>
          <w:szCs w:val="24"/>
        </w:rPr>
        <w:t>A</w:t>
      </w:r>
      <w:r w:rsidR="00B10D99" w:rsidRPr="00B747CD">
        <w:rPr>
          <w:rFonts w:ascii="Book Antiqua" w:eastAsia="Times New Roman" w:hAnsi="Book Antiqua" w:cs="Arial"/>
          <w:bCs/>
          <w:color w:val="000000" w:themeColor="text1"/>
          <w:sz w:val="24"/>
          <w:szCs w:val="24"/>
        </w:rPr>
        <w:t xml:space="preserve"> </w:t>
      </w:r>
      <w:r w:rsidR="00397FCD" w:rsidRPr="00B747CD">
        <w:rPr>
          <w:rFonts w:ascii="Book Antiqua" w:hAnsi="Book Antiqua" w:cs="Arial"/>
          <w:color w:val="000000" w:themeColor="text1"/>
          <w:sz w:val="24"/>
          <w:szCs w:val="24"/>
        </w:rPr>
        <w:t>treatment-emergent AE (</w:t>
      </w:r>
      <w:r w:rsidR="00B10D99" w:rsidRPr="00B747CD">
        <w:rPr>
          <w:rFonts w:ascii="Book Antiqua" w:eastAsia="Times New Roman" w:hAnsi="Book Antiqua" w:cs="Arial"/>
          <w:bCs/>
          <w:color w:val="000000" w:themeColor="text1"/>
          <w:sz w:val="24"/>
          <w:szCs w:val="24"/>
        </w:rPr>
        <w:t>TEAE</w:t>
      </w:r>
      <w:r w:rsidR="00397FCD" w:rsidRPr="00B747CD">
        <w:rPr>
          <w:rFonts w:ascii="Book Antiqua" w:eastAsia="Times New Roman" w:hAnsi="Book Antiqua" w:cs="Arial"/>
          <w:bCs/>
          <w:color w:val="000000" w:themeColor="text1"/>
          <w:sz w:val="24"/>
          <w:szCs w:val="24"/>
        </w:rPr>
        <w:t>)</w:t>
      </w:r>
      <w:r w:rsidR="00B10D99" w:rsidRPr="00B747CD">
        <w:rPr>
          <w:rFonts w:ascii="Book Antiqua" w:eastAsia="Times New Roman" w:hAnsi="Book Antiqua" w:cs="Arial"/>
          <w:bCs/>
          <w:color w:val="000000" w:themeColor="text1"/>
          <w:sz w:val="24"/>
          <w:szCs w:val="24"/>
        </w:rPr>
        <w:t xml:space="preserve"> of partial </w:t>
      </w:r>
      <w:r w:rsidR="00397FCD" w:rsidRPr="00B747CD">
        <w:rPr>
          <w:rFonts w:ascii="Book Antiqua" w:eastAsia="Times New Roman" w:hAnsi="Book Antiqua" w:cs="Arial"/>
          <w:bCs/>
          <w:color w:val="000000" w:themeColor="text1"/>
          <w:sz w:val="24"/>
          <w:szCs w:val="24"/>
        </w:rPr>
        <w:t>PVT</w:t>
      </w:r>
      <w:r w:rsidR="00B10D99" w:rsidRPr="00B747CD">
        <w:rPr>
          <w:rFonts w:ascii="Book Antiqua" w:eastAsia="Times New Roman" w:hAnsi="Book Antiqua" w:cs="Arial"/>
          <w:bCs/>
          <w:color w:val="000000" w:themeColor="text1"/>
          <w:sz w:val="24"/>
          <w:szCs w:val="24"/>
        </w:rPr>
        <w:t xml:space="preserve"> was observed in </w:t>
      </w:r>
      <w:r w:rsidR="003478F7" w:rsidRPr="00B747CD">
        <w:rPr>
          <w:rFonts w:ascii="Book Antiqua" w:eastAsia="Times New Roman" w:hAnsi="Book Antiqua" w:cs="Arial"/>
          <w:bCs/>
          <w:color w:val="000000" w:themeColor="text1"/>
          <w:sz w:val="24"/>
          <w:szCs w:val="24"/>
        </w:rPr>
        <w:t xml:space="preserve">1 </w:t>
      </w:r>
      <w:proofErr w:type="spellStart"/>
      <w:r w:rsidR="00B10D99" w:rsidRPr="00B747CD">
        <w:rPr>
          <w:rFonts w:ascii="Book Antiqua" w:eastAsia="Times New Roman" w:hAnsi="Book Antiqua" w:cs="Arial"/>
          <w:bCs/>
          <w:color w:val="000000" w:themeColor="text1"/>
          <w:sz w:val="24"/>
          <w:szCs w:val="24"/>
        </w:rPr>
        <w:t>avatrombopag</w:t>
      </w:r>
      <w:proofErr w:type="spellEnd"/>
      <w:r w:rsidR="00B10D99" w:rsidRPr="00B747CD">
        <w:rPr>
          <w:rFonts w:ascii="Book Antiqua" w:eastAsia="Times New Roman" w:hAnsi="Book Antiqua" w:cs="Arial"/>
          <w:bCs/>
          <w:color w:val="000000" w:themeColor="text1"/>
          <w:sz w:val="24"/>
          <w:szCs w:val="24"/>
        </w:rPr>
        <w:t>-treated patient</w:t>
      </w:r>
      <w:r w:rsidR="00995808" w:rsidRPr="00B747CD">
        <w:rPr>
          <w:rFonts w:ascii="Book Antiqua" w:eastAsia="Times New Roman" w:hAnsi="Book Antiqua" w:cs="Arial"/>
          <w:bCs/>
          <w:color w:val="000000" w:themeColor="text1"/>
          <w:sz w:val="24"/>
          <w:szCs w:val="24"/>
        </w:rPr>
        <w:t xml:space="preserve"> </w:t>
      </w:r>
      <w:r w:rsidR="00B10D99" w:rsidRPr="00B747CD">
        <w:rPr>
          <w:rFonts w:ascii="Book Antiqua" w:eastAsia="Times New Roman" w:hAnsi="Book Antiqua" w:cs="Arial"/>
          <w:bCs/>
          <w:color w:val="000000" w:themeColor="text1"/>
          <w:sz w:val="24"/>
          <w:szCs w:val="24"/>
        </w:rPr>
        <w:t>in the high baseline platelet count cohort</w:t>
      </w:r>
      <w:r w:rsidR="00123988" w:rsidRPr="00B747CD">
        <w:rPr>
          <w:rFonts w:ascii="Book Antiqua" w:eastAsia="Times New Roman" w:hAnsi="Book Antiqua" w:cs="Arial"/>
          <w:bCs/>
          <w:color w:val="000000" w:themeColor="text1"/>
          <w:sz w:val="24"/>
          <w:szCs w:val="24"/>
        </w:rPr>
        <w:t xml:space="preserve"> in the ADAPT-2 trial</w:t>
      </w:r>
      <w:r w:rsidR="00B10D99" w:rsidRPr="00B747CD">
        <w:rPr>
          <w:rFonts w:ascii="Book Antiqua" w:eastAsia="Times New Roman" w:hAnsi="Book Antiqua" w:cs="Arial"/>
          <w:bCs/>
          <w:color w:val="000000" w:themeColor="text1"/>
          <w:sz w:val="24"/>
          <w:szCs w:val="24"/>
        </w:rPr>
        <w:t xml:space="preserve"> </w:t>
      </w:r>
      <w:r w:rsidR="003478F7" w:rsidRPr="00B747CD">
        <w:rPr>
          <w:rFonts w:ascii="Book Antiqua" w:eastAsia="Times New Roman" w:hAnsi="Book Antiqua" w:cs="Arial"/>
          <w:bCs/>
          <w:color w:val="000000" w:themeColor="text1"/>
          <w:sz w:val="24"/>
          <w:szCs w:val="24"/>
        </w:rPr>
        <w:t xml:space="preserve">at </w:t>
      </w:r>
      <w:r w:rsidR="00123988" w:rsidRPr="00B747CD">
        <w:rPr>
          <w:rFonts w:ascii="Book Antiqua" w:eastAsia="Times New Roman" w:hAnsi="Book Antiqua" w:cs="Arial"/>
          <w:bCs/>
          <w:color w:val="000000" w:themeColor="text1"/>
          <w:sz w:val="24"/>
          <w:szCs w:val="24"/>
        </w:rPr>
        <w:t xml:space="preserve">13 d after the last </w:t>
      </w:r>
      <w:proofErr w:type="spellStart"/>
      <w:r w:rsidR="00123988" w:rsidRPr="00B747CD">
        <w:rPr>
          <w:rFonts w:ascii="Book Antiqua" w:eastAsia="Times New Roman" w:hAnsi="Book Antiqua" w:cs="Arial"/>
          <w:bCs/>
          <w:color w:val="000000" w:themeColor="text1"/>
          <w:sz w:val="24"/>
          <w:szCs w:val="24"/>
        </w:rPr>
        <w:t>avatrombopag</w:t>
      </w:r>
      <w:proofErr w:type="spellEnd"/>
      <w:r w:rsidR="00123988" w:rsidRPr="00B747CD">
        <w:rPr>
          <w:rFonts w:ascii="Book Antiqua" w:eastAsia="Times New Roman" w:hAnsi="Book Antiqua" w:cs="Arial"/>
          <w:bCs/>
          <w:color w:val="000000" w:themeColor="text1"/>
          <w:sz w:val="24"/>
          <w:szCs w:val="24"/>
        </w:rPr>
        <w:t xml:space="preserve"> dose and was assessed as nonserious and possibly related to the drug. T</w:t>
      </w:r>
      <w:r w:rsidR="00B10D99" w:rsidRPr="00B747CD">
        <w:rPr>
          <w:rFonts w:ascii="Book Antiqua" w:eastAsia="Times New Roman" w:hAnsi="Book Antiqua" w:cs="Arial"/>
          <w:bCs/>
          <w:color w:val="000000" w:themeColor="text1"/>
          <w:sz w:val="24"/>
          <w:szCs w:val="24"/>
        </w:rPr>
        <w:t xml:space="preserve">hromboembolic events were </w:t>
      </w:r>
      <w:r w:rsidR="00123988" w:rsidRPr="00B747CD">
        <w:rPr>
          <w:rFonts w:ascii="Book Antiqua" w:eastAsia="Times New Roman" w:hAnsi="Book Antiqua" w:cs="Arial"/>
          <w:bCs/>
          <w:color w:val="000000" w:themeColor="text1"/>
          <w:sz w:val="24"/>
          <w:szCs w:val="24"/>
        </w:rPr>
        <w:t xml:space="preserve">also </w:t>
      </w:r>
      <w:r w:rsidR="00B10D99" w:rsidRPr="00B747CD">
        <w:rPr>
          <w:rFonts w:ascii="Book Antiqua" w:eastAsia="Times New Roman" w:hAnsi="Book Antiqua" w:cs="Arial"/>
          <w:bCs/>
          <w:color w:val="000000" w:themeColor="text1"/>
          <w:sz w:val="24"/>
          <w:szCs w:val="24"/>
        </w:rPr>
        <w:t>observed in 2 placebo-treated patients</w:t>
      </w:r>
      <w:r w:rsidR="00123988" w:rsidRPr="00B747CD">
        <w:rPr>
          <w:rFonts w:ascii="Book Antiqua" w:eastAsia="Times New Roman" w:hAnsi="Book Antiqua" w:cs="Arial"/>
          <w:bCs/>
          <w:color w:val="000000" w:themeColor="text1"/>
          <w:sz w:val="24"/>
          <w:szCs w:val="24"/>
        </w:rPr>
        <w:t xml:space="preserve"> in </w:t>
      </w:r>
      <w:r w:rsidR="003478F7" w:rsidRPr="00B747CD">
        <w:rPr>
          <w:rFonts w:ascii="Book Antiqua" w:eastAsia="Times New Roman" w:hAnsi="Book Antiqua" w:cs="Arial"/>
          <w:bCs/>
          <w:color w:val="000000" w:themeColor="text1"/>
          <w:sz w:val="24"/>
          <w:szCs w:val="24"/>
        </w:rPr>
        <w:t xml:space="preserve">the </w:t>
      </w:r>
      <w:r w:rsidR="00123988" w:rsidRPr="00B747CD">
        <w:rPr>
          <w:rFonts w:ascii="Book Antiqua" w:eastAsia="Times New Roman" w:hAnsi="Book Antiqua" w:cs="Arial"/>
          <w:bCs/>
          <w:color w:val="000000" w:themeColor="text1"/>
          <w:sz w:val="24"/>
          <w:szCs w:val="24"/>
        </w:rPr>
        <w:t>ADAPT-2</w:t>
      </w:r>
      <w:r w:rsidR="003478F7" w:rsidRPr="00B747CD">
        <w:rPr>
          <w:rFonts w:ascii="Book Antiqua" w:eastAsia="Times New Roman" w:hAnsi="Book Antiqua" w:cs="Arial"/>
          <w:bCs/>
          <w:color w:val="000000" w:themeColor="text1"/>
          <w:sz w:val="24"/>
          <w:szCs w:val="24"/>
        </w:rPr>
        <w:t xml:space="preserve"> trial</w:t>
      </w:r>
      <w:r w:rsidR="00B10D99" w:rsidRPr="00B747CD">
        <w:rPr>
          <w:rFonts w:ascii="Book Antiqua" w:eastAsia="Times New Roman" w:hAnsi="Book Antiqua" w:cs="Arial"/>
          <w:bCs/>
          <w:color w:val="000000" w:themeColor="text1"/>
          <w:sz w:val="24"/>
          <w:szCs w:val="24"/>
        </w:rPr>
        <w:t xml:space="preserve">, one </w:t>
      </w:r>
      <w:r w:rsidR="003478F7" w:rsidRPr="00B747CD">
        <w:rPr>
          <w:rFonts w:ascii="Book Antiqua" w:eastAsia="Times New Roman" w:hAnsi="Book Antiqua" w:cs="Arial"/>
          <w:bCs/>
          <w:color w:val="000000" w:themeColor="text1"/>
          <w:sz w:val="24"/>
          <w:szCs w:val="24"/>
        </w:rPr>
        <w:t xml:space="preserve">being </w:t>
      </w:r>
      <w:r w:rsidR="00B10D99" w:rsidRPr="00B747CD">
        <w:rPr>
          <w:rFonts w:ascii="Book Antiqua" w:eastAsia="Times New Roman" w:hAnsi="Book Antiqua" w:cs="Arial"/>
          <w:bCs/>
          <w:color w:val="000000" w:themeColor="text1"/>
          <w:sz w:val="24"/>
          <w:szCs w:val="24"/>
        </w:rPr>
        <w:t xml:space="preserve">an acute myocardial infarction and the other a disseminated intravascular coagulation/pulmonary embolus. Thromboembolic TEAEs were not noted in </w:t>
      </w:r>
      <w:r w:rsidR="003478F7" w:rsidRPr="00B747CD">
        <w:rPr>
          <w:rFonts w:ascii="Book Antiqua" w:eastAsia="Times New Roman" w:hAnsi="Book Antiqua" w:cs="Arial"/>
          <w:bCs/>
          <w:color w:val="000000" w:themeColor="text1"/>
          <w:sz w:val="24"/>
          <w:szCs w:val="24"/>
        </w:rPr>
        <w:t xml:space="preserve">the </w:t>
      </w:r>
      <w:r w:rsidR="00B10D99" w:rsidRPr="00B747CD">
        <w:rPr>
          <w:rFonts w:ascii="Book Antiqua" w:eastAsia="Times New Roman" w:hAnsi="Book Antiqua" w:cs="Arial"/>
          <w:bCs/>
          <w:color w:val="000000" w:themeColor="text1"/>
          <w:sz w:val="24"/>
          <w:szCs w:val="24"/>
        </w:rPr>
        <w:t>ADAPT-1 trial</w:t>
      </w:r>
      <w:r w:rsidR="00BC3F68" w:rsidRPr="00B747CD">
        <w:rPr>
          <w:rFonts w:ascii="Book Antiqua" w:eastAsia="Times New Roman" w:hAnsi="Book Antiqua" w:cs="Arial"/>
          <w:bCs/>
          <w:color w:val="000000" w:themeColor="text1"/>
          <w:sz w:val="24"/>
          <w:szCs w:val="24"/>
        </w:rPr>
        <w:t>. One</w:t>
      </w:r>
      <w:r w:rsidR="00B10D99" w:rsidRPr="00B747CD">
        <w:rPr>
          <w:rFonts w:ascii="Book Antiqua" w:eastAsia="Times New Roman" w:hAnsi="Book Antiqua" w:cs="Arial"/>
          <w:bCs/>
          <w:color w:val="000000" w:themeColor="text1"/>
          <w:sz w:val="24"/>
          <w:szCs w:val="24"/>
        </w:rPr>
        <w:t xml:space="preserve"> non-TEAE of </w:t>
      </w:r>
      <w:r w:rsidR="00397FCD" w:rsidRPr="00B747CD">
        <w:rPr>
          <w:rFonts w:ascii="Book Antiqua" w:eastAsia="Times New Roman" w:hAnsi="Book Antiqua" w:cs="Arial"/>
          <w:bCs/>
          <w:color w:val="000000" w:themeColor="text1"/>
          <w:sz w:val="24"/>
          <w:szCs w:val="24"/>
        </w:rPr>
        <w:t>PVT</w:t>
      </w:r>
      <w:r w:rsidR="00B10D99" w:rsidRPr="00B747CD">
        <w:rPr>
          <w:rFonts w:ascii="Book Antiqua" w:eastAsia="Times New Roman" w:hAnsi="Book Antiqua" w:cs="Arial"/>
          <w:bCs/>
          <w:color w:val="000000" w:themeColor="text1"/>
          <w:sz w:val="24"/>
          <w:szCs w:val="24"/>
        </w:rPr>
        <w:t xml:space="preserve"> was observed in the </w:t>
      </w:r>
      <w:proofErr w:type="spellStart"/>
      <w:r w:rsidR="00B10D99" w:rsidRPr="00B747CD">
        <w:rPr>
          <w:rFonts w:ascii="Book Antiqua" w:eastAsia="Times New Roman" w:hAnsi="Book Antiqua" w:cs="Arial"/>
          <w:bCs/>
          <w:color w:val="000000" w:themeColor="text1"/>
          <w:sz w:val="24"/>
          <w:szCs w:val="24"/>
        </w:rPr>
        <w:t>avatrombopag</w:t>
      </w:r>
      <w:proofErr w:type="spellEnd"/>
      <w:r w:rsidR="00B10D99" w:rsidRPr="00B747CD">
        <w:rPr>
          <w:rFonts w:ascii="Book Antiqua" w:eastAsia="Times New Roman" w:hAnsi="Book Antiqua" w:cs="Arial"/>
          <w:bCs/>
          <w:color w:val="000000" w:themeColor="text1"/>
          <w:sz w:val="24"/>
          <w:szCs w:val="24"/>
        </w:rPr>
        <w:t xml:space="preserve"> group (60 mg) </w:t>
      </w:r>
      <w:r w:rsidR="003478F7" w:rsidRPr="00B747CD">
        <w:rPr>
          <w:rFonts w:ascii="Book Antiqua" w:eastAsia="Times New Roman" w:hAnsi="Book Antiqua" w:cs="Arial"/>
          <w:bCs/>
          <w:color w:val="000000" w:themeColor="text1"/>
          <w:sz w:val="24"/>
          <w:szCs w:val="24"/>
        </w:rPr>
        <w:t xml:space="preserve">at </w:t>
      </w:r>
      <w:r w:rsidR="00B10D99" w:rsidRPr="00B747CD">
        <w:rPr>
          <w:rFonts w:ascii="Book Antiqua" w:eastAsia="Times New Roman" w:hAnsi="Book Antiqua" w:cs="Arial"/>
          <w:bCs/>
          <w:color w:val="000000" w:themeColor="text1"/>
          <w:sz w:val="24"/>
          <w:szCs w:val="24"/>
        </w:rPr>
        <w:t xml:space="preserve">31 d after the final dose of </w:t>
      </w:r>
      <w:proofErr w:type="spellStart"/>
      <w:r w:rsidR="00B10D99" w:rsidRPr="00B747CD">
        <w:rPr>
          <w:rFonts w:ascii="Book Antiqua" w:eastAsia="Times New Roman" w:hAnsi="Book Antiqua" w:cs="Arial"/>
          <w:bCs/>
          <w:color w:val="000000" w:themeColor="text1"/>
          <w:sz w:val="24"/>
          <w:szCs w:val="24"/>
        </w:rPr>
        <w:t>avatrombopag</w:t>
      </w:r>
      <w:proofErr w:type="spellEnd"/>
      <w:r w:rsidR="00B10D99" w:rsidRPr="00B747CD">
        <w:rPr>
          <w:rFonts w:ascii="Book Antiqua" w:eastAsia="Times New Roman" w:hAnsi="Book Antiqua" w:cs="Arial"/>
          <w:bCs/>
          <w:color w:val="000000" w:themeColor="text1"/>
          <w:sz w:val="24"/>
          <w:szCs w:val="24"/>
        </w:rPr>
        <w:t xml:space="preserve"> </w:t>
      </w:r>
      <w:r w:rsidR="00123988" w:rsidRPr="00B747CD">
        <w:rPr>
          <w:rFonts w:ascii="Book Antiqua" w:eastAsia="Times New Roman" w:hAnsi="Book Antiqua" w:cs="Arial"/>
          <w:bCs/>
          <w:color w:val="000000" w:themeColor="text1"/>
          <w:sz w:val="24"/>
          <w:szCs w:val="24"/>
        </w:rPr>
        <w:t>and</w:t>
      </w:r>
      <w:r w:rsidR="00B10D99" w:rsidRPr="00B747CD">
        <w:rPr>
          <w:rFonts w:ascii="Book Antiqua" w:eastAsia="Times New Roman" w:hAnsi="Book Antiqua" w:cs="Arial"/>
          <w:bCs/>
          <w:color w:val="000000" w:themeColor="text1"/>
          <w:sz w:val="24"/>
          <w:szCs w:val="24"/>
        </w:rPr>
        <w:t xml:space="preserve"> was assessed as serious but not related. T</w:t>
      </w:r>
      <w:r w:rsidRPr="00B747CD">
        <w:rPr>
          <w:rFonts w:ascii="Book Antiqua" w:eastAsia="Times New Roman" w:hAnsi="Book Antiqua" w:cs="Arial"/>
          <w:bCs/>
          <w:color w:val="000000" w:themeColor="text1"/>
          <w:sz w:val="24"/>
          <w:szCs w:val="24"/>
        </w:rPr>
        <w:t>able 1 outlines the key efficacy and safety results from these trials.</w:t>
      </w:r>
      <w:r w:rsidR="00F23D30" w:rsidRPr="00B747CD">
        <w:rPr>
          <w:rFonts w:ascii="Book Antiqua" w:eastAsia="Times New Roman" w:hAnsi="Book Antiqua" w:cs="Arial"/>
          <w:bCs/>
          <w:color w:val="000000" w:themeColor="text1"/>
          <w:sz w:val="24"/>
          <w:szCs w:val="24"/>
        </w:rPr>
        <w:t xml:space="preserve"> </w:t>
      </w:r>
    </w:p>
    <w:p w14:paraId="404047C8" w14:textId="1EA27E55" w:rsidR="0089274F" w:rsidRPr="00B747CD" w:rsidRDefault="0089274F" w:rsidP="00B747CD">
      <w:pPr>
        <w:adjustRightInd w:val="0"/>
        <w:snapToGrid w:val="0"/>
        <w:spacing w:after="0" w:line="360" w:lineRule="auto"/>
        <w:ind w:firstLineChars="100" w:firstLine="240"/>
        <w:jc w:val="both"/>
        <w:rPr>
          <w:rFonts w:ascii="Book Antiqua" w:eastAsia="Times New Roman" w:hAnsi="Book Antiqua" w:cs="Arial"/>
          <w:bCs/>
          <w:color w:val="000000" w:themeColor="text1"/>
          <w:sz w:val="24"/>
          <w:szCs w:val="24"/>
        </w:rPr>
      </w:pPr>
      <w:r w:rsidRPr="00B747CD">
        <w:rPr>
          <w:rFonts w:ascii="Book Antiqua" w:eastAsia="Times New Roman" w:hAnsi="Book Antiqua" w:cs="Arial"/>
          <w:bCs/>
          <w:color w:val="000000" w:themeColor="text1"/>
          <w:sz w:val="24"/>
          <w:szCs w:val="24"/>
        </w:rPr>
        <w:t xml:space="preserve">Results from a pharmacokinetic modeling study have shown that repeated dosing of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as early as 12 d after completion of the first dosing can increase platelet counts to within safe </w:t>
      </w:r>
      <w:proofErr w:type="gramStart"/>
      <w:r w:rsidRPr="00B747CD">
        <w:rPr>
          <w:rFonts w:ascii="Book Antiqua" w:eastAsia="Times New Roman" w:hAnsi="Book Antiqua" w:cs="Arial"/>
          <w:bCs/>
          <w:color w:val="000000" w:themeColor="text1"/>
          <w:sz w:val="24"/>
          <w:szCs w:val="24"/>
        </w:rPr>
        <w:t>limits</w:t>
      </w:r>
      <w:r w:rsidR="0081380A" w:rsidRPr="00B747CD">
        <w:rPr>
          <w:rFonts w:ascii="Book Antiqua" w:eastAsia="Times New Roman" w:hAnsi="Book Antiqua" w:cs="Arial"/>
          <w:bCs/>
          <w:color w:val="000000" w:themeColor="text1"/>
          <w:sz w:val="24"/>
          <w:szCs w:val="24"/>
          <w:vertAlign w:val="superscript"/>
        </w:rPr>
        <w:t>[</w:t>
      </w:r>
      <w:proofErr w:type="gramEnd"/>
      <w:r w:rsidR="00995F70" w:rsidRPr="00B747CD">
        <w:rPr>
          <w:rFonts w:ascii="Book Antiqua" w:eastAsia="Times New Roman" w:hAnsi="Book Antiqua" w:cs="Arial"/>
          <w:bCs/>
          <w:color w:val="000000" w:themeColor="text1"/>
          <w:sz w:val="24"/>
          <w:szCs w:val="24"/>
          <w:vertAlign w:val="superscript"/>
        </w:rPr>
        <w:t>1</w:t>
      </w:r>
      <w:r w:rsidR="00103C2C" w:rsidRPr="00B747CD">
        <w:rPr>
          <w:rFonts w:ascii="Book Antiqua" w:eastAsia="Times New Roman" w:hAnsi="Book Antiqua" w:cs="Arial"/>
          <w:bCs/>
          <w:color w:val="000000" w:themeColor="text1"/>
          <w:sz w:val="24"/>
          <w:szCs w:val="24"/>
          <w:vertAlign w:val="superscript"/>
        </w:rPr>
        <w:t>5</w:t>
      </w:r>
      <w:r w:rsidR="0081380A" w:rsidRPr="00B747CD">
        <w:rPr>
          <w:rFonts w:ascii="Book Antiqua" w:eastAsia="Times New Roman" w:hAnsi="Book Antiqua" w:cs="Arial"/>
          <w:bCs/>
          <w:color w:val="000000" w:themeColor="text1"/>
          <w:sz w:val="24"/>
          <w:szCs w:val="24"/>
          <w:vertAlign w:val="superscript"/>
        </w:rPr>
        <w:t>]</w:t>
      </w:r>
      <w:r w:rsidR="003478F7" w:rsidRPr="00B747CD">
        <w:rPr>
          <w:rFonts w:ascii="Book Antiqua" w:eastAsia="Times New Roman" w:hAnsi="Book Antiqua" w:cs="Arial"/>
          <w:bCs/>
          <w:color w:val="000000" w:themeColor="text1"/>
          <w:sz w:val="24"/>
          <w:szCs w:val="24"/>
        </w:rPr>
        <w:t>.</w:t>
      </w:r>
      <w:r w:rsidR="00995F70"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 xml:space="preserve">Saab </w:t>
      </w:r>
      <w:r w:rsidRPr="00B747CD">
        <w:rPr>
          <w:rFonts w:ascii="Book Antiqua" w:eastAsia="Times New Roman" w:hAnsi="Book Antiqua" w:cs="Arial"/>
          <w:i/>
          <w:color w:val="000000" w:themeColor="text1"/>
          <w:sz w:val="24"/>
          <w:szCs w:val="24"/>
        </w:rPr>
        <w:t xml:space="preserve">et </w:t>
      </w:r>
      <w:proofErr w:type="gramStart"/>
      <w:r w:rsidRPr="00B747CD">
        <w:rPr>
          <w:rFonts w:ascii="Book Antiqua" w:eastAsia="Times New Roman" w:hAnsi="Book Antiqua" w:cs="Arial"/>
          <w:i/>
          <w:color w:val="000000" w:themeColor="text1"/>
          <w:sz w:val="24"/>
          <w:szCs w:val="24"/>
        </w:rPr>
        <w:t>al</w:t>
      </w:r>
      <w:r w:rsidR="003478F7" w:rsidRPr="00B747CD">
        <w:rPr>
          <w:rFonts w:ascii="Book Antiqua" w:eastAsia="Times New Roman" w:hAnsi="Book Antiqua" w:cs="Arial"/>
          <w:bCs/>
          <w:color w:val="000000" w:themeColor="text1"/>
          <w:sz w:val="24"/>
          <w:szCs w:val="24"/>
          <w:vertAlign w:val="superscript"/>
        </w:rPr>
        <w:t>[</w:t>
      </w:r>
      <w:proofErr w:type="gramEnd"/>
      <w:r w:rsidR="003478F7" w:rsidRPr="00B747CD">
        <w:rPr>
          <w:rFonts w:ascii="Book Antiqua" w:eastAsia="Times New Roman" w:hAnsi="Book Antiqua" w:cs="Arial"/>
          <w:bCs/>
          <w:color w:val="000000" w:themeColor="text1"/>
          <w:sz w:val="24"/>
          <w:szCs w:val="24"/>
          <w:vertAlign w:val="superscript"/>
        </w:rPr>
        <w:t>16]</w:t>
      </w:r>
      <w:r w:rsidRPr="00B747CD">
        <w:rPr>
          <w:rFonts w:ascii="Book Antiqua" w:eastAsia="Times New Roman" w:hAnsi="Book Antiqua" w:cs="Arial"/>
          <w:bCs/>
          <w:color w:val="000000" w:themeColor="text1"/>
          <w:sz w:val="24"/>
          <w:szCs w:val="24"/>
        </w:rPr>
        <w:t xml:space="preserve"> have recently reported that repeated dosing of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in 4 patients with CLD and thrombocytopenia led to a 2.3-fold mean increase in platelet count after the first dosing and 2.6-fold mean increase after the second dosing.</w:t>
      </w:r>
      <w:r w:rsidR="00995F70"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 xml:space="preserve">The patients underwent procedures within 9-13 d after starting </w:t>
      </w:r>
      <w:proofErr w:type="spellStart"/>
      <w:r w:rsidRPr="00B747CD">
        <w:rPr>
          <w:rFonts w:ascii="Book Antiqua" w:eastAsia="Times New Roman" w:hAnsi="Book Antiqua" w:cs="Arial"/>
          <w:bCs/>
          <w:color w:val="000000" w:themeColor="text1"/>
          <w:sz w:val="24"/>
          <w:szCs w:val="24"/>
        </w:rPr>
        <w:t>avatrombopag</w:t>
      </w:r>
      <w:proofErr w:type="spellEnd"/>
      <w:r w:rsidR="003478F7"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with repeat dosing performed at least 30 d after completing the first dose. None of the patients required platelet transfusions or rescue therapy, or had </w:t>
      </w:r>
      <w:r w:rsidR="00097D60" w:rsidRPr="00B747CD">
        <w:rPr>
          <w:rFonts w:ascii="Book Antiqua" w:eastAsia="Times New Roman" w:hAnsi="Book Antiqua" w:cs="Arial"/>
          <w:bCs/>
          <w:color w:val="000000" w:themeColor="text1"/>
          <w:sz w:val="24"/>
          <w:szCs w:val="24"/>
        </w:rPr>
        <w:t>TEAEs</w:t>
      </w:r>
      <w:r w:rsidRPr="00B747CD">
        <w:rPr>
          <w:rFonts w:ascii="Book Antiqua" w:eastAsia="Times New Roman" w:hAnsi="Book Antiqua" w:cs="Arial"/>
          <w:bCs/>
          <w:color w:val="000000" w:themeColor="text1"/>
          <w:sz w:val="24"/>
          <w:szCs w:val="24"/>
        </w:rPr>
        <w:t xml:space="preserve">, and repeated dosing did not reduce </w:t>
      </w:r>
      <w:r w:rsidR="003478F7" w:rsidRPr="00B747CD">
        <w:rPr>
          <w:rFonts w:ascii="Book Antiqua" w:eastAsia="Times New Roman" w:hAnsi="Book Antiqua" w:cs="Arial"/>
          <w:bCs/>
          <w:color w:val="000000" w:themeColor="text1"/>
          <w:sz w:val="24"/>
          <w:szCs w:val="24"/>
        </w:rPr>
        <w:t xml:space="preserve">the </w:t>
      </w:r>
      <w:r w:rsidRPr="00B747CD">
        <w:rPr>
          <w:rFonts w:ascii="Book Antiqua" w:eastAsia="Times New Roman" w:hAnsi="Book Antiqua" w:cs="Arial"/>
          <w:bCs/>
          <w:color w:val="000000" w:themeColor="text1"/>
          <w:sz w:val="24"/>
          <w:szCs w:val="24"/>
        </w:rPr>
        <w:t xml:space="preserve">efficacy of </w:t>
      </w:r>
      <w:proofErr w:type="spellStart"/>
      <w:proofErr w:type="gramStart"/>
      <w:r w:rsidRPr="00B747CD">
        <w:rPr>
          <w:rFonts w:ascii="Book Antiqua" w:eastAsia="Times New Roman" w:hAnsi="Book Antiqua" w:cs="Arial"/>
          <w:bCs/>
          <w:color w:val="000000" w:themeColor="text1"/>
          <w:sz w:val="24"/>
          <w:szCs w:val="24"/>
        </w:rPr>
        <w:t>avatrombopag</w:t>
      </w:r>
      <w:proofErr w:type="spellEnd"/>
      <w:r w:rsidR="006A73D4" w:rsidRPr="00B747CD">
        <w:rPr>
          <w:rFonts w:ascii="Book Antiqua" w:eastAsia="Times New Roman" w:hAnsi="Book Antiqua" w:cs="Arial"/>
          <w:bCs/>
          <w:color w:val="000000" w:themeColor="text1"/>
          <w:sz w:val="24"/>
          <w:szCs w:val="24"/>
          <w:vertAlign w:val="superscript"/>
        </w:rPr>
        <w:t>[</w:t>
      </w:r>
      <w:proofErr w:type="gramEnd"/>
      <w:r w:rsidR="00995F70" w:rsidRPr="00B747CD">
        <w:rPr>
          <w:rFonts w:ascii="Book Antiqua" w:eastAsia="Times New Roman" w:hAnsi="Book Antiqua" w:cs="Arial"/>
          <w:bCs/>
          <w:color w:val="000000" w:themeColor="text1"/>
          <w:sz w:val="24"/>
          <w:szCs w:val="24"/>
          <w:vertAlign w:val="superscript"/>
        </w:rPr>
        <w:t>1</w:t>
      </w:r>
      <w:r w:rsidR="00103C2C" w:rsidRPr="00B747CD">
        <w:rPr>
          <w:rFonts w:ascii="Book Antiqua" w:eastAsia="Times New Roman" w:hAnsi="Book Antiqua" w:cs="Arial"/>
          <w:bCs/>
          <w:color w:val="000000" w:themeColor="text1"/>
          <w:sz w:val="24"/>
          <w:szCs w:val="24"/>
          <w:vertAlign w:val="superscript"/>
        </w:rPr>
        <w:t>6</w:t>
      </w:r>
      <w:r w:rsidR="006A73D4" w:rsidRPr="00B747CD">
        <w:rPr>
          <w:rFonts w:ascii="Book Antiqua" w:eastAsia="Times New Roman" w:hAnsi="Book Antiqua" w:cs="Arial"/>
          <w:bCs/>
          <w:color w:val="000000" w:themeColor="text1"/>
          <w:sz w:val="24"/>
          <w:szCs w:val="24"/>
          <w:vertAlign w:val="superscript"/>
        </w:rPr>
        <w:t>]</w:t>
      </w:r>
      <w:r w:rsidR="003478F7" w:rsidRPr="00B747CD">
        <w:rPr>
          <w:rFonts w:ascii="Book Antiqua" w:eastAsia="Times New Roman" w:hAnsi="Book Antiqua" w:cs="Arial"/>
          <w:bCs/>
          <w:color w:val="000000" w:themeColor="text1"/>
          <w:sz w:val="24"/>
          <w:szCs w:val="24"/>
        </w:rPr>
        <w:t>.</w:t>
      </w:r>
      <w:r w:rsidR="00B405D2" w:rsidRPr="00B747CD">
        <w:rPr>
          <w:rFonts w:ascii="Book Antiqua" w:eastAsia="Times New Roman" w:hAnsi="Book Antiqua" w:cs="Arial"/>
          <w:bCs/>
          <w:color w:val="000000" w:themeColor="text1"/>
          <w:sz w:val="24"/>
          <w:szCs w:val="24"/>
          <w:vertAlign w:val="superscript"/>
        </w:rPr>
        <w:t xml:space="preserve"> </w:t>
      </w:r>
      <w:proofErr w:type="spellStart"/>
      <w:r w:rsidR="00B405D2" w:rsidRPr="00B747CD">
        <w:rPr>
          <w:rFonts w:ascii="Book Antiqua" w:eastAsia="Times New Roman" w:hAnsi="Book Antiqua" w:cs="Arial"/>
          <w:bCs/>
          <w:color w:val="000000" w:themeColor="text1"/>
          <w:sz w:val="24"/>
          <w:szCs w:val="24"/>
        </w:rPr>
        <w:t>Avatrombopag</w:t>
      </w:r>
      <w:proofErr w:type="spellEnd"/>
      <w:r w:rsidR="00B405D2" w:rsidRPr="00B747CD">
        <w:rPr>
          <w:rFonts w:ascii="Book Antiqua" w:eastAsia="Times New Roman" w:hAnsi="Book Antiqua" w:cs="Arial"/>
          <w:bCs/>
          <w:color w:val="000000" w:themeColor="text1"/>
          <w:sz w:val="24"/>
          <w:szCs w:val="24"/>
        </w:rPr>
        <w:t xml:space="preserve"> dosing has the ability to limit the magnitude and duration of increase in patient platelet counts and this predictable pharmacokinetic/pharmacodynamic profile could potentially be contributing to the limited risk of thromboembolic events associated with this </w:t>
      </w:r>
      <w:proofErr w:type="gramStart"/>
      <w:r w:rsidR="00B405D2" w:rsidRPr="00B747CD">
        <w:rPr>
          <w:rFonts w:ascii="Book Antiqua" w:eastAsia="Times New Roman" w:hAnsi="Book Antiqua" w:cs="Arial"/>
          <w:bCs/>
          <w:color w:val="000000" w:themeColor="text1"/>
          <w:sz w:val="24"/>
          <w:szCs w:val="24"/>
        </w:rPr>
        <w:t>treatment</w:t>
      </w:r>
      <w:r w:rsidR="006A73D4" w:rsidRPr="00B747CD">
        <w:rPr>
          <w:rFonts w:ascii="Book Antiqua" w:eastAsia="Times New Roman" w:hAnsi="Book Antiqua" w:cs="Arial"/>
          <w:bCs/>
          <w:color w:val="000000" w:themeColor="text1"/>
          <w:sz w:val="24"/>
          <w:szCs w:val="24"/>
          <w:vertAlign w:val="superscript"/>
        </w:rPr>
        <w:t>[</w:t>
      </w:r>
      <w:proofErr w:type="gramEnd"/>
      <w:r w:rsidR="00B405D2" w:rsidRPr="00B747CD">
        <w:rPr>
          <w:rFonts w:ascii="Book Antiqua" w:eastAsia="Times New Roman" w:hAnsi="Book Antiqua" w:cs="Arial"/>
          <w:bCs/>
          <w:color w:val="000000" w:themeColor="text1"/>
          <w:sz w:val="24"/>
          <w:szCs w:val="24"/>
          <w:vertAlign w:val="superscript"/>
        </w:rPr>
        <w:t>14</w:t>
      </w:r>
      <w:r w:rsidR="006A73D4" w:rsidRPr="00B747CD">
        <w:rPr>
          <w:rFonts w:ascii="Book Antiqua" w:eastAsia="Times New Roman" w:hAnsi="Book Antiqua" w:cs="Arial"/>
          <w:bCs/>
          <w:color w:val="000000" w:themeColor="text1"/>
          <w:sz w:val="24"/>
          <w:szCs w:val="24"/>
          <w:vertAlign w:val="superscript"/>
        </w:rPr>
        <w:t>]</w:t>
      </w:r>
      <w:r w:rsidR="003478F7" w:rsidRPr="00B747CD">
        <w:rPr>
          <w:rFonts w:ascii="Book Antiqua" w:eastAsia="Times New Roman" w:hAnsi="Book Antiqua" w:cs="Arial"/>
          <w:bCs/>
          <w:color w:val="000000" w:themeColor="text1"/>
          <w:sz w:val="24"/>
          <w:szCs w:val="24"/>
        </w:rPr>
        <w:t>.</w:t>
      </w:r>
    </w:p>
    <w:p w14:paraId="7D0E9B78" w14:textId="77777777" w:rsidR="0089274F" w:rsidRPr="00B747CD" w:rsidRDefault="0089274F" w:rsidP="00B747CD">
      <w:pPr>
        <w:adjustRightInd w:val="0"/>
        <w:snapToGrid w:val="0"/>
        <w:spacing w:after="0" w:line="360" w:lineRule="auto"/>
        <w:jc w:val="both"/>
        <w:rPr>
          <w:rFonts w:ascii="Book Antiqua" w:eastAsia="Times New Roman" w:hAnsi="Book Antiqua" w:cs="Arial"/>
          <w:bCs/>
          <w:color w:val="000000" w:themeColor="text1"/>
          <w:sz w:val="24"/>
          <w:szCs w:val="24"/>
        </w:rPr>
      </w:pPr>
    </w:p>
    <w:p w14:paraId="346F464D" w14:textId="5523F91C" w:rsidR="0089274F" w:rsidRPr="00B747CD" w:rsidRDefault="003478F7" w:rsidP="00B747CD">
      <w:pPr>
        <w:adjustRightInd w:val="0"/>
        <w:snapToGrid w:val="0"/>
        <w:spacing w:after="0" w:line="360" w:lineRule="auto"/>
        <w:jc w:val="both"/>
        <w:rPr>
          <w:rFonts w:ascii="Book Antiqua" w:hAnsi="Book Antiqua" w:cs="Arial"/>
          <w:b/>
          <w:color w:val="000000" w:themeColor="text1"/>
          <w:sz w:val="24"/>
          <w:szCs w:val="24"/>
          <w:u w:val="single"/>
        </w:rPr>
      </w:pPr>
      <w:r w:rsidRPr="00B747CD">
        <w:rPr>
          <w:rFonts w:ascii="Book Antiqua" w:hAnsi="Book Antiqua" w:cs="Arial"/>
          <w:b/>
          <w:color w:val="000000" w:themeColor="text1"/>
          <w:sz w:val="24"/>
          <w:szCs w:val="24"/>
          <w:u w:val="single"/>
        </w:rPr>
        <w:t>LUSUTROMBOPAG</w:t>
      </w:r>
    </w:p>
    <w:p w14:paraId="2BE8CD9E" w14:textId="06794C7A" w:rsidR="0089274F" w:rsidRPr="00B747CD" w:rsidRDefault="0089274F" w:rsidP="00B747CD">
      <w:pPr>
        <w:adjustRightInd w:val="0"/>
        <w:snapToGrid w:val="0"/>
        <w:spacing w:after="0" w:line="360" w:lineRule="auto"/>
        <w:jc w:val="both"/>
        <w:rPr>
          <w:rFonts w:ascii="Book Antiqua" w:hAnsi="Book Antiqua" w:cs="Arial"/>
          <w:color w:val="000000" w:themeColor="text1"/>
          <w:sz w:val="24"/>
          <w:szCs w:val="24"/>
        </w:rPr>
      </w:pP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 is an orally administered, small-molecule non-peptide TPO agonist</w:t>
      </w:r>
      <w:r w:rsidR="00D54F2C"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that activates the signal transduction pathways in a manner similar to endogenous TPO</w:t>
      </w:r>
      <w:r w:rsidR="00D54F2C" w:rsidRPr="00B747CD">
        <w:rPr>
          <w:rFonts w:ascii="Book Antiqua" w:hAnsi="Book Antiqua" w:cs="Arial"/>
          <w:color w:val="000000" w:themeColor="text1"/>
          <w:sz w:val="24"/>
          <w:szCs w:val="24"/>
        </w:rPr>
        <w:t xml:space="preserve"> </w:t>
      </w:r>
      <w:r w:rsidR="00D54F2C" w:rsidRPr="00B747CD">
        <w:rPr>
          <w:rFonts w:ascii="Book Antiqua" w:hAnsi="Book Antiqua" w:cs="Arial"/>
          <w:color w:val="000000" w:themeColor="text1"/>
          <w:sz w:val="24"/>
          <w:szCs w:val="24"/>
        </w:rPr>
        <w:lastRenderedPageBreak/>
        <w:t>(while not competing for the same binding site)</w:t>
      </w:r>
      <w:r w:rsidRPr="00B747CD">
        <w:rPr>
          <w:rFonts w:ascii="Book Antiqua" w:hAnsi="Book Antiqua" w:cs="Arial"/>
          <w:color w:val="000000" w:themeColor="text1"/>
          <w:sz w:val="24"/>
          <w:szCs w:val="24"/>
        </w:rPr>
        <w:t xml:space="preserve">, leading to increased platelet </w:t>
      </w:r>
      <w:proofErr w:type="gramStart"/>
      <w:r w:rsidRPr="00B747CD">
        <w:rPr>
          <w:rFonts w:ascii="Book Antiqua" w:hAnsi="Book Antiqua" w:cs="Arial"/>
          <w:color w:val="000000" w:themeColor="text1"/>
          <w:sz w:val="24"/>
          <w:szCs w:val="24"/>
        </w:rPr>
        <w:t>production</w:t>
      </w:r>
      <w:r w:rsidR="006A73D4" w:rsidRPr="00B747CD">
        <w:rPr>
          <w:rFonts w:ascii="Book Antiqua" w:hAnsi="Book Antiqua" w:cs="Arial"/>
          <w:color w:val="000000" w:themeColor="text1"/>
          <w:sz w:val="24"/>
          <w:szCs w:val="24"/>
          <w:vertAlign w:val="superscript"/>
        </w:rPr>
        <w:t>[</w:t>
      </w:r>
      <w:proofErr w:type="gramEnd"/>
      <w:r w:rsidR="00C757FC" w:rsidRPr="00B747CD">
        <w:rPr>
          <w:rFonts w:ascii="Book Antiqua" w:hAnsi="Book Antiqua" w:cs="Arial"/>
          <w:color w:val="000000" w:themeColor="text1"/>
          <w:sz w:val="24"/>
          <w:szCs w:val="24"/>
          <w:vertAlign w:val="superscript"/>
        </w:rPr>
        <w:t>6-7</w:t>
      </w:r>
      <w:r w:rsidR="006A73D4" w:rsidRPr="00B747CD">
        <w:rPr>
          <w:rFonts w:ascii="Book Antiqua" w:hAnsi="Book Antiqua" w:cs="Arial"/>
          <w:color w:val="000000" w:themeColor="text1"/>
          <w:sz w:val="24"/>
          <w:szCs w:val="24"/>
          <w:vertAlign w:val="superscript"/>
        </w:rPr>
        <w:t>]</w:t>
      </w:r>
      <w:r w:rsidR="003478F7"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proofErr w:type="spellStart"/>
      <w:r w:rsidR="00C96E4C" w:rsidRPr="00B747CD">
        <w:rPr>
          <w:rFonts w:ascii="Book Antiqua" w:hAnsi="Book Antiqua" w:cs="Arial"/>
          <w:color w:val="000000" w:themeColor="text1"/>
          <w:sz w:val="24"/>
          <w:szCs w:val="24"/>
        </w:rPr>
        <w:t>Lusutrombopag</w:t>
      </w:r>
      <w:proofErr w:type="spellEnd"/>
      <w:r w:rsidR="00C96E4C" w:rsidRPr="00B747CD">
        <w:rPr>
          <w:rFonts w:ascii="Book Antiqua" w:hAnsi="Book Antiqua" w:cs="Arial"/>
          <w:color w:val="000000" w:themeColor="text1"/>
          <w:sz w:val="24"/>
          <w:szCs w:val="24"/>
        </w:rPr>
        <w:t xml:space="preserve"> is metabolized </w:t>
      </w:r>
      <w:r w:rsidR="00C96E4C" w:rsidRPr="00B747CD">
        <w:rPr>
          <w:rFonts w:ascii="Book Antiqua" w:hAnsi="Book Antiqua" w:cs="Arial"/>
          <w:i/>
          <w:iCs/>
          <w:color w:val="000000" w:themeColor="text1"/>
          <w:sz w:val="24"/>
          <w:szCs w:val="24"/>
        </w:rPr>
        <w:t>via</w:t>
      </w:r>
      <w:r w:rsidR="00C96E4C" w:rsidRPr="00B747CD">
        <w:rPr>
          <w:rFonts w:ascii="Book Antiqua" w:hAnsi="Book Antiqua" w:cs="Arial"/>
          <w:color w:val="000000" w:themeColor="text1"/>
          <w:sz w:val="24"/>
          <w:szCs w:val="24"/>
        </w:rPr>
        <w:t xml:space="preserve"> the </w:t>
      </w:r>
      <w:r w:rsidR="00C96E4C" w:rsidRPr="00B747CD">
        <w:rPr>
          <w:rFonts w:ascii="Book Antiqua" w:hAnsi="Book Antiqua" w:cs="Arial"/>
          <w:color w:val="000000" w:themeColor="text1"/>
          <w:sz w:val="24"/>
          <w:szCs w:val="24"/>
        </w:rPr>
        <w:sym w:font="Symbol" w:char="F062"/>
      </w:r>
      <w:r w:rsidR="00C96E4C" w:rsidRPr="00B747CD">
        <w:rPr>
          <w:rFonts w:ascii="Book Antiqua" w:hAnsi="Book Antiqua" w:cs="Arial"/>
          <w:color w:val="000000" w:themeColor="text1"/>
          <w:sz w:val="24"/>
          <w:szCs w:val="24"/>
        </w:rPr>
        <w:t>-</w:t>
      </w:r>
      <w:r w:rsidR="00995808" w:rsidRPr="00B747CD">
        <w:rPr>
          <w:rFonts w:ascii="Book Antiqua" w:hAnsi="Book Antiqua" w:cs="Arial"/>
          <w:color w:val="000000" w:themeColor="text1"/>
          <w:sz w:val="24"/>
          <w:szCs w:val="24"/>
        </w:rPr>
        <w:t xml:space="preserve"> </w:t>
      </w:r>
      <w:r w:rsidR="00C96E4C" w:rsidRPr="00B747CD">
        <w:rPr>
          <w:rFonts w:ascii="Book Antiqua" w:hAnsi="Book Antiqua" w:cs="Arial"/>
          <w:color w:val="000000" w:themeColor="text1"/>
          <w:sz w:val="24"/>
          <w:szCs w:val="24"/>
        </w:rPr>
        <w:t xml:space="preserve">and </w:t>
      </w:r>
      <w:r w:rsidR="00C96E4C" w:rsidRPr="00B747CD">
        <w:rPr>
          <w:rFonts w:ascii="Book Antiqua" w:hAnsi="Book Antiqua" w:cs="Arial"/>
          <w:color w:val="000000" w:themeColor="text1"/>
          <w:sz w:val="24"/>
          <w:szCs w:val="24"/>
        </w:rPr>
        <w:sym w:font="Symbol" w:char="F077"/>
      </w:r>
      <w:r w:rsidR="00C96E4C" w:rsidRPr="00B747CD">
        <w:rPr>
          <w:rFonts w:ascii="Book Antiqua" w:hAnsi="Book Antiqua" w:cs="Arial"/>
          <w:color w:val="000000" w:themeColor="text1"/>
          <w:sz w:val="24"/>
          <w:szCs w:val="24"/>
        </w:rPr>
        <w:t>-oxidation pathways and glucuronidation. The cytochrome P450 enzymes are mainly responsible for its metabolism, including CYP4A11</w:t>
      </w:r>
      <w:r w:rsidR="006A73D4" w:rsidRPr="00B747CD">
        <w:rPr>
          <w:rFonts w:ascii="Book Antiqua" w:hAnsi="Book Antiqua" w:cs="Arial"/>
          <w:color w:val="000000" w:themeColor="text1"/>
          <w:sz w:val="24"/>
          <w:szCs w:val="24"/>
          <w:vertAlign w:val="superscript"/>
        </w:rPr>
        <w:t>[</w:t>
      </w:r>
      <w:r w:rsidR="00103C2C" w:rsidRPr="00B747CD">
        <w:rPr>
          <w:rFonts w:ascii="Book Antiqua" w:hAnsi="Book Antiqua" w:cs="Arial"/>
          <w:color w:val="000000" w:themeColor="text1"/>
          <w:sz w:val="24"/>
          <w:szCs w:val="24"/>
          <w:vertAlign w:val="superscript"/>
        </w:rPr>
        <w:t>13</w:t>
      </w:r>
      <w:r w:rsidR="006A73D4" w:rsidRPr="00B747CD">
        <w:rPr>
          <w:rFonts w:ascii="Book Antiqua" w:hAnsi="Book Antiqua" w:cs="Arial"/>
          <w:color w:val="000000" w:themeColor="text1"/>
          <w:sz w:val="24"/>
          <w:szCs w:val="24"/>
          <w:vertAlign w:val="superscript"/>
        </w:rPr>
        <w:t>]</w:t>
      </w:r>
      <w:r w:rsidR="008C6476" w:rsidRPr="00B747CD">
        <w:rPr>
          <w:rFonts w:ascii="Book Antiqua" w:hAnsi="Book Antiqua" w:cs="Arial"/>
          <w:color w:val="000000" w:themeColor="text1"/>
          <w:sz w:val="24"/>
          <w:szCs w:val="24"/>
        </w:rPr>
        <w:t>.</w:t>
      </w:r>
      <w:r w:rsidR="00C96E4C"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The mean maximum platelet count following treatment with 3 mg/d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 was 86.9 </w:t>
      </w:r>
      <w:r w:rsidR="008C6476" w:rsidRPr="00B747CD">
        <w:rPr>
          <w:rFonts w:ascii="Book Antiqua" w:hAnsi="Book Antiqua" w:cs="Arial"/>
          <w:color w:val="000000" w:themeColor="text1"/>
          <w:sz w:val="24"/>
          <w:szCs w:val="24"/>
        </w:rPr>
        <w:sym w:font="Symbol" w:char="F0B4"/>
      </w:r>
      <w:r w:rsidRPr="00B747CD">
        <w:rPr>
          <w:rFonts w:ascii="Book Antiqua" w:hAnsi="Book Antiqua" w:cs="Arial"/>
          <w:color w:val="000000" w:themeColor="text1"/>
          <w:sz w:val="24"/>
          <w:szCs w:val="24"/>
        </w:rPr>
        <w:t xml:space="preserve"> 10</w:t>
      </w:r>
      <w:r w:rsidRPr="00B747CD">
        <w:rPr>
          <w:rFonts w:ascii="Book Antiqua" w:hAnsi="Book Antiqua" w:cs="Arial"/>
          <w:color w:val="000000" w:themeColor="text1"/>
          <w:sz w:val="24"/>
          <w:szCs w:val="24"/>
          <w:vertAlign w:val="superscript"/>
        </w:rPr>
        <w:t>9</w:t>
      </w:r>
      <w:r w:rsidRPr="00B747CD">
        <w:rPr>
          <w:rFonts w:ascii="Book Antiqua" w:hAnsi="Book Antiqua" w:cs="Arial"/>
          <w:color w:val="000000" w:themeColor="text1"/>
          <w:sz w:val="24"/>
          <w:szCs w:val="24"/>
        </w:rPr>
        <w:t xml:space="preserve">/L and the median time to reach this was 12 </w:t>
      </w:r>
      <w:proofErr w:type="gramStart"/>
      <w:r w:rsidRPr="00B747CD">
        <w:rPr>
          <w:rFonts w:ascii="Book Antiqua" w:hAnsi="Book Antiqua" w:cs="Arial"/>
          <w:color w:val="000000" w:themeColor="text1"/>
          <w:sz w:val="24"/>
          <w:szCs w:val="24"/>
        </w:rPr>
        <w:t>d</w:t>
      </w:r>
      <w:r w:rsidR="006A73D4"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7</w:t>
      </w:r>
      <w:r w:rsidR="006A73D4" w:rsidRPr="00B747CD">
        <w:rPr>
          <w:rFonts w:ascii="Book Antiqua" w:hAnsi="Book Antiqua" w:cs="Arial"/>
          <w:color w:val="000000" w:themeColor="text1"/>
          <w:sz w:val="24"/>
          <w:szCs w:val="24"/>
          <w:vertAlign w:val="superscript"/>
        </w:rPr>
        <w:t>]</w:t>
      </w:r>
      <w:r w:rsidR="008C6476" w:rsidRPr="00B747CD">
        <w:rPr>
          <w:rFonts w:ascii="Book Antiqua" w:hAnsi="Book Antiqua" w:cs="Arial"/>
          <w:color w:val="000000" w:themeColor="text1"/>
          <w:sz w:val="24"/>
          <w:szCs w:val="24"/>
        </w:rPr>
        <w:t>.</w:t>
      </w:r>
    </w:p>
    <w:p w14:paraId="0A45F24C" w14:textId="77777777" w:rsidR="00780C02" w:rsidRPr="00B747CD" w:rsidRDefault="00780C02" w:rsidP="00B747CD">
      <w:pPr>
        <w:adjustRightInd w:val="0"/>
        <w:snapToGrid w:val="0"/>
        <w:spacing w:after="0" w:line="360" w:lineRule="auto"/>
        <w:jc w:val="both"/>
        <w:rPr>
          <w:rFonts w:ascii="Book Antiqua" w:eastAsia="Times New Roman" w:hAnsi="Book Antiqua" w:cs="Arial"/>
          <w:bCs/>
          <w:color w:val="000000" w:themeColor="text1"/>
          <w:sz w:val="24"/>
          <w:szCs w:val="24"/>
        </w:rPr>
      </w:pPr>
    </w:p>
    <w:p w14:paraId="1D24F17B" w14:textId="6A95A774" w:rsidR="0089274F" w:rsidRPr="00B747CD" w:rsidRDefault="0089274F" w:rsidP="00B747CD">
      <w:pPr>
        <w:adjustRightInd w:val="0"/>
        <w:snapToGrid w:val="0"/>
        <w:spacing w:after="0" w:line="360" w:lineRule="auto"/>
        <w:jc w:val="both"/>
        <w:rPr>
          <w:rFonts w:ascii="Book Antiqua" w:eastAsia="Times New Roman" w:hAnsi="Book Antiqua" w:cs="Arial"/>
          <w:b/>
          <w:bCs/>
          <w:i/>
          <w:color w:val="000000" w:themeColor="text1"/>
          <w:sz w:val="24"/>
          <w:szCs w:val="24"/>
        </w:rPr>
      </w:pPr>
      <w:r w:rsidRPr="00B747CD">
        <w:rPr>
          <w:rFonts w:ascii="Book Antiqua" w:eastAsia="Times New Roman" w:hAnsi="Book Antiqua" w:cs="Arial"/>
          <w:b/>
          <w:bCs/>
          <w:i/>
          <w:color w:val="000000" w:themeColor="text1"/>
          <w:sz w:val="24"/>
          <w:szCs w:val="24"/>
        </w:rPr>
        <w:t>Efficacy and safety in clinical studies</w:t>
      </w:r>
    </w:p>
    <w:p w14:paraId="33D5F470" w14:textId="77777777" w:rsidR="00B77418" w:rsidRPr="00B747CD" w:rsidRDefault="0089274F" w:rsidP="00B747CD">
      <w:pPr>
        <w:adjustRightInd w:val="0"/>
        <w:snapToGrid w:val="0"/>
        <w:spacing w:after="0" w:line="360" w:lineRule="auto"/>
        <w:jc w:val="both"/>
        <w:rPr>
          <w:rFonts w:ascii="Book Antiqua" w:hAnsi="Book Antiqua" w:cs="Arial"/>
          <w:bCs/>
          <w:color w:val="000000" w:themeColor="text1"/>
          <w:sz w:val="24"/>
          <w:szCs w:val="24"/>
          <w:lang w:eastAsia="zh-CN"/>
        </w:rPr>
      </w:pPr>
      <w:r w:rsidRPr="00B747CD">
        <w:rPr>
          <w:rFonts w:ascii="Book Antiqua" w:eastAsia="Times New Roman" w:hAnsi="Book Antiqua" w:cs="Arial"/>
          <w:bCs/>
          <w:color w:val="000000" w:themeColor="text1"/>
          <w:sz w:val="24"/>
          <w:szCs w:val="24"/>
        </w:rPr>
        <w:t xml:space="preserve">Data from two Phase 3 double-blind studies, L-PLUS-1 and L-PLUS-2, have shown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to be effective in raising platelet counts in patients with CLD and thrombocytopenia prior to undergoing an elective invasive procedure. The primary endpoint of both trials was the proportion of patients who avoided pre-procedure platelet transfusions and rescue therapy for bleeding</w:t>
      </w:r>
      <w:r w:rsidR="009E03DA"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as assessed from randomization through 7 d post-</w:t>
      </w:r>
      <w:proofErr w:type="gramStart"/>
      <w:r w:rsidRPr="00B747CD">
        <w:rPr>
          <w:rFonts w:ascii="Book Antiqua" w:eastAsia="Times New Roman" w:hAnsi="Book Antiqua" w:cs="Arial"/>
          <w:bCs/>
          <w:color w:val="000000" w:themeColor="text1"/>
          <w:sz w:val="24"/>
          <w:szCs w:val="24"/>
        </w:rPr>
        <w:t>procedure</w:t>
      </w:r>
      <w:r w:rsidR="00D92CAA" w:rsidRPr="00B747CD">
        <w:rPr>
          <w:rFonts w:ascii="Book Antiqua" w:eastAsia="Times New Roman" w:hAnsi="Book Antiqua" w:cs="Arial"/>
          <w:bCs/>
          <w:color w:val="000000" w:themeColor="text1"/>
          <w:sz w:val="24"/>
          <w:szCs w:val="24"/>
          <w:vertAlign w:val="superscript"/>
        </w:rPr>
        <w:t>[</w:t>
      </w:r>
      <w:proofErr w:type="gramEnd"/>
      <w:r w:rsidR="00995F70" w:rsidRPr="00B747CD">
        <w:rPr>
          <w:rFonts w:ascii="Book Antiqua" w:eastAsia="Times New Roman" w:hAnsi="Book Antiqua" w:cs="Arial"/>
          <w:bCs/>
          <w:color w:val="000000" w:themeColor="text1"/>
          <w:sz w:val="24"/>
          <w:szCs w:val="24"/>
          <w:vertAlign w:val="superscript"/>
        </w:rPr>
        <w:t>1</w:t>
      </w:r>
      <w:r w:rsidR="00103C2C" w:rsidRPr="00B747CD">
        <w:rPr>
          <w:rFonts w:ascii="Book Antiqua" w:eastAsia="Times New Roman" w:hAnsi="Book Antiqua" w:cs="Arial"/>
          <w:bCs/>
          <w:color w:val="000000" w:themeColor="text1"/>
          <w:sz w:val="24"/>
          <w:szCs w:val="24"/>
          <w:vertAlign w:val="superscript"/>
        </w:rPr>
        <w:t>7</w:t>
      </w:r>
      <w:r w:rsidRPr="00B747CD">
        <w:rPr>
          <w:rFonts w:ascii="Book Antiqua" w:eastAsia="Times New Roman" w:hAnsi="Book Antiqua" w:cs="Arial"/>
          <w:bCs/>
          <w:color w:val="000000" w:themeColor="text1"/>
          <w:sz w:val="24"/>
          <w:szCs w:val="24"/>
          <w:vertAlign w:val="superscript"/>
        </w:rPr>
        <w:t>,</w:t>
      </w:r>
      <w:r w:rsidR="00995F70" w:rsidRPr="00B747CD">
        <w:rPr>
          <w:rFonts w:ascii="Book Antiqua" w:eastAsia="Times New Roman" w:hAnsi="Book Antiqua" w:cs="Arial"/>
          <w:bCs/>
          <w:color w:val="000000" w:themeColor="text1"/>
          <w:sz w:val="24"/>
          <w:szCs w:val="24"/>
          <w:vertAlign w:val="superscript"/>
        </w:rPr>
        <w:t>1</w:t>
      </w:r>
      <w:r w:rsidR="00103C2C" w:rsidRPr="00B747CD">
        <w:rPr>
          <w:rFonts w:ascii="Book Antiqua" w:eastAsia="Times New Roman" w:hAnsi="Book Antiqua" w:cs="Arial"/>
          <w:bCs/>
          <w:color w:val="000000" w:themeColor="text1"/>
          <w:sz w:val="24"/>
          <w:szCs w:val="24"/>
          <w:vertAlign w:val="superscript"/>
        </w:rPr>
        <w:t>8</w:t>
      </w:r>
      <w:r w:rsidR="00D92CAA" w:rsidRPr="00B747CD">
        <w:rPr>
          <w:rFonts w:ascii="Book Antiqua" w:eastAsia="Times New Roman" w:hAnsi="Book Antiqua" w:cs="Arial"/>
          <w:bCs/>
          <w:color w:val="000000" w:themeColor="text1"/>
          <w:sz w:val="24"/>
          <w:szCs w:val="24"/>
          <w:vertAlign w:val="superscript"/>
        </w:rPr>
        <w:t>]</w:t>
      </w:r>
      <w:r w:rsidR="009E03DA" w:rsidRPr="00B747CD">
        <w:rPr>
          <w:rFonts w:ascii="Book Antiqua" w:eastAsia="Times New Roman" w:hAnsi="Book Antiqua" w:cs="Arial"/>
          <w:bCs/>
          <w:color w:val="000000" w:themeColor="text1"/>
          <w:sz w:val="24"/>
          <w:szCs w:val="24"/>
        </w:rPr>
        <w:t>.</w:t>
      </w:r>
      <w:r w:rsidR="00995F70"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 xml:space="preserve">Key secondary endpoints included the number of patients who required no platelet transfusions during the study, the proportion of patients who achieved a platelet count of </w:t>
      </w:r>
      <w:r w:rsidRPr="00B747CD">
        <w:rPr>
          <w:rFonts w:ascii="Book Antiqua" w:eastAsia="Times New Roman" w:hAnsi="Book Antiqua" w:cs="Arial"/>
          <w:bCs/>
          <w:color w:val="000000" w:themeColor="text1"/>
          <w:sz w:val="24"/>
          <w:szCs w:val="24"/>
        </w:rPr>
        <w:sym w:font="Symbol" w:char="F0B3"/>
      </w:r>
      <w:r w:rsidRPr="00B747CD">
        <w:rPr>
          <w:rFonts w:ascii="Book Antiqua" w:eastAsia="Times New Roman" w:hAnsi="Book Antiqua" w:cs="Arial"/>
          <w:bCs/>
          <w:color w:val="000000" w:themeColor="text1"/>
          <w:sz w:val="24"/>
          <w:szCs w:val="24"/>
        </w:rPr>
        <w:t xml:space="preserve"> 50 </w:t>
      </w:r>
      <w:r w:rsidR="009E03DA" w:rsidRPr="00B747CD">
        <w:rPr>
          <w:rFonts w:ascii="Book Antiqua" w:hAnsi="Book Antiqua" w:cs="Arial"/>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with an increase of </w:t>
      </w:r>
      <w:r w:rsidRPr="00B747CD">
        <w:rPr>
          <w:rFonts w:ascii="Book Antiqua" w:eastAsia="Times New Roman" w:hAnsi="Book Antiqua" w:cs="Arial"/>
          <w:bCs/>
          <w:color w:val="000000" w:themeColor="text1"/>
          <w:sz w:val="24"/>
          <w:szCs w:val="24"/>
        </w:rPr>
        <w:sym w:font="Symbol" w:char="F0B3"/>
      </w:r>
      <w:r w:rsidRPr="00B747CD">
        <w:rPr>
          <w:rFonts w:ascii="Book Antiqua" w:eastAsia="Times New Roman" w:hAnsi="Book Antiqua" w:cs="Arial"/>
          <w:bCs/>
          <w:color w:val="000000" w:themeColor="text1"/>
          <w:sz w:val="24"/>
          <w:szCs w:val="24"/>
        </w:rPr>
        <w:t xml:space="preserve"> 20 </w:t>
      </w:r>
      <w:r w:rsidR="009E03DA" w:rsidRPr="00B747CD">
        <w:rPr>
          <w:rFonts w:ascii="Book Antiqua" w:hAnsi="Book Antiqua" w:cs="Arial"/>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from baseline at any time during the study, and the number of days during which the platelet count was maintained at </w:t>
      </w:r>
      <w:r w:rsidRPr="00B747CD">
        <w:rPr>
          <w:rFonts w:ascii="Book Antiqua" w:eastAsia="Times New Roman" w:hAnsi="Book Antiqua" w:cs="Arial"/>
          <w:bCs/>
          <w:color w:val="000000" w:themeColor="text1"/>
          <w:sz w:val="24"/>
          <w:szCs w:val="24"/>
        </w:rPr>
        <w:sym w:font="Symbol" w:char="F0B3"/>
      </w:r>
      <w:r w:rsidRPr="00B747CD">
        <w:rPr>
          <w:rFonts w:ascii="Book Antiqua" w:eastAsia="Times New Roman" w:hAnsi="Book Antiqua" w:cs="Arial"/>
          <w:bCs/>
          <w:color w:val="000000" w:themeColor="text1"/>
          <w:sz w:val="24"/>
          <w:szCs w:val="24"/>
        </w:rPr>
        <w:t xml:space="preserve"> 50 </w:t>
      </w:r>
      <w:r w:rsidR="009E03DA" w:rsidRPr="00B747CD">
        <w:rPr>
          <w:rFonts w:ascii="Book Antiqua" w:hAnsi="Book Antiqua" w:cs="Arial"/>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/L</w:t>
      </w:r>
      <w:r w:rsidR="00D92CAA" w:rsidRPr="00B747CD">
        <w:rPr>
          <w:rFonts w:ascii="Book Antiqua" w:eastAsia="Times New Roman" w:hAnsi="Book Antiqua" w:cs="Arial"/>
          <w:bCs/>
          <w:color w:val="000000" w:themeColor="text1"/>
          <w:sz w:val="24"/>
          <w:szCs w:val="24"/>
          <w:vertAlign w:val="superscript"/>
        </w:rPr>
        <w:t>[</w:t>
      </w:r>
      <w:r w:rsidR="00995F70" w:rsidRPr="00B747CD">
        <w:rPr>
          <w:rFonts w:ascii="Book Antiqua" w:eastAsia="Times New Roman" w:hAnsi="Book Antiqua" w:cs="Arial"/>
          <w:bCs/>
          <w:color w:val="000000" w:themeColor="text1"/>
          <w:sz w:val="24"/>
          <w:szCs w:val="24"/>
          <w:vertAlign w:val="superscript"/>
        </w:rPr>
        <w:t>1</w:t>
      </w:r>
      <w:r w:rsidR="00103C2C" w:rsidRPr="00B747CD">
        <w:rPr>
          <w:rFonts w:ascii="Book Antiqua" w:eastAsia="Times New Roman" w:hAnsi="Book Antiqua" w:cs="Arial"/>
          <w:bCs/>
          <w:color w:val="000000" w:themeColor="text1"/>
          <w:sz w:val="24"/>
          <w:szCs w:val="24"/>
          <w:vertAlign w:val="superscript"/>
        </w:rPr>
        <w:t>7</w:t>
      </w:r>
      <w:r w:rsidR="00D92CAA" w:rsidRPr="00B747CD">
        <w:rPr>
          <w:rFonts w:ascii="Book Antiqua" w:eastAsia="Times New Roman" w:hAnsi="Book Antiqua" w:cs="Arial"/>
          <w:bCs/>
          <w:color w:val="000000" w:themeColor="text1"/>
          <w:sz w:val="24"/>
          <w:szCs w:val="24"/>
          <w:vertAlign w:val="superscript"/>
        </w:rPr>
        <w:t>]</w:t>
      </w:r>
      <w:r w:rsidR="009E03DA" w:rsidRPr="00B747CD">
        <w:rPr>
          <w:rFonts w:ascii="Book Antiqua" w:eastAsia="Times New Roman" w:hAnsi="Book Antiqua" w:cs="Arial"/>
          <w:bCs/>
          <w:color w:val="000000" w:themeColor="text1"/>
          <w:sz w:val="24"/>
          <w:szCs w:val="24"/>
        </w:rPr>
        <w:t>.</w:t>
      </w:r>
      <w:r w:rsidR="00995F70"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Safety assessments included the incidence of AEs, adverse drug reactions, bleeding-related AEs, and thrombotic event</w:t>
      </w:r>
      <w:r w:rsidR="006F7F9A" w:rsidRPr="00B747CD">
        <w:rPr>
          <w:rFonts w:ascii="Book Antiqua" w:eastAsia="Times New Roman" w:hAnsi="Book Antiqua" w:cs="Arial"/>
          <w:bCs/>
          <w:color w:val="000000" w:themeColor="text1"/>
          <w:sz w:val="24"/>
          <w:szCs w:val="24"/>
        </w:rPr>
        <w:t>s</w:t>
      </w:r>
      <w:r w:rsidRPr="00B747CD">
        <w:rPr>
          <w:rFonts w:ascii="Book Antiqua" w:eastAsia="Times New Roman" w:hAnsi="Book Antiqua" w:cs="Arial"/>
          <w:bCs/>
          <w:color w:val="000000" w:themeColor="text1"/>
          <w:sz w:val="24"/>
          <w:szCs w:val="24"/>
        </w:rPr>
        <w:t xml:space="preserve">. Patients treated with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perioperatively demonstrated improvements in platelet counts similar to those seen with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after 7 d of treatment. </w:t>
      </w:r>
      <w:r w:rsidR="006F7F9A" w:rsidRPr="00B747CD">
        <w:rPr>
          <w:rFonts w:ascii="Book Antiqua" w:eastAsia="Times New Roman" w:hAnsi="Book Antiqua" w:cs="Arial"/>
          <w:bCs/>
          <w:color w:val="000000" w:themeColor="text1"/>
          <w:sz w:val="24"/>
          <w:szCs w:val="24"/>
        </w:rPr>
        <w:t xml:space="preserve">In the L-PLUS-1 trial, one serious AE of </w:t>
      </w:r>
      <w:r w:rsidR="00397FCD" w:rsidRPr="00B747CD">
        <w:rPr>
          <w:rFonts w:ascii="Book Antiqua" w:eastAsia="Times New Roman" w:hAnsi="Book Antiqua" w:cs="Arial"/>
          <w:bCs/>
          <w:color w:val="000000" w:themeColor="text1"/>
          <w:sz w:val="24"/>
          <w:szCs w:val="24"/>
        </w:rPr>
        <w:t>PVT</w:t>
      </w:r>
      <w:r w:rsidR="006F7F9A" w:rsidRPr="00B747CD">
        <w:rPr>
          <w:rFonts w:ascii="Book Antiqua" w:eastAsia="Times New Roman" w:hAnsi="Book Antiqua" w:cs="Arial"/>
          <w:bCs/>
          <w:color w:val="000000" w:themeColor="text1"/>
          <w:sz w:val="24"/>
          <w:szCs w:val="24"/>
        </w:rPr>
        <w:t xml:space="preserve">, possibly related to </w:t>
      </w:r>
      <w:proofErr w:type="spellStart"/>
      <w:r w:rsidR="006F7F9A" w:rsidRPr="00B747CD">
        <w:rPr>
          <w:rFonts w:ascii="Book Antiqua" w:eastAsia="Times New Roman" w:hAnsi="Book Antiqua" w:cs="Arial"/>
          <w:bCs/>
          <w:color w:val="000000" w:themeColor="text1"/>
          <w:sz w:val="24"/>
          <w:szCs w:val="24"/>
        </w:rPr>
        <w:t>lusutrombopag</w:t>
      </w:r>
      <w:proofErr w:type="spellEnd"/>
      <w:r w:rsidR="006F7F9A" w:rsidRPr="00B747CD">
        <w:rPr>
          <w:rFonts w:ascii="Book Antiqua" w:eastAsia="Times New Roman" w:hAnsi="Book Antiqua" w:cs="Arial"/>
          <w:bCs/>
          <w:color w:val="000000" w:themeColor="text1"/>
          <w:sz w:val="24"/>
          <w:szCs w:val="24"/>
        </w:rPr>
        <w:t xml:space="preserve"> treatment</w:t>
      </w:r>
      <w:r w:rsidR="009E03DA" w:rsidRPr="00B747CD">
        <w:rPr>
          <w:rFonts w:ascii="Book Antiqua" w:eastAsia="Times New Roman" w:hAnsi="Book Antiqua" w:cs="Arial"/>
          <w:bCs/>
          <w:color w:val="000000" w:themeColor="text1"/>
          <w:sz w:val="24"/>
          <w:szCs w:val="24"/>
        </w:rPr>
        <w:t>,</w:t>
      </w:r>
      <w:r w:rsidR="006F7F9A" w:rsidRPr="00B747CD">
        <w:rPr>
          <w:rFonts w:ascii="Book Antiqua" w:eastAsia="Times New Roman" w:hAnsi="Book Antiqua" w:cs="Arial"/>
          <w:bCs/>
          <w:color w:val="000000" w:themeColor="text1"/>
          <w:sz w:val="24"/>
          <w:szCs w:val="24"/>
        </w:rPr>
        <w:t xml:space="preserve"> was reported in the </w:t>
      </w:r>
      <w:proofErr w:type="spellStart"/>
      <w:r w:rsidR="006F7F9A" w:rsidRPr="00B747CD">
        <w:rPr>
          <w:rFonts w:ascii="Book Antiqua" w:eastAsia="Times New Roman" w:hAnsi="Book Antiqua" w:cs="Arial"/>
          <w:bCs/>
          <w:color w:val="000000" w:themeColor="text1"/>
          <w:sz w:val="24"/>
          <w:szCs w:val="24"/>
        </w:rPr>
        <w:t>lusutrombopag</w:t>
      </w:r>
      <w:proofErr w:type="spellEnd"/>
      <w:r w:rsidR="006F7F9A" w:rsidRPr="00B747CD">
        <w:rPr>
          <w:rFonts w:ascii="Book Antiqua" w:eastAsia="Times New Roman" w:hAnsi="Book Antiqua" w:cs="Arial"/>
          <w:bCs/>
          <w:color w:val="000000" w:themeColor="text1"/>
          <w:sz w:val="24"/>
          <w:szCs w:val="24"/>
        </w:rPr>
        <w:t>-treat</w:t>
      </w:r>
      <w:r w:rsidR="001173C8" w:rsidRPr="00B747CD">
        <w:rPr>
          <w:rFonts w:ascii="Book Antiqua" w:eastAsia="Times New Roman" w:hAnsi="Book Antiqua" w:cs="Arial"/>
          <w:bCs/>
          <w:color w:val="000000" w:themeColor="text1"/>
          <w:sz w:val="24"/>
          <w:szCs w:val="24"/>
        </w:rPr>
        <w:t>ed</w:t>
      </w:r>
      <w:r w:rsidR="006F7F9A" w:rsidRPr="00B747CD">
        <w:rPr>
          <w:rFonts w:ascii="Book Antiqua" w:eastAsia="Times New Roman" w:hAnsi="Book Antiqua" w:cs="Arial"/>
          <w:bCs/>
          <w:color w:val="000000" w:themeColor="text1"/>
          <w:sz w:val="24"/>
          <w:szCs w:val="24"/>
        </w:rPr>
        <w:t xml:space="preserve"> group and one mild incidence of superior mesenteric vein thrombosis was reported in the placebo group that was considered not related to the study drug.</w:t>
      </w:r>
      <w:r w:rsidRPr="00B747CD">
        <w:rPr>
          <w:rFonts w:ascii="Book Antiqua" w:eastAsia="Times New Roman" w:hAnsi="Book Antiqua" w:cs="Arial"/>
          <w:b/>
          <w:bCs/>
          <w:color w:val="000000" w:themeColor="text1"/>
          <w:sz w:val="24"/>
          <w:szCs w:val="24"/>
        </w:rPr>
        <w:t xml:space="preserve"> </w:t>
      </w:r>
      <w:r w:rsidR="006F7F9A" w:rsidRPr="00B747CD">
        <w:rPr>
          <w:rFonts w:ascii="Book Antiqua" w:eastAsia="Times New Roman" w:hAnsi="Book Antiqua" w:cs="Arial"/>
          <w:color w:val="000000" w:themeColor="text1"/>
          <w:sz w:val="24"/>
          <w:szCs w:val="24"/>
        </w:rPr>
        <w:t xml:space="preserve">As neither event was associated with an extremely high platelet count, and the incidence of thrombotic events were similar in both treatment groups, the authors concluded that no further monitoring for thromboembolic events was required in </w:t>
      </w:r>
      <w:proofErr w:type="spellStart"/>
      <w:r w:rsidR="006F7F9A" w:rsidRPr="00B747CD">
        <w:rPr>
          <w:rFonts w:ascii="Book Antiqua" w:eastAsia="Times New Roman" w:hAnsi="Book Antiqua" w:cs="Arial"/>
          <w:color w:val="000000" w:themeColor="text1"/>
          <w:sz w:val="24"/>
          <w:szCs w:val="24"/>
        </w:rPr>
        <w:t>lusutrombopag</w:t>
      </w:r>
      <w:proofErr w:type="spellEnd"/>
      <w:r w:rsidR="006F7F9A" w:rsidRPr="00B747CD">
        <w:rPr>
          <w:rFonts w:ascii="Book Antiqua" w:eastAsia="Times New Roman" w:hAnsi="Book Antiqua" w:cs="Arial"/>
          <w:color w:val="000000" w:themeColor="text1"/>
          <w:sz w:val="24"/>
          <w:szCs w:val="24"/>
        </w:rPr>
        <w:t>-treated patients.</w:t>
      </w:r>
      <w:r w:rsidR="006F7F9A" w:rsidRPr="00B747CD">
        <w:rPr>
          <w:rFonts w:ascii="Book Antiqua" w:eastAsia="Times New Roman" w:hAnsi="Book Antiqua" w:cs="Arial"/>
          <w:b/>
          <w:bCs/>
          <w:color w:val="000000" w:themeColor="text1"/>
          <w:sz w:val="24"/>
          <w:szCs w:val="24"/>
        </w:rPr>
        <w:t xml:space="preserve"> </w:t>
      </w:r>
      <w:r w:rsidR="006F7F9A" w:rsidRPr="00B747CD">
        <w:rPr>
          <w:rFonts w:ascii="Book Antiqua" w:eastAsia="Times New Roman" w:hAnsi="Book Antiqua" w:cs="Arial"/>
          <w:color w:val="000000" w:themeColor="text1"/>
          <w:sz w:val="24"/>
          <w:szCs w:val="24"/>
        </w:rPr>
        <w:t xml:space="preserve">In the L-PLUS-2 trial, four TEAEs were reported, two each in the </w:t>
      </w:r>
      <w:proofErr w:type="spellStart"/>
      <w:r w:rsidR="006F7F9A" w:rsidRPr="00B747CD">
        <w:rPr>
          <w:rFonts w:ascii="Book Antiqua" w:eastAsia="Times New Roman" w:hAnsi="Book Antiqua" w:cs="Arial"/>
          <w:color w:val="000000" w:themeColor="text1"/>
          <w:sz w:val="24"/>
          <w:szCs w:val="24"/>
        </w:rPr>
        <w:t>lusutrombopag</w:t>
      </w:r>
      <w:proofErr w:type="spellEnd"/>
      <w:r w:rsidR="006F7F9A" w:rsidRPr="00B747CD">
        <w:rPr>
          <w:rFonts w:ascii="Book Antiqua" w:eastAsia="Times New Roman" w:hAnsi="Book Antiqua" w:cs="Arial"/>
          <w:color w:val="000000" w:themeColor="text1"/>
          <w:sz w:val="24"/>
          <w:szCs w:val="24"/>
        </w:rPr>
        <w:t xml:space="preserve">- and placebo-treated groups, </w:t>
      </w:r>
      <w:r w:rsidR="006F7F9A" w:rsidRPr="00B747CD">
        <w:rPr>
          <w:rFonts w:ascii="Book Antiqua" w:eastAsia="Times New Roman" w:hAnsi="Book Antiqua" w:cs="Arial"/>
          <w:color w:val="000000" w:themeColor="text1"/>
          <w:sz w:val="24"/>
          <w:szCs w:val="24"/>
        </w:rPr>
        <w:lastRenderedPageBreak/>
        <w:t xml:space="preserve">respectively. All events were asymptomatic and deemed to be consistent with the findings of a meta-analysis that suggested the prevalence of </w:t>
      </w:r>
      <w:r w:rsidR="00397FCD" w:rsidRPr="00B747CD">
        <w:rPr>
          <w:rFonts w:ascii="Book Antiqua" w:eastAsia="Times New Roman" w:hAnsi="Book Antiqua" w:cs="Arial"/>
          <w:color w:val="000000" w:themeColor="text1"/>
          <w:sz w:val="24"/>
          <w:szCs w:val="24"/>
        </w:rPr>
        <w:t>PVT</w:t>
      </w:r>
      <w:r w:rsidR="006F7F9A" w:rsidRPr="00B747CD">
        <w:rPr>
          <w:rFonts w:ascii="Book Antiqua" w:eastAsia="Times New Roman" w:hAnsi="Book Antiqua" w:cs="Arial"/>
          <w:color w:val="000000" w:themeColor="text1"/>
          <w:sz w:val="24"/>
          <w:szCs w:val="24"/>
        </w:rPr>
        <w:t xml:space="preserve"> in patients with CLD and thrombocytopenia.</w:t>
      </w:r>
      <w:r w:rsidR="006F7F9A" w:rsidRPr="00B747CD">
        <w:rPr>
          <w:rFonts w:ascii="Book Antiqua" w:eastAsia="Times New Roman" w:hAnsi="Book Antiqua" w:cs="Arial"/>
          <w:b/>
          <w:bCs/>
          <w:color w:val="000000" w:themeColor="text1"/>
          <w:sz w:val="24"/>
          <w:szCs w:val="24"/>
        </w:rPr>
        <w:t xml:space="preserve"> </w:t>
      </w:r>
      <w:r w:rsidR="006F7F9A" w:rsidRPr="00B747CD">
        <w:rPr>
          <w:rFonts w:ascii="Book Antiqua" w:eastAsia="Times New Roman" w:hAnsi="Book Antiqua" w:cs="Arial"/>
          <w:color w:val="000000" w:themeColor="text1"/>
          <w:sz w:val="24"/>
          <w:szCs w:val="24"/>
        </w:rPr>
        <w:t xml:space="preserve">Table </w:t>
      </w:r>
      <w:r w:rsidRPr="00B747CD">
        <w:rPr>
          <w:rFonts w:ascii="Book Antiqua" w:eastAsia="Times New Roman" w:hAnsi="Book Antiqua" w:cs="Arial"/>
          <w:color w:val="000000" w:themeColor="text1"/>
          <w:sz w:val="24"/>
          <w:szCs w:val="24"/>
        </w:rPr>
        <w:t>1</w:t>
      </w:r>
      <w:r w:rsidRPr="00B747CD">
        <w:rPr>
          <w:rFonts w:ascii="Book Antiqua" w:eastAsia="Times New Roman" w:hAnsi="Book Antiqua" w:cs="Arial"/>
          <w:bCs/>
          <w:color w:val="000000" w:themeColor="text1"/>
          <w:sz w:val="24"/>
          <w:szCs w:val="24"/>
        </w:rPr>
        <w:t xml:space="preserve"> outlines the key safety and efficacy results from these trials.</w:t>
      </w:r>
    </w:p>
    <w:p w14:paraId="65B73F6E" w14:textId="77777777" w:rsidR="00B77418" w:rsidRPr="00B747CD" w:rsidRDefault="0089274F" w:rsidP="00B747CD">
      <w:pPr>
        <w:adjustRightInd w:val="0"/>
        <w:snapToGrid w:val="0"/>
        <w:spacing w:after="0" w:line="360" w:lineRule="auto"/>
        <w:ind w:firstLineChars="100" w:firstLine="240"/>
        <w:jc w:val="both"/>
        <w:rPr>
          <w:rFonts w:ascii="Book Antiqua" w:hAnsi="Book Antiqua" w:cs="Arial"/>
          <w:bCs/>
          <w:color w:val="000000" w:themeColor="text1"/>
          <w:sz w:val="24"/>
          <w:szCs w:val="24"/>
          <w:lang w:eastAsia="zh-CN"/>
        </w:rPr>
      </w:pPr>
      <w:r w:rsidRPr="00B747CD">
        <w:rPr>
          <w:rFonts w:ascii="Book Antiqua" w:eastAsia="Times New Roman" w:hAnsi="Book Antiqua" w:cs="Arial"/>
          <w:bCs/>
          <w:color w:val="000000" w:themeColor="text1"/>
          <w:sz w:val="24"/>
          <w:szCs w:val="24"/>
        </w:rPr>
        <w:t xml:space="preserve">A recent retrospective report of 1760 cirrhotic patients with low platelet </w:t>
      </w:r>
      <w:proofErr w:type="gramStart"/>
      <w:r w:rsidRPr="00B747CD">
        <w:rPr>
          <w:rFonts w:ascii="Book Antiqua" w:eastAsia="Times New Roman" w:hAnsi="Book Antiqua" w:cs="Arial"/>
          <w:bCs/>
          <w:color w:val="000000" w:themeColor="text1"/>
          <w:sz w:val="24"/>
          <w:szCs w:val="24"/>
        </w:rPr>
        <w:t>counts</w:t>
      </w:r>
      <w:r w:rsidR="00744024" w:rsidRPr="00B747CD">
        <w:rPr>
          <w:rFonts w:ascii="Book Antiqua" w:eastAsia="Times New Roman" w:hAnsi="Book Antiqua" w:cs="Arial"/>
          <w:bCs/>
          <w:color w:val="000000" w:themeColor="text1"/>
          <w:sz w:val="24"/>
          <w:szCs w:val="24"/>
          <w:vertAlign w:val="superscript"/>
        </w:rPr>
        <w:t>[</w:t>
      </w:r>
      <w:proofErr w:type="gramEnd"/>
      <w:r w:rsidRPr="00B747CD">
        <w:rPr>
          <w:rFonts w:ascii="Book Antiqua" w:eastAsia="Times New Roman" w:hAnsi="Book Antiqua" w:cs="Arial"/>
          <w:bCs/>
          <w:color w:val="000000" w:themeColor="text1"/>
          <w:sz w:val="24"/>
          <w:szCs w:val="24"/>
          <w:vertAlign w:val="superscript"/>
        </w:rPr>
        <w:t>2</w:t>
      </w:r>
      <w:r w:rsidR="00744024" w:rsidRPr="00B747CD">
        <w:rPr>
          <w:rFonts w:ascii="Book Antiqua" w:eastAsia="Times New Roman" w:hAnsi="Book Antiqua" w:cs="Arial"/>
          <w:bCs/>
          <w:color w:val="000000" w:themeColor="text1"/>
          <w:sz w:val="24"/>
          <w:szCs w:val="24"/>
          <w:vertAlign w:val="superscript"/>
        </w:rPr>
        <w:t>]</w:t>
      </w:r>
      <w:r w:rsidRPr="00B747CD">
        <w:rPr>
          <w:rFonts w:ascii="Book Antiqua" w:eastAsia="Times New Roman" w:hAnsi="Book Antiqua" w:cs="Arial"/>
          <w:bCs/>
          <w:color w:val="000000" w:themeColor="text1"/>
          <w:sz w:val="24"/>
          <w:szCs w:val="24"/>
        </w:rPr>
        <w:t xml:space="preserve"> found that 66% of patients with platelet counts below 50 </w:t>
      </w:r>
      <w:r w:rsidR="008711A7" w:rsidRPr="00B747CD">
        <w:rPr>
          <w:rFonts w:ascii="Book Antiqua" w:hAnsi="Book Antiqua" w:cs="Arial"/>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required platelet transfusions for radiofrequency ablation, 43% for </w:t>
      </w:r>
      <w:proofErr w:type="spellStart"/>
      <w:r w:rsidRPr="00B747CD">
        <w:rPr>
          <w:rFonts w:ascii="Book Antiqua" w:eastAsia="Times New Roman" w:hAnsi="Book Antiqua" w:cs="Arial"/>
          <w:bCs/>
          <w:color w:val="000000" w:themeColor="text1"/>
          <w:sz w:val="24"/>
          <w:szCs w:val="24"/>
        </w:rPr>
        <w:t>transarterial</w:t>
      </w:r>
      <w:proofErr w:type="spellEnd"/>
      <w:r w:rsidRPr="00B747CD">
        <w:rPr>
          <w:rFonts w:ascii="Book Antiqua" w:eastAsia="Times New Roman" w:hAnsi="Book Antiqua" w:cs="Arial"/>
          <w:bCs/>
          <w:color w:val="000000" w:themeColor="text1"/>
          <w:sz w:val="24"/>
          <w:szCs w:val="24"/>
        </w:rPr>
        <w:t xml:space="preserve"> chemoembolization, and 55% for endoscopic injection sclerotherapy/endoscopic variceal ligation. When 25 of these patients were administered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prior to the procedures, platelet counts increased significantly compared with baseline levels (82 </w:t>
      </w:r>
      <w:r w:rsidR="008711A7" w:rsidRPr="00B747CD">
        <w:rPr>
          <w:rFonts w:ascii="Book Antiqua" w:hAnsi="Book Antiqua" w:cs="Arial"/>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w:t>
      </w:r>
      <w:r w:rsidRPr="00B747CD">
        <w:rPr>
          <w:rFonts w:ascii="Book Antiqua" w:eastAsia="Times New Roman" w:hAnsi="Book Antiqua" w:cs="Arial"/>
          <w:bCs/>
          <w:i/>
          <w:iCs/>
          <w:color w:val="000000" w:themeColor="text1"/>
          <w:sz w:val="24"/>
          <w:szCs w:val="24"/>
        </w:rPr>
        <w:t>vs</w:t>
      </w:r>
      <w:r w:rsidRPr="00B747CD">
        <w:rPr>
          <w:rFonts w:ascii="Book Antiqua" w:eastAsia="Times New Roman" w:hAnsi="Book Antiqua" w:cs="Arial"/>
          <w:bCs/>
          <w:color w:val="000000" w:themeColor="text1"/>
          <w:sz w:val="24"/>
          <w:szCs w:val="24"/>
        </w:rPr>
        <w:t xml:space="preserve"> 41 </w:t>
      </w:r>
      <w:r w:rsidR="008711A7" w:rsidRPr="00B747CD">
        <w:rPr>
          <w:rFonts w:ascii="Book Antiqua" w:hAnsi="Book Antiqua" w:cs="Arial"/>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and of these patients, only 4 needed platelet transfusions before the procedures. The proportion of </w:t>
      </w:r>
      <w:proofErr w:type="spellStart"/>
      <w:r w:rsidRPr="00B747CD">
        <w:rPr>
          <w:rFonts w:ascii="Book Antiqua" w:eastAsia="Times New Roman" w:hAnsi="Book Antiqua" w:cs="Arial"/>
          <w:bCs/>
          <w:color w:val="000000" w:themeColor="text1"/>
          <w:sz w:val="24"/>
          <w:szCs w:val="24"/>
        </w:rPr>
        <w:t>lusutrombopag</w:t>
      </w:r>
      <w:proofErr w:type="spellEnd"/>
      <w:r w:rsidR="00595D8F"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treated patients who required platelet transfusions was significantly lower (16%) compared with patients not treated with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(54</w:t>
      </w:r>
      <w:proofErr w:type="gramStart"/>
      <w:r w:rsidRPr="00B747CD">
        <w:rPr>
          <w:rFonts w:ascii="Book Antiqua" w:eastAsia="Times New Roman" w:hAnsi="Book Antiqua" w:cs="Arial"/>
          <w:bCs/>
          <w:color w:val="000000" w:themeColor="text1"/>
          <w:sz w:val="24"/>
          <w:szCs w:val="24"/>
        </w:rPr>
        <w:t>%)</w:t>
      </w:r>
      <w:r w:rsidR="007571BD" w:rsidRPr="00B747CD">
        <w:rPr>
          <w:rFonts w:ascii="Book Antiqua" w:eastAsia="Times New Roman" w:hAnsi="Book Antiqua" w:cs="Arial"/>
          <w:bCs/>
          <w:color w:val="000000" w:themeColor="text1"/>
          <w:sz w:val="24"/>
          <w:szCs w:val="24"/>
          <w:vertAlign w:val="superscript"/>
        </w:rPr>
        <w:t>[</w:t>
      </w:r>
      <w:proofErr w:type="gramEnd"/>
      <w:r w:rsidRPr="00B747CD">
        <w:rPr>
          <w:rFonts w:ascii="Book Antiqua" w:eastAsia="Times New Roman" w:hAnsi="Book Antiqua" w:cs="Arial"/>
          <w:bCs/>
          <w:color w:val="000000" w:themeColor="text1"/>
          <w:sz w:val="24"/>
          <w:szCs w:val="24"/>
          <w:vertAlign w:val="superscript"/>
        </w:rPr>
        <w:t>2</w:t>
      </w:r>
      <w:r w:rsidR="007571BD" w:rsidRPr="00B747CD">
        <w:rPr>
          <w:rFonts w:ascii="Book Antiqua" w:eastAsia="Times New Roman" w:hAnsi="Book Antiqua" w:cs="Arial"/>
          <w:bCs/>
          <w:color w:val="000000" w:themeColor="text1"/>
          <w:sz w:val="24"/>
          <w:szCs w:val="24"/>
          <w:vertAlign w:val="superscript"/>
        </w:rPr>
        <w:t>]</w:t>
      </w:r>
      <w:r w:rsidR="008711A7"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was also found to be more effective in raising platelet counts in patients with baseline platelet counts above 30 </w:t>
      </w:r>
      <w:r w:rsidR="008711A7" w:rsidRPr="00B747CD">
        <w:rPr>
          <w:rFonts w:ascii="Book Antiqua" w:hAnsi="Book Antiqua" w:cs="Arial"/>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compared with patients with baseline platelet counts </w:t>
      </w:r>
      <w:r w:rsidRPr="00B747CD">
        <w:rPr>
          <w:rFonts w:ascii="Book Antiqua" w:eastAsia="Times New Roman" w:hAnsi="Book Antiqua" w:cs="Arial"/>
          <w:bCs/>
          <w:color w:val="000000" w:themeColor="text1"/>
          <w:sz w:val="24"/>
          <w:szCs w:val="24"/>
        </w:rPr>
        <w:sym w:font="Symbol" w:char="F020"/>
      </w:r>
      <w:r w:rsidR="008711A7" w:rsidRPr="00B747CD">
        <w:rPr>
          <w:rFonts w:ascii="Book Antiqua" w:eastAsia="Times New Roman" w:hAnsi="Book Antiqua" w:cs="Arial"/>
          <w:bCs/>
          <w:color w:val="000000" w:themeColor="text1"/>
          <w:sz w:val="24"/>
          <w:szCs w:val="24"/>
        </w:rPr>
        <w:t>less than or equal to</w:t>
      </w:r>
      <w:r w:rsidRPr="00B747CD">
        <w:rPr>
          <w:rFonts w:ascii="Book Antiqua" w:eastAsia="Times New Roman" w:hAnsi="Book Antiqua" w:cs="Arial"/>
          <w:bCs/>
          <w:color w:val="000000" w:themeColor="text1"/>
          <w:sz w:val="24"/>
          <w:szCs w:val="24"/>
        </w:rPr>
        <w:t xml:space="preserve"> 30 </w:t>
      </w:r>
      <w:r w:rsidR="008711A7" w:rsidRPr="00B747CD">
        <w:rPr>
          <w:rFonts w:ascii="Book Antiqua" w:hAnsi="Book Antiqua" w:cs="Arial"/>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and spleen index </w:t>
      </w:r>
      <w:r w:rsidR="00645C81" w:rsidRPr="00B747CD">
        <w:rPr>
          <w:rFonts w:ascii="Book Antiqua" w:eastAsia="Times New Roman" w:hAnsi="Book Antiqua" w:cs="Arial"/>
          <w:bCs/>
          <w:color w:val="000000" w:themeColor="text1"/>
          <w:sz w:val="24"/>
          <w:szCs w:val="24"/>
        </w:rPr>
        <w:t>greater than or equal to</w:t>
      </w:r>
      <w:r w:rsidRPr="00B747CD">
        <w:rPr>
          <w:rFonts w:ascii="Book Antiqua" w:eastAsia="Times New Roman" w:hAnsi="Book Antiqua" w:cs="Arial"/>
          <w:bCs/>
          <w:color w:val="000000" w:themeColor="text1"/>
          <w:sz w:val="24"/>
          <w:szCs w:val="24"/>
        </w:rPr>
        <w:t xml:space="preserve"> 40 cm</w:t>
      </w:r>
      <w:r w:rsidRPr="00B747CD">
        <w:rPr>
          <w:rFonts w:ascii="Book Antiqua" w:eastAsia="Times New Roman" w:hAnsi="Book Antiqua" w:cs="Arial"/>
          <w:bCs/>
          <w:color w:val="000000" w:themeColor="text1"/>
          <w:sz w:val="24"/>
          <w:szCs w:val="24"/>
          <w:vertAlign w:val="superscript"/>
        </w:rPr>
        <w:t>2</w:t>
      </w:r>
      <w:r w:rsidR="007571BD" w:rsidRPr="00B747CD">
        <w:rPr>
          <w:rFonts w:ascii="Book Antiqua" w:eastAsia="Times New Roman" w:hAnsi="Book Antiqua" w:cs="Arial"/>
          <w:bCs/>
          <w:color w:val="000000" w:themeColor="text1"/>
          <w:sz w:val="24"/>
          <w:szCs w:val="24"/>
          <w:vertAlign w:val="superscript"/>
        </w:rPr>
        <w:t>[</w:t>
      </w:r>
      <w:r w:rsidRPr="00B747CD">
        <w:rPr>
          <w:rFonts w:ascii="Book Antiqua" w:eastAsia="Times New Roman" w:hAnsi="Book Antiqua" w:cs="Arial"/>
          <w:bCs/>
          <w:color w:val="000000" w:themeColor="text1"/>
          <w:sz w:val="24"/>
          <w:szCs w:val="24"/>
          <w:vertAlign w:val="superscript"/>
        </w:rPr>
        <w:t>2</w:t>
      </w:r>
      <w:r w:rsidR="007571BD" w:rsidRPr="00B747CD">
        <w:rPr>
          <w:rFonts w:ascii="Book Antiqua" w:eastAsia="Times New Roman" w:hAnsi="Book Antiqua" w:cs="Arial"/>
          <w:bCs/>
          <w:color w:val="000000" w:themeColor="text1"/>
          <w:sz w:val="24"/>
          <w:szCs w:val="24"/>
          <w:vertAlign w:val="superscript"/>
        </w:rPr>
        <w:t>]</w:t>
      </w:r>
      <w:r w:rsidR="00645C81"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The authors of th</w:t>
      </w:r>
      <w:r w:rsidR="003565F6" w:rsidRPr="00B747CD">
        <w:rPr>
          <w:rFonts w:ascii="Book Antiqua" w:eastAsia="Times New Roman" w:hAnsi="Book Antiqua" w:cs="Arial"/>
          <w:bCs/>
          <w:color w:val="000000" w:themeColor="text1"/>
          <w:sz w:val="24"/>
          <w:szCs w:val="24"/>
        </w:rPr>
        <w:t>is</w:t>
      </w:r>
      <w:r w:rsidRPr="00B747CD">
        <w:rPr>
          <w:rFonts w:ascii="Book Antiqua" w:eastAsia="Times New Roman" w:hAnsi="Book Antiqua" w:cs="Arial"/>
          <w:bCs/>
          <w:color w:val="000000" w:themeColor="text1"/>
          <w:sz w:val="24"/>
          <w:szCs w:val="24"/>
        </w:rPr>
        <w:t xml:space="preserve"> retrospective study reported </w:t>
      </w:r>
      <w:r w:rsidR="00F42C55" w:rsidRPr="00B747CD">
        <w:rPr>
          <w:rFonts w:ascii="Book Antiqua" w:eastAsia="Times New Roman" w:hAnsi="Book Antiqua" w:cs="Arial"/>
          <w:bCs/>
          <w:color w:val="000000" w:themeColor="text1"/>
          <w:sz w:val="24"/>
          <w:szCs w:val="24"/>
        </w:rPr>
        <w:t xml:space="preserve">1 </w:t>
      </w:r>
      <w:r w:rsidRPr="00B747CD">
        <w:rPr>
          <w:rFonts w:ascii="Book Antiqua" w:eastAsia="Times New Roman" w:hAnsi="Book Antiqua" w:cs="Arial"/>
          <w:bCs/>
          <w:color w:val="000000" w:themeColor="text1"/>
          <w:sz w:val="24"/>
          <w:szCs w:val="24"/>
        </w:rPr>
        <w:t xml:space="preserve">case of portal thrombosis in the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group, which was revealed </w:t>
      </w:r>
      <w:r w:rsidRPr="00B747CD">
        <w:rPr>
          <w:rFonts w:ascii="Book Antiqua" w:eastAsia="Times New Roman" w:hAnsi="Book Antiqua" w:cs="Arial"/>
          <w:bCs/>
          <w:i/>
          <w:iCs/>
          <w:color w:val="000000" w:themeColor="text1"/>
          <w:sz w:val="24"/>
          <w:szCs w:val="24"/>
        </w:rPr>
        <w:t>via</w:t>
      </w:r>
      <w:r w:rsidRPr="00B747CD">
        <w:rPr>
          <w:rFonts w:ascii="Book Antiqua" w:eastAsia="Times New Roman" w:hAnsi="Book Antiqua" w:cs="Arial"/>
          <w:bCs/>
          <w:color w:val="000000" w:themeColor="text1"/>
          <w:sz w:val="24"/>
          <w:szCs w:val="24"/>
        </w:rPr>
        <w:t xml:space="preserve"> a routine CT scan taken on the 12</w:t>
      </w:r>
      <w:r w:rsidRPr="00B747CD">
        <w:rPr>
          <w:rFonts w:ascii="Book Antiqua" w:eastAsia="Times New Roman" w:hAnsi="Book Antiqua" w:cs="Arial"/>
          <w:bCs/>
          <w:color w:val="000000" w:themeColor="text1"/>
          <w:sz w:val="24"/>
          <w:szCs w:val="24"/>
          <w:vertAlign w:val="superscript"/>
        </w:rPr>
        <w:t>th</w:t>
      </w:r>
      <w:r w:rsidRPr="00B747CD">
        <w:rPr>
          <w:rFonts w:ascii="Book Antiqua" w:eastAsia="Times New Roman" w:hAnsi="Book Antiqua" w:cs="Arial"/>
          <w:bCs/>
          <w:color w:val="000000" w:themeColor="text1"/>
          <w:sz w:val="24"/>
          <w:szCs w:val="24"/>
        </w:rPr>
        <w:t xml:space="preserve"> d of treatment. The causal relationship of thrombosis with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treatment was </w:t>
      </w:r>
      <w:proofErr w:type="gramStart"/>
      <w:r w:rsidRPr="00B747CD">
        <w:rPr>
          <w:rFonts w:ascii="Book Antiqua" w:eastAsia="Times New Roman" w:hAnsi="Book Antiqua" w:cs="Arial"/>
          <w:bCs/>
          <w:color w:val="000000" w:themeColor="text1"/>
          <w:sz w:val="24"/>
          <w:szCs w:val="24"/>
        </w:rPr>
        <w:t>unclear</w:t>
      </w:r>
      <w:r w:rsidR="00B93DE5" w:rsidRPr="00B747CD">
        <w:rPr>
          <w:rFonts w:ascii="Book Antiqua" w:eastAsia="Times New Roman" w:hAnsi="Book Antiqua" w:cs="Arial"/>
          <w:bCs/>
          <w:color w:val="000000" w:themeColor="text1"/>
          <w:sz w:val="24"/>
          <w:szCs w:val="24"/>
          <w:vertAlign w:val="superscript"/>
        </w:rPr>
        <w:t>[</w:t>
      </w:r>
      <w:proofErr w:type="gramEnd"/>
      <w:r w:rsidRPr="00B747CD">
        <w:rPr>
          <w:rFonts w:ascii="Book Antiqua" w:eastAsia="Times New Roman" w:hAnsi="Book Antiqua" w:cs="Arial"/>
          <w:bCs/>
          <w:color w:val="000000" w:themeColor="text1"/>
          <w:sz w:val="24"/>
          <w:szCs w:val="24"/>
          <w:vertAlign w:val="superscript"/>
        </w:rPr>
        <w:t>2</w:t>
      </w:r>
      <w:r w:rsidR="00B93DE5" w:rsidRPr="00B747CD">
        <w:rPr>
          <w:rFonts w:ascii="Book Antiqua" w:eastAsia="Times New Roman" w:hAnsi="Book Antiqua" w:cs="Arial"/>
          <w:bCs/>
          <w:color w:val="000000" w:themeColor="text1"/>
          <w:sz w:val="24"/>
          <w:szCs w:val="24"/>
          <w:vertAlign w:val="superscript"/>
        </w:rPr>
        <w:t>]</w:t>
      </w:r>
      <w:r w:rsidR="00F42C55"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w:t>
      </w:r>
    </w:p>
    <w:p w14:paraId="12FC4FCF" w14:textId="239F29DF" w:rsidR="0089274F" w:rsidRPr="00B747CD" w:rsidRDefault="0089274F" w:rsidP="00B747CD">
      <w:pPr>
        <w:adjustRightInd w:val="0"/>
        <w:snapToGrid w:val="0"/>
        <w:spacing w:after="0" w:line="360" w:lineRule="auto"/>
        <w:ind w:firstLineChars="100" w:firstLine="240"/>
        <w:jc w:val="both"/>
        <w:rPr>
          <w:rFonts w:ascii="Book Antiqua" w:eastAsia="Times New Roman" w:hAnsi="Book Antiqua" w:cs="Arial"/>
          <w:bCs/>
          <w:color w:val="000000" w:themeColor="text1"/>
          <w:sz w:val="24"/>
          <w:szCs w:val="24"/>
        </w:rPr>
      </w:pPr>
      <w:r w:rsidRPr="00B747CD">
        <w:rPr>
          <w:rFonts w:ascii="Book Antiqua" w:eastAsia="Times New Roman" w:hAnsi="Book Antiqua" w:cs="Arial"/>
          <w:bCs/>
          <w:color w:val="000000" w:themeColor="text1"/>
          <w:sz w:val="24"/>
          <w:szCs w:val="24"/>
        </w:rPr>
        <w:t xml:space="preserve">Sato </w:t>
      </w:r>
      <w:r w:rsidRPr="00B747CD">
        <w:rPr>
          <w:rFonts w:ascii="Book Antiqua" w:eastAsia="Times New Roman" w:hAnsi="Book Antiqua" w:cs="Arial"/>
          <w:i/>
          <w:color w:val="000000" w:themeColor="text1"/>
          <w:sz w:val="24"/>
          <w:szCs w:val="24"/>
        </w:rPr>
        <w:t xml:space="preserve">et </w:t>
      </w:r>
      <w:proofErr w:type="gramStart"/>
      <w:r w:rsidRPr="00B747CD">
        <w:rPr>
          <w:rFonts w:ascii="Book Antiqua" w:eastAsia="Times New Roman" w:hAnsi="Book Antiqua" w:cs="Arial"/>
          <w:i/>
          <w:color w:val="000000" w:themeColor="text1"/>
          <w:sz w:val="24"/>
          <w:szCs w:val="24"/>
        </w:rPr>
        <w:t>al</w:t>
      </w:r>
      <w:r w:rsidR="007A1756" w:rsidRPr="00B747CD">
        <w:rPr>
          <w:rFonts w:ascii="Book Antiqua" w:eastAsia="Times New Roman" w:hAnsi="Book Antiqua" w:cs="Arial"/>
          <w:bCs/>
          <w:color w:val="000000" w:themeColor="text1"/>
          <w:sz w:val="24"/>
          <w:szCs w:val="24"/>
          <w:vertAlign w:val="superscript"/>
        </w:rPr>
        <w:t>[</w:t>
      </w:r>
      <w:proofErr w:type="gramEnd"/>
      <w:r w:rsidR="007A1756" w:rsidRPr="00B747CD">
        <w:rPr>
          <w:rFonts w:ascii="Book Antiqua" w:eastAsia="Times New Roman" w:hAnsi="Book Antiqua" w:cs="Arial"/>
          <w:bCs/>
          <w:color w:val="000000" w:themeColor="text1"/>
          <w:sz w:val="24"/>
          <w:szCs w:val="24"/>
          <w:vertAlign w:val="superscript"/>
        </w:rPr>
        <w:t>19]</w:t>
      </w:r>
      <w:r w:rsidRPr="00B747CD">
        <w:rPr>
          <w:rFonts w:ascii="Book Antiqua" w:eastAsia="Times New Roman" w:hAnsi="Book Antiqua" w:cs="Arial"/>
          <w:bCs/>
          <w:color w:val="000000" w:themeColor="text1"/>
          <w:sz w:val="24"/>
          <w:szCs w:val="24"/>
        </w:rPr>
        <w:t xml:space="preserve"> were the first to report the efficacy of repeated administration of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(3 mg daily) in a patient with hepatocellular carcinoma who had two planned invasive procedures, </w:t>
      </w:r>
      <w:r w:rsidR="00AB615A" w:rsidRPr="00B747CD">
        <w:rPr>
          <w:rFonts w:ascii="Book Antiqua" w:eastAsia="Times New Roman" w:hAnsi="Book Antiqua" w:cs="Arial"/>
          <w:bCs/>
          <w:color w:val="000000" w:themeColor="text1"/>
          <w:sz w:val="24"/>
          <w:szCs w:val="24"/>
        </w:rPr>
        <w:t xml:space="preserve">radiofrequency ablation </w:t>
      </w:r>
      <w:r w:rsidRPr="00B747CD">
        <w:rPr>
          <w:rFonts w:ascii="Book Antiqua" w:eastAsia="Times New Roman" w:hAnsi="Book Antiqua" w:cs="Arial"/>
          <w:bCs/>
          <w:color w:val="000000" w:themeColor="text1"/>
          <w:sz w:val="24"/>
          <w:szCs w:val="24"/>
        </w:rPr>
        <w:t xml:space="preserve">and </w:t>
      </w:r>
      <w:proofErr w:type="spellStart"/>
      <w:r w:rsidR="00AB615A" w:rsidRPr="00B747CD">
        <w:rPr>
          <w:rFonts w:ascii="Book Antiqua" w:eastAsia="Times New Roman" w:hAnsi="Book Antiqua" w:cs="Arial"/>
          <w:bCs/>
          <w:color w:val="000000" w:themeColor="text1"/>
          <w:sz w:val="24"/>
          <w:szCs w:val="24"/>
        </w:rPr>
        <w:t>transarterial</w:t>
      </w:r>
      <w:proofErr w:type="spellEnd"/>
      <w:r w:rsidR="00AB615A" w:rsidRPr="00B747CD">
        <w:rPr>
          <w:rFonts w:ascii="Book Antiqua" w:eastAsia="Times New Roman" w:hAnsi="Book Antiqua" w:cs="Arial"/>
          <w:bCs/>
          <w:color w:val="000000" w:themeColor="text1"/>
          <w:sz w:val="24"/>
          <w:szCs w:val="24"/>
        </w:rPr>
        <w:t xml:space="preserve"> chemoembolization</w:t>
      </w:r>
      <w:r w:rsidRPr="00B747CD">
        <w:rPr>
          <w:rFonts w:ascii="Book Antiqua" w:eastAsia="Times New Roman" w:hAnsi="Book Antiqua" w:cs="Arial"/>
          <w:bCs/>
          <w:color w:val="000000" w:themeColor="text1"/>
          <w:sz w:val="24"/>
          <w:szCs w:val="24"/>
        </w:rPr>
        <w:t>.</w:t>
      </w:r>
      <w:r w:rsidR="00995F70"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 xml:space="preserve">In the first instance,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was discontinued after 5 d</w:t>
      </w:r>
      <w:r w:rsidR="00AB615A"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as the platelet count increased to 98 </w:t>
      </w:r>
      <w:r w:rsidR="008711A7" w:rsidRPr="00B747CD">
        <w:rPr>
          <w:rFonts w:ascii="Book Antiqua" w:hAnsi="Book Antiqua" w:cs="Arial"/>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/L by day 5</w:t>
      </w:r>
      <w:r w:rsidR="00AB615A" w:rsidRPr="00B747CD">
        <w:rPr>
          <w:rFonts w:ascii="Book Antiqua" w:eastAsia="Times New Roman" w:hAnsi="Book Antiqua" w:cs="Arial"/>
          <w:bCs/>
          <w:color w:val="000000" w:themeColor="text1"/>
          <w:sz w:val="24"/>
          <w:szCs w:val="24"/>
        </w:rPr>
        <w:t>,</w:t>
      </w:r>
      <w:r w:rsidR="00995808"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 xml:space="preserve">while in the second instance, the patient required the full 7-d treatment to achieve a platelet count above 50 </w:t>
      </w:r>
      <w:r w:rsidR="00AB615A" w:rsidRPr="00B747CD">
        <w:rPr>
          <w:rFonts w:ascii="Book Antiqua" w:hAnsi="Book Antiqua" w:cs="Arial"/>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No </w:t>
      </w:r>
      <w:r w:rsidR="00487E86" w:rsidRPr="00B747CD">
        <w:rPr>
          <w:rFonts w:ascii="Book Antiqua" w:eastAsia="Times New Roman" w:hAnsi="Book Antiqua" w:cs="Arial"/>
          <w:bCs/>
          <w:color w:val="000000" w:themeColor="text1"/>
          <w:sz w:val="24"/>
          <w:szCs w:val="24"/>
        </w:rPr>
        <w:t>AE</w:t>
      </w:r>
      <w:r w:rsidRPr="00B747CD">
        <w:rPr>
          <w:rFonts w:ascii="Book Antiqua" w:eastAsia="Times New Roman" w:hAnsi="Book Antiqua" w:cs="Arial"/>
          <w:bCs/>
          <w:color w:val="000000" w:themeColor="text1"/>
          <w:sz w:val="24"/>
          <w:szCs w:val="24"/>
        </w:rPr>
        <w:t xml:space="preserve">s such as portal thrombus </w:t>
      </w:r>
      <w:proofErr w:type="gramStart"/>
      <w:r w:rsidRPr="00B747CD">
        <w:rPr>
          <w:rFonts w:ascii="Book Antiqua" w:eastAsia="Times New Roman" w:hAnsi="Book Antiqua" w:cs="Arial"/>
          <w:bCs/>
          <w:color w:val="000000" w:themeColor="text1"/>
          <w:sz w:val="24"/>
          <w:szCs w:val="24"/>
        </w:rPr>
        <w:t>were</w:t>
      </w:r>
      <w:proofErr w:type="gramEnd"/>
      <w:r w:rsidRPr="00B747CD">
        <w:rPr>
          <w:rFonts w:ascii="Book Antiqua" w:eastAsia="Times New Roman" w:hAnsi="Book Antiqua" w:cs="Arial"/>
          <w:bCs/>
          <w:color w:val="000000" w:themeColor="text1"/>
          <w:sz w:val="24"/>
          <w:szCs w:val="24"/>
        </w:rPr>
        <w:t xml:space="preserve"> reported during either of the treatments. More recently, Ishikawa </w:t>
      </w:r>
      <w:r w:rsidRPr="00B747CD">
        <w:rPr>
          <w:rFonts w:ascii="Book Antiqua" w:eastAsia="Times New Roman" w:hAnsi="Book Antiqua" w:cs="Arial"/>
          <w:i/>
          <w:color w:val="000000" w:themeColor="text1"/>
          <w:sz w:val="24"/>
          <w:szCs w:val="24"/>
        </w:rPr>
        <w:t xml:space="preserve">et </w:t>
      </w:r>
      <w:proofErr w:type="gramStart"/>
      <w:r w:rsidRPr="00B747CD">
        <w:rPr>
          <w:rFonts w:ascii="Book Antiqua" w:eastAsia="Times New Roman" w:hAnsi="Book Antiqua" w:cs="Arial"/>
          <w:i/>
          <w:color w:val="000000" w:themeColor="text1"/>
          <w:sz w:val="24"/>
          <w:szCs w:val="24"/>
        </w:rPr>
        <w:t>al</w:t>
      </w:r>
      <w:r w:rsidR="00AB615A" w:rsidRPr="00B747CD">
        <w:rPr>
          <w:rFonts w:ascii="Book Antiqua" w:eastAsia="Times New Roman" w:hAnsi="Book Antiqua" w:cs="Arial"/>
          <w:bCs/>
          <w:color w:val="000000" w:themeColor="text1"/>
          <w:sz w:val="24"/>
          <w:szCs w:val="24"/>
          <w:vertAlign w:val="superscript"/>
        </w:rPr>
        <w:t>[</w:t>
      </w:r>
      <w:proofErr w:type="gramEnd"/>
      <w:r w:rsidR="00AB615A" w:rsidRPr="00B747CD">
        <w:rPr>
          <w:rFonts w:ascii="Book Antiqua" w:eastAsia="Times New Roman" w:hAnsi="Book Antiqua" w:cs="Arial"/>
          <w:bCs/>
          <w:color w:val="000000" w:themeColor="text1"/>
          <w:sz w:val="24"/>
          <w:szCs w:val="24"/>
          <w:vertAlign w:val="superscript"/>
        </w:rPr>
        <w:t>20]</w:t>
      </w:r>
      <w:r w:rsidRPr="00B747CD">
        <w:rPr>
          <w:rFonts w:ascii="Book Antiqua" w:eastAsia="Times New Roman" w:hAnsi="Book Antiqua" w:cs="Arial"/>
          <w:bCs/>
          <w:color w:val="000000" w:themeColor="text1"/>
          <w:sz w:val="24"/>
          <w:szCs w:val="24"/>
        </w:rPr>
        <w:t xml:space="preserve"> reported the safety and efficacy of repeated use of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to increase platelet counts in 8 patients with </w:t>
      </w:r>
      <w:r w:rsidR="00E838AA" w:rsidRPr="00B747CD">
        <w:rPr>
          <w:rFonts w:ascii="Book Antiqua" w:eastAsia="Times New Roman" w:hAnsi="Book Antiqua" w:cs="Arial"/>
          <w:bCs/>
          <w:color w:val="000000" w:themeColor="text1"/>
          <w:sz w:val="24"/>
          <w:szCs w:val="24"/>
        </w:rPr>
        <w:t>hepatocellular carcinoma</w:t>
      </w:r>
      <w:r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lastRenderedPageBreak/>
        <w:t xml:space="preserve">and thrombocytopenia prior to repeated scheduled </w:t>
      </w:r>
      <w:r w:rsidR="00AB615A" w:rsidRPr="00B747CD">
        <w:rPr>
          <w:rFonts w:ascii="Book Antiqua" w:eastAsia="Times New Roman" w:hAnsi="Book Antiqua" w:cs="Arial"/>
          <w:bCs/>
          <w:color w:val="000000" w:themeColor="text1"/>
          <w:sz w:val="24"/>
          <w:szCs w:val="24"/>
        </w:rPr>
        <w:t>radiofrequency ablation</w:t>
      </w:r>
      <w:r w:rsidRPr="00B747CD">
        <w:rPr>
          <w:rFonts w:ascii="Book Antiqua" w:eastAsia="Times New Roman" w:hAnsi="Book Antiqua" w:cs="Arial"/>
          <w:bCs/>
          <w:color w:val="000000" w:themeColor="text1"/>
          <w:sz w:val="24"/>
          <w:szCs w:val="24"/>
        </w:rPr>
        <w:t xml:space="preserve"> procedures.</w:t>
      </w:r>
      <w:r w:rsidR="00995F70"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Pl</w:t>
      </w:r>
      <w:r w:rsidR="00B77418" w:rsidRPr="00B747CD">
        <w:rPr>
          <w:rFonts w:ascii="Book Antiqua" w:eastAsia="Times New Roman" w:hAnsi="Book Antiqua" w:cs="Arial"/>
          <w:bCs/>
          <w:color w:val="000000" w:themeColor="text1"/>
          <w:sz w:val="24"/>
          <w:szCs w:val="24"/>
        </w:rPr>
        <w:t>atelet counts increased from 42</w:t>
      </w:r>
      <w:r w:rsidRPr="00B747CD">
        <w:rPr>
          <w:rFonts w:ascii="Book Antiqua" w:eastAsia="Times New Roman" w:hAnsi="Book Antiqua" w:cs="Arial"/>
          <w:bCs/>
          <w:color w:val="000000" w:themeColor="text1"/>
          <w:sz w:val="24"/>
          <w:szCs w:val="24"/>
        </w:rPr>
        <w:t>5</w:t>
      </w:r>
      <w:r w:rsidR="00B77418" w:rsidRPr="00B747CD">
        <w:rPr>
          <w:rFonts w:ascii="Book Antiqua" w:eastAsia="Times New Roman" w:hAnsi="Book Antiqua" w:cs="Arial"/>
          <w:bCs/>
          <w:color w:val="000000" w:themeColor="text1"/>
          <w:sz w:val="24"/>
          <w:szCs w:val="24"/>
        </w:rPr>
        <w:t>00 ± 5200/µL at baseline to 103100 ± 22</w:t>
      </w:r>
      <w:r w:rsidRPr="00B747CD">
        <w:rPr>
          <w:rFonts w:ascii="Book Antiqua" w:eastAsia="Times New Roman" w:hAnsi="Book Antiqua" w:cs="Arial"/>
          <w:bCs/>
          <w:color w:val="000000" w:themeColor="text1"/>
          <w:sz w:val="24"/>
          <w:szCs w:val="24"/>
        </w:rPr>
        <w:t>800/µL at day 14 aft</w:t>
      </w:r>
      <w:r w:rsidR="00B77418" w:rsidRPr="00B747CD">
        <w:rPr>
          <w:rFonts w:ascii="Book Antiqua" w:eastAsia="Times New Roman" w:hAnsi="Book Antiqua" w:cs="Arial"/>
          <w:bCs/>
          <w:color w:val="000000" w:themeColor="text1"/>
          <w:sz w:val="24"/>
          <w:szCs w:val="24"/>
        </w:rPr>
        <w:t>er first treatment, and from 43</w:t>
      </w:r>
      <w:r w:rsidRPr="00B747CD">
        <w:rPr>
          <w:rFonts w:ascii="Book Antiqua" w:eastAsia="Times New Roman" w:hAnsi="Book Antiqua" w:cs="Arial"/>
          <w:bCs/>
          <w:color w:val="000000" w:themeColor="text1"/>
          <w:sz w:val="24"/>
          <w:szCs w:val="24"/>
        </w:rPr>
        <w:t>8</w:t>
      </w:r>
      <w:r w:rsidR="00B77418" w:rsidRPr="00B747CD">
        <w:rPr>
          <w:rFonts w:ascii="Book Antiqua" w:eastAsia="Times New Roman" w:hAnsi="Book Antiqua" w:cs="Arial"/>
          <w:bCs/>
          <w:color w:val="000000" w:themeColor="text1"/>
          <w:sz w:val="24"/>
          <w:szCs w:val="24"/>
        </w:rPr>
        <w:t>00 ± 6000/µL at baseline to 110</w:t>
      </w:r>
      <w:r w:rsidRPr="00B747CD">
        <w:rPr>
          <w:rFonts w:ascii="Book Antiqua" w:eastAsia="Times New Roman" w:hAnsi="Book Antiqua" w:cs="Arial"/>
          <w:bCs/>
          <w:color w:val="000000" w:themeColor="text1"/>
          <w:sz w:val="24"/>
          <w:szCs w:val="24"/>
        </w:rPr>
        <w:t>700 ± 17,800/µL at day 14 after repeat treatment</w:t>
      </w:r>
      <w:r w:rsidR="00AB615A"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demonstrating that the repeated use of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does not decrease its effect on platelet counts. None of the patients developed clinical symptoms such as thrombosis or </w:t>
      </w:r>
      <w:proofErr w:type="gramStart"/>
      <w:r w:rsidR="00EE5378" w:rsidRPr="00B747CD">
        <w:rPr>
          <w:rFonts w:ascii="Book Antiqua" w:eastAsia="Times New Roman" w:hAnsi="Book Antiqua" w:cs="Arial"/>
          <w:bCs/>
          <w:color w:val="000000" w:themeColor="text1"/>
          <w:sz w:val="24"/>
          <w:szCs w:val="24"/>
        </w:rPr>
        <w:t>PVT</w:t>
      </w:r>
      <w:r w:rsidR="0064511E" w:rsidRPr="00B747CD">
        <w:rPr>
          <w:rFonts w:ascii="Book Antiqua" w:eastAsia="Times New Roman" w:hAnsi="Book Antiqua" w:cs="Arial"/>
          <w:bCs/>
          <w:color w:val="000000" w:themeColor="text1"/>
          <w:sz w:val="24"/>
          <w:szCs w:val="24"/>
          <w:vertAlign w:val="superscript"/>
        </w:rPr>
        <w:t>[</w:t>
      </w:r>
      <w:proofErr w:type="gramEnd"/>
      <w:r w:rsidR="00103C2C" w:rsidRPr="00B747CD">
        <w:rPr>
          <w:rFonts w:ascii="Book Antiqua" w:eastAsia="Times New Roman" w:hAnsi="Book Antiqua" w:cs="Arial"/>
          <w:bCs/>
          <w:color w:val="000000" w:themeColor="text1"/>
          <w:sz w:val="24"/>
          <w:szCs w:val="24"/>
          <w:vertAlign w:val="superscript"/>
        </w:rPr>
        <w:t>20</w:t>
      </w:r>
      <w:r w:rsidR="0064511E" w:rsidRPr="00B747CD">
        <w:rPr>
          <w:rFonts w:ascii="Book Antiqua" w:eastAsia="Times New Roman" w:hAnsi="Book Antiqua" w:cs="Arial"/>
          <w:bCs/>
          <w:color w:val="000000" w:themeColor="text1"/>
          <w:sz w:val="24"/>
          <w:szCs w:val="24"/>
          <w:vertAlign w:val="superscript"/>
        </w:rPr>
        <w:t>]</w:t>
      </w:r>
      <w:r w:rsidR="00AB615A" w:rsidRPr="00B747CD">
        <w:rPr>
          <w:rFonts w:ascii="Book Antiqua" w:eastAsia="Times New Roman" w:hAnsi="Book Antiqua" w:cs="Arial"/>
          <w:bCs/>
          <w:color w:val="000000" w:themeColor="text1"/>
          <w:sz w:val="24"/>
          <w:szCs w:val="24"/>
        </w:rPr>
        <w:t>.</w:t>
      </w:r>
    </w:p>
    <w:p w14:paraId="739A1631" w14:textId="77777777" w:rsidR="00AB615A" w:rsidRPr="00B747CD" w:rsidRDefault="00AB615A" w:rsidP="00B747CD">
      <w:pPr>
        <w:adjustRightInd w:val="0"/>
        <w:snapToGrid w:val="0"/>
        <w:spacing w:after="0" w:line="360" w:lineRule="auto"/>
        <w:jc w:val="both"/>
        <w:rPr>
          <w:rFonts w:ascii="Book Antiqua" w:hAnsi="Book Antiqua" w:cs="Arial"/>
          <w:color w:val="000000" w:themeColor="text1"/>
          <w:sz w:val="24"/>
          <w:szCs w:val="24"/>
        </w:rPr>
      </w:pPr>
    </w:p>
    <w:p w14:paraId="748E7CE8" w14:textId="52E7AFBD" w:rsidR="0089274F" w:rsidRPr="00B747CD" w:rsidRDefault="0089274F" w:rsidP="00B747CD">
      <w:pPr>
        <w:adjustRightInd w:val="0"/>
        <w:snapToGrid w:val="0"/>
        <w:spacing w:after="0" w:line="360" w:lineRule="auto"/>
        <w:jc w:val="both"/>
        <w:rPr>
          <w:rFonts w:ascii="Book Antiqua" w:hAnsi="Book Antiqua" w:cs="Arial"/>
          <w:b/>
          <w:color w:val="000000" w:themeColor="text1"/>
          <w:sz w:val="24"/>
          <w:szCs w:val="24"/>
          <w:u w:val="single"/>
        </w:rPr>
      </w:pPr>
      <w:r w:rsidRPr="00B747CD">
        <w:rPr>
          <w:rFonts w:ascii="Book Antiqua" w:hAnsi="Book Antiqua" w:cs="Arial"/>
          <w:b/>
          <w:color w:val="000000" w:themeColor="text1"/>
          <w:sz w:val="24"/>
          <w:szCs w:val="24"/>
          <w:u w:val="single"/>
        </w:rPr>
        <w:t>H</w:t>
      </w:r>
      <w:r w:rsidR="00AB615A" w:rsidRPr="00B747CD">
        <w:rPr>
          <w:rFonts w:ascii="Book Antiqua" w:hAnsi="Book Antiqua" w:cs="Arial"/>
          <w:b/>
          <w:color w:val="000000" w:themeColor="text1"/>
          <w:sz w:val="24"/>
          <w:szCs w:val="24"/>
          <w:u w:val="single"/>
        </w:rPr>
        <w:t>ETROBOPAG</w:t>
      </w:r>
    </w:p>
    <w:p w14:paraId="195ABFC7" w14:textId="615CF445" w:rsidR="0089274F" w:rsidRPr="00B747CD" w:rsidRDefault="0089274F" w:rsidP="00B747CD">
      <w:pPr>
        <w:adjustRightInd w:val="0"/>
        <w:snapToGrid w:val="0"/>
        <w:spacing w:after="0" w:line="360" w:lineRule="auto"/>
        <w:jc w:val="both"/>
        <w:rPr>
          <w:rFonts w:ascii="Book Antiqua" w:eastAsia="Times New Roman" w:hAnsi="Book Antiqua" w:cs="Arial"/>
          <w:bCs/>
          <w:color w:val="000000" w:themeColor="text1"/>
          <w:sz w:val="24"/>
          <w:szCs w:val="24"/>
        </w:rPr>
      </w:pPr>
      <w:proofErr w:type="spellStart"/>
      <w:r w:rsidRPr="00B747CD">
        <w:rPr>
          <w:rFonts w:ascii="Book Antiqua" w:hAnsi="Book Antiqua" w:cs="Arial"/>
          <w:color w:val="000000" w:themeColor="text1"/>
          <w:sz w:val="24"/>
          <w:szCs w:val="24"/>
        </w:rPr>
        <w:t>Hetrombopag</w:t>
      </w:r>
      <w:proofErr w:type="spellEnd"/>
      <w:r w:rsidRPr="00B747CD">
        <w:rPr>
          <w:rFonts w:ascii="Book Antiqua" w:hAnsi="Book Antiqua" w:cs="Arial"/>
          <w:color w:val="000000" w:themeColor="text1"/>
          <w:sz w:val="24"/>
          <w:szCs w:val="24"/>
        </w:rPr>
        <w:t xml:space="preserve"> is a small-molecule non-peptide TPO-RA</w:t>
      </w:r>
      <w:r w:rsidR="00006A7A"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with a mechanism of action similar to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but with an </w:t>
      </w:r>
      <w:r w:rsidRPr="00B747CD">
        <w:rPr>
          <w:rFonts w:ascii="Book Antiqua" w:hAnsi="Book Antiqua" w:cs="Arial"/>
          <w:i/>
          <w:iCs/>
          <w:color w:val="000000" w:themeColor="text1"/>
          <w:sz w:val="24"/>
          <w:szCs w:val="24"/>
        </w:rPr>
        <w:t>in vivo</w:t>
      </w:r>
      <w:r w:rsidRPr="00B747CD">
        <w:rPr>
          <w:rFonts w:ascii="Book Antiqua" w:hAnsi="Book Antiqua" w:cs="Arial"/>
          <w:color w:val="000000" w:themeColor="text1"/>
          <w:sz w:val="24"/>
          <w:szCs w:val="24"/>
        </w:rPr>
        <w:t xml:space="preserve"> pharmacological effect that is 8-10 times that of </w:t>
      </w:r>
      <w:proofErr w:type="spellStart"/>
      <w:proofErr w:type="gramStart"/>
      <w:r w:rsidRPr="00B747CD">
        <w:rPr>
          <w:rFonts w:ascii="Book Antiqua" w:hAnsi="Book Antiqua" w:cs="Arial"/>
          <w:color w:val="000000" w:themeColor="text1"/>
          <w:sz w:val="24"/>
          <w:szCs w:val="24"/>
        </w:rPr>
        <w:t>eltrombopag</w:t>
      </w:r>
      <w:proofErr w:type="spellEnd"/>
      <w:r w:rsidR="0064511E" w:rsidRPr="00B747CD">
        <w:rPr>
          <w:rFonts w:ascii="Book Antiqua" w:hAnsi="Book Antiqua" w:cs="Arial"/>
          <w:color w:val="000000" w:themeColor="text1"/>
          <w:sz w:val="24"/>
          <w:szCs w:val="24"/>
          <w:vertAlign w:val="superscript"/>
        </w:rPr>
        <w:t>[</w:t>
      </w:r>
      <w:proofErr w:type="gramEnd"/>
      <w:r w:rsidR="00C757FC" w:rsidRPr="00B747CD">
        <w:rPr>
          <w:rFonts w:ascii="Book Antiqua" w:hAnsi="Book Antiqua" w:cs="Arial"/>
          <w:color w:val="000000" w:themeColor="text1"/>
          <w:sz w:val="24"/>
          <w:szCs w:val="24"/>
          <w:vertAlign w:val="superscript"/>
        </w:rPr>
        <w:t>2</w:t>
      </w:r>
      <w:r w:rsidR="00103C2C" w:rsidRPr="00B747CD">
        <w:rPr>
          <w:rFonts w:ascii="Book Antiqua" w:hAnsi="Book Antiqua" w:cs="Arial"/>
          <w:color w:val="000000" w:themeColor="text1"/>
          <w:sz w:val="24"/>
          <w:szCs w:val="24"/>
          <w:vertAlign w:val="superscript"/>
        </w:rPr>
        <w:t>1</w:t>
      </w:r>
      <w:r w:rsidR="0064511E" w:rsidRPr="00B747CD">
        <w:rPr>
          <w:rFonts w:ascii="Book Antiqua" w:hAnsi="Book Antiqua" w:cs="Arial"/>
          <w:color w:val="000000" w:themeColor="text1"/>
          <w:sz w:val="24"/>
          <w:szCs w:val="24"/>
          <w:vertAlign w:val="superscript"/>
        </w:rPr>
        <w:t>]</w:t>
      </w:r>
      <w:r w:rsidR="00006A7A" w:rsidRPr="00B747CD">
        <w:rPr>
          <w:rFonts w:ascii="Book Antiqua" w:hAnsi="Book Antiqua" w:cs="Arial"/>
          <w:color w:val="000000" w:themeColor="text1"/>
          <w:sz w:val="24"/>
          <w:szCs w:val="24"/>
        </w:rPr>
        <w:t>.</w:t>
      </w:r>
      <w:r w:rsidR="00995F70" w:rsidRPr="00B747CD">
        <w:rPr>
          <w:rFonts w:ascii="Book Antiqua" w:hAnsi="Book Antiqua" w:cs="Arial"/>
          <w:color w:val="000000" w:themeColor="text1"/>
          <w:sz w:val="24"/>
          <w:szCs w:val="24"/>
        </w:rPr>
        <w:t xml:space="preserve"> </w:t>
      </w:r>
      <w:r w:rsidR="005D3A81" w:rsidRPr="00B747CD">
        <w:rPr>
          <w:rFonts w:ascii="Book Antiqua" w:hAnsi="Book Antiqua" w:cs="Arial"/>
          <w:color w:val="000000" w:themeColor="text1"/>
          <w:sz w:val="24"/>
          <w:szCs w:val="24"/>
        </w:rPr>
        <w:t xml:space="preserve">Based on animal studies, it appears that </w:t>
      </w:r>
      <w:proofErr w:type="spellStart"/>
      <w:r w:rsidR="005D3A81" w:rsidRPr="00B747CD">
        <w:rPr>
          <w:rFonts w:ascii="Book Antiqua" w:hAnsi="Book Antiqua" w:cs="Arial"/>
          <w:color w:val="000000" w:themeColor="text1"/>
          <w:sz w:val="24"/>
          <w:szCs w:val="24"/>
        </w:rPr>
        <w:t>hetrombopag</w:t>
      </w:r>
      <w:proofErr w:type="spellEnd"/>
      <w:r w:rsidR="005D3A81" w:rsidRPr="00B747CD">
        <w:rPr>
          <w:rFonts w:ascii="Book Antiqua" w:hAnsi="Book Antiqua" w:cs="Arial"/>
          <w:color w:val="000000" w:themeColor="text1"/>
          <w:sz w:val="24"/>
          <w:szCs w:val="24"/>
        </w:rPr>
        <w:t xml:space="preserve"> is primarily metabolized </w:t>
      </w:r>
      <w:r w:rsidR="005D3A81" w:rsidRPr="00B747CD">
        <w:rPr>
          <w:rFonts w:ascii="Book Antiqua" w:hAnsi="Book Antiqua" w:cs="Arial"/>
          <w:i/>
          <w:iCs/>
          <w:color w:val="000000" w:themeColor="text1"/>
          <w:sz w:val="24"/>
          <w:szCs w:val="24"/>
        </w:rPr>
        <w:t>via</w:t>
      </w:r>
      <w:r w:rsidR="005D3A81" w:rsidRPr="00B747CD">
        <w:rPr>
          <w:rFonts w:ascii="Book Antiqua" w:hAnsi="Book Antiqua" w:cs="Arial"/>
          <w:color w:val="000000" w:themeColor="text1"/>
          <w:sz w:val="24"/>
          <w:szCs w:val="24"/>
        </w:rPr>
        <w:t xml:space="preserve"> glucuronidation</w:t>
      </w:r>
      <w:r w:rsidR="00E66792" w:rsidRPr="00B747CD">
        <w:rPr>
          <w:rFonts w:ascii="Book Antiqua" w:hAnsi="Book Antiqua" w:cs="Arial"/>
          <w:color w:val="000000" w:themeColor="text1"/>
          <w:sz w:val="24"/>
          <w:szCs w:val="24"/>
        </w:rPr>
        <w:t xml:space="preserve"> and hydrolyzed into aglycone following excretion with bile </w:t>
      </w:r>
      <w:proofErr w:type="gramStart"/>
      <w:r w:rsidR="00E66792" w:rsidRPr="00B747CD">
        <w:rPr>
          <w:rFonts w:ascii="Book Antiqua" w:hAnsi="Book Antiqua" w:cs="Arial"/>
          <w:color w:val="000000" w:themeColor="text1"/>
          <w:sz w:val="24"/>
          <w:szCs w:val="24"/>
        </w:rPr>
        <w:t>acid</w:t>
      </w:r>
      <w:r w:rsidR="0064511E" w:rsidRPr="00B747CD">
        <w:rPr>
          <w:rFonts w:ascii="Book Antiqua" w:hAnsi="Book Antiqua" w:cs="Arial"/>
          <w:color w:val="000000" w:themeColor="text1"/>
          <w:sz w:val="24"/>
          <w:szCs w:val="24"/>
          <w:vertAlign w:val="superscript"/>
        </w:rPr>
        <w:t>[</w:t>
      </w:r>
      <w:proofErr w:type="gramEnd"/>
      <w:r w:rsidR="00E66792" w:rsidRPr="00B747CD">
        <w:rPr>
          <w:rFonts w:ascii="Book Antiqua" w:hAnsi="Book Antiqua" w:cs="Arial"/>
          <w:color w:val="000000" w:themeColor="text1"/>
          <w:sz w:val="24"/>
          <w:szCs w:val="24"/>
          <w:vertAlign w:val="superscript"/>
        </w:rPr>
        <w:t>2</w:t>
      </w:r>
      <w:r w:rsidR="00103C2C" w:rsidRPr="00B747CD">
        <w:rPr>
          <w:rFonts w:ascii="Book Antiqua" w:hAnsi="Book Antiqua" w:cs="Arial"/>
          <w:color w:val="000000" w:themeColor="text1"/>
          <w:sz w:val="24"/>
          <w:szCs w:val="24"/>
          <w:vertAlign w:val="superscript"/>
        </w:rPr>
        <w:t>1</w:t>
      </w:r>
      <w:r w:rsidR="0064511E" w:rsidRPr="00B747CD">
        <w:rPr>
          <w:rFonts w:ascii="Book Antiqua" w:hAnsi="Book Antiqua" w:cs="Arial"/>
          <w:color w:val="000000" w:themeColor="text1"/>
          <w:sz w:val="24"/>
          <w:szCs w:val="24"/>
          <w:vertAlign w:val="superscript"/>
        </w:rPr>
        <w:t>]</w:t>
      </w:r>
      <w:r w:rsidR="00006A7A" w:rsidRPr="00B747CD">
        <w:rPr>
          <w:rFonts w:ascii="Book Antiqua" w:hAnsi="Book Antiqua" w:cs="Arial"/>
          <w:color w:val="000000" w:themeColor="text1"/>
          <w:sz w:val="24"/>
          <w:szCs w:val="24"/>
        </w:rPr>
        <w:t>.</w:t>
      </w:r>
      <w:r w:rsidR="00E66792"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A Phase </w:t>
      </w:r>
      <w:r w:rsidR="00371FF7" w:rsidRPr="00B747CD">
        <w:rPr>
          <w:rFonts w:ascii="Book Antiqua" w:hAnsi="Book Antiqua" w:cs="Arial"/>
          <w:color w:val="000000" w:themeColor="text1"/>
          <w:sz w:val="24"/>
          <w:szCs w:val="24"/>
        </w:rPr>
        <w:t>1</w:t>
      </w:r>
      <w:r w:rsidRPr="00B747CD">
        <w:rPr>
          <w:rFonts w:ascii="Book Antiqua" w:hAnsi="Book Antiqua" w:cs="Arial"/>
          <w:color w:val="000000" w:themeColor="text1"/>
          <w:sz w:val="24"/>
          <w:szCs w:val="24"/>
        </w:rPr>
        <w:t xml:space="preserve"> study demonstrated that </w:t>
      </w:r>
      <w:proofErr w:type="spellStart"/>
      <w:r w:rsidRPr="00B747CD">
        <w:rPr>
          <w:rFonts w:ascii="Book Antiqua" w:hAnsi="Book Antiqua" w:cs="Arial"/>
          <w:color w:val="000000" w:themeColor="text1"/>
          <w:sz w:val="24"/>
          <w:szCs w:val="24"/>
        </w:rPr>
        <w:t>hetrombopag</w:t>
      </w:r>
      <w:proofErr w:type="spellEnd"/>
      <w:r w:rsidRPr="00B747CD">
        <w:rPr>
          <w:rFonts w:ascii="Book Antiqua" w:hAnsi="Book Antiqua" w:cs="Arial"/>
          <w:color w:val="000000" w:themeColor="text1"/>
          <w:sz w:val="24"/>
          <w:szCs w:val="24"/>
        </w:rPr>
        <w:t xml:space="preserve"> is safe and well-tolerated in healthy subjects and can be a potential candidate for the treatment of patients with chronic </w:t>
      </w:r>
      <w:proofErr w:type="gramStart"/>
      <w:r w:rsidRPr="00B747CD">
        <w:rPr>
          <w:rFonts w:ascii="Book Antiqua" w:hAnsi="Book Antiqua" w:cs="Arial"/>
          <w:color w:val="000000" w:themeColor="text1"/>
          <w:sz w:val="24"/>
          <w:szCs w:val="24"/>
        </w:rPr>
        <w:t>ITP</w:t>
      </w:r>
      <w:r w:rsidR="004B6421" w:rsidRPr="00B747CD">
        <w:rPr>
          <w:rFonts w:ascii="Book Antiqua" w:hAnsi="Book Antiqua" w:cs="Arial"/>
          <w:color w:val="000000" w:themeColor="text1"/>
          <w:sz w:val="24"/>
          <w:szCs w:val="24"/>
          <w:vertAlign w:val="superscript"/>
        </w:rPr>
        <w:t>[</w:t>
      </w:r>
      <w:proofErr w:type="gramEnd"/>
      <w:r w:rsidR="00C757FC" w:rsidRPr="00B747CD">
        <w:rPr>
          <w:rFonts w:ascii="Book Antiqua" w:hAnsi="Book Antiqua" w:cs="Arial"/>
          <w:color w:val="000000" w:themeColor="text1"/>
          <w:sz w:val="24"/>
          <w:szCs w:val="24"/>
          <w:vertAlign w:val="superscript"/>
        </w:rPr>
        <w:t>2</w:t>
      </w:r>
      <w:r w:rsidR="00103C2C" w:rsidRPr="00B747CD">
        <w:rPr>
          <w:rFonts w:ascii="Book Antiqua" w:hAnsi="Book Antiqua" w:cs="Arial"/>
          <w:color w:val="000000" w:themeColor="text1"/>
          <w:sz w:val="24"/>
          <w:szCs w:val="24"/>
          <w:vertAlign w:val="superscript"/>
        </w:rPr>
        <w:t>1</w:t>
      </w:r>
      <w:r w:rsidR="004B6421" w:rsidRPr="00B747CD">
        <w:rPr>
          <w:rFonts w:ascii="Book Antiqua" w:hAnsi="Book Antiqua" w:cs="Arial"/>
          <w:color w:val="000000" w:themeColor="text1"/>
          <w:sz w:val="24"/>
          <w:szCs w:val="24"/>
          <w:vertAlign w:val="superscript"/>
        </w:rPr>
        <w:t>]</w:t>
      </w:r>
      <w:r w:rsidR="00006A7A" w:rsidRPr="00B747CD">
        <w:rPr>
          <w:rFonts w:ascii="Book Antiqua" w:hAnsi="Book Antiqua" w:cs="Arial"/>
          <w:color w:val="000000" w:themeColor="text1"/>
          <w:sz w:val="24"/>
          <w:szCs w:val="24"/>
        </w:rPr>
        <w:t>.</w:t>
      </w:r>
      <w:r w:rsidR="00995F7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It is </w:t>
      </w:r>
      <w:r w:rsidR="00F57117" w:rsidRPr="00B747CD">
        <w:rPr>
          <w:rFonts w:ascii="Book Antiqua" w:hAnsi="Book Antiqua" w:cs="Arial"/>
          <w:color w:val="000000" w:themeColor="text1"/>
          <w:sz w:val="24"/>
          <w:szCs w:val="24"/>
        </w:rPr>
        <w:t xml:space="preserve">now </w:t>
      </w:r>
      <w:r w:rsidRPr="00B747CD">
        <w:rPr>
          <w:rFonts w:ascii="Book Antiqua" w:hAnsi="Book Antiqua" w:cs="Arial"/>
          <w:color w:val="000000" w:themeColor="text1"/>
          <w:sz w:val="24"/>
          <w:szCs w:val="24"/>
        </w:rPr>
        <w:t xml:space="preserve">in Phase </w:t>
      </w:r>
      <w:r w:rsidR="00371FF7" w:rsidRPr="00B747CD">
        <w:rPr>
          <w:rFonts w:ascii="Book Antiqua" w:hAnsi="Book Antiqua" w:cs="Arial"/>
          <w:color w:val="000000" w:themeColor="text1"/>
          <w:sz w:val="24"/>
          <w:szCs w:val="24"/>
        </w:rPr>
        <w:t>2</w:t>
      </w:r>
      <w:r w:rsidRPr="00B747CD">
        <w:rPr>
          <w:rFonts w:ascii="Book Antiqua" w:hAnsi="Book Antiqua" w:cs="Arial"/>
          <w:color w:val="000000" w:themeColor="text1"/>
          <w:sz w:val="24"/>
          <w:szCs w:val="24"/>
        </w:rPr>
        <w:t xml:space="preserve"> trials for the treatment of ITP. Currently, there are no clinical studies underway to examine the effectiveness and safety of </w:t>
      </w:r>
      <w:proofErr w:type="spellStart"/>
      <w:r w:rsidRPr="00B747CD">
        <w:rPr>
          <w:rFonts w:ascii="Book Antiqua" w:hAnsi="Book Antiqua" w:cs="Arial"/>
          <w:color w:val="000000" w:themeColor="text1"/>
          <w:sz w:val="24"/>
          <w:szCs w:val="24"/>
        </w:rPr>
        <w:t>hetrombopag</w:t>
      </w:r>
      <w:proofErr w:type="spellEnd"/>
      <w:r w:rsidRPr="00B747CD">
        <w:rPr>
          <w:rFonts w:ascii="Book Antiqua" w:hAnsi="Book Antiqua" w:cs="Arial"/>
          <w:color w:val="000000" w:themeColor="text1"/>
          <w:sz w:val="24"/>
          <w:szCs w:val="24"/>
        </w:rPr>
        <w:t xml:space="preserve"> as perioperative treatment of thrombocytopenia in patients with CLD.</w:t>
      </w:r>
    </w:p>
    <w:p w14:paraId="4A0C3227" w14:textId="77777777" w:rsidR="00F57117" w:rsidRPr="00B747CD" w:rsidRDefault="00F57117" w:rsidP="00B747CD">
      <w:pPr>
        <w:adjustRightInd w:val="0"/>
        <w:snapToGrid w:val="0"/>
        <w:spacing w:after="0" w:line="360" w:lineRule="auto"/>
        <w:jc w:val="both"/>
        <w:rPr>
          <w:rFonts w:ascii="Book Antiqua" w:hAnsi="Book Antiqua" w:cs="Arial"/>
          <w:color w:val="000000" w:themeColor="text1"/>
          <w:sz w:val="24"/>
          <w:szCs w:val="24"/>
        </w:rPr>
      </w:pPr>
    </w:p>
    <w:p w14:paraId="497BF38F" w14:textId="156EA0BE" w:rsidR="0089274F" w:rsidRPr="00B747CD" w:rsidRDefault="0089274F" w:rsidP="00B747CD">
      <w:pPr>
        <w:adjustRightInd w:val="0"/>
        <w:snapToGrid w:val="0"/>
        <w:spacing w:after="0" w:line="360" w:lineRule="auto"/>
        <w:jc w:val="both"/>
        <w:rPr>
          <w:rFonts w:ascii="Book Antiqua" w:hAnsi="Book Antiqua" w:cs="Arial"/>
          <w:b/>
          <w:color w:val="000000" w:themeColor="text1"/>
          <w:sz w:val="24"/>
          <w:szCs w:val="24"/>
          <w:u w:val="single"/>
        </w:rPr>
      </w:pPr>
      <w:r w:rsidRPr="00B747CD">
        <w:rPr>
          <w:rFonts w:ascii="Book Antiqua" w:hAnsi="Book Antiqua" w:cs="Arial"/>
          <w:b/>
          <w:color w:val="000000" w:themeColor="text1"/>
          <w:sz w:val="24"/>
          <w:szCs w:val="24"/>
          <w:u w:val="single"/>
        </w:rPr>
        <w:t xml:space="preserve">TPO-RAs </w:t>
      </w:r>
      <w:r w:rsidR="00F57117" w:rsidRPr="00B747CD">
        <w:rPr>
          <w:rFonts w:ascii="Book Antiqua" w:hAnsi="Book Antiqua" w:cs="Arial"/>
          <w:b/>
          <w:color w:val="000000" w:themeColor="text1"/>
          <w:sz w:val="24"/>
          <w:szCs w:val="24"/>
          <w:u w:val="single"/>
        </w:rPr>
        <w:t>FOR OTHER INDICATION UNDER INVESTIGATION</w:t>
      </w:r>
    </w:p>
    <w:p w14:paraId="333B8C9E" w14:textId="7A0D0DF3" w:rsidR="0089274F" w:rsidRPr="00B747CD" w:rsidRDefault="0089274F" w:rsidP="00B747CD">
      <w:pPr>
        <w:adjustRightInd w:val="0"/>
        <w:snapToGrid w:val="0"/>
        <w:spacing w:after="0"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 xml:space="preserve">Romiplostim and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are currently approved for management of chronic ITP</w:t>
      </w:r>
      <w:r w:rsidR="00097D6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but there are studies (like the ones outlined earlier) demonstrating their efficacy in other indications. For instance, romiplostim has demonstrated efficacy in treating chemotherapy-induced thrombocytopenia and myelodysplastic </w:t>
      </w:r>
      <w:proofErr w:type="gramStart"/>
      <w:r w:rsidRPr="00B747CD">
        <w:rPr>
          <w:rFonts w:ascii="Book Antiqua" w:hAnsi="Book Antiqua" w:cs="Arial"/>
          <w:color w:val="000000" w:themeColor="text1"/>
          <w:sz w:val="24"/>
          <w:szCs w:val="24"/>
        </w:rPr>
        <w:t>syndromes</w:t>
      </w:r>
      <w:r w:rsidR="001F37DC" w:rsidRPr="00B747CD">
        <w:rPr>
          <w:rFonts w:ascii="Book Antiqua" w:hAnsi="Book Antiqua" w:cs="Arial"/>
          <w:color w:val="000000" w:themeColor="text1"/>
          <w:sz w:val="24"/>
          <w:szCs w:val="24"/>
          <w:vertAlign w:val="superscript"/>
        </w:rPr>
        <w:t>[</w:t>
      </w:r>
      <w:proofErr w:type="gramEnd"/>
      <w:r w:rsidR="00995F70" w:rsidRPr="00B747CD">
        <w:rPr>
          <w:rFonts w:ascii="Book Antiqua" w:hAnsi="Book Antiqua" w:cs="Arial"/>
          <w:color w:val="000000" w:themeColor="text1"/>
          <w:sz w:val="24"/>
          <w:szCs w:val="24"/>
          <w:vertAlign w:val="superscript"/>
        </w:rPr>
        <w:t>2</w:t>
      </w:r>
      <w:r w:rsidR="00103C2C" w:rsidRPr="00B747CD">
        <w:rPr>
          <w:rFonts w:ascii="Book Antiqua" w:hAnsi="Book Antiqua" w:cs="Arial"/>
          <w:color w:val="000000" w:themeColor="text1"/>
          <w:sz w:val="24"/>
          <w:szCs w:val="24"/>
          <w:vertAlign w:val="superscript"/>
        </w:rPr>
        <w:t>2</w:t>
      </w:r>
      <w:r w:rsidR="001F37DC" w:rsidRPr="00B747CD">
        <w:rPr>
          <w:rFonts w:ascii="Book Antiqua" w:hAnsi="Book Antiqua" w:cs="Arial"/>
          <w:color w:val="000000" w:themeColor="text1"/>
          <w:sz w:val="24"/>
          <w:szCs w:val="24"/>
          <w:vertAlign w:val="superscript"/>
        </w:rPr>
        <w:t>]</w:t>
      </w:r>
      <w:r w:rsidR="00F57117"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has been shown to be effective in the treatment of hepatitis C infection </w:t>
      </w:r>
      <w:r w:rsidR="001B327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where it raises the platelet counts enough to allow continued treatment with ribavirin and pegylated</w:t>
      </w:r>
      <w:r w:rsidR="001B327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interferon</w:t>
      </w:r>
      <w:r w:rsidR="001B327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myelodysplastic syndrome, acute myeloid leukemia, and severe aplastic </w:t>
      </w:r>
      <w:proofErr w:type="gramStart"/>
      <w:r w:rsidRPr="00B747CD">
        <w:rPr>
          <w:rFonts w:ascii="Book Antiqua" w:hAnsi="Book Antiqua" w:cs="Arial"/>
          <w:color w:val="000000" w:themeColor="text1"/>
          <w:sz w:val="24"/>
          <w:szCs w:val="24"/>
        </w:rPr>
        <w:t>anemia</w:t>
      </w:r>
      <w:r w:rsidR="00217D53" w:rsidRPr="00B747CD">
        <w:rPr>
          <w:rFonts w:ascii="Book Antiqua" w:hAnsi="Book Antiqua" w:cs="Arial"/>
          <w:color w:val="000000" w:themeColor="text1"/>
          <w:sz w:val="24"/>
          <w:szCs w:val="24"/>
          <w:vertAlign w:val="superscript"/>
        </w:rPr>
        <w:t>[</w:t>
      </w:r>
      <w:proofErr w:type="gramEnd"/>
      <w:r w:rsidR="00995F70" w:rsidRPr="00B747CD">
        <w:rPr>
          <w:rFonts w:ascii="Book Antiqua" w:hAnsi="Book Antiqua" w:cs="Arial"/>
          <w:color w:val="000000" w:themeColor="text1"/>
          <w:sz w:val="24"/>
          <w:szCs w:val="24"/>
          <w:vertAlign w:val="superscript"/>
        </w:rPr>
        <w:t>2</w:t>
      </w:r>
      <w:r w:rsidR="00103C2C" w:rsidRPr="00B747CD">
        <w:rPr>
          <w:rFonts w:ascii="Book Antiqua" w:hAnsi="Book Antiqua" w:cs="Arial"/>
          <w:color w:val="000000" w:themeColor="text1"/>
          <w:sz w:val="24"/>
          <w:szCs w:val="24"/>
          <w:vertAlign w:val="superscript"/>
        </w:rPr>
        <w:t>3</w:t>
      </w:r>
      <w:r w:rsidR="00217D53" w:rsidRPr="00B747CD">
        <w:rPr>
          <w:rFonts w:ascii="Book Antiqua" w:hAnsi="Book Antiqua" w:cs="Arial"/>
          <w:color w:val="000000" w:themeColor="text1"/>
          <w:sz w:val="24"/>
          <w:szCs w:val="24"/>
          <w:vertAlign w:val="superscript"/>
        </w:rPr>
        <w:t>]</w:t>
      </w:r>
      <w:r w:rsidR="001B3270" w:rsidRPr="00B747CD">
        <w:rPr>
          <w:rFonts w:ascii="Book Antiqua" w:hAnsi="Book Antiqua" w:cs="Arial"/>
          <w:color w:val="000000" w:themeColor="text1"/>
          <w:sz w:val="24"/>
          <w:szCs w:val="24"/>
        </w:rPr>
        <w:t>.</w:t>
      </w:r>
      <w:r w:rsidR="00995F7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Both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 and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 have been approved for use perioperatively to treat thrombocytopenia in patients with CLD. Recently, a s</w:t>
      </w:r>
      <w:r w:rsidR="00B23A1F" w:rsidRPr="00B747CD">
        <w:rPr>
          <w:rFonts w:ascii="Book Antiqua" w:hAnsi="Book Antiqua" w:cs="Arial"/>
          <w:color w:val="000000" w:themeColor="text1"/>
          <w:sz w:val="24"/>
          <w:szCs w:val="24"/>
        </w:rPr>
        <w:t>upplemental New Drug Application was</w:t>
      </w:r>
      <w:r w:rsidRPr="00B747CD">
        <w:rPr>
          <w:rFonts w:ascii="Book Antiqua" w:hAnsi="Book Antiqua" w:cs="Arial"/>
          <w:color w:val="000000" w:themeColor="text1"/>
          <w:sz w:val="24"/>
          <w:szCs w:val="24"/>
        </w:rPr>
        <w:t xml:space="preserve"> filed for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 as therapy for the </w:t>
      </w:r>
      <w:r w:rsidRPr="00B747CD">
        <w:rPr>
          <w:rFonts w:ascii="Book Antiqua" w:hAnsi="Book Antiqua" w:cs="Arial"/>
          <w:color w:val="000000" w:themeColor="text1"/>
          <w:sz w:val="24"/>
          <w:szCs w:val="24"/>
        </w:rPr>
        <w:lastRenderedPageBreak/>
        <w:t>treatment of chronic ITP</w:t>
      </w:r>
      <w:r w:rsidR="00B23A1F" w:rsidRPr="00B747CD">
        <w:rPr>
          <w:rFonts w:ascii="Book Antiqua" w:hAnsi="Book Antiqua" w:cs="Arial"/>
          <w:color w:val="000000" w:themeColor="text1"/>
          <w:sz w:val="24"/>
          <w:szCs w:val="24"/>
        </w:rPr>
        <w:t>; meanwhile,</w:t>
      </w:r>
      <w:r w:rsidRPr="00B747CD">
        <w:rPr>
          <w:rFonts w:ascii="Book Antiqua" w:hAnsi="Book Antiqua" w:cs="Arial"/>
          <w:color w:val="000000" w:themeColor="text1"/>
          <w:sz w:val="24"/>
          <w:szCs w:val="24"/>
        </w:rPr>
        <w:t xml:space="preserve"> the trial for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 as therapy in chemotherapy-induced thrombocytopenia (NCT03471078) is still underway. A trial to study the safety and efficacy of </w:t>
      </w:r>
      <w:proofErr w:type="spellStart"/>
      <w:r w:rsidRPr="00B747CD">
        <w:rPr>
          <w:rFonts w:ascii="Book Antiqua" w:hAnsi="Book Antiqua" w:cs="Arial"/>
          <w:color w:val="000000" w:themeColor="text1"/>
          <w:sz w:val="24"/>
          <w:szCs w:val="24"/>
        </w:rPr>
        <w:t>hetrombopag</w:t>
      </w:r>
      <w:proofErr w:type="spellEnd"/>
      <w:r w:rsidRPr="00B747CD">
        <w:rPr>
          <w:rFonts w:ascii="Book Antiqua" w:hAnsi="Book Antiqua" w:cs="Arial"/>
          <w:color w:val="000000" w:themeColor="text1"/>
          <w:sz w:val="24"/>
          <w:szCs w:val="24"/>
        </w:rPr>
        <w:t xml:space="preserve"> (NCT03222843) for the treatment of chronic ITP is currently underway.</w:t>
      </w:r>
    </w:p>
    <w:p w14:paraId="643E15DC" w14:textId="77777777" w:rsidR="00221DB1" w:rsidRPr="00B747CD" w:rsidRDefault="00221DB1" w:rsidP="00B747CD">
      <w:pPr>
        <w:adjustRightInd w:val="0"/>
        <w:snapToGrid w:val="0"/>
        <w:spacing w:after="0" w:line="360" w:lineRule="auto"/>
        <w:jc w:val="both"/>
        <w:rPr>
          <w:rFonts w:ascii="Book Antiqua" w:hAnsi="Book Antiqua" w:cs="Arial"/>
          <w:color w:val="000000" w:themeColor="text1"/>
          <w:sz w:val="24"/>
          <w:szCs w:val="24"/>
        </w:rPr>
      </w:pPr>
    </w:p>
    <w:p w14:paraId="0E8E50CF" w14:textId="61DD261A" w:rsidR="0089274F" w:rsidRPr="00B747CD" w:rsidRDefault="0089274F" w:rsidP="00B747CD">
      <w:pPr>
        <w:adjustRightInd w:val="0"/>
        <w:snapToGrid w:val="0"/>
        <w:spacing w:after="0" w:line="360" w:lineRule="auto"/>
        <w:jc w:val="both"/>
        <w:rPr>
          <w:rFonts w:ascii="Book Antiqua" w:hAnsi="Book Antiqua" w:cs="Arial"/>
          <w:b/>
          <w:color w:val="000000" w:themeColor="text1"/>
          <w:sz w:val="24"/>
          <w:szCs w:val="24"/>
          <w:u w:val="single"/>
        </w:rPr>
      </w:pPr>
      <w:r w:rsidRPr="00B747CD">
        <w:rPr>
          <w:rFonts w:ascii="Book Antiqua" w:hAnsi="Book Antiqua" w:cs="Arial"/>
          <w:b/>
          <w:color w:val="000000" w:themeColor="text1"/>
          <w:sz w:val="24"/>
          <w:szCs w:val="24"/>
          <w:u w:val="single"/>
        </w:rPr>
        <w:t>R</w:t>
      </w:r>
      <w:r w:rsidR="00221DB1" w:rsidRPr="00B747CD">
        <w:rPr>
          <w:rFonts w:ascii="Book Antiqua" w:hAnsi="Book Antiqua" w:cs="Arial"/>
          <w:b/>
          <w:color w:val="000000" w:themeColor="text1"/>
          <w:sz w:val="24"/>
          <w:szCs w:val="24"/>
          <w:u w:val="single"/>
        </w:rPr>
        <w:t>ECOMMENDATIONS ON USING PLATELET TRANSFUSIONS BY SCIENTIFIC AND GOVERNING BODIES</w:t>
      </w:r>
    </w:p>
    <w:p w14:paraId="04BECCA6" w14:textId="7C0B92FA" w:rsidR="0089274F" w:rsidRPr="00B747CD" w:rsidRDefault="0089274F" w:rsidP="00B747CD">
      <w:pPr>
        <w:adjustRightInd w:val="0"/>
        <w:snapToGrid w:val="0"/>
        <w:spacing w:after="0"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Patients with thrombocytopenia and CLD are at an increased risk of bleeding. Platelet transfusions can be administered in these patients prophylactically</w:t>
      </w:r>
      <w:r w:rsidR="00030FEE"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prior to scheduled medical procedures to minimize the risk of bleeding</w:t>
      </w:r>
      <w:r w:rsidR="00030FEE"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or therapeutically to control bleeding. </w:t>
      </w:r>
      <w:r w:rsidRPr="00B747CD">
        <w:rPr>
          <w:rFonts w:ascii="Book Antiqua" w:eastAsia="Times New Roman" w:hAnsi="Book Antiqua" w:cs="Arial"/>
          <w:bCs/>
          <w:color w:val="000000" w:themeColor="text1"/>
          <w:sz w:val="24"/>
          <w:szCs w:val="24"/>
        </w:rPr>
        <w:t>The goal of any prophylactic treatment is limiting hemorrhagic events in the peri- and post-operative surgical setting. However, there is uncertainty in prophylactic treatment of thrombocytopenia</w:t>
      </w:r>
      <w:r w:rsidR="00030FEE"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as there are no effective tools that can predict bleeding risk in patients, and data on the correlation between thrombocytopenia and the risk of bleeding are </w:t>
      </w:r>
      <w:proofErr w:type="gramStart"/>
      <w:r w:rsidRPr="00B747CD">
        <w:rPr>
          <w:rFonts w:ascii="Book Antiqua" w:eastAsia="Times New Roman" w:hAnsi="Book Antiqua" w:cs="Arial"/>
          <w:bCs/>
          <w:color w:val="000000" w:themeColor="text1"/>
          <w:sz w:val="24"/>
          <w:szCs w:val="24"/>
        </w:rPr>
        <w:t>equivocal</w:t>
      </w:r>
      <w:r w:rsidR="00BF5601" w:rsidRPr="00B747CD">
        <w:rPr>
          <w:rFonts w:ascii="Book Antiqua" w:eastAsia="Times New Roman" w:hAnsi="Book Antiqua" w:cs="Arial"/>
          <w:bCs/>
          <w:color w:val="000000" w:themeColor="text1"/>
          <w:sz w:val="24"/>
          <w:szCs w:val="24"/>
          <w:vertAlign w:val="superscript"/>
        </w:rPr>
        <w:t>[</w:t>
      </w:r>
      <w:proofErr w:type="gramEnd"/>
      <w:r w:rsidR="00995F70" w:rsidRPr="00B747CD">
        <w:rPr>
          <w:rFonts w:ascii="Book Antiqua" w:eastAsia="Times New Roman" w:hAnsi="Book Antiqua" w:cs="Arial"/>
          <w:bCs/>
          <w:color w:val="000000" w:themeColor="text1"/>
          <w:sz w:val="24"/>
          <w:szCs w:val="24"/>
          <w:vertAlign w:val="superscript"/>
        </w:rPr>
        <w:t>2</w:t>
      </w:r>
      <w:r w:rsidR="00103C2C" w:rsidRPr="00B747CD">
        <w:rPr>
          <w:rFonts w:ascii="Book Antiqua" w:eastAsia="Times New Roman" w:hAnsi="Book Antiqua" w:cs="Arial"/>
          <w:bCs/>
          <w:color w:val="000000" w:themeColor="text1"/>
          <w:sz w:val="24"/>
          <w:szCs w:val="24"/>
          <w:vertAlign w:val="superscript"/>
        </w:rPr>
        <w:t>4</w:t>
      </w:r>
      <w:r w:rsidRPr="00B747CD">
        <w:rPr>
          <w:rFonts w:ascii="Book Antiqua" w:eastAsia="Times New Roman" w:hAnsi="Book Antiqua" w:cs="Arial"/>
          <w:bCs/>
          <w:color w:val="000000" w:themeColor="text1"/>
          <w:sz w:val="24"/>
          <w:szCs w:val="24"/>
          <w:vertAlign w:val="superscript"/>
        </w:rPr>
        <w:t>,</w:t>
      </w:r>
      <w:r w:rsidR="00995F70" w:rsidRPr="00B747CD">
        <w:rPr>
          <w:rFonts w:ascii="Book Antiqua" w:eastAsia="Times New Roman" w:hAnsi="Book Antiqua" w:cs="Arial"/>
          <w:bCs/>
          <w:color w:val="000000" w:themeColor="text1"/>
          <w:sz w:val="24"/>
          <w:szCs w:val="24"/>
          <w:vertAlign w:val="superscript"/>
        </w:rPr>
        <w:t>2</w:t>
      </w:r>
      <w:r w:rsidR="00103C2C" w:rsidRPr="00B747CD">
        <w:rPr>
          <w:rFonts w:ascii="Book Antiqua" w:eastAsia="Times New Roman" w:hAnsi="Book Antiqua" w:cs="Arial"/>
          <w:bCs/>
          <w:color w:val="000000" w:themeColor="text1"/>
          <w:sz w:val="24"/>
          <w:szCs w:val="24"/>
          <w:vertAlign w:val="superscript"/>
        </w:rPr>
        <w:t>5</w:t>
      </w:r>
      <w:r w:rsidR="00BF5601" w:rsidRPr="00B747CD">
        <w:rPr>
          <w:rFonts w:ascii="Book Antiqua" w:eastAsia="Times New Roman" w:hAnsi="Book Antiqua" w:cs="Arial"/>
          <w:bCs/>
          <w:color w:val="000000" w:themeColor="text1"/>
          <w:sz w:val="24"/>
          <w:szCs w:val="24"/>
          <w:vertAlign w:val="superscript"/>
        </w:rPr>
        <w:t>]</w:t>
      </w:r>
      <w:r w:rsidR="00030FEE" w:rsidRPr="00B747CD">
        <w:rPr>
          <w:rFonts w:ascii="Book Antiqua" w:eastAsia="Times New Roman" w:hAnsi="Book Antiqua" w:cs="Arial"/>
          <w:bCs/>
          <w:color w:val="000000" w:themeColor="text1"/>
          <w:sz w:val="24"/>
          <w:szCs w:val="24"/>
        </w:rPr>
        <w:t>.</w:t>
      </w:r>
      <w:r w:rsidR="00995F70" w:rsidRPr="00B747CD">
        <w:rPr>
          <w:rFonts w:ascii="Book Antiqua" w:eastAsia="Times New Roman" w:hAnsi="Book Antiqua" w:cs="Arial"/>
          <w:bCs/>
          <w:color w:val="000000" w:themeColor="text1"/>
          <w:sz w:val="24"/>
          <w:szCs w:val="24"/>
        </w:rPr>
        <w:t xml:space="preserve"> </w:t>
      </w:r>
      <w:r w:rsidRPr="00B747CD">
        <w:rPr>
          <w:rFonts w:ascii="Book Antiqua" w:hAnsi="Book Antiqua" w:cs="Arial"/>
          <w:color w:val="000000" w:themeColor="text1"/>
          <w:sz w:val="24"/>
          <w:szCs w:val="24"/>
        </w:rPr>
        <w:t xml:space="preserve">While platelet transfusion is a primary option in these patients, the decision to undergo transfusion can be a complicated one. </w:t>
      </w:r>
    </w:p>
    <w:p w14:paraId="48F0E502" w14:textId="77777777" w:rsidR="00030FEE" w:rsidRPr="00B747CD" w:rsidRDefault="00030FEE" w:rsidP="00B747CD">
      <w:pPr>
        <w:adjustRightInd w:val="0"/>
        <w:snapToGrid w:val="0"/>
        <w:spacing w:after="0" w:line="360" w:lineRule="auto"/>
        <w:jc w:val="both"/>
        <w:rPr>
          <w:rFonts w:ascii="Book Antiqua" w:hAnsi="Book Antiqua" w:cs="Arial"/>
          <w:color w:val="000000" w:themeColor="text1"/>
          <w:sz w:val="24"/>
          <w:szCs w:val="24"/>
        </w:rPr>
      </w:pPr>
    </w:p>
    <w:p w14:paraId="26BDBFAB" w14:textId="418C9304" w:rsidR="0089274F" w:rsidRPr="00B747CD" w:rsidRDefault="0089274F" w:rsidP="00B747CD">
      <w:pPr>
        <w:adjustRightInd w:val="0"/>
        <w:snapToGrid w:val="0"/>
        <w:spacing w:after="0" w:line="360" w:lineRule="auto"/>
        <w:jc w:val="both"/>
        <w:rPr>
          <w:rFonts w:ascii="Book Antiqua" w:hAnsi="Book Antiqua" w:cs="Arial"/>
          <w:b/>
          <w:i/>
          <w:color w:val="000000" w:themeColor="text1"/>
          <w:sz w:val="24"/>
          <w:szCs w:val="24"/>
        </w:rPr>
      </w:pPr>
      <w:r w:rsidRPr="00B747CD">
        <w:rPr>
          <w:rFonts w:ascii="Book Antiqua" w:hAnsi="Book Antiqua" w:cs="Arial"/>
          <w:b/>
          <w:i/>
          <w:color w:val="000000" w:themeColor="text1"/>
          <w:sz w:val="24"/>
          <w:szCs w:val="24"/>
        </w:rPr>
        <w:t>Lack of consensus among guidelines</w:t>
      </w:r>
    </w:p>
    <w:p w14:paraId="620671CC" w14:textId="77777777" w:rsidR="00B77418" w:rsidRPr="00B747CD" w:rsidRDefault="0089274F" w:rsidP="00B747CD">
      <w:pPr>
        <w:adjustRightInd w:val="0"/>
        <w:snapToGrid w:val="0"/>
        <w:spacing w:after="0" w:line="360" w:lineRule="auto"/>
        <w:jc w:val="both"/>
        <w:rPr>
          <w:rFonts w:ascii="Book Antiqua" w:hAnsi="Book Antiqua" w:cs="Arial"/>
          <w:bCs/>
          <w:color w:val="000000" w:themeColor="text1"/>
          <w:sz w:val="24"/>
          <w:szCs w:val="24"/>
          <w:lang w:eastAsia="zh-CN"/>
        </w:rPr>
      </w:pPr>
      <w:r w:rsidRPr="00B747CD">
        <w:rPr>
          <w:rFonts w:ascii="Book Antiqua" w:hAnsi="Book Antiqua" w:cs="Arial"/>
          <w:color w:val="000000" w:themeColor="text1"/>
          <w:sz w:val="24"/>
          <w:szCs w:val="24"/>
        </w:rPr>
        <w:t>There is a lack of consensus among guidelines related to platelet transfusion in patients</w:t>
      </w:r>
      <w:r w:rsidR="0051621C"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primarily due to lack of sufficient and supportive data to substantiate the recommended platelet transfusion </w:t>
      </w:r>
      <w:proofErr w:type="gramStart"/>
      <w:r w:rsidRPr="00B747CD">
        <w:rPr>
          <w:rFonts w:ascii="Book Antiqua" w:hAnsi="Book Antiqua" w:cs="Arial"/>
          <w:color w:val="000000" w:themeColor="text1"/>
          <w:sz w:val="24"/>
          <w:szCs w:val="24"/>
        </w:rPr>
        <w:t>triggers</w:t>
      </w:r>
      <w:r w:rsidR="00BF5601" w:rsidRPr="00B747CD">
        <w:rPr>
          <w:rFonts w:ascii="Book Antiqua" w:hAnsi="Book Antiqua" w:cs="Arial"/>
          <w:color w:val="000000" w:themeColor="text1"/>
          <w:sz w:val="24"/>
          <w:szCs w:val="24"/>
          <w:vertAlign w:val="superscript"/>
        </w:rPr>
        <w:t>[</w:t>
      </w:r>
      <w:proofErr w:type="gramEnd"/>
      <w:r w:rsidR="00995F70" w:rsidRPr="00B747CD">
        <w:rPr>
          <w:rFonts w:ascii="Book Antiqua" w:hAnsi="Book Antiqua" w:cs="Arial"/>
          <w:color w:val="000000" w:themeColor="text1"/>
          <w:sz w:val="24"/>
          <w:szCs w:val="24"/>
          <w:vertAlign w:val="superscript"/>
        </w:rPr>
        <w:t>2</w:t>
      </w:r>
      <w:r w:rsidR="00103C2C" w:rsidRPr="00B747CD">
        <w:rPr>
          <w:rFonts w:ascii="Book Antiqua" w:hAnsi="Book Antiqua" w:cs="Arial"/>
          <w:color w:val="000000" w:themeColor="text1"/>
          <w:sz w:val="24"/>
          <w:szCs w:val="24"/>
          <w:vertAlign w:val="superscript"/>
        </w:rPr>
        <w:t>6</w:t>
      </w:r>
      <w:r w:rsidR="00BF5601" w:rsidRPr="00B747CD">
        <w:rPr>
          <w:rFonts w:ascii="Book Antiqua" w:hAnsi="Book Antiqua" w:cs="Arial"/>
          <w:color w:val="000000" w:themeColor="text1"/>
          <w:sz w:val="24"/>
          <w:szCs w:val="24"/>
          <w:vertAlign w:val="superscript"/>
        </w:rPr>
        <w:t>]</w:t>
      </w:r>
      <w:r w:rsidR="0051621C" w:rsidRPr="00B747CD">
        <w:rPr>
          <w:rFonts w:ascii="Book Antiqua" w:hAnsi="Book Antiqua" w:cs="Arial"/>
          <w:color w:val="000000" w:themeColor="text1"/>
          <w:sz w:val="24"/>
          <w:szCs w:val="24"/>
        </w:rPr>
        <w:t>.</w:t>
      </w:r>
      <w:r w:rsidR="00995F7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Further, there are no guidelines that provide recommendations for platelet transfusion specifically for patients with CLD prior to an elective procedure. The variations in the recommended platelet threshold values before invasive procedures often depend on the type of patient and the perceived risk of the procedure. </w:t>
      </w:r>
      <w:r w:rsidRPr="00B747CD">
        <w:rPr>
          <w:rFonts w:ascii="Book Antiqua" w:eastAsia="Times New Roman" w:hAnsi="Book Antiqua" w:cs="Arial"/>
          <w:bCs/>
          <w:color w:val="000000" w:themeColor="text1"/>
          <w:sz w:val="24"/>
          <w:szCs w:val="24"/>
        </w:rPr>
        <w:t>The American Society for Gastrointestinal Endoscopy (ASGE) guidelines</w:t>
      </w:r>
      <w:r w:rsidR="00BF5601" w:rsidRPr="00B747CD">
        <w:rPr>
          <w:rFonts w:ascii="Book Antiqua" w:eastAsia="Times New Roman" w:hAnsi="Book Antiqua" w:cs="Arial"/>
          <w:bCs/>
          <w:color w:val="000000" w:themeColor="text1"/>
          <w:sz w:val="24"/>
          <w:szCs w:val="24"/>
          <w:vertAlign w:val="superscript"/>
        </w:rPr>
        <w:t>[</w:t>
      </w:r>
      <w:r w:rsidR="00995F70" w:rsidRPr="00B747CD">
        <w:rPr>
          <w:rFonts w:ascii="Book Antiqua" w:eastAsia="Times New Roman" w:hAnsi="Book Antiqua" w:cs="Arial"/>
          <w:bCs/>
          <w:color w:val="000000" w:themeColor="text1"/>
          <w:sz w:val="24"/>
          <w:szCs w:val="24"/>
          <w:vertAlign w:val="superscript"/>
        </w:rPr>
        <w:t>2</w:t>
      </w:r>
      <w:r w:rsidR="00103C2C" w:rsidRPr="00B747CD">
        <w:rPr>
          <w:rFonts w:ascii="Book Antiqua" w:eastAsia="Times New Roman" w:hAnsi="Book Antiqua" w:cs="Arial"/>
          <w:bCs/>
          <w:color w:val="000000" w:themeColor="text1"/>
          <w:sz w:val="24"/>
          <w:szCs w:val="24"/>
          <w:vertAlign w:val="superscript"/>
        </w:rPr>
        <w:t>7</w:t>
      </w:r>
      <w:r w:rsidR="00BF5601" w:rsidRPr="00B747CD">
        <w:rPr>
          <w:rFonts w:ascii="Book Antiqua" w:eastAsia="Times New Roman" w:hAnsi="Book Antiqua" w:cs="Arial"/>
          <w:bCs/>
          <w:color w:val="000000" w:themeColor="text1"/>
          <w:sz w:val="24"/>
          <w:szCs w:val="24"/>
          <w:vertAlign w:val="superscript"/>
        </w:rPr>
        <w:t>]</w:t>
      </w:r>
      <w:r w:rsidR="009326F9"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 xml:space="preserve">which are not specific to gastrointestinal bleeding, state that the minimum threshold platelet count for undergoing upper </w:t>
      </w:r>
      <w:r w:rsidR="00413D79" w:rsidRPr="00B747CD">
        <w:rPr>
          <w:rFonts w:ascii="Book Antiqua" w:eastAsia="Times New Roman" w:hAnsi="Book Antiqua" w:cs="Arial"/>
          <w:bCs/>
          <w:color w:val="000000" w:themeColor="text1"/>
          <w:sz w:val="24"/>
          <w:szCs w:val="24"/>
        </w:rPr>
        <w:t>gastrointestinal</w:t>
      </w:r>
      <w:r w:rsidRPr="00B747CD">
        <w:rPr>
          <w:rFonts w:ascii="Book Antiqua" w:eastAsia="Times New Roman" w:hAnsi="Book Antiqua" w:cs="Arial"/>
          <w:bCs/>
          <w:color w:val="000000" w:themeColor="text1"/>
          <w:sz w:val="24"/>
          <w:szCs w:val="24"/>
        </w:rPr>
        <w:t xml:space="preserve"> endoscopy has not been established, but they </w:t>
      </w:r>
      <w:r w:rsidR="00413D79" w:rsidRPr="00B747CD">
        <w:rPr>
          <w:rFonts w:ascii="Book Antiqua" w:eastAsia="Times New Roman" w:hAnsi="Book Antiqua" w:cs="Arial"/>
          <w:bCs/>
          <w:color w:val="000000" w:themeColor="text1"/>
          <w:sz w:val="24"/>
          <w:szCs w:val="24"/>
        </w:rPr>
        <w:t xml:space="preserve">also </w:t>
      </w:r>
      <w:r w:rsidRPr="00B747CD">
        <w:rPr>
          <w:rFonts w:ascii="Book Antiqua" w:eastAsia="Times New Roman" w:hAnsi="Book Antiqua" w:cs="Arial"/>
          <w:bCs/>
          <w:color w:val="000000" w:themeColor="text1"/>
          <w:sz w:val="24"/>
          <w:szCs w:val="24"/>
        </w:rPr>
        <w:t xml:space="preserve">point out that there are publications supporting 20 </w:t>
      </w:r>
      <w:r w:rsidR="00413D79" w:rsidRPr="00B747CD">
        <w:rPr>
          <w:rFonts w:ascii="Book Antiqua" w:eastAsia="Times New Roman" w:hAnsi="Book Antiqua" w:cs="Arial"/>
          <w:bCs/>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and 50 </w:t>
      </w:r>
      <w:r w:rsidR="00413D79" w:rsidRPr="00B747CD">
        <w:rPr>
          <w:rFonts w:ascii="Book Antiqua" w:eastAsia="Times New Roman" w:hAnsi="Book Antiqua" w:cs="Arial"/>
          <w:bCs/>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as the threshold for platelet counts prior to diagnostic procedures and </w:t>
      </w:r>
      <w:r w:rsidRPr="00B747CD">
        <w:rPr>
          <w:rFonts w:ascii="Book Antiqua" w:eastAsia="Times New Roman" w:hAnsi="Book Antiqua" w:cs="Arial"/>
          <w:bCs/>
          <w:color w:val="000000" w:themeColor="text1"/>
          <w:sz w:val="24"/>
          <w:szCs w:val="24"/>
        </w:rPr>
        <w:lastRenderedPageBreak/>
        <w:t xml:space="preserve">biopsies, respectively. The American Association for the Study of Liver Diseases guidelines for transcutaneous or transvenous liver biopsy state that platelet transfusions </w:t>
      </w:r>
      <w:r w:rsidR="00413D79" w:rsidRPr="00B747CD">
        <w:rPr>
          <w:rFonts w:ascii="Book Antiqua" w:eastAsia="Times New Roman" w:hAnsi="Book Antiqua" w:cs="Arial"/>
          <w:bCs/>
          <w:color w:val="000000" w:themeColor="text1"/>
          <w:sz w:val="24"/>
          <w:szCs w:val="24"/>
        </w:rPr>
        <w:t xml:space="preserve">should </w:t>
      </w:r>
      <w:r w:rsidRPr="00B747CD">
        <w:rPr>
          <w:rFonts w:ascii="Book Antiqua" w:eastAsia="Times New Roman" w:hAnsi="Book Antiqua" w:cs="Arial"/>
          <w:bCs/>
          <w:color w:val="000000" w:themeColor="text1"/>
          <w:sz w:val="24"/>
          <w:szCs w:val="24"/>
        </w:rPr>
        <w:t xml:space="preserve">be considered when platelet counts are less than 50-60 </w:t>
      </w:r>
      <w:r w:rsidR="00413D79" w:rsidRPr="00B747CD">
        <w:rPr>
          <w:rFonts w:ascii="Book Antiqua" w:eastAsia="Times New Roman" w:hAnsi="Book Antiqua" w:cs="Arial"/>
          <w:bCs/>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w:t>
      </w:r>
      <w:proofErr w:type="gramStart"/>
      <w:r w:rsidRPr="00B747CD">
        <w:rPr>
          <w:rFonts w:ascii="Book Antiqua" w:eastAsia="Times New Roman" w:hAnsi="Book Antiqua" w:cs="Arial"/>
          <w:bCs/>
          <w:color w:val="000000" w:themeColor="text1"/>
          <w:sz w:val="24"/>
          <w:szCs w:val="24"/>
        </w:rPr>
        <w:t>L</w:t>
      </w:r>
      <w:r w:rsidR="00BF5601" w:rsidRPr="00B747CD">
        <w:rPr>
          <w:rFonts w:ascii="Book Antiqua" w:eastAsia="Times New Roman" w:hAnsi="Book Antiqua" w:cs="Arial"/>
          <w:bCs/>
          <w:color w:val="000000" w:themeColor="text1"/>
          <w:sz w:val="24"/>
          <w:szCs w:val="24"/>
          <w:vertAlign w:val="superscript"/>
        </w:rPr>
        <w:t>[</w:t>
      </w:r>
      <w:proofErr w:type="gramEnd"/>
      <w:r w:rsidR="00995F70" w:rsidRPr="00B747CD">
        <w:rPr>
          <w:rFonts w:ascii="Book Antiqua" w:eastAsia="Times New Roman" w:hAnsi="Book Antiqua" w:cs="Arial"/>
          <w:bCs/>
          <w:color w:val="000000" w:themeColor="text1"/>
          <w:sz w:val="24"/>
          <w:szCs w:val="24"/>
          <w:vertAlign w:val="superscript"/>
        </w:rPr>
        <w:t>2</w:t>
      </w:r>
      <w:r w:rsidR="00103C2C" w:rsidRPr="00B747CD">
        <w:rPr>
          <w:rFonts w:ascii="Book Antiqua" w:eastAsia="Times New Roman" w:hAnsi="Book Antiqua" w:cs="Arial"/>
          <w:bCs/>
          <w:color w:val="000000" w:themeColor="text1"/>
          <w:sz w:val="24"/>
          <w:szCs w:val="24"/>
          <w:vertAlign w:val="superscript"/>
        </w:rPr>
        <w:t>8</w:t>
      </w:r>
      <w:r w:rsidR="00BF5601" w:rsidRPr="00B747CD">
        <w:rPr>
          <w:rFonts w:ascii="Book Antiqua" w:eastAsia="Times New Roman" w:hAnsi="Book Antiqua" w:cs="Arial"/>
          <w:bCs/>
          <w:color w:val="000000" w:themeColor="text1"/>
          <w:sz w:val="24"/>
          <w:szCs w:val="24"/>
          <w:vertAlign w:val="superscript"/>
        </w:rPr>
        <w:t>]</w:t>
      </w:r>
      <w:r w:rsidR="00413D79" w:rsidRPr="00B747CD">
        <w:rPr>
          <w:rFonts w:ascii="Book Antiqua" w:eastAsia="Times New Roman" w:hAnsi="Book Antiqua" w:cs="Arial"/>
          <w:bCs/>
          <w:color w:val="000000" w:themeColor="text1"/>
          <w:sz w:val="24"/>
          <w:szCs w:val="24"/>
        </w:rPr>
        <w:t>,</w:t>
      </w:r>
      <w:r w:rsidR="00995F70"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and the ASGE guidelines recommend platelet transfusions only in case of severe thrombocytopenia</w:t>
      </w:r>
      <w:r w:rsidR="00BF5601" w:rsidRPr="00B747CD">
        <w:rPr>
          <w:rFonts w:ascii="Book Antiqua" w:eastAsia="Times New Roman" w:hAnsi="Book Antiqua" w:cs="Arial"/>
          <w:bCs/>
          <w:color w:val="000000" w:themeColor="text1"/>
          <w:sz w:val="24"/>
          <w:szCs w:val="24"/>
          <w:vertAlign w:val="superscript"/>
        </w:rPr>
        <w:t>[</w:t>
      </w:r>
      <w:r w:rsidR="00995F70" w:rsidRPr="00B747CD">
        <w:rPr>
          <w:rFonts w:ascii="Book Antiqua" w:eastAsia="Times New Roman" w:hAnsi="Book Antiqua" w:cs="Arial"/>
          <w:bCs/>
          <w:color w:val="000000" w:themeColor="text1"/>
          <w:sz w:val="24"/>
          <w:szCs w:val="24"/>
          <w:vertAlign w:val="superscript"/>
        </w:rPr>
        <w:t>2</w:t>
      </w:r>
      <w:r w:rsidR="00103C2C" w:rsidRPr="00B747CD">
        <w:rPr>
          <w:rFonts w:ascii="Book Antiqua" w:eastAsia="Times New Roman" w:hAnsi="Book Antiqua" w:cs="Arial"/>
          <w:bCs/>
          <w:color w:val="000000" w:themeColor="text1"/>
          <w:sz w:val="24"/>
          <w:szCs w:val="24"/>
          <w:vertAlign w:val="superscript"/>
        </w:rPr>
        <w:t>9</w:t>
      </w:r>
      <w:r w:rsidR="00BF5601" w:rsidRPr="00B747CD">
        <w:rPr>
          <w:rFonts w:ascii="Book Antiqua" w:eastAsia="Times New Roman" w:hAnsi="Book Antiqua" w:cs="Arial"/>
          <w:bCs/>
          <w:color w:val="000000" w:themeColor="text1"/>
          <w:sz w:val="24"/>
          <w:szCs w:val="24"/>
          <w:vertAlign w:val="superscript"/>
        </w:rPr>
        <w:t>]</w:t>
      </w:r>
      <w:r w:rsidR="00413D79" w:rsidRPr="00B747CD">
        <w:rPr>
          <w:rFonts w:ascii="Book Antiqua" w:eastAsia="Times New Roman" w:hAnsi="Book Antiqua" w:cs="Arial"/>
          <w:bCs/>
          <w:color w:val="000000" w:themeColor="text1"/>
          <w:sz w:val="24"/>
          <w:szCs w:val="24"/>
        </w:rPr>
        <w:t>.</w:t>
      </w:r>
      <w:r w:rsidR="00995F70" w:rsidRPr="00B747CD">
        <w:rPr>
          <w:rFonts w:ascii="Book Antiqua" w:eastAsia="Times New Roman" w:hAnsi="Book Antiqua" w:cs="Arial"/>
          <w:bCs/>
          <w:color w:val="000000" w:themeColor="text1"/>
          <w:sz w:val="24"/>
          <w:szCs w:val="24"/>
        </w:rPr>
        <w:t xml:space="preserve"> </w:t>
      </w:r>
      <w:r w:rsidR="003B64C9" w:rsidRPr="00B747CD">
        <w:rPr>
          <w:rFonts w:ascii="Book Antiqua" w:eastAsia="Times New Roman" w:hAnsi="Book Antiqua" w:cs="Arial"/>
          <w:bCs/>
          <w:color w:val="000000" w:themeColor="text1"/>
          <w:sz w:val="24"/>
          <w:szCs w:val="24"/>
        </w:rPr>
        <w:t xml:space="preserve">The current </w:t>
      </w:r>
      <w:r w:rsidR="000045F5" w:rsidRPr="00B747CD">
        <w:rPr>
          <w:rFonts w:ascii="Book Antiqua" w:eastAsia="Times New Roman" w:hAnsi="Book Antiqua" w:cs="Arial"/>
          <w:bCs/>
          <w:color w:val="000000" w:themeColor="text1"/>
          <w:sz w:val="24"/>
          <w:szCs w:val="24"/>
        </w:rPr>
        <w:t>American</w:t>
      </w:r>
      <w:r w:rsidR="00B77418" w:rsidRPr="00B747CD">
        <w:rPr>
          <w:rFonts w:ascii="Book Antiqua" w:eastAsia="Times New Roman" w:hAnsi="Book Antiqua" w:cs="Arial"/>
          <w:bCs/>
          <w:color w:val="000000" w:themeColor="text1"/>
          <w:sz w:val="24"/>
          <w:szCs w:val="24"/>
        </w:rPr>
        <w:t xml:space="preserve"> Society of Hematology</w:t>
      </w:r>
      <w:r w:rsidR="00B77418" w:rsidRPr="00B747CD">
        <w:rPr>
          <w:rFonts w:ascii="Book Antiqua" w:hAnsi="Book Antiqua" w:cs="Arial"/>
          <w:bCs/>
          <w:color w:val="000000" w:themeColor="text1"/>
          <w:sz w:val="24"/>
          <w:szCs w:val="24"/>
          <w:lang w:eastAsia="zh-CN"/>
        </w:rPr>
        <w:t xml:space="preserve"> </w:t>
      </w:r>
      <w:r w:rsidR="003B64C9" w:rsidRPr="00B747CD">
        <w:rPr>
          <w:rFonts w:ascii="Book Antiqua" w:eastAsia="Times New Roman" w:hAnsi="Book Antiqua" w:cs="Arial"/>
          <w:bCs/>
          <w:color w:val="000000" w:themeColor="text1"/>
          <w:sz w:val="24"/>
          <w:szCs w:val="24"/>
        </w:rPr>
        <w:t>guidelines recommend the use of corticosteroids as first</w:t>
      </w:r>
      <w:r w:rsidR="00413D79" w:rsidRPr="00B747CD">
        <w:rPr>
          <w:rFonts w:ascii="Book Antiqua" w:eastAsia="Times New Roman" w:hAnsi="Book Antiqua" w:cs="Arial"/>
          <w:bCs/>
          <w:color w:val="000000" w:themeColor="text1"/>
          <w:sz w:val="24"/>
          <w:szCs w:val="24"/>
        </w:rPr>
        <w:t>-</w:t>
      </w:r>
      <w:r w:rsidR="003B64C9" w:rsidRPr="00B747CD">
        <w:rPr>
          <w:rFonts w:ascii="Book Antiqua" w:eastAsia="Times New Roman" w:hAnsi="Book Antiqua" w:cs="Arial"/>
          <w:bCs/>
          <w:color w:val="000000" w:themeColor="text1"/>
          <w:sz w:val="24"/>
          <w:szCs w:val="24"/>
        </w:rPr>
        <w:t xml:space="preserve">line treatment in newly diagnosed adults with a platelet count less than 30 </w:t>
      </w:r>
      <w:r w:rsidR="00413D79" w:rsidRPr="00B747CD">
        <w:rPr>
          <w:rFonts w:ascii="Book Antiqua" w:eastAsia="Times New Roman" w:hAnsi="Book Antiqua" w:cs="Arial"/>
          <w:bCs/>
          <w:color w:val="000000" w:themeColor="text1"/>
          <w:sz w:val="24"/>
          <w:szCs w:val="24"/>
        </w:rPr>
        <w:sym w:font="Symbol" w:char="F0B4"/>
      </w:r>
      <w:r w:rsidR="003B64C9" w:rsidRPr="00B747CD">
        <w:rPr>
          <w:rFonts w:ascii="Book Antiqua" w:eastAsia="Times New Roman" w:hAnsi="Book Antiqua" w:cs="Arial"/>
          <w:bCs/>
          <w:color w:val="000000" w:themeColor="text1"/>
          <w:sz w:val="24"/>
          <w:szCs w:val="24"/>
        </w:rPr>
        <w:t xml:space="preserve"> 10</w:t>
      </w:r>
      <w:r w:rsidR="003B64C9" w:rsidRPr="00B747CD">
        <w:rPr>
          <w:rFonts w:ascii="Book Antiqua" w:eastAsia="Times New Roman" w:hAnsi="Book Antiqua" w:cs="Arial"/>
          <w:bCs/>
          <w:color w:val="000000" w:themeColor="text1"/>
          <w:sz w:val="24"/>
          <w:szCs w:val="24"/>
          <w:vertAlign w:val="superscript"/>
        </w:rPr>
        <w:t>9</w:t>
      </w:r>
      <w:r w:rsidR="003B64C9" w:rsidRPr="00B747CD">
        <w:rPr>
          <w:rFonts w:ascii="Book Antiqua" w:eastAsia="Times New Roman" w:hAnsi="Book Antiqua" w:cs="Arial"/>
          <w:bCs/>
          <w:color w:val="000000" w:themeColor="text1"/>
          <w:sz w:val="24"/>
          <w:szCs w:val="24"/>
        </w:rPr>
        <w:t>/L</w:t>
      </w:r>
      <w:r w:rsidR="00995808" w:rsidRPr="00B747CD">
        <w:rPr>
          <w:rFonts w:ascii="Book Antiqua" w:eastAsia="Times New Roman" w:hAnsi="Book Antiqua" w:cs="Arial"/>
          <w:bCs/>
          <w:color w:val="000000" w:themeColor="text1"/>
          <w:sz w:val="24"/>
          <w:szCs w:val="24"/>
        </w:rPr>
        <w:t xml:space="preserve"> </w:t>
      </w:r>
      <w:r w:rsidR="003B64C9" w:rsidRPr="00B747CD">
        <w:rPr>
          <w:rFonts w:ascii="Book Antiqua" w:eastAsia="Times New Roman" w:hAnsi="Book Antiqua" w:cs="Arial"/>
          <w:bCs/>
          <w:color w:val="000000" w:themeColor="text1"/>
          <w:sz w:val="24"/>
          <w:szCs w:val="24"/>
        </w:rPr>
        <w:t>who are symptomatic or have minor mucocutaneous bleeding.</w:t>
      </w:r>
      <w:r w:rsidR="00995808" w:rsidRPr="00B747CD">
        <w:rPr>
          <w:rFonts w:ascii="Book Antiqua" w:eastAsia="Times New Roman" w:hAnsi="Book Antiqua" w:cs="Arial"/>
          <w:bCs/>
          <w:color w:val="000000" w:themeColor="text1"/>
          <w:sz w:val="24"/>
          <w:szCs w:val="24"/>
        </w:rPr>
        <w:t xml:space="preserve"> </w:t>
      </w:r>
      <w:r w:rsidR="00103C2C" w:rsidRPr="00B747CD">
        <w:rPr>
          <w:rFonts w:ascii="Book Antiqua" w:eastAsia="Times New Roman" w:hAnsi="Book Antiqua" w:cs="Arial"/>
          <w:bCs/>
          <w:color w:val="000000" w:themeColor="text1"/>
          <w:sz w:val="24"/>
          <w:szCs w:val="24"/>
        </w:rPr>
        <w:t xml:space="preserve">In adults with ITP </w:t>
      </w:r>
      <w:r w:rsidR="00103C2C" w:rsidRPr="00B747CD">
        <w:rPr>
          <w:rFonts w:ascii="Book Antiqua" w:eastAsia="Times New Roman" w:hAnsi="Book Antiqua" w:cs="Arial"/>
          <w:bCs/>
          <w:color w:val="000000" w:themeColor="text1"/>
          <w:sz w:val="24"/>
          <w:szCs w:val="24"/>
        </w:rPr>
        <w:sym w:font="Symbol" w:char="F0B3"/>
      </w:r>
      <w:r w:rsidR="00103C2C" w:rsidRPr="00B747CD">
        <w:rPr>
          <w:rFonts w:ascii="Book Antiqua" w:eastAsia="Times New Roman" w:hAnsi="Book Antiqua" w:cs="Arial"/>
          <w:bCs/>
          <w:color w:val="000000" w:themeColor="text1"/>
          <w:sz w:val="24"/>
          <w:szCs w:val="24"/>
        </w:rPr>
        <w:t xml:space="preserve"> 3 </w:t>
      </w:r>
      <w:proofErr w:type="spellStart"/>
      <w:r w:rsidR="00103C2C" w:rsidRPr="00B747CD">
        <w:rPr>
          <w:rFonts w:ascii="Book Antiqua" w:eastAsia="Times New Roman" w:hAnsi="Book Antiqua" w:cs="Arial"/>
          <w:bCs/>
          <w:color w:val="000000" w:themeColor="text1"/>
          <w:sz w:val="24"/>
          <w:szCs w:val="24"/>
        </w:rPr>
        <w:t>mo</w:t>
      </w:r>
      <w:proofErr w:type="spellEnd"/>
      <w:r w:rsidR="00103C2C" w:rsidRPr="00B747CD">
        <w:rPr>
          <w:rFonts w:ascii="Book Antiqua" w:eastAsia="Times New Roman" w:hAnsi="Book Antiqua" w:cs="Arial"/>
          <w:bCs/>
          <w:color w:val="000000" w:themeColor="text1"/>
          <w:sz w:val="24"/>
          <w:szCs w:val="24"/>
        </w:rPr>
        <w:t xml:space="preserve"> who are corticosteroid-dependent or unresponsive to corticosteroids, the guidelines suggest treatment with TPO-RA </w:t>
      </w:r>
      <w:proofErr w:type="spellStart"/>
      <w:r w:rsidR="00103C2C" w:rsidRPr="00B747CD">
        <w:rPr>
          <w:rFonts w:ascii="Book Antiqua" w:eastAsia="Times New Roman" w:hAnsi="Book Antiqua" w:cs="Arial"/>
          <w:bCs/>
          <w:color w:val="000000" w:themeColor="text1"/>
          <w:sz w:val="24"/>
          <w:szCs w:val="24"/>
        </w:rPr>
        <w:t>eltrombopag</w:t>
      </w:r>
      <w:proofErr w:type="spellEnd"/>
      <w:r w:rsidR="00103C2C" w:rsidRPr="00B747CD">
        <w:rPr>
          <w:rFonts w:ascii="Book Antiqua" w:eastAsia="Times New Roman" w:hAnsi="Book Antiqua" w:cs="Arial"/>
          <w:bCs/>
          <w:color w:val="000000" w:themeColor="text1"/>
          <w:sz w:val="24"/>
          <w:szCs w:val="24"/>
        </w:rPr>
        <w:t xml:space="preserve"> or romiplostim. The guidelines recommend second-line treatment </w:t>
      </w:r>
      <w:r w:rsidR="00413D79" w:rsidRPr="00B747CD">
        <w:rPr>
          <w:rFonts w:ascii="Book Antiqua" w:eastAsia="Times New Roman" w:hAnsi="Book Antiqua" w:cs="Arial"/>
          <w:bCs/>
          <w:color w:val="000000" w:themeColor="text1"/>
          <w:sz w:val="24"/>
          <w:szCs w:val="24"/>
        </w:rPr>
        <w:t xml:space="preserve">to </w:t>
      </w:r>
      <w:r w:rsidR="00103C2C" w:rsidRPr="00B747CD">
        <w:rPr>
          <w:rFonts w:ascii="Book Antiqua" w:eastAsia="Times New Roman" w:hAnsi="Book Antiqua" w:cs="Arial"/>
          <w:bCs/>
          <w:color w:val="000000" w:themeColor="text1"/>
          <w:sz w:val="24"/>
          <w:szCs w:val="24"/>
        </w:rPr>
        <w:t>be individualized</w:t>
      </w:r>
      <w:r w:rsidR="00413D79" w:rsidRPr="00B747CD">
        <w:rPr>
          <w:rFonts w:ascii="Book Antiqua" w:eastAsia="Times New Roman" w:hAnsi="Book Antiqua" w:cs="Arial"/>
          <w:bCs/>
          <w:color w:val="000000" w:themeColor="text1"/>
          <w:sz w:val="24"/>
          <w:szCs w:val="24"/>
        </w:rPr>
        <w:t>,</w:t>
      </w:r>
      <w:r w:rsidR="00103C2C" w:rsidRPr="00B747CD">
        <w:rPr>
          <w:rFonts w:ascii="Book Antiqua" w:eastAsia="Times New Roman" w:hAnsi="Book Antiqua" w:cs="Arial"/>
          <w:bCs/>
          <w:color w:val="000000" w:themeColor="text1"/>
          <w:sz w:val="24"/>
          <w:szCs w:val="24"/>
        </w:rPr>
        <w:t xml:space="preserve"> based on duration of disease and patient preferences</w:t>
      </w:r>
      <w:r w:rsidR="002C6996" w:rsidRPr="00B747CD">
        <w:rPr>
          <w:rFonts w:ascii="Book Antiqua" w:eastAsia="Times New Roman" w:hAnsi="Book Antiqua" w:cs="Arial"/>
          <w:bCs/>
          <w:color w:val="000000" w:themeColor="text1"/>
          <w:sz w:val="24"/>
          <w:szCs w:val="24"/>
        </w:rPr>
        <w:t xml:space="preserve">; however, they </w:t>
      </w:r>
      <w:r w:rsidR="00103C2C" w:rsidRPr="00B747CD">
        <w:rPr>
          <w:rFonts w:ascii="Book Antiqua" w:eastAsia="Times New Roman" w:hAnsi="Book Antiqua" w:cs="Arial"/>
          <w:bCs/>
          <w:color w:val="000000" w:themeColor="text1"/>
          <w:sz w:val="24"/>
          <w:szCs w:val="24"/>
        </w:rPr>
        <w:t xml:space="preserve">provide no recommendations regarding the use of therapies prior to undergoing an invasive procedure or </w:t>
      </w:r>
      <w:proofErr w:type="gramStart"/>
      <w:r w:rsidR="00103C2C" w:rsidRPr="00B747CD">
        <w:rPr>
          <w:rFonts w:ascii="Book Antiqua" w:eastAsia="Times New Roman" w:hAnsi="Book Antiqua" w:cs="Arial"/>
          <w:bCs/>
          <w:color w:val="000000" w:themeColor="text1"/>
          <w:sz w:val="24"/>
          <w:szCs w:val="24"/>
        </w:rPr>
        <w:t>treatment</w:t>
      </w:r>
      <w:r w:rsidR="00BF5601" w:rsidRPr="00B747CD">
        <w:rPr>
          <w:rFonts w:ascii="Book Antiqua" w:eastAsia="Times New Roman" w:hAnsi="Book Antiqua" w:cs="Arial"/>
          <w:bCs/>
          <w:color w:val="000000" w:themeColor="text1"/>
          <w:sz w:val="24"/>
          <w:szCs w:val="24"/>
          <w:vertAlign w:val="superscript"/>
        </w:rPr>
        <w:t>[</w:t>
      </w:r>
      <w:proofErr w:type="gramEnd"/>
      <w:r w:rsidR="00103C2C" w:rsidRPr="00B747CD">
        <w:rPr>
          <w:rFonts w:ascii="Book Antiqua" w:eastAsia="Times New Roman" w:hAnsi="Book Antiqua" w:cs="Arial"/>
          <w:bCs/>
          <w:color w:val="000000" w:themeColor="text1"/>
          <w:sz w:val="24"/>
          <w:szCs w:val="24"/>
          <w:vertAlign w:val="superscript"/>
        </w:rPr>
        <w:t>30</w:t>
      </w:r>
      <w:r w:rsidR="00BF5601" w:rsidRPr="00B747CD">
        <w:rPr>
          <w:rFonts w:ascii="Book Antiqua" w:eastAsia="Times New Roman" w:hAnsi="Book Antiqua" w:cs="Arial"/>
          <w:bCs/>
          <w:color w:val="000000" w:themeColor="text1"/>
          <w:sz w:val="24"/>
          <w:szCs w:val="24"/>
          <w:vertAlign w:val="superscript"/>
        </w:rPr>
        <w:t>]</w:t>
      </w:r>
      <w:r w:rsidR="00413D79" w:rsidRPr="00B747CD">
        <w:rPr>
          <w:rFonts w:ascii="Book Antiqua" w:eastAsia="Times New Roman" w:hAnsi="Book Antiqua" w:cs="Arial"/>
          <w:bCs/>
          <w:color w:val="000000" w:themeColor="text1"/>
          <w:sz w:val="24"/>
          <w:szCs w:val="24"/>
        </w:rPr>
        <w:t>.</w:t>
      </w:r>
      <w:r w:rsidR="00103C2C" w:rsidRPr="00B747CD">
        <w:rPr>
          <w:rFonts w:ascii="Book Antiqua" w:eastAsia="Times New Roman" w:hAnsi="Book Antiqua" w:cs="Arial"/>
          <w:bCs/>
          <w:color w:val="000000" w:themeColor="text1"/>
          <w:sz w:val="24"/>
          <w:szCs w:val="24"/>
        </w:rPr>
        <w:t xml:space="preserve"> </w:t>
      </w:r>
    </w:p>
    <w:p w14:paraId="586EC1E9" w14:textId="7A674D1D" w:rsidR="0089274F" w:rsidRPr="00B747CD" w:rsidRDefault="00747EDC" w:rsidP="00B747CD">
      <w:pPr>
        <w:adjustRightInd w:val="0"/>
        <w:snapToGrid w:val="0"/>
        <w:spacing w:after="0" w:line="360" w:lineRule="auto"/>
        <w:ind w:firstLineChars="100" w:firstLine="240"/>
        <w:jc w:val="both"/>
        <w:rPr>
          <w:rFonts w:ascii="Book Antiqua" w:eastAsia="Times New Roman" w:hAnsi="Book Antiqua" w:cs="Arial"/>
          <w:bCs/>
          <w:color w:val="000000" w:themeColor="text1"/>
          <w:sz w:val="24"/>
          <w:szCs w:val="24"/>
        </w:rPr>
      </w:pPr>
      <w:r w:rsidRPr="00B747CD">
        <w:rPr>
          <w:rFonts w:ascii="Book Antiqua" w:eastAsia="Times New Roman" w:hAnsi="Book Antiqua" w:cs="Arial"/>
          <w:bCs/>
          <w:color w:val="000000" w:themeColor="text1"/>
          <w:sz w:val="24"/>
          <w:szCs w:val="24"/>
        </w:rPr>
        <w:t xml:space="preserve">The updated (2019) </w:t>
      </w:r>
      <w:r w:rsidR="005F3EEE" w:rsidRPr="00B747CD">
        <w:rPr>
          <w:rFonts w:ascii="Book Antiqua" w:eastAsia="Times New Roman" w:hAnsi="Book Antiqua" w:cs="Arial"/>
          <w:bCs/>
          <w:color w:val="000000" w:themeColor="text1"/>
          <w:sz w:val="24"/>
          <w:szCs w:val="24"/>
        </w:rPr>
        <w:t>I</w:t>
      </w:r>
      <w:r w:rsidRPr="00B747CD">
        <w:rPr>
          <w:rFonts w:ascii="Book Antiqua" w:eastAsia="Times New Roman" w:hAnsi="Book Antiqua" w:cs="Arial"/>
          <w:bCs/>
          <w:color w:val="000000" w:themeColor="text1"/>
          <w:sz w:val="24"/>
          <w:szCs w:val="24"/>
        </w:rPr>
        <w:t xml:space="preserve">nternational </w:t>
      </w:r>
      <w:r w:rsidR="005F3EEE" w:rsidRPr="00B747CD">
        <w:rPr>
          <w:rFonts w:ascii="Book Antiqua" w:eastAsia="Times New Roman" w:hAnsi="Book Antiqua" w:cs="Arial"/>
          <w:bCs/>
          <w:color w:val="000000" w:themeColor="text1"/>
          <w:sz w:val="24"/>
          <w:szCs w:val="24"/>
        </w:rPr>
        <w:t>C</w:t>
      </w:r>
      <w:r w:rsidRPr="00B747CD">
        <w:rPr>
          <w:rFonts w:ascii="Book Antiqua" w:eastAsia="Times New Roman" w:hAnsi="Book Antiqua" w:cs="Arial"/>
          <w:bCs/>
          <w:color w:val="000000" w:themeColor="text1"/>
          <w:sz w:val="24"/>
          <w:szCs w:val="24"/>
        </w:rPr>
        <w:t xml:space="preserve">onsensus </w:t>
      </w:r>
      <w:r w:rsidR="005F3EEE" w:rsidRPr="00B747CD">
        <w:rPr>
          <w:rFonts w:ascii="Book Antiqua" w:eastAsia="Times New Roman" w:hAnsi="Book Antiqua" w:cs="Arial"/>
          <w:bCs/>
          <w:color w:val="000000" w:themeColor="text1"/>
          <w:sz w:val="24"/>
          <w:szCs w:val="24"/>
        </w:rPr>
        <w:t>R</w:t>
      </w:r>
      <w:r w:rsidRPr="00B747CD">
        <w:rPr>
          <w:rFonts w:ascii="Book Antiqua" w:eastAsia="Times New Roman" w:hAnsi="Book Antiqua" w:cs="Arial"/>
          <w:bCs/>
          <w:color w:val="000000" w:themeColor="text1"/>
          <w:sz w:val="24"/>
          <w:szCs w:val="24"/>
        </w:rPr>
        <w:t xml:space="preserve">eport on </w:t>
      </w:r>
      <w:r w:rsidR="005F3EEE" w:rsidRPr="00B747CD">
        <w:rPr>
          <w:rFonts w:ascii="Book Antiqua" w:eastAsia="Times New Roman" w:hAnsi="Book Antiqua" w:cs="Arial"/>
          <w:bCs/>
          <w:color w:val="000000" w:themeColor="text1"/>
          <w:sz w:val="24"/>
          <w:szCs w:val="24"/>
        </w:rPr>
        <w:t>M</w:t>
      </w:r>
      <w:r w:rsidRPr="00B747CD">
        <w:rPr>
          <w:rFonts w:ascii="Book Antiqua" w:eastAsia="Times New Roman" w:hAnsi="Book Antiqua" w:cs="Arial"/>
          <w:bCs/>
          <w:color w:val="000000" w:themeColor="text1"/>
          <w:sz w:val="24"/>
          <w:szCs w:val="24"/>
        </w:rPr>
        <w:t xml:space="preserve">anagement of ITP recommends target platelet counts above 50 </w:t>
      </w:r>
      <w:r w:rsidR="00413D79" w:rsidRPr="00B747CD">
        <w:rPr>
          <w:rFonts w:ascii="Book Antiqua" w:eastAsia="Times New Roman" w:hAnsi="Book Antiqua" w:cs="Arial"/>
          <w:bCs/>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for minor surgery, above 80 </w:t>
      </w:r>
      <w:r w:rsidR="00413D79" w:rsidRPr="00B747CD">
        <w:rPr>
          <w:rFonts w:ascii="Book Antiqua" w:eastAsia="Times New Roman" w:hAnsi="Book Antiqua" w:cs="Arial"/>
          <w:bCs/>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/L for major surgery</w:t>
      </w:r>
      <w:r w:rsidR="005F3EEE"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and above 100 </w:t>
      </w:r>
      <w:r w:rsidR="00413D79" w:rsidRPr="00B747CD">
        <w:rPr>
          <w:rFonts w:ascii="Book Antiqua" w:eastAsia="Times New Roman" w:hAnsi="Book Antiqua" w:cs="Arial"/>
          <w:bCs/>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for major </w:t>
      </w:r>
      <w:proofErr w:type="gramStart"/>
      <w:r w:rsidRPr="00B747CD">
        <w:rPr>
          <w:rFonts w:ascii="Book Antiqua" w:eastAsia="Times New Roman" w:hAnsi="Book Antiqua" w:cs="Arial"/>
          <w:bCs/>
          <w:color w:val="000000" w:themeColor="text1"/>
          <w:sz w:val="24"/>
          <w:szCs w:val="24"/>
        </w:rPr>
        <w:t>neurosurgery</w:t>
      </w:r>
      <w:r w:rsidR="00C4262C" w:rsidRPr="00B747CD">
        <w:rPr>
          <w:rFonts w:ascii="Book Antiqua" w:eastAsia="Times New Roman" w:hAnsi="Book Antiqua" w:cs="Arial"/>
          <w:bCs/>
          <w:color w:val="000000" w:themeColor="text1"/>
          <w:sz w:val="24"/>
          <w:szCs w:val="24"/>
          <w:vertAlign w:val="superscript"/>
        </w:rPr>
        <w:t>[</w:t>
      </w:r>
      <w:proofErr w:type="gramEnd"/>
      <w:r w:rsidR="00103C2C" w:rsidRPr="00B747CD">
        <w:rPr>
          <w:rFonts w:ascii="Book Antiqua" w:eastAsia="Times New Roman" w:hAnsi="Book Antiqua" w:cs="Arial"/>
          <w:bCs/>
          <w:color w:val="000000" w:themeColor="text1"/>
          <w:sz w:val="24"/>
          <w:szCs w:val="24"/>
          <w:vertAlign w:val="superscript"/>
        </w:rPr>
        <w:t>31</w:t>
      </w:r>
      <w:r w:rsidR="00C4262C" w:rsidRPr="00B747CD">
        <w:rPr>
          <w:rFonts w:ascii="Book Antiqua" w:eastAsia="Times New Roman" w:hAnsi="Book Antiqua" w:cs="Arial"/>
          <w:bCs/>
          <w:color w:val="000000" w:themeColor="text1"/>
          <w:sz w:val="24"/>
          <w:szCs w:val="24"/>
          <w:vertAlign w:val="superscript"/>
        </w:rPr>
        <w:t>]</w:t>
      </w:r>
      <w:r w:rsidR="005F3EEE"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w:t>
      </w:r>
      <w:r w:rsidR="0089274F" w:rsidRPr="00B747CD">
        <w:rPr>
          <w:rFonts w:ascii="Book Antiqua" w:eastAsia="Times New Roman" w:hAnsi="Book Antiqua" w:cs="Arial"/>
          <w:bCs/>
          <w:color w:val="000000" w:themeColor="text1"/>
          <w:sz w:val="24"/>
          <w:szCs w:val="24"/>
        </w:rPr>
        <w:t xml:space="preserve">The </w:t>
      </w:r>
      <w:r w:rsidR="00BC2E71" w:rsidRPr="00B747CD">
        <w:rPr>
          <w:rFonts w:ascii="Book Antiqua" w:eastAsia="Times New Roman" w:hAnsi="Book Antiqua" w:cs="Arial"/>
          <w:bCs/>
          <w:color w:val="000000" w:themeColor="text1"/>
          <w:sz w:val="24"/>
          <w:szCs w:val="24"/>
        </w:rPr>
        <w:t>National Institute for Health and Care Excellent</w:t>
      </w:r>
      <w:r w:rsidR="00B77418" w:rsidRPr="00B747CD">
        <w:rPr>
          <w:rFonts w:ascii="Book Antiqua" w:hAnsi="Book Antiqua" w:cs="Arial"/>
          <w:bCs/>
          <w:color w:val="000000" w:themeColor="text1"/>
          <w:sz w:val="24"/>
          <w:szCs w:val="24"/>
          <w:lang w:eastAsia="zh-CN"/>
        </w:rPr>
        <w:t xml:space="preserve"> </w:t>
      </w:r>
      <w:r w:rsidR="0089274F" w:rsidRPr="00B747CD">
        <w:rPr>
          <w:rFonts w:ascii="Book Antiqua" w:eastAsia="Times New Roman" w:hAnsi="Book Antiqua" w:cs="Arial"/>
          <w:bCs/>
          <w:color w:val="000000" w:themeColor="text1"/>
          <w:sz w:val="24"/>
          <w:szCs w:val="24"/>
        </w:rPr>
        <w:t>guidelines recommend prophylactic platelet transfusions in patients who are having invasive procedures or surgery</w:t>
      </w:r>
      <w:r w:rsidR="005F3EEE" w:rsidRPr="00B747CD">
        <w:rPr>
          <w:rFonts w:ascii="Book Antiqua" w:eastAsia="Times New Roman" w:hAnsi="Book Antiqua" w:cs="Arial"/>
          <w:bCs/>
          <w:color w:val="000000" w:themeColor="text1"/>
          <w:sz w:val="24"/>
          <w:szCs w:val="24"/>
        </w:rPr>
        <w:t>,</w:t>
      </w:r>
      <w:r w:rsidR="0089274F" w:rsidRPr="00B747CD">
        <w:rPr>
          <w:rFonts w:ascii="Book Antiqua" w:eastAsia="Times New Roman" w:hAnsi="Book Antiqua" w:cs="Arial"/>
          <w:bCs/>
          <w:color w:val="000000" w:themeColor="text1"/>
          <w:sz w:val="24"/>
          <w:szCs w:val="24"/>
        </w:rPr>
        <w:t xml:space="preserve"> in order to raise the platelet counts above 50 </w:t>
      </w:r>
      <w:r w:rsidR="00413D79" w:rsidRPr="00B747CD">
        <w:rPr>
          <w:rFonts w:ascii="Book Antiqua" w:eastAsia="Times New Roman" w:hAnsi="Book Antiqua" w:cs="Arial"/>
          <w:bCs/>
          <w:color w:val="000000" w:themeColor="text1"/>
          <w:sz w:val="24"/>
          <w:szCs w:val="24"/>
        </w:rPr>
        <w:sym w:font="Symbol" w:char="F0B4"/>
      </w:r>
      <w:r w:rsidR="0089274F" w:rsidRPr="00B747CD">
        <w:rPr>
          <w:rFonts w:ascii="Book Antiqua" w:eastAsia="Times New Roman" w:hAnsi="Book Antiqua" w:cs="Arial"/>
          <w:bCs/>
          <w:color w:val="000000" w:themeColor="text1"/>
          <w:sz w:val="24"/>
          <w:szCs w:val="24"/>
        </w:rPr>
        <w:t xml:space="preserve"> 10</w:t>
      </w:r>
      <w:r w:rsidR="0089274F" w:rsidRPr="00B747CD">
        <w:rPr>
          <w:rFonts w:ascii="Book Antiqua" w:eastAsia="Times New Roman" w:hAnsi="Book Antiqua" w:cs="Arial"/>
          <w:bCs/>
          <w:color w:val="000000" w:themeColor="text1"/>
          <w:sz w:val="24"/>
          <w:szCs w:val="24"/>
          <w:vertAlign w:val="superscript"/>
        </w:rPr>
        <w:t>9</w:t>
      </w:r>
      <w:r w:rsidR="0089274F" w:rsidRPr="00B747CD">
        <w:rPr>
          <w:rFonts w:ascii="Book Antiqua" w:eastAsia="Times New Roman" w:hAnsi="Book Antiqua" w:cs="Arial"/>
          <w:bCs/>
          <w:color w:val="000000" w:themeColor="text1"/>
          <w:sz w:val="24"/>
          <w:szCs w:val="24"/>
        </w:rPr>
        <w:t xml:space="preserve">/L. They advocate a higher threshold (50-60 </w:t>
      </w:r>
      <w:r w:rsidR="00413D79" w:rsidRPr="00B747CD">
        <w:rPr>
          <w:rFonts w:ascii="Book Antiqua" w:eastAsia="Times New Roman" w:hAnsi="Book Antiqua" w:cs="Arial"/>
          <w:bCs/>
          <w:color w:val="000000" w:themeColor="text1"/>
          <w:sz w:val="24"/>
          <w:szCs w:val="24"/>
        </w:rPr>
        <w:sym w:font="Symbol" w:char="F0B4"/>
      </w:r>
      <w:r w:rsidR="0089274F" w:rsidRPr="00B747CD">
        <w:rPr>
          <w:rFonts w:ascii="Book Antiqua" w:eastAsia="Times New Roman" w:hAnsi="Book Antiqua" w:cs="Arial"/>
          <w:bCs/>
          <w:color w:val="000000" w:themeColor="text1"/>
          <w:sz w:val="24"/>
          <w:szCs w:val="24"/>
        </w:rPr>
        <w:t xml:space="preserve"> 10</w:t>
      </w:r>
      <w:r w:rsidR="0089274F" w:rsidRPr="00B747CD">
        <w:rPr>
          <w:rFonts w:ascii="Book Antiqua" w:eastAsia="Times New Roman" w:hAnsi="Book Antiqua" w:cs="Arial"/>
          <w:bCs/>
          <w:color w:val="000000" w:themeColor="text1"/>
          <w:sz w:val="24"/>
          <w:szCs w:val="24"/>
          <w:vertAlign w:val="superscript"/>
        </w:rPr>
        <w:t>9</w:t>
      </w:r>
      <w:r w:rsidR="0089274F" w:rsidRPr="00B747CD">
        <w:rPr>
          <w:rFonts w:ascii="Book Antiqua" w:eastAsia="Times New Roman" w:hAnsi="Book Antiqua" w:cs="Arial"/>
          <w:bCs/>
          <w:color w:val="000000" w:themeColor="text1"/>
          <w:sz w:val="24"/>
          <w:szCs w:val="24"/>
        </w:rPr>
        <w:t xml:space="preserve">/L) for patients with a high risk of bleeding who are having invasive procedures or surgery after taking into account the type of procedure, the cause of thrombocytopenia, any coexisting causes of abnormal hemostasis, and whether the patient’s baseline platelet count is falling. These guidelines also recommend prophylactic platelet transfusions to raise the platelet counts above 100 </w:t>
      </w:r>
      <w:r w:rsidR="00413D79" w:rsidRPr="00B747CD">
        <w:rPr>
          <w:rFonts w:ascii="Book Antiqua" w:eastAsia="Times New Roman" w:hAnsi="Book Antiqua" w:cs="Arial"/>
          <w:bCs/>
          <w:color w:val="000000" w:themeColor="text1"/>
          <w:sz w:val="24"/>
          <w:szCs w:val="24"/>
        </w:rPr>
        <w:sym w:font="Symbol" w:char="F0B4"/>
      </w:r>
      <w:r w:rsidR="0089274F" w:rsidRPr="00B747CD">
        <w:rPr>
          <w:rFonts w:ascii="Book Antiqua" w:eastAsia="Times New Roman" w:hAnsi="Book Antiqua" w:cs="Arial"/>
          <w:bCs/>
          <w:color w:val="000000" w:themeColor="text1"/>
          <w:sz w:val="24"/>
          <w:szCs w:val="24"/>
        </w:rPr>
        <w:t xml:space="preserve"> 10</w:t>
      </w:r>
      <w:r w:rsidR="0089274F" w:rsidRPr="00B747CD">
        <w:rPr>
          <w:rFonts w:ascii="Book Antiqua" w:eastAsia="Times New Roman" w:hAnsi="Book Antiqua" w:cs="Arial"/>
          <w:bCs/>
          <w:color w:val="000000" w:themeColor="text1"/>
          <w:sz w:val="24"/>
          <w:szCs w:val="24"/>
          <w:vertAlign w:val="superscript"/>
        </w:rPr>
        <w:t>9</w:t>
      </w:r>
      <w:r w:rsidR="0089274F" w:rsidRPr="00B747CD">
        <w:rPr>
          <w:rFonts w:ascii="Book Antiqua" w:eastAsia="Times New Roman" w:hAnsi="Book Antiqua" w:cs="Arial"/>
          <w:bCs/>
          <w:color w:val="000000" w:themeColor="text1"/>
          <w:sz w:val="24"/>
          <w:szCs w:val="24"/>
        </w:rPr>
        <w:t>/L in patients having surgery at critical sites</w:t>
      </w:r>
      <w:r w:rsidR="002D2AD5" w:rsidRPr="00B747CD">
        <w:rPr>
          <w:rFonts w:ascii="Book Antiqua" w:eastAsia="Times New Roman" w:hAnsi="Book Antiqua" w:cs="Arial"/>
          <w:bCs/>
          <w:color w:val="000000" w:themeColor="text1"/>
          <w:sz w:val="24"/>
          <w:szCs w:val="24"/>
        </w:rPr>
        <w:t>,</w:t>
      </w:r>
      <w:r w:rsidR="0089274F" w:rsidRPr="00B747CD">
        <w:rPr>
          <w:rFonts w:ascii="Book Antiqua" w:eastAsia="Times New Roman" w:hAnsi="Book Antiqua" w:cs="Arial"/>
          <w:bCs/>
          <w:color w:val="000000" w:themeColor="text1"/>
          <w:sz w:val="24"/>
          <w:szCs w:val="24"/>
        </w:rPr>
        <w:t xml:space="preserve"> such as the central nervous system, whereas they do not recommend transfusions for patients having procedures with a low risk of bleeding</w:t>
      </w:r>
      <w:r w:rsidR="002D2AD5" w:rsidRPr="00B747CD">
        <w:rPr>
          <w:rFonts w:ascii="Book Antiqua" w:eastAsia="Times New Roman" w:hAnsi="Book Antiqua" w:cs="Arial"/>
          <w:bCs/>
          <w:color w:val="000000" w:themeColor="text1"/>
          <w:sz w:val="24"/>
          <w:szCs w:val="24"/>
        </w:rPr>
        <w:t>,</w:t>
      </w:r>
      <w:r w:rsidR="0089274F" w:rsidRPr="00B747CD">
        <w:rPr>
          <w:rFonts w:ascii="Book Antiqua" w:eastAsia="Times New Roman" w:hAnsi="Book Antiqua" w:cs="Arial"/>
          <w:bCs/>
          <w:color w:val="000000" w:themeColor="text1"/>
          <w:sz w:val="24"/>
          <w:szCs w:val="24"/>
        </w:rPr>
        <w:t xml:space="preserve"> such as central venous cannulation or bone marrow aspiration</w:t>
      </w:r>
      <w:r w:rsidR="00C4262C" w:rsidRPr="00B747CD">
        <w:rPr>
          <w:rFonts w:ascii="Book Antiqua" w:eastAsia="Times New Roman" w:hAnsi="Book Antiqua" w:cs="Arial"/>
          <w:bCs/>
          <w:color w:val="000000" w:themeColor="text1"/>
          <w:sz w:val="24"/>
          <w:szCs w:val="24"/>
          <w:vertAlign w:val="superscript"/>
        </w:rPr>
        <w:t>[</w:t>
      </w:r>
      <w:r w:rsidR="00C757FC" w:rsidRPr="00B747CD">
        <w:rPr>
          <w:rFonts w:ascii="Book Antiqua" w:eastAsia="Times New Roman" w:hAnsi="Book Antiqua" w:cs="Arial"/>
          <w:bCs/>
          <w:color w:val="000000" w:themeColor="text1"/>
          <w:sz w:val="24"/>
          <w:szCs w:val="24"/>
          <w:vertAlign w:val="superscript"/>
        </w:rPr>
        <w:t>3</w:t>
      </w:r>
      <w:r w:rsidR="00125BAA" w:rsidRPr="00B747CD">
        <w:rPr>
          <w:rFonts w:ascii="Book Antiqua" w:eastAsia="Times New Roman" w:hAnsi="Book Antiqua" w:cs="Arial"/>
          <w:bCs/>
          <w:color w:val="000000" w:themeColor="text1"/>
          <w:sz w:val="24"/>
          <w:szCs w:val="24"/>
          <w:vertAlign w:val="superscript"/>
        </w:rPr>
        <w:t>2</w:t>
      </w:r>
      <w:r w:rsidR="00C4262C" w:rsidRPr="00B747CD">
        <w:rPr>
          <w:rFonts w:ascii="Book Antiqua" w:eastAsia="Times New Roman" w:hAnsi="Book Antiqua" w:cs="Arial"/>
          <w:bCs/>
          <w:color w:val="000000" w:themeColor="text1"/>
          <w:sz w:val="24"/>
          <w:szCs w:val="24"/>
          <w:vertAlign w:val="superscript"/>
        </w:rPr>
        <w:t>]</w:t>
      </w:r>
      <w:r w:rsidR="002D2AD5" w:rsidRPr="00B747CD">
        <w:rPr>
          <w:rFonts w:ascii="Book Antiqua" w:eastAsia="Times New Roman" w:hAnsi="Book Antiqua" w:cs="Arial"/>
          <w:bCs/>
          <w:color w:val="000000" w:themeColor="text1"/>
          <w:sz w:val="24"/>
          <w:szCs w:val="24"/>
        </w:rPr>
        <w:t>.</w:t>
      </w:r>
      <w:r w:rsidR="00995F70" w:rsidRPr="00B747CD">
        <w:rPr>
          <w:rFonts w:ascii="Book Antiqua" w:eastAsia="Times New Roman" w:hAnsi="Book Antiqua" w:cs="Arial"/>
          <w:bCs/>
          <w:color w:val="000000" w:themeColor="text1"/>
          <w:sz w:val="24"/>
          <w:szCs w:val="24"/>
        </w:rPr>
        <w:t xml:space="preserve"> </w:t>
      </w:r>
      <w:r w:rsidR="0089274F" w:rsidRPr="00B747CD">
        <w:rPr>
          <w:rFonts w:ascii="Book Antiqua" w:eastAsia="Times New Roman" w:hAnsi="Book Antiqua" w:cs="Arial"/>
          <w:bCs/>
          <w:color w:val="000000" w:themeColor="text1"/>
          <w:sz w:val="24"/>
          <w:szCs w:val="24"/>
        </w:rPr>
        <w:t>The American Association of Blood Banks guidelines recommend prophylactic platelet transfusion for minor invasive procedures</w:t>
      </w:r>
      <w:r w:rsidR="002D2AD5" w:rsidRPr="00B747CD">
        <w:rPr>
          <w:rFonts w:ascii="Book Antiqua" w:eastAsia="Times New Roman" w:hAnsi="Book Antiqua" w:cs="Arial"/>
          <w:bCs/>
          <w:color w:val="000000" w:themeColor="text1"/>
          <w:sz w:val="24"/>
          <w:szCs w:val="24"/>
        </w:rPr>
        <w:t>,</w:t>
      </w:r>
      <w:r w:rsidR="0089274F" w:rsidRPr="00B747CD">
        <w:rPr>
          <w:rFonts w:ascii="Book Antiqua" w:eastAsia="Times New Roman" w:hAnsi="Book Antiqua" w:cs="Arial"/>
          <w:bCs/>
          <w:color w:val="000000" w:themeColor="text1"/>
          <w:sz w:val="24"/>
          <w:szCs w:val="24"/>
        </w:rPr>
        <w:t xml:space="preserve"> such as central venous catheter placement at platelet counts </w:t>
      </w:r>
      <w:r w:rsidR="0089274F" w:rsidRPr="00B747CD">
        <w:rPr>
          <w:rFonts w:ascii="Book Antiqua" w:eastAsia="Times New Roman" w:hAnsi="Book Antiqua" w:cs="Arial"/>
          <w:bCs/>
          <w:color w:val="000000" w:themeColor="text1"/>
          <w:sz w:val="24"/>
          <w:szCs w:val="24"/>
        </w:rPr>
        <w:sym w:font="Symbol" w:char="F0A3"/>
      </w:r>
      <w:r w:rsidR="0089274F" w:rsidRPr="00B747CD">
        <w:rPr>
          <w:rFonts w:ascii="Book Antiqua" w:eastAsia="Times New Roman" w:hAnsi="Book Antiqua" w:cs="Arial"/>
          <w:bCs/>
          <w:color w:val="000000" w:themeColor="text1"/>
          <w:sz w:val="24"/>
          <w:szCs w:val="24"/>
        </w:rPr>
        <w:t xml:space="preserve"> 20 </w:t>
      </w:r>
      <w:r w:rsidR="00413D79" w:rsidRPr="00B747CD">
        <w:rPr>
          <w:rFonts w:ascii="Book Antiqua" w:eastAsia="Times New Roman" w:hAnsi="Book Antiqua" w:cs="Arial"/>
          <w:bCs/>
          <w:color w:val="000000" w:themeColor="text1"/>
          <w:sz w:val="24"/>
          <w:szCs w:val="24"/>
        </w:rPr>
        <w:sym w:font="Symbol" w:char="F0B4"/>
      </w:r>
      <w:r w:rsidR="0089274F" w:rsidRPr="00B747CD">
        <w:rPr>
          <w:rFonts w:ascii="Book Antiqua" w:eastAsia="Times New Roman" w:hAnsi="Book Antiqua" w:cs="Arial"/>
          <w:bCs/>
          <w:color w:val="000000" w:themeColor="text1"/>
          <w:sz w:val="24"/>
          <w:szCs w:val="24"/>
        </w:rPr>
        <w:t xml:space="preserve"> 10</w:t>
      </w:r>
      <w:r w:rsidR="0089274F" w:rsidRPr="00B747CD">
        <w:rPr>
          <w:rFonts w:ascii="Book Antiqua" w:eastAsia="Times New Roman" w:hAnsi="Book Antiqua" w:cs="Arial"/>
          <w:bCs/>
          <w:color w:val="000000" w:themeColor="text1"/>
          <w:sz w:val="24"/>
          <w:szCs w:val="24"/>
          <w:vertAlign w:val="superscript"/>
        </w:rPr>
        <w:t>9</w:t>
      </w:r>
      <w:r w:rsidR="0089274F" w:rsidRPr="00B747CD">
        <w:rPr>
          <w:rFonts w:ascii="Book Antiqua" w:eastAsia="Times New Roman" w:hAnsi="Book Antiqua" w:cs="Arial"/>
          <w:bCs/>
          <w:color w:val="000000" w:themeColor="text1"/>
          <w:sz w:val="24"/>
          <w:szCs w:val="24"/>
        </w:rPr>
        <w:t xml:space="preserve">/L </w:t>
      </w:r>
      <w:r w:rsidR="0089274F" w:rsidRPr="00B747CD">
        <w:rPr>
          <w:rFonts w:ascii="Book Antiqua" w:eastAsia="Times New Roman" w:hAnsi="Book Antiqua" w:cs="Arial"/>
          <w:bCs/>
          <w:color w:val="000000" w:themeColor="text1"/>
          <w:sz w:val="24"/>
          <w:szCs w:val="24"/>
        </w:rPr>
        <w:lastRenderedPageBreak/>
        <w:t xml:space="preserve">and for major non-neuraxial surgery at platelet counts </w:t>
      </w:r>
      <w:r w:rsidR="0089274F" w:rsidRPr="00B747CD">
        <w:rPr>
          <w:rFonts w:ascii="Book Antiqua" w:eastAsia="Times New Roman" w:hAnsi="Book Antiqua" w:cs="Arial"/>
          <w:bCs/>
          <w:color w:val="000000" w:themeColor="text1"/>
          <w:sz w:val="24"/>
          <w:szCs w:val="24"/>
        </w:rPr>
        <w:sym w:font="Symbol" w:char="F0A3"/>
      </w:r>
      <w:r w:rsidR="0089274F" w:rsidRPr="00B747CD">
        <w:rPr>
          <w:rFonts w:ascii="Book Antiqua" w:eastAsia="Times New Roman" w:hAnsi="Book Antiqua" w:cs="Arial"/>
          <w:bCs/>
          <w:color w:val="000000" w:themeColor="text1"/>
          <w:sz w:val="24"/>
          <w:szCs w:val="24"/>
        </w:rPr>
        <w:t xml:space="preserve"> 50 </w:t>
      </w:r>
      <w:r w:rsidR="00413D79" w:rsidRPr="00B747CD">
        <w:rPr>
          <w:rFonts w:ascii="Book Antiqua" w:eastAsia="Times New Roman" w:hAnsi="Book Antiqua" w:cs="Arial"/>
          <w:bCs/>
          <w:color w:val="000000" w:themeColor="text1"/>
          <w:sz w:val="24"/>
          <w:szCs w:val="24"/>
        </w:rPr>
        <w:sym w:font="Symbol" w:char="F0B4"/>
      </w:r>
      <w:r w:rsidR="0089274F" w:rsidRPr="00B747CD">
        <w:rPr>
          <w:rFonts w:ascii="Book Antiqua" w:eastAsia="Times New Roman" w:hAnsi="Book Antiqua" w:cs="Arial"/>
          <w:bCs/>
          <w:color w:val="000000" w:themeColor="text1"/>
          <w:sz w:val="24"/>
          <w:szCs w:val="24"/>
        </w:rPr>
        <w:t xml:space="preserve"> 10</w:t>
      </w:r>
      <w:r w:rsidR="0089274F" w:rsidRPr="00B747CD">
        <w:rPr>
          <w:rFonts w:ascii="Book Antiqua" w:eastAsia="Times New Roman" w:hAnsi="Book Antiqua" w:cs="Arial"/>
          <w:bCs/>
          <w:color w:val="000000" w:themeColor="text1"/>
          <w:sz w:val="24"/>
          <w:szCs w:val="24"/>
          <w:vertAlign w:val="superscript"/>
        </w:rPr>
        <w:t>9</w:t>
      </w:r>
      <w:r w:rsidR="0089274F" w:rsidRPr="00B747CD">
        <w:rPr>
          <w:rFonts w:ascii="Book Antiqua" w:eastAsia="Times New Roman" w:hAnsi="Book Antiqua" w:cs="Arial"/>
          <w:bCs/>
          <w:color w:val="000000" w:themeColor="text1"/>
          <w:sz w:val="24"/>
          <w:szCs w:val="24"/>
        </w:rPr>
        <w:t>/L</w:t>
      </w:r>
      <w:r w:rsidR="002D2AD5" w:rsidRPr="00B747CD">
        <w:rPr>
          <w:rFonts w:ascii="Book Antiqua" w:eastAsia="Times New Roman" w:hAnsi="Book Antiqua" w:cs="Arial"/>
          <w:bCs/>
          <w:color w:val="000000" w:themeColor="text1"/>
          <w:sz w:val="24"/>
          <w:szCs w:val="24"/>
        </w:rPr>
        <w:t>,</w:t>
      </w:r>
      <w:r w:rsidR="0089274F" w:rsidRPr="00B747CD">
        <w:rPr>
          <w:rFonts w:ascii="Book Antiqua" w:eastAsia="Times New Roman" w:hAnsi="Book Antiqua" w:cs="Arial"/>
          <w:bCs/>
          <w:color w:val="000000" w:themeColor="text1"/>
          <w:sz w:val="24"/>
          <w:szCs w:val="24"/>
        </w:rPr>
        <w:t xml:space="preserve"> but do not make recommendations for bleeding patients with </w:t>
      </w:r>
      <w:proofErr w:type="gramStart"/>
      <w:r w:rsidR="0089274F" w:rsidRPr="00B747CD">
        <w:rPr>
          <w:rFonts w:ascii="Book Antiqua" w:eastAsia="Times New Roman" w:hAnsi="Book Antiqua" w:cs="Arial"/>
          <w:bCs/>
          <w:color w:val="000000" w:themeColor="text1"/>
          <w:sz w:val="24"/>
          <w:szCs w:val="24"/>
        </w:rPr>
        <w:t>thrombocytopenia</w:t>
      </w:r>
      <w:r w:rsidR="00C4262C" w:rsidRPr="00B747CD">
        <w:rPr>
          <w:rFonts w:ascii="Book Antiqua" w:eastAsia="Times New Roman" w:hAnsi="Book Antiqua" w:cs="Arial"/>
          <w:bCs/>
          <w:color w:val="000000" w:themeColor="text1"/>
          <w:sz w:val="24"/>
          <w:szCs w:val="24"/>
          <w:vertAlign w:val="superscript"/>
        </w:rPr>
        <w:t>[</w:t>
      </w:r>
      <w:proofErr w:type="gramEnd"/>
      <w:r w:rsidR="00125BAA" w:rsidRPr="00B747CD">
        <w:rPr>
          <w:rFonts w:ascii="Book Antiqua" w:eastAsia="Times New Roman" w:hAnsi="Book Antiqua" w:cs="Arial"/>
          <w:bCs/>
          <w:color w:val="000000" w:themeColor="text1"/>
          <w:sz w:val="24"/>
          <w:szCs w:val="24"/>
          <w:vertAlign w:val="superscript"/>
        </w:rPr>
        <w:t>29</w:t>
      </w:r>
      <w:r w:rsidR="00C4262C" w:rsidRPr="00B747CD">
        <w:rPr>
          <w:rFonts w:ascii="Book Antiqua" w:eastAsia="Times New Roman" w:hAnsi="Book Antiqua" w:cs="Arial"/>
          <w:bCs/>
          <w:color w:val="000000" w:themeColor="text1"/>
          <w:sz w:val="24"/>
          <w:szCs w:val="24"/>
          <w:vertAlign w:val="superscript"/>
        </w:rPr>
        <w:t>]</w:t>
      </w:r>
      <w:r w:rsidR="002D2AD5" w:rsidRPr="00B747CD">
        <w:rPr>
          <w:rFonts w:ascii="Book Antiqua" w:eastAsia="Times New Roman" w:hAnsi="Book Antiqua" w:cs="Arial"/>
          <w:bCs/>
          <w:color w:val="000000" w:themeColor="text1"/>
          <w:sz w:val="24"/>
          <w:szCs w:val="24"/>
        </w:rPr>
        <w:t>.</w:t>
      </w:r>
      <w:r w:rsidR="00995F70" w:rsidRPr="00B747CD">
        <w:rPr>
          <w:rFonts w:ascii="Book Antiqua" w:eastAsia="Times New Roman" w:hAnsi="Book Antiqua" w:cs="Arial"/>
          <w:bCs/>
          <w:color w:val="000000" w:themeColor="text1"/>
          <w:sz w:val="24"/>
          <w:szCs w:val="24"/>
        </w:rPr>
        <w:t xml:space="preserve"> </w:t>
      </w:r>
    </w:p>
    <w:p w14:paraId="6B4766A4" w14:textId="77777777" w:rsidR="002D2AD5" w:rsidRPr="00B747CD" w:rsidRDefault="002D2AD5" w:rsidP="00B747CD">
      <w:pPr>
        <w:adjustRightInd w:val="0"/>
        <w:snapToGrid w:val="0"/>
        <w:spacing w:after="0" w:line="360" w:lineRule="auto"/>
        <w:jc w:val="both"/>
        <w:rPr>
          <w:rFonts w:ascii="Book Antiqua" w:hAnsi="Book Antiqua" w:cs="Arial"/>
          <w:color w:val="000000" w:themeColor="text1"/>
          <w:sz w:val="24"/>
          <w:szCs w:val="24"/>
        </w:rPr>
      </w:pPr>
    </w:p>
    <w:p w14:paraId="2C11E9BA" w14:textId="1F5DC47B" w:rsidR="0089274F" w:rsidRPr="00B747CD" w:rsidRDefault="0089274F" w:rsidP="00B747CD">
      <w:pPr>
        <w:adjustRightInd w:val="0"/>
        <w:snapToGrid w:val="0"/>
        <w:spacing w:after="0" w:line="360" w:lineRule="auto"/>
        <w:jc w:val="both"/>
        <w:rPr>
          <w:rFonts w:ascii="Book Antiqua" w:hAnsi="Book Antiqua" w:cs="Arial"/>
          <w:b/>
          <w:i/>
          <w:color w:val="000000" w:themeColor="text1"/>
          <w:sz w:val="24"/>
          <w:szCs w:val="24"/>
        </w:rPr>
      </w:pPr>
      <w:r w:rsidRPr="00B747CD">
        <w:rPr>
          <w:rFonts w:ascii="Book Antiqua" w:hAnsi="Book Antiqua" w:cs="Arial"/>
          <w:b/>
          <w:i/>
          <w:color w:val="000000" w:themeColor="text1"/>
          <w:sz w:val="24"/>
          <w:szCs w:val="24"/>
        </w:rPr>
        <w:t>Downsides of platelet transfusions</w:t>
      </w:r>
    </w:p>
    <w:p w14:paraId="0076342B" w14:textId="77777777" w:rsidR="00B77418" w:rsidRPr="00B747CD" w:rsidRDefault="0089274F" w:rsidP="00B747CD">
      <w:pPr>
        <w:adjustRightInd w:val="0"/>
        <w:snapToGrid w:val="0"/>
        <w:spacing w:after="0" w:line="360" w:lineRule="auto"/>
        <w:jc w:val="both"/>
        <w:rPr>
          <w:rFonts w:ascii="Book Antiqua" w:hAnsi="Book Antiqua" w:cs="Arial"/>
          <w:color w:val="000000" w:themeColor="text1"/>
          <w:sz w:val="24"/>
          <w:szCs w:val="24"/>
          <w:vertAlign w:val="superscript"/>
          <w:lang w:eastAsia="zh-CN"/>
        </w:rPr>
      </w:pPr>
      <w:r w:rsidRPr="00B747CD">
        <w:rPr>
          <w:rFonts w:ascii="Book Antiqua" w:hAnsi="Book Antiqua" w:cs="Arial"/>
          <w:color w:val="000000" w:themeColor="text1"/>
          <w:sz w:val="24"/>
          <w:szCs w:val="24"/>
        </w:rPr>
        <w:t xml:space="preserve">The choice of initiating platelet transfusions can also be complicated due to the associated risks. Platelet transfusions have been associated with a number of blood transfusion reactions, the possibility of fatal complications </w:t>
      </w:r>
      <w:r w:rsidR="009C49FD" w:rsidRPr="00B747CD">
        <w:rPr>
          <w:rFonts w:ascii="Book Antiqua" w:hAnsi="Book Antiqua" w:cs="Arial"/>
          <w:color w:val="000000" w:themeColor="text1"/>
          <w:sz w:val="24"/>
          <w:szCs w:val="24"/>
        </w:rPr>
        <w:t>(</w:t>
      </w:r>
      <w:r w:rsidR="009C49FD" w:rsidRPr="00B747CD">
        <w:rPr>
          <w:rFonts w:ascii="Book Antiqua" w:hAnsi="Book Antiqua" w:cs="Arial"/>
          <w:i/>
          <w:iCs/>
          <w:color w:val="000000" w:themeColor="text1"/>
          <w:sz w:val="24"/>
          <w:szCs w:val="24"/>
        </w:rPr>
        <w:t>i.e</w:t>
      </w:r>
      <w:r w:rsidR="009C49FD"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sepsis</w:t>
      </w:r>
      <w:r w:rsidR="009C49FD"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proinflammatory responses, febrile non-hemolytic reactions, and acute lung </w:t>
      </w:r>
      <w:proofErr w:type="gramStart"/>
      <w:r w:rsidRPr="00B747CD">
        <w:rPr>
          <w:rFonts w:ascii="Book Antiqua" w:hAnsi="Book Antiqua" w:cs="Arial"/>
          <w:color w:val="000000" w:themeColor="text1"/>
          <w:sz w:val="24"/>
          <w:szCs w:val="24"/>
        </w:rPr>
        <w:t>injury</w:t>
      </w:r>
      <w:r w:rsidR="00C4262C" w:rsidRPr="00B747CD">
        <w:rPr>
          <w:rFonts w:ascii="Book Antiqua" w:hAnsi="Book Antiqua" w:cs="Arial"/>
          <w:color w:val="000000" w:themeColor="text1"/>
          <w:sz w:val="24"/>
          <w:szCs w:val="24"/>
          <w:vertAlign w:val="superscript"/>
        </w:rPr>
        <w:t>[</w:t>
      </w:r>
      <w:proofErr w:type="gramEnd"/>
      <w:r w:rsidR="00995F70" w:rsidRPr="00B747CD">
        <w:rPr>
          <w:rFonts w:ascii="Book Antiqua" w:hAnsi="Book Antiqua" w:cs="Arial"/>
          <w:color w:val="000000" w:themeColor="text1"/>
          <w:sz w:val="24"/>
          <w:szCs w:val="24"/>
          <w:vertAlign w:val="superscript"/>
        </w:rPr>
        <w:t>3</w:t>
      </w:r>
      <w:r w:rsidR="00125BAA" w:rsidRPr="00B747CD">
        <w:rPr>
          <w:rFonts w:ascii="Book Antiqua" w:hAnsi="Book Antiqua" w:cs="Arial"/>
          <w:color w:val="000000" w:themeColor="text1"/>
          <w:sz w:val="24"/>
          <w:szCs w:val="24"/>
          <w:vertAlign w:val="superscript"/>
        </w:rPr>
        <w:t>3</w:t>
      </w:r>
      <w:r w:rsidR="00C4262C" w:rsidRPr="00B747CD">
        <w:rPr>
          <w:rFonts w:ascii="Book Antiqua" w:hAnsi="Book Antiqua" w:cs="Arial"/>
          <w:color w:val="000000" w:themeColor="text1"/>
          <w:sz w:val="24"/>
          <w:szCs w:val="24"/>
          <w:vertAlign w:val="superscript"/>
        </w:rPr>
        <w:t>]</w:t>
      </w:r>
      <w:r w:rsidR="009C49FD" w:rsidRPr="00B747CD">
        <w:rPr>
          <w:rFonts w:ascii="Book Antiqua" w:hAnsi="Book Antiqua" w:cs="Arial"/>
          <w:color w:val="000000" w:themeColor="text1"/>
          <w:sz w:val="24"/>
          <w:szCs w:val="24"/>
        </w:rPr>
        <w:t>.</w:t>
      </w:r>
      <w:r w:rsidR="00995F7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There is also the risk for development of refractoriness that can prevent further platelet transfusions which can, in turn, lead to decreased survival, prolonged hospital stays, and increased healthcare </w:t>
      </w:r>
      <w:proofErr w:type="gramStart"/>
      <w:r w:rsidRPr="00B747CD">
        <w:rPr>
          <w:rFonts w:ascii="Book Antiqua" w:hAnsi="Book Antiqua" w:cs="Arial"/>
          <w:color w:val="000000" w:themeColor="text1"/>
          <w:sz w:val="24"/>
          <w:szCs w:val="24"/>
        </w:rPr>
        <w:t>costs</w:t>
      </w:r>
      <w:r w:rsidR="00C4262C" w:rsidRPr="00B747CD">
        <w:rPr>
          <w:rFonts w:ascii="Book Antiqua" w:hAnsi="Book Antiqua" w:cs="Arial"/>
          <w:color w:val="000000" w:themeColor="text1"/>
          <w:sz w:val="24"/>
          <w:szCs w:val="24"/>
          <w:vertAlign w:val="superscript"/>
        </w:rPr>
        <w:t>[</w:t>
      </w:r>
      <w:proofErr w:type="gramEnd"/>
      <w:r w:rsidR="00995F70" w:rsidRPr="00B747CD">
        <w:rPr>
          <w:rFonts w:ascii="Book Antiqua" w:hAnsi="Book Antiqua" w:cs="Arial"/>
          <w:color w:val="000000" w:themeColor="text1"/>
          <w:sz w:val="24"/>
          <w:szCs w:val="24"/>
          <w:vertAlign w:val="superscript"/>
        </w:rPr>
        <w:t>1</w:t>
      </w:r>
      <w:r w:rsidR="00C757FC" w:rsidRPr="00B747CD">
        <w:rPr>
          <w:rFonts w:ascii="Book Antiqua" w:hAnsi="Book Antiqua" w:cs="Arial"/>
          <w:color w:val="000000" w:themeColor="text1"/>
          <w:sz w:val="24"/>
          <w:szCs w:val="24"/>
          <w:vertAlign w:val="superscript"/>
        </w:rPr>
        <w:t>3</w:t>
      </w:r>
      <w:r w:rsidRPr="00B747CD">
        <w:rPr>
          <w:rFonts w:ascii="Book Antiqua" w:hAnsi="Book Antiqua" w:cs="Arial"/>
          <w:color w:val="000000" w:themeColor="text1"/>
          <w:sz w:val="24"/>
          <w:szCs w:val="24"/>
          <w:vertAlign w:val="superscript"/>
        </w:rPr>
        <w:t>,</w:t>
      </w:r>
      <w:r w:rsidR="00995F70" w:rsidRPr="00B747CD">
        <w:rPr>
          <w:rFonts w:ascii="Book Antiqua" w:hAnsi="Book Antiqua" w:cs="Arial"/>
          <w:color w:val="000000" w:themeColor="text1"/>
          <w:sz w:val="24"/>
          <w:szCs w:val="24"/>
          <w:vertAlign w:val="superscript"/>
        </w:rPr>
        <w:t>3</w:t>
      </w:r>
      <w:r w:rsidR="00125BAA" w:rsidRPr="00B747CD">
        <w:rPr>
          <w:rFonts w:ascii="Book Antiqua" w:hAnsi="Book Antiqua" w:cs="Arial"/>
          <w:color w:val="000000" w:themeColor="text1"/>
          <w:sz w:val="24"/>
          <w:szCs w:val="24"/>
          <w:vertAlign w:val="superscript"/>
        </w:rPr>
        <w:t>4</w:t>
      </w:r>
      <w:r w:rsidR="00C4262C" w:rsidRPr="00B747CD">
        <w:rPr>
          <w:rFonts w:ascii="Book Antiqua" w:hAnsi="Book Antiqua" w:cs="Arial"/>
          <w:color w:val="000000" w:themeColor="text1"/>
          <w:sz w:val="24"/>
          <w:szCs w:val="24"/>
          <w:vertAlign w:val="superscript"/>
        </w:rPr>
        <w:t>]</w:t>
      </w:r>
      <w:r w:rsidR="009C49FD" w:rsidRPr="00B747CD">
        <w:rPr>
          <w:rFonts w:ascii="Book Antiqua" w:hAnsi="Book Antiqua" w:cs="Arial"/>
          <w:color w:val="000000" w:themeColor="text1"/>
          <w:sz w:val="24"/>
          <w:szCs w:val="24"/>
        </w:rPr>
        <w:t>.</w:t>
      </w:r>
      <w:r w:rsidR="00995F7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A major limitation of platelet transfusions is the short lifespan of platelets, which </w:t>
      </w:r>
      <w:r w:rsidR="009C49FD" w:rsidRPr="00B747CD">
        <w:rPr>
          <w:rFonts w:ascii="Book Antiqua" w:hAnsi="Book Antiqua" w:cs="Arial"/>
          <w:color w:val="000000" w:themeColor="text1"/>
          <w:sz w:val="24"/>
          <w:szCs w:val="24"/>
        </w:rPr>
        <w:t xml:space="preserve">require </w:t>
      </w:r>
      <w:r w:rsidRPr="00B747CD">
        <w:rPr>
          <w:rFonts w:ascii="Book Antiqua" w:hAnsi="Book Antiqua" w:cs="Arial"/>
          <w:color w:val="000000" w:themeColor="text1"/>
          <w:sz w:val="24"/>
          <w:szCs w:val="24"/>
        </w:rPr>
        <w:t>use</w:t>
      </w:r>
      <w:r w:rsidR="009C49FD" w:rsidRPr="00B747CD">
        <w:rPr>
          <w:rFonts w:ascii="Book Antiqua" w:hAnsi="Book Antiqua" w:cs="Arial"/>
          <w:color w:val="000000" w:themeColor="text1"/>
          <w:sz w:val="24"/>
          <w:szCs w:val="24"/>
        </w:rPr>
        <w:t xml:space="preserve"> to occur</w:t>
      </w:r>
      <w:r w:rsidRPr="00B747CD">
        <w:rPr>
          <w:rFonts w:ascii="Book Antiqua" w:hAnsi="Book Antiqua" w:cs="Arial"/>
          <w:color w:val="000000" w:themeColor="text1"/>
          <w:sz w:val="24"/>
          <w:szCs w:val="24"/>
        </w:rPr>
        <w:t xml:space="preserve"> within 4 d</w:t>
      </w:r>
      <w:r w:rsidR="009C49FD" w:rsidRPr="00B747CD">
        <w:rPr>
          <w:rFonts w:ascii="Book Antiqua" w:hAnsi="Book Antiqua" w:cs="Arial"/>
          <w:color w:val="000000" w:themeColor="text1"/>
          <w:sz w:val="24"/>
          <w:szCs w:val="24"/>
        </w:rPr>
        <w:t xml:space="preserve"> of obtainment</w:t>
      </w:r>
      <w:r w:rsidRPr="00B747CD">
        <w:rPr>
          <w:rFonts w:ascii="Book Antiqua" w:hAnsi="Book Antiqua" w:cs="Arial"/>
          <w:color w:val="000000" w:themeColor="text1"/>
          <w:sz w:val="24"/>
          <w:szCs w:val="24"/>
        </w:rPr>
        <w:t xml:space="preserve"> to prevent bacterial </w:t>
      </w:r>
      <w:proofErr w:type="gramStart"/>
      <w:r w:rsidRPr="00B747CD">
        <w:rPr>
          <w:rFonts w:ascii="Book Antiqua" w:hAnsi="Book Antiqua" w:cs="Arial"/>
          <w:color w:val="000000" w:themeColor="text1"/>
          <w:sz w:val="24"/>
          <w:szCs w:val="24"/>
        </w:rPr>
        <w:t>growth</w:t>
      </w:r>
      <w:r w:rsidR="00C4262C" w:rsidRPr="00B747CD">
        <w:rPr>
          <w:rFonts w:ascii="Book Antiqua" w:hAnsi="Book Antiqua" w:cs="Arial"/>
          <w:color w:val="000000" w:themeColor="text1"/>
          <w:sz w:val="24"/>
          <w:szCs w:val="24"/>
          <w:vertAlign w:val="superscript"/>
        </w:rPr>
        <w:t>[</w:t>
      </w:r>
      <w:proofErr w:type="gramEnd"/>
      <w:r w:rsidR="00995F70" w:rsidRPr="00B747CD">
        <w:rPr>
          <w:rFonts w:ascii="Book Antiqua" w:hAnsi="Book Antiqua" w:cs="Arial"/>
          <w:color w:val="000000" w:themeColor="text1"/>
          <w:sz w:val="24"/>
          <w:szCs w:val="24"/>
          <w:vertAlign w:val="superscript"/>
        </w:rPr>
        <w:t>3</w:t>
      </w:r>
      <w:r w:rsidR="00125BAA" w:rsidRPr="00B747CD">
        <w:rPr>
          <w:rFonts w:ascii="Book Antiqua" w:hAnsi="Book Antiqua" w:cs="Arial"/>
          <w:color w:val="000000" w:themeColor="text1"/>
          <w:sz w:val="24"/>
          <w:szCs w:val="24"/>
          <w:vertAlign w:val="superscript"/>
        </w:rPr>
        <w:t>3</w:t>
      </w:r>
      <w:r w:rsidR="00C4262C" w:rsidRPr="00B747CD">
        <w:rPr>
          <w:rFonts w:ascii="Book Antiqua" w:hAnsi="Book Antiqua" w:cs="Arial"/>
          <w:color w:val="000000" w:themeColor="text1"/>
          <w:sz w:val="24"/>
          <w:szCs w:val="24"/>
          <w:vertAlign w:val="superscript"/>
        </w:rPr>
        <w:t>]</w:t>
      </w:r>
      <w:r w:rsidR="009C49FD" w:rsidRPr="00B747CD">
        <w:rPr>
          <w:rFonts w:ascii="Book Antiqua" w:hAnsi="Book Antiqua" w:cs="Arial"/>
          <w:color w:val="000000" w:themeColor="text1"/>
          <w:sz w:val="24"/>
          <w:szCs w:val="24"/>
        </w:rPr>
        <w:t>.</w:t>
      </w:r>
      <w:r w:rsidR="00995F7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There is also a shortage of platelets currently</w:t>
      </w:r>
      <w:r w:rsidR="009C49FD"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due to the decline in blood collection and </w:t>
      </w:r>
      <w:proofErr w:type="gramStart"/>
      <w:r w:rsidRPr="00B747CD">
        <w:rPr>
          <w:rFonts w:ascii="Book Antiqua" w:hAnsi="Book Antiqua" w:cs="Arial"/>
          <w:color w:val="000000" w:themeColor="text1"/>
          <w:sz w:val="24"/>
          <w:szCs w:val="24"/>
        </w:rPr>
        <w:t>utilization</w:t>
      </w:r>
      <w:r w:rsidR="00C4262C" w:rsidRPr="00B747CD">
        <w:rPr>
          <w:rFonts w:ascii="Book Antiqua" w:hAnsi="Book Antiqua" w:cs="Arial"/>
          <w:color w:val="000000" w:themeColor="text1"/>
          <w:sz w:val="24"/>
          <w:szCs w:val="24"/>
          <w:vertAlign w:val="superscript"/>
        </w:rPr>
        <w:t>[</w:t>
      </w:r>
      <w:proofErr w:type="gramEnd"/>
      <w:r w:rsidR="00995F70" w:rsidRPr="00B747CD">
        <w:rPr>
          <w:rFonts w:ascii="Book Antiqua" w:hAnsi="Book Antiqua" w:cs="Arial"/>
          <w:color w:val="000000" w:themeColor="text1"/>
          <w:sz w:val="24"/>
          <w:szCs w:val="24"/>
          <w:vertAlign w:val="superscript"/>
        </w:rPr>
        <w:t>3</w:t>
      </w:r>
      <w:r w:rsidR="00125BAA" w:rsidRPr="00B747CD">
        <w:rPr>
          <w:rFonts w:ascii="Book Antiqua" w:hAnsi="Book Antiqua" w:cs="Arial"/>
          <w:color w:val="000000" w:themeColor="text1"/>
          <w:sz w:val="24"/>
          <w:szCs w:val="24"/>
          <w:vertAlign w:val="superscript"/>
        </w:rPr>
        <w:t>5</w:t>
      </w:r>
      <w:r w:rsidR="00C4262C" w:rsidRPr="00B747CD">
        <w:rPr>
          <w:rFonts w:ascii="Book Antiqua" w:hAnsi="Book Antiqua" w:cs="Arial"/>
          <w:color w:val="000000" w:themeColor="text1"/>
          <w:sz w:val="24"/>
          <w:szCs w:val="24"/>
          <w:vertAlign w:val="superscript"/>
        </w:rPr>
        <w:t>]</w:t>
      </w:r>
      <w:r w:rsidR="009C49FD" w:rsidRPr="00B747CD">
        <w:rPr>
          <w:rFonts w:ascii="Book Antiqua" w:hAnsi="Book Antiqua" w:cs="Arial"/>
          <w:color w:val="000000" w:themeColor="text1"/>
          <w:sz w:val="24"/>
          <w:szCs w:val="24"/>
        </w:rPr>
        <w:t>.</w:t>
      </w:r>
      <w:r w:rsidR="00995F70" w:rsidRPr="00B747CD">
        <w:rPr>
          <w:rFonts w:ascii="Book Antiqua" w:hAnsi="Book Antiqua" w:cs="Arial"/>
          <w:color w:val="000000" w:themeColor="text1"/>
          <w:sz w:val="24"/>
          <w:szCs w:val="24"/>
          <w:vertAlign w:val="superscript"/>
        </w:rPr>
        <w:t xml:space="preserve"> </w:t>
      </w:r>
    </w:p>
    <w:p w14:paraId="2D1CA335" w14:textId="51BBF816" w:rsidR="0089274F" w:rsidRPr="00B747CD" w:rsidRDefault="0089274F" w:rsidP="00B747CD">
      <w:pPr>
        <w:adjustRightInd w:val="0"/>
        <w:snapToGrid w:val="0"/>
        <w:spacing w:after="0" w:line="360" w:lineRule="auto"/>
        <w:ind w:firstLineChars="100" w:firstLine="240"/>
        <w:jc w:val="both"/>
        <w:rPr>
          <w:rFonts w:ascii="Book Antiqua" w:hAnsi="Book Antiqua" w:cs="Arial"/>
          <w:color w:val="000000" w:themeColor="text1"/>
          <w:sz w:val="24"/>
          <w:szCs w:val="24"/>
          <w:vertAlign w:val="superscript"/>
        </w:rPr>
      </w:pPr>
      <w:r w:rsidRPr="00B747CD">
        <w:rPr>
          <w:rFonts w:ascii="Book Antiqua" w:hAnsi="Book Antiqua" w:cs="Arial"/>
          <w:color w:val="000000" w:themeColor="text1"/>
          <w:sz w:val="24"/>
          <w:szCs w:val="24"/>
        </w:rPr>
        <w:t>While platelet transfusions can effectively increase platelet counts in the perioperative setting, factors such as alloimmunization or personal beliefs (</w:t>
      </w:r>
      <w:r w:rsidRPr="00B747CD">
        <w:rPr>
          <w:rFonts w:ascii="Book Antiqua" w:hAnsi="Book Antiqua" w:cs="Arial"/>
          <w:i/>
          <w:iCs/>
          <w:color w:val="000000" w:themeColor="text1"/>
          <w:sz w:val="24"/>
          <w:szCs w:val="24"/>
        </w:rPr>
        <w:t>e</w:t>
      </w:r>
      <w:r w:rsidR="009C49FD" w:rsidRPr="00B747CD">
        <w:rPr>
          <w:rFonts w:ascii="Book Antiqua" w:hAnsi="Book Antiqua" w:cs="Arial"/>
          <w:i/>
          <w:iCs/>
          <w:color w:val="000000" w:themeColor="text1"/>
          <w:sz w:val="24"/>
          <w:szCs w:val="24"/>
        </w:rPr>
        <w:t>.</w:t>
      </w:r>
      <w:r w:rsidRPr="00B747CD">
        <w:rPr>
          <w:rFonts w:ascii="Book Antiqua" w:hAnsi="Book Antiqua" w:cs="Arial"/>
          <w:i/>
          <w:iCs/>
          <w:color w:val="000000" w:themeColor="text1"/>
          <w:sz w:val="24"/>
          <w:szCs w:val="24"/>
        </w:rPr>
        <w:t>g</w:t>
      </w:r>
      <w:r w:rsidR="009C49FD"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Jehovah’s Witnesses)</w:t>
      </w:r>
      <w:r w:rsidR="009C49FD"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suggest a need for </w:t>
      </w:r>
      <w:proofErr w:type="gramStart"/>
      <w:r w:rsidRPr="00B747CD">
        <w:rPr>
          <w:rFonts w:ascii="Book Antiqua" w:hAnsi="Book Antiqua" w:cs="Arial"/>
          <w:color w:val="000000" w:themeColor="text1"/>
          <w:sz w:val="24"/>
          <w:szCs w:val="24"/>
        </w:rPr>
        <w:t>alternatives</w:t>
      </w:r>
      <w:r w:rsidR="00C4262C" w:rsidRPr="00B747CD">
        <w:rPr>
          <w:rFonts w:ascii="Book Antiqua" w:hAnsi="Book Antiqua" w:cs="Arial"/>
          <w:color w:val="000000" w:themeColor="text1"/>
          <w:sz w:val="24"/>
          <w:szCs w:val="24"/>
          <w:vertAlign w:val="superscript"/>
        </w:rPr>
        <w:t>[</w:t>
      </w:r>
      <w:proofErr w:type="gramEnd"/>
      <w:r w:rsidRPr="00B747CD">
        <w:rPr>
          <w:rFonts w:ascii="Book Antiqua" w:hAnsi="Book Antiqua" w:cs="Arial"/>
          <w:color w:val="000000" w:themeColor="text1"/>
          <w:sz w:val="24"/>
          <w:szCs w:val="24"/>
          <w:vertAlign w:val="superscript"/>
        </w:rPr>
        <w:t>9</w:t>
      </w:r>
      <w:r w:rsidR="00C4262C" w:rsidRPr="00B747CD">
        <w:rPr>
          <w:rFonts w:ascii="Book Antiqua" w:hAnsi="Book Antiqua" w:cs="Arial"/>
          <w:color w:val="000000" w:themeColor="text1"/>
          <w:sz w:val="24"/>
          <w:szCs w:val="24"/>
          <w:vertAlign w:val="superscript"/>
        </w:rPr>
        <w:t>]</w:t>
      </w:r>
      <w:r w:rsidR="009C49FD"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p>
    <w:p w14:paraId="158D782A" w14:textId="77777777" w:rsidR="002D2AD5" w:rsidRPr="00B747CD" w:rsidRDefault="002D2AD5" w:rsidP="00B747CD">
      <w:pPr>
        <w:adjustRightInd w:val="0"/>
        <w:snapToGrid w:val="0"/>
        <w:spacing w:after="0" w:line="360" w:lineRule="auto"/>
        <w:jc w:val="both"/>
        <w:rPr>
          <w:rFonts w:ascii="Book Antiqua" w:eastAsia="Times New Roman" w:hAnsi="Book Antiqua" w:cs="Arial"/>
          <w:bCs/>
          <w:color w:val="000000" w:themeColor="text1"/>
          <w:sz w:val="24"/>
          <w:szCs w:val="24"/>
        </w:rPr>
      </w:pPr>
    </w:p>
    <w:p w14:paraId="3EADF954" w14:textId="377CC845" w:rsidR="0089274F" w:rsidRPr="00B747CD" w:rsidRDefault="0089274F" w:rsidP="00B747CD">
      <w:pPr>
        <w:adjustRightInd w:val="0"/>
        <w:snapToGrid w:val="0"/>
        <w:spacing w:after="0" w:line="360" w:lineRule="auto"/>
        <w:jc w:val="both"/>
        <w:rPr>
          <w:rFonts w:ascii="Book Antiqua" w:eastAsia="Times New Roman" w:hAnsi="Book Antiqua" w:cs="Arial"/>
          <w:b/>
          <w:bCs/>
          <w:color w:val="000000" w:themeColor="text1"/>
          <w:sz w:val="24"/>
          <w:szCs w:val="24"/>
          <w:u w:val="single"/>
        </w:rPr>
      </w:pPr>
      <w:r w:rsidRPr="00B747CD">
        <w:rPr>
          <w:rFonts w:ascii="Book Antiqua" w:eastAsia="Times New Roman" w:hAnsi="Book Antiqua" w:cs="Arial"/>
          <w:b/>
          <w:bCs/>
          <w:color w:val="000000" w:themeColor="text1"/>
          <w:sz w:val="24"/>
          <w:szCs w:val="24"/>
          <w:u w:val="single"/>
        </w:rPr>
        <w:t>G</w:t>
      </w:r>
      <w:r w:rsidR="009C49FD" w:rsidRPr="00B747CD">
        <w:rPr>
          <w:rFonts w:ascii="Book Antiqua" w:eastAsia="Times New Roman" w:hAnsi="Book Antiqua" w:cs="Arial"/>
          <w:b/>
          <w:bCs/>
          <w:color w:val="000000" w:themeColor="text1"/>
          <w:sz w:val="24"/>
          <w:szCs w:val="24"/>
          <w:u w:val="single"/>
        </w:rPr>
        <w:t>UIDANCE ON USE OF</w:t>
      </w:r>
      <w:r w:rsidRPr="00B747CD">
        <w:rPr>
          <w:rFonts w:ascii="Book Antiqua" w:eastAsia="Times New Roman" w:hAnsi="Book Antiqua" w:cs="Arial"/>
          <w:b/>
          <w:bCs/>
          <w:color w:val="000000" w:themeColor="text1"/>
          <w:sz w:val="24"/>
          <w:szCs w:val="24"/>
          <w:u w:val="single"/>
        </w:rPr>
        <w:t xml:space="preserve"> TPO-RAs </w:t>
      </w:r>
    </w:p>
    <w:p w14:paraId="6D0B5868" w14:textId="77777777" w:rsidR="00B77418" w:rsidRPr="00B747CD" w:rsidRDefault="0089274F" w:rsidP="00B747CD">
      <w:pPr>
        <w:adjustRightInd w:val="0"/>
        <w:snapToGrid w:val="0"/>
        <w:spacing w:after="0" w:line="360" w:lineRule="auto"/>
        <w:jc w:val="both"/>
        <w:rPr>
          <w:rFonts w:ascii="Book Antiqua" w:hAnsi="Book Antiqua" w:cs="Arial"/>
          <w:bCs/>
          <w:color w:val="000000" w:themeColor="text1"/>
          <w:sz w:val="24"/>
          <w:szCs w:val="24"/>
          <w:lang w:eastAsia="zh-CN"/>
        </w:rPr>
      </w:pPr>
      <w:r w:rsidRPr="00B747CD">
        <w:rPr>
          <w:rFonts w:ascii="Book Antiqua" w:eastAsia="Times New Roman" w:hAnsi="Book Antiqua" w:cs="Arial"/>
          <w:bCs/>
          <w:color w:val="000000" w:themeColor="text1"/>
          <w:sz w:val="24"/>
          <w:szCs w:val="24"/>
        </w:rPr>
        <w:t>The treatment of patients with thrombocytopenia who require a medical procedure is variable and uncertain</w:t>
      </w:r>
      <w:r w:rsidR="009C49FD"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as there are limited data to inform decisions. The aim of the treating physician is to minimize bleeding and improve clinical outcomes. Even though guidelines have no consensus on the threshold for platelet transfusion, most do support raising the platelet levels (to varying degrees) prior to procedures. This, combined with the risk associated with platelet transfusions, may make </w:t>
      </w:r>
      <w:r w:rsidRPr="00B747CD">
        <w:rPr>
          <w:rFonts w:ascii="Book Antiqua" w:hAnsi="Book Antiqua" w:cs="Arial"/>
          <w:color w:val="000000" w:themeColor="text1"/>
          <w:sz w:val="24"/>
          <w:szCs w:val="24"/>
        </w:rPr>
        <w:t>TPO-RAs an alternative to platelet transfusions in patients with CLD.</w:t>
      </w:r>
    </w:p>
    <w:p w14:paraId="3EC1E781" w14:textId="77777777" w:rsidR="00B77418" w:rsidRPr="00B747CD" w:rsidRDefault="0089274F" w:rsidP="00B747CD">
      <w:pPr>
        <w:adjustRightInd w:val="0"/>
        <w:snapToGrid w:val="0"/>
        <w:spacing w:after="0" w:line="360" w:lineRule="auto"/>
        <w:ind w:firstLineChars="100" w:firstLine="240"/>
        <w:jc w:val="both"/>
        <w:rPr>
          <w:rFonts w:ascii="Book Antiqua" w:hAnsi="Book Antiqua" w:cs="Arial"/>
          <w:bCs/>
          <w:color w:val="000000" w:themeColor="text1"/>
          <w:sz w:val="24"/>
          <w:szCs w:val="24"/>
          <w:lang w:eastAsia="zh-CN"/>
        </w:rPr>
      </w:pPr>
      <w:r w:rsidRPr="00B747CD">
        <w:rPr>
          <w:rFonts w:ascii="Book Antiqua" w:eastAsia="Times New Roman" w:hAnsi="Book Antiqua" w:cs="Arial"/>
          <w:bCs/>
          <w:color w:val="000000" w:themeColor="text1"/>
          <w:sz w:val="24"/>
          <w:szCs w:val="24"/>
        </w:rPr>
        <w:t xml:space="preserve">An ideal treatment for thrombocytopenia in patients with CLD undergoing an invasive procedure would have the following characteristics: </w:t>
      </w:r>
      <w:r w:rsidR="00B77418" w:rsidRPr="00B747CD">
        <w:rPr>
          <w:rFonts w:ascii="Book Antiqua" w:hAnsi="Book Antiqua" w:cs="Arial"/>
          <w:bCs/>
          <w:color w:val="000000" w:themeColor="text1"/>
          <w:sz w:val="24"/>
          <w:szCs w:val="24"/>
          <w:lang w:eastAsia="zh-CN"/>
        </w:rPr>
        <w:t>(1</w:t>
      </w:r>
      <w:r w:rsidRPr="00B747CD">
        <w:rPr>
          <w:rFonts w:ascii="Book Antiqua" w:eastAsia="Times New Roman" w:hAnsi="Book Antiqua" w:cs="Arial"/>
          <w:bCs/>
          <w:color w:val="000000" w:themeColor="text1"/>
          <w:sz w:val="24"/>
          <w:szCs w:val="24"/>
        </w:rPr>
        <w:t>) effective</w:t>
      </w:r>
      <w:r w:rsidR="009C49FD" w:rsidRPr="00B747CD">
        <w:rPr>
          <w:rFonts w:ascii="Book Antiqua" w:eastAsia="Times New Roman" w:hAnsi="Book Antiqua" w:cs="Arial"/>
          <w:bCs/>
          <w:color w:val="000000" w:themeColor="text1"/>
          <w:sz w:val="24"/>
          <w:szCs w:val="24"/>
        </w:rPr>
        <w:t>ness;</w:t>
      </w:r>
      <w:r w:rsidRPr="00B747CD">
        <w:rPr>
          <w:rFonts w:ascii="Book Antiqua" w:eastAsia="Times New Roman" w:hAnsi="Book Antiqua" w:cs="Arial"/>
          <w:bCs/>
          <w:color w:val="000000" w:themeColor="text1"/>
          <w:sz w:val="24"/>
          <w:szCs w:val="24"/>
        </w:rPr>
        <w:t xml:space="preserve"> </w:t>
      </w:r>
      <w:r w:rsidR="00B77418" w:rsidRPr="00B747CD">
        <w:rPr>
          <w:rFonts w:ascii="Book Antiqua" w:hAnsi="Book Antiqua" w:cs="Arial"/>
          <w:bCs/>
          <w:color w:val="000000" w:themeColor="text1"/>
          <w:sz w:val="24"/>
          <w:szCs w:val="24"/>
          <w:lang w:eastAsia="zh-CN"/>
        </w:rPr>
        <w:t>(2</w:t>
      </w:r>
      <w:r w:rsidRPr="00B747CD">
        <w:rPr>
          <w:rFonts w:ascii="Book Antiqua" w:eastAsia="Times New Roman" w:hAnsi="Book Antiqua" w:cs="Arial"/>
          <w:bCs/>
          <w:color w:val="000000" w:themeColor="text1"/>
          <w:sz w:val="24"/>
          <w:szCs w:val="24"/>
        </w:rPr>
        <w:t>) oral bioavailab</w:t>
      </w:r>
      <w:r w:rsidR="009C49FD" w:rsidRPr="00B747CD">
        <w:rPr>
          <w:rFonts w:ascii="Book Antiqua" w:eastAsia="Times New Roman" w:hAnsi="Book Antiqua" w:cs="Arial"/>
          <w:bCs/>
          <w:color w:val="000000" w:themeColor="text1"/>
          <w:sz w:val="24"/>
          <w:szCs w:val="24"/>
        </w:rPr>
        <w:t>i</w:t>
      </w:r>
      <w:r w:rsidRPr="00B747CD">
        <w:rPr>
          <w:rFonts w:ascii="Book Antiqua" w:eastAsia="Times New Roman" w:hAnsi="Book Antiqua" w:cs="Arial"/>
          <w:bCs/>
          <w:color w:val="000000" w:themeColor="text1"/>
          <w:sz w:val="24"/>
          <w:szCs w:val="24"/>
        </w:rPr>
        <w:t>l</w:t>
      </w:r>
      <w:r w:rsidR="009C49FD" w:rsidRPr="00B747CD">
        <w:rPr>
          <w:rFonts w:ascii="Book Antiqua" w:eastAsia="Times New Roman" w:hAnsi="Book Antiqua" w:cs="Arial"/>
          <w:bCs/>
          <w:color w:val="000000" w:themeColor="text1"/>
          <w:sz w:val="24"/>
          <w:szCs w:val="24"/>
        </w:rPr>
        <w:t>ity;</w:t>
      </w:r>
      <w:r w:rsidRPr="00B747CD">
        <w:rPr>
          <w:rFonts w:ascii="Book Antiqua" w:eastAsia="Times New Roman" w:hAnsi="Book Antiqua" w:cs="Arial"/>
          <w:bCs/>
          <w:color w:val="000000" w:themeColor="text1"/>
          <w:sz w:val="24"/>
          <w:szCs w:val="24"/>
        </w:rPr>
        <w:t xml:space="preserve"> </w:t>
      </w:r>
      <w:r w:rsidR="00B77418" w:rsidRPr="00B747CD">
        <w:rPr>
          <w:rFonts w:ascii="Book Antiqua" w:hAnsi="Book Antiqua" w:cs="Arial"/>
          <w:bCs/>
          <w:color w:val="000000" w:themeColor="text1"/>
          <w:sz w:val="24"/>
          <w:szCs w:val="24"/>
          <w:lang w:eastAsia="zh-CN"/>
        </w:rPr>
        <w:t>(3</w:t>
      </w:r>
      <w:r w:rsidRPr="00B747CD">
        <w:rPr>
          <w:rFonts w:ascii="Book Antiqua" w:eastAsia="Times New Roman" w:hAnsi="Book Antiqua" w:cs="Arial"/>
          <w:bCs/>
          <w:color w:val="000000" w:themeColor="text1"/>
          <w:sz w:val="24"/>
          <w:szCs w:val="24"/>
        </w:rPr>
        <w:t>) minimal adverse effects</w:t>
      </w:r>
      <w:r w:rsidR="009C49FD"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and </w:t>
      </w:r>
      <w:r w:rsidR="00B77418" w:rsidRPr="00B747CD">
        <w:rPr>
          <w:rFonts w:ascii="Book Antiqua" w:hAnsi="Book Antiqua" w:cs="Arial"/>
          <w:bCs/>
          <w:color w:val="000000" w:themeColor="text1"/>
          <w:sz w:val="24"/>
          <w:szCs w:val="24"/>
          <w:lang w:eastAsia="zh-CN"/>
        </w:rPr>
        <w:t>(4</w:t>
      </w:r>
      <w:r w:rsidRPr="00B747CD">
        <w:rPr>
          <w:rFonts w:ascii="Book Antiqua" w:eastAsia="Times New Roman" w:hAnsi="Book Antiqua" w:cs="Arial"/>
          <w:bCs/>
          <w:color w:val="000000" w:themeColor="text1"/>
          <w:sz w:val="24"/>
          <w:szCs w:val="24"/>
        </w:rPr>
        <w:t>) cost-effective</w:t>
      </w:r>
      <w:r w:rsidR="001368F2" w:rsidRPr="00B747CD">
        <w:rPr>
          <w:rFonts w:ascii="Book Antiqua" w:eastAsia="Times New Roman" w:hAnsi="Book Antiqua" w:cs="Arial"/>
          <w:bCs/>
          <w:color w:val="000000" w:themeColor="text1"/>
          <w:sz w:val="24"/>
          <w:szCs w:val="24"/>
        </w:rPr>
        <w:t>ness</w:t>
      </w:r>
      <w:r w:rsidRPr="00B747CD">
        <w:rPr>
          <w:rFonts w:ascii="Book Antiqua" w:eastAsia="Times New Roman" w:hAnsi="Book Antiqua" w:cs="Arial"/>
          <w:bCs/>
          <w:color w:val="000000" w:themeColor="text1"/>
          <w:sz w:val="24"/>
          <w:szCs w:val="24"/>
        </w:rPr>
        <w:t xml:space="preserve">. Neither platelet </w:t>
      </w:r>
      <w:r w:rsidRPr="00B747CD">
        <w:rPr>
          <w:rFonts w:ascii="Book Antiqua" w:eastAsia="Times New Roman" w:hAnsi="Book Antiqua" w:cs="Arial"/>
          <w:bCs/>
          <w:color w:val="000000" w:themeColor="text1"/>
          <w:sz w:val="24"/>
          <w:szCs w:val="24"/>
        </w:rPr>
        <w:lastRenderedPageBreak/>
        <w:t xml:space="preserve">transfusions nor TPO-RAs satisfy all these requirements. </w:t>
      </w:r>
      <w:r w:rsidRPr="00B747CD">
        <w:rPr>
          <w:rFonts w:ascii="Book Antiqua" w:eastAsia="Times New Roman" w:hAnsi="Book Antiqua" w:cs="Arial"/>
          <w:color w:val="000000" w:themeColor="text1"/>
          <w:sz w:val="24"/>
          <w:szCs w:val="24"/>
        </w:rPr>
        <w:t>Table 2</w:t>
      </w:r>
      <w:r w:rsidRPr="00B747CD">
        <w:rPr>
          <w:rFonts w:ascii="Book Antiqua" w:eastAsia="Times New Roman" w:hAnsi="Book Antiqua" w:cs="Arial"/>
          <w:bCs/>
          <w:color w:val="000000" w:themeColor="text1"/>
          <w:sz w:val="24"/>
          <w:szCs w:val="24"/>
        </w:rPr>
        <w:t xml:space="preserve"> lists the key safety and tolerability information for each TPO-RA approved for use. Unlike platelet transfusions, TPO-RAs are not capable of increasing platelet counts rapidly</w:t>
      </w:r>
      <w:r w:rsidR="001368F2"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as the platelet counts increase approximately 5-7 d after and peak approximately 10-14 d after administration of a TPO-</w:t>
      </w:r>
      <w:proofErr w:type="gramStart"/>
      <w:r w:rsidRPr="00B747CD">
        <w:rPr>
          <w:rFonts w:ascii="Book Antiqua" w:eastAsia="Times New Roman" w:hAnsi="Book Antiqua" w:cs="Arial"/>
          <w:bCs/>
          <w:color w:val="000000" w:themeColor="text1"/>
          <w:sz w:val="24"/>
          <w:szCs w:val="24"/>
        </w:rPr>
        <w:t>RA</w:t>
      </w:r>
      <w:r w:rsidR="00C4262C" w:rsidRPr="00B747CD">
        <w:rPr>
          <w:rFonts w:ascii="Book Antiqua" w:eastAsia="Times New Roman" w:hAnsi="Book Antiqua" w:cs="Arial"/>
          <w:bCs/>
          <w:color w:val="000000" w:themeColor="text1"/>
          <w:sz w:val="24"/>
          <w:szCs w:val="24"/>
          <w:vertAlign w:val="superscript"/>
        </w:rPr>
        <w:t>[</w:t>
      </w:r>
      <w:proofErr w:type="gramEnd"/>
      <w:r w:rsidR="00995F70" w:rsidRPr="00B747CD">
        <w:rPr>
          <w:rFonts w:ascii="Book Antiqua" w:eastAsia="Times New Roman" w:hAnsi="Book Antiqua" w:cs="Arial"/>
          <w:bCs/>
          <w:color w:val="000000" w:themeColor="text1"/>
          <w:sz w:val="24"/>
          <w:szCs w:val="24"/>
          <w:vertAlign w:val="superscript"/>
        </w:rPr>
        <w:t>3</w:t>
      </w:r>
      <w:r w:rsidR="00125BAA" w:rsidRPr="00B747CD">
        <w:rPr>
          <w:rFonts w:ascii="Book Antiqua" w:eastAsia="Times New Roman" w:hAnsi="Book Antiqua" w:cs="Arial"/>
          <w:bCs/>
          <w:color w:val="000000" w:themeColor="text1"/>
          <w:sz w:val="24"/>
          <w:szCs w:val="24"/>
          <w:vertAlign w:val="superscript"/>
        </w:rPr>
        <w:t>6</w:t>
      </w:r>
      <w:r w:rsidR="00C4262C" w:rsidRPr="00B747CD">
        <w:rPr>
          <w:rFonts w:ascii="Book Antiqua" w:eastAsia="Times New Roman" w:hAnsi="Book Antiqua" w:cs="Arial"/>
          <w:bCs/>
          <w:color w:val="000000" w:themeColor="text1"/>
          <w:sz w:val="24"/>
          <w:szCs w:val="24"/>
          <w:vertAlign w:val="superscript"/>
        </w:rPr>
        <w:t>]</w:t>
      </w:r>
      <w:r w:rsidR="001368F2" w:rsidRPr="00B747CD">
        <w:rPr>
          <w:rFonts w:ascii="Book Antiqua" w:eastAsia="Times New Roman" w:hAnsi="Book Antiqua" w:cs="Arial"/>
          <w:bCs/>
          <w:color w:val="000000" w:themeColor="text1"/>
          <w:sz w:val="24"/>
          <w:szCs w:val="24"/>
        </w:rPr>
        <w:t>.</w:t>
      </w:r>
      <w:r w:rsidR="00995F70"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color w:val="000000" w:themeColor="text1"/>
          <w:sz w:val="24"/>
          <w:szCs w:val="24"/>
        </w:rPr>
        <w:t>Therefore, one potential disadvantage of TPO-RAs is the lag time between dosage and increased platelet numbers</w:t>
      </w:r>
      <w:r w:rsidR="00D5754C" w:rsidRPr="00B747CD">
        <w:rPr>
          <w:rFonts w:ascii="Book Antiqua" w:eastAsia="Times New Roman" w:hAnsi="Book Antiqua" w:cs="Arial"/>
          <w:color w:val="000000" w:themeColor="text1"/>
          <w:sz w:val="24"/>
          <w:szCs w:val="24"/>
        </w:rPr>
        <w:t>,</w:t>
      </w:r>
      <w:r w:rsidRPr="00B747CD">
        <w:rPr>
          <w:rFonts w:ascii="Book Antiqua" w:eastAsia="Times New Roman" w:hAnsi="Book Antiqua" w:cs="Arial"/>
          <w:color w:val="000000" w:themeColor="text1"/>
          <w:sz w:val="24"/>
          <w:szCs w:val="24"/>
        </w:rPr>
        <w:t xml:space="preserve"> as it prevents the use of TPO-RAs in emergent situations. The </w:t>
      </w:r>
      <w:r w:rsidRPr="00B747CD">
        <w:rPr>
          <w:rFonts w:ascii="Book Antiqua" w:eastAsia="Times New Roman" w:hAnsi="Book Antiqua" w:cs="Arial"/>
          <w:bCs/>
          <w:color w:val="000000" w:themeColor="text1"/>
          <w:sz w:val="24"/>
          <w:szCs w:val="24"/>
        </w:rPr>
        <w:t>advantages of TPO-RAs include oral bioavailability (except in case of romiplostim</w:t>
      </w:r>
      <w:r w:rsidR="00D5754C"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which is administered subcutaneously)</w:t>
      </w:r>
      <w:r w:rsidR="007115AF" w:rsidRPr="00B747CD">
        <w:rPr>
          <w:rFonts w:ascii="Book Antiqua" w:eastAsia="Times New Roman" w:hAnsi="Book Antiqua" w:cs="Arial"/>
          <w:bCs/>
          <w:color w:val="000000" w:themeColor="text1"/>
          <w:sz w:val="24"/>
          <w:szCs w:val="24"/>
        </w:rPr>
        <w:t xml:space="preserve">, </w:t>
      </w:r>
      <w:r w:rsidRPr="00B747CD">
        <w:rPr>
          <w:rFonts w:ascii="Book Antiqua" w:eastAsia="Times New Roman" w:hAnsi="Book Antiqua" w:cs="Arial"/>
          <w:bCs/>
          <w:color w:val="000000" w:themeColor="text1"/>
          <w:sz w:val="24"/>
          <w:szCs w:val="24"/>
        </w:rPr>
        <w:t>their ability to increase platelet counts endogenously</w:t>
      </w:r>
      <w:r w:rsidR="00C405CF"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and sustain</w:t>
      </w:r>
      <w:r w:rsidR="00D61029" w:rsidRPr="00B747CD">
        <w:rPr>
          <w:rFonts w:ascii="Book Antiqua" w:eastAsia="Times New Roman" w:hAnsi="Book Antiqua" w:cs="Arial"/>
          <w:bCs/>
          <w:color w:val="000000" w:themeColor="text1"/>
          <w:sz w:val="24"/>
          <w:szCs w:val="24"/>
        </w:rPr>
        <w:t>ing</w:t>
      </w:r>
      <w:r w:rsidRPr="00B747CD">
        <w:rPr>
          <w:rFonts w:ascii="Book Antiqua" w:eastAsia="Times New Roman" w:hAnsi="Book Antiqua" w:cs="Arial"/>
          <w:bCs/>
          <w:color w:val="000000" w:themeColor="text1"/>
          <w:sz w:val="24"/>
          <w:szCs w:val="24"/>
        </w:rPr>
        <w:t xml:space="preserve"> the increase over a longer duration compared to that produced by platelet transfusions </w:t>
      </w:r>
      <w:r w:rsidR="00D5754C" w:rsidRPr="00B747CD">
        <w:rPr>
          <w:rFonts w:ascii="Book Antiqua" w:eastAsia="Times New Roman" w:hAnsi="Book Antiqua" w:cs="Arial"/>
          <w:bCs/>
          <w:color w:val="000000" w:themeColor="text1"/>
          <w:sz w:val="24"/>
          <w:szCs w:val="24"/>
        </w:rPr>
        <w:t xml:space="preserve">and </w:t>
      </w:r>
      <w:r w:rsidRPr="00B747CD">
        <w:rPr>
          <w:rFonts w:ascii="Book Antiqua" w:eastAsia="Times New Roman" w:hAnsi="Book Antiqua" w:cs="Arial"/>
          <w:bCs/>
          <w:color w:val="000000" w:themeColor="text1"/>
          <w:sz w:val="24"/>
          <w:szCs w:val="24"/>
        </w:rPr>
        <w:t xml:space="preserve">thereby reducing the need for rescue therapy while causing fewer procedure-related complications </w:t>
      </w:r>
      <w:r w:rsidR="00D5754C" w:rsidRPr="00B747CD">
        <w:rPr>
          <w:rFonts w:ascii="Book Antiqua" w:eastAsia="Times New Roman" w:hAnsi="Book Antiqua" w:cs="Arial"/>
          <w:bCs/>
          <w:color w:val="000000" w:themeColor="text1"/>
          <w:sz w:val="24"/>
          <w:szCs w:val="24"/>
        </w:rPr>
        <w:t>than</w:t>
      </w:r>
      <w:r w:rsidRPr="00B747CD">
        <w:rPr>
          <w:rFonts w:ascii="Book Antiqua" w:eastAsia="Times New Roman" w:hAnsi="Book Antiqua" w:cs="Arial"/>
          <w:bCs/>
          <w:color w:val="000000" w:themeColor="text1"/>
          <w:sz w:val="24"/>
          <w:szCs w:val="24"/>
        </w:rPr>
        <w:t xml:space="preserve"> platelet transfusions.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and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are currently the only TPO-RAs approved for the perioperative treatment of thrombocytopenia in patients with CLD, and compared with romiplostim and </w:t>
      </w:r>
      <w:proofErr w:type="spellStart"/>
      <w:r w:rsidRPr="00B747CD">
        <w:rPr>
          <w:rFonts w:ascii="Book Antiqua" w:eastAsia="Times New Roman" w:hAnsi="Book Antiqua" w:cs="Arial"/>
          <w:bCs/>
          <w:color w:val="000000" w:themeColor="text1"/>
          <w:sz w:val="24"/>
          <w:szCs w:val="24"/>
        </w:rPr>
        <w:t>eltrombopag</w:t>
      </w:r>
      <w:proofErr w:type="spellEnd"/>
      <w:r w:rsidRPr="00B747CD">
        <w:rPr>
          <w:rFonts w:ascii="Book Antiqua" w:eastAsia="Times New Roman" w:hAnsi="Book Antiqua" w:cs="Arial"/>
          <w:bCs/>
          <w:color w:val="000000" w:themeColor="text1"/>
          <w:sz w:val="24"/>
          <w:szCs w:val="24"/>
        </w:rPr>
        <w:t xml:space="preserve">, they are associated with a decreased risk of thromboembolic and hepatic events. Nevertheless, platelet counts must be measured during treatment, as counts higher than 200 </w:t>
      </w:r>
      <w:r w:rsidR="00D5754C" w:rsidRPr="00B747CD">
        <w:rPr>
          <w:rFonts w:ascii="Book Antiqua" w:eastAsia="Times New Roman" w:hAnsi="Book Antiqua" w:cs="Arial"/>
          <w:bCs/>
          <w:color w:val="000000" w:themeColor="text1"/>
          <w:sz w:val="24"/>
          <w:szCs w:val="24"/>
        </w:rPr>
        <w:sym w:font="Symbol" w:char="F0B4"/>
      </w:r>
      <w:r w:rsidRPr="00B747CD">
        <w:rPr>
          <w:rFonts w:ascii="Book Antiqua" w:eastAsia="Times New Roman" w:hAnsi="Book Antiqua" w:cs="Arial"/>
          <w:bCs/>
          <w:color w:val="000000" w:themeColor="text1"/>
          <w:sz w:val="24"/>
          <w:szCs w:val="24"/>
        </w:rPr>
        <w:t xml:space="preserve"> 10</w:t>
      </w:r>
      <w:r w:rsidRPr="00B747CD">
        <w:rPr>
          <w:rFonts w:ascii="Book Antiqua" w:eastAsia="Times New Roman" w:hAnsi="Book Antiqua" w:cs="Arial"/>
          <w:bCs/>
          <w:color w:val="000000" w:themeColor="text1"/>
          <w:sz w:val="24"/>
          <w:szCs w:val="24"/>
          <w:vertAlign w:val="superscript"/>
        </w:rPr>
        <w:t>9</w:t>
      </w:r>
      <w:r w:rsidRPr="00B747CD">
        <w:rPr>
          <w:rFonts w:ascii="Book Antiqua" w:eastAsia="Times New Roman" w:hAnsi="Book Antiqua" w:cs="Arial"/>
          <w:bCs/>
          <w:color w:val="000000" w:themeColor="text1"/>
          <w:sz w:val="24"/>
          <w:szCs w:val="24"/>
        </w:rPr>
        <w:t xml:space="preserve">/L have been shown to be associated with serious </w:t>
      </w:r>
      <w:r w:rsidR="00A9334D" w:rsidRPr="00B747CD">
        <w:rPr>
          <w:rFonts w:ascii="Book Antiqua" w:eastAsia="Times New Roman" w:hAnsi="Book Antiqua" w:cs="Arial"/>
          <w:bCs/>
          <w:color w:val="000000" w:themeColor="text1"/>
          <w:sz w:val="24"/>
          <w:szCs w:val="24"/>
        </w:rPr>
        <w:t>AEs</w:t>
      </w:r>
      <w:r w:rsidR="00D5754C" w:rsidRPr="00B747CD">
        <w:rPr>
          <w:rFonts w:ascii="Book Antiqua" w:eastAsia="Times New Roman" w:hAnsi="Book Antiqua" w:cs="Arial"/>
          <w:bCs/>
          <w:color w:val="000000" w:themeColor="text1"/>
          <w:sz w:val="24"/>
          <w:szCs w:val="24"/>
        </w:rPr>
        <w:t>,</w:t>
      </w:r>
      <w:r w:rsidRPr="00B747CD">
        <w:rPr>
          <w:rFonts w:ascii="Book Antiqua" w:eastAsia="Times New Roman" w:hAnsi="Book Antiqua" w:cs="Arial"/>
          <w:bCs/>
          <w:color w:val="000000" w:themeColor="text1"/>
          <w:sz w:val="24"/>
          <w:szCs w:val="24"/>
        </w:rPr>
        <w:t xml:space="preserve"> such as </w:t>
      </w:r>
      <w:r w:rsidR="00981015" w:rsidRPr="00B747CD">
        <w:rPr>
          <w:rFonts w:ascii="Book Antiqua" w:eastAsia="Times New Roman" w:hAnsi="Book Antiqua" w:cs="Arial"/>
          <w:bCs/>
          <w:color w:val="000000" w:themeColor="text1"/>
          <w:sz w:val="24"/>
          <w:szCs w:val="24"/>
        </w:rPr>
        <w:t>PVT</w:t>
      </w:r>
      <w:r w:rsidRPr="00B747CD">
        <w:rPr>
          <w:rFonts w:ascii="Book Antiqua" w:eastAsia="Times New Roman" w:hAnsi="Book Antiqua" w:cs="Arial"/>
          <w:bCs/>
          <w:color w:val="000000" w:themeColor="text1"/>
          <w:sz w:val="24"/>
          <w:szCs w:val="24"/>
        </w:rPr>
        <w:t xml:space="preserve">. Both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and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may be used in cirrhotic patients with low platelet counts scheduled to undergo an elective procedure with bleeding risks and in patients who cannot undergo platelet transfusions (Figure 1). Depending on the pre-procedure platelet counts, patients should be treated with either 40 mg or 60 mg of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the dose of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is always 3 mg. The window for undergoing procedures following dosing with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and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is between 9-13 d and 8-14 d, respectively. It must be noted that while clinical trials with </w:t>
      </w:r>
      <w:proofErr w:type="spellStart"/>
      <w:r w:rsidRPr="00B747CD">
        <w:rPr>
          <w:rFonts w:ascii="Book Antiqua" w:eastAsia="Times New Roman" w:hAnsi="Book Antiqua" w:cs="Arial"/>
          <w:bCs/>
          <w:color w:val="000000" w:themeColor="text1"/>
          <w:sz w:val="24"/>
          <w:szCs w:val="24"/>
        </w:rPr>
        <w:t>avatrombopag</w:t>
      </w:r>
      <w:proofErr w:type="spellEnd"/>
      <w:r w:rsidRPr="00B747CD">
        <w:rPr>
          <w:rFonts w:ascii="Book Antiqua" w:eastAsia="Times New Roman" w:hAnsi="Book Antiqua" w:cs="Arial"/>
          <w:bCs/>
          <w:color w:val="000000" w:themeColor="text1"/>
          <w:sz w:val="24"/>
          <w:szCs w:val="24"/>
        </w:rPr>
        <w:t xml:space="preserve"> and </w:t>
      </w:r>
      <w:proofErr w:type="spellStart"/>
      <w:r w:rsidRPr="00B747CD">
        <w:rPr>
          <w:rFonts w:ascii="Book Antiqua" w:eastAsia="Times New Roman" w:hAnsi="Book Antiqua" w:cs="Arial"/>
          <w:bCs/>
          <w:color w:val="000000" w:themeColor="text1"/>
          <w:sz w:val="24"/>
          <w:szCs w:val="24"/>
        </w:rPr>
        <w:t>lusutrombopag</w:t>
      </w:r>
      <w:proofErr w:type="spellEnd"/>
      <w:r w:rsidRPr="00B747CD">
        <w:rPr>
          <w:rFonts w:ascii="Book Antiqua" w:eastAsia="Times New Roman" w:hAnsi="Book Antiqua" w:cs="Arial"/>
          <w:bCs/>
          <w:color w:val="000000" w:themeColor="text1"/>
          <w:sz w:val="24"/>
          <w:szCs w:val="24"/>
        </w:rPr>
        <w:t xml:space="preserve"> excluded patients with PVT, a PVT-prescreen is not a requirement as per labeling guidelines for both these TPO-RAs. </w:t>
      </w:r>
      <w:r w:rsidR="00D54F2C" w:rsidRPr="00B747CD">
        <w:rPr>
          <w:rFonts w:ascii="Book Antiqua" w:eastAsia="Times New Roman" w:hAnsi="Book Antiqua" w:cs="Arial"/>
          <w:bCs/>
          <w:color w:val="000000" w:themeColor="text1"/>
          <w:sz w:val="24"/>
          <w:szCs w:val="24"/>
        </w:rPr>
        <w:t>Patients with liver cirrhosis and high C</w:t>
      </w:r>
      <w:r w:rsidR="00D5754C" w:rsidRPr="00B747CD">
        <w:rPr>
          <w:rFonts w:ascii="Book Antiqua" w:eastAsia="Times New Roman" w:hAnsi="Book Antiqua" w:cs="Arial"/>
          <w:bCs/>
          <w:color w:val="000000" w:themeColor="text1"/>
          <w:sz w:val="24"/>
          <w:szCs w:val="24"/>
        </w:rPr>
        <w:t>hild-</w:t>
      </w:r>
      <w:r w:rsidR="00D54F2C" w:rsidRPr="00B747CD">
        <w:rPr>
          <w:rFonts w:ascii="Book Antiqua" w:eastAsia="Times New Roman" w:hAnsi="Book Antiqua" w:cs="Arial"/>
          <w:bCs/>
          <w:color w:val="000000" w:themeColor="text1"/>
          <w:sz w:val="24"/>
          <w:szCs w:val="24"/>
        </w:rPr>
        <w:t>T</w:t>
      </w:r>
      <w:r w:rsidR="00D5754C" w:rsidRPr="00B747CD">
        <w:rPr>
          <w:rFonts w:ascii="Book Antiqua" w:eastAsia="Times New Roman" w:hAnsi="Book Antiqua" w:cs="Arial"/>
          <w:bCs/>
          <w:color w:val="000000" w:themeColor="text1"/>
          <w:sz w:val="24"/>
          <w:szCs w:val="24"/>
        </w:rPr>
        <w:t>urcotte-</w:t>
      </w:r>
      <w:r w:rsidR="00D54F2C" w:rsidRPr="00B747CD">
        <w:rPr>
          <w:rFonts w:ascii="Book Antiqua" w:eastAsia="Times New Roman" w:hAnsi="Book Antiqua" w:cs="Arial"/>
          <w:bCs/>
          <w:color w:val="000000" w:themeColor="text1"/>
          <w:sz w:val="24"/>
          <w:szCs w:val="24"/>
        </w:rPr>
        <w:t>P</w:t>
      </w:r>
      <w:r w:rsidR="00D5754C" w:rsidRPr="00B747CD">
        <w:rPr>
          <w:rFonts w:ascii="Book Antiqua" w:eastAsia="Times New Roman" w:hAnsi="Book Antiqua" w:cs="Arial"/>
          <w:bCs/>
          <w:color w:val="000000" w:themeColor="text1"/>
          <w:sz w:val="24"/>
          <w:szCs w:val="24"/>
        </w:rPr>
        <w:t>ugh</w:t>
      </w:r>
      <w:r w:rsidR="00D54F2C" w:rsidRPr="00B747CD">
        <w:rPr>
          <w:rFonts w:ascii="Book Antiqua" w:eastAsia="Times New Roman" w:hAnsi="Book Antiqua" w:cs="Arial"/>
          <w:bCs/>
          <w:color w:val="000000" w:themeColor="text1"/>
          <w:sz w:val="24"/>
          <w:szCs w:val="24"/>
        </w:rPr>
        <w:t xml:space="preserve"> scores are more likely to have severe thrombocytopenia and also require invasive diagnostic procedures. Extreme caution must be taken when using TPO-RAs in such patients</w:t>
      </w:r>
      <w:r w:rsidR="00D5754C" w:rsidRPr="00B747CD">
        <w:rPr>
          <w:rFonts w:ascii="Book Antiqua" w:eastAsia="Times New Roman" w:hAnsi="Book Antiqua" w:cs="Arial"/>
          <w:bCs/>
          <w:color w:val="000000" w:themeColor="text1"/>
          <w:sz w:val="24"/>
          <w:szCs w:val="24"/>
        </w:rPr>
        <w:t>,</w:t>
      </w:r>
      <w:r w:rsidR="00D54F2C" w:rsidRPr="00B747CD">
        <w:rPr>
          <w:rFonts w:ascii="Book Antiqua" w:eastAsia="Times New Roman" w:hAnsi="Book Antiqua" w:cs="Arial"/>
          <w:bCs/>
          <w:color w:val="000000" w:themeColor="text1"/>
          <w:sz w:val="24"/>
          <w:szCs w:val="24"/>
        </w:rPr>
        <w:t xml:space="preserve"> as they are at high risk of developing PVT; currently, no data on the effects of </w:t>
      </w:r>
      <w:r w:rsidR="00D5754C" w:rsidRPr="00B747CD">
        <w:rPr>
          <w:rFonts w:ascii="Book Antiqua" w:eastAsia="Times New Roman" w:hAnsi="Book Antiqua" w:cs="Arial"/>
          <w:bCs/>
          <w:color w:val="000000" w:themeColor="text1"/>
          <w:sz w:val="24"/>
          <w:szCs w:val="24"/>
        </w:rPr>
        <w:t xml:space="preserve">the </w:t>
      </w:r>
      <w:r w:rsidR="00D54F2C" w:rsidRPr="00B747CD">
        <w:rPr>
          <w:rFonts w:ascii="Book Antiqua" w:eastAsia="Times New Roman" w:hAnsi="Book Antiqua" w:cs="Arial"/>
          <w:bCs/>
          <w:color w:val="000000" w:themeColor="text1"/>
          <w:sz w:val="24"/>
          <w:szCs w:val="24"/>
        </w:rPr>
        <w:t xml:space="preserve">TPO-RAs </w:t>
      </w:r>
      <w:proofErr w:type="spellStart"/>
      <w:r w:rsidR="00D54F2C" w:rsidRPr="00B747CD">
        <w:rPr>
          <w:rFonts w:ascii="Book Antiqua" w:eastAsia="Times New Roman" w:hAnsi="Book Antiqua" w:cs="Arial"/>
          <w:bCs/>
          <w:color w:val="000000" w:themeColor="text1"/>
          <w:sz w:val="24"/>
          <w:szCs w:val="24"/>
        </w:rPr>
        <w:lastRenderedPageBreak/>
        <w:t>avatrombopag</w:t>
      </w:r>
      <w:proofErr w:type="spellEnd"/>
      <w:r w:rsidR="00D54F2C" w:rsidRPr="00B747CD">
        <w:rPr>
          <w:rFonts w:ascii="Book Antiqua" w:eastAsia="Times New Roman" w:hAnsi="Book Antiqua" w:cs="Arial"/>
          <w:bCs/>
          <w:color w:val="000000" w:themeColor="text1"/>
          <w:sz w:val="24"/>
          <w:szCs w:val="24"/>
        </w:rPr>
        <w:t xml:space="preserve"> and </w:t>
      </w:r>
      <w:proofErr w:type="spellStart"/>
      <w:r w:rsidR="00D54F2C" w:rsidRPr="00B747CD">
        <w:rPr>
          <w:rFonts w:ascii="Book Antiqua" w:eastAsia="Times New Roman" w:hAnsi="Book Antiqua" w:cs="Arial"/>
          <w:bCs/>
          <w:color w:val="000000" w:themeColor="text1"/>
          <w:sz w:val="24"/>
          <w:szCs w:val="24"/>
        </w:rPr>
        <w:t>lusutrombopag</w:t>
      </w:r>
      <w:proofErr w:type="spellEnd"/>
      <w:r w:rsidR="00D54F2C" w:rsidRPr="00B747CD">
        <w:rPr>
          <w:rFonts w:ascii="Book Antiqua" w:eastAsia="Times New Roman" w:hAnsi="Book Antiqua" w:cs="Arial"/>
          <w:bCs/>
          <w:color w:val="000000" w:themeColor="text1"/>
          <w:sz w:val="24"/>
          <w:szCs w:val="24"/>
        </w:rPr>
        <w:t xml:space="preserve"> in this class of patients are available</w:t>
      </w:r>
      <w:r w:rsidR="00D5754C" w:rsidRPr="00B747CD">
        <w:rPr>
          <w:rFonts w:ascii="Book Antiqua" w:eastAsia="Times New Roman" w:hAnsi="Book Antiqua" w:cs="Arial"/>
          <w:bCs/>
          <w:color w:val="000000" w:themeColor="text1"/>
          <w:sz w:val="24"/>
          <w:szCs w:val="24"/>
        </w:rPr>
        <w:t>,</w:t>
      </w:r>
      <w:r w:rsidR="00D54F2C" w:rsidRPr="00B747CD">
        <w:rPr>
          <w:rFonts w:ascii="Book Antiqua" w:eastAsia="Times New Roman" w:hAnsi="Book Antiqua" w:cs="Arial"/>
          <w:bCs/>
          <w:color w:val="000000" w:themeColor="text1"/>
          <w:sz w:val="24"/>
          <w:szCs w:val="24"/>
        </w:rPr>
        <w:t xml:space="preserve"> as they were excluded from the clinical trials</w:t>
      </w:r>
      <w:r w:rsidR="0071584E" w:rsidRPr="00B747CD">
        <w:rPr>
          <w:rFonts w:ascii="Book Antiqua" w:eastAsia="Times New Roman" w:hAnsi="Book Antiqua" w:cs="Arial"/>
          <w:bCs/>
          <w:color w:val="000000" w:themeColor="text1"/>
          <w:sz w:val="24"/>
          <w:szCs w:val="24"/>
          <w:vertAlign w:val="superscript"/>
        </w:rPr>
        <w:t>[</w:t>
      </w:r>
      <w:r w:rsidR="00D54F2C" w:rsidRPr="00B747CD">
        <w:rPr>
          <w:rFonts w:ascii="Book Antiqua" w:eastAsia="Times New Roman" w:hAnsi="Book Antiqua" w:cs="Arial"/>
          <w:bCs/>
          <w:color w:val="000000" w:themeColor="text1"/>
          <w:sz w:val="24"/>
          <w:szCs w:val="24"/>
          <w:vertAlign w:val="superscript"/>
        </w:rPr>
        <w:t>1</w:t>
      </w:r>
      <w:r w:rsidR="00125BAA" w:rsidRPr="00B747CD">
        <w:rPr>
          <w:rFonts w:ascii="Book Antiqua" w:eastAsia="Times New Roman" w:hAnsi="Book Antiqua" w:cs="Arial"/>
          <w:bCs/>
          <w:color w:val="000000" w:themeColor="text1"/>
          <w:sz w:val="24"/>
          <w:szCs w:val="24"/>
          <w:vertAlign w:val="superscript"/>
        </w:rPr>
        <w:t>4</w:t>
      </w:r>
      <w:r w:rsidR="00D54F2C" w:rsidRPr="00B747CD">
        <w:rPr>
          <w:rFonts w:ascii="Book Antiqua" w:eastAsia="Times New Roman" w:hAnsi="Book Antiqua" w:cs="Arial"/>
          <w:bCs/>
          <w:color w:val="000000" w:themeColor="text1"/>
          <w:sz w:val="24"/>
          <w:szCs w:val="24"/>
          <w:vertAlign w:val="superscript"/>
        </w:rPr>
        <w:t>,1</w:t>
      </w:r>
      <w:r w:rsidR="00125BAA" w:rsidRPr="00B747CD">
        <w:rPr>
          <w:rFonts w:ascii="Book Antiqua" w:eastAsia="Times New Roman" w:hAnsi="Book Antiqua" w:cs="Arial"/>
          <w:bCs/>
          <w:color w:val="000000" w:themeColor="text1"/>
          <w:sz w:val="24"/>
          <w:szCs w:val="24"/>
          <w:vertAlign w:val="superscript"/>
        </w:rPr>
        <w:t>6</w:t>
      </w:r>
      <w:r w:rsidR="00D54F2C" w:rsidRPr="00B747CD">
        <w:rPr>
          <w:rFonts w:ascii="Book Antiqua" w:eastAsia="Times New Roman" w:hAnsi="Book Antiqua" w:cs="Arial"/>
          <w:bCs/>
          <w:color w:val="000000" w:themeColor="text1"/>
          <w:sz w:val="24"/>
          <w:szCs w:val="24"/>
          <w:vertAlign w:val="superscript"/>
        </w:rPr>
        <w:t>-1</w:t>
      </w:r>
      <w:r w:rsidR="00125BAA" w:rsidRPr="00B747CD">
        <w:rPr>
          <w:rFonts w:ascii="Book Antiqua" w:eastAsia="Times New Roman" w:hAnsi="Book Antiqua" w:cs="Arial"/>
          <w:bCs/>
          <w:color w:val="000000" w:themeColor="text1"/>
          <w:sz w:val="24"/>
          <w:szCs w:val="24"/>
          <w:vertAlign w:val="superscript"/>
        </w:rPr>
        <w:t>8</w:t>
      </w:r>
      <w:r w:rsidR="0071584E" w:rsidRPr="00B747CD">
        <w:rPr>
          <w:rFonts w:ascii="Book Antiqua" w:eastAsia="Times New Roman" w:hAnsi="Book Antiqua" w:cs="Arial"/>
          <w:bCs/>
          <w:color w:val="000000" w:themeColor="text1"/>
          <w:sz w:val="24"/>
          <w:szCs w:val="24"/>
          <w:vertAlign w:val="superscript"/>
        </w:rPr>
        <w:t>]</w:t>
      </w:r>
      <w:r w:rsidR="00D5754C" w:rsidRPr="00B747CD">
        <w:rPr>
          <w:rFonts w:ascii="Book Antiqua" w:eastAsia="Times New Roman" w:hAnsi="Book Antiqua" w:cs="Arial"/>
          <w:bCs/>
          <w:color w:val="000000" w:themeColor="text1"/>
          <w:sz w:val="24"/>
          <w:szCs w:val="24"/>
        </w:rPr>
        <w:t>.</w:t>
      </w:r>
      <w:r w:rsidR="00D54F2C" w:rsidRPr="00B747CD">
        <w:rPr>
          <w:rFonts w:ascii="Book Antiqua" w:eastAsia="Times New Roman" w:hAnsi="Book Antiqua" w:cs="Arial"/>
          <w:bCs/>
          <w:color w:val="000000" w:themeColor="text1"/>
          <w:sz w:val="24"/>
          <w:szCs w:val="24"/>
        </w:rPr>
        <w:t xml:space="preserve"> </w:t>
      </w:r>
    </w:p>
    <w:p w14:paraId="1B90F12C" w14:textId="6539D8E8" w:rsidR="0089274F" w:rsidRPr="00B747CD" w:rsidRDefault="00D54F2C" w:rsidP="00B747CD">
      <w:pPr>
        <w:adjustRightInd w:val="0"/>
        <w:snapToGrid w:val="0"/>
        <w:spacing w:after="0" w:line="360" w:lineRule="auto"/>
        <w:ind w:firstLineChars="100" w:firstLine="240"/>
        <w:jc w:val="both"/>
        <w:rPr>
          <w:rFonts w:ascii="Book Antiqua" w:eastAsia="Times New Roman" w:hAnsi="Book Antiqua" w:cs="Arial"/>
          <w:bCs/>
          <w:color w:val="000000" w:themeColor="text1"/>
          <w:sz w:val="24"/>
          <w:szCs w:val="24"/>
        </w:rPr>
      </w:pPr>
      <w:r w:rsidRPr="00B747CD">
        <w:rPr>
          <w:rFonts w:ascii="Book Antiqua" w:eastAsia="Times New Roman" w:hAnsi="Book Antiqua" w:cs="Arial"/>
          <w:bCs/>
          <w:color w:val="000000" w:themeColor="text1"/>
          <w:sz w:val="24"/>
          <w:szCs w:val="24"/>
        </w:rPr>
        <w:t>T</w:t>
      </w:r>
      <w:r w:rsidR="0089274F" w:rsidRPr="00B747CD">
        <w:rPr>
          <w:rFonts w:ascii="Book Antiqua" w:eastAsia="Times New Roman" w:hAnsi="Book Antiqua" w:cs="Arial"/>
          <w:bCs/>
          <w:color w:val="000000" w:themeColor="text1"/>
          <w:sz w:val="24"/>
          <w:szCs w:val="24"/>
        </w:rPr>
        <w:t xml:space="preserve">here are </w:t>
      </w:r>
      <w:r w:rsidR="00D5754C" w:rsidRPr="00B747CD">
        <w:rPr>
          <w:rFonts w:ascii="Book Antiqua" w:eastAsia="Times New Roman" w:hAnsi="Book Antiqua" w:cs="Arial"/>
          <w:bCs/>
          <w:color w:val="000000" w:themeColor="text1"/>
          <w:sz w:val="24"/>
          <w:szCs w:val="24"/>
        </w:rPr>
        <w:t xml:space="preserve">also </w:t>
      </w:r>
      <w:r w:rsidR="0089274F" w:rsidRPr="00B747CD">
        <w:rPr>
          <w:rFonts w:ascii="Book Antiqua" w:eastAsia="Times New Roman" w:hAnsi="Book Antiqua" w:cs="Arial"/>
          <w:bCs/>
          <w:color w:val="000000" w:themeColor="text1"/>
          <w:sz w:val="24"/>
          <w:szCs w:val="24"/>
        </w:rPr>
        <w:t xml:space="preserve">pricing differences between </w:t>
      </w:r>
      <w:proofErr w:type="spellStart"/>
      <w:r w:rsidR="0089274F" w:rsidRPr="00B747CD">
        <w:rPr>
          <w:rFonts w:ascii="Book Antiqua" w:eastAsia="Times New Roman" w:hAnsi="Book Antiqua" w:cs="Arial"/>
          <w:bCs/>
          <w:color w:val="000000" w:themeColor="text1"/>
          <w:sz w:val="24"/>
          <w:szCs w:val="24"/>
        </w:rPr>
        <w:t>avatrombopag</w:t>
      </w:r>
      <w:proofErr w:type="spellEnd"/>
      <w:r w:rsidR="0089274F" w:rsidRPr="00B747CD">
        <w:rPr>
          <w:rFonts w:ascii="Book Antiqua" w:eastAsia="Times New Roman" w:hAnsi="Book Antiqua" w:cs="Arial"/>
          <w:bCs/>
          <w:color w:val="000000" w:themeColor="text1"/>
          <w:sz w:val="24"/>
          <w:szCs w:val="24"/>
        </w:rPr>
        <w:t xml:space="preserve"> and </w:t>
      </w:r>
      <w:proofErr w:type="spellStart"/>
      <w:r w:rsidR="0089274F" w:rsidRPr="00B747CD">
        <w:rPr>
          <w:rFonts w:ascii="Book Antiqua" w:eastAsia="Times New Roman" w:hAnsi="Book Antiqua" w:cs="Arial"/>
          <w:bCs/>
          <w:color w:val="000000" w:themeColor="text1"/>
          <w:sz w:val="24"/>
          <w:szCs w:val="24"/>
        </w:rPr>
        <w:t>lusutrombopag</w:t>
      </w:r>
      <w:proofErr w:type="spellEnd"/>
      <w:r w:rsidR="0089274F" w:rsidRPr="00B747CD">
        <w:rPr>
          <w:rFonts w:ascii="Book Antiqua" w:eastAsia="Times New Roman" w:hAnsi="Book Antiqua" w:cs="Arial"/>
          <w:bCs/>
          <w:color w:val="000000" w:themeColor="text1"/>
          <w:sz w:val="24"/>
          <w:szCs w:val="24"/>
        </w:rPr>
        <w:t>; in the U</w:t>
      </w:r>
      <w:r w:rsidR="00D5754C" w:rsidRPr="00B747CD">
        <w:rPr>
          <w:rFonts w:ascii="Book Antiqua" w:eastAsia="Times New Roman" w:hAnsi="Book Antiqua" w:cs="Arial"/>
          <w:bCs/>
          <w:color w:val="000000" w:themeColor="text1"/>
          <w:sz w:val="24"/>
          <w:szCs w:val="24"/>
        </w:rPr>
        <w:t xml:space="preserve">nited </w:t>
      </w:r>
      <w:r w:rsidR="0089274F" w:rsidRPr="00B747CD">
        <w:rPr>
          <w:rFonts w:ascii="Book Antiqua" w:eastAsia="Times New Roman" w:hAnsi="Book Antiqua" w:cs="Arial"/>
          <w:bCs/>
          <w:color w:val="000000" w:themeColor="text1"/>
          <w:sz w:val="24"/>
          <w:szCs w:val="24"/>
        </w:rPr>
        <w:t>S</w:t>
      </w:r>
      <w:r w:rsidR="00D5754C" w:rsidRPr="00B747CD">
        <w:rPr>
          <w:rFonts w:ascii="Book Antiqua" w:eastAsia="Times New Roman" w:hAnsi="Book Antiqua" w:cs="Arial"/>
          <w:bCs/>
          <w:color w:val="000000" w:themeColor="text1"/>
          <w:sz w:val="24"/>
          <w:szCs w:val="24"/>
        </w:rPr>
        <w:t>tates</w:t>
      </w:r>
      <w:r w:rsidR="0089274F" w:rsidRPr="00B747CD">
        <w:rPr>
          <w:rFonts w:ascii="Book Antiqua" w:eastAsia="Times New Roman" w:hAnsi="Book Antiqua" w:cs="Arial"/>
          <w:bCs/>
          <w:color w:val="000000" w:themeColor="text1"/>
          <w:sz w:val="24"/>
          <w:szCs w:val="24"/>
        </w:rPr>
        <w:t xml:space="preserve">, the wholesale acquisition cost </w:t>
      </w:r>
      <w:r w:rsidR="00D5754C" w:rsidRPr="00B747CD">
        <w:rPr>
          <w:rFonts w:ascii="Book Antiqua" w:eastAsia="Times New Roman" w:hAnsi="Book Antiqua" w:cs="Arial"/>
          <w:bCs/>
          <w:color w:val="000000" w:themeColor="text1"/>
          <w:sz w:val="24"/>
          <w:szCs w:val="24"/>
        </w:rPr>
        <w:t xml:space="preserve">(WAC) </w:t>
      </w:r>
      <w:r w:rsidR="0089274F" w:rsidRPr="00B747CD">
        <w:rPr>
          <w:rFonts w:ascii="Book Antiqua" w:eastAsia="Times New Roman" w:hAnsi="Book Antiqua" w:cs="Arial"/>
          <w:bCs/>
          <w:color w:val="000000" w:themeColor="text1"/>
          <w:sz w:val="24"/>
          <w:szCs w:val="24"/>
        </w:rPr>
        <w:t xml:space="preserve">of </w:t>
      </w:r>
      <w:proofErr w:type="spellStart"/>
      <w:r w:rsidR="0089274F" w:rsidRPr="00B747CD">
        <w:rPr>
          <w:rFonts w:ascii="Book Antiqua" w:eastAsia="Times New Roman" w:hAnsi="Book Antiqua" w:cs="Arial"/>
          <w:bCs/>
          <w:color w:val="000000" w:themeColor="text1"/>
          <w:sz w:val="24"/>
          <w:szCs w:val="24"/>
        </w:rPr>
        <w:t>avatrombopag</w:t>
      </w:r>
      <w:proofErr w:type="spellEnd"/>
      <w:r w:rsidR="0089274F" w:rsidRPr="00B747CD">
        <w:rPr>
          <w:rFonts w:ascii="Book Antiqua" w:eastAsia="Times New Roman" w:hAnsi="Book Antiqua" w:cs="Arial"/>
          <w:bCs/>
          <w:color w:val="000000" w:themeColor="text1"/>
          <w:sz w:val="24"/>
          <w:szCs w:val="24"/>
        </w:rPr>
        <w:t xml:space="preserve"> for a 5-d course is $2970 for the 40-mg dose and $4455 for the 60-mg dose. The WAC for a 7-d course of </w:t>
      </w:r>
      <w:proofErr w:type="spellStart"/>
      <w:r w:rsidR="0089274F" w:rsidRPr="00B747CD">
        <w:rPr>
          <w:rFonts w:ascii="Book Antiqua" w:eastAsia="Times New Roman" w:hAnsi="Book Antiqua" w:cs="Arial"/>
          <w:bCs/>
          <w:color w:val="000000" w:themeColor="text1"/>
          <w:sz w:val="24"/>
          <w:szCs w:val="24"/>
        </w:rPr>
        <w:t>lusutrombopag</w:t>
      </w:r>
      <w:proofErr w:type="spellEnd"/>
      <w:r w:rsidR="0089274F" w:rsidRPr="00B747CD">
        <w:rPr>
          <w:rFonts w:ascii="Book Antiqua" w:eastAsia="Times New Roman" w:hAnsi="Book Antiqua" w:cs="Arial"/>
          <w:bCs/>
          <w:color w:val="000000" w:themeColor="text1"/>
          <w:sz w:val="24"/>
          <w:szCs w:val="24"/>
        </w:rPr>
        <w:t xml:space="preserve"> is $8500</w:t>
      </w:r>
      <w:r w:rsidR="0071584E" w:rsidRPr="00B747CD">
        <w:rPr>
          <w:rFonts w:ascii="Book Antiqua" w:eastAsia="Times New Roman" w:hAnsi="Book Antiqua" w:cs="Arial"/>
          <w:bCs/>
          <w:color w:val="000000" w:themeColor="text1"/>
          <w:sz w:val="24"/>
          <w:szCs w:val="24"/>
          <w:vertAlign w:val="superscript"/>
        </w:rPr>
        <w:t>[</w:t>
      </w:r>
      <w:r w:rsidR="00995F70" w:rsidRPr="00B747CD">
        <w:rPr>
          <w:rFonts w:ascii="Book Antiqua" w:eastAsia="Times New Roman" w:hAnsi="Book Antiqua" w:cs="Arial"/>
          <w:bCs/>
          <w:color w:val="000000" w:themeColor="text1"/>
          <w:sz w:val="24"/>
          <w:szCs w:val="24"/>
          <w:vertAlign w:val="superscript"/>
        </w:rPr>
        <w:t>3</w:t>
      </w:r>
      <w:r w:rsidR="00125BAA" w:rsidRPr="00B747CD">
        <w:rPr>
          <w:rFonts w:ascii="Book Antiqua" w:eastAsia="Times New Roman" w:hAnsi="Book Antiqua" w:cs="Arial"/>
          <w:bCs/>
          <w:color w:val="000000" w:themeColor="text1"/>
          <w:sz w:val="24"/>
          <w:szCs w:val="24"/>
          <w:vertAlign w:val="superscript"/>
        </w:rPr>
        <w:t>7</w:t>
      </w:r>
      <w:r w:rsidR="0071584E" w:rsidRPr="00B747CD">
        <w:rPr>
          <w:rFonts w:ascii="Book Antiqua" w:eastAsia="Times New Roman" w:hAnsi="Book Antiqua" w:cs="Arial"/>
          <w:bCs/>
          <w:color w:val="000000" w:themeColor="text1"/>
          <w:sz w:val="24"/>
          <w:szCs w:val="24"/>
          <w:vertAlign w:val="superscript"/>
        </w:rPr>
        <w:t>]</w:t>
      </w:r>
      <w:r w:rsidR="00D5754C" w:rsidRPr="00B747CD">
        <w:rPr>
          <w:rFonts w:ascii="Book Antiqua" w:eastAsia="Times New Roman" w:hAnsi="Book Antiqua" w:cs="Arial"/>
          <w:bCs/>
          <w:color w:val="000000" w:themeColor="text1"/>
          <w:sz w:val="24"/>
          <w:szCs w:val="24"/>
        </w:rPr>
        <w:t>.</w:t>
      </w:r>
    </w:p>
    <w:p w14:paraId="4E2BFBCF" w14:textId="77777777" w:rsidR="00D5754C" w:rsidRPr="00B747CD" w:rsidRDefault="00D5754C" w:rsidP="00B747CD">
      <w:pPr>
        <w:adjustRightInd w:val="0"/>
        <w:snapToGrid w:val="0"/>
        <w:spacing w:after="0" w:line="360" w:lineRule="auto"/>
        <w:jc w:val="both"/>
        <w:rPr>
          <w:rFonts w:ascii="Book Antiqua" w:hAnsi="Book Antiqua" w:cs="Arial"/>
          <w:color w:val="000000" w:themeColor="text1"/>
          <w:sz w:val="24"/>
          <w:szCs w:val="24"/>
        </w:rPr>
      </w:pPr>
      <w:bookmarkStart w:id="0" w:name="_Hlk517268053"/>
    </w:p>
    <w:p w14:paraId="2280EA85" w14:textId="5F9656B5" w:rsidR="0089274F" w:rsidRPr="00B747CD" w:rsidRDefault="00B77418" w:rsidP="00B747CD">
      <w:pPr>
        <w:adjustRightInd w:val="0"/>
        <w:snapToGrid w:val="0"/>
        <w:spacing w:after="0" w:line="360" w:lineRule="auto"/>
        <w:jc w:val="both"/>
        <w:rPr>
          <w:rFonts w:ascii="Book Antiqua" w:hAnsi="Book Antiqua" w:cs="Arial"/>
          <w:b/>
          <w:color w:val="000000" w:themeColor="text1"/>
          <w:sz w:val="24"/>
          <w:szCs w:val="24"/>
          <w:u w:val="single"/>
          <w:lang w:eastAsia="zh-CN"/>
        </w:rPr>
      </w:pPr>
      <w:r w:rsidRPr="00B747CD">
        <w:rPr>
          <w:rFonts w:ascii="Book Antiqua" w:hAnsi="Book Antiqua" w:cs="Arial"/>
          <w:b/>
          <w:color w:val="000000" w:themeColor="text1"/>
          <w:sz w:val="24"/>
          <w:szCs w:val="24"/>
          <w:u w:val="single"/>
          <w:lang w:eastAsia="zh-CN"/>
        </w:rPr>
        <w:t>CONCLUSION</w:t>
      </w:r>
    </w:p>
    <w:p w14:paraId="277AE50A" w14:textId="77777777" w:rsidR="00E10558" w:rsidRPr="00B747CD" w:rsidRDefault="0089274F" w:rsidP="00B747CD">
      <w:pPr>
        <w:adjustRightInd w:val="0"/>
        <w:snapToGrid w:val="0"/>
        <w:spacing w:after="0" w:line="360" w:lineRule="auto"/>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Recommendations for procedure-specific minimum platelet counts prior to a scheduled procedure often have inadequate supporting evidence</w:t>
      </w:r>
      <w:r w:rsidR="00C32F2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and the benefit of prophylactic platelet transfusion remains unclear. Physicians typically assess the need for platelet transfusions on a patient-to-patient basis</w:t>
      </w:r>
      <w:r w:rsidR="00C32F2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relying on their own experience and patient comorbidities to inform their decisions. TPO-RAs are a safe and effective alternative treatment option for patients with thrombocytopenia who are undergoing a medical procedure. They are associated with increased platelet counts, decreased bleeding events, and a reduced need for rescue treatments. Recent studies also support the safe and efficacious repeated use of TPO-RAs in patients with CLD. The exact fit of TPO-RAs</w:t>
      </w:r>
      <w:r w:rsidR="00D5754C"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as compared with platelet transfusions</w:t>
      </w:r>
      <w:r w:rsidR="00D5754C"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in patients with thrombocytopenia prior to undergoing a medical procedure is still unclear. Comparative clinical trial data in patients with thrombocytopenia are required to assess the efficacy, safety, cost-effectiveness, and impact on patient quality of life of TPO-RA use compared with the traditional use of platelet transfusions prior to scheduling a medical procedure. In the meantime, treatment decisions must be individualized by establishing the advantages and disadvantages of both these treatment options on a case-by-case basis. </w:t>
      </w:r>
    </w:p>
    <w:bookmarkEnd w:id="0"/>
    <w:p w14:paraId="4A0F3FB7" w14:textId="77777777" w:rsidR="00E10558" w:rsidRPr="00B747CD" w:rsidRDefault="00E10558" w:rsidP="00B747CD">
      <w:pPr>
        <w:adjustRightInd w:val="0"/>
        <w:snapToGrid w:val="0"/>
        <w:spacing w:after="0" w:line="360" w:lineRule="auto"/>
        <w:jc w:val="both"/>
        <w:rPr>
          <w:rFonts w:ascii="Book Antiqua" w:hAnsi="Book Antiqua" w:cs="Arial"/>
          <w:color w:val="000000" w:themeColor="text1"/>
          <w:sz w:val="24"/>
          <w:szCs w:val="24"/>
          <w:lang w:eastAsia="zh-CN"/>
        </w:rPr>
      </w:pPr>
    </w:p>
    <w:p w14:paraId="05ABF4DA" w14:textId="77777777" w:rsidR="00037B32" w:rsidRPr="00B747CD" w:rsidRDefault="00D5754C" w:rsidP="00B747CD">
      <w:pPr>
        <w:adjustRightInd w:val="0"/>
        <w:snapToGrid w:val="0"/>
        <w:spacing w:after="0" w:line="360" w:lineRule="auto"/>
        <w:jc w:val="both"/>
        <w:rPr>
          <w:rFonts w:ascii="Book Antiqua" w:hAnsi="Book Antiqua" w:cs="Arial"/>
          <w:b/>
          <w:bCs/>
          <w:color w:val="000000" w:themeColor="text1"/>
          <w:sz w:val="24"/>
          <w:szCs w:val="24"/>
          <w:lang w:eastAsia="zh-CN"/>
        </w:rPr>
      </w:pPr>
      <w:r w:rsidRPr="00B747CD">
        <w:rPr>
          <w:rFonts w:ascii="Book Antiqua" w:hAnsi="Book Antiqua" w:cs="Arial"/>
          <w:b/>
          <w:bCs/>
          <w:color w:val="000000" w:themeColor="text1"/>
          <w:sz w:val="24"/>
          <w:szCs w:val="24"/>
        </w:rPr>
        <w:t>REFERENCES</w:t>
      </w:r>
    </w:p>
    <w:p w14:paraId="6E6490D0"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1 </w:t>
      </w:r>
      <w:r w:rsidRPr="00B747CD">
        <w:rPr>
          <w:rFonts w:ascii="Book Antiqua" w:hAnsi="Book Antiqua"/>
          <w:b/>
          <w:sz w:val="24"/>
          <w:szCs w:val="24"/>
        </w:rPr>
        <w:t>Siegal D</w:t>
      </w:r>
      <w:r w:rsidRPr="00B747CD">
        <w:rPr>
          <w:rFonts w:ascii="Book Antiqua" w:hAnsi="Book Antiqua"/>
          <w:sz w:val="24"/>
          <w:szCs w:val="24"/>
        </w:rPr>
        <w:t xml:space="preserve">, Crowther M, </w:t>
      </w:r>
      <w:proofErr w:type="spellStart"/>
      <w:r w:rsidRPr="00B747CD">
        <w:rPr>
          <w:rFonts w:ascii="Book Antiqua" w:hAnsi="Book Antiqua"/>
          <w:sz w:val="24"/>
          <w:szCs w:val="24"/>
        </w:rPr>
        <w:t>Cuker</w:t>
      </w:r>
      <w:proofErr w:type="spellEnd"/>
      <w:r w:rsidRPr="00B747CD">
        <w:rPr>
          <w:rFonts w:ascii="Book Antiqua" w:hAnsi="Book Antiqua"/>
          <w:sz w:val="24"/>
          <w:szCs w:val="24"/>
        </w:rPr>
        <w:t xml:space="preserve"> A. Thrombopoietin receptor agonists in primary immune thrombocytopenia. </w:t>
      </w:r>
      <w:r w:rsidRPr="00B747CD">
        <w:rPr>
          <w:rFonts w:ascii="Book Antiqua" w:hAnsi="Book Antiqua"/>
          <w:i/>
          <w:sz w:val="24"/>
          <w:szCs w:val="24"/>
        </w:rPr>
        <w:t xml:space="preserve">Semin </w:t>
      </w:r>
      <w:proofErr w:type="spellStart"/>
      <w:r w:rsidRPr="00B747CD">
        <w:rPr>
          <w:rFonts w:ascii="Book Antiqua" w:hAnsi="Book Antiqua"/>
          <w:i/>
          <w:sz w:val="24"/>
          <w:szCs w:val="24"/>
        </w:rPr>
        <w:t>Hematol</w:t>
      </w:r>
      <w:proofErr w:type="spellEnd"/>
      <w:r w:rsidRPr="00B747CD">
        <w:rPr>
          <w:rFonts w:ascii="Book Antiqua" w:hAnsi="Book Antiqua"/>
          <w:sz w:val="24"/>
          <w:szCs w:val="24"/>
        </w:rPr>
        <w:t xml:space="preserve"> 2013; </w:t>
      </w:r>
      <w:r w:rsidRPr="00B747CD">
        <w:rPr>
          <w:rFonts w:ascii="Book Antiqua" w:hAnsi="Book Antiqua"/>
          <w:b/>
          <w:sz w:val="24"/>
          <w:szCs w:val="24"/>
        </w:rPr>
        <w:t>50 Suppl 1</w:t>
      </w:r>
      <w:r w:rsidRPr="00B747CD">
        <w:rPr>
          <w:rFonts w:ascii="Book Antiqua" w:hAnsi="Book Antiqua"/>
          <w:sz w:val="24"/>
          <w:szCs w:val="24"/>
        </w:rPr>
        <w:t>: S18-S21 [PMID: 23664510 DOI: 10.1053/j.seminhematol.2013.03.005]</w:t>
      </w:r>
    </w:p>
    <w:p w14:paraId="2314636A"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lastRenderedPageBreak/>
        <w:t xml:space="preserve">2 </w:t>
      </w:r>
      <w:r w:rsidRPr="00B747CD">
        <w:rPr>
          <w:rFonts w:ascii="Book Antiqua" w:hAnsi="Book Antiqua"/>
          <w:b/>
          <w:sz w:val="24"/>
          <w:szCs w:val="24"/>
        </w:rPr>
        <w:t>Takada H</w:t>
      </w:r>
      <w:r w:rsidRPr="00B747CD">
        <w:rPr>
          <w:rFonts w:ascii="Book Antiqua" w:hAnsi="Book Antiqua"/>
          <w:sz w:val="24"/>
          <w:szCs w:val="24"/>
        </w:rPr>
        <w:t xml:space="preserve">, Kurosaki M, Nakanishi H, Takahashi Y, </w:t>
      </w:r>
      <w:proofErr w:type="spellStart"/>
      <w:r w:rsidRPr="00B747CD">
        <w:rPr>
          <w:rFonts w:ascii="Book Antiqua" w:hAnsi="Book Antiqua"/>
          <w:sz w:val="24"/>
          <w:szCs w:val="24"/>
        </w:rPr>
        <w:t>Itakura</w:t>
      </w:r>
      <w:proofErr w:type="spellEnd"/>
      <w:r w:rsidRPr="00B747CD">
        <w:rPr>
          <w:rFonts w:ascii="Book Antiqua" w:hAnsi="Book Antiqua"/>
          <w:sz w:val="24"/>
          <w:szCs w:val="24"/>
        </w:rPr>
        <w:t xml:space="preserve"> J, Tsuchiya K, </w:t>
      </w:r>
      <w:proofErr w:type="spellStart"/>
      <w:r w:rsidRPr="00B747CD">
        <w:rPr>
          <w:rFonts w:ascii="Book Antiqua" w:hAnsi="Book Antiqua"/>
          <w:sz w:val="24"/>
          <w:szCs w:val="24"/>
        </w:rPr>
        <w:t>Yasui</w:t>
      </w:r>
      <w:proofErr w:type="spellEnd"/>
      <w:r w:rsidRPr="00B747CD">
        <w:rPr>
          <w:rFonts w:ascii="Book Antiqua" w:hAnsi="Book Antiqua"/>
          <w:sz w:val="24"/>
          <w:szCs w:val="24"/>
        </w:rPr>
        <w:t xml:space="preserve"> Y, Tamaki N, </w:t>
      </w:r>
      <w:proofErr w:type="spellStart"/>
      <w:r w:rsidRPr="00B747CD">
        <w:rPr>
          <w:rFonts w:ascii="Book Antiqua" w:hAnsi="Book Antiqua"/>
          <w:sz w:val="24"/>
          <w:szCs w:val="24"/>
        </w:rPr>
        <w:t>Takaura</w:t>
      </w:r>
      <w:proofErr w:type="spellEnd"/>
      <w:r w:rsidRPr="00B747CD">
        <w:rPr>
          <w:rFonts w:ascii="Book Antiqua" w:hAnsi="Book Antiqua"/>
          <w:sz w:val="24"/>
          <w:szCs w:val="24"/>
        </w:rPr>
        <w:t xml:space="preserve"> K, Komiyama Y, Higuchi M, Kubota Y, Wang W, Okada M, Shimizu T, </w:t>
      </w:r>
      <w:proofErr w:type="spellStart"/>
      <w:r w:rsidRPr="00B747CD">
        <w:rPr>
          <w:rFonts w:ascii="Book Antiqua" w:hAnsi="Book Antiqua"/>
          <w:sz w:val="24"/>
          <w:szCs w:val="24"/>
        </w:rPr>
        <w:t>Watakabe</w:t>
      </w:r>
      <w:proofErr w:type="spellEnd"/>
      <w:r w:rsidRPr="00B747CD">
        <w:rPr>
          <w:rFonts w:ascii="Book Antiqua" w:hAnsi="Book Antiqua"/>
          <w:sz w:val="24"/>
          <w:szCs w:val="24"/>
        </w:rPr>
        <w:t xml:space="preserve"> K, </w:t>
      </w:r>
      <w:proofErr w:type="spellStart"/>
      <w:r w:rsidRPr="00B747CD">
        <w:rPr>
          <w:rFonts w:ascii="Book Antiqua" w:hAnsi="Book Antiqua"/>
          <w:sz w:val="24"/>
          <w:szCs w:val="24"/>
        </w:rPr>
        <w:t>Enomoto</w:t>
      </w:r>
      <w:proofErr w:type="spellEnd"/>
      <w:r w:rsidRPr="00B747CD">
        <w:rPr>
          <w:rFonts w:ascii="Book Antiqua" w:hAnsi="Book Antiqua"/>
          <w:sz w:val="24"/>
          <w:szCs w:val="24"/>
        </w:rPr>
        <w:t xml:space="preserve"> N, Izumi N. Real-life experience of </w:t>
      </w:r>
      <w:proofErr w:type="spellStart"/>
      <w:r w:rsidRPr="00B747CD">
        <w:rPr>
          <w:rFonts w:ascii="Book Antiqua" w:hAnsi="Book Antiqua"/>
          <w:sz w:val="24"/>
          <w:szCs w:val="24"/>
        </w:rPr>
        <w:t>lusutrombopag</w:t>
      </w:r>
      <w:proofErr w:type="spellEnd"/>
      <w:r w:rsidRPr="00B747CD">
        <w:rPr>
          <w:rFonts w:ascii="Book Antiqua" w:hAnsi="Book Antiqua"/>
          <w:sz w:val="24"/>
          <w:szCs w:val="24"/>
        </w:rPr>
        <w:t xml:space="preserve"> for cirrhotic patients with low platelet counts being prepared for invasive procedures. </w:t>
      </w:r>
      <w:proofErr w:type="spellStart"/>
      <w:r w:rsidRPr="00B747CD">
        <w:rPr>
          <w:rFonts w:ascii="Book Antiqua" w:hAnsi="Book Antiqua"/>
          <w:i/>
          <w:sz w:val="24"/>
          <w:szCs w:val="24"/>
        </w:rPr>
        <w:t>PLoS</w:t>
      </w:r>
      <w:proofErr w:type="spellEnd"/>
      <w:r w:rsidRPr="00B747CD">
        <w:rPr>
          <w:rFonts w:ascii="Book Antiqua" w:hAnsi="Book Antiqua"/>
          <w:i/>
          <w:sz w:val="24"/>
          <w:szCs w:val="24"/>
        </w:rPr>
        <w:t xml:space="preserve"> One</w:t>
      </w:r>
      <w:r w:rsidRPr="00B747CD">
        <w:rPr>
          <w:rFonts w:ascii="Book Antiqua" w:hAnsi="Book Antiqua"/>
          <w:sz w:val="24"/>
          <w:szCs w:val="24"/>
        </w:rPr>
        <w:t xml:space="preserve"> 2019; </w:t>
      </w:r>
      <w:r w:rsidRPr="00B747CD">
        <w:rPr>
          <w:rFonts w:ascii="Book Antiqua" w:hAnsi="Book Antiqua"/>
          <w:b/>
          <w:sz w:val="24"/>
          <w:szCs w:val="24"/>
        </w:rPr>
        <w:t>14</w:t>
      </w:r>
      <w:r w:rsidRPr="00B747CD">
        <w:rPr>
          <w:rFonts w:ascii="Book Antiqua" w:hAnsi="Book Antiqua"/>
          <w:sz w:val="24"/>
          <w:szCs w:val="24"/>
        </w:rPr>
        <w:t>: e0211122 [PMID: 30768601 DOI: 10.1371/journal.pone.0211122]</w:t>
      </w:r>
    </w:p>
    <w:p w14:paraId="6036A9E7"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3 </w:t>
      </w:r>
      <w:r w:rsidRPr="00B747CD">
        <w:rPr>
          <w:rFonts w:ascii="Book Antiqua" w:hAnsi="Book Antiqua"/>
          <w:b/>
          <w:sz w:val="24"/>
          <w:szCs w:val="24"/>
        </w:rPr>
        <w:t>Moussa MM</w:t>
      </w:r>
      <w:r w:rsidRPr="00B747CD">
        <w:rPr>
          <w:rFonts w:ascii="Book Antiqua" w:hAnsi="Book Antiqua"/>
          <w:sz w:val="24"/>
          <w:szCs w:val="24"/>
        </w:rPr>
        <w:t xml:space="preserve">, </w:t>
      </w:r>
      <w:proofErr w:type="spellStart"/>
      <w:r w:rsidRPr="00B747CD">
        <w:rPr>
          <w:rFonts w:ascii="Book Antiqua" w:hAnsi="Book Antiqua"/>
          <w:sz w:val="24"/>
          <w:szCs w:val="24"/>
        </w:rPr>
        <w:t>Mowafy</w:t>
      </w:r>
      <w:proofErr w:type="spellEnd"/>
      <w:r w:rsidRPr="00B747CD">
        <w:rPr>
          <w:rFonts w:ascii="Book Antiqua" w:hAnsi="Book Antiqua"/>
          <w:sz w:val="24"/>
          <w:szCs w:val="24"/>
        </w:rPr>
        <w:t xml:space="preserve"> N. Preoperative use of romiplostim in thrombocytopenic patients with chronic hepatitis C and liver cirrhosis. </w:t>
      </w:r>
      <w:r w:rsidRPr="00B747CD">
        <w:rPr>
          <w:rFonts w:ascii="Book Antiqua" w:hAnsi="Book Antiqua"/>
          <w:i/>
          <w:sz w:val="24"/>
          <w:szCs w:val="24"/>
        </w:rPr>
        <w:t>J Gastroenterol Hepatol</w:t>
      </w:r>
      <w:r w:rsidRPr="00B747CD">
        <w:rPr>
          <w:rFonts w:ascii="Book Antiqua" w:hAnsi="Book Antiqua"/>
          <w:sz w:val="24"/>
          <w:szCs w:val="24"/>
        </w:rPr>
        <w:t xml:space="preserve"> 2013; </w:t>
      </w:r>
      <w:r w:rsidRPr="00B747CD">
        <w:rPr>
          <w:rFonts w:ascii="Book Antiqua" w:hAnsi="Book Antiqua"/>
          <w:b/>
          <w:sz w:val="24"/>
          <w:szCs w:val="24"/>
        </w:rPr>
        <w:t>28</w:t>
      </w:r>
      <w:r w:rsidRPr="00B747CD">
        <w:rPr>
          <w:rFonts w:ascii="Book Antiqua" w:hAnsi="Book Antiqua"/>
          <w:sz w:val="24"/>
          <w:szCs w:val="24"/>
        </w:rPr>
        <w:t>: 335-341 [PMID: 22849409 DOI: 10.1111/j.1440-1746.</w:t>
      </w:r>
      <w:proofErr w:type="gramStart"/>
      <w:r w:rsidRPr="00B747CD">
        <w:rPr>
          <w:rFonts w:ascii="Book Antiqua" w:hAnsi="Book Antiqua"/>
          <w:sz w:val="24"/>
          <w:szCs w:val="24"/>
        </w:rPr>
        <w:t>2012.07246.x</w:t>
      </w:r>
      <w:proofErr w:type="gramEnd"/>
      <w:r w:rsidRPr="00B747CD">
        <w:rPr>
          <w:rFonts w:ascii="Book Antiqua" w:hAnsi="Book Antiqua"/>
          <w:sz w:val="24"/>
          <w:szCs w:val="24"/>
        </w:rPr>
        <w:t>]</w:t>
      </w:r>
    </w:p>
    <w:p w14:paraId="2C20FF4D" w14:textId="41179AE4" w:rsidR="002E750F" w:rsidRPr="00B747CD" w:rsidRDefault="002E750F" w:rsidP="00B747CD">
      <w:pPr>
        <w:adjustRightInd w:val="0"/>
        <w:snapToGrid w:val="0"/>
        <w:spacing w:after="0" w:line="360" w:lineRule="auto"/>
        <w:jc w:val="both"/>
        <w:rPr>
          <w:rFonts w:ascii="Book Antiqua" w:hAnsi="Book Antiqua"/>
          <w:sz w:val="24"/>
          <w:szCs w:val="24"/>
          <w:highlight w:val="yellow"/>
          <w:lang w:eastAsia="zh-CN"/>
        </w:rPr>
      </w:pPr>
      <w:r w:rsidRPr="00B747CD">
        <w:rPr>
          <w:rFonts w:ascii="Book Antiqua" w:hAnsi="Book Antiqua"/>
          <w:sz w:val="24"/>
          <w:szCs w:val="24"/>
          <w:highlight w:val="yellow"/>
        </w:rPr>
        <w:t xml:space="preserve">4 </w:t>
      </w:r>
      <w:r w:rsidRPr="00B747CD">
        <w:rPr>
          <w:rFonts w:ascii="Book Antiqua" w:hAnsi="Book Antiqua"/>
          <w:b/>
          <w:sz w:val="24"/>
          <w:szCs w:val="24"/>
          <w:highlight w:val="yellow"/>
        </w:rPr>
        <w:t>Amgen Inc</w:t>
      </w:r>
      <w:r w:rsidRPr="00B747CD">
        <w:rPr>
          <w:rFonts w:ascii="Book Antiqua" w:hAnsi="Book Antiqua"/>
          <w:sz w:val="24"/>
          <w:szCs w:val="24"/>
          <w:highlight w:val="yellow"/>
        </w:rPr>
        <w:t>.</w:t>
      </w:r>
      <w:r w:rsidRPr="00B747CD">
        <w:rPr>
          <w:rFonts w:ascii="Book Antiqua" w:hAnsi="Book Antiqua"/>
          <w:sz w:val="24"/>
          <w:szCs w:val="24"/>
          <w:highlight w:val="yellow"/>
          <w:lang w:eastAsia="zh-CN"/>
        </w:rPr>
        <w:t xml:space="preserve"> </w:t>
      </w:r>
      <w:proofErr w:type="spellStart"/>
      <w:r w:rsidRPr="00B747CD">
        <w:rPr>
          <w:rFonts w:ascii="Book Antiqua" w:hAnsi="Book Antiqua"/>
          <w:sz w:val="24"/>
          <w:szCs w:val="24"/>
          <w:highlight w:val="yellow"/>
        </w:rPr>
        <w:t>Nplate</w:t>
      </w:r>
      <w:proofErr w:type="spellEnd"/>
      <w:r w:rsidRPr="00B747CD">
        <w:rPr>
          <w:rFonts w:ascii="Book Antiqua" w:hAnsi="Book Antiqua"/>
          <w:sz w:val="24"/>
          <w:szCs w:val="24"/>
          <w:highlight w:val="yellow"/>
        </w:rPr>
        <w:t xml:space="preserve"> [package insert]. Thousand Oaks: Amgen Inc.</w:t>
      </w:r>
      <w:r w:rsidRPr="00B747CD">
        <w:rPr>
          <w:rFonts w:ascii="Book Antiqua" w:hAnsi="Book Antiqua"/>
          <w:sz w:val="24"/>
          <w:szCs w:val="24"/>
          <w:highlight w:val="yellow"/>
          <w:lang w:eastAsia="zh-CN"/>
        </w:rPr>
        <w:t xml:space="preserve">, </w:t>
      </w:r>
      <w:r w:rsidRPr="00B747CD">
        <w:rPr>
          <w:rFonts w:ascii="Book Antiqua" w:hAnsi="Book Antiqua"/>
          <w:sz w:val="24"/>
          <w:szCs w:val="24"/>
          <w:highlight w:val="yellow"/>
        </w:rPr>
        <w:t>2017</w:t>
      </w:r>
    </w:p>
    <w:p w14:paraId="08EEF488" w14:textId="3ED38DC1" w:rsidR="002E750F" w:rsidRPr="00B747CD" w:rsidRDefault="002E750F" w:rsidP="00B747CD">
      <w:pPr>
        <w:adjustRightInd w:val="0"/>
        <w:snapToGrid w:val="0"/>
        <w:spacing w:after="0" w:line="360" w:lineRule="auto"/>
        <w:jc w:val="both"/>
        <w:rPr>
          <w:rFonts w:ascii="Book Antiqua" w:hAnsi="Book Antiqua"/>
          <w:sz w:val="24"/>
          <w:szCs w:val="24"/>
          <w:highlight w:val="yellow"/>
          <w:lang w:eastAsia="zh-CN"/>
        </w:rPr>
      </w:pPr>
      <w:r w:rsidRPr="00B747CD">
        <w:rPr>
          <w:rFonts w:ascii="Book Antiqua" w:hAnsi="Book Antiqua"/>
          <w:sz w:val="24"/>
          <w:szCs w:val="24"/>
          <w:highlight w:val="yellow"/>
        </w:rPr>
        <w:t xml:space="preserve">5 </w:t>
      </w:r>
      <w:r w:rsidRPr="00B747CD">
        <w:rPr>
          <w:rFonts w:ascii="Book Antiqua" w:hAnsi="Book Antiqua"/>
          <w:b/>
          <w:sz w:val="24"/>
          <w:szCs w:val="24"/>
          <w:highlight w:val="yellow"/>
        </w:rPr>
        <w:t>Novartis Pharmaceuticals Corporation</w:t>
      </w:r>
      <w:r w:rsidRPr="00B747CD">
        <w:rPr>
          <w:rFonts w:ascii="Book Antiqua" w:hAnsi="Book Antiqua"/>
          <w:sz w:val="24"/>
          <w:szCs w:val="24"/>
          <w:highlight w:val="yellow"/>
          <w:lang w:eastAsia="zh-CN"/>
        </w:rPr>
        <w:t>.</w:t>
      </w:r>
      <w:r w:rsidRPr="00B747CD">
        <w:rPr>
          <w:rFonts w:ascii="Book Antiqua" w:hAnsi="Book Antiqua"/>
          <w:b/>
          <w:sz w:val="24"/>
          <w:szCs w:val="24"/>
          <w:highlight w:val="yellow"/>
        </w:rPr>
        <w:t xml:space="preserve"> </w:t>
      </w:r>
      <w:proofErr w:type="spellStart"/>
      <w:r w:rsidRPr="00B747CD">
        <w:rPr>
          <w:rFonts w:ascii="Book Antiqua" w:hAnsi="Book Antiqua"/>
          <w:sz w:val="24"/>
          <w:szCs w:val="24"/>
          <w:highlight w:val="yellow"/>
        </w:rPr>
        <w:t>Promacta</w:t>
      </w:r>
      <w:proofErr w:type="spellEnd"/>
      <w:r w:rsidRPr="00B747CD">
        <w:rPr>
          <w:rFonts w:ascii="Book Antiqua" w:hAnsi="Book Antiqua"/>
          <w:sz w:val="24"/>
          <w:szCs w:val="24"/>
          <w:highlight w:val="yellow"/>
        </w:rPr>
        <w:t xml:space="preserve"> [package insert]. East Hanover: Novartis Pharmaceuticals Corporation</w:t>
      </w:r>
      <w:r w:rsidRPr="00B747CD">
        <w:rPr>
          <w:rFonts w:ascii="Book Antiqua" w:hAnsi="Book Antiqua"/>
          <w:sz w:val="24"/>
          <w:szCs w:val="24"/>
          <w:highlight w:val="yellow"/>
          <w:lang w:eastAsia="zh-CN"/>
        </w:rPr>
        <w:t>,</w:t>
      </w:r>
      <w:r w:rsidRPr="00B747CD">
        <w:rPr>
          <w:rFonts w:ascii="Book Antiqua" w:hAnsi="Book Antiqua"/>
          <w:sz w:val="24"/>
          <w:szCs w:val="24"/>
          <w:highlight w:val="yellow"/>
        </w:rPr>
        <w:t xml:space="preserve"> 2018</w:t>
      </w:r>
    </w:p>
    <w:p w14:paraId="5227CACA" w14:textId="36676010" w:rsidR="002E750F" w:rsidRPr="00B747CD" w:rsidRDefault="002E750F" w:rsidP="00B747CD">
      <w:pPr>
        <w:adjustRightInd w:val="0"/>
        <w:snapToGrid w:val="0"/>
        <w:spacing w:after="0" w:line="360" w:lineRule="auto"/>
        <w:jc w:val="both"/>
        <w:rPr>
          <w:rFonts w:ascii="Book Antiqua" w:hAnsi="Book Antiqua"/>
          <w:sz w:val="24"/>
          <w:szCs w:val="24"/>
          <w:highlight w:val="yellow"/>
          <w:lang w:eastAsia="zh-CN"/>
        </w:rPr>
      </w:pPr>
      <w:r w:rsidRPr="00B747CD">
        <w:rPr>
          <w:rFonts w:ascii="Book Antiqua" w:hAnsi="Book Antiqua"/>
          <w:sz w:val="24"/>
          <w:szCs w:val="24"/>
          <w:highlight w:val="yellow"/>
        </w:rPr>
        <w:t xml:space="preserve">6 </w:t>
      </w:r>
      <w:proofErr w:type="spellStart"/>
      <w:r w:rsidRPr="00B747CD">
        <w:rPr>
          <w:rFonts w:ascii="Book Antiqua" w:hAnsi="Book Antiqua"/>
          <w:b/>
          <w:sz w:val="24"/>
          <w:szCs w:val="24"/>
          <w:highlight w:val="yellow"/>
        </w:rPr>
        <w:t>Dova</w:t>
      </w:r>
      <w:proofErr w:type="spellEnd"/>
      <w:r w:rsidRPr="00B747CD">
        <w:rPr>
          <w:rFonts w:ascii="Book Antiqua" w:hAnsi="Book Antiqua"/>
          <w:b/>
          <w:sz w:val="24"/>
          <w:szCs w:val="24"/>
          <w:highlight w:val="yellow"/>
        </w:rPr>
        <w:t xml:space="preserve"> Pharmaceuticals, Inc</w:t>
      </w:r>
      <w:r w:rsidRPr="00B747CD">
        <w:rPr>
          <w:rFonts w:ascii="Book Antiqua" w:hAnsi="Book Antiqua"/>
          <w:b/>
          <w:sz w:val="24"/>
          <w:szCs w:val="24"/>
          <w:highlight w:val="yellow"/>
          <w:lang w:eastAsia="zh-CN"/>
        </w:rPr>
        <w:t>.</w:t>
      </w:r>
      <w:r w:rsidRPr="00B747CD">
        <w:rPr>
          <w:rFonts w:ascii="Book Antiqua" w:hAnsi="Book Antiqua"/>
          <w:sz w:val="24"/>
          <w:szCs w:val="24"/>
          <w:highlight w:val="yellow"/>
          <w:lang w:eastAsia="zh-CN"/>
        </w:rPr>
        <w:t xml:space="preserve"> </w:t>
      </w:r>
      <w:proofErr w:type="spellStart"/>
      <w:r w:rsidRPr="00B747CD">
        <w:rPr>
          <w:rFonts w:ascii="Book Antiqua" w:hAnsi="Book Antiqua"/>
          <w:sz w:val="24"/>
          <w:szCs w:val="24"/>
          <w:highlight w:val="yellow"/>
        </w:rPr>
        <w:t>Doptelet</w:t>
      </w:r>
      <w:proofErr w:type="spellEnd"/>
      <w:r w:rsidRPr="00B747CD">
        <w:rPr>
          <w:rFonts w:ascii="Book Antiqua" w:hAnsi="Book Antiqua"/>
          <w:sz w:val="24"/>
          <w:szCs w:val="24"/>
          <w:highlight w:val="yellow"/>
        </w:rPr>
        <w:t xml:space="preserve"> [package insert]. Durham: </w:t>
      </w:r>
      <w:proofErr w:type="spellStart"/>
      <w:r w:rsidRPr="00B747CD">
        <w:rPr>
          <w:rFonts w:ascii="Book Antiqua" w:hAnsi="Book Antiqua"/>
          <w:sz w:val="24"/>
          <w:szCs w:val="24"/>
          <w:highlight w:val="yellow"/>
        </w:rPr>
        <w:t>Dova</w:t>
      </w:r>
      <w:proofErr w:type="spellEnd"/>
      <w:r w:rsidRPr="00B747CD">
        <w:rPr>
          <w:rFonts w:ascii="Book Antiqua" w:hAnsi="Book Antiqua"/>
          <w:sz w:val="24"/>
          <w:szCs w:val="24"/>
          <w:highlight w:val="yellow"/>
        </w:rPr>
        <w:t xml:space="preserve"> Pharmaceuticals, Inc</w:t>
      </w:r>
      <w:r w:rsidRPr="00B747CD">
        <w:rPr>
          <w:rFonts w:ascii="Book Antiqua" w:hAnsi="Book Antiqua"/>
          <w:sz w:val="24"/>
          <w:szCs w:val="24"/>
          <w:highlight w:val="yellow"/>
          <w:lang w:eastAsia="zh-CN"/>
        </w:rPr>
        <w:t>.,</w:t>
      </w:r>
      <w:r w:rsidRPr="00B747CD">
        <w:rPr>
          <w:rFonts w:ascii="Book Antiqua" w:hAnsi="Book Antiqua"/>
          <w:sz w:val="24"/>
          <w:szCs w:val="24"/>
          <w:highlight w:val="yellow"/>
        </w:rPr>
        <w:t xml:space="preserve"> 2018</w:t>
      </w:r>
    </w:p>
    <w:p w14:paraId="5B9B88DD" w14:textId="4CBB15E1" w:rsidR="002E750F" w:rsidRPr="00B747CD" w:rsidRDefault="002E750F" w:rsidP="00B747CD">
      <w:pPr>
        <w:adjustRightInd w:val="0"/>
        <w:snapToGrid w:val="0"/>
        <w:spacing w:after="0" w:line="360" w:lineRule="auto"/>
        <w:jc w:val="both"/>
        <w:rPr>
          <w:rFonts w:ascii="Book Antiqua" w:hAnsi="Book Antiqua"/>
          <w:sz w:val="24"/>
          <w:szCs w:val="24"/>
          <w:lang w:eastAsia="zh-CN"/>
        </w:rPr>
      </w:pPr>
      <w:r w:rsidRPr="00B747CD">
        <w:rPr>
          <w:rFonts w:ascii="Book Antiqua" w:hAnsi="Book Antiqua"/>
          <w:sz w:val="24"/>
          <w:szCs w:val="24"/>
          <w:highlight w:val="yellow"/>
        </w:rPr>
        <w:t xml:space="preserve">7 </w:t>
      </w:r>
      <w:r w:rsidRPr="00B747CD">
        <w:rPr>
          <w:rFonts w:ascii="Book Antiqua" w:hAnsi="Book Antiqua"/>
          <w:b/>
          <w:sz w:val="24"/>
          <w:szCs w:val="24"/>
          <w:highlight w:val="yellow"/>
        </w:rPr>
        <w:t>Shionogi, Inc.</w:t>
      </w:r>
      <w:r w:rsidRPr="00B747CD">
        <w:rPr>
          <w:rFonts w:ascii="Book Antiqua" w:hAnsi="Book Antiqua"/>
          <w:sz w:val="24"/>
          <w:szCs w:val="24"/>
          <w:highlight w:val="yellow"/>
          <w:lang w:eastAsia="zh-CN"/>
        </w:rPr>
        <w:t xml:space="preserve"> </w:t>
      </w:r>
      <w:proofErr w:type="spellStart"/>
      <w:r w:rsidRPr="00B747CD">
        <w:rPr>
          <w:rFonts w:ascii="Book Antiqua" w:hAnsi="Book Antiqua"/>
          <w:sz w:val="24"/>
          <w:szCs w:val="24"/>
          <w:highlight w:val="yellow"/>
        </w:rPr>
        <w:t>Mulpleta</w:t>
      </w:r>
      <w:proofErr w:type="spellEnd"/>
      <w:r w:rsidRPr="00B747CD">
        <w:rPr>
          <w:rFonts w:ascii="Book Antiqua" w:hAnsi="Book Antiqua"/>
          <w:sz w:val="24"/>
          <w:szCs w:val="24"/>
          <w:highlight w:val="yellow"/>
        </w:rPr>
        <w:t xml:space="preserve"> [package insert]. Florham Park: Shionogi, Inc.</w:t>
      </w:r>
      <w:r w:rsidRPr="00B747CD">
        <w:rPr>
          <w:rFonts w:ascii="Book Antiqua" w:hAnsi="Book Antiqua"/>
          <w:sz w:val="24"/>
          <w:szCs w:val="24"/>
          <w:highlight w:val="yellow"/>
          <w:lang w:eastAsia="zh-CN"/>
        </w:rPr>
        <w:t>,</w:t>
      </w:r>
      <w:r w:rsidRPr="00B747CD">
        <w:rPr>
          <w:rFonts w:ascii="Book Antiqua" w:hAnsi="Book Antiqua"/>
          <w:sz w:val="24"/>
          <w:szCs w:val="24"/>
          <w:highlight w:val="yellow"/>
        </w:rPr>
        <w:t xml:space="preserve"> 2018</w:t>
      </w:r>
    </w:p>
    <w:p w14:paraId="78DE6C2F"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8 </w:t>
      </w:r>
      <w:r w:rsidRPr="00B747CD">
        <w:rPr>
          <w:rFonts w:ascii="Book Antiqua" w:hAnsi="Book Antiqua"/>
          <w:b/>
          <w:sz w:val="24"/>
          <w:szCs w:val="24"/>
        </w:rPr>
        <w:t>Estcourt LJ</w:t>
      </w:r>
      <w:r w:rsidRPr="00B747CD">
        <w:rPr>
          <w:rFonts w:ascii="Book Antiqua" w:hAnsi="Book Antiqua"/>
          <w:sz w:val="24"/>
          <w:szCs w:val="24"/>
        </w:rPr>
        <w:t xml:space="preserve">, Birchall J, Allard S, Bassey SJ, Hersey P, Kerr JP, Mumford AD, Stanworth SJ, </w:t>
      </w:r>
      <w:proofErr w:type="spellStart"/>
      <w:r w:rsidRPr="00B747CD">
        <w:rPr>
          <w:rFonts w:ascii="Book Antiqua" w:hAnsi="Book Antiqua"/>
          <w:sz w:val="24"/>
          <w:szCs w:val="24"/>
        </w:rPr>
        <w:t>Tinegate</w:t>
      </w:r>
      <w:proofErr w:type="spellEnd"/>
      <w:r w:rsidRPr="00B747CD">
        <w:rPr>
          <w:rFonts w:ascii="Book Antiqua" w:hAnsi="Book Antiqua"/>
          <w:sz w:val="24"/>
          <w:szCs w:val="24"/>
        </w:rPr>
        <w:t xml:space="preserve"> H; British Committee for Standards in </w:t>
      </w:r>
      <w:proofErr w:type="spellStart"/>
      <w:r w:rsidRPr="00B747CD">
        <w:rPr>
          <w:rFonts w:ascii="Book Antiqua" w:hAnsi="Book Antiqua"/>
          <w:sz w:val="24"/>
          <w:szCs w:val="24"/>
        </w:rPr>
        <w:t>Haematology</w:t>
      </w:r>
      <w:proofErr w:type="spellEnd"/>
      <w:r w:rsidRPr="00B747CD">
        <w:rPr>
          <w:rFonts w:ascii="Book Antiqua" w:hAnsi="Book Antiqua"/>
          <w:sz w:val="24"/>
          <w:szCs w:val="24"/>
        </w:rPr>
        <w:t xml:space="preserve">. Guidelines for the use of platelet transfusions. </w:t>
      </w:r>
      <w:r w:rsidRPr="00B747CD">
        <w:rPr>
          <w:rFonts w:ascii="Book Antiqua" w:hAnsi="Book Antiqua"/>
          <w:i/>
          <w:sz w:val="24"/>
          <w:szCs w:val="24"/>
        </w:rPr>
        <w:t xml:space="preserve">Br J </w:t>
      </w:r>
      <w:proofErr w:type="spellStart"/>
      <w:r w:rsidRPr="00B747CD">
        <w:rPr>
          <w:rFonts w:ascii="Book Antiqua" w:hAnsi="Book Antiqua"/>
          <w:i/>
          <w:sz w:val="24"/>
          <w:szCs w:val="24"/>
        </w:rPr>
        <w:t>Haematol</w:t>
      </w:r>
      <w:proofErr w:type="spellEnd"/>
      <w:r w:rsidRPr="00B747CD">
        <w:rPr>
          <w:rFonts w:ascii="Book Antiqua" w:hAnsi="Book Antiqua"/>
          <w:sz w:val="24"/>
          <w:szCs w:val="24"/>
        </w:rPr>
        <w:t xml:space="preserve"> 2017; </w:t>
      </w:r>
      <w:r w:rsidRPr="00B747CD">
        <w:rPr>
          <w:rFonts w:ascii="Book Antiqua" w:hAnsi="Book Antiqua"/>
          <w:b/>
          <w:sz w:val="24"/>
          <w:szCs w:val="24"/>
        </w:rPr>
        <w:t>176</w:t>
      </w:r>
      <w:r w:rsidRPr="00B747CD">
        <w:rPr>
          <w:rFonts w:ascii="Book Antiqua" w:hAnsi="Book Antiqua"/>
          <w:sz w:val="24"/>
          <w:szCs w:val="24"/>
        </w:rPr>
        <w:t>: 365-394 [PMID: 28009056 DOI: 10.1111/bjh.14423]</w:t>
      </w:r>
    </w:p>
    <w:p w14:paraId="07E9487B"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9 </w:t>
      </w:r>
      <w:r w:rsidRPr="00B747CD">
        <w:rPr>
          <w:rFonts w:ascii="Book Antiqua" w:hAnsi="Book Antiqua"/>
          <w:b/>
          <w:sz w:val="24"/>
          <w:szCs w:val="24"/>
        </w:rPr>
        <w:t>Al-</w:t>
      </w:r>
      <w:proofErr w:type="spellStart"/>
      <w:r w:rsidRPr="00B747CD">
        <w:rPr>
          <w:rFonts w:ascii="Book Antiqua" w:hAnsi="Book Antiqua"/>
          <w:b/>
          <w:sz w:val="24"/>
          <w:szCs w:val="24"/>
        </w:rPr>
        <w:t>Samkari</w:t>
      </w:r>
      <w:proofErr w:type="spellEnd"/>
      <w:r w:rsidRPr="00B747CD">
        <w:rPr>
          <w:rFonts w:ascii="Book Antiqua" w:hAnsi="Book Antiqua"/>
          <w:b/>
          <w:sz w:val="24"/>
          <w:szCs w:val="24"/>
        </w:rPr>
        <w:t xml:space="preserve"> H</w:t>
      </w:r>
      <w:r w:rsidRPr="00B747CD">
        <w:rPr>
          <w:rFonts w:ascii="Book Antiqua" w:hAnsi="Book Antiqua"/>
          <w:sz w:val="24"/>
          <w:szCs w:val="24"/>
        </w:rPr>
        <w:t xml:space="preserve">, Marshall AL, </w:t>
      </w:r>
      <w:proofErr w:type="spellStart"/>
      <w:r w:rsidRPr="00B747CD">
        <w:rPr>
          <w:rFonts w:ascii="Book Antiqua" w:hAnsi="Book Antiqua"/>
          <w:sz w:val="24"/>
          <w:szCs w:val="24"/>
        </w:rPr>
        <w:t>Goodarzi</w:t>
      </w:r>
      <w:proofErr w:type="spellEnd"/>
      <w:r w:rsidRPr="00B747CD">
        <w:rPr>
          <w:rFonts w:ascii="Book Antiqua" w:hAnsi="Book Antiqua"/>
          <w:sz w:val="24"/>
          <w:szCs w:val="24"/>
        </w:rPr>
        <w:t xml:space="preserve"> K, </w:t>
      </w:r>
      <w:proofErr w:type="spellStart"/>
      <w:r w:rsidRPr="00B747CD">
        <w:rPr>
          <w:rFonts w:ascii="Book Antiqua" w:hAnsi="Book Antiqua"/>
          <w:sz w:val="24"/>
          <w:szCs w:val="24"/>
        </w:rPr>
        <w:t>Kuter</w:t>
      </w:r>
      <w:proofErr w:type="spellEnd"/>
      <w:r w:rsidRPr="00B747CD">
        <w:rPr>
          <w:rFonts w:ascii="Book Antiqua" w:hAnsi="Book Antiqua"/>
          <w:sz w:val="24"/>
          <w:szCs w:val="24"/>
        </w:rPr>
        <w:t xml:space="preserve"> DJ. Romiplostim for the management of perioperative thrombocytopenia. </w:t>
      </w:r>
      <w:r w:rsidRPr="00B747CD">
        <w:rPr>
          <w:rFonts w:ascii="Book Antiqua" w:hAnsi="Book Antiqua"/>
          <w:i/>
          <w:sz w:val="24"/>
          <w:szCs w:val="24"/>
        </w:rPr>
        <w:t xml:space="preserve">Br J </w:t>
      </w:r>
      <w:proofErr w:type="spellStart"/>
      <w:r w:rsidRPr="00B747CD">
        <w:rPr>
          <w:rFonts w:ascii="Book Antiqua" w:hAnsi="Book Antiqua"/>
          <w:i/>
          <w:sz w:val="24"/>
          <w:szCs w:val="24"/>
        </w:rPr>
        <w:t>Haematol</w:t>
      </w:r>
      <w:proofErr w:type="spellEnd"/>
      <w:r w:rsidRPr="00B747CD">
        <w:rPr>
          <w:rFonts w:ascii="Book Antiqua" w:hAnsi="Book Antiqua"/>
          <w:sz w:val="24"/>
          <w:szCs w:val="24"/>
        </w:rPr>
        <w:t xml:space="preserve"> 2018; </w:t>
      </w:r>
      <w:r w:rsidRPr="00B747CD">
        <w:rPr>
          <w:rFonts w:ascii="Book Antiqua" w:hAnsi="Book Antiqua"/>
          <w:b/>
          <w:sz w:val="24"/>
          <w:szCs w:val="24"/>
        </w:rPr>
        <w:t>182</w:t>
      </w:r>
      <w:r w:rsidRPr="00B747CD">
        <w:rPr>
          <w:rFonts w:ascii="Book Antiqua" w:hAnsi="Book Antiqua"/>
          <w:sz w:val="24"/>
          <w:szCs w:val="24"/>
        </w:rPr>
        <w:t>: 106-113 [PMID: 29767837 DOI: 10.1111/bjh.15280]</w:t>
      </w:r>
    </w:p>
    <w:p w14:paraId="1B8E3E79"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10 </w:t>
      </w:r>
      <w:proofErr w:type="spellStart"/>
      <w:r w:rsidRPr="00B747CD">
        <w:rPr>
          <w:rFonts w:ascii="Book Antiqua" w:hAnsi="Book Antiqua"/>
          <w:b/>
          <w:sz w:val="24"/>
          <w:szCs w:val="24"/>
        </w:rPr>
        <w:t>Dultz</w:t>
      </w:r>
      <w:proofErr w:type="spellEnd"/>
      <w:r w:rsidRPr="00B747CD">
        <w:rPr>
          <w:rFonts w:ascii="Book Antiqua" w:hAnsi="Book Antiqua"/>
          <w:b/>
          <w:sz w:val="24"/>
          <w:szCs w:val="24"/>
        </w:rPr>
        <w:t xml:space="preserve"> G</w:t>
      </w:r>
      <w:r w:rsidRPr="00B747CD">
        <w:rPr>
          <w:rFonts w:ascii="Book Antiqua" w:hAnsi="Book Antiqua"/>
          <w:sz w:val="24"/>
          <w:szCs w:val="24"/>
        </w:rPr>
        <w:t xml:space="preserve">, </w:t>
      </w:r>
      <w:proofErr w:type="spellStart"/>
      <w:r w:rsidRPr="00B747CD">
        <w:rPr>
          <w:rFonts w:ascii="Book Antiqua" w:hAnsi="Book Antiqua"/>
          <w:sz w:val="24"/>
          <w:szCs w:val="24"/>
        </w:rPr>
        <w:t>Kronenberger</w:t>
      </w:r>
      <w:proofErr w:type="spellEnd"/>
      <w:r w:rsidRPr="00B747CD">
        <w:rPr>
          <w:rFonts w:ascii="Book Antiqua" w:hAnsi="Book Antiqua"/>
          <w:sz w:val="24"/>
          <w:szCs w:val="24"/>
        </w:rPr>
        <w:t xml:space="preserve"> B, Azizi A, </w:t>
      </w:r>
      <w:proofErr w:type="spellStart"/>
      <w:r w:rsidRPr="00B747CD">
        <w:rPr>
          <w:rFonts w:ascii="Book Antiqua" w:hAnsi="Book Antiqua"/>
          <w:sz w:val="24"/>
          <w:szCs w:val="24"/>
        </w:rPr>
        <w:t>Mihm</w:t>
      </w:r>
      <w:proofErr w:type="spellEnd"/>
      <w:r w:rsidRPr="00B747CD">
        <w:rPr>
          <w:rFonts w:ascii="Book Antiqua" w:hAnsi="Book Antiqua"/>
          <w:sz w:val="24"/>
          <w:szCs w:val="24"/>
        </w:rPr>
        <w:t xml:space="preserve"> U, </w:t>
      </w:r>
      <w:proofErr w:type="spellStart"/>
      <w:r w:rsidRPr="00B747CD">
        <w:rPr>
          <w:rFonts w:ascii="Book Antiqua" w:hAnsi="Book Antiqua"/>
          <w:sz w:val="24"/>
          <w:szCs w:val="24"/>
        </w:rPr>
        <w:t>Vogl</w:t>
      </w:r>
      <w:proofErr w:type="spellEnd"/>
      <w:r w:rsidRPr="00B747CD">
        <w:rPr>
          <w:rFonts w:ascii="Book Antiqua" w:hAnsi="Book Antiqua"/>
          <w:sz w:val="24"/>
          <w:szCs w:val="24"/>
        </w:rPr>
        <w:t xml:space="preserve"> TJ, </w:t>
      </w:r>
      <w:proofErr w:type="spellStart"/>
      <w:r w:rsidRPr="00B747CD">
        <w:rPr>
          <w:rFonts w:ascii="Book Antiqua" w:hAnsi="Book Antiqua"/>
          <w:sz w:val="24"/>
          <w:szCs w:val="24"/>
        </w:rPr>
        <w:t>Sarrazin</w:t>
      </w:r>
      <w:proofErr w:type="spellEnd"/>
      <w:r w:rsidRPr="00B747CD">
        <w:rPr>
          <w:rFonts w:ascii="Book Antiqua" w:hAnsi="Book Antiqua"/>
          <w:sz w:val="24"/>
          <w:szCs w:val="24"/>
        </w:rPr>
        <w:t xml:space="preserve"> U, </w:t>
      </w:r>
      <w:proofErr w:type="spellStart"/>
      <w:r w:rsidRPr="00B747CD">
        <w:rPr>
          <w:rFonts w:ascii="Book Antiqua" w:hAnsi="Book Antiqua"/>
          <w:sz w:val="24"/>
          <w:szCs w:val="24"/>
        </w:rPr>
        <w:t>Sarrazin</w:t>
      </w:r>
      <w:proofErr w:type="spellEnd"/>
      <w:r w:rsidRPr="00B747CD">
        <w:rPr>
          <w:rFonts w:ascii="Book Antiqua" w:hAnsi="Book Antiqua"/>
          <w:sz w:val="24"/>
          <w:szCs w:val="24"/>
        </w:rPr>
        <w:t xml:space="preserve"> C, </w:t>
      </w:r>
      <w:proofErr w:type="spellStart"/>
      <w:r w:rsidRPr="00B747CD">
        <w:rPr>
          <w:rFonts w:ascii="Book Antiqua" w:hAnsi="Book Antiqua"/>
          <w:sz w:val="24"/>
          <w:szCs w:val="24"/>
        </w:rPr>
        <w:t>Zeuzem</w:t>
      </w:r>
      <w:proofErr w:type="spellEnd"/>
      <w:r w:rsidRPr="00B747CD">
        <w:rPr>
          <w:rFonts w:ascii="Book Antiqua" w:hAnsi="Book Antiqua"/>
          <w:sz w:val="24"/>
          <w:szCs w:val="24"/>
        </w:rPr>
        <w:t xml:space="preserve"> S, Hofmann WP. Portal vein thrombosis as complication of romiplostim treatment in a cirrhotic patient with hepatitis C-associated immune thrombocytopenic purpura. </w:t>
      </w:r>
      <w:r w:rsidRPr="00B747CD">
        <w:rPr>
          <w:rFonts w:ascii="Book Antiqua" w:hAnsi="Book Antiqua"/>
          <w:i/>
          <w:sz w:val="24"/>
          <w:szCs w:val="24"/>
        </w:rPr>
        <w:t>J Hepatol</w:t>
      </w:r>
      <w:r w:rsidRPr="00B747CD">
        <w:rPr>
          <w:rFonts w:ascii="Book Antiqua" w:hAnsi="Book Antiqua"/>
          <w:sz w:val="24"/>
          <w:szCs w:val="24"/>
        </w:rPr>
        <w:t xml:space="preserve"> 2011; </w:t>
      </w:r>
      <w:r w:rsidRPr="00B747CD">
        <w:rPr>
          <w:rFonts w:ascii="Book Antiqua" w:hAnsi="Book Antiqua"/>
          <w:b/>
          <w:sz w:val="24"/>
          <w:szCs w:val="24"/>
        </w:rPr>
        <w:t>55</w:t>
      </w:r>
      <w:r w:rsidRPr="00B747CD">
        <w:rPr>
          <w:rFonts w:ascii="Book Antiqua" w:hAnsi="Book Antiqua"/>
          <w:sz w:val="24"/>
          <w:szCs w:val="24"/>
        </w:rPr>
        <w:t>: 229-232 [PMID: 21310200 DOI: 10.1016/j.jhep.2011.01.020]</w:t>
      </w:r>
    </w:p>
    <w:p w14:paraId="3AFF6CBE"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11 </w:t>
      </w:r>
      <w:proofErr w:type="spellStart"/>
      <w:r w:rsidRPr="00B747CD">
        <w:rPr>
          <w:rFonts w:ascii="Book Antiqua" w:hAnsi="Book Antiqua"/>
          <w:b/>
          <w:sz w:val="24"/>
          <w:szCs w:val="24"/>
        </w:rPr>
        <w:t>Afdhal</w:t>
      </w:r>
      <w:proofErr w:type="spellEnd"/>
      <w:r w:rsidRPr="00B747CD">
        <w:rPr>
          <w:rFonts w:ascii="Book Antiqua" w:hAnsi="Book Antiqua"/>
          <w:b/>
          <w:sz w:val="24"/>
          <w:szCs w:val="24"/>
        </w:rPr>
        <w:t xml:space="preserve"> NH</w:t>
      </w:r>
      <w:r w:rsidRPr="00B747CD">
        <w:rPr>
          <w:rFonts w:ascii="Book Antiqua" w:hAnsi="Book Antiqua"/>
          <w:sz w:val="24"/>
          <w:szCs w:val="24"/>
        </w:rPr>
        <w:t xml:space="preserve">, Giannini EG, Tayyab G, Mohsin A, Lee JW, </w:t>
      </w:r>
      <w:proofErr w:type="spellStart"/>
      <w:r w:rsidRPr="00B747CD">
        <w:rPr>
          <w:rFonts w:ascii="Book Antiqua" w:hAnsi="Book Antiqua"/>
          <w:sz w:val="24"/>
          <w:szCs w:val="24"/>
        </w:rPr>
        <w:t>Andriulli</w:t>
      </w:r>
      <w:proofErr w:type="spellEnd"/>
      <w:r w:rsidRPr="00B747CD">
        <w:rPr>
          <w:rFonts w:ascii="Book Antiqua" w:hAnsi="Book Antiqua"/>
          <w:sz w:val="24"/>
          <w:szCs w:val="24"/>
        </w:rPr>
        <w:t xml:space="preserve"> A, Jeffers L, </w:t>
      </w:r>
      <w:proofErr w:type="spellStart"/>
      <w:r w:rsidRPr="00B747CD">
        <w:rPr>
          <w:rFonts w:ascii="Book Antiqua" w:hAnsi="Book Antiqua"/>
          <w:sz w:val="24"/>
          <w:szCs w:val="24"/>
        </w:rPr>
        <w:t>McHutchison</w:t>
      </w:r>
      <w:proofErr w:type="spellEnd"/>
      <w:r w:rsidRPr="00B747CD">
        <w:rPr>
          <w:rFonts w:ascii="Book Antiqua" w:hAnsi="Book Antiqua"/>
          <w:sz w:val="24"/>
          <w:szCs w:val="24"/>
        </w:rPr>
        <w:t xml:space="preserve"> J, Chen PJ, Han KH, Campbell F, Hyde D, </w:t>
      </w:r>
      <w:proofErr w:type="spellStart"/>
      <w:r w:rsidRPr="00B747CD">
        <w:rPr>
          <w:rFonts w:ascii="Book Antiqua" w:hAnsi="Book Antiqua"/>
          <w:sz w:val="24"/>
          <w:szCs w:val="24"/>
        </w:rPr>
        <w:t>Brainsky</w:t>
      </w:r>
      <w:proofErr w:type="spellEnd"/>
      <w:r w:rsidRPr="00B747CD">
        <w:rPr>
          <w:rFonts w:ascii="Book Antiqua" w:hAnsi="Book Antiqua"/>
          <w:sz w:val="24"/>
          <w:szCs w:val="24"/>
        </w:rPr>
        <w:t xml:space="preserve"> A, Theodore D; ELEVATE Study Group. </w:t>
      </w:r>
      <w:proofErr w:type="spellStart"/>
      <w:r w:rsidRPr="00B747CD">
        <w:rPr>
          <w:rFonts w:ascii="Book Antiqua" w:hAnsi="Book Antiqua"/>
          <w:sz w:val="24"/>
          <w:szCs w:val="24"/>
        </w:rPr>
        <w:t>Eltrombopag</w:t>
      </w:r>
      <w:proofErr w:type="spellEnd"/>
      <w:r w:rsidRPr="00B747CD">
        <w:rPr>
          <w:rFonts w:ascii="Book Antiqua" w:hAnsi="Book Antiqua"/>
          <w:sz w:val="24"/>
          <w:szCs w:val="24"/>
        </w:rPr>
        <w:t xml:space="preserve"> before procedures in patients with cirrhosis and </w:t>
      </w:r>
      <w:r w:rsidRPr="00B747CD">
        <w:rPr>
          <w:rFonts w:ascii="Book Antiqua" w:hAnsi="Book Antiqua"/>
          <w:sz w:val="24"/>
          <w:szCs w:val="24"/>
        </w:rPr>
        <w:lastRenderedPageBreak/>
        <w:t xml:space="preserve">thrombocytopenia. </w:t>
      </w:r>
      <w:r w:rsidRPr="00B747CD">
        <w:rPr>
          <w:rFonts w:ascii="Book Antiqua" w:hAnsi="Book Antiqua"/>
          <w:i/>
          <w:sz w:val="24"/>
          <w:szCs w:val="24"/>
        </w:rPr>
        <w:t xml:space="preserve">N </w:t>
      </w:r>
      <w:proofErr w:type="spellStart"/>
      <w:r w:rsidRPr="00B747CD">
        <w:rPr>
          <w:rFonts w:ascii="Book Antiqua" w:hAnsi="Book Antiqua"/>
          <w:i/>
          <w:sz w:val="24"/>
          <w:szCs w:val="24"/>
        </w:rPr>
        <w:t>Engl</w:t>
      </w:r>
      <w:proofErr w:type="spellEnd"/>
      <w:r w:rsidRPr="00B747CD">
        <w:rPr>
          <w:rFonts w:ascii="Book Antiqua" w:hAnsi="Book Antiqua"/>
          <w:i/>
          <w:sz w:val="24"/>
          <w:szCs w:val="24"/>
        </w:rPr>
        <w:t xml:space="preserve"> J Med</w:t>
      </w:r>
      <w:r w:rsidRPr="00B747CD">
        <w:rPr>
          <w:rFonts w:ascii="Book Antiqua" w:hAnsi="Book Antiqua"/>
          <w:sz w:val="24"/>
          <w:szCs w:val="24"/>
        </w:rPr>
        <w:t xml:space="preserve"> 2012; </w:t>
      </w:r>
      <w:r w:rsidRPr="00B747CD">
        <w:rPr>
          <w:rFonts w:ascii="Book Antiqua" w:hAnsi="Book Antiqua"/>
          <w:b/>
          <w:sz w:val="24"/>
          <w:szCs w:val="24"/>
        </w:rPr>
        <w:t>367</w:t>
      </w:r>
      <w:r w:rsidRPr="00B747CD">
        <w:rPr>
          <w:rFonts w:ascii="Book Antiqua" w:hAnsi="Book Antiqua"/>
          <w:sz w:val="24"/>
          <w:szCs w:val="24"/>
        </w:rPr>
        <w:t>: 716-724 [PMID: 22913681 DOI: 10.1056/NEJMoa1110709]</w:t>
      </w:r>
    </w:p>
    <w:p w14:paraId="73FB851E"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12 </w:t>
      </w:r>
      <w:proofErr w:type="spellStart"/>
      <w:r w:rsidRPr="00B747CD">
        <w:rPr>
          <w:rFonts w:ascii="Book Antiqua" w:hAnsi="Book Antiqua"/>
          <w:b/>
          <w:sz w:val="24"/>
          <w:szCs w:val="24"/>
        </w:rPr>
        <w:t>Kuter</w:t>
      </w:r>
      <w:proofErr w:type="spellEnd"/>
      <w:r w:rsidRPr="00B747CD">
        <w:rPr>
          <w:rFonts w:ascii="Book Antiqua" w:hAnsi="Book Antiqua"/>
          <w:b/>
          <w:sz w:val="24"/>
          <w:szCs w:val="24"/>
        </w:rPr>
        <w:t xml:space="preserve"> DJ</w:t>
      </w:r>
      <w:r w:rsidRPr="00B747CD">
        <w:rPr>
          <w:rFonts w:ascii="Book Antiqua" w:hAnsi="Book Antiqua"/>
          <w:sz w:val="24"/>
          <w:szCs w:val="24"/>
        </w:rPr>
        <w:t xml:space="preserve">. New thrombopoietic growth factors. </w:t>
      </w:r>
      <w:r w:rsidRPr="00B747CD">
        <w:rPr>
          <w:rFonts w:ascii="Book Antiqua" w:hAnsi="Book Antiqua"/>
          <w:i/>
          <w:sz w:val="24"/>
          <w:szCs w:val="24"/>
        </w:rPr>
        <w:t>Blood</w:t>
      </w:r>
      <w:r w:rsidRPr="00B747CD">
        <w:rPr>
          <w:rFonts w:ascii="Book Antiqua" w:hAnsi="Book Antiqua"/>
          <w:sz w:val="24"/>
          <w:szCs w:val="24"/>
        </w:rPr>
        <w:t xml:space="preserve"> 2007; </w:t>
      </w:r>
      <w:r w:rsidRPr="00B747CD">
        <w:rPr>
          <w:rFonts w:ascii="Book Antiqua" w:hAnsi="Book Antiqua"/>
          <w:b/>
          <w:sz w:val="24"/>
          <w:szCs w:val="24"/>
        </w:rPr>
        <w:t>109</w:t>
      </w:r>
      <w:r w:rsidRPr="00B747CD">
        <w:rPr>
          <w:rFonts w:ascii="Book Antiqua" w:hAnsi="Book Antiqua"/>
          <w:sz w:val="24"/>
          <w:szCs w:val="24"/>
        </w:rPr>
        <w:t>: 4607-4616 [PMID: 17289815 DOI: 10.1182/blood-2006-10-019315]</w:t>
      </w:r>
    </w:p>
    <w:p w14:paraId="132ED6C6" w14:textId="0414B839"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13 </w:t>
      </w:r>
      <w:r w:rsidRPr="00B747CD">
        <w:rPr>
          <w:rFonts w:ascii="Book Antiqua" w:hAnsi="Book Antiqua"/>
          <w:b/>
          <w:sz w:val="24"/>
          <w:szCs w:val="24"/>
        </w:rPr>
        <w:t>Bankston PC,</w:t>
      </w:r>
      <w:r w:rsidR="00A94344" w:rsidRPr="00B747CD">
        <w:rPr>
          <w:rFonts w:ascii="Book Antiqua" w:hAnsi="Book Antiqua"/>
          <w:sz w:val="24"/>
          <w:szCs w:val="24"/>
          <w:lang w:eastAsia="zh-CN"/>
        </w:rPr>
        <w:t xml:space="preserve"> </w:t>
      </w:r>
      <w:r w:rsidRPr="00B747CD">
        <w:rPr>
          <w:rFonts w:ascii="Book Antiqua" w:hAnsi="Book Antiqua"/>
          <w:sz w:val="24"/>
          <w:szCs w:val="24"/>
        </w:rPr>
        <w:t>Al-</w:t>
      </w:r>
      <w:proofErr w:type="spellStart"/>
      <w:r w:rsidRPr="00B747CD">
        <w:rPr>
          <w:rFonts w:ascii="Book Antiqua" w:hAnsi="Book Antiqua"/>
          <w:sz w:val="24"/>
          <w:szCs w:val="24"/>
        </w:rPr>
        <w:t>Horani</w:t>
      </w:r>
      <w:proofErr w:type="spellEnd"/>
      <w:r w:rsidRPr="00B747CD">
        <w:rPr>
          <w:rFonts w:ascii="Book Antiqua" w:hAnsi="Book Antiqua"/>
          <w:sz w:val="24"/>
          <w:szCs w:val="24"/>
        </w:rPr>
        <w:t xml:space="preserve"> RA. New small molecule drugs for thrombocytopenia: chemical, pharmacological, and therapeutic use considerations</w:t>
      </w:r>
      <w:r w:rsidR="00A94344" w:rsidRPr="00B747CD">
        <w:rPr>
          <w:rFonts w:ascii="Book Antiqua" w:hAnsi="Book Antiqua"/>
          <w:sz w:val="24"/>
          <w:szCs w:val="24"/>
        </w:rPr>
        <w:t xml:space="preserve">. </w:t>
      </w:r>
      <w:r w:rsidR="00A94344" w:rsidRPr="00B747CD">
        <w:rPr>
          <w:rFonts w:ascii="Book Antiqua" w:hAnsi="Book Antiqua"/>
          <w:i/>
          <w:sz w:val="24"/>
          <w:szCs w:val="24"/>
        </w:rPr>
        <w:t>Int J Mol Sci</w:t>
      </w:r>
      <w:r w:rsidR="00A94344" w:rsidRPr="00B747CD">
        <w:rPr>
          <w:rFonts w:ascii="Book Antiqua" w:hAnsi="Book Antiqua"/>
          <w:sz w:val="24"/>
          <w:szCs w:val="24"/>
        </w:rPr>
        <w:t xml:space="preserve"> 2019;</w:t>
      </w:r>
      <w:r w:rsidR="00A94344" w:rsidRPr="00B747CD">
        <w:rPr>
          <w:rFonts w:ascii="Book Antiqua" w:hAnsi="Book Antiqua"/>
          <w:sz w:val="24"/>
          <w:szCs w:val="24"/>
          <w:lang w:eastAsia="zh-CN"/>
        </w:rPr>
        <w:t xml:space="preserve"> </w:t>
      </w:r>
      <w:r w:rsidR="00A94344" w:rsidRPr="00B747CD">
        <w:rPr>
          <w:rFonts w:ascii="Book Antiqua" w:hAnsi="Book Antiqua"/>
          <w:b/>
          <w:sz w:val="24"/>
          <w:szCs w:val="24"/>
        </w:rPr>
        <w:t>20</w:t>
      </w:r>
      <w:r w:rsidR="00A94344" w:rsidRPr="00B747CD">
        <w:rPr>
          <w:rFonts w:ascii="Book Antiqua" w:hAnsi="Book Antiqua"/>
          <w:sz w:val="24"/>
          <w:szCs w:val="24"/>
          <w:lang w:eastAsia="zh-CN"/>
        </w:rPr>
        <w:t>: 3013</w:t>
      </w:r>
      <w:r w:rsidR="00A94344" w:rsidRPr="00B747CD">
        <w:rPr>
          <w:rFonts w:ascii="Book Antiqua" w:hAnsi="Book Antiqua"/>
          <w:sz w:val="24"/>
          <w:szCs w:val="24"/>
        </w:rPr>
        <w:t>[</w:t>
      </w:r>
      <w:r w:rsidR="00A94344" w:rsidRPr="00B747CD">
        <w:rPr>
          <w:rFonts w:ascii="Book Antiqua" w:hAnsi="Book Antiqua"/>
          <w:sz w:val="24"/>
          <w:szCs w:val="24"/>
          <w:lang w:eastAsia="zh-CN"/>
        </w:rPr>
        <w:t xml:space="preserve">PMID: 31226783 </w:t>
      </w:r>
      <w:r w:rsidR="00A94344" w:rsidRPr="00B747CD">
        <w:rPr>
          <w:rFonts w:ascii="Book Antiqua" w:hAnsi="Book Antiqua"/>
          <w:sz w:val="24"/>
          <w:szCs w:val="24"/>
        </w:rPr>
        <w:t>DOI</w:t>
      </w:r>
      <w:r w:rsidRPr="00B747CD">
        <w:rPr>
          <w:rFonts w:ascii="Book Antiqua" w:hAnsi="Book Antiqua"/>
          <w:sz w:val="24"/>
          <w:szCs w:val="24"/>
        </w:rPr>
        <w:t>:</w:t>
      </w:r>
      <w:r w:rsidR="00A94344" w:rsidRPr="00B747CD">
        <w:rPr>
          <w:rFonts w:ascii="Book Antiqua" w:hAnsi="Book Antiqua"/>
          <w:sz w:val="24"/>
          <w:szCs w:val="24"/>
          <w:lang w:eastAsia="zh-CN"/>
        </w:rPr>
        <w:t xml:space="preserve"> </w:t>
      </w:r>
      <w:r w:rsidRPr="00B747CD">
        <w:rPr>
          <w:rFonts w:ascii="Book Antiqua" w:hAnsi="Book Antiqua"/>
          <w:sz w:val="24"/>
          <w:szCs w:val="24"/>
        </w:rPr>
        <w:t>10.3390/ijms20123013]</w:t>
      </w:r>
    </w:p>
    <w:p w14:paraId="06F21B9C"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14 </w:t>
      </w:r>
      <w:proofErr w:type="spellStart"/>
      <w:r w:rsidRPr="00B747CD">
        <w:rPr>
          <w:rFonts w:ascii="Book Antiqua" w:hAnsi="Book Antiqua"/>
          <w:b/>
          <w:sz w:val="24"/>
          <w:szCs w:val="24"/>
        </w:rPr>
        <w:t>Terrault</w:t>
      </w:r>
      <w:proofErr w:type="spellEnd"/>
      <w:r w:rsidRPr="00B747CD">
        <w:rPr>
          <w:rFonts w:ascii="Book Antiqua" w:hAnsi="Book Antiqua"/>
          <w:b/>
          <w:sz w:val="24"/>
          <w:szCs w:val="24"/>
        </w:rPr>
        <w:t xml:space="preserve"> N</w:t>
      </w:r>
      <w:r w:rsidRPr="00B747CD">
        <w:rPr>
          <w:rFonts w:ascii="Book Antiqua" w:hAnsi="Book Antiqua"/>
          <w:sz w:val="24"/>
          <w:szCs w:val="24"/>
        </w:rPr>
        <w:t xml:space="preserve">, Chen YC, Izumi N, </w:t>
      </w:r>
      <w:proofErr w:type="spellStart"/>
      <w:r w:rsidRPr="00B747CD">
        <w:rPr>
          <w:rFonts w:ascii="Book Antiqua" w:hAnsi="Book Antiqua"/>
          <w:sz w:val="24"/>
          <w:szCs w:val="24"/>
        </w:rPr>
        <w:t>Kayali</w:t>
      </w:r>
      <w:proofErr w:type="spellEnd"/>
      <w:r w:rsidRPr="00B747CD">
        <w:rPr>
          <w:rFonts w:ascii="Book Antiqua" w:hAnsi="Book Antiqua"/>
          <w:sz w:val="24"/>
          <w:szCs w:val="24"/>
        </w:rPr>
        <w:t xml:space="preserve"> Z, </w:t>
      </w:r>
      <w:proofErr w:type="spellStart"/>
      <w:r w:rsidRPr="00B747CD">
        <w:rPr>
          <w:rFonts w:ascii="Book Antiqua" w:hAnsi="Book Antiqua"/>
          <w:sz w:val="24"/>
          <w:szCs w:val="24"/>
        </w:rPr>
        <w:t>Mitrut</w:t>
      </w:r>
      <w:proofErr w:type="spellEnd"/>
      <w:r w:rsidRPr="00B747CD">
        <w:rPr>
          <w:rFonts w:ascii="Book Antiqua" w:hAnsi="Book Antiqua"/>
          <w:sz w:val="24"/>
          <w:szCs w:val="24"/>
        </w:rPr>
        <w:t xml:space="preserve"> P, </w:t>
      </w:r>
      <w:proofErr w:type="spellStart"/>
      <w:r w:rsidRPr="00B747CD">
        <w:rPr>
          <w:rFonts w:ascii="Book Antiqua" w:hAnsi="Book Antiqua"/>
          <w:sz w:val="24"/>
          <w:szCs w:val="24"/>
        </w:rPr>
        <w:t>Tak</w:t>
      </w:r>
      <w:proofErr w:type="spellEnd"/>
      <w:r w:rsidRPr="00B747CD">
        <w:rPr>
          <w:rFonts w:ascii="Book Antiqua" w:hAnsi="Book Antiqua"/>
          <w:sz w:val="24"/>
          <w:szCs w:val="24"/>
        </w:rPr>
        <w:t xml:space="preserve"> WY, Allen LF, </w:t>
      </w:r>
      <w:proofErr w:type="spellStart"/>
      <w:r w:rsidRPr="00B747CD">
        <w:rPr>
          <w:rFonts w:ascii="Book Antiqua" w:hAnsi="Book Antiqua"/>
          <w:sz w:val="24"/>
          <w:szCs w:val="24"/>
        </w:rPr>
        <w:t>Hassanein</w:t>
      </w:r>
      <w:proofErr w:type="spellEnd"/>
      <w:r w:rsidRPr="00B747CD">
        <w:rPr>
          <w:rFonts w:ascii="Book Antiqua" w:hAnsi="Book Antiqua"/>
          <w:sz w:val="24"/>
          <w:szCs w:val="24"/>
        </w:rPr>
        <w:t xml:space="preserve"> T. </w:t>
      </w:r>
      <w:proofErr w:type="spellStart"/>
      <w:r w:rsidRPr="00B747CD">
        <w:rPr>
          <w:rFonts w:ascii="Book Antiqua" w:hAnsi="Book Antiqua"/>
          <w:sz w:val="24"/>
          <w:szCs w:val="24"/>
        </w:rPr>
        <w:t>Avatrombopag</w:t>
      </w:r>
      <w:proofErr w:type="spellEnd"/>
      <w:r w:rsidRPr="00B747CD">
        <w:rPr>
          <w:rFonts w:ascii="Book Antiqua" w:hAnsi="Book Antiqua"/>
          <w:sz w:val="24"/>
          <w:szCs w:val="24"/>
        </w:rPr>
        <w:t xml:space="preserve"> Before Procedures Reduces Need for Platelet Transfusion in Patients </w:t>
      </w:r>
      <w:proofErr w:type="gramStart"/>
      <w:r w:rsidRPr="00B747CD">
        <w:rPr>
          <w:rFonts w:ascii="Book Antiqua" w:hAnsi="Book Antiqua"/>
          <w:sz w:val="24"/>
          <w:szCs w:val="24"/>
        </w:rPr>
        <w:t>With</w:t>
      </w:r>
      <w:proofErr w:type="gramEnd"/>
      <w:r w:rsidRPr="00B747CD">
        <w:rPr>
          <w:rFonts w:ascii="Book Antiqua" w:hAnsi="Book Antiqua"/>
          <w:sz w:val="24"/>
          <w:szCs w:val="24"/>
        </w:rPr>
        <w:t xml:space="preserve"> Chronic Liver Disease and Thrombocytopenia. </w:t>
      </w:r>
      <w:r w:rsidRPr="00B747CD">
        <w:rPr>
          <w:rFonts w:ascii="Book Antiqua" w:hAnsi="Book Antiqua"/>
          <w:i/>
          <w:sz w:val="24"/>
          <w:szCs w:val="24"/>
        </w:rPr>
        <w:t>Gastroenterology</w:t>
      </w:r>
      <w:r w:rsidRPr="00B747CD">
        <w:rPr>
          <w:rFonts w:ascii="Book Antiqua" w:hAnsi="Book Antiqua"/>
          <w:sz w:val="24"/>
          <w:szCs w:val="24"/>
        </w:rPr>
        <w:t xml:space="preserve"> 2018; </w:t>
      </w:r>
      <w:r w:rsidRPr="00B747CD">
        <w:rPr>
          <w:rFonts w:ascii="Book Antiqua" w:hAnsi="Book Antiqua"/>
          <w:b/>
          <w:sz w:val="24"/>
          <w:szCs w:val="24"/>
        </w:rPr>
        <w:t>155</w:t>
      </w:r>
      <w:r w:rsidRPr="00B747CD">
        <w:rPr>
          <w:rFonts w:ascii="Book Antiqua" w:hAnsi="Book Antiqua"/>
          <w:sz w:val="24"/>
          <w:szCs w:val="24"/>
        </w:rPr>
        <w:t>: 705-718 [PMID: 29778606 DOI: 10.1053/j.gastro.2018.05.025]</w:t>
      </w:r>
    </w:p>
    <w:p w14:paraId="1119F38F" w14:textId="697B4D2B"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15 </w:t>
      </w:r>
      <w:r w:rsidR="00A94344" w:rsidRPr="00B747CD">
        <w:rPr>
          <w:rFonts w:ascii="Book Antiqua" w:hAnsi="Book Antiqua"/>
          <w:b/>
          <w:sz w:val="24"/>
          <w:szCs w:val="24"/>
        </w:rPr>
        <w:t>Hayes S</w:t>
      </w:r>
      <w:r w:rsidRPr="00B747CD">
        <w:rPr>
          <w:rFonts w:ascii="Book Antiqua" w:hAnsi="Book Antiqua"/>
          <w:b/>
          <w:sz w:val="24"/>
          <w:szCs w:val="24"/>
        </w:rPr>
        <w:t>,</w:t>
      </w:r>
      <w:r w:rsidR="00A94344" w:rsidRPr="00B747CD">
        <w:rPr>
          <w:rFonts w:ascii="Book Antiqua" w:hAnsi="Book Antiqua"/>
          <w:sz w:val="24"/>
          <w:szCs w:val="24"/>
        </w:rPr>
        <w:t xml:space="preserve"> </w:t>
      </w:r>
      <w:r w:rsidRPr="00B747CD">
        <w:rPr>
          <w:rFonts w:ascii="Book Antiqua" w:hAnsi="Book Antiqua"/>
          <w:sz w:val="24"/>
          <w:szCs w:val="24"/>
        </w:rPr>
        <w:t xml:space="preserve">Farrell C, Aggarwal K, Vredenburg M, Allen LF. PK simulation of </w:t>
      </w:r>
      <w:proofErr w:type="spellStart"/>
      <w:r w:rsidRPr="00B747CD">
        <w:rPr>
          <w:rFonts w:ascii="Book Antiqua" w:hAnsi="Book Antiqua"/>
          <w:sz w:val="24"/>
          <w:szCs w:val="24"/>
        </w:rPr>
        <w:t>avatrombopag</w:t>
      </w:r>
      <w:proofErr w:type="spellEnd"/>
      <w:r w:rsidRPr="00B747CD">
        <w:rPr>
          <w:rFonts w:ascii="Book Antiqua" w:hAnsi="Book Antiqua"/>
          <w:sz w:val="24"/>
          <w:szCs w:val="24"/>
        </w:rPr>
        <w:t xml:space="preserve">-induced increases in platelet counts with redosing in patients with thrombocytopenia and chronic liver disease. </w:t>
      </w:r>
      <w:r w:rsidRPr="00B747CD">
        <w:rPr>
          <w:rFonts w:ascii="Book Antiqua" w:hAnsi="Book Antiqua"/>
          <w:i/>
          <w:sz w:val="24"/>
          <w:szCs w:val="24"/>
        </w:rPr>
        <w:t xml:space="preserve">Res </w:t>
      </w:r>
      <w:proofErr w:type="spellStart"/>
      <w:r w:rsidRPr="00B747CD">
        <w:rPr>
          <w:rFonts w:ascii="Book Antiqua" w:hAnsi="Book Antiqua"/>
          <w:i/>
          <w:sz w:val="24"/>
          <w:szCs w:val="24"/>
        </w:rPr>
        <w:t>Pract</w:t>
      </w:r>
      <w:proofErr w:type="spellEnd"/>
      <w:r w:rsidRPr="00B747CD">
        <w:rPr>
          <w:rFonts w:ascii="Book Antiqua" w:hAnsi="Book Antiqua"/>
          <w:i/>
          <w:sz w:val="24"/>
          <w:szCs w:val="24"/>
        </w:rPr>
        <w:t xml:space="preserve"> </w:t>
      </w:r>
      <w:proofErr w:type="spellStart"/>
      <w:r w:rsidRPr="00B747CD">
        <w:rPr>
          <w:rFonts w:ascii="Book Antiqua" w:hAnsi="Book Antiqua"/>
          <w:i/>
          <w:sz w:val="24"/>
          <w:szCs w:val="24"/>
        </w:rPr>
        <w:t>Thromb</w:t>
      </w:r>
      <w:proofErr w:type="spellEnd"/>
      <w:r w:rsidRPr="00B747CD">
        <w:rPr>
          <w:rFonts w:ascii="Book Antiqua" w:hAnsi="Book Antiqua"/>
          <w:i/>
          <w:sz w:val="24"/>
          <w:szCs w:val="24"/>
        </w:rPr>
        <w:t xml:space="preserve"> </w:t>
      </w:r>
      <w:proofErr w:type="spellStart"/>
      <w:r w:rsidRPr="00B747CD">
        <w:rPr>
          <w:rFonts w:ascii="Book Antiqua" w:hAnsi="Book Antiqua"/>
          <w:i/>
          <w:sz w:val="24"/>
          <w:szCs w:val="24"/>
        </w:rPr>
        <w:t>Hemost</w:t>
      </w:r>
      <w:proofErr w:type="spellEnd"/>
      <w:r w:rsidRPr="00B747CD">
        <w:rPr>
          <w:rFonts w:ascii="Book Antiqua" w:hAnsi="Book Antiqua"/>
          <w:sz w:val="24"/>
          <w:szCs w:val="24"/>
        </w:rPr>
        <w:t xml:space="preserve"> 2018;</w:t>
      </w:r>
      <w:r w:rsidR="00A94344" w:rsidRPr="00B747CD">
        <w:rPr>
          <w:rFonts w:ascii="Book Antiqua" w:hAnsi="Book Antiqua"/>
          <w:sz w:val="24"/>
          <w:szCs w:val="24"/>
          <w:lang w:eastAsia="zh-CN"/>
        </w:rPr>
        <w:t xml:space="preserve"> </w:t>
      </w:r>
      <w:r w:rsidRPr="00B747CD">
        <w:rPr>
          <w:rFonts w:ascii="Book Antiqua" w:hAnsi="Book Antiqua"/>
          <w:b/>
          <w:sz w:val="24"/>
          <w:szCs w:val="24"/>
        </w:rPr>
        <w:t>2</w:t>
      </w:r>
      <w:r w:rsidR="00A94344" w:rsidRPr="00B747CD">
        <w:rPr>
          <w:rFonts w:ascii="Book Antiqua" w:hAnsi="Book Antiqua"/>
          <w:sz w:val="24"/>
          <w:szCs w:val="24"/>
          <w:lang w:eastAsia="zh-CN"/>
        </w:rPr>
        <w:t>: 665</w:t>
      </w:r>
      <w:r w:rsidRPr="00B747CD">
        <w:rPr>
          <w:rFonts w:ascii="Book Antiqua" w:hAnsi="Book Antiqua"/>
          <w:sz w:val="24"/>
          <w:szCs w:val="24"/>
        </w:rPr>
        <w:t xml:space="preserve"> [DOI:</w:t>
      </w:r>
      <w:r w:rsidR="00A94344" w:rsidRPr="00B747CD">
        <w:rPr>
          <w:rFonts w:ascii="Book Antiqua" w:hAnsi="Book Antiqua"/>
          <w:sz w:val="24"/>
          <w:szCs w:val="24"/>
        </w:rPr>
        <w:t xml:space="preserve"> </w:t>
      </w:r>
      <w:r w:rsidRPr="00B747CD">
        <w:rPr>
          <w:rFonts w:ascii="Book Antiqua" w:hAnsi="Book Antiqua"/>
          <w:sz w:val="24"/>
          <w:szCs w:val="24"/>
        </w:rPr>
        <w:t>10.1016/j.jvir.2018.12.665]</w:t>
      </w:r>
    </w:p>
    <w:p w14:paraId="2BA17E28" w14:textId="4672CC21"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16 </w:t>
      </w:r>
      <w:r w:rsidRPr="00B747CD">
        <w:rPr>
          <w:rFonts w:ascii="Book Antiqua" w:hAnsi="Book Antiqua"/>
          <w:b/>
          <w:sz w:val="24"/>
          <w:szCs w:val="24"/>
        </w:rPr>
        <w:t>Saab S,</w:t>
      </w:r>
      <w:r w:rsidRPr="00B747CD">
        <w:rPr>
          <w:rFonts w:ascii="Book Antiqua" w:hAnsi="Book Antiqua"/>
          <w:sz w:val="24"/>
          <w:szCs w:val="24"/>
        </w:rPr>
        <w:t xml:space="preserve"> McDaniel TK, </w:t>
      </w:r>
      <w:proofErr w:type="spellStart"/>
      <w:r w:rsidRPr="00B747CD">
        <w:rPr>
          <w:rFonts w:ascii="Book Antiqua" w:hAnsi="Book Antiqua"/>
          <w:sz w:val="24"/>
          <w:szCs w:val="24"/>
        </w:rPr>
        <w:t>Bau</w:t>
      </w:r>
      <w:proofErr w:type="spellEnd"/>
      <w:r w:rsidRPr="00B747CD">
        <w:rPr>
          <w:rFonts w:ascii="Book Antiqua" w:hAnsi="Book Antiqua"/>
          <w:sz w:val="24"/>
          <w:szCs w:val="24"/>
        </w:rPr>
        <w:t xml:space="preserve"> SN, Patel RP. Efficacy of repeat doses of </w:t>
      </w:r>
      <w:proofErr w:type="spellStart"/>
      <w:r w:rsidRPr="00B747CD">
        <w:rPr>
          <w:rFonts w:ascii="Book Antiqua" w:hAnsi="Book Antiqua"/>
          <w:sz w:val="24"/>
          <w:szCs w:val="24"/>
        </w:rPr>
        <w:t>avatrombopag</w:t>
      </w:r>
      <w:proofErr w:type="spellEnd"/>
      <w:r w:rsidRPr="00B747CD">
        <w:rPr>
          <w:rFonts w:ascii="Book Antiqua" w:hAnsi="Book Antiqua"/>
          <w:sz w:val="24"/>
          <w:szCs w:val="24"/>
        </w:rPr>
        <w:t xml:space="preserve">: a case series. </w:t>
      </w:r>
      <w:r w:rsidRPr="00B747CD">
        <w:rPr>
          <w:rFonts w:ascii="Book Antiqua" w:hAnsi="Book Antiqua"/>
          <w:i/>
          <w:sz w:val="24"/>
          <w:szCs w:val="24"/>
        </w:rPr>
        <w:t>Dig Med Res</w:t>
      </w:r>
      <w:r w:rsidRPr="00B747CD">
        <w:rPr>
          <w:rFonts w:ascii="Book Antiqua" w:hAnsi="Book Antiqua"/>
          <w:sz w:val="24"/>
          <w:szCs w:val="24"/>
        </w:rPr>
        <w:t xml:space="preserve"> 2019;</w:t>
      </w:r>
      <w:r w:rsidR="00A94344" w:rsidRPr="00B747CD">
        <w:rPr>
          <w:rFonts w:ascii="Book Antiqua" w:hAnsi="Book Antiqua"/>
          <w:sz w:val="24"/>
          <w:szCs w:val="24"/>
          <w:lang w:eastAsia="zh-CN"/>
        </w:rPr>
        <w:t xml:space="preserve"> </w:t>
      </w:r>
      <w:r w:rsidRPr="00B747CD">
        <w:rPr>
          <w:rFonts w:ascii="Book Antiqua" w:hAnsi="Book Antiqua"/>
          <w:b/>
          <w:sz w:val="24"/>
          <w:szCs w:val="24"/>
        </w:rPr>
        <w:t>2</w:t>
      </w:r>
      <w:r w:rsidR="007D1269" w:rsidRPr="00B747CD">
        <w:rPr>
          <w:rFonts w:ascii="Book Antiqua" w:hAnsi="Book Antiqua"/>
          <w:b/>
          <w:sz w:val="24"/>
          <w:szCs w:val="24"/>
          <w:lang w:eastAsia="zh-CN"/>
        </w:rPr>
        <w:t xml:space="preserve">: </w:t>
      </w:r>
      <w:r w:rsidR="007D1269" w:rsidRPr="00B747CD">
        <w:rPr>
          <w:rFonts w:ascii="Book Antiqua" w:hAnsi="Book Antiqua"/>
          <w:sz w:val="24"/>
          <w:szCs w:val="24"/>
          <w:lang w:eastAsia="zh-CN"/>
        </w:rPr>
        <w:t>9</w:t>
      </w:r>
      <w:r w:rsidRPr="00B747CD">
        <w:rPr>
          <w:rFonts w:ascii="Book Antiqua" w:hAnsi="Book Antiqua"/>
          <w:sz w:val="24"/>
          <w:szCs w:val="24"/>
        </w:rPr>
        <w:t xml:space="preserve"> [</w:t>
      </w:r>
      <w:r w:rsidR="00A94344" w:rsidRPr="00B747CD">
        <w:rPr>
          <w:rFonts w:ascii="Book Antiqua" w:hAnsi="Book Antiqua"/>
          <w:sz w:val="24"/>
          <w:szCs w:val="24"/>
        </w:rPr>
        <w:t>DOI</w:t>
      </w:r>
      <w:r w:rsidRPr="00B747CD">
        <w:rPr>
          <w:rFonts w:ascii="Book Antiqua" w:hAnsi="Book Antiqua"/>
          <w:sz w:val="24"/>
          <w:szCs w:val="24"/>
        </w:rPr>
        <w:t>: 10.21037/dmr.2019.04.03]</w:t>
      </w:r>
    </w:p>
    <w:p w14:paraId="6D7189C3"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17 </w:t>
      </w:r>
      <w:r w:rsidRPr="00B747CD">
        <w:rPr>
          <w:rFonts w:ascii="Book Antiqua" w:hAnsi="Book Antiqua"/>
          <w:b/>
          <w:sz w:val="24"/>
          <w:szCs w:val="24"/>
        </w:rPr>
        <w:t>Peck-Radosavljevic M</w:t>
      </w:r>
      <w:r w:rsidRPr="00B747CD">
        <w:rPr>
          <w:rFonts w:ascii="Book Antiqua" w:hAnsi="Book Antiqua"/>
          <w:sz w:val="24"/>
          <w:szCs w:val="24"/>
        </w:rPr>
        <w:t xml:space="preserve">, Simon K, </w:t>
      </w:r>
      <w:proofErr w:type="spellStart"/>
      <w:r w:rsidRPr="00B747CD">
        <w:rPr>
          <w:rFonts w:ascii="Book Antiqua" w:hAnsi="Book Antiqua"/>
          <w:sz w:val="24"/>
          <w:szCs w:val="24"/>
        </w:rPr>
        <w:t>Iacobellis</w:t>
      </w:r>
      <w:proofErr w:type="spellEnd"/>
      <w:r w:rsidRPr="00B747CD">
        <w:rPr>
          <w:rFonts w:ascii="Book Antiqua" w:hAnsi="Book Antiqua"/>
          <w:sz w:val="24"/>
          <w:szCs w:val="24"/>
        </w:rPr>
        <w:t xml:space="preserve"> A, </w:t>
      </w:r>
      <w:proofErr w:type="spellStart"/>
      <w:r w:rsidRPr="00B747CD">
        <w:rPr>
          <w:rFonts w:ascii="Book Antiqua" w:hAnsi="Book Antiqua"/>
          <w:sz w:val="24"/>
          <w:szCs w:val="24"/>
        </w:rPr>
        <w:t>Hassanein</w:t>
      </w:r>
      <w:proofErr w:type="spellEnd"/>
      <w:r w:rsidRPr="00B747CD">
        <w:rPr>
          <w:rFonts w:ascii="Book Antiqua" w:hAnsi="Book Antiqua"/>
          <w:sz w:val="24"/>
          <w:szCs w:val="24"/>
        </w:rPr>
        <w:t xml:space="preserve"> T, </w:t>
      </w:r>
      <w:proofErr w:type="spellStart"/>
      <w:r w:rsidRPr="00B747CD">
        <w:rPr>
          <w:rFonts w:ascii="Book Antiqua" w:hAnsi="Book Antiqua"/>
          <w:sz w:val="24"/>
          <w:szCs w:val="24"/>
        </w:rPr>
        <w:t>Kayali</w:t>
      </w:r>
      <w:proofErr w:type="spellEnd"/>
      <w:r w:rsidRPr="00B747CD">
        <w:rPr>
          <w:rFonts w:ascii="Book Antiqua" w:hAnsi="Book Antiqua"/>
          <w:sz w:val="24"/>
          <w:szCs w:val="24"/>
        </w:rPr>
        <w:t xml:space="preserve"> Z, Tran A, Makara M, Ben Ari Z, Braun M, </w:t>
      </w:r>
      <w:proofErr w:type="spellStart"/>
      <w:r w:rsidRPr="00B747CD">
        <w:rPr>
          <w:rFonts w:ascii="Book Antiqua" w:hAnsi="Book Antiqua"/>
          <w:sz w:val="24"/>
          <w:szCs w:val="24"/>
        </w:rPr>
        <w:t>Mitrut</w:t>
      </w:r>
      <w:proofErr w:type="spellEnd"/>
      <w:r w:rsidRPr="00B747CD">
        <w:rPr>
          <w:rFonts w:ascii="Book Antiqua" w:hAnsi="Book Antiqua"/>
          <w:sz w:val="24"/>
          <w:szCs w:val="24"/>
        </w:rPr>
        <w:t xml:space="preserve"> P, Yang SS, </w:t>
      </w:r>
      <w:proofErr w:type="spellStart"/>
      <w:r w:rsidRPr="00B747CD">
        <w:rPr>
          <w:rFonts w:ascii="Book Antiqua" w:hAnsi="Book Antiqua"/>
          <w:sz w:val="24"/>
          <w:szCs w:val="24"/>
        </w:rPr>
        <w:t>Akdogan</w:t>
      </w:r>
      <w:proofErr w:type="spellEnd"/>
      <w:r w:rsidRPr="00B747CD">
        <w:rPr>
          <w:rFonts w:ascii="Book Antiqua" w:hAnsi="Book Antiqua"/>
          <w:sz w:val="24"/>
          <w:szCs w:val="24"/>
        </w:rPr>
        <w:t xml:space="preserve"> M, </w:t>
      </w:r>
      <w:proofErr w:type="spellStart"/>
      <w:r w:rsidRPr="00B747CD">
        <w:rPr>
          <w:rFonts w:ascii="Book Antiqua" w:hAnsi="Book Antiqua"/>
          <w:sz w:val="24"/>
          <w:szCs w:val="24"/>
        </w:rPr>
        <w:t>Pirisi</w:t>
      </w:r>
      <w:proofErr w:type="spellEnd"/>
      <w:r w:rsidRPr="00B747CD">
        <w:rPr>
          <w:rFonts w:ascii="Book Antiqua" w:hAnsi="Book Antiqua"/>
          <w:sz w:val="24"/>
          <w:szCs w:val="24"/>
        </w:rPr>
        <w:t xml:space="preserve"> M, Duggal A, </w:t>
      </w:r>
      <w:proofErr w:type="spellStart"/>
      <w:r w:rsidRPr="00B747CD">
        <w:rPr>
          <w:rFonts w:ascii="Book Antiqua" w:hAnsi="Book Antiqua"/>
          <w:sz w:val="24"/>
          <w:szCs w:val="24"/>
        </w:rPr>
        <w:t>Ochiai</w:t>
      </w:r>
      <w:proofErr w:type="spellEnd"/>
      <w:r w:rsidRPr="00B747CD">
        <w:rPr>
          <w:rFonts w:ascii="Book Antiqua" w:hAnsi="Book Antiqua"/>
          <w:sz w:val="24"/>
          <w:szCs w:val="24"/>
        </w:rPr>
        <w:t xml:space="preserve"> T, </w:t>
      </w:r>
      <w:proofErr w:type="spellStart"/>
      <w:r w:rsidRPr="00B747CD">
        <w:rPr>
          <w:rFonts w:ascii="Book Antiqua" w:hAnsi="Book Antiqua"/>
          <w:sz w:val="24"/>
          <w:szCs w:val="24"/>
        </w:rPr>
        <w:t>Motomiya</w:t>
      </w:r>
      <w:proofErr w:type="spellEnd"/>
      <w:r w:rsidRPr="00B747CD">
        <w:rPr>
          <w:rFonts w:ascii="Book Antiqua" w:hAnsi="Book Antiqua"/>
          <w:sz w:val="24"/>
          <w:szCs w:val="24"/>
        </w:rPr>
        <w:t xml:space="preserve"> T, Kano T, Nagata T, </w:t>
      </w:r>
      <w:proofErr w:type="spellStart"/>
      <w:r w:rsidRPr="00B747CD">
        <w:rPr>
          <w:rFonts w:ascii="Book Antiqua" w:hAnsi="Book Antiqua"/>
          <w:sz w:val="24"/>
          <w:szCs w:val="24"/>
        </w:rPr>
        <w:t>Afdhal</w:t>
      </w:r>
      <w:proofErr w:type="spellEnd"/>
      <w:r w:rsidRPr="00B747CD">
        <w:rPr>
          <w:rFonts w:ascii="Book Antiqua" w:hAnsi="Book Antiqua"/>
          <w:sz w:val="24"/>
          <w:szCs w:val="24"/>
        </w:rPr>
        <w:t xml:space="preserve"> N. </w:t>
      </w:r>
      <w:proofErr w:type="spellStart"/>
      <w:r w:rsidRPr="00B747CD">
        <w:rPr>
          <w:rFonts w:ascii="Book Antiqua" w:hAnsi="Book Antiqua"/>
          <w:sz w:val="24"/>
          <w:szCs w:val="24"/>
        </w:rPr>
        <w:t>Lusutrombopag</w:t>
      </w:r>
      <w:proofErr w:type="spellEnd"/>
      <w:r w:rsidRPr="00B747CD">
        <w:rPr>
          <w:rFonts w:ascii="Book Antiqua" w:hAnsi="Book Antiqua"/>
          <w:sz w:val="24"/>
          <w:szCs w:val="24"/>
        </w:rPr>
        <w:t xml:space="preserve"> for the Treatment of Thrombocytopenia in Patients With Chronic Liver Disease Undergoing Invasive Procedures (L-PLUS 2). </w:t>
      </w:r>
      <w:r w:rsidRPr="00B747CD">
        <w:rPr>
          <w:rFonts w:ascii="Book Antiqua" w:hAnsi="Book Antiqua"/>
          <w:i/>
          <w:sz w:val="24"/>
          <w:szCs w:val="24"/>
        </w:rPr>
        <w:t>Hepatology</w:t>
      </w:r>
      <w:r w:rsidRPr="00B747CD">
        <w:rPr>
          <w:rFonts w:ascii="Book Antiqua" w:hAnsi="Book Antiqua"/>
          <w:sz w:val="24"/>
          <w:szCs w:val="24"/>
        </w:rPr>
        <w:t xml:space="preserve"> 2019; </w:t>
      </w:r>
      <w:r w:rsidRPr="00B747CD">
        <w:rPr>
          <w:rFonts w:ascii="Book Antiqua" w:hAnsi="Book Antiqua"/>
          <w:b/>
          <w:sz w:val="24"/>
          <w:szCs w:val="24"/>
        </w:rPr>
        <w:t>70</w:t>
      </w:r>
      <w:r w:rsidRPr="00B747CD">
        <w:rPr>
          <w:rFonts w:ascii="Book Antiqua" w:hAnsi="Book Antiqua"/>
          <w:sz w:val="24"/>
          <w:szCs w:val="24"/>
        </w:rPr>
        <w:t>: 1336-1348 [PMID: 30762895 DOI: 10.1002/hep.30561]</w:t>
      </w:r>
    </w:p>
    <w:p w14:paraId="37BEF7C0"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18 </w:t>
      </w:r>
      <w:r w:rsidRPr="00B747CD">
        <w:rPr>
          <w:rFonts w:ascii="Book Antiqua" w:hAnsi="Book Antiqua"/>
          <w:b/>
          <w:sz w:val="24"/>
          <w:szCs w:val="24"/>
        </w:rPr>
        <w:t>Hidaka H</w:t>
      </w:r>
      <w:r w:rsidRPr="00B747CD">
        <w:rPr>
          <w:rFonts w:ascii="Book Antiqua" w:hAnsi="Book Antiqua"/>
          <w:sz w:val="24"/>
          <w:szCs w:val="24"/>
        </w:rPr>
        <w:t xml:space="preserve">, Kurosaki M, Tanaka H, Kudo M, </w:t>
      </w:r>
      <w:proofErr w:type="spellStart"/>
      <w:r w:rsidRPr="00B747CD">
        <w:rPr>
          <w:rFonts w:ascii="Book Antiqua" w:hAnsi="Book Antiqua"/>
          <w:sz w:val="24"/>
          <w:szCs w:val="24"/>
        </w:rPr>
        <w:t>Abiru</w:t>
      </w:r>
      <w:proofErr w:type="spellEnd"/>
      <w:r w:rsidRPr="00B747CD">
        <w:rPr>
          <w:rFonts w:ascii="Book Antiqua" w:hAnsi="Book Antiqua"/>
          <w:sz w:val="24"/>
          <w:szCs w:val="24"/>
        </w:rPr>
        <w:t xml:space="preserve"> S, </w:t>
      </w:r>
      <w:proofErr w:type="spellStart"/>
      <w:r w:rsidRPr="00B747CD">
        <w:rPr>
          <w:rFonts w:ascii="Book Antiqua" w:hAnsi="Book Antiqua"/>
          <w:sz w:val="24"/>
          <w:szCs w:val="24"/>
        </w:rPr>
        <w:t>Igura</w:t>
      </w:r>
      <w:proofErr w:type="spellEnd"/>
      <w:r w:rsidRPr="00B747CD">
        <w:rPr>
          <w:rFonts w:ascii="Book Antiqua" w:hAnsi="Book Antiqua"/>
          <w:sz w:val="24"/>
          <w:szCs w:val="24"/>
        </w:rPr>
        <w:t xml:space="preserve"> T, Ishikawa T, </w:t>
      </w:r>
      <w:proofErr w:type="spellStart"/>
      <w:r w:rsidRPr="00B747CD">
        <w:rPr>
          <w:rFonts w:ascii="Book Antiqua" w:hAnsi="Book Antiqua"/>
          <w:sz w:val="24"/>
          <w:szCs w:val="24"/>
        </w:rPr>
        <w:t>Seike</w:t>
      </w:r>
      <w:proofErr w:type="spellEnd"/>
      <w:r w:rsidRPr="00B747CD">
        <w:rPr>
          <w:rFonts w:ascii="Book Antiqua" w:hAnsi="Book Antiqua"/>
          <w:sz w:val="24"/>
          <w:szCs w:val="24"/>
        </w:rPr>
        <w:t xml:space="preserve"> M, </w:t>
      </w:r>
      <w:proofErr w:type="spellStart"/>
      <w:r w:rsidRPr="00B747CD">
        <w:rPr>
          <w:rFonts w:ascii="Book Antiqua" w:hAnsi="Book Antiqua"/>
          <w:sz w:val="24"/>
          <w:szCs w:val="24"/>
        </w:rPr>
        <w:t>Katsube</w:t>
      </w:r>
      <w:proofErr w:type="spellEnd"/>
      <w:r w:rsidRPr="00B747CD">
        <w:rPr>
          <w:rFonts w:ascii="Book Antiqua" w:hAnsi="Book Antiqua"/>
          <w:sz w:val="24"/>
          <w:szCs w:val="24"/>
        </w:rPr>
        <w:t xml:space="preserve"> T, </w:t>
      </w:r>
      <w:proofErr w:type="spellStart"/>
      <w:r w:rsidRPr="00B747CD">
        <w:rPr>
          <w:rFonts w:ascii="Book Antiqua" w:hAnsi="Book Antiqua"/>
          <w:sz w:val="24"/>
          <w:szCs w:val="24"/>
        </w:rPr>
        <w:t>Ochiai</w:t>
      </w:r>
      <w:proofErr w:type="spellEnd"/>
      <w:r w:rsidRPr="00B747CD">
        <w:rPr>
          <w:rFonts w:ascii="Book Antiqua" w:hAnsi="Book Antiqua"/>
          <w:sz w:val="24"/>
          <w:szCs w:val="24"/>
        </w:rPr>
        <w:t xml:space="preserve"> T, Kimura K, Fukuhara T, Kano T, Nagata T, Tanaka K, </w:t>
      </w:r>
      <w:proofErr w:type="spellStart"/>
      <w:r w:rsidRPr="00B747CD">
        <w:rPr>
          <w:rFonts w:ascii="Book Antiqua" w:hAnsi="Book Antiqua"/>
          <w:sz w:val="24"/>
          <w:szCs w:val="24"/>
        </w:rPr>
        <w:t>Kurokawa</w:t>
      </w:r>
      <w:proofErr w:type="spellEnd"/>
      <w:r w:rsidRPr="00B747CD">
        <w:rPr>
          <w:rFonts w:ascii="Book Antiqua" w:hAnsi="Book Antiqua"/>
          <w:sz w:val="24"/>
          <w:szCs w:val="24"/>
        </w:rPr>
        <w:t xml:space="preserve"> M, Yamamoto K, Osaki Y, Izumi N, </w:t>
      </w:r>
      <w:proofErr w:type="spellStart"/>
      <w:r w:rsidRPr="00B747CD">
        <w:rPr>
          <w:rFonts w:ascii="Book Antiqua" w:hAnsi="Book Antiqua"/>
          <w:sz w:val="24"/>
          <w:szCs w:val="24"/>
        </w:rPr>
        <w:t>Imawari</w:t>
      </w:r>
      <w:proofErr w:type="spellEnd"/>
      <w:r w:rsidRPr="00B747CD">
        <w:rPr>
          <w:rFonts w:ascii="Book Antiqua" w:hAnsi="Book Antiqua"/>
          <w:sz w:val="24"/>
          <w:szCs w:val="24"/>
        </w:rPr>
        <w:t xml:space="preserve"> M. </w:t>
      </w:r>
      <w:proofErr w:type="spellStart"/>
      <w:r w:rsidRPr="00B747CD">
        <w:rPr>
          <w:rFonts w:ascii="Book Antiqua" w:hAnsi="Book Antiqua"/>
          <w:sz w:val="24"/>
          <w:szCs w:val="24"/>
        </w:rPr>
        <w:t>Lusutrombopag</w:t>
      </w:r>
      <w:proofErr w:type="spellEnd"/>
      <w:r w:rsidRPr="00B747CD">
        <w:rPr>
          <w:rFonts w:ascii="Book Antiqua" w:hAnsi="Book Antiqua"/>
          <w:sz w:val="24"/>
          <w:szCs w:val="24"/>
        </w:rPr>
        <w:t xml:space="preserve"> Reduces Need for Platelet Transfusion in Patients With Thrombocytopenia Undergoing Invasive Procedures. </w:t>
      </w:r>
      <w:r w:rsidRPr="00B747CD">
        <w:rPr>
          <w:rFonts w:ascii="Book Antiqua" w:hAnsi="Book Antiqua"/>
          <w:i/>
          <w:sz w:val="24"/>
          <w:szCs w:val="24"/>
        </w:rPr>
        <w:t>Clin Gastroenterol Hepatol</w:t>
      </w:r>
      <w:r w:rsidRPr="00B747CD">
        <w:rPr>
          <w:rFonts w:ascii="Book Antiqua" w:hAnsi="Book Antiqua"/>
          <w:sz w:val="24"/>
          <w:szCs w:val="24"/>
        </w:rPr>
        <w:t xml:space="preserve"> 2019; </w:t>
      </w:r>
      <w:r w:rsidRPr="00B747CD">
        <w:rPr>
          <w:rFonts w:ascii="Book Antiqua" w:hAnsi="Book Antiqua"/>
          <w:b/>
          <w:sz w:val="24"/>
          <w:szCs w:val="24"/>
        </w:rPr>
        <w:t>17</w:t>
      </w:r>
      <w:r w:rsidRPr="00B747CD">
        <w:rPr>
          <w:rFonts w:ascii="Book Antiqua" w:hAnsi="Book Antiqua"/>
          <w:sz w:val="24"/>
          <w:szCs w:val="24"/>
        </w:rPr>
        <w:t>: 1192-1200 [PMID: 30502505 DOI: 10.1016/j.cgh.2018.11.047]</w:t>
      </w:r>
    </w:p>
    <w:p w14:paraId="3433489B"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lastRenderedPageBreak/>
        <w:t xml:space="preserve">19 </w:t>
      </w:r>
      <w:r w:rsidRPr="00B747CD">
        <w:rPr>
          <w:rFonts w:ascii="Book Antiqua" w:hAnsi="Book Antiqua"/>
          <w:b/>
          <w:sz w:val="24"/>
          <w:szCs w:val="24"/>
        </w:rPr>
        <w:t>Sato S</w:t>
      </w:r>
      <w:r w:rsidRPr="00B747CD">
        <w:rPr>
          <w:rFonts w:ascii="Book Antiqua" w:hAnsi="Book Antiqua"/>
          <w:sz w:val="24"/>
          <w:szCs w:val="24"/>
        </w:rPr>
        <w:t xml:space="preserve">, Miyake T, Kataoka M, </w:t>
      </w:r>
      <w:proofErr w:type="spellStart"/>
      <w:r w:rsidRPr="00B747CD">
        <w:rPr>
          <w:rFonts w:ascii="Book Antiqua" w:hAnsi="Book Antiqua"/>
          <w:sz w:val="24"/>
          <w:szCs w:val="24"/>
        </w:rPr>
        <w:t>Isoda</w:t>
      </w:r>
      <w:proofErr w:type="spellEnd"/>
      <w:r w:rsidRPr="00B747CD">
        <w:rPr>
          <w:rFonts w:ascii="Book Antiqua" w:hAnsi="Book Antiqua"/>
          <w:sz w:val="24"/>
          <w:szCs w:val="24"/>
        </w:rPr>
        <w:t xml:space="preserve"> K, Yazaki T, </w:t>
      </w:r>
      <w:proofErr w:type="spellStart"/>
      <w:r w:rsidRPr="00B747CD">
        <w:rPr>
          <w:rFonts w:ascii="Book Antiqua" w:hAnsi="Book Antiqua"/>
          <w:sz w:val="24"/>
          <w:szCs w:val="24"/>
        </w:rPr>
        <w:t>Tobita</w:t>
      </w:r>
      <w:proofErr w:type="spellEnd"/>
      <w:r w:rsidRPr="00B747CD">
        <w:rPr>
          <w:rFonts w:ascii="Book Antiqua" w:hAnsi="Book Antiqua"/>
          <w:sz w:val="24"/>
          <w:szCs w:val="24"/>
        </w:rPr>
        <w:t xml:space="preserve"> H, Ishimura N, Kinoshita Y. Efficacy of Repeated </w:t>
      </w:r>
      <w:proofErr w:type="spellStart"/>
      <w:r w:rsidRPr="00B747CD">
        <w:rPr>
          <w:rFonts w:ascii="Book Antiqua" w:hAnsi="Book Antiqua"/>
          <w:sz w:val="24"/>
          <w:szCs w:val="24"/>
        </w:rPr>
        <w:t>Lusutrombopag</w:t>
      </w:r>
      <w:proofErr w:type="spellEnd"/>
      <w:r w:rsidRPr="00B747CD">
        <w:rPr>
          <w:rFonts w:ascii="Book Antiqua" w:hAnsi="Book Antiqua"/>
          <w:sz w:val="24"/>
          <w:szCs w:val="24"/>
        </w:rPr>
        <w:t xml:space="preserve"> Administration for Thrombocytopenia in a Patient Scheduled for Invasive Hepatocellular Carcinoma Treatment. </w:t>
      </w:r>
      <w:r w:rsidRPr="00B747CD">
        <w:rPr>
          <w:rFonts w:ascii="Book Antiqua" w:hAnsi="Book Antiqua"/>
          <w:i/>
          <w:sz w:val="24"/>
          <w:szCs w:val="24"/>
        </w:rPr>
        <w:t>Intern Med</w:t>
      </w:r>
      <w:r w:rsidRPr="00B747CD">
        <w:rPr>
          <w:rFonts w:ascii="Book Antiqua" w:hAnsi="Book Antiqua"/>
          <w:sz w:val="24"/>
          <w:szCs w:val="24"/>
        </w:rPr>
        <w:t xml:space="preserve"> 2017; </w:t>
      </w:r>
      <w:r w:rsidRPr="00B747CD">
        <w:rPr>
          <w:rFonts w:ascii="Book Antiqua" w:hAnsi="Book Antiqua"/>
          <w:b/>
          <w:sz w:val="24"/>
          <w:szCs w:val="24"/>
        </w:rPr>
        <w:t>56</w:t>
      </w:r>
      <w:r w:rsidRPr="00B747CD">
        <w:rPr>
          <w:rFonts w:ascii="Book Antiqua" w:hAnsi="Book Antiqua"/>
          <w:sz w:val="24"/>
          <w:szCs w:val="24"/>
        </w:rPr>
        <w:t>: 2887-2890 [PMID: 28943563 DOI: 10.2169/internalmedicine.8791-16]</w:t>
      </w:r>
    </w:p>
    <w:p w14:paraId="2E754391"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20 </w:t>
      </w:r>
      <w:r w:rsidRPr="00B747CD">
        <w:rPr>
          <w:rFonts w:ascii="Book Antiqua" w:hAnsi="Book Antiqua"/>
          <w:b/>
          <w:sz w:val="24"/>
          <w:szCs w:val="24"/>
        </w:rPr>
        <w:t>Ishikawa T</w:t>
      </w:r>
      <w:r w:rsidRPr="00B747CD">
        <w:rPr>
          <w:rFonts w:ascii="Book Antiqua" w:hAnsi="Book Antiqua"/>
          <w:sz w:val="24"/>
          <w:szCs w:val="24"/>
        </w:rPr>
        <w:t xml:space="preserve">, </w:t>
      </w:r>
      <w:proofErr w:type="spellStart"/>
      <w:r w:rsidRPr="00B747CD">
        <w:rPr>
          <w:rFonts w:ascii="Book Antiqua" w:hAnsi="Book Antiqua"/>
          <w:sz w:val="24"/>
          <w:szCs w:val="24"/>
        </w:rPr>
        <w:t>Okoshi</w:t>
      </w:r>
      <w:proofErr w:type="spellEnd"/>
      <w:r w:rsidRPr="00B747CD">
        <w:rPr>
          <w:rFonts w:ascii="Book Antiqua" w:hAnsi="Book Antiqua"/>
          <w:sz w:val="24"/>
          <w:szCs w:val="24"/>
        </w:rPr>
        <w:t xml:space="preserve"> M, </w:t>
      </w:r>
      <w:proofErr w:type="spellStart"/>
      <w:r w:rsidRPr="00B747CD">
        <w:rPr>
          <w:rFonts w:ascii="Book Antiqua" w:hAnsi="Book Antiqua"/>
          <w:sz w:val="24"/>
          <w:szCs w:val="24"/>
        </w:rPr>
        <w:t>Tomiyoshi</w:t>
      </w:r>
      <w:proofErr w:type="spellEnd"/>
      <w:r w:rsidRPr="00B747CD">
        <w:rPr>
          <w:rFonts w:ascii="Book Antiqua" w:hAnsi="Book Antiqua"/>
          <w:sz w:val="24"/>
          <w:szCs w:val="24"/>
        </w:rPr>
        <w:t xml:space="preserve"> K, Kojima Y, </w:t>
      </w:r>
      <w:proofErr w:type="spellStart"/>
      <w:r w:rsidRPr="00B747CD">
        <w:rPr>
          <w:rFonts w:ascii="Book Antiqua" w:hAnsi="Book Antiqua"/>
          <w:sz w:val="24"/>
          <w:szCs w:val="24"/>
        </w:rPr>
        <w:t>Horigome</w:t>
      </w:r>
      <w:proofErr w:type="spellEnd"/>
      <w:r w:rsidRPr="00B747CD">
        <w:rPr>
          <w:rFonts w:ascii="Book Antiqua" w:hAnsi="Book Antiqua"/>
          <w:sz w:val="24"/>
          <w:szCs w:val="24"/>
        </w:rPr>
        <w:t xml:space="preserve"> R, Imai M, Nozawa Y, Iwanaga A, Sano T, </w:t>
      </w:r>
      <w:proofErr w:type="spellStart"/>
      <w:r w:rsidRPr="00B747CD">
        <w:rPr>
          <w:rFonts w:ascii="Book Antiqua" w:hAnsi="Book Antiqua"/>
          <w:sz w:val="24"/>
          <w:szCs w:val="24"/>
        </w:rPr>
        <w:t>Honma</w:t>
      </w:r>
      <w:proofErr w:type="spellEnd"/>
      <w:r w:rsidRPr="00B747CD">
        <w:rPr>
          <w:rFonts w:ascii="Book Antiqua" w:hAnsi="Book Antiqua"/>
          <w:sz w:val="24"/>
          <w:szCs w:val="24"/>
        </w:rPr>
        <w:t xml:space="preserve"> T, Yoshida T. Efficacy and safety of repeated use of </w:t>
      </w:r>
      <w:proofErr w:type="spellStart"/>
      <w:r w:rsidRPr="00B747CD">
        <w:rPr>
          <w:rFonts w:ascii="Book Antiqua" w:hAnsi="Book Antiqua"/>
          <w:sz w:val="24"/>
          <w:szCs w:val="24"/>
        </w:rPr>
        <w:t>lusutrombopag</w:t>
      </w:r>
      <w:proofErr w:type="spellEnd"/>
      <w:r w:rsidRPr="00B747CD">
        <w:rPr>
          <w:rFonts w:ascii="Book Antiqua" w:hAnsi="Book Antiqua"/>
          <w:sz w:val="24"/>
          <w:szCs w:val="24"/>
        </w:rPr>
        <w:t xml:space="preserve"> prior to radiofrequency ablation in patients with recurrent hepatocellular carcinoma and thrombocytopenia. </w:t>
      </w:r>
      <w:r w:rsidRPr="00B747CD">
        <w:rPr>
          <w:rFonts w:ascii="Book Antiqua" w:hAnsi="Book Antiqua"/>
          <w:i/>
          <w:sz w:val="24"/>
          <w:szCs w:val="24"/>
        </w:rPr>
        <w:t>Hepatol Res</w:t>
      </w:r>
      <w:r w:rsidRPr="00B747CD">
        <w:rPr>
          <w:rFonts w:ascii="Book Antiqua" w:hAnsi="Book Antiqua"/>
          <w:sz w:val="24"/>
          <w:szCs w:val="24"/>
        </w:rPr>
        <w:t xml:space="preserve"> 2019; </w:t>
      </w:r>
      <w:r w:rsidRPr="00B747CD">
        <w:rPr>
          <w:rFonts w:ascii="Book Antiqua" w:hAnsi="Book Antiqua"/>
          <w:b/>
          <w:sz w:val="24"/>
          <w:szCs w:val="24"/>
        </w:rPr>
        <w:t>49</w:t>
      </w:r>
      <w:r w:rsidRPr="00B747CD">
        <w:rPr>
          <w:rFonts w:ascii="Book Antiqua" w:hAnsi="Book Antiqua"/>
          <w:sz w:val="24"/>
          <w:szCs w:val="24"/>
        </w:rPr>
        <w:t>: 590-593 [PMID: 30602063 DOI: 10.1111/hepr.13305]</w:t>
      </w:r>
    </w:p>
    <w:p w14:paraId="63ADE2AC"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21 </w:t>
      </w:r>
      <w:r w:rsidRPr="00B747CD">
        <w:rPr>
          <w:rFonts w:ascii="Book Antiqua" w:hAnsi="Book Antiqua"/>
          <w:b/>
          <w:sz w:val="24"/>
          <w:szCs w:val="24"/>
        </w:rPr>
        <w:t>Zheng L</w:t>
      </w:r>
      <w:r w:rsidRPr="00B747CD">
        <w:rPr>
          <w:rFonts w:ascii="Book Antiqua" w:hAnsi="Book Antiqua"/>
          <w:sz w:val="24"/>
          <w:szCs w:val="24"/>
        </w:rPr>
        <w:t xml:space="preserve">, Liang MZ, Zeng XL, Li CZ, Zhang YF, Chen XY, Zhu X, Xiang AB. Safety, Pharmacokinetics and Pharmacodynamics of </w:t>
      </w:r>
      <w:proofErr w:type="spellStart"/>
      <w:r w:rsidRPr="00B747CD">
        <w:rPr>
          <w:rFonts w:ascii="Book Antiqua" w:hAnsi="Book Antiqua"/>
          <w:sz w:val="24"/>
          <w:szCs w:val="24"/>
        </w:rPr>
        <w:t>Hetrombopag</w:t>
      </w:r>
      <w:proofErr w:type="spellEnd"/>
      <w:r w:rsidRPr="00B747CD">
        <w:rPr>
          <w:rFonts w:ascii="Book Antiqua" w:hAnsi="Book Antiqua"/>
          <w:sz w:val="24"/>
          <w:szCs w:val="24"/>
        </w:rPr>
        <w:t xml:space="preserve"> Olamine, a Novel TPO-R Agonist, in Healthy Individuals. </w:t>
      </w:r>
      <w:r w:rsidRPr="00B747CD">
        <w:rPr>
          <w:rFonts w:ascii="Book Antiqua" w:hAnsi="Book Antiqua"/>
          <w:i/>
          <w:sz w:val="24"/>
          <w:szCs w:val="24"/>
        </w:rPr>
        <w:t xml:space="preserve">Basic Clin </w:t>
      </w:r>
      <w:proofErr w:type="spellStart"/>
      <w:r w:rsidRPr="00B747CD">
        <w:rPr>
          <w:rFonts w:ascii="Book Antiqua" w:hAnsi="Book Antiqua"/>
          <w:i/>
          <w:sz w:val="24"/>
          <w:szCs w:val="24"/>
        </w:rPr>
        <w:t>Pharmacol</w:t>
      </w:r>
      <w:proofErr w:type="spellEnd"/>
      <w:r w:rsidRPr="00B747CD">
        <w:rPr>
          <w:rFonts w:ascii="Book Antiqua" w:hAnsi="Book Antiqua"/>
          <w:i/>
          <w:sz w:val="24"/>
          <w:szCs w:val="24"/>
        </w:rPr>
        <w:t xml:space="preserve"> </w:t>
      </w:r>
      <w:proofErr w:type="spellStart"/>
      <w:r w:rsidRPr="00B747CD">
        <w:rPr>
          <w:rFonts w:ascii="Book Antiqua" w:hAnsi="Book Antiqua"/>
          <w:i/>
          <w:sz w:val="24"/>
          <w:szCs w:val="24"/>
        </w:rPr>
        <w:t>Toxicol</w:t>
      </w:r>
      <w:proofErr w:type="spellEnd"/>
      <w:r w:rsidRPr="00B747CD">
        <w:rPr>
          <w:rFonts w:ascii="Book Antiqua" w:hAnsi="Book Antiqua"/>
          <w:sz w:val="24"/>
          <w:szCs w:val="24"/>
        </w:rPr>
        <w:t xml:space="preserve"> 2017; </w:t>
      </w:r>
      <w:r w:rsidRPr="00B747CD">
        <w:rPr>
          <w:rFonts w:ascii="Book Antiqua" w:hAnsi="Book Antiqua"/>
          <w:b/>
          <w:sz w:val="24"/>
          <w:szCs w:val="24"/>
        </w:rPr>
        <w:t>121</w:t>
      </w:r>
      <w:r w:rsidRPr="00B747CD">
        <w:rPr>
          <w:rFonts w:ascii="Book Antiqua" w:hAnsi="Book Antiqua"/>
          <w:sz w:val="24"/>
          <w:szCs w:val="24"/>
        </w:rPr>
        <w:t>: 414-422 [PMID: 28544774 DOI: 10.1111/bcpt.12815]</w:t>
      </w:r>
    </w:p>
    <w:p w14:paraId="20DDC7E3"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22 </w:t>
      </w:r>
      <w:proofErr w:type="spellStart"/>
      <w:r w:rsidRPr="00B747CD">
        <w:rPr>
          <w:rFonts w:ascii="Book Antiqua" w:hAnsi="Book Antiqua"/>
          <w:b/>
          <w:sz w:val="24"/>
          <w:szCs w:val="24"/>
        </w:rPr>
        <w:t>Giagounidis</w:t>
      </w:r>
      <w:proofErr w:type="spellEnd"/>
      <w:r w:rsidRPr="00B747CD">
        <w:rPr>
          <w:rFonts w:ascii="Book Antiqua" w:hAnsi="Book Antiqua"/>
          <w:b/>
          <w:sz w:val="24"/>
          <w:szCs w:val="24"/>
        </w:rPr>
        <w:t xml:space="preserve"> A</w:t>
      </w:r>
      <w:r w:rsidRPr="00B747CD">
        <w:rPr>
          <w:rFonts w:ascii="Book Antiqua" w:hAnsi="Book Antiqua"/>
          <w:sz w:val="24"/>
          <w:szCs w:val="24"/>
        </w:rPr>
        <w:t xml:space="preserve">, Mufti GJ, </w:t>
      </w:r>
      <w:proofErr w:type="spellStart"/>
      <w:r w:rsidRPr="00B747CD">
        <w:rPr>
          <w:rFonts w:ascii="Book Antiqua" w:hAnsi="Book Antiqua"/>
          <w:sz w:val="24"/>
          <w:szCs w:val="24"/>
        </w:rPr>
        <w:t>Fenaux</w:t>
      </w:r>
      <w:proofErr w:type="spellEnd"/>
      <w:r w:rsidRPr="00B747CD">
        <w:rPr>
          <w:rFonts w:ascii="Book Antiqua" w:hAnsi="Book Antiqua"/>
          <w:sz w:val="24"/>
          <w:szCs w:val="24"/>
        </w:rPr>
        <w:t xml:space="preserve"> P, </w:t>
      </w:r>
      <w:proofErr w:type="spellStart"/>
      <w:r w:rsidRPr="00B747CD">
        <w:rPr>
          <w:rFonts w:ascii="Book Antiqua" w:hAnsi="Book Antiqua"/>
          <w:sz w:val="24"/>
          <w:szCs w:val="24"/>
        </w:rPr>
        <w:t>Sekeres</w:t>
      </w:r>
      <w:proofErr w:type="spellEnd"/>
      <w:r w:rsidRPr="00B747CD">
        <w:rPr>
          <w:rFonts w:ascii="Book Antiqua" w:hAnsi="Book Antiqua"/>
          <w:sz w:val="24"/>
          <w:szCs w:val="24"/>
        </w:rPr>
        <w:t xml:space="preserve"> MA, </w:t>
      </w:r>
      <w:proofErr w:type="spellStart"/>
      <w:r w:rsidRPr="00B747CD">
        <w:rPr>
          <w:rFonts w:ascii="Book Antiqua" w:hAnsi="Book Antiqua"/>
          <w:sz w:val="24"/>
          <w:szCs w:val="24"/>
        </w:rPr>
        <w:t>Szer</w:t>
      </w:r>
      <w:proofErr w:type="spellEnd"/>
      <w:r w:rsidRPr="00B747CD">
        <w:rPr>
          <w:rFonts w:ascii="Book Antiqua" w:hAnsi="Book Antiqua"/>
          <w:sz w:val="24"/>
          <w:szCs w:val="24"/>
        </w:rPr>
        <w:t xml:space="preserve"> J, </w:t>
      </w:r>
      <w:proofErr w:type="spellStart"/>
      <w:r w:rsidRPr="00B747CD">
        <w:rPr>
          <w:rFonts w:ascii="Book Antiqua" w:hAnsi="Book Antiqua"/>
          <w:sz w:val="24"/>
          <w:szCs w:val="24"/>
        </w:rPr>
        <w:t>Platzbecker</w:t>
      </w:r>
      <w:proofErr w:type="spellEnd"/>
      <w:r w:rsidRPr="00B747CD">
        <w:rPr>
          <w:rFonts w:ascii="Book Antiqua" w:hAnsi="Book Antiqua"/>
          <w:sz w:val="24"/>
          <w:szCs w:val="24"/>
        </w:rPr>
        <w:t xml:space="preserve"> U, </w:t>
      </w:r>
      <w:proofErr w:type="spellStart"/>
      <w:r w:rsidRPr="00B747CD">
        <w:rPr>
          <w:rFonts w:ascii="Book Antiqua" w:hAnsi="Book Antiqua"/>
          <w:sz w:val="24"/>
          <w:szCs w:val="24"/>
        </w:rPr>
        <w:t>Kuendgen</w:t>
      </w:r>
      <w:proofErr w:type="spellEnd"/>
      <w:r w:rsidRPr="00B747CD">
        <w:rPr>
          <w:rFonts w:ascii="Book Antiqua" w:hAnsi="Book Antiqua"/>
          <w:sz w:val="24"/>
          <w:szCs w:val="24"/>
        </w:rPr>
        <w:t xml:space="preserve"> A, </w:t>
      </w:r>
      <w:proofErr w:type="spellStart"/>
      <w:r w:rsidRPr="00B747CD">
        <w:rPr>
          <w:rFonts w:ascii="Book Antiqua" w:hAnsi="Book Antiqua"/>
          <w:sz w:val="24"/>
          <w:szCs w:val="24"/>
        </w:rPr>
        <w:t>Gaidano</w:t>
      </w:r>
      <w:proofErr w:type="spellEnd"/>
      <w:r w:rsidRPr="00B747CD">
        <w:rPr>
          <w:rFonts w:ascii="Book Antiqua" w:hAnsi="Book Antiqua"/>
          <w:sz w:val="24"/>
          <w:szCs w:val="24"/>
        </w:rPr>
        <w:t xml:space="preserve"> G, </w:t>
      </w:r>
      <w:proofErr w:type="spellStart"/>
      <w:r w:rsidRPr="00B747CD">
        <w:rPr>
          <w:rFonts w:ascii="Book Antiqua" w:hAnsi="Book Antiqua"/>
          <w:sz w:val="24"/>
          <w:szCs w:val="24"/>
        </w:rPr>
        <w:t>Wiktor-Jedrzejczak</w:t>
      </w:r>
      <w:proofErr w:type="spellEnd"/>
      <w:r w:rsidRPr="00B747CD">
        <w:rPr>
          <w:rFonts w:ascii="Book Antiqua" w:hAnsi="Book Antiqua"/>
          <w:sz w:val="24"/>
          <w:szCs w:val="24"/>
        </w:rPr>
        <w:t xml:space="preserve"> W, Hu K, Woodard P, Yang AS, </w:t>
      </w:r>
      <w:proofErr w:type="spellStart"/>
      <w:r w:rsidRPr="00B747CD">
        <w:rPr>
          <w:rFonts w:ascii="Book Antiqua" w:hAnsi="Book Antiqua"/>
          <w:sz w:val="24"/>
          <w:szCs w:val="24"/>
        </w:rPr>
        <w:t>Kantarjian</w:t>
      </w:r>
      <w:proofErr w:type="spellEnd"/>
      <w:r w:rsidRPr="00B747CD">
        <w:rPr>
          <w:rFonts w:ascii="Book Antiqua" w:hAnsi="Book Antiqua"/>
          <w:sz w:val="24"/>
          <w:szCs w:val="24"/>
        </w:rPr>
        <w:t xml:space="preserve"> HM. Results of a randomized, double-blind study of romiplostim versus placebo in patients with low/intermediate-1-risk myelodysplastic syndrome and thrombocytopenia. </w:t>
      </w:r>
      <w:r w:rsidRPr="00B747CD">
        <w:rPr>
          <w:rFonts w:ascii="Book Antiqua" w:hAnsi="Book Antiqua"/>
          <w:i/>
          <w:sz w:val="24"/>
          <w:szCs w:val="24"/>
        </w:rPr>
        <w:t>Cancer</w:t>
      </w:r>
      <w:r w:rsidRPr="00B747CD">
        <w:rPr>
          <w:rFonts w:ascii="Book Antiqua" w:hAnsi="Book Antiqua"/>
          <w:sz w:val="24"/>
          <w:szCs w:val="24"/>
        </w:rPr>
        <w:t xml:space="preserve"> 2014; </w:t>
      </w:r>
      <w:r w:rsidRPr="00B747CD">
        <w:rPr>
          <w:rFonts w:ascii="Book Antiqua" w:hAnsi="Book Antiqua"/>
          <w:b/>
          <w:sz w:val="24"/>
          <w:szCs w:val="24"/>
        </w:rPr>
        <w:t>120</w:t>
      </w:r>
      <w:r w:rsidRPr="00B747CD">
        <w:rPr>
          <w:rFonts w:ascii="Book Antiqua" w:hAnsi="Book Antiqua"/>
          <w:sz w:val="24"/>
          <w:szCs w:val="24"/>
        </w:rPr>
        <w:t>: 1838-1846 [PMID: 24706489 DOI: 10.1002/cncr.28663]</w:t>
      </w:r>
    </w:p>
    <w:p w14:paraId="774A1C6A"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23 </w:t>
      </w:r>
      <w:r w:rsidRPr="00B747CD">
        <w:rPr>
          <w:rFonts w:ascii="Book Antiqua" w:hAnsi="Book Antiqua"/>
          <w:b/>
          <w:sz w:val="24"/>
          <w:szCs w:val="24"/>
        </w:rPr>
        <w:t>Gill H</w:t>
      </w:r>
      <w:r w:rsidRPr="00B747CD">
        <w:rPr>
          <w:rFonts w:ascii="Book Antiqua" w:hAnsi="Book Antiqua"/>
          <w:sz w:val="24"/>
          <w:szCs w:val="24"/>
        </w:rPr>
        <w:t xml:space="preserve">, Wong RSM, </w:t>
      </w:r>
      <w:proofErr w:type="spellStart"/>
      <w:r w:rsidRPr="00B747CD">
        <w:rPr>
          <w:rFonts w:ascii="Book Antiqua" w:hAnsi="Book Antiqua"/>
          <w:sz w:val="24"/>
          <w:szCs w:val="24"/>
        </w:rPr>
        <w:t>Kwong</w:t>
      </w:r>
      <w:proofErr w:type="spellEnd"/>
      <w:r w:rsidRPr="00B747CD">
        <w:rPr>
          <w:rFonts w:ascii="Book Antiqua" w:hAnsi="Book Antiqua"/>
          <w:sz w:val="24"/>
          <w:szCs w:val="24"/>
        </w:rPr>
        <w:t xml:space="preserve"> YL. From chronic immune thrombocytopenia to severe aplastic anemia: recent insights into the evolution of </w:t>
      </w:r>
      <w:proofErr w:type="spellStart"/>
      <w:r w:rsidRPr="00B747CD">
        <w:rPr>
          <w:rFonts w:ascii="Book Antiqua" w:hAnsi="Book Antiqua"/>
          <w:sz w:val="24"/>
          <w:szCs w:val="24"/>
        </w:rPr>
        <w:t>eltrombopag</w:t>
      </w:r>
      <w:proofErr w:type="spellEnd"/>
      <w:r w:rsidRPr="00B747CD">
        <w:rPr>
          <w:rFonts w:ascii="Book Antiqua" w:hAnsi="Book Antiqua"/>
          <w:sz w:val="24"/>
          <w:szCs w:val="24"/>
        </w:rPr>
        <w:t xml:space="preserve">. </w:t>
      </w:r>
      <w:proofErr w:type="spellStart"/>
      <w:r w:rsidRPr="00B747CD">
        <w:rPr>
          <w:rFonts w:ascii="Book Antiqua" w:hAnsi="Book Antiqua"/>
          <w:i/>
          <w:sz w:val="24"/>
          <w:szCs w:val="24"/>
        </w:rPr>
        <w:t>Ther</w:t>
      </w:r>
      <w:proofErr w:type="spellEnd"/>
      <w:r w:rsidRPr="00B747CD">
        <w:rPr>
          <w:rFonts w:ascii="Book Antiqua" w:hAnsi="Book Antiqua"/>
          <w:i/>
          <w:sz w:val="24"/>
          <w:szCs w:val="24"/>
        </w:rPr>
        <w:t xml:space="preserve"> Adv </w:t>
      </w:r>
      <w:proofErr w:type="spellStart"/>
      <w:r w:rsidRPr="00B747CD">
        <w:rPr>
          <w:rFonts w:ascii="Book Antiqua" w:hAnsi="Book Antiqua"/>
          <w:i/>
          <w:sz w:val="24"/>
          <w:szCs w:val="24"/>
        </w:rPr>
        <w:t>Hematol</w:t>
      </w:r>
      <w:proofErr w:type="spellEnd"/>
      <w:r w:rsidRPr="00B747CD">
        <w:rPr>
          <w:rFonts w:ascii="Book Antiqua" w:hAnsi="Book Antiqua"/>
          <w:sz w:val="24"/>
          <w:szCs w:val="24"/>
        </w:rPr>
        <w:t xml:space="preserve"> 2017; </w:t>
      </w:r>
      <w:r w:rsidRPr="00B747CD">
        <w:rPr>
          <w:rFonts w:ascii="Book Antiqua" w:hAnsi="Book Antiqua"/>
          <w:b/>
          <w:sz w:val="24"/>
          <w:szCs w:val="24"/>
        </w:rPr>
        <w:t>8</w:t>
      </w:r>
      <w:r w:rsidRPr="00B747CD">
        <w:rPr>
          <w:rFonts w:ascii="Book Antiqua" w:hAnsi="Book Antiqua"/>
          <w:sz w:val="24"/>
          <w:szCs w:val="24"/>
        </w:rPr>
        <w:t>: 159-174 [PMID: 28473904 DOI: 10.1177/2040620717693573]</w:t>
      </w:r>
    </w:p>
    <w:p w14:paraId="7130FD40"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24 </w:t>
      </w:r>
      <w:proofErr w:type="spellStart"/>
      <w:r w:rsidRPr="00B747CD">
        <w:rPr>
          <w:rFonts w:ascii="Book Antiqua" w:hAnsi="Book Antiqua"/>
          <w:b/>
          <w:sz w:val="24"/>
          <w:szCs w:val="24"/>
        </w:rPr>
        <w:t>Seeff</w:t>
      </w:r>
      <w:proofErr w:type="spellEnd"/>
      <w:r w:rsidRPr="00B747CD">
        <w:rPr>
          <w:rFonts w:ascii="Book Antiqua" w:hAnsi="Book Antiqua"/>
          <w:b/>
          <w:sz w:val="24"/>
          <w:szCs w:val="24"/>
        </w:rPr>
        <w:t xml:space="preserve"> LB</w:t>
      </w:r>
      <w:r w:rsidRPr="00B747CD">
        <w:rPr>
          <w:rFonts w:ascii="Book Antiqua" w:hAnsi="Book Antiqua"/>
          <w:sz w:val="24"/>
          <w:szCs w:val="24"/>
        </w:rPr>
        <w:t xml:space="preserve">, Everson GT, Morgan TR, </w:t>
      </w:r>
      <w:proofErr w:type="spellStart"/>
      <w:r w:rsidRPr="00B747CD">
        <w:rPr>
          <w:rFonts w:ascii="Book Antiqua" w:hAnsi="Book Antiqua"/>
          <w:sz w:val="24"/>
          <w:szCs w:val="24"/>
        </w:rPr>
        <w:t>Curto</w:t>
      </w:r>
      <w:proofErr w:type="spellEnd"/>
      <w:r w:rsidRPr="00B747CD">
        <w:rPr>
          <w:rFonts w:ascii="Book Antiqua" w:hAnsi="Book Antiqua"/>
          <w:sz w:val="24"/>
          <w:szCs w:val="24"/>
        </w:rPr>
        <w:t xml:space="preserve"> TM, Lee WM, </w:t>
      </w:r>
      <w:proofErr w:type="spellStart"/>
      <w:r w:rsidRPr="00B747CD">
        <w:rPr>
          <w:rFonts w:ascii="Book Antiqua" w:hAnsi="Book Antiqua"/>
          <w:sz w:val="24"/>
          <w:szCs w:val="24"/>
        </w:rPr>
        <w:t>Ghany</w:t>
      </w:r>
      <w:proofErr w:type="spellEnd"/>
      <w:r w:rsidRPr="00B747CD">
        <w:rPr>
          <w:rFonts w:ascii="Book Antiqua" w:hAnsi="Book Antiqua"/>
          <w:sz w:val="24"/>
          <w:szCs w:val="24"/>
        </w:rPr>
        <w:t xml:space="preserve"> MG, </w:t>
      </w:r>
      <w:proofErr w:type="spellStart"/>
      <w:r w:rsidRPr="00B747CD">
        <w:rPr>
          <w:rFonts w:ascii="Book Antiqua" w:hAnsi="Book Antiqua"/>
          <w:sz w:val="24"/>
          <w:szCs w:val="24"/>
        </w:rPr>
        <w:t>Shiffman</w:t>
      </w:r>
      <w:proofErr w:type="spellEnd"/>
      <w:r w:rsidRPr="00B747CD">
        <w:rPr>
          <w:rFonts w:ascii="Book Antiqua" w:hAnsi="Book Antiqua"/>
          <w:sz w:val="24"/>
          <w:szCs w:val="24"/>
        </w:rPr>
        <w:t xml:space="preserve"> ML, Fontana RJ, Di </w:t>
      </w:r>
      <w:proofErr w:type="spellStart"/>
      <w:r w:rsidRPr="00B747CD">
        <w:rPr>
          <w:rFonts w:ascii="Book Antiqua" w:hAnsi="Book Antiqua"/>
          <w:sz w:val="24"/>
          <w:szCs w:val="24"/>
        </w:rPr>
        <w:t>Bisceglie</w:t>
      </w:r>
      <w:proofErr w:type="spellEnd"/>
      <w:r w:rsidRPr="00B747CD">
        <w:rPr>
          <w:rFonts w:ascii="Book Antiqua" w:hAnsi="Book Antiqua"/>
          <w:sz w:val="24"/>
          <w:szCs w:val="24"/>
        </w:rPr>
        <w:t xml:space="preserve"> AM, </w:t>
      </w:r>
      <w:proofErr w:type="spellStart"/>
      <w:r w:rsidRPr="00B747CD">
        <w:rPr>
          <w:rFonts w:ascii="Book Antiqua" w:hAnsi="Book Antiqua"/>
          <w:sz w:val="24"/>
          <w:szCs w:val="24"/>
        </w:rPr>
        <w:t>Bonkovsky</w:t>
      </w:r>
      <w:proofErr w:type="spellEnd"/>
      <w:r w:rsidRPr="00B747CD">
        <w:rPr>
          <w:rFonts w:ascii="Book Antiqua" w:hAnsi="Book Antiqua"/>
          <w:sz w:val="24"/>
          <w:szCs w:val="24"/>
        </w:rPr>
        <w:t xml:space="preserve"> HL, </w:t>
      </w:r>
      <w:proofErr w:type="spellStart"/>
      <w:r w:rsidRPr="00B747CD">
        <w:rPr>
          <w:rFonts w:ascii="Book Antiqua" w:hAnsi="Book Antiqua"/>
          <w:sz w:val="24"/>
          <w:szCs w:val="24"/>
        </w:rPr>
        <w:t>Dienstag</w:t>
      </w:r>
      <w:proofErr w:type="spellEnd"/>
      <w:r w:rsidRPr="00B747CD">
        <w:rPr>
          <w:rFonts w:ascii="Book Antiqua" w:hAnsi="Book Antiqua"/>
          <w:sz w:val="24"/>
          <w:szCs w:val="24"/>
        </w:rPr>
        <w:t xml:space="preserve"> JL; HALT–C Trial Group. Complication rate of percutaneous liver biopsies among persons with advanced chronic liver disease in the HALT-C trial. </w:t>
      </w:r>
      <w:r w:rsidRPr="00B747CD">
        <w:rPr>
          <w:rFonts w:ascii="Book Antiqua" w:hAnsi="Book Antiqua"/>
          <w:i/>
          <w:sz w:val="24"/>
          <w:szCs w:val="24"/>
        </w:rPr>
        <w:t>Clin Gastroenterol Hepatol</w:t>
      </w:r>
      <w:r w:rsidRPr="00B747CD">
        <w:rPr>
          <w:rFonts w:ascii="Book Antiqua" w:hAnsi="Book Antiqua"/>
          <w:sz w:val="24"/>
          <w:szCs w:val="24"/>
        </w:rPr>
        <w:t xml:space="preserve"> 2010; </w:t>
      </w:r>
      <w:r w:rsidRPr="00B747CD">
        <w:rPr>
          <w:rFonts w:ascii="Book Antiqua" w:hAnsi="Book Antiqua"/>
          <w:b/>
          <w:sz w:val="24"/>
          <w:szCs w:val="24"/>
        </w:rPr>
        <w:t>8</w:t>
      </w:r>
      <w:r w:rsidRPr="00B747CD">
        <w:rPr>
          <w:rFonts w:ascii="Book Antiqua" w:hAnsi="Book Antiqua"/>
          <w:sz w:val="24"/>
          <w:szCs w:val="24"/>
        </w:rPr>
        <w:t>: 877-883 [PMID: 20362695 DOI: 10.1016/j.cgh.2010.03.025]</w:t>
      </w:r>
    </w:p>
    <w:p w14:paraId="7F706BEB"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25 </w:t>
      </w:r>
      <w:proofErr w:type="spellStart"/>
      <w:r w:rsidRPr="00B747CD">
        <w:rPr>
          <w:rFonts w:ascii="Book Antiqua" w:hAnsi="Book Antiqua"/>
          <w:b/>
          <w:sz w:val="24"/>
          <w:szCs w:val="24"/>
        </w:rPr>
        <w:t>Basili</w:t>
      </w:r>
      <w:proofErr w:type="spellEnd"/>
      <w:r w:rsidRPr="00B747CD">
        <w:rPr>
          <w:rFonts w:ascii="Book Antiqua" w:hAnsi="Book Antiqua"/>
          <w:b/>
          <w:sz w:val="24"/>
          <w:szCs w:val="24"/>
        </w:rPr>
        <w:t xml:space="preserve"> S</w:t>
      </w:r>
      <w:r w:rsidRPr="00B747CD">
        <w:rPr>
          <w:rFonts w:ascii="Book Antiqua" w:hAnsi="Book Antiqua"/>
          <w:sz w:val="24"/>
          <w:szCs w:val="24"/>
        </w:rPr>
        <w:t xml:space="preserve">, </w:t>
      </w:r>
      <w:proofErr w:type="spellStart"/>
      <w:r w:rsidRPr="00B747CD">
        <w:rPr>
          <w:rFonts w:ascii="Book Antiqua" w:hAnsi="Book Antiqua"/>
          <w:sz w:val="24"/>
          <w:szCs w:val="24"/>
        </w:rPr>
        <w:t>Raparelli</w:t>
      </w:r>
      <w:proofErr w:type="spellEnd"/>
      <w:r w:rsidRPr="00B747CD">
        <w:rPr>
          <w:rFonts w:ascii="Book Antiqua" w:hAnsi="Book Antiqua"/>
          <w:sz w:val="24"/>
          <w:szCs w:val="24"/>
        </w:rPr>
        <w:t xml:space="preserve"> V, </w:t>
      </w:r>
      <w:proofErr w:type="spellStart"/>
      <w:r w:rsidRPr="00B747CD">
        <w:rPr>
          <w:rFonts w:ascii="Book Antiqua" w:hAnsi="Book Antiqua"/>
          <w:sz w:val="24"/>
          <w:szCs w:val="24"/>
        </w:rPr>
        <w:t>Napoleone</w:t>
      </w:r>
      <w:proofErr w:type="spellEnd"/>
      <w:r w:rsidRPr="00B747CD">
        <w:rPr>
          <w:rFonts w:ascii="Book Antiqua" w:hAnsi="Book Antiqua"/>
          <w:sz w:val="24"/>
          <w:szCs w:val="24"/>
        </w:rPr>
        <w:t xml:space="preserve"> L, </w:t>
      </w:r>
      <w:proofErr w:type="spellStart"/>
      <w:r w:rsidRPr="00B747CD">
        <w:rPr>
          <w:rFonts w:ascii="Book Antiqua" w:hAnsi="Book Antiqua"/>
          <w:sz w:val="24"/>
          <w:szCs w:val="24"/>
        </w:rPr>
        <w:t>Talerico</w:t>
      </w:r>
      <w:proofErr w:type="spellEnd"/>
      <w:r w:rsidRPr="00B747CD">
        <w:rPr>
          <w:rFonts w:ascii="Book Antiqua" w:hAnsi="Book Antiqua"/>
          <w:sz w:val="24"/>
          <w:szCs w:val="24"/>
        </w:rPr>
        <w:t xml:space="preserve"> G, </w:t>
      </w:r>
      <w:proofErr w:type="spellStart"/>
      <w:r w:rsidRPr="00B747CD">
        <w:rPr>
          <w:rFonts w:ascii="Book Antiqua" w:hAnsi="Book Antiqua"/>
          <w:sz w:val="24"/>
          <w:szCs w:val="24"/>
        </w:rPr>
        <w:t>Corazza</w:t>
      </w:r>
      <w:proofErr w:type="spellEnd"/>
      <w:r w:rsidRPr="00B747CD">
        <w:rPr>
          <w:rFonts w:ascii="Book Antiqua" w:hAnsi="Book Antiqua"/>
          <w:sz w:val="24"/>
          <w:szCs w:val="24"/>
        </w:rPr>
        <w:t xml:space="preserve"> GR, </w:t>
      </w:r>
      <w:proofErr w:type="spellStart"/>
      <w:r w:rsidRPr="00B747CD">
        <w:rPr>
          <w:rFonts w:ascii="Book Antiqua" w:hAnsi="Book Antiqua"/>
          <w:sz w:val="24"/>
          <w:szCs w:val="24"/>
        </w:rPr>
        <w:t>Perticone</w:t>
      </w:r>
      <w:proofErr w:type="spellEnd"/>
      <w:r w:rsidRPr="00B747CD">
        <w:rPr>
          <w:rFonts w:ascii="Book Antiqua" w:hAnsi="Book Antiqua"/>
          <w:sz w:val="24"/>
          <w:szCs w:val="24"/>
        </w:rPr>
        <w:t xml:space="preserve"> F, </w:t>
      </w:r>
      <w:proofErr w:type="spellStart"/>
      <w:r w:rsidRPr="00B747CD">
        <w:rPr>
          <w:rFonts w:ascii="Book Antiqua" w:hAnsi="Book Antiqua"/>
          <w:sz w:val="24"/>
          <w:szCs w:val="24"/>
        </w:rPr>
        <w:t>Sacerdoti</w:t>
      </w:r>
      <w:proofErr w:type="spellEnd"/>
      <w:r w:rsidRPr="00B747CD">
        <w:rPr>
          <w:rFonts w:ascii="Book Antiqua" w:hAnsi="Book Antiqua"/>
          <w:sz w:val="24"/>
          <w:szCs w:val="24"/>
        </w:rPr>
        <w:t xml:space="preserve"> D, </w:t>
      </w:r>
      <w:proofErr w:type="spellStart"/>
      <w:r w:rsidRPr="00B747CD">
        <w:rPr>
          <w:rFonts w:ascii="Book Antiqua" w:hAnsi="Book Antiqua"/>
          <w:sz w:val="24"/>
          <w:szCs w:val="24"/>
        </w:rPr>
        <w:t>Andriulli</w:t>
      </w:r>
      <w:proofErr w:type="spellEnd"/>
      <w:r w:rsidRPr="00B747CD">
        <w:rPr>
          <w:rFonts w:ascii="Book Antiqua" w:hAnsi="Book Antiqua"/>
          <w:sz w:val="24"/>
          <w:szCs w:val="24"/>
        </w:rPr>
        <w:t xml:space="preserve"> A, Licata A, Pietrangelo A, </w:t>
      </w:r>
      <w:proofErr w:type="spellStart"/>
      <w:r w:rsidRPr="00B747CD">
        <w:rPr>
          <w:rFonts w:ascii="Book Antiqua" w:hAnsi="Book Antiqua"/>
          <w:sz w:val="24"/>
          <w:szCs w:val="24"/>
        </w:rPr>
        <w:t>Picardi</w:t>
      </w:r>
      <w:proofErr w:type="spellEnd"/>
      <w:r w:rsidRPr="00B747CD">
        <w:rPr>
          <w:rFonts w:ascii="Book Antiqua" w:hAnsi="Book Antiqua"/>
          <w:sz w:val="24"/>
          <w:szCs w:val="24"/>
        </w:rPr>
        <w:t xml:space="preserve"> A, Raimondo G, </w:t>
      </w:r>
      <w:proofErr w:type="spellStart"/>
      <w:r w:rsidRPr="00B747CD">
        <w:rPr>
          <w:rFonts w:ascii="Book Antiqua" w:hAnsi="Book Antiqua"/>
          <w:sz w:val="24"/>
          <w:szCs w:val="24"/>
        </w:rPr>
        <w:t>Violi</w:t>
      </w:r>
      <w:proofErr w:type="spellEnd"/>
      <w:r w:rsidRPr="00B747CD">
        <w:rPr>
          <w:rFonts w:ascii="Book Antiqua" w:hAnsi="Book Antiqua"/>
          <w:sz w:val="24"/>
          <w:szCs w:val="24"/>
        </w:rPr>
        <w:t xml:space="preserve"> F; PRO-LIVER Collaborators. Platelet Count Does Not Predict Bleeding in Cirrhotic Patients: Results </w:t>
      </w:r>
      <w:r w:rsidRPr="00B747CD">
        <w:rPr>
          <w:rFonts w:ascii="Book Antiqua" w:hAnsi="Book Antiqua"/>
          <w:sz w:val="24"/>
          <w:szCs w:val="24"/>
        </w:rPr>
        <w:lastRenderedPageBreak/>
        <w:t xml:space="preserve">from the PRO-LIVER Study. </w:t>
      </w:r>
      <w:r w:rsidRPr="00B747CD">
        <w:rPr>
          <w:rFonts w:ascii="Book Antiqua" w:hAnsi="Book Antiqua"/>
          <w:i/>
          <w:sz w:val="24"/>
          <w:szCs w:val="24"/>
        </w:rPr>
        <w:t>Am J Gastroenterol</w:t>
      </w:r>
      <w:r w:rsidRPr="00B747CD">
        <w:rPr>
          <w:rFonts w:ascii="Book Antiqua" w:hAnsi="Book Antiqua"/>
          <w:sz w:val="24"/>
          <w:szCs w:val="24"/>
        </w:rPr>
        <w:t xml:space="preserve"> 2018; </w:t>
      </w:r>
      <w:r w:rsidRPr="00B747CD">
        <w:rPr>
          <w:rFonts w:ascii="Book Antiqua" w:hAnsi="Book Antiqua"/>
          <w:b/>
          <w:sz w:val="24"/>
          <w:szCs w:val="24"/>
        </w:rPr>
        <w:t>113</w:t>
      </w:r>
      <w:r w:rsidRPr="00B747CD">
        <w:rPr>
          <w:rFonts w:ascii="Book Antiqua" w:hAnsi="Book Antiqua"/>
          <w:sz w:val="24"/>
          <w:szCs w:val="24"/>
        </w:rPr>
        <w:t>: 368-375 [PMID: 29257146 DOI: 10.1038/ajg.2017.457]</w:t>
      </w:r>
    </w:p>
    <w:p w14:paraId="16E91753"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26 </w:t>
      </w:r>
      <w:proofErr w:type="spellStart"/>
      <w:r w:rsidRPr="00B747CD">
        <w:rPr>
          <w:rFonts w:ascii="Book Antiqua" w:hAnsi="Book Antiqua"/>
          <w:b/>
          <w:sz w:val="24"/>
          <w:szCs w:val="24"/>
        </w:rPr>
        <w:t>Szczepiorkowski</w:t>
      </w:r>
      <w:proofErr w:type="spellEnd"/>
      <w:r w:rsidRPr="00B747CD">
        <w:rPr>
          <w:rFonts w:ascii="Book Antiqua" w:hAnsi="Book Antiqua"/>
          <w:b/>
          <w:sz w:val="24"/>
          <w:szCs w:val="24"/>
        </w:rPr>
        <w:t xml:space="preserve"> ZM</w:t>
      </w:r>
      <w:r w:rsidRPr="00B747CD">
        <w:rPr>
          <w:rFonts w:ascii="Book Antiqua" w:hAnsi="Book Antiqua"/>
          <w:sz w:val="24"/>
          <w:szCs w:val="24"/>
        </w:rPr>
        <w:t xml:space="preserve">, Dunbar NM. Transfusion guidelines: when to transfuse. </w:t>
      </w:r>
      <w:r w:rsidRPr="00B747CD">
        <w:rPr>
          <w:rFonts w:ascii="Book Antiqua" w:hAnsi="Book Antiqua"/>
          <w:i/>
          <w:sz w:val="24"/>
          <w:szCs w:val="24"/>
        </w:rPr>
        <w:t xml:space="preserve">Hematology Am Soc </w:t>
      </w:r>
      <w:proofErr w:type="spellStart"/>
      <w:r w:rsidRPr="00B747CD">
        <w:rPr>
          <w:rFonts w:ascii="Book Antiqua" w:hAnsi="Book Antiqua"/>
          <w:i/>
          <w:sz w:val="24"/>
          <w:szCs w:val="24"/>
        </w:rPr>
        <w:t>Hematol</w:t>
      </w:r>
      <w:proofErr w:type="spellEnd"/>
      <w:r w:rsidRPr="00B747CD">
        <w:rPr>
          <w:rFonts w:ascii="Book Antiqua" w:hAnsi="Book Antiqua"/>
          <w:i/>
          <w:sz w:val="24"/>
          <w:szCs w:val="24"/>
        </w:rPr>
        <w:t xml:space="preserve"> Educ Program</w:t>
      </w:r>
      <w:r w:rsidRPr="00B747CD">
        <w:rPr>
          <w:rFonts w:ascii="Book Antiqua" w:hAnsi="Book Antiqua"/>
          <w:sz w:val="24"/>
          <w:szCs w:val="24"/>
        </w:rPr>
        <w:t xml:space="preserve"> 2013; </w:t>
      </w:r>
      <w:r w:rsidRPr="00B747CD">
        <w:rPr>
          <w:rFonts w:ascii="Book Antiqua" w:hAnsi="Book Antiqua"/>
          <w:b/>
          <w:sz w:val="24"/>
          <w:szCs w:val="24"/>
        </w:rPr>
        <w:t>2013</w:t>
      </w:r>
      <w:r w:rsidRPr="00B747CD">
        <w:rPr>
          <w:rFonts w:ascii="Book Antiqua" w:hAnsi="Book Antiqua"/>
          <w:sz w:val="24"/>
          <w:szCs w:val="24"/>
        </w:rPr>
        <w:t>: 638-644 [PMID: 24319244 DOI: 10.1182/asheducation-2013.1.638]</w:t>
      </w:r>
    </w:p>
    <w:p w14:paraId="073095DC"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27 </w:t>
      </w:r>
      <w:r w:rsidRPr="00B747CD">
        <w:rPr>
          <w:rFonts w:ascii="Book Antiqua" w:hAnsi="Book Antiqua"/>
          <w:b/>
          <w:sz w:val="24"/>
          <w:szCs w:val="24"/>
        </w:rPr>
        <w:t>ASGE Standards of Practice Committee.</w:t>
      </w:r>
      <w:r w:rsidRPr="00B747CD">
        <w:rPr>
          <w:rFonts w:ascii="Book Antiqua" w:hAnsi="Book Antiqua"/>
          <w:sz w:val="24"/>
          <w:szCs w:val="24"/>
        </w:rPr>
        <w:t xml:space="preserve">, Ben-Menachem T, Decker GA, Early DS, Evans J, Fanelli RD, Fisher DA, Fisher L, </w:t>
      </w:r>
      <w:proofErr w:type="spellStart"/>
      <w:r w:rsidRPr="00B747CD">
        <w:rPr>
          <w:rFonts w:ascii="Book Antiqua" w:hAnsi="Book Antiqua"/>
          <w:sz w:val="24"/>
          <w:szCs w:val="24"/>
        </w:rPr>
        <w:t>Fukami</w:t>
      </w:r>
      <w:proofErr w:type="spellEnd"/>
      <w:r w:rsidRPr="00B747CD">
        <w:rPr>
          <w:rFonts w:ascii="Book Antiqua" w:hAnsi="Book Antiqua"/>
          <w:sz w:val="24"/>
          <w:szCs w:val="24"/>
        </w:rPr>
        <w:t xml:space="preserve"> N, Hwang JH, </w:t>
      </w:r>
      <w:proofErr w:type="spellStart"/>
      <w:r w:rsidRPr="00B747CD">
        <w:rPr>
          <w:rFonts w:ascii="Book Antiqua" w:hAnsi="Book Antiqua"/>
          <w:sz w:val="24"/>
          <w:szCs w:val="24"/>
        </w:rPr>
        <w:t>Ikenberry</w:t>
      </w:r>
      <w:proofErr w:type="spellEnd"/>
      <w:r w:rsidRPr="00B747CD">
        <w:rPr>
          <w:rFonts w:ascii="Book Antiqua" w:hAnsi="Book Antiqua"/>
          <w:sz w:val="24"/>
          <w:szCs w:val="24"/>
        </w:rPr>
        <w:t xml:space="preserve"> SO, Jain R, </w:t>
      </w:r>
      <w:proofErr w:type="spellStart"/>
      <w:r w:rsidRPr="00B747CD">
        <w:rPr>
          <w:rFonts w:ascii="Book Antiqua" w:hAnsi="Book Antiqua"/>
          <w:sz w:val="24"/>
          <w:szCs w:val="24"/>
        </w:rPr>
        <w:t>Jue</w:t>
      </w:r>
      <w:proofErr w:type="spellEnd"/>
      <w:r w:rsidRPr="00B747CD">
        <w:rPr>
          <w:rFonts w:ascii="Book Antiqua" w:hAnsi="Book Antiqua"/>
          <w:sz w:val="24"/>
          <w:szCs w:val="24"/>
        </w:rPr>
        <w:t xml:space="preserve"> TL, Khan KM, </w:t>
      </w:r>
      <w:proofErr w:type="spellStart"/>
      <w:r w:rsidRPr="00B747CD">
        <w:rPr>
          <w:rFonts w:ascii="Book Antiqua" w:hAnsi="Book Antiqua"/>
          <w:sz w:val="24"/>
          <w:szCs w:val="24"/>
        </w:rPr>
        <w:t>Krinsky</w:t>
      </w:r>
      <w:proofErr w:type="spellEnd"/>
      <w:r w:rsidRPr="00B747CD">
        <w:rPr>
          <w:rFonts w:ascii="Book Antiqua" w:hAnsi="Book Antiqua"/>
          <w:sz w:val="24"/>
          <w:szCs w:val="24"/>
        </w:rPr>
        <w:t xml:space="preserve"> ML, Malpas PM, Maple JT, Sharaf RN, </w:t>
      </w:r>
      <w:proofErr w:type="spellStart"/>
      <w:r w:rsidRPr="00B747CD">
        <w:rPr>
          <w:rFonts w:ascii="Book Antiqua" w:hAnsi="Book Antiqua"/>
          <w:sz w:val="24"/>
          <w:szCs w:val="24"/>
        </w:rPr>
        <w:t>Dominitz</w:t>
      </w:r>
      <w:proofErr w:type="spellEnd"/>
      <w:r w:rsidRPr="00B747CD">
        <w:rPr>
          <w:rFonts w:ascii="Book Antiqua" w:hAnsi="Book Antiqua"/>
          <w:sz w:val="24"/>
          <w:szCs w:val="24"/>
        </w:rPr>
        <w:t xml:space="preserve"> JA, Cash BD. Adverse events of upper GI endoscopy. </w:t>
      </w:r>
      <w:proofErr w:type="spellStart"/>
      <w:r w:rsidRPr="00B747CD">
        <w:rPr>
          <w:rFonts w:ascii="Book Antiqua" w:hAnsi="Book Antiqua"/>
          <w:i/>
          <w:sz w:val="24"/>
          <w:szCs w:val="24"/>
        </w:rPr>
        <w:t>Gastrointest</w:t>
      </w:r>
      <w:proofErr w:type="spellEnd"/>
      <w:r w:rsidRPr="00B747CD">
        <w:rPr>
          <w:rFonts w:ascii="Book Antiqua" w:hAnsi="Book Antiqua"/>
          <w:i/>
          <w:sz w:val="24"/>
          <w:szCs w:val="24"/>
        </w:rPr>
        <w:t xml:space="preserve"> </w:t>
      </w:r>
      <w:proofErr w:type="spellStart"/>
      <w:r w:rsidRPr="00B747CD">
        <w:rPr>
          <w:rFonts w:ascii="Book Antiqua" w:hAnsi="Book Antiqua"/>
          <w:i/>
          <w:sz w:val="24"/>
          <w:szCs w:val="24"/>
        </w:rPr>
        <w:t>Endosc</w:t>
      </w:r>
      <w:proofErr w:type="spellEnd"/>
      <w:r w:rsidRPr="00B747CD">
        <w:rPr>
          <w:rFonts w:ascii="Book Antiqua" w:hAnsi="Book Antiqua"/>
          <w:sz w:val="24"/>
          <w:szCs w:val="24"/>
        </w:rPr>
        <w:t xml:space="preserve"> 2012; </w:t>
      </w:r>
      <w:r w:rsidRPr="00B747CD">
        <w:rPr>
          <w:rFonts w:ascii="Book Antiqua" w:hAnsi="Book Antiqua"/>
          <w:b/>
          <w:sz w:val="24"/>
          <w:szCs w:val="24"/>
        </w:rPr>
        <w:t>76</w:t>
      </w:r>
      <w:r w:rsidRPr="00B747CD">
        <w:rPr>
          <w:rFonts w:ascii="Book Antiqua" w:hAnsi="Book Antiqua"/>
          <w:sz w:val="24"/>
          <w:szCs w:val="24"/>
        </w:rPr>
        <w:t>: 707-718 [PMID: 22985638 DOI: 10.1016/j.gie.2012.03.252]</w:t>
      </w:r>
    </w:p>
    <w:p w14:paraId="6DF1D011"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28 </w:t>
      </w:r>
      <w:proofErr w:type="spellStart"/>
      <w:r w:rsidRPr="00B747CD">
        <w:rPr>
          <w:rFonts w:ascii="Book Antiqua" w:hAnsi="Book Antiqua"/>
          <w:b/>
          <w:sz w:val="24"/>
          <w:szCs w:val="24"/>
        </w:rPr>
        <w:t>Rockey</w:t>
      </w:r>
      <w:proofErr w:type="spellEnd"/>
      <w:r w:rsidRPr="00B747CD">
        <w:rPr>
          <w:rFonts w:ascii="Book Antiqua" w:hAnsi="Book Antiqua"/>
          <w:b/>
          <w:sz w:val="24"/>
          <w:szCs w:val="24"/>
        </w:rPr>
        <w:t xml:space="preserve"> DC</w:t>
      </w:r>
      <w:r w:rsidRPr="00B747CD">
        <w:rPr>
          <w:rFonts w:ascii="Book Antiqua" w:hAnsi="Book Antiqua"/>
          <w:sz w:val="24"/>
          <w:szCs w:val="24"/>
        </w:rPr>
        <w:t xml:space="preserve">, Caldwell SH, Goodman ZD, Nelson RC, Smith AD; American Association for the Study of Liver Diseases. Liver biopsy. </w:t>
      </w:r>
      <w:r w:rsidRPr="00B747CD">
        <w:rPr>
          <w:rFonts w:ascii="Book Antiqua" w:hAnsi="Book Antiqua"/>
          <w:i/>
          <w:sz w:val="24"/>
          <w:szCs w:val="24"/>
        </w:rPr>
        <w:t>Hepatology</w:t>
      </w:r>
      <w:r w:rsidRPr="00B747CD">
        <w:rPr>
          <w:rFonts w:ascii="Book Antiqua" w:hAnsi="Book Antiqua"/>
          <w:sz w:val="24"/>
          <w:szCs w:val="24"/>
        </w:rPr>
        <w:t xml:space="preserve"> 2009; </w:t>
      </w:r>
      <w:r w:rsidRPr="00B747CD">
        <w:rPr>
          <w:rFonts w:ascii="Book Antiqua" w:hAnsi="Book Antiqua"/>
          <w:b/>
          <w:sz w:val="24"/>
          <w:szCs w:val="24"/>
        </w:rPr>
        <w:t>49</w:t>
      </w:r>
      <w:r w:rsidRPr="00B747CD">
        <w:rPr>
          <w:rFonts w:ascii="Book Antiqua" w:hAnsi="Book Antiqua"/>
          <w:sz w:val="24"/>
          <w:szCs w:val="24"/>
        </w:rPr>
        <w:t>: 1017-1044 [PMID: 19243014 DOI: 10.1002/hep.22742]</w:t>
      </w:r>
    </w:p>
    <w:p w14:paraId="70C81063"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29 </w:t>
      </w:r>
      <w:r w:rsidRPr="00B747CD">
        <w:rPr>
          <w:rFonts w:ascii="Book Antiqua" w:hAnsi="Book Antiqua"/>
          <w:b/>
          <w:sz w:val="24"/>
          <w:szCs w:val="24"/>
        </w:rPr>
        <w:t>Laine L</w:t>
      </w:r>
      <w:r w:rsidRPr="00B747CD">
        <w:rPr>
          <w:rFonts w:ascii="Book Antiqua" w:hAnsi="Book Antiqua"/>
          <w:sz w:val="24"/>
          <w:szCs w:val="24"/>
        </w:rPr>
        <w:t xml:space="preserve">. Treatment of thrombocytopenic patients with GI bleeding. </w:t>
      </w:r>
      <w:proofErr w:type="spellStart"/>
      <w:r w:rsidRPr="00B747CD">
        <w:rPr>
          <w:rFonts w:ascii="Book Antiqua" w:hAnsi="Book Antiqua"/>
          <w:i/>
          <w:sz w:val="24"/>
          <w:szCs w:val="24"/>
        </w:rPr>
        <w:t>Gastrointest</w:t>
      </w:r>
      <w:proofErr w:type="spellEnd"/>
      <w:r w:rsidRPr="00B747CD">
        <w:rPr>
          <w:rFonts w:ascii="Book Antiqua" w:hAnsi="Book Antiqua"/>
          <w:i/>
          <w:sz w:val="24"/>
          <w:szCs w:val="24"/>
        </w:rPr>
        <w:t xml:space="preserve"> </w:t>
      </w:r>
      <w:proofErr w:type="spellStart"/>
      <w:r w:rsidRPr="00B747CD">
        <w:rPr>
          <w:rFonts w:ascii="Book Antiqua" w:hAnsi="Book Antiqua"/>
          <w:i/>
          <w:sz w:val="24"/>
          <w:szCs w:val="24"/>
        </w:rPr>
        <w:t>Endosc</w:t>
      </w:r>
      <w:proofErr w:type="spellEnd"/>
      <w:r w:rsidRPr="00B747CD">
        <w:rPr>
          <w:rFonts w:ascii="Book Antiqua" w:hAnsi="Book Antiqua"/>
          <w:sz w:val="24"/>
          <w:szCs w:val="24"/>
        </w:rPr>
        <w:t xml:space="preserve"> 2018; </w:t>
      </w:r>
      <w:r w:rsidRPr="00B747CD">
        <w:rPr>
          <w:rFonts w:ascii="Book Antiqua" w:hAnsi="Book Antiqua"/>
          <w:b/>
          <w:sz w:val="24"/>
          <w:szCs w:val="24"/>
        </w:rPr>
        <w:t>88</w:t>
      </w:r>
      <w:r w:rsidRPr="00B747CD">
        <w:rPr>
          <w:rFonts w:ascii="Book Antiqua" w:hAnsi="Book Antiqua"/>
          <w:sz w:val="24"/>
          <w:szCs w:val="24"/>
        </w:rPr>
        <w:t>: 62-65 [PMID: 29935628 DOI: 10.1016/j.gie.2018.03.003]</w:t>
      </w:r>
    </w:p>
    <w:p w14:paraId="46299BAD" w14:textId="07AAC01B"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30 </w:t>
      </w:r>
      <w:proofErr w:type="spellStart"/>
      <w:r w:rsidR="007D1269" w:rsidRPr="00B747CD">
        <w:rPr>
          <w:rFonts w:ascii="Book Antiqua" w:hAnsi="Book Antiqua"/>
          <w:b/>
          <w:bCs/>
          <w:sz w:val="24"/>
          <w:szCs w:val="24"/>
        </w:rPr>
        <w:t>Neunert</w:t>
      </w:r>
      <w:proofErr w:type="spellEnd"/>
      <w:r w:rsidR="007D1269" w:rsidRPr="00B747CD">
        <w:rPr>
          <w:rFonts w:ascii="Book Antiqua" w:hAnsi="Book Antiqua"/>
          <w:b/>
          <w:bCs/>
          <w:sz w:val="24"/>
          <w:szCs w:val="24"/>
        </w:rPr>
        <w:t xml:space="preserve"> C</w:t>
      </w:r>
      <w:r w:rsidR="007D1269" w:rsidRPr="00B747CD">
        <w:rPr>
          <w:rFonts w:ascii="Book Antiqua" w:hAnsi="Book Antiqua"/>
          <w:sz w:val="24"/>
          <w:szCs w:val="24"/>
        </w:rPr>
        <w:t xml:space="preserve">, Terrell DR, Arnold DM, Buchanan G, Cines DB, Cooper N, </w:t>
      </w:r>
      <w:proofErr w:type="spellStart"/>
      <w:r w:rsidR="007D1269" w:rsidRPr="00B747CD">
        <w:rPr>
          <w:rFonts w:ascii="Book Antiqua" w:hAnsi="Book Antiqua"/>
          <w:sz w:val="24"/>
          <w:szCs w:val="24"/>
        </w:rPr>
        <w:t>Cuker</w:t>
      </w:r>
      <w:proofErr w:type="spellEnd"/>
      <w:r w:rsidR="007D1269" w:rsidRPr="00B747CD">
        <w:rPr>
          <w:rFonts w:ascii="Book Antiqua" w:hAnsi="Book Antiqua"/>
          <w:sz w:val="24"/>
          <w:szCs w:val="24"/>
        </w:rPr>
        <w:t xml:space="preserve"> A, </w:t>
      </w:r>
      <w:proofErr w:type="spellStart"/>
      <w:r w:rsidR="007D1269" w:rsidRPr="00B747CD">
        <w:rPr>
          <w:rFonts w:ascii="Book Antiqua" w:hAnsi="Book Antiqua"/>
          <w:sz w:val="24"/>
          <w:szCs w:val="24"/>
        </w:rPr>
        <w:t>Despotovic</w:t>
      </w:r>
      <w:proofErr w:type="spellEnd"/>
      <w:r w:rsidR="007D1269" w:rsidRPr="00B747CD">
        <w:rPr>
          <w:rFonts w:ascii="Book Antiqua" w:hAnsi="Book Antiqua"/>
          <w:sz w:val="24"/>
          <w:szCs w:val="24"/>
        </w:rPr>
        <w:t xml:space="preserve"> JM, George JN, Grace RF, </w:t>
      </w:r>
      <w:proofErr w:type="spellStart"/>
      <w:r w:rsidR="007D1269" w:rsidRPr="00B747CD">
        <w:rPr>
          <w:rFonts w:ascii="Book Antiqua" w:hAnsi="Book Antiqua"/>
          <w:sz w:val="24"/>
          <w:szCs w:val="24"/>
        </w:rPr>
        <w:t>Kühne</w:t>
      </w:r>
      <w:proofErr w:type="spellEnd"/>
      <w:r w:rsidR="007D1269" w:rsidRPr="00B747CD">
        <w:rPr>
          <w:rFonts w:ascii="Book Antiqua" w:hAnsi="Book Antiqua"/>
          <w:sz w:val="24"/>
          <w:szCs w:val="24"/>
        </w:rPr>
        <w:t xml:space="preserve"> T, </w:t>
      </w:r>
      <w:proofErr w:type="spellStart"/>
      <w:r w:rsidR="007D1269" w:rsidRPr="00B747CD">
        <w:rPr>
          <w:rFonts w:ascii="Book Antiqua" w:hAnsi="Book Antiqua"/>
          <w:sz w:val="24"/>
          <w:szCs w:val="24"/>
        </w:rPr>
        <w:t>Kuter</w:t>
      </w:r>
      <w:proofErr w:type="spellEnd"/>
      <w:r w:rsidR="007D1269" w:rsidRPr="00B747CD">
        <w:rPr>
          <w:rFonts w:ascii="Book Antiqua" w:hAnsi="Book Antiqua"/>
          <w:sz w:val="24"/>
          <w:szCs w:val="24"/>
        </w:rPr>
        <w:t xml:space="preserve"> DJ, Lim W, McCrae KR, Pruitt B, </w:t>
      </w:r>
      <w:proofErr w:type="spellStart"/>
      <w:r w:rsidR="007D1269" w:rsidRPr="00B747CD">
        <w:rPr>
          <w:rFonts w:ascii="Book Antiqua" w:hAnsi="Book Antiqua"/>
          <w:sz w:val="24"/>
          <w:szCs w:val="24"/>
        </w:rPr>
        <w:t>Shimanek</w:t>
      </w:r>
      <w:proofErr w:type="spellEnd"/>
      <w:r w:rsidR="007D1269" w:rsidRPr="00B747CD">
        <w:rPr>
          <w:rFonts w:ascii="Book Antiqua" w:hAnsi="Book Antiqua"/>
          <w:sz w:val="24"/>
          <w:szCs w:val="24"/>
        </w:rPr>
        <w:t xml:space="preserve"> H, </w:t>
      </w:r>
      <w:proofErr w:type="spellStart"/>
      <w:r w:rsidR="007D1269" w:rsidRPr="00B747CD">
        <w:rPr>
          <w:rFonts w:ascii="Book Antiqua" w:hAnsi="Book Antiqua"/>
          <w:sz w:val="24"/>
          <w:szCs w:val="24"/>
        </w:rPr>
        <w:t>Vesely</w:t>
      </w:r>
      <w:proofErr w:type="spellEnd"/>
      <w:r w:rsidR="007D1269" w:rsidRPr="00B747CD">
        <w:rPr>
          <w:rFonts w:ascii="Book Antiqua" w:hAnsi="Book Antiqua"/>
          <w:sz w:val="24"/>
          <w:szCs w:val="24"/>
        </w:rPr>
        <w:t xml:space="preserve"> SK. American Society of Hematology 2019 guidelines for immune thrombocytopenia. </w:t>
      </w:r>
      <w:r w:rsidR="007D1269" w:rsidRPr="00B747CD">
        <w:rPr>
          <w:rFonts w:ascii="Book Antiqua" w:hAnsi="Book Antiqua"/>
          <w:i/>
          <w:iCs/>
          <w:sz w:val="24"/>
          <w:szCs w:val="24"/>
        </w:rPr>
        <w:t>Blood Adv</w:t>
      </w:r>
      <w:r w:rsidR="007D1269" w:rsidRPr="00B747CD">
        <w:rPr>
          <w:rFonts w:ascii="Book Antiqua" w:hAnsi="Book Antiqua"/>
          <w:sz w:val="24"/>
          <w:szCs w:val="24"/>
        </w:rPr>
        <w:t xml:space="preserve"> 2019; </w:t>
      </w:r>
      <w:r w:rsidR="007D1269" w:rsidRPr="00B747CD">
        <w:rPr>
          <w:rFonts w:ascii="Book Antiqua" w:hAnsi="Book Antiqua"/>
          <w:b/>
          <w:bCs/>
          <w:sz w:val="24"/>
          <w:szCs w:val="24"/>
        </w:rPr>
        <w:t>3</w:t>
      </w:r>
      <w:r w:rsidR="007D1269" w:rsidRPr="00B747CD">
        <w:rPr>
          <w:rFonts w:ascii="Book Antiqua" w:hAnsi="Book Antiqua"/>
          <w:sz w:val="24"/>
          <w:szCs w:val="24"/>
        </w:rPr>
        <w:t>: 3829-3866 [PMID: 31794604 DOI: 10.1182/bloodadvances.2019000966]</w:t>
      </w:r>
    </w:p>
    <w:p w14:paraId="45462379" w14:textId="3A7DA564"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31 </w:t>
      </w:r>
      <w:proofErr w:type="spellStart"/>
      <w:r w:rsidR="007D1269" w:rsidRPr="00B747CD">
        <w:rPr>
          <w:rFonts w:ascii="Book Antiqua" w:hAnsi="Book Antiqua"/>
          <w:b/>
          <w:bCs/>
          <w:sz w:val="24"/>
          <w:szCs w:val="24"/>
        </w:rPr>
        <w:t>Provan</w:t>
      </w:r>
      <w:proofErr w:type="spellEnd"/>
      <w:r w:rsidR="007D1269" w:rsidRPr="00B747CD">
        <w:rPr>
          <w:rFonts w:ascii="Book Antiqua" w:hAnsi="Book Antiqua"/>
          <w:b/>
          <w:bCs/>
          <w:sz w:val="24"/>
          <w:szCs w:val="24"/>
        </w:rPr>
        <w:t xml:space="preserve"> D</w:t>
      </w:r>
      <w:r w:rsidR="007D1269" w:rsidRPr="00B747CD">
        <w:rPr>
          <w:rFonts w:ascii="Book Antiqua" w:hAnsi="Book Antiqua"/>
          <w:sz w:val="24"/>
          <w:szCs w:val="24"/>
        </w:rPr>
        <w:t xml:space="preserve">, Arnold DM, </w:t>
      </w:r>
      <w:proofErr w:type="spellStart"/>
      <w:r w:rsidR="007D1269" w:rsidRPr="00B747CD">
        <w:rPr>
          <w:rFonts w:ascii="Book Antiqua" w:hAnsi="Book Antiqua"/>
          <w:sz w:val="24"/>
          <w:szCs w:val="24"/>
        </w:rPr>
        <w:t>Bussel</w:t>
      </w:r>
      <w:proofErr w:type="spellEnd"/>
      <w:r w:rsidR="007D1269" w:rsidRPr="00B747CD">
        <w:rPr>
          <w:rFonts w:ascii="Book Antiqua" w:hAnsi="Book Antiqua"/>
          <w:sz w:val="24"/>
          <w:szCs w:val="24"/>
        </w:rPr>
        <w:t xml:space="preserve"> JB, Chong BH, Cooper N, </w:t>
      </w:r>
      <w:proofErr w:type="spellStart"/>
      <w:r w:rsidR="007D1269" w:rsidRPr="00B747CD">
        <w:rPr>
          <w:rFonts w:ascii="Book Antiqua" w:hAnsi="Book Antiqua"/>
          <w:sz w:val="24"/>
          <w:szCs w:val="24"/>
        </w:rPr>
        <w:t>Gernsheimer</w:t>
      </w:r>
      <w:proofErr w:type="spellEnd"/>
      <w:r w:rsidR="007D1269" w:rsidRPr="00B747CD">
        <w:rPr>
          <w:rFonts w:ascii="Book Antiqua" w:hAnsi="Book Antiqua"/>
          <w:sz w:val="24"/>
          <w:szCs w:val="24"/>
        </w:rPr>
        <w:t xml:space="preserve"> T, </w:t>
      </w:r>
      <w:proofErr w:type="spellStart"/>
      <w:r w:rsidR="007D1269" w:rsidRPr="00B747CD">
        <w:rPr>
          <w:rFonts w:ascii="Book Antiqua" w:hAnsi="Book Antiqua"/>
          <w:sz w:val="24"/>
          <w:szCs w:val="24"/>
        </w:rPr>
        <w:t>Ghanima</w:t>
      </w:r>
      <w:proofErr w:type="spellEnd"/>
      <w:r w:rsidR="007D1269" w:rsidRPr="00B747CD">
        <w:rPr>
          <w:rFonts w:ascii="Book Antiqua" w:hAnsi="Book Antiqua"/>
          <w:sz w:val="24"/>
          <w:szCs w:val="24"/>
        </w:rPr>
        <w:t xml:space="preserve"> W, </w:t>
      </w:r>
      <w:proofErr w:type="spellStart"/>
      <w:r w:rsidR="007D1269" w:rsidRPr="00B747CD">
        <w:rPr>
          <w:rFonts w:ascii="Book Antiqua" w:hAnsi="Book Antiqua"/>
          <w:sz w:val="24"/>
          <w:szCs w:val="24"/>
        </w:rPr>
        <w:t>Godeau</w:t>
      </w:r>
      <w:proofErr w:type="spellEnd"/>
      <w:r w:rsidR="007D1269" w:rsidRPr="00B747CD">
        <w:rPr>
          <w:rFonts w:ascii="Book Antiqua" w:hAnsi="Book Antiqua"/>
          <w:sz w:val="24"/>
          <w:szCs w:val="24"/>
        </w:rPr>
        <w:t xml:space="preserve"> B, González-López TJ, Grainger J, Hou M, Kruse C, McDonald V, Michel M, Newland AC, </w:t>
      </w:r>
      <w:proofErr w:type="spellStart"/>
      <w:r w:rsidR="007D1269" w:rsidRPr="00B747CD">
        <w:rPr>
          <w:rFonts w:ascii="Book Antiqua" w:hAnsi="Book Antiqua"/>
          <w:sz w:val="24"/>
          <w:szCs w:val="24"/>
        </w:rPr>
        <w:t>Pavord</w:t>
      </w:r>
      <w:proofErr w:type="spellEnd"/>
      <w:r w:rsidR="007D1269" w:rsidRPr="00B747CD">
        <w:rPr>
          <w:rFonts w:ascii="Book Antiqua" w:hAnsi="Book Antiqua"/>
          <w:sz w:val="24"/>
          <w:szCs w:val="24"/>
        </w:rPr>
        <w:t xml:space="preserve"> S, </w:t>
      </w:r>
      <w:proofErr w:type="spellStart"/>
      <w:r w:rsidR="007D1269" w:rsidRPr="00B747CD">
        <w:rPr>
          <w:rFonts w:ascii="Book Antiqua" w:hAnsi="Book Antiqua"/>
          <w:sz w:val="24"/>
          <w:szCs w:val="24"/>
        </w:rPr>
        <w:t>Rodeghiero</w:t>
      </w:r>
      <w:proofErr w:type="spellEnd"/>
      <w:r w:rsidR="007D1269" w:rsidRPr="00B747CD">
        <w:rPr>
          <w:rFonts w:ascii="Book Antiqua" w:hAnsi="Book Antiqua"/>
          <w:sz w:val="24"/>
          <w:szCs w:val="24"/>
        </w:rPr>
        <w:t xml:space="preserve"> F, Scully M, Tomiyama Y, Wong RS, </w:t>
      </w:r>
      <w:proofErr w:type="spellStart"/>
      <w:r w:rsidR="007D1269" w:rsidRPr="00B747CD">
        <w:rPr>
          <w:rFonts w:ascii="Book Antiqua" w:hAnsi="Book Antiqua"/>
          <w:sz w:val="24"/>
          <w:szCs w:val="24"/>
        </w:rPr>
        <w:t>Zaja</w:t>
      </w:r>
      <w:proofErr w:type="spellEnd"/>
      <w:r w:rsidR="007D1269" w:rsidRPr="00B747CD">
        <w:rPr>
          <w:rFonts w:ascii="Book Antiqua" w:hAnsi="Book Antiqua"/>
          <w:sz w:val="24"/>
          <w:szCs w:val="24"/>
        </w:rPr>
        <w:t xml:space="preserve"> F, </w:t>
      </w:r>
      <w:proofErr w:type="spellStart"/>
      <w:r w:rsidR="007D1269" w:rsidRPr="00B747CD">
        <w:rPr>
          <w:rFonts w:ascii="Book Antiqua" w:hAnsi="Book Antiqua"/>
          <w:sz w:val="24"/>
          <w:szCs w:val="24"/>
        </w:rPr>
        <w:t>Kuter</w:t>
      </w:r>
      <w:proofErr w:type="spellEnd"/>
      <w:r w:rsidR="007D1269" w:rsidRPr="00B747CD">
        <w:rPr>
          <w:rFonts w:ascii="Book Antiqua" w:hAnsi="Book Antiqua"/>
          <w:sz w:val="24"/>
          <w:szCs w:val="24"/>
        </w:rPr>
        <w:t xml:space="preserve"> DJ. Updated international consensus report on the investigation and management of primary immune thrombocytopenia. </w:t>
      </w:r>
      <w:r w:rsidR="007D1269" w:rsidRPr="00B747CD">
        <w:rPr>
          <w:rFonts w:ascii="Book Antiqua" w:hAnsi="Book Antiqua"/>
          <w:i/>
          <w:iCs/>
          <w:sz w:val="24"/>
          <w:szCs w:val="24"/>
        </w:rPr>
        <w:t>Blood Adv</w:t>
      </w:r>
      <w:r w:rsidR="007D1269" w:rsidRPr="00B747CD">
        <w:rPr>
          <w:rFonts w:ascii="Book Antiqua" w:hAnsi="Book Antiqua"/>
          <w:sz w:val="24"/>
          <w:szCs w:val="24"/>
        </w:rPr>
        <w:t xml:space="preserve"> 2019; </w:t>
      </w:r>
      <w:r w:rsidR="007D1269" w:rsidRPr="00B747CD">
        <w:rPr>
          <w:rFonts w:ascii="Book Antiqua" w:hAnsi="Book Antiqua"/>
          <w:b/>
          <w:bCs/>
          <w:sz w:val="24"/>
          <w:szCs w:val="24"/>
        </w:rPr>
        <w:t>3</w:t>
      </w:r>
      <w:r w:rsidR="007D1269" w:rsidRPr="00B747CD">
        <w:rPr>
          <w:rFonts w:ascii="Book Antiqua" w:hAnsi="Book Antiqua"/>
          <w:sz w:val="24"/>
          <w:szCs w:val="24"/>
        </w:rPr>
        <w:t>: 3780-3817 [PMID: 31770441 DOI: 10.1182/bloodadvances.2019000812]</w:t>
      </w:r>
    </w:p>
    <w:p w14:paraId="2ECBBAD1" w14:textId="44406073" w:rsidR="002E750F" w:rsidRPr="00B747CD" w:rsidRDefault="002E750F" w:rsidP="00B747CD">
      <w:pPr>
        <w:adjustRightInd w:val="0"/>
        <w:snapToGrid w:val="0"/>
        <w:spacing w:after="0" w:line="360" w:lineRule="auto"/>
        <w:jc w:val="both"/>
        <w:rPr>
          <w:rFonts w:ascii="Book Antiqua" w:hAnsi="Book Antiqua"/>
          <w:sz w:val="24"/>
          <w:szCs w:val="24"/>
          <w:lang w:eastAsia="zh-CN"/>
        </w:rPr>
      </w:pPr>
      <w:r w:rsidRPr="00B747CD">
        <w:rPr>
          <w:rFonts w:ascii="Book Antiqua" w:hAnsi="Book Antiqua"/>
          <w:sz w:val="24"/>
          <w:szCs w:val="24"/>
          <w:highlight w:val="yellow"/>
        </w:rPr>
        <w:t xml:space="preserve">32 </w:t>
      </w:r>
      <w:r w:rsidR="007D1269" w:rsidRPr="00B747CD">
        <w:rPr>
          <w:rFonts w:ascii="Book Antiqua" w:hAnsi="Book Antiqua"/>
          <w:b/>
          <w:sz w:val="24"/>
          <w:szCs w:val="24"/>
          <w:highlight w:val="yellow"/>
        </w:rPr>
        <w:t xml:space="preserve">National Institute for Health and Care </w:t>
      </w:r>
      <w:proofErr w:type="spellStart"/>
      <w:r w:rsidR="007D1269" w:rsidRPr="00B747CD">
        <w:rPr>
          <w:rFonts w:ascii="Book Antiqua" w:hAnsi="Book Antiqua"/>
          <w:b/>
          <w:sz w:val="24"/>
          <w:szCs w:val="24"/>
          <w:highlight w:val="yellow"/>
        </w:rPr>
        <w:t>Exellence</w:t>
      </w:r>
      <w:proofErr w:type="spellEnd"/>
      <w:r w:rsidRPr="00B747CD">
        <w:rPr>
          <w:rFonts w:ascii="Book Antiqua" w:hAnsi="Book Antiqua"/>
          <w:b/>
          <w:sz w:val="24"/>
          <w:szCs w:val="24"/>
          <w:highlight w:val="yellow"/>
        </w:rPr>
        <w:t xml:space="preserve">. </w:t>
      </w:r>
      <w:r w:rsidRPr="00B747CD">
        <w:rPr>
          <w:rFonts w:ascii="Book Antiqua" w:hAnsi="Book Antiqua"/>
          <w:sz w:val="24"/>
          <w:szCs w:val="24"/>
          <w:highlight w:val="yellow"/>
        </w:rPr>
        <w:t>Blood transfusion.</w:t>
      </w:r>
      <w:r w:rsidRPr="00B747CD">
        <w:rPr>
          <w:rFonts w:ascii="Book Antiqua" w:hAnsi="Book Antiqua"/>
          <w:b/>
          <w:sz w:val="24"/>
          <w:szCs w:val="24"/>
          <w:highlight w:val="yellow"/>
        </w:rPr>
        <w:t xml:space="preserve"> </w:t>
      </w:r>
      <w:r w:rsidR="007D1269" w:rsidRPr="00B747CD">
        <w:rPr>
          <w:rFonts w:ascii="Book Antiqua" w:hAnsi="Book Antiqua" w:cs="Arial"/>
          <w:bCs/>
          <w:sz w:val="24"/>
          <w:szCs w:val="24"/>
          <w:highlight w:val="yellow"/>
        </w:rPr>
        <w:t xml:space="preserve">Available from: </w:t>
      </w:r>
      <w:r w:rsidR="007D1269" w:rsidRPr="00B747CD">
        <w:rPr>
          <w:rFonts w:ascii="Book Antiqua" w:hAnsi="Book Antiqua"/>
          <w:sz w:val="24"/>
          <w:szCs w:val="24"/>
          <w:highlight w:val="yellow"/>
        </w:rPr>
        <w:t>https://www.nice.org.uk/guidance/ng24</w:t>
      </w:r>
      <w:r w:rsidR="007D1269" w:rsidRPr="00B747CD">
        <w:rPr>
          <w:rFonts w:ascii="Book Antiqua" w:hAnsi="Book Antiqua"/>
          <w:sz w:val="24"/>
          <w:szCs w:val="24"/>
          <w:lang w:eastAsia="zh-CN"/>
        </w:rPr>
        <w:t xml:space="preserve"> </w:t>
      </w:r>
    </w:p>
    <w:p w14:paraId="58CA9FF1"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lastRenderedPageBreak/>
        <w:t xml:space="preserve">33 </w:t>
      </w:r>
      <w:proofErr w:type="spellStart"/>
      <w:r w:rsidRPr="00B747CD">
        <w:rPr>
          <w:rFonts w:ascii="Book Antiqua" w:hAnsi="Book Antiqua"/>
          <w:b/>
          <w:sz w:val="24"/>
          <w:szCs w:val="24"/>
        </w:rPr>
        <w:t>Kurokawa</w:t>
      </w:r>
      <w:proofErr w:type="spellEnd"/>
      <w:r w:rsidRPr="00B747CD">
        <w:rPr>
          <w:rFonts w:ascii="Book Antiqua" w:hAnsi="Book Antiqua"/>
          <w:b/>
          <w:sz w:val="24"/>
          <w:szCs w:val="24"/>
        </w:rPr>
        <w:t xml:space="preserve"> T</w:t>
      </w:r>
      <w:r w:rsidRPr="00B747CD">
        <w:rPr>
          <w:rFonts w:ascii="Book Antiqua" w:hAnsi="Book Antiqua"/>
          <w:sz w:val="24"/>
          <w:szCs w:val="24"/>
        </w:rPr>
        <w:t xml:space="preserve">, </w:t>
      </w:r>
      <w:proofErr w:type="spellStart"/>
      <w:r w:rsidRPr="00B747CD">
        <w:rPr>
          <w:rFonts w:ascii="Book Antiqua" w:hAnsi="Book Antiqua"/>
          <w:sz w:val="24"/>
          <w:szCs w:val="24"/>
        </w:rPr>
        <w:t>Ohkohchi</w:t>
      </w:r>
      <w:proofErr w:type="spellEnd"/>
      <w:r w:rsidRPr="00B747CD">
        <w:rPr>
          <w:rFonts w:ascii="Book Antiqua" w:hAnsi="Book Antiqua"/>
          <w:sz w:val="24"/>
          <w:szCs w:val="24"/>
        </w:rPr>
        <w:t xml:space="preserve"> N. Platelets in liver disease, cancer and regeneration. </w:t>
      </w:r>
      <w:r w:rsidRPr="00B747CD">
        <w:rPr>
          <w:rFonts w:ascii="Book Antiqua" w:hAnsi="Book Antiqua"/>
          <w:i/>
          <w:sz w:val="24"/>
          <w:szCs w:val="24"/>
        </w:rPr>
        <w:t>World J Gastroenterol</w:t>
      </w:r>
      <w:r w:rsidRPr="00B747CD">
        <w:rPr>
          <w:rFonts w:ascii="Book Antiqua" w:hAnsi="Book Antiqua"/>
          <w:sz w:val="24"/>
          <w:szCs w:val="24"/>
        </w:rPr>
        <w:t xml:space="preserve"> 2017; </w:t>
      </w:r>
      <w:r w:rsidRPr="00B747CD">
        <w:rPr>
          <w:rFonts w:ascii="Book Antiqua" w:hAnsi="Book Antiqua"/>
          <w:b/>
          <w:sz w:val="24"/>
          <w:szCs w:val="24"/>
        </w:rPr>
        <w:t>23</w:t>
      </w:r>
      <w:r w:rsidRPr="00B747CD">
        <w:rPr>
          <w:rFonts w:ascii="Book Antiqua" w:hAnsi="Book Antiqua"/>
          <w:sz w:val="24"/>
          <w:szCs w:val="24"/>
        </w:rPr>
        <w:t>: 3228-3239 [PMID: 28566882 DOI: 10.3748/</w:t>
      </w:r>
      <w:proofErr w:type="gramStart"/>
      <w:r w:rsidRPr="00B747CD">
        <w:rPr>
          <w:rFonts w:ascii="Book Antiqua" w:hAnsi="Book Antiqua"/>
          <w:sz w:val="24"/>
          <w:szCs w:val="24"/>
        </w:rPr>
        <w:t>wjg.v23.i</w:t>
      </w:r>
      <w:proofErr w:type="gramEnd"/>
      <w:r w:rsidRPr="00B747CD">
        <w:rPr>
          <w:rFonts w:ascii="Book Antiqua" w:hAnsi="Book Antiqua"/>
          <w:sz w:val="24"/>
          <w:szCs w:val="24"/>
        </w:rPr>
        <w:t>18.3228]</w:t>
      </w:r>
    </w:p>
    <w:p w14:paraId="7066CD58"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34 </w:t>
      </w:r>
      <w:r w:rsidRPr="00B747CD">
        <w:rPr>
          <w:rFonts w:ascii="Book Antiqua" w:hAnsi="Book Antiqua"/>
          <w:b/>
          <w:sz w:val="24"/>
          <w:szCs w:val="24"/>
        </w:rPr>
        <w:t>Brown RS Jr</w:t>
      </w:r>
      <w:r w:rsidRPr="00B747CD">
        <w:rPr>
          <w:rFonts w:ascii="Book Antiqua" w:hAnsi="Book Antiqua"/>
          <w:sz w:val="24"/>
          <w:szCs w:val="24"/>
        </w:rPr>
        <w:t xml:space="preserve">. Review article: a pharmacoeconomic analysis of thrombocytopenia in chronic liver disease. </w:t>
      </w:r>
      <w:r w:rsidRPr="00B747CD">
        <w:rPr>
          <w:rFonts w:ascii="Book Antiqua" w:hAnsi="Book Antiqua"/>
          <w:i/>
          <w:sz w:val="24"/>
          <w:szCs w:val="24"/>
        </w:rPr>
        <w:t xml:space="preserve">Aliment </w:t>
      </w:r>
      <w:proofErr w:type="spellStart"/>
      <w:r w:rsidRPr="00B747CD">
        <w:rPr>
          <w:rFonts w:ascii="Book Antiqua" w:hAnsi="Book Antiqua"/>
          <w:i/>
          <w:sz w:val="24"/>
          <w:szCs w:val="24"/>
        </w:rPr>
        <w:t>Pharmacol</w:t>
      </w:r>
      <w:proofErr w:type="spellEnd"/>
      <w:r w:rsidRPr="00B747CD">
        <w:rPr>
          <w:rFonts w:ascii="Book Antiqua" w:hAnsi="Book Antiqua"/>
          <w:i/>
          <w:sz w:val="24"/>
          <w:szCs w:val="24"/>
        </w:rPr>
        <w:t xml:space="preserve"> </w:t>
      </w:r>
      <w:proofErr w:type="spellStart"/>
      <w:r w:rsidRPr="00B747CD">
        <w:rPr>
          <w:rFonts w:ascii="Book Antiqua" w:hAnsi="Book Antiqua"/>
          <w:i/>
          <w:sz w:val="24"/>
          <w:szCs w:val="24"/>
        </w:rPr>
        <w:t>Ther</w:t>
      </w:r>
      <w:proofErr w:type="spellEnd"/>
      <w:r w:rsidRPr="00B747CD">
        <w:rPr>
          <w:rFonts w:ascii="Book Antiqua" w:hAnsi="Book Antiqua"/>
          <w:sz w:val="24"/>
          <w:szCs w:val="24"/>
        </w:rPr>
        <w:t xml:space="preserve"> 2007; </w:t>
      </w:r>
      <w:r w:rsidRPr="00B747CD">
        <w:rPr>
          <w:rFonts w:ascii="Book Antiqua" w:hAnsi="Book Antiqua"/>
          <w:b/>
          <w:sz w:val="24"/>
          <w:szCs w:val="24"/>
        </w:rPr>
        <w:t>26 Suppl 1</w:t>
      </w:r>
      <w:r w:rsidRPr="00B747CD">
        <w:rPr>
          <w:rFonts w:ascii="Book Antiqua" w:hAnsi="Book Antiqua"/>
          <w:sz w:val="24"/>
          <w:szCs w:val="24"/>
        </w:rPr>
        <w:t>: 41-48 [PMID: 17958518 DOI: 10.1111/j.1365-2036.</w:t>
      </w:r>
      <w:proofErr w:type="gramStart"/>
      <w:r w:rsidRPr="00B747CD">
        <w:rPr>
          <w:rFonts w:ascii="Book Antiqua" w:hAnsi="Book Antiqua"/>
          <w:sz w:val="24"/>
          <w:szCs w:val="24"/>
        </w:rPr>
        <w:t>2007.03505.x</w:t>
      </w:r>
      <w:proofErr w:type="gramEnd"/>
      <w:r w:rsidRPr="00B747CD">
        <w:rPr>
          <w:rFonts w:ascii="Book Antiqua" w:hAnsi="Book Antiqua"/>
          <w:sz w:val="24"/>
          <w:szCs w:val="24"/>
        </w:rPr>
        <w:t>]</w:t>
      </w:r>
    </w:p>
    <w:p w14:paraId="32E09F48"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35 </w:t>
      </w:r>
      <w:r w:rsidRPr="00B747CD">
        <w:rPr>
          <w:rFonts w:ascii="Book Antiqua" w:hAnsi="Book Antiqua"/>
          <w:b/>
          <w:sz w:val="24"/>
          <w:szCs w:val="24"/>
        </w:rPr>
        <w:t>Ellingson KD</w:t>
      </w:r>
      <w:r w:rsidRPr="00B747CD">
        <w:rPr>
          <w:rFonts w:ascii="Book Antiqua" w:hAnsi="Book Antiqua"/>
          <w:sz w:val="24"/>
          <w:szCs w:val="24"/>
        </w:rPr>
        <w:t xml:space="preserve">, </w:t>
      </w:r>
      <w:proofErr w:type="spellStart"/>
      <w:r w:rsidRPr="00B747CD">
        <w:rPr>
          <w:rFonts w:ascii="Book Antiqua" w:hAnsi="Book Antiqua"/>
          <w:sz w:val="24"/>
          <w:szCs w:val="24"/>
        </w:rPr>
        <w:t>Sapiano</w:t>
      </w:r>
      <w:proofErr w:type="spellEnd"/>
      <w:r w:rsidRPr="00B747CD">
        <w:rPr>
          <w:rFonts w:ascii="Book Antiqua" w:hAnsi="Book Antiqua"/>
          <w:sz w:val="24"/>
          <w:szCs w:val="24"/>
        </w:rPr>
        <w:t xml:space="preserve"> MRP, </w:t>
      </w:r>
      <w:proofErr w:type="spellStart"/>
      <w:r w:rsidRPr="00B747CD">
        <w:rPr>
          <w:rFonts w:ascii="Book Antiqua" w:hAnsi="Book Antiqua"/>
          <w:sz w:val="24"/>
          <w:szCs w:val="24"/>
        </w:rPr>
        <w:t>Haass</w:t>
      </w:r>
      <w:proofErr w:type="spellEnd"/>
      <w:r w:rsidRPr="00B747CD">
        <w:rPr>
          <w:rFonts w:ascii="Book Antiqua" w:hAnsi="Book Antiqua"/>
          <w:sz w:val="24"/>
          <w:szCs w:val="24"/>
        </w:rPr>
        <w:t xml:space="preserve"> KA, </w:t>
      </w:r>
      <w:proofErr w:type="spellStart"/>
      <w:r w:rsidRPr="00B747CD">
        <w:rPr>
          <w:rFonts w:ascii="Book Antiqua" w:hAnsi="Book Antiqua"/>
          <w:sz w:val="24"/>
          <w:szCs w:val="24"/>
        </w:rPr>
        <w:t>Savinkina</w:t>
      </w:r>
      <w:proofErr w:type="spellEnd"/>
      <w:r w:rsidRPr="00B747CD">
        <w:rPr>
          <w:rFonts w:ascii="Book Antiqua" w:hAnsi="Book Antiqua"/>
          <w:sz w:val="24"/>
          <w:szCs w:val="24"/>
        </w:rPr>
        <w:t xml:space="preserve"> AA, Baker ML, Chung KW, Henry RA, Berger JJ, </w:t>
      </w:r>
      <w:proofErr w:type="spellStart"/>
      <w:r w:rsidRPr="00B747CD">
        <w:rPr>
          <w:rFonts w:ascii="Book Antiqua" w:hAnsi="Book Antiqua"/>
          <w:sz w:val="24"/>
          <w:szCs w:val="24"/>
        </w:rPr>
        <w:t>Kuehnert</w:t>
      </w:r>
      <w:proofErr w:type="spellEnd"/>
      <w:r w:rsidRPr="00B747CD">
        <w:rPr>
          <w:rFonts w:ascii="Book Antiqua" w:hAnsi="Book Antiqua"/>
          <w:sz w:val="24"/>
          <w:szCs w:val="24"/>
        </w:rPr>
        <w:t xml:space="preserve"> MJ, </w:t>
      </w:r>
      <w:proofErr w:type="spellStart"/>
      <w:r w:rsidRPr="00B747CD">
        <w:rPr>
          <w:rFonts w:ascii="Book Antiqua" w:hAnsi="Book Antiqua"/>
          <w:sz w:val="24"/>
          <w:szCs w:val="24"/>
        </w:rPr>
        <w:t>Basavaraju</w:t>
      </w:r>
      <w:proofErr w:type="spellEnd"/>
      <w:r w:rsidRPr="00B747CD">
        <w:rPr>
          <w:rFonts w:ascii="Book Antiqua" w:hAnsi="Book Antiqua"/>
          <w:sz w:val="24"/>
          <w:szCs w:val="24"/>
        </w:rPr>
        <w:t xml:space="preserve"> SV. Continued decline in blood collection and transfusion in the United States-2015. </w:t>
      </w:r>
      <w:r w:rsidRPr="00B747CD">
        <w:rPr>
          <w:rFonts w:ascii="Book Antiqua" w:hAnsi="Book Antiqua"/>
          <w:i/>
          <w:sz w:val="24"/>
          <w:szCs w:val="24"/>
        </w:rPr>
        <w:t>Transfusion</w:t>
      </w:r>
      <w:r w:rsidRPr="00B747CD">
        <w:rPr>
          <w:rFonts w:ascii="Book Antiqua" w:hAnsi="Book Antiqua"/>
          <w:sz w:val="24"/>
          <w:szCs w:val="24"/>
        </w:rPr>
        <w:t xml:space="preserve"> 2017; </w:t>
      </w:r>
      <w:r w:rsidRPr="00B747CD">
        <w:rPr>
          <w:rFonts w:ascii="Book Antiqua" w:hAnsi="Book Antiqua"/>
          <w:b/>
          <w:sz w:val="24"/>
          <w:szCs w:val="24"/>
        </w:rPr>
        <w:t>57 Suppl 2</w:t>
      </w:r>
      <w:r w:rsidRPr="00B747CD">
        <w:rPr>
          <w:rFonts w:ascii="Book Antiqua" w:hAnsi="Book Antiqua"/>
          <w:sz w:val="24"/>
          <w:szCs w:val="24"/>
        </w:rPr>
        <w:t>: 1588-1598 [PMID: 28591469 DOI: 10.1111/trf.14165]</w:t>
      </w:r>
    </w:p>
    <w:p w14:paraId="6E4B5FCD" w14:textId="77777777"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36 </w:t>
      </w:r>
      <w:proofErr w:type="spellStart"/>
      <w:r w:rsidRPr="00B747CD">
        <w:rPr>
          <w:rFonts w:ascii="Book Antiqua" w:hAnsi="Book Antiqua"/>
          <w:b/>
          <w:sz w:val="24"/>
          <w:szCs w:val="24"/>
        </w:rPr>
        <w:t>Nagrebetsky</w:t>
      </w:r>
      <w:proofErr w:type="spellEnd"/>
      <w:r w:rsidRPr="00B747CD">
        <w:rPr>
          <w:rFonts w:ascii="Book Antiqua" w:hAnsi="Book Antiqua"/>
          <w:b/>
          <w:sz w:val="24"/>
          <w:szCs w:val="24"/>
        </w:rPr>
        <w:t xml:space="preserve"> A</w:t>
      </w:r>
      <w:r w:rsidRPr="00B747CD">
        <w:rPr>
          <w:rFonts w:ascii="Book Antiqua" w:hAnsi="Book Antiqua"/>
          <w:sz w:val="24"/>
          <w:szCs w:val="24"/>
        </w:rPr>
        <w:t>, Al-</w:t>
      </w:r>
      <w:proofErr w:type="spellStart"/>
      <w:r w:rsidRPr="00B747CD">
        <w:rPr>
          <w:rFonts w:ascii="Book Antiqua" w:hAnsi="Book Antiqua"/>
          <w:sz w:val="24"/>
          <w:szCs w:val="24"/>
        </w:rPr>
        <w:t>Samkari</w:t>
      </w:r>
      <w:proofErr w:type="spellEnd"/>
      <w:r w:rsidRPr="00B747CD">
        <w:rPr>
          <w:rFonts w:ascii="Book Antiqua" w:hAnsi="Book Antiqua"/>
          <w:sz w:val="24"/>
          <w:szCs w:val="24"/>
        </w:rPr>
        <w:t xml:space="preserve"> H, Davis NM, </w:t>
      </w:r>
      <w:proofErr w:type="spellStart"/>
      <w:r w:rsidRPr="00B747CD">
        <w:rPr>
          <w:rFonts w:ascii="Book Antiqua" w:hAnsi="Book Antiqua"/>
          <w:sz w:val="24"/>
          <w:szCs w:val="24"/>
        </w:rPr>
        <w:t>Kuter</w:t>
      </w:r>
      <w:proofErr w:type="spellEnd"/>
      <w:r w:rsidRPr="00B747CD">
        <w:rPr>
          <w:rFonts w:ascii="Book Antiqua" w:hAnsi="Book Antiqua"/>
          <w:sz w:val="24"/>
          <w:szCs w:val="24"/>
        </w:rPr>
        <w:t xml:space="preserve"> DJ, Wiener-</w:t>
      </w:r>
      <w:proofErr w:type="spellStart"/>
      <w:r w:rsidRPr="00B747CD">
        <w:rPr>
          <w:rFonts w:ascii="Book Antiqua" w:hAnsi="Book Antiqua"/>
          <w:sz w:val="24"/>
          <w:szCs w:val="24"/>
        </w:rPr>
        <w:t>Kronish</w:t>
      </w:r>
      <w:proofErr w:type="spellEnd"/>
      <w:r w:rsidRPr="00B747CD">
        <w:rPr>
          <w:rFonts w:ascii="Book Antiqua" w:hAnsi="Book Antiqua"/>
          <w:sz w:val="24"/>
          <w:szCs w:val="24"/>
        </w:rPr>
        <w:t xml:space="preserve"> JP. Perioperative thrombocytopenia: evidence, evaluation, and emerging therapies. </w:t>
      </w:r>
      <w:r w:rsidRPr="00B747CD">
        <w:rPr>
          <w:rFonts w:ascii="Book Antiqua" w:hAnsi="Book Antiqua"/>
          <w:i/>
          <w:sz w:val="24"/>
          <w:szCs w:val="24"/>
        </w:rPr>
        <w:t xml:space="preserve">Br J </w:t>
      </w:r>
      <w:proofErr w:type="spellStart"/>
      <w:r w:rsidRPr="00B747CD">
        <w:rPr>
          <w:rFonts w:ascii="Book Antiqua" w:hAnsi="Book Antiqua"/>
          <w:i/>
          <w:sz w:val="24"/>
          <w:szCs w:val="24"/>
        </w:rPr>
        <w:t>Anaesth</w:t>
      </w:r>
      <w:proofErr w:type="spellEnd"/>
      <w:r w:rsidRPr="00B747CD">
        <w:rPr>
          <w:rFonts w:ascii="Book Antiqua" w:hAnsi="Book Antiqua"/>
          <w:sz w:val="24"/>
          <w:szCs w:val="24"/>
        </w:rPr>
        <w:t xml:space="preserve"> 2019; </w:t>
      </w:r>
      <w:r w:rsidRPr="00B747CD">
        <w:rPr>
          <w:rFonts w:ascii="Book Antiqua" w:hAnsi="Book Antiqua"/>
          <w:b/>
          <w:sz w:val="24"/>
          <w:szCs w:val="24"/>
        </w:rPr>
        <w:t>122</w:t>
      </w:r>
      <w:r w:rsidRPr="00B747CD">
        <w:rPr>
          <w:rFonts w:ascii="Book Antiqua" w:hAnsi="Book Antiqua"/>
          <w:sz w:val="24"/>
          <w:szCs w:val="24"/>
        </w:rPr>
        <w:t>: 19-31 [PMID: 30579402 DOI: 10.1016/j.bja.2018.09.010]</w:t>
      </w:r>
    </w:p>
    <w:p w14:paraId="5CA722B9" w14:textId="3FB36B8B" w:rsidR="002E750F" w:rsidRPr="00B747CD" w:rsidRDefault="002E750F" w:rsidP="00B747CD">
      <w:pPr>
        <w:adjustRightInd w:val="0"/>
        <w:snapToGrid w:val="0"/>
        <w:spacing w:after="0" w:line="360" w:lineRule="auto"/>
        <w:jc w:val="both"/>
        <w:rPr>
          <w:rFonts w:ascii="Book Antiqua" w:hAnsi="Book Antiqua"/>
          <w:sz w:val="24"/>
          <w:szCs w:val="24"/>
          <w:lang w:eastAsia="zh-CN"/>
        </w:rPr>
      </w:pPr>
      <w:r w:rsidRPr="00B747CD">
        <w:rPr>
          <w:rFonts w:ascii="Book Antiqua" w:hAnsi="Book Antiqua"/>
          <w:sz w:val="24"/>
          <w:szCs w:val="24"/>
          <w:highlight w:val="yellow"/>
        </w:rPr>
        <w:t>37</w:t>
      </w:r>
      <w:r w:rsidR="007D1269" w:rsidRPr="00B747CD">
        <w:rPr>
          <w:rFonts w:ascii="Book Antiqua" w:hAnsi="Book Antiqua"/>
          <w:b/>
          <w:sz w:val="24"/>
          <w:szCs w:val="24"/>
          <w:highlight w:val="yellow"/>
        </w:rPr>
        <w:t xml:space="preserve"> Elsevier.</w:t>
      </w:r>
      <w:r w:rsidR="007D1269" w:rsidRPr="00B747CD">
        <w:rPr>
          <w:rFonts w:ascii="Book Antiqua" w:hAnsi="Book Antiqua"/>
          <w:b/>
          <w:sz w:val="24"/>
          <w:szCs w:val="24"/>
          <w:highlight w:val="yellow"/>
          <w:lang w:eastAsia="zh-CN"/>
        </w:rPr>
        <w:t xml:space="preserve"> </w:t>
      </w:r>
      <w:proofErr w:type="spellStart"/>
      <w:r w:rsidRPr="00B747CD">
        <w:rPr>
          <w:rFonts w:ascii="Book Antiqua" w:hAnsi="Book Antiqua"/>
          <w:sz w:val="24"/>
          <w:szCs w:val="24"/>
          <w:highlight w:val="yellow"/>
        </w:rPr>
        <w:t>ProspectoRx</w:t>
      </w:r>
      <w:proofErr w:type="spellEnd"/>
      <w:r w:rsidRPr="00B747CD">
        <w:rPr>
          <w:rFonts w:ascii="Book Antiqua" w:hAnsi="Book Antiqua"/>
          <w:sz w:val="24"/>
          <w:szCs w:val="24"/>
          <w:highlight w:val="yellow"/>
        </w:rPr>
        <w:t xml:space="preserve">. </w:t>
      </w:r>
      <w:r w:rsidR="007D1269" w:rsidRPr="00B747CD">
        <w:rPr>
          <w:rFonts w:ascii="Book Antiqua" w:hAnsi="Book Antiqua" w:cs="Arial"/>
          <w:bCs/>
          <w:sz w:val="24"/>
          <w:szCs w:val="24"/>
          <w:highlight w:val="yellow"/>
        </w:rPr>
        <w:t xml:space="preserve">Available from: </w:t>
      </w:r>
      <w:r w:rsidRPr="00B747CD">
        <w:rPr>
          <w:rFonts w:ascii="Book Antiqua" w:hAnsi="Book Antiqua"/>
          <w:sz w:val="24"/>
          <w:szCs w:val="24"/>
          <w:highlight w:val="yellow"/>
        </w:rPr>
        <w:t>https://www.els</w:t>
      </w:r>
      <w:r w:rsidR="007D1269" w:rsidRPr="00B747CD">
        <w:rPr>
          <w:rFonts w:ascii="Book Antiqua" w:hAnsi="Book Antiqua"/>
          <w:sz w:val="24"/>
          <w:szCs w:val="24"/>
          <w:highlight w:val="yellow"/>
        </w:rPr>
        <w:t>evier.com/solutions/prospectorx</w:t>
      </w:r>
    </w:p>
    <w:p w14:paraId="12EBF897" w14:textId="11AFC492" w:rsidR="002E750F" w:rsidRPr="00B747CD" w:rsidRDefault="002E750F" w:rsidP="00B747CD">
      <w:pPr>
        <w:adjustRightInd w:val="0"/>
        <w:snapToGrid w:val="0"/>
        <w:spacing w:after="0" w:line="360" w:lineRule="auto"/>
        <w:jc w:val="both"/>
        <w:rPr>
          <w:rFonts w:ascii="Book Antiqua" w:hAnsi="Book Antiqua"/>
          <w:sz w:val="24"/>
          <w:szCs w:val="24"/>
        </w:rPr>
      </w:pPr>
      <w:r w:rsidRPr="00B747CD">
        <w:rPr>
          <w:rFonts w:ascii="Book Antiqua" w:hAnsi="Book Antiqua"/>
          <w:sz w:val="24"/>
          <w:szCs w:val="24"/>
        </w:rPr>
        <w:t xml:space="preserve">38 </w:t>
      </w:r>
      <w:proofErr w:type="spellStart"/>
      <w:r w:rsidRPr="00B747CD">
        <w:rPr>
          <w:rFonts w:ascii="Book Antiqua" w:hAnsi="Book Antiqua"/>
          <w:b/>
          <w:sz w:val="24"/>
          <w:szCs w:val="24"/>
        </w:rPr>
        <w:t>Basu</w:t>
      </w:r>
      <w:proofErr w:type="spellEnd"/>
      <w:r w:rsidRPr="00B747CD">
        <w:rPr>
          <w:rFonts w:ascii="Book Antiqua" w:hAnsi="Book Antiqua"/>
          <w:b/>
          <w:sz w:val="24"/>
          <w:szCs w:val="24"/>
        </w:rPr>
        <w:t xml:space="preserve"> PP NT,</w:t>
      </w:r>
      <w:r w:rsidR="007D1269" w:rsidRPr="00B747CD">
        <w:rPr>
          <w:rFonts w:ascii="Book Antiqua" w:hAnsi="Book Antiqua"/>
          <w:sz w:val="24"/>
          <w:szCs w:val="24"/>
        </w:rPr>
        <w:t xml:space="preserve"> </w:t>
      </w:r>
      <w:r w:rsidRPr="00B747CD">
        <w:rPr>
          <w:rFonts w:ascii="Book Antiqua" w:hAnsi="Book Antiqua"/>
          <w:sz w:val="24"/>
          <w:szCs w:val="24"/>
        </w:rPr>
        <w:t xml:space="preserve">Farhat S, James Shah N, Jafri M, </w:t>
      </w:r>
      <w:proofErr w:type="spellStart"/>
      <w:r w:rsidRPr="00B747CD">
        <w:rPr>
          <w:rFonts w:ascii="Book Antiqua" w:hAnsi="Book Antiqua"/>
          <w:sz w:val="24"/>
          <w:szCs w:val="24"/>
        </w:rPr>
        <w:t>Foustin</w:t>
      </w:r>
      <w:proofErr w:type="spellEnd"/>
      <w:r w:rsidRPr="00B747CD">
        <w:rPr>
          <w:rFonts w:ascii="Book Antiqua" w:hAnsi="Book Antiqua"/>
          <w:sz w:val="24"/>
          <w:szCs w:val="24"/>
        </w:rPr>
        <w:t xml:space="preserve"> S. Single use of romiplostim thrombopoietin analogue in severe thrombocytopenia for outpatient percutaneous liver biopsy in patients with chronic liver disease-A randomized double blinded prospective trial. </w:t>
      </w:r>
      <w:r w:rsidRPr="00B747CD">
        <w:rPr>
          <w:rFonts w:ascii="Book Antiqua" w:hAnsi="Book Antiqua"/>
          <w:i/>
          <w:sz w:val="24"/>
          <w:szCs w:val="24"/>
        </w:rPr>
        <w:t>J Hepatol</w:t>
      </w:r>
      <w:r w:rsidR="007D1269" w:rsidRPr="00B747CD">
        <w:rPr>
          <w:rFonts w:ascii="Book Antiqua" w:hAnsi="Book Antiqua"/>
          <w:sz w:val="24"/>
          <w:szCs w:val="24"/>
        </w:rPr>
        <w:t>.</w:t>
      </w:r>
      <w:r w:rsidRPr="00B747CD">
        <w:rPr>
          <w:rFonts w:ascii="Book Antiqua" w:hAnsi="Book Antiqua"/>
          <w:sz w:val="24"/>
          <w:szCs w:val="24"/>
        </w:rPr>
        <w:t>2012;</w:t>
      </w:r>
      <w:r w:rsidR="007D1269" w:rsidRPr="00B747CD">
        <w:rPr>
          <w:rFonts w:ascii="Book Antiqua" w:hAnsi="Book Antiqua"/>
          <w:sz w:val="24"/>
          <w:szCs w:val="24"/>
          <w:lang w:eastAsia="zh-CN"/>
        </w:rPr>
        <w:t xml:space="preserve"> </w:t>
      </w:r>
      <w:r w:rsidRPr="00B747CD">
        <w:rPr>
          <w:rFonts w:ascii="Book Antiqua" w:hAnsi="Book Antiqua"/>
          <w:b/>
          <w:sz w:val="24"/>
          <w:szCs w:val="24"/>
        </w:rPr>
        <w:t>56</w:t>
      </w:r>
      <w:r w:rsidR="007D1269" w:rsidRPr="00B747CD">
        <w:rPr>
          <w:rFonts w:ascii="Book Antiqua" w:hAnsi="Book Antiqua"/>
          <w:b/>
          <w:sz w:val="24"/>
          <w:szCs w:val="24"/>
          <w:lang w:eastAsia="zh-CN"/>
        </w:rPr>
        <w:t>:</w:t>
      </w:r>
      <w:r w:rsidR="007D1269" w:rsidRPr="00B747CD">
        <w:rPr>
          <w:rFonts w:ascii="Book Antiqua" w:hAnsi="Book Antiqua"/>
          <w:sz w:val="24"/>
          <w:szCs w:val="24"/>
        </w:rPr>
        <w:t xml:space="preserve"> </w:t>
      </w:r>
      <w:r w:rsidR="007D1269" w:rsidRPr="00B747CD">
        <w:rPr>
          <w:rFonts w:ascii="Book Antiqua" w:hAnsi="Book Antiqua"/>
          <w:sz w:val="24"/>
          <w:szCs w:val="24"/>
          <w:lang w:eastAsia="zh-CN"/>
        </w:rPr>
        <w:t>S38</w:t>
      </w:r>
      <w:r w:rsidRPr="00B747CD">
        <w:rPr>
          <w:rFonts w:ascii="Book Antiqua" w:hAnsi="Book Antiqua"/>
          <w:sz w:val="24"/>
          <w:szCs w:val="24"/>
        </w:rPr>
        <w:t xml:space="preserve"> [DOI: 10.1016/S0168-8278(12)60101-9]</w:t>
      </w:r>
    </w:p>
    <w:p w14:paraId="0562C3A9" w14:textId="0C6BC974" w:rsidR="00037B32" w:rsidRPr="00B747CD" w:rsidRDefault="002E750F" w:rsidP="00B747CD">
      <w:pPr>
        <w:adjustRightInd w:val="0"/>
        <w:snapToGrid w:val="0"/>
        <w:spacing w:after="0" w:line="360" w:lineRule="auto"/>
        <w:jc w:val="both"/>
        <w:rPr>
          <w:rFonts w:ascii="Book Antiqua" w:hAnsi="Book Antiqua"/>
          <w:sz w:val="24"/>
          <w:szCs w:val="24"/>
          <w:lang w:eastAsia="zh-CN"/>
        </w:rPr>
      </w:pPr>
      <w:r w:rsidRPr="00B747CD">
        <w:rPr>
          <w:rFonts w:ascii="Book Antiqua" w:hAnsi="Book Antiqua"/>
          <w:sz w:val="24"/>
          <w:szCs w:val="24"/>
        </w:rPr>
        <w:t xml:space="preserve">39 </w:t>
      </w:r>
      <w:r w:rsidRPr="00B747CD">
        <w:rPr>
          <w:rFonts w:ascii="Book Antiqua" w:hAnsi="Book Antiqua"/>
          <w:b/>
          <w:sz w:val="24"/>
          <w:szCs w:val="24"/>
        </w:rPr>
        <w:t>Marshall AL</w:t>
      </w:r>
      <w:r w:rsidRPr="00B747CD">
        <w:rPr>
          <w:rFonts w:ascii="Book Antiqua" w:hAnsi="Book Antiqua"/>
          <w:sz w:val="24"/>
          <w:szCs w:val="24"/>
        </w:rPr>
        <w:t xml:space="preserve">, </w:t>
      </w:r>
      <w:proofErr w:type="spellStart"/>
      <w:r w:rsidRPr="00B747CD">
        <w:rPr>
          <w:rFonts w:ascii="Book Antiqua" w:hAnsi="Book Antiqua"/>
          <w:sz w:val="24"/>
          <w:szCs w:val="24"/>
        </w:rPr>
        <w:t>Goodarzi</w:t>
      </w:r>
      <w:proofErr w:type="spellEnd"/>
      <w:r w:rsidRPr="00B747CD">
        <w:rPr>
          <w:rFonts w:ascii="Book Antiqua" w:hAnsi="Book Antiqua"/>
          <w:sz w:val="24"/>
          <w:szCs w:val="24"/>
        </w:rPr>
        <w:t xml:space="preserve"> K, </w:t>
      </w:r>
      <w:proofErr w:type="spellStart"/>
      <w:r w:rsidRPr="00B747CD">
        <w:rPr>
          <w:rFonts w:ascii="Book Antiqua" w:hAnsi="Book Antiqua"/>
          <w:sz w:val="24"/>
          <w:szCs w:val="24"/>
        </w:rPr>
        <w:t>Kuter</w:t>
      </w:r>
      <w:proofErr w:type="spellEnd"/>
      <w:r w:rsidRPr="00B747CD">
        <w:rPr>
          <w:rFonts w:ascii="Book Antiqua" w:hAnsi="Book Antiqua"/>
          <w:sz w:val="24"/>
          <w:szCs w:val="24"/>
        </w:rPr>
        <w:t xml:space="preserve"> DJ. Romiplostim in the management of the thrombocytopenic surgical patient. </w:t>
      </w:r>
      <w:r w:rsidRPr="00B747CD">
        <w:rPr>
          <w:rFonts w:ascii="Book Antiqua" w:hAnsi="Book Antiqua"/>
          <w:i/>
          <w:sz w:val="24"/>
          <w:szCs w:val="24"/>
        </w:rPr>
        <w:t>Transfusion</w:t>
      </w:r>
      <w:r w:rsidRPr="00B747CD">
        <w:rPr>
          <w:rFonts w:ascii="Book Antiqua" w:hAnsi="Book Antiqua"/>
          <w:sz w:val="24"/>
          <w:szCs w:val="24"/>
        </w:rPr>
        <w:t xml:space="preserve"> 2015; </w:t>
      </w:r>
      <w:r w:rsidRPr="00B747CD">
        <w:rPr>
          <w:rFonts w:ascii="Book Antiqua" w:hAnsi="Book Antiqua"/>
          <w:b/>
          <w:sz w:val="24"/>
          <w:szCs w:val="24"/>
        </w:rPr>
        <w:t>55</w:t>
      </w:r>
      <w:r w:rsidRPr="00B747CD">
        <w:rPr>
          <w:rFonts w:ascii="Book Antiqua" w:hAnsi="Book Antiqua"/>
          <w:sz w:val="24"/>
          <w:szCs w:val="24"/>
        </w:rPr>
        <w:t>: 2505-2510 [PMID: 2</w:t>
      </w:r>
      <w:r w:rsidR="007D1269" w:rsidRPr="00B747CD">
        <w:rPr>
          <w:rFonts w:ascii="Book Antiqua" w:hAnsi="Book Antiqua"/>
          <w:sz w:val="24"/>
          <w:szCs w:val="24"/>
        </w:rPr>
        <w:t>6033367 DOI: 10.1111/trf.13181]</w:t>
      </w:r>
    </w:p>
    <w:p w14:paraId="37195111" w14:textId="77777777" w:rsidR="00037B32" w:rsidRPr="00B747CD" w:rsidRDefault="00037B32" w:rsidP="00B747CD">
      <w:pPr>
        <w:adjustRightInd w:val="0"/>
        <w:snapToGrid w:val="0"/>
        <w:spacing w:after="0" w:line="360" w:lineRule="auto"/>
        <w:jc w:val="both"/>
        <w:rPr>
          <w:rFonts w:ascii="Book Antiqua" w:hAnsi="Book Antiqua" w:cs="Arial"/>
          <w:b/>
          <w:bCs/>
          <w:color w:val="000000" w:themeColor="text1"/>
          <w:sz w:val="24"/>
          <w:szCs w:val="24"/>
        </w:rPr>
      </w:pPr>
      <w:r w:rsidRPr="00B747CD">
        <w:rPr>
          <w:rFonts w:ascii="Book Antiqua" w:hAnsi="Book Antiqua" w:cs="Arial"/>
          <w:b/>
          <w:bCs/>
          <w:color w:val="000000" w:themeColor="text1"/>
          <w:sz w:val="24"/>
          <w:szCs w:val="24"/>
        </w:rPr>
        <w:br w:type="page"/>
      </w:r>
    </w:p>
    <w:p w14:paraId="29055DBA" w14:textId="6C69EF96" w:rsidR="00B744D9" w:rsidRPr="00B747CD" w:rsidRDefault="00B744D9" w:rsidP="00B747CD">
      <w:pPr>
        <w:adjustRightInd w:val="0"/>
        <w:snapToGrid w:val="0"/>
        <w:spacing w:after="0" w:line="360" w:lineRule="auto"/>
        <w:jc w:val="both"/>
        <w:rPr>
          <w:rFonts w:ascii="Book Antiqua" w:hAnsi="Book Antiqua" w:cs="Arial"/>
          <w:b/>
          <w:bCs/>
          <w:color w:val="000000" w:themeColor="text1"/>
          <w:sz w:val="24"/>
          <w:szCs w:val="24"/>
        </w:rPr>
      </w:pPr>
      <w:r w:rsidRPr="00B747CD">
        <w:rPr>
          <w:rFonts w:ascii="Book Antiqua" w:hAnsi="Book Antiqua" w:cs="Arial"/>
          <w:b/>
          <w:bCs/>
          <w:color w:val="000000" w:themeColor="text1"/>
          <w:sz w:val="24"/>
          <w:szCs w:val="24"/>
        </w:rPr>
        <w:lastRenderedPageBreak/>
        <w:t>Footnotes</w:t>
      </w:r>
    </w:p>
    <w:p w14:paraId="5B82752E" w14:textId="247EE934" w:rsidR="002C1C2F" w:rsidRPr="00B747CD" w:rsidRDefault="002C1C2F" w:rsidP="00B747CD">
      <w:pPr>
        <w:adjustRightInd w:val="0"/>
        <w:snapToGrid w:val="0"/>
        <w:spacing w:after="0" w:line="360" w:lineRule="auto"/>
        <w:jc w:val="both"/>
        <w:rPr>
          <w:rFonts w:ascii="Book Antiqua" w:hAnsi="Book Antiqua" w:cs="Arial"/>
          <w:color w:val="000000" w:themeColor="text1"/>
          <w:sz w:val="24"/>
          <w:szCs w:val="24"/>
          <w:lang w:eastAsia="zh-CN"/>
        </w:rPr>
      </w:pPr>
      <w:r w:rsidRPr="00B747CD">
        <w:rPr>
          <w:rFonts w:ascii="Book Antiqua" w:hAnsi="Book Antiqua" w:cs="Arial"/>
          <w:b/>
          <w:bCs/>
          <w:color w:val="000000" w:themeColor="text1"/>
          <w:sz w:val="24"/>
          <w:szCs w:val="24"/>
        </w:rPr>
        <w:t>Conflict of interest statement</w:t>
      </w:r>
      <w:r w:rsidRPr="00B747CD">
        <w:rPr>
          <w:rFonts w:ascii="Book Antiqua" w:hAnsi="Book Antiqua" w:cs="Arial"/>
          <w:color w:val="000000" w:themeColor="text1"/>
          <w:sz w:val="24"/>
          <w:szCs w:val="24"/>
        </w:rPr>
        <w:t>: Both authors</w:t>
      </w:r>
      <w:r w:rsidR="00037B32" w:rsidRPr="00B747CD">
        <w:rPr>
          <w:rFonts w:ascii="Book Antiqua" w:hAnsi="Book Antiqua" w:cs="Arial"/>
          <w:color w:val="000000" w:themeColor="text1"/>
          <w:sz w:val="24"/>
          <w:szCs w:val="24"/>
        </w:rPr>
        <w:t xml:space="preserve"> report no conflict of interest</w:t>
      </w:r>
      <w:r w:rsidR="00037B32" w:rsidRPr="00B747CD">
        <w:rPr>
          <w:rFonts w:ascii="Book Antiqua" w:hAnsi="Book Antiqua" w:cs="Arial"/>
          <w:color w:val="000000" w:themeColor="text1"/>
          <w:sz w:val="24"/>
          <w:szCs w:val="24"/>
          <w:lang w:eastAsia="zh-CN"/>
        </w:rPr>
        <w:t>.</w:t>
      </w:r>
    </w:p>
    <w:p w14:paraId="1AD52FB3" w14:textId="77777777" w:rsidR="00D5754C" w:rsidRPr="00B747CD" w:rsidRDefault="00D5754C" w:rsidP="00B747CD">
      <w:pPr>
        <w:adjustRightInd w:val="0"/>
        <w:snapToGrid w:val="0"/>
        <w:spacing w:after="0" w:line="360" w:lineRule="auto"/>
        <w:jc w:val="both"/>
        <w:rPr>
          <w:rFonts w:ascii="Book Antiqua" w:hAnsi="Book Antiqua"/>
          <w:b/>
          <w:color w:val="000000" w:themeColor="text1"/>
          <w:sz w:val="24"/>
          <w:szCs w:val="24"/>
          <w:lang w:val="en-GB"/>
        </w:rPr>
      </w:pPr>
      <w:bookmarkStart w:id="1" w:name="OLE_LINK507"/>
      <w:bookmarkStart w:id="2" w:name="OLE_LINK506"/>
      <w:bookmarkStart w:id="3" w:name="OLE_LINK496"/>
      <w:bookmarkStart w:id="4" w:name="OLE_LINK479"/>
      <w:bookmarkStart w:id="5" w:name="OLE_LINK171"/>
      <w:bookmarkStart w:id="6" w:name="OLE_LINK172"/>
      <w:bookmarkStart w:id="7" w:name="OLE_LINK323"/>
    </w:p>
    <w:bookmarkEnd w:id="1"/>
    <w:bookmarkEnd w:id="2"/>
    <w:bookmarkEnd w:id="3"/>
    <w:bookmarkEnd w:id="4"/>
    <w:bookmarkEnd w:id="5"/>
    <w:bookmarkEnd w:id="6"/>
    <w:bookmarkEnd w:id="7"/>
    <w:p w14:paraId="2FCD5D96" w14:textId="77777777" w:rsidR="00037B32" w:rsidRPr="00B747CD" w:rsidRDefault="00037B32" w:rsidP="00B747CD">
      <w:pPr>
        <w:adjustRightInd w:val="0"/>
        <w:snapToGrid w:val="0"/>
        <w:spacing w:after="0" w:line="360" w:lineRule="auto"/>
        <w:jc w:val="both"/>
        <w:rPr>
          <w:rFonts w:ascii="Book Antiqua" w:hAnsi="Book Antiqua" w:cs="宋体"/>
          <w:color w:val="000000" w:themeColor="text1"/>
          <w:sz w:val="24"/>
          <w:szCs w:val="24"/>
          <w:lang w:eastAsia="zh-CN"/>
        </w:rPr>
      </w:pPr>
      <w:r w:rsidRPr="00B747CD">
        <w:rPr>
          <w:rFonts w:ascii="Book Antiqua" w:hAnsi="Book Antiqua"/>
          <w:b/>
          <w:color w:val="000000" w:themeColor="text1"/>
          <w:sz w:val="24"/>
          <w:szCs w:val="24"/>
        </w:rPr>
        <w:t>Open-Access:</w:t>
      </w:r>
      <w:r w:rsidRPr="00B747CD">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B747CD">
        <w:rPr>
          <w:rFonts w:ascii="Book Antiqua" w:hAnsi="Book Antiqua"/>
          <w:color w:val="000000" w:themeColor="text1"/>
          <w:sz w:val="24"/>
          <w:szCs w:val="24"/>
        </w:rPr>
        <w:t>NonCommercial</w:t>
      </w:r>
      <w:proofErr w:type="spellEnd"/>
      <w:r w:rsidRPr="00B747CD">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552721" w14:textId="5B3E68E8" w:rsidR="00B744D9" w:rsidRPr="00B747CD" w:rsidRDefault="00B744D9" w:rsidP="00B747CD">
      <w:pPr>
        <w:adjustRightInd w:val="0"/>
        <w:snapToGrid w:val="0"/>
        <w:spacing w:after="0" w:line="360" w:lineRule="auto"/>
        <w:jc w:val="both"/>
        <w:rPr>
          <w:rFonts w:ascii="Book Antiqua" w:hAnsi="Book Antiqua"/>
          <w:color w:val="000000" w:themeColor="text1"/>
          <w:sz w:val="24"/>
          <w:szCs w:val="24"/>
        </w:rPr>
      </w:pPr>
    </w:p>
    <w:p w14:paraId="28A07E91" w14:textId="38749A6D" w:rsidR="00B744D9" w:rsidRPr="00B747CD" w:rsidRDefault="00B744D9" w:rsidP="00B747CD">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747CD">
        <w:rPr>
          <w:rFonts w:ascii="Book Antiqua" w:eastAsia="宋体" w:hAnsi="Book Antiqua" w:cs="Arial"/>
          <w:b/>
          <w:color w:val="000000" w:themeColor="text1"/>
          <w:sz w:val="24"/>
          <w:szCs w:val="24"/>
        </w:rPr>
        <w:t>Manuscript source:</w:t>
      </w:r>
      <w:r w:rsidRPr="00B747CD">
        <w:rPr>
          <w:rFonts w:ascii="Book Antiqua" w:eastAsia="宋体" w:hAnsi="Book Antiqua" w:cs="Arial"/>
          <w:color w:val="000000" w:themeColor="text1"/>
          <w:sz w:val="24"/>
          <w:szCs w:val="24"/>
        </w:rPr>
        <w:t> </w:t>
      </w:r>
      <w:r w:rsidRPr="00B747CD">
        <w:rPr>
          <w:rFonts w:ascii="Book Antiqua" w:hAnsi="Book Antiqua" w:cs="Arial"/>
          <w:color w:val="000000" w:themeColor="text1"/>
          <w:sz w:val="24"/>
          <w:szCs w:val="24"/>
          <w:shd w:val="clear" w:color="auto" w:fill="FFFFFF"/>
        </w:rPr>
        <w:t xml:space="preserve">Unsolicited manuscript </w:t>
      </w:r>
    </w:p>
    <w:p w14:paraId="1383CA62" w14:textId="77777777" w:rsidR="00D5754C" w:rsidRPr="00B747CD" w:rsidRDefault="00D5754C" w:rsidP="00B747CD">
      <w:pPr>
        <w:adjustRightInd w:val="0"/>
        <w:snapToGrid w:val="0"/>
        <w:spacing w:after="0" w:line="360" w:lineRule="auto"/>
        <w:jc w:val="both"/>
        <w:rPr>
          <w:rFonts w:ascii="Book Antiqua" w:hAnsi="Book Antiqua"/>
          <w:color w:val="000000" w:themeColor="text1"/>
          <w:sz w:val="24"/>
          <w:szCs w:val="24"/>
        </w:rPr>
      </w:pPr>
    </w:p>
    <w:p w14:paraId="41F7BE69" w14:textId="3772FB76" w:rsidR="00D5754C" w:rsidRPr="00B747CD" w:rsidRDefault="00D5754C" w:rsidP="00B747CD">
      <w:pPr>
        <w:adjustRightInd w:val="0"/>
        <w:snapToGrid w:val="0"/>
        <w:spacing w:after="0" w:line="360" w:lineRule="auto"/>
        <w:jc w:val="both"/>
        <w:rPr>
          <w:rFonts w:ascii="Book Antiqua" w:hAnsi="Book Antiqua"/>
          <w:b/>
          <w:color w:val="000000" w:themeColor="text1"/>
          <w:sz w:val="24"/>
          <w:szCs w:val="24"/>
          <w:lang w:eastAsia="zh-CN"/>
        </w:rPr>
      </w:pPr>
      <w:r w:rsidRPr="00B747CD">
        <w:rPr>
          <w:rFonts w:ascii="Book Antiqua" w:hAnsi="Book Antiqua"/>
          <w:b/>
          <w:color w:val="000000" w:themeColor="text1"/>
          <w:sz w:val="24"/>
          <w:szCs w:val="24"/>
        </w:rPr>
        <w:t xml:space="preserve">Peer-review started: </w:t>
      </w:r>
      <w:r w:rsidR="00037B32" w:rsidRPr="00B747CD">
        <w:rPr>
          <w:rFonts w:ascii="Book Antiqua" w:hAnsi="Book Antiqua"/>
          <w:color w:val="000000" w:themeColor="text1"/>
          <w:sz w:val="24"/>
          <w:szCs w:val="24"/>
          <w:lang w:eastAsia="zh-CN"/>
        </w:rPr>
        <w:t>March 2, 2020</w:t>
      </w:r>
    </w:p>
    <w:p w14:paraId="58508D72" w14:textId="55422BCC" w:rsidR="00D5754C" w:rsidRPr="00B747CD" w:rsidRDefault="00D5754C" w:rsidP="00B747CD">
      <w:pPr>
        <w:adjustRightInd w:val="0"/>
        <w:snapToGrid w:val="0"/>
        <w:spacing w:after="0" w:line="360" w:lineRule="auto"/>
        <w:jc w:val="both"/>
        <w:rPr>
          <w:rFonts w:ascii="Book Antiqua" w:hAnsi="Book Antiqua"/>
          <w:b/>
          <w:color w:val="000000" w:themeColor="text1"/>
          <w:sz w:val="24"/>
          <w:szCs w:val="24"/>
          <w:lang w:eastAsia="zh-CN"/>
        </w:rPr>
      </w:pPr>
      <w:r w:rsidRPr="00B747CD">
        <w:rPr>
          <w:rFonts w:ascii="Book Antiqua" w:hAnsi="Book Antiqua"/>
          <w:b/>
          <w:color w:val="000000" w:themeColor="text1"/>
          <w:sz w:val="24"/>
          <w:szCs w:val="24"/>
        </w:rPr>
        <w:t xml:space="preserve">First decision: </w:t>
      </w:r>
      <w:r w:rsidR="00037B32" w:rsidRPr="00B747CD">
        <w:rPr>
          <w:rFonts w:ascii="Book Antiqua" w:hAnsi="Book Antiqua"/>
          <w:color w:val="000000" w:themeColor="text1"/>
          <w:sz w:val="24"/>
          <w:szCs w:val="24"/>
          <w:lang w:eastAsia="zh-CN"/>
        </w:rPr>
        <w:t>April 24, 2020</w:t>
      </w:r>
    </w:p>
    <w:p w14:paraId="254F3D4F" w14:textId="77777777" w:rsidR="00D5754C" w:rsidRPr="00B747CD" w:rsidRDefault="00D5754C" w:rsidP="00B747CD">
      <w:pPr>
        <w:adjustRightInd w:val="0"/>
        <w:snapToGrid w:val="0"/>
        <w:spacing w:after="0" w:line="360" w:lineRule="auto"/>
        <w:jc w:val="both"/>
        <w:rPr>
          <w:rFonts w:ascii="Book Antiqua" w:hAnsi="Book Antiqua"/>
          <w:b/>
          <w:color w:val="000000" w:themeColor="text1"/>
          <w:sz w:val="24"/>
          <w:szCs w:val="24"/>
        </w:rPr>
      </w:pPr>
      <w:r w:rsidRPr="00B747CD">
        <w:rPr>
          <w:rFonts w:ascii="Book Antiqua" w:hAnsi="Book Antiqua"/>
          <w:b/>
          <w:color w:val="000000" w:themeColor="text1"/>
          <w:sz w:val="24"/>
          <w:szCs w:val="24"/>
        </w:rPr>
        <w:t>Article in press:</w:t>
      </w:r>
    </w:p>
    <w:p w14:paraId="6BEFD2F1" w14:textId="77777777" w:rsidR="00D5754C" w:rsidRPr="00B747CD" w:rsidRDefault="00D5754C" w:rsidP="00B747CD">
      <w:pPr>
        <w:adjustRightInd w:val="0"/>
        <w:snapToGrid w:val="0"/>
        <w:spacing w:after="0" w:line="360" w:lineRule="auto"/>
        <w:jc w:val="both"/>
        <w:rPr>
          <w:rFonts w:ascii="Book Antiqua" w:hAnsi="Book Antiqua"/>
          <w:b/>
          <w:color w:val="000000" w:themeColor="text1"/>
          <w:sz w:val="24"/>
          <w:szCs w:val="24"/>
        </w:rPr>
      </w:pPr>
    </w:p>
    <w:p w14:paraId="6A7C602F" w14:textId="789B235D" w:rsidR="00D5754C" w:rsidRPr="00B747CD" w:rsidRDefault="00D5754C" w:rsidP="00B747CD">
      <w:pPr>
        <w:adjustRightInd w:val="0"/>
        <w:snapToGrid w:val="0"/>
        <w:spacing w:after="0" w:line="360" w:lineRule="auto"/>
        <w:jc w:val="both"/>
        <w:rPr>
          <w:rFonts w:ascii="Book Antiqua" w:hAnsi="Book Antiqua"/>
          <w:b/>
          <w:color w:val="000000" w:themeColor="text1"/>
          <w:sz w:val="24"/>
          <w:szCs w:val="24"/>
        </w:rPr>
      </w:pPr>
      <w:r w:rsidRPr="00B747CD">
        <w:rPr>
          <w:rFonts w:ascii="Book Antiqua" w:hAnsi="Book Antiqua"/>
          <w:b/>
          <w:color w:val="000000" w:themeColor="text1"/>
          <w:sz w:val="24"/>
          <w:szCs w:val="24"/>
        </w:rPr>
        <w:t xml:space="preserve">Specialty type: </w:t>
      </w:r>
      <w:r w:rsidR="00037B32" w:rsidRPr="00B747CD">
        <w:rPr>
          <w:rFonts w:ascii="Book Antiqua" w:eastAsia="微软雅黑" w:hAnsi="Book Antiqua" w:cs="宋体"/>
          <w:color w:val="000000" w:themeColor="text1"/>
          <w:sz w:val="24"/>
          <w:szCs w:val="24"/>
        </w:rPr>
        <w:t>Medicine, research and experimental</w:t>
      </w:r>
    </w:p>
    <w:p w14:paraId="4082D5FF" w14:textId="45A00D55" w:rsidR="00D5754C" w:rsidRPr="00B747CD" w:rsidRDefault="00D5754C" w:rsidP="00B747CD">
      <w:pPr>
        <w:adjustRightInd w:val="0"/>
        <w:snapToGrid w:val="0"/>
        <w:spacing w:after="0" w:line="360" w:lineRule="auto"/>
        <w:jc w:val="both"/>
        <w:rPr>
          <w:rFonts w:ascii="Book Antiqua" w:hAnsi="Book Antiqua"/>
          <w:b/>
          <w:color w:val="000000" w:themeColor="text1"/>
          <w:sz w:val="24"/>
          <w:szCs w:val="24"/>
        </w:rPr>
      </w:pPr>
      <w:r w:rsidRPr="00B747CD">
        <w:rPr>
          <w:rFonts w:ascii="Book Antiqua" w:hAnsi="Book Antiqua"/>
          <w:b/>
          <w:color w:val="000000" w:themeColor="text1"/>
          <w:sz w:val="24"/>
          <w:szCs w:val="24"/>
        </w:rPr>
        <w:t xml:space="preserve">Country of origin: </w:t>
      </w:r>
      <w:r w:rsidR="00037B32" w:rsidRPr="00B747CD">
        <w:rPr>
          <w:rFonts w:ascii="Book Antiqua" w:hAnsi="Book Antiqua"/>
          <w:color w:val="000000" w:themeColor="text1"/>
          <w:sz w:val="24"/>
          <w:szCs w:val="24"/>
        </w:rPr>
        <w:t>United States</w:t>
      </w:r>
    </w:p>
    <w:p w14:paraId="76587931" w14:textId="77777777" w:rsidR="00D5754C" w:rsidRPr="00B747CD" w:rsidRDefault="00D5754C" w:rsidP="00B747CD">
      <w:pPr>
        <w:adjustRightInd w:val="0"/>
        <w:snapToGrid w:val="0"/>
        <w:spacing w:after="0" w:line="360" w:lineRule="auto"/>
        <w:jc w:val="both"/>
        <w:rPr>
          <w:rFonts w:ascii="Book Antiqua" w:hAnsi="Book Antiqua"/>
          <w:b/>
          <w:color w:val="000000" w:themeColor="text1"/>
          <w:sz w:val="24"/>
          <w:szCs w:val="24"/>
        </w:rPr>
      </w:pPr>
      <w:r w:rsidRPr="00B747CD">
        <w:rPr>
          <w:rFonts w:ascii="Book Antiqua" w:hAnsi="Book Antiqua"/>
          <w:b/>
          <w:color w:val="000000" w:themeColor="text1"/>
          <w:sz w:val="24"/>
          <w:szCs w:val="24"/>
        </w:rPr>
        <w:t>Peer-review report classification</w:t>
      </w:r>
    </w:p>
    <w:p w14:paraId="3B2E39AC" w14:textId="46517F25" w:rsidR="00D5754C" w:rsidRPr="00B747CD" w:rsidRDefault="00D5754C" w:rsidP="00B747CD">
      <w:pPr>
        <w:adjustRightInd w:val="0"/>
        <w:snapToGrid w:val="0"/>
        <w:spacing w:after="0" w:line="360" w:lineRule="auto"/>
        <w:jc w:val="both"/>
        <w:rPr>
          <w:rFonts w:ascii="Book Antiqua" w:hAnsi="Book Antiqua"/>
          <w:color w:val="000000" w:themeColor="text1"/>
          <w:sz w:val="24"/>
          <w:szCs w:val="24"/>
          <w:lang w:eastAsia="zh-CN"/>
        </w:rPr>
      </w:pPr>
      <w:r w:rsidRPr="00B747CD">
        <w:rPr>
          <w:rFonts w:ascii="Book Antiqua" w:hAnsi="Book Antiqua"/>
          <w:color w:val="000000" w:themeColor="text1"/>
          <w:sz w:val="24"/>
          <w:szCs w:val="24"/>
        </w:rPr>
        <w:t>Grade A (Excellent):</w:t>
      </w:r>
      <w:r w:rsidR="00037B32" w:rsidRPr="00B747CD">
        <w:rPr>
          <w:rFonts w:ascii="Book Antiqua" w:hAnsi="Book Antiqua"/>
          <w:color w:val="000000" w:themeColor="text1"/>
          <w:sz w:val="24"/>
          <w:szCs w:val="24"/>
          <w:lang w:eastAsia="zh-CN"/>
        </w:rPr>
        <w:t xml:space="preserve"> 0</w:t>
      </w:r>
    </w:p>
    <w:p w14:paraId="77675279" w14:textId="4F640E3B" w:rsidR="00D5754C" w:rsidRPr="00B747CD" w:rsidRDefault="00D5754C" w:rsidP="00B747CD">
      <w:pPr>
        <w:adjustRightInd w:val="0"/>
        <w:snapToGrid w:val="0"/>
        <w:spacing w:after="0" w:line="360" w:lineRule="auto"/>
        <w:jc w:val="both"/>
        <w:rPr>
          <w:rFonts w:ascii="Book Antiqua" w:hAnsi="Book Antiqua"/>
          <w:color w:val="000000" w:themeColor="text1"/>
          <w:sz w:val="24"/>
          <w:szCs w:val="24"/>
          <w:lang w:eastAsia="zh-CN"/>
        </w:rPr>
      </w:pPr>
      <w:r w:rsidRPr="00B747CD">
        <w:rPr>
          <w:rFonts w:ascii="Book Antiqua" w:hAnsi="Book Antiqua"/>
          <w:color w:val="000000" w:themeColor="text1"/>
          <w:sz w:val="24"/>
          <w:szCs w:val="24"/>
        </w:rPr>
        <w:t>Grade B (Very good):</w:t>
      </w:r>
      <w:r w:rsidR="00037B32" w:rsidRPr="00B747CD">
        <w:rPr>
          <w:rFonts w:ascii="Book Antiqua" w:hAnsi="Book Antiqua"/>
          <w:color w:val="000000" w:themeColor="text1"/>
          <w:sz w:val="24"/>
          <w:szCs w:val="24"/>
          <w:lang w:eastAsia="zh-CN"/>
        </w:rPr>
        <w:t xml:space="preserve"> 0</w:t>
      </w:r>
    </w:p>
    <w:p w14:paraId="51D3E7BD" w14:textId="506B76DE" w:rsidR="00D5754C" w:rsidRPr="00B747CD" w:rsidRDefault="00D5754C" w:rsidP="00B747CD">
      <w:pPr>
        <w:adjustRightInd w:val="0"/>
        <w:snapToGrid w:val="0"/>
        <w:spacing w:after="0" w:line="360" w:lineRule="auto"/>
        <w:jc w:val="both"/>
        <w:rPr>
          <w:rFonts w:ascii="Book Antiqua" w:hAnsi="Book Antiqua"/>
          <w:color w:val="000000" w:themeColor="text1"/>
          <w:sz w:val="24"/>
          <w:szCs w:val="24"/>
          <w:lang w:eastAsia="zh-CN"/>
        </w:rPr>
      </w:pPr>
      <w:r w:rsidRPr="00B747CD">
        <w:rPr>
          <w:rFonts w:ascii="Book Antiqua" w:hAnsi="Book Antiqua"/>
          <w:color w:val="000000" w:themeColor="text1"/>
          <w:sz w:val="24"/>
          <w:szCs w:val="24"/>
        </w:rPr>
        <w:t>Grade C (Good):</w:t>
      </w:r>
      <w:r w:rsidR="00037B32" w:rsidRPr="00B747CD">
        <w:rPr>
          <w:rFonts w:ascii="Book Antiqua" w:hAnsi="Book Antiqua"/>
          <w:color w:val="000000" w:themeColor="text1"/>
          <w:sz w:val="24"/>
          <w:szCs w:val="24"/>
          <w:lang w:eastAsia="zh-CN"/>
        </w:rPr>
        <w:t xml:space="preserve"> C</w:t>
      </w:r>
    </w:p>
    <w:p w14:paraId="496E1A32" w14:textId="598FA509" w:rsidR="00D5754C" w:rsidRPr="00B747CD" w:rsidRDefault="00D5754C" w:rsidP="00B747CD">
      <w:pPr>
        <w:adjustRightInd w:val="0"/>
        <w:snapToGrid w:val="0"/>
        <w:spacing w:after="0" w:line="360" w:lineRule="auto"/>
        <w:jc w:val="both"/>
        <w:rPr>
          <w:rFonts w:ascii="Book Antiqua" w:hAnsi="Book Antiqua"/>
          <w:color w:val="000000" w:themeColor="text1"/>
          <w:sz w:val="24"/>
          <w:szCs w:val="24"/>
          <w:lang w:eastAsia="zh-CN"/>
        </w:rPr>
      </w:pPr>
      <w:r w:rsidRPr="00B747CD">
        <w:rPr>
          <w:rFonts w:ascii="Book Antiqua" w:hAnsi="Book Antiqua"/>
          <w:color w:val="000000" w:themeColor="text1"/>
          <w:sz w:val="24"/>
          <w:szCs w:val="24"/>
        </w:rPr>
        <w:t>Grade D (Fair):</w:t>
      </w:r>
      <w:r w:rsidR="00037B32" w:rsidRPr="00B747CD">
        <w:rPr>
          <w:rFonts w:ascii="Book Antiqua" w:hAnsi="Book Antiqua"/>
          <w:color w:val="000000" w:themeColor="text1"/>
          <w:sz w:val="24"/>
          <w:szCs w:val="24"/>
          <w:lang w:eastAsia="zh-CN"/>
        </w:rPr>
        <w:t xml:space="preserve"> D</w:t>
      </w:r>
    </w:p>
    <w:p w14:paraId="1FEFD685" w14:textId="06566179" w:rsidR="00D5754C" w:rsidRPr="00B747CD" w:rsidRDefault="00D5754C" w:rsidP="00B747CD">
      <w:pPr>
        <w:adjustRightInd w:val="0"/>
        <w:snapToGrid w:val="0"/>
        <w:spacing w:after="0" w:line="360" w:lineRule="auto"/>
        <w:jc w:val="both"/>
        <w:rPr>
          <w:rFonts w:ascii="Book Antiqua" w:hAnsi="Book Antiqua"/>
          <w:color w:val="000000" w:themeColor="text1"/>
          <w:sz w:val="24"/>
          <w:szCs w:val="24"/>
          <w:lang w:eastAsia="zh-CN"/>
        </w:rPr>
      </w:pPr>
      <w:r w:rsidRPr="00B747CD">
        <w:rPr>
          <w:rFonts w:ascii="Book Antiqua" w:hAnsi="Book Antiqua"/>
          <w:color w:val="000000" w:themeColor="text1"/>
          <w:sz w:val="24"/>
          <w:szCs w:val="24"/>
        </w:rPr>
        <w:t>Grade E (Poor):</w:t>
      </w:r>
      <w:r w:rsidR="00037B32" w:rsidRPr="00B747CD">
        <w:rPr>
          <w:rFonts w:ascii="Book Antiqua" w:hAnsi="Book Antiqua"/>
          <w:color w:val="000000" w:themeColor="text1"/>
          <w:sz w:val="24"/>
          <w:szCs w:val="24"/>
          <w:lang w:eastAsia="zh-CN"/>
        </w:rPr>
        <w:t xml:space="preserve"> 0</w:t>
      </w:r>
    </w:p>
    <w:p w14:paraId="4F056470" w14:textId="77777777" w:rsidR="00D5754C" w:rsidRPr="00B747CD" w:rsidRDefault="00D5754C" w:rsidP="00B747CD">
      <w:pPr>
        <w:adjustRightInd w:val="0"/>
        <w:snapToGrid w:val="0"/>
        <w:spacing w:after="0" w:line="360" w:lineRule="auto"/>
        <w:jc w:val="both"/>
        <w:rPr>
          <w:rFonts w:ascii="Book Antiqua" w:hAnsi="Book Antiqua"/>
          <w:b/>
          <w:color w:val="000000" w:themeColor="text1"/>
          <w:sz w:val="24"/>
          <w:szCs w:val="24"/>
        </w:rPr>
      </w:pPr>
    </w:p>
    <w:p w14:paraId="1CEAF867" w14:textId="47E43945" w:rsidR="00D5754C" w:rsidRPr="00B747CD" w:rsidRDefault="00B747CD" w:rsidP="00B747CD">
      <w:pPr>
        <w:adjustRightInd w:val="0"/>
        <w:snapToGrid w:val="0"/>
        <w:spacing w:after="0" w:line="360" w:lineRule="auto"/>
        <w:jc w:val="both"/>
        <w:rPr>
          <w:rFonts w:ascii="Book Antiqua" w:hAnsi="Book Antiqua"/>
          <w:b/>
          <w:color w:val="000000" w:themeColor="text1"/>
          <w:sz w:val="24"/>
          <w:szCs w:val="24"/>
        </w:rPr>
      </w:pPr>
      <w:r w:rsidRPr="00B747CD">
        <w:rPr>
          <w:rFonts w:ascii="Book Antiqua" w:hAnsi="Book Antiqua"/>
          <w:b/>
          <w:color w:val="000000" w:themeColor="text1"/>
          <w:sz w:val="24"/>
          <w:szCs w:val="24"/>
        </w:rPr>
        <w:t xml:space="preserve">P-Reviewer: </w:t>
      </w:r>
      <w:r w:rsidR="00801DF3" w:rsidRPr="00B747CD">
        <w:rPr>
          <w:rFonts w:ascii="Book Antiqua" w:hAnsi="Book Antiqua"/>
          <w:color w:val="000000" w:themeColor="text1"/>
          <w:sz w:val="24"/>
          <w:szCs w:val="24"/>
        </w:rPr>
        <w:t>Ding</w:t>
      </w:r>
      <w:r w:rsidR="00801DF3" w:rsidRPr="00B747CD">
        <w:rPr>
          <w:rFonts w:ascii="Book Antiqua" w:hAnsi="Book Antiqua"/>
          <w:color w:val="000000" w:themeColor="text1"/>
          <w:sz w:val="24"/>
          <w:szCs w:val="24"/>
          <w:lang w:eastAsia="zh-CN"/>
        </w:rPr>
        <w:t xml:space="preserve"> MX</w:t>
      </w:r>
      <w:r w:rsidR="00801DF3">
        <w:rPr>
          <w:rFonts w:ascii="Book Antiqua" w:hAnsi="Book Antiqua"/>
          <w:color w:val="000000" w:themeColor="text1"/>
          <w:sz w:val="24"/>
          <w:szCs w:val="24"/>
        </w:rPr>
        <w:t xml:space="preserve">, </w:t>
      </w:r>
      <w:r w:rsidR="00037B32" w:rsidRPr="00B747CD">
        <w:rPr>
          <w:rFonts w:ascii="Book Antiqua" w:hAnsi="Book Antiqua"/>
          <w:color w:val="000000" w:themeColor="text1"/>
          <w:sz w:val="24"/>
          <w:szCs w:val="24"/>
        </w:rPr>
        <w:t>Moretti</w:t>
      </w:r>
      <w:r w:rsidR="00037B32" w:rsidRPr="00B747CD">
        <w:rPr>
          <w:rFonts w:ascii="Book Antiqua" w:hAnsi="Book Antiqua"/>
          <w:b/>
          <w:color w:val="000000" w:themeColor="text1"/>
          <w:sz w:val="24"/>
          <w:szCs w:val="24"/>
        </w:rPr>
        <w:t xml:space="preserve"> </w:t>
      </w:r>
      <w:r w:rsidR="00037B32" w:rsidRPr="00B747CD">
        <w:rPr>
          <w:rFonts w:ascii="Book Antiqua" w:hAnsi="Book Antiqua"/>
          <w:color w:val="000000" w:themeColor="text1"/>
          <w:sz w:val="24"/>
          <w:szCs w:val="24"/>
          <w:lang w:eastAsia="zh-CN"/>
        </w:rPr>
        <w:t>R</w:t>
      </w:r>
      <w:r w:rsidR="00801DF3">
        <w:rPr>
          <w:rFonts w:ascii="Book Antiqua" w:hAnsi="Book Antiqua"/>
          <w:color w:val="000000" w:themeColor="text1"/>
          <w:sz w:val="24"/>
          <w:szCs w:val="24"/>
          <w:lang w:eastAsia="zh-CN"/>
        </w:rPr>
        <w:t xml:space="preserve"> </w:t>
      </w:r>
      <w:r w:rsidRPr="00B747CD">
        <w:rPr>
          <w:rFonts w:ascii="Book Antiqua" w:hAnsi="Book Antiqua"/>
          <w:b/>
          <w:color w:val="000000" w:themeColor="text1"/>
          <w:sz w:val="24"/>
          <w:szCs w:val="24"/>
        </w:rPr>
        <w:t xml:space="preserve">S-Editor: </w:t>
      </w:r>
      <w:r w:rsidR="00037B32" w:rsidRPr="00B747CD">
        <w:rPr>
          <w:rFonts w:ascii="Book Antiqua" w:hAnsi="Book Antiqua"/>
          <w:color w:val="000000" w:themeColor="text1"/>
          <w:sz w:val="24"/>
          <w:szCs w:val="24"/>
          <w:lang w:eastAsia="zh-CN"/>
        </w:rPr>
        <w:t>Wang JL</w:t>
      </w:r>
      <w:r w:rsidR="00037B32" w:rsidRPr="00B747CD">
        <w:rPr>
          <w:rFonts w:ascii="Book Antiqua" w:hAnsi="Book Antiqua"/>
          <w:b/>
          <w:color w:val="000000" w:themeColor="text1"/>
          <w:sz w:val="24"/>
          <w:szCs w:val="24"/>
          <w:lang w:eastAsia="zh-CN"/>
        </w:rPr>
        <w:t xml:space="preserve"> </w:t>
      </w:r>
      <w:r w:rsidRPr="00B747CD">
        <w:rPr>
          <w:rFonts w:ascii="Book Antiqua" w:hAnsi="Book Antiqua"/>
          <w:b/>
          <w:color w:val="000000" w:themeColor="text1"/>
          <w:sz w:val="24"/>
          <w:szCs w:val="24"/>
        </w:rPr>
        <w:t xml:space="preserve">L-Editor: </w:t>
      </w:r>
      <w:r w:rsidR="00D5754C" w:rsidRPr="00B747CD">
        <w:rPr>
          <w:rFonts w:ascii="Book Antiqua" w:hAnsi="Book Antiqua"/>
          <w:b/>
          <w:color w:val="000000" w:themeColor="text1"/>
          <w:sz w:val="24"/>
          <w:szCs w:val="24"/>
        </w:rPr>
        <w:t>E-Editor:</w:t>
      </w:r>
    </w:p>
    <w:p w14:paraId="6F464CE6" w14:textId="5585857D" w:rsidR="0089274F" w:rsidRPr="00B747CD" w:rsidRDefault="0089274F" w:rsidP="00B747CD">
      <w:pPr>
        <w:pStyle w:val="EndNoteBibliography"/>
        <w:adjustRightInd w:val="0"/>
        <w:snapToGrid w:val="0"/>
        <w:spacing w:after="0" w:line="360" w:lineRule="auto"/>
        <w:ind w:left="720" w:hanging="720"/>
        <w:jc w:val="both"/>
        <w:rPr>
          <w:rFonts w:ascii="Book Antiqua" w:hAnsi="Book Antiqua"/>
          <w:noProof w:val="0"/>
          <w:color w:val="000000" w:themeColor="text1"/>
          <w:sz w:val="24"/>
          <w:szCs w:val="24"/>
        </w:rPr>
      </w:pPr>
      <w:r w:rsidRPr="00B747CD">
        <w:rPr>
          <w:rFonts w:ascii="Book Antiqua" w:hAnsi="Book Antiqua"/>
          <w:noProof w:val="0"/>
          <w:color w:val="000000" w:themeColor="text1"/>
          <w:sz w:val="24"/>
          <w:szCs w:val="24"/>
        </w:rPr>
        <w:br w:type="page"/>
      </w:r>
    </w:p>
    <w:p w14:paraId="639D965E" w14:textId="77777777" w:rsidR="002D3936" w:rsidRPr="00B747CD" w:rsidRDefault="002D3936" w:rsidP="00B747CD">
      <w:pPr>
        <w:adjustRightInd w:val="0"/>
        <w:snapToGrid w:val="0"/>
        <w:spacing w:after="0" w:line="360" w:lineRule="auto"/>
        <w:jc w:val="both"/>
        <w:rPr>
          <w:rFonts w:ascii="Book Antiqua" w:hAnsi="Book Antiqua" w:cs="Arial"/>
          <w:noProof/>
          <w:color w:val="000000" w:themeColor="text1"/>
          <w:sz w:val="24"/>
          <w:szCs w:val="24"/>
          <w:lang w:eastAsia="zh-CN"/>
        </w:rPr>
      </w:pPr>
      <w:r w:rsidRPr="00B747CD">
        <w:rPr>
          <w:rFonts w:ascii="Book Antiqua" w:hAnsi="Book Antiqua"/>
          <w:b/>
          <w:color w:val="000000" w:themeColor="text1"/>
          <w:sz w:val="24"/>
          <w:szCs w:val="24"/>
        </w:rPr>
        <w:lastRenderedPageBreak/>
        <w:t>Figure Legends</w:t>
      </w:r>
      <w:r w:rsidRPr="00B747CD">
        <w:rPr>
          <w:rFonts w:ascii="Book Antiqua" w:hAnsi="Book Antiqua" w:cs="Arial"/>
          <w:noProof/>
          <w:color w:val="000000" w:themeColor="text1"/>
          <w:sz w:val="24"/>
          <w:szCs w:val="24"/>
          <w:lang w:eastAsia="zh-CN"/>
        </w:rPr>
        <w:t xml:space="preserve"> </w:t>
      </w:r>
    </w:p>
    <w:p w14:paraId="053DFAE5" w14:textId="2F9E7329" w:rsidR="00C73D6C" w:rsidRPr="00B747CD" w:rsidRDefault="00755051" w:rsidP="00B747CD">
      <w:pPr>
        <w:adjustRightInd w:val="0"/>
        <w:snapToGrid w:val="0"/>
        <w:spacing w:after="0" w:line="360" w:lineRule="auto"/>
        <w:jc w:val="both"/>
        <w:rPr>
          <w:rFonts w:ascii="Book Antiqua" w:hAnsi="Book Antiqua" w:cs="Arial"/>
          <w:color w:val="000000" w:themeColor="text1"/>
          <w:sz w:val="24"/>
          <w:szCs w:val="24"/>
        </w:rPr>
      </w:pPr>
      <w:r w:rsidRPr="00B747CD">
        <w:rPr>
          <w:rFonts w:ascii="Book Antiqua" w:hAnsi="Book Antiqua" w:cs="Arial"/>
          <w:noProof/>
          <w:color w:val="000000" w:themeColor="text1"/>
          <w:sz w:val="24"/>
          <w:szCs w:val="24"/>
          <w:lang w:eastAsia="zh-CN"/>
        </w:rPr>
        <mc:AlternateContent>
          <mc:Choice Requires="wps">
            <w:drawing>
              <wp:anchor distT="0" distB="0" distL="114300" distR="114300" simplePos="0" relativeHeight="251660288" behindDoc="0" locked="0" layoutInCell="1" allowOverlap="1" wp14:anchorId="53C082A5" wp14:editId="656990FD">
                <wp:simplePos x="0" y="0"/>
                <wp:positionH relativeFrom="column">
                  <wp:posOffset>2331508</wp:posOffset>
                </wp:positionH>
                <wp:positionV relativeFrom="paragraph">
                  <wp:posOffset>273050</wp:posOffset>
                </wp:positionV>
                <wp:extent cx="5416868" cy="369332"/>
                <wp:effectExtent l="0" t="0" r="0" b="0"/>
                <wp:wrapNone/>
                <wp:docPr id="28" name="TextBox 27">
                  <a:extLst xmlns:a="http://schemas.openxmlformats.org/drawingml/2006/main">
                    <a:ext uri="{FF2B5EF4-FFF2-40B4-BE49-F238E27FC236}">
                      <a16:creationId xmlns:a16="http://schemas.microsoft.com/office/drawing/2014/main" id="{F064ECEB-9C36-6C43-B3D1-13F8B56693A4}"/>
                    </a:ext>
                  </a:extLst>
                </wp:docPr>
                <wp:cNvGraphicFramePr/>
                <a:graphic xmlns:a="http://schemas.openxmlformats.org/drawingml/2006/main">
                  <a:graphicData uri="http://schemas.microsoft.com/office/word/2010/wordprocessingShape">
                    <wps:wsp>
                      <wps:cNvSpPr txBox="1"/>
                      <wps:spPr>
                        <a:xfrm>
                          <a:off x="0" y="0"/>
                          <a:ext cx="5416868" cy="369332"/>
                        </a:xfrm>
                        <a:prstGeom prst="rect">
                          <a:avLst/>
                        </a:prstGeom>
                        <a:noFill/>
                      </wps:spPr>
                      <wps:txbx>
                        <w:txbxContent>
                          <w:p w14:paraId="57EE7BD1" w14:textId="77777777" w:rsidR="00A94344" w:rsidRPr="00AC4B7D" w:rsidRDefault="00A94344" w:rsidP="00755051">
                            <w:pPr>
                              <w:rPr>
                                <w:sz w:val="24"/>
                                <w:szCs w:val="24"/>
                              </w:rPr>
                            </w:pPr>
                            <w:r w:rsidRPr="00F10A59">
                              <w:rPr>
                                <w:rFonts w:ascii="Book Antiqua" w:hAnsi="Book Antiqua"/>
                                <w:b/>
                                <w:bCs/>
                                <w:color w:val="000000" w:themeColor="text1"/>
                                <w:kern w:val="24"/>
                                <w:sz w:val="24"/>
                                <w:szCs w:val="24"/>
                              </w:rPr>
                              <w:t>Dosing and timing of administration of TPO-RAs</w:t>
                            </w:r>
                          </w:p>
                        </w:txbxContent>
                      </wps:txbx>
                      <wps:bodyPr wrap="none" rtlCol="0">
                        <a:spAutoFit/>
                      </wps:bodyPr>
                    </wps:wsp>
                  </a:graphicData>
                </a:graphic>
              </wp:anchor>
            </w:drawing>
          </mc:Choice>
          <mc:Fallback>
            <w:pict>
              <v:shapetype w14:anchorId="53C082A5" id="_x0000_t202" coordsize="21600,21600" o:spt="202" path="m,l,21600r21600,l21600,xe">
                <v:stroke joinstyle="miter"/>
                <v:path gradientshapeok="t" o:connecttype="rect"/>
              </v:shapetype>
              <v:shape id="TextBox 27" o:spid="_x0000_s1026" type="#_x0000_t202" style="position:absolute;left:0;text-align:left;margin-left:183.6pt;margin-top:21.5pt;width:426.55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" filled="f" stroked="f">
                <v:textbox style="mso-fit-shape-to-text:t">
                  <w:txbxContent>
                    <w:p w14:paraId="57EE7BD1" w14:textId="77777777" w:rsidR="00A94344" w:rsidRPr="00AC4B7D" w:rsidRDefault="00A94344" w:rsidP="00755051">
                      <w:pPr>
                        <w:rPr>
                          <w:sz w:val="24"/>
                          <w:szCs w:val="24"/>
                        </w:rPr>
                      </w:pPr>
                      <w:r w:rsidRPr="00F10A59">
                        <w:rPr>
                          <w:rFonts w:ascii="Book Antiqua" w:hAnsi="Book Antiqua"/>
                          <w:b/>
                          <w:bCs/>
                          <w:color w:val="000000" w:themeColor="text1"/>
                          <w:kern w:val="24"/>
                          <w:sz w:val="24"/>
                          <w:szCs w:val="24"/>
                        </w:rPr>
                        <w:t>Dosing and timing of administration of TPO-RAs</w:t>
                      </w:r>
                    </w:p>
                  </w:txbxContent>
                </v:textbox>
              </v:shape>
            </w:pict>
          </mc:Fallback>
        </mc:AlternateContent>
      </w:r>
    </w:p>
    <w:p w14:paraId="06381C21" w14:textId="00B21E92" w:rsidR="002C1C2F" w:rsidRPr="00B747CD" w:rsidRDefault="00BA3522" w:rsidP="00B747CD">
      <w:pPr>
        <w:adjustRightInd w:val="0"/>
        <w:snapToGrid w:val="0"/>
        <w:spacing w:after="0" w:line="360" w:lineRule="auto"/>
        <w:jc w:val="both"/>
        <w:rPr>
          <w:rFonts w:ascii="Book Antiqua" w:hAnsi="Book Antiqua" w:cs="Arial"/>
          <w:color w:val="000000" w:themeColor="text1"/>
          <w:sz w:val="24"/>
          <w:szCs w:val="24"/>
        </w:rPr>
      </w:pPr>
      <w:r w:rsidRPr="00B747CD">
        <w:rPr>
          <w:rFonts w:ascii="Book Antiqua" w:hAnsi="Book Antiqua" w:cs="Arial"/>
          <w:noProof/>
          <w:color w:val="000000" w:themeColor="text1"/>
          <w:sz w:val="24"/>
          <w:szCs w:val="24"/>
          <w:lang w:eastAsia="zh-CN"/>
        </w:rPr>
        <mc:AlternateContent>
          <mc:Choice Requires="wpg">
            <w:drawing>
              <wp:anchor distT="0" distB="0" distL="114300" distR="114300" simplePos="0" relativeHeight="251659264" behindDoc="0" locked="0" layoutInCell="1" allowOverlap="1" wp14:anchorId="68B6A219" wp14:editId="25AFECB1">
                <wp:simplePos x="0" y="0"/>
                <wp:positionH relativeFrom="column">
                  <wp:posOffset>2301498</wp:posOffset>
                </wp:positionH>
                <wp:positionV relativeFrom="paragraph">
                  <wp:posOffset>297341</wp:posOffset>
                </wp:positionV>
                <wp:extent cx="4007741" cy="2118360"/>
                <wp:effectExtent l="0" t="0" r="12065" b="15240"/>
                <wp:wrapNone/>
                <wp:docPr id="27" name="Group 26">
                  <a:extLst xmlns:a="http://schemas.openxmlformats.org/drawingml/2006/main">
                    <a:ext uri="{FF2B5EF4-FFF2-40B4-BE49-F238E27FC236}">
                      <a16:creationId xmlns:a16="http://schemas.microsoft.com/office/drawing/2014/main" id="{80270C30-CA8C-F24B-AE47-F01A431F6995}"/>
                    </a:ext>
                  </a:extLst>
                </wp:docPr>
                <wp:cNvGraphicFramePr/>
                <a:graphic xmlns:a="http://schemas.openxmlformats.org/drawingml/2006/main">
                  <a:graphicData uri="http://schemas.microsoft.com/office/word/2010/wordprocessingGroup">
                    <wpg:wgp>
                      <wpg:cNvGrpSpPr/>
                      <wpg:grpSpPr>
                        <a:xfrm>
                          <a:off x="0" y="0"/>
                          <a:ext cx="4007741" cy="2118360"/>
                          <a:chOff x="1538082" y="653587"/>
                          <a:chExt cx="4008526" cy="2682287"/>
                        </a:xfrm>
                      </wpg:grpSpPr>
                      <wps:wsp>
                        <wps:cNvPr id="2" name="TextBox 6">
                          <a:extLst>
                            <a:ext uri="{FF2B5EF4-FFF2-40B4-BE49-F238E27FC236}">
                              <a16:creationId xmlns:a16="http://schemas.microsoft.com/office/drawing/2014/main" id="{98D7C3E2-2871-B949-AFAD-B0845F6EB5F4}"/>
                            </a:ext>
                          </a:extLst>
                        </wps:cNvPr>
                        <wps:cNvSpPr txBox="1"/>
                        <wps:spPr>
                          <a:xfrm>
                            <a:off x="4237104" y="1857076"/>
                            <a:ext cx="1309504" cy="475955"/>
                          </a:xfrm>
                          <a:prstGeom prst="rect">
                            <a:avLst/>
                          </a:prstGeom>
                          <a:solidFill>
                            <a:schemeClr val="tx1">
                              <a:lumMod val="95000"/>
                              <a:lumOff val="5000"/>
                            </a:schemeClr>
                          </a:solidFill>
                          <a:ln w="12700">
                            <a:solidFill>
                              <a:schemeClr val="tx1"/>
                            </a:solidFill>
                          </a:ln>
                        </wps:spPr>
                        <wps:txbx>
                          <w:txbxContent>
                            <w:p w14:paraId="6E929ED5" w14:textId="77777777" w:rsidR="00A94344" w:rsidRPr="00F10A59" w:rsidRDefault="00A94344" w:rsidP="00755051">
                              <w:pPr>
                                <w:jc w:val="center"/>
                                <w:rPr>
                                  <w:rFonts w:ascii="Book Antiqua" w:hAnsi="Book Antiqua"/>
                                  <w:sz w:val="20"/>
                                  <w:szCs w:val="20"/>
                                </w:rPr>
                              </w:pPr>
                              <w:r w:rsidRPr="00F10A59">
                                <w:rPr>
                                  <w:rFonts w:ascii="Book Antiqua" w:hAnsi="Book Antiqua"/>
                                  <w:color w:val="FFFFFF" w:themeColor="background1"/>
                                  <w:kern w:val="24"/>
                                  <w:sz w:val="20"/>
                                  <w:szCs w:val="20"/>
                                </w:rPr>
                                <w:t>Procedure Window</w:t>
                              </w:r>
                            </w:p>
                          </w:txbxContent>
                        </wps:txbx>
                        <wps:bodyPr wrap="square" rtlCol="0">
                          <a:spAutoFit/>
                        </wps:bodyPr>
                      </wps:wsp>
                      <wps:wsp>
                        <wps:cNvPr id="3" name="TextBox 7">
                          <a:extLst>
                            <a:ext uri="{FF2B5EF4-FFF2-40B4-BE49-F238E27FC236}">
                              <a16:creationId xmlns:a16="http://schemas.microsoft.com/office/drawing/2014/main" id="{D42A927C-ED6F-B748-9D1E-F861CEF3792C}"/>
                            </a:ext>
                          </a:extLst>
                        </wps:cNvPr>
                        <wps:cNvSpPr txBox="1"/>
                        <wps:spPr>
                          <a:xfrm>
                            <a:off x="2987359" y="1857652"/>
                            <a:ext cx="1148855" cy="475765"/>
                          </a:xfrm>
                          <a:prstGeom prst="rect">
                            <a:avLst/>
                          </a:prstGeom>
                          <a:solidFill>
                            <a:schemeClr val="tx1">
                              <a:lumMod val="95000"/>
                              <a:lumOff val="5000"/>
                            </a:schemeClr>
                          </a:solidFill>
                          <a:ln w="12700">
                            <a:solidFill>
                              <a:schemeClr val="tx1"/>
                            </a:solidFill>
                          </a:ln>
                        </wps:spPr>
                        <wps:txbx>
                          <w:txbxContent>
                            <w:p w14:paraId="09E4320A" w14:textId="77777777" w:rsidR="00A94344" w:rsidRPr="00F10A59" w:rsidRDefault="00A94344" w:rsidP="00755051">
                              <w:pPr>
                                <w:jc w:val="center"/>
                                <w:rPr>
                                  <w:rFonts w:ascii="Book Antiqua" w:hAnsi="Book Antiqua"/>
                                  <w:sz w:val="20"/>
                                  <w:szCs w:val="20"/>
                                </w:rPr>
                              </w:pPr>
                              <w:r w:rsidRPr="00F10A59">
                                <w:rPr>
                                  <w:rFonts w:ascii="Book Antiqua" w:hAnsi="Book Antiqua"/>
                                  <w:color w:val="FFFFFF" w:themeColor="background1"/>
                                  <w:kern w:val="24"/>
                                  <w:sz w:val="20"/>
                                  <w:szCs w:val="20"/>
                                </w:rPr>
                                <w:t>Waiting Period</w:t>
                              </w:r>
                            </w:p>
                          </w:txbxContent>
                        </wps:txbx>
                        <wps:bodyPr wrap="square" rtlCol="0">
                          <a:spAutoFit/>
                        </wps:bodyPr>
                      </wps:wsp>
                      <wps:wsp>
                        <wps:cNvPr id="4" name="TextBox 8">
                          <a:extLst>
                            <a:ext uri="{FF2B5EF4-FFF2-40B4-BE49-F238E27FC236}">
                              <a16:creationId xmlns:a16="http://schemas.microsoft.com/office/drawing/2014/main" id="{CF420E4B-728A-FC42-9BC5-10A90C37F23E}"/>
                            </a:ext>
                          </a:extLst>
                        </wps:cNvPr>
                        <wps:cNvSpPr txBox="1"/>
                        <wps:spPr>
                          <a:xfrm>
                            <a:off x="1538095" y="1857961"/>
                            <a:ext cx="1310774" cy="475955"/>
                          </a:xfrm>
                          <a:prstGeom prst="rect">
                            <a:avLst/>
                          </a:prstGeom>
                          <a:solidFill>
                            <a:schemeClr val="tx1">
                              <a:lumMod val="95000"/>
                              <a:lumOff val="5000"/>
                            </a:schemeClr>
                          </a:solidFill>
                          <a:ln w="12700">
                            <a:solidFill>
                              <a:schemeClr val="tx1"/>
                            </a:solidFill>
                          </a:ln>
                        </wps:spPr>
                        <wps:txbx>
                          <w:txbxContent>
                            <w:p w14:paraId="12606966" w14:textId="77777777" w:rsidR="00A94344" w:rsidRPr="00F10A59" w:rsidRDefault="00A94344" w:rsidP="00755051">
                              <w:pPr>
                                <w:jc w:val="center"/>
                                <w:rPr>
                                  <w:rFonts w:ascii="Book Antiqua" w:hAnsi="Book Antiqua"/>
                                  <w:sz w:val="20"/>
                                  <w:szCs w:val="20"/>
                                </w:rPr>
                              </w:pPr>
                              <w:r w:rsidRPr="00F10A59">
                                <w:rPr>
                                  <w:rFonts w:ascii="Book Antiqua" w:hAnsi="Book Antiqua"/>
                                  <w:color w:val="FFFFFF" w:themeColor="background1"/>
                                  <w:kern w:val="24"/>
                                  <w:sz w:val="20"/>
                                  <w:szCs w:val="20"/>
                                </w:rPr>
                                <w:t>Dosing Period</w:t>
                              </w:r>
                            </w:p>
                          </w:txbxContent>
                        </wps:txbx>
                        <wps:bodyPr wrap="square" rtlCol="0">
                          <a:spAutoFit/>
                        </wps:bodyPr>
                      </wps:wsp>
                      <wps:wsp>
                        <wps:cNvPr id="6" name="Straight Connector 6">
                          <a:extLst>
                            <a:ext uri="{FF2B5EF4-FFF2-40B4-BE49-F238E27FC236}">
                              <a16:creationId xmlns:a16="http://schemas.microsoft.com/office/drawing/2014/main" id="{0BF5C88E-C53D-6446-86FF-99D5F4FA5B31}"/>
                            </a:ext>
                          </a:extLst>
                        </wps:cNvPr>
                        <wps:cNvCnPr>
                          <a:cxnSpLocks/>
                        </wps:cNvCnPr>
                        <wps:spPr>
                          <a:xfrm>
                            <a:off x="4182428" y="653587"/>
                            <a:ext cx="0" cy="1683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TextBox 12">
                          <a:extLst>
                            <a:ext uri="{FF2B5EF4-FFF2-40B4-BE49-F238E27FC236}">
                              <a16:creationId xmlns:a16="http://schemas.microsoft.com/office/drawing/2014/main" id="{86A79B59-F427-5A4E-9847-C04BEED9C5AF}"/>
                            </a:ext>
                          </a:extLst>
                        </wps:cNvPr>
                        <wps:cNvSpPr txBox="1"/>
                        <wps:spPr>
                          <a:xfrm>
                            <a:off x="1825971" y="812360"/>
                            <a:ext cx="749376" cy="717952"/>
                          </a:xfrm>
                          <a:prstGeom prst="rect">
                            <a:avLst/>
                          </a:prstGeom>
                          <a:noFill/>
                          <a:ln w="12700">
                            <a:solidFill>
                              <a:schemeClr val="tx1"/>
                            </a:solidFill>
                          </a:ln>
                        </wps:spPr>
                        <wps:txbx>
                          <w:txbxContent>
                            <w:p w14:paraId="17B837A3" w14:textId="2D9BFF7D"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5 d</w:t>
                              </w:r>
                            </w:p>
                            <w:p w14:paraId="113B29EE" w14:textId="31D58408"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Lusi – 7 d</w:t>
                              </w:r>
                            </w:p>
                          </w:txbxContent>
                        </wps:txbx>
                        <wps:bodyPr wrap="none" rtlCol="0">
                          <a:noAutofit/>
                        </wps:bodyPr>
                      </wps:wsp>
                      <wps:wsp>
                        <wps:cNvPr id="8" name="TextBox 13">
                          <a:extLst>
                            <a:ext uri="{FF2B5EF4-FFF2-40B4-BE49-F238E27FC236}">
                              <a16:creationId xmlns:a16="http://schemas.microsoft.com/office/drawing/2014/main" id="{758631DC-818E-F74D-BAC6-E9DADEFE2B5D}"/>
                            </a:ext>
                          </a:extLst>
                        </wps:cNvPr>
                        <wps:cNvSpPr txBox="1"/>
                        <wps:spPr>
                          <a:xfrm>
                            <a:off x="3246810" y="812362"/>
                            <a:ext cx="749376" cy="717952"/>
                          </a:xfrm>
                          <a:prstGeom prst="rect">
                            <a:avLst/>
                          </a:prstGeom>
                          <a:noFill/>
                          <a:ln w="12700">
                            <a:solidFill>
                              <a:schemeClr val="tx1"/>
                            </a:solidFill>
                          </a:ln>
                        </wps:spPr>
                        <wps:txbx>
                          <w:txbxContent>
                            <w:p w14:paraId="25C44E67" w14:textId="5E94C2A5"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4 d</w:t>
                              </w:r>
                            </w:p>
                            <w:p w14:paraId="77008F12" w14:textId="415011A6"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Lusi – 1 d</w:t>
                              </w:r>
                            </w:p>
                          </w:txbxContent>
                        </wps:txbx>
                        <wps:bodyPr wrap="none" rtlCol="0">
                          <a:noAutofit/>
                        </wps:bodyPr>
                      </wps:wsp>
                      <wps:wsp>
                        <wps:cNvPr id="9" name="TextBox 14">
                          <a:extLst>
                            <a:ext uri="{FF2B5EF4-FFF2-40B4-BE49-F238E27FC236}">
                              <a16:creationId xmlns:a16="http://schemas.microsoft.com/office/drawing/2014/main" id="{EC3D62E8-048C-454A-97E5-CF5D16604F13}"/>
                            </a:ext>
                          </a:extLst>
                        </wps:cNvPr>
                        <wps:cNvSpPr txBox="1"/>
                        <wps:spPr>
                          <a:xfrm>
                            <a:off x="4357743" y="812362"/>
                            <a:ext cx="749376" cy="717952"/>
                          </a:xfrm>
                          <a:prstGeom prst="rect">
                            <a:avLst/>
                          </a:prstGeom>
                          <a:noFill/>
                          <a:ln w="12700">
                            <a:solidFill>
                              <a:schemeClr val="tx1"/>
                            </a:solidFill>
                          </a:ln>
                        </wps:spPr>
                        <wps:txbx>
                          <w:txbxContent>
                            <w:p w14:paraId="6B7D9495" w14:textId="5DBFF573"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4 d</w:t>
                              </w:r>
                            </w:p>
                            <w:p w14:paraId="4BB9F976" w14:textId="4BC448A1" w:rsidR="00A94344" w:rsidRPr="00F10A59" w:rsidRDefault="00A94344" w:rsidP="00755051">
                              <w:pPr>
                                <w:jc w:val="center"/>
                                <w:rPr>
                                  <w:sz w:val="20"/>
                                  <w:szCs w:val="20"/>
                                </w:rPr>
                              </w:pPr>
                              <w:r w:rsidRPr="00F10A59">
                                <w:rPr>
                                  <w:rFonts w:ascii="Book Antiqua" w:hAnsi="Book Antiqua"/>
                                  <w:b/>
                                  <w:bCs/>
                                  <w:color w:val="000000" w:themeColor="text1"/>
                                  <w:kern w:val="24"/>
                                  <w:sz w:val="20"/>
                                  <w:szCs w:val="20"/>
                                </w:rPr>
                                <w:t>Lusi – 7 d</w:t>
                              </w:r>
                            </w:p>
                          </w:txbxContent>
                        </wps:txbx>
                        <wps:bodyPr wrap="none" rtlCol="0">
                          <a:noAutofit/>
                        </wps:bodyPr>
                      </wps:wsp>
                      <wps:wsp>
                        <wps:cNvPr id="10" name="TextBox 15">
                          <a:extLst>
                            <a:ext uri="{FF2B5EF4-FFF2-40B4-BE49-F238E27FC236}">
                              <a16:creationId xmlns:a16="http://schemas.microsoft.com/office/drawing/2014/main" id="{30B81299-5B40-C84C-BD13-71EA70C0F4CF}"/>
                            </a:ext>
                          </a:extLst>
                        </wps:cNvPr>
                        <wps:cNvSpPr txBox="1"/>
                        <wps:spPr>
                          <a:xfrm>
                            <a:off x="1538082" y="2618352"/>
                            <a:ext cx="1424955" cy="623930"/>
                          </a:xfrm>
                          <a:prstGeom prst="rect">
                            <a:avLst/>
                          </a:prstGeom>
                          <a:noFill/>
                          <a:ln w="12700">
                            <a:solidFill>
                              <a:schemeClr val="tx1"/>
                            </a:solidFill>
                          </a:ln>
                        </wps:spPr>
                        <wps:txbx>
                          <w:txbxContent>
                            <w:p w14:paraId="38A3FBE9" w14:textId="77777777" w:rsidR="00A94344" w:rsidRPr="00F10A59" w:rsidRDefault="00A94344" w:rsidP="00F10A59">
                              <w:pPr>
                                <w:spacing w:after="0" w:line="240" w:lineRule="auto"/>
                                <w:rPr>
                                  <w:rFonts w:ascii="Book Antiqua" w:hAnsi="Book Antiqua"/>
                                  <w:sz w:val="16"/>
                                  <w:szCs w:val="16"/>
                                </w:rPr>
                              </w:pPr>
                              <w:r w:rsidRPr="00F10A59">
                                <w:rPr>
                                  <w:rFonts w:ascii="Book Antiqua" w:hAnsi="Book Antiqua"/>
                                  <w:color w:val="000000" w:themeColor="text1"/>
                                  <w:kern w:val="24"/>
                                  <w:sz w:val="16"/>
                                  <w:szCs w:val="16"/>
                                </w:rPr>
                                <w:t>Start treatment</w:t>
                              </w:r>
                            </w:p>
                            <w:p w14:paraId="0603DD89" w14:textId="446EE55E" w:rsidR="00A94344" w:rsidRPr="008B3DF4" w:rsidRDefault="00A94344" w:rsidP="008B3DF4">
                              <w:pPr>
                                <w:spacing w:after="0" w:line="240" w:lineRule="auto"/>
                                <w:ind w:firstLineChars="100" w:firstLine="160"/>
                                <w:rPr>
                                  <w:rFonts w:ascii="Book Antiqua" w:eastAsia="Times New Roman" w:hAnsi="Book Antiqua"/>
                                  <w:sz w:val="16"/>
                                  <w:szCs w:val="16"/>
                                </w:rPr>
                              </w:pPr>
                              <w:r w:rsidRPr="008B3DF4">
                                <w:rPr>
                                  <w:rFonts w:ascii="Book Antiqua" w:hAnsi="Book Antiqua"/>
                                  <w:color w:val="000000" w:themeColor="text1"/>
                                  <w:kern w:val="24"/>
                                  <w:sz w:val="16"/>
                                  <w:szCs w:val="16"/>
                                </w:rPr>
                                <w:t>Ava – 10-13 d prior</w:t>
                              </w:r>
                            </w:p>
                            <w:p w14:paraId="5D56739C" w14:textId="5B14117D" w:rsidR="00A94344" w:rsidRPr="008B3DF4" w:rsidRDefault="00A94344" w:rsidP="008B3DF4">
                              <w:pPr>
                                <w:spacing w:after="0" w:line="240" w:lineRule="auto"/>
                                <w:ind w:firstLineChars="100" w:firstLine="160"/>
                                <w:rPr>
                                  <w:rFonts w:ascii="Book Antiqua" w:eastAsia="Times New Roman" w:hAnsi="Book Antiqua"/>
                                  <w:sz w:val="16"/>
                                  <w:szCs w:val="16"/>
                                </w:rPr>
                              </w:pPr>
                              <w:r w:rsidRPr="008B3DF4">
                                <w:rPr>
                                  <w:rFonts w:ascii="Book Antiqua" w:hAnsi="Book Antiqua"/>
                                  <w:color w:val="000000" w:themeColor="text1"/>
                                  <w:kern w:val="24"/>
                                  <w:sz w:val="16"/>
                                  <w:szCs w:val="16"/>
                                </w:rPr>
                                <w:t>Lusu – 8-14 d prior</w:t>
                              </w:r>
                            </w:p>
                          </w:txbxContent>
                        </wps:txbx>
                        <wps:bodyPr wrap="square" rtlCol="0">
                          <a:noAutofit/>
                        </wps:bodyPr>
                      </wps:wsp>
                      <wps:wsp>
                        <wps:cNvPr id="11" name="TextBox 16">
                          <a:extLst>
                            <a:ext uri="{FF2B5EF4-FFF2-40B4-BE49-F238E27FC236}">
                              <a16:creationId xmlns:a16="http://schemas.microsoft.com/office/drawing/2014/main" id="{6B7300F6-B094-2046-BEAA-71F10FFB6B63}"/>
                            </a:ext>
                          </a:extLst>
                        </wps:cNvPr>
                        <wps:cNvSpPr txBox="1"/>
                        <wps:spPr>
                          <a:xfrm>
                            <a:off x="3058390" y="2623508"/>
                            <a:ext cx="1214098" cy="462616"/>
                          </a:xfrm>
                          <a:prstGeom prst="rect">
                            <a:avLst/>
                          </a:prstGeom>
                          <a:noFill/>
                          <a:ln w="12700">
                            <a:solidFill>
                              <a:schemeClr val="tx1"/>
                            </a:solidFill>
                          </a:ln>
                        </wps:spPr>
                        <wps:txbx>
                          <w:txbxContent>
                            <w:p w14:paraId="589E1345" w14:textId="77777777" w:rsidR="00A94344" w:rsidRPr="00F10A59" w:rsidRDefault="00A94344" w:rsidP="00755051">
                              <w:pPr>
                                <w:rPr>
                                  <w:rFonts w:ascii="Book Antiqua" w:hAnsi="Book Antiqua"/>
                                  <w:sz w:val="16"/>
                                  <w:szCs w:val="16"/>
                                </w:rPr>
                              </w:pPr>
                              <w:r w:rsidRPr="00F10A59">
                                <w:rPr>
                                  <w:rFonts w:ascii="Book Antiqua" w:hAnsi="Book Antiqua"/>
                                  <w:color w:val="000000" w:themeColor="text1"/>
                                  <w:kern w:val="24"/>
                                  <w:sz w:val="16"/>
                                  <w:szCs w:val="16"/>
                                </w:rPr>
                                <w:t>Check platelets prior to procedure</w:t>
                              </w:r>
                            </w:p>
                          </w:txbxContent>
                        </wps:txbx>
                        <wps:bodyPr wrap="square" rtlCol="0">
                          <a:noAutofit/>
                        </wps:bodyPr>
                      </wps:wsp>
                      <wps:wsp>
                        <wps:cNvPr id="12" name="TextBox 17">
                          <a:extLst>
                            <a:ext uri="{FF2B5EF4-FFF2-40B4-BE49-F238E27FC236}">
                              <a16:creationId xmlns:a16="http://schemas.microsoft.com/office/drawing/2014/main" id="{79B37146-E646-8B42-9041-95AB4A06391E}"/>
                            </a:ext>
                          </a:extLst>
                        </wps:cNvPr>
                        <wps:cNvSpPr txBox="1"/>
                        <wps:spPr>
                          <a:xfrm>
                            <a:off x="4579667" y="2535322"/>
                            <a:ext cx="703609" cy="800552"/>
                          </a:xfrm>
                          <a:prstGeom prst="rect">
                            <a:avLst/>
                          </a:prstGeom>
                          <a:noFill/>
                          <a:ln w="12700">
                            <a:solidFill>
                              <a:schemeClr val="tx1"/>
                            </a:solidFill>
                          </a:ln>
                        </wps:spPr>
                        <wps:txbx>
                          <w:txbxContent>
                            <w:p w14:paraId="4356119D" w14:textId="77777777" w:rsidR="00A94344" w:rsidRPr="00F10A59" w:rsidRDefault="00A94344" w:rsidP="00755051">
                              <w:pPr>
                                <w:rPr>
                                  <w:rFonts w:ascii="Book Antiqua" w:hAnsi="Book Antiqua"/>
                                  <w:sz w:val="16"/>
                                  <w:szCs w:val="16"/>
                                </w:rPr>
                              </w:pPr>
                              <w:r w:rsidRPr="00F10A59">
                                <w:rPr>
                                  <w:rFonts w:ascii="Book Antiqua" w:hAnsi="Book Antiqua"/>
                                  <w:color w:val="000000" w:themeColor="text1"/>
                                  <w:kern w:val="24"/>
                                  <w:sz w:val="16"/>
                                  <w:szCs w:val="16"/>
                                </w:rPr>
                                <w:t>Day procedure needs to be done by</w:t>
                              </w:r>
                            </w:p>
                          </w:txbxContent>
                        </wps:txbx>
                        <wps:bodyPr wrap="square" rtlCol="0">
                          <a:noAutofit/>
                        </wps:bodyPr>
                      </wps:wsp>
                      <wps:wsp>
                        <wps:cNvPr id="14" name="Straight Arrow Connector 14">
                          <a:extLst>
                            <a:ext uri="{FF2B5EF4-FFF2-40B4-BE49-F238E27FC236}">
                              <a16:creationId xmlns:a16="http://schemas.microsoft.com/office/drawing/2014/main" id="{53B74177-E306-CD45-89BB-221D56930D5D}"/>
                            </a:ext>
                          </a:extLst>
                        </wps:cNvPr>
                        <wps:cNvCnPr/>
                        <wps:spPr>
                          <a:xfrm flipV="1">
                            <a:off x="2189738" y="2399387"/>
                            <a:ext cx="0" cy="20642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B6A219" id="Group 26" o:spid="_x0000_s1027" style="position:absolute;left:0;text-align:left;margin-left:181.2pt;margin-top:23.4pt;width:315.55pt;height:166.8pt;z-index:251659264;mso-width-relative:margin;mso-height-relative:margin" coordorigin="15380,6535" coordsize="40085,2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">
                <v:shape id="TextBox 6" o:spid="_x0000_s1028" type="#_x0000_t202" style="position:absolute;left:42371;top:18570;width:13095;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" fillcolor="#0d0d0d [3069]" strokecolor="black [3213]" strokeweight="1pt">
                  <v:textbox style="mso-fit-shape-to-text:t">
                    <w:txbxContent>
                      <w:p w14:paraId="6E929ED5" w14:textId="77777777" w:rsidR="00A94344" w:rsidRPr="00F10A59" w:rsidRDefault="00A94344" w:rsidP="00755051">
                        <w:pPr>
                          <w:jc w:val="center"/>
                          <w:rPr>
                            <w:rFonts w:ascii="Book Antiqua" w:hAnsi="Book Antiqua"/>
                            <w:sz w:val="20"/>
                            <w:szCs w:val="20"/>
                          </w:rPr>
                        </w:pPr>
                        <w:r w:rsidRPr="00F10A59">
                          <w:rPr>
                            <w:rFonts w:ascii="Book Antiqua" w:hAnsi="Book Antiqua"/>
                            <w:color w:val="FFFFFF" w:themeColor="background1"/>
                            <w:kern w:val="24"/>
                            <w:sz w:val="20"/>
                            <w:szCs w:val="20"/>
                          </w:rPr>
                          <w:t>Procedure Window</w:t>
                        </w:r>
                      </w:p>
                    </w:txbxContent>
                  </v:textbox>
                </v:shape>
                <v:shape id="TextBox 7" o:spid="_x0000_s1029" type="#_x0000_t202" style="position:absolute;left:29873;top:18576;width:11489;height:4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" fillcolor="#0d0d0d [3069]" strokecolor="black [3213]" strokeweight="1pt">
                  <v:textbox style="mso-fit-shape-to-text:t">
                    <w:txbxContent>
                      <w:p w14:paraId="09E4320A" w14:textId="77777777" w:rsidR="00A94344" w:rsidRPr="00F10A59" w:rsidRDefault="00A94344" w:rsidP="00755051">
                        <w:pPr>
                          <w:jc w:val="center"/>
                          <w:rPr>
                            <w:rFonts w:ascii="Book Antiqua" w:hAnsi="Book Antiqua"/>
                            <w:sz w:val="20"/>
                            <w:szCs w:val="20"/>
                          </w:rPr>
                        </w:pPr>
                        <w:r w:rsidRPr="00F10A59">
                          <w:rPr>
                            <w:rFonts w:ascii="Book Antiqua" w:hAnsi="Book Antiqua"/>
                            <w:color w:val="FFFFFF" w:themeColor="background1"/>
                            <w:kern w:val="24"/>
                            <w:sz w:val="20"/>
                            <w:szCs w:val="20"/>
                          </w:rPr>
                          <w:t>Waiting Period</w:t>
                        </w:r>
                      </w:p>
                    </w:txbxContent>
                  </v:textbox>
                </v:shape>
                <v:shape id="TextBox 8" o:spid="_x0000_s1030" type="#_x0000_t202" style="position:absolute;left:15380;top:18579;width:13108;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" fillcolor="#0d0d0d [3069]" strokecolor="black [3213]" strokeweight="1pt">
                  <v:textbox style="mso-fit-shape-to-text:t">
                    <w:txbxContent>
                      <w:p w14:paraId="12606966" w14:textId="77777777" w:rsidR="00A94344" w:rsidRPr="00F10A59" w:rsidRDefault="00A94344" w:rsidP="00755051">
                        <w:pPr>
                          <w:jc w:val="center"/>
                          <w:rPr>
                            <w:rFonts w:ascii="Book Antiqua" w:hAnsi="Book Antiqua"/>
                            <w:sz w:val="20"/>
                            <w:szCs w:val="20"/>
                          </w:rPr>
                        </w:pPr>
                        <w:r w:rsidRPr="00F10A59">
                          <w:rPr>
                            <w:rFonts w:ascii="Book Antiqua" w:hAnsi="Book Antiqua"/>
                            <w:color w:val="FFFFFF" w:themeColor="background1"/>
                            <w:kern w:val="24"/>
                            <w:sz w:val="20"/>
                            <w:szCs w:val="20"/>
                          </w:rPr>
                          <w:t>Dosing Period</w:t>
                        </w:r>
                      </w:p>
                    </w:txbxContent>
                  </v:textbox>
                </v:shape>
                <v:line id="Straight Connector 6" o:spid="_x0000_s1031" style="position:absolute;visibility:visible;mso-wrap-style:square" from="41824,6535" to="41824,2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o:lock v:ext="edit" shapetype="f"/>
                </v:line>
                <v:shape id="TextBox 12" o:spid="_x0000_s1032" type="#_x0000_t202" style="position:absolute;left:18259;top:8123;width:7494;height:7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" filled="f" strokecolor="black [3213]" strokeweight="1pt">
                  <v:textbox>
                    <w:txbxContent>
                      <w:p w14:paraId="17B837A3" w14:textId="2D9BFF7D"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5 d</w:t>
                        </w:r>
                      </w:p>
                      <w:p w14:paraId="113B29EE" w14:textId="31D58408"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Lusi – 7 d</w:t>
                        </w:r>
                      </w:p>
                    </w:txbxContent>
                  </v:textbox>
                </v:shape>
                <v:shape id="TextBox 13" o:spid="_x0000_s1033" type="#_x0000_t202" style="position:absolute;left:32468;top:8123;width:7493;height:7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" filled="f" strokecolor="black [3213]" strokeweight="1pt">
                  <v:textbox>
                    <w:txbxContent>
                      <w:p w14:paraId="25C44E67" w14:textId="5E94C2A5"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4 d</w:t>
                        </w:r>
                      </w:p>
                      <w:p w14:paraId="77008F12" w14:textId="415011A6"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Lusi – 1 d</w:t>
                        </w:r>
                      </w:p>
                    </w:txbxContent>
                  </v:textbox>
                </v:shape>
                <v:shape id="TextBox 14" o:spid="_x0000_s1034" type="#_x0000_t202" style="position:absolute;left:43577;top:8123;width:7494;height:7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" filled="f" strokecolor="black [3213]" strokeweight="1pt">
                  <v:textbox>
                    <w:txbxContent>
                      <w:p w14:paraId="6B7D9495" w14:textId="5DBFF573" w:rsidR="00A94344" w:rsidRPr="00F10A59" w:rsidRDefault="00A94344" w:rsidP="00755051">
                        <w:pPr>
                          <w:jc w:val="center"/>
                          <w:rPr>
                            <w:rFonts w:ascii="Book Antiqua" w:hAnsi="Book Antiqua"/>
                            <w:sz w:val="20"/>
                            <w:szCs w:val="20"/>
                          </w:rPr>
                        </w:pPr>
                        <w:r w:rsidRPr="00F10A59">
                          <w:rPr>
                            <w:rFonts w:ascii="Book Antiqua" w:hAnsi="Book Antiqua"/>
                            <w:b/>
                            <w:bCs/>
                            <w:color w:val="000000" w:themeColor="text1"/>
                            <w:kern w:val="24"/>
                            <w:sz w:val="20"/>
                            <w:szCs w:val="20"/>
                          </w:rPr>
                          <w:t>Ava – 4 d</w:t>
                        </w:r>
                      </w:p>
                      <w:p w14:paraId="4BB9F976" w14:textId="4BC448A1" w:rsidR="00A94344" w:rsidRPr="00F10A59" w:rsidRDefault="00A94344" w:rsidP="00755051">
                        <w:pPr>
                          <w:jc w:val="center"/>
                          <w:rPr>
                            <w:sz w:val="20"/>
                            <w:szCs w:val="20"/>
                          </w:rPr>
                        </w:pPr>
                        <w:r w:rsidRPr="00F10A59">
                          <w:rPr>
                            <w:rFonts w:ascii="Book Antiqua" w:hAnsi="Book Antiqua"/>
                            <w:b/>
                            <w:bCs/>
                            <w:color w:val="000000" w:themeColor="text1"/>
                            <w:kern w:val="24"/>
                            <w:sz w:val="20"/>
                            <w:szCs w:val="20"/>
                          </w:rPr>
                          <w:t>Lusi – 7 d</w:t>
                        </w:r>
                      </w:p>
                    </w:txbxContent>
                  </v:textbox>
                </v:shape>
                <v:shape id="TextBox 15" o:spid="_x0000_s1035" type="#_x0000_t202" style="position:absolute;left:15380;top:26183;width:14250;height:6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" filled="f" strokecolor="black [3213]" strokeweight="1pt">
                  <v:textbox>
                    <w:txbxContent>
                      <w:p w14:paraId="38A3FBE9" w14:textId="77777777" w:rsidR="00A94344" w:rsidRPr="00F10A59" w:rsidRDefault="00A94344" w:rsidP="00F10A59">
                        <w:pPr>
                          <w:spacing w:after="0" w:line="240" w:lineRule="auto"/>
                          <w:rPr>
                            <w:rFonts w:ascii="Book Antiqua" w:hAnsi="Book Antiqua"/>
                            <w:sz w:val="16"/>
                            <w:szCs w:val="16"/>
                          </w:rPr>
                        </w:pPr>
                        <w:r w:rsidRPr="00F10A59">
                          <w:rPr>
                            <w:rFonts w:ascii="Book Antiqua" w:hAnsi="Book Antiqua"/>
                            <w:color w:val="000000" w:themeColor="text1"/>
                            <w:kern w:val="24"/>
                            <w:sz w:val="16"/>
                            <w:szCs w:val="16"/>
                          </w:rPr>
                          <w:t>Start treatment</w:t>
                        </w:r>
                      </w:p>
                      <w:p w14:paraId="0603DD89" w14:textId="446EE55E" w:rsidR="00A94344" w:rsidRPr="008B3DF4" w:rsidRDefault="00A94344" w:rsidP="008B3DF4">
                        <w:pPr>
                          <w:spacing w:after="0" w:line="240" w:lineRule="auto"/>
                          <w:ind w:firstLineChars="100" w:firstLine="160"/>
                          <w:rPr>
                            <w:rFonts w:ascii="Book Antiqua" w:eastAsia="Times New Roman" w:hAnsi="Book Antiqua"/>
                            <w:sz w:val="16"/>
                            <w:szCs w:val="16"/>
                          </w:rPr>
                        </w:pPr>
                        <w:r w:rsidRPr="008B3DF4">
                          <w:rPr>
                            <w:rFonts w:ascii="Book Antiqua" w:hAnsi="Book Antiqua"/>
                            <w:color w:val="000000" w:themeColor="text1"/>
                            <w:kern w:val="24"/>
                            <w:sz w:val="16"/>
                            <w:szCs w:val="16"/>
                          </w:rPr>
                          <w:t>Ava – 10-13 d prior</w:t>
                        </w:r>
                      </w:p>
                      <w:p w14:paraId="5D56739C" w14:textId="5B14117D" w:rsidR="00A94344" w:rsidRPr="008B3DF4" w:rsidRDefault="00A94344" w:rsidP="008B3DF4">
                        <w:pPr>
                          <w:spacing w:after="0" w:line="240" w:lineRule="auto"/>
                          <w:ind w:firstLineChars="100" w:firstLine="160"/>
                          <w:rPr>
                            <w:rFonts w:ascii="Book Antiqua" w:eastAsia="Times New Roman" w:hAnsi="Book Antiqua"/>
                            <w:sz w:val="16"/>
                            <w:szCs w:val="16"/>
                          </w:rPr>
                        </w:pPr>
                        <w:r w:rsidRPr="008B3DF4">
                          <w:rPr>
                            <w:rFonts w:ascii="Book Antiqua" w:hAnsi="Book Antiqua"/>
                            <w:color w:val="000000" w:themeColor="text1"/>
                            <w:kern w:val="24"/>
                            <w:sz w:val="16"/>
                            <w:szCs w:val="16"/>
                          </w:rPr>
                          <w:t>Lusu – 8-14 d prior</w:t>
                        </w:r>
                      </w:p>
                    </w:txbxContent>
                  </v:textbox>
                </v:shape>
                <v:shape id="TextBox 16" o:spid="_x0000_s1036" type="#_x0000_t202" style="position:absolute;left:30583;top:26235;width:12141;height:4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" filled="f" strokecolor="black [3213]" strokeweight="1pt">
                  <v:textbox>
                    <w:txbxContent>
                      <w:p w14:paraId="589E1345" w14:textId="77777777" w:rsidR="00A94344" w:rsidRPr="00F10A59" w:rsidRDefault="00A94344" w:rsidP="00755051">
                        <w:pPr>
                          <w:rPr>
                            <w:rFonts w:ascii="Book Antiqua" w:hAnsi="Book Antiqua"/>
                            <w:sz w:val="16"/>
                            <w:szCs w:val="16"/>
                          </w:rPr>
                        </w:pPr>
                        <w:r w:rsidRPr="00F10A59">
                          <w:rPr>
                            <w:rFonts w:ascii="Book Antiqua" w:hAnsi="Book Antiqua"/>
                            <w:color w:val="000000" w:themeColor="text1"/>
                            <w:kern w:val="24"/>
                            <w:sz w:val="16"/>
                            <w:szCs w:val="16"/>
                          </w:rPr>
                          <w:t>Check platelets prior to procedure</w:t>
                        </w:r>
                      </w:p>
                    </w:txbxContent>
                  </v:textbox>
                </v:shape>
                <v:shape id="TextBox 17" o:spid="_x0000_s1037" type="#_x0000_t202" style="position:absolute;left:45796;top:25353;width:7036;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" filled="f" strokecolor="black [3213]" strokeweight="1pt">
                  <v:textbox>
                    <w:txbxContent>
                      <w:p w14:paraId="4356119D" w14:textId="77777777" w:rsidR="00A94344" w:rsidRPr="00F10A59" w:rsidRDefault="00A94344" w:rsidP="00755051">
                        <w:pPr>
                          <w:rPr>
                            <w:rFonts w:ascii="Book Antiqua" w:hAnsi="Book Antiqua"/>
                            <w:sz w:val="16"/>
                            <w:szCs w:val="16"/>
                          </w:rPr>
                        </w:pPr>
                        <w:r w:rsidRPr="00F10A59">
                          <w:rPr>
                            <w:rFonts w:ascii="Book Antiqua" w:hAnsi="Book Antiqua"/>
                            <w:color w:val="000000" w:themeColor="text1"/>
                            <w:kern w:val="24"/>
                            <w:sz w:val="16"/>
                            <w:szCs w:val="16"/>
                          </w:rPr>
                          <w:t>Day procedure needs to be done by</w:t>
                        </w:r>
                      </w:p>
                    </w:txbxContent>
                  </v:textbox>
                </v:shape>
                <v:shapetype id="_x0000_t32" coordsize="21600,21600" o:spt="32" o:oned="t" path="m,l21600,21600e" filled="f">
                  <v:path arrowok="t" fillok="f" o:connecttype="none"/>
                  <o:lock v:ext="edit" shapetype="t"/>
                </v:shapetype>
                <v:shape id="Straight Arrow Connector 14" o:spid="_x0000_s1038" type="#_x0000_t32" style="position:absolute;left:21897;top:23993;width:0;height:20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" strokecolor="black [3213]" strokeweight="1pt">
                  <v:stroke endarrow="block" joinstyle="miter"/>
                </v:shape>
              </v:group>
            </w:pict>
          </mc:Fallback>
        </mc:AlternateContent>
      </w:r>
      <w:r w:rsidRPr="00B747CD">
        <w:rPr>
          <w:rFonts w:ascii="Book Antiqua" w:hAnsi="Book Antiqua"/>
          <w:noProof/>
          <w:color w:val="000000" w:themeColor="text1"/>
          <w:sz w:val="24"/>
          <w:szCs w:val="24"/>
          <w:lang w:eastAsia="zh-CN"/>
        </w:rPr>
        <mc:AlternateContent>
          <mc:Choice Requires="wps">
            <w:drawing>
              <wp:anchor distT="0" distB="0" distL="114300" distR="114300" simplePos="0" relativeHeight="251666432" behindDoc="0" locked="0" layoutInCell="1" allowOverlap="1" wp14:anchorId="0F4EDC4B" wp14:editId="4C4B7246">
                <wp:simplePos x="0" y="0"/>
                <wp:positionH relativeFrom="column">
                  <wp:posOffset>5626100</wp:posOffset>
                </wp:positionH>
                <wp:positionV relativeFrom="paragraph">
                  <wp:posOffset>1626235</wp:posOffset>
                </wp:positionV>
                <wp:extent cx="0" cy="162560"/>
                <wp:effectExtent l="76200" t="38100" r="57150" b="27940"/>
                <wp:wrapNone/>
                <wp:docPr id="23" name="Straight Arrow Connector 23"/>
                <wp:cNvGraphicFramePr/>
                <a:graphic xmlns:a="http://schemas.openxmlformats.org/drawingml/2006/main">
                  <a:graphicData uri="http://schemas.microsoft.com/office/word/2010/wordprocessingShape">
                    <wps:wsp>
                      <wps:cNvCnPr/>
                      <wps:spPr>
                        <a:xfrm flipV="1">
                          <a:off x="0" y="0"/>
                          <a:ext cx="0" cy="1625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F5F602" id="Straight Arrow Connector 23" o:spid="_x0000_s1026" type="#_x0000_t32" style="position:absolute;left:0;text-align:left;margin-left:443pt;margin-top:128.05pt;width:0;height:12.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" strokecolor="black [3213]" strokeweight="1pt">
                <v:stroke endarrow="block" joinstyle="miter"/>
              </v:shape>
            </w:pict>
          </mc:Fallback>
        </mc:AlternateContent>
      </w:r>
      <w:r w:rsidRPr="00B747CD">
        <w:rPr>
          <w:rFonts w:ascii="Book Antiqua" w:hAnsi="Book Antiqua"/>
          <w:noProof/>
          <w:color w:val="000000" w:themeColor="text1"/>
          <w:sz w:val="24"/>
          <w:szCs w:val="24"/>
          <w:lang w:eastAsia="zh-CN"/>
        </w:rPr>
        <mc:AlternateContent>
          <mc:Choice Requires="wps">
            <w:drawing>
              <wp:anchor distT="0" distB="0" distL="114300" distR="114300" simplePos="0" relativeHeight="251662336" behindDoc="0" locked="0" layoutInCell="1" allowOverlap="1" wp14:anchorId="6DE12CF1" wp14:editId="22FBCC8A">
                <wp:simplePos x="0" y="0"/>
                <wp:positionH relativeFrom="column">
                  <wp:posOffset>3669536</wp:posOffset>
                </wp:positionH>
                <wp:positionV relativeFrom="paragraph">
                  <wp:posOffset>293370</wp:posOffset>
                </wp:positionV>
                <wp:extent cx="0" cy="1329690"/>
                <wp:effectExtent l="0" t="0" r="19050"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96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7669C" id="Straight Connector 1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88.95pt,23.1pt" to="288.9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" strokecolor="black [3213]" strokeweight="1pt">
                <v:stroke joinstyle="miter"/>
                <o:lock v:ext="edit" shapetype="f"/>
              </v:line>
            </w:pict>
          </mc:Fallback>
        </mc:AlternateContent>
      </w:r>
      <w:r w:rsidRPr="00B747CD">
        <w:rPr>
          <w:rFonts w:ascii="Book Antiqua" w:hAnsi="Book Antiqua"/>
          <w:noProof/>
          <w:color w:val="000000" w:themeColor="text1"/>
          <w:sz w:val="24"/>
          <w:szCs w:val="24"/>
          <w:lang w:eastAsia="zh-CN"/>
        </w:rPr>
        <mc:AlternateContent>
          <mc:Choice Requires="wps">
            <w:drawing>
              <wp:anchor distT="0" distB="0" distL="114300" distR="114300" simplePos="0" relativeHeight="251664384" behindDoc="0" locked="0" layoutInCell="1" allowOverlap="1" wp14:anchorId="0FED1CEA" wp14:editId="75B6E5CE">
                <wp:simplePos x="0" y="0"/>
                <wp:positionH relativeFrom="column">
                  <wp:posOffset>4410710</wp:posOffset>
                </wp:positionH>
                <wp:positionV relativeFrom="paragraph">
                  <wp:posOffset>1686560</wp:posOffset>
                </wp:positionV>
                <wp:extent cx="0" cy="162560"/>
                <wp:effectExtent l="76200" t="38100" r="57150" b="27940"/>
                <wp:wrapNone/>
                <wp:docPr id="22" name="Straight Arrow Connector 22"/>
                <wp:cNvGraphicFramePr/>
                <a:graphic xmlns:a="http://schemas.openxmlformats.org/drawingml/2006/main">
                  <a:graphicData uri="http://schemas.microsoft.com/office/word/2010/wordprocessingShape">
                    <wps:wsp>
                      <wps:cNvCnPr/>
                      <wps:spPr>
                        <a:xfrm flipV="1">
                          <a:off x="0" y="0"/>
                          <a:ext cx="0" cy="1625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95F1D" id="Straight Arrow Connector 22" o:spid="_x0000_s1026" type="#_x0000_t32" style="position:absolute;left:0;text-align:left;margin-left:347.3pt;margin-top:132.8pt;width:0;height:12.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" strokecolor="black [3213]" strokeweight="1pt">
                <v:stroke endarrow="block" joinstyle="miter"/>
              </v:shape>
            </w:pict>
          </mc:Fallback>
        </mc:AlternateContent>
      </w:r>
      <w:r w:rsidR="00755051" w:rsidRPr="00B747CD">
        <w:rPr>
          <w:rFonts w:ascii="Book Antiqua" w:hAnsi="Book Antiqua" w:cs="Arial"/>
          <w:color w:val="000000" w:themeColor="text1"/>
          <w:sz w:val="24"/>
          <w:szCs w:val="24"/>
        </w:rPr>
        <w:t xml:space="preserve"> </w:t>
      </w:r>
      <w:r w:rsidR="00C73D6C" w:rsidRPr="00B747CD">
        <w:rPr>
          <w:rFonts w:ascii="Book Antiqua" w:hAnsi="Book Antiqua" w:cs="Arial"/>
          <w:noProof/>
          <w:color w:val="000000" w:themeColor="text1"/>
          <w:sz w:val="24"/>
          <w:szCs w:val="24"/>
          <w:lang w:eastAsia="zh-CN"/>
        </w:rPr>
        <mc:AlternateContent>
          <mc:Choice Requires="wps">
            <w:drawing>
              <wp:inline distT="0" distB="0" distL="0" distR="0" wp14:anchorId="0E6A40DD" wp14:editId="55615376">
                <wp:extent cx="2158528" cy="2413472"/>
                <wp:effectExtent l="0" t="0" r="13335" b="25400"/>
                <wp:docPr id="26" name="TextBox 25">
                  <a:extLst xmlns:a="http://schemas.openxmlformats.org/drawingml/2006/main">
                    <a:ext uri="{FF2B5EF4-FFF2-40B4-BE49-F238E27FC236}">
                      <a16:creationId xmlns:a16="http://schemas.microsoft.com/office/drawing/2014/main" id="{86E7A934-259A-8941-87B9-2F6FCDD34086}"/>
                    </a:ext>
                  </a:extLst>
                </wp:docPr>
                <wp:cNvGraphicFramePr/>
                <a:graphic xmlns:a="http://schemas.openxmlformats.org/drawingml/2006/main">
                  <a:graphicData uri="http://schemas.microsoft.com/office/word/2010/wordprocessingShape">
                    <wps:wsp>
                      <wps:cNvSpPr txBox="1"/>
                      <wps:spPr>
                        <a:xfrm>
                          <a:off x="0" y="0"/>
                          <a:ext cx="2158528" cy="2413472"/>
                        </a:xfrm>
                        <a:prstGeom prst="rect">
                          <a:avLst/>
                        </a:prstGeom>
                        <a:noFill/>
                        <a:ln>
                          <a:solidFill>
                            <a:schemeClr val="tx1"/>
                          </a:solidFill>
                        </a:ln>
                      </wps:spPr>
                      <wps:txbx>
                        <w:txbxContent>
                          <w:p w14:paraId="6EEC6368" w14:textId="2E1210F8" w:rsidR="00A94344" w:rsidRPr="00F10A59" w:rsidRDefault="00A94344" w:rsidP="00B365DB">
                            <w:pPr>
                              <w:rPr>
                                <w:rFonts w:ascii="Book Antiqua" w:hAnsi="Book Antiqua"/>
                                <w:sz w:val="24"/>
                                <w:szCs w:val="24"/>
                              </w:rPr>
                            </w:pPr>
                            <w:r w:rsidRPr="00F10A59">
                              <w:rPr>
                                <w:rFonts w:ascii="Book Antiqua" w:hAnsi="Book Antiqua"/>
                                <w:b/>
                                <w:bCs/>
                                <w:color w:val="000000" w:themeColor="text1"/>
                                <w:kern w:val="24"/>
                                <w:sz w:val="24"/>
                                <w:szCs w:val="24"/>
                              </w:rPr>
                              <w:t>Inclusion/Exclusion criteria</w:t>
                            </w:r>
                          </w:p>
                          <w:p w14:paraId="7DAE82A4"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Chronic liver disease</w:t>
                            </w:r>
                          </w:p>
                          <w:p w14:paraId="2AD6DA12"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hint="eastAsia"/>
                                <w:color w:val="000000" w:themeColor="text1"/>
                                <w:kern w:val="24"/>
                                <w:sz w:val="16"/>
                                <w:szCs w:val="16"/>
                              </w:rPr>
                              <w:t>±</w:t>
                            </w:r>
                            <w:r w:rsidRPr="00F10A59">
                              <w:rPr>
                                <w:rFonts w:ascii="Book Antiqua" w:hAnsi="Book Antiqua"/>
                                <w:color w:val="000000" w:themeColor="text1"/>
                                <w:kern w:val="24"/>
                                <w:sz w:val="16"/>
                                <w:szCs w:val="16"/>
                              </w:rPr>
                              <w:t xml:space="preserve"> Hepatocellular carcinoma</w:t>
                            </w:r>
                          </w:p>
                          <w:p w14:paraId="0F78AE32"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Cirrhosis</w:t>
                            </w:r>
                          </w:p>
                          <w:p w14:paraId="23BF7CD9" w14:textId="77777777" w:rsidR="00A94344" w:rsidRPr="00F10A59" w:rsidRDefault="00A94344" w:rsidP="00CD2B40">
                            <w:pPr>
                              <w:pStyle w:val="ab"/>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Child Pugh A, B</w:t>
                            </w:r>
                          </w:p>
                          <w:p w14:paraId="04254BA8" w14:textId="77777777" w:rsidR="00A94344" w:rsidRPr="00F10A59" w:rsidRDefault="00A94344" w:rsidP="00CD2B40">
                            <w:pPr>
                              <w:pStyle w:val="ab"/>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Child Pugh C (enrolled only in Ava trials)</w:t>
                            </w:r>
                          </w:p>
                          <w:p w14:paraId="25D40FB3"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Elective procedure with moderate/high risk for bleeding</w:t>
                            </w:r>
                          </w:p>
                          <w:p w14:paraId="536B0B2F"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Pre-procedure platelets</w:t>
                            </w:r>
                          </w:p>
                          <w:p w14:paraId="4C98FD04" w14:textId="64F5A508" w:rsidR="00A94344" w:rsidRPr="00F10A59" w:rsidRDefault="00A94344" w:rsidP="00CD2B40">
                            <w:pPr>
                              <w:pStyle w:val="ab"/>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&lt;</w:t>
                            </w:r>
                            <w:r>
                              <w:rPr>
                                <w:rFonts w:ascii="Book Antiqua" w:hAnsi="Book Antiqua" w:hint="eastAsia"/>
                                <w:color w:val="000000" w:themeColor="text1"/>
                                <w:kern w:val="24"/>
                                <w:sz w:val="16"/>
                                <w:szCs w:val="16"/>
                                <w:lang w:eastAsia="zh-CN"/>
                              </w:rPr>
                              <w:t xml:space="preserve"> </w:t>
                            </w:r>
                            <w:r w:rsidRPr="00F10A59">
                              <w:rPr>
                                <w:rFonts w:ascii="Book Antiqua" w:hAnsi="Book Antiqua"/>
                                <w:color w:val="000000" w:themeColor="text1"/>
                                <w:kern w:val="24"/>
                                <w:sz w:val="16"/>
                                <w:szCs w:val="16"/>
                              </w:rPr>
                              <w:t xml:space="preserve">40 </w:t>
                            </w:r>
                            <w:r>
                              <w:rPr>
                                <w:rFonts w:ascii="Book Antiqua" w:hAnsi="Book Antiqua"/>
                                <w:color w:val="000000" w:themeColor="text1"/>
                                <w:kern w:val="24"/>
                                <w:sz w:val="16"/>
                                <w:szCs w:val="16"/>
                              </w:rPr>
                              <w:sym w:font="Symbol" w:char="F0B4"/>
                            </w:r>
                            <w:r w:rsidRPr="00F10A59">
                              <w:rPr>
                                <w:rFonts w:ascii="Book Antiqua" w:hAnsi="Book Antiqua"/>
                                <w:color w:val="000000" w:themeColor="text1"/>
                                <w:kern w:val="24"/>
                                <w:sz w:val="16"/>
                                <w:szCs w:val="16"/>
                              </w:rPr>
                              <w:t xml:space="preserve"> 10</w:t>
                            </w:r>
                            <w:r w:rsidRPr="00F10A59">
                              <w:rPr>
                                <w:rFonts w:ascii="Book Antiqua" w:hAnsi="Book Antiqua"/>
                                <w:color w:val="000000" w:themeColor="text1"/>
                                <w:kern w:val="24"/>
                                <w:sz w:val="16"/>
                                <w:szCs w:val="16"/>
                                <w:vertAlign w:val="superscript"/>
                              </w:rPr>
                              <w:t>9</w:t>
                            </w:r>
                            <w:r w:rsidRPr="00F10A59">
                              <w:rPr>
                                <w:rFonts w:ascii="Book Antiqua" w:hAnsi="Book Antiqua"/>
                                <w:color w:val="000000" w:themeColor="text1"/>
                                <w:kern w:val="24"/>
                                <w:sz w:val="16"/>
                                <w:szCs w:val="16"/>
                              </w:rPr>
                              <w:t>/L</w:t>
                            </w:r>
                          </w:p>
                          <w:p w14:paraId="242F4E5C" w14:textId="77777777" w:rsidR="00A94344" w:rsidRPr="00F10A59" w:rsidRDefault="00A94344" w:rsidP="00CD2B40">
                            <w:pPr>
                              <w:pStyle w:val="ab"/>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Ava – 60 mg</w:t>
                            </w:r>
                          </w:p>
                          <w:p w14:paraId="45DDD2F9" w14:textId="77777777" w:rsidR="00A94344" w:rsidRPr="00F10A59" w:rsidRDefault="00A94344" w:rsidP="00CD2B40">
                            <w:pPr>
                              <w:pStyle w:val="ab"/>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Lusu – 3 mg</w:t>
                            </w:r>
                          </w:p>
                          <w:p w14:paraId="69F37318" w14:textId="0DB4FBEC" w:rsidR="00A94344" w:rsidRPr="00F10A59" w:rsidRDefault="00A94344" w:rsidP="00CD2B40">
                            <w:pPr>
                              <w:pStyle w:val="ab"/>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 xml:space="preserve">40-50 </w:t>
                            </w:r>
                            <w:r>
                              <w:rPr>
                                <w:rFonts w:ascii="Book Antiqua" w:hAnsi="Book Antiqua"/>
                                <w:color w:val="000000" w:themeColor="text1"/>
                                <w:kern w:val="24"/>
                                <w:sz w:val="16"/>
                                <w:szCs w:val="16"/>
                              </w:rPr>
                              <w:sym w:font="Symbol" w:char="F0B4"/>
                            </w:r>
                            <w:r w:rsidRPr="00F10A59">
                              <w:rPr>
                                <w:rFonts w:ascii="Book Antiqua" w:hAnsi="Book Antiqua"/>
                                <w:color w:val="000000" w:themeColor="text1"/>
                                <w:kern w:val="24"/>
                                <w:sz w:val="16"/>
                                <w:szCs w:val="16"/>
                              </w:rPr>
                              <w:t xml:space="preserve"> 10</w:t>
                            </w:r>
                            <w:r w:rsidRPr="00F10A59">
                              <w:rPr>
                                <w:rFonts w:ascii="Book Antiqua" w:hAnsi="Book Antiqua"/>
                                <w:color w:val="000000" w:themeColor="text1"/>
                                <w:kern w:val="24"/>
                                <w:sz w:val="16"/>
                                <w:szCs w:val="16"/>
                                <w:vertAlign w:val="superscript"/>
                              </w:rPr>
                              <w:t>9</w:t>
                            </w:r>
                            <w:r w:rsidRPr="00F10A59">
                              <w:rPr>
                                <w:rFonts w:ascii="Book Antiqua" w:hAnsi="Book Antiqua"/>
                                <w:color w:val="000000" w:themeColor="text1"/>
                                <w:kern w:val="24"/>
                                <w:sz w:val="16"/>
                                <w:szCs w:val="16"/>
                              </w:rPr>
                              <w:t>/L</w:t>
                            </w:r>
                          </w:p>
                          <w:p w14:paraId="3B935B5A" w14:textId="77777777" w:rsidR="00A94344" w:rsidRPr="00F10A59" w:rsidRDefault="00A94344" w:rsidP="00CD2B40">
                            <w:pPr>
                              <w:pStyle w:val="ab"/>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Ava – 40 mg</w:t>
                            </w:r>
                          </w:p>
                          <w:p w14:paraId="1F245A4C" w14:textId="77777777" w:rsidR="00A94344" w:rsidRPr="00F10A59" w:rsidRDefault="00A94344" w:rsidP="00CD2B40">
                            <w:pPr>
                              <w:pStyle w:val="ab"/>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Lusu – 3 mg</w:t>
                            </w:r>
                          </w:p>
                          <w:p w14:paraId="50A8DDD7"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Portal vein thrombosis ruled out</w:t>
                            </w:r>
                          </w:p>
                        </w:txbxContent>
                      </wps:txbx>
                      <wps:bodyPr wrap="square" rtlCol="0">
                        <a:noAutofit/>
                      </wps:bodyPr>
                    </wps:wsp>
                  </a:graphicData>
                </a:graphic>
              </wp:inline>
            </w:drawing>
          </mc:Choice>
          <mc:Fallback>
            <w:pict>
              <v:shape w14:anchorId="0E6A40DD" id="TextBox 25" o:spid="_x0000_s1039" type="#_x0000_t202" style="width:169.95pt;height:19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" filled="f" strokecolor="black [3213]">
                <v:textbox>
                  <w:txbxContent>
                    <w:p w14:paraId="6EEC6368" w14:textId="2E1210F8" w:rsidR="00A94344" w:rsidRPr="00F10A59" w:rsidRDefault="00A94344" w:rsidP="00B365DB">
                      <w:pPr>
                        <w:rPr>
                          <w:rFonts w:ascii="Book Antiqua" w:hAnsi="Book Antiqua"/>
                          <w:sz w:val="24"/>
                          <w:szCs w:val="24"/>
                        </w:rPr>
                      </w:pPr>
                      <w:r w:rsidRPr="00F10A59">
                        <w:rPr>
                          <w:rFonts w:ascii="Book Antiqua" w:hAnsi="Book Antiqua"/>
                          <w:b/>
                          <w:bCs/>
                          <w:color w:val="000000" w:themeColor="text1"/>
                          <w:kern w:val="24"/>
                          <w:sz w:val="24"/>
                          <w:szCs w:val="24"/>
                        </w:rPr>
                        <w:t>Inclusion/Exclusion criteria</w:t>
                      </w:r>
                    </w:p>
                    <w:p w14:paraId="7DAE82A4"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Chronic liver disease</w:t>
                      </w:r>
                    </w:p>
                    <w:p w14:paraId="2AD6DA12"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hint="eastAsia"/>
                          <w:color w:val="000000" w:themeColor="text1"/>
                          <w:kern w:val="24"/>
                          <w:sz w:val="16"/>
                          <w:szCs w:val="16"/>
                        </w:rPr>
                        <w:t>±</w:t>
                      </w:r>
                      <w:r w:rsidRPr="00F10A59">
                        <w:rPr>
                          <w:rFonts w:ascii="Book Antiqua" w:hAnsi="Book Antiqua"/>
                          <w:color w:val="000000" w:themeColor="text1"/>
                          <w:kern w:val="24"/>
                          <w:sz w:val="16"/>
                          <w:szCs w:val="16"/>
                        </w:rPr>
                        <w:t xml:space="preserve"> Hepatocellular carcinoma</w:t>
                      </w:r>
                    </w:p>
                    <w:p w14:paraId="0F78AE32"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Cirrhosis</w:t>
                      </w:r>
                    </w:p>
                    <w:p w14:paraId="23BF7CD9" w14:textId="77777777" w:rsidR="00A94344" w:rsidRPr="00F10A59" w:rsidRDefault="00A94344" w:rsidP="00CD2B40">
                      <w:pPr>
                        <w:pStyle w:val="ab"/>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Child Pugh A, B</w:t>
                      </w:r>
                    </w:p>
                    <w:p w14:paraId="04254BA8" w14:textId="77777777" w:rsidR="00A94344" w:rsidRPr="00F10A59" w:rsidRDefault="00A94344" w:rsidP="00CD2B40">
                      <w:pPr>
                        <w:pStyle w:val="ab"/>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Child Pugh C (enrolled only in Ava trials)</w:t>
                      </w:r>
                    </w:p>
                    <w:p w14:paraId="25D40FB3"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Elective procedure with moderate/high risk for bleeding</w:t>
                      </w:r>
                    </w:p>
                    <w:p w14:paraId="536B0B2F"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Pre-procedure platelets</w:t>
                      </w:r>
                    </w:p>
                    <w:p w14:paraId="4C98FD04" w14:textId="64F5A508" w:rsidR="00A94344" w:rsidRPr="00F10A59" w:rsidRDefault="00A94344" w:rsidP="00CD2B40">
                      <w:pPr>
                        <w:pStyle w:val="ab"/>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&lt;</w:t>
                      </w:r>
                      <w:r>
                        <w:rPr>
                          <w:rFonts w:ascii="Book Antiqua" w:hAnsi="Book Antiqua" w:hint="eastAsia"/>
                          <w:color w:val="000000" w:themeColor="text1"/>
                          <w:kern w:val="24"/>
                          <w:sz w:val="16"/>
                          <w:szCs w:val="16"/>
                          <w:lang w:eastAsia="zh-CN"/>
                        </w:rPr>
                        <w:t xml:space="preserve"> </w:t>
                      </w:r>
                      <w:r w:rsidRPr="00F10A59">
                        <w:rPr>
                          <w:rFonts w:ascii="Book Antiqua" w:hAnsi="Book Antiqua"/>
                          <w:color w:val="000000" w:themeColor="text1"/>
                          <w:kern w:val="24"/>
                          <w:sz w:val="16"/>
                          <w:szCs w:val="16"/>
                        </w:rPr>
                        <w:t xml:space="preserve">40 </w:t>
                      </w:r>
                      <w:r>
                        <w:rPr>
                          <w:rFonts w:ascii="Book Antiqua" w:hAnsi="Book Antiqua"/>
                          <w:color w:val="000000" w:themeColor="text1"/>
                          <w:kern w:val="24"/>
                          <w:sz w:val="16"/>
                          <w:szCs w:val="16"/>
                        </w:rPr>
                        <w:sym w:font="Symbol" w:char="F0B4"/>
                      </w:r>
                      <w:r w:rsidRPr="00F10A59">
                        <w:rPr>
                          <w:rFonts w:ascii="Book Antiqua" w:hAnsi="Book Antiqua"/>
                          <w:color w:val="000000" w:themeColor="text1"/>
                          <w:kern w:val="24"/>
                          <w:sz w:val="16"/>
                          <w:szCs w:val="16"/>
                        </w:rPr>
                        <w:t xml:space="preserve"> 10</w:t>
                      </w:r>
                      <w:r w:rsidRPr="00F10A59">
                        <w:rPr>
                          <w:rFonts w:ascii="Book Antiqua" w:hAnsi="Book Antiqua"/>
                          <w:color w:val="000000" w:themeColor="text1"/>
                          <w:kern w:val="24"/>
                          <w:sz w:val="16"/>
                          <w:szCs w:val="16"/>
                          <w:vertAlign w:val="superscript"/>
                        </w:rPr>
                        <w:t>9</w:t>
                      </w:r>
                      <w:r w:rsidRPr="00F10A59">
                        <w:rPr>
                          <w:rFonts w:ascii="Book Antiqua" w:hAnsi="Book Antiqua"/>
                          <w:color w:val="000000" w:themeColor="text1"/>
                          <w:kern w:val="24"/>
                          <w:sz w:val="16"/>
                          <w:szCs w:val="16"/>
                        </w:rPr>
                        <w:t>/L</w:t>
                      </w:r>
                    </w:p>
                    <w:p w14:paraId="242F4E5C" w14:textId="77777777" w:rsidR="00A94344" w:rsidRPr="00F10A59" w:rsidRDefault="00A94344" w:rsidP="00CD2B40">
                      <w:pPr>
                        <w:pStyle w:val="ab"/>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Ava – 60 mg</w:t>
                      </w:r>
                    </w:p>
                    <w:p w14:paraId="45DDD2F9" w14:textId="77777777" w:rsidR="00A94344" w:rsidRPr="00F10A59" w:rsidRDefault="00A94344" w:rsidP="00CD2B40">
                      <w:pPr>
                        <w:pStyle w:val="ab"/>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Lusu – 3 mg</w:t>
                      </w:r>
                    </w:p>
                    <w:p w14:paraId="69F37318" w14:textId="0DB4FBEC" w:rsidR="00A94344" w:rsidRPr="00F10A59" w:rsidRDefault="00A94344" w:rsidP="00CD2B40">
                      <w:pPr>
                        <w:pStyle w:val="ab"/>
                        <w:spacing w:after="0" w:line="240" w:lineRule="auto"/>
                        <w:ind w:left="1440"/>
                        <w:rPr>
                          <w:rFonts w:ascii="Book Antiqua" w:eastAsia="Times New Roman" w:hAnsi="Book Antiqua"/>
                          <w:sz w:val="16"/>
                          <w:szCs w:val="16"/>
                        </w:rPr>
                      </w:pPr>
                      <w:r w:rsidRPr="00F10A59">
                        <w:rPr>
                          <w:rFonts w:ascii="Book Antiqua" w:hAnsi="Book Antiqua"/>
                          <w:color w:val="000000" w:themeColor="text1"/>
                          <w:kern w:val="24"/>
                          <w:sz w:val="16"/>
                          <w:szCs w:val="16"/>
                        </w:rPr>
                        <w:t xml:space="preserve">40-50 </w:t>
                      </w:r>
                      <w:r>
                        <w:rPr>
                          <w:rFonts w:ascii="Book Antiqua" w:hAnsi="Book Antiqua"/>
                          <w:color w:val="000000" w:themeColor="text1"/>
                          <w:kern w:val="24"/>
                          <w:sz w:val="16"/>
                          <w:szCs w:val="16"/>
                        </w:rPr>
                        <w:sym w:font="Symbol" w:char="F0B4"/>
                      </w:r>
                      <w:r w:rsidRPr="00F10A59">
                        <w:rPr>
                          <w:rFonts w:ascii="Book Antiqua" w:hAnsi="Book Antiqua"/>
                          <w:color w:val="000000" w:themeColor="text1"/>
                          <w:kern w:val="24"/>
                          <w:sz w:val="16"/>
                          <w:szCs w:val="16"/>
                        </w:rPr>
                        <w:t xml:space="preserve"> 10</w:t>
                      </w:r>
                      <w:r w:rsidRPr="00F10A59">
                        <w:rPr>
                          <w:rFonts w:ascii="Book Antiqua" w:hAnsi="Book Antiqua"/>
                          <w:color w:val="000000" w:themeColor="text1"/>
                          <w:kern w:val="24"/>
                          <w:sz w:val="16"/>
                          <w:szCs w:val="16"/>
                          <w:vertAlign w:val="superscript"/>
                        </w:rPr>
                        <w:t>9</w:t>
                      </w:r>
                      <w:r w:rsidRPr="00F10A59">
                        <w:rPr>
                          <w:rFonts w:ascii="Book Antiqua" w:hAnsi="Book Antiqua"/>
                          <w:color w:val="000000" w:themeColor="text1"/>
                          <w:kern w:val="24"/>
                          <w:sz w:val="16"/>
                          <w:szCs w:val="16"/>
                        </w:rPr>
                        <w:t>/L</w:t>
                      </w:r>
                    </w:p>
                    <w:p w14:paraId="3B935B5A" w14:textId="77777777" w:rsidR="00A94344" w:rsidRPr="00F10A59" w:rsidRDefault="00A94344" w:rsidP="00CD2B40">
                      <w:pPr>
                        <w:pStyle w:val="ab"/>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Ava – 40 mg</w:t>
                      </w:r>
                    </w:p>
                    <w:p w14:paraId="1F245A4C" w14:textId="77777777" w:rsidR="00A94344" w:rsidRPr="00F10A59" w:rsidRDefault="00A94344" w:rsidP="00CD2B40">
                      <w:pPr>
                        <w:pStyle w:val="ab"/>
                        <w:spacing w:after="0" w:line="240" w:lineRule="auto"/>
                        <w:ind w:left="2160"/>
                        <w:rPr>
                          <w:rFonts w:ascii="Book Antiqua" w:eastAsia="Times New Roman" w:hAnsi="Book Antiqua"/>
                          <w:sz w:val="16"/>
                          <w:szCs w:val="16"/>
                        </w:rPr>
                      </w:pPr>
                      <w:r w:rsidRPr="00F10A59">
                        <w:rPr>
                          <w:rFonts w:ascii="Book Antiqua" w:hAnsi="Book Antiqua"/>
                          <w:color w:val="000000" w:themeColor="text1"/>
                          <w:kern w:val="24"/>
                          <w:sz w:val="16"/>
                          <w:szCs w:val="16"/>
                        </w:rPr>
                        <w:t>Lusu – 3 mg</w:t>
                      </w:r>
                    </w:p>
                    <w:p w14:paraId="50A8DDD7" w14:textId="77777777" w:rsidR="00A94344" w:rsidRPr="00F10A59" w:rsidRDefault="00A94344" w:rsidP="00CD2B40">
                      <w:pPr>
                        <w:pStyle w:val="ab"/>
                        <w:spacing w:after="0" w:line="240" w:lineRule="auto"/>
                        <w:rPr>
                          <w:rFonts w:ascii="Book Antiqua" w:eastAsia="Times New Roman" w:hAnsi="Book Antiqua"/>
                          <w:sz w:val="16"/>
                          <w:szCs w:val="16"/>
                        </w:rPr>
                      </w:pPr>
                      <w:r w:rsidRPr="00F10A59">
                        <w:rPr>
                          <w:rFonts w:ascii="Book Antiqua" w:hAnsi="Book Antiqua"/>
                          <w:color w:val="000000" w:themeColor="text1"/>
                          <w:kern w:val="24"/>
                          <w:sz w:val="16"/>
                          <w:szCs w:val="16"/>
                        </w:rPr>
                        <w:t>Portal vein thrombosis ruled out</w:t>
                      </w:r>
                    </w:p>
                  </w:txbxContent>
                </v:textbox>
                <w10:anchorlock/>
              </v:shape>
            </w:pict>
          </mc:Fallback>
        </mc:AlternateContent>
      </w:r>
    </w:p>
    <w:p w14:paraId="128047C3" w14:textId="4D9630EB" w:rsidR="007F1763" w:rsidRPr="00B747CD" w:rsidRDefault="00B365DB" w:rsidP="00B747CD">
      <w:pPr>
        <w:adjustRightInd w:val="0"/>
        <w:snapToGrid w:val="0"/>
        <w:spacing w:after="0" w:line="360" w:lineRule="auto"/>
        <w:jc w:val="both"/>
        <w:rPr>
          <w:rFonts w:ascii="Book Antiqua" w:hAnsi="Book Antiqua"/>
          <w:color w:val="000000" w:themeColor="text1"/>
          <w:sz w:val="24"/>
          <w:szCs w:val="24"/>
          <w:lang w:eastAsia="zh-CN"/>
        </w:rPr>
      </w:pPr>
      <w:r w:rsidRPr="00B747CD">
        <w:rPr>
          <w:rFonts w:ascii="Book Antiqua" w:hAnsi="Book Antiqua"/>
          <w:noProof/>
          <w:color w:val="000000" w:themeColor="text1"/>
          <w:sz w:val="24"/>
          <w:szCs w:val="24"/>
        </w:rPr>
        <w:t xml:space="preserve"> </w:t>
      </w:r>
      <w:r w:rsidR="00D5754C" w:rsidRPr="00B747CD">
        <w:rPr>
          <w:rFonts w:ascii="Book Antiqua" w:hAnsi="Book Antiqua" w:cs="Arial"/>
          <w:b/>
          <w:color w:val="000000" w:themeColor="text1"/>
          <w:sz w:val="24"/>
          <w:szCs w:val="24"/>
        </w:rPr>
        <w:t>Figure 1</w:t>
      </w:r>
      <w:r w:rsidR="00D5754C" w:rsidRPr="00B747CD">
        <w:rPr>
          <w:rFonts w:ascii="Book Antiqua" w:hAnsi="Book Antiqua" w:cs="Arial"/>
          <w:color w:val="000000" w:themeColor="text1"/>
          <w:sz w:val="24"/>
          <w:szCs w:val="24"/>
        </w:rPr>
        <w:t xml:space="preserve"> </w:t>
      </w:r>
      <w:r w:rsidR="00D5754C" w:rsidRPr="00B747CD">
        <w:rPr>
          <w:rFonts w:ascii="Book Antiqua" w:hAnsi="Book Antiqua" w:cs="Arial"/>
          <w:b/>
          <w:bCs/>
          <w:color w:val="000000" w:themeColor="text1"/>
          <w:sz w:val="24"/>
          <w:szCs w:val="24"/>
        </w:rPr>
        <w:t>Pati</w:t>
      </w:r>
      <w:r w:rsidR="002D3936" w:rsidRPr="00B747CD">
        <w:rPr>
          <w:rFonts w:ascii="Book Antiqua" w:hAnsi="Book Antiqua" w:cs="Arial"/>
          <w:b/>
          <w:bCs/>
          <w:color w:val="000000" w:themeColor="text1"/>
          <w:sz w:val="24"/>
          <w:szCs w:val="24"/>
        </w:rPr>
        <w:t>ent criteria and general schema</w:t>
      </w:r>
      <w:r w:rsidR="002D3936" w:rsidRPr="00B747CD">
        <w:rPr>
          <w:rFonts w:ascii="Book Antiqua" w:hAnsi="Book Antiqua" w:cs="Arial"/>
          <w:b/>
          <w:bCs/>
          <w:color w:val="000000" w:themeColor="text1"/>
          <w:sz w:val="24"/>
          <w:szCs w:val="24"/>
          <w:lang w:eastAsia="zh-CN"/>
        </w:rPr>
        <w:t xml:space="preserve"> </w:t>
      </w:r>
      <w:r w:rsidR="00D5754C" w:rsidRPr="00B747CD">
        <w:rPr>
          <w:rFonts w:ascii="Book Antiqua" w:hAnsi="Book Antiqua" w:cs="Arial"/>
          <w:b/>
          <w:bCs/>
          <w:color w:val="000000" w:themeColor="text1"/>
          <w:sz w:val="24"/>
          <w:szCs w:val="24"/>
        </w:rPr>
        <w:t xml:space="preserve">for administration of oral </w:t>
      </w:r>
      <w:r w:rsidR="00D5754C" w:rsidRPr="00B747CD">
        <w:rPr>
          <w:rFonts w:ascii="Book Antiqua" w:eastAsia="Times New Roman" w:hAnsi="Book Antiqua" w:cs="Arial"/>
          <w:b/>
          <w:bCs/>
          <w:color w:val="000000" w:themeColor="text1"/>
          <w:sz w:val="24"/>
          <w:szCs w:val="24"/>
        </w:rPr>
        <w:t xml:space="preserve">thrombopoietin-receptor agonists </w:t>
      </w:r>
      <w:r w:rsidR="00D5754C" w:rsidRPr="00B747CD">
        <w:rPr>
          <w:rFonts w:ascii="Book Antiqua" w:hAnsi="Book Antiqua" w:cs="Arial"/>
          <w:b/>
          <w:bCs/>
          <w:color w:val="000000" w:themeColor="text1"/>
          <w:sz w:val="24"/>
          <w:szCs w:val="24"/>
        </w:rPr>
        <w:t>in patients with chronic liver disease and thrombocytopenia scheduled to undergo a procedure.</w:t>
      </w:r>
      <w:r w:rsidR="00F10A59" w:rsidRPr="00B747CD">
        <w:rPr>
          <w:rFonts w:ascii="Book Antiqua" w:hAnsi="Book Antiqua" w:cs="Arial"/>
          <w:b/>
          <w:bCs/>
          <w:color w:val="000000" w:themeColor="text1"/>
          <w:sz w:val="24"/>
          <w:szCs w:val="24"/>
        </w:rPr>
        <w:t xml:space="preserve"> </w:t>
      </w:r>
      <w:r w:rsidR="00F10A59" w:rsidRPr="00B747CD">
        <w:rPr>
          <w:rFonts w:ascii="Book Antiqua" w:hAnsi="Book Antiqua"/>
          <w:color w:val="000000" w:themeColor="text1"/>
          <w:kern w:val="24"/>
          <w:sz w:val="24"/>
          <w:szCs w:val="24"/>
        </w:rPr>
        <w:t>Ava</w:t>
      </w:r>
      <w:r w:rsidR="009326F9" w:rsidRPr="00B747CD">
        <w:rPr>
          <w:rFonts w:ascii="Book Antiqua" w:hAnsi="Book Antiqua"/>
          <w:color w:val="000000" w:themeColor="text1"/>
          <w:kern w:val="24"/>
          <w:sz w:val="24"/>
          <w:szCs w:val="24"/>
        </w:rPr>
        <w:t>:</w:t>
      </w:r>
      <w:r w:rsidR="00F10A59" w:rsidRPr="00B747CD">
        <w:rPr>
          <w:rFonts w:ascii="Book Antiqua" w:hAnsi="Book Antiqua"/>
          <w:color w:val="000000" w:themeColor="text1"/>
          <w:kern w:val="24"/>
          <w:sz w:val="24"/>
          <w:szCs w:val="24"/>
        </w:rPr>
        <w:t xml:space="preserve"> </w:t>
      </w:r>
      <w:proofErr w:type="spellStart"/>
      <w:r w:rsidR="00F10A59" w:rsidRPr="00B747CD">
        <w:rPr>
          <w:rFonts w:ascii="Book Antiqua" w:hAnsi="Book Antiqua"/>
          <w:color w:val="000000" w:themeColor="text1"/>
          <w:kern w:val="24"/>
          <w:sz w:val="24"/>
          <w:szCs w:val="24"/>
        </w:rPr>
        <w:t>Avatrombopag</w:t>
      </w:r>
      <w:proofErr w:type="spellEnd"/>
      <w:r w:rsidR="00F10A59" w:rsidRPr="00B747CD">
        <w:rPr>
          <w:rFonts w:ascii="Book Antiqua" w:hAnsi="Book Antiqua"/>
          <w:color w:val="000000" w:themeColor="text1"/>
          <w:kern w:val="24"/>
          <w:sz w:val="24"/>
          <w:szCs w:val="24"/>
        </w:rPr>
        <w:t xml:space="preserve">; </w:t>
      </w:r>
      <w:proofErr w:type="spellStart"/>
      <w:r w:rsidR="00F10A59" w:rsidRPr="00B747CD">
        <w:rPr>
          <w:rFonts w:ascii="Book Antiqua" w:hAnsi="Book Antiqua"/>
          <w:color w:val="000000" w:themeColor="text1"/>
          <w:kern w:val="24"/>
          <w:sz w:val="24"/>
          <w:szCs w:val="24"/>
        </w:rPr>
        <w:t>Lusu</w:t>
      </w:r>
      <w:proofErr w:type="spellEnd"/>
      <w:r w:rsidR="009326F9" w:rsidRPr="00B747CD">
        <w:rPr>
          <w:rFonts w:ascii="Book Antiqua" w:hAnsi="Book Antiqua"/>
          <w:color w:val="000000" w:themeColor="text1"/>
          <w:kern w:val="24"/>
          <w:sz w:val="24"/>
          <w:szCs w:val="24"/>
        </w:rPr>
        <w:t>:</w:t>
      </w:r>
      <w:r w:rsidR="00F10A59" w:rsidRPr="00B747CD">
        <w:rPr>
          <w:rFonts w:ascii="Book Antiqua" w:hAnsi="Book Antiqua"/>
          <w:color w:val="000000" w:themeColor="text1"/>
          <w:kern w:val="24"/>
          <w:sz w:val="24"/>
          <w:szCs w:val="24"/>
        </w:rPr>
        <w:t xml:space="preserve"> </w:t>
      </w:r>
      <w:proofErr w:type="spellStart"/>
      <w:r w:rsidR="00F10A59" w:rsidRPr="00B747CD">
        <w:rPr>
          <w:rFonts w:ascii="Book Antiqua" w:hAnsi="Book Antiqua"/>
          <w:color w:val="000000" w:themeColor="text1"/>
          <w:kern w:val="24"/>
          <w:sz w:val="24"/>
          <w:szCs w:val="24"/>
        </w:rPr>
        <w:t>Lusutrombopag</w:t>
      </w:r>
      <w:proofErr w:type="spellEnd"/>
      <w:r w:rsidR="00A22945" w:rsidRPr="00B747CD">
        <w:rPr>
          <w:rFonts w:ascii="Book Antiqua" w:hAnsi="Book Antiqua"/>
          <w:color w:val="000000" w:themeColor="text1"/>
          <w:kern w:val="24"/>
          <w:sz w:val="24"/>
          <w:szCs w:val="24"/>
          <w:lang w:eastAsia="zh-CN"/>
        </w:rPr>
        <w:t>;</w:t>
      </w:r>
      <w:r w:rsidR="00A22945" w:rsidRPr="00B747CD">
        <w:rPr>
          <w:rFonts w:ascii="Book Antiqua" w:hAnsi="Book Antiqua"/>
          <w:bCs/>
          <w:color w:val="000000" w:themeColor="text1"/>
          <w:kern w:val="24"/>
          <w:sz w:val="24"/>
          <w:szCs w:val="24"/>
        </w:rPr>
        <w:t xml:space="preserve"> TPO-RAs</w:t>
      </w:r>
      <w:r w:rsidR="00A22945" w:rsidRPr="00B747CD">
        <w:rPr>
          <w:rFonts w:ascii="Book Antiqua" w:hAnsi="Book Antiqua"/>
          <w:bCs/>
          <w:color w:val="000000" w:themeColor="text1"/>
          <w:kern w:val="24"/>
          <w:sz w:val="24"/>
          <w:szCs w:val="24"/>
          <w:lang w:eastAsia="zh-CN"/>
        </w:rPr>
        <w:t>:</w:t>
      </w:r>
      <w:r w:rsidR="007F1763" w:rsidRPr="00B747CD">
        <w:rPr>
          <w:rFonts w:ascii="Book Antiqua" w:eastAsia="Times New Roman" w:hAnsi="Book Antiqua" w:cs="Arial"/>
          <w:color w:val="000000" w:themeColor="text1"/>
          <w:sz w:val="24"/>
          <w:szCs w:val="24"/>
        </w:rPr>
        <w:t xml:space="preserve"> Thrombopoietin-receptor agonists</w:t>
      </w:r>
      <w:r w:rsidR="007F1763" w:rsidRPr="00B747CD">
        <w:rPr>
          <w:rFonts w:ascii="Book Antiqua" w:hAnsi="Book Antiqua" w:cs="Arial"/>
          <w:color w:val="000000" w:themeColor="text1"/>
          <w:sz w:val="24"/>
          <w:szCs w:val="24"/>
          <w:lang w:eastAsia="zh-CN"/>
        </w:rPr>
        <w:t>.</w:t>
      </w:r>
    </w:p>
    <w:p w14:paraId="5E203D1E" w14:textId="75C4D72F" w:rsidR="002C1C2F" w:rsidRPr="00B747CD" w:rsidRDefault="002C1C2F" w:rsidP="00B747CD">
      <w:pPr>
        <w:adjustRightInd w:val="0"/>
        <w:snapToGrid w:val="0"/>
        <w:spacing w:after="0" w:line="360" w:lineRule="auto"/>
        <w:jc w:val="both"/>
        <w:rPr>
          <w:rFonts w:ascii="Book Antiqua" w:hAnsi="Book Antiqua"/>
          <w:color w:val="000000" w:themeColor="text1"/>
          <w:sz w:val="24"/>
          <w:szCs w:val="24"/>
          <w:lang w:eastAsia="zh-CN"/>
        </w:rPr>
      </w:pPr>
    </w:p>
    <w:p w14:paraId="36BA20F2" w14:textId="77777777" w:rsidR="002C1C2F" w:rsidRPr="00B747CD" w:rsidRDefault="002C1C2F" w:rsidP="00B747CD">
      <w:pPr>
        <w:adjustRightInd w:val="0"/>
        <w:snapToGrid w:val="0"/>
        <w:spacing w:after="0" w:line="360" w:lineRule="auto"/>
        <w:jc w:val="both"/>
        <w:rPr>
          <w:rFonts w:ascii="Book Antiqua" w:hAnsi="Book Antiqua" w:cs="Arial"/>
          <w:b/>
          <w:color w:val="000000" w:themeColor="text1"/>
          <w:sz w:val="24"/>
          <w:szCs w:val="24"/>
        </w:rPr>
      </w:pPr>
      <w:r w:rsidRPr="00B747CD">
        <w:rPr>
          <w:rFonts w:ascii="Book Antiqua" w:hAnsi="Book Antiqua" w:cs="Arial"/>
          <w:b/>
          <w:color w:val="000000" w:themeColor="text1"/>
          <w:sz w:val="24"/>
          <w:szCs w:val="24"/>
        </w:rPr>
        <w:br w:type="page"/>
      </w:r>
    </w:p>
    <w:p w14:paraId="7A88E2E2" w14:textId="148BE64F" w:rsidR="0089274F" w:rsidRPr="00B747CD" w:rsidRDefault="0089274F" w:rsidP="00B747CD">
      <w:pPr>
        <w:adjustRightInd w:val="0"/>
        <w:snapToGrid w:val="0"/>
        <w:spacing w:after="0" w:line="360" w:lineRule="auto"/>
        <w:jc w:val="both"/>
        <w:rPr>
          <w:rFonts w:ascii="Book Antiqua" w:hAnsi="Book Antiqua" w:cs="Arial"/>
          <w:b/>
          <w:bCs/>
          <w:color w:val="000000" w:themeColor="text1"/>
          <w:sz w:val="24"/>
          <w:szCs w:val="24"/>
        </w:rPr>
      </w:pPr>
      <w:r w:rsidRPr="00B747CD">
        <w:rPr>
          <w:rFonts w:ascii="Book Antiqua" w:hAnsi="Book Antiqua" w:cs="Arial"/>
          <w:b/>
          <w:color w:val="000000" w:themeColor="text1"/>
          <w:sz w:val="24"/>
          <w:szCs w:val="24"/>
        </w:rPr>
        <w:lastRenderedPageBreak/>
        <w:t xml:space="preserve">Table 1 </w:t>
      </w:r>
      <w:r w:rsidR="00D5754C" w:rsidRPr="00B747CD">
        <w:rPr>
          <w:rFonts w:ascii="Book Antiqua" w:hAnsi="Book Antiqua" w:cs="Arial"/>
          <w:b/>
          <w:bCs/>
          <w:color w:val="000000" w:themeColor="text1"/>
          <w:sz w:val="24"/>
          <w:szCs w:val="24"/>
        </w:rPr>
        <w:t>E</w:t>
      </w:r>
      <w:r w:rsidRPr="00B747CD">
        <w:rPr>
          <w:rFonts w:ascii="Book Antiqua" w:hAnsi="Book Antiqua" w:cs="Arial"/>
          <w:b/>
          <w:bCs/>
          <w:color w:val="000000" w:themeColor="text1"/>
          <w:sz w:val="24"/>
          <w:szCs w:val="24"/>
        </w:rPr>
        <w:t xml:space="preserve">fficacy and safety results from clinical trials studying the effect of perioperative use of </w:t>
      </w:r>
      <w:r w:rsidR="00D5754C" w:rsidRPr="00B747CD">
        <w:rPr>
          <w:rFonts w:ascii="Book Antiqua" w:eastAsia="Times New Roman" w:hAnsi="Book Antiqua" w:cs="Arial"/>
          <w:b/>
          <w:bCs/>
          <w:color w:val="000000" w:themeColor="text1"/>
          <w:sz w:val="24"/>
          <w:szCs w:val="24"/>
        </w:rPr>
        <w:t>thrombopoietin-receptor agonists</w:t>
      </w:r>
      <w:r w:rsidR="00D5754C" w:rsidRPr="00B747CD" w:rsidDel="00D5754C">
        <w:rPr>
          <w:rFonts w:ascii="Book Antiqua" w:hAnsi="Book Antiqua" w:cs="Arial"/>
          <w:b/>
          <w:bCs/>
          <w:color w:val="000000" w:themeColor="text1"/>
          <w:sz w:val="24"/>
          <w:szCs w:val="24"/>
        </w:rPr>
        <w:t xml:space="preserve"> </w:t>
      </w:r>
      <w:r w:rsidRPr="00B747CD">
        <w:rPr>
          <w:rFonts w:ascii="Book Antiqua" w:hAnsi="Book Antiqua" w:cs="Arial"/>
          <w:b/>
          <w:bCs/>
          <w:color w:val="000000" w:themeColor="text1"/>
          <w:sz w:val="24"/>
          <w:szCs w:val="24"/>
        </w:rPr>
        <w:t>in patients with thrombocytopenia</w:t>
      </w:r>
    </w:p>
    <w:tbl>
      <w:tblPr>
        <w:tblStyle w:val="af7"/>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2266"/>
        <w:gridCol w:w="3023"/>
        <w:gridCol w:w="2409"/>
      </w:tblGrid>
      <w:tr w:rsidR="007F1763" w:rsidRPr="00B747CD" w14:paraId="4709A515" w14:textId="77777777" w:rsidTr="00A22945">
        <w:tc>
          <w:tcPr>
            <w:tcW w:w="1936" w:type="dxa"/>
            <w:tcBorders>
              <w:top w:val="single" w:sz="4" w:space="0" w:color="auto"/>
              <w:bottom w:val="single" w:sz="4" w:space="0" w:color="auto"/>
            </w:tcBorders>
          </w:tcPr>
          <w:p w14:paraId="70750364" w14:textId="60C12190" w:rsidR="0089274F" w:rsidRPr="00B747CD" w:rsidRDefault="002D3936" w:rsidP="00B747CD">
            <w:pPr>
              <w:adjustRightInd w:val="0"/>
              <w:snapToGrid w:val="0"/>
              <w:spacing w:line="360" w:lineRule="auto"/>
              <w:jc w:val="both"/>
              <w:rPr>
                <w:rFonts w:ascii="Book Antiqua" w:hAnsi="Book Antiqua" w:cs="Arial"/>
                <w:b/>
                <w:color w:val="000000" w:themeColor="text1"/>
                <w:sz w:val="24"/>
                <w:szCs w:val="24"/>
                <w:lang w:eastAsia="zh-CN"/>
              </w:rPr>
            </w:pPr>
            <w:r w:rsidRPr="00B747CD">
              <w:rPr>
                <w:rFonts w:ascii="Book Antiqua" w:hAnsi="Book Antiqua" w:cs="Arial"/>
                <w:b/>
                <w:color w:val="000000" w:themeColor="text1"/>
                <w:sz w:val="24"/>
                <w:szCs w:val="24"/>
                <w:lang w:eastAsia="zh-CN"/>
              </w:rPr>
              <w:t>Ref.</w:t>
            </w:r>
          </w:p>
        </w:tc>
        <w:tc>
          <w:tcPr>
            <w:tcW w:w="2266" w:type="dxa"/>
            <w:tcBorders>
              <w:top w:val="single" w:sz="4" w:space="0" w:color="auto"/>
              <w:bottom w:val="single" w:sz="4" w:space="0" w:color="auto"/>
            </w:tcBorders>
          </w:tcPr>
          <w:p w14:paraId="541006F1" w14:textId="77777777" w:rsidR="0089274F" w:rsidRPr="00B747CD" w:rsidRDefault="0089274F" w:rsidP="00B747CD">
            <w:pPr>
              <w:adjustRightInd w:val="0"/>
              <w:snapToGrid w:val="0"/>
              <w:spacing w:line="360" w:lineRule="auto"/>
              <w:jc w:val="both"/>
              <w:rPr>
                <w:rFonts w:ascii="Book Antiqua" w:hAnsi="Book Antiqua" w:cs="Arial"/>
                <w:b/>
                <w:color w:val="000000" w:themeColor="text1"/>
                <w:sz w:val="24"/>
                <w:szCs w:val="24"/>
              </w:rPr>
            </w:pPr>
            <w:r w:rsidRPr="00B747CD">
              <w:rPr>
                <w:rFonts w:ascii="Book Antiqua" w:hAnsi="Book Antiqua" w:cs="Arial"/>
                <w:b/>
                <w:color w:val="000000" w:themeColor="text1"/>
                <w:sz w:val="24"/>
                <w:szCs w:val="24"/>
              </w:rPr>
              <w:t>Dosing</w:t>
            </w:r>
          </w:p>
        </w:tc>
        <w:tc>
          <w:tcPr>
            <w:tcW w:w="3023" w:type="dxa"/>
            <w:tcBorders>
              <w:top w:val="single" w:sz="4" w:space="0" w:color="auto"/>
              <w:bottom w:val="single" w:sz="4" w:space="0" w:color="auto"/>
            </w:tcBorders>
          </w:tcPr>
          <w:p w14:paraId="05E72FE2" w14:textId="56CCF495" w:rsidR="0089274F" w:rsidRPr="00B747CD" w:rsidRDefault="0089274F" w:rsidP="00B747CD">
            <w:pPr>
              <w:adjustRightInd w:val="0"/>
              <w:snapToGrid w:val="0"/>
              <w:spacing w:line="360" w:lineRule="auto"/>
              <w:jc w:val="both"/>
              <w:rPr>
                <w:rFonts w:ascii="Book Antiqua" w:hAnsi="Book Antiqua" w:cs="Arial"/>
                <w:b/>
                <w:color w:val="000000" w:themeColor="text1"/>
                <w:sz w:val="24"/>
                <w:szCs w:val="24"/>
              </w:rPr>
            </w:pPr>
            <w:r w:rsidRPr="00B747CD">
              <w:rPr>
                <w:rFonts w:ascii="Book Antiqua" w:hAnsi="Book Antiqua" w:cs="Arial"/>
                <w:b/>
                <w:color w:val="000000" w:themeColor="text1"/>
                <w:sz w:val="24"/>
                <w:szCs w:val="24"/>
              </w:rPr>
              <w:t xml:space="preserve">Efficacy </w:t>
            </w:r>
            <w:r w:rsidR="00D5754C" w:rsidRPr="00B747CD">
              <w:rPr>
                <w:rFonts w:ascii="Book Antiqua" w:hAnsi="Book Antiqua" w:cs="Arial"/>
                <w:b/>
                <w:color w:val="000000" w:themeColor="text1"/>
                <w:sz w:val="24"/>
                <w:szCs w:val="24"/>
              </w:rPr>
              <w:t>r</w:t>
            </w:r>
            <w:r w:rsidRPr="00B747CD">
              <w:rPr>
                <w:rFonts w:ascii="Book Antiqua" w:hAnsi="Book Antiqua" w:cs="Arial"/>
                <w:b/>
                <w:color w:val="000000" w:themeColor="text1"/>
                <w:sz w:val="24"/>
                <w:szCs w:val="24"/>
              </w:rPr>
              <w:t>esults</w:t>
            </w:r>
          </w:p>
        </w:tc>
        <w:tc>
          <w:tcPr>
            <w:tcW w:w="2409" w:type="dxa"/>
            <w:tcBorders>
              <w:top w:val="single" w:sz="4" w:space="0" w:color="auto"/>
              <w:bottom w:val="single" w:sz="4" w:space="0" w:color="auto"/>
            </w:tcBorders>
          </w:tcPr>
          <w:p w14:paraId="1124ACE6" w14:textId="6A9698F6" w:rsidR="0089274F" w:rsidRPr="00B747CD" w:rsidRDefault="00E854D8" w:rsidP="00B747CD">
            <w:pPr>
              <w:adjustRightInd w:val="0"/>
              <w:snapToGrid w:val="0"/>
              <w:spacing w:line="360" w:lineRule="auto"/>
              <w:ind w:right="159"/>
              <w:jc w:val="both"/>
              <w:rPr>
                <w:rFonts w:ascii="Book Antiqua" w:hAnsi="Book Antiqua" w:cs="Arial"/>
                <w:b/>
                <w:color w:val="000000" w:themeColor="text1"/>
                <w:sz w:val="24"/>
                <w:szCs w:val="24"/>
              </w:rPr>
            </w:pPr>
            <w:r w:rsidRPr="00B747CD">
              <w:rPr>
                <w:rFonts w:ascii="Book Antiqua" w:hAnsi="Book Antiqua" w:cs="Arial"/>
                <w:b/>
                <w:color w:val="000000" w:themeColor="text1"/>
                <w:sz w:val="24"/>
                <w:szCs w:val="24"/>
              </w:rPr>
              <w:t>AEs</w:t>
            </w:r>
          </w:p>
        </w:tc>
      </w:tr>
      <w:tr w:rsidR="007F1763" w:rsidRPr="00B747CD" w14:paraId="508AD8FF" w14:textId="77777777" w:rsidTr="00A22945">
        <w:tc>
          <w:tcPr>
            <w:tcW w:w="9634" w:type="dxa"/>
            <w:gridSpan w:val="4"/>
            <w:tcBorders>
              <w:top w:val="single" w:sz="4" w:space="0" w:color="auto"/>
            </w:tcBorders>
          </w:tcPr>
          <w:p w14:paraId="580EF2F0" w14:textId="77777777" w:rsidR="0089274F" w:rsidRPr="00B747CD" w:rsidRDefault="0089274F" w:rsidP="00B747CD">
            <w:pPr>
              <w:adjustRightInd w:val="0"/>
              <w:snapToGrid w:val="0"/>
              <w:spacing w:line="360" w:lineRule="auto"/>
              <w:ind w:right="159"/>
              <w:jc w:val="both"/>
              <w:rPr>
                <w:rFonts w:ascii="Book Antiqua" w:hAnsi="Book Antiqua" w:cs="Arial"/>
                <w:b/>
                <w:color w:val="000000" w:themeColor="text1"/>
                <w:sz w:val="24"/>
                <w:szCs w:val="24"/>
              </w:rPr>
            </w:pPr>
            <w:r w:rsidRPr="00B747CD">
              <w:rPr>
                <w:rFonts w:ascii="Book Antiqua" w:hAnsi="Book Antiqua" w:cs="Arial"/>
                <w:b/>
                <w:color w:val="000000" w:themeColor="text1"/>
                <w:sz w:val="24"/>
                <w:szCs w:val="24"/>
              </w:rPr>
              <w:t>Romiplostim</w:t>
            </w:r>
          </w:p>
        </w:tc>
      </w:tr>
      <w:tr w:rsidR="007F1763" w:rsidRPr="00B747CD" w14:paraId="283A70B0" w14:textId="77777777" w:rsidTr="00A22945">
        <w:tc>
          <w:tcPr>
            <w:tcW w:w="1936" w:type="dxa"/>
          </w:tcPr>
          <w:p w14:paraId="79B3997B" w14:textId="1E78A78B"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proofErr w:type="spellStart"/>
            <w:r w:rsidRPr="00B747CD">
              <w:rPr>
                <w:rFonts w:ascii="Book Antiqua" w:hAnsi="Book Antiqua" w:cs="Arial"/>
                <w:color w:val="000000" w:themeColor="text1"/>
                <w:sz w:val="24"/>
                <w:szCs w:val="24"/>
              </w:rPr>
              <w:t>Basu</w:t>
            </w:r>
            <w:proofErr w:type="spellEnd"/>
            <w:r w:rsidRPr="00B747CD">
              <w:rPr>
                <w:rFonts w:ascii="Book Antiqua" w:hAnsi="Book Antiqua" w:cs="Arial"/>
                <w:color w:val="000000" w:themeColor="text1"/>
                <w:sz w:val="24"/>
                <w:szCs w:val="24"/>
              </w:rPr>
              <w:t xml:space="preserve"> </w:t>
            </w:r>
            <w:r w:rsidRPr="00B747CD">
              <w:rPr>
                <w:rFonts w:ascii="Book Antiqua" w:hAnsi="Book Antiqua" w:cs="Arial"/>
                <w:i/>
                <w:iCs/>
                <w:color w:val="000000" w:themeColor="text1"/>
                <w:sz w:val="24"/>
                <w:szCs w:val="24"/>
              </w:rPr>
              <w:t xml:space="preserve">et </w:t>
            </w:r>
            <w:proofErr w:type="gramStart"/>
            <w:r w:rsidRPr="00B747CD">
              <w:rPr>
                <w:rFonts w:ascii="Book Antiqua" w:hAnsi="Book Antiqua" w:cs="Arial"/>
                <w:i/>
                <w:iCs/>
                <w:color w:val="000000" w:themeColor="text1"/>
                <w:sz w:val="24"/>
                <w:szCs w:val="24"/>
              </w:rPr>
              <w:t>al</w:t>
            </w:r>
            <w:r w:rsidR="001D30C7" w:rsidRPr="00B747CD">
              <w:rPr>
                <w:rFonts w:ascii="Book Antiqua" w:hAnsi="Book Antiqua" w:cs="Arial"/>
                <w:iCs/>
                <w:color w:val="000000" w:themeColor="text1"/>
                <w:sz w:val="24"/>
                <w:szCs w:val="24"/>
                <w:vertAlign w:val="superscript"/>
                <w:lang w:eastAsia="zh-CN"/>
              </w:rPr>
              <w:t>[</w:t>
            </w:r>
            <w:proofErr w:type="gramEnd"/>
            <w:r w:rsidR="001D30C7" w:rsidRPr="00B747CD">
              <w:rPr>
                <w:rFonts w:ascii="Book Antiqua" w:hAnsi="Book Antiqua" w:cs="Arial"/>
                <w:iCs/>
                <w:color w:val="000000" w:themeColor="text1"/>
                <w:sz w:val="24"/>
                <w:szCs w:val="24"/>
                <w:vertAlign w:val="superscript"/>
                <w:lang w:eastAsia="zh-CN"/>
              </w:rPr>
              <w:t>38]</w:t>
            </w:r>
            <w:r w:rsidR="00B24BE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2012</w:t>
            </w:r>
          </w:p>
        </w:tc>
        <w:tc>
          <w:tcPr>
            <w:tcW w:w="2266" w:type="dxa"/>
          </w:tcPr>
          <w:p w14:paraId="7A1404A2" w14:textId="7122EAAD"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65 patients with CLD and thrombocytopenia randomized 1:1:1 to 500</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sym w:font="Symbol" w:char="F06D"/>
            </w:r>
            <w:r w:rsidRPr="00B747CD">
              <w:rPr>
                <w:rFonts w:ascii="Book Antiqua" w:hAnsi="Book Antiqua" w:cs="Arial"/>
                <w:color w:val="000000" w:themeColor="text1"/>
                <w:sz w:val="24"/>
                <w:szCs w:val="24"/>
              </w:rPr>
              <w:t>g romiplostim: 75</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mg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7 units of platelet transfusion</w:t>
            </w:r>
          </w:p>
        </w:tc>
        <w:tc>
          <w:tcPr>
            <w:tcW w:w="3023" w:type="dxa"/>
          </w:tcPr>
          <w:p w14:paraId="42F812E6" w14:textId="54B31DB7"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 xml:space="preserve">Improved platelet count &gt; 180 </w:t>
            </w:r>
            <w:r w:rsidR="00E854D8" w:rsidRPr="00B747CD">
              <w:rPr>
                <w:rFonts w:ascii="Book Antiqua" w:hAnsi="Book Antiqua"/>
                <w:color w:val="000000" w:themeColor="text1"/>
                <w:sz w:val="24"/>
                <w:szCs w:val="24"/>
              </w:rPr>
              <w:sym w:font="Symbol" w:char="F0B4"/>
            </w:r>
            <w:r w:rsidRPr="00B747CD">
              <w:rPr>
                <w:rFonts w:ascii="Book Antiqua" w:hAnsi="Book Antiqua" w:cs="Arial"/>
                <w:color w:val="000000" w:themeColor="text1"/>
                <w:sz w:val="24"/>
                <w:szCs w:val="24"/>
              </w:rPr>
              <w:t xml:space="preserve"> 10</w:t>
            </w:r>
            <w:r w:rsidRPr="00B747CD">
              <w:rPr>
                <w:rFonts w:ascii="Book Antiqua" w:hAnsi="Book Antiqua" w:cs="Arial"/>
                <w:color w:val="000000" w:themeColor="text1"/>
                <w:sz w:val="24"/>
                <w:szCs w:val="24"/>
                <w:vertAlign w:val="superscript"/>
              </w:rPr>
              <w:t>9</w:t>
            </w:r>
            <w:r w:rsidRPr="00B747CD">
              <w:rPr>
                <w:rFonts w:ascii="Book Antiqua" w:hAnsi="Book Antiqua" w:cs="Arial"/>
                <w:color w:val="000000" w:themeColor="text1"/>
                <w:sz w:val="24"/>
                <w:szCs w:val="24"/>
              </w:rPr>
              <w:t xml:space="preserve">/L in all groups </w:t>
            </w:r>
          </w:p>
        </w:tc>
        <w:tc>
          <w:tcPr>
            <w:tcW w:w="2409" w:type="dxa"/>
          </w:tcPr>
          <w:p w14:paraId="41F9D3AD" w14:textId="77777777" w:rsidR="0089274F" w:rsidRPr="00B747CD" w:rsidRDefault="0089274F" w:rsidP="00B747CD">
            <w:pPr>
              <w:adjustRightInd w:val="0"/>
              <w:snapToGrid w:val="0"/>
              <w:spacing w:line="360" w:lineRule="auto"/>
              <w:ind w:right="159"/>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Nausea, vomiting, dry mouth, headache, insomnia, irritability, local skin rash, shortness of breath, myalgia, arthralgia, erythema</w:t>
            </w:r>
          </w:p>
        </w:tc>
      </w:tr>
      <w:tr w:rsidR="007F1763" w:rsidRPr="00B747CD" w14:paraId="0A57A47C" w14:textId="77777777" w:rsidTr="00A22945">
        <w:tc>
          <w:tcPr>
            <w:tcW w:w="1936" w:type="dxa"/>
          </w:tcPr>
          <w:p w14:paraId="6501C56F" w14:textId="59324E12"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 xml:space="preserve">Moussa </w:t>
            </w:r>
            <w:r w:rsidR="00B24BE0" w:rsidRPr="00B747CD">
              <w:rPr>
                <w:rFonts w:ascii="Book Antiqua" w:hAnsi="Book Antiqua" w:cs="Arial"/>
                <w:i/>
                <w:iCs/>
                <w:color w:val="000000" w:themeColor="text1"/>
                <w:sz w:val="24"/>
                <w:szCs w:val="24"/>
              </w:rPr>
              <w:t xml:space="preserve">et </w:t>
            </w:r>
            <w:proofErr w:type="gramStart"/>
            <w:r w:rsidR="00B24BE0" w:rsidRPr="00B747CD">
              <w:rPr>
                <w:rFonts w:ascii="Book Antiqua" w:hAnsi="Book Antiqua" w:cs="Arial"/>
                <w:i/>
                <w:iCs/>
                <w:color w:val="000000" w:themeColor="text1"/>
                <w:sz w:val="24"/>
                <w:szCs w:val="24"/>
              </w:rPr>
              <w:t>al</w:t>
            </w:r>
            <w:r w:rsidR="00A22945" w:rsidRPr="00B747CD">
              <w:rPr>
                <w:rFonts w:ascii="Book Antiqua" w:hAnsi="Book Antiqua" w:cs="Arial"/>
                <w:iCs/>
                <w:color w:val="000000" w:themeColor="text1"/>
                <w:sz w:val="24"/>
                <w:szCs w:val="24"/>
                <w:vertAlign w:val="superscript"/>
                <w:lang w:eastAsia="zh-CN"/>
              </w:rPr>
              <w:t>[</w:t>
            </w:r>
            <w:proofErr w:type="gramEnd"/>
            <w:r w:rsidR="00A22945" w:rsidRPr="00B747CD">
              <w:rPr>
                <w:rFonts w:ascii="Book Antiqua" w:hAnsi="Book Antiqua" w:cs="Arial"/>
                <w:iCs/>
                <w:color w:val="000000" w:themeColor="text1"/>
                <w:sz w:val="24"/>
                <w:szCs w:val="24"/>
                <w:vertAlign w:val="superscript"/>
                <w:lang w:eastAsia="zh-CN"/>
              </w:rPr>
              <w:t>3]</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2013</w:t>
            </w:r>
          </w:p>
        </w:tc>
        <w:tc>
          <w:tcPr>
            <w:tcW w:w="2266" w:type="dxa"/>
          </w:tcPr>
          <w:p w14:paraId="100027B1" w14:textId="12877353"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35 male patients with thrombocytopenia and CLD secondary to hepatitis</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C infection</w:t>
            </w:r>
            <w:r w:rsidR="00B24BE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dosed 2</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sym w:font="Symbol" w:char="F06D"/>
            </w:r>
            <w:r w:rsidRPr="00B747CD">
              <w:rPr>
                <w:rFonts w:ascii="Book Antiqua" w:hAnsi="Book Antiqua" w:cs="Arial"/>
                <w:color w:val="000000" w:themeColor="text1"/>
                <w:sz w:val="24"/>
                <w:szCs w:val="24"/>
              </w:rPr>
              <w:t xml:space="preserve">g/kg romiplostim weekly </w:t>
            </w:r>
          </w:p>
        </w:tc>
        <w:tc>
          <w:tcPr>
            <w:tcW w:w="3023" w:type="dxa"/>
          </w:tcPr>
          <w:p w14:paraId="70FF6825" w14:textId="715FFCE8"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 xml:space="preserve">Improved platelet count </w:t>
            </w:r>
            <w:r w:rsidRPr="00B747CD">
              <w:rPr>
                <w:rFonts w:ascii="Book Antiqua" w:hAnsi="Book Antiqua"/>
                <w:color w:val="000000" w:themeColor="text1"/>
                <w:sz w:val="24"/>
                <w:szCs w:val="24"/>
              </w:rPr>
              <w:sym w:font="Symbol" w:char="F0B3"/>
            </w:r>
            <w:r w:rsidRPr="00B747CD">
              <w:rPr>
                <w:rFonts w:ascii="Book Antiqua" w:hAnsi="Book Antiqua" w:cs="Arial"/>
                <w:color w:val="000000" w:themeColor="text1"/>
                <w:sz w:val="24"/>
                <w:szCs w:val="24"/>
              </w:rPr>
              <w:t xml:space="preserve"> 70 </w:t>
            </w:r>
            <w:r w:rsidR="00E854D8" w:rsidRPr="00B747CD">
              <w:rPr>
                <w:rFonts w:ascii="Book Antiqua" w:hAnsi="Book Antiqua"/>
                <w:color w:val="000000" w:themeColor="text1"/>
                <w:sz w:val="24"/>
                <w:szCs w:val="24"/>
              </w:rPr>
              <w:sym w:font="Symbol" w:char="F0B4"/>
            </w:r>
            <w:r w:rsidRPr="00B747CD">
              <w:rPr>
                <w:rFonts w:ascii="Book Antiqua" w:hAnsi="Book Antiqua" w:cs="Arial"/>
                <w:color w:val="000000" w:themeColor="text1"/>
                <w:sz w:val="24"/>
                <w:szCs w:val="24"/>
              </w:rPr>
              <w:t xml:space="preserve"> 10</w:t>
            </w:r>
            <w:r w:rsidRPr="00B747CD">
              <w:rPr>
                <w:rFonts w:ascii="Book Antiqua" w:hAnsi="Book Antiqua" w:cs="Arial"/>
                <w:color w:val="000000" w:themeColor="text1"/>
                <w:sz w:val="24"/>
                <w:szCs w:val="24"/>
                <w:vertAlign w:val="superscript"/>
              </w:rPr>
              <w:t>9</w:t>
            </w:r>
            <w:r w:rsidRPr="00B747CD">
              <w:rPr>
                <w:rFonts w:ascii="Book Antiqua" w:hAnsi="Book Antiqua" w:cs="Arial"/>
                <w:color w:val="000000" w:themeColor="text1"/>
                <w:sz w:val="24"/>
                <w:szCs w:val="24"/>
              </w:rPr>
              <w:t xml:space="preserve">/L </w:t>
            </w:r>
          </w:p>
        </w:tc>
        <w:tc>
          <w:tcPr>
            <w:tcW w:w="2409" w:type="dxa"/>
          </w:tcPr>
          <w:p w14:paraId="119B3547" w14:textId="195583D6" w:rsidR="0089274F" w:rsidRPr="00B747CD" w:rsidRDefault="0089274F" w:rsidP="00B747CD">
            <w:pPr>
              <w:adjustRightInd w:val="0"/>
              <w:snapToGrid w:val="0"/>
              <w:spacing w:line="360" w:lineRule="auto"/>
              <w:ind w:right="159"/>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No serious AEs reported</w:t>
            </w:r>
          </w:p>
        </w:tc>
      </w:tr>
      <w:tr w:rsidR="007F1763" w:rsidRPr="00B747CD" w14:paraId="50285029" w14:textId="77777777" w:rsidTr="00A22945">
        <w:tc>
          <w:tcPr>
            <w:tcW w:w="1936" w:type="dxa"/>
          </w:tcPr>
          <w:p w14:paraId="5F4DEBA8" w14:textId="37398A85"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 xml:space="preserve">Marshall </w:t>
            </w:r>
            <w:r w:rsidR="00B24BE0" w:rsidRPr="00B747CD">
              <w:rPr>
                <w:rFonts w:ascii="Book Antiqua" w:hAnsi="Book Antiqua" w:cs="Arial"/>
                <w:i/>
                <w:iCs/>
                <w:color w:val="000000" w:themeColor="text1"/>
                <w:sz w:val="24"/>
                <w:szCs w:val="24"/>
              </w:rPr>
              <w:t xml:space="preserve">et </w:t>
            </w:r>
            <w:proofErr w:type="gramStart"/>
            <w:r w:rsidR="00B24BE0" w:rsidRPr="00B747CD">
              <w:rPr>
                <w:rFonts w:ascii="Book Antiqua" w:hAnsi="Book Antiqua" w:cs="Arial"/>
                <w:i/>
                <w:iCs/>
                <w:color w:val="000000" w:themeColor="text1"/>
                <w:sz w:val="24"/>
                <w:szCs w:val="24"/>
              </w:rPr>
              <w:t>al</w:t>
            </w:r>
            <w:r w:rsidR="00A22945" w:rsidRPr="00B747CD">
              <w:rPr>
                <w:rFonts w:ascii="Book Antiqua" w:hAnsi="Book Antiqua" w:cs="Arial"/>
                <w:iCs/>
                <w:color w:val="000000" w:themeColor="text1"/>
                <w:sz w:val="24"/>
                <w:szCs w:val="24"/>
                <w:vertAlign w:val="superscript"/>
                <w:lang w:eastAsia="zh-CN"/>
              </w:rPr>
              <w:t>[</w:t>
            </w:r>
            <w:proofErr w:type="gramEnd"/>
            <w:r w:rsidR="00A22945" w:rsidRPr="00B747CD">
              <w:rPr>
                <w:rFonts w:ascii="Book Antiqua" w:hAnsi="Book Antiqua" w:cs="Arial"/>
                <w:iCs/>
                <w:color w:val="000000" w:themeColor="text1"/>
                <w:sz w:val="24"/>
                <w:szCs w:val="24"/>
                <w:vertAlign w:val="superscript"/>
                <w:lang w:eastAsia="zh-CN"/>
              </w:rPr>
              <w:t>39]</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2015</w:t>
            </w:r>
          </w:p>
        </w:tc>
        <w:tc>
          <w:tcPr>
            <w:tcW w:w="2266" w:type="dxa"/>
          </w:tcPr>
          <w:p w14:paraId="4B56783A" w14:textId="7A2B83FC"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18 patients with various etiologies of thrombocytopenia</w:t>
            </w:r>
            <w:r w:rsidR="00B24BE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lastRenderedPageBreak/>
              <w:t>including CLD</w:t>
            </w:r>
            <w:r w:rsidR="00B24BE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undergoing wide range of procedures</w:t>
            </w:r>
          </w:p>
        </w:tc>
        <w:tc>
          <w:tcPr>
            <w:tcW w:w="3023" w:type="dxa"/>
          </w:tcPr>
          <w:p w14:paraId="4F4F2E00" w14:textId="78988FC1"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lastRenderedPageBreak/>
              <w:t>Improved platelet counts in all patients</w:t>
            </w:r>
            <w:r w:rsidR="00E854D8"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E854D8" w:rsidRPr="00B747CD">
              <w:rPr>
                <w:rFonts w:ascii="Book Antiqua" w:hAnsi="Book Antiqua" w:cs="Arial"/>
                <w:color w:val="000000" w:themeColor="text1"/>
                <w:sz w:val="24"/>
                <w:szCs w:val="24"/>
              </w:rPr>
              <w:t>a</w:t>
            </w:r>
            <w:r w:rsidRPr="00B747CD">
              <w:rPr>
                <w:rFonts w:ascii="Book Antiqua" w:hAnsi="Book Antiqua" w:cs="Arial"/>
                <w:color w:val="000000" w:themeColor="text1"/>
                <w:sz w:val="24"/>
                <w:szCs w:val="24"/>
              </w:rPr>
              <w:t xml:space="preserve">ll patients could receive surgery without delay or </w:t>
            </w:r>
            <w:r w:rsidRPr="00B747CD">
              <w:rPr>
                <w:rFonts w:ascii="Book Antiqua" w:hAnsi="Book Antiqua" w:cs="Arial"/>
                <w:color w:val="000000" w:themeColor="text1"/>
                <w:sz w:val="24"/>
                <w:szCs w:val="24"/>
              </w:rPr>
              <w:lastRenderedPageBreak/>
              <w:t>cancellation</w:t>
            </w:r>
          </w:p>
        </w:tc>
        <w:tc>
          <w:tcPr>
            <w:tcW w:w="2409" w:type="dxa"/>
          </w:tcPr>
          <w:p w14:paraId="2BA4832D" w14:textId="77777777" w:rsidR="0089274F" w:rsidRPr="00B747CD" w:rsidRDefault="0089274F" w:rsidP="00B747CD">
            <w:pPr>
              <w:adjustRightInd w:val="0"/>
              <w:snapToGrid w:val="0"/>
              <w:spacing w:line="360" w:lineRule="auto"/>
              <w:ind w:right="159"/>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lastRenderedPageBreak/>
              <w:t xml:space="preserve">No venous thromboembolic events </w:t>
            </w:r>
          </w:p>
          <w:p w14:paraId="614932A2" w14:textId="77777777" w:rsidR="0089274F" w:rsidRPr="00B747CD" w:rsidRDefault="0089274F" w:rsidP="00B747CD">
            <w:pPr>
              <w:adjustRightInd w:val="0"/>
              <w:snapToGrid w:val="0"/>
              <w:spacing w:line="360" w:lineRule="auto"/>
              <w:ind w:right="159"/>
              <w:jc w:val="both"/>
              <w:rPr>
                <w:rFonts w:ascii="Book Antiqua" w:hAnsi="Book Antiqua" w:cs="Arial"/>
                <w:color w:val="000000" w:themeColor="text1"/>
                <w:sz w:val="24"/>
                <w:szCs w:val="24"/>
              </w:rPr>
            </w:pPr>
          </w:p>
        </w:tc>
      </w:tr>
      <w:tr w:rsidR="007F1763" w:rsidRPr="00B747CD" w14:paraId="2F51EEE2" w14:textId="77777777" w:rsidTr="00A22945">
        <w:tc>
          <w:tcPr>
            <w:tcW w:w="1936" w:type="dxa"/>
          </w:tcPr>
          <w:p w14:paraId="35981088" w14:textId="52151EF2"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Al-</w:t>
            </w:r>
            <w:proofErr w:type="spellStart"/>
            <w:r w:rsidRPr="00B747CD">
              <w:rPr>
                <w:rFonts w:ascii="Book Antiqua" w:hAnsi="Book Antiqua" w:cs="Arial"/>
                <w:color w:val="000000" w:themeColor="text1"/>
                <w:sz w:val="24"/>
                <w:szCs w:val="24"/>
              </w:rPr>
              <w:t>Samkari</w:t>
            </w:r>
            <w:proofErr w:type="spellEnd"/>
            <w:r w:rsidRPr="00B747CD">
              <w:rPr>
                <w:rFonts w:ascii="Book Antiqua" w:hAnsi="Book Antiqua" w:cs="Arial"/>
                <w:color w:val="000000" w:themeColor="text1"/>
                <w:sz w:val="24"/>
                <w:szCs w:val="24"/>
              </w:rPr>
              <w:t xml:space="preserve"> </w:t>
            </w:r>
            <w:r w:rsidR="00B24BE0" w:rsidRPr="00B747CD">
              <w:rPr>
                <w:rFonts w:ascii="Book Antiqua" w:hAnsi="Book Antiqua" w:cs="Arial"/>
                <w:i/>
                <w:iCs/>
                <w:color w:val="000000" w:themeColor="text1"/>
                <w:sz w:val="24"/>
                <w:szCs w:val="24"/>
              </w:rPr>
              <w:t xml:space="preserve">et </w:t>
            </w:r>
            <w:proofErr w:type="gramStart"/>
            <w:r w:rsidR="00B24BE0" w:rsidRPr="00B747CD">
              <w:rPr>
                <w:rFonts w:ascii="Book Antiqua" w:hAnsi="Book Antiqua" w:cs="Arial"/>
                <w:i/>
                <w:iCs/>
                <w:color w:val="000000" w:themeColor="text1"/>
                <w:sz w:val="24"/>
                <w:szCs w:val="24"/>
              </w:rPr>
              <w:t>al</w:t>
            </w:r>
            <w:r w:rsidR="00A22945" w:rsidRPr="00B747CD">
              <w:rPr>
                <w:rFonts w:ascii="Book Antiqua" w:hAnsi="Book Antiqua" w:cs="Arial"/>
                <w:iCs/>
                <w:color w:val="000000" w:themeColor="text1"/>
                <w:sz w:val="24"/>
                <w:szCs w:val="24"/>
                <w:vertAlign w:val="superscript"/>
                <w:lang w:eastAsia="zh-CN"/>
              </w:rPr>
              <w:t>[</w:t>
            </w:r>
            <w:proofErr w:type="gramEnd"/>
            <w:r w:rsidR="00A22945" w:rsidRPr="00B747CD">
              <w:rPr>
                <w:rFonts w:ascii="Book Antiqua" w:hAnsi="Book Antiqua" w:cs="Arial"/>
                <w:iCs/>
                <w:color w:val="000000" w:themeColor="text1"/>
                <w:sz w:val="24"/>
                <w:szCs w:val="24"/>
                <w:vertAlign w:val="superscript"/>
                <w:lang w:eastAsia="zh-CN"/>
              </w:rPr>
              <w:t>9]</w:t>
            </w:r>
            <w:r w:rsidR="00B24BE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2018</w:t>
            </w:r>
          </w:p>
        </w:tc>
        <w:tc>
          <w:tcPr>
            <w:tcW w:w="2266" w:type="dxa"/>
          </w:tcPr>
          <w:p w14:paraId="25BF10DE" w14:textId="3183BD1B"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48 patients with various etiologies of thrombocytopenia</w:t>
            </w:r>
            <w:r w:rsidR="00B24BE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including CLD</w:t>
            </w:r>
            <w:r w:rsidR="00B24BE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undergoing 51 procedures</w:t>
            </w:r>
            <w:r w:rsidR="00B24BE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dosed 3</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sym w:font="Symbol" w:char="F06D"/>
            </w:r>
            <w:r w:rsidRPr="00B747CD">
              <w:rPr>
                <w:rFonts w:ascii="Book Antiqua" w:hAnsi="Book Antiqua" w:cs="Arial"/>
                <w:color w:val="000000" w:themeColor="text1"/>
                <w:sz w:val="24"/>
                <w:szCs w:val="24"/>
              </w:rPr>
              <w:t>g/kg romiplostim weekly (range 1-10</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sym w:font="Symbol" w:char="F06D"/>
            </w:r>
            <w:r w:rsidRPr="00B747CD">
              <w:rPr>
                <w:rFonts w:ascii="Book Antiqua" w:hAnsi="Book Antiqua" w:cs="Arial"/>
                <w:color w:val="000000" w:themeColor="text1"/>
                <w:sz w:val="24"/>
                <w:szCs w:val="24"/>
              </w:rPr>
              <w:t>g/kg/</w:t>
            </w:r>
            <w:proofErr w:type="spellStart"/>
            <w:r w:rsidRPr="00B747CD">
              <w:rPr>
                <w:rFonts w:ascii="Book Antiqua" w:hAnsi="Book Antiqua" w:cs="Arial"/>
                <w:color w:val="000000" w:themeColor="text1"/>
                <w:sz w:val="24"/>
                <w:szCs w:val="24"/>
              </w:rPr>
              <w:t>wk</w:t>
            </w:r>
            <w:proofErr w:type="spellEnd"/>
            <w:r w:rsidRPr="00B747CD">
              <w:rPr>
                <w:rFonts w:ascii="Book Antiqua" w:hAnsi="Book Antiqua" w:cs="Arial"/>
                <w:color w:val="000000" w:themeColor="text1"/>
                <w:sz w:val="24"/>
                <w:szCs w:val="24"/>
              </w:rPr>
              <w:t>)</w:t>
            </w:r>
          </w:p>
        </w:tc>
        <w:tc>
          <w:tcPr>
            <w:tcW w:w="3023" w:type="dxa"/>
          </w:tcPr>
          <w:p w14:paraId="2DF6D7DC" w14:textId="20DB6C01"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Improved platelet counts achieved in all patients</w:t>
            </w:r>
            <w:r w:rsidR="00995808"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after 1, 2 or 3 doses</w:t>
            </w:r>
          </w:p>
          <w:p w14:paraId="71C3EA23" w14:textId="77777777"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p>
        </w:tc>
        <w:tc>
          <w:tcPr>
            <w:tcW w:w="2409" w:type="dxa"/>
          </w:tcPr>
          <w:p w14:paraId="03FA2B0B" w14:textId="77777777" w:rsidR="0089274F" w:rsidRPr="00B747CD" w:rsidRDefault="0089274F" w:rsidP="00B747CD">
            <w:pPr>
              <w:adjustRightInd w:val="0"/>
              <w:snapToGrid w:val="0"/>
              <w:spacing w:line="360" w:lineRule="auto"/>
              <w:ind w:right="159"/>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Bleeding and thromboembolic events within acceptable limits</w:t>
            </w:r>
          </w:p>
        </w:tc>
      </w:tr>
      <w:tr w:rsidR="007F1763" w:rsidRPr="00B747CD" w14:paraId="1DB406E0" w14:textId="77777777" w:rsidTr="00A22945">
        <w:tc>
          <w:tcPr>
            <w:tcW w:w="9634" w:type="dxa"/>
            <w:gridSpan w:val="4"/>
          </w:tcPr>
          <w:p w14:paraId="75461C2E" w14:textId="77777777" w:rsidR="0089274F" w:rsidRPr="00B747CD" w:rsidRDefault="0089274F" w:rsidP="00B747CD">
            <w:pPr>
              <w:autoSpaceDE w:val="0"/>
              <w:autoSpaceDN w:val="0"/>
              <w:adjustRightInd w:val="0"/>
              <w:snapToGrid w:val="0"/>
              <w:spacing w:line="360" w:lineRule="auto"/>
              <w:ind w:right="159"/>
              <w:jc w:val="both"/>
              <w:rPr>
                <w:rFonts w:ascii="Book Antiqua" w:hAnsi="Book Antiqua" w:cs="Arial"/>
                <w:color w:val="000000" w:themeColor="text1"/>
                <w:sz w:val="24"/>
                <w:szCs w:val="24"/>
              </w:rPr>
            </w:pPr>
            <w:proofErr w:type="spellStart"/>
            <w:r w:rsidRPr="00B747CD">
              <w:rPr>
                <w:rFonts w:ascii="Book Antiqua" w:hAnsi="Book Antiqua" w:cs="Arial"/>
                <w:color w:val="000000" w:themeColor="text1"/>
                <w:sz w:val="24"/>
                <w:szCs w:val="24"/>
              </w:rPr>
              <w:t>Eltrombopag</w:t>
            </w:r>
            <w:proofErr w:type="spellEnd"/>
          </w:p>
        </w:tc>
      </w:tr>
      <w:tr w:rsidR="007F1763" w:rsidRPr="00B747CD" w14:paraId="55C0D83A" w14:textId="77777777" w:rsidTr="00A22945">
        <w:tc>
          <w:tcPr>
            <w:tcW w:w="1936" w:type="dxa"/>
          </w:tcPr>
          <w:p w14:paraId="351ACEE4" w14:textId="66CB38DA"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ELEVATE</w:t>
            </w:r>
            <w:r w:rsidR="002D3936"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w:t>
            </w:r>
            <w:r w:rsidR="002D3936" w:rsidRPr="00B747CD">
              <w:rPr>
                <w:rFonts w:ascii="Book Antiqua" w:hAnsi="Book Antiqua" w:cs="Arial"/>
                <w:color w:val="000000" w:themeColor="text1"/>
                <w:sz w:val="24"/>
                <w:szCs w:val="24"/>
                <w:lang w:eastAsia="zh-CN"/>
              </w:rPr>
              <w:t xml:space="preserve">; </w:t>
            </w:r>
            <w:proofErr w:type="spellStart"/>
            <w:r w:rsidRPr="00B747CD">
              <w:rPr>
                <w:rFonts w:ascii="Book Antiqua" w:hAnsi="Book Antiqua" w:cs="Arial"/>
                <w:color w:val="000000" w:themeColor="text1"/>
                <w:sz w:val="24"/>
                <w:szCs w:val="24"/>
              </w:rPr>
              <w:t>Afdhal</w:t>
            </w:r>
            <w:proofErr w:type="spellEnd"/>
            <w:r w:rsidRPr="00B747CD">
              <w:rPr>
                <w:rFonts w:ascii="Book Antiqua" w:hAnsi="Book Antiqua" w:cs="Arial"/>
                <w:color w:val="000000" w:themeColor="text1"/>
                <w:sz w:val="24"/>
                <w:szCs w:val="24"/>
              </w:rPr>
              <w:t xml:space="preserve"> </w:t>
            </w:r>
            <w:r w:rsidR="00B24BE0" w:rsidRPr="00B747CD">
              <w:rPr>
                <w:rFonts w:ascii="Book Antiqua" w:hAnsi="Book Antiqua" w:cs="Arial"/>
                <w:i/>
                <w:iCs/>
                <w:color w:val="000000" w:themeColor="text1"/>
                <w:sz w:val="24"/>
                <w:szCs w:val="24"/>
              </w:rPr>
              <w:t xml:space="preserve">et </w:t>
            </w:r>
            <w:proofErr w:type="gramStart"/>
            <w:r w:rsidR="00B24BE0" w:rsidRPr="00B747CD">
              <w:rPr>
                <w:rFonts w:ascii="Book Antiqua" w:hAnsi="Book Antiqua" w:cs="Arial"/>
                <w:i/>
                <w:iCs/>
                <w:color w:val="000000" w:themeColor="text1"/>
                <w:sz w:val="24"/>
                <w:szCs w:val="24"/>
              </w:rPr>
              <w:t>al</w:t>
            </w:r>
            <w:r w:rsidR="00A22945" w:rsidRPr="00B747CD">
              <w:rPr>
                <w:rFonts w:ascii="Book Antiqua" w:hAnsi="Book Antiqua" w:cs="Arial"/>
                <w:iCs/>
                <w:color w:val="000000" w:themeColor="text1"/>
                <w:sz w:val="24"/>
                <w:szCs w:val="24"/>
                <w:vertAlign w:val="superscript"/>
                <w:lang w:eastAsia="zh-CN"/>
              </w:rPr>
              <w:t>[</w:t>
            </w:r>
            <w:proofErr w:type="gramEnd"/>
            <w:r w:rsidR="00A22945" w:rsidRPr="00B747CD">
              <w:rPr>
                <w:rFonts w:ascii="Book Antiqua" w:hAnsi="Book Antiqua" w:cs="Arial"/>
                <w:iCs/>
                <w:color w:val="000000" w:themeColor="text1"/>
                <w:sz w:val="24"/>
                <w:szCs w:val="24"/>
                <w:vertAlign w:val="superscript"/>
                <w:lang w:eastAsia="zh-CN"/>
              </w:rPr>
              <w:t>11]</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2012</w:t>
            </w:r>
          </w:p>
        </w:tc>
        <w:tc>
          <w:tcPr>
            <w:tcW w:w="2266" w:type="dxa"/>
          </w:tcPr>
          <w:p w14:paraId="607FD87E" w14:textId="77777777"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292 patients with CLD administered</w:t>
            </w:r>
          </w:p>
          <w:p w14:paraId="23A1478C" w14:textId="7C0C1311"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75 mg/d or placebo for 14 d</w:t>
            </w:r>
          </w:p>
        </w:tc>
        <w:tc>
          <w:tcPr>
            <w:tcW w:w="3023" w:type="dxa"/>
          </w:tcPr>
          <w:p w14:paraId="7D427D4E" w14:textId="39A3D6C7" w:rsidR="0089274F" w:rsidRPr="00B747CD" w:rsidRDefault="0089274F" w:rsidP="00B747CD">
            <w:pPr>
              <w:autoSpaceDE w:val="0"/>
              <w:autoSpaceDN w:val="0"/>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 xml:space="preserve">Platelet transfusion not required in 72% </w:t>
            </w:r>
            <w:r w:rsidR="00E854D8" w:rsidRPr="00B747CD">
              <w:rPr>
                <w:rFonts w:ascii="Book Antiqua" w:hAnsi="Book Antiqua" w:cs="Arial"/>
                <w:color w:val="000000" w:themeColor="text1"/>
                <w:sz w:val="24"/>
                <w:szCs w:val="24"/>
              </w:rPr>
              <w:t xml:space="preserve">of </w:t>
            </w:r>
            <w:r w:rsidRPr="00B747CD">
              <w:rPr>
                <w:rFonts w:ascii="Book Antiqua" w:hAnsi="Book Antiqua" w:cs="Arial"/>
                <w:color w:val="000000" w:themeColor="text1"/>
                <w:sz w:val="24"/>
                <w:szCs w:val="24"/>
              </w:rPr>
              <w:t xml:space="preserve">patients in the </w:t>
            </w:r>
            <w:proofErr w:type="spellStart"/>
            <w:r w:rsidRPr="00B747CD">
              <w:rPr>
                <w:rFonts w:ascii="Book Antiqua" w:hAnsi="Book Antiqua" w:cs="Arial"/>
                <w:color w:val="000000" w:themeColor="text1"/>
                <w:sz w:val="24"/>
                <w:szCs w:val="24"/>
              </w:rPr>
              <w:t>eltrombopag</w:t>
            </w:r>
            <w:proofErr w:type="spellEnd"/>
            <w:r w:rsidRPr="00B747CD">
              <w:rPr>
                <w:rFonts w:ascii="Book Antiqua" w:hAnsi="Book Antiqua" w:cs="Arial"/>
                <w:color w:val="000000" w:themeColor="text1"/>
                <w:sz w:val="24"/>
                <w:szCs w:val="24"/>
              </w:rPr>
              <w:t xml:space="preserve"> group and 19% </w:t>
            </w:r>
            <w:r w:rsidR="00E854D8" w:rsidRPr="00B747CD">
              <w:rPr>
                <w:rFonts w:ascii="Book Antiqua" w:hAnsi="Book Antiqua" w:cs="Arial"/>
                <w:color w:val="000000" w:themeColor="text1"/>
                <w:sz w:val="24"/>
                <w:szCs w:val="24"/>
              </w:rPr>
              <w:t xml:space="preserve">of </w:t>
            </w:r>
            <w:r w:rsidRPr="00B747CD">
              <w:rPr>
                <w:rFonts w:ascii="Book Antiqua" w:hAnsi="Book Antiqua" w:cs="Arial"/>
                <w:color w:val="000000" w:themeColor="text1"/>
                <w:sz w:val="24"/>
                <w:szCs w:val="24"/>
              </w:rPr>
              <w:t xml:space="preserve">patients in the placebo group </w:t>
            </w:r>
          </w:p>
        </w:tc>
        <w:tc>
          <w:tcPr>
            <w:tcW w:w="2409" w:type="dxa"/>
          </w:tcPr>
          <w:p w14:paraId="6FF644F8" w14:textId="0BF8848A" w:rsidR="0089274F" w:rsidRPr="00B747CD" w:rsidRDefault="0089274F" w:rsidP="00B747CD">
            <w:pPr>
              <w:autoSpaceDE w:val="0"/>
              <w:autoSpaceDN w:val="0"/>
              <w:adjustRightInd w:val="0"/>
              <w:snapToGrid w:val="0"/>
              <w:spacing w:line="360" w:lineRule="auto"/>
              <w:ind w:right="159"/>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 xml:space="preserve">Early study termination due to </w:t>
            </w:r>
            <w:r w:rsidR="00E854D8" w:rsidRPr="00B747CD">
              <w:rPr>
                <w:rFonts w:ascii="Book Antiqua" w:hAnsi="Book Antiqua" w:cs="Arial"/>
                <w:color w:val="000000" w:themeColor="text1"/>
                <w:sz w:val="24"/>
                <w:szCs w:val="24"/>
              </w:rPr>
              <w:t>six</w:t>
            </w:r>
            <w:r w:rsidRPr="00B747CD">
              <w:rPr>
                <w:rFonts w:ascii="Book Antiqua" w:hAnsi="Book Antiqua" w:cs="Arial"/>
                <w:color w:val="000000" w:themeColor="text1"/>
                <w:sz w:val="24"/>
                <w:szCs w:val="24"/>
              </w:rPr>
              <w:t xml:space="preserve"> portal vein thrombotic </w:t>
            </w:r>
            <w:r w:rsidR="002D3936" w:rsidRPr="00B747CD">
              <w:rPr>
                <w:rFonts w:ascii="Book Antiqua" w:hAnsi="Book Antiqua" w:cs="Arial"/>
                <w:color w:val="000000" w:themeColor="text1"/>
                <w:sz w:val="24"/>
                <w:szCs w:val="24"/>
              </w:rPr>
              <w:t xml:space="preserve">events in the </w:t>
            </w:r>
            <w:proofErr w:type="spellStart"/>
            <w:r w:rsidR="002D3936" w:rsidRPr="00B747CD">
              <w:rPr>
                <w:rFonts w:ascii="Book Antiqua" w:hAnsi="Book Antiqua" w:cs="Arial"/>
                <w:color w:val="000000" w:themeColor="text1"/>
                <w:sz w:val="24"/>
                <w:szCs w:val="24"/>
              </w:rPr>
              <w:t>eltrombopag</w:t>
            </w:r>
            <w:proofErr w:type="spellEnd"/>
            <w:r w:rsidR="002D3936" w:rsidRPr="00B747CD">
              <w:rPr>
                <w:rFonts w:ascii="Book Antiqua" w:hAnsi="Book Antiqua" w:cs="Arial"/>
                <w:color w:val="000000" w:themeColor="text1"/>
                <w:sz w:val="24"/>
                <w:szCs w:val="24"/>
              </w:rPr>
              <w:t xml:space="preserve"> group</w:t>
            </w:r>
            <w:r w:rsidR="002D3936"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Headache, pyrexia, abdominal pain, diarrhea, nausea,</w:t>
            </w:r>
            <w:r w:rsidR="00995808" w:rsidRPr="00B747CD">
              <w:rPr>
                <w:rFonts w:ascii="Book Antiqua" w:hAnsi="Book Antiqua" w:cs="Arial"/>
                <w:color w:val="000000" w:themeColor="text1"/>
                <w:sz w:val="24"/>
                <w:szCs w:val="24"/>
              </w:rPr>
              <w:t xml:space="preserve"> </w:t>
            </w:r>
            <w:r w:rsidRPr="00B747CD">
              <w:rPr>
                <w:rFonts w:ascii="Book Antiqua" w:hAnsi="Book Antiqua" w:cs="Arial"/>
                <w:i/>
                <w:iCs/>
                <w:color w:val="000000" w:themeColor="text1"/>
                <w:sz w:val="24"/>
                <w:szCs w:val="24"/>
              </w:rPr>
              <w:t>etc</w:t>
            </w:r>
            <w:r w:rsidR="002D3936" w:rsidRPr="00B747CD">
              <w:rPr>
                <w:rFonts w:ascii="Book Antiqua" w:hAnsi="Book Antiqua" w:cs="Arial"/>
                <w:color w:val="000000" w:themeColor="text1"/>
                <w:sz w:val="24"/>
                <w:szCs w:val="24"/>
                <w:lang w:eastAsia="zh-CN"/>
              </w:rPr>
              <w:t>.</w:t>
            </w:r>
          </w:p>
        </w:tc>
      </w:tr>
      <w:tr w:rsidR="007F1763" w:rsidRPr="00B747CD" w14:paraId="00D37126" w14:textId="77777777" w:rsidTr="00A22945">
        <w:tc>
          <w:tcPr>
            <w:tcW w:w="9634" w:type="dxa"/>
            <w:gridSpan w:val="4"/>
          </w:tcPr>
          <w:p w14:paraId="623405E8" w14:textId="77777777" w:rsidR="0089274F" w:rsidRPr="00B747CD" w:rsidRDefault="0089274F" w:rsidP="00B747CD">
            <w:pPr>
              <w:adjustRightInd w:val="0"/>
              <w:snapToGrid w:val="0"/>
              <w:spacing w:line="360" w:lineRule="auto"/>
              <w:ind w:right="159"/>
              <w:jc w:val="both"/>
              <w:rPr>
                <w:rFonts w:ascii="Book Antiqua" w:hAnsi="Book Antiqua" w:cs="Arial"/>
                <w:b/>
                <w:color w:val="000000" w:themeColor="text1"/>
                <w:sz w:val="24"/>
                <w:szCs w:val="24"/>
              </w:rPr>
            </w:pPr>
            <w:proofErr w:type="spellStart"/>
            <w:r w:rsidRPr="00B747CD">
              <w:rPr>
                <w:rFonts w:ascii="Book Antiqua" w:hAnsi="Book Antiqua" w:cs="Arial"/>
                <w:b/>
                <w:color w:val="000000" w:themeColor="text1"/>
                <w:sz w:val="24"/>
                <w:szCs w:val="24"/>
              </w:rPr>
              <w:t>Avatrombopag</w:t>
            </w:r>
            <w:proofErr w:type="spellEnd"/>
          </w:p>
        </w:tc>
      </w:tr>
      <w:tr w:rsidR="007F1763" w:rsidRPr="00B747CD" w14:paraId="077BE488" w14:textId="77777777" w:rsidTr="00A22945">
        <w:tc>
          <w:tcPr>
            <w:tcW w:w="1936" w:type="dxa"/>
          </w:tcPr>
          <w:p w14:paraId="396EDA43" w14:textId="602CC076"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ADAPT-1</w:t>
            </w:r>
            <w:r w:rsidR="002D3936" w:rsidRPr="00B747CD">
              <w:rPr>
                <w:rFonts w:ascii="Book Antiqua" w:hAnsi="Book Antiqua" w:cs="Arial"/>
                <w:color w:val="000000" w:themeColor="text1"/>
                <w:sz w:val="24"/>
                <w:szCs w:val="24"/>
                <w:lang w:eastAsia="zh-CN"/>
              </w:rPr>
              <w:t xml:space="preserve">; </w:t>
            </w:r>
            <w:proofErr w:type="spellStart"/>
            <w:r w:rsidRPr="00B747CD">
              <w:rPr>
                <w:rFonts w:ascii="Book Antiqua" w:hAnsi="Book Antiqua" w:cs="Arial"/>
                <w:color w:val="000000" w:themeColor="text1"/>
                <w:sz w:val="24"/>
                <w:szCs w:val="24"/>
              </w:rPr>
              <w:lastRenderedPageBreak/>
              <w:t>Terrault</w:t>
            </w:r>
            <w:proofErr w:type="spellEnd"/>
            <w:r w:rsidRPr="00B747CD">
              <w:rPr>
                <w:rFonts w:ascii="Book Antiqua" w:hAnsi="Book Antiqua" w:cs="Arial"/>
                <w:color w:val="000000" w:themeColor="text1"/>
                <w:sz w:val="24"/>
                <w:szCs w:val="24"/>
              </w:rPr>
              <w:t xml:space="preserve"> </w:t>
            </w:r>
            <w:r w:rsidR="00B24BE0" w:rsidRPr="00B747CD">
              <w:rPr>
                <w:rFonts w:ascii="Book Antiqua" w:hAnsi="Book Antiqua" w:cs="Arial"/>
                <w:i/>
                <w:iCs/>
                <w:color w:val="000000" w:themeColor="text1"/>
                <w:sz w:val="24"/>
                <w:szCs w:val="24"/>
              </w:rPr>
              <w:t xml:space="preserve">et </w:t>
            </w:r>
            <w:proofErr w:type="gramStart"/>
            <w:r w:rsidR="00B24BE0" w:rsidRPr="00B747CD">
              <w:rPr>
                <w:rFonts w:ascii="Book Antiqua" w:hAnsi="Book Antiqua" w:cs="Arial"/>
                <w:i/>
                <w:iCs/>
                <w:color w:val="000000" w:themeColor="text1"/>
                <w:sz w:val="24"/>
                <w:szCs w:val="24"/>
              </w:rPr>
              <w:t>al</w:t>
            </w:r>
            <w:r w:rsidR="00A22945" w:rsidRPr="00B747CD">
              <w:rPr>
                <w:rFonts w:ascii="Book Antiqua" w:hAnsi="Book Antiqua" w:cs="Arial"/>
                <w:iCs/>
                <w:color w:val="000000" w:themeColor="text1"/>
                <w:sz w:val="24"/>
                <w:szCs w:val="24"/>
                <w:vertAlign w:val="superscript"/>
                <w:lang w:eastAsia="zh-CN"/>
              </w:rPr>
              <w:t>[</w:t>
            </w:r>
            <w:proofErr w:type="gramEnd"/>
            <w:r w:rsidR="00A22945" w:rsidRPr="00B747CD">
              <w:rPr>
                <w:rFonts w:ascii="Book Antiqua" w:hAnsi="Book Antiqua" w:cs="Arial"/>
                <w:iCs/>
                <w:color w:val="000000" w:themeColor="text1"/>
                <w:sz w:val="24"/>
                <w:szCs w:val="24"/>
                <w:vertAlign w:val="superscript"/>
                <w:lang w:eastAsia="zh-CN"/>
              </w:rPr>
              <w:t>14]</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2018</w:t>
            </w:r>
          </w:p>
        </w:tc>
        <w:tc>
          <w:tcPr>
            <w:tcW w:w="2266" w:type="dxa"/>
          </w:tcPr>
          <w:p w14:paraId="6CB82024" w14:textId="4B7178E1"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lastRenderedPageBreak/>
              <w:t xml:space="preserve">231 patients with </w:t>
            </w:r>
            <w:r w:rsidRPr="00B747CD">
              <w:rPr>
                <w:rFonts w:ascii="Book Antiqua" w:hAnsi="Book Antiqua" w:cs="Arial"/>
                <w:color w:val="000000" w:themeColor="text1"/>
                <w:sz w:val="24"/>
                <w:szCs w:val="24"/>
              </w:rPr>
              <w:lastRenderedPageBreak/>
              <w:t xml:space="preserve">CLD and thrombocytopenia divided into low (&lt;40 </w:t>
            </w:r>
            <w:r w:rsidR="00B24BE0" w:rsidRPr="00B747CD">
              <w:rPr>
                <w:rFonts w:ascii="Book Antiqua" w:hAnsi="Book Antiqua" w:cs="Arial"/>
                <w:color w:val="000000" w:themeColor="text1"/>
                <w:sz w:val="24"/>
                <w:szCs w:val="24"/>
              </w:rPr>
              <w:sym w:font="Symbol" w:char="F0B4"/>
            </w:r>
            <w:r w:rsidRPr="00B747CD">
              <w:rPr>
                <w:rFonts w:ascii="Book Antiqua" w:hAnsi="Book Antiqua" w:cs="Arial"/>
                <w:color w:val="000000" w:themeColor="text1"/>
                <w:sz w:val="24"/>
                <w:szCs w:val="24"/>
              </w:rPr>
              <w:t xml:space="preserve"> 10</w:t>
            </w:r>
            <w:r w:rsidRPr="00B747CD">
              <w:rPr>
                <w:rFonts w:ascii="Book Antiqua" w:hAnsi="Book Antiqua" w:cs="Arial"/>
                <w:color w:val="000000" w:themeColor="text1"/>
                <w:sz w:val="24"/>
                <w:szCs w:val="24"/>
                <w:vertAlign w:val="superscript"/>
              </w:rPr>
              <w:t>9</w:t>
            </w:r>
            <w:r w:rsidRPr="00B747CD">
              <w:rPr>
                <w:rFonts w:ascii="Book Antiqua" w:hAnsi="Book Antiqua" w:cs="Arial"/>
                <w:color w:val="000000" w:themeColor="text1"/>
                <w:sz w:val="24"/>
                <w:szCs w:val="24"/>
              </w:rPr>
              <w:t>/L) and high (40</w:t>
            </w:r>
            <w:r w:rsidR="00E854D8" w:rsidRPr="00B747CD">
              <w:rPr>
                <w:rFonts w:ascii="Book Antiqua" w:hAnsi="Book Antiqua" w:cs="Arial"/>
                <w:color w:val="000000" w:themeColor="text1"/>
                <w:sz w:val="24"/>
                <w:szCs w:val="24"/>
              </w:rPr>
              <w:t xml:space="preserve"> to </w:t>
            </w:r>
            <w:r w:rsidRPr="00B747CD">
              <w:rPr>
                <w:rFonts w:ascii="Book Antiqua" w:hAnsi="Book Antiqua" w:cs="Arial"/>
                <w:color w:val="000000" w:themeColor="text1"/>
                <w:sz w:val="24"/>
                <w:szCs w:val="24"/>
              </w:rPr>
              <w:t>&lt;</w:t>
            </w:r>
            <w:r w:rsidR="00E854D8"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50 </w:t>
            </w:r>
            <w:r w:rsidR="00B24BE0" w:rsidRPr="00B747CD">
              <w:rPr>
                <w:rFonts w:ascii="Book Antiqua" w:hAnsi="Book Antiqua" w:cs="Arial"/>
                <w:color w:val="000000" w:themeColor="text1"/>
                <w:sz w:val="24"/>
                <w:szCs w:val="24"/>
              </w:rPr>
              <w:sym w:font="Symbol" w:char="F0B4"/>
            </w:r>
            <w:r w:rsidRPr="00B747CD">
              <w:rPr>
                <w:rFonts w:ascii="Book Antiqua" w:hAnsi="Book Antiqua" w:cs="Arial"/>
                <w:color w:val="000000" w:themeColor="text1"/>
                <w:sz w:val="24"/>
                <w:szCs w:val="24"/>
              </w:rPr>
              <w:t xml:space="preserve"> 10</w:t>
            </w:r>
            <w:r w:rsidRPr="00B747CD">
              <w:rPr>
                <w:rFonts w:ascii="Book Antiqua" w:hAnsi="Book Antiqua" w:cs="Arial"/>
                <w:color w:val="000000" w:themeColor="text1"/>
                <w:sz w:val="24"/>
                <w:szCs w:val="24"/>
                <w:vertAlign w:val="superscript"/>
              </w:rPr>
              <w:t>9</w:t>
            </w:r>
            <w:r w:rsidRPr="00B747CD">
              <w:rPr>
                <w:rFonts w:ascii="Book Antiqua" w:hAnsi="Book Antiqua" w:cs="Arial"/>
                <w:color w:val="000000" w:themeColor="text1"/>
                <w:sz w:val="24"/>
                <w:szCs w:val="24"/>
              </w:rPr>
              <w:t xml:space="preserve">/L) baseline platelet count cohorts </w:t>
            </w:r>
          </w:p>
          <w:p w14:paraId="6EB6032E" w14:textId="77777777"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p>
          <w:p w14:paraId="57A4F086" w14:textId="0975C535"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 xml:space="preserve">Both cohorts were randomized 2:1 to receive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 or placebo</w:t>
            </w:r>
            <w:r w:rsidR="00B24BE0"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B24BE0" w:rsidRPr="00B747CD">
              <w:rPr>
                <w:rFonts w:ascii="Book Antiqua" w:hAnsi="Book Antiqua" w:cs="Arial"/>
                <w:color w:val="000000" w:themeColor="text1"/>
                <w:sz w:val="24"/>
                <w:szCs w:val="24"/>
              </w:rPr>
              <w:t>t</w:t>
            </w:r>
            <w:r w:rsidRPr="00B747CD">
              <w:rPr>
                <w:rFonts w:ascii="Book Antiqua" w:hAnsi="Book Antiqua" w:cs="Arial"/>
                <w:color w:val="000000" w:themeColor="text1"/>
                <w:sz w:val="24"/>
                <w:szCs w:val="24"/>
              </w:rPr>
              <w:t xml:space="preserve">he low baseline cohort was treated with 60 mg and the high baseline cohort was treated with 40 mg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or placebo</w:t>
            </w:r>
          </w:p>
        </w:tc>
        <w:tc>
          <w:tcPr>
            <w:tcW w:w="3023" w:type="dxa"/>
          </w:tcPr>
          <w:p w14:paraId="6DAC2569" w14:textId="77777777"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lastRenderedPageBreak/>
              <w:t xml:space="preserve">Platelet transfusion, or </w:t>
            </w:r>
            <w:r w:rsidRPr="00B747CD">
              <w:rPr>
                <w:rFonts w:ascii="Book Antiqua" w:hAnsi="Book Antiqua" w:cs="Arial"/>
                <w:color w:val="000000" w:themeColor="text1"/>
                <w:sz w:val="24"/>
                <w:szCs w:val="24"/>
              </w:rPr>
              <w:lastRenderedPageBreak/>
              <w:t xml:space="preserve">rescue procedure for bleeding not required in 65.6% of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-treated patients and 22.9% of placebo-treated patients in the low platelet count cohort and 88.1% of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-treated patients and 38.2% of placebo-treated patients in the high platelet count cohort </w:t>
            </w:r>
          </w:p>
          <w:p w14:paraId="00241A18" w14:textId="77777777"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p>
          <w:p w14:paraId="0409C265" w14:textId="77777777"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p>
          <w:p w14:paraId="05734E99" w14:textId="77777777"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p>
        </w:tc>
        <w:tc>
          <w:tcPr>
            <w:tcW w:w="2409" w:type="dxa"/>
          </w:tcPr>
          <w:p w14:paraId="0BE26651" w14:textId="1BAAFB19" w:rsidR="0089274F" w:rsidRPr="00B747CD" w:rsidRDefault="0089274F" w:rsidP="00B747CD">
            <w:pPr>
              <w:adjustRightInd w:val="0"/>
              <w:snapToGrid w:val="0"/>
              <w:spacing w:line="360" w:lineRule="auto"/>
              <w:ind w:right="159"/>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lastRenderedPageBreak/>
              <w:t xml:space="preserve">Mild to moderate </w:t>
            </w:r>
            <w:r w:rsidRPr="00B747CD">
              <w:rPr>
                <w:rFonts w:ascii="Book Antiqua" w:hAnsi="Book Antiqua" w:cs="Arial"/>
                <w:color w:val="000000" w:themeColor="text1"/>
                <w:sz w:val="24"/>
                <w:szCs w:val="24"/>
              </w:rPr>
              <w:lastRenderedPageBreak/>
              <w:t>in severity in all treatment groups</w:t>
            </w:r>
            <w:r w:rsidR="002D3936"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Most common TEAEs: abdominal pain, dyspepsia, nausea, pyrexia, dizziness, and headache</w:t>
            </w:r>
            <w:r w:rsidR="002D3936"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 xml:space="preserve">No thromboembolic TEAEs </w:t>
            </w:r>
          </w:p>
        </w:tc>
      </w:tr>
      <w:tr w:rsidR="007F1763" w:rsidRPr="00B747CD" w14:paraId="2DEEDCBE" w14:textId="77777777" w:rsidTr="00A22945">
        <w:tc>
          <w:tcPr>
            <w:tcW w:w="1936" w:type="dxa"/>
          </w:tcPr>
          <w:p w14:paraId="5212BFCA" w14:textId="293918F1"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lastRenderedPageBreak/>
              <w:t>ADAPT-2</w:t>
            </w:r>
            <w:r w:rsidR="002D3936" w:rsidRPr="00B747CD">
              <w:rPr>
                <w:rFonts w:ascii="Book Antiqua" w:hAnsi="Book Antiqua" w:cs="Arial"/>
                <w:color w:val="000000" w:themeColor="text1"/>
                <w:sz w:val="24"/>
                <w:szCs w:val="24"/>
                <w:lang w:eastAsia="zh-CN"/>
              </w:rPr>
              <w:t xml:space="preserve">; </w:t>
            </w:r>
            <w:proofErr w:type="spellStart"/>
            <w:r w:rsidRPr="00B747CD">
              <w:rPr>
                <w:rFonts w:ascii="Book Antiqua" w:hAnsi="Book Antiqua" w:cs="Arial"/>
                <w:color w:val="000000" w:themeColor="text1"/>
                <w:sz w:val="24"/>
                <w:szCs w:val="24"/>
              </w:rPr>
              <w:t>Terrault</w:t>
            </w:r>
            <w:proofErr w:type="spellEnd"/>
            <w:r w:rsidRPr="00B747CD">
              <w:rPr>
                <w:rFonts w:ascii="Book Antiqua" w:hAnsi="Book Antiqua" w:cs="Arial"/>
                <w:color w:val="000000" w:themeColor="text1"/>
                <w:sz w:val="24"/>
                <w:szCs w:val="24"/>
              </w:rPr>
              <w:t xml:space="preserve"> </w:t>
            </w:r>
            <w:r w:rsidR="00B24BE0" w:rsidRPr="00B747CD">
              <w:rPr>
                <w:rFonts w:ascii="Book Antiqua" w:hAnsi="Book Antiqua" w:cs="Arial"/>
                <w:i/>
                <w:iCs/>
                <w:color w:val="000000" w:themeColor="text1"/>
                <w:sz w:val="24"/>
                <w:szCs w:val="24"/>
              </w:rPr>
              <w:t xml:space="preserve">et </w:t>
            </w:r>
            <w:proofErr w:type="gramStart"/>
            <w:r w:rsidR="00B24BE0" w:rsidRPr="00B747CD">
              <w:rPr>
                <w:rFonts w:ascii="Book Antiqua" w:hAnsi="Book Antiqua" w:cs="Arial"/>
                <w:i/>
                <w:iCs/>
                <w:color w:val="000000" w:themeColor="text1"/>
                <w:sz w:val="24"/>
                <w:szCs w:val="24"/>
              </w:rPr>
              <w:t>al</w:t>
            </w:r>
            <w:r w:rsidR="00A22945" w:rsidRPr="00B747CD">
              <w:rPr>
                <w:rFonts w:ascii="Book Antiqua" w:hAnsi="Book Antiqua" w:cs="Arial"/>
                <w:iCs/>
                <w:color w:val="000000" w:themeColor="text1"/>
                <w:sz w:val="24"/>
                <w:szCs w:val="24"/>
                <w:vertAlign w:val="superscript"/>
                <w:lang w:eastAsia="zh-CN"/>
              </w:rPr>
              <w:t>[</w:t>
            </w:r>
            <w:proofErr w:type="gramEnd"/>
            <w:r w:rsidR="00A22945" w:rsidRPr="00B747CD">
              <w:rPr>
                <w:rFonts w:ascii="Book Antiqua" w:hAnsi="Book Antiqua" w:cs="Arial"/>
                <w:iCs/>
                <w:color w:val="000000" w:themeColor="text1"/>
                <w:sz w:val="24"/>
                <w:szCs w:val="24"/>
                <w:vertAlign w:val="superscript"/>
                <w:lang w:eastAsia="zh-CN"/>
              </w:rPr>
              <w:t>14]</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2018</w:t>
            </w:r>
          </w:p>
        </w:tc>
        <w:tc>
          <w:tcPr>
            <w:tcW w:w="2266" w:type="dxa"/>
          </w:tcPr>
          <w:p w14:paraId="34549B19" w14:textId="77777777"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204 patients with CLD and thrombocytopenia; same dosing as ADAPT-1</w:t>
            </w:r>
          </w:p>
        </w:tc>
        <w:tc>
          <w:tcPr>
            <w:tcW w:w="3023" w:type="dxa"/>
          </w:tcPr>
          <w:p w14:paraId="2CCEEB72" w14:textId="77777777"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 xml:space="preserve">Platelet transfusion, or rescue procedure for bleeding not required in 68.6% of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-treated patients and 34.9% of placebo-treated </w:t>
            </w:r>
            <w:r w:rsidRPr="00B747CD">
              <w:rPr>
                <w:rFonts w:ascii="Book Antiqua" w:hAnsi="Book Antiqua" w:cs="Arial"/>
                <w:color w:val="000000" w:themeColor="text1"/>
                <w:sz w:val="24"/>
                <w:szCs w:val="24"/>
              </w:rPr>
              <w:lastRenderedPageBreak/>
              <w:t xml:space="preserve">patients in the low platelet count cohort and 87.9% of </w:t>
            </w:r>
            <w:proofErr w:type="spellStart"/>
            <w:r w:rsidRPr="00B747CD">
              <w:rPr>
                <w:rFonts w:ascii="Book Antiqua" w:hAnsi="Book Antiqua" w:cs="Arial"/>
                <w:color w:val="000000" w:themeColor="text1"/>
                <w:sz w:val="24"/>
                <w:szCs w:val="24"/>
              </w:rPr>
              <w:t>avatrombopag</w:t>
            </w:r>
            <w:proofErr w:type="spellEnd"/>
            <w:r w:rsidRPr="00B747CD">
              <w:rPr>
                <w:rFonts w:ascii="Book Antiqua" w:hAnsi="Book Antiqua" w:cs="Arial"/>
                <w:color w:val="000000" w:themeColor="text1"/>
                <w:sz w:val="24"/>
                <w:szCs w:val="24"/>
              </w:rPr>
              <w:t xml:space="preserve">-treated patients and 33.3% of placebo-treated patients in the high platelet count cohort </w:t>
            </w:r>
          </w:p>
        </w:tc>
        <w:tc>
          <w:tcPr>
            <w:tcW w:w="2409" w:type="dxa"/>
          </w:tcPr>
          <w:p w14:paraId="29835209" w14:textId="222D6A3A" w:rsidR="0089274F" w:rsidRPr="00B747CD" w:rsidRDefault="0089274F" w:rsidP="00B747CD">
            <w:pPr>
              <w:adjustRightInd w:val="0"/>
              <w:snapToGrid w:val="0"/>
              <w:spacing w:line="360" w:lineRule="auto"/>
              <w:ind w:right="159"/>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lastRenderedPageBreak/>
              <w:t>Same as ADAPT-1</w:t>
            </w:r>
            <w:r w:rsidR="002D3936"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Three thromboembolic TEAEs reported</w:t>
            </w:r>
          </w:p>
        </w:tc>
      </w:tr>
      <w:tr w:rsidR="007F1763" w:rsidRPr="00B747CD" w14:paraId="24684318" w14:textId="77777777" w:rsidTr="00A22945">
        <w:tc>
          <w:tcPr>
            <w:tcW w:w="9634" w:type="dxa"/>
            <w:gridSpan w:val="4"/>
          </w:tcPr>
          <w:p w14:paraId="3F9724B6" w14:textId="77777777" w:rsidR="0089274F" w:rsidRPr="00B747CD" w:rsidRDefault="0089274F" w:rsidP="00B747CD">
            <w:pPr>
              <w:adjustRightInd w:val="0"/>
              <w:snapToGrid w:val="0"/>
              <w:spacing w:line="360" w:lineRule="auto"/>
              <w:ind w:right="159"/>
              <w:jc w:val="both"/>
              <w:rPr>
                <w:rFonts w:ascii="Book Antiqua" w:hAnsi="Book Antiqua" w:cs="Arial"/>
                <w:b/>
                <w:color w:val="000000" w:themeColor="text1"/>
                <w:sz w:val="24"/>
                <w:szCs w:val="24"/>
              </w:rPr>
            </w:pPr>
            <w:proofErr w:type="spellStart"/>
            <w:r w:rsidRPr="00B747CD">
              <w:rPr>
                <w:rFonts w:ascii="Book Antiqua" w:hAnsi="Book Antiqua" w:cs="Arial"/>
                <w:b/>
                <w:color w:val="000000" w:themeColor="text1"/>
                <w:sz w:val="24"/>
                <w:szCs w:val="24"/>
              </w:rPr>
              <w:t>Lusutrombopag</w:t>
            </w:r>
            <w:proofErr w:type="spellEnd"/>
          </w:p>
        </w:tc>
      </w:tr>
      <w:tr w:rsidR="007F1763" w:rsidRPr="00B747CD" w14:paraId="56426282" w14:textId="77777777" w:rsidTr="00A22945">
        <w:tc>
          <w:tcPr>
            <w:tcW w:w="1936" w:type="dxa"/>
          </w:tcPr>
          <w:p w14:paraId="6A5BC726" w14:textId="6791F9B6"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L-PLUS-1</w:t>
            </w:r>
            <w:r w:rsidR="002D3936"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 xml:space="preserve">Hidaka </w:t>
            </w:r>
            <w:r w:rsidR="00B24BE0" w:rsidRPr="00B747CD">
              <w:rPr>
                <w:rFonts w:ascii="Book Antiqua" w:hAnsi="Book Antiqua" w:cs="Arial"/>
                <w:i/>
                <w:iCs/>
                <w:color w:val="000000" w:themeColor="text1"/>
                <w:sz w:val="24"/>
                <w:szCs w:val="24"/>
              </w:rPr>
              <w:t xml:space="preserve">et </w:t>
            </w:r>
            <w:proofErr w:type="gramStart"/>
            <w:r w:rsidR="00B24BE0" w:rsidRPr="00B747CD">
              <w:rPr>
                <w:rFonts w:ascii="Book Antiqua" w:hAnsi="Book Antiqua" w:cs="Arial"/>
                <w:i/>
                <w:iCs/>
                <w:color w:val="000000" w:themeColor="text1"/>
                <w:sz w:val="24"/>
                <w:szCs w:val="24"/>
              </w:rPr>
              <w:t>al</w:t>
            </w:r>
            <w:r w:rsidR="00A22945" w:rsidRPr="00B747CD">
              <w:rPr>
                <w:rFonts w:ascii="Book Antiqua" w:hAnsi="Book Antiqua" w:cs="Arial"/>
                <w:iCs/>
                <w:color w:val="000000" w:themeColor="text1"/>
                <w:sz w:val="24"/>
                <w:szCs w:val="24"/>
                <w:vertAlign w:val="superscript"/>
                <w:lang w:eastAsia="zh-CN"/>
              </w:rPr>
              <w:t>[</w:t>
            </w:r>
            <w:proofErr w:type="gramEnd"/>
            <w:r w:rsidR="00A22945" w:rsidRPr="00B747CD">
              <w:rPr>
                <w:rFonts w:ascii="Book Antiqua" w:hAnsi="Book Antiqua" w:cs="Arial"/>
                <w:iCs/>
                <w:color w:val="000000" w:themeColor="text1"/>
                <w:sz w:val="24"/>
                <w:szCs w:val="24"/>
                <w:vertAlign w:val="superscript"/>
                <w:lang w:eastAsia="zh-CN"/>
              </w:rPr>
              <w:t>18]</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2018</w:t>
            </w:r>
          </w:p>
        </w:tc>
        <w:tc>
          <w:tcPr>
            <w:tcW w:w="2266" w:type="dxa"/>
          </w:tcPr>
          <w:p w14:paraId="5DF3F058" w14:textId="5A06A429"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97 patients with thrombocytopenia and CLD randomized to receive 3</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 xml:space="preserve">mg of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 or placebo once daily for up to 7 d</w:t>
            </w:r>
          </w:p>
        </w:tc>
        <w:tc>
          <w:tcPr>
            <w:tcW w:w="3023" w:type="dxa"/>
          </w:tcPr>
          <w:p w14:paraId="70637DF8" w14:textId="0DF590ED"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 xml:space="preserve">Platelet transfusion, or rescue procedure for bleeding not required in 79.2% of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-treated patients and 12.5% of placebo-treated patients </w:t>
            </w:r>
          </w:p>
        </w:tc>
        <w:tc>
          <w:tcPr>
            <w:tcW w:w="2409" w:type="dxa"/>
          </w:tcPr>
          <w:p w14:paraId="6E9B48BD" w14:textId="25EF3F07" w:rsidR="0089274F" w:rsidRPr="00B747CD" w:rsidRDefault="0089274F" w:rsidP="00B747CD">
            <w:pPr>
              <w:adjustRightInd w:val="0"/>
              <w:snapToGrid w:val="0"/>
              <w:spacing w:line="360" w:lineRule="auto"/>
              <w:ind w:right="159"/>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Most common TEAEs: nausea, pyrexia, headache, pain, and portal vein thrombosis</w:t>
            </w:r>
            <w:r w:rsidR="002D3936"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 xml:space="preserve">Most common SAE with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 was portal vein thrombosis</w:t>
            </w:r>
          </w:p>
        </w:tc>
      </w:tr>
      <w:tr w:rsidR="007F1763" w:rsidRPr="00B747CD" w14:paraId="234E6232" w14:textId="77777777" w:rsidTr="00A22945">
        <w:tc>
          <w:tcPr>
            <w:tcW w:w="1936" w:type="dxa"/>
          </w:tcPr>
          <w:p w14:paraId="21407EAC" w14:textId="2C61BACC"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L-PLUS-2</w:t>
            </w:r>
            <w:r w:rsidR="002D3936"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 xml:space="preserve">Peck-Radosavljevic </w:t>
            </w:r>
            <w:r w:rsidR="00B24BE0" w:rsidRPr="00B747CD">
              <w:rPr>
                <w:rFonts w:ascii="Book Antiqua" w:hAnsi="Book Antiqua" w:cs="Arial"/>
                <w:i/>
                <w:iCs/>
                <w:color w:val="000000" w:themeColor="text1"/>
                <w:sz w:val="24"/>
                <w:szCs w:val="24"/>
              </w:rPr>
              <w:t xml:space="preserve">et </w:t>
            </w:r>
            <w:proofErr w:type="gramStart"/>
            <w:r w:rsidR="00B24BE0" w:rsidRPr="00B747CD">
              <w:rPr>
                <w:rFonts w:ascii="Book Antiqua" w:hAnsi="Book Antiqua" w:cs="Arial"/>
                <w:i/>
                <w:iCs/>
                <w:color w:val="000000" w:themeColor="text1"/>
                <w:sz w:val="24"/>
                <w:szCs w:val="24"/>
              </w:rPr>
              <w:t>al</w:t>
            </w:r>
            <w:r w:rsidR="00A22945" w:rsidRPr="00B747CD">
              <w:rPr>
                <w:rFonts w:ascii="Book Antiqua" w:hAnsi="Book Antiqua" w:cs="Arial"/>
                <w:iCs/>
                <w:color w:val="000000" w:themeColor="text1"/>
                <w:sz w:val="24"/>
                <w:szCs w:val="24"/>
                <w:vertAlign w:val="superscript"/>
                <w:lang w:eastAsia="zh-CN"/>
              </w:rPr>
              <w:t>[</w:t>
            </w:r>
            <w:proofErr w:type="gramEnd"/>
            <w:r w:rsidR="00A22945" w:rsidRPr="00B747CD">
              <w:rPr>
                <w:rFonts w:ascii="Book Antiqua" w:hAnsi="Book Antiqua" w:cs="Arial"/>
                <w:iCs/>
                <w:color w:val="000000" w:themeColor="text1"/>
                <w:sz w:val="24"/>
                <w:szCs w:val="24"/>
                <w:vertAlign w:val="superscript"/>
                <w:lang w:eastAsia="zh-CN"/>
              </w:rPr>
              <w:t>17]</w:t>
            </w:r>
            <w:r w:rsidR="00B24BE0" w:rsidRPr="00B747CD">
              <w:rPr>
                <w:rFonts w:ascii="Book Antiqua" w:hAnsi="Book Antiqua" w:cs="Arial"/>
                <w:color w:val="000000" w:themeColor="text1"/>
                <w:sz w:val="24"/>
                <w:szCs w:val="24"/>
              </w:rPr>
              <w:t xml:space="preserve">, </w:t>
            </w:r>
            <w:r w:rsidRPr="00B747CD">
              <w:rPr>
                <w:rFonts w:ascii="Book Antiqua" w:hAnsi="Book Antiqua" w:cs="Arial"/>
                <w:color w:val="000000" w:themeColor="text1"/>
                <w:sz w:val="24"/>
                <w:szCs w:val="24"/>
              </w:rPr>
              <w:t>2019</w:t>
            </w:r>
          </w:p>
        </w:tc>
        <w:tc>
          <w:tcPr>
            <w:tcW w:w="2266" w:type="dxa"/>
          </w:tcPr>
          <w:p w14:paraId="42484BCD" w14:textId="77777777"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215 patients; same dosing as L-PLUS-1</w:t>
            </w:r>
          </w:p>
        </w:tc>
        <w:tc>
          <w:tcPr>
            <w:tcW w:w="3023" w:type="dxa"/>
          </w:tcPr>
          <w:p w14:paraId="5C6A2B71" w14:textId="1E6FAE0F" w:rsidR="0089274F" w:rsidRPr="00B747CD" w:rsidRDefault="0089274F" w:rsidP="00B747CD">
            <w:pPr>
              <w:adjustRightInd w:val="0"/>
              <w:snapToGrid w:val="0"/>
              <w:spacing w:line="360" w:lineRule="auto"/>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t xml:space="preserve">Platelet transfusion, or rescue procedure for bleeding not required in 64.8% of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-treated patients and 29% of placebo-treated patients </w:t>
            </w:r>
          </w:p>
        </w:tc>
        <w:tc>
          <w:tcPr>
            <w:tcW w:w="2409" w:type="dxa"/>
          </w:tcPr>
          <w:p w14:paraId="4A47106F" w14:textId="44C6EC9A" w:rsidR="0089274F" w:rsidRPr="00B747CD" w:rsidRDefault="0089274F" w:rsidP="00B747CD">
            <w:pPr>
              <w:adjustRightInd w:val="0"/>
              <w:snapToGrid w:val="0"/>
              <w:spacing w:line="360" w:lineRule="auto"/>
              <w:ind w:right="159"/>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Most TEAEs were mild or moderate in severity</w:t>
            </w:r>
            <w:r w:rsidR="002D3936"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 xml:space="preserve">Four asymptomatic thrombotic events, two each in the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 and placebo groups, respectively; none </w:t>
            </w:r>
            <w:r w:rsidRPr="00B747CD">
              <w:rPr>
                <w:rFonts w:ascii="Book Antiqua" w:hAnsi="Book Antiqua" w:cs="Arial"/>
                <w:color w:val="000000" w:themeColor="text1"/>
                <w:sz w:val="24"/>
                <w:szCs w:val="24"/>
              </w:rPr>
              <w:lastRenderedPageBreak/>
              <w:t xml:space="preserve">attributed to </w:t>
            </w:r>
            <w:proofErr w:type="spellStart"/>
            <w:r w:rsidRPr="00B747CD">
              <w:rPr>
                <w:rFonts w:ascii="Book Antiqua" w:hAnsi="Book Antiqua" w:cs="Arial"/>
                <w:color w:val="000000" w:themeColor="text1"/>
                <w:sz w:val="24"/>
                <w:szCs w:val="24"/>
              </w:rPr>
              <w:t>lusutrombopag</w:t>
            </w:r>
            <w:proofErr w:type="spellEnd"/>
            <w:r w:rsidRPr="00B747CD">
              <w:rPr>
                <w:rFonts w:ascii="Book Antiqua" w:hAnsi="Book Antiqua" w:cs="Arial"/>
                <w:color w:val="000000" w:themeColor="text1"/>
                <w:sz w:val="24"/>
                <w:szCs w:val="24"/>
              </w:rPr>
              <w:t xml:space="preserve"> </w:t>
            </w:r>
          </w:p>
        </w:tc>
      </w:tr>
    </w:tbl>
    <w:p w14:paraId="6BDDFA3E" w14:textId="3702D11C" w:rsidR="0089274F" w:rsidRPr="00B747CD" w:rsidRDefault="0089274F" w:rsidP="00B747CD">
      <w:pPr>
        <w:adjustRightInd w:val="0"/>
        <w:snapToGrid w:val="0"/>
        <w:spacing w:after="0" w:line="360" w:lineRule="auto"/>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lastRenderedPageBreak/>
        <w:t>AE</w:t>
      </w:r>
      <w:r w:rsidR="00E854D8"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E854D8" w:rsidRPr="00B747CD">
        <w:rPr>
          <w:rFonts w:ascii="Book Antiqua" w:hAnsi="Book Antiqua" w:cs="Arial"/>
          <w:color w:val="000000" w:themeColor="text1"/>
          <w:sz w:val="24"/>
          <w:szCs w:val="24"/>
        </w:rPr>
        <w:t>A</w:t>
      </w:r>
      <w:r w:rsidRPr="00B747CD">
        <w:rPr>
          <w:rFonts w:ascii="Book Antiqua" w:hAnsi="Book Antiqua" w:cs="Arial"/>
          <w:color w:val="000000" w:themeColor="text1"/>
          <w:sz w:val="24"/>
          <w:szCs w:val="24"/>
        </w:rPr>
        <w:t>dverse event; CLD</w:t>
      </w:r>
      <w:r w:rsidR="00E854D8"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E854D8" w:rsidRPr="00B747CD">
        <w:rPr>
          <w:rFonts w:ascii="Book Antiqua" w:hAnsi="Book Antiqua" w:cs="Arial"/>
          <w:color w:val="000000" w:themeColor="text1"/>
          <w:sz w:val="24"/>
          <w:szCs w:val="24"/>
        </w:rPr>
        <w:t>C</w:t>
      </w:r>
      <w:r w:rsidRPr="00B747CD">
        <w:rPr>
          <w:rFonts w:ascii="Book Antiqua" w:hAnsi="Book Antiqua" w:cs="Arial"/>
          <w:color w:val="000000" w:themeColor="text1"/>
          <w:sz w:val="24"/>
          <w:szCs w:val="24"/>
        </w:rPr>
        <w:t>hronic liver disease; SAE</w:t>
      </w:r>
      <w:r w:rsidR="00E854D8"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E854D8" w:rsidRPr="00B747CD">
        <w:rPr>
          <w:rFonts w:ascii="Book Antiqua" w:hAnsi="Book Antiqua" w:cs="Arial"/>
          <w:color w:val="000000" w:themeColor="text1"/>
          <w:sz w:val="24"/>
          <w:szCs w:val="24"/>
        </w:rPr>
        <w:t>S</w:t>
      </w:r>
      <w:r w:rsidRPr="00B747CD">
        <w:rPr>
          <w:rFonts w:ascii="Book Antiqua" w:hAnsi="Book Antiqua" w:cs="Arial"/>
          <w:color w:val="000000" w:themeColor="text1"/>
          <w:sz w:val="24"/>
          <w:szCs w:val="24"/>
        </w:rPr>
        <w:t>erious adverse event; TEAE</w:t>
      </w:r>
      <w:r w:rsidR="00E854D8"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E854D8" w:rsidRPr="00B747CD">
        <w:rPr>
          <w:rFonts w:ascii="Book Antiqua" w:hAnsi="Book Antiqua" w:cs="Arial"/>
          <w:color w:val="000000" w:themeColor="text1"/>
          <w:sz w:val="24"/>
          <w:szCs w:val="24"/>
        </w:rPr>
        <w:t>T</w:t>
      </w:r>
      <w:r w:rsidRPr="00B747CD">
        <w:rPr>
          <w:rFonts w:ascii="Book Antiqua" w:hAnsi="Book Antiqua" w:cs="Arial"/>
          <w:color w:val="000000" w:themeColor="text1"/>
          <w:sz w:val="24"/>
          <w:szCs w:val="24"/>
        </w:rPr>
        <w:t>reatment-emergent adverse event</w:t>
      </w:r>
      <w:r w:rsidR="00597F2E" w:rsidRPr="00B747CD">
        <w:rPr>
          <w:rFonts w:ascii="Book Antiqua" w:hAnsi="Book Antiqua" w:cs="Arial"/>
          <w:color w:val="000000" w:themeColor="text1"/>
          <w:sz w:val="24"/>
          <w:szCs w:val="24"/>
        </w:rPr>
        <w:t>.</w:t>
      </w:r>
    </w:p>
    <w:p w14:paraId="021CF14C" w14:textId="77777777" w:rsidR="002E78EB" w:rsidRPr="00B747CD" w:rsidRDefault="002E78EB" w:rsidP="00B747CD">
      <w:pPr>
        <w:adjustRightInd w:val="0"/>
        <w:snapToGrid w:val="0"/>
        <w:spacing w:after="0" w:line="360" w:lineRule="auto"/>
        <w:jc w:val="both"/>
        <w:rPr>
          <w:rFonts w:ascii="Book Antiqua" w:hAnsi="Book Antiqua" w:cs="Arial"/>
          <w:color w:val="000000" w:themeColor="text1"/>
          <w:sz w:val="24"/>
          <w:szCs w:val="24"/>
          <w:lang w:eastAsia="zh-CN"/>
        </w:rPr>
      </w:pPr>
    </w:p>
    <w:p w14:paraId="2B61A715" w14:textId="77777777" w:rsidR="002E78EB" w:rsidRPr="00B747CD" w:rsidRDefault="002E78EB" w:rsidP="00B747CD">
      <w:pPr>
        <w:adjustRightInd w:val="0"/>
        <w:snapToGrid w:val="0"/>
        <w:spacing w:after="0" w:line="360" w:lineRule="auto"/>
        <w:jc w:val="both"/>
        <w:rPr>
          <w:rFonts w:ascii="Book Antiqua" w:hAnsi="Book Antiqua" w:cs="Arial"/>
          <w:color w:val="000000" w:themeColor="text1"/>
          <w:sz w:val="24"/>
          <w:szCs w:val="24"/>
          <w:lang w:eastAsia="zh-CN"/>
        </w:rPr>
      </w:pPr>
    </w:p>
    <w:p w14:paraId="564D4907" w14:textId="370E1594" w:rsidR="0089274F" w:rsidRPr="00B747CD" w:rsidRDefault="0089274F" w:rsidP="00B747CD">
      <w:pPr>
        <w:pStyle w:val="ab"/>
        <w:adjustRightInd w:val="0"/>
        <w:snapToGrid w:val="0"/>
        <w:spacing w:after="0" w:line="360" w:lineRule="auto"/>
        <w:ind w:left="0"/>
        <w:contextualSpacing w:val="0"/>
        <w:jc w:val="both"/>
        <w:rPr>
          <w:rFonts w:ascii="Book Antiqua" w:hAnsi="Book Antiqua" w:cs="Arial"/>
          <w:b/>
          <w:bCs/>
          <w:color w:val="000000" w:themeColor="text1"/>
          <w:sz w:val="24"/>
          <w:szCs w:val="24"/>
        </w:rPr>
      </w:pPr>
      <w:r w:rsidRPr="00B747CD">
        <w:rPr>
          <w:rFonts w:ascii="Book Antiqua" w:hAnsi="Book Antiqua" w:cs="Arial"/>
          <w:b/>
          <w:color w:val="000000" w:themeColor="text1"/>
          <w:sz w:val="24"/>
          <w:szCs w:val="24"/>
        </w:rPr>
        <w:t xml:space="preserve">Table 2 </w:t>
      </w:r>
      <w:r w:rsidRPr="00B747CD">
        <w:rPr>
          <w:rFonts w:ascii="Book Antiqua" w:hAnsi="Book Antiqua" w:cs="Arial"/>
          <w:b/>
          <w:bCs/>
          <w:color w:val="000000" w:themeColor="text1"/>
          <w:sz w:val="24"/>
          <w:szCs w:val="24"/>
        </w:rPr>
        <w:t xml:space="preserve">Key safety and tolerability information for </w:t>
      </w:r>
      <w:r w:rsidR="00597F2E" w:rsidRPr="00B747CD">
        <w:rPr>
          <w:rFonts w:ascii="Book Antiqua" w:eastAsia="Times New Roman" w:hAnsi="Book Antiqua" w:cs="Arial"/>
          <w:b/>
          <w:bCs/>
          <w:color w:val="000000" w:themeColor="text1"/>
          <w:sz w:val="24"/>
          <w:szCs w:val="24"/>
        </w:rPr>
        <w:t>thrombopoietin-receptor agonists</w:t>
      </w:r>
      <w:r w:rsidR="00597F2E" w:rsidRPr="00B747CD" w:rsidDel="00D5754C">
        <w:rPr>
          <w:rFonts w:ascii="Book Antiqua" w:hAnsi="Book Antiqua" w:cs="Arial"/>
          <w:b/>
          <w:bCs/>
          <w:color w:val="000000" w:themeColor="text1"/>
          <w:sz w:val="24"/>
          <w:szCs w:val="24"/>
        </w:rPr>
        <w:t xml:space="preserve"> </w:t>
      </w:r>
      <w:r w:rsidRPr="00B747CD">
        <w:rPr>
          <w:rFonts w:ascii="Book Antiqua" w:hAnsi="Book Antiqua" w:cs="Arial"/>
          <w:b/>
          <w:bCs/>
          <w:color w:val="000000" w:themeColor="text1"/>
          <w:sz w:val="24"/>
          <w:szCs w:val="24"/>
        </w:rPr>
        <w:t xml:space="preserve">approved for </w:t>
      </w:r>
      <w:proofErr w:type="gramStart"/>
      <w:r w:rsidRPr="00B747CD">
        <w:rPr>
          <w:rFonts w:ascii="Book Antiqua" w:hAnsi="Book Antiqua" w:cs="Arial"/>
          <w:b/>
          <w:bCs/>
          <w:color w:val="000000" w:themeColor="text1"/>
          <w:sz w:val="24"/>
          <w:szCs w:val="24"/>
        </w:rPr>
        <w:t>use</w:t>
      </w:r>
      <w:r w:rsidR="007F58C9" w:rsidRPr="00B747CD">
        <w:rPr>
          <w:rFonts w:ascii="Book Antiqua" w:hAnsi="Book Antiqua" w:cs="Arial"/>
          <w:b/>
          <w:bCs/>
          <w:color w:val="000000" w:themeColor="text1"/>
          <w:sz w:val="24"/>
          <w:szCs w:val="24"/>
          <w:vertAlign w:val="superscript"/>
        </w:rPr>
        <w:t>[</w:t>
      </w:r>
      <w:proofErr w:type="gramEnd"/>
      <w:r w:rsidRPr="00B747CD">
        <w:rPr>
          <w:rFonts w:ascii="Book Antiqua" w:hAnsi="Book Antiqua" w:cs="Arial"/>
          <w:b/>
          <w:bCs/>
          <w:color w:val="000000" w:themeColor="text1"/>
          <w:sz w:val="24"/>
          <w:szCs w:val="24"/>
          <w:vertAlign w:val="superscript"/>
        </w:rPr>
        <w:t>4-7</w:t>
      </w:r>
      <w:r w:rsidR="007F58C9" w:rsidRPr="00B747CD">
        <w:rPr>
          <w:rFonts w:ascii="Book Antiqua" w:hAnsi="Book Antiqua" w:cs="Arial"/>
          <w:b/>
          <w:bCs/>
          <w:color w:val="000000" w:themeColor="text1"/>
          <w:sz w:val="24"/>
          <w:szCs w:val="24"/>
          <w:vertAlign w:val="superscript"/>
        </w:rPr>
        <w:t>]</w:t>
      </w:r>
      <w:r w:rsidRPr="00B747CD">
        <w:rPr>
          <w:rFonts w:ascii="Book Antiqua" w:hAnsi="Book Antiqua" w:cs="Arial"/>
          <w:b/>
          <w:bCs/>
          <w:color w:val="000000" w:themeColor="text1"/>
          <w:sz w:val="24"/>
          <w:szCs w:val="24"/>
        </w:rPr>
        <w:t xml:space="preserve"> </w:t>
      </w:r>
    </w:p>
    <w:tbl>
      <w:tblPr>
        <w:tblStyle w:val="af7"/>
        <w:tblpPr w:leftFromText="181" w:rightFromText="181" w:vertAnchor="text" w:tblpX="7" w:tblpY="1"/>
        <w:tblOverlap w:val="never"/>
        <w:tblW w:w="96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2126"/>
        <w:gridCol w:w="1985"/>
        <w:gridCol w:w="1984"/>
        <w:gridCol w:w="1701"/>
      </w:tblGrid>
      <w:tr w:rsidR="007F1763" w:rsidRPr="00B747CD" w14:paraId="0A0CAF04" w14:textId="77777777" w:rsidTr="002E78EB">
        <w:tc>
          <w:tcPr>
            <w:tcW w:w="1838" w:type="dxa"/>
            <w:tcBorders>
              <w:top w:val="single" w:sz="4" w:space="0" w:color="auto"/>
              <w:bottom w:val="single" w:sz="4" w:space="0" w:color="auto"/>
            </w:tcBorders>
          </w:tcPr>
          <w:p w14:paraId="6DF77DBD"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b/>
                <w:color w:val="000000" w:themeColor="text1"/>
                <w:sz w:val="24"/>
                <w:szCs w:val="24"/>
              </w:rPr>
            </w:pPr>
            <w:r w:rsidRPr="00B747CD">
              <w:rPr>
                <w:rFonts w:ascii="Book Antiqua" w:hAnsi="Book Antiqua" w:cs="Arial"/>
                <w:b/>
                <w:color w:val="000000" w:themeColor="text1"/>
                <w:sz w:val="24"/>
                <w:szCs w:val="24"/>
              </w:rPr>
              <w:t>Drug</w:t>
            </w:r>
          </w:p>
        </w:tc>
        <w:tc>
          <w:tcPr>
            <w:tcW w:w="2126" w:type="dxa"/>
            <w:tcBorders>
              <w:top w:val="single" w:sz="4" w:space="0" w:color="auto"/>
              <w:bottom w:val="single" w:sz="4" w:space="0" w:color="auto"/>
            </w:tcBorders>
          </w:tcPr>
          <w:p w14:paraId="4A9FA097"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b/>
                <w:color w:val="000000" w:themeColor="text1"/>
                <w:sz w:val="24"/>
                <w:szCs w:val="24"/>
              </w:rPr>
            </w:pPr>
            <w:r w:rsidRPr="00B747CD">
              <w:rPr>
                <w:rFonts w:ascii="Book Antiqua" w:hAnsi="Book Antiqua" w:cs="Arial"/>
                <w:b/>
                <w:color w:val="000000" w:themeColor="text1"/>
                <w:sz w:val="24"/>
                <w:szCs w:val="24"/>
              </w:rPr>
              <w:t>Indication</w:t>
            </w:r>
          </w:p>
        </w:tc>
        <w:tc>
          <w:tcPr>
            <w:tcW w:w="1985" w:type="dxa"/>
            <w:tcBorders>
              <w:top w:val="single" w:sz="4" w:space="0" w:color="auto"/>
              <w:bottom w:val="single" w:sz="4" w:space="0" w:color="auto"/>
            </w:tcBorders>
          </w:tcPr>
          <w:p w14:paraId="68E08E1B"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b/>
                <w:color w:val="000000" w:themeColor="text1"/>
                <w:sz w:val="24"/>
                <w:szCs w:val="24"/>
              </w:rPr>
            </w:pPr>
            <w:r w:rsidRPr="00B747CD">
              <w:rPr>
                <w:rFonts w:ascii="Book Antiqua" w:hAnsi="Book Antiqua" w:cs="Arial"/>
                <w:b/>
                <w:color w:val="000000" w:themeColor="text1"/>
                <w:sz w:val="24"/>
                <w:szCs w:val="24"/>
              </w:rPr>
              <w:t>Boxed warning</w:t>
            </w:r>
          </w:p>
        </w:tc>
        <w:tc>
          <w:tcPr>
            <w:tcW w:w="1984" w:type="dxa"/>
            <w:tcBorders>
              <w:top w:val="single" w:sz="4" w:space="0" w:color="auto"/>
              <w:bottom w:val="single" w:sz="4" w:space="0" w:color="auto"/>
            </w:tcBorders>
          </w:tcPr>
          <w:p w14:paraId="09B88611" w14:textId="31EE36C1" w:rsidR="0089274F" w:rsidRPr="00B747CD" w:rsidRDefault="00597F2E" w:rsidP="00B747CD">
            <w:pPr>
              <w:pStyle w:val="ab"/>
              <w:adjustRightInd w:val="0"/>
              <w:snapToGrid w:val="0"/>
              <w:spacing w:line="360" w:lineRule="auto"/>
              <w:ind w:left="0"/>
              <w:contextualSpacing w:val="0"/>
              <w:jc w:val="both"/>
              <w:rPr>
                <w:rFonts w:ascii="Book Antiqua" w:hAnsi="Book Antiqua" w:cs="Arial"/>
                <w:b/>
                <w:color w:val="000000" w:themeColor="text1"/>
                <w:sz w:val="24"/>
                <w:szCs w:val="24"/>
              </w:rPr>
            </w:pPr>
            <w:r w:rsidRPr="00B747CD">
              <w:rPr>
                <w:rFonts w:ascii="Book Antiqua" w:hAnsi="Book Antiqua" w:cs="Arial"/>
                <w:b/>
                <w:color w:val="000000" w:themeColor="text1"/>
                <w:sz w:val="24"/>
                <w:szCs w:val="24"/>
              </w:rPr>
              <w:t>AEs</w:t>
            </w:r>
          </w:p>
        </w:tc>
        <w:tc>
          <w:tcPr>
            <w:tcW w:w="1701" w:type="dxa"/>
            <w:tcBorders>
              <w:top w:val="single" w:sz="4" w:space="0" w:color="auto"/>
              <w:bottom w:val="single" w:sz="4" w:space="0" w:color="auto"/>
            </w:tcBorders>
          </w:tcPr>
          <w:p w14:paraId="06FBEF01"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b/>
                <w:color w:val="000000" w:themeColor="text1"/>
                <w:sz w:val="24"/>
                <w:szCs w:val="24"/>
              </w:rPr>
            </w:pPr>
            <w:r w:rsidRPr="00B747CD">
              <w:rPr>
                <w:rFonts w:ascii="Book Antiqua" w:hAnsi="Book Antiqua" w:cs="Arial"/>
                <w:b/>
                <w:color w:val="000000" w:themeColor="text1"/>
                <w:sz w:val="24"/>
                <w:szCs w:val="24"/>
              </w:rPr>
              <w:t>Use in special populations</w:t>
            </w:r>
          </w:p>
        </w:tc>
      </w:tr>
      <w:tr w:rsidR="007F1763" w:rsidRPr="00B747CD" w14:paraId="3E5CDFA2" w14:textId="77777777" w:rsidTr="002E78EB">
        <w:tc>
          <w:tcPr>
            <w:tcW w:w="1838" w:type="dxa"/>
            <w:tcBorders>
              <w:top w:val="single" w:sz="4" w:space="0" w:color="auto"/>
            </w:tcBorders>
          </w:tcPr>
          <w:p w14:paraId="23A2E207"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Romiplostim</w:t>
            </w:r>
          </w:p>
        </w:tc>
        <w:tc>
          <w:tcPr>
            <w:tcW w:w="2126" w:type="dxa"/>
            <w:tcBorders>
              <w:top w:val="single" w:sz="4" w:space="0" w:color="auto"/>
            </w:tcBorders>
          </w:tcPr>
          <w:p w14:paraId="3AC5FB83"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Treatment of thrombocytopenia in patients with chronic ITP who have had an insufficient response to corticosteroids, immunoglobulins, or splenectomy</w:t>
            </w:r>
          </w:p>
        </w:tc>
        <w:tc>
          <w:tcPr>
            <w:tcW w:w="1985" w:type="dxa"/>
            <w:tcBorders>
              <w:top w:val="single" w:sz="4" w:space="0" w:color="auto"/>
            </w:tcBorders>
          </w:tcPr>
          <w:p w14:paraId="584EA9AE"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None</w:t>
            </w:r>
          </w:p>
        </w:tc>
        <w:tc>
          <w:tcPr>
            <w:tcW w:w="1984" w:type="dxa"/>
            <w:tcBorders>
              <w:top w:val="single" w:sz="4" w:space="0" w:color="auto"/>
            </w:tcBorders>
          </w:tcPr>
          <w:p w14:paraId="3EBD7056" w14:textId="08F83404"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Thrombotic and thromboembolic events</w:t>
            </w:r>
            <w:r w:rsidR="00D17A39" w:rsidRPr="00B747CD">
              <w:rPr>
                <w:rFonts w:ascii="Book Antiqua" w:hAnsi="Book Antiqua" w:cs="Arial"/>
                <w:color w:val="000000" w:themeColor="text1"/>
                <w:sz w:val="24"/>
                <w:szCs w:val="24"/>
              </w:rPr>
              <w:t>; b</w:t>
            </w:r>
            <w:r w:rsidRPr="00B747CD">
              <w:rPr>
                <w:rFonts w:ascii="Book Antiqua" w:hAnsi="Book Antiqua" w:cs="Arial"/>
                <w:color w:val="000000" w:themeColor="text1"/>
                <w:sz w:val="24"/>
                <w:szCs w:val="24"/>
              </w:rPr>
              <w:t>one marrow fibrosis</w:t>
            </w:r>
            <w:r w:rsidR="00D17A39" w:rsidRPr="00B747CD">
              <w:rPr>
                <w:rFonts w:ascii="Book Antiqua" w:hAnsi="Book Antiqua" w:cs="Arial"/>
                <w:color w:val="000000" w:themeColor="text1"/>
                <w:sz w:val="24"/>
                <w:szCs w:val="24"/>
              </w:rPr>
              <w:t>;</w:t>
            </w:r>
          </w:p>
          <w:p w14:paraId="048B5DBA" w14:textId="34F020F8" w:rsidR="0089274F" w:rsidRPr="00B747CD" w:rsidRDefault="00D17A39"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m</w:t>
            </w:r>
            <w:r w:rsidR="0089274F" w:rsidRPr="00B747CD">
              <w:rPr>
                <w:rFonts w:ascii="Book Antiqua" w:hAnsi="Book Antiqua" w:cs="Arial"/>
                <w:color w:val="000000" w:themeColor="text1"/>
                <w:sz w:val="24"/>
                <w:szCs w:val="24"/>
              </w:rPr>
              <w:t>ost common AEs: arthralgia, dizziness, insomnia, myalgia, pain in extremity, abdominal pain, shoulder pain, dyspepsia, and paresthesia, headache</w:t>
            </w:r>
          </w:p>
        </w:tc>
        <w:tc>
          <w:tcPr>
            <w:tcW w:w="1701" w:type="dxa"/>
            <w:tcBorders>
              <w:top w:val="single" w:sz="4" w:space="0" w:color="auto"/>
            </w:tcBorders>
          </w:tcPr>
          <w:p w14:paraId="75EDC99F" w14:textId="77F3EF25"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Not to be used in pregnancy and during lactation</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Safety and effectiveness in pediatric patients has not been established</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Use in geriatric patients with dose adjustment</w:t>
            </w:r>
          </w:p>
        </w:tc>
      </w:tr>
      <w:tr w:rsidR="007F1763" w:rsidRPr="00B747CD" w14:paraId="6D730802" w14:textId="77777777" w:rsidTr="002E78EB">
        <w:tc>
          <w:tcPr>
            <w:tcW w:w="1838" w:type="dxa"/>
          </w:tcPr>
          <w:p w14:paraId="0BFC21E5"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proofErr w:type="spellStart"/>
            <w:r w:rsidRPr="00B747CD">
              <w:rPr>
                <w:rFonts w:ascii="Book Antiqua" w:hAnsi="Book Antiqua" w:cs="Arial"/>
                <w:color w:val="000000" w:themeColor="text1"/>
                <w:sz w:val="24"/>
                <w:szCs w:val="24"/>
              </w:rPr>
              <w:t>Eltrombopag</w:t>
            </w:r>
            <w:proofErr w:type="spellEnd"/>
          </w:p>
        </w:tc>
        <w:tc>
          <w:tcPr>
            <w:tcW w:w="2126" w:type="dxa"/>
          </w:tcPr>
          <w:p w14:paraId="09B6B631" w14:textId="37DB670E"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Treatment of thrombocytopeni</w:t>
            </w:r>
            <w:r w:rsidRPr="00B747CD">
              <w:rPr>
                <w:rFonts w:ascii="Book Antiqua" w:hAnsi="Book Antiqua" w:cs="Arial"/>
                <w:color w:val="000000" w:themeColor="text1"/>
                <w:sz w:val="24"/>
                <w:szCs w:val="24"/>
              </w:rPr>
              <w:lastRenderedPageBreak/>
              <w:t xml:space="preserve">a in adult and pediatric patients 1 </w:t>
            </w:r>
            <w:proofErr w:type="spellStart"/>
            <w:r w:rsidRPr="00B747CD">
              <w:rPr>
                <w:rFonts w:ascii="Book Antiqua" w:hAnsi="Book Antiqua" w:cs="Arial"/>
                <w:color w:val="000000" w:themeColor="text1"/>
                <w:sz w:val="24"/>
                <w:szCs w:val="24"/>
              </w:rPr>
              <w:t>yr</w:t>
            </w:r>
            <w:proofErr w:type="spellEnd"/>
            <w:r w:rsidRPr="00B747CD">
              <w:rPr>
                <w:rFonts w:ascii="Book Antiqua" w:hAnsi="Book Antiqua" w:cs="Arial"/>
                <w:color w:val="000000" w:themeColor="text1"/>
                <w:sz w:val="24"/>
                <w:szCs w:val="24"/>
              </w:rPr>
              <w:t xml:space="preserve"> and older with chronic ITP who have had an insufficient response to corticosteroids, immunoglobulins, or splenectomy</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Treatment of thrombocytopenia in patients with chronic hepatitis C to allow the initiation and maintenance of interferon-based therapy</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Treatment of patients with severe aplastic anemia who have had an insufficient response to immunosuppressive therapy</w:t>
            </w:r>
          </w:p>
        </w:tc>
        <w:tc>
          <w:tcPr>
            <w:tcW w:w="1985" w:type="dxa"/>
          </w:tcPr>
          <w:p w14:paraId="47DA53CC" w14:textId="3962C1DA"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lastRenderedPageBreak/>
              <w:t xml:space="preserve">Risk for hepatic decompensation </w:t>
            </w:r>
            <w:r w:rsidRPr="00B747CD">
              <w:rPr>
                <w:rFonts w:ascii="Book Antiqua" w:hAnsi="Book Antiqua" w:cs="Arial"/>
                <w:color w:val="000000" w:themeColor="text1"/>
                <w:sz w:val="24"/>
                <w:szCs w:val="24"/>
              </w:rPr>
              <w:lastRenderedPageBreak/>
              <w:t>in patients with chronic hepatitis C</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Risk of hepatotoxicity</w:t>
            </w:r>
          </w:p>
        </w:tc>
        <w:tc>
          <w:tcPr>
            <w:tcW w:w="1984" w:type="dxa"/>
          </w:tcPr>
          <w:p w14:paraId="69E6079C" w14:textId="46B63F7D"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lastRenderedPageBreak/>
              <w:t xml:space="preserve">Thrombotic and thromboembolic </w:t>
            </w:r>
            <w:r w:rsidRPr="00B747CD">
              <w:rPr>
                <w:rFonts w:ascii="Book Antiqua" w:hAnsi="Book Antiqua" w:cs="Arial"/>
                <w:color w:val="000000" w:themeColor="text1"/>
                <w:sz w:val="24"/>
                <w:szCs w:val="24"/>
              </w:rPr>
              <w:lastRenderedPageBreak/>
              <w:t>events</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Hepatoxicity; monitor liver function before and during therapy</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Increased risk of death and progression of MDS to AML</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Common AEs in patients with ITP: nausea, diarrhea, upper respiratory tract infection, vomiting, increased ALT, myalgia and urinary tract infection</w:t>
            </w:r>
          </w:p>
        </w:tc>
        <w:tc>
          <w:tcPr>
            <w:tcW w:w="1701" w:type="dxa"/>
          </w:tcPr>
          <w:p w14:paraId="2FA87A92" w14:textId="5B213A28"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lastRenderedPageBreak/>
              <w:t xml:space="preserve">Not to be used in </w:t>
            </w:r>
            <w:r w:rsidRPr="00B747CD">
              <w:rPr>
                <w:rFonts w:ascii="Book Antiqua" w:hAnsi="Book Antiqua" w:cs="Arial"/>
                <w:color w:val="000000" w:themeColor="text1"/>
                <w:sz w:val="24"/>
                <w:szCs w:val="24"/>
              </w:rPr>
              <w:lastRenderedPageBreak/>
              <w:t>pregnancy and during lactation</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 xml:space="preserve">Safety and effectiveness in pediatric patients 1 </w:t>
            </w:r>
            <w:proofErr w:type="spellStart"/>
            <w:r w:rsidRPr="00B747CD">
              <w:rPr>
                <w:rFonts w:ascii="Book Antiqua" w:hAnsi="Book Antiqua" w:cs="Arial"/>
                <w:color w:val="000000" w:themeColor="text1"/>
                <w:sz w:val="24"/>
                <w:szCs w:val="24"/>
              </w:rPr>
              <w:t>yr</w:t>
            </w:r>
            <w:proofErr w:type="spellEnd"/>
            <w:r w:rsidRPr="00B747CD">
              <w:rPr>
                <w:rFonts w:ascii="Book Antiqua" w:hAnsi="Book Antiqua" w:cs="Arial"/>
                <w:color w:val="000000" w:themeColor="text1"/>
                <w:sz w:val="24"/>
                <w:szCs w:val="24"/>
              </w:rPr>
              <w:t xml:space="preserve"> and older with chronic ITP has been established</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Use in geriatric patients has not been studied in clinical trials</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Reduced initial dose recommended for patients of East Asian ancestry with ITP</w:t>
            </w:r>
          </w:p>
        </w:tc>
      </w:tr>
      <w:tr w:rsidR="007F1763" w:rsidRPr="00B747CD" w14:paraId="48865EDC" w14:textId="77777777" w:rsidTr="002E78EB">
        <w:tc>
          <w:tcPr>
            <w:tcW w:w="1838" w:type="dxa"/>
          </w:tcPr>
          <w:p w14:paraId="710724D1"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proofErr w:type="spellStart"/>
            <w:r w:rsidRPr="00B747CD">
              <w:rPr>
                <w:rFonts w:ascii="Book Antiqua" w:hAnsi="Book Antiqua" w:cs="Arial"/>
                <w:color w:val="000000" w:themeColor="text1"/>
                <w:sz w:val="24"/>
                <w:szCs w:val="24"/>
              </w:rPr>
              <w:lastRenderedPageBreak/>
              <w:t>Avatrombopag</w:t>
            </w:r>
            <w:proofErr w:type="spellEnd"/>
          </w:p>
        </w:tc>
        <w:tc>
          <w:tcPr>
            <w:tcW w:w="2126" w:type="dxa"/>
          </w:tcPr>
          <w:p w14:paraId="3A1C5BF0"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Treatment of thrombocytopenia in adult patients with chronic liver disease who are scheduled to undergo a procedure</w:t>
            </w:r>
          </w:p>
        </w:tc>
        <w:tc>
          <w:tcPr>
            <w:tcW w:w="1985" w:type="dxa"/>
          </w:tcPr>
          <w:p w14:paraId="6CFFE352"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None</w:t>
            </w:r>
          </w:p>
        </w:tc>
        <w:tc>
          <w:tcPr>
            <w:tcW w:w="1984" w:type="dxa"/>
          </w:tcPr>
          <w:p w14:paraId="691A9C66" w14:textId="41B13BE2"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Thrombotic and thromboembolic complications: monitoring platelet counts essential</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Common AEs: pyrexia, abdominal pain, nausea, headache, fatigue, and edema peripheral</w:t>
            </w:r>
          </w:p>
        </w:tc>
        <w:tc>
          <w:tcPr>
            <w:tcW w:w="1701" w:type="dxa"/>
          </w:tcPr>
          <w:p w14:paraId="418C903E" w14:textId="58276454"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Not to be used in pregnancy and during lactation</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Safety and effectiveness in pediatric patients has not been established</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Use in geriatric patients has not been studied in clinical trials</w:t>
            </w:r>
          </w:p>
        </w:tc>
      </w:tr>
      <w:tr w:rsidR="007F1763" w:rsidRPr="00B747CD" w14:paraId="2BB1C3DA" w14:textId="77777777" w:rsidTr="002E78EB">
        <w:tc>
          <w:tcPr>
            <w:tcW w:w="1838" w:type="dxa"/>
          </w:tcPr>
          <w:p w14:paraId="65F1EA92"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proofErr w:type="spellStart"/>
            <w:r w:rsidRPr="00B747CD">
              <w:rPr>
                <w:rFonts w:ascii="Book Antiqua" w:hAnsi="Book Antiqua" w:cs="Arial"/>
                <w:color w:val="000000" w:themeColor="text1"/>
                <w:sz w:val="24"/>
                <w:szCs w:val="24"/>
              </w:rPr>
              <w:t>Lusutrombopag</w:t>
            </w:r>
            <w:proofErr w:type="spellEnd"/>
          </w:p>
        </w:tc>
        <w:tc>
          <w:tcPr>
            <w:tcW w:w="2126" w:type="dxa"/>
          </w:tcPr>
          <w:p w14:paraId="0CC0DC47"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Treatment of thrombocytopenia in adult patients with chronic liver disease who are scheduled to undergo a procedure</w:t>
            </w:r>
          </w:p>
        </w:tc>
        <w:tc>
          <w:tcPr>
            <w:tcW w:w="1985" w:type="dxa"/>
          </w:tcPr>
          <w:p w14:paraId="5DCF3F39" w14:textId="77777777"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None</w:t>
            </w:r>
          </w:p>
        </w:tc>
        <w:tc>
          <w:tcPr>
            <w:tcW w:w="1984" w:type="dxa"/>
          </w:tcPr>
          <w:p w14:paraId="138D8914" w14:textId="27CB248D"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Thrombotic and thromboembolic complications: monitoring platelet counts essential</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Most common AE: headache</w:t>
            </w:r>
          </w:p>
        </w:tc>
        <w:tc>
          <w:tcPr>
            <w:tcW w:w="1701" w:type="dxa"/>
          </w:tcPr>
          <w:p w14:paraId="30F114A5" w14:textId="52645604" w:rsidR="0089274F" w:rsidRPr="00B747CD" w:rsidRDefault="0089274F" w:rsidP="00B747CD">
            <w:pPr>
              <w:pStyle w:val="ab"/>
              <w:adjustRightInd w:val="0"/>
              <w:snapToGrid w:val="0"/>
              <w:spacing w:line="360" w:lineRule="auto"/>
              <w:ind w:left="0"/>
              <w:contextualSpacing w:val="0"/>
              <w:jc w:val="both"/>
              <w:rPr>
                <w:rFonts w:ascii="Book Antiqua" w:hAnsi="Book Antiqua" w:cs="Arial"/>
                <w:color w:val="000000" w:themeColor="text1"/>
                <w:sz w:val="24"/>
                <w:szCs w:val="24"/>
              </w:rPr>
            </w:pPr>
            <w:r w:rsidRPr="00B747CD">
              <w:rPr>
                <w:rFonts w:ascii="Book Antiqua" w:hAnsi="Book Antiqua" w:cs="Arial"/>
                <w:color w:val="000000" w:themeColor="text1"/>
                <w:sz w:val="24"/>
                <w:szCs w:val="24"/>
              </w:rPr>
              <w:t>Not to be used in lactating patients</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Use in geriatric patients has not been studied in clinical trials</w:t>
            </w:r>
            <w:r w:rsidR="002E78EB" w:rsidRPr="00B747CD">
              <w:rPr>
                <w:rFonts w:ascii="Book Antiqua" w:hAnsi="Book Antiqua" w:cs="Arial"/>
                <w:color w:val="000000" w:themeColor="text1"/>
                <w:sz w:val="24"/>
                <w:szCs w:val="24"/>
                <w:lang w:eastAsia="zh-CN"/>
              </w:rPr>
              <w:t xml:space="preserve">; </w:t>
            </w:r>
            <w:r w:rsidRPr="00B747CD">
              <w:rPr>
                <w:rFonts w:ascii="Book Antiqua" w:hAnsi="Book Antiqua" w:cs="Arial"/>
                <w:color w:val="000000" w:themeColor="text1"/>
                <w:sz w:val="24"/>
                <w:szCs w:val="24"/>
              </w:rPr>
              <w:t xml:space="preserve">Safety and effectiveness </w:t>
            </w:r>
            <w:r w:rsidRPr="00B747CD">
              <w:rPr>
                <w:rFonts w:ascii="Book Antiqua" w:hAnsi="Book Antiqua" w:cs="Arial"/>
                <w:color w:val="000000" w:themeColor="text1"/>
                <w:sz w:val="24"/>
                <w:szCs w:val="24"/>
              </w:rPr>
              <w:lastRenderedPageBreak/>
              <w:t>in pediatric patients has not been established</w:t>
            </w:r>
          </w:p>
        </w:tc>
      </w:tr>
    </w:tbl>
    <w:p w14:paraId="4250916C" w14:textId="483BB0C9" w:rsidR="0029449E" w:rsidRPr="00B747CD" w:rsidRDefault="0089274F" w:rsidP="00B747CD">
      <w:pPr>
        <w:adjustRightInd w:val="0"/>
        <w:snapToGrid w:val="0"/>
        <w:spacing w:after="0" w:line="360" w:lineRule="auto"/>
        <w:jc w:val="both"/>
        <w:rPr>
          <w:rFonts w:ascii="Book Antiqua" w:hAnsi="Book Antiqua" w:cs="Arial"/>
          <w:color w:val="000000" w:themeColor="text1"/>
          <w:sz w:val="24"/>
          <w:szCs w:val="24"/>
          <w:lang w:eastAsia="zh-CN"/>
        </w:rPr>
      </w:pPr>
      <w:r w:rsidRPr="00B747CD">
        <w:rPr>
          <w:rFonts w:ascii="Book Antiqua" w:hAnsi="Book Antiqua" w:cs="Arial"/>
          <w:color w:val="000000" w:themeColor="text1"/>
          <w:sz w:val="24"/>
          <w:szCs w:val="24"/>
        </w:rPr>
        <w:lastRenderedPageBreak/>
        <w:t>AE</w:t>
      </w:r>
      <w:r w:rsidR="00D17A39"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D17A39" w:rsidRPr="00B747CD">
        <w:rPr>
          <w:rFonts w:ascii="Book Antiqua" w:hAnsi="Book Antiqua" w:cs="Arial"/>
          <w:color w:val="000000" w:themeColor="text1"/>
          <w:sz w:val="24"/>
          <w:szCs w:val="24"/>
        </w:rPr>
        <w:t>A</w:t>
      </w:r>
      <w:r w:rsidRPr="00B747CD">
        <w:rPr>
          <w:rFonts w:ascii="Book Antiqua" w:hAnsi="Book Antiqua" w:cs="Arial"/>
          <w:color w:val="000000" w:themeColor="text1"/>
          <w:sz w:val="24"/>
          <w:szCs w:val="24"/>
        </w:rPr>
        <w:t>dverse event; AML</w:t>
      </w:r>
      <w:r w:rsidR="00D17A39"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D17A39" w:rsidRPr="00B747CD">
        <w:rPr>
          <w:rFonts w:ascii="Book Antiqua" w:hAnsi="Book Antiqua" w:cs="Arial"/>
          <w:color w:val="000000" w:themeColor="text1"/>
          <w:sz w:val="24"/>
          <w:szCs w:val="24"/>
        </w:rPr>
        <w:t>A</w:t>
      </w:r>
      <w:r w:rsidRPr="00B747CD">
        <w:rPr>
          <w:rFonts w:ascii="Book Antiqua" w:hAnsi="Book Antiqua" w:cs="Arial"/>
          <w:color w:val="000000" w:themeColor="text1"/>
          <w:sz w:val="24"/>
          <w:szCs w:val="24"/>
        </w:rPr>
        <w:t>cute myeloid lymphoma; ITP</w:t>
      </w:r>
      <w:r w:rsidR="00D17A39"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D17A39" w:rsidRPr="00B747CD">
        <w:rPr>
          <w:rFonts w:ascii="Book Antiqua" w:hAnsi="Book Antiqua" w:cs="Arial"/>
          <w:color w:val="000000" w:themeColor="text1"/>
          <w:sz w:val="24"/>
          <w:szCs w:val="24"/>
        </w:rPr>
        <w:t>I</w:t>
      </w:r>
      <w:r w:rsidRPr="00B747CD">
        <w:rPr>
          <w:rFonts w:ascii="Book Antiqua" w:hAnsi="Book Antiqua" w:cs="Arial"/>
          <w:color w:val="000000" w:themeColor="text1"/>
          <w:sz w:val="24"/>
          <w:szCs w:val="24"/>
        </w:rPr>
        <w:t>mmune thrombocytopenia; MDS</w:t>
      </w:r>
      <w:r w:rsidR="00D17A39" w:rsidRPr="00B747CD">
        <w:rPr>
          <w:rFonts w:ascii="Book Antiqua" w:hAnsi="Book Antiqua" w:cs="Arial"/>
          <w:color w:val="000000" w:themeColor="text1"/>
          <w:sz w:val="24"/>
          <w:szCs w:val="24"/>
        </w:rPr>
        <w:t>:</w:t>
      </w:r>
      <w:r w:rsidRPr="00B747CD">
        <w:rPr>
          <w:rFonts w:ascii="Book Antiqua" w:hAnsi="Book Antiqua" w:cs="Arial"/>
          <w:color w:val="000000" w:themeColor="text1"/>
          <w:sz w:val="24"/>
          <w:szCs w:val="24"/>
        </w:rPr>
        <w:t xml:space="preserve"> </w:t>
      </w:r>
      <w:r w:rsidR="00D17A39" w:rsidRPr="00B747CD">
        <w:rPr>
          <w:rFonts w:ascii="Book Antiqua" w:hAnsi="Book Antiqua" w:cs="Arial"/>
          <w:color w:val="000000" w:themeColor="text1"/>
          <w:sz w:val="24"/>
          <w:szCs w:val="24"/>
        </w:rPr>
        <w:t>M</w:t>
      </w:r>
      <w:r w:rsidRPr="00B747CD">
        <w:rPr>
          <w:rFonts w:ascii="Book Antiqua" w:hAnsi="Book Antiqua" w:cs="Arial"/>
          <w:color w:val="000000" w:themeColor="text1"/>
          <w:sz w:val="24"/>
          <w:szCs w:val="24"/>
        </w:rPr>
        <w:t>yelodysplastic syndrome</w:t>
      </w:r>
      <w:r w:rsidR="00D17A39" w:rsidRPr="00B747CD">
        <w:rPr>
          <w:rFonts w:ascii="Book Antiqua" w:hAnsi="Book Antiqua" w:cs="Arial"/>
          <w:color w:val="000000" w:themeColor="text1"/>
          <w:sz w:val="24"/>
          <w:szCs w:val="24"/>
        </w:rPr>
        <w:t>.</w:t>
      </w:r>
    </w:p>
    <w:sectPr w:rsidR="0029449E" w:rsidRPr="00B747CD" w:rsidSect="00B744D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CD6FD" w14:textId="77777777" w:rsidR="004A101F" w:rsidRDefault="004A101F">
      <w:pPr>
        <w:spacing w:after="0" w:line="240" w:lineRule="auto"/>
      </w:pPr>
      <w:r>
        <w:separator/>
      </w:r>
    </w:p>
  </w:endnote>
  <w:endnote w:type="continuationSeparator" w:id="0">
    <w:p w14:paraId="54498814" w14:textId="77777777" w:rsidR="004A101F" w:rsidRDefault="004A101F">
      <w:pPr>
        <w:spacing w:after="0" w:line="240" w:lineRule="auto"/>
      </w:pPr>
      <w:r>
        <w:continuationSeparator/>
      </w:r>
    </w:p>
  </w:endnote>
  <w:endnote w:type="continuationNotice" w:id="1">
    <w:p w14:paraId="3AFE2588" w14:textId="77777777" w:rsidR="004A101F" w:rsidRDefault="004A1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a"/>
      </w:rPr>
      <w:id w:val="274371141"/>
      <w:docPartObj>
        <w:docPartGallery w:val="Page Numbers (Bottom of Page)"/>
        <w:docPartUnique/>
      </w:docPartObj>
    </w:sdtPr>
    <w:sdtEndPr>
      <w:rPr>
        <w:rStyle w:val="afa"/>
      </w:rPr>
    </w:sdtEndPr>
    <w:sdtContent>
      <w:p w14:paraId="4A2A11E6" w14:textId="789F091A" w:rsidR="00A94344" w:rsidRDefault="00A94344" w:rsidP="00A86760">
        <w:pPr>
          <w:pStyle w:val="a9"/>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sdtContent>
  </w:sdt>
  <w:p w14:paraId="42B8E4B0" w14:textId="77777777" w:rsidR="00A94344" w:rsidRDefault="00A9434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885184"/>
      <w:docPartObj>
        <w:docPartGallery w:val="Page Numbers (Bottom of Page)"/>
        <w:docPartUnique/>
      </w:docPartObj>
    </w:sdtPr>
    <w:sdtEndPr/>
    <w:sdtContent>
      <w:sdt>
        <w:sdtPr>
          <w:id w:val="860082579"/>
          <w:docPartObj>
            <w:docPartGallery w:val="Page Numbers (Top of Page)"/>
            <w:docPartUnique/>
          </w:docPartObj>
        </w:sdtPr>
        <w:sdtEndPr/>
        <w:sdtContent>
          <w:p w14:paraId="01A3E6F3" w14:textId="2C6ACA2A" w:rsidR="00B747CD" w:rsidRDefault="00B747CD">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028B1">
              <w:rPr>
                <w:b/>
                <w:bCs/>
                <w:noProof/>
              </w:rPr>
              <w:t>26</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4028B1">
              <w:rPr>
                <w:b/>
                <w:bCs/>
                <w:noProof/>
              </w:rPr>
              <w:t>33</w:t>
            </w:r>
            <w:r>
              <w:rPr>
                <w:b/>
                <w:bCs/>
                <w:sz w:val="24"/>
                <w:szCs w:val="24"/>
              </w:rPr>
              <w:fldChar w:fldCharType="end"/>
            </w:r>
          </w:p>
        </w:sdtContent>
      </w:sdt>
    </w:sdtContent>
  </w:sdt>
  <w:p w14:paraId="5DE01AAF" w14:textId="77777777" w:rsidR="00A94344" w:rsidRDefault="00A943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8BF7B" w14:textId="77777777" w:rsidR="004A101F" w:rsidRDefault="004A101F">
      <w:pPr>
        <w:spacing w:after="0" w:line="240" w:lineRule="auto"/>
      </w:pPr>
      <w:r>
        <w:separator/>
      </w:r>
    </w:p>
  </w:footnote>
  <w:footnote w:type="continuationSeparator" w:id="0">
    <w:p w14:paraId="2BD1945B" w14:textId="77777777" w:rsidR="004A101F" w:rsidRDefault="004A101F">
      <w:pPr>
        <w:spacing w:after="0" w:line="240" w:lineRule="auto"/>
      </w:pPr>
      <w:r>
        <w:continuationSeparator/>
      </w:r>
    </w:p>
  </w:footnote>
  <w:footnote w:type="continuationNotice" w:id="1">
    <w:p w14:paraId="6CDCEDB2" w14:textId="77777777" w:rsidR="004A101F" w:rsidRDefault="004A10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F22"/>
    <w:multiLevelType w:val="hybridMultilevel"/>
    <w:tmpl w:val="0B9E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D62"/>
    <w:multiLevelType w:val="hybridMultilevel"/>
    <w:tmpl w:val="E83E3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0D67"/>
    <w:multiLevelType w:val="hybridMultilevel"/>
    <w:tmpl w:val="CABAD2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1489C"/>
    <w:multiLevelType w:val="hybridMultilevel"/>
    <w:tmpl w:val="9C82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65CA4"/>
    <w:multiLevelType w:val="hybridMultilevel"/>
    <w:tmpl w:val="372A9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C09BE"/>
    <w:multiLevelType w:val="hybridMultilevel"/>
    <w:tmpl w:val="E50C7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1F726A"/>
    <w:multiLevelType w:val="hybridMultilevel"/>
    <w:tmpl w:val="A8204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68360A"/>
    <w:multiLevelType w:val="hybridMultilevel"/>
    <w:tmpl w:val="08866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CD3FD2"/>
    <w:multiLevelType w:val="hybridMultilevel"/>
    <w:tmpl w:val="A9D86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BC687F"/>
    <w:multiLevelType w:val="hybridMultilevel"/>
    <w:tmpl w:val="46E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6211E"/>
    <w:multiLevelType w:val="hybridMultilevel"/>
    <w:tmpl w:val="A642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902AC"/>
    <w:multiLevelType w:val="hybridMultilevel"/>
    <w:tmpl w:val="4072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06BC5"/>
    <w:multiLevelType w:val="hybridMultilevel"/>
    <w:tmpl w:val="8C00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5453A"/>
    <w:multiLevelType w:val="hybridMultilevel"/>
    <w:tmpl w:val="EEF0F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B33515"/>
    <w:multiLevelType w:val="hybridMultilevel"/>
    <w:tmpl w:val="4B90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043FF2"/>
    <w:multiLevelType w:val="hybridMultilevel"/>
    <w:tmpl w:val="C470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53247"/>
    <w:multiLevelType w:val="hybridMultilevel"/>
    <w:tmpl w:val="2496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8541E"/>
    <w:multiLevelType w:val="hybridMultilevel"/>
    <w:tmpl w:val="A348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01DA3"/>
    <w:multiLevelType w:val="hybridMultilevel"/>
    <w:tmpl w:val="6D5A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FF51A1"/>
    <w:multiLevelType w:val="hybridMultilevel"/>
    <w:tmpl w:val="B518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037D7"/>
    <w:multiLevelType w:val="hybridMultilevel"/>
    <w:tmpl w:val="D2DE2672"/>
    <w:lvl w:ilvl="0" w:tplc="2FC041F6">
      <w:start w:val="1"/>
      <w:numFmt w:val="bullet"/>
      <w:lvlText w:val="•"/>
      <w:lvlJc w:val="left"/>
      <w:pPr>
        <w:tabs>
          <w:tab w:val="num" w:pos="720"/>
        </w:tabs>
        <w:ind w:left="720" w:hanging="360"/>
      </w:pPr>
      <w:rPr>
        <w:rFonts w:ascii="Arial" w:hAnsi="Arial" w:hint="default"/>
      </w:rPr>
    </w:lvl>
    <w:lvl w:ilvl="1" w:tplc="D9285EE0" w:tentative="1">
      <w:start w:val="1"/>
      <w:numFmt w:val="bullet"/>
      <w:lvlText w:val="•"/>
      <w:lvlJc w:val="left"/>
      <w:pPr>
        <w:tabs>
          <w:tab w:val="num" w:pos="1440"/>
        </w:tabs>
        <w:ind w:left="1440" w:hanging="360"/>
      </w:pPr>
      <w:rPr>
        <w:rFonts w:ascii="Arial" w:hAnsi="Arial" w:hint="default"/>
      </w:rPr>
    </w:lvl>
    <w:lvl w:ilvl="2" w:tplc="24123074" w:tentative="1">
      <w:start w:val="1"/>
      <w:numFmt w:val="bullet"/>
      <w:lvlText w:val="•"/>
      <w:lvlJc w:val="left"/>
      <w:pPr>
        <w:tabs>
          <w:tab w:val="num" w:pos="2160"/>
        </w:tabs>
        <w:ind w:left="2160" w:hanging="360"/>
      </w:pPr>
      <w:rPr>
        <w:rFonts w:ascii="Arial" w:hAnsi="Arial" w:hint="default"/>
      </w:rPr>
    </w:lvl>
    <w:lvl w:ilvl="3" w:tplc="3D542E98" w:tentative="1">
      <w:start w:val="1"/>
      <w:numFmt w:val="bullet"/>
      <w:lvlText w:val="•"/>
      <w:lvlJc w:val="left"/>
      <w:pPr>
        <w:tabs>
          <w:tab w:val="num" w:pos="2880"/>
        </w:tabs>
        <w:ind w:left="2880" w:hanging="360"/>
      </w:pPr>
      <w:rPr>
        <w:rFonts w:ascii="Arial" w:hAnsi="Arial" w:hint="default"/>
      </w:rPr>
    </w:lvl>
    <w:lvl w:ilvl="4" w:tplc="D54C4A78" w:tentative="1">
      <w:start w:val="1"/>
      <w:numFmt w:val="bullet"/>
      <w:lvlText w:val="•"/>
      <w:lvlJc w:val="left"/>
      <w:pPr>
        <w:tabs>
          <w:tab w:val="num" w:pos="3600"/>
        </w:tabs>
        <w:ind w:left="3600" w:hanging="360"/>
      </w:pPr>
      <w:rPr>
        <w:rFonts w:ascii="Arial" w:hAnsi="Arial" w:hint="default"/>
      </w:rPr>
    </w:lvl>
    <w:lvl w:ilvl="5" w:tplc="375E80B8" w:tentative="1">
      <w:start w:val="1"/>
      <w:numFmt w:val="bullet"/>
      <w:lvlText w:val="•"/>
      <w:lvlJc w:val="left"/>
      <w:pPr>
        <w:tabs>
          <w:tab w:val="num" w:pos="4320"/>
        </w:tabs>
        <w:ind w:left="4320" w:hanging="360"/>
      </w:pPr>
      <w:rPr>
        <w:rFonts w:ascii="Arial" w:hAnsi="Arial" w:hint="default"/>
      </w:rPr>
    </w:lvl>
    <w:lvl w:ilvl="6" w:tplc="A31C1542" w:tentative="1">
      <w:start w:val="1"/>
      <w:numFmt w:val="bullet"/>
      <w:lvlText w:val="•"/>
      <w:lvlJc w:val="left"/>
      <w:pPr>
        <w:tabs>
          <w:tab w:val="num" w:pos="5040"/>
        </w:tabs>
        <w:ind w:left="5040" w:hanging="360"/>
      </w:pPr>
      <w:rPr>
        <w:rFonts w:ascii="Arial" w:hAnsi="Arial" w:hint="default"/>
      </w:rPr>
    </w:lvl>
    <w:lvl w:ilvl="7" w:tplc="F45C1424" w:tentative="1">
      <w:start w:val="1"/>
      <w:numFmt w:val="bullet"/>
      <w:lvlText w:val="•"/>
      <w:lvlJc w:val="left"/>
      <w:pPr>
        <w:tabs>
          <w:tab w:val="num" w:pos="5760"/>
        </w:tabs>
        <w:ind w:left="5760" w:hanging="360"/>
      </w:pPr>
      <w:rPr>
        <w:rFonts w:ascii="Arial" w:hAnsi="Arial" w:hint="default"/>
      </w:rPr>
    </w:lvl>
    <w:lvl w:ilvl="8" w:tplc="F8A0CA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C82D4F"/>
    <w:multiLevelType w:val="hybridMultilevel"/>
    <w:tmpl w:val="4F361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E003DB"/>
    <w:multiLevelType w:val="hybridMultilevel"/>
    <w:tmpl w:val="290A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12FC1"/>
    <w:multiLevelType w:val="multilevel"/>
    <w:tmpl w:val="742AD0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5D4423"/>
    <w:multiLevelType w:val="hybridMultilevel"/>
    <w:tmpl w:val="62CE1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F30B82"/>
    <w:multiLevelType w:val="hybridMultilevel"/>
    <w:tmpl w:val="75D4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C758B"/>
    <w:multiLevelType w:val="hybridMultilevel"/>
    <w:tmpl w:val="66A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3795C"/>
    <w:multiLevelType w:val="hybridMultilevel"/>
    <w:tmpl w:val="2F7CF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CE705F"/>
    <w:multiLevelType w:val="hybridMultilevel"/>
    <w:tmpl w:val="86785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A22935"/>
    <w:multiLevelType w:val="hybridMultilevel"/>
    <w:tmpl w:val="272E8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132B11"/>
    <w:multiLevelType w:val="hybridMultilevel"/>
    <w:tmpl w:val="D26C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B4FAB"/>
    <w:multiLevelType w:val="hybridMultilevel"/>
    <w:tmpl w:val="530A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352E7"/>
    <w:multiLevelType w:val="hybridMultilevel"/>
    <w:tmpl w:val="03067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37113E"/>
    <w:multiLevelType w:val="hybridMultilevel"/>
    <w:tmpl w:val="3C807CAE"/>
    <w:lvl w:ilvl="0" w:tplc="C0D09AA6">
      <w:start w:val="1"/>
      <w:numFmt w:val="bullet"/>
      <w:lvlText w:val="•"/>
      <w:lvlJc w:val="left"/>
      <w:pPr>
        <w:tabs>
          <w:tab w:val="num" w:pos="720"/>
        </w:tabs>
        <w:ind w:left="720" w:hanging="360"/>
      </w:pPr>
      <w:rPr>
        <w:rFonts w:ascii="Arial" w:hAnsi="Arial" w:hint="default"/>
      </w:rPr>
    </w:lvl>
    <w:lvl w:ilvl="1" w:tplc="774E7FC4">
      <w:numFmt w:val="bullet"/>
      <w:lvlText w:val="•"/>
      <w:lvlJc w:val="left"/>
      <w:pPr>
        <w:tabs>
          <w:tab w:val="num" w:pos="1440"/>
        </w:tabs>
        <w:ind w:left="1440" w:hanging="360"/>
      </w:pPr>
      <w:rPr>
        <w:rFonts w:ascii="Arial" w:hAnsi="Arial" w:hint="default"/>
      </w:rPr>
    </w:lvl>
    <w:lvl w:ilvl="2" w:tplc="040CB8EE">
      <w:numFmt w:val="bullet"/>
      <w:lvlText w:val="•"/>
      <w:lvlJc w:val="left"/>
      <w:pPr>
        <w:tabs>
          <w:tab w:val="num" w:pos="2160"/>
        </w:tabs>
        <w:ind w:left="2160" w:hanging="360"/>
      </w:pPr>
      <w:rPr>
        <w:rFonts w:ascii="Arial" w:hAnsi="Arial" w:hint="default"/>
      </w:rPr>
    </w:lvl>
    <w:lvl w:ilvl="3" w:tplc="1F9638CC" w:tentative="1">
      <w:start w:val="1"/>
      <w:numFmt w:val="bullet"/>
      <w:lvlText w:val="•"/>
      <w:lvlJc w:val="left"/>
      <w:pPr>
        <w:tabs>
          <w:tab w:val="num" w:pos="2880"/>
        </w:tabs>
        <w:ind w:left="2880" w:hanging="360"/>
      </w:pPr>
      <w:rPr>
        <w:rFonts w:ascii="Arial" w:hAnsi="Arial" w:hint="default"/>
      </w:rPr>
    </w:lvl>
    <w:lvl w:ilvl="4" w:tplc="68C252E2" w:tentative="1">
      <w:start w:val="1"/>
      <w:numFmt w:val="bullet"/>
      <w:lvlText w:val="•"/>
      <w:lvlJc w:val="left"/>
      <w:pPr>
        <w:tabs>
          <w:tab w:val="num" w:pos="3600"/>
        </w:tabs>
        <w:ind w:left="3600" w:hanging="360"/>
      </w:pPr>
      <w:rPr>
        <w:rFonts w:ascii="Arial" w:hAnsi="Arial" w:hint="default"/>
      </w:rPr>
    </w:lvl>
    <w:lvl w:ilvl="5" w:tplc="23889D98" w:tentative="1">
      <w:start w:val="1"/>
      <w:numFmt w:val="bullet"/>
      <w:lvlText w:val="•"/>
      <w:lvlJc w:val="left"/>
      <w:pPr>
        <w:tabs>
          <w:tab w:val="num" w:pos="4320"/>
        </w:tabs>
        <w:ind w:left="4320" w:hanging="360"/>
      </w:pPr>
      <w:rPr>
        <w:rFonts w:ascii="Arial" w:hAnsi="Arial" w:hint="default"/>
      </w:rPr>
    </w:lvl>
    <w:lvl w:ilvl="6" w:tplc="7792A3CE" w:tentative="1">
      <w:start w:val="1"/>
      <w:numFmt w:val="bullet"/>
      <w:lvlText w:val="•"/>
      <w:lvlJc w:val="left"/>
      <w:pPr>
        <w:tabs>
          <w:tab w:val="num" w:pos="5040"/>
        </w:tabs>
        <w:ind w:left="5040" w:hanging="360"/>
      </w:pPr>
      <w:rPr>
        <w:rFonts w:ascii="Arial" w:hAnsi="Arial" w:hint="default"/>
      </w:rPr>
    </w:lvl>
    <w:lvl w:ilvl="7" w:tplc="C86A0C12" w:tentative="1">
      <w:start w:val="1"/>
      <w:numFmt w:val="bullet"/>
      <w:lvlText w:val="•"/>
      <w:lvlJc w:val="left"/>
      <w:pPr>
        <w:tabs>
          <w:tab w:val="num" w:pos="5760"/>
        </w:tabs>
        <w:ind w:left="5760" w:hanging="360"/>
      </w:pPr>
      <w:rPr>
        <w:rFonts w:ascii="Arial" w:hAnsi="Arial" w:hint="default"/>
      </w:rPr>
    </w:lvl>
    <w:lvl w:ilvl="8" w:tplc="585AD38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1E3ADB"/>
    <w:multiLevelType w:val="hybridMultilevel"/>
    <w:tmpl w:val="60889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C2B91"/>
    <w:multiLevelType w:val="hybridMultilevel"/>
    <w:tmpl w:val="1F3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4"/>
  </w:num>
  <w:num w:numId="4">
    <w:abstractNumId w:val="5"/>
  </w:num>
  <w:num w:numId="5">
    <w:abstractNumId w:val="15"/>
  </w:num>
  <w:num w:numId="6">
    <w:abstractNumId w:val="26"/>
  </w:num>
  <w:num w:numId="7">
    <w:abstractNumId w:val="30"/>
  </w:num>
  <w:num w:numId="8">
    <w:abstractNumId w:val="19"/>
  </w:num>
  <w:num w:numId="9">
    <w:abstractNumId w:val="11"/>
  </w:num>
  <w:num w:numId="10">
    <w:abstractNumId w:val="29"/>
  </w:num>
  <w:num w:numId="11">
    <w:abstractNumId w:val="31"/>
  </w:num>
  <w:num w:numId="12">
    <w:abstractNumId w:val="28"/>
  </w:num>
  <w:num w:numId="13">
    <w:abstractNumId w:val="1"/>
  </w:num>
  <w:num w:numId="14">
    <w:abstractNumId w:val="17"/>
  </w:num>
  <w:num w:numId="15">
    <w:abstractNumId w:val="0"/>
  </w:num>
  <w:num w:numId="16">
    <w:abstractNumId w:val="9"/>
  </w:num>
  <w:num w:numId="17">
    <w:abstractNumId w:val="3"/>
  </w:num>
  <w:num w:numId="18">
    <w:abstractNumId w:val="35"/>
  </w:num>
  <w:num w:numId="19">
    <w:abstractNumId w:val="12"/>
  </w:num>
  <w:num w:numId="20">
    <w:abstractNumId w:val="2"/>
  </w:num>
  <w:num w:numId="21">
    <w:abstractNumId w:val="16"/>
  </w:num>
  <w:num w:numId="22">
    <w:abstractNumId w:val="27"/>
  </w:num>
  <w:num w:numId="23">
    <w:abstractNumId w:val="10"/>
  </w:num>
  <w:num w:numId="24">
    <w:abstractNumId w:val="13"/>
  </w:num>
  <w:num w:numId="25">
    <w:abstractNumId w:val="22"/>
  </w:num>
  <w:num w:numId="26">
    <w:abstractNumId w:val="8"/>
  </w:num>
  <w:num w:numId="27">
    <w:abstractNumId w:val="14"/>
  </w:num>
  <w:num w:numId="28">
    <w:abstractNumId w:val="24"/>
  </w:num>
  <w:num w:numId="29">
    <w:abstractNumId w:val="6"/>
  </w:num>
  <w:num w:numId="30">
    <w:abstractNumId w:val="32"/>
  </w:num>
  <w:num w:numId="31">
    <w:abstractNumId w:val="18"/>
  </w:num>
  <w:num w:numId="32">
    <w:abstractNumId w:val="4"/>
  </w:num>
  <w:num w:numId="33">
    <w:abstractNumId w:val="21"/>
  </w:num>
  <w:num w:numId="34">
    <w:abstractNumId w:val="23"/>
  </w:num>
  <w:num w:numId="35">
    <w:abstractNumId w:val="3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9274F"/>
    <w:rsid w:val="00001D6B"/>
    <w:rsid w:val="000045F5"/>
    <w:rsid w:val="0000501F"/>
    <w:rsid w:val="0000628D"/>
    <w:rsid w:val="00006A7A"/>
    <w:rsid w:val="00014661"/>
    <w:rsid w:val="00014DD0"/>
    <w:rsid w:val="00016B45"/>
    <w:rsid w:val="0002064A"/>
    <w:rsid w:val="000208D6"/>
    <w:rsid w:val="0002442C"/>
    <w:rsid w:val="00024F3A"/>
    <w:rsid w:val="00030FEE"/>
    <w:rsid w:val="00037B32"/>
    <w:rsid w:val="000420D3"/>
    <w:rsid w:val="0004286F"/>
    <w:rsid w:val="0004557F"/>
    <w:rsid w:val="00052761"/>
    <w:rsid w:val="00054247"/>
    <w:rsid w:val="000574EC"/>
    <w:rsid w:val="0006323C"/>
    <w:rsid w:val="000649F9"/>
    <w:rsid w:val="00070184"/>
    <w:rsid w:val="000717AC"/>
    <w:rsid w:val="00077B77"/>
    <w:rsid w:val="0009149D"/>
    <w:rsid w:val="00094A3A"/>
    <w:rsid w:val="00097A52"/>
    <w:rsid w:val="00097D60"/>
    <w:rsid w:val="000A06FC"/>
    <w:rsid w:val="000A2A63"/>
    <w:rsid w:val="000A7192"/>
    <w:rsid w:val="000B08B6"/>
    <w:rsid w:val="000B7194"/>
    <w:rsid w:val="000C5B16"/>
    <w:rsid w:val="000C7F1D"/>
    <w:rsid w:val="000D08ED"/>
    <w:rsid w:val="000D10AB"/>
    <w:rsid w:val="000D6328"/>
    <w:rsid w:val="000E17C0"/>
    <w:rsid w:val="000E3D57"/>
    <w:rsid w:val="000E7386"/>
    <w:rsid w:val="000F4223"/>
    <w:rsid w:val="00103C2C"/>
    <w:rsid w:val="001048EC"/>
    <w:rsid w:val="00105066"/>
    <w:rsid w:val="00112854"/>
    <w:rsid w:val="001173C8"/>
    <w:rsid w:val="00123988"/>
    <w:rsid w:val="00125BAA"/>
    <w:rsid w:val="001368F2"/>
    <w:rsid w:val="001445C5"/>
    <w:rsid w:val="00146C73"/>
    <w:rsid w:val="00151957"/>
    <w:rsid w:val="00163CB1"/>
    <w:rsid w:val="001812C4"/>
    <w:rsid w:val="0018262C"/>
    <w:rsid w:val="00184906"/>
    <w:rsid w:val="001859FB"/>
    <w:rsid w:val="001B22B8"/>
    <w:rsid w:val="001B3270"/>
    <w:rsid w:val="001C0329"/>
    <w:rsid w:val="001C0ECA"/>
    <w:rsid w:val="001C2205"/>
    <w:rsid w:val="001D30C7"/>
    <w:rsid w:val="001E0657"/>
    <w:rsid w:val="001F37DC"/>
    <w:rsid w:val="00217D53"/>
    <w:rsid w:val="00221DB1"/>
    <w:rsid w:val="002244F5"/>
    <w:rsid w:val="00231AD7"/>
    <w:rsid w:val="002502A0"/>
    <w:rsid w:val="0025154F"/>
    <w:rsid w:val="00262C99"/>
    <w:rsid w:val="0028443F"/>
    <w:rsid w:val="002867DE"/>
    <w:rsid w:val="00287472"/>
    <w:rsid w:val="00290540"/>
    <w:rsid w:val="0029342D"/>
    <w:rsid w:val="0029449E"/>
    <w:rsid w:val="00297522"/>
    <w:rsid w:val="002A6BDF"/>
    <w:rsid w:val="002B7E42"/>
    <w:rsid w:val="002C1C2F"/>
    <w:rsid w:val="002C6996"/>
    <w:rsid w:val="002D1830"/>
    <w:rsid w:val="002D2AD5"/>
    <w:rsid w:val="002D3936"/>
    <w:rsid w:val="002E250B"/>
    <w:rsid w:val="002E28D5"/>
    <w:rsid w:val="002E2B0C"/>
    <w:rsid w:val="002E4FB6"/>
    <w:rsid w:val="002E750F"/>
    <w:rsid w:val="002E78EB"/>
    <w:rsid w:val="002F2ED1"/>
    <w:rsid w:val="00306359"/>
    <w:rsid w:val="003149AE"/>
    <w:rsid w:val="00330449"/>
    <w:rsid w:val="00335B2F"/>
    <w:rsid w:val="00336293"/>
    <w:rsid w:val="00341D01"/>
    <w:rsid w:val="003478F7"/>
    <w:rsid w:val="00350EE8"/>
    <w:rsid w:val="0035241E"/>
    <w:rsid w:val="003564FA"/>
    <w:rsid w:val="003565F6"/>
    <w:rsid w:val="00362177"/>
    <w:rsid w:val="003653F8"/>
    <w:rsid w:val="00371FF7"/>
    <w:rsid w:val="003747BE"/>
    <w:rsid w:val="00392F40"/>
    <w:rsid w:val="00397FCD"/>
    <w:rsid w:val="003A341D"/>
    <w:rsid w:val="003A396A"/>
    <w:rsid w:val="003B18FD"/>
    <w:rsid w:val="003B4C8C"/>
    <w:rsid w:val="003B64C9"/>
    <w:rsid w:val="003C2266"/>
    <w:rsid w:val="003C2CD5"/>
    <w:rsid w:val="003C3651"/>
    <w:rsid w:val="003C3EF5"/>
    <w:rsid w:val="003C5732"/>
    <w:rsid w:val="003C775A"/>
    <w:rsid w:val="003D3F50"/>
    <w:rsid w:val="003D6F74"/>
    <w:rsid w:val="003E4043"/>
    <w:rsid w:val="003F6452"/>
    <w:rsid w:val="004028B1"/>
    <w:rsid w:val="00413D79"/>
    <w:rsid w:val="00466BC9"/>
    <w:rsid w:val="00474B85"/>
    <w:rsid w:val="00476A29"/>
    <w:rsid w:val="0048438A"/>
    <w:rsid w:val="00486FB5"/>
    <w:rsid w:val="00487E86"/>
    <w:rsid w:val="00491222"/>
    <w:rsid w:val="004A101F"/>
    <w:rsid w:val="004A1D7C"/>
    <w:rsid w:val="004A3C7F"/>
    <w:rsid w:val="004A53D7"/>
    <w:rsid w:val="004B3EF2"/>
    <w:rsid w:val="004B3F4C"/>
    <w:rsid w:val="004B6421"/>
    <w:rsid w:val="004C074D"/>
    <w:rsid w:val="004E4395"/>
    <w:rsid w:val="004E5668"/>
    <w:rsid w:val="004E6BEE"/>
    <w:rsid w:val="004F566D"/>
    <w:rsid w:val="004F6472"/>
    <w:rsid w:val="00503E41"/>
    <w:rsid w:val="0051621C"/>
    <w:rsid w:val="0052447F"/>
    <w:rsid w:val="00531667"/>
    <w:rsid w:val="005360B9"/>
    <w:rsid w:val="00536EE4"/>
    <w:rsid w:val="00537A6F"/>
    <w:rsid w:val="0055050D"/>
    <w:rsid w:val="00550AAD"/>
    <w:rsid w:val="00556ADB"/>
    <w:rsid w:val="00570467"/>
    <w:rsid w:val="00572892"/>
    <w:rsid w:val="00575002"/>
    <w:rsid w:val="00577879"/>
    <w:rsid w:val="00581662"/>
    <w:rsid w:val="005834E6"/>
    <w:rsid w:val="00584531"/>
    <w:rsid w:val="005860B4"/>
    <w:rsid w:val="00595D8F"/>
    <w:rsid w:val="00597F2E"/>
    <w:rsid w:val="005B5A9E"/>
    <w:rsid w:val="005B7DFF"/>
    <w:rsid w:val="005D2379"/>
    <w:rsid w:val="005D3A81"/>
    <w:rsid w:val="005D5E9E"/>
    <w:rsid w:val="005D66C8"/>
    <w:rsid w:val="005E4E89"/>
    <w:rsid w:val="005E63E8"/>
    <w:rsid w:val="005F1C10"/>
    <w:rsid w:val="005F3EEE"/>
    <w:rsid w:val="0060528D"/>
    <w:rsid w:val="00617E37"/>
    <w:rsid w:val="0063182F"/>
    <w:rsid w:val="00632F62"/>
    <w:rsid w:val="00637527"/>
    <w:rsid w:val="006429DB"/>
    <w:rsid w:val="0064313B"/>
    <w:rsid w:val="0064511E"/>
    <w:rsid w:val="00645C81"/>
    <w:rsid w:val="00651FBA"/>
    <w:rsid w:val="00657A74"/>
    <w:rsid w:val="00671EE0"/>
    <w:rsid w:val="0068302E"/>
    <w:rsid w:val="00694058"/>
    <w:rsid w:val="006A68E6"/>
    <w:rsid w:val="006A73D4"/>
    <w:rsid w:val="006B3FDB"/>
    <w:rsid w:val="006C0B18"/>
    <w:rsid w:val="006C1B15"/>
    <w:rsid w:val="006D1AA5"/>
    <w:rsid w:val="006D3566"/>
    <w:rsid w:val="006D44CC"/>
    <w:rsid w:val="006E36DC"/>
    <w:rsid w:val="006E4C67"/>
    <w:rsid w:val="006E4D01"/>
    <w:rsid w:val="006F2B42"/>
    <w:rsid w:val="006F7F9A"/>
    <w:rsid w:val="00706692"/>
    <w:rsid w:val="00707ED6"/>
    <w:rsid w:val="00711027"/>
    <w:rsid w:val="007115AF"/>
    <w:rsid w:val="0071584E"/>
    <w:rsid w:val="00721D1E"/>
    <w:rsid w:val="00723F34"/>
    <w:rsid w:val="00730817"/>
    <w:rsid w:val="00744024"/>
    <w:rsid w:val="00747EDC"/>
    <w:rsid w:val="00750FB5"/>
    <w:rsid w:val="007545C4"/>
    <w:rsid w:val="00755051"/>
    <w:rsid w:val="007571BD"/>
    <w:rsid w:val="00764AB3"/>
    <w:rsid w:val="00766CBE"/>
    <w:rsid w:val="00780422"/>
    <w:rsid w:val="0078057C"/>
    <w:rsid w:val="00780C02"/>
    <w:rsid w:val="007963CC"/>
    <w:rsid w:val="007A1756"/>
    <w:rsid w:val="007A3FF6"/>
    <w:rsid w:val="007A57EB"/>
    <w:rsid w:val="007A5E86"/>
    <w:rsid w:val="007A71EB"/>
    <w:rsid w:val="007C3215"/>
    <w:rsid w:val="007D1269"/>
    <w:rsid w:val="007D759C"/>
    <w:rsid w:val="007E2739"/>
    <w:rsid w:val="007E3DB3"/>
    <w:rsid w:val="007E4E89"/>
    <w:rsid w:val="007E5328"/>
    <w:rsid w:val="007E7B1F"/>
    <w:rsid w:val="007F1763"/>
    <w:rsid w:val="007F58C9"/>
    <w:rsid w:val="008012DF"/>
    <w:rsid w:val="00801DF3"/>
    <w:rsid w:val="0081380A"/>
    <w:rsid w:val="00815416"/>
    <w:rsid w:val="0083692E"/>
    <w:rsid w:val="008413BE"/>
    <w:rsid w:val="00845D0E"/>
    <w:rsid w:val="0084624D"/>
    <w:rsid w:val="00856314"/>
    <w:rsid w:val="008565E4"/>
    <w:rsid w:val="008651DB"/>
    <w:rsid w:val="00867699"/>
    <w:rsid w:val="00870362"/>
    <w:rsid w:val="008711A7"/>
    <w:rsid w:val="0087457A"/>
    <w:rsid w:val="0088770D"/>
    <w:rsid w:val="0089274F"/>
    <w:rsid w:val="00897864"/>
    <w:rsid w:val="008A1522"/>
    <w:rsid w:val="008A6D0D"/>
    <w:rsid w:val="008B3DF4"/>
    <w:rsid w:val="008B5B7D"/>
    <w:rsid w:val="008C6476"/>
    <w:rsid w:val="008D043D"/>
    <w:rsid w:val="008D3740"/>
    <w:rsid w:val="008E20B1"/>
    <w:rsid w:val="009016E3"/>
    <w:rsid w:val="009069A2"/>
    <w:rsid w:val="00913636"/>
    <w:rsid w:val="009326F9"/>
    <w:rsid w:val="009332C7"/>
    <w:rsid w:val="00936CCA"/>
    <w:rsid w:val="00941860"/>
    <w:rsid w:val="00943989"/>
    <w:rsid w:val="00955199"/>
    <w:rsid w:val="00963D31"/>
    <w:rsid w:val="00967885"/>
    <w:rsid w:val="00981015"/>
    <w:rsid w:val="00981CE2"/>
    <w:rsid w:val="0098226D"/>
    <w:rsid w:val="0098570C"/>
    <w:rsid w:val="00995808"/>
    <w:rsid w:val="00995F70"/>
    <w:rsid w:val="009C1799"/>
    <w:rsid w:val="009C49FD"/>
    <w:rsid w:val="009E03DA"/>
    <w:rsid w:val="009E484A"/>
    <w:rsid w:val="009E5D7D"/>
    <w:rsid w:val="009E655B"/>
    <w:rsid w:val="009F1290"/>
    <w:rsid w:val="009F2652"/>
    <w:rsid w:val="00A21334"/>
    <w:rsid w:val="00A22945"/>
    <w:rsid w:val="00A24D88"/>
    <w:rsid w:val="00A25C25"/>
    <w:rsid w:val="00A27AA9"/>
    <w:rsid w:val="00A305E5"/>
    <w:rsid w:val="00A31CE5"/>
    <w:rsid w:val="00A3582B"/>
    <w:rsid w:val="00A52C3F"/>
    <w:rsid w:val="00A53F36"/>
    <w:rsid w:val="00A56C78"/>
    <w:rsid w:val="00A71777"/>
    <w:rsid w:val="00A71AA9"/>
    <w:rsid w:val="00A754F2"/>
    <w:rsid w:val="00A860AF"/>
    <w:rsid w:val="00A86760"/>
    <w:rsid w:val="00A9334D"/>
    <w:rsid w:val="00A94344"/>
    <w:rsid w:val="00A96A82"/>
    <w:rsid w:val="00AA0903"/>
    <w:rsid w:val="00AB615A"/>
    <w:rsid w:val="00AB6EC9"/>
    <w:rsid w:val="00AB7D0B"/>
    <w:rsid w:val="00AC1FB9"/>
    <w:rsid w:val="00AC4B7D"/>
    <w:rsid w:val="00AE1DAF"/>
    <w:rsid w:val="00AE207A"/>
    <w:rsid w:val="00AE62F5"/>
    <w:rsid w:val="00AE7BC9"/>
    <w:rsid w:val="00B009E4"/>
    <w:rsid w:val="00B01B17"/>
    <w:rsid w:val="00B10D99"/>
    <w:rsid w:val="00B13940"/>
    <w:rsid w:val="00B1598C"/>
    <w:rsid w:val="00B15C09"/>
    <w:rsid w:val="00B15F6A"/>
    <w:rsid w:val="00B20BEC"/>
    <w:rsid w:val="00B21385"/>
    <w:rsid w:val="00B22486"/>
    <w:rsid w:val="00B23A1F"/>
    <w:rsid w:val="00B24BE0"/>
    <w:rsid w:val="00B304B0"/>
    <w:rsid w:val="00B326CF"/>
    <w:rsid w:val="00B342AA"/>
    <w:rsid w:val="00B365DB"/>
    <w:rsid w:val="00B36B50"/>
    <w:rsid w:val="00B405D2"/>
    <w:rsid w:val="00B42E40"/>
    <w:rsid w:val="00B45701"/>
    <w:rsid w:val="00B5209D"/>
    <w:rsid w:val="00B54B74"/>
    <w:rsid w:val="00B677AC"/>
    <w:rsid w:val="00B744D9"/>
    <w:rsid w:val="00B747CD"/>
    <w:rsid w:val="00B77418"/>
    <w:rsid w:val="00B80821"/>
    <w:rsid w:val="00B8638B"/>
    <w:rsid w:val="00B91161"/>
    <w:rsid w:val="00B93DE5"/>
    <w:rsid w:val="00B94610"/>
    <w:rsid w:val="00BA29E9"/>
    <w:rsid w:val="00BA3522"/>
    <w:rsid w:val="00BB20E7"/>
    <w:rsid w:val="00BB2CCA"/>
    <w:rsid w:val="00BB2E0C"/>
    <w:rsid w:val="00BB496A"/>
    <w:rsid w:val="00BB4E06"/>
    <w:rsid w:val="00BB76F0"/>
    <w:rsid w:val="00BC2E71"/>
    <w:rsid w:val="00BC3F68"/>
    <w:rsid w:val="00BC6089"/>
    <w:rsid w:val="00BD37FE"/>
    <w:rsid w:val="00BD7E05"/>
    <w:rsid w:val="00BE0556"/>
    <w:rsid w:val="00BE78F1"/>
    <w:rsid w:val="00BF218E"/>
    <w:rsid w:val="00BF5601"/>
    <w:rsid w:val="00C01CF1"/>
    <w:rsid w:val="00C166F4"/>
    <w:rsid w:val="00C253FB"/>
    <w:rsid w:val="00C31133"/>
    <w:rsid w:val="00C31CF6"/>
    <w:rsid w:val="00C32F20"/>
    <w:rsid w:val="00C35531"/>
    <w:rsid w:val="00C405CF"/>
    <w:rsid w:val="00C4262C"/>
    <w:rsid w:val="00C50A3D"/>
    <w:rsid w:val="00C6095B"/>
    <w:rsid w:val="00C619D8"/>
    <w:rsid w:val="00C73D6C"/>
    <w:rsid w:val="00C757FC"/>
    <w:rsid w:val="00C82688"/>
    <w:rsid w:val="00C8671E"/>
    <w:rsid w:val="00C87737"/>
    <w:rsid w:val="00C9517A"/>
    <w:rsid w:val="00C96E4C"/>
    <w:rsid w:val="00CA7180"/>
    <w:rsid w:val="00CA7E8B"/>
    <w:rsid w:val="00CA7FB7"/>
    <w:rsid w:val="00CB369E"/>
    <w:rsid w:val="00CD2B40"/>
    <w:rsid w:val="00CE29FB"/>
    <w:rsid w:val="00CE7623"/>
    <w:rsid w:val="00D10DE6"/>
    <w:rsid w:val="00D17A39"/>
    <w:rsid w:val="00D26B6A"/>
    <w:rsid w:val="00D359F1"/>
    <w:rsid w:val="00D4744F"/>
    <w:rsid w:val="00D54F2C"/>
    <w:rsid w:val="00D5754C"/>
    <w:rsid w:val="00D61029"/>
    <w:rsid w:val="00D65EB1"/>
    <w:rsid w:val="00D80099"/>
    <w:rsid w:val="00D92CAA"/>
    <w:rsid w:val="00DA1637"/>
    <w:rsid w:val="00DA3728"/>
    <w:rsid w:val="00DA4C2D"/>
    <w:rsid w:val="00DB79EB"/>
    <w:rsid w:val="00DC6AA6"/>
    <w:rsid w:val="00DC7155"/>
    <w:rsid w:val="00DD13BA"/>
    <w:rsid w:val="00DD4964"/>
    <w:rsid w:val="00DD7EA3"/>
    <w:rsid w:val="00DF3A5B"/>
    <w:rsid w:val="00E05352"/>
    <w:rsid w:val="00E10558"/>
    <w:rsid w:val="00E22494"/>
    <w:rsid w:val="00E35A7A"/>
    <w:rsid w:val="00E44FAB"/>
    <w:rsid w:val="00E46ECF"/>
    <w:rsid w:val="00E47E6E"/>
    <w:rsid w:val="00E56407"/>
    <w:rsid w:val="00E65ACE"/>
    <w:rsid w:val="00E66792"/>
    <w:rsid w:val="00E70F53"/>
    <w:rsid w:val="00E77AAA"/>
    <w:rsid w:val="00E838AA"/>
    <w:rsid w:val="00E84925"/>
    <w:rsid w:val="00E854D8"/>
    <w:rsid w:val="00E85E86"/>
    <w:rsid w:val="00E94838"/>
    <w:rsid w:val="00E978AF"/>
    <w:rsid w:val="00EA07CA"/>
    <w:rsid w:val="00EA35A7"/>
    <w:rsid w:val="00EA3ABD"/>
    <w:rsid w:val="00EB04A3"/>
    <w:rsid w:val="00EB7465"/>
    <w:rsid w:val="00EC22AF"/>
    <w:rsid w:val="00ED3D62"/>
    <w:rsid w:val="00EE0C6B"/>
    <w:rsid w:val="00EE22BF"/>
    <w:rsid w:val="00EE2FC4"/>
    <w:rsid w:val="00EE5378"/>
    <w:rsid w:val="00EF5C43"/>
    <w:rsid w:val="00EF6E77"/>
    <w:rsid w:val="00F07532"/>
    <w:rsid w:val="00F10A59"/>
    <w:rsid w:val="00F23D30"/>
    <w:rsid w:val="00F302B6"/>
    <w:rsid w:val="00F33667"/>
    <w:rsid w:val="00F42C55"/>
    <w:rsid w:val="00F57117"/>
    <w:rsid w:val="00F677B9"/>
    <w:rsid w:val="00F70EFB"/>
    <w:rsid w:val="00F85C82"/>
    <w:rsid w:val="00F90823"/>
    <w:rsid w:val="00F94EFF"/>
    <w:rsid w:val="00FB4E6C"/>
    <w:rsid w:val="00FC5D3D"/>
    <w:rsid w:val="00FD1B05"/>
    <w:rsid w:val="00FD1F79"/>
    <w:rsid w:val="00FD46D3"/>
    <w:rsid w:val="00FE2A93"/>
    <w:rsid w:val="00FE6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2999"/>
  <w15:docId w15:val="{93D28034-BEF4-4460-834F-584E9FED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74F"/>
    <w:rPr>
      <w:rFonts w:ascii="Arial" w:hAnsi="Arial"/>
    </w:rPr>
  </w:style>
  <w:style w:type="paragraph" w:styleId="1">
    <w:name w:val="heading 1"/>
    <w:basedOn w:val="a"/>
    <w:next w:val="a"/>
    <w:link w:val="10"/>
    <w:uiPriority w:val="9"/>
    <w:qFormat/>
    <w:rsid w:val="00B45701"/>
    <w:pPr>
      <w:keepNext/>
      <w:keepLines/>
      <w:spacing w:before="240" w:after="0"/>
      <w:outlineLvl w:val="0"/>
    </w:pPr>
    <w:rPr>
      <w:rFonts w:ascii="Book Antiqua" w:eastAsiaTheme="majorEastAsia" w:hAnsi="Book Antiqua" w:cstheme="majorBidi"/>
      <w:color w:val="2F5496" w:themeColor="accent1" w:themeShade="BF"/>
      <w:sz w:val="24"/>
      <w:szCs w:val="32"/>
    </w:rPr>
  </w:style>
  <w:style w:type="paragraph" w:styleId="2">
    <w:name w:val="heading 2"/>
    <w:basedOn w:val="a"/>
    <w:next w:val="a"/>
    <w:link w:val="20"/>
    <w:uiPriority w:val="9"/>
    <w:unhideWhenUsed/>
    <w:qFormat/>
    <w:rsid w:val="008927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8927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autoRedefine/>
    <w:uiPriority w:val="9"/>
    <w:unhideWhenUsed/>
    <w:qFormat/>
    <w:rsid w:val="00C166F4"/>
    <w:pPr>
      <w:keepNext/>
      <w:keepLines/>
      <w:spacing w:before="40" w:after="0" w:line="240" w:lineRule="auto"/>
      <w:outlineLvl w:val="3"/>
    </w:pPr>
    <w:rPr>
      <w:rFonts w:eastAsiaTheme="majorEastAsia" w:cstheme="majorBidi"/>
      <w:b/>
      <w:iC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9274F"/>
    <w:rPr>
      <w:rFonts w:asciiTheme="majorHAnsi" w:eastAsiaTheme="majorEastAsia" w:hAnsiTheme="majorHAnsi" w:cstheme="majorBidi"/>
      <w:color w:val="2F5496" w:themeColor="accent1" w:themeShade="BF"/>
      <w:sz w:val="26"/>
      <w:szCs w:val="26"/>
    </w:rPr>
  </w:style>
  <w:style w:type="character" w:customStyle="1" w:styleId="30">
    <w:name w:val="标题 3 字符"/>
    <w:basedOn w:val="a0"/>
    <w:link w:val="3"/>
    <w:uiPriority w:val="9"/>
    <w:rsid w:val="0089274F"/>
    <w:rPr>
      <w:rFonts w:asciiTheme="majorHAnsi" w:eastAsiaTheme="majorEastAsia" w:hAnsiTheme="majorHAnsi" w:cstheme="majorBidi"/>
      <w:color w:val="1F3763" w:themeColor="accent1" w:themeShade="7F"/>
      <w:sz w:val="24"/>
      <w:szCs w:val="24"/>
    </w:rPr>
  </w:style>
  <w:style w:type="character" w:customStyle="1" w:styleId="40">
    <w:name w:val="标题 4 字符"/>
    <w:basedOn w:val="a0"/>
    <w:link w:val="4"/>
    <w:uiPriority w:val="9"/>
    <w:rsid w:val="00C166F4"/>
    <w:rPr>
      <w:rFonts w:ascii="Arial" w:eastAsiaTheme="majorEastAsia" w:hAnsi="Arial" w:cstheme="majorBidi"/>
      <w:b/>
      <w:iCs/>
      <w:sz w:val="18"/>
      <w:szCs w:val="24"/>
    </w:rPr>
  </w:style>
  <w:style w:type="paragraph" w:styleId="TOC2">
    <w:name w:val="toc 2"/>
    <w:basedOn w:val="a"/>
    <w:next w:val="a"/>
    <w:autoRedefine/>
    <w:uiPriority w:val="39"/>
    <w:unhideWhenUsed/>
    <w:rsid w:val="00DD4964"/>
    <w:pPr>
      <w:spacing w:after="100" w:line="240" w:lineRule="auto"/>
      <w:ind w:left="240"/>
    </w:pPr>
    <w:rPr>
      <w:rFonts w:eastAsia="宋体" w:cs="Times New Roman"/>
      <w:szCs w:val="24"/>
    </w:rPr>
  </w:style>
  <w:style w:type="paragraph" w:styleId="TOC3">
    <w:name w:val="toc 3"/>
    <w:basedOn w:val="a"/>
    <w:next w:val="a"/>
    <w:autoRedefine/>
    <w:uiPriority w:val="39"/>
    <w:unhideWhenUsed/>
    <w:rsid w:val="00DD4964"/>
    <w:pPr>
      <w:spacing w:after="100" w:line="240" w:lineRule="auto"/>
      <w:ind w:left="480"/>
    </w:pPr>
    <w:rPr>
      <w:rFonts w:eastAsia="宋体" w:cs="Times New Roman"/>
      <w:sz w:val="20"/>
      <w:szCs w:val="24"/>
    </w:rPr>
  </w:style>
  <w:style w:type="paragraph" w:styleId="TOC4">
    <w:name w:val="toc 4"/>
    <w:basedOn w:val="a"/>
    <w:next w:val="a"/>
    <w:autoRedefine/>
    <w:uiPriority w:val="39"/>
    <w:unhideWhenUsed/>
    <w:rsid w:val="00DD4964"/>
    <w:pPr>
      <w:spacing w:after="100" w:line="240" w:lineRule="auto"/>
      <w:ind w:left="720"/>
    </w:pPr>
    <w:rPr>
      <w:rFonts w:eastAsia="宋体" w:cs="Times New Roman"/>
      <w:sz w:val="18"/>
      <w:szCs w:val="24"/>
    </w:rPr>
  </w:style>
  <w:style w:type="character" w:customStyle="1" w:styleId="10">
    <w:name w:val="标题 1 字符"/>
    <w:basedOn w:val="a0"/>
    <w:link w:val="1"/>
    <w:uiPriority w:val="9"/>
    <w:rsid w:val="00B45701"/>
    <w:rPr>
      <w:rFonts w:ascii="Book Antiqua" w:eastAsiaTheme="majorEastAsia" w:hAnsi="Book Antiqua" w:cstheme="majorBidi"/>
      <w:color w:val="2F5496" w:themeColor="accent1" w:themeShade="BF"/>
      <w:sz w:val="24"/>
      <w:szCs w:val="32"/>
    </w:rPr>
  </w:style>
  <w:style w:type="paragraph" w:styleId="a3">
    <w:name w:val="Title"/>
    <w:basedOn w:val="a"/>
    <w:next w:val="a"/>
    <w:link w:val="a4"/>
    <w:uiPriority w:val="10"/>
    <w:qFormat/>
    <w:rsid w:val="00892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89274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9274F"/>
    <w:pPr>
      <w:numPr>
        <w:ilvl w:val="1"/>
      </w:numPr>
    </w:pPr>
    <w:rPr>
      <w:rFonts w:asciiTheme="minorHAnsi" w:hAnsiTheme="minorHAnsi"/>
      <w:color w:val="5A5A5A" w:themeColor="text1" w:themeTint="A5"/>
      <w:spacing w:val="15"/>
    </w:rPr>
  </w:style>
  <w:style w:type="character" w:customStyle="1" w:styleId="a6">
    <w:name w:val="副标题 字符"/>
    <w:basedOn w:val="a0"/>
    <w:link w:val="a5"/>
    <w:uiPriority w:val="11"/>
    <w:rsid w:val="0089274F"/>
    <w:rPr>
      <w:rFonts w:eastAsiaTheme="minorEastAsia"/>
      <w:color w:val="5A5A5A" w:themeColor="text1" w:themeTint="A5"/>
      <w:spacing w:val="15"/>
    </w:rPr>
  </w:style>
  <w:style w:type="paragraph" w:styleId="a7">
    <w:name w:val="header"/>
    <w:basedOn w:val="a"/>
    <w:link w:val="a8"/>
    <w:uiPriority w:val="99"/>
    <w:unhideWhenUsed/>
    <w:rsid w:val="0089274F"/>
    <w:pPr>
      <w:tabs>
        <w:tab w:val="center" w:pos="4680"/>
        <w:tab w:val="right" w:pos="9360"/>
      </w:tabs>
      <w:spacing w:after="0" w:line="240" w:lineRule="auto"/>
    </w:pPr>
  </w:style>
  <w:style w:type="character" w:customStyle="1" w:styleId="a8">
    <w:name w:val="页眉 字符"/>
    <w:basedOn w:val="a0"/>
    <w:link w:val="a7"/>
    <w:uiPriority w:val="99"/>
    <w:rsid w:val="0089274F"/>
    <w:rPr>
      <w:rFonts w:ascii="Arial" w:hAnsi="Arial"/>
    </w:rPr>
  </w:style>
  <w:style w:type="paragraph" w:styleId="a9">
    <w:name w:val="footer"/>
    <w:basedOn w:val="a"/>
    <w:link w:val="aa"/>
    <w:uiPriority w:val="99"/>
    <w:unhideWhenUsed/>
    <w:rsid w:val="0089274F"/>
    <w:pPr>
      <w:tabs>
        <w:tab w:val="center" w:pos="4680"/>
        <w:tab w:val="right" w:pos="9360"/>
      </w:tabs>
      <w:spacing w:after="0" w:line="240" w:lineRule="auto"/>
    </w:pPr>
  </w:style>
  <w:style w:type="character" w:customStyle="1" w:styleId="aa">
    <w:name w:val="页脚 字符"/>
    <w:basedOn w:val="a0"/>
    <w:link w:val="a9"/>
    <w:uiPriority w:val="99"/>
    <w:rsid w:val="0089274F"/>
    <w:rPr>
      <w:rFonts w:ascii="Arial" w:hAnsi="Arial"/>
    </w:rPr>
  </w:style>
  <w:style w:type="paragraph" w:styleId="ab">
    <w:name w:val="List Paragraph"/>
    <w:basedOn w:val="a"/>
    <w:uiPriority w:val="34"/>
    <w:qFormat/>
    <w:rsid w:val="0089274F"/>
    <w:pPr>
      <w:ind w:left="720"/>
      <w:contextualSpacing/>
    </w:pPr>
  </w:style>
  <w:style w:type="character" w:styleId="ac">
    <w:name w:val="annotation reference"/>
    <w:basedOn w:val="a0"/>
    <w:unhideWhenUsed/>
    <w:rsid w:val="0089274F"/>
    <w:rPr>
      <w:sz w:val="16"/>
      <w:szCs w:val="16"/>
    </w:rPr>
  </w:style>
  <w:style w:type="paragraph" w:styleId="ad">
    <w:name w:val="annotation text"/>
    <w:basedOn w:val="a"/>
    <w:link w:val="ae"/>
    <w:unhideWhenUsed/>
    <w:qFormat/>
    <w:rsid w:val="0089274F"/>
    <w:pPr>
      <w:spacing w:line="240" w:lineRule="auto"/>
    </w:pPr>
    <w:rPr>
      <w:sz w:val="20"/>
      <w:szCs w:val="20"/>
    </w:rPr>
  </w:style>
  <w:style w:type="character" w:customStyle="1" w:styleId="ae">
    <w:name w:val="批注文字 字符"/>
    <w:basedOn w:val="a0"/>
    <w:link w:val="ad"/>
    <w:qFormat/>
    <w:rsid w:val="0089274F"/>
    <w:rPr>
      <w:rFonts w:ascii="Arial" w:hAnsi="Arial"/>
      <w:sz w:val="20"/>
      <w:szCs w:val="20"/>
    </w:rPr>
  </w:style>
  <w:style w:type="paragraph" w:styleId="af">
    <w:name w:val="annotation subject"/>
    <w:basedOn w:val="ad"/>
    <w:next w:val="ad"/>
    <w:link w:val="af0"/>
    <w:uiPriority w:val="99"/>
    <w:semiHidden/>
    <w:unhideWhenUsed/>
    <w:rsid w:val="0089274F"/>
    <w:rPr>
      <w:b/>
      <w:bCs/>
    </w:rPr>
  </w:style>
  <w:style w:type="character" w:customStyle="1" w:styleId="af0">
    <w:name w:val="批注主题 字符"/>
    <w:basedOn w:val="ae"/>
    <w:link w:val="af"/>
    <w:uiPriority w:val="99"/>
    <w:semiHidden/>
    <w:rsid w:val="0089274F"/>
    <w:rPr>
      <w:rFonts w:ascii="Arial" w:hAnsi="Arial"/>
      <w:b/>
      <w:bCs/>
      <w:sz w:val="20"/>
      <w:szCs w:val="20"/>
    </w:rPr>
  </w:style>
  <w:style w:type="paragraph" w:styleId="af1">
    <w:name w:val="Balloon Text"/>
    <w:basedOn w:val="a"/>
    <w:link w:val="af2"/>
    <w:uiPriority w:val="99"/>
    <w:semiHidden/>
    <w:unhideWhenUsed/>
    <w:rsid w:val="0089274F"/>
    <w:pPr>
      <w:spacing w:after="0" w:line="240" w:lineRule="auto"/>
    </w:pPr>
    <w:rPr>
      <w:rFonts w:ascii="Segoe UI" w:hAnsi="Segoe UI" w:cs="Segoe UI"/>
      <w:sz w:val="18"/>
      <w:szCs w:val="18"/>
    </w:rPr>
  </w:style>
  <w:style w:type="character" w:customStyle="1" w:styleId="af2">
    <w:name w:val="批注框文本 字符"/>
    <w:basedOn w:val="a0"/>
    <w:link w:val="af1"/>
    <w:uiPriority w:val="99"/>
    <w:semiHidden/>
    <w:rsid w:val="0089274F"/>
    <w:rPr>
      <w:rFonts w:ascii="Segoe UI" w:hAnsi="Segoe UI" w:cs="Segoe UI"/>
      <w:sz w:val="18"/>
      <w:szCs w:val="18"/>
    </w:rPr>
  </w:style>
  <w:style w:type="character" w:styleId="af3">
    <w:name w:val="Hyperlink"/>
    <w:basedOn w:val="a0"/>
    <w:uiPriority w:val="99"/>
    <w:unhideWhenUsed/>
    <w:rsid w:val="0089274F"/>
    <w:rPr>
      <w:color w:val="0563C1" w:themeColor="hyperlink"/>
      <w:u w:val="single"/>
    </w:rPr>
  </w:style>
  <w:style w:type="character" w:customStyle="1" w:styleId="UnresolvedMention1">
    <w:name w:val="Unresolved Mention1"/>
    <w:basedOn w:val="a0"/>
    <w:uiPriority w:val="99"/>
    <w:semiHidden/>
    <w:unhideWhenUsed/>
    <w:rsid w:val="0089274F"/>
    <w:rPr>
      <w:color w:val="808080"/>
      <w:shd w:val="clear" w:color="auto" w:fill="E6E6E6"/>
    </w:rPr>
  </w:style>
  <w:style w:type="character" w:customStyle="1" w:styleId="11">
    <w:name w:val="未处理的提及1"/>
    <w:basedOn w:val="a0"/>
    <w:uiPriority w:val="99"/>
    <w:semiHidden/>
    <w:unhideWhenUsed/>
    <w:rsid w:val="0089274F"/>
    <w:rPr>
      <w:color w:val="605E5C"/>
      <w:shd w:val="clear" w:color="auto" w:fill="E1DFDD"/>
    </w:rPr>
  </w:style>
  <w:style w:type="paragraph" w:styleId="af4">
    <w:name w:val="Normal (Web)"/>
    <w:basedOn w:val="a"/>
    <w:uiPriority w:val="99"/>
    <w:semiHidden/>
    <w:unhideWhenUsed/>
    <w:rsid w:val="0089274F"/>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af5">
    <w:name w:val="Strong"/>
    <w:basedOn w:val="a0"/>
    <w:uiPriority w:val="22"/>
    <w:qFormat/>
    <w:rsid w:val="0089274F"/>
    <w:rPr>
      <w:b/>
      <w:bCs/>
    </w:rPr>
  </w:style>
  <w:style w:type="character" w:styleId="af6">
    <w:name w:val="Emphasis"/>
    <w:basedOn w:val="a0"/>
    <w:uiPriority w:val="20"/>
    <w:qFormat/>
    <w:rsid w:val="0089274F"/>
    <w:rPr>
      <w:i/>
      <w:iCs/>
    </w:rPr>
  </w:style>
  <w:style w:type="table" w:styleId="af7">
    <w:name w:val="Table Grid"/>
    <w:basedOn w:val="a1"/>
    <w:uiPriority w:val="39"/>
    <w:rsid w:val="0089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9274F"/>
    <w:pPr>
      <w:spacing w:after="0" w:line="240" w:lineRule="auto"/>
    </w:pPr>
    <w:rPr>
      <w:rFonts w:ascii="Arial" w:hAnsi="Arial"/>
    </w:rPr>
  </w:style>
  <w:style w:type="paragraph" w:customStyle="1" w:styleId="EndNoteBibliographyTitle">
    <w:name w:val="EndNote Bibliography Title"/>
    <w:basedOn w:val="a"/>
    <w:link w:val="EndNoteBibliographyTitleChar"/>
    <w:rsid w:val="0089274F"/>
    <w:pPr>
      <w:spacing w:after="0"/>
      <w:jc w:val="center"/>
    </w:pPr>
    <w:rPr>
      <w:rFonts w:cs="Arial"/>
      <w:noProof/>
    </w:rPr>
  </w:style>
  <w:style w:type="character" w:customStyle="1" w:styleId="EndNoteBibliographyTitleChar">
    <w:name w:val="EndNote Bibliography Title Char"/>
    <w:basedOn w:val="a0"/>
    <w:link w:val="EndNoteBibliographyTitle"/>
    <w:rsid w:val="0089274F"/>
    <w:rPr>
      <w:rFonts w:ascii="Arial" w:hAnsi="Arial" w:cs="Arial"/>
      <w:noProof/>
    </w:rPr>
  </w:style>
  <w:style w:type="paragraph" w:customStyle="1" w:styleId="EndNoteBibliography">
    <w:name w:val="EndNote Bibliography"/>
    <w:basedOn w:val="a"/>
    <w:link w:val="EndNoteBibliographyChar"/>
    <w:rsid w:val="0089274F"/>
    <w:pPr>
      <w:spacing w:line="240" w:lineRule="auto"/>
    </w:pPr>
    <w:rPr>
      <w:rFonts w:cs="Arial"/>
      <w:noProof/>
    </w:rPr>
  </w:style>
  <w:style w:type="character" w:customStyle="1" w:styleId="EndNoteBibliographyChar">
    <w:name w:val="EndNote Bibliography Char"/>
    <w:basedOn w:val="a0"/>
    <w:link w:val="EndNoteBibliography"/>
    <w:rsid w:val="0089274F"/>
    <w:rPr>
      <w:rFonts w:ascii="Arial" w:hAnsi="Arial" w:cs="Arial"/>
      <w:noProof/>
    </w:rPr>
  </w:style>
  <w:style w:type="paragraph" w:customStyle="1" w:styleId="m3918071156451035415msolistparagraph">
    <w:name w:val="m_3918071156451035415msolistparagraph"/>
    <w:basedOn w:val="a"/>
    <w:rsid w:val="003653F8"/>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af9">
    <w:name w:val="line number"/>
    <w:basedOn w:val="a0"/>
    <w:uiPriority w:val="99"/>
    <w:semiHidden/>
    <w:unhideWhenUsed/>
    <w:rsid w:val="00077B77"/>
  </w:style>
  <w:style w:type="character" w:styleId="afa">
    <w:name w:val="page number"/>
    <w:basedOn w:val="a0"/>
    <w:uiPriority w:val="99"/>
    <w:semiHidden/>
    <w:unhideWhenUsed/>
    <w:rsid w:val="00C31CF6"/>
  </w:style>
  <w:style w:type="character" w:customStyle="1" w:styleId="normaltextrun">
    <w:name w:val="normaltextrun"/>
    <w:rsid w:val="00E10558"/>
  </w:style>
  <w:style w:type="paragraph" w:customStyle="1" w:styleId="paragraph">
    <w:name w:val="paragraph"/>
    <w:basedOn w:val="a"/>
    <w:rsid w:val="00E10558"/>
    <w:pPr>
      <w:spacing w:before="100" w:beforeAutospacing="1" w:after="100" w:afterAutospacing="1" w:line="240" w:lineRule="auto"/>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4077">
      <w:bodyDiv w:val="1"/>
      <w:marLeft w:val="0"/>
      <w:marRight w:val="0"/>
      <w:marTop w:val="0"/>
      <w:marBottom w:val="0"/>
      <w:divBdr>
        <w:top w:val="none" w:sz="0" w:space="0" w:color="auto"/>
        <w:left w:val="none" w:sz="0" w:space="0" w:color="auto"/>
        <w:bottom w:val="none" w:sz="0" w:space="0" w:color="auto"/>
        <w:right w:val="none" w:sz="0" w:space="0" w:color="auto"/>
      </w:divBdr>
    </w:div>
    <w:div w:id="216085292">
      <w:bodyDiv w:val="1"/>
      <w:marLeft w:val="0"/>
      <w:marRight w:val="0"/>
      <w:marTop w:val="0"/>
      <w:marBottom w:val="0"/>
      <w:divBdr>
        <w:top w:val="none" w:sz="0" w:space="0" w:color="auto"/>
        <w:left w:val="none" w:sz="0" w:space="0" w:color="auto"/>
        <w:bottom w:val="none" w:sz="0" w:space="0" w:color="auto"/>
        <w:right w:val="none" w:sz="0" w:space="0" w:color="auto"/>
      </w:divBdr>
    </w:div>
    <w:div w:id="297761931">
      <w:bodyDiv w:val="1"/>
      <w:marLeft w:val="0"/>
      <w:marRight w:val="0"/>
      <w:marTop w:val="0"/>
      <w:marBottom w:val="0"/>
      <w:divBdr>
        <w:top w:val="none" w:sz="0" w:space="0" w:color="auto"/>
        <w:left w:val="none" w:sz="0" w:space="0" w:color="auto"/>
        <w:bottom w:val="none" w:sz="0" w:space="0" w:color="auto"/>
        <w:right w:val="none" w:sz="0" w:space="0" w:color="auto"/>
      </w:divBdr>
    </w:div>
    <w:div w:id="374427861">
      <w:bodyDiv w:val="1"/>
      <w:marLeft w:val="0"/>
      <w:marRight w:val="0"/>
      <w:marTop w:val="0"/>
      <w:marBottom w:val="0"/>
      <w:divBdr>
        <w:top w:val="none" w:sz="0" w:space="0" w:color="auto"/>
        <w:left w:val="none" w:sz="0" w:space="0" w:color="auto"/>
        <w:bottom w:val="none" w:sz="0" w:space="0" w:color="auto"/>
        <w:right w:val="none" w:sz="0" w:space="0" w:color="auto"/>
      </w:divBdr>
    </w:div>
    <w:div w:id="396393732">
      <w:bodyDiv w:val="1"/>
      <w:marLeft w:val="0"/>
      <w:marRight w:val="0"/>
      <w:marTop w:val="0"/>
      <w:marBottom w:val="0"/>
      <w:divBdr>
        <w:top w:val="none" w:sz="0" w:space="0" w:color="auto"/>
        <w:left w:val="none" w:sz="0" w:space="0" w:color="auto"/>
        <w:bottom w:val="none" w:sz="0" w:space="0" w:color="auto"/>
        <w:right w:val="none" w:sz="0" w:space="0" w:color="auto"/>
      </w:divBdr>
    </w:div>
    <w:div w:id="532038918">
      <w:bodyDiv w:val="1"/>
      <w:marLeft w:val="0"/>
      <w:marRight w:val="0"/>
      <w:marTop w:val="0"/>
      <w:marBottom w:val="0"/>
      <w:divBdr>
        <w:top w:val="none" w:sz="0" w:space="0" w:color="auto"/>
        <w:left w:val="none" w:sz="0" w:space="0" w:color="auto"/>
        <w:bottom w:val="none" w:sz="0" w:space="0" w:color="auto"/>
        <w:right w:val="none" w:sz="0" w:space="0" w:color="auto"/>
      </w:divBdr>
    </w:div>
    <w:div w:id="544684016">
      <w:bodyDiv w:val="1"/>
      <w:marLeft w:val="0"/>
      <w:marRight w:val="0"/>
      <w:marTop w:val="0"/>
      <w:marBottom w:val="0"/>
      <w:divBdr>
        <w:top w:val="none" w:sz="0" w:space="0" w:color="auto"/>
        <w:left w:val="none" w:sz="0" w:space="0" w:color="auto"/>
        <w:bottom w:val="none" w:sz="0" w:space="0" w:color="auto"/>
        <w:right w:val="none" w:sz="0" w:space="0" w:color="auto"/>
      </w:divBdr>
    </w:div>
    <w:div w:id="562639591">
      <w:bodyDiv w:val="1"/>
      <w:marLeft w:val="0"/>
      <w:marRight w:val="0"/>
      <w:marTop w:val="0"/>
      <w:marBottom w:val="0"/>
      <w:divBdr>
        <w:top w:val="none" w:sz="0" w:space="0" w:color="auto"/>
        <w:left w:val="none" w:sz="0" w:space="0" w:color="auto"/>
        <w:bottom w:val="none" w:sz="0" w:space="0" w:color="auto"/>
        <w:right w:val="none" w:sz="0" w:space="0" w:color="auto"/>
      </w:divBdr>
    </w:div>
    <w:div w:id="620959079">
      <w:bodyDiv w:val="1"/>
      <w:marLeft w:val="0"/>
      <w:marRight w:val="0"/>
      <w:marTop w:val="0"/>
      <w:marBottom w:val="0"/>
      <w:divBdr>
        <w:top w:val="none" w:sz="0" w:space="0" w:color="auto"/>
        <w:left w:val="none" w:sz="0" w:space="0" w:color="auto"/>
        <w:bottom w:val="none" w:sz="0" w:space="0" w:color="auto"/>
        <w:right w:val="none" w:sz="0" w:space="0" w:color="auto"/>
      </w:divBdr>
    </w:div>
    <w:div w:id="638613230">
      <w:bodyDiv w:val="1"/>
      <w:marLeft w:val="0"/>
      <w:marRight w:val="0"/>
      <w:marTop w:val="0"/>
      <w:marBottom w:val="0"/>
      <w:divBdr>
        <w:top w:val="none" w:sz="0" w:space="0" w:color="auto"/>
        <w:left w:val="none" w:sz="0" w:space="0" w:color="auto"/>
        <w:bottom w:val="none" w:sz="0" w:space="0" w:color="auto"/>
        <w:right w:val="none" w:sz="0" w:space="0" w:color="auto"/>
      </w:divBdr>
    </w:div>
    <w:div w:id="647175605">
      <w:bodyDiv w:val="1"/>
      <w:marLeft w:val="0"/>
      <w:marRight w:val="0"/>
      <w:marTop w:val="0"/>
      <w:marBottom w:val="0"/>
      <w:divBdr>
        <w:top w:val="none" w:sz="0" w:space="0" w:color="auto"/>
        <w:left w:val="none" w:sz="0" w:space="0" w:color="auto"/>
        <w:bottom w:val="none" w:sz="0" w:space="0" w:color="auto"/>
        <w:right w:val="none" w:sz="0" w:space="0" w:color="auto"/>
      </w:divBdr>
    </w:div>
    <w:div w:id="656543667">
      <w:bodyDiv w:val="1"/>
      <w:marLeft w:val="0"/>
      <w:marRight w:val="0"/>
      <w:marTop w:val="0"/>
      <w:marBottom w:val="0"/>
      <w:divBdr>
        <w:top w:val="none" w:sz="0" w:space="0" w:color="auto"/>
        <w:left w:val="none" w:sz="0" w:space="0" w:color="auto"/>
        <w:bottom w:val="none" w:sz="0" w:space="0" w:color="auto"/>
        <w:right w:val="none" w:sz="0" w:space="0" w:color="auto"/>
      </w:divBdr>
    </w:div>
    <w:div w:id="761073271">
      <w:bodyDiv w:val="1"/>
      <w:marLeft w:val="0"/>
      <w:marRight w:val="0"/>
      <w:marTop w:val="0"/>
      <w:marBottom w:val="0"/>
      <w:divBdr>
        <w:top w:val="none" w:sz="0" w:space="0" w:color="auto"/>
        <w:left w:val="none" w:sz="0" w:space="0" w:color="auto"/>
        <w:bottom w:val="none" w:sz="0" w:space="0" w:color="auto"/>
        <w:right w:val="none" w:sz="0" w:space="0" w:color="auto"/>
      </w:divBdr>
    </w:div>
    <w:div w:id="793787384">
      <w:bodyDiv w:val="1"/>
      <w:marLeft w:val="0"/>
      <w:marRight w:val="0"/>
      <w:marTop w:val="0"/>
      <w:marBottom w:val="0"/>
      <w:divBdr>
        <w:top w:val="none" w:sz="0" w:space="0" w:color="auto"/>
        <w:left w:val="none" w:sz="0" w:space="0" w:color="auto"/>
        <w:bottom w:val="none" w:sz="0" w:space="0" w:color="auto"/>
        <w:right w:val="none" w:sz="0" w:space="0" w:color="auto"/>
      </w:divBdr>
    </w:div>
    <w:div w:id="805204427">
      <w:bodyDiv w:val="1"/>
      <w:marLeft w:val="0"/>
      <w:marRight w:val="0"/>
      <w:marTop w:val="0"/>
      <w:marBottom w:val="0"/>
      <w:divBdr>
        <w:top w:val="none" w:sz="0" w:space="0" w:color="auto"/>
        <w:left w:val="none" w:sz="0" w:space="0" w:color="auto"/>
        <w:bottom w:val="none" w:sz="0" w:space="0" w:color="auto"/>
        <w:right w:val="none" w:sz="0" w:space="0" w:color="auto"/>
      </w:divBdr>
    </w:div>
    <w:div w:id="840701702">
      <w:bodyDiv w:val="1"/>
      <w:marLeft w:val="0"/>
      <w:marRight w:val="0"/>
      <w:marTop w:val="0"/>
      <w:marBottom w:val="0"/>
      <w:divBdr>
        <w:top w:val="none" w:sz="0" w:space="0" w:color="auto"/>
        <w:left w:val="none" w:sz="0" w:space="0" w:color="auto"/>
        <w:bottom w:val="none" w:sz="0" w:space="0" w:color="auto"/>
        <w:right w:val="none" w:sz="0" w:space="0" w:color="auto"/>
      </w:divBdr>
    </w:div>
    <w:div w:id="887298815">
      <w:bodyDiv w:val="1"/>
      <w:marLeft w:val="0"/>
      <w:marRight w:val="0"/>
      <w:marTop w:val="0"/>
      <w:marBottom w:val="0"/>
      <w:divBdr>
        <w:top w:val="none" w:sz="0" w:space="0" w:color="auto"/>
        <w:left w:val="none" w:sz="0" w:space="0" w:color="auto"/>
        <w:bottom w:val="none" w:sz="0" w:space="0" w:color="auto"/>
        <w:right w:val="none" w:sz="0" w:space="0" w:color="auto"/>
      </w:divBdr>
    </w:div>
    <w:div w:id="1309675677">
      <w:bodyDiv w:val="1"/>
      <w:marLeft w:val="0"/>
      <w:marRight w:val="0"/>
      <w:marTop w:val="0"/>
      <w:marBottom w:val="0"/>
      <w:divBdr>
        <w:top w:val="none" w:sz="0" w:space="0" w:color="auto"/>
        <w:left w:val="none" w:sz="0" w:space="0" w:color="auto"/>
        <w:bottom w:val="none" w:sz="0" w:space="0" w:color="auto"/>
        <w:right w:val="none" w:sz="0" w:space="0" w:color="auto"/>
      </w:divBdr>
    </w:div>
    <w:div w:id="1415124126">
      <w:bodyDiv w:val="1"/>
      <w:marLeft w:val="0"/>
      <w:marRight w:val="0"/>
      <w:marTop w:val="0"/>
      <w:marBottom w:val="0"/>
      <w:divBdr>
        <w:top w:val="none" w:sz="0" w:space="0" w:color="auto"/>
        <w:left w:val="none" w:sz="0" w:space="0" w:color="auto"/>
        <w:bottom w:val="none" w:sz="0" w:space="0" w:color="auto"/>
        <w:right w:val="none" w:sz="0" w:space="0" w:color="auto"/>
      </w:divBdr>
    </w:div>
    <w:div w:id="1498494834">
      <w:bodyDiv w:val="1"/>
      <w:marLeft w:val="0"/>
      <w:marRight w:val="0"/>
      <w:marTop w:val="0"/>
      <w:marBottom w:val="0"/>
      <w:divBdr>
        <w:top w:val="none" w:sz="0" w:space="0" w:color="auto"/>
        <w:left w:val="none" w:sz="0" w:space="0" w:color="auto"/>
        <w:bottom w:val="none" w:sz="0" w:space="0" w:color="auto"/>
        <w:right w:val="none" w:sz="0" w:space="0" w:color="auto"/>
      </w:divBdr>
    </w:div>
    <w:div w:id="1499879097">
      <w:bodyDiv w:val="1"/>
      <w:marLeft w:val="0"/>
      <w:marRight w:val="0"/>
      <w:marTop w:val="0"/>
      <w:marBottom w:val="0"/>
      <w:divBdr>
        <w:top w:val="none" w:sz="0" w:space="0" w:color="auto"/>
        <w:left w:val="none" w:sz="0" w:space="0" w:color="auto"/>
        <w:bottom w:val="none" w:sz="0" w:space="0" w:color="auto"/>
        <w:right w:val="none" w:sz="0" w:space="0" w:color="auto"/>
      </w:divBdr>
    </w:div>
    <w:div w:id="1502502778">
      <w:bodyDiv w:val="1"/>
      <w:marLeft w:val="0"/>
      <w:marRight w:val="0"/>
      <w:marTop w:val="0"/>
      <w:marBottom w:val="0"/>
      <w:divBdr>
        <w:top w:val="none" w:sz="0" w:space="0" w:color="auto"/>
        <w:left w:val="none" w:sz="0" w:space="0" w:color="auto"/>
        <w:bottom w:val="none" w:sz="0" w:space="0" w:color="auto"/>
        <w:right w:val="none" w:sz="0" w:space="0" w:color="auto"/>
      </w:divBdr>
    </w:div>
    <w:div w:id="1530725520">
      <w:bodyDiv w:val="1"/>
      <w:marLeft w:val="0"/>
      <w:marRight w:val="0"/>
      <w:marTop w:val="0"/>
      <w:marBottom w:val="0"/>
      <w:divBdr>
        <w:top w:val="none" w:sz="0" w:space="0" w:color="auto"/>
        <w:left w:val="none" w:sz="0" w:space="0" w:color="auto"/>
        <w:bottom w:val="none" w:sz="0" w:space="0" w:color="auto"/>
        <w:right w:val="none" w:sz="0" w:space="0" w:color="auto"/>
      </w:divBdr>
    </w:div>
    <w:div w:id="1580401936">
      <w:bodyDiv w:val="1"/>
      <w:marLeft w:val="0"/>
      <w:marRight w:val="0"/>
      <w:marTop w:val="0"/>
      <w:marBottom w:val="0"/>
      <w:divBdr>
        <w:top w:val="none" w:sz="0" w:space="0" w:color="auto"/>
        <w:left w:val="none" w:sz="0" w:space="0" w:color="auto"/>
        <w:bottom w:val="none" w:sz="0" w:space="0" w:color="auto"/>
        <w:right w:val="none" w:sz="0" w:space="0" w:color="auto"/>
      </w:divBdr>
    </w:div>
    <w:div w:id="1630360832">
      <w:bodyDiv w:val="1"/>
      <w:marLeft w:val="0"/>
      <w:marRight w:val="0"/>
      <w:marTop w:val="0"/>
      <w:marBottom w:val="0"/>
      <w:divBdr>
        <w:top w:val="none" w:sz="0" w:space="0" w:color="auto"/>
        <w:left w:val="none" w:sz="0" w:space="0" w:color="auto"/>
        <w:bottom w:val="none" w:sz="0" w:space="0" w:color="auto"/>
        <w:right w:val="none" w:sz="0" w:space="0" w:color="auto"/>
      </w:divBdr>
    </w:div>
    <w:div w:id="1665087813">
      <w:bodyDiv w:val="1"/>
      <w:marLeft w:val="0"/>
      <w:marRight w:val="0"/>
      <w:marTop w:val="0"/>
      <w:marBottom w:val="0"/>
      <w:divBdr>
        <w:top w:val="none" w:sz="0" w:space="0" w:color="auto"/>
        <w:left w:val="none" w:sz="0" w:space="0" w:color="auto"/>
        <w:bottom w:val="none" w:sz="0" w:space="0" w:color="auto"/>
        <w:right w:val="none" w:sz="0" w:space="0" w:color="auto"/>
      </w:divBdr>
    </w:div>
    <w:div w:id="1701584718">
      <w:bodyDiv w:val="1"/>
      <w:marLeft w:val="0"/>
      <w:marRight w:val="0"/>
      <w:marTop w:val="0"/>
      <w:marBottom w:val="0"/>
      <w:divBdr>
        <w:top w:val="none" w:sz="0" w:space="0" w:color="auto"/>
        <w:left w:val="none" w:sz="0" w:space="0" w:color="auto"/>
        <w:bottom w:val="none" w:sz="0" w:space="0" w:color="auto"/>
        <w:right w:val="none" w:sz="0" w:space="0" w:color="auto"/>
      </w:divBdr>
    </w:div>
    <w:div w:id="1777553180">
      <w:bodyDiv w:val="1"/>
      <w:marLeft w:val="0"/>
      <w:marRight w:val="0"/>
      <w:marTop w:val="0"/>
      <w:marBottom w:val="0"/>
      <w:divBdr>
        <w:top w:val="none" w:sz="0" w:space="0" w:color="auto"/>
        <w:left w:val="none" w:sz="0" w:space="0" w:color="auto"/>
        <w:bottom w:val="none" w:sz="0" w:space="0" w:color="auto"/>
        <w:right w:val="none" w:sz="0" w:space="0" w:color="auto"/>
      </w:divBdr>
    </w:div>
    <w:div w:id="1850169711">
      <w:bodyDiv w:val="1"/>
      <w:marLeft w:val="0"/>
      <w:marRight w:val="0"/>
      <w:marTop w:val="0"/>
      <w:marBottom w:val="0"/>
      <w:divBdr>
        <w:top w:val="none" w:sz="0" w:space="0" w:color="auto"/>
        <w:left w:val="none" w:sz="0" w:space="0" w:color="auto"/>
        <w:bottom w:val="none" w:sz="0" w:space="0" w:color="auto"/>
        <w:right w:val="none" w:sz="0" w:space="0" w:color="auto"/>
      </w:divBdr>
    </w:div>
    <w:div w:id="1867014679">
      <w:bodyDiv w:val="1"/>
      <w:marLeft w:val="0"/>
      <w:marRight w:val="0"/>
      <w:marTop w:val="0"/>
      <w:marBottom w:val="0"/>
      <w:divBdr>
        <w:top w:val="none" w:sz="0" w:space="0" w:color="auto"/>
        <w:left w:val="none" w:sz="0" w:space="0" w:color="auto"/>
        <w:bottom w:val="none" w:sz="0" w:space="0" w:color="auto"/>
        <w:right w:val="none" w:sz="0" w:space="0" w:color="auto"/>
      </w:divBdr>
    </w:div>
    <w:div w:id="1874726312">
      <w:bodyDiv w:val="1"/>
      <w:marLeft w:val="0"/>
      <w:marRight w:val="0"/>
      <w:marTop w:val="0"/>
      <w:marBottom w:val="0"/>
      <w:divBdr>
        <w:top w:val="none" w:sz="0" w:space="0" w:color="auto"/>
        <w:left w:val="none" w:sz="0" w:space="0" w:color="auto"/>
        <w:bottom w:val="none" w:sz="0" w:space="0" w:color="auto"/>
        <w:right w:val="none" w:sz="0" w:space="0" w:color="auto"/>
      </w:divBdr>
    </w:div>
    <w:div w:id="2044597530">
      <w:bodyDiv w:val="1"/>
      <w:marLeft w:val="0"/>
      <w:marRight w:val="0"/>
      <w:marTop w:val="0"/>
      <w:marBottom w:val="0"/>
      <w:divBdr>
        <w:top w:val="none" w:sz="0" w:space="0" w:color="auto"/>
        <w:left w:val="none" w:sz="0" w:space="0" w:color="auto"/>
        <w:bottom w:val="none" w:sz="0" w:space="0" w:color="auto"/>
        <w:right w:val="none" w:sz="0" w:space="0" w:color="auto"/>
      </w:divBdr>
    </w:div>
    <w:div w:id="21374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onder@bidmc.harvard.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A255B86A66C4CB20E42F49D957B91" ma:contentTypeVersion="17" ma:contentTypeDescription="Create a new document." ma:contentTypeScope="" ma:versionID="4896e2046bcdda9f65e996c2a12163df">
  <xsd:schema xmlns:xsd="http://www.w3.org/2001/XMLSchema" xmlns:xs="http://www.w3.org/2001/XMLSchema" xmlns:p="http://schemas.microsoft.com/office/2006/metadata/properties" xmlns:ns2="3a5dbc42-decb-4a68-a506-df08ab61a827" xmlns:ns3="7eec74e8-2ae6-48a5-bcf5-e0044e244a2d" targetNamespace="http://schemas.microsoft.com/office/2006/metadata/properties" ma:root="true" ma:fieldsID="6b2b2b1ccfcd252210697e5f3be5f419" ns2:_="" ns3:_="">
    <xsd:import namespace="3a5dbc42-decb-4a68-a506-df08ab61a827"/>
    <xsd:import namespace="7eec74e8-2ae6-48a5-bcf5-e0044e244a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dbc42-decb-4a68-a506-df08ab61a8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ec74e8-2ae6-48a5-bcf5-e0044e244a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description=""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7D683-2ED3-4F81-A1AF-1776D1C5351B}">
  <ds:schemaRefs>
    <ds:schemaRef ds:uri="http://schemas.openxmlformats.org/officeDocument/2006/bibliography"/>
  </ds:schemaRefs>
</ds:datastoreItem>
</file>

<file path=customXml/itemProps2.xml><?xml version="1.0" encoding="utf-8"?>
<ds:datastoreItem xmlns:ds="http://schemas.openxmlformats.org/officeDocument/2006/customXml" ds:itemID="{A82A119A-4353-4FB7-80CC-DE19A9815431}">
  <ds:schemaRefs>
    <ds:schemaRef ds:uri="http://schemas.microsoft.com/sharepoint/v3/contenttype/forms"/>
  </ds:schemaRefs>
</ds:datastoreItem>
</file>

<file path=customXml/itemProps3.xml><?xml version="1.0" encoding="utf-8"?>
<ds:datastoreItem xmlns:ds="http://schemas.openxmlformats.org/officeDocument/2006/customXml" ds:itemID="{40EC3795-2528-4425-9290-2B9ACBED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dbc42-decb-4a68-a506-df08ab61a827"/>
    <ds:schemaRef ds:uri="7eec74e8-2ae6-48a5-bcf5-e0044e244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DB331-BCFC-4E83-A796-1A811312D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8145</Words>
  <Characters>46429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Jiju Punnoose</dc:creator>
  <cp:keywords/>
  <dc:description/>
  <cp:lastModifiedBy>Liansheng Ma</cp:lastModifiedBy>
  <cp:revision>2</cp:revision>
  <cp:lastPrinted>2019-07-03T19:53:00Z</cp:lastPrinted>
  <dcterms:created xsi:type="dcterms:W3CDTF">2020-06-10T16:09:00Z</dcterms:created>
  <dcterms:modified xsi:type="dcterms:W3CDTF">2020-06-10T16:09:00Z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0x0101008E3A255B86A66C4CB20E42F49D957B91</vt:lpwstr>
  </property>
</Properties>
</file>