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872DB2" w14:textId="259FF5F3" w:rsidR="009876E8" w:rsidRPr="00BD66E9" w:rsidRDefault="009876E8" w:rsidP="00171C00">
      <w:pPr>
        <w:snapToGrid w:val="0"/>
        <w:spacing w:line="360" w:lineRule="auto"/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Name of Journal: </w:t>
      </w:r>
      <w:r w:rsidRPr="00BD66E9">
        <w:rPr>
          <w:rFonts w:ascii="Book Antiqua" w:hAnsi="Book Antiqua"/>
          <w:i/>
          <w:color w:val="000000" w:themeColor="text1"/>
          <w:sz w:val="24"/>
          <w:szCs w:val="24"/>
        </w:rPr>
        <w:t>World Journal of Gastroenter</w:t>
      </w:r>
      <w:r w:rsidR="00311E8C" w:rsidRPr="00BD66E9">
        <w:rPr>
          <w:rFonts w:ascii="Book Antiqua" w:hAnsi="Book Antiqua"/>
          <w:i/>
          <w:color w:val="000000" w:themeColor="text1"/>
          <w:sz w:val="24"/>
          <w:szCs w:val="24"/>
        </w:rPr>
        <w:t>o</w:t>
      </w:r>
      <w:r w:rsidRPr="00BD66E9">
        <w:rPr>
          <w:rFonts w:ascii="Book Antiqua" w:hAnsi="Book Antiqua"/>
          <w:i/>
          <w:color w:val="000000" w:themeColor="text1"/>
          <w:sz w:val="24"/>
          <w:szCs w:val="24"/>
        </w:rPr>
        <w:t>logy</w:t>
      </w:r>
    </w:p>
    <w:p w14:paraId="04AB3277" w14:textId="2268E63B" w:rsidR="00640C83" w:rsidRPr="00BD66E9" w:rsidRDefault="00640C83" w:rsidP="00171C00">
      <w:pPr>
        <w:snapToGrid w:val="0"/>
        <w:spacing w:line="360" w:lineRule="auto"/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  <w:t>Manuscript N</w:t>
      </w:r>
      <w:r w:rsidR="00C80FDE" w:rsidRPr="00BD66E9"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  <w:t>O</w:t>
      </w:r>
      <w:r w:rsidRPr="00BD66E9">
        <w:rPr>
          <w:rFonts w:ascii="Book Antiqua" w:hAnsi="Book Antiqua"/>
          <w:b/>
          <w:bCs/>
          <w:iCs/>
          <w:color w:val="000000" w:themeColor="text1"/>
          <w:sz w:val="24"/>
          <w:szCs w:val="24"/>
        </w:rPr>
        <w:t>:</w:t>
      </w:r>
      <w:r w:rsidR="00DE4B03" w:rsidRPr="00BD66E9">
        <w:rPr>
          <w:rFonts w:ascii="Book Antiqua" w:hAnsi="Book Antiqua"/>
          <w:iCs/>
          <w:color w:val="000000" w:themeColor="text1"/>
          <w:sz w:val="24"/>
          <w:szCs w:val="24"/>
        </w:rPr>
        <w:t xml:space="preserve"> 55091</w:t>
      </w:r>
    </w:p>
    <w:p w14:paraId="32F0D204" w14:textId="77777777" w:rsidR="009876E8" w:rsidRPr="00BD66E9" w:rsidRDefault="009876E8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Manuscript Type: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CASE REPORT</w:t>
      </w:r>
    </w:p>
    <w:p w14:paraId="5BB5C0D0" w14:textId="77777777" w:rsidR="009876E8" w:rsidRPr="00BD66E9" w:rsidRDefault="009876E8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</w:p>
    <w:p w14:paraId="66B2D1D6" w14:textId="3487FC47" w:rsidR="00E72277" w:rsidRPr="00BD66E9" w:rsidRDefault="007D5763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bookmarkStart w:id="0" w:name="OLE_LINK1437"/>
      <w:bookmarkStart w:id="1" w:name="OLE_LINK1438"/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Multiple c</w:t>
      </w:r>
      <w:r w:rsidR="00E72277" w:rsidRPr="00BD66E9">
        <w:rPr>
          <w:rFonts w:ascii="Book Antiqua" w:hAnsi="Book Antiqua"/>
          <w:b/>
          <w:color w:val="000000" w:themeColor="text1"/>
          <w:sz w:val="24"/>
          <w:szCs w:val="24"/>
        </w:rPr>
        <w:t>arcinosarcoma</w:t>
      </w: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s</w:t>
      </w:r>
      <w:r w:rsidR="00E72277"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902ACC" w:rsidRPr="00BD66E9">
        <w:rPr>
          <w:rFonts w:ascii="Book Antiqua" w:hAnsi="Book Antiqua"/>
          <w:b/>
          <w:color w:val="000000" w:themeColor="text1"/>
          <w:sz w:val="24"/>
          <w:szCs w:val="24"/>
        </w:rPr>
        <w:t>of the esophagus</w:t>
      </w:r>
      <w:r w:rsidR="007F1A18"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 with adeno-carcinomatous components: </w:t>
      </w:r>
      <w:r w:rsidR="00C80FDE" w:rsidRPr="00BD66E9">
        <w:rPr>
          <w:rFonts w:ascii="Book Antiqua" w:hAnsi="Book Antiqua"/>
          <w:b/>
          <w:color w:val="000000" w:themeColor="text1"/>
          <w:sz w:val="24"/>
          <w:szCs w:val="24"/>
        </w:rPr>
        <w:t>A</w:t>
      </w:r>
      <w:r w:rsidR="007F1A18"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 case report</w:t>
      </w:r>
    </w:p>
    <w:bookmarkEnd w:id="0"/>
    <w:bookmarkEnd w:id="1"/>
    <w:p w14:paraId="7528FC9E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40703F98" w14:textId="5774C88D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Okamoto H </w:t>
      </w:r>
      <w:r w:rsidRPr="00BD66E9">
        <w:rPr>
          <w:rFonts w:ascii="Book Antiqua" w:hAnsi="Book Antiqua"/>
          <w:i/>
          <w:color w:val="000000" w:themeColor="text1"/>
          <w:sz w:val="24"/>
          <w:szCs w:val="24"/>
        </w:rPr>
        <w:t>et al.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bookmarkStart w:id="2" w:name="OLE_LINK1441"/>
      <w:bookmarkStart w:id="3" w:name="OLE_LINK1442"/>
      <w:r w:rsidRPr="00BD66E9">
        <w:rPr>
          <w:rFonts w:ascii="Book Antiqua" w:hAnsi="Book Antiqua"/>
          <w:color w:val="000000" w:themeColor="text1"/>
          <w:sz w:val="24"/>
          <w:szCs w:val="24"/>
        </w:rPr>
        <w:t>Multiple carcinosarcoma</w:t>
      </w:r>
      <w:r w:rsidR="00902ACC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902ACC" w:rsidRPr="00BD66E9">
        <w:rPr>
          <w:rFonts w:ascii="Book Antiqua" w:hAnsi="Book Antiqua"/>
          <w:color w:val="000000" w:themeColor="text1"/>
          <w:sz w:val="24"/>
          <w:szCs w:val="24"/>
        </w:rPr>
        <w:t>of the esophagus</w:t>
      </w:r>
      <w:bookmarkEnd w:id="2"/>
      <w:bookmarkEnd w:id="3"/>
    </w:p>
    <w:p w14:paraId="2D449059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3A626FEA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Hiroshi Okamoto, Hiroshi Kikuchi, Hiroshi 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Naganuma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>, Takashi Kamei</w:t>
      </w:r>
    </w:p>
    <w:p w14:paraId="6D6C25B8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68EFE925" w14:textId="36A35D8E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Hiroshi Okamoto, Takashi Kamei,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bookmarkStart w:id="4" w:name="OLE_LINK1391"/>
      <w:bookmarkStart w:id="5" w:name="OLE_LINK1392"/>
      <w:r w:rsidRPr="00BD66E9">
        <w:rPr>
          <w:rFonts w:ascii="Book Antiqua" w:hAnsi="Book Antiqua"/>
          <w:color w:val="000000" w:themeColor="text1"/>
          <w:sz w:val="24"/>
          <w:szCs w:val="24"/>
        </w:rPr>
        <w:t>Department of Gastroenterological Surgery, Graduate School of Medicine, Tohoku University, Sendai 980-8574, Japan</w:t>
      </w:r>
      <w:bookmarkEnd w:id="4"/>
      <w:bookmarkEnd w:id="5"/>
    </w:p>
    <w:p w14:paraId="56D02075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097A178D" w14:textId="3448ED93" w:rsidR="00E72277" w:rsidRPr="00BD66E9" w:rsidRDefault="00E72277" w:rsidP="00171C00">
      <w:pPr>
        <w:tabs>
          <w:tab w:val="left" w:pos="5660"/>
        </w:tabs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Hiroshi Kikuchi,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>Department of Surgery, South Miyagi Medical Center, Miyagi 989-1253, Japan</w:t>
      </w:r>
    </w:p>
    <w:p w14:paraId="2BE6370B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</w:p>
    <w:p w14:paraId="39DA6B07" w14:textId="6CCEE3D6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Hiroshi </w:t>
      </w:r>
      <w:proofErr w:type="spellStart"/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Naganuma</w:t>
      </w:r>
      <w:proofErr w:type="spellEnd"/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,</w:t>
      </w: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 Department of Pathology, Sendai City Hospital, Sendai 982-8502, Japan</w:t>
      </w:r>
    </w:p>
    <w:p w14:paraId="0B48B0B5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</w:p>
    <w:p w14:paraId="7EAFB5F7" w14:textId="5456B687" w:rsidR="00E72277" w:rsidRPr="00BD66E9" w:rsidRDefault="00DE4B03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  <w:lang w:val="en-GB"/>
        </w:rPr>
        <w:t>Author contributions:</w:t>
      </w:r>
      <w:r w:rsidR="00E72277"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 Okamoto H is the main author of this article; Kikuchi H </w:t>
      </w:r>
      <w:r w:rsidR="00836C40"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was </w:t>
      </w:r>
      <w:r w:rsidR="00E72277"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the patient’s surgeon and prepared the manuscript; </w:t>
      </w:r>
      <w:proofErr w:type="spellStart"/>
      <w:r w:rsidR="00E72277" w:rsidRPr="00BD66E9">
        <w:rPr>
          <w:rFonts w:ascii="Book Antiqua" w:hAnsi="Book Antiqua"/>
          <w:bCs/>
          <w:color w:val="000000" w:themeColor="text1"/>
          <w:sz w:val="24"/>
          <w:szCs w:val="24"/>
        </w:rPr>
        <w:t>Naganuma</w:t>
      </w:r>
      <w:proofErr w:type="spellEnd"/>
      <w:r w:rsidR="00E72277"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 H performed the pathological examination; </w:t>
      </w:r>
      <w:r w:rsidR="00E72277" w:rsidRPr="00BD66E9">
        <w:rPr>
          <w:rFonts w:ascii="Book Antiqua" w:hAnsi="Book Antiqua"/>
          <w:snapToGrid w:val="0"/>
          <w:color w:val="000000" w:themeColor="text1"/>
          <w:kern w:val="0"/>
          <w:sz w:val="24"/>
          <w:szCs w:val="24"/>
        </w:rPr>
        <w:t>Kamei T reviewed the manuscript</w:t>
      </w:r>
      <w:r w:rsidRPr="00BD66E9">
        <w:rPr>
          <w:rFonts w:ascii="Book Antiqua" w:hAnsi="Book Antiqua"/>
          <w:snapToGrid w:val="0"/>
          <w:color w:val="000000" w:themeColor="text1"/>
          <w:kern w:val="0"/>
          <w:sz w:val="24"/>
          <w:szCs w:val="24"/>
          <w:lang w:eastAsia="zh-CN"/>
        </w:rPr>
        <w:t xml:space="preserve">; </w:t>
      </w:r>
      <w:r w:rsidRPr="00BD66E9">
        <w:rPr>
          <w:rFonts w:ascii="Book Antiqua" w:hAnsi="Book Antiqua"/>
          <w:snapToGrid w:val="0"/>
          <w:color w:val="000000" w:themeColor="text1"/>
          <w:kern w:val="0"/>
          <w:sz w:val="24"/>
          <w:szCs w:val="24"/>
        </w:rPr>
        <w:t>a</w:t>
      </w:r>
      <w:r w:rsidR="00E72277" w:rsidRPr="00BD66E9">
        <w:rPr>
          <w:rFonts w:ascii="Book Antiqua" w:hAnsi="Book Antiqua"/>
          <w:snapToGrid w:val="0"/>
          <w:color w:val="000000" w:themeColor="text1"/>
          <w:kern w:val="0"/>
          <w:sz w:val="24"/>
          <w:szCs w:val="24"/>
        </w:rPr>
        <w:t>ll authors have read and approved the final manuscript.</w:t>
      </w:r>
    </w:p>
    <w:p w14:paraId="35E4B6FF" w14:textId="06E9B2C4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034271EC" w14:textId="4AF91D00" w:rsidR="00DE4B03" w:rsidRPr="00BD66E9" w:rsidRDefault="00DE4B03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 w:cstheme="minorHAnsi"/>
          <w:b/>
          <w:color w:val="000000" w:themeColor="text1"/>
          <w:sz w:val="24"/>
          <w:szCs w:val="24"/>
          <w:lang w:val="hu-HU"/>
        </w:rPr>
        <w:t>Corresponding author:</w:t>
      </w:r>
      <w:r w:rsidRPr="00BD66E9">
        <w:rPr>
          <w:rFonts w:ascii="Book Antiqua" w:hAnsi="Book Antiqua"/>
          <w:color w:val="000000" w:themeColor="text1"/>
          <w:sz w:val="24"/>
          <w:szCs w:val="24"/>
          <w:lang w:val="hu-HU"/>
        </w:rPr>
        <w:t xml:space="preserve"> </w:t>
      </w:r>
      <w:r w:rsidR="00E72277" w:rsidRPr="004C06D8">
        <w:rPr>
          <w:rFonts w:ascii="Book Antiqua" w:hAnsi="Book Antiqua"/>
          <w:b/>
          <w:color w:val="000000" w:themeColor="text1"/>
          <w:sz w:val="24"/>
          <w:szCs w:val="24"/>
        </w:rPr>
        <w:t xml:space="preserve">Hiroshi Okamoto, </w:t>
      </w:r>
      <w:r w:rsidR="004C06D8" w:rsidRPr="004C06D8">
        <w:rPr>
          <w:rFonts w:ascii="Book Antiqua" w:hAnsi="Book Antiqua"/>
          <w:b/>
          <w:color w:val="000000" w:themeColor="text1"/>
          <w:sz w:val="24"/>
          <w:szCs w:val="24"/>
        </w:rPr>
        <w:t xml:space="preserve">MD, PhD, Assistant Professor, Doctor, Surgeon,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Department of Gastroenterological Surgery, Graduate School of Medicine, Tohoku University, 1-1, 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Seiryo-machi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>, Aoba-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ku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Sendai 980-8574, Japan. </w:t>
      </w:r>
      <w:r w:rsidR="00755B9D">
        <w:fldChar w:fldCharType="begin"/>
      </w:r>
      <w:r w:rsidR="00755B9D">
        <w:instrText xml:space="preserve"> HYPERLINK "</w:instrText>
      </w:r>
      <w:r w:rsidR="00755B9D">
        <w:instrText xml:space="preserve">mailto:hi-ok-0531@med.tohoku.ac.jp" </w:instrText>
      </w:r>
      <w:r w:rsidR="00755B9D">
        <w:fldChar w:fldCharType="separate"/>
      </w:r>
      <w:r w:rsidRPr="00BD66E9">
        <w:rPr>
          <w:rStyle w:val="a3"/>
          <w:rFonts w:ascii="Book Antiqua" w:hAnsi="Book Antiqua"/>
          <w:color w:val="000000" w:themeColor="text1"/>
          <w:sz w:val="24"/>
          <w:szCs w:val="24"/>
        </w:rPr>
        <w:t>hi-ok-0531@med.tohoku.ac.jp</w:t>
      </w:r>
      <w:r w:rsidR="00755B9D">
        <w:rPr>
          <w:rStyle w:val="a3"/>
          <w:rFonts w:ascii="Book Antiqua" w:hAnsi="Book Antiqua"/>
          <w:color w:val="000000" w:themeColor="text1"/>
          <w:sz w:val="24"/>
          <w:szCs w:val="24"/>
        </w:rPr>
        <w:fldChar w:fldCharType="end"/>
      </w:r>
    </w:p>
    <w:p w14:paraId="0A04E227" w14:textId="77777777" w:rsidR="00DE4B03" w:rsidRPr="00BD66E9" w:rsidRDefault="00DE4B03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30F22A9A" w14:textId="7A1BBE3F" w:rsidR="00DE4B03" w:rsidRPr="00DE4B03" w:rsidRDefault="00DE4B03" w:rsidP="00171C00">
      <w:pPr>
        <w:widowControl/>
        <w:snapToGrid w:val="0"/>
        <w:spacing w:line="360" w:lineRule="auto"/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</w:pPr>
      <w:bookmarkStart w:id="6" w:name="OLE_LINK171"/>
      <w:bookmarkStart w:id="7" w:name="OLE_LINK172"/>
      <w:r w:rsidRPr="00DE4B03"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  <w:t xml:space="preserve">Received: </w:t>
      </w:r>
      <w:r w:rsidRPr="00BD66E9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>F</w:t>
      </w:r>
      <w:r w:rsidRPr="00BD66E9">
        <w:rPr>
          <w:rFonts w:ascii="Book Antiqua" w:eastAsia="宋体" w:hAnsi="Book Antiqua" w:hint="eastAsia"/>
          <w:color w:val="000000" w:themeColor="text1"/>
          <w:kern w:val="0"/>
          <w:sz w:val="24"/>
          <w:szCs w:val="24"/>
          <w:lang w:val="en-GB" w:eastAsia="zh-CN"/>
        </w:rPr>
        <w:t>e</w:t>
      </w:r>
      <w:proofErr w:type="spellStart"/>
      <w:r w:rsidRPr="00BD66E9">
        <w:rPr>
          <w:rFonts w:ascii="Book Antiqua" w:eastAsia="宋体" w:hAnsi="Book Antiqua"/>
          <w:color w:val="000000" w:themeColor="text1"/>
          <w:kern w:val="0"/>
          <w:sz w:val="24"/>
          <w:szCs w:val="24"/>
          <w:lang w:eastAsia="zh-CN"/>
        </w:rPr>
        <w:t>bruary</w:t>
      </w:r>
      <w:proofErr w:type="spellEnd"/>
      <w:r w:rsidRPr="00DE4B03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 xml:space="preserve"> </w:t>
      </w:r>
      <w:r w:rsidRPr="00BD66E9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>29</w:t>
      </w:r>
      <w:r w:rsidRPr="00DE4B03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>, 2020</w:t>
      </w:r>
      <w:r w:rsidRPr="00DE4B03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en-US"/>
        </w:rPr>
        <w:t xml:space="preserve"> </w:t>
      </w:r>
    </w:p>
    <w:p w14:paraId="555921EC" w14:textId="4A39DD30" w:rsidR="00DE4B03" w:rsidRPr="00DE4B03" w:rsidRDefault="00DE4B03" w:rsidP="00171C00">
      <w:pPr>
        <w:widowControl/>
        <w:snapToGrid w:val="0"/>
        <w:spacing w:line="360" w:lineRule="auto"/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</w:pPr>
      <w:r w:rsidRPr="00DE4B03"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  <w:t xml:space="preserve">Revised: </w:t>
      </w:r>
      <w:proofErr w:type="spellStart"/>
      <w:r w:rsidRPr="00BD66E9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>A</w:t>
      </w:r>
      <w:r w:rsidRPr="00BD66E9">
        <w:rPr>
          <w:rFonts w:ascii="Book Antiqua" w:eastAsia="宋体" w:hAnsi="Book Antiqua" w:hint="eastAsia"/>
          <w:color w:val="000000" w:themeColor="text1"/>
          <w:kern w:val="0"/>
          <w:sz w:val="24"/>
          <w:szCs w:val="24"/>
          <w:lang w:val="en-GB" w:eastAsia="zh-CN"/>
        </w:rPr>
        <w:t>pri</w:t>
      </w:r>
      <w:proofErr w:type="spellEnd"/>
      <w:r w:rsidRPr="00BD66E9">
        <w:rPr>
          <w:rFonts w:ascii="Book Antiqua" w:eastAsia="宋体" w:hAnsi="Book Antiqua"/>
          <w:color w:val="000000" w:themeColor="text1"/>
          <w:kern w:val="0"/>
          <w:sz w:val="24"/>
          <w:szCs w:val="24"/>
          <w:lang w:eastAsia="zh-CN"/>
        </w:rPr>
        <w:t>l</w:t>
      </w:r>
      <w:r w:rsidRPr="00DE4B03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 xml:space="preserve"> </w:t>
      </w:r>
      <w:r w:rsidRPr="00BD66E9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>8</w:t>
      </w:r>
      <w:r w:rsidRPr="00DE4B03">
        <w:rPr>
          <w:rFonts w:ascii="Book Antiqua" w:eastAsia="宋体" w:hAnsi="Book Antiqua"/>
          <w:color w:val="000000" w:themeColor="text1"/>
          <w:kern w:val="0"/>
          <w:sz w:val="24"/>
          <w:szCs w:val="24"/>
          <w:lang w:val="en-GB" w:eastAsia="zh-CN"/>
        </w:rPr>
        <w:t>, 2020</w:t>
      </w:r>
    </w:p>
    <w:p w14:paraId="57773B9E" w14:textId="4A50D834" w:rsidR="00DE4B03" w:rsidRPr="00DE4B03" w:rsidRDefault="00DE4B03" w:rsidP="00171C00">
      <w:pPr>
        <w:widowControl/>
        <w:snapToGrid w:val="0"/>
        <w:spacing w:line="360" w:lineRule="auto"/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</w:pPr>
      <w:r w:rsidRPr="00DE4B03"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  <w:t>Accepted:</w:t>
      </w:r>
      <w:r w:rsidR="007626C7" w:rsidRPr="007626C7">
        <w:t xml:space="preserve"> </w:t>
      </w:r>
      <w:r w:rsidR="007626C7" w:rsidRPr="007626C7">
        <w:rPr>
          <w:rFonts w:ascii="Book Antiqua" w:eastAsia="宋体" w:hAnsi="Book Antiqua"/>
          <w:bCs/>
          <w:color w:val="000000" w:themeColor="text1"/>
          <w:kern w:val="0"/>
          <w:sz w:val="24"/>
          <w:szCs w:val="24"/>
          <w:lang w:val="en-GB" w:eastAsia="en-US"/>
        </w:rPr>
        <w:t>April 28, 2020</w:t>
      </w:r>
      <w:r w:rsidRPr="007626C7">
        <w:rPr>
          <w:rFonts w:ascii="Calibri" w:eastAsia="宋体" w:hAnsi="Calibri"/>
          <w:bCs/>
          <w:color w:val="000000" w:themeColor="text1"/>
          <w:kern w:val="0"/>
          <w:sz w:val="22"/>
          <w:lang w:val="el-GR" w:eastAsia="en-US"/>
        </w:rPr>
        <w:t xml:space="preserve"> </w:t>
      </w:r>
    </w:p>
    <w:p w14:paraId="06028FBD" w14:textId="11BC7466" w:rsidR="00E72277" w:rsidRPr="00BD66E9" w:rsidRDefault="00DE4B03" w:rsidP="00171C00">
      <w:pPr>
        <w:widowControl/>
        <w:snapToGrid w:val="0"/>
        <w:spacing w:line="360" w:lineRule="auto"/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zh-CN"/>
        </w:rPr>
      </w:pPr>
      <w:r w:rsidRPr="00DE4B03">
        <w:rPr>
          <w:rFonts w:ascii="Book Antiqua" w:eastAsia="宋体" w:hAnsi="Book Antiqua"/>
          <w:b/>
          <w:color w:val="000000" w:themeColor="text1"/>
          <w:kern w:val="0"/>
          <w:sz w:val="24"/>
          <w:szCs w:val="24"/>
          <w:lang w:val="en-GB" w:eastAsia="en-US"/>
        </w:rPr>
        <w:t xml:space="preserve">Published online: </w:t>
      </w:r>
      <w:bookmarkEnd w:id="6"/>
      <w:bookmarkEnd w:id="7"/>
    </w:p>
    <w:p w14:paraId="0B5EBD99" w14:textId="77777777" w:rsidR="00836C40" w:rsidRPr="00BD66E9" w:rsidRDefault="00836C40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2B50F072" w14:textId="0FCB7546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lastRenderedPageBreak/>
        <w:t>Abstract</w:t>
      </w:r>
    </w:p>
    <w:p w14:paraId="27D6B69D" w14:textId="32F2D3A4" w:rsidR="00902ACC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BACKGROUND</w:t>
      </w:r>
    </w:p>
    <w:p w14:paraId="388C050A" w14:textId="364FD7A4" w:rsidR="00E72277" w:rsidRPr="00BD66E9" w:rsidRDefault="00902ACC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bookmarkStart w:id="8" w:name="_Hlk33185867"/>
      <w:r w:rsidRPr="00BD66E9">
        <w:rPr>
          <w:rFonts w:ascii="Book Antiqua" w:hAnsi="Book Antiqua"/>
          <w:color w:val="000000" w:themeColor="text1"/>
          <w:sz w:val="24"/>
          <w:szCs w:val="24"/>
        </w:rPr>
        <w:t>C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arcinosarcoma (spindle cell carcinoma)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of the esophagus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is </w:t>
      </w:r>
      <w:r w:rsidR="0043185A" w:rsidRPr="00BD66E9">
        <w:rPr>
          <w:rFonts w:ascii="Book Antiqua" w:hAnsi="Book Antiqua"/>
          <w:color w:val="000000" w:themeColor="text1"/>
          <w:sz w:val="24"/>
          <w:szCs w:val="24"/>
        </w:rPr>
        <w:t xml:space="preserve">an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extremely rare</w:t>
      </w:r>
      <w:r w:rsidR="0043185A" w:rsidRPr="00BD66E9">
        <w:rPr>
          <w:rFonts w:ascii="Book Antiqua" w:hAnsi="Book Antiqua"/>
          <w:color w:val="000000" w:themeColor="text1"/>
          <w:sz w:val="24"/>
          <w:szCs w:val="24"/>
        </w:rPr>
        <w:t xml:space="preserve"> event</w:t>
      </w:r>
      <w:r w:rsidR="00640C83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3185A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etiology and origins </w:t>
      </w:r>
      <w:r w:rsidR="0043185A" w:rsidRPr="00BD66E9">
        <w:rPr>
          <w:rFonts w:ascii="Book Antiqua" w:hAnsi="Book Antiqua"/>
          <w:color w:val="000000" w:themeColor="text1"/>
          <w:sz w:val="24"/>
          <w:szCs w:val="24"/>
        </w:rPr>
        <w:t xml:space="preserve">of this neoplasm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have not yet been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determined. </w:t>
      </w:r>
      <w:bookmarkStart w:id="9" w:name="OLE_LINK1394"/>
      <w:bookmarkStart w:id="10" w:name="OLE_LINK1395"/>
      <w:bookmarkEnd w:id="8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Epithelial-mesenchymal transition</w:t>
      </w:r>
      <w:bookmarkEnd w:id="9"/>
      <w:bookmarkEnd w:id="10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(EMT) has been associated with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invasion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and metastasis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, an</w:t>
      </w:r>
      <w:r w:rsidR="0043185A" w:rsidRPr="00BD66E9">
        <w:rPr>
          <w:rFonts w:ascii="Book Antiqua" w:hAnsi="Book Antiqua"/>
          <w:color w:val="000000" w:themeColor="text1"/>
          <w:sz w:val="24"/>
          <w:szCs w:val="24"/>
        </w:rPr>
        <w:t xml:space="preserve">d </w:t>
      </w:r>
      <w:r w:rsidR="00640C83" w:rsidRPr="00BD66E9">
        <w:rPr>
          <w:rFonts w:ascii="Book Antiqua" w:hAnsi="Book Antiqua"/>
          <w:color w:val="000000" w:themeColor="text1"/>
          <w:sz w:val="24"/>
          <w:szCs w:val="24"/>
        </w:rPr>
        <w:t xml:space="preserve">may be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related to the generation of 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a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stem cell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populatio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>n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>within th</w:t>
      </w:r>
      <w:r w:rsidR="0043185A" w:rsidRPr="00BD66E9">
        <w:rPr>
          <w:rFonts w:ascii="Book Antiqua" w:hAnsi="Book Antiqua"/>
          <w:color w:val="000000" w:themeColor="text1"/>
          <w:sz w:val="24"/>
          <w:szCs w:val="24"/>
        </w:rPr>
        <w:t>is tumor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.</w:t>
      </w:r>
    </w:p>
    <w:p w14:paraId="6EAA19C3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0EAB3279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CASE SUMMARY</w:t>
      </w:r>
    </w:p>
    <w:p w14:paraId="58BBFD55" w14:textId="610F0A01" w:rsidR="00E72277" w:rsidRPr="00BD66E9" w:rsidRDefault="00902ACC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We present the case of a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61-year-old male with nausea and fever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. U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pper gastrointestinal endoscopy revealed </w:t>
      </w:r>
      <w:r w:rsidR="00506D15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presence of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type 1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488F" w:rsidRPr="00BD66E9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0-IIc lesion</w:t>
      </w:r>
      <w:r w:rsidR="0017488F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located 35 cm 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>from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the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incisors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to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ward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the esophag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>o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-gastric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junction. Thoracoscopic esophagectomy was performed. Macroscopic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analysis revealed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three polypoid lesions in the abdominal esophagus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that accompanied 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>the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main lesion in the lower thoracic esophagus</w:t>
      </w:r>
      <w:r w:rsidR="00042B14" w:rsidRPr="00BD66E9">
        <w:rPr>
          <w:rFonts w:ascii="Book Antiqua" w:hAnsi="Book Antiqua"/>
          <w:color w:val="000000" w:themeColor="text1"/>
          <w:sz w:val="24"/>
          <w:szCs w:val="24"/>
        </w:rPr>
        <w:t xml:space="preserve"> and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0-IIc lesion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042B14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506D15" w:rsidRPr="00BD66E9">
        <w:rPr>
          <w:rFonts w:ascii="Book Antiqua" w:hAnsi="Book Antiqua"/>
          <w:color w:val="000000" w:themeColor="text1"/>
          <w:sz w:val="24"/>
          <w:szCs w:val="24"/>
        </w:rPr>
        <w:t xml:space="preserve">that </w:t>
      </w:r>
      <w:r w:rsidR="00042B14" w:rsidRPr="00BD66E9">
        <w:rPr>
          <w:rFonts w:ascii="Book Antiqua" w:hAnsi="Book Antiqua"/>
          <w:color w:val="000000" w:themeColor="text1"/>
          <w:sz w:val="24"/>
          <w:szCs w:val="24"/>
        </w:rPr>
        <w:t>spread continuously with them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Histologically,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lesions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included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proliferati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>ng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spindle cells. </w:t>
      </w:r>
      <w:r w:rsidR="00E2651D" w:rsidRPr="00BD66E9">
        <w:rPr>
          <w:rFonts w:ascii="Book Antiqua" w:hAnsi="Book Antiqua"/>
          <w:color w:val="000000" w:themeColor="text1"/>
          <w:sz w:val="24"/>
          <w:szCs w:val="24"/>
        </w:rPr>
        <w:t>A</w:t>
      </w:r>
      <w:r w:rsidR="0017488F" w:rsidRPr="00BD66E9">
        <w:rPr>
          <w:rFonts w:ascii="Book Antiqua" w:hAnsi="Book Antiqua"/>
          <w:color w:val="000000" w:themeColor="text1"/>
          <w:sz w:val="24"/>
          <w:szCs w:val="24"/>
        </w:rPr>
        <w:t xml:space="preserve">deno-carcinomatous components </w:t>
      </w:r>
      <w:r w:rsidR="00E2651D" w:rsidRPr="00BD66E9">
        <w:rPr>
          <w:rFonts w:ascii="Book Antiqua" w:hAnsi="Book Antiqua"/>
          <w:color w:val="000000" w:themeColor="text1"/>
          <w:sz w:val="24"/>
          <w:szCs w:val="24"/>
        </w:rPr>
        <w:t>were detected in a section nea</w:t>
      </w:r>
      <w:r w:rsidR="00042B14" w:rsidRPr="00BD66E9">
        <w:rPr>
          <w:rFonts w:ascii="Book Antiqua" w:hAnsi="Book Antiqua"/>
          <w:color w:val="000000" w:themeColor="text1"/>
          <w:sz w:val="24"/>
          <w:szCs w:val="24"/>
        </w:rPr>
        <w:t>r</w:t>
      </w:r>
      <w:r w:rsidR="00E2651D" w:rsidRPr="00BD66E9">
        <w:rPr>
          <w:rFonts w:ascii="Book Antiqua" w:hAnsi="Book Antiqua"/>
          <w:color w:val="000000" w:themeColor="text1"/>
          <w:sz w:val="24"/>
          <w:szCs w:val="24"/>
        </w:rPr>
        <w:t xml:space="preserve"> the foot</w:t>
      </w:r>
      <w:r w:rsidR="00506D15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="00E2651D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488F" w:rsidRPr="00BD66E9">
        <w:rPr>
          <w:rFonts w:ascii="Book Antiqua" w:hAnsi="Book Antiqua"/>
          <w:color w:val="000000" w:themeColor="text1"/>
          <w:sz w:val="24"/>
          <w:szCs w:val="24"/>
        </w:rPr>
        <w:t>and s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quamous cell carcinoma w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as identified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in the mucosa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at the base of the tumor. 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>The patient was d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iagnosed 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 xml:space="preserve">with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multiple carcinosarcoma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 xml:space="preserve">staged at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pT1b (SM3), pN1 (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>#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110, 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>#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7), cM0, Stage II (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>sarcomatous metastasis to the lymph nodes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). Spindle cells 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 xml:space="preserve">did not express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E-cadherin 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 xml:space="preserve">but were </w:t>
      </w:r>
      <w:bookmarkStart w:id="11" w:name="_Hlk33185999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positive for 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EMT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markers, 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including </w:t>
      </w:r>
      <w:r w:rsidR="00DE4B03" w:rsidRPr="00BD66E9">
        <w:rPr>
          <w:rStyle w:val="st"/>
          <w:rFonts w:ascii="Book Antiqua" w:hAnsi="Book Antiqua"/>
          <w:color w:val="000000" w:themeColor="text1"/>
          <w:sz w:val="24"/>
          <w:szCs w:val="24"/>
        </w:rPr>
        <w:t>zinc</w:t>
      </w:r>
      <w:r w:rsidR="00A21C49" w:rsidRPr="00BD66E9">
        <w:rPr>
          <w:rStyle w:val="st"/>
          <w:rFonts w:ascii="Book Antiqua" w:hAnsi="Book Antiqua"/>
          <w:color w:val="000000" w:themeColor="text1"/>
          <w:sz w:val="24"/>
          <w:szCs w:val="24"/>
        </w:rPr>
        <w:t xml:space="preserve"> finger E-box-binding homeobox 1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, TWIST, and </w:t>
      </w:r>
      <w:r w:rsidR="00DE4B03" w:rsidRPr="00BD66E9">
        <w:rPr>
          <w:rStyle w:val="st"/>
          <w:rFonts w:ascii="Book Antiqua" w:hAnsi="Book Antiqua"/>
          <w:color w:val="000000" w:themeColor="text1"/>
          <w:sz w:val="24"/>
          <w:szCs w:val="24"/>
        </w:rPr>
        <w:t>snail family transcriptional repressor</w:t>
      </w:r>
      <w:r w:rsidR="00A21C49" w:rsidRPr="00BD66E9">
        <w:rPr>
          <w:rStyle w:val="st"/>
          <w:rFonts w:ascii="Book Antiqua" w:hAnsi="Book Antiqua"/>
          <w:color w:val="000000" w:themeColor="text1"/>
          <w:sz w:val="24"/>
          <w:szCs w:val="24"/>
        </w:rPr>
        <w:t xml:space="preserve"> 2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.</w:t>
      </w:r>
      <w:bookmarkEnd w:id="11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patient 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has 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>experience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>d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 xml:space="preserve"> no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recurrence </w:t>
      </w:r>
      <w:r w:rsidR="00F752AC" w:rsidRPr="00BD66E9">
        <w:rPr>
          <w:rFonts w:ascii="Book Antiqua" w:hAnsi="Book Antiqua"/>
          <w:color w:val="000000" w:themeColor="text1"/>
          <w:sz w:val="24"/>
          <w:szCs w:val="24"/>
        </w:rPr>
        <w:t xml:space="preserve">at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5 years and 2 </w:t>
      </w:r>
      <w:proofErr w:type="spellStart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mo</w:t>
      </w:r>
      <w:proofErr w:type="spellEnd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after surgery.</w:t>
      </w:r>
    </w:p>
    <w:p w14:paraId="3EF29A9E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C227916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CONCLUSION</w:t>
      </w:r>
    </w:p>
    <w:p w14:paraId="518C2B17" w14:textId="2072DB66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This report suggest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that multiple sarcoma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tumors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may 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be generated from primary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squamous cell carcinoma </w:t>
      </w:r>
      <w:r w:rsidR="00456E8A" w:rsidRPr="00F42D35">
        <w:rPr>
          <w:rFonts w:ascii="Book Antiqua" w:hAnsi="Book Antiqua"/>
          <w:i/>
          <w:iCs/>
          <w:color w:val="000000" w:themeColor="text1"/>
          <w:sz w:val="24"/>
          <w:szCs w:val="24"/>
        </w:rPr>
        <w:t>via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mechanism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s related to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EMT.</w:t>
      </w:r>
    </w:p>
    <w:p w14:paraId="095DF2FE" w14:textId="2064CE05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43FA162" w14:textId="319EC770" w:rsidR="00E72277" w:rsidRPr="00BD66E9" w:rsidRDefault="00DE4B03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bookmarkStart w:id="12" w:name="OLE_LINK173"/>
      <w:bookmarkStart w:id="13" w:name="OLE_LINK174"/>
      <w:r w:rsidRPr="00BD66E9">
        <w:rPr>
          <w:rFonts w:ascii="Book Antiqua" w:hAnsi="Book Antiqua" w:cstheme="minorHAnsi"/>
          <w:b/>
          <w:color w:val="000000" w:themeColor="text1"/>
          <w:sz w:val="24"/>
          <w:szCs w:val="24"/>
        </w:rPr>
        <w:lastRenderedPageBreak/>
        <w:t>Key</w:t>
      </w:r>
      <w:r w:rsidRPr="00BD66E9">
        <w:rPr>
          <w:rFonts w:ascii="Book Antiqua" w:hAnsi="Book Antiqua" w:cstheme="minorHAnsi"/>
          <w:b/>
          <w:color w:val="000000" w:themeColor="text1"/>
          <w:sz w:val="24"/>
          <w:szCs w:val="24"/>
          <w:lang w:eastAsia="zh-CN"/>
        </w:rPr>
        <w:t xml:space="preserve"> </w:t>
      </w:r>
      <w:r w:rsidRPr="00BD66E9">
        <w:rPr>
          <w:rFonts w:ascii="Book Antiqua" w:hAnsi="Book Antiqua" w:cstheme="minorHAnsi"/>
          <w:b/>
          <w:color w:val="000000" w:themeColor="text1"/>
          <w:sz w:val="24"/>
          <w:szCs w:val="24"/>
        </w:rPr>
        <w:t>words:</w:t>
      </w:r>
      <w:bookmarkEnd w:id="12"/>
      <w:bookmarkEnd w:id="13"/>
      <w:r w:rsidRPr="00BD66E9">
        <w:rPr>
          <w:rFonts w:ascii="Book Antiqua" w:hAnsi="Book Antiqua" w:hint="eastAsia"/>
          <w:color w:val="000000" w:themeColor="text1"/>
          <w:sz w:val="24"/>
          <w:szCs w:val="24"/>
        </w:rPr>
        <w:t xml:space="preserve">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Esophagus</w:t>
      </w:r>
      <w:r w:rsidR="00836C40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Multiple carcinosarcoma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836C40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Multiple spindle cell carcinoma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836C40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Epithelial-mesenchymal transition</w:t>
      </w:r>
      <w:r w:rsidR="00836C40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Epithelial-mesenchymal transition</w:t>
      </w:r>
      <w:r w:rsidR="006D37B0" w:rsidRPr="00BD66E9">
        <w:rPr>
          <w:rFonts w:ascii="Book Antiqua" w:hAnsi="Book Antiqua"/>
          <w:color w:val="000000" w:themeColor="text1"/>
          <w:sz w:val="24"/>
          <w:szCs w:val="24"/>
        </w:rPr>
        <w:t xml:space="preserve"> marker</w:t>
      </w:r>
      <w:r w:rsidR="005D6D9B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="006D37B0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836C40" w:rsidRPr="00BD66E9">
        <w:rPr>
          <w:rFonts w:ascii="Book Antiqua" w:hAnsi="Book Antiqua"/>
          <w:color w:val="000000" w:themeColor="text1"/>
          <w:sz w:val="24"/>
          <w:szCs w:val="24"/>
        </w:rPr>
        <w:t>C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ase report</w:t>
      </w:r>
    </w:p>
    <w:p w14:paraId="15EF77A7" w14:textId="77777777" w:rsidR="003E221F" w:rsidRPr="00BD66E9" w:rsidRDefault="003E221F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</w:p>
    <w:p w14:paraId="1ECDF79E" w14:textId="22E46392" w:rsidR="003E221F" w:rsidRPr="00BD66E9" w:rsidRDefault="003E221F" w:rsidP="00171C00">
      <w:pPr>
        <w:snapToGrid w:val="0"/>
        <w:spacing w:line="360" w:lineRule="auto"/>
        <w:rPr>
          <w:rFonts w:ascii="Book Antiqua" w:hAnsi="Book Antiqua"/>
          <w:bCs/>
          <w:iCs/>
          <w:color w:val="000000" w:themeColor="text1"/>
          <w:sz w:val="24"/>
          <w:szCs w:val="24"/>
          <w:lang w:eastAsia="zh-CN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Okamoto H</w:t>
      </w:r>
      <w:r w:rsidRPr="00BD66E9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,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Kikuchi H, 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Naganuma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H, Kamei T</w:t>
      </w:r>
      <w:r w:rsidRPr="00BD66E9">
        <w:rPr>
          <w:rFonts w:ascii="Book Antiqua" w:hAnsi="Book Antiqua"/>
          <w:color w:val="000000" w:themeColor="text1"/>
          <w:sz w:val="24"/>
          <w:szCs w:val="24"/>
          <w:lang w:eastAsia="zh-CN"/>
        </w:rPr>
        <w:t>.</w:t>
      </w: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 Multiple carcinosarcomas of the esophagus with adeno-carcinomatous components: A case report. </w:t>
      </w:r>
      <w:r w:rsidRPr="00BD66E9">
        <w:rPr>
          <w:rFonts w:ascii="Book Antiqua" w:hAnsi="Book Antiqua"/>
          <w:i/>
          <w:color w:val="000000" w:themeColor="text1"/>
          <w:sz w:val="24"/>
          <w:szCs w:val="24"/>
        </w:rPr>
        <w:t xml:space="preserve">World J Gastroenterol </w:t>
      </w:r>
      <w:r w:rsidRPr="00BD66E9">
        <w:rPr>
          <w:rFonts w:ascii="Book Antiqua" w:hAnsi="Book Antiqua"/>
          <w:iCs/>
          <w:color w:val="000000" w:themeColor="text1"/>
          <w:sz w:val="24"/>
          <w:szCs w:val="24"/>
        </w:rPr>
        <w:t>2020; I</w:t>
      </w:r>
      <w:r w:rsidRPr="00BD66E9">
        <w:rPr>
          <w:rFonts w:ascii="Book Antiqua" w:hAnsi="Book Antiqua" w:hint="eastAsia"/>
          <w:iCs/>
          <w:color w:val="000000" w:themeColor="text1"/>
          <w:sz w:val="24"/>
          <w:szCs w:val="24"/>
          <w:lang w:eastAsia="zh-CN"/>
        </w:rPr>
        <w:t>n</w:t>
      </w:r>
      <w:r w:rsidRPr="00BD66E9">
        <w:rPr>
          <w:rFonts w:ascii="Book Antiqua" w:hAnsi="Book Antiqua"/>
          <w:iCs/>
          <w:color w:val="000000" w:themeColor="text1"/>
          <w:sz w:val="24"/>
          <w:szCs w:val="24"/>
          <w:lang w:eastAsia="zh-CN"/>
        </w:rPr>
        <w:t xml:space="preserve"> press</w:t>
      </w:r>
    </w:p>
    <w:p w14:paraId="3C2F1E12" w14:textId="77777777" w:rsidR="00836C40" w:rsidRPr="00BD66E9" w:rsidRDefault="00836C40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03CCEC3" w14:textId="7AB49A3B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lang w:eastAsia="zh-CN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Core tip:</w:t>
      </w:r>
      <w:r w:rsidR="003E221F" w:rsidRPr="00BD66E9">
        <w:rPr>
          <w:rFonts w:ascii="Book Antiqua" w:hAnsi="Book Antiqua" w:hint="eastAsia"/>
          <w:b/>
          <w:color w:val="000000" w:themeColor="text1"/>
          <w:sz w:val="24"/>
          <w:szCs w:val="24"/>
        </w:rPr>
        <w:t xml:space="preserve"> </w:t>
      </w:r>
      <w:bookmarkStart w:id="14" w:name="OLE_LINK1439"/>
      <w:bookmarkStart w:id="15" w:name="OLE_LINK1440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Epithelial-mesenchymal transition (EMT) has been associated with cancer invasion and metastasis 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as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epithelial cells 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acquire the ability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to migrate and invade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>; these observation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 have been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related to 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generation of 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a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stem cell population 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>within the neoplasm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We report 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here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a resected case of multiple carcinosarcoma</w:t>
      </w:r>
      <w:r w:rsidR="00640C83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with adeno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>-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carcinoma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component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s 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that may have developed 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secondary to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EMT. </w:t>
      </w:r>
      <w:r w:rsidR="00FD79E3" w:rsidRPr="00BD66E9">
        <w:rPr>
          <w:rFonts w:ascii="Book Antiqua" w:hAnsi="Book Antiqua"/>
          <w:color w:val="000000" w:themeColor="text1"/>
          <w:sz w:val="24"/>
          <w:szCs w:val="24"/>
        </w:rPr>
        <w:t>Detailed 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lucidation of the relationship between </w:t>
      </w:r>
      <w:r w:rsidR="00A21C49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pathogenesis of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carcinosarcoma and EMT </w:t>
      </w:r>
      <w:r w:rsidR="00FD79E3" w:rsidRPr="00BD66E9">
        <w:rPr>
          <w:rFonts w:ascii="Book Antiqua" w:hAnsi="Book Antiqua"/>
          <w:color w:val="000000" w:themeColor="text1"/>
          <w:sz w:val="24"/>
          <w:szCs w:val="24"/>
        </w:rPr>
        <w:t xml:space="preserve">are among 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future challenge</w:t>
      </w:r>
      <w:r w:rsidR="00FD79E3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456E8A" w:rsidRPr="00BD66E9">
        <w:rPr>
          <w:rFonts w:ascii="Book Antiqua" w:hAnsi="Book Antiqua"/>
          <w:color w:val="000000" w:themeColor="text1"/>
          <w:sz w:val="24"/>
          <w:szCs w:val="24"/>
        </w:rPr>
        <w:t xml:space="preserve"> in this field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.</w:t>
      </w:r>
    </w:p>
    <w:bookmarkEnd w:id="14"/>
    <w:bookmarkEnd w:id="15"/>
    <w:p w14:paraId="67D50274" w14:textId="1B7F0B1C" w:rsidR="00836C40" w:rsidRPr="00BD66E9" w:rsidRDefault="00836C40" w:rsidP="00171C00">
      <w:pPr>
        <w:widowControl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71CC0078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lastRenderedPageBreak/>
        <w:t>INTRODUCTION</w:t>
      </w:r>
    </w:p>
    <w:p w14:paraId="3A3ADDC0" w14:textId="0661F8BD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Esophageal carcinosarcoma (spindle cell carcinoma)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represents only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0.2</w:t>
      </w:r>
      <w:r w:rsidR="00BD66E9" w:rsidRPr="00BD66E9">
        <w:rPr>
          <w:rFonts w:ascii="Book Antiqua" w:hAnsi="Book Antiqua"/>
          <w:color w:val="000000" w:themeColor="text1"/>
          <w:sz w:val="24"/>
          <w:szCs w:val="24"/>
        </w:rPr>
        <w:t>%-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2.3% of all esophageal malignant </w:t>
      </w:r>
      <w:proofErr w:type="gramStart"/>
      <w:r w:rsidRPr="00BD66E9">
        <w:rPr>
          <w:rFonts w:ascii="Book Antiqua" w:hAnsi="Book Antiqua"/>
          <w:color w:val="000000" w:themeColor="text1"/>
          <w:sz w:val="24"/>
          <w:szCs w:val="24"/>
        </w:rPr>
        <w:t>tumors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1,2]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; detection of m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ultiple esophageal carcinosarcoma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in a single patient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is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an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extremely rare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 event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Although the origins and details of this process are not fully clear,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the sarcoma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component of esophageal carcinosarcoma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may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result from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conversion of the epithelial components to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mesenchymal or spindle cell metaplasia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BD66E9" w:rsidRPr="00BD66E9">
        <w:rPr>
          <w:rFonts w:ascii="Book Antiqua" w:hAnsi="Book Antiqua"/>
          <w:color w:val="000000" w:themeColor="text1"/>
          <w:sz w:val="24"/>
          <w:szCs w:val="24"/>
        </w:rPr>
        <w:t>[</w:t>
      </w:r>
      <w:r w:rsidR="000B0DAC" w:rsidRPr="00BD66E9">
        <w:rPr>
          <w:rFonts w:ascii="Book Antiqua" w:hAnsi="Book Antiqua"/>
          <w:i/>
          <w:iCs/>
          <w:color w:val="000000" w:themeColor="text1"/>
          <w:sz w:val="24"/>
          <w:szCs w:val="24"/>
        </w:rPr>
        <w:t>i.e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.,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bookmarkStart w:id="16" w:name="OLE_LINK1396"/>
      <w:bookmarkStart w:id="17" w:name="OLE_LINK1397"/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epithelial-mesenchymal transition</w:t>
      </w:r>
      <w:bookmarkEnd w:id="16"/>
      <w:bookmarkEnd w:id="17"/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BD66E9" w:rsidRPr="00BD66E9">
        <w:rPr>
          <w:rFonts w:ascii="Book Antiqua" w:hAnsi="Book Antiqua"/>
          <w:color w:val="000000" w:themeColor="text1"/>
          <w:sz w:val="24"/>
          <w:szCs w:val="24"/>
          <w:lang w:eastAsia="zh-CN"/>
        </w:rPr>
        <w:t>(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EMT</w:t>
      </w:r>
      <w:proofErr w:type="gramStart"/>
      <w:r w:rsidR="00BD66E9" w:rsidRPr="00BD66E9">
        <w:rPr>
          <w:rFonts w:ascii="Book Antiqua" w:hAnsi="Book Antiqua"/>
          <w:color w:val="000000" w:themeColor="text1"/>
          <w:sz w:val="24"/>
          <w:szCs w:val="24"/>
        </w:rPr>
        <w:t>)]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3,4]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.</w:t>
      </w:r>
    </w:p>
    <w:p w14:paraId="7F59E6CA" w14:textId="3D53E7D0" w:rsidR="00E72277" w:rsidRPr="00BD66E9" w:rsidRDefault="00E72277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E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MT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and mesenchymal–epithelial transition (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reverse process of EMT) play important role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in embryonic development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 and are critical for processes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including gastrulation and neural crest formation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; secondary EMT promotes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differentiation of 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somites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>, palate, pancreas, liver, and reproductive tracts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, and tertiary EMT is critical for development of the </w:t>
      </w:r>
      <w:proofErr w:type="gramStart"/>
      <w:r w:rsidRPr="00BD66E9">
        <w:rPr>
          <w:rFonts w:ascii="Book Antiqua" w:hAnsi="Book Antiqua"/>
          <w:color w:val="000000" w:themeColor="text1"/>
          <w:sz w:val="24"/>
          <w:szCs w:val="24"/>
        </w:rPr>
        <w:t>heart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5,6]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. In these processes, epithelial cells lose their polarity and junction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and acquire motility and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capacity to dissolve the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extra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cellular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matrix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. This is associated with diminished expression of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E-cadhe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r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in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and increased expression of 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mesenchymal marker, vimentin. Th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ese events have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been associated with the cancer invasion and metastasis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as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epithelial cells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acquire the ability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to migrate and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to </w:t>
      </w:r>
      <w:proofErr w:type="gramStart"/>
      <w:r w:rsidRPr="00BD66E9">
        <w:rPr>
          <w:rFonts w:ascii="Book Antiqua" w:hAnsi="Book Antiqua"/>
          <w:color w:val="000000" w:themeColor="text1"/>
          <w:sz w:val="24"/>
          <w:szCs w:val="24"/>
        </w:rPr>
        <w:t>invade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7]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Furthermore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several groups have reported that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EMT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may relate to the generation of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stem cell population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 within the </w:t>
      </w:r>
      <w:proofErr w:type="gramStart"/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tumor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7,8]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EMT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>has been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associated with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development of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undifferentiated </w:t>
      </w:r>
      <w:r w:rsidR="000B0DAC" w:rsidRPr="00BD66E9">
        <w:rPr>
          <w:rFonts w:ascii="Book Antiqua" w:hAnsi="Book Antiqua"/>
          <w:color w:val="000000" w:themeColor="text1"/>
          <w:sz w:val="24"/>
          <w:szCs w:val="24"/>
        </w:rPr>
        <w:t xml:space="preserve">cells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with sarcomatous </w:t>
      </w:r>
      <w:proofErr w:type="gramStart"/>
      <w:r w:rsidRPr="00BD66E9">
        <w:rPr>
          <w:rFonts w:ascii="Book Antiqua" w:hAnsi="Book Antiqua"/>
          <w:color w:val="000000" w:themeColor="text1"/>
          <w:sz w:val="24"/>
          <w:szCs w:val="24"/>
        </w:rPr>
        <w:t>morphology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9]</w:t>
      </w:r>
      <w:r w:rsidR="007C77B0" w:rsidRPr="00BD66E9">
        <w:rPr>
          <w:rFonts w:ascii="Book Antiqua" w:hAnsi="Book Antiqua"/>
          <w:color w:val="000000" w:themeColor="text1"/>
          <w:sz w:val="24"/>
          <w:szCs w:val="24"/>
        </w:rPr>
        <w:t>; in a previous study of esophageal cancer, the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sarcoma</w:t>
      </w:r>
      <w:r w:rsidR="007C77B0" w:rsidRPr="00BD66E9">
        <w:rPr>
          <w:rFonts w:ascii="Book Antiqua" w:hAnsi="Book Antiqua"/>
          <w:color w:val="000000" w:themeColor="text1"/>
          <w:sz w:val="24"/>
          <w:szCs w:val="24"/>
        </w:rPr>
        <w:t xml:space="preserve">tous elements were reported to express specific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EMT marker</w:t>
      </w:r>
      <w:r w:rsidR="007C77B0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[10]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We report </w:t>
      </w:r>
      <w:r w:rsidR="007C77B0" w:rsidRPr="00BD66E9">
        <w:rPr>
          <w:rFonts w:ascii="Book Antiqua" w:hAnsi="Book Antiqua"/>
          <w:color w:val="000000" w:themeColor="text1"/>
          <w:sz w:val="24"/>
          <w:szCs w:val="24"/>
        </w:rPr>
        <w:t xml:space="preserve">here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a case of </w:t>
      </w:r>
      <w:r w:rsidR="007C77B0" w:rsidRPr="00BD66E9">
        <w:rPr>
          <w:rFonts w:ascii="Book Antiqua" w:hAnsi="Book Antiqua"/>
          <w:color w:val="000000" w:themeColor="text1"/>
          <w:sz w:val="24"/>
          <w:szCs w:val="24"/>
        </w:rPr>
        <w:t xml:space="preserve">resected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multiple carcinosarcoma</w:t>
      </w:r>
      <w:r w:rsidR="007C77B0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with adeno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-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carcinoma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component</w:t>
      </w:r>
      <w:r w:rsidR="007C77B0" w:rsidRPr="00BD66E9">
        <w:rPr>
          <w:rFonts w:ascii="Book Antiqua" w:hAnsi="Book Antiqua"/>
          <w:color w:val="000000" w:themeColor="text1"/>
          <w:sz w:val="24"/>
          <w:szCs w:val="24"/>
        </w:rPr>
        <w:t xml:space="preserve">s with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development</w:t>
      </w:r>
      <w:r w:rsidR="007C77B0" w:rsidRPr="00BD66E9">
        <w:rPr>
          <w:rFonts w:ascii="Book Antiqua" w:hAnsi="Book Antiqua"/>
          <w:color w:val="000000" w:themeColor="text1"/>
          <w:sz w:val="24"/>
          <w:szCs w:val="24"/>
        </w:rPr>
        <w:t xml:space="preserve">al features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associated with EMT.</w:t>
      </w:r>
    </w:p>
    <w:p w14:paraId="36F7BDA2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5932B935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CASE PRESENTATION</w:t>
      </w:r>
    </w:p>
    <w:p w14:paraId="09F7F96E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i/>
          <w:color w:val="000000" w:themeColor="text1"/>
          <w:sz w:val="24"/>
          <w:szCs w:val="24"/>
        </w:rPr>
        <w:t>Chief complaints</w:t>
      </w:r>
    </w:p>
    <w:p w14:paraId="092895E7" w14:textId="70F0C073" w:rsidR="00E72277" w:rsidRPr="00BD66E9" w:rsidRDefault="008542EA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The patient presented with n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ausea and a fever of over 38 </w:t>
      </w:r>
      <w:r w:rsidR="00435EEF" w:rsidRPr="00BD66E9">
        <w:rPr>
          <w:rFonts w:ascii="Book Antiqua" w:hAnsi="Book Antiqua"/>
          <w:color w:val="000000" w:themeColor="text1"/>
          <w:sz w:val="24"/>
          <w:szCs w:val="24"/>
        </w:rPr>
        <w:t>°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C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with weight loss of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lastRenderedPageBreak/>
        <w:t xml:space="preserve">10 kg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during the previous 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3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mo.</w:t>
      </w:r>
    </w:p>
    <w:p w14:paraId="750B8772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56581A06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i/>
          <w:color w:val="000000" w:themeColor="text1"/>
          <w:sz w:val="24"/>
          <w:szCs w:val="24"/>
        </w:rPr>
        <w:t>History of present illness</w:t>
      </w:r>
    </w:p>
    <w:p w14:paraId="0CEB2A88" w14:textId="4B849D6C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A 61-year-old male visited nearby clinic with complaint of heartburn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which was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treated as esophageal reflux. Three months later, he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returned with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nausea and a fever of over 38 </w:t>
      </w:r>
      <w:r w:rsidR="00435EEF" w:rsidRPr="00BD66E9">
        <w:rPr>
          <w:rFonts w:ascii="Book Antiqua" w:hAnsi="Book Antiqua"/>
          <w:color w:val="000000" w:themeColor="text1"/>
          <w:sz w:val="24"/>
          <w:szCs w:val="24"/>
        </w:rPr>
        <w:t>°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C and reported a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weight loss of 10 kg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.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Laboratory values at this time were notable for a high w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hite blood cell count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(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18800/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μ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proofErr w:type="spellEnd"/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)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and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elevated serum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C-reactive protein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at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15.9 mg/d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. He was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referred to the Department of Gastroenterology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at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our hospital.</w:t>
      </w:r>
    </w:p>
    <w:p w14:paraId="34CB486C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5A626BB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i/>
          <w:color w:val="000000" w:themeColor="text1"/>
          <w:sz w:val="24"/>
          <w:szCs w:val="24"/>
        </w:rPr>
        <w:t>History of past illness</w:t>
      </w:r>
    </w:p>
    <w:p w14:paraId="0228C96D" w14:textId="4BB316F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His past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medical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history included glaucoma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depression, and smoking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. He reported smoking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1.5 packs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of cigarettes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per day for 36 years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until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he was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55 years old. He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reported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daily use of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alcohol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.</w:t>
      </w:r>
    </w:p>
    <w:p w14:paraId="71C406E1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0848CCFF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i/>
          <w:color w:val="000000" w:themeColor="text1"/>
          <w:sz w:val="24"/>
          <w:szCs w:val="24"/>
        </w:rPr>
        <w:t>Physical examination</w:t>
      </w:r>
    </w:p>
    <w:p w14:paraId="6BED025D" w14:textId="531C2420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The patient was 171.8 cm tall and weighed 58 kg. Blood pressure was 104/66 mmHg and heart rate </w:t>
      </w:r>
      <w:proofErr w:type="gramStart"/>
      <w:r w:rsidRPr="00BD66E9">
        <w:rPr>
          <w:rFonts w:ascii="Book Antiqua" w:hAnsi="Book Antiqua"/>
          <w:color w:val="000000" w:themeColor="text1"/>
          <w:sz w:val="24"/>
          <w:szCs w:val="24"/>
        </w:rPr>
        <w:t>was</w:t>
      </w:r>
      <w:proofErr w:type="gramEnd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120</w:t>
      </w:r>
      <w:r w:rsidR="00836C40" w:rsidRPr="00BD66E9">
        <w:rPr>
          <w:rFonts w:ascii="Book Antiqua" w:hAnsi="Book Antiqua"/>
          <w:color w:val="000000" w:themeColor="text1"/>
          <w:sz w:val="24"/>
          <w:szCs w:val="24"/>
        </w:rPr>
        <w:t>/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min. He had a mild fever of over 37.3 </w:t>
      </w:r>
      <w:r w:rsidR="00435EEF" w:rsidRPr="00BD66E9">
        <w:rPr>
          <w:rFonts w:ascii="Book Antiqua" w:hAnsi="Book Antiqua"/>
          <w:color w:val="000000" w:themeColor="text1"/>
          <w:sz w:val="24"/>
          <w:szCs w:val="24"/>
        </w:rPr>
        <w:t>°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C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All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other vital signs were stable.</w:t>
      </w:r>
    </w:p>
    <w:p w14:paraId="7E809EAB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2754141D" w14:textId="52905851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i/>
          <w:color w:val="000000" w:themeColor="text1"/>
          <w:sz w:val="24"/>
          <w:szCs w:val="24"/>
        </w:rPr>
        <w:t>Laboratory examination</w:t>
      </w:r>
      <w:r w:rsidR="00BD66E9">
        <w:rPr>
          <w:rFonts w:ascii="Book Antiqua" w:hAnsi="Book Antiqua"/>
          <w:b/>
          <w:i/>
          <w:color w:val="000000" w:themeColor="text1"/>
          <w:sz w:val="24"/>
          <w:szCs w:val="24"/>
        </w:rPr>
        <w:t>s</w:t>
      </w:r>
    </w:p>
    <w:p w14:paraId="5F94581A" w14:textId="372B8EE8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Abnormal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laboratory findings at time of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referral included a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white blood cell count of 18</w:t>
      </w:r>
      <w:r w:rsidR="00390726">
        <w:rPr>
          <w:rFonts w:ascii="Book Antiqua" w:hAnsi="Book Antiqua"/>
          <w:color w:val="000000" w:themeColor="text1"/>
          <w:sz w:val="24"/>
          <w:szCs w:val="24"/>
        </w:rPr>
        <w:t>800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/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μ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with 82% n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eutrophils,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serum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C-reactive protein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at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14.8 mg/d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hemoglobin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at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11.8 g/d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a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platelet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 count of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42.7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/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µ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serum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albumin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at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3.1 g/m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and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serum </w:t>
      </w:r>
      <w:bookmarkStart w:id="18" w:name="OLE_LINK1398"/>
      <w:bookmarkStart w:id="19" w:name="OLE_LINK1399"/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i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nterleukin</w:t>
      </w:r>
      <w:bookmarkEnd w:id="18"/>
      <w:bookmarkEnd w:id="19"/>
      <w:r w:rsidRPr="00BD66E9">
        <w:rPr>
          <w:rFonts w:ascii="Book Antiqua" w:hAnsi="Book Antiqua"/>
          <w:color w:val="000000" w:themeColor="text1"/>
          <w:sz w:val="24"/>
          <w:szCs w:val="24"/>
        </w:rPr>
        <w:t>-6 (</w:t>
      </w:r>
      <w:bookmarkStart w:id="20" w:name="OLE_LINK1400"/>
      <w:bookmarkStart w:id="21" w:name="OLE_LINK1401"/>
      <w:r w:rsidRPr="00BD66E9">
        <w:rPr>
          <w:rFonts w:ascii="Book Antiqua" w:hAnsi="Book Antiqua"/>
          <w:color w:val="000000" w:themeColor="text1"/>
          <w:sz w:val="24"/>
          <w:szCs w:val="24"/>
        </w:rPr>
        <w:t>IL</w:t>
      </w:r>
      <w:bookmarkEnd w:id="20"/>
      <w:bookmarkEnd w:id="21"/>
      <w:r w:rsidRPr="00BD66E9">
        <w:rPr>
          <w:rFonts w:ascii="Book Antiqua" w:hAnsi="Book Antiqua"/>
          <w:color w:val="000000" w:themeColor="text1"/>
          <w:sz w:val="24"/>
          <w:szCs w:val="24"/>
        </w:rPr>
        <w:t>-6)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 at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138 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>/m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(normal range, ≤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4.0 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>/m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). Other laboratory examinations including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serum levels of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squamous cell carcinoma antigen (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SCC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-Ag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)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>carcinoembryonic antigen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and </w:t>
      </w:r>
      <w:r w:rsidR="008542EA" w:rsidRPr="00BD66E9">
        <w:rPr>
          <w:rFonts w:ascii="Book Antiqua" w:hAnsi="Book Antiqua"/>
          <w:color w:val="000000" w:themeColor="text1"/>
          <w:sz w:val="24"/>
          <w:szCs w:val="24"/>
        </w:rPr>
        <w:t xml:space="preserve">carbohydrate antigen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19-9 were within normal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>limits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at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0.5 mg/m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, 0.7 ng/m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Pr="00BD66E9">
        <w:rPr>
          <w:rFonts w:ascii="Book Antiqua" w:hAnsi="Book Antiqua" w:cs="MS Mincho"/>
          <w:color w:val="000000" w:themeColor="text1"/>
          <w:sz w:val="24"/>
          <w:szCs w:val="24"/>
        </w:rPr>
        <w:t>&lt;</w:t>
      </w:r>
      <w:r w:rsidR="00BD66E9">
        <w:rPr>
          <w:rFonts w:ascii="Book Antiqua" w:hAnsi="Book Antiqua" w:cs="MS Mincho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2 ng/m</w:t>
      </w:r>
      <w:r w:rsid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, respectively.</w:t>
      </w:r>
    </w:p>
    <w:p w14:paraId="5904C6CB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C09BC16" w14:textId="77777777" w:rsidR="00BD66E9" w:rsidRPr="006461D3" w:rsidRDefault="00BD66E9" w:rsidP="00171C00">
      <w:pPr>
        <w:snapToGrid w:val="0"/>
        <w:spacing w:line="360" w:lineRule="auto"/>
        <w:rPr>
          <w:rFonts w:ascii="Book Antiqua" w:hAnsi="Book Antiqua" w:cstheme="minorHAnsi"/>
          <w:b/>
          <w:i/>
          <w:sz w:val="24"/>
          <w:szCs w:val="24"/>
          <w:lang w:eastAsia="zh-CN"/>
        </w:rPr>
      </w:pPr>
      <w:r w:rsidRPr="00D7497C">
        <w:rPr>
          <w:rFonts w:ascii="Book Antiqua" w:eastAsia="Calibri" w:hAnsi="Book Antiqua" w:cstheme="minorHAnsi"/>
          <w:b/>
          <w:i/>
          <w:sz w:val="24"/>
          <w:szCs w:val="24"/>
        </w:rPr>
        <w:t>Imaging examination</w:t>
      </w:r>
      <w:r>
        <w:rPr>
          <w:rFonts w:ascii="Book Antiqua" w:hAnsi="Book Antiqua" w:cstheme="minorHAnsi" w:hint="eastAsia"/>
          <w:b/>
          <w:i/>
          <w:sz w:val="24"/>
          <w:szCs w:val="24"/>
          <w:lang w:eastAsia="zh-CN"/>
        </w:rPr>
        <w:t>s</w:t>
      </w:r>
    </w:p>
    <w:p w14:paraId="0D3FF990" w14:textId="102310FA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Upper gastrointestinal series reveal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>ed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stenosis due to the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lesion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protruding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from 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lower esophagus (</w:t>
      </w: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>Figure 1A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). Upper gastrointestinal endoscopy revealed </w:t>
      </w:r>
      <w:r w:rsidR="005D6D9B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presence of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type 1 </w:t>
      </w:r>
      <w:r w:rsidR="0017488F" w:rsidRPr="00BD66E9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0-IIc lesion</w:t>
      </w:r>
      <w:r w:rsidR="0017488F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at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a point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35 cm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from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incisors to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ward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esophago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-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gastric junction (</w:t>
      </w: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>Figure 1B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). At biopsy,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type 1 lesion was diagnosed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as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suspicious for carcinosarcoma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; 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type 0-IIc lesion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 was diagnosed as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SCC. The major axis of the main tumor was 42 mm and maximum standardized uptake value of the lesion was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determined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to be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13.9 by computed tomography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and 18F-2-fluoro-2-deoxy-D-glucose positron-emission tomography (Figure</w:t>
      </w:r>
      <w:r w:rsidR="00C129CE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2A and B).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While 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para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esophageal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lymph node metastasis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 was suspected, there was no evidence suggesting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more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distant metastas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>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s.</w:t>
      </w:r>
    </w:p>
    <w:p w14:paraId="6A55B1FF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i/>
          <w:color w:val="000000" w:themeColor="text1"/>
          <w:sz w:val="24"/>
          <w:szCs w:val="24"/>
        </w:rPr>
      </w:pPr>
    </w:p>
    <w:p w14:paraId="749A75AD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FINAL DIAGNOSIS</w:t>
      </w:r>
    </w:p>
    <w:p w14:paraId="64A15938" w14:textId="5828BAD9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The final preoperative diagnosis was esophageal carcinosarcoma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classified as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T2N1M0,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Stage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IIB according to the seventh edition of the </w:t>
      </w:r>
      <w:bookmarkStart w:id="22" w:name="OLE_LINK1402"/>
      <w:bookmarkStart w:id="23" w:name="OLE_LINK1403"/>
      <w:r w:rsidRPr="00BD66E9">
        <w:rPr>
          <w:rFonts w:ascii="Book Antiqua" w:hAnsi="Book Antiqua"/>
          <w:color w:val="000000" w:themeColor="text1"/>
          <w:sz w:val="24"/>
          <w:szCs w:val="24"/>
        </w:rPr>
        <w:t>Union for International Cancer Control</w:t>
      </w:r>
      <w:bookmarkEnd w:id="22"/>
      <w:bookmarkEnd w:id="23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gramStart"/>
      <w:r w:rsidRPr="00BD66E9">
        <w:rPr>
          <w:rFonts w:ascii="Book Antiqua" w:hAnsi="Book Antiqua"/>
          <w:color w:val="000000" w:themeColor="text1"/>
          <w:sz w:val="24"/>
          <w:szCs w:val="24"/>
        </w:rPr>
        <w:t>system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11]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72E1E" w:rsidRPr="00BD66E9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T2N1M0, Stage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III according to the 11th edition of Japanese classification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for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esophageal cancer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[12,13]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.</w:t>
      </w:r>
    </w:p>
    <w:p w14:paraId="1CE89E6D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23127059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TREATMENT</w:t>
      </w:r>
    </w:p>
    <w:p w14:paraId="156CDB61" w14:textId="7B6A291B" w:rsidR="00E72277" w:rsidRPr="00BD66E9" w:rsidRDefault="00443119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The patient was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referred to our department for surgical treatment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.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T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horacoscopic esophagectomy and gastric tube reconstruction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was performed </w:t>
      </w:r>
      <w:r w:rsidR="00E72277" w:rsidRPr="00F42D35">
        <w:rPr>
          <w:rFonts w:ascii="Book Antiqua" w:hAnsi="Book Antiqua"/>
          <w:i/>
          <w:iCs/>
          <w:color w:val="000000" w:themeColor="text1"/>
          <w:sz w:val="24"/>
          <w:szCs w:val="24"/>
        </w:rPr>
        <w:t>via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posterior mediastinal route.</w:t>
      </w:r>
    </w:p>
    <w:p w14:paraId="0C28D1F0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</w:p>
    <w:p w14:paraId="150A926C" w14:textId="26709AFF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OUTCOME AND FOLLOW</w:t>
      </w:r>
      <w:r w:rsidR="006C7248" w:rsidRPr="00BD66E9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-</w:t>
      </w:r>
      <w:r w:rsidRPr="00BD66E9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UP</w:t>
      </w:r>
    </w:p>
    <w:p w14:paraId="519FEF7B" w14:textId="2C4E0B14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Macroscopic findings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included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three polypoid lesions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located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in the abdominal esophagus in addition to the main lesion in the lower esophagus (Figure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3A).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Iodine staining re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vealed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a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large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un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stained zone spread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ing out from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the base of the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main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tumor (Figure 3B). Histologically, dense proliferation and infiltration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lastRenderedPageBreak/>
        <w:t>of spindle cells mixed with giant cells with large atypical nucle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i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and polynuclear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cells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were observed (Figure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4A)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. Histology consistent with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adenocarcinoma was also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detected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in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section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near the root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of the tumor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(Figure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4B).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CC</w:t>
      </w:r>
      <w:r w:rsidRPr="00BD66E9">
        <w:rPr>
          <w:rFonts w:ascii="Book Antiqua" w:hAnsi="Book Antiqua"/>
          <w:i/>
          <w:color w:val="000000" w:themeColor="text1"/>
          <w:sz w:val="24"/>
          <w:szCs w:val="24"/>
        </w:rPr>
        <w:t xml:space="preserve"> in situ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was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identified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in the mucosa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 at the base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of the tumor (Figure 4C). Immunostaining revealed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following antigen profile: 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cytokeratin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AE1/AE3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partial positive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CAM 5.2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partial positive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v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imentin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positive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α-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smooth muscle actin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negative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 xml:space="preserve"> muscle actin (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HHF35</w:t>
      </w:r>
      <w:r w:rsidR="006C7248" w:rsidRPr="00BD66E9">
        <w:rPr>
          <w:rFonts w:ascii="Book Antiqua" w:hAnsi="Book Antiqua"/>
          <w:color w:val="000000" w:themeColor="text1"/>
          <w:sz w:val="24"/>
          <w:szCs w:val="24"/>
        </w:rPr>
        <w:t>)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weak positive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c-kit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negative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 xml:space="preserve">; </w:t>
      </w:r>
      <w:r w:rsidR="00443119" w:rsidRPr="00BD66E9">
        <w:rPr>
          <w:rFonts w:ascii="Book Antiqua" w:hAnsi="Book Antiqua" w:cs="Arial"/>
          <w:color w:val="000000" w:themeColor="text1"/>
          <w:sz w:val="24"/>
          <w:szCs w:val="24"/>
          <w:shd w:val="clear" w:color="auto" w:fill="FFFFFF"/>
        </w:rPr>
        <w:t>discovered on gastrointestinal stromal tumors protein (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DOG</w:t>
      </w:r>
      <w:r w:rsidR="00443119" w:rsidRPr="00BD66E9">
        <w:rPr>
          <w:rFonts w:ascii="Book Antiqua" w:hAnsi="Book Antiqua"/>
          <w:color w:val="000000" w:themeColor="text1"/>
          <w:sz w:val="24"/>
          <w:szCs w:val="24"/>
        </w:rPr>
        <w:t>)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-1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weak positive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CD34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negative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;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S100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partial weak positive for the spindle cells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 xml:space="preserve">. Taken together,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these findings 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supported the final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diagnosis of multiple carcinosarcoma. Spindle cells 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 xml:space="preserve">did not express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E-cadherin and 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 xml:space="preserve">but were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positive for EMT-related markers, 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including </w:t>
      </w:r>
      <w:bookmarkStart w:id="24" w:name="OLE_LINK1429"/>
      <w:bookmarkStart w:id="25" w:name="OLE_LINK1430"/>
      <w:bookmarkStart w:id="26" w:name="OLE_LINK1431"/>
      <w:r w:rsidR="00BD66E9" w:rsidRPr="00BD66E9">
        <w:rPr>
          <w:rStyle w:val="st"/>
          <w:rFonts w:ascii="Book Antiqua" w:hAnsi="Book Antiqua"/>
          <w:color w:val="000000" w:themeColor="text1"/>
          <w:sz w:val="24"/>
          <w:szCs w:val="24"/>
        </w:rPr>
        <w:t>z</w:t>
      </w:r>
      <w:r w:rsidR="003568D2" w:rsidRPr="00BD66E9">
        <w:rPr>
          <w:rStyle w:val="st"/>
          <w:rFonts w:ascii="Book Antiqua" w:hAnsi="Book Antiqua"/>
          <w:color w:val="000000" w:themeColor="text1"/>
          <w:sz w:val="24"/>
          <w:szCs w:val="24"/>
        </w:rPr>
        <w:t>inc finger E-box-binding homeobox 1</w:t>
      </w:r>
      <w:bookmarkEnd w:id="24"/>
      <w:bookmarkEnd w:id="25"/>
      <w:bookmarkEnd w:id="26"/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 (</w:t>
      </w:r>
      <w:bookmarkStart w:id="27" w:name="OLE_LINK1404"/>
      <w:bookmarkStart w:id="28" w:name="OLE_LINK1405"/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>ZEB</w:t>
      </w:r>
      <w:bookmarkEnd w:id="27"/>
      <w:bookmarkEnd w:id="28"/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-1), TWIST, and </w:t>
      </w:r>
      <w:bookmarkStart w:id="29" w:name="OLE_LINK1406"/>
      <w:bookmarkStart w:id="30" w:name="OLE_LINK1407"/>
      <w:r w:rsidR="00F42D35" w:rsidRPr="00BD66E9">
        <w:rPr>
          <w:rStyle w:val="st"/>
          <w:rFonts w:ascii="Book Antiqua" w:hAnsi="Book Antiqua"/>
          <w:color w:val="000000" w:themeColor="text1"/>
          <w:sz w:val="24"/>
          <w:szCs w:val="24"/>
        </w:rPr>
        <w:t>snail family transcriptional repressor</w:t>
      </w:r>
      <w:r w:rsidR="003568D2" w:rsidRPr="00BD66E9">
        <w:rPr>
          <w:rStyle w:val="st"/>
          <w:rFonts w:ascii="Book Antiqua" w:hAnsi="Book Antiqua"/>
          <w:color w:val="000000" w:themeColor="text1"/>
          <w:sz w:val="24"/>
          <w:szCs w:val="24"/>
        </w:rPr>
        <w:t xml:space="preserve"> 2</w:t>
      </w:r>
      <w:bookmarkEnd w:id="29"/>
      <w:bookmarkEnd w:id="30"/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 (</w:t>
      </w:r>
      <w:r w:rsidR="00F42D35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SNA</w:t>
      </w:r>
      <w:r w:rsidR="00F42D35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IL 2; </w:t>
      </w:r>
      <w:r w:rsidRPr="00F42D35">
        <w:rPr>
          <w:rFonts w:ascii="Book Antiqua" w:hAnsi="Book Antiqua"/>
          <w:color w:val="000000" w:themeColor="text1"/>
          <w:sz w:val="24"/>
          <w:szCs w:val="24"/>
        </w:rPr>
        <w:t>Figure</w:t>
      </w:r>
      <w:r w:rsidR="005F60D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F42D35">
        <w:rPr>
          <w:rFonts w:ascii="Book Antiqua" w:hAnsi="Book Antiqua"/>
          <w:color w:val="000000" w:themeColor="text1"/>
          <w:sz w:val="24"/>
          <w:szCs w:val="24"/>
        </w:rPr>
        <w:t>4D-G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). 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 xml:space="preserve">We also observed relatively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mild intravenous and lymphatic invasion. The final 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 xml:space="preserve">classification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was pT1b (SM3), pN1 (one 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paraesophageal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and one along left gastric artery), cM0, Stage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IIB 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 xml:space="preserve">as per the </w:t>
      </w:r>
      <w:r w:rsidR="00BD66E9" w:rsidRPr="00BD66E9">
        <w:rPr>
          <w:rFonts w:ascii="Book Antiqua" w:hAnsi="Book Antiqua"/>
          <w:color w:val="000000" w:themeColor="text1"/>
          <w:sz w:val="24"/>
          <w:szCs w:val="24"/>
        </w:rPr>
        <w:t>Union for International Cancer Control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 criteria</w:t>
      </w:r>
      <w:r w:rsidR="0074252A" w:rsidRPr="00BD66E9">
        <w:rPr>
          <w:rFonts w:ascii="Book Antiqua" w:hAnsi="Book Antiqua"/>
          <w:color w:val="000000" w:themeColor="text1"/>
          <w:sz w:val="24"/>
          <w:szCs w:val="24"/>
        </w:rPr>
        <w:t>,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590A53" w:rsidRPr="00BD66E9">
        <w:rPr>
          <w:rFonts w:ascii="Book Antiqua" w:hAnsi="Book Antiqua"/>
          <w:color w:val="000000" w:themeColor="text1"/>
          <w:sz w:val="24"/>
          <w:szCs w:val="24"/>
        </w:rPr>
        <w:t>p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T1b, </w:t>
      </w:r>
      <w:r w:rsidR="00590A53" w:rsidRPr="00BD66E9">
        <w:rPr>
          <w:rFonts w:ascii="Book Antiqua" w:hAnsi="Book Antiqua"/>
          <w:color w:val="000000" w:themeColor="text1"/>
          <w:sz w:val="24"/>
          <w:szCs w:val="24"/>
        </w:rPr>
        <w:t>p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N2, </w:t>
      </w:r>
      <w:r w:rsidR="00590A53" w:rsidRPr="00BD66E9">
        <w:rPr>
          <w:rFonts w:ascii="Book Antiqua" w:hAnsi="Book Antiqua"/>
          <w:color w:val="000000" w:themeColor="text1"/>
          <w:sz w:val="24"/>
          <w:szCs w:val="24"/>
        </w:rPr>
        <w:t>c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M0, Stage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II 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as per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the Japanese classification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 system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914366" w:rsidRPr="00BD66E9">
        <w:rPr>
          <w:rFonts w:ascii="Book Antiqua" w:hAnsi="Book Antiqua"/>
          <w:color w:val="000000" w:themeColor="text1"/>
          <w:sz w:val="24"/>
          <w:szCs w:val="24"/>
        </w:rPr>
        <w:t>All 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ymph node metastas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es were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sarcoma</w:t>
      </w:r>
      <w:r w:rsidR="00C566DF" w:rsidRPr="00BD66E9">
        <w:rPr>
          <w:rFonts w:ascii="Book Antiqua" w:hAnsi="Book Antiqua"/>
          <w:color w:val="000000" w:themeColor="text1"/>
          <w:sz w:val="24"/>
          <w:szCs w:val="24"/>
        </w:rPr>
        <w:t>tous in nature</w:t>
      </w:r>
      <w:r w:rsidRPr="00F42D35">
        <w:rPr>
          <w:rFonts w:ascii="Book Antiqua" w:hAnsi="Book Antiqua"/>
          <w:color w:val="000000" w:themeColor="text1"/>
          <w:sz w:val="24"/>
          <w:szCs w:val="24"/>
        </w:rPr>
        <w:t xml:space="preserve"> (Figure </w:t>
      </w:r>
      <w:r w:rsidR="00311E8C" w:rsidRPr="00F42D35">
        <w:rPr>
          <w:rFonts w:ascii="Book Antiqua" w:hAnsi="Book Antiqua"/>
          <w:color w:val="000000" w:themeColor="text1"/>
          <w:sz w:val="24"/>
          <w:szCs w:val="24"/>
        </w:rPr>
        <w:t>4H</w:t>
      </w:r>
      <w:r w:rsidRPr="00F42D35">
        <w:rPr>
          <w:rFonts w:ascii="Book Antiqua" w:hAnsi="Book Antiqua"/>
          <w:color w:val="000000" w:themeColor="text1"/>
          <w:sz w:val="24"/>
          <w:szCs w:val="24"/>
        </w:rPr>
        <w:t>).</w:t>
      </w:r>
    </w:p>
    <w:p w14:paraId="7FB32F00" w14:textId="19C3E171" w:rsidR="00E72277" w:rsidRPr="00BD66E9" w:rsidRDefault="00C566DF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The initial recovery period was uneventful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was able to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 take food and drink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oral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ly on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postoperative day (POD)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5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was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discharged on POD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 18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Inflammatory responses declined and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serum levels of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IL-6 gradually decreased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to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16.4 </w:t>
      </w:r>
      <w:proofErr w:type="spellStart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/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m</w:t>
      </w:r>
      <w:r w:rsidR="00F42D35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L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, 7.1 </w:t>
      </w:r>
      <w:proofErr w:type="spellStart"/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/m</w:t>
      </w:r>
      <w:r w:rsidR="00F42D35">
        <w:rPr>
          <w:rFonts w:ascii="Book Antiqua" w:hAnsi="Book Antiqua"/>
          <w:color w:val="000000" w:themeColor="text1"/>
          <w:sz w:val="24"/>
          <w:szCs w:val="24"/>
        </w:rPr>
        <w:t>L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 and 3.0 </w:t>
      </w:r>
      <w:proofErr w:type="spellStart"/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pg</w:t>
      </w:r>
      <w:proofErr w:type="spellEnd"/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/m</w:t>
      </w:r>
      <w:r w:rsidR="00F42D35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L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on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POD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 10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 xml:space="preserve">1 </w:t>
      </w:r>
      <w:proofErr w:type="spellStart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mo</w:t>
      </w:r>
      <w:proofErr w:type="spellEnd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after the 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>procedure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, and 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2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proofErr w:type="spellStart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mo</w:t>
      </w:r>
      <w:proofErr w:type="spellEnd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after 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>the procedure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, respectively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>He received o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ne course of combination chemotherapy consisting of continuous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 infusion of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5-fluorouracil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;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cisplatin was administered as adjuvant therapy, but it was stopped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as per patient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request.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T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here has been no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evidence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of recurrence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of disease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for 5 years and 2 </w:t>
      </w:r>
      <w:proofErr w:type="spellStart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mo</w:t>
      </w:r>
      <w:proofErr w:type="spellEnd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since the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surgery.</w:t>
      </w:r>
    </w:p>
    <w:p w14:paraId="181F13BB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7B44A2CE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lastRenderedPageBreak/>
        <w:t>DISCUSSION</w:t>
      </w:r>
    </w:p>
    <w:p w14:paraId="1326A9AE" w14:textId="521C8970" w:rsidR="00E72277" w:rsidRPr="00F42D35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Multiple esophageal carcinosarcoma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 in a single patient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is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an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extremely rare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 event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L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ymph node metastas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s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are typically in evidence in 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SCC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, but in this case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 the lesions were clearly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sarcoma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>tous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o the best of our knowledge, 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this is the first published report of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multiple carcinosarcoma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with adeno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>-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carcinoma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tous 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>components</w:t>
      </w:r>
      <w:r w:rsidR="0033649E" w:rsidRPr="00BD66E9">
        <w:rPr>
          <w:rFonts w:ascii="Book Antiqua" w:hAnsi="Book Antiqua"/>
          <w:color w:val="000000" w:themeColor="text1"/>
          <w:sz w:val="24"/>
          <w:szCs w:val="24"/>
        </w:rPr>
        <w:t xml:space="preserve"> in a single patient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.</w:t>
      </w:r>
      <w:r w:rsidR="00FE0BFC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F24CDF" w:rsidRPr="00F42D35">
        <w:rPr>
          <w:rFonts w:ascii="Book Antiqua" w:hAnsi="Book Antiqua"/>
          <w:color w:val="000000" w:themeColor="text1"/>
          <w:sz w:val="24"/>
          <w:szCs w:val="24"/>
        </w:rPr>
        <w:t>Although c</w:t>
      </w:r>
      <w:r w:rsidR="00FE0BFC" w:rsidRPr="00F42D35">
        <w:rPr>
          <w:rFonts w:ascii="Book Antiqua" w:hAnsi="Book Antiqua"/>
          <w:color w:val="000000" w:themeColor="text1"/>
          <w:sz w:val="24"/>
          <w:szCs w:val="24"/>
        </w:rPr>
        <w:t xml:space="preserve">ollision cancer can be considered </w:t>
      </w:r>
      <w:r w:rsidR="00F24CDF" w:rsidRPr="00F42D35">
        <w:rPr>
          <w:rFonts w:ascii="Book Antiqua" w:hAnsi="Book Antiqua"/>
          <w:color w:val="000000" w:themeColor="text1"/>
          <w:sz w:val="24"/>
          <w:szCs w:val="24"/>
        </w:rPr>
        <w:t>as a differential diagnosis,</w:t>
      </w:r>
      <w:r w:rsidR="00FE0BFC" w:rsidRPr="00F42D35">
        <w:rPr>
          <w:rFonts w:ascii="Book Antiqua" w:hAnsi="Book Antiqua"/>
          <w:color w:val="000000" w:themeColor="text1"/>
          <w:sz w:val="24"/>
          <w:szCs w:val="24"/>
        </w:rPr>
        <w:t xml:space="preserve"> we do not consider </w:t>
      </w:r>
      <w:r w:rsidR="00057BF8" w:rsidRPr="00F42D35">
        <w:rPr>
          <w:rFonts w:ascii="Book Antiqua" w:hAnsi="Book Antiqua"/>
          <w:color w:val="000000" w:themeColor="text1"/>
          <w:sz w:val="24"/>
          <w:szCs w:val="24"/>
        </w:rPr>
        <w:t>the condition</w:t>
      </w:r>
      <w:r w:rsidR="00FE0BFC" w:rsidRPr="00F42D35">
        <w:rPr>
          <w:rFonts w:ascii="Book Antiqua" w:hAnsi="Book Antiqua"/>
          <w:color w:val="000000" w:themeColor="text1"/>
          <w:sz w:val="24"/>
          <w:szCs w:val="24"/>
        </w:rPr>
        <w:t xml:space="preserve"> to be collision cancer </w:t>
      </w:r>
      <w:r w:rsidR="0074252A" w:rsidRPr="00F42D35">
        <w:rPr>
          <w:rFonts w:ascii="Book Antiqua" w:hAnsi="Book Antiqua"/>
          <w:color w:val="000000" w:themeColor="text1"/>
          <w:sz w:val="24"/>
          <w:szCs w:val="24"/>
        </w:rPr>
        <w:t>owing</w:t>
      </w:r>
      <w:r w:rsidR="00FE0BFC" w:rsidRPr="00F42D35">
        <w:rPr>
          <w:rFonts w:ascii="Book Antiqua" w:hAnsi="Book Antiqua"/>
          <w:color w:val="000000" w:themeColor="text1"/>
          <w:sz w:val="24"/>
          <w:szCs w:val="24"/>
        </w:rPr>
        <w:t xml:space="preserve"> to its morphological findings.</w:t>
      </w:r>
    </w:p>
    <w:p w14:paraId="4D4840F7" w14:textId="7BBE6241" w:rsidR="00E72277" w:rsidRPr="00BD66E9" w:rsidRDefault="0033649E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Elements of the fibrotic and tumor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>-related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 xml:space="preserve"> microenvironment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, including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hypoxia and inflammation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, can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activate EMT-promoting transcription factors by </w:t>
      </w:r>
      <w:r w:rsidRPr="00F42D35">
        <w:rPr>
          <w:rFonts w:ascii="Book Antiqua" w:hAnsi="Book Antiqua"/>
          <w:i/>
          <w:iCs/>
          <w:color w:val="000000" w:themeColor="text1"/>
          <w:sz w:val="24"/>
          <w:szCs w:val="24"/>
        </w:rPr>
        <w:t>via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induction of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transforming growth factor β</w:t>
      </w:r>
      <w:r w:rsidR="00F42D35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and hypoxia inducible factor.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Among these, members of the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T</w:t>
      </w:r>
      <w:r w:rsidR="00B0373E" w:rsidRPr="00BD66E9">
        <w:rPr>
          <w:rFonts w:ascii="Book Antiqua" w:hAnsi="Book Antiqua"/>
          <w:color w:val="000000" w:themeColor="text1"/>
          <w:sz w:val="24"/>
          <w:szCs w:val="24"/>
        </w:rPr>
        <w:t>WIST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bookmarkStart w:id="31" w:name="OLE_LINK1408"/>
      <w:bookmarkStart w:id="32" w:name="OLE_LINK1409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B0373E" w:rsidRPr="00BD66E9">
        <w:rPr>
          <w:rFonts w:ascii="Book Antiqua" w:hAnsi="Book Antiqua"/>
          <w:color w:val="000000" w:themeColor="text1"/>
          <w:sz w:val="24"/>
          <w:szCs w:val="24"/>
        </w:rPr>
        <w:t>NAIL</w:t>
      </w:r>
      <w:bookmarkEnd w:id="31"/>
      <w:bookmarkEnd w:id="32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, and Z</w:t>
      </w:r>
      <w:r w:rsidR="00B0373E" w:rsidRPr="00BD66E9">
        <w:rPr>
          <w:rFonts w:ascii="Book Antiqua" w:hAnsi="Book Antiqua"/>
          <w:color w:val="000000" w:themeColor="text1"/>
          <w:sz w:val="24"/>
          <w:szCs w:val="24"/>
        </w:rPr>
        <w:t>EB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transcription factor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families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have characterized activities and can promote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EMT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.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As a group, t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hey inhibit tumor suppressive programs (p53/RB pathways) and allow the tumor cells to escape cell cycle arrest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apoptosis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and/or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senescence. They also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can have a profound impact on the differentiation of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tumor cells 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by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promot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>ing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 the acquisition of stem-cell-like </w:t>
      </w:r>
      <w:proofErr w:type="gramStart"/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properties</w:t>
      </w:r>
      <w:r w:rsidR="00E72277"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="00E72277"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14]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E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xpression of ZEB1, TWIST and SNAIL2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within the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sarcomatous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 tissue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suggested that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EMT may be a factor underlying the generation of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multiple sarcoma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(spindle cell carcinoma)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which may have all been derived from the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original 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SCC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Although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3568D2" w:rsidRPr="00BD66E9">
        <w:rPr>
          <w:rFonts w:ascii="Book Antiqua" w:hAnsi="Book Antiqua"/>
          <w:color w:val="000000" w:themeColor="text1"/>
          <w:sz w:val="24"/>
          <w:szCs w:val="24"/>
        </w:rPr>
        <w:t xml:space="preserve">limited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amount of sample available preclude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d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 a detailed evaluation of this possibility, the adenomatous tissue may also be subjected to this mechanism.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Considering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diversified differentiation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pattern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unusual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 nature of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lymph node metastas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e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s,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tumor may have high potential for generating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stem cell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9D520D" w:rsidRPr="00BD66E9">
        <w:rPr>
          <w:rFonts w:ascii="Book Antiqua" w:hAnsi="Book Antiqua"/>
          <w:color w:val="000000" w:themeColor="text1"/>
          <w:sz w:val="24"/>
          <w:szCs w:val="24"/>
        </w:rPr>
        <w:t xml:space="preserve">Presuming that this is in fact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>the case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,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 xml:space="preserve">it is also not clear why the cells underwent this specific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differentiation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>pathway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emergence of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stem cells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>is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 xml:space="preserve">frequently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related to drug resistance and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 xml:space="preserve">this population represents an important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therapeutic target.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>As such, a focus on cases such as these may also lead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to the treatment of carcinosarcoma.</w:t>
      </w:r>
    </w:p>
    <w:p w14:paraId="67F12BE1" w14:textId="4FC91FE7" w:rsidR="00E72277" w:rsidRPr="00BD66E9" w:rsidRDefault="002B6C93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lastRenderedPageBreak/>
        <w:t xml:space="preserve">Surgical treatment for esophageal cancer is based on results from </w:t>
      </w:r>
      <w:r w:rsidR="00B21E8D" w:rsidRPr="00BD66E9">
        <w:rPr>
          <w:rFonts w:ascii="Book Antiqua" w:hAnsi="Book Antiqua"/>
          <w:color w:val="000000" w:themeColor="text1"/>
          <w:sz w:val="24"/>
          <w:szCs w:val="24"/>
        </w:rPr>
        <w:t>cases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of 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SCC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Although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esophageal cancer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patients with lymph node metastas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e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at the time of surgery have a poor </w:t>
      </w:r>
      <w:proofErr w:type="gramStart"/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>prognosis</w:t>
      </w:r>
      <w:r w:rsidR="00E72277"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="00E72277"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1]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, this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patient responded to surgery and chemotherapy with prolonged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survival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Notably, p</w:t>
      </w:r>
      <w:r w:rsidR="00E72277" w:rsidRPr="00BD66E9">
        <w:rPr>
          <w:rFonts w:ascii="Book Antiqua" w:hAnsi="Book Antiqua"/>
          <w:color w:val="000000" w:themeColor="text1"/>
          <w:sz w:val="24"/>
          <w:szCs w:val="24"/>
        </w:rPr>
        <w:t xml:space="preserve">ostoperative adjuvant chemotherapy in addition to esophagectomy with lymph node dissection,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was successful in this one patient; it is not clear whether this reflects the typical course for this disease.</w:t>
      </w:r>
    </w:p>
    <w:p w14:paraId="2A2D4303" w14:textId="605D97A5" w:rsidR="00E72277" w:rsidRPr="00F42D35" w:rsidRDefault="00E72277" w:rsidP="00171C00">
      <w:pPr>
        <w:snapToGrid w:val="0"/>
        <w:spacing w:line="360" w:lineRule="auto"/>
        <w:ind w:firstLineChars="100" w:firstLine="240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The laboratory data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 xml:space="preserve">at the time of diagnosis revealed an elevated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inflammatory response.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>Of interest, carcinoma of the esophagus has been associated with the production of both g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ranulocyte </w:t>
      </w:r>
      <w:bookmarkStart w:id="33" w:name="OLE_LINK1410"/>
      <w:bookmarkStart w:id="34" w:name="OLE_LINK1411"/>
      <w:r w:rsidRPr="00BD66E9">
        <w:rPr>
          <w:rFonts w:ascii="Book Antiqua" w:hAnsi="Book Antiqua"/>
          <w:color w:val="000000" w:themeColor="text1"/>
          <w:sz w:val="24"/>
          <w:szCs w:val="24"/>
        </w:rPr>
        <w:t>colony-stimulating factor</w:t>
      </w:r>
      <w:bookmarkEnd w:id="33"/>
      <w:bookmarkEnd w:id="34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(G-CSF) and IL-6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 xml:space="preserve">, although these findings are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also </w:t>
      </w:r>
      <w:proofErr w:type="gramStart"/>
      <w:r w:rsidRPr="00BD66E9">
        <w:rPr>
          <w:rFonts w:ascii="Book Antiqua" w:hAnsi="Book Antiqua"/>
          <w:color w:val="000000" w:themeColor="text1"/>
          <w:sz w:val="24"/>
          <w:szCs w:val="24"/>
        </w:rPr>
        <w:t>rare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BD66E9">
        <w:rPr>
          <w:rFonts w:ascii="Book Antiqua" w:hAnsi="Book Antiqua"/>
          <w:noProof/>
          <w:color w:val="000000" w:themeColor="text1"/>
          <w:sz w:val="24"/>
          <w:szCs w:val="24"/>
          <w:vertAlign w:val="superscript"/>
        </w:rPr>
        <w:t>15,16]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Serum IL-6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 xml:space="preserve">levels decreased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gradually after surgery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 xml:space="preserve">;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unfortunately,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 xml:space="preserve">we did not evaluate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serum G-CSF </w:t>
      </w:r>
      <w:r w:rsidR="002B6C93" w:rsidRPr="00BD66E9">
        <w:rPr>
          <w:rFonts w:ascii="Book Antiqua" w:hAnsi="Book Antiqua"/>
          <w:color w:val="000000" w:themeColor="text1"/>
          <w:sz w:val="24"/>
          <w:szCs w:val="24"/>
        </w:rPr>
        <w:t>levels in this case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 xml:space="preserve">We now recognize that it will be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important to 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 xml:space="preserve">consider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both G-CSF and IL-6 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 xml:space="preserve">in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the patient with high fever and 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>elevated white blood cell count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r w:rsidR="00FE0BFC" w:rsidRPr="00F42D35">
        <w:rPr>
          <w:rFonts w:ascii="Book Antiqua" w:hAnsi="Book Antiqua"/>
          <w:color w:val="000000" w:themeColor="text1"/>
          <w:sz w:val="24"/>
          <w:szCs w:val="24"/>
        </w:rPr>
        <w:t>As mentioned above, inflammation is one of the factors that activate</w:t>
      </w:r>
      <w:r w:rsidR="00DF6741" w:rsidRPr="00F42D35">
        <w:rPr>
          <w:rFonts w:ascii="Book Antiqua" w:hAnsi="Book Antiqua"/>
          <w:color w:val="000000" w:themeColor="text1"/>
          <w:sz w:val="24"/>
          <w:szCs w:val="24"/>
        </w:rPr>
        <w:t>s</w:t>
      </w:r>
      <w:r w:rsidR="00FE0BFC" w:rsidRPr="00F42D35">
        <w:rPr>
          <w:rFonts w:ascii="Book Antiqua" w:hAnsi="Book Antiqua"/>
          <w:color w:val="000000" w:themeColor="text1"/>
          <w:sz w:val="24"/>
          <w:szCs w:val="24"/>
        </w:rPr>
        <w:t xml:space="preserve"> EMT-promoting transcription factors. </w:t>
      </w:r>
      <w:r w:rsidR="0025072F" w:rsidRPr="00F42D35">
        <w:rPr>
          <w:rFonts w:ascii="Book Antiqua" w:hAnsi="Book Antiqua"/>
          <w:color w:val="000000" w:themeColor="text1"/>
          <w:sz w:val="24"/>
          <w:szCs w:val="24"/>
        </w:rPr>
        <w:t>However, w</w:t>
      </w:r>
      <w:r w:rsidRPr="00F42D35">
        <w:rPr>
          <w:rFonts w:ascii="Book Antiqua" w:hAnsi="Book Antiqua"/>
          <w:color w:val="000000" w:themeColor="text1"/>
          <w:sz w:val="24"/>
          <w:szCs w:val="24"/>
        </w:rPr>
        <w:t xml:space="preserve">hether such inflammation </w:t>
      </w:r>
      <w:r w:rsidR="001F1CC4" w:rsidRPr="00F42D35">
        <w:rPr>
          <w:rFonts w:ascii="Book Antiqua" w:hAnsi="Book Antiqua"/>
          <w:color w:val="000000" w:themeColor="text1"/>
          <w:sz w:val="24"/>
          <w:szCs w:val="24"/>
        </w:rPr>
        <w:t xml:space="preserve">serves to </w:t>
      </w:r>
      <w:r w:rsidRPr="00F42D35">
        <w:rPr>
          <w:rFonts w:ascii="Book Antiqua" w:hAnsi="Book Antiqua"/>
          <w:color w:val="000000" w:themeColor="text1"/>
          <w:sz w:val="24"/>
          <w:szCs w:val="24"/>
        </w:rPr>
        <w:t>activate EMT requires further study.</w:t>
      </w:r>
    </w:p>
    <w:p w14:paraId="25708FA0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6A42B62E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u w:val="single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  <w:u w:val="single"/>
        </w:rPr>
        <w:t>CONCLUSION</w:t>
      </w:r>
    </w:p>
    <w:p w14:paraId="1C53E060" w14:textId="5BBCF2F6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color w:val="000000" w:themeColor="text1"/>
          <w:sz w:val="24"/>
          <w:szCs w:val="24"/>
        </w:rPr>
        <w:t>We report a rare case of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 xml:space="preserve"> mixed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esophageal carcinosarcoma 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>with adeno</w:t>
      </w:r>
      <w:r w:rsidR="0059232A" w:rsidRPr="00BD66E9">
        <w:rPr>
          <w:rFonts w:ascii="Book Antiqua" w:hAnsi="Book Antiqua"/>
          <w:color w:val="000000" w:themeColor="text1"/>
          <w:sz w:val="24"/>
          <w:szCs w:val="24"/>
        </w:rPr>
        <w:t>carcino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 xml:space="preserve">ma in multiple lesions and sarcomatous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lymph node metastas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>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 xml:space="preserve">. </w:t>
      </w:r>
      <w:bookmarkStart w:id="35" w:name="_Hlk33185932"/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>We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suggest that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 xml:space="preserve"> 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sarcoma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 xml:space="preserve">tous lesions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may have </w:t>
      </w:r>
      <w:r w:rsidR="001F1CC4" w:rsidRPr="00BD66E9">
        <w:rPr>
          <w:rFonts w:ascii="Book Antiqua" w:hAnsi="Book Antiqua"/>
          <w:color w:val="000000" w:themeColor="text1"/>
          <w:sz w:val="24"/>
          <w:szCs w:val="24"/>
        </w:rPr>
        <w:t xml:space="preserve">arisen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from </w:t>
      </w:r>
      <w:r w:rsidR="00C75212" w:rsidRPr="00BD66E9">
        <w:rPr>
          <w:rFonts w:ascii="Book Antiqua" w:hAnsi="Book Antiqua"/>
          <w:color w:val="000000" w:themeColor="text1"/>
          <w:sz w:val="24"/>
          <w:szCs w:val="24"/>
        </w:rPr>
        <w:t>SCC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bookmarkStart w:id="36" w:name="OLE_LINK1412"/>
      <w:bookmarkStart w:id="37" w:name="OLE_LINK1413"/>
      <w:r w:rsidR="001F1CC4" w:rsidRPr="00F42D35">
        <w:rPr>
          <w:rFonts w:ascii="Book Antiqua" w:hAnsi="Book Antiqua"/>
          <w:i/>
          <w:iCs/>
          <w:color w:val="000000" w:themeColor="text1"/>
          <w:sz w:val="24"/>
          <w:szCs w:val="24"/>
        </w:rPr>
        <w:t>via</w:t>
      </w:r>
      <w:bookmarkEnd w:id="36"/>
      <w:bookmarkEnd w:id="37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EMT. Elucidation of the</w:t>
      </w:r>
      <w:r w:rsidR="007F1A18" w:rsidRPr="00BD66E9">
        <w:rPr>
          <w:rFonts w:ascii="Book Antiqua" w:hAnsi="Book Antiqua"/>
          <w:color w:val="000000" w:themeColor="text1"/>
          <w:sz w:val="24"/>
          <w:szCs w:val="24"/>
        </w:rPr>
        <w:t xml:space="preserve"> pathogenesis of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carcinosarcoma</w:t>
      </w:r>
      <w:r w:rsidR="007F1A18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and </w:t>
      </w:r>
      <w:r w:rsidR="007F1A18" w:rsidRPr="00BD66E9">
        <w:rPr>
          <w:rFonts w:ascii="Book Antiqua" w:hAnsi="Book Antiqua"/>
          <w:color w:val="000000" w:themeColor="text1"/>
          <w:sz w:val="24"/>
          <w:szCs w:val="24"/>
        </w:rPr>
        <w:t xml:space="preserve">the potential role of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EMT in </w:t>
      </w:r>
      <w:r w:rsidR="007F1A18" w:rsidRPr="00BD66E9">
        <w:rPr>
          <w:rFonts w:ascii="Book Antiqua" w:hAnsi="Book Antiqua"/>
          <w:color w:val="000000" w:themeColor="text1"/>
          <w:sz w:val="24"/>
          <w:szCs w:val="24"/>
        </w:rPr>
        <w:t>this process will be addressed in future studies.</w:t>
      </w:r>
    </w:p>
    <w:bookmarkEnd w:id="35"/>
    <w:p w14:paraId="58D3784C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59B40F05" w14:textId="0389EBD6" w:rsidR="00F42D35" w:rsidRPr="00F42D35" w:rsidRDefault="00F42D35" w:rsidP="00171C00">
      <w:pPr>
        <w:pStyle w:val="paragraph"/>
        <w:adjustRightInd w:val="0"/>
        <w:snapToGrid w:val="0"/>
        <w:spacing w:before="0" w:beforeAutospacing="0" w:after="0" w:afterAutospacing="0" w:line="360" w:lineRule="auto"/>
        <w:jc w:val="both"/>
        <w:textAlignment w:val="baseline"/>
        <w:rPr>
          <w:rFonts w:ascii="Book Antiqua" w:hAnsi="Book Antiqua" w:cstheme="minorHAnsi"/>
          <w:u w:val="single"/>
        </w:rPr>
      </w:pPr>
      <w:r w:rsidRPr="009D5B2B">
        <w:rPr>
          <w:rStyle w:val="normaltextrun"/>
          <w:rFonts w:ascii="Book Antiqua" w:hAnsi="Book Antiqua" w:cstheme="minorHAnsi"/>
          <w:b/>
          <w:bCs/>
          <w:u w:val="single"/>
        </w:rPr>
        <w:t>ACKNOWLEDGEMENTS</w:t>
      </w:r>
    </w:p>
    <w:p w14:paraId="7489ACB1" w14:textId="36FE6D4E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The authors thank Dr. Kazuyuki </w:t>
      </w:r>
      <w:r w:rsidR="006D2127"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Ishida, Department of Diagnostic </w:t>
      </w: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Pathology, </w:t>
      </w:r>
      <w:proofErr w:type="spellStart"/>
      <w:r w:rsidR="006D2127" w:rsidRPr="00BD66E9">
        <w:rPr>
          <w:rFonts w:ascii="Book Antiqua" w:hAnsi="Book Antiqua"/>
          <w:bCs/>
          <w:color w:val="000000" w:themeColor="text1"/>
          <w:sz w:val="24"/>
          <w:szCs w:val="24"/>
        </w:rPr>
        <w:t>Dokkyo</w:t>
      </w:r>
      <w:proofErr w:type="spellEnd"/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 Medical University </w:t>
      </w:r>
      <w:r w:rsidR="006D2127" w:rsidRPr="00BD66E9">
        <w:rPr>
          <w:rFonts w:ascii="Book Antiqua" w:hAnsi="Book Antiqua"/>
          <w:bCs/>
          <w:color w:val="000000" w:themeColor="text1"/>
          <w:sz w:val="24"/>
          <w:szCs w:val="24"/>
        </w:rPr>
        <w:t>Hospital</w:t>
      </w: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 for providing </w:t>
      </w:r>
      <w:r w:rsidR="007F1A18" w:rsidRPr="00BD66E9">
        <w:rPr>
          <w:rFonts w:ascii="Book Antiqua" w:hAnsi="Book Antiqua"/>
          <w:bCs/>
          <w:color w:val="000000" w:themeColor="text1"/>
          <w:sz w:val="24"/>
          <w:szCs w:val="24"/>
        </w:rPr>
        <w:t>some of the</w:t>
      </w: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 immunohistochemical findings </w:t>
      </w:r>
      <w:r w:rsidR="007F1A18" w:rsidRPr="00BD66E9">
        <w:rPr>
          <w:rFonts w:ascii="Book Antiqua" w:hAnsi="Book Antiqua"/>
          <w:bCs/>
          <w:color w:val="000000" w:themeColor="text1"/>
          <w:sz w:val="24"/>
          <w:szCs w:val="24"/>
        </w:rPr>
        <w:t xml:space="preserve">from the </w:t>
      </w:r>
      <w:r w:rsidRPr="00BD66E9">
        <w:rPr>
          <w:rFonts w:ascii="Book Antiqua" w:hAnsi="Book Antiqua"/>
          <w:bCs/>
          <w:color w:val="000000" w:themeColor="text1"/>
          <w:sz w:val="24"/>
          <w:szCs w:val="24"/>
        </w:rPr>
        <w:t>resected specimen.</w:t>
      </w:r>
    </w:p>
    <w:p w14:paraId="60B300A1" w14:textId="77777777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14:paraId="4E2C03EB" w14:textId="5C2BE148" w:rsidR="00E72277" w:rsidRPr="00BD66E9" w:rsidRDefault="00E72277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REFERENCES</w:t>
      </w:r>
    </w:p>
    <w:p w14:paraId="6ECE7141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bookmarkStart w:id="38" w:name="OLE_LINK1418"/>
      <w:bookmarkStart w:id="39" w:name="OLE_LINK1419"/>
      <w:r w:rsidRPr="008C647C">
        <w:rPr>
          <w:rFonts w:ascii="Book Antiqua" w:hAnsi="Book Antiqua"/>
          <w:sz w:val="24"/>
          <w:szCs w:val="24"/>
        </w:rPr>
        <w:t xml:space="preserve">1 </w:t>
      </w:r>
      <w:proofErr w:type="spellStart"/>
      <w:r w:rsidRPr="008C647C">
        <w:rPr>
          <w:rFonts w:ascii="Book Antiqua" w:hAnsi="Book Antiqua"/>
          <w:b/>
          <w:sz w:val="24"/>
          <w:szCs w:val="24"/>
        </w:rPr>
        <w:t>Tachimori</w:t>
      </w:r>
      <w:proofErr w:type="spellEnd"/>
      <w:r w:rsidRPr="008C647C">
        <w:rPr>
          <w:rFonts w:ascii="Book Antiqua" w:hAnsi="Book Antiqua"/>
          <w:b/>
          <w:sz w:val="24"/>
          <w:szCs w:val="24"/>
        </w:rPr>
        <w:t xml:space="preserve"> Y</w:t>
      </w:r>
      <w:r w:rsidRPr="008C647C">
        <w:rPr>
          <w:rFonts w:ascii="Book Antiqua" w:hAnsi="Book Antiqua"/>
          <w:sz w:val="24"/>
          <w:szCs w:val="24"/>
        </w:rPr>
        <w:t xml:space="preserve">, Ozawa S, </w:t>
      </w:r>
      <w:proofErr w:type="spellStart"/>
      <w:r w:rsidRPr="008C647C">
        <w:rPr>
          <w:rFonts w:ascii="Book Antiqua" w:hAnsi="Book Antiqua"/>
          <w:sz w:val="24"/>
          <w:szCs w:val="24"/>
        </w:rPr>
        <w:t>Numasaki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H, Ishihara R, Matsubara H, </w:t>
      </w:r>
      <w:proofErr w:type="spellStart"/>
      <w:r w:rsidRPr="008C647C">
        <w:rPr>
          <w:rFonts w:ascii="Book Antiqua" w:hAnsi="Book Antiqua"/>
          <w:sz w:val="24"/>
          <w:szCs w:val="24"/>
        </w:rPr>
        <w:t>Muro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C647C">
        <w:rPr>
          <w:rFonts w:ascii="Book Antiqua" w:hAnsi="Book Antiqua"/>
          <w:sz w:val="24"/>
          <w:szCs w:val="24"/>
        </w:rPr>
        <w:t>Oyama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C647C">
        <w:rPr>
          <w:rFonts w:ascii="Book Antiqua" w:hAnsi="Book Antiqua"/>
          <w:sz w:val="24"/>
          <w:szCs w:val="24"/>
        </w:rPr>
        <w:t>Toh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Y, </w:t>
      </w:r>
      <w:proofErr w:type="spellStart"/>
      <w:r w:rsidRPr="008C647C">
        <w:rPr>
          <w:rFonts w:ascii="Book Antiqua" w:hAnsi="Book Antiqua"/>
          <w:sz w:val="24"/>
          <w:szCs w:val="24"/>
        </w:rPr>
        <w:t>Udagawa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H, Uno T; Registration Committee for Esophageal Cancer of the Japan Esophageal Society. Comprehensive registry of esophageal cancer in Japan, 2012. </w:t>
      </w:r>
      <w:r w:rsidRPr="008C647C">
        <w:rPr>
          <w:rFonts w:ascii="Book Antiqua" w:hAnsi="Book Antiqua"/>
          <w:i/>
          <w:sz w:val="24"/>
          <w:szCs w:val="24"/>
        </w:rPr>
        <w:t>Esophagus</w:t>
      </w:r>
      <w:r w:rsidRPr="008C647C">
        <w:rPr>
          <w:rFonts w:ascii="Book Antiqua" w:hAnsi="Book Antiqua"/>
          <w:sz w:val="24"/>
          <w:szCs w:val="24"/>
        </w:rPr>
        <w:t xml:space="preserve"> 2019; </w:t>
      </w:r>
      <w:r w:rsidRPr="008C647C">
        <w:rPr>
          <w:rFonts w:ascii="Book Antiqua" w:hAnsi="Book Antiqua"/>
          <w:b/>
          <w:sz w:val="24"/>
          <w:szCs w:val="24"/>
        </w:rPr>
        <w:t>16</w:t>
      </w:r>
      <w:r w:rsidRPr="008C647C">
        <w:rPr>
          <w:rFonts w:ascii="Book Antiqua" w:hAnsi="Book Antiqua"/>
          <w:sz w:val="24"/>
          <w:szCs w:val="24"/>
        </w:rPr>
        <w:t>: 221-245 [PMID: 31098822 DOI: 10.1007/s10388-019-00674-z]</w:t>
      </w:r>
    </w:p>
    <w:p w14:paraId="00DBC919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bCs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  <w:highlight w:val="yellow"/>
        </w:rPr>
        <w:t xml:space="preserve">2 </w:t>
      </w:r>
      <w:proofErr w:type="spellStart"/>
      <w:r w:rsidRPr="008C647C">
        <w:rPr>
          <w:rFonts w:ascii="Book Antiqua" w:hAnsi="Book Antiqua"/>
          <w:b/>
          <w:sz w:val="24"/>
          <w:szCs w:val="24"/>
          <w:highlight w:val="yellow"/>
        </w:rPr>
        <w:t>Takubo</w:t>
      </w:r>
      <w:proofErr w:type="spellEnd"/>
      <w:r w:rsidRPr="008C647C">
        <w:rPr>
          <w:rFonts w:ascii="Book Antiqua" w:hAnsi="Book Antiqua"/>
          <w:b/>
          <w:sz w:val="24"/>
          <w:szCs w:val="24"/>
          <w:highlight w:val="yellow"/>
        </w:rPr>
        <w:t xml:space="preserve"> K</w:t>
      </w:r>
      <w:r w:rsidRPr="008C647C">
        <w:rPr>
          <w:rFonts w:ascii="Book Antiqua" w:hAnsi="Book Antiqua"/>
          <w:bCs/>
          <w:sz w:val="24"/>
          <w:szCs w:val="24"/>
          <w:highlight w:val="yellow"/>
        </w:rPr>
        <w:t>.</w:t>
      </w:r>
      <w:r w:rsidRPr="008C647C">
        <w:rPr>
          <w:rFonts w:ascii="Book Antiqua" w:hAnsi="Book Antiqua"/>
          <w:b/>
          <w:sz w:val="24"/>
          <w:szCs w:val="24"/>
          <w:highlight w:val="yellow"/>
        </w:rPr>
        <w:t xml:space="preserve"> </w:t>
      </w:r>
      <w:r w:rsidRPr="008C647C">
        <w:rPr>
          <w:rFonts w:ascii="Book Antiqua" w:hAnsi="Book Antiqua"/>
          <w:bCs/>
          <w:sz w:val="24"/>
          <w:szCs w:val="24"/>
          <w:highlight w:val="yellow"/>
        </w:rPr>
        <w:t xml:space="preserve">Carcinosarcoma and </w:t>
      </w:r>
      <w:proofErr w:type="spellStart"/>
      <w:r w:rsidRPr="008C647C">
        <w:rPr>
          <w:rFonts w:ascii="Book Antiqua" w:hAnsi="Book Antiqua"/>
          <w:bCs/>
          <w:sz w:val="24"/>
          <w:szCs w:val="24"/>
          <w:highlight w:val="yellow"/>
        </w:rPr>
        <w:t>pseudosarcoma</w:t>
      </w:r>
      <w:proofErr w:type="spellEnd"/>
      <w:r w:rsidRPr="008C647C">
        <w:rPr>
          <w:rFonts w:ascii="Book Antiqua" w:hAnsi="Book Antiqua"/>
          <w:bCs/>
          <w:sz w:val="24"/>
          <w:szCs w:val="24"/>
          <w:highlight w:val="yellow"/>
        </w:rPr>
        <w:t>. 2</w:t>
      </w:r>
      <w:r w:rsidRPr="008C647C">
        <w:rPr>
          <w:rFonts w:ascii="Book Antiqua" w:hAnsi="Book Antiqua"/>
          <w:bCs/>
          <w:sz w:val="24"/>
          <w:szCs w:val="24"/>
          <w:highlight w:val="yellow"/>
          <w:vertAlign w:val="superscript"/>
        </w:rPr>
        <w:t>nd</w:t>
      </w:r>
      <w:r w:rsidRPr="008C647C">
        <w:rPr>
          <w:rFonts w:ascii="Book Antiqua" w:hAnsi="Book Antiqua"/>
          <w:bCs/>
          <w:sz w:val="24"/>
          <w:szCs w:val="24"/>
          <w:highlight w:val="yellow"/>
        </w:rPr>
        <w:t xml:space="preserve"> ed. In: Pathology of the Esophagus: An Atlas and Textbook. Springer, 2007</w:t>
      </w:r>
    </w:p>
    <w:p w14:paraId="0ABE6893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3 </w:t>
      </w:r>
      <w:proofErr w:type="spellStart"/>
      <w:r w:rsidRPr="008C647C">
        <w:rPr>
          <w:rFonts w:ascii="Book Antiqua" w:hAnsi="Book Antiqua"/>
          <w:b/>
          <w:sz w:val="24"/>
          <w:szCs w:val="24"/>
        </w:rPr>
        <w:t>Handra</w:t>
      </w:r>
      <w:proofErr w:type="spellEnd"/>
      <w:r w:rsidRPr="008C647C">
        <w:rPr>
          <w:rFonts w:ascii="Book Antiqua" w:hAnsi="Book Antiqua"/>
          <w:b/>
          <w:sz w:val="24"/>
          <w:szCs w:val="24"/>
        </w:rPr>
        <w:t>-Luca A</w:t>
      </w:r>
      <w:r w:rsidRPr="008C647C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C647C">
        <w:rPr>
          <w:rFonts w:ascii="Book Antiqua" w:hAnsi="Book Antiqua"/>
          <w:sz w:val="24"/>
          <w:szCs w:val="24"/>
        </w:rPr>
        <w:t>Terris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B, </w:t>
      </w:r>
      <w:proofErr w:type="spellStart"/>
      <w:r w:rsidRPr="008C647C">
        <w:rPr>
          <w:rFonts w:ascii="Book Antiqua" w:hAnsi="Book Antiqua"/>
          <w:sz w:val="24"/>
          <w:szCs w:val="24"/>
        </w:rPr>
        <w:t>Couvelard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8C647C">
        <w:rPr>
          <w:rFonts w:ascii="Book Antiqua" w:hAnsi="Book Antiqua"/>
          <w:sz w:val="24"/>
          <w:szCs w:val="24"/>
        </w:rPr>
        <w:t>Molas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G, </w:t>
      </w:r>
      <w:proofErr w:type="spellStart"/>
      <w:r w:rsidRPr="008C647C">
        <w:rPr>
          <w:rFonts w:ascii="Book Antiqua" w:hAnsi="Book Antiqua"/>
          <w:sz w:val="24"/>
          <w:szCs w:val="24"/>
        </w:rPr>
        <w:t>Degott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C, </w:t>
      </w:r>
      <w:proofErr w:type="spellStart"/>
      <w:r w:rsidRPr="008C647C">
        <w:rPr>
          <w:rFonts w:ascii="Book Antiqua" w:hAnsi="Book Antiqua"/>
          <w:sz w:val="24"/>
          <w:szCs w:val="24"/>
        </w:rPr>
        <w:t>Flejou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JF. Spindle cell squamous carcinoma of the </w:t>
      </w:r>
      <w:proofErr w:type="spellStart"/>
      <w:r w:rsidRPr="008C647C">
        <w:rPr>
          <w:rFonts w:ascii="Book Antiqua" w:hAnsi="Book Antiqua"/>
          <w:sz w:val="24"/>
          <w:szCs w:val="24"/>
        </w:rPr>
        <w:t>oesophagus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: an analysis of 17 cases, with new immunohistochemical evidence for a clonal origin. </w:t>
      </w:r>
      <w:r w:rsidRPr="008C647C">
        <w:rPr>
          <w:rFonts w:ascii="Book Antiqua" w:hAnsi="Book Antiqua"/>
          <w:i/>
          <w:sz w:val="24"/>
          <w:szCs w:val="24"/>
        </w:rPr>
        <w:t>Histopathology</w:t>
      </w:r>
      <w:r w:rsidRPr="008C647C">
        <w:rPr>
          <w:rFonts w:ascii="Book Antiqua" w:hAnsi="Book Antiqua"/>
          <w:sz w:val="24"/>
          <w:szCs w:val="24"/>
        </w:rPr>
        <w:t xml:space="preserve"> 2001; </w:t>
      </w:r>
      <w:r w:rsidRPr="008C647C">
        <w:rPr>
          <w:rFonts w:ascii="Book Antiqua" w:hAnsi="Book Antiqua"/>
          <w:b/>
          <w:sz w:val="24"/>
          <w:szCs w:val="24"/>
        </w:rPr>
        <w:t>39</w:t>
      </w:r>
      <w:r w:rsidRPr="008C647C">
        <w:rPr>
          <w:rFonts w:ascii="Book Antiqua" w:hAnsi="Book Antiqua"/>
          <w:sz w:val="24"/>
          <w:szCs w:val="24"/>
        </w:rPr>
        <w:t>: 125-132 [PMID: 11493328 DOI: 10.1046/j.1365-2559.</w:t>
      </w:r>
      <w:proofErr w:type="gramStart"/>
      <w:r w:rsidRPr="008C647C">
        <w:rPr>
          <w:rFonts w:ascii="Book Antiqua" w:hAnsi="Book Antiqua"/>
          <w:sz w:val="24"/>
          <w:szCs w:val="24"/>
        </w:rPr>
        <w:t>2001.01174.x</w:t>
      </w:r>
      <w:proofErr w:type="gramEnd"/>
      <w:r w:rsidRPr="008C647C">
        <w:rPr>
          <w:rFonts w:ascii="Book Antiqua" w:hAnsi="Book Antiqua"/>
          <w:sz w:val="24"/>
          <w:szCs w:val="24"/>
        </w:rPr>
        <w:t>]</w:t>
      </w:r>
    </w:p>
    <w:p w14:paraId="45BE947D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4 </w:t>
      </w:r>
      <w:r w:rsidRPr="008C647C">
        <w:rPr>
          <w:rFonts w:ascii="Book Antiqua" w:hAnsi="Book Antiqua"/>
          <w:b/>
          <w:sz w:val="24"/>
          <w:szCs w:val="24"/>
        </w:rPr>
        <w:t>Matsumoto T</w:t>
      </w:r>
      <w:r w:rsidRPr="008C647C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C647C">
        <w:rPr>
          <w:rFonts w:ascii="Book Antiqua" w:hAnsi="Book Antiqua"/>
          <w:sz w:val="24"/>
          <w:szCs w:val="24"/>
        </w:rPr>
        <w:t>Fujii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H, Arakawa A, Yamasaki S, </w:t>
      </w:r>
      <w:proofErr w:type="spellStart"/>
      <w:r w:rsidRPr="008C647C">
        <w:rPr>
          <w:rFonts w:ascii="Book Antiqua" w:hAnsi="Book Antiqua"/>
          <w:sz w:val="24"/>
          <w:szCs w:val="24"/>
        </w:rPr>
        <w:t>Sonoue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H, Hattori K, </w:t>
      </w:r>
      <w:proofErr w:type="spellStart"/>
      <w:r w:rsidRPr="008C647C">
        <w:rPr>
          <w:rFonts w:ascii="Book Antiqua" w:hAnsi="Book Antiqua"/>
          <w:sz w:val="24"/>
          <w:szCs w:val="24"/>
        </w:rPr>
        <w:t>Kajiyama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Y, Hirose S, </w:t>
      </w:r>
      <w:proofErr w:type="spellStart"/>
      <w:r w:rsidRPr="008C647C">
        <w:rPr>
          <w:rFonts w:ascii="Book Antiqua" w:hAnsi="Book Antiqua"/>
          <w:sz w:val="24"/>
          <w:szCs w:val="24"/>
        </w:rPr>
        <w:t>Tsurumaru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M. Loss of heterozygosity analysis shows monoclonal evolution with frequent genetic progression and divergence in esophageal carcinosarcoma. </w:t>
      </w:r>
      <w:r w:rsidRPr="008C647C">
        <w:rPr>
          <w:rFonts w:ascii="Book Antiqua" w:hAnsi="Book Antiqua"/>
          <w:i/>
          <w:sz w:val="24"/>
          <w:szCs w:val="24"/>
        </w:rPr>
        <w:t xml:space="preserve">Hum </w:t>
      </w:r>
      <w:proofErr w:type="spellStart"/>
      <w:r w:rsidRPr="008C647C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2004; </w:t>
      </w:r>
      <w:r w:rsidRPr="008C647C">
        <w:rPr>
          <w:rFonts w:ascii="Book Antiqua" w:hAnsi="Book Antiqua"/>
          <w:b/>
          <w:sz w:val="24"/>
          <w:szCs w:val="24"/>
        </w:rPr>
        <w:t>35</w:t>
      </w:r>
      <w:r w:rsidRPr="008C647C">
        <w:rPr>
          <w:rFonts w:ascii="Book Antiqua" w:hAnsi="Book Antiqua"/>
          <w:sz w:val="24"/>
          <w:szCs w:val="24"/>
        </w:rPr>
        <w:t>: 322-327 [PMID: 15017588 DOI: 10.1016/j.humpath.2003.02.001]</w:t>
      </w:r>
    </w:p>
    <w:p w14:paraId="3B535085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5 </w:t>
      </w:r>
      <w:proofErr w:type="spellStart"/>
      <w:r w:rsidRPr="008C647C">
        <w:rPr>
          <w:rFonts w:ascii="Book Antiqua" w:hAnsi="Book Antiqua"/>
          <w:b/>
          <w:sz w:val="24"/>
          <w:szCs w:val="24"/>
        </w:rPr>
        <w:t>Thiery</w:t>
      </w:r>
      <w:proofErr w:type="spellEnd"/>
      <w:r w:rsidRPr="008C647C">
        <w:rPr>
          <w:rFonts w:ascii="Book Antiqua" w:hAnsi="Book Antiqua"/>
          <w:b/>
          <w:sz w:val="24"/>
          <w:szCs w:val="24"/>
        </w:rPr>
        <w:t xml:space="preserve"> JP</w:t>
      </w:r>
      <w:r w:rsidRPr="008C647C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C647C">
        <w:rPr>
          <w:rFonts w:ascii="Book Antiqua" w:hAnsi="Book Antiqua"/>
          <w:sz w:val="24"/>
          <w:szCs w:val="24"/>
        </w:rPr>
        <w:t>Acloque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H, Huang RY, Nieto MA. Epithelial-mesenchymal transitions in development and disease. </w:t>
      </w:r>
      <w:r w:rsidRPr="008C647C">
        <w:rPr>
          <w:rFonts w:ascii="Book Antiqua" w:hAnsi="Book Antiqua"/>
          <w:i/>
          <w:sz w:val="24"/>
          <w:szCs w:val="24"/>
        </w:rPr>
        <w:t>Cell</w:t>
      </w:r>
      <w:r w:rsidRPr="008C647C">
        <w:rPr>
          <w:rFonts w:ascii="Book Antiqua" w:hAnsi="Book Antiqua"/>
          <w:sz w:val="24"/>
          <w:szCs w:val="24"/>
        </w:rPr>
        <w:t xml:space="preserve"> 2009; </w:t>
      </w:r>
      <w:r w:rsidRPr="008C647C">
        <w:rPr>
          <w:rFonts w:ascii="Book Antiqua" w:hAnsi="Book Antiqua"/>
          <w:b/>
          <w:sz w:val="24"/>
          <w:szCs w:val="24"/>
        </w:rPr>
        <w:t>139</w:t>
      </w:r>
      <w:r w:rsidRPr="008C647C">
        <w:rPr>
          <w:rFonts w:ascii="Book Antiqua" w:hAnsi="Book Antiqua"/>
          <w:sz w:val="24"/>
          <w:szCs w:val="24"/>
        </w:rPr>
        <w:t>: 871-890 [PMID: 19945376 DOI: 10.1016/j.cell.2009.11.007]</w:t>
      </w:r>
    </w:p>
    <w:p w14:paraId="0644DD08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6 </w:t>
      </w:r>
      <w:proofErr w:type="spellStart"/>
      <w:r w:rsidRPr="008C647C">
        <w:rPr>
          <w:rFonts w:ascii="Book Antiqua" w:hAnsi="Book Antiqua"/>
          <w:b/>
          <w:sz w:val="24"/>
          <w:szCs w:val="24"/>
        </w:rPr>
        <w:t>Lamouille</w:t>
      </w:r>
      <w:proofErr w:type="spellEnd"/>
      <w:r w:rsidRPr="008C647C">
        <w:rPr>
          <w:rFonts w:ascii="Book Antiqua" w:hAnsi="Book Antiqua"/>
          <w:b/>
          <w:sz w:val="24"/>
          <w:szCs w:val="24"/>
        </w:rPr>
        <w:t xml:space="preserve"> S</w:t>
      </w:r>
      <w:r w:rsidRPr="008C647C">
        <w:rPr>
          <w:rFonts w:ascii="Book Antiqua" w:hAnsi="Book Antiqua"/>
          <w:sz w:val="24"/>
          <w:szCs w:val="24"/>
        </w:rPr>
        <w:t xml:space="preserve">, Xu J, </w:t>
      </w:r>
      <w:proofErr w:type="spellStart"/>
      <w:r w:rsidRPr="008C647C">
        <w:rPr>
          <w:rFonts w:ascii="Book Antiqua" w:hAnsi="Book Antiqua"/>
          <w:sz w:val="24"/>
          <w:szCs w:val="24"/>
        </w:rPr>
        <w:t>Derynck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R. Molecular mechanisms of epithelial-mesenchymal transition. </w:t>
      </w:r>
      <w:r w:rsidRPr="008C647C">
        <w:rPr>
          <w:rFonts w:ascii="Book Antiqua" w:hAnsi="Book Antiqua"/>
          <w:i/>
          <w:sz w:val="24"/>
          <w:szCs w:val="24"/>
        </w:rPr>
        <w:t>Nat Rev Mol Cell Biol</w:t>
      </w:r>
      <w:r w:rsidRPr="008C647C">
        <w:rPr>
          <w:rFonts w:ascii="Book Antiqua" w:hAnsi="Book Antiqua"/>
          <w:sz w:val="24"/>
          <w:szCs w:val="24"/>
        </w:rPr>
        <w:t xml:space="preserve"> 2014; </w:t>
      </w:r>
      <w:r w:rsidRPr="008C647C">
        <w:rPr>
          <w:rFonts w:ascii="Book Antiqua" w:hAnsi="Book Antiqua"/>
          <w:b/>
          <w:sz w:val="24"/>
          <w:szCs w:val="24"/>
        </w:rPr>
        <w:t>15</w:t>
      </w:r>
      <w:r w:rsidRPr="008C647C">
        <w:rPr>
          <w:rFonts w:ascii="Book Antiqua" w:hAnsi="Book Antiqua"/>
          <w:sz w:val="24"/>
          <w:szCs w:val="24"/>
        </w:rPr>
        <w:t>: 178-196 [PMID: 24556840 DOI: 10.1038/nrm3758]</w:t>
      </w:r>
    </w:p>
    <w:p w14:paraId="1AE01FCD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7 </w:t>
      </w:r>
      <w:r w:rsidRPr="008C647C">
        <w:rPr>
          <w:rFonts w:ascii="Book Antiqua" w:hAnsi="Book Antiqua"/>
          <w:b/>
          <w:sz w:val="24"/>
          <w:szCs w:val="24"/>
        </w:rPr>
        <w:t>Chaffer CL</w:t>
      </w:r>
      <w:r w:rsidRPr="008C647C">
        <w:rPr>
          <w:rFonts w:ascii="Book Antiqua" w:hAnsi="Book Antiqua"/>
          <w:sz w:val="24"/>
          <w:szCs w:val="24"/>
        </w:rPr>
        <w:t xml:space="preserve">, Weinberg RA. A perspective on cancer cell metastasis. </w:t>
      </w:r>
      <w:r w:rsidRPr="008C647C">
        <w:rPr>
          <w:rFonts w:ascii="Book Antiqua" w:hAnsi="Book Antiqua"/>
          <w:i/>
          <w:sz w:val="24"/>
          <w:szCs w:val="24"/>
        </w:rPr>
        <w:t>Science</w:t>
      </w:r>
      <w:r w:rsidRPr="008C647C">
        <w:rPr>
          <w:rFonts w:ascii="Book Antiqua" w:hAnsi="Book Antiqua"/>
          <w:sz w:val="24"/>
          <w:szCs w:val="24"/>
        </w:rPr>
        <w:t xml:space="preserve"> 2011; </w:t>
      </w:r>
      <w:r w:rsidRPr="008C647C">
        <w:rPr>
          <w:rFonts w:ascii="Book Antiqua" w:hAnsi="Book Antiqua"/>
          <w:b/>
          <w:sz w:val="24"/>
          <w:szCs w:val="24"/>
        </w:rPr>
        <w:t>331</w:t>
      </w:r>
      <w:r w:rsidRPr="008C647C">
        <w:rPr>
          <w:rFonts w:ascii="Book Antiqua" w:hAnsi="Book Antiqua"/>
          <w:sz w:val="24"/>
          <w:szCs w:val="24"/>
        </w:rPr>
        <w:t>: 1559-1564 [PMID: 21436443 DOI: 10.1126/science.1203543]</w:t>
      </w:r>
    </w:p>
    <w:p w14:paraId="2330AF2D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8 </w:t>
      </w:r>
      <w:r w:rsidRPr="008C647C">
        <w:rPr>
          <w:rFonts w:ascii="Book Antiqua" w:hAnsi="Book Antiqua"/>
          <w:b/>
          <w:sz w:val="24"/>
          <w:szCs w:val="24"/>
        </w:rPr>
        <w:t>Mani SA</w:t>
      </w:r>
      <w:r w:rsidRPr="008C647C">
        <w:rPr>
          <w:rFonts w:ascii="Book Antiqua" w:hAnsi="Book Antiqua"/>
          <w:sz w:val="24"/>
          <w:szCs w:val="24"/>
        </w:rPr>
        <w:t xml:space="preserve">, Guo W, Liao MJ, Eaton EN, </w:t>
      </w:r>
      <w:proofErr w:type="spellStart"/>
      <w:r w:rsidRPr="008C647C">
        <w:rPr>
          <w:rFonts w:ascii="Book Antiqua" w:hAnsi="Book Antiqua"/>
          <w:sz w:val="24"/>
          <w:szCs w:val="24"/>
        </w:rPr>
        <w:t>Ayyanan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A, Zhou AY, Brooks M, Reinhard F, Zhang CC, </w:t>
      </w:r>
      <w:proofErr w:type="spellStart"/>
      <w:r w:rsidRPr="008C647C">
        <w:rPr>
          <w:rFonts w:ascii="Book Antiqua" w:hAnsi="Book Antiqua"/>
          <w:sz w:val="24"/>
          <w:szCs w:val="24"/>
        </w:rPr>
        <w:t>Shipitsin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M, Campbell LL, </w:t>
      </w:r>
      <w:proofErr w:type="spellStart"/>
      <w:r w:rsidRPr="008C647C">
        <w:rPr>
          <w:rFonts w:ascii="Book Antiqua" w:hAnsi="Book Antiqua"/>
          <w:sz w:val="24"/>
          <w:szCs w:val="24"/>
        </w:rPr>
        <w:t>Polyak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C647C">
        <w:rPr>
          <w:rFonts w:ascii="Book Antiqua" w:hAnsi="Book Antiqua"/>
          <w:sz w:val="24"/>
          <w:szCs w:val="24"/>
        </w:rPr>
        <w:t>Brisken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C, Yang J, Weinberg RA. The epithelial-mesenchymal transition generates cells with </w:t>
      </w:r>
      <w:r w:rsidRPr="008C647C">
        <w:rPr>
          <w:rFonts w:ascii="Book Antiqua" w:hAnsi="Book Antiqua"/>
          <w:sz w:val="24"/>
          <w:szCs w:val="24"/>
        </w:rPr>
        <w:lastRenderedPageBreak/>
        <w:t xml:space="preserve">properties of stem cells. </w:t>
      </w:r>
      <w:r w:rsidRPr="008C647C">
        <w:rPr>
          <w:rFonts w:ascii="Book Antiqua" w:hAnsi="Book Antiqua"/>
          <w:i/>
          <w:sz w:val="24"/>
          <w:szCs w:val="24"/>
        </w:rPr>
        <w:t>Cell</w:t>
      </w:r>
      <w:r w:rsidRPr="008C647C">
        <w:rPr>
          <w:rFonts w:ascii="Book Antiqua" w:hAnsi="Book Antiqua"/>
          <w:sz w:val="24"/>
          <w:szCs w:val="24"/>
        </w:rPr>
        <w:t xml:space="preserve"> 2008; </w:t>
      </w:r>
      <w:r w:rsidRPr="008C647C">
        <w:rPr>
          <w:rFonts w:ascii="Book Antiqua" w:hAnsi="Book Antiqua"/>
          <w:b/>
          <w:sz w:val="24"/>
          <w:szCs w:val="24"/>
        </w:rPr>
        <w:t>133</w:t>
      </w:r>
      <w:r w:rsidRPr="008C647C">
        <w:rPr>
          <w:rFonts w:ascii="Book Antiqua" w:hAnsi="Book Antiqua"/>
          <w:sz w:val="24"/>
          <w:szCs w:val="24"/>
        </w:rPr>
        <w:t>: 704-715 [PMID: 18485877 DOI: 10.1016/j.cell.2008.03.027]</w:t>
      </w:r>
    </w:p>
    <w:p w14:paraId="1DBD1190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9 </w:t>
      </w:r>
      <w:r w:rsidRPr="008C647C">
        <w:rPr>
          <w:rFonts w:ascii="Book Antiqua" w:hAnsi="Book Antiqua"/>
          <w:b/>
          <w:sz w:val="24"/>
          <w:szCs w:val="24"/>
        </w:rPr>
        <w:t>Ishida K</w:t>
      </w:r>
      <w:r w:rsidRPr="008C647C">
        <w:rPr>
          <w:rFonts w:ascii="Book Antiqua" w:hAnsi="Book Antiqua"/>
          <w:sz w:val="24"/>
          <w:szCs w:val="24"/>
        </w:rPr>
        <w:t xml:space="preserve">, Yamashita R, </w:t>
      </w:r>
      <w:proofErr w:type="spellStart"/>
      <w:r w:rsidRPr="008C647C">
        <w:rPr>
          <w:rFonts w:ascii="Book Antiqua" w:hAnsi="Book Antiqua"/>
          <w:sz w:val="24"/>
          <w:szCs w:val="24"/>
        </w:rPr>
        <w:t>Osakabe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8C647C">
        <w:rPr>
          <w:rFonts w:ascii="Book Antiqua" w:hAnsi="Book Antiqua"/>
          <w:sz w:val="24"/>
          <w:szCs w:val="24"/>
        </w:rPr>
        <w:t>Uesugi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N, Yamada N, Nitta H, </w:t>
      </w:r>
      <w:proofErr w:type="spellStart"/>
      <w:r w:rsidRPr="008C647C">
        <w:rPr>
          <w:rFonts w:ascii="Book Antiqua" w:hAnsi="Book Antiqua"/>
          <w:sz w:val="24"/>
          <w:szCs w:val="24"/>
        </w:rPr>
        <w:t>Fujishima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F, Motoi F, Suzuki H, Shimamura H, Noda Y, Sawai T, </w:t>
      </w:r>
      <w:proofErr w:type="spellStart"/>
      <w:r w:rsidRPr="008C647C">
        <w:rPr>
          <w:rFonts w:ascii="Book Antiqua" w:hAnsi="Book Antiqua"/>
          <w:sz w:val="24"/>
          <w:szCs w:val="24"/>
        </w:rPr>
        <w:t>Unno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8C647C">
        <w:rPr>
          <w:rFonts w:ascii="Book Antiqua" w:hAnsi="Book Antiqua"/>
          <w:sz w:val="24"/>
          <w:szCs w:val="24"/>
        </w:rPr>
        <w:t>Sasano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H, Sasaki A, </w:t>
      </w:r>
      <w:proofErr w:type="spellStart"/>
      <w:r w:rsidRPr="008C647C">
        <w:rPr>
          <w:rFonts w:ascii="Book Antiqua" w:hAnsi="Book Antiqua"/>
          <w:sz w:val="24"/>
          <w:szCs w:val="24"/>
        </w:rPr>
        <w:t>Sugai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T. Expression of Epithelial-Mesenchymal Transition Proteins in Pancreatic Anaplastic (Undifferentiated) Carcinoma. </w:t>
      </w:r>
      <w:r w:rsidRPr="008C647C">
        <w:rPr>
          <w:rFonts w:ascii="Book Antiqua" w:hAnsi="Book Antiqua"/>
          <w:i/>
          <w:sz w:val="24"/>
          <w:szCs w:val="24"/>
        </w:rPr>
        <w:t>Pancreas</w:t>
      </w:r>
      <w:r w:rsidRPr="008C647C">
        <w:rPr>
          <w:rFonts w:ascii="Book Antiqua" w:hAnsi="Book Antiqua"/>
          <w:sz w:val="24"/>
          <w:szCs w:val="24"/>
        </w:rPr>
        <w:t xml:space="preserve"> 2019; </w:t>
      </w:r>
      <w:r w:rsidRPr="008C647C">
        <w:rPr>
          <w:rFonts w:ascii="Book Antiqua" w:hAnsi="Book Antiqua"/>
          <w:b/>
          <w:sz w:val="24"/>
          <w:szCs w:val="24"/>
        </w:rPr>
        <w:t>48</w:t>
      </w:r>
      <w:r w:rsidRPr="008C647C">
        <w:rPr>
          <w:rFonts w:ascii="Book Antiqua" w:hAnsi="Book Antiqua"/>
          <w:sz w:val="24"/>
          <w:szCs w:val="24"/>
        </w:rPr>
        <w:t>: 36-42 [PMID: 30451796 DOI: 10.1097/MPA.0000000000001199]</w:t>
      </w:r>
    </w:p>
    <w:p w14:paraId="79578E56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10 </w:t>
      </w:r>
      <w:r w:rsidRPr="008C647C">
        <w:rPr>
          <w:rFonts w:ascii="Book Antiqua" w:hAnsi="Book Antiqua"/>
          <w:b/>
          <w:sz w:val="24"/>
          <w:szCs w:val="24"/>
        </w:rPr>
        <w:t>Nakazawa T</w:t>
      </w:r>
      <w:r w:rsidRPr="008C647C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C647C">
        <w:rPr>
          <w:rFonts w:ascii="Book Antiqua" w:hAnsi="Book Antiqua"/>
          <w:sz w:val="24"/>
          <w:szCs w:val="24"/>
        </w:rPr>
        <w:t>Nobusawa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S, </w:t>
      </w:r>
      <w:proofErr w:type="spellStart"/>
      <w:r w:rsidRPr="008C647C">
        <w:rPr>
          <w:rFonts w:ascii="Book Antiqua" w:hAnsi="Book Antiqua"/>
          <w:sz w:val="24"/>
          <w:szCs w:val="24"/>
        </w:rPr>
        <w:t>Ikota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C647C">
        <w:rPr>
          <w:rFonts w:ascii="Book Antiqua" w:hAnsi="Book Antiqua"/>
          <w:sz w:val="24"/>
          <w:szCs w:val="24"/>
        </w:rPr>
        <w:t>Kuwano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C647C">
        <w:rPr>
          <w:rFonts w:ascii="Book Antiqua" w:hAnsi="Book Antiqua"/>
          <w:sz w:val="24"/>
          <w:szCs w:val="24"/>
        </w:rPr>
        <w:t>Takeyoshi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I, </w:t>
      </w:r>
      <w:proofErr w:type="spellStart"/>
      <w:r w:rsidRPr="008C647C">
        <w:rPr>
          <w:rFonts w:ascii="Book Antiqua" w:hAnsi="Book Antiqua"/>
          <w:sz w:val="24"/>
          <w:szCs w:val="24"/>
        </w:rPr>
        <w:t>Yokoo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H. Wide expression of ZEB1 in sarcomatous component of spindle cell carcinoma of the esophagus. </w:t>
      </w:r>
      <w:proofErr w:type="spellStart"/>
      <w:r w:rsidRPr="008C647C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8C647C">
        <w:rPr>
          <w:rFonts w:ascii="Book Antiqua" w:hAnsi="Book Antiqua"/>
          <w:i/>
          <w:sz w:val="24"/>
          <w:szCs w:val="24"/>
        </w:rPr>
        <w:t xml:space="preserve"> Int</w:t>
      </w:r>
      <w:r w:rsidRPr="008C647C">
        <w:rPr>
          <w:rFonts w:ascii="Book Antiqua" w:hAnsi="Book Antiqua"/>
          <w:sz w:val="24"/>
          <w:szCs w:val="24"/>
        </w:rPr>
        <w:t xml:space="preserve"> 2015; </w:t>
      </w:r>
      <w:r w:rsidRPr="008C647C">
        <w:rPr>
          <w:rFonts w:ascii="Book Antiqua" w:hAnsi="Book Antiqua"/>
          <w:b/>
          <w:sz w:val="24"/>
          <w:szCs w:val="24"/>
        </w:rPr>
        <w:t>65</w:t>
      </w:r>
      <w:r w:rsidRPr="008C647C">
        <w:rPr>
          <w:rFonts w:ascii="Book Antiqua" w:hAnsi="Book Antiqua"/>
          <w:sz w:val="24"/>
          <w:szCs w:val="24"/>
        </w:rPr>
        <w:t>: 635-643 [PMID: 26515382 DOI: 10.1111/pin.12354]</w:t>
      </w:r>
    </w:p>
    <w:p w14:paraId="2EFC6EF5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  <w:highlight w:val="yellow"/>
        </w:rPr>
        <w:t xml:space="preserve">11 </w:t>
      </w:r>
      <w:r w:rsidRPr="008C647C">
        <w:rPr>
          <w:rFonts w:ascii="Book Antiqua" w:hAnsi="Book Antiqua"/>
          <w:b/>
          <w:sz w:val="24"/>
          <w:szCs w:val="24"/>
          <w:highlight w:val="yellow"/>
        </w:rPr>
        <w:t>Wittekind C</w:t>
      </w:r>
      <w:r w:rsidRPr="008C647C">
        <w:rPr>
          <w:rFonts w:ascii="Book Antiqua" w:hAnsi="Book Antiqua"/>
          <w:bCs/>
          <w:sz w:val="24"/>
          <w:szCs w:val="24"/>
          <w:highlight w:val="yellow"/>
        </w:rPr>
        <w:t>,</w:t>
      </w:r>
      <w:r w:rsidRPr="008C647C">
        <w:rPr>
          <w:rFonts w:ascii="Book Antiqua" w:hAnsi="Book Antiqua"/>
          <w:sz w:val="24"/>
          <w:szCs w:val="24"/>
          <w:highlight w:val="yellow"/>
        </w:rPr>
        <w:t xml:space="preserve"> Yamasaki S. </w:t>
      </w:r>
      <w:proofErr w:type="spellStart"/>
      <w:r w:rsidRPr="008C647C">
        <w:rPr>
          <w:rFonts w:ascii="Book Antiqua" w:hAnsi="Book Antiqua"/>
          <w:sz w:val="24"/>
          <w:szCs w:val="24"/>
          <w:highlight w:val="yellow"/>
        </w:rPr>
        <w:t>Oesophagus</w:t>
      </w:r>
      <w:proofErr w:type="spellEnd"/>
      <w:r w:rsidRPr="008C647C">
        <w:rPr>
          <w:rFonts w:ascii="Book Antiqua" w:hAnsi="Book Antiqua"/>
          <w:sz w:val="24"/>
          <w:szCs w:val="24"/>
          <w:highlight w:val="yellow"/>
        </w:rPr>
        <w:t xml:space="preserve"> including </w:t>
      </w:r>
      <w:proofErr w:type="spellStart"/>
      <w:r w:rsidRPr="008C647C">
        <w:rPr>
          <w:rFonts w:ascii="Book Antiqua" w:hAnsi="Book Antiqua"/>
          <w:sz w:val="24"/>
          <w:szCs w:val="24"/>
          <w:highlight w:val="yellow"/>
        </w:rPr>
        <w:t>Oesophagogastric</w:t>
      </w:r>
      <w:proofErr w:type="spellEnd"/>
      <w:r w:rsidRPr="008C647C">
        <w:rPr>
          <w:rFonts w:ascii="Book Antiqua" w:hAnsi="Book Antiqua"/>
          <w:sz w:val="24"/>
          <w:szCs w:val="24"/>
          <w:highlight w:val="yellow"/>
        </w:rPr>
        <w:t xml:space="preserve"> Junction. 7</w:t>
      </w:r>
      <w:r w:rsidRPr="008C647C">
        <w:rPr>
          <w:rFonts w:ascii="Book Antiqua" w:hAnsi="Book Antiqua"/>
          <w:sz w:val="24"/>
          <w:szCs w:val="24"/>
          <w:highlight w:val="yellow"/>
          <w:vertAlign w:val="superscript"/>
        </w:rPr>
        <w:t>th</w:t>
      </w:r>
      <w:r w:rsidRPr="008C647C">
        <w:rPr>
          <w:rFonts w:ascii="Book Antiqua" w:hAnsi="Book Antiqua"/>
          <w:sz w:val="24"/>
          <w:szCs w:val="24"/>
          <w:highlight w:val="yellow"/>
        </w:rPr>
        <w:t xml:space="preserve"> ed. In: </w:t>
      </w:r>
      <w:proofErr w:type="spellStart"/>
      <w:r w:rsidRPr="008C647C">
        <w:rPr>
          <w:rFonts w:ascii="Book Antiqua" w:hAnsi="Book Antiqua"/>
          <w:sz w:val="24"/>
          <w:szCs w:val="24"/>
          <w:highlight w:val="yellow"/>
        </w:rPr>
        <w:t>Sobin</w:t>
      </w:r>
      <w:proofErr w:type="spellEnd"/>
      <w:r w:rsidRPr="008C647C">
        <w:rPr>
          <w:rFonts w:ascii="Book Antiqua" w:hAnsi="Book Antiqua"/>
          <w:sz w:val="24"/>
          <w:szCs w:val="24"/>
          <w:highlight w:val="yellow"/>
        </w:rPr>
        <w:t xml:space="preserve"> LH, </w:t>
      </w:r>
      <w:proofErr w:type="spellStart"/>
      <w:r w:rsidRPr="008C647C">
        <w:rPr>
          <w:rFonts w:ascii="Book Antiqua" w:hAnsi="Book Antiqua"/>
          <w:sz w:val="24"/>
          <w:szCs w:val="24"/>
          <w:highlight w:val="yellow"/>
        </w:rPr>
        <w:t>Gospodarowicz</w:t>
      </w:r>
      <w:proofErr w:type="spellEnd"/>
      <w:r w:rsidRPr="008C647C">
        <w:rPr>
          <w:rFonts w:ascii="Book Antiqua" w:hAnsi="Book Antiqua"/>
          <w:sz w:val="24"/>
          <w:szCs w:val="24"/>
          <w:highlight w:val="yellow"/>
        </w:rPr>
        <w:t xml:space="preserve"> MK, Wittekind C, editors. International Union Against Cancer TNM Classification of Malignant </w:t>
      </w:r>
      <w:proofErr w:type="spellStart"/>
      <w:r w:rsidRPr="008C647C">
        <w:rPr>
          <w:rFonts w:ascii="Book Antiqua" w:hAnsi="Book Antiqua"/>
          <w:sz w:val="24"/>
          <w:szCs w:val="24"/>
          <w:highlight w:val="yellow"/>
        </w:rPr>
        <w:t>Tumours</w:t>
      </w:r>
      <w:proofErr w:type="spellEnd"/>
      <w:r w:rsidRPr="008C647C">
        <w:rPr>
          <w:rFonts w:ascii="Book Antiqua" w:hAnsi="Book Antiqua"/>
          <w:sz w:val="24"/>
          <w:szCs w:val="24"/>
          <w:highlight w:val="yellow"/>
        </w:rPr>
        <w:t>. New York: Wiley-Blackwell, 2009: 66-72</w:t>
      </w:r>
    </w:p>
    <w:p w14:paraId="25396E45" w14:textId="311872AD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12 </w:t>
      </w:r>
      <w:r w:rsidRPr="008C647C">
        <w:rPr>
          <w:rFonts w:ascii="Book Antiqua" w:hAnsi="Book Antiqua"/>
          <w:b/>
          <w:sz w:val="24"/>
          <w:szCs w:val="24"/>
        </w:rPr>
        <w:t>Jap</w:t>
      </w:r>
      <w:r w:rsidR="000C09DF">
        <w:rPr>
          <w:rFonts w:ascii="Book Antiqua" w:hAnsi="Book Antiqua"/>
          <w:b/>
          <w:sz w:val="24"/>
          <w:szCs w:val="24"/>
        </w:rPr>
        <w:t>an Esophageal Society</w:t>
      </w:r>
      <w:r w:rsidRPr="008C647C">
        <w:rPr>
          <w:rFonts w:ascii="Book Antiqua" w:hAnsi="Book Antiqua"/>
          <w:sz w:val="24"/>
          <w:szCs w:val="24"/>
        </w:rPr>
        <w:t xml:space="preserve">. Japanese Classification of Esophageal Cancer, 11th Edition: part II and III. </w:t>
      </w:r>
      <w:r w:rsidRPr="008C647C">
        <w:rPr>
          <w:rFonts w:ascii="Book Antiqua" w:hAnsi="Book Antiqua"/>
          <w:i/>
          <w:sz w:val="24"/>
          <w:szCs w:val="24"/>
        </w:rPr>
        <w:t>Esophagus</w:t>
      </w:r>
      <w:r w:rsidRPr="008C647C">
        <w:rPr>
          <w:rFonts w:ascii="Book Antiqua" w:hAnsi="Book Antiqua"/>
          <w:sz w:val="24"/>
          <w:szCs w:val="24"/>
        </w:rPr>
        <w:t xml:space="preserve"> 2017; </w:t>
      </w:r>
      <w:r w:rsidRPr="008C647C">
        <w:rPr>
          <w:rFonts w:ascii="Book Antiqua" w:hAnsi="Book Antiqua"/>
          <w:b/>
          <w:sz w:val="24"/>
          <w:szCs w:val="24"/>
        </w:rPr>
        <w:t>14</w:t>
      </w:r>
      <w:r w:rsidRPr="008C647C">
        <w:rPr>
          <w:rFonts w:ascii="Book Antiqua" w:hAnsi="Book Antiqua"/>
          <w:sz w:val="24"/>
          <w:szCs w:val="24"/>
        </w:rPr>
        <w:t>: 37-65 [PMID: 28111536 DOI: 10.1007/s10388-016-0556-2]</w:t>
      </w:r>
    </w:p>
    <w:p w14:paraId="27480890" w14:textId="5C50ABE6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13 </w:t>
      </w:r>
      <w:r w:rsidR="000C09DF">
        <w:rPr>
          <w:rFonts w:ascii="Book Antiqua" w:hAnsi="Book Antiqua"/>
          <w:b/>
          <w:sz w:val="24"/>
          <w:szCs w:val="24"/>
        </w:rPr>
        <w:t>Japan Esophageal Society</w:t>
      </w:r>
      <w:r w:rsidRPr="008C647C">
        <w:rPr>
          <w:rFonts w:ascii="Book Antiqua" w:hAnsi="Book Antiqua"/>
          <w:sz w:val="24"/>
          <w:szCs w:val="24"/>
        </w:rPr>
        <w:t xml:space="preserve">. Japanese Classification of Esophageal Cancer, 11th Edition: part I. </w:t>
      </w:r>
      <w:r w:rsidRPr="008C647C">
        <w:rPr>
          <w:rFonts w:ascii="Book Antiqua" w:hAnsi="Book Antiqua"/>
          <w:i/>
          <w:sz w:val="24"/>
          <w:szCs w:val="24"/>
        </w:rPr>
        <w:t>Esophagus</w:t>
      </w:r>
      <w:r w:rsidRPr="008C647C">
        <w:rPr>
          <w:rFonts w:ascii="Book Antiqua" w:hAnsi="Book Antiqua"/>
          <w:sz w:val="24"/>
          <w:szCs w:val="24"/>
        </w:rPr>
        <w:t xml:space="preserve"> 2017; </w:t>
      </w:r>
      <w:r w:rsidRPr="008C647C">
        <w:rPr>
          <w:rFonts w:ascii="Book Antiqua" w:hAnsi="Book Antiqua"/>
          <w:b/>
          <w:sz w:val="24"/>
          <w:szCs w:val="24"/>
        </w:rPr>
        <w:t>14</w:t>
      </w:r>
      <w:r w:rsidRPr="008C647C">
        <w:rPr>
          <w:rFonts w:ascii="Book Antiqua" w:hAnsi="Book Antiqua"/>
          <w:sz w:val="24"/>
          <w:szCs w:val="24"/>
        </w:rPr>
        <w:t>: 1-36 [PMID: 28111535 DOI: 10.1007/s10388-016-0551-7]</w:t>
      </w:r>
    </w:p>
    <w:p w14:paraId="117D3855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14 </w:t>
      </w:r>
      <w:proofErr w:type="spellStart"/>
      <w:r w:rsidRPr="008C647C">
        <w:rPr>
          <w:rFonts w:ascii="Book Antiqua" w:hAnsi="Book Antiqua"/>
          <w:b/>
          <w:sz w:val="24"/>
          <w:szCs w:val="24"/>
        </w:rPr>
        <w:t>Puisieux</w:t>
      </w:r>
      <w:proofErr w:type="spellEnd"/>
      <w:r w:rsidRPr="008C647C">
        <w:rPr>
          <w:rFonts w:ascii="Book Antiqua" w:hAnsi="Book Antiqua"/>
          <w:b/>
          <w:sz w:val="24"/>
          <w:szCs w:val="24"/>
        </w:rPr>
        <w:t xml:space="preserve"> A</w:t>
      </w:r>
      <w:r w:rsidRPr="008C647C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C647C">
        <w:rPr>
          <w:rFonts w:ascii="Book Antiqua" w:hAnsi="Book Antiqua"/>
          <w:sz w:val="24"/>
          <w:szCs w:val="24"/>
        </w:rPr>
        <w:t>Brabletz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T, Caramel J. Oncogenic roles of EMT-inducing transcription factors. </w:t>
      </w:r>
      <w:r w:rsidRPr="008C647C">
        <w:rPr>
          <w:rFonts w:ascii="Book Antiqua" w:hAnsi="Book Antiqua"/>
          <w:i/>
          <w:sz w:val="24"/>
          <w:szCs w:val="24"/>
        </w:rPr>
        <w:t>Nat Cell Biol</w:t>
      </w:r>
      <w:r w:rsidRPr="008C647C">
        <w:rPr>
          <w:rFonts w:ascii="Book Antiqua" w:hAnsi="Book Antiqua"/>
          <w:sz w:val="24"/>
          <w:szCs w:val="24"/>
        </w:rPr>
        <w:t xml:space="preserve"> 2014; </w:t>
      </w:r>
      <w:r w:rsidRPr="008C647C">
        <w:rPr>
          <w:rFonts w:ascii="Book Antiqua" w:hAnsi="Book Antiqua"/>
          <w:b/>
          <w:sz w:val="24"/>
          <w:szCs w:val="24"/>
        </w:rPr>
        <w:t>16</w:t>
      </w:r>
      <w:r w:rsidRPr="008C647C">
        <w:rPr>
          <w:rFonts w:ascii="Book Antiqua" w:hAnsi="Book Antiqua"/>
          <w:sz w:val="24"/>
          <w:szCs w:val="24"/>
        </w:rPr>
        <w:t>: 488-494 [PMID: 24875735 DOI: 10.1038/ncb2976]</w:t>
      </w:r>
    </w:p>
    <w:p w14:paraId="0BE6DB51" w14:textId="77777777" w:rsidR="0003423C" w:rsidRPr="008C64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15 </w:t>
      </w:r>
      <w:proofErr w:type="spellStart"/>
      <w:r w:rsidRPr="008C647C">
        <w:rPr>
          <w:rFonts w:ascii="Book Antiqua" w:hAnsi="Book Antiqua"/>
          <w:b/>
          <w:sz w:val="24"/>
          <w:szCs w:val="24"/>
        </w:rPr>
        <w:t>Shioga</w:t>
      </w:r>
      <w:proofErr w:type="spellEnd"/>
      <w:r w:rsidRPr="008C647C">
        <w:rPr>
          <w:rFonts w:ascii="Book Antiqua" w:hAnsi="Book Antiqua"/>
          <w:b/>
          <w:sz w:val="24"/>
          <w:szCs w:val="24"/>
        </w:rPr>
        <w:t xml:space="preserve"> T</w:t>
      </w:r>
      <w:r w:rsidRPr="008C647C">
        <w:rPr>
          <w:rFonts w:ascii="Book Antiqua" w:hAnsi="Book Antiqua"/>
          <w:sz w:val="24"/>
          <w:szCs w:val="24"/>
        </w:rPr>
        <w:t xml:space="preserve">, Matsushima S, Yamada E, Uchiyama T, Noto H, Suzuki D, Nonaka T, Miyazawa S, Komatsu T, Yamamoto Y, </w:t>
      </w:r>
      <w:proofErr w:type="spellStart"/>
      <w:r w:rsidRPr="008C647C">
        <w:rPr>
          <w:rFonts w:ascii="Book Antiqua" w:hAnsi="Book Antiqua"/>
          <w:sz w:val="24"/>
          <w:szCs w:val="24"/>
        </w:rPr>
        <w:t>Sekido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C647C">
        <w:rPr>
          <w:rFonts w:ascii="Book Antiqua" w:hAnsi="Book Antiqua"/>
          <w:sz w:val="24"/>
          <w:szCs w:val="24"/>
        </w:rPr>
        <w:t>Niino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H. Esophageal Carcinosarcoma that Was Diagnosed as a Granulocyte-colony Stimulating Factor and Interleukin-6-producing Tumor with a Tumor Fever. </w:t>
      </w:r>
      <w:r w:rsidRPr="008C647C">
        <w:rPr>
          <w:rFonts w:ascii="Book Antiqua" w:hAnsi="Book Antiqua"/>
          <w:i/>
          <w:sz w:val="24"/>
          <w:szCs w:val="24"/>
        </w:rPr>
        <w:t>Intern Med</w:t>
      </w:r>
      <w:r w:rsidRPr="008C647C">
        <w:rPr>
          <w:rFonts w:ascii="Book Antiqua" w:hAnsi="Book Antiqua"/>
          <w:sz w:val="24"/>
          <w:szCs w:val="24"/>
        </w:rPr>
        <w:t xml:space="preserve"> 2018; </w:t>
      </w:r>
      <w:r w:rsidRPr="008C647C">
        <w:rPr>
          <w:rFonts w:ascii="Book Antiqua" w:hAnsi="Book Antiqua"/>
          <w:b/>
          <w:sz w:val="24"/>
          <w:szCs w:val="24"/>
        </w:rPr>
        <w:t>57</w:t>
      </w:r>
      <w:r w:rsidRPr="008C647C">
        <w:rPr>
          <w:rFonts w:ascii="Book Antiqua" w:hAnsi="Book Antiqua"/>
          <w:sz w:val="24"/>
          <w:szCs w:val="24"/>
        </w:rPr>
        <w:t xml:space="preserve">: 2819-2825 [PMID: 29780130 DOI: </w:t>
      </w:r>
      <w:r w:rsidRPr="008C647C">
        <w:rPr>
          <w:rFonts w:ascii="Book Antiqua" w:hAnsi="Book Antiqua"/>
          <w:sz w:val="24"/>
          <w:szCs w:val="24"/>
        </w:rPr>
        <w:lastRenderedPageBreak/>
        <w:t>10.2169/internalmedicine.0677-17]</w:t>
      </w:r>
    </w:p>
    <w:p w14:paraId="531832DB" w14:textId="002F565A" w:rsidR="00EC60A9" w:rsidRPr="0003423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8C647C">
        <w:rPr>
          <w:rFonts w:ascii="Book Antiqua" w:hAnsi="Book Antiqua"/>
          <w:sz w:val="24"/>
          <w:szCs w:val="24"/>
        </w:rPr>
        <w:t xml:space="preserve">16 </w:t>
      </w:r>
      <w:r w:rsidRPr="008C647C">
        <w:rPr>
          <w:rFonts w:ascii="Book Antiqua" w:hAnsi="Book Antiqua"/>
          <w:b/>
          <w:sz w:val="24"/>
          <w:szCs w:val="24"/>
        </w:rPr>
        <w:t>Tamura K</w:t>
      </w:r>
      <w:r w:rsidRPr="008C647C">
        <w:rPr>
          <w:rFonts w:ascii="Book Antiqua" w:hAnsi="Book Antiqua"/>
          <w:bCs/>
          <w:sz w:val="24"/>
          <w:szCs w:val="24"/>
        </w:rPr>
        <w:t xml:space="preserve">, </w:t>
      </w:r>
      <w:r w:rsidRPr="008C647C">
        <w:rPr>
          <w:rFonts w:ascii="Book Antiqua" w:hAnsi="Book Antiqua"/>
          <w:sz w:val="24"/>
          <w:szCs w:val="24"/>
        </w:rPr>
        <w:t xml:space="preserve">Nakashima H, </w:t>
      </w:r>
      <w:proofErr w:type="spellStart"/>
      <w:r w:rsidRPr="008C647C">
        <w:rPr>
          <w:rFonts w:ascii="Book Antiqua" w:hAnsi="Book Antiqua"/>
          <w:sz w:val="24"/>
          <w:szCs w:val="24"/>
        </w:rPr>
        <w:t>Makihara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K, Ishikawa N, </w:t>
      </w:r>
      <w:proofErr w:type="spellStart"/>
      <w:r w:rsidRPr="008C647C">
        <w:rPr>
          <w:rFonts w:ascii="Book Antiqua" w:hAnsi="Book Antiqua"/>
          <w:sz w:val="24"/>
          <w:szCs w:val="24"/>
        </w:rPr>
        <w:t>Cyaen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C647C">
        <w:rPr>
          <w:rFonts w:ascii="Book Antiqua" w:hAnsi="Book Antiqua"/>
          <w:sz w:val="24"/>
          <w:szCs w:val="24"/>
        </w:rPr>
        <w:t>Hachiya</w:t>
      </w:r>
      <w:proofErr w:type="spellEnd"/>
      <w:r w:rsidRPr="008C647C">
        <w:rPr>
          <w:rFonts w:ascii="Book Antiqua" w:hAnsi="Book Antiqua"/>
          <w:sz w:val="24"/>
          <w:szCs w:val="24"/>
        </w:rPr>
        <w:t xml:space="preserve"> Y, Fukuyama T, Hamada T, Hirano Y. Granulocyte colony-stimulating factor and IL-6 producing carcinosarcoma of the esophagus manifesting as leukocytosis and pyrexia: a case report. </w:t>
      </w:r>
      <w:r w:rsidRPr="008C647C">
        <w:rPr>
          <w:rFonts w:ascii="Book Antiqua" w:hAnsi="Book Antiqua"/>
          <w:i/>
          <w:iCs/>
          <w:sz w:val="24"/>
          <w:szCs w:val="24"/>
        </w:rPr>
        <w:t>Esophagus</w:t>
      </w:r>
      <w:r w:rsidRPr="008C647C">
        <w:rPr>
          <w:rFonts w:ascii="Book Antiqua" w:hAnsi="Book Antiqua"/>
          <w:sz w:val="24"/>
          <w:szCs w:val="24"/>
        </w:rPr>
        <w:t xml:space="preserve"> 2011; </w:t>
      </w:r>
      <w:r w:rsidRPr="008C647C">
        <w:rPr>
          <w:rFonts w:ascii="Book Antiqua" w:hAnsi="Book Antiqua"/>
          <w:b/>
          <w:bCs/>
          <w:sz w:val="24"/>
          <w:szCs w:val="24"/>
        </w:rPr>
        <w:t>8</w:t>
      </w:r>
      <w:r w:rsidRPr="008C647C">
        <w:rPr>
          <w:rFonts w:ascii="Book Antiqua" w:hAnsi="Book Antiqua"/>
          <w:sz w:val="24"/>
          <w:szCs w:val="24"/>
        </w:rPr>
        <w:t>: 295-301 [DOI: 10.1007/s10388-011-0293-5]</w:t>
      </w:r>
      <w:bookmarkEnd w:id="38"/>
      <w:bookmarkEnd w:id="39"/>
    </w:p>
    <w:p w14:paraId="29796E45" w14:textId="77777777" w:rsidR="00836C40" w:rsidRPr="00BD66E9" w:rsidRDefault="00836C40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2F442EDE" w14:textId="77777777" w:rsidR="0003423C" w:rsidRPr="00002F66" w:rsidRDefault="0003423C" w:rsidP="00171C00">
      <w:pPr>
        <w:adjustRightInd w:val="0"/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002F66">
        <w:rPr>
          <w:rFonts w:ascii="Book Antiqua" w:hAnsi="Book Antiqua"/>
          <w:b/>
          <w:sz w:val="24"/>
          <w:szCs w:val="24"/>
        </w:rPr>
        <w:lastRenderedPageBreak/>
        <w:t>Footnotes</w:t>
      </w:r>
    </w:p>
    <w:p w14:paraId="65C6CAF8" w14:textId="353D1031" w:rsidR="0003423C" w:rsidRPr="0003423C" w:rsidRDefault="0003423C" w:rsidP="00171C00">
      <w:pPr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D7497C">
        <w:rPr>
          <w:rFonts w:ascii="Book Antiqua" w:hAnsi="Book Antiqua" w:cs="Tahoma"/>
          <w:b/>
          <w:sz w:val="24"/>
          <w:szCs w:val="24"/>
          <w:lang w:val="en-GB"/>
        </w:rPr>
        <w:t>Informed consent statement:</w:t>
      </w:r>
      <w:r w:rsidRPr="00D7497C">
        <w:rPr>
          <w:rFonts w:ascii="Book Antiqua" w:hAnsi="Book Antiqua" w:cs="Tahoma"/>
          <w:sz w:val="24"/>
          <w:szCs w:val="24"/>
          <w:lang w:val="en-GB"/>
        </w:rPr>
        <w:t xml:space="preserve">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The patient provided informed written consent for all aspects of care described in this manuscript.</w:t>
      </w:r>
    </w:p>
    <w:p w14:paraId="16658182" w14:textId="77777777" w:rsidR="0003423C" w:rsidRPr="00D7497C" w:rsidRDefault="0003423C" w:rsidP="00171C00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Tahoma"/>
          <w:sz w:val="24"/>
          <w:szCs w:val="24"/>
          <w:lang w:val="en-GB"/>
        </w:rPr>
      </w:pPr>
    </w:p>
    <w:p w14:paraId="053C404B" w14:textId="53BE17DD" w:rsidR="0003423C" w:rsidRDefault="0003423C" w:rsidP="00171C00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Tahoma"/>
          <w:bCs/>
          <w:color w:val="000000" w:themeColor="text1"/>
          <w:sz w:val="24"/>
          <w:szCs w:val="24"/>
          <w:lang w:eastAsia="zh-CN"/>
        </w:rPr>
      </w:pPr>
      <w:r w:rsidRPr="00D7497C">
        <w:rPr>
          <w:rFonts w:ascii="Book Antiqua" w:hAnsi="Book Antiqua" w:cs="Tahoma"/>
          <w:b/>
          <w:sz w:val="24"/>
          <w:szCs w:val="24"/>
          <w:lang w:val="en-GB"/>
        </w:rPr>
        <w:t>Conflict-of-interest statement:</w:t>
      </w:r>
      <w:r w:rsidRPr="00D7497C">
        <w:rPr>
          <w:rFonts w:ascii="Book Antiqua" w:hAnsi="Book Antiqua" w:cs="Tahoma"/>
          <w:sz w:val="24"/>
          <w:szCs w:val="24"/>
          <w:lang w:val="en-GB"/>
        </w:rPr>
        <w:t xml:space="preserve"> </w:t>
      </w:r>
      <w:r w:rsidRPr="00BD66E9">
        <w:rPr>
          <w:rFonts w:ascii="Book Antiqua" w:hAnsi="Book Antiqua" w:cs="Tahoma"/>
          <w:bCs/>
          <w:color w:val="000000" w:themeColor="text1"/>
          <w:sz w:val="24"/>
          <w:szCs w:val="24"/>
        </w:rPr>
        <w:t>The authors have no conflicts to declare</w:t>
      </w:r>
      <w:r>
        <w:rPr>
          <w:rFonts w:ascii="Book Antiqua" w:hAnsi="Book Antiqua" w:cs="Tahoma" w:hint="eastAsia"/>
          <w:bCs/>
          <w:color w:val="000000" w:themeColor="text1"/>
          <w:sz w:val="24"/>
          <w:szCs w:val="24"/>
          <w:lang w:eastAsia="zh-CN"/>
        </w:rPr>
        <w:t>.</w:t>
      </w:r>
    </w:p>
    <w:p w14:paraId="3EA64BDB" w14:textId="77777777" w:rsidR="0003423C" w:rsidRPr="00D7497C" w:rsidRDefault="0003423C" w:rsidP="00171C00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="Tahoma"/>
          <w:sz w:val="24"/>
          <w:szCs w:val="24"/>
          <w:lang w:val="en-GB" w:eastAsia="zh-CN"/>
        </w:rPr>
      </w:pPr>
    </w:p>
    <w:p w14:paraId="229E7108" w14:textId="77777777" w:rsidR="0003423C" w:rsidRPr="00BD66E9" w:rsidRDefault="0003423C" w:rsidP="00171C00">
      <w:pPr>
        <w:pStyle w:val="1"/>
        <w:adjustRightInd w:val="0"/>
        <w:snapToGrid w:val="0"/>
        <w:spacing w:line="360" w:lineRule="auto"/>
        <w:jc w:val="both"/>
        <w:rPr>
          <w:rFonts w:ascii="Book Antiqua" w:eastAsiaTheme="minorHAnsi" w:hAnsi="Book Antiqua"/>
          <w:color w:val="000000" w:themeColor="text1"/>
          <w:sz w:val="24"/>
          <w:szCs w:val="24"/>
          <w:lang w:val="en-US"/>
        </w:rPr>
      </w:pPr>
      <w:r w:rsidRPr="00D7497C">
        <w:rPr>
          <w:rFonts w:ascii="Book Antiqua" w:hAnsi="Book Antiqua" w:cs="Tahoma"/>
          <w:b/>
          <w:sz w:val="24"/>
          <w:szCs w:val="24"/>
          <w:lang w:val="en-GB"/>
        </w:rPr>
        <w:t>CARE Checklist (2016) statement:</w:t>
      </w:r>
      <w:r w:rsidRPr="00D7497C">
        <w:rPr>
          <w:rFonts w:ascii="Book Antiqua" w:hAnsi="Book Antiqua" w:cs="Tahoma"/>
          <w:sz w:val="24"/>
          <w:szCs w:val="24"/>
          <w:lang w:val="en-GB"/>
        </w:rPr>
        <w:t xml:space="preserve"> </w:t>
      </w:r>
      <w:r w:rsidRPr="00BD66E9">
        <w:rPr>
          <w:rFonts w:ascii="Book Antiqua" w:eastAsiaTheme="minorHAnsi" w:hAnsi="Book Antiqua"/>
          <w:color w:val="000000" w:themeColor="text1"/>
          <w:sz w:val="24"/>
          <w:szCs w:val="24"/>
          <w:lang w:val="en-US"/>
        </w:rPr>
        <w:t>The authors have read the CARE Checklist (2016), and the manuscript was prepared and revised according to the CARE Checklist (2016).</w:t>
      </w:r>
    </w:p>
    <w:p w14:paraId="59B5479C" w14:textId="33630FB5" w:rsidR="0003423C" w:rsidRPr="0003423C" w:rsidRDefault="0003423C" w:rsidP="00171C00">
      <w:pPr>
        <w:autoSpaceDE w:val="0"/>
        <w:autoSpaceDN w:val="0"/>
        <w:adjustRightInd w:val="0"/>
        <w:snapToGrid w:val="0"/>
        <w:spacing w:line="360" w:lineRule="auto"/>
        <w:rPr>
          <w:rFonts w:ascii="Book Antiqua" w:hAnsi="Book Antiqua" w:cstheme="minorHAnsi"/>
          <w:b/>
          <w:bCs/>
          <w:sz w:val="24"/>
          <w:szCs w:val="24"/>
          <w:lang w:eastAsia="zh-CN"/>
        </w:rPr>
      </w:pPr>
    </w:p>
    <w:p w14:paraId="1A8904EA" w14:textId="77777777" w:rsidR="0003423C" w:rsidRPr="00D7497C" w:rsidRDefault="0003423C" w:rsidP="00171C00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  <w:lang w:val="en-GB"/>
        </w:rPr>
      </w:pPr>
      <w:r w:rsidRPr="00C810E2">
        <w:rPr>
          <w:rFonts w:ascii="Book Antiqua" w:hAnsi="Book Antiqua"/>
          <w:b/>
          <w:color w:val="000000"/>
          <w:sz w:val="24"/>
          <w:szCs w:val="24"/>
        </w:rPr>
        <w:t>Open-Access:</w:t>
      </w:r>
      <w:r w:rsidRPr="00C810E2">
        <w:rPr>
          <w:rFonts w:ascii="Book Antiqua" w:hAnsi="Book Antiqua"/>
          <w:color w:val="000000"/>
          <w:sz w:val="24"/>
          <w:szCs w:val="24"/>
        </w:rPr>
        <w:t xml:space="preserve"> This article is an open-access </w:t>
      </w:r>
      <w:r w:rsidRPr="00C810E2">
        <w:rPr>
          <w:rFonts w:ascii="Book Antiqua" w:hAnsi="Book Antiqua"/>
          <w:sz w:val="24"/>
          <w:szCs w:val="24"/>
        </w:rPr>
        <w:t xml:space="preserve">article that was selected </w:t>
      </w:r>
      <w:r w:rsidRPr="00C810E2">
        <w:rPr>
          <w:rFonts w:ascii="Book Antiqua" w:hAnsi="Book Antiqua"/>
          <w:color w:val="000000"/>
          <w:sz w:val="24"/>
          <w:szCs w:val="24"/>
        </w:rPr>
        <w:t xml:space="preserve">by an in-house editor and fully peer-reviewed by external reviewers. It is distributed in accordance with the Creative Commons Attribution </w:t>
      </w:r>
      <w:proofErr w:type="spellStart"/>
      <w:r w:rsidRPr="00C810E2">
        <w:rPr>
          <w:rFonts w:ascii="Book Antiqua" w:hAnsi="Book Antiqua"/>
          <w:color w:val="000000"/>
          <w:sz w:val="24"/>
          <w:szCs w:val="24"/>
        </w:rPr>
        <w:t>NonCommercial</w:t>
      </w:r>
      <w:proofErr w:type="spellEnd"/>
      <w:r w:rsidRPr="00C810E2">
        <w:rPr>
          <w:rFonts w:ascii="Book Antiqua" w:hAnsi="Book Antiqua"/>
          <w:color w:val="000000"/>
          <w:sz w:val="24"/>
          <w:szCs w:val="24"/>
        </w:rPr>
        <w:t xml:space="preserve"> (CC BY-NC 4.0) license, which permits others to distribute, remix, adapt, build upon this work non-commercially, and license their derivative works on different terms, provided the original work is properly cited and the use is non-commercial. See: http://creativecommons.org/licenses/by-nc/4.0/</w:t>
      </w:r>
    </w:p>
    <w:p w14:paraId="158E454D" w14:textId="77777777" w:rsidR="0003423C" w:rsidRPr="00D7497C" w:rsidRDefault="0003423C" w:rsidP="00171C00">
      <w:pPr>
        <w:adjustRightInd w:val="0"/>
        <w:snapToGrid w:val="0"/>
        <w:spacing w:line="360" w:lineRule="auto"/>
        <w:rPr>
          <w:rFonts w:ascii="Book Antiqua" w:hAnsi="Book Antiqua" w:cstheme="minorHAnsi"/>
          <w:b/>
          <w:bCs/>
          <w:sz w:val="24"/>
          <w:szCs w:val="24"/>
          <w:lang w:val="en-GB" w:eastAsia="zh-CN"/>
        </w:rPr>
      </w:pPr>
    </w:p>
    <w:p w14:paraId="0E05489B" w14:textId="66F64FEA" w:rsidR="0003423C" w:rsidRDefault="0003423C" w:rsidP="00171C00">
      <w:pPr>
        <w:adjustRightInd w:val="0"/>
        <w:snapToGrid w:val="0"/>
        <w:spacing w:line="360" w:lineRule="auto"/>
        <w:rPr>
          <w:rFonts w:ascii="Book Antiqua" w:eastAsia="宋体" w:hAnsi="Book Antiqua" w:cs="宋体"/>
          <w:sz w:val="24"/>
          <w:szCs w:val="24"/>
          <w:lang w:val="en-GB" w:eastAsia="zh-CN"/>
        </w:rPr>
      </w:pPr>
      <w:r w:rsidRPr="00D7497C">
        <w:rPr>
          <w:rFonts w:ascii="Book Antiqua" w:eastAsia="宋体" w:hAnsi="Book Antiqua" w:cs="宋体"/>
          <w:b/>
          <w:sz w:val="24"/>
          <w:szCs w:val="24"/>
          <w:lang w:val="en-GB"/>
        </w:rPr>
        <w:t>Manuscript source:</w:t>
      </w:r>
      <w:r w:rsidRPr="00D7497C">
        <w:rPr>
          <w:rFonts w:ascii="Book Antiqua" w:eastAsia="宋体" w:hAnsi="Book Antiqua" w:cs="宋体"/>
          <w:sz w:val="24"/>
          <w:szCs w:val="24"/>
          <w:lang w:val="en-GB"/>
        </w:rPr>
        <w:t> </w:t>
      </w:r>
      <w:r w:rsidR="00C448D7" w:rsidRPr="00C448D7">
        <w:rPr>
          <w:rFonts w:ascii="Book Antiqua" w:eastAsia="宋体" w:hAnsi="Book Antiqua" w:cs="宋体"/>
          <w:sz w:val="24"/>
          <w:szCs w:val="24"/>
          <w:lang w:val="en-GB"/>
        </w:rPr>
        <w:t>Unsolicited</w:t>
      </w:r>
      <w:r w:rsidRPr="00D7497C">
        <w:rPr>
          <w:rFonts w:ascii="Book Antiqua" w:eastAsia="宋体" w:hAnsi="Book Antiqua" w:cs="宋体"/>
          <w:sz w:val="24"/>
          <w:szCs w:val="24"/>
          <w:lang w:val="en-GB"/>
        </w:rPr>
        <w:t> manuscript</w:t>
      </w:r>
    </w:p>
    <w:p w14:paraId="7BBF2D89" w14:textId="77777777" w:rsidR="0003423C" w:rsidRPr="00D7497C" w:rsidRDefault="0003423C" w:rsidP="00171C00">
      <w:pPr>
        <w:adjustRightInd w:val="0"/>
        <w:snapToGrid w:val="0"/>
        <w:spacing w:line="360" w:lineRule="auto"/>
        <w:rPr>
          <w:rFonts w:ascii="Book Antiqua" w:eastAsia="宋体" w:hAnsi="Book Antiqua" w:cs="宋体"/>
          <w:sz w:val="24"/>
          <w:szCs w:val="24"/>
          <w:lang w:val="en-GB" w:eastAsia="zh-CN"/>
        </w:rPr>
      </w:pPr>
    </w:p>
    <w:p w14:paraId="7042C8B1" w14:textId="6E85AE17" w:rsidR="0003423C" w:rsidRPr="00B17A6D" w:rsidRDefault="0003423C" w:rsidP="00171C00">
      <w:pPr>
        <w:snapToGrid w:val="0"/>
        <w:spacing w:line="360" w:lineRule="auto"/>
        <w:rPr>
          <w:rFonts w:ascii="Book Antiqua" w:eastAsia="等线" w:hAnsi="Book Antiqua"/>
          <w:color w:val="000000"/>
          <w:sz w:val="24"/>
          <w:szCs w:val="24"/>
          <w:lang w:eastAsia="zh-CN"/>
        </w:rPr>
      </w:pPr>
      <w:r w:rsidRPr="00B17A6D">
        <w:rPr>
          <w:rFonts w:ascii="Book Antiqua" w:eastAsia="等线" w:hAnsi="Book Antiqua"/>
          <w:b/>
          <w:bCs/>
          <w:color w:val="000000"/>
          <w:sz w:val="24"/>
          <w:szCs w:val="24"/>
        </w:rPr>
        <w:t>Corresponding Author's Membership in Professional Societies</w:t>
      </w:r>
      <w:r w:rsidRPr="00B17A6D">
        <w:rPr>
          <w:rFonts w:ascii="Book Antiqua" w:eastAsia="等线" w:hAnsi="Book Antiqua" w:hint="eastAsia"/>
          <w:b/>
          <w:bCs/>
          <w:color w:val="000000"/>
          <w:sz w:val="24"/>
          <w:szCs w:val="24"/>
          <w:lang w:eastAsia="zh-CN"/>
        </w:rPr>
        <w:t>:</w:t>
      </w:r>
      <w:r w:rsidR="00C448D7" w:rsidRPr="00B17A6D">
        <w:rPr>
          <w:rFonts w:ascii="Book Antiqua" w:eastAsia="等线" w:hAnsi="Book Antiqua"/>
          <w:b/>
          <w:bCs/>
          <w:color w:val="000000"/>
          <w:sz w:val="24"/>
          <w:szCs w:val="24"/>
          <w:lang w:eastAsia="zh-CN"/>
        </w:rPr>
        <w:t xml:space="preserve"> </w:t>
      </w:r>
      <w:r w:rsidR="00B17A6D" w:rsidRPr="00B17A6D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t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>he Japanese Society of Gastroenterology (</w:t>
      </w:r>
      <w:bookmarkStart w:id="40" w:name="OLE_LINK1420"/>
      <w:bookmarkStart w:id="41" w:name="OLE_LINK1421"/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>N</w:t>
      </w:r>
      <w:r w:rsidR="00C448D7" w:rsidRPr="00B17A6D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>.</w:t>
      </w:r>
      <w:bookmarkEnd w:id="40"/>
      <w:bookmarkEnd w:id="41"/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 60394); </w:t>
      </w:r>
      <w:r w:rsidR="00B17A6D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the 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>Japan Surgical Society (N</w:t>
      </w:r>
      <w:r w:rsidR="00C448D7" w:rsidRPr="00B17A6D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. 559904); </w:t>
      </w:r>
      <w:r w:rsidR="00B17A6D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the 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>Japanese Society of Gastroenterological Surgery (N</w:t>
      </w:r>
      <w:r w:rsidR="00C448D7" w:rsidRPr="00B17A6D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. G0324826); </w:t>
      </w:r>
      <w:r w:rsidR="00B17A6D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the 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>Japan Esophageal Society (N</w:t>
      </w:r>
      <w:r w:rsidR="00C448D7" w:rsidRPr="00B17A6D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. 3768); </w:t>
      </w:r>
      <w:r w:rsidR="00B17A6D" w:rsidRPr="00B17A6D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and</w:t>
      </w:r>
      <w:r w:rsidR="00B17A6D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 xml:space="preserve"> the 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>Japan Society for Endoscopic Surgery (N</w:t>
      </w:r>
      <w:r w:rsidR="00C448D7" w:rsidRPr="00B17A6D">
        <w:rPr>
          <w:rFonts w:ascii="Book Antiqua" w:eastAsia="等线" w:hAnsi="Book Antiqua" w:hint="eastAsia"/>
          <w:color w:val="000000"/>
          <w:sz w:val="24"/>
          <w:szCs w:val="24"/>
          <w:lang w:eastAsia="zh-CN"/>
        </w:rPr>
        <w:t>o</w:t>
      </w:r>
      <w:r w:rsidR="00C448D7" w:rsidRPr="00B17A6D">
        <w:rPr>
          <w:rFonts w:ascii="Book Antiqua" w:eastAsia="等线" w:hAnsi="Book Antiqua"/>
          <w:color w:val="000000"/>
          <w:sz w:val="24"/>
          <w:szCs w:val="24"/>
          <w:lang w:eastAsia="zh-CN"/>
        </w:rPr>
        <w:t>. 5405215867).</w:t>
      </w:r>
    </w:p>
    <w:p w14:paraId="4D1A2C1B" w14:textId="77777777" w:rsidR="0003423C" w:rsidRDefault="0003423C" w:rsidP="00171C00">
      <w:pPr>
        <w:snapToGrid w:val="0"/>
        <w:spacing w:line="360" w:lineRule="auto"/>
        <w:rPr>
          <w:rFonts w:ascii="Book Antiqua" w:eastAsia="等线" w:hAnsi="Book Antiqua"/>
          <w:b/>
          <w:bCs/>
          <w:color w:val="000000"/>
          <w:lang w:eastAsia="zh-CN"/>
        </w:rPr>
      </w:pPr>
    </w:p>
    <w:p w14:paraId="001AE0C1" w14:textId="051EB48E" w:rsidR="0003423C" w:rsidRPr="00D7497C" w:rsidRDefault="0003423C" w:rsidP="00171C00">
      <w:pPr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  <w:r w:rsidRPr="00D7497C">
        <w:rPr>
          <w:rFonts w:ascii="Book Antiqua" w:hAnsi="Book Antiqua"/>
          <w:b/>
          <w:sz w:val="24"/>
          <w:szCs w:val="24"/>
          <w:lang w:val="en-GB"/>
        </w:rPr>
        <w:t>Peer-review started:</w:t>
      </w:r>
      <w:r w:rsidRPr="00D7497C">
        <w:rPr>
          <w:rFonts w:ascii="Book Antiqua" w:hAnsi="Book Antiqua"/>
          <w:sz w:val="24"/>
          <w:szCs w:val="24"/>
          <w:lang w:val="en-GB" w:eastAsia="zh-CN"/>
        </w:rPr>
        <w:t xml:space="preserve"> </w:t>
      </w:r>
      <w:r w:rsidR="00B17A6D">
        <w:rPr>
          <w:rFonts w:ascii="Book Antiqua" w:hAnsi="Book Antiqua"/>
          <w:sz w:val="24"/>
          <w:szCs w:val="24"/>
          <w:lang w:val="en-GB" w:eastAsia="zh-CN"/>
        </w:rPr>
        <w:t>F</w:t>
      </w:r>
      <w:r w:rsidR="00B17A6D">
        <w:rPr>
          <w:rFonts w:ascii="Book Antiqua" w:hAnsi="Book Antiqua" w:hint="eastAsia"/>
          <w:sz w:val="24"/>
          <w:szCs w:val="24"/>
          <w:lang w:val="en-GB" w:eastAsia="zh-CN"/>
        </w:rPr>
        <w:t>e</w:t>
      </w:r>
      <w:proofErr w:type="spellStart"/>
      <w:r w:rsidR="00B17A6D">
        <w:rPr>
          <w:rFonts w:ascii="Book Antiqua" w:hAnsi="Book Antiqua"/>
          <w:sz w:val="24"/>
          <w:szCs w:val="24"/>
          <w:lang w:eastAsia="zh-CN"/>
        </w:rPr>
        <w:t>bruary</w:t>
      </w:r>
      <w:proofErr w:type="spellEnd"/>
      <w:r w:rsidRPr="00D7497C">
        <w:rPr>
          <w:rFonts w:ascii="Book Antiqua" w:hAnsi="Book Antiqua"/>
          <w:sz w:val="24"/>
          <w:szCs w:val="24"/>
          <w:lang w:val="en-GB" w:eastAsia="zh-CN"/>
        </w:rPr>
        <w:t xml:space="preserve"> </w:t>
      </w:r>
      <w:r w:rsidR="00B17A6D">
        <w:rPr>
          <w:rFonts w:ascii="Book Antiqua" w:hAnsi="Book Antiqua"/>
          <w:sz w:val="24"/>
          <w:szCs w:val="24"/>
          <w:lang w:val="en-GB" w:eastAsia="zh-CN"/>
        </w:rPr>
        <w:t>29</w:t>
      </w:r>
      <w:r w:rsidRPr="00D7497C">
        <w:rPr>
          <w:rFonts w:ascii="Book Antiqua" w:hAnsi="Book Antiqua"/>
          <w:sz w:val="24"/>
          <w:szCs w:val="24"/>
          <w:lang w:val="en-GB" w:eastAsia="zh-CN"/>
        </w:rPr>
        <w:t>, 20</w:t>
      </w:r>
      <w:r w:rsidR="00B17A6D">
        <w:rPr>
          <w:rFonts w:ascii="Book Antiqua" w:hAnsi="Book Antiqua"/>
          <w:sz w:val="24"/>
          <w:szCs w:val="24"/>
          <w:lang w:val="en-GB" w:eastAsia="zh-CN"/>
        </w:rPr>
        <w:t>20</w:t>
      </w:r>
      <w:r w:rsidRPr="00D7497C">
        <w:rPr>
          <w:rFonts w:ascii="Book Antiqua" w:hAnsi="Book Antiqua"/>
          <w:sz w:val="24"/>
          <w:szCs w:val="24"/>
          <w:lang w:val="en-GB"/>
        </w:rPr>
        <w:t xml:space="preserve"> </w:t>
      </w:r>
    </w:p>
    <w:p w14:paraId="222CF088" w14:textId="34A4F20A" w:rsidR="0003423C" w:rsidRPr="00D7497C" w:rsidRDefault="0003423C" w:rsidP="00171C00">
      <w:pPr>
        <w:snapToGrid w:val="0"/>
        <w:spacing w:line="360" w:lineRule="auto"/>
        <w:rPr>
          <w:rFonts w:ascii="Book Antiqua" w:hAnsi="Book Antiqua"/>
          <w:b/>
          <w:sz w:val="24"/>
          <w:szCs w:val="24"/>
          <w:lang w:val="en-GB"/>
        </w:rPr>
      </w:pPr>
      <w:r w:rsidRPr="00D7497C">
        <w:rPr>
          <w:rFonts w:ascii="Book Antiqua" w:hAnsi="Book Antiqua"/>
          <w:b/>
          <w:sz w:val="24"/>
          <w:szCs w:val="24"/>
          <w:lang w:val="en-GB"/>
        </w:rPr>
        <w:t>First decision:</w:t>
      </w:r>
      <w:r w:rsidRPr="00D7497C">
        <w:rPr>
          <w:rFonts w:ascii="Book Antiqua" w:hAnsi="Book Antiqua"/>
          <w:sz w:val="24"/>
          <w:szCs w:val="24"/>
          <w:lang w:val="en-GB" w:eastAsia="zh-CN"/>
        </w:rPr>
        <w:t xml:space="preserve"> </w:t>
      </w:r>
      <w:proofErr w:type="spellStart"/>
      <w:r w:rsidR="00B17A6D">
        <w:rPr>
          <w:rFonts w:ascii="Book Antiqua" w:hAnsi="Book Antiqua"/>
          <w:sz w:val="24"/>
          <w:szCs w:val="24"/>
          <w:lang w:val="en-GB" w:eastAsia="zh-CN"/>
        </w:rPr>
        <w:t>A</w:t>
      </w:r>
      <w:r w:rsidR="00B17A6D">
        <w:rPr>
          <w:rFonts w:ascii="Book Antiqua" w:hAnsi="Book Antiqua" w:hint="eastAsia"/>
          <w:sz w:val="24"/>
          <w:szCs w:val="24"/>
          <w:lang w:val="en-GB" w:eastAsia="zh-CN"/>
        </w:rPr>
        <w:t>pri</w:t>
      </w:r>
      <w:proofErr w:type="spellEnd"/>
      <w:r w:rsidR="00B17A6D">
        <w:rPr>
          <w:rFonts w:ascii="Book Antiqua" w:hAnsi="Book Antiqua"/>
          <w:sz w:val="24"/>
          <w:szCs w:val="24"/>
          <w:lang w:eastAsia="zh-CN"/>
        </w:rPr>
        <w:t>l</w:t>
      </w:r>
      <w:r w:rsidRPr="00D7497C">
        <w:rPr>
          <w:rFonts w:ascii="Book Antiqua" w:hAnsi="Book Antiqua"/>
          <w:sz w:val="24"/>
          <w:szCs w:val="24"/>
          <w:lang w:val="en-GB" w:eastAsia="zh-CN"/>
        </w:rPr>
        <w:t xml:space="preserve"> 2, 20</w:t>
      </w:r>
      <w:r w:rsidR="00B17A6D">
        <w:rPr>
          <w:rFonts w:ascii="Book Antiqua" w:hAnsi="Book Antiqua"/>
          <w:sz w:val="24"/>
          <w:szCs w:val="24"/>
          <w:lang w:val="en-GB" w:eastAsia="zh-CN"/>
        </w:rPr>
        <w:t>20</w:t>
      </w:r>
    </w:p>
    <w:p w14:paraId="31144F86" w14:textId="77777777" w:rsidR="0003423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  <w:lang w:val="en-GB" w:eastAsia="zh-CN"/>
        </w:rPr>
      </w:pPr>
      <w:r w:rsidRPr="00D7497C">
        <w:rPr>
          <w:rFonts w:ascii="Book Antiqua" w:hAnsi="Book Antiqua"/>
          <w:b/>
          <w:sz w:val="24"/>
          <w:szCs w:val="24"/>
          <w:lang w:val="en-GB"/>
        </w:rPr>
        <w:t>Article in press:</w:t>
      </w:r>
      <w:r w:rsidRPr="00D7497C">
        <w:rPr>
          <w:rFonts w:ascii="Book Antiqua" w:hAnsi="Book Antiqua"/>
          <w:sz w:val="24"/>
          <w:szCs w:val="24"/>
          <w:lang w:val="en-GB"/>
        </w:rPr>
        <w:t xml:space="preserve"> </w:t>
      </w:r>
    </w:p>
    <w:p w14:paraId="733B9FCB" w14:textId="77777777" w:rsidR="0003423C" w:rsidRPr="00D7497C" w:rsidRDefault="0003423C" w:rsidP="00171C00">
      <w:pPr>
        <w:snapToGrid w:val="0"/>
        <w:spacing w:line="360" w:lineRule="auto"/>
        <w:rPr>
          <w:rFonts w:ascii="Book Antiqua" w:hAnsi="Book Antiqua"/>
          <w:sz w:val="24"/>
          <w:szCs w:val="24"/>
          <w:lang w:val="en-GB" w:eastAsia="zh-CN"/>
        </w:rPr>
      </w:pPr>
    </w:p>
    <w:p w14:paraId="516E1FF6" w14:textId="357F97A6" w:rsidR="0003423C" w:rsidRPr="008D43DD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b/>
          <w:sz w:val="24"/>
          <w:szCs w:val="24"/>
        </w:rPr>
      </w:pPr>
      <w:r w:rsidRPr="008D43DD">
        <w:rPr>
          <w:rFonts w:ascii="Book Antiqua" w:eastAsia="宋体" w:hAnsi="Book Antiqua" w:cs="Helvetica"/>
          <w:b/>
          <w:sz w:val="24"/>
          <w:szCs w:val="24"/>
        </w:rPr>
        <w:lastRenderedPageBreak/>
        <w:t xml:space="preserve">Specialty type: </w:t>
      </w:r>
      <w:bookmarkStart w:id="42" w:name="OLE_LINK1422"/>
      <w:bookmarkStart w:id="43" w:name="OLE_LINK1423"/>
      <w:r w:rsidR="00A61146" w:rsidRPr="00E700C2">
        <w:rPr>
          <w:rFonts w:ascii="Book Antiqua" w:eastAsia="微软雅黑" w:hAnsi="Book Antiqua" w:cs="宋体"/>
          <w:kern w:val="0"/>
          <w:sz w:val="24"/>
          <w:szCs w:val="24"/>
        </w:rPr>
        <w:t>Gastroenterology and hepatology</w:t>
      </w:r>
      <w:bookmarkEnd w:id="42"/>
      <w:bookmarkEnd w:id="43"/>
    </w:p>
    <w:p w14:paraId="08CD0BE5" w14:textId="6A9754D5" w:rsidR="0003423C" w:rsidRPr="008D43DD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b/>
          <w:sz w:val="24"/>
          <w:szCs w:val="24"/>
        </w:rPr>
      </w:pPr>
      <w:r w:rsidRPr="00007BBA">
        <w:rPr>
          <w:rFonts w:ascii="Book Antiqua" w:hAnsi="Book Antiqua" w:cs="宋体"/>
          <w:b/>
          <w:sz w:val="24"/>
          <w:szCs w:val="24"/>
          <w:lang w:eastAsia="zh-CN"/>
        </w:rPr>
        <w:t>Country/Territory</w:t>
      </w:r>
      <w:r w:rsidRPr="008D43DD">
        <w:rPr>
          <w:rFonts w:ascii="Book Antiqua" w:eastAsia="宋体" w:hAnsi="Book Antiqua" w:cs="Helvetica"/>
          <w:b/>
          <w:sz w:val="24"/>
          <w:szCs w:val="24"/>
        </w:rPr>
        <w:t xml:space="preserve"> of origin: </w:t>
      </w:r>
      <w:r w:rsidR="00A61146" w:rsidRPr="00A61146">
        <w:rPr>
          <w:rFonts w:ascii="Book Antiqua" w:eastAsia="宋体" w:hAnsi="Book Antiqua"/>
          <w:sz w:val="24"/>
          <w:szCs w:val="24"/>
        </w:rPr>
        <w:t>Japan</w:t>
      </w:r>
    </w:p>
    <w:p w14:paraId="3D4DF668" w14:textId="77777777" w:rsidR="0003423C" w:rsidRDefault="0003423C" w:rsidP="00171C00">
      <w:pPr>
        <w:adjustRightInd w:val="0"/>
        <w:snapToGrid w:val="0"/>
        <w:spacing w:line="360" w:lineRule="auto"/>
        <w:rPr>
          <w:rFonts w:ascii="Book Antiqua" w:hAnsi="Book Antiqua" w:cs="宋体"/>
          <w:b/>
          <w:sz w:val="24"/>
          <w:szCs w:val="24"/>
          <w:lang w:eastAsia="zh-CN"/>
        </w:rPr>
      </w:pPr>
      <w:r w:rsidRPr="00007BBA">
        <w:rPr>
          <w:rFonts w:ascii="Book Antiqua" w:hAnsi="Book Antiqua" w:cs="宋体"/>
          <w:b/>
          <w:sz w:val="24"/>
          <w:szCs w:val="24"/>
          <w:lang w:eastAsia="zh-CN"/>
        </w:rPr>
        <w:t>Peer-review report’s scientific quality classification</w:t>
      </w:r>
    </w:p>
    <w:p w14:paraId="72F2BFAE" w14:textId="77777777" w:rsidR="0003423C" w:rsidRPr="008D43DD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sz w:val="24"/>
          <w:szCs w:val="24"/>
          <w:lang w:eastAsia="zh-CN"/>
        </w:rPr>
      </w:pPr>
      <w:r w:rsidRPr="008D43DD">
        <w:rPr>
          <w:rFonts w:ascii="Book Antiqua" w:eastAsia="宋体" w:hAnsi="Book Antiqua" w:cs="Helvetica"/>
          <w:sz w:val="24"/>
          <w:szCs w:val="24"/>
        </w:rPr>
        <w:t xml:space="preserve">Grade A (Excellent): </w:t>
      </w:r>
      <w:r w:rsidRPr="008D43DD">
        <w:rPr>
          <w:rFonts w:ascii="Book Antiqua" w:eastAsia="宋体" w:hAnsi="Book Antiqua" w:cs="Helvetica"/>
          <w:sz w:val="24"/>
          <w:szCs w:val="24"/>
          <w:lang w:eastAsia="zh-CN"/>
        </w:rPr>
        <w:t>0</w:t>
      </w:r>
    </w:p>
    <w:p w14:paraId="65B0767C" w14:textId="77777777" w:rsidR="0003423C" w:rsidRPr="008D43DD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sz w:val="24"/>
          <w:szCs w:val="24"/>
        </w:rPr>
      </w:pPr>
      <w:r w:rsidRPr="008D43DD">
        <w:rPr>
          <w:rFonts w:ascii="Book Antiqua" w:eastAsia="宋体" w:hAnsi="Book Antiqua" w:cs="Helvetica"/>
          <w:sz w:val="24"/>
          <w:szCs w:val="24"/>
        </w:rPr>
        <w:t>Grade B (Very good): B</w:t>
      </w:r>
    </w:p>
    <w:p w14:paraId="3DBE720D" w14:textId="77777777" w:rsidR="0003423C" w:rsidRPr="008D43DD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sz w:val="24"/>
          <w:szCs w:val="24"/>
        </w:rPr>
      </w:pPr>
      <w:r w:rsidRPr="008D43DD">
        <w:rPr>
          <w:rFonts w:ascii="Book Antiqua" w:eastAsia="宋体" w:hAnsi="Book Antiqua" w:cs="Helvetica"/>
          <w:sz w:val="24"/>
          <w:szCs w:val="24"/>
        </w:rPr>
        <w:t>Grade C (Good): C</w:t>
      </w:r>
    </w:p>
    <w:p w14:paraId="4E2A31FE" w14:textId="77777777" w:rsidR="0003423C" w:rsidRPr="008D43DD" w:rsidRDefault="0003423C" w:rsidP="00171C00">
      <w:pPr>
        <w:snapToGrid w:val="0"/>
        <w:spacing w:line="360" w:lineRule="auto"/>
        <w:rPr>
          <w:rFonts w:ascii="Book Antiqua" w:eastAsia="宋体" w:hAnsi="Book Antiqua" w:cs="Helvetica"/>
          <w:sz w:val="24"/>
          <w:szCs w:val="24"/>
        </w:rPr>
      </w:pPr>
      <w:r w:rsidRPr="008D43DD">
        <w:rPr>
          <w:rFonts w:ascii="Book Antiqua" w:eastAsia="宋体" w:hAnsi="Book Antiqua" w:cs="Helvetica"/>
          <w:sz w:val="24"/>
          <w:szCs w:val="24"/>
        </w:rPr>
        <w:t xml:space="preserve">Grade D (Fair): 0 </w:t>
      </w:r>
    </w:p>
    <w:p w14:paraId="43CCABE0" w14:textId="77777777" w:rsidR="0003423C" w:rsidRPr="008D43DD" w:rsidRDefault="0003423C" w:rsidP="00171C00">
      <w:pPr>
        <w:snapToGrid w:val="0"/>
        <w:spacing w:line="360" w:lineRule="auto"/>
        <w:rPr>
          <w:rFonts w:ascii="Book Antiqua" w:hAnsi="Book Antiqua" w:cs="Calibri"/>
          <w:noProof/>
          <w:sz w:val="24"/>
          <w:szCs w:val="24"/>
        </w:rPr>
      </w:pPr>
      <w:r w:rsidRPr="008D43DD">
        <w:rPr>
          <w:rFonts w:ascii="Book Antiqua" w:eastAsia="宋体" w:hAnsi="Book Antiqua" w:cs="Helvetica"/>
          <w:sz w:val="24"/>
          <w:szCs w:val="24"/>
        </w:rPr>
        <w:t>Grade E (Poor): 0</w:t>
      </w:r>
    </w:p>
    <w:p w14:paraId="1DEA789C" w14:textId="77777777" w:rsidR="0003423C" w:rsidRPr="007C1759" w:rsidRDefault="0003423C" w:rsidP="00171C00">
      <w:pPr>
        <w:pStyle w:val="af2"/>
        <w:snapToGrid w:val="0"/>
        <w:spacing w:after="0" w:line="360" w:lineRule="auto"/>
        <w:ind w:left="0"/>
        <w:contextualSpacing w:val="0"/>
        <w:jc w:val="both"/>
        <w:rPr>
          <w:rFonts w:ascii="Book Antiqua" w:hAnsi="Book Antiqua" w:cs="Calibri"/>
          <w:noProof/>
          <w:sz w:val="24"/>
          <w:szCs w:val="24"/>
          <w:lang w:val="en-GB" w:eastAsia="zh-CN"/>
        </w:rPr>
      </w:pPr>
    </w:p>
    <w:p w14:paraId="4721B00B" w14:textId="6881F139" w:rsidR="0003423C" w:rsidRPr="00460FCA" w:rsidRDefault="0003423C" w:rsidP="00171C00">
      <w:pPr>
        <w:pStyle w:val="af3"/>
        <w:snapToGrid w:val="0"/>
        <w:spacing w:line="360" w:lineRule="auto"/>
        <w:ind w:right="120"/>
        <w:jc w:val="left"/>
        <w:rPr>
          <w:rFonts w:ascii="Book Antiqua" w:hAnsi="Book Antiqua"/>
          <w:b/>
          <w:sz w:val="24"/>
          <w:szCs w:val="24"/>
        </w:rPr>
      </w:pPr>
      <w:r w:rsidRPr="00460FCA">
        <w:rPr>
          <w:rFonts w:ascii="Book Antiqua" w:hAnsi="Book Antiqua"/>
          <w:b/>
          <w:sz w:val="24"/>
          <w:szCs w:val="24"/>
        </w:rPr>
        <w:t xml:space="preserve">P-Reviewer: </w:t>
      </w:r>
      <w:proofErr w:type="spellStart"/>
      <w:r w:rsidR="002F33CE" w:rsidRPr="002F33CE">
        <w:rPr>
          <w:rFonts w:ascii="Book Antiqua" w:hAnsi="Book Antiqua"/>
          <w:bCs/>
          <w:sz w:val="24"/>
          <w:szCs w:val="24"/>
        </w:rPr>
        <w:t>Tuo</w:t>
      </w:r>
      <w:proofErr w:type="spellEnd"/>
      <w:r w:rsidR="002F33CE" w:rsidRPr="002F33CE">
        <w:rPr>
          <w:rFonts w:ascii="Book Antiqua" w:hAnsi="Book Antiqua"/>
          <w:bCs/>
          <w:sz w:val="24"/>
          <w:szCs w:val="24"/>
        </w:rPr>
        <w:t xml:space="preserve"> BG, Yang </w:t>
      </w:r>
      <w:r w:rsidR="002F33CE" w:rsidRPr="002F33CE">
        <w:rPr>
          <w:rFonts w:ascii="Book Antiqua" w:hAnsi="Book Antiqua" w:hint="eastAsia"/>
          <w:bCs/>
          <w:sz w:val="24"/>
          <w:szCs w:val="24"/>
        </w:rPr>
        <w:t>JL</w:t>
      </w:r>
      <w:r w:rsidR="002F33CE" w:rsidRPr="002F33CE">
        <w:rPr>
          <w:rFonts w:ascii="Book Antiqua" w:hAnsi="Book Antiqua"/>
          <w:bCs/>
          <w:sz w:val="24"/>
          <w:szCs w:val="24"/>
        </w:rPr>
        <w:t xml:space="preserve"> </w:t>
      </w:r>
      <w:r w:rsidRPr="00460FCA">
        <w:rPr>
          <w:rFonts w:ascii="Book Antiqua" w:hAnsi="Book Antiqua"/>
          <w:b/>
          <w:sz w:val="24"/>
          <w:szCs w:val="24"/>
        </w:rPr>
        <w:t xml:space="preserve">S-Editor: </w:t>
      </w:r>
      <w:r w:rsidR="002F33CE">
        <w:rPr>
          <w:rFonts w:ascii="Book Antiqua" w:hAnsi="Book Antiqua"/>
          <w:sz w:val="24"/>
          <w:szCs w:val="24"/>
        </w:rPr>
        <w:t>Yan JP</w:t>
      </w:r>
      <w:r w:rsidRPr="00460FCA">
        <w:rPr>
          <w:rFonts w:ascii="Book Antiqua" w:hAnsi="Book Antiqua"/>
          <w:b/>
          <w:sz w:val="24"/>
          <w:szCs w:val="24"/>
        </w:rPr>
        <w:t xml:space="preserve"> L-Editor: E-Editor: </w:t>
      </w:r>
    </w:p>
    <w:p w14:paraId="187C7363" w14:textId="77777777" w:rsidR="00E72277" w:rsidRPr="00BD66E9" w:rsidRDefault="00E72277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</w:p>
    <w:p w14:paraId="5A0248A9" w14:textId="77777777" w:rsidR="00836C40" w:rsidRPr="00BD66E9" w:rsidRDefault="00836C40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7963698A" w14:textId="040428BB" w:rsidR="00E72277" w:rsidRPr="00BD66E9" w:rsidRDefault="00836C40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lastRenderedPageBreak/>
        <w:t>F</w:t>
      </w:r>
      <w:r w:rsidR="00E72277" w:rsidRPr="00BD66E9">
        <w:rPr>
          <w:rFonts w:ascii="Book Antiqua" w:hAnsi="Book Antiqua"/>
          <w:b/>
          <w:color w:val="000000" w:themeColor="text1"/>
          <w:sz w:val="24"/>
          <w:szCs w:val="24"/>
        </w:rPr>
        <w:t>igure Legends</w:t>
      </w:r>
    </w:p>
    <w:p w14:paraId="7EA5B40A" w14:textId="77777777" w:rsidR="00EC60A9" w:rsidRPr="00BD66E9" w:rsidRDefault="00EC60A9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58A0E308" wp14:editId="2F329940">
            <wp:extent cx="2653346" cy="2367151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550" cy="240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432E02F1" wp14:editId="5733B775">
            <wp:extent cx="2685059" cy="2369126"/>
            <wp:effectExtent l="0" t="0" r="127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79" cy="237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8E9AE" w14:textId="11F3677B" w:rsidR="00EC60A9" w:rsidRDefault="00E72277" w:rsidP="00171C00">
      <w:pPr>
        <w:widowControl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Figure 1 Upper gastrointestinal series and </w:t>
      </w:r>
      <w:r w:rsidR="008D4C97" w:rsidRPr="00BD66E9">
        <w:rPr>
          <w:rFonts w:ascii="Book Antiqua" w:hAnsi="Book Antiqua"/>
          <w:b/>
          <w:color w:val="000000" w:themeColor="text1"/>
          <w:sz w:val="24"/>
          <w:szCs w:val="24"/>
        </w:rPr>
        <w:t>u</w:t>
      </w: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pper gastrointestinal endoscopy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.</w:t>
      </w:r>
      <w:r w:rsidR="008D4C97"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544CA4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>A</w:t>
      </w:r>
      <w:r w:rsidR="00544CA4">
        <w:rPr>
          <w:rFonts w:ascii="Book Antiqua" w:hAnsi="Book Antiqua"/>
          <w:color w:val="000000" w:themeColor="text1"/>
          <w:sz w:val="24"/>
          <w:szCs w:val="24"/>
          <w:lang w:eastAsia="zh-CN"/>
        </w:rPr>
        <w:t xml:space="preserve">: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Upper gastrointestinal series reveals stenosis due to the protruding lesion in the lower esophagus (yellow arrow)</w:t>
      </w:r>
      <w:r w:rsidR="00544CA4">
        <w:rPr>
          <w:rFonts w:ascii="Book Antiqua" w:hAnsi="Book Antiqua"/>
          <w:color w:val="000000" w:themeColor="text1"/>
          <w:sz w:val="24"/>
          <w:szCs w:val="24"/>
        </w:rPr>
        <w:t>;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B: Type 1 and 0-IIc lesion</w:t>
      </w:r>
      <w:r w:rsidR="008D4C97" w:rsidRPr="00BD66E9">
        <w:rPr>
          <w:rFonts w:ascii="Book Antiqua" w:hAnsi="Book Antiqua"/>
          <w:color w:val="000000" w:themeColor="text1"/>
          <w:sz w:val="24"/>
          <w:szCs w:val="24"/>
        </w:rPr>
        <w:t>s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at from 35 cm from the incisors to</w:t>
      </w:r>
      <w:r w:rsidR="008D4C97" w:rsidRPr="00BD66E9">
        <w:rPr>
          <w:rFonts w:ascii="Book Antiqua" w:hAnsi="Book Antiqua"/>
          <w:color w:val="000000" w:themeColor="text1"/>
          <w:sz w:val="24"/>
          <w:szCs w:val="24"/>
        </w:rPr>
        <w:t>ward the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esophago-gastric junction.</w:t>
      </w:r>
    </w:p>
    <w:p w14:paraId="77BE40F4" w14:textId="0BF67512" w:rsidR="00544CA4" w:rsidRDefault="00544CA4" w:rsidP="00171C00">
      <w:pPr>
        <w:widowControl/>
        <w:snapToGrid w:val="0"/>
        <w:spacing w:line="360" w:lineRule="auto"/>
        <w:jc w:val="left"/>
        <w:rPr>
          <w:rFonts w:ascii="Book Antiqua" w:hAnsi="Book Antiqua"/>
          <w:color w:val="000000" w:themeColor="text1"/>
          <w:sz w:val="24"/>
          <w:szCs w:val="24"/>
        </w:rPr>
      </w:pPr>
      <w:r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29299067" w14:textId="2C6B5F3A" w:rsidR="00EC60A9" w:rsidRPr="00BD66E9" w:rsidRDefault="00EC60A9" w:rsidP="00171C00">
      <w:pPr>
        <w:widowControl/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lastRenderedPageBreak/>
        <w:drawing>
          <wp:inline distT="0" distB="0" distL="0" distR="0" wp14:anchorId="7611F086" wp14:editId="29452989">
            <wp:extent cx="2732629" cy="2303476"/>
            <wp:effectExtent l="0" t="0" r="0" b="1905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503" cy="232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5D573320" wp14:editId="755141F7">
            <wp:extent cx="2621633" cy="2312359"/>
            <wp:effectExtent l="0" t="0" r="762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07" cy="233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5913E" w14:textId="78071651" w:rsidR="00E72277" w:rsidRDefault="00E72277" w:rsidP="00171C00">
      <w:pPr>
        <w:widowControl/>
        <w:snapToGrid w:val="0"/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Figure 2</w:t>
      </w:r>
      <w:r w:rsidR="008D4C97"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Enhanced compute</w:t>
      </w:r>
      <w:r w:rsidR="008D4C97" w:rsidRPr="00BD66E9">
        <w:rPr>
          <w:rFonts w:ascii="Book Antiqua" w:hAnsi="Book Antiqua"/>
          <w:b/>
          <w:color w:val="000000" w:themeColor="text1"/>
          <w:sz w:val="24"/>
          <w:szCs w:val="24"/>
        </w:rPr>
        <w:t>rized</w:t>
      </w: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 tomography and </w:t>
      </w:r>
      <w:bookmarkStart w:id="44" w:name="OLE_LINK1424"/>
      <w:bookmarkStart w:id="45" w:name="OLE_LINK1425"/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18F-2-fluoro-2-deoxy-D-glucose positron-emission tomography</w:t>
      </w:r>
      <w:bookmarkEnd w:id="44"/>
      <w:bookmarkEnd w:id="45"/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.</w:t>
      </w:r>
      <w:r w:rsidR="00EC60A9"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A: Enhanced computerized tomography; B: 18F-2-fluoro-2-deoxy-D-glucose positron-emission tomography.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The major axis of the main tumor was 42 mm and maximum standardized uptake value of the lesion was 13.9 </w:t>
      </w:r>
      <w:r w:rsidR="008D4C97" w:rsidRPr="00BD66E9">
        <w:rPr>
          <w:rFonts w:ascii="Book Antiqua" w:hAnsi="Book Antiqua"/>
          <w:color w:val="000000" w:themeColor="text1"/>
          <w:sz w:val="24"/>
          <w:szCs w:val="24"/>
        </w:rPr>
        <w:t xml:space="preserve">at 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white arro</w:t>
      </w:r>
      <w:r w:rsidR="008D4C97" w:rsidRPr="00BD66E9">
        <w:rPr>
          <w:rFonts w:ascii="Book Antiqua" w:hAnsi="Book Antiqua"/>
          <w:color w:val="000000" w:themeColor="text1"/>
          <w:sz w:val="24"/>
          <w:szCs w:val="24"/>
        </w:rPr>
        <w:t>w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. There suspected </w:t>
      </w:r>
      <w:proofErr w:type="spellStart"/>
      <w:r w:rsidRPr="00BD66E9">
        <w:rPr>
          <w:rFonts w:ascii="Book Antiqua" w:hAnsi="Book Antiqua"/>
          <w:color w:val="000000" w:themeColor="text1"/>
          <w:sz w:val="24"/>
          <w:szCs w:val="24"/>
        </w:rPr>
        <w:t>paraesophageal</w:t>
      </w:r>
      <w:proofErr w:type="spellEnd"/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lymph node metastasis </w:t>
      </w:r>
      <w:r w:rsidR="008D4C97" w:rsidRPr="00BD66E9">
        <w:rPr>
          <w:rFonts w:ascii="Book Antiqua" w:hAnsi="Book Antiqua"/>
          <w:color w:val="000000" w:themeColor="text1"/>
          <w:sz w:val="24"/>
          <w:szCs w:val="24"/>
        </w:rPr>
        <w:t xml:space="preserve">is indicated by the 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>yellow arrow.</w:t>
      </w:r>
    </w:p>
    <w:p w14:paraId="79669E60" w14:textId="7D9EED98" w:rsidR="00544CA4" w:rsidRDefault="00544CA4" w:rsidP="00171C00">
      <w:pPr>
        <w:widowControl/>
        <w:snapToGrid w:val="0"/>
        <w:spacing w:line="360" w:lineRule="auto"/>
        <w:jc w:val="left"/>
        <w:rPr>
          <w:rFonts w:ascii="Book Antiqua" w:hAnsi="Book Antiqua"/>
          <w:b/>
          <w:color w:val="000000" w:themeColor="text1"/>
          <w:sz w:val="24"/>
          <w:szCs w:val="24"/>
        </w:rPr>
      </w:pPr>
      <w:r>
        <w:rPr>
          <w:rFonts w:ascii="Book Antiqua" w:hAnsi="Book Antiqua"/>
          <w:b/>
          <w:color w:val="000000" w:themeColor="text1"/>
          <w:sz w:val="24"/>
          <w:szCs w:val="24"/>
        </w:rPr>
        <w:br w:type="page"/>
      </w:r>
    </w:p>
    <w:p w14:paraId="16F1B87D" w14:textId="519CCB46" w:rsidR="00E72277" w:rsidRPr="00BD66E9" w:rsidRDefault="0017488F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lastRenderedPageBreak/>
        <w:drawing>
          <wp:inline distT="0" distB="0" distL="0" distR="0" wp14:anchorId="732CA195" wp14:editId="0238892C">
            <wp:extent cx="2644979" cy="1761490"/>
            <wp:effectExtent l="0" t="0" r="3175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596" cy="177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3F1F4D3A" wp14:editId="3053D388">
            <wp:extent cx="2637790" cy="1762175"/>
            <wp:effectExtent l="0" t="0" r="0" b="952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82" cy="177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F5964" w14:textId="14CF32F9" w:rsidR="00E72277" w:rsidRPr="00544CA4" w:rsidRDefault="00E72277" w:rsidP="00171C00">
      <w:pPr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Figure 3 Macroscopic findings.</w:t>
      </w:r>
      <w:r w:rsidR="00EC60A9"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A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Three polypoid type lesions </w:t>
      </w:r>
      <w:r w:rsidR="0017488F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(yellow arrowheads) 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were identified in the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abdominal esophagus in addition to the main 60 mm × 40 mm lesion in the lower esophagus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B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Iodine staining; a</w:t>
      </w:r>
      <w:r w:rsidR="00B21E8D" w:rsidRPr="00544CA4">
        <w:rPr>
          <w:rFonts w:ascii="Book Antiqua" w:hAnsi="Book Antiqua"/>
          <w:bCs/>
          <w:color w:val="000000" w:themeColor="text1"/>
          <w:sz w:val="24"/>
          <w:szCs w:val="24"/>
        </w:rPr>
        <w:t>n un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stained zone 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was detected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at the base of the 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main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tumor.</w:t>
      </w:r>
    </w:p>
    <w:p w14:paraId="36816D25" w14:textId="1E44E628" w:rsidR="00544CA4" w:rsidRDefault="00544CA4" w:rsidP="00171C00">
      <w:pPr>
        <w:widowControl/>
        <w:snapToGrid w:val="0"/>
        <w:spacing w:line="360" w:lineRule="auto"/>
        <w:jc w:val="left"/>
        <w:rPr>
          <w:rFonts w:ascii="Book Antiqua" w:hAnsi="Book Antiqua"/>
          <w:color w:val="000000" w:themeColor="text1"/>
          <w:sz w:val="24"/>
          <w:szCs w:val="24"/>
        </w:rPr>
      </w:pPr>
      <w:r>
        <w:rPr>
          <w:rFonts w:ascii="Book Antiqua" w:hAnsi="Book Antiqua"/>
          <w:color w:val="000000" w:themeColor="text1"/>
          <w:sz w:val="24"/>
          <w:szCs w:val="24"/>
        </w:rPr>
        <w:br w:type="page"/>
      </w:r>
    </w:p>
    <w:p w14:paraId="63554431" w14:textId="77777777" w:rsidR="00E72277" w:rsidRPr="00BD66E9" w:rsidRDefault="00EC60A9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lastRenderedPageBreak/>
        <w:drawing>
          <wp:inline distT="0" distB="0" distL="0" distR="0" wp14:anchorId="33FCE124" wp14:editId="0755DF86">
            <wp:extent cx="2685059" cy="1843617"/>
            <wp:effectExtent l="0" t="0" r="1270" b="4445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731" cy="186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046CC910" wp14:editId="5C6A12D3">
            <wp:extent cx="2675998" cy="1839426"/>
            <wp:effectExtent l="0" t="0" r="0" b="889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29" cy="184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5F719" w14:textId="77777777" w:rsidR="00EC60A9" w:rsidRPr="00BD66E9" w:rsidRDefault="00EC60A9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6C610257" wp14:editId="60A3ADB4">
            <wp:extent cx="2684780" cy="1827880"/>
            <wp:effectExtent l="0" t="0" r="1270" b="127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089" cy="183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024BB407" wp14:editId="2D4617A8">
            <wp:extent cx="2663916" cy="1824190"/>
            <wp:effectExtent l="0" t="0" r="3175" b="508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316" cy="184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5581F" w14:textId="013F4E33" w:rsidR="00C106DD" w:rsidRPr="00BD66E9" w:rsidRDefault="00C106DD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75065AD4" wp14:editId="05C94BE6">
            <wp:extent cx="2663917" cy="1830085"/>
            <wp:effectExtent l="0" t="0" r="3175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323" cy="183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54119E9D" wp14:editId="42FEC633">
            <wp:extent cx="2674296" cy="1829024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981" cy="184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24F2A" w14:textId="733A9949" w:rsidR="00C106DD" w:rsidRPr="00BD66E9" w:rsidRDefault="00C106DD" w:rsidP="00171C00">
      <w:pPr>
        <w:snapToGrid w:val="0"/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43067236" wp14:editId="06221C77">
            <wp:extent cx="2673598" cy="1823598"/>
            <wp:effectExtent l="0" t="0" r="0" b="5715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79" cy="1844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1E8C" w:rsidRPr="00BD66E9">
        <w:rPr>
          <w:rFonts w:ascii="Book Antiqua" w:hAnsi="Book Antiqua"/>
          <w:noProof/>
          <w:color w:val="000000" w:themeColor="text1"/>
          <w:sz w:val="24"/>
          <w:szCs w:val="24"/>
          <w:lang w:eastAsia="zh-CN"/>
        </w:rPr>
        <w:drawing>
          <wp:inline distT="0" distB="0" distL="0" distR="0" wp14:anchorId="6AE48E8E" wp14:editId="4E1EFF5F">
            <wp:extent cx="2693381" cy="184785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17" cy="185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DCA91" w14:textId="3F9944FE" w:rsidR="00E72277" w:rsidRPr="00544CA4" w:rsidRDefault="00E72277" w:rsidP="00171C00">
      <w:pPr>
        <w:widowControl/>
        <w:snapToGrid w:val="0"/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Figure 4</w:t>
      </w:r>
      <w:r w:rsidRPr="00BD66E9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BD66E9">
        <w:rPr>
          <w:rFonts w:ascii="Book Antiqua" w:hAnsi="Book Antiqua"/>
          <w:b/>
          <w:color w:val="000000" w:themeColor="text1"/>
          <w:sz w:val="24"/>
          <w:szCs w:val="24"/>
        </w:rPr>
        <w:t>Histopathological and immunohistochemical findings.</w:t>
      </w:r>
      <w:r w:rsidR="00EC60A9" w:rsidRPr="00BD66E9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A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Dense proliferation and infiltration of spindle cells mixed with giant cells with large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lastRenderedPageBreak/>
        <w:t>atypical nucle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>i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and polynuclear 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cells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were observed (hematoxylin</w:t>
      </w:r>
      <w:r w:rsidRPr="00544CA4">
        <w:rPr>
          <w:rFonts w:ascii="Book Antiqua" w:hAnsi="Book Antiqua"/>
          <w:bCs/>
          <w:snapToGrid w:val="0"/>
          <w:color w:val="000000" w:themeColor="text1"/>
          <w:kern w:val="0"/>
          <w:sz w:val="24"/>
          <w:szCs w:val="24"/>
        </w:rPr>
        <w:t>–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eosin staining, ×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200)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B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Adeno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>-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carcinoma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>tous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component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>s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w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>ere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>detected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in a 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>section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near the root (hematoxylin</w:t>
      </w:r>
      <w:r w:rsidRPr="00544CA4">
        <w:rPr>
          <w:rFonts w:ascii="Book Antiqua" w:hAnsi="Book Antiqua"/>
          <w:bCs/>
          <w:snapToGrid w:val="0"/>
          <w:color w:val="000000" w:themeColor="text1"/>
          <w:kern w:val="0"/>
          <w:sz w:val="24"/>
          <w:szCs w:val="24"/>
        </w:rPr>
        <w:t>–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eosin staining, ×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100; inserted figure: immunohistochemical expression of CAM</w:t>
      </w:r>
      <w:r w:rsidR="008D03BE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5.2, ×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100)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C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Squamous cell carcinoma </w:t>
      </w:r>
      <w:r w:rsidRPr="00544CA4">
        <w:rPr>
          <w:rFonts w:ascii="Book Antiqua" w:hAnsi="Book Antiqua"/>
          <w:bCs/>
          <w:i/>
          <w:color w:val="000000" w:themeColor="text1"/>
          <w:sz w:val="24"/>
          <w:szCs w:val="24"/>
        </w:rPr>
        <w:t>in situ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was found in the mucosa of the basal part of the tumor (hematoxylin</w:t>
      </w:r>
      <w:r w:rsidRPr="00544CA4">
        <w:rPr>
          <w:rFonts w:ascii="Book Antiqua" w:hAnsi="Book Antiqua"/>
          <w:bCs/>
          <w:snapToGrid w:val="0"/>
          <w:color w:val="000000" w:themeColor="text1"/>
          <w:kern w:val="0"/>
          <w:sz w:val="24"/>
          <w:szCs w:val="24"/>
        </w:rPr>
        <w:t>–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eosin staining, ×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100)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D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2E46E5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E-cadherin was not detected in </w:t>
      </w:r>
      <w:r w:rsidR="009F4D01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spindle </w:t>
      </w:r>
      <w:r w:rsidR="002E46E5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cells but was detected in the regions of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squamous cell carcinoma (×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100)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E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-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G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bookmarkStart w:id="46" w:name="OLE_LINK1426"/>
      <w:r w:rsidR="00544CA4" w:rsidRPr="00BD66E9">
        <w:rPr>
          <w:rFonts w:ascii="Book Antiqua" w:hAnsi="Book Antiqua"/>
          <w:color w:val="000000" w:themeColor="text1"/>
          <w:sz w:val="24"/>
          <w:szCs w:val="24"/>
        </w:rPr>
        <w:t>Epithelial-mesenchymal transition</w:t>
      </w:r>
      <w:bookmarkEnd w:id="46"/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-related markers, </w:t>
      </w:r>
      <w:bookmarkStart w:id="47" w:name="OLE_LINK1427"/>
      <w:bookmarkStart w:id="48" w:name="OLE_LINK1428"/>
      <w:r w:rsidR="00544CA4" w:rsidRPr="00BD66E9">
        <w:rPr>
          <w:rStyle w:val="st"/>
          <w:rFonts w:ascii="Book Antiqua" w:hAnsi="Book Antiqua"/>
          <w:color w:val="000000" w:themeColor="text1"/>
          <w:sz w:val="24"/>
          <w:szCs w:val="24"/>
        </w:rPr>
        <w:t>zinc finger E-box-binding homeobox 1</w:t>
      </w:r>
      <w:bookmarkEnd w:id="47"/>
      <w:bookmarkEnd w:id="48"/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(E, ×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100), TWIST (F, ×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100), and </w:t>
      </w:r>
      <w:r w:rsidR="00F42D35" w:rsidRPr="00544CA4">
        <w:rPr>
          <w:rStyle w:val="st"/>
          <w:rFonts w:ascii="Book Antiqua" w:hAnsi="Book Antiqua"/>
          <w:bCs/>
          <w:color w:val="000000" w:themeColor="text1"/>
          <w:sz w:val="24"/>
          <w:szCs w:val="24"/>
        </w:rPr>
        <w:t>snail family transcriptional repressor 2</w:t>
      </w:r>
      <w:r w:rsidR="00F42D35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(G, ×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Pr="00544CA4">
        <w:rPr>
          <w:rFonts w:ascii="Book Antiqua" w:hAnsi="Book Antiqua"/>
          <w:bCs/>
          <w:color w:val="000000" w:themeColor="text1"/>
          <w:sz w:val="24"/>
          <w:szCs w:val="24"/>
        </w:rPr>
        <w:t>100)</w:t>
      </w:r>
      <w:r w:rsidR="002E46E5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were detected in spindle cells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;</w:t>
      </w:r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H</w:t>
      </w:r>
      <w:r w:rsidR="00544CA4" w:rsidRPr="00544CA4">
        <w:rPr>
          <w:rFonts w:ascii="Book Antiqua" w:hAnsi="Book Antiqua"/>
          <w:bCs/>
          <w:color w:val="000000" w:themeColor="text1"/>
          <w:sz w:val="24"/>
          <w:szCs w:val="24"/>
        </w:rPr>
        <w:t>:</w:t>
      </w:r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2E46E5" w:rsidRPr="00544CA4">
        <w:rPr>
          <w:rFonts w:ascii="Book Antiqua" w:hAnsi="Book Antiqua"/>
          <w:bCs/>
          <w:color w:val="000000" w:themeColor="text1"/>
          <w:sz w:val="24"/>
          <w:szCs w:val="24"/>
        </w:rPr>
        <w:t>L</w:t>
      </w:r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>ymph node metastas</w:t>
      </w:r>
      <w:r w:rsidR="002E46E5" w:rsidRPr="00544CA4">
        <w:rPr>
          <w:rFonts w:ascii="Book Antiqua" w:hAnsi="Book Antiqua"/>
          <w:bCs/>
          <w:color w:val="000000" w:themeColor="text1"/>
          <w:sz w:val="24"/>
          <w:szCs w:val="24"/>
        </w:rPr>
        <w:t>e</w:t>
      </w:r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s </w:t>
      </w:r>
      <w:r w:rsidR="002E46E5" w:rsidRPr="00544CA4">
        <w:rPr>
          <w:rFonts w:ascii="Book Antiqua" w:hAnsi="Book Antiqua"/>
          <w:bCs/>
          <w:color w:val="000000" w:themeColor="text1"/>
          <w:sz w:val="24"/>
          <w:szCs w:val="24"/>
        </w:rPr>
        <w:t>with</w:t>
      </w:r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sarcoma</w:t>
      </w:r>
      <w:r w:rsidR="002E46E5" w:rsidRPr="00544CA4">
        <w:rPr>
          <w:rFonts w:ascii="Book Antiqua" w:hAnsi="Book Antiqua"/>
          <w:bCs/>
          <w:color w:val="000000" w:themeColor="text1"/>
          <w:sz w:val="24"/>
          <w:szCs w:val="24"/>
        </w:rPr>
        <w:t>tous</w:t>
      </w:r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component</w:t>
      </w:r>
      <w:r w:rsidR="002E46E5" w:rsidRPr="00544CA4">
        <w:rPr>
          <w:rFonts w:ascii="Book Antiqua" w:hAnsi="Book Antiqua"/>
          <w:bCs/>
          <w:color w:val="000000" w:themeColor="text1"/>
          <w:sz w:val="24"/>
          <w:szCs w:val="24"/>
        </w:rPr>
        <w:t>s</w:t>
      </w:r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bookmarkStart w:id="49" w:name="OLE_LINK1443"/>
      <w:bookmarkStart w:id="50" w:name="OLE_LINK1444"/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>(hematoxylin</w:t>
      </w:r>
      <w:r w:rsidR="00914366" w:rsidRPr="00544CA4">
        <w:rPr>
          <w:rFonts w:ascii="Book Antiqua" w:hAnsi="Book Antiqua"/>
          <w:bCs/>
          <w:snapToGrid w:val="0"/>
          <w:color w:val="000000" w:themeColor="text1"/>
          <w:kern w:val="0"/>
          <w:sz w:val="24"/>
          <w:szCs w:val="24"/>
        </w:rPr>
        <w:t>–</w:t>
      </w:r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>eosin staining, ×</w:t>
      </w:r>
      <w:r w:rsidR="00544CA4">
        <w:rPr>
          <w:rFonts w:ascii="Book Antiqua" w:hAnsi="Book Antiqua"/>
          <w:bCs/>
          <w:color w:val="000000" w:themeColor="text1"/>
          <w:sz w:val="24"/>
          <w:szCs w:val="24"/>
        </w:rPr>
        <w:t xml:space="preserve"> </w:t>
      </w:r>
      <w:r w:rsidR="00914366" w:rsidRPr="00544CA4">
        <w:rPr>
          <w:rFonts w:ascii="Book Antiqua" w:hAnsi="Book Antiqua"/>
          <w:bCs/>
          <w:color w:val="000000" w:themeColor="text1"/>
          <w:sz w:val="24"/>
          <w:szCs w:val="24"/>
        </w:rPr>
        <w:t>40).</w:t>
      </w:r>
      <w:bookmarkEnd w:id="49"/>
      <w:bookmarkEnd w:id="50"/>
    </w:p>
    <w:sectPr w:rsidR="00E72277" w:rsidRPr="00544CA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E64B58" w14:textId="77777777" w:rsidR="00755B9D" w:rsidRDefault="00755B9D" w:rsidP="005D017D">
      <w:r>
        <w:separator/>
      </w:r>
    </w:p>
  </w:endnote>
  <w:endnote w:type="continuationSeparator" w:id="0">
    <w:p w14:paraId="71E9F3B2" w14:textId="77777777" w:rsidR="00755B9D" w:rsidRDefault="00755B9D" w:rsidP="005D017D">
      <w:r>
        <w:continuationSeparator/>
      </w:r>
    </w:p>
  </w:endnote>
  <w:endnote w:type="continuationNotice" w:id="1">
    <w:p w14:paraId="4E902780" w14:textId="77777777" w:rsidR="00755B9D" w:rsidRDefault="00755B9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424F853" w14:textId="77777777" w:rsidR="00755B9D" w:rsidRDefault="00755B9D" w:rsidP="005D017D">
      <w:r>
        <w:separator/>
      </w:r>
    </w:p>
  </w:footnote>
  <w:footnote w:type="continuationSeparator" w:id="0">
    <w:p w14:paraId="1C22B33C" w14:textId="77777777" w:rsidR="00755B9D" w:rsidRDefault="00755B9D" w:rsidP="005D017D">
      <w:r>
        <w:continuationSeparator/>
      </w:r>
    </w:p>
  </w:footnote>
  <w:footnote w:type="continuationNotice" w:id="1">
    <w:p w14:paraId="708C7A18" w14:textId="77777777" w:rsidR="00755B9D" w:rsidRDefault="00755B9D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E72277"/>
    <w:rsid w:val="000206BA"/>
    <w:rsid w:val="0003423C"/>
    <w:rsid w:val="00042B14"/>
    <w:rsid w:val="0005644E"/>
    <w:rsid w:val="00057BF8"/>
    <w:rsid w:val="00062BE3"/>
    <w:rsid w:val="00065BFA"/>
    <w:rsid w:val="000B0DAC"/>
    <w:rsid w:val="000B33B2"/>
    <w:rsid w:val="000C09DF"/>
    <w:rsid w:val="00107824"/>
    <w:rsid w:val="001259DC"/>
    <w:rsid w:val="00144839"/>
    <w:rsid w:val="00171C00"/>
    <w:rsid w:val="00172E1E"/>
    <w:rsid w:val="0017488F"/>
    <w:rsid w:val="0018645D"/>
    <w:rsid w:val="001B1D05"/>
    <w:rsid w:val="001F1CC4"/>
    <w:rsid w:val="00200BD9"/>
    <w:rsid w:val="0025072F"/>
    <w:rsid w:val="002B6C93"/>
    <w:rsid w:val="002E46E5"/>
    <w:rsid w:val="002F33CE"/>
    <w:rsid w:val="00311E8C"/>
    <w:rsid w:val="0033649E"/>
    <w:rsid w:val="00346EAA"/>
    <w:rsid w:val="003568D2"/>
    <w:rsid w:val="00375DAF"/>
    <w:rsid w:val="00390726"/>
    <w:rsid w:val="00393999"/>
    <w:rsid w:val="003E221F"/>
    <w:rsid w:val="003E3CCE"/>
    <w:rsid w:val="0043185A"/>
    <w:rsid w:val="00435EEF"/>
    <w:rsid w:val="004417BD"/>
    <w:rsid w:val="00443119"/>
    <w:rsid w:val="00456E8A"/>
    <w:rsid w:val="0046499D"/>
    <w:rsid w:val="00477671"/>
    <w:rsid w:val="004B3B1A"/>
    <w:rsid w:val="004B6DC8"/>
    <w:rsid w:val="004C06D8"/>
    <w:rsid w:val="00506D15"/>
    <w:rsid w:val="00507B14"/>
    <w:rsid w:val="00544CA4"/>
    <w:rsid w:val="00553E15"/>
    <w:rsid w:val="00590A53"/>
    <w:rsid w:val="0059232A"/>
    <w:rsid w:val="005B57FA"/>
    <w:rsid w:val="005D017D"/>
    <w:rsid w:val="005D6D9B"/>
    <w:rsid w:val="005F60D2"/>
    <w:rsid w:val="00601B03"/>
    <w:rsid w:val="00617311"/>
    <w:rsid w:val="00640C83"/>
    <w:rsid w:val="00667F2C"/>
    <w:rsid w:val="006A2B44"/>
    <w:rsid w:val="006B1F48"/>
    <w:rsid w:val="006C7248"/>
    <w:rsid w:val="006D2127"/>
    <w:rsid w:val="006D37B0"/>
    <w:rsid w:val="006E5421"/>
    <w:rsid w:val="00706555"/>
    <w:rsid w:val="0072070E"/>
    <w:rsid w:val="0074252A"/>
    <w:rsid w:val="0075576E"/>
    <w:rsid w:val="00755B9D"/>
    <w:rsid w:val="007626C7"/>
    <w:rsid w:val="00797D3B"/>
    <w:rsid w:val="007C77B0"/>
    <w:rsid w:val="007D5763"/>
    <w:rsid w:val="007F1A18"/>
    <w:rsid w:val="008135A4"/>
    <w:rsid w:val="00820033"/>
    <w:rsid w:val="00836C40"/>
    <w:rsid w:val="008542EA"/>
    <w:rsid w:val="008A2FED"/>
    <w:rsid w:val="008A40DA"/>
    <w:rsid w:val="008D03BE"/>
    <w:rsid w:val="008D4C97"/>
    <w:rsid w:val="00902ACC"/>
    <w:rsid w:val="0090478D"/>
    <w:rsid w:val="00906C18"/>
    <w:rsid w:val="00914366"/>
    <w:rsid w:val="009876E8"/>
    <w:rsid w:val="009D520D"/>
    <w:rsid w:val="009F47A6"/>
    <w:rsid w:val="009F4D01"/>
    <w:rsid w:val="00A074FF"/>
    <w:rsid w:val="00A21C49"/>
    <w:rsid w:val="00A343FC"/>
    <w:rsid w:val="00A61146"/>
    <w:rsid w:val="00A74552"/>
    <w:rsid w:val="00AF0E07"/>
    <w:rsid w:val="00AF4237"/>
    <w:rsid w:val="00B0373E"/>
    <w:rsid w:val="00B17A6D"/>
    <w:rsid w:val="00B21E8D"/>
    <w:rsid w:val="00B52253"/>
    <w:rsid w:val="00BD66E9"/>
    <w:rsid w:val="00C102F6"/>
    <w:rsid w:val="00C106DD"/>
    <w:rsid w:val="00C129CE"/>
    <w:rsid w:val="00C14F9A"/>
    <w:rsid w:val="00C239AF"/>
    <w:rsid w:val="00C312B4"/>
    <w:rsid w:val="00C448D7"/>
    <w:rsid w:val="00C566DF"/>
    <w:rsid w:val="00C75212"/>
    <w:rsid w:val="00C80FDE"/>
    <w:rsid w:val="00C81E03"/>
    <w:rsid w:val="00C9598A"/>
    <w:rsid w:val="00CC07E8"/>
    <w:rsid w:val="00CC4DA1"/>
    <w:rsid w:val="00D66F33"/>
    <w:rsid w:val="00D90790"/>
    <w:rsid w:val="00DD67C6"/>
    <w:rsid w:val="00DE4B03"/>
    <w:rsid w:val="00DF5768"/>
    <w:rsid w:val="00DF66E4"/>
    <w:rsid w:val="00DF6741"/>
    <w:rsid w:val="00E07C6F"/>
    <w:rsid w:val="00E12D9F"/>
    <w:rsid w:val="00E2651D"/>
    <w:rsid w:val="00E40AA6"/>
    <w:rsid w:val="00E42DF3"/>
    <w:rsid w:val="00E72277"/>
    <w:rsid w:val="00E7433C"/>
    <w:rsid w:val="00EB4433"/>
    <w:rsid w:val="00EC60A9"/>
    <w:rsid w:val="00F24CDF"/>
    <w:rsid w:val="00F42D35"/>
    <w:rsid w:val="00F752AC"/>
    <w:rsid w:val="00F87815"/>
    <w:rsid w:val="00FC037F"/>
    <w:rsid w:val="00FD79E3"/>
    <w:rsid w:val="00FE0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64B13940"/>
  <w15:docId w15:val="{D75988C1-EB02-4DBD-85EA-EF4044E1C2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72277"/>
    <w:pPr>
      <w:widowControl w:val="0"/>
      <w:jc w:val="both"/>
    </w:pPr>
    <w:rPr>
      <w:rFonts w:ascii="Century" w:eastAsia="MS Mincho" w:hAnsi="Century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E72277"/>
    <w:rPr>
      <w:color w:val="0563C1"/>
      <w:u w:val="single"/>
    </w:rPr>
  </w:style>
  <w:style w:type="paragraph" w:styleId="a4">
    <w:name w:val="header"/>
    <w:basedOn w:val="a"/>
    <w:link w:val="a5"/>
    <w:uiPriority w:val="99"/>
    <w:unhideWhenUsed/>
    <w:rsid w:val="00E72277"/>
    <w:pPr>
      <w:tabs>
        <w:tab w:val="center" w:pos="4252"/>
        <w:tab w:val="right" w:pos="8504"/>
      </w:tabs>
      <w:snapToGrid w:val="0"/>
    </w:pPr>
  </w:style>
  <w:style w:type="character" w:customStyle="1" w:styleId="a5">
    <w:name w:val="页眉 字符"/>
    <w:basedOn w:val="a0"/>
    <w:link w:val="a4"/>
    <w:uiPriority w:val="99"/>
    <w:rsid w:val="00E72277"/>
    <w:rPr>
      <w:rFonts w:ascii="Century" w:eastAsia="MS Mincho" w:hAnsi="Century" w:cs="Times New Roman"/>
    </w:rPr>
  </w:style>
  <w:style w:type="paragraph" w:styleId="a6">
    <w:name w:val="footer"/>
    <w:basedOn w:val="a"/>
    <w:link w:val="a7"/>
    <w:uiPriority w:val="99"/>
    <w:unhideWhenUsed/>
    <w:rsid w:val="00E72277"/>
    <w:pPr>
      <w:tabs>
        <w:tab w:val="center" w:pos="4252"/>
        <w:tab w:val="right" w:pos="8504"/>
      </w:tabs>
      <w:snapToGrid w:val="0"/>
    </w:pPr>
  </w:style>
  <w:style w:type="character" w:customStyle="1" w:styleId="a7">
    <w:name w:val="页脚 字符"/>
    <w:basedOn w:val="a0"/>
    <w:link w:val="a6"/>
    <w:uiPriority w:val="99"/>
    <w:rsid w:val="00E72277"/>
    <w:rPr>
      <w:rFonts w:ascii="Century" w:eastAsia="MS Mincho" w:hAnsi="Century" w:cs="Times New Roman"/>
    </w:rPr>
  </w:style>
  <w:style w:type="paragraph" w:customStyle="1" w:styleId="1">
    <w:name w:val="正文1"/>
    <w:uiPriority w:val="99"/>
    <w:rsid w:val="00E72277"/>
    <w:pPr>
      <w:spacing w:line="276" w:lineRule="auto"/>
    </w:pPr>
    <w:rPr>
      <w:rFonts w:ascii="Arial" w:eastAsia="宋体" w:hAnsi="Arial" w:cs="Arial"/>
      <w:color w:val="000000"/>
      <w:kern w:val="0"/>
      <w:sz w:val="22"/>
      <w:szCs w:val="20"/>
      <w:lang w:val="pl-PL" w:eastAsia="pl-PL"/>
    </w:rPr>
  </w:style>
  <w:style w:type="paragraph" w:styleId="a8">
    <w:name w:val="Normal (Web)"/>
    <w:basedOn w:val="a"/>
    <w:uiPriority w:val="99"/>
    <w:semiHidden/>
    <w:unhideWhenUsed/>
    <w:rsid w:val="00E72277"/>
    <w:rPr>
      <w:rFonts w:ascii="Times New Roman" w:hAnsi="Times New Roman"/>
      <w:sz w:val="24"/>
      <w:szCs w:val="24"/>
    </w:rPr>
  </w:style>
  <w:style w:type="paragraph" w:customStyle="1" w:styleId="EndNoteBibliographyTitle">
    <w:name w:val="EndNote Bibliography Title"/>
    <w:basedOn w:val="a"/>
    <w:link w:val="EndNoteBibliographyTitle0"/>
    <w:rsid w:val="00E72277"/>
    <w:pPr>
      <w:jc w:val="center"/>
    </w:pPr>
    <w:rPr>
      <w:noProof/>
      <w:sz w:val="20"/>
    </w:rPr>
  </w:style>
  <w:style w:type="character" w:customStyle="1" w:styleId="EndNoteBibliographyTitle0">
    <w:name w:val="EndNote Bibliography Title (文字)"/>
    <w:basedOn w:val="a0"/>
    <w:link w:val="EndNoteBibliographyTitle"/>
    <w:rsid w:val="00E72277"/>
    <w:rPr>
      <w:rFonts w:ascii="Century" w:eastAsia="MS Mincho" w:hAnsi="Century" w:cs="Times New Roman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E72277"/>
    <w:rPr>
      <w:noProof/>
      <w:sz w:val="20"/>
    </w:rPr>
  </w:style>
  <w:style w:type="character" w:customStyle="1" w:styleId="EndNoteBibliography0">
    <w:name w:val="EndNote Bibliography (文字)"/>
    <w:basedOn w:val="a0"/>
    <w:link w:val="EndNoteBibliography"/>
    <w:rsid w:val="00E72277"/>
    <w:rPr>
      <w:rFonts w:ascii="Century" w:eastAsia="MS Mincho" w:hAnsi="Century" w:cs="Times New Roman"/>
      <w:noProof/>
      <w:sz w:val="20"/>
    </w:rPr>
  </w:style>
  <w:style w:type="character" w:styleId="a9">
    <w:name w:val="annotation reference"/>
    <w:basedOn w:val="a0"/>
    <w:uiPriority w:val="99"/>
    <w:semiHidden/>
    <w:unhideWhenUsed/>
    <w:rsid w:val="00A21C49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A21C49"/>
    <w:rPr>
      <w:sz w:val="20"/>
      <w:szCs w:val="20"/>
    </w:rPr>
  </w:style>
  <w:style w:type="character" w:customStyle="1" w:styleId="ab">
    <w:name w:val="批注文字 字符"/>
    <w:basedOn w:val="a0"/>
    <w:link w:val="aa"/>
    <w:uiPriority w:val="99"/>
    <w:semiHidden/>
    <w:rsid w:val="00A21C49"/>
    <w:rPr>
      <w:rFonts w:ascii="Century" w:eastAsia="MS Mincho" w:hAnsi="Century" w:cs="Times New Roman"/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A21C49"/>
    <w:rPr>
      <w:b/>
      <w:bCs/>
    </w:rPr>
  </w:style>
  <w:style w:type="character" w:customStyle="1" w:styleId="ad">
    <w:name w:val="批注主题 字符"/>
    <w:basedOn w:val="ab"/>
    <w:link w:val="ac"/>
    <w:uiPriority w:val="99"/>
    <w:semiHidden/>
    <w:rsid w:val="00A21C49"/>
    <w:rPr>
      <w:rFonts w:ascii="Century" w:eastAsia="MS Mincho" w:hAnsi="Century" w:cs="Times New Roman"/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A21C49"/>
    <w:rPr>
      <w:rFonts w:ascii="Segoe UI" w:hAnsi="Segoe UI" w:cs="Segoe UI"/>
      <w:sz w:val="18"/>
      <w:szCs w:val="18"/>
    </w:rPr>
  </w:style>
  <w:style w:type="character" w:customStyle="1" w:styleId="af">
    <w:name w:val="批注框文本 字符"/>
    <w:basedOn w:val="a0"/>
    <w:link w:val="ae"/>
    <w:uiPriority w:val="99"/>
    <w:semiHidden/>
    <w:rsid w:val="00A21C49"/>
    <w:rPr>
      <w:rFonts w:ascii="Segoe UI" w:eastAsia="MS Mincho" w:hAnsi="Segoe UI" w:cs="Segoe UI"/>
      <w:sz w:val="18"/>
      <w:szCs w:val="18"/>
    </w:rPr>
  </w:style>
  <w:style w:type="character" w:customStyle="1" w:styleId="st">
    <w:name w:val="st"/>
    <w:basedOn w:val="a0"/>
    <w:rsid w:val="00A21C49"/>
  </w:style>
  <w:style w:type="paragraph" w:styleId="af0">
    <w:name w:val="No Spacing"/>
    <w:uiPriority w:val="1"/>
    <w:qFormat/>
    <w:rsid w:val="00C75212"/>
    <w:rPr>
      <w:kern w:val="0"/>
      <w:sz w:val="22"/>
    </w:rPr>
  </w:style>
  <w:style w:type="character" w:styleId="af1">
    <w:name w:val="FollowedHyperlink"/>
    <w:basedOn w:val="a0"/>
    <w:uiPriority w:val="99"/>
    <w:semiHidden/>
    <w:unhideWhenUsed/>
    <w:rsid w:val="00BD66E9"/>
    <w:rPr>
      <w:color w:val="954F72" w:themeColor="followedHyperlink"/>
      <w:u w:val="single"/>
    </w:rPr>
  </w:style>
  <w:style w:type="character" w:customStyle="1" w:styleId="normaltextrun">
    <w:name w:val="normaltextrun"/>
    <w:basedOn w:val="a0"/>
    <w:rsid w:val="00F42D35"/>
  </w:style>
  <w:style w:type="paragraph" w:customStyle="1" w:styleId="paragraph">
    <w:name w:val="paragraph"/>
    <w:basedOn w:val="a"/>
    <w:rsid w:val="00F42D35"/>
    <w:pPr>
      <w:widowControl/>
      <w:spacing w:before="100" w:beforeAutospacing="1" w:after="100" w:afterAutospacing="1"/>
      <w:jc w:val="left"/>
    </w:pPr>
    <w:rPr>
      <w:rFonts w:ascii="Times New Roman" w:eastAsia="宋体" w:hAnsi="Times New Roman"/>
      <w:kern w:val="0"/>
      <w:sz w:val="24"/>
      <w:szCs w:val="24"/>
      <w:lang w:eastAsia="en-US"/>
    </w:rPr>
  </w:style>
  <w:style w:type="paragraph" w:styleId="af2">
    <w:name w:val="List Paragraph"/>
    <w:basedOn w:val="a"/>
    <w:uiPriority w:val="34"/>
    <w:qFormat/>
    <w:rsid w:val="0003423C"/>
    <w:pPr>
      <w:widowControl/>
      <w:spacing w:after="160" w:line="259" w:lineRule="auto"/>
      <w:ind w:left="720"/>
      <w:contextualSpacing/>
      <w:jc w:val="left"/>
    </w:pPr>
    <w:rPr>
      <w:rFonts w:asciiTheme="minorHAnsi" w:eastAsiaTheme="minorEastAsia" w:hAnsiTheme="minorHAnsi" w:cstheme="minorBidi"/>
      <w:kern w:val="0"/>
      <w:sz w:val="22"/>
      <w:lang w:val="el-GR" w:eastAsia="en-US"/>
    </w:rPr>
  </w:style>
  <w:style w:type="paragraph" w:styleId="af3">
    <w:name w:val="Plain Text"/>
    <w:basedOn w:val="a"/>
    <w:link w:val="af4"/>
    <w:rsid w:val="0003423C"/>
    <w:rPr>
      <w:rFonts w:ascii="宋体" w:eastAsia="宋体" w:hAnsi="Courier New" w:cs="Courier New"/>
      <w:szCs w:val="21"/>
      <w:lang w:eastAsia="zh-CN"/>
    </w:rPr>
  </w:style>
  <w:style w:type="character" w:customStyle="1" w:styleId="af4">
    <w:name w:val="纯文本 字符"/>
    <w:basedOn w:val="a0"/>
    <w:link w:val="af3"/>
    <w:rsid w:val="0003423C"/>
    <w:rPr>
      <w:rFonts w:ascii="宋体" w:eastAsia="宋体" w:hAnsi="Courier New" w:cs="Courier New"/>
      <w:szCs w:val="21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999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5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7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52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8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0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3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2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7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0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9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customXml" Target="../customXml/item2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65147D-9130-4DF0-841C-8371DB68065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8B7E664-139A-46D2-9849-7D780145EA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3317</Words>
  <Characters>18913</Characters>
  <Application>Microsoft Office Word</Application>
  <DocSecurity>0</DocSecurity>
  <Lines>157</Lines>
  <Paragraphs>44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岡本 宏史</dc:creator>
  <cp:lastModifiedBy>Liansheng Ma</cp:lastModifiedBy>
  <cp:revision>2</cp:revision>
  <dcterms:created xsi:type="dcterms:W3CDTF">2020-04-27T23:13:00Z</dcterms:created>
  <dcterms:modified xsi:type="dcterms:W3CDTF">2020-04-27T23:13:00Z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niqueFileID">
    <vt:lpwstr>RZHHFmPz3VgV</vt:lpwstr>
  </property>
</Properties>
</file>