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46D" w:rsidRPr="00C8550C" w:rsidRDefault="0010346D" w:rsidP="00122AF4">
      <w:pPr>
        <w:adjustRightInd w:val="0"/>
        <w:snapToGrid w:val="0"/>
        <w:spacing w:after="0" w:line="360" w:lineRule="auto"/>
        <w:rPr>
          <w:rFonts w:ascii="Book Antiqua" w:eastAsia="MS PMincho" w:hAnsi="Book Antiqua" w:cs="Arial"/>
          <w:b/>
          <w:bCs/>
          <w:sz w:val="24"/>
          <w:szCs w:val="24"/>
          <w:shd w:val="clear" w:color="auto" w:fill="FFFFFF"/>
          <w:lang w:eastAsia="ja-JP"/>
        </w:rPr>
      </w:pPr>
      <w:bookmarkStart w:id="0" w:name="OLE_LINK1"/>
      <w:bookmarkStart w:id="1" w:name="_GoBack"/>
      <w:bookmarkEnd w:id="1"/>
      <w:r w:rsidRPr="00C8550C">
        <w:rPr>
          <w:rFonts w:ascii="Book Antiqua" w:eastAsia="MS PMincho" w:hAnsi="Book Antiqua" w:cs="Arial"/>
          <w:b/>
          <w:bCs/>
          <w:sz w:val="24"/>
          <w:szCs w:val="24"/>
          <w:shd w:val="clear" w:color="auto" w:fill="FFFFFF"/>
          <w:lang w:eastAsia="ja-JP"/>
        </w:rPr>
        <w:t xml:space="preserve">Name of Journal: </w:t>
      </w:r>
      <w:r w:rsidRPr="00C8550C">
        <w:rPr>
          <w:rFonts w:ascii="Book Antiqua" w:eastAsia="MS PMincho" w:hAnsi="Book Antiqua" w:cs="Arial"/>
          <w:bCs/>
          <w:i/>
          <w:sz w:val="24"/>
          <w:szCs w:val="24"/>
          <w:shd w:val="clear" w:color="auto" w:fill="FFFFFF"/>
          <w:lang w:eastAsia="ja-JP"/>
        </w:rPr>
        <w:t>World Journal of Gastroenterology</w:t>
      </w:r>
    </w:p>
    <w:p w:rsidR="0010346D" w:rsidRPr="00C8550C" w:rsidRDefault="0010346D" w:rsidP="00122AF4">
      <w:pPr>
        <w:adjustRightInd w:val="0"/>
        <w:snapToGrid w:val="0"/>
        <w:spacing w:after="0" w:line="360" w:lineRule="auto"/>
        <w:rPr>
          <w:rFonts w:ascii="Book Antiqua" w:hAnsi="Book Antiqua" w:cs="Arial"/>
          <w:b/>
          <w:bCs/>
          <w:sz w:val="24"/>
          <w:szCs w:val="24"/>
          <w:shd w:val="clear" w:color="auto" w:fill="FFFFFF"/>
        </w:rPr>
      </w:pPr>
      <w:r w:rsidRPr="00C8550C">
        <w:rPr>
          <w:rFonts w:ascii="Book Antiqua" w:eastAsia="MS PMincho" w:hAnsi="Book Antiqua" w:cs="Arial"/>
          <w:b/>
          <w:bCs/>
          <w:sz w:val="24"/>
          <w:szCs w:val="24"/>
          <w:shd w:val="clear" w:color="auto" w:fill="FFFFFF"/>
          <w:lang w:eastAsia="ja-JP"/>
        </w:rPr>
        <w:t xml:space="preserve">Manuscript NO: </w:t>
      </w:r>
      <w:r w:rsidR="00C85F7E" w:rsidRPr="00C8550C">
        <w:rPr>
          <w:rFonts w:ascii="Book Antiqua" w:hAnsi="Book Antiqua" w:cs="Arial"/>
          <w:bCs/>
          <w:sz w:val="24"/>
          <w:szCs w:val="24"/>
          <w:shd w:val="clear" w:color="auto" w:fill="FFFFFF"/>
        </w:rPr>
        <w:t>55120</w:t>
      </w:r>
    </w:p>
    <w:p w:rsidR="0010346D" w:rsidRPr="00C8550C" w:rsidRDefault="0010346D" w:rsidP="00122AF4">
      <w:pPr>
        <w:adjustRightInd w:val="0"/>
        <w:snapToGrid w:val="0"/>
        <w:spacing w:after="0" w:line="360" w:lineRule="auto"/>
        <w:rPr>
          <w:rFonts w:ascii="Book Antiqua" w:eastAsia="幼圆" w:hAnsi="Book Antiqua"/>
          <w:bCs/>
          <w:sz w:val="24"/>
          <w:szCs w:val="24"/>
        </w:rPr>
      </w:pPr>
      <w:r w:rsidRPr="00C8550C">
        <w:rPr>
          <w:rFonts w:ascii="Book Antiqua" w:eastAsia="MS PMincho" w:hAnsi="Book Antiqua"/>
          <w:b/>
          <w:bCs/>
          <w:sz w:val="24"/>
          <w:szCs w:val="24"/>
          <w:shd w:val="clear" w:color="auto" w:fill="FFFFFF"/>
          <w:lang w:eastAsia="ja-JP"/>
        </w:rPr>
        <w:t>Manuscript</w:t>
      </w:r>
      <w:r w:rsidR="00142C07" w:rsidRPr="00C8550C">
        <w:rPr>
          <w:rFonts w:ascii="Book Antiqua" w:eastAsia="MS PMincho" w:hAnsi="Book Antiqua"/>
          <w:b/>
          <w:bCs/>
          <w:sz w:val="24"/>
          <w:szCs w:val="24"/>
          <w:shd w:val="clear" w:color="auto" w:fill="FFFFFF"/>
          <w:lang w:eastAsia="ja-JP"/>
        </w:rPr>
        <w:t xml:space="preserve"> </w:t>
      </w:r>
      <w:r w:rsidRPr="00C8550C">
        <w:rPr>
          <w:rFonts w:ascii="Book Antiqua" w:eastAsia="MS PMincho" w:hAnsi="Book Antiqua"/>
          <w:b/>
          <w:bCs/>
          <w:sz w:val="24"/>
          <w:szCs w:val="24"/>
          <w:shd w:val="clear" w:color="auto" w:fill="FFFFFF"/>
          <w:lang w:eastAsia="ja-JP"/>
        </w:rPr>
        <w:t>Type</w:t>
      </w:r>
      <w:r w:rsidRPr="00C8550C">
        <w:rPr>
          <w:rFonts w:ascii="Book Antiqua" w:eastAsia="MS PMincho" w:hAnsi="Book Antiqua"/>
          <w:b/>
          <w:bCs/>
          <w:sz w:val="24"/>
          <w:szCs w:val="24"/>
          <w:lang w:eastAsia="ja-JP"/>
        </w:rPr>
        <w:t>:</w:t>
      </w:r>
      <w:r w:rsidRPr="00C8550C">
        <w:rPr>
          <w:rFonts w:ascii="Book Antiqua" w:hAnsi="Book Antiqua" w:cs="Arial"/>
          <w:b/>
          <w:bCs/>
          <w:sz w:val="24"/>
          <w:szCs w:val="24"/>
          <w:shd w:val="clear" w:color="auto" w:fill="FFFFFF"/>
        </w:rPr>
        <w:t xml:space="preserve"> </w:t>
      </w:r>
      <w:r w:rsidRPr="00C8550C">
        <w:rPr>
          <w:rFonts w:ascii="Book Antiqua" w:eastAsia="MS PMincho" w:hAnsi="Book Antiqua"/>
          <w:bCs/>
          <w:sz w:val="24"/>
          <w:szCs w:val="24"/>
          <w:lang w:eastAsia="ja-JP"/>
        </w:rPr>
        <w:t>ORIGINAL ARTICLE</w:t>
      </w:r>
      <w:r w:rsidRPr="00C8550C">
        <w:rPr>
          <w:rFonts w:ascii="Book Antiqua" w:eastAsia="幼圆" w:hAnsi="Book Antiqua"/>
          <w:bCs/>
          <w:sz w:val="24"/>
          <w:szCs w:val="24"/>
          <w:lang w:eastAsia="ja-JP"/>
        </w:rPr>
        <w:t xml:space="preserve"> </w:t>
      </w:r>
    </w:p>
    <w:p w:rsidR="00835DED" w:rsidRPr="00C8550C" w:rsidRDefault="00835DED" w:rsidP="00122AF4">
      <w:pPr>
        <w:adjustRightInd w:val="0"/>
        <w:snapToGrid w:val="0"/>
        <w:spacing w:after="0" w:line="360" w:lineRule="auto"/>
        <w:rPr>
          <w:rFonts w:ascii="Book Antiqua" w:hAnsi="Book Antiqua"/>
          <w:sz w:val="24"/>
          <w:szCs w:val="24"/>
        </w:rPr>
      </w:pPr>
    </w:p>
    <w:p w:rsidR="007C4214" w:rsidRPr="00C8550C" w:rsidRDefault="007C4214" w:rsidP="00122AF4">
      <w:pPr>
        <w:adjustRightInd w:val="0"/>
        <w:snapToGrid w:val="0"/>
        <w:spacing w:after="0" w:line="360" w:lineRule="auto"/>
        <w:rPr>
          <w:rFonts w:ascii="Book Antiqua" w:hAnsi="Book Antiqua"/>
          <w:b/>
          <w:bCs/>
          <w:i/>
          <w:iCs/>
          <w:sz w:val="24"/>
          <w:szCs w:val="24"/>
        </w:rPr>
      </w:pPr>
      <w:r w:rsidRPr="00C8550C">
        <w:rPr>
          <w:rFonts w:ascii="Book Antiqua" w:hAnsi="Book Antiqua"/>
          <w:b/>
          <w:bCs/>
          <w:i/>
          <w:iCs/>
          <w:sz w:val="24"/>
          <w:szCs w:val="24"/>
        </w:rPr>
        <w:t>Retrospective Study</w:t>
      </w:r>
    </w:p>
    <w:p w:rsidR="00835DED" w:rsidRPr="00C8550C" w:rsidRDefault="00FE2E4B" w:rsidP="00122AF4">
      <w:pPr>
        <w:adjustRightInd w:val="0"/>
        <w:snapToGrid w:val="0"/>
        <w:spacing w:after="0" w:line="360" w:lineRule="auto"/>
        <w:rPr>
          <w:rFonts w:ascii="Book Antiqua" w:hAnsi="Book Antiqua"/>
          <w:b/>
          <w:sz w:val="24"/>
          <w:szCs w:val="24"/>
        </w:rPr>
      </w:pPr>
      <w:r w:rsidRPr="00C8550C">
        <w:rPr>
          <w:rFonts w:ascii="Book Antiqua" w:hAnsi="Book Antiqua"/>
          <w:b/>
          <w:sz w:val="24"/>
          <w:szCs w:val="24"/>
        </w:rPr>
        <w:t xml:space="preserve">Can </w:t>
      </w:r>
      <w:r w:rsidR="0010346D" w:rsidRPr="00C8550C">
        <w:rPr>
          <w:rFonts w:ascii="Book Antiqua" w:hAnsi="Book Antiqua"/>
          <w:b/>
          <w:sz w:val="24"/>
          <w:szCs w:val="24"/>
        </w:rPr>
        <w:t>contrast enhanced ultrasound differentiate intrahepatic cholangiocarcinoma from hepatocellular carcinoma</w:t>
      </w:r>
      <w:r w:rsidR="00835DED" w:rsidRPr="00C8550C">
        <w:rPr>
          <w:rFonts w:ascii="Book Antiqua" w:hAnsi="Book Antiqua"/>
          <w:b/>
          <w:sz w:val="24"/>
          <w:szCs w:val="24"/>
        </w:rPr>
        <w:t>?</w:t>
      </w:r>
    </w:p>
    <w:p w:rsidR="0010346D" w:rsidRPr="00C8550C" w:rsidRDefault="0010346D" w:rsidP="00122AF4">
      <w:pPr>
        <w:adjustRightInd w:val="0"/>
        <w:snapToGrid w:val="0"/>
        <w:spacing w:after="0" w:line="360" w:lineRule="auto"/>
        <w:rPr>
          <w:rFonts w:ascii="Book Antiqua" w:hAnsi="Book Antiqua"/>
          <w:bCs/>
          <w:sz w:val="24"/>
          <w:szCs w:val="24"/>
        </w:rPr>
      </w:pPr>
    </w:p>
    <w:p w:rsidR="00835DED" w:rsidRPr="00C8550C" w:rsidRDefault="0010346D" w:rsidP="00122AF4">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 xml:space="preserve">Huang JY </w:t>
      </w:r>
      <w:r w:rsidRPr="00C8550C">
        <w:rPr>
          <w:rFonts w:ascii="Book Antiqua" w:hAnsi="Book Antiqua"/>
          <w:bCs/>
          <w:i/>
          <w:iCs/>
          <w:sz w:val="24"/>
          <w:szCs w:val="24"/>
        </w:rPr>
        <w:t>et al</w:t>
      </w:r>
      <w:r w:rsidRPr="00C8550C">
        <w:rPr>
          <w:rFonts w:ascii="Book Antiqua" w:hAnsi="Book Antiqua"/>
          <w:bCs/>
          <w:sz w:val="24"/>
          <w:szCs w:val="24"/>
        </w:rPr>
        <w:t xml:space="preserve">. </w:t>
      </w:r>
      <w:r w:rsidR="003E0BF9" w:rsidRPr="00C8550C">
        <w:rPr>
          <w:rFonts w:ascii="Book Antiqua" w:hAnsi="Book Antiqua"/>
          <w:bCs/>
          <w:sz w:val="24"/>
          <w:szCs w:val="24"/>
        </w:rPr>
        <w:t>Differentiating</w:t>
      </w:r>
      <w:r w:rsidRPr="00C8550C">
        <w:rPr>
          <w:rFonts w:ascii="Book Antiqua" w:hAnsi="Book Antiqua"/>
          <w:bCs/>
          <w:sz w:val="24"/>
          <w:szCs w:val="24"/>
        </w:rPr>
        <w:t xml:space="preserve"> intrahepatic cholangiocarcinoma from hepatocellular carcinoma</w:t>
      </w:r>
    </w:p>
    <w:p w:rsidR="0010346D" w:rsidRPr="00C8550C" w:rsidRDefault="0010346D" w:rsidP="00122AF4">
      <w:pPr>
        <w:adjustRightInd w:val="0"/>
        <w:snapToGrid w:val="0"/>
        <w:spacing w:after="0" w:line="360" w:lineRule="auto"/>
        <w:rPr>
          <w:rFonts w:ascii="Book Antiqua" w:hAnsi="Book Antiqua"/>
          <w:bCs/>
          <w:sz w:val="24"/>
          <w:szCs w:val="24"/>
        </w:rPr>
      </w:pPr>
    </w:p>
    <w:p w:rsidR="00835DED" w:rsidRPr="00C8550C" w:rsidRDefault="00D160F9" w:rsidP="00122AF4">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Jia-Yan Huang, Jia-W</w:t>
      </w:r>
      <w:r w:rsidR="00835DED" w:rsidRPr="00C8550C">
        <w:rPr>
          <w:rFonts w:ascii="Book Antiqua" w:hAnsi="Book Antiqua"/>
          <w:bCs/>
          <w:sz w:val="24"/>
          <w:szCs w:val="24"/>
        </w:rPr>
        <w:t>u Li, Wen</w:t>
      </w:r>
      <w:r w:rsidR="00FC4B49" w:rsidRPr="00C8550C">
        <w:rPr>
          <w:rFonts w:ascii="Book Antiqua" w:hAnsi="Book Antiqua"/>
          <w:bCs/>
          <w:sz w:val="24"/>
          <w:szCs w:val="24"/>
        </w:rPr>
        <w:t>-</w:t>
      </w:r>
      <w:r w:rsidRPr="00C8550C">
        <w:rPr>
          <w:rFonts w:ascii="Book Antiqua" w:hAnsi="Book Antiqua"/>
          <w:bCs/>
          <w:sz w:val="24"/>
          <w:szCs w:val="24"/>
        </w:rPr>
        <w:t>W</w:t>
      </w:r>
      <w:r w:rsidR="00835DED" w:rsidRPr="00C8550C">
        <w:rPr>
          <w:rFonts w:ascii="Book Antiqua" w:hAnsi="Book Antiqua"/>
          <w:bCs/>
          <w:sz w:val="24"/>
          <w:szCs w:val="24"/>
        </w:rPr>
        <w:t>u Ling, Tao</w:t>
      </w:r>
      <w:r w:rsidR="00FC4B49" w:rsidRPr="00C8550C">
        <w:rPr>
          <w:rFonts w:ascii="Book Antiqua" w:hAnsi="Book Antiqua"/>
          <w:bCs/>
          <w:sz w:val="24"/>
          <w:szCs w:val="24"/>
        </w:rPr>
        <w:t xml:space="preserve"> Li, Yan</w:t>
      </w:r>
      <w:r w:rsidR="009E7B7E" w:rsidRPr="00C8550C">
        <w:rPr>
          <w:rFonts w:ascii="Book Antiqua" w:hAnsi="Book Antiqua"/>
          <w:bCs/>
          <w:sz w:val="24"/>
          <w:szCs w:val="24"/>
        </w:rPr>
        <w:t xml:space="preserve"> Luo</w:t>
      </w:r>
      <w:r w:rsidR="00FC4B49" w:rsidRPr="00C8550C">
        <w:rPr>
          <w:rFonts w:ascii="Book Antiqua" w:hAnsi="Book Antiqua"/>
          <w:bCs/>
          <w:sz w:val="24"/>
          <w:szCs w:val="24"/>
        </w:rPr>
        <w:t>, Ji-Bin Liu,</w:t>
      </w:r>
      <w:r w:rsidR="00835DED" w:rsidRPr="00C8550C">
        <w:rPr>
          <w:rFonts w:ascii="Book Antiqua" w:hAnsi="Book Antiqua"/>
          <w:bCs/>
          <w:sz w:val="24"/>
          <w:szCs w:val="24"/>
        </w:rPr>
        <w:t xml:space="preserve"> Qiang Lu</w:t>
      </w:r>
    </w:p>
    <w:p w:rsidR="0010346D" w:rsidRPr="00C8550C" w:rsidRDefault="0010346D" w:rsidP="00122AF4">
      <w:pPr>
        <w:adjustRightInd w:val="0"/>
        <w:snapToGrid w:val="0"/>
        <w:spacing w:after="0" w:line="360" w:lineRule="auto"/>
        <w:rPr>
          <w:rFonts w:ascii="Book Antiqua" w:hAnsi="Book Antiqua"/>
          <w:b/>
          <w:bCs/>
          <w:sz w:val="24"/>
          <w:szCs w:val="24"/>
        </w:rPr>
      </w:pPr>
    </w:p>
    <w:p w:rsidR="00835DED" w:rsidRPr="00C8550C" w:rsidRDefault="00835DED" w:rsidP="00122AF4">
      <w:pPr>
        <w:adjustRightInd w:val="0"/>
        <w:snapToGrid w:val="0"/>
        <w:spacing w:after="0" w:line="360" w:lineRule="auto"/>
        <w:rPr>
          <w:rFonts w:ascii="Book Antiqua" w:hAnsi="Book Antiqua"/>
          <w:bCs/>
          <w:sz w:val="24"/>
          <w:szCs w:val="24"/>
          <w:lang w:val="en-AU"/>
        </w:rPr>
      </w:pPr>
      <w:r w:rsidRPr="00C8550C">
        <w:rPr>
          <w:rFonts w:ascii="Book Antiqua" w:hAnsi="Book Antiqua"/>
          <w:b/>
          <w:sz w:val="24"/>
          <w:szCs w:val="24"/>
        </w:rPr>
        <w:t>Jia-</w:t>
      </w:r>
      <w:r w:rsidR="00681269" w:rsidRPr="00C8550C">
        <w:rPr>
          <w:rFonts w:ascii="Book Antiqua" w:hAnsi="Book Antiqua"/>
          <w:b/>
          <w:sz w:val="24"/>
          <w:szCs w:val="24"/>
        </w:rPr>
        <w:t>Y</w:t>
      </w:r>
      <w:r w:rsidRPr="00C8550C">
        <w:rPr>
          <w:rFonts w:ascii="Book Antiqua" w:hAnsi="Book Antiqua"/>
          <w:b/>
          <w:sz w:val="24"/>
          <w:szCs w:val="24"/>
        </w:rPr>
        <w:t>an Huang</w:t>
      </w:r>
      <w:r w:rsidRPr="00C8550C">
        <w:rPr>
          <w:rFonts w:ascii="Book Antiqua" w:hAnsi="Book Antiqua"/>
          <w:bCs/>
          <w:sz w:val="24"/>
          <w:szCs w:val="24"/>
        </w:rPr>
        <w:t xml:space="preserve">, </w:t>
      </w:r>
      <w:r w:rsidR="009E7B7E" w:rsidRPr="00C8550C">
        <w:rPr>
          <w:rFonts w:ascii="Book Antiqua" w:hAnsi="Book Antiqua"/>
          <w:b/>
          <w:sz w:val="24"/>
          <w:szCs w:val="24"/>
        </w:rPr>
        <w:t>Jia-</w:t>
      </w:r>
      <w:r w:rsidR="00681269" w:rsidRPr="00C8550C">
        <w:rPr>
          <w:rFonts w:ascii="Book Antiqua" w:hAnsi="Book Antiqua"/>
          <w:b/>
          <w:sz w:val="24"/>
          <w:szCs w:val="24"/>
        </w:rPr>
        <w:t>W</w:t>
      </w:r>
      <w:r w:rsidR="009E7B7E" w:rsidRPr="00C8550C">
        <w:rPr>
          <w:rFonts w:ascii="Book Antiqua" w:hAnsi="Book Antiqua"/>
          <w:b/>
          <w:sz w:val="24"/>
          <w:szCs w:val="24"/>
        </w:rPr>
        <w:t>u Li, Wen</w:t>
      </w:r>
      <w:r w:rsidR="00681269" w:rsidRPr="00C8550C">
        <w:rPr>
          <w:rFonts w:ascii="Book Antiqua" w:hAnsi="Book Antiqua"/>
          <w:b/>
          <w:sz w:val="24"/>
          <w:szCs w:val="24"/>
        </w:rPr>
        <w:t>-W</w:t>
      </w:r>
      <w:r w:rsidR="009E7B7E" w:rsidRPr="00C8550C">
        <w:rPr>
          <w:rFonts w:ascii="Book Antiqua" w:hAnsi="Book Antiqua"/>
          <w:b/>
          <w:sz w:val="24"/>
          <w:szCs w:val="24"/>
        </w:rPr>
        <w:t>u Ling</w:t>
      </w:r>
      <w:r w:rsidR="009E7B7E" w:rsidRPr="00C8550C">
        <w:rPr>
          <w:rFonts w:ascii="Book Antiqua" w:hAnsi="Book Antiqua"/>
          <w:bCs/>
          <w:sz w:val="24"/>
          <w:szCs w:val="24"/>
        </w:rPr>
        <w:t xml:space="preserve">, </w:t>
      </w:r>
      <w:r w:rsidR="009E7B7E" w:rsidRPr="00C8550C">
        <w:rPr>
          <w:rFonts w:ascii="Book Antiqua" w:hAnsi="Book Antiqua"/>
          <w:b/>
          <w:sz w:val="24"/>
          <w:szCs w:val="24"/>
        </w:rPr>
        <w:t>Yan Luo</w:t>
      </w:r>
      <w:r w:rsidR="009E7B7E" w:rsidRPr="00C8550C">
        <w:rPr>
          <w:rFonts w:ascii="Book Antiqua" w:hAnsi="Book Antiqua"/>
          <w:bCs/>
          <w:sz w:val="24"/>
          <w:szCs w:val="24"/>
        </w:rPr>
        <w:t xml:space="preserve">, </w:t>
      </w:r>
      <w:r w:rsidR="009E7B7E" w:rsidRPr="00C8550C">
        <w:rPr>
          <w:rFonts w:ascii="Book Antiqua" w:hAnsi="Book Antiqua"/>
          <w:b/>
          <w:bCs/>
          <w:sz w:val="24"/>
          <w:szCs w:val="24"/>
        </w:rPr>
        <w:t>Qiang Lu</w:t>
      </w:r>
      <w:r w:rsidR="009E7B7E" w:rsidRPr="00C8550C">
        <w:rPr>
          <w:rFonts w:ascii="Book Antiqua" w:hAnsi="Book Antiqua"/>
          <w:sz w:val="24"/>
          <w:szCs w:val="24"/>
        </w:rPr>
        <w:t xml:space="preserve">, </w:t>
      </w:r>
      <w:r w:rsidRPr="00C8550C">
        <w:rPr>
          <w:rFonts w:ascii="Book Antiqua" w:hAnsi="Book Antiqua"/>
          <w:bCs/>
          <w:sz w:val="24"/>
          <w:szCs w:val="24"/>
        </w:rPr>
        <w:t>Department of Medical Ultrasound, West</w:t>
      </w:r>
      <w:r w:rsidRPr="00C8550C">
        <w:rPr>
          <w:rFonts w:ascii="Book Antiqua" w:hAnsi="Book Antiqua"/>
          <w:bCs/>
          <w:sz w:val="24"/>
          <w:szCs w:val="24"/>
          <w:lang w:val="en-AU"/>
        </w:rPr>
        <w:t xml:space="preserve"> China Hospital of Sichuan University</w:t>
      </w:r>
      <w:r w:rsidRPr="00C8550C">
        <w:rPr>
          <w:rFonts w:ascii="Book Antiqua" w:hAnsi="Book Antiqua"/>
          <w:bCs/>
          <w:sz w:val="24"/>
          <w:szCs w:val="24"/>
        </w:rPr>
        <w:t xml:space="preserve">, </w:t>
      </w:r>
      <w:r w:rsidRPr="00C8550C">
        <w:rPr>
          <w:rFonts w:ascii="Book Antiqua" w:hAnsi="Book Antiqua"/>
          <w:bCs/>
          <w:sz w:val="24"/>
          <w:szCs w:val="24"/>
          <w:lang w:val="en-AU"/>
        </w:rPr>
        <w:t>Chengdu 610041</w:t>
      </w:r>
      <w:r w:rsidRPr="00C8550C">
        <w:rPr>
          <w:rFonts w:ascii="Book Antiqua" w:hAnsi="Book Antiqua"/>
          <w:bCs/>
          <w:sz w:val="24"/>
          <w:szCs w:val="24"/>
        </w:rPr>
        <w:t xml:space="preserve">, </w:t>
      </w:r>
      <w:r w:rsidR="009E7B7E" w:rsidRPr="00C8550C">
        <w:rPr>
          <w:rFonts w:ascii="Book Antiqua" w:hAnsi="Book Antiqua"/>
          <w:bCs/>
          <w:sz w:val="24"/>
          <w:szCs w:val="24"/>
        </w:rPr>
        <w:t xml:space="preserve">Sichuan </w:t>
      </w:r>
      <w:r w:rsidR="0010346D" w:rsidRPr="00C8550C">
        <w:rPr>
          <w:rFonts w:ascii="Book Antiqua" w:hAnsi="Book Antiqua"/>
          <w:bCs/>
          <w:sz w:val="24"/>
          <w:szCs w:val="24"/>
        </w:rPr>
        <w:t>P</w:t>
      </w:r>
      <w:r w:rsidR="009E7B7E" w:rsidRPr="00C8550C">
        <w:rPr>
          <w:rFonts w:ascii="Book Antiqua" w:hAnsi="Book Antiqua"/>
          <w:bCs/>
          <w:sz w:val="24"/>
          <w:szCs w:val="24"/>
        </w:rPr>
        <w:t xml:space="preserve">rovince, </w:t>
      </w:r>
      <w:r w:rsidR="00E02697" w:rsidRPr="00C8550C">
        <w:rPr>
          <w:rFonts w:ascii="Book Antiqua" w:hAnsi="Book Antiqua"/>
          <w:bCs/>
          <w:sz w:val="24"/>
          <w:szCs w:val="24"/>
          <w:lang w:val="en-AU"/>
        </w:rPr>
        <w:t>China</w:t>
      </w:r>
    </w:p>
    <w:p w:rsidR="0010346D" w:rsidRPr="00C8550C" w:rsidRDefault="0010346D" w:rsidP="00122AF4">
      <w:pPr>
        <w:adjustRightInd w:val="0"/>
        <w:snapToGrid w:val="0"/>
        <w:spacing w:after="0" w:line="360" w:lineRule="auto"/>
        <w:rPr>
          <w:rFonts w:ascii="Book Antiqua" w:hAnsi="Book Antiqua"/>
          <w:bCs/>
          <w:sz w:val="24"/>
          <w:szCs w:val="24"/>
          <w:lang w:val="en-AU"/>
        </w:rPr>
      </w:pPr>
    </w:p>
    <w:p w:rsidR="00835DED" w:rsidRPr="00C8550C" w:rsidRDefault="00835DED" w:rsidP="00122AF4">
      <w:pPr>
        <w:adjustRightInd w:val="0"/>
        <w:snapToGrid w:val="0"/>
        <w:spacing w:after="0" w:line="360" w:lineRule="auto"/>
        <w:rPr>
          <w:rFonts w:ascii="Book Antiqua" w:hAnsi="Book Antiqua"/>
          <w:bCs/>
          <w:sz w:val="24"/>
          <w:szCs w:val="24"/>
        </w:rPr>
      </w:pPr>
      <w:r w:rsidRPr="00C8550C">
        <w:rPr>
          <w:rFonts w:ascii="Book Antiqua" w:hAnsi="Book Antiqua"/>
          <w:b/>
          <w:sz w:val="24"/>
          <w:szCs w:val="24"/>
        </w:rPr>
        <w:t>Tao Li</w:t>
      </w:r>
      <w:r w:rsidRPr="00C8550C">
        <w:rPr>
          <w:rFonts w:ascii="Book Antiqua" w:hAnsi="Book Antiqua"/>
          <w:bCs/>
          <w:sz w:val="24"/>
          <w:szCs w:val="24"/>
        </w:rPr>
        <w:t>,</w:t>
      </w:r>
      <w:r w:rsidRPr="00C8550C">
        <w:rPr>
          <w:rFonts w:ascii="Book Antiqua" w:hAnsi="Book Antiqua"/>
          <w:b/>
          <w:sz w:val="24"/>
          <w:szCs w:val="24"/>
        </w:rPr>
        <w:t xml:space="preserve"> </w:t>
      </w:r>
      <w:r w:rsidRPr="00C8550C">
        <w:rPr>
          <w:rFonts w:ascii="Book Antiqua" w:hAnsi="Book Antiqua"/>
          <w:bCs/>
          <w:sz w:val="24"/>
          <w:szCs w:val="24"/>
        </w:rPr>
        <w:t>Department of Anesthesiology, West China Hospital of Sichuan University, Chengdu 610041,</w:t>
      </w:r>
      <w:r w:rsidR="009E7B7E" w:rsidRPr="00C8550C">
        <w:rPr>
          <w:rFonts w:ascii="Book Antiqua" w:hAnsi="Book Antiqua"/>
          <w:bCs/>
          <w:sz w:val="24"/>
          <w:szCs w:val="24"/>
        </w:rPr>
        <w:t xml:space="preserve"> Sichuan </w:t>
      </w:r>
      <w:r w:rsidR="0010346D" w:rsidRPr="00C8550C">
        <w:rPr>
          <w:rFonts w:ascii="Book Antiqua" w:hAnsi="Book Antiqua"/>
          <w:bCs/>
          <w:sz w:val="24"/>
          <w:szCs w:val="24"/>
        </w:rPr>
        <w:t>P</w:t>
      </w:r>
      <w:r w:rsidR="009E7B7E" w:rsidRPr="00C8550C">
        <w:rPr>
          <w:rFonts w:ascii="Book Antiqua" w:hAnsi="Book Antiqua"/>
          <w:bCs/>
          <w:sz w:val="24"/>
          <w:szCs w:val="24"/>
        </w:rPr>
        <w:t>rovince,</w:t>
      </w:r>
      <w:r w:rsidR="00E02697" w:rsidRPr="00C8550C">
        <w:rPr>
          <w:rFonts w:ascii="Book Antiqua" w:hAnsi="Book Antiqua"/>
          <w:bCs/>
          <w:sz w:val="24"/>
          <w:szCs w:val="24"/>
        </w:rPr>
        <w:t xml:space="preserve"> China</w:t>
      </w:r>
    </w:p>
    <w:p w:rsidR="0010346D" w:rsidRPr="00C8550C" w:rsidRDefault="0010346D" w:rsidP="00122AF4">
      <w:pPr>
        <w:adjustRightInd w:val="0"/>
        <w:snapToGrid w:val="0"/>
        <w:spacing w:after="0" w:line="360" w:lineRule="auto"/>
        <w:rPr>
          <w:rFonts w:ascii="Book Antiqua" w:hAnsi="Book Antiqua"/>
          <w:bCs/>
          <w:sz w:val="24"/>
          <w:szCs w:val="24"/>
        </w:rPr>
      </w:pPr>
    </w:p>
    <w:p w:rsidR="00835DED" w:rsidRPr="00C8550C" w:rsidRDefault="009E7B7E" w:rsidP="00122AF4">
      <w:pPr>
        <w:adjustRightInd w:val="0"/>
        <w:snapToGrid w:val="0"/>
        <w:spacing w:after="0" w:line="360" w:lineRule="auto"/>
        <w:rPr>
          <w:rFonts w:ascii="Book Antiqua" w:hAnsi="Book Antiqua"/>
          <w:sz w:val="24"/>
          <w:szCs w:val="24"/>
        </w:rPr>
      </w:pPr>
      <w:r w:rsidRPr="00C8550C">
        <w:rPr>
          <w:rFonts w:ascii="Book Antiqua" w:hAnsi="Book Antiqua"/>
          <w:b/>
          <w:bCs/>
          <w:sz w:val="24"/>
          <w:szCs w:val="24"/>
        </w:rPr>
        <w:t>Ji-Bin Liu</w:t>
      </w:r>
      <w:r w:rsidRPr="00C8550C">
        <w:rPr>
          <w:rFonts w:ascii="Book Antiqua" w:hAnsi="Book Antiqua"/>
          <w:bCs/>
          <w:sz w:val="24"/>
          <w:szCs w:val="24"/>
        </w:rPr>
        <w:t>,</w:t>
      </w:r>
      <w:r w:rsidR="00835DED" w:rsidRPr="00C8550C">
        <w:rPr>
          <w:rFonts w:ascii="Book Antiqua" w:hAnsi="Book Antiqua"/>
          <w:b/>
          <w:bCs/>
          <w:sz w:val="24"/>
          <w:szCs w:val="24"/>
        </w:rPr>
        <w:t xml:space="preserve"> </w:t>
      </w:r>
      <w:r w:rsidR="00835DED" w:rsidRPr="00C8550C">
        <w:rPr>
          <w:rFonts w:ascii="Book Antiqua" w:hAnsi="Book Antiqua"/>
          <w:sz w:val="24"/>
          <w:szCs w:val="24"/>
        </w:rPr>
        <w:t xml:space="preserve">Department of Radiology, Thomas Jefferson University, </w:t>
      </w:r>
      <w:r w:rsidR="00C14D0C" w:rsidRPr="00C8550C">
        <w:rPr>
          <w:rFonts w:ascii="Book Antiqua" w:hAnsi="Book Antiqua"/>
          <w:sz w:val="24"/>
          <w:szCs w:val="24"/>
        </w:rPr>
        <w:t>Philadelphia,</w:t>
      </w:r>
      <w:r w:rsidRPr="00C8550C">
        <w:rPr>
          <w:rFonts w:ascii="Book Antiqua" w:hAnsi="Book Antiqua"/>
          <w:sz w:val="24"/>
          <w:szCs w:val="24"/>
        </w:rPr>
        <w:t xml:space="preserve"> PA 19107, </w:t>
      </w:r>
      <w:r w:rsidR="0010346D" w:rsidRPr="00C8550C">
        <w:rPr>
          <w:rFonts w:ascii="Book Antiqua" w:hAnsi="Book Antiqua"/>
          <w:sz w:val="24"/>
          <w:szCs w:val="24"/>
        </w:rPr>
        <w:t>United States</w:t>
      </w:r>
    </w:p>
    <w:p w:rsidR="004F0984" w:rsidRPr="00C8550C" w:rsidRDefault="004F0984"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b/>
          <w:sz w:val="24"/>
          <w:szCs w:val="24"/>
        </w:rPr>
        <w:t xml:space="preserve">Author contributions: </w:t>
      </w:r>
      <w:r w:rsidRPr="00C8550C">
        <w:rPr>
          <w:rFonts w:ascii="Book Antiqua" w:hAnsi="Book Antiqua"/>
          <w:sz w:val="24"/>
          <w:szCs w:val="24"/>
        </w:rPr>
        <w:t>Lu</w:t>
      </w:r>
      <w:r w:rsidR="005712D8" w:rsidRPr="00C8550C">
        <w:rPr>
          <w:rFonts w:ascii="Book Antiqua" w:hAnsi="Book Antiqua"/>
          <w:sz w:val="24"/>
          <w:szCs w:val="24"/>
        </w:rPr>
        <w:t xml:space="preserve"> Q</w:t>
      </w:r>
      <w:r w:rsidRPr="00C8550C">
        <w:rPr>
          <w:rFonts w:ascii="Book Antiqua" w:hAnsi="Book Antiqua"/>
          <w:sz w:val="24"/>
          <w:szCs w:val="24"/>
        </w:rPr>
        <w:t xml:space="preserve">, </w:t>
      </w:r>
      <w:r w:rsidR="005712D8" w:rsidRPr="00C8550C">
        <w:rPr>
          <w:rFonts w:ascii="Book Antiqua" w:hAnsi="Book Antiqua"/>
          <w:sz w:val="24"/>
          <w:szCs w:val="24"/>
        </w:rPr>
        <w:t xml:space="preserve">Luo </w:t>
      </w:r>
      <w:r w:rsidRPr="00C8550C">
        <w:rPr>
          <w:rFonts w:ascii="Book Antiqua" w:hAnsi="Book Antiqua"/>
          <w:sz w:val="24"/>
          <w:szCs w:val="24"/>
        </w:rPr>
        <w:t>Y</w:t>
      </w:r>
      <w:r w:rsidR="007B46F1">
        <w:rPr>
          <w:rFonts w:ascii="Book Antiqua" w:hAnsi="Book Antiqua"/>
          <w:sz w:val="24"/>
          <w:szCs w:val="24"/>
        </w:rPr>
        <w:t>,</w:t>
      </w:r>
      <w:r w:rsidRPr="00C8550C">
        <w:rPr>
          <w:rFonts w:ascii="Book Antiqua" w:hAnsi="Book Antiqua"/>
          <w:sz w:val="24"/>
          <w:szCs w:val="24"/>
        </w:rPr>
        <w:t xml:space="preserve"> and </w:t>
      </w:r>
      <w:r w:rsidR="005712D8" w:rsidRPr="00C8550C">
        <w:rPr>
          <w:rFonts w:ascii="Book Antiqua" w:hAnsi="Book Antiqua"/>
          <w:sz w:val="24"/>
          <w:szCs w:val="24"/>
        </w:rPr>
        <w:t xml:space="preserve">Liu </w:t>
      </w:r>
      <w:r w:rsidRPr="00C8550C">
        <w:rPr>
          <w:rFonts w:ascii="Book Antiqua" w:hAnsi="Book Antiqua"/>
          <w:sz w:val="24"/>
          <w:szCs w:val="24"/>
        </w:rPr>
        <w:t xml:space="preserve">JB designed the research; </w:t>
      </w:r>
      <w:r w:rsidR="005712D8" w:rsidRPr="00C8550C">
        <w:rPr>
          <w:rFonts w:ascii="Book Antiqua" w:hAnsi="Book Antiqua"/>
          <w:sz w:val="24"/>
          <w:szCs w:val="24"/>
        </w:rPr>
        <w:t xml:space="preserve">Li </w:t>
      </w:r>
      <w:r w:rsidRPr="00C8550C">
        <w:rPr>
          <w:rFonts w:ascii="Book Antiqua" w:hAnsi="Book Antiqua"/>
          <w:sz w:val="24"/>
          <w:szCs w:val="24"/>
        </w:rPr>
        <w:t xml:space="preserve">JW and </w:t>
      </w:r>
      <w:r w:rsidR="005712D8" w:rsidRPr="00C8550C">
        <w:rPr>
          <w:rFonts w:ascii="Book Antiqua" w:hAnsi="Book Antiqua"/>
          <w:sz w:val="24"/>
          <w:szCs w:val="24"/>
        </w:rPr>
        <w:t xml:space="preserve">Ling </w:t>
      </w:r>
      <w:r w:rsidRPr="00C8550C">
        <w:rPr>
          <w:rFonts w:ascii="Book Antiqua" w:hAnsi="Book Antiqua"/>
          <w:sz w:val="24"/>
          <w:szCs w:val="24"/>
        </w:rPr>
        <w:t xml:space="preserve">WW performed the research; </w:t>
      </w:r>
      <w:r w:rsidR="005712D8" w:rsidRPr="00C8550C">
        <w:rPr>
          <w:rFonts w:ascii="Book Antiqua" w:hAnsi="Book Antiqua"/>
          <w:sz w:val="24"/>
          <w:szCs w:val="24"/>
        </w:rPr>
        <w:t xml:space="preserve">Huang </w:t>
      </w:r>
      <w:r w:rsidRPr="00C8550C">
        <w:rPr>
          <w:rFonts w:ascii="Book Antiqua" w:hAnsi="Book Antiqua"/>
          <w:sz w:val="24"/>
          <w:szCs w:val="24"/>
        </w:rPr>
        <w:t xml:space="preserve">JY, </w:t>
      </w:r>
      <w:r w:rsidR="005712D8" w:rsidRPr="00C8550C">
        <w:rPr>
          <w:rFonts w:ascii="Book Antiqua" w:hAnsi="Book Antiqua"/>
          <w:sz w:val="24"/>
          <w:szCs w:val="24"/>
        </w:rPr>
        <w:t xml:space="preserve">Li </w:t>
      </w:r>
      <w:r w:rsidRPr="00C8550C">
        <w:rPr>
          <w:rFonts w:ascii="Book Antiqua" w:hAnsi="Book Antiqua"/>
          <w:sz w:val="24"/>
          <w:szCs w:val="24"/>
        </w:rPr>
        <w:t>T</w:t>
      </w:r>
      <w:r w:rsidR="007B46F1">
        <w:rPr>
          <w:rFonts w:ascii="Book Antiqua" w:hAnsi="Book Antiqua"/>
          <w:sz w:val="24"/>
          <w:szCs w:val="24"/>
        </w:rPr>
        <w:t>,</w:t>
      </w:r>
      <w:r w:rsidRPr="00C8550C">
        <w:rPr>
          <w:rFonts w:ascii="Book Antiqua" w:hAnsi="Book Antiqua"/>
          <w:sz w:val="24"/>
          <w:szCs w:val="24"/>
        </w:rPr>
        <w:t xml:space="preserve"> and </w:t>
      </w:r>
      <w:r w:rsidR="005712D8" w:rsidRPr="00C8550C">
        <w:rPr>
          <w:rFonts w:ascii="Book Antiqua" w:hAnsi="Book Antiqua"/>
          <w:sz w:val="24"/>
          <w:szCs w:val="24"/>
        </w:rPr>
        <w:t xml:space="preserve">Lu </w:t>
      </w:r>
      <w:r w:rsidRPr="00C8550C">
        <w:rPr>
          <w:rFonts w:ascii="Book Antiqua" w:hAnsi="Book Antiqua"/>
          <w:sz w:val="24"/>
          <w:szCs w:val="24"/>
        </w:rPr>
        <w:t>Q</w:t>
      </w:r>
      <w:r w:rsidR="005712D8" w:rsidRPr="00C8550C">
        <w:rPr>
          <w:rFonts w:ascii="Book Antiqua" w:hAnsi="Book Antiqua"/>
          <w:sz w:val="24"/>
          <w:szCs w:val="24"/>
        </w:rPr>
        <w:t xml:space="preserve"> </w:t>
      </w:r>
      <w:r w:rsidRPr="00C8550C">
        <w:rPr>
          <w:rFonts w:ascii="Book Antiqua" w:hAnsi="Book Antiqua"/>
          <w:sz w:val="24"/>
          <w:szCs w:val="24"/>
        </w:rPr>
        <w:t xml:space="preserve">contributed to the analytical tools; </w:t>
      </w:r>
      <w:r w:rsidR="005712D8" w:rsidRPr="00C8550C">
        <w:rPr>
          <w:rFonts w:ascii="Book Antiqua" w:hAnsi="Book Antiqua"/>
          <w:sz w:val="24"/>
          <w:szCs w:val="24"/>
        </w:rPr>
        <w:t xml:space="preserve">Huang </w:t>
      </w:r>
      <w:r w:rsidR="00C14D0C" w:rsidRPr="00C8550C">
        <w:rPr>
          <w:rFonts w:ascii="Book Antiqua" w:hAnsi="Book Antiqua"/>
          <w:sz w:val="24"/>
          <w:szCs w:val="24"/>
        </w:rPr>
        <w:t>JY</w:t>
      </w:r>
      <w:r w:rsidRPr="00C8550C">
        <w:rPr>
          <w:rFonts w:ascii="Book Antiqua" w:hAnsi="Book Antiqua"/>
          <w:sz w:val="24"/>
          <w:szCs w:val="24"/>
        </w:rPr>
        <w:t xml:space="preserve">, </w:t>
      </w:r>
      <w:r w:rsidR="005712D8" w:rsidRPr="00C8550C">
        <w:rPr>
          <w:rFonts w:ascii="Book Antiqua" w:hAnsi="Book Antiqua"/>
          <w:sz w:val="24"/>
          <w:szCs w:val="24"/>
        </w:rPr>
        <w:t xml:space="preserve">Li </w:t>
      </w:r>
      <w:r w:rsidRPr="00C8550C">
        <w:rPr>
          <w:rFonts w:ascii="Book Antiqua" w:hAnsi="Book Antiqua"/>
          <w:sz w:val="24"/>
          <w:szCs w:val="24"/>
        </w:rPr>
        <w:t>JW</w:t>
      </w:r>
      <w:r w:rsidR="007B46F1">
        <w:rPr>
          <w:rFonts w:ascii="Book Antiqua" w:hAnsi="Book Antiqua"/>
          <w:sz w:val="24"/>
          <w:szCs w:val="24"/>
        </w:rPr>
        <w:t>,</w:t>
      </w:r>
      <w:r w:rsidRPr="00C8550C">
        <w:rPr>
          <w:rFonts w:ascii="Book Antiqua" w:hAnsi="Book Antiqua"/>
          <w:sz w:val="24"/>
          <w:szCs w:val="24"/>
        </w:rPr>
        <w:t xml:space="preserve"> and </w:t>
      </w:r>
      <w:r w:rsidR="005712D8" w:rsidRPr="00C8550C">
        <w:rPr>
          <w:rFonts w:ascii="Book Antiqua" w:hAnsi="Book Antiqua"/>
          <w:sz w:val="24"/>
          <w:szCs w:val="24"/>
        </w:rPr>
        <w:t xml:space="preserve">Lu </w:t>
      </w:r>
      <w:r w:rsidRPr="00C8550C">
        <w:rPr>
          <w:rFonts w:ascii="Book Antiqua" w:hAnsi="Book Antiqua"/>
          <w:sz w:val="24"/>
          <w:szCs w:val="24"/>
        </w:rPr>
        <w:t xml:space="preserve">Q analyzed the data; </w:t>
      </w:r>
      <w:r w:rsidR="005712D8" w:rsidRPr="00C8550C">
        <w:rPr>
          <w:rFonts w:ascii="Book Antiqua" w:hAnsi="Book Antiqua"/>
          <w:sz w:val="24"/>
          <w:szCs w:val="24"/>
        </w:rPr>
        <w:t>Huang JY</w:t>
      </w:r>
      <w:r w:rsidR="00C14D0C" w:rsidRPr="00C8550C">
        <w:rPr>
          <w:rFonts w:ascii="Book Antiqua" w:hAnsi="Book Antiqua"/>
          <w:sz w:val="24"/>
          <w:szCs w:val="24"/>
        </w:rPr>
        <w:t xml:space="preserve"> wrote the paper; </w:t>
      </w:r>
      <w:r w:rsidR="005712D8" w:rsidRPr="00C8550C">
        <w:rPr>
          <w:rFonts w:ascii="Book Antiqua" w:hAnsi="Book Antiqua"/>
          <w:sz w:val="24"/>
          <w:szCs w:val="24"/>
        </w:rPr>
        <w:t>Lu Q</w:t>
      </w:r>
      <w:r w:rsidRPr="00C8550C">
        <w:rPr>
          <w:rFonts w:ascii="Book Antiqua" w:hAnsi="Book Antiqua"/>
          <w:sz w:val="24"/>
          <w:szCs w:val="24"/>
        </w:rPr>
        <w:t xml:space="preserve">, </w:t>
      </w:r>
      <w:r w:rsidR="005712D8" w:rsidRPr="00C8550C">
        <w:rPr>
          <w:rFonts w:ascii="Book Antiqua" w:hAnsi="Book Antiqua"/>
          <w:sz w:val="24"/>
          <w:szCs w:val="24"/>
        </w:rPr>
        <w:t>Luo Y</w:t>
      </w:r>
      <w:r w:rsidR="007B46F1">
        <w:rPr>
          <w:rFonts w:ascii="Book Antiqua" w:hAnsi="Book Antiqua"/>
          <w:sz w:val="24"/>
          <w:szCs w:val="24"/>
        </w:rPr>
        <w:t>,</w:t>
      </w:r>
      <w:r w:rsidRPr="00C8550C">
        <w:rPr>
          <w:rFonts w:ascii="Book Antiqua" w:hAnsi="Book Antiqua"/>
          <w:sz w:val="24"/>
          <w:szCs w:val="24"/>
        </w:rPr>
        <w:t xml:space="preserve"> and </w:t>
      </w:r>
      <w:r w:rsidR="005712D8" w:rsidRPr="00C8550C">
        <w:rPr>
          <w:rFonts w:ascii="Book Antiqua" w:hAnsi="Book Antiqua"/>
          <w:sz w:val="24"/>
          <w:szCs w:val="24"/>
        </w:rPr>
        <w:t>Liu JB</w:t>
      </w:r>
      <w:r w:rsidRPr="00C8550C">
        <w:rPr>
          <w:rFonts w:ascii="Book Antiqua" w:hAnsi="Book Antiqua"/>
          <w:sz w:val="24"/>
          <w:szCs w:val="24"/>
        </w:rPr>
        <w:t xml:space="preserve"> revised and edited the manuscript.</w:t>
      </w:r>
    </w:p>
    <w:p w:rsidR="0010346D" w:rsidRPr="00C8550C" w:rsidRDefault="0010346D" w:rsidP="00122AF4">
      <w:pPr>
        <w:adjustRightInd w:val="0"/>
        <w:snapToGrid w:val="0"/>
        <w:spacing w:after="0" w:line="360" w:lineRule="auto"/>
        <w:rPr>
          <w:rFonts w:ascii="Book Antiqua" w:hAnsi="Book Antiqua"/>
          <w:sz w:val="24"/>
          <w:szCs w:val="24"/>
        </w:rPr>
      </w:pPr>
    </w:p>
    <w:p w:rsidR="00835DED" w:rsidRPr="00C8550C" w:rsidRDefault="004E1E85" w:rsidP="00122AF4">
      <w:pPr>
        <w:adjustRightInd w:val="0"/>
        <w:snapToGrid w:val="0"/>
        <w:spacing w:after="0" w:line="360" w:lineRule="auto"/>
        <w:rPr>
          <w:rFonts w:ascii="Book Antiqua" w:hAnsi="Book Antiqua"/>
          <w:bCs/>
          <w:sz w:val="24"/>
          <w:szCs w:val="24"/>
        </w:rPr>
      </w:pPr>
      <w:r w:rsidRPr="00C8550C">
        <w:rPr>
          <w:rFonts w:ascii="Book Antiqua" w:hAnsi="Book Antiqua"/>
          <w:b/>
          <w:sz w:val="24"/>
          <w:szCs w:val="24"/>
        </w:rPr>
        <w:t>Supported by</w:t>
      </w:r>
      <w:r w:rsidR="00835DED" w:rsidRPr="00C8550C">
        <w:rPr>
          <w:rFonts w:ascii="Book Antiqua" w:hAnsi="Book Antiqua"/>
          <w:b/>
          <w:sz w:val="24"/>
          <w:szCs w:val="24"/>
        </w:rPr>
        <w:t xml:space="preserve"> </w:t>
      </w:r>
      <w:r w:rsidR="00835DED" w:rsidRPr="00C8550C">
        <w:rPr>
          <w:rFonts w:ascii="Book Antiqua" w:hAnsi="Book Antiqua"/>
          <w:bCs/>
          <w:sz w:val="24"/>
          <w:szCs w:val="24"/>
        </w:rPr>
        <w:t>National Natural Science Foundation of China</w:t>
      </w:r>
      <w:r w:rsidR="005A04C4" w:rsidRPr="00C8550C">
        <w:rPr>
          <w:rFonts w:ascii="Book Antiqua" w:hAnsi="Book Antiqua"/>
          <w:bCs/>
          <w:sz w:val="24"/>
          <w:szCs w:val="24"/>
        </w:rPr>
        <w:t xml:space="preserve">, No. 81571697; </w:t>
      </w:r>
      <w:r w:rsidR="00835DED" w:rsidRPr="00C8550C">
        <w:rPr>
          <w:rFonts w:ascii="Book Antiqua" w:hAnsi="Book Antiqua"/>
          <w:bCs/>
          <w:sz w:val="24"/>
          <w:szCs w:val="24"/>
        </w:rPr>
        <w:t xml:space="preserve">Science and Technology </w:t>
      </w:r>
      <w:r w:rsidR="005A04C4" w:rsidRPr="00C8550C">
        <w:rPr>
          <w:rFonts w:ascii="Book Antiqua" w:hAnsi="Book Antiqua"/>
          <w:bCs/>
          <w:sz w:val="24"/>
          <w:szCs w:val="24"/>
        </w:rPr>
        <w:t>Department of Sichuan Province, No. 2018FZ0044;</w:t>
      </w:r>
      <w:r w:rsidR="008D4281" w:rsidRPr="00C8550C">
        <w:rPr>
          <w:rFonts w:ascii="Book Antiqua" w:hAnsi="Book Antiqua"/>
          <w:bCs/>
          <w:sz w:val="24"/>
          <w:szCs w:val="24"/>
        </w:rPr>
        <w:t xml:space="preserve"> </w:t>
      </w:r>
      <w:r w:rsidR="00835DED" w:rsidRPr="00C8550C">
        <w:rPr>
          <w:rFonts w:ascii="Book Antiqua" w:hAnsi="Book Antiqua"/>
          <w:bCs/>
          <w:sz w:val="24"/>
          <w:szCs w:val="24"/>
        </w:rPr>
        <w:t xml:space="preserve">1.3.5 Project for Disciplines </w:t>
      </w:r>
      <w:r w:rsidR="00835DED" w:rsidRPr="00C8550C">
        <w:rPr>
          <w:rFonts w:ascii="Book Antiqua" w:hAnsi="Book Antiqua"/>
          <w:bCs/>
          <w:sz w:val="24"/>
          <w:szCs w:val="24"/>
        </w:rPr>
        <w:lastRenderedPageBreak/>
        <w:t xml:space="preserve">of </w:t>
      </w:r>
      <w:r w:rsidR="005A04C4" w:rsidRPr="00C8550C">
        <w:rPr>
          <w:rFonts w:ascii="Book Antiqua" w:hAnsi="Book Antiqua"/>
          <w:bCs/>
          <w:sz w:val="24"/>
          <w:szCs w:val="24"/>
        </w:rPr>
        <w:t>Excellence, West China Hospital of</w:t>
      </w:r>
      <w:r w:rsidR="00835DED" w:rsidRPr="00C8550C">
        <w:rPr>
          <w:rFonts w:ascii="Book Antiqua" w:hAnsi="Book Antiqua"/>
          <w:bCs/>
          <w:sz w:val="24"/>
          <w:szCs w:val="24"/>
        </w:rPr>
        <w:t xml:space="preserve"> Sichuan University</w:t>
      </w:r>
      <w:r w:rsidR="005A04C4" w:rsidRPr="00C8550C">
        <w:rPr>
          <w:rFonts w:ascii="Book Antiqua" w:hAnsi="Book Antiqua"/>
          <w:bCs/>
          <w:sz w:val="24"/>
          <w:szCs w:val="24"/>
        </w:rPr>
        <w:t xml:space="preserve">, </w:t>
      </w:r>
      <w:r w:rsidR="00835DED" w:rsidRPr="00C8550C">
        <w:rPr>
          <w:rFonts w:ascii="Book Antiqua" w:hAnsi="Book Antiqua"/>
          <w:bCs/>
          <w:sz w:val="24"/>
          <w:szCs w:val="24"/>
        </w:rPr>
        <w:t>No. ZYJC</w:t>
      </w:r>
      <w:r w:rsidR="005A04C4" w:rsidRPr="00C8550C">
        <w:rPr>
          <w:rFonts w:ascii="Book Antiqua" w:hAnsi="Book Antiqua"/>
          <w:bCs/>
          <w:sz w:val="24"/>
          <w:szCs w:val="24"/>
        </w:rPr>
        <w:t>18008</w:t>
      </w:r>
      <w:r w:rsidR="00835DED" w:rsidRPr="00C8550C">
        <w:rPr>
          <w:rFonts w:ascii="Book Antiqua" w:hAnsi="Book Antiqua"/>
          <w:bCs/>
          <w:sz w:val="24"/>
          <w:szCs w:val="24"/>
        </w:rPr>
        <w:t>.</w:t>
      </w:r>
    </w:p>
    <w:p w:rsidR="00586EBC" w:rsidRPr="00C8550C" w:rsidRDefault="00586EBC" w:rsidP="00122AF4">
      <w:pPr>
        <w:adjustRightInd w:val="0"/>
        <w:snapToGrid w:val="0"/>
        <w:spacing w:after="0" w:line="360" w:lineRule="auto"/>
        <w:rPr>
          <w:rFonts w:ascii="Book Antiqua" w:hAnsi="Book Antiqua"/>
          <w:bCs/>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b/>
          <w:sz w:val="24"/>
          <w:szCs w:val="24"/>
        </w:rPr>
        <w:t xml:space="preserve">Corresponding author: </w:t>
      </w:r>
      <w:r w:rsidR="00466E26" w:rsidRPr="00C8550C">
        <w:rPr>
          <w:rFonts w:ascii="Book Antiqua" w:hAnsi="Book Antiqua"/>
          <w:b/>
          <w:bCs/>
          <w:sz w:val="24"/>
          <w:szCs w:val="24"/>
        </w:rPr>
        <w:t>Qiang Lu</w:t>
      </w:r>
      <w:r w:rsidR="00466E26" w:rsidRPr="00C8550C">
        <w:rPr>
          <w:rFonts w:ascii="Book Antiqua" w:hAnsi="Book Antiqua"/>
          <w:sz w:val="24"/>
          <w:szCs w:val="24"/>
        </w:rPr>
        <w:t>,</w:t>
      </w:r>
      <w:r w:rsidR="00466E26" w:rsidRPr="00C8550C">
        <w:rPr>
          <w:rFonts w:ascii="Book Antiqua" w:hAnsi="Book Antiqua"/>
          <w:b/>
          <w:bCs/>
          <w:sz w:val="24"/>
          <w:szCs w:val="24"/>
        </w:rPr>
        <w:t xml:space="preserve"> </w:t>
      </w:r>
      <w:r w:rsidR="0010346D" w:rsidRPr="00C8550C">
        <w:rPr>
          <w:rFonts w:ascii="Book Antiqua" w:hAnsi="Book Antiqua"/>
          <w:b/>
          <w:bCs/>
          <w:sz w:val="24"/>
          <w:szCs w:val="24"/>
        </w:rPr>
        <w:t>MD</w:t>
      </w:r>
      <w:r w:rsidR="0010346D" w:rsidRPr="00C8550C">
        <w:rPr>
          <w:rFonts w:ascii="Book Antiqua" w:hAnsi="Book Antiqua"/>
          <w:sz w:val="24"/>
          <w:szCs w:val="24"/>
        </w:rPr>
        <w:t>,</w:t>
      </w:r>
      <w:r w:rsidR="0010346D" w:rsidRPr="00C8550C">
        <w:rPr>
          <w:rFonts w:ascii="Book Antiqua" w:hAnsi="Book Antiqua"/>
          <w:b/>
          <w:bCs/>
          <w:sz w:val="24"/>
          <w:szCs w:val="24"/>
        </w:rPr>
        <w:t xml:space="preserve"> Professor</w:t>
      </w:r>
      <w:r w:rsidR="00466E26" w:rsidRPr="00C8550C">
        <w:rPr>
          <w:rFonts w:ascii="Book Antiqua" w:hAnsi="Book Antiqua"/>
          <w:sz w:val="24"/>
          <w:szCs w:val="24"/>
        </w:rPr>
        <w:t xml:space="preserve">, </w:t>
      </w:r>
      <w:r w:rsidRPr="00C8550C">
        <w:rPr>
          <w:rFonts w:ascii="Book Antiqua" w:hAnsi="Book Antiqua"/>
          <w:sz w:val="24"/>
          <w:szCs w:val="24"/>
        </w:rPr>
        <w:t>Department of Medical Ultrasound, West China Hospital of Sichuan University, No. 37</w:t>
      </w:r>
      <w:r w:rsidR="00200A60">
        <w:rPr>
          <w:rFonts w:ascii="Book Antiqua" w:hAnsi="Book Antiqua" w:hint="eastAsia"/>
          <w:sz w:val="24"/>
          <w:szCs w:val="24"/>
        </w:rPr>
        <w:t>,</w:t>
      </w:r>
      <w:r w:rsidR="00200A60">
        <w:rPr>
          <w:rFonts w:ascii="Book Antiqua" w:hAnsi="Book Antiqua"/>
          <w:sz w:val="24"/>
          <w:szCs w:val="24"/>
        </w:rPr>
        <w:t xml:space="preserve"> </w:t>
      </w:r>
      <w:r w:rsidRPr="00C8550C">
        <w:rPr>
          <w:rFonts w:ascii="Book Antiqua" w:hAnsi="Book Antiqua"/>
          <w:sz w:val="24"/>
          <w:szCs w:val="24"/>
        </w:rPr>
        <w:t>Guo</w:t>
      </w:r>
      <w:r w:rsidR="007B46F1">
        <w:rPr>
          <w:rFonts w:ascii="Book Antiqua" w:hAnsi="Book Antiqua"/>
          <w:sz w:val="24"/>
          <w:szCs w:val="24"/>
        </w:rPr>
        <w:t>x</w:t>
      </w:r>
      <w:r w:rsidRPr="00C8550C">
        <w:rPr>
          <w:rFonts w:ascii="Book Antiqua" w:hAnsi="Book Antiqua"/>
          <w:sz w:val="24"/>
          <w:szCs w:val="24"/>
        </w:rPr>
        <w:t xml:space="preserve">ue </w:t>
      </w:r>
      <w:r w:rsidR="007B46F1">
        <w:rPr>
          <w:rFonts w:ascii="Book Antiqua" w:hAnsi="Book Antiqua"/>
          <w:sz w:val="24"/>
          <w:szCs w:val="24"/>
        </w:rPr>
        <w:t>Lane</w:t>
      </w:r>
      <w:r w:rsidRPr="00C8550C">
        <w:rPr>
          <w:rFonts w:ascii="Book Antiqua" w:hAnsi="Book Antiqua"/>
          <w:sz w:val="24"/>
          <w:szCs w:val="24"/>
        </w:rPr>
        <w:t xml:space="preserve">, Chengdu 610041, </w:t>
      </w:r>
      <w:r w:rsidR="00466E26" w:rsidRPr="00C8550C">
        <w:rPr>
          <w:rFonts w:ascii="Book Antiqua" w:hAnsi="Book Antiqua"/>
          <w:sz w:val="24"/>
          <w:szCs w:val="24"/>
        </w:rPr>
        <w:t xml:space="preserve">Sichuan </w:t>
      </w:r>
      <w:r w:rsidR="0010346D" w:rsidRPr="00C8550C">
        <w:rPr>
          <w:rFonts w:ascii="Book Antiqua" w:hAnsi="Book Antiqua"/>
          <w:sz w:val="24"/>
          <w:szCs w:val="24"/>
        </w:rPr>
        <w:t>P</w:t>
      </w:r>
      <w:r w:rsidR="00466E26" w:rsidRPr="00C8550C">
        <w:rPr>
          <w:rFonts w:ascii="Book Antiqua" w:hAnsi="Book Antiqua"/>
          <w:sz w:val="24"/>
          <w:szCs w:val="24"/>
        </w:rPr>
        <w:t xml:space="preserve">rovince, </w:t>
      </w:r>
      <w:r w:rsidRPr="00C8550C">
        <w:rPr>
          <w:rFonts w:ascii="Book Antiqua" w:hAnsi="Book Antiqua"/>
          <w:sz w:val="24"/>
          <w:szCs w:val="24"/>
        </w:rPr>
        <w:t xml:space="preserve">China. </w:t>
      </w:r>
      <w:hyperlink r:id="rId9" w:history="1">
        <w:r w:rsidRPr="00C8550C">
          <w:rPr>
            <w:rStyle w:val="a6"/>
            <w:rFonts w:ascii="Book Antiqua" w:hAnsi="Book Antiqua"/>
            <w:color w:val="auto"/>
            <w:sz w:val="24"/>
            <w:szCs w:val="24"/>
          </w:rPr>
          <w:t>luqiang@wchscu.cn</w:t>
        </w:r>
      </w:hyperlink>
    </w:p>
    <w:p w:rsidR="0010346D" w:rsidRPr="00C8550C" w:rsidRDefault="0010346D"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b/>
          <w:sz w:val="24"/>
          <w:szCs w:val="24"/>
        </w:rPr>
        <w:t xml:space="preserve">Received: </w:t>
      </w:r>
      <w:r w:rsidR="00E24694" w:rsidRPr="00C8550C">
        <w:rPr>
          <w:rFonts w:ascii="Book Antiqua" w:hAnsi="Book Antiqua"/>
          <w:sz w:val="24"/>
          <w:szCs w:val="24"/>
        </w:rPr>
        <w:t>March 2, 2020</w:t>
      </w:r>
    </w:p>
    <w:p w:rsidR="00835DED" w:rsidRPr="00C8550C" w:rsidRDefault="00835DED" w:rsidP="00122AF4">
      <w:pPr>
        <w:adjustRightInd w:val="0"/>
        <w:snapToGrid w:val="0"/>
        <w:spacing w:after="0" w:line="360" w:lineRule="auto"/>
        <w:rPr>
          <w:rFonts w:ascii="Book Antiqua" w:hAnsi="Book Antiqua"/>
          <w:b/>
          <w:sz w:val="24"/>
          <w:szCs w:val="24"/>
        </w:rPr>
      </w:pPr>
      <w:r w:rsidRPr="00C8550C">
        <w:rPr>
          <w:rFonts w:ascii="Book Antiqua" w:hAnsi="Book Antiqua"/>
          <w:b/>
          <w:sz w:val="24"/>
          <w:szCs w:val="24"/>
        </w:rPr>
        <w:t>Revised:</w:t>
      </w:r>
      <w:r w:rsidR="00E24694" w:rsidRPr="00C8550C">
        <w:rPr>
          <w:rFonts w:ascii="Book Antiqua" w:hAnsi="Book Antiqua"/>
          <w:sz w:val="24"/>
          <w:szCs w:val="24"/>
        </w:rPr>
        <w:t xml:space="preserve"> May 9, 2020</w:t>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b/>
          <w:sz w:val="24"/>
          <w:szCs w:val="24"/>
        </w:rPr>
        <w:t>Accepted:</w:t>
      </w:r>
      <w:r w:rsidR="00A93382" w:rsidRPr="00A93382">
        <w:t xml:space="preserve"> </w:t>
      </w:r>
      <w:r w:rsidR="00A93382" w:rsidRPr="00A93382">
        <w:rPr>
          <w:rFonts w:ascii="Book Antiqua" w:hAnsi="Book Antiqua"/>
          <w:bCs/>
          <w:sz w:val="24"/>
          <w:szCs w:val="24"/>
        </w:rPr>
        <w:t>July 4, 2020</w:t>
      </w:r>
      <w:r w:rsidRPr="00A93382">
        <w:rPr>
          <w:rFonts w:ascii="Book Antiqua" w:hAnsi="Book Antiqua"/>
          <w:bCs/>
          <w:sz w:val="24"/>
          <w:szCs w:val="24"/>
        </w:rPr>
        <w:t xml:space="preserve"> </w:t>
      </w:r>
    </w:p>
    <w:p w:rsidR="0010346D" w:rsidRPr="00BD0B28" w:rsidRDefault="00835DED" w:rsidP="00122AF4">
      <w:pPr>
        <w:adjustRightInd w:val="0"/>
        <w:snapToGrid w:val="0"/>
        <w:spacing w:after="0" w:line="360" w:lineRule="auto"/>
        <w:rPr>
          <w:rFonts w:ascii="Book Antiqua" w:hAnsi="Book Antiqua"/>
          <w:b/>
          <w:sz w:val="24"/>
          <w:szCs w:val="24"/>
        </w:rPr>
      </w:pPr>
      <w:r w:rsidRPr="00C8550C">
        <w:rPr>
          <w:rFonts w:ascii="Book Antiqua" w:hAnsi="Book Antiqua"/>
          <w:b/>
          <w:sz w:val="24"/>
          <w:szCs w:val="24"/>
        </w:rPr>
        <w:t>Published online:</w:t>
      </w:r>
      <w:r w:rsidR="00BD0B28">
        <w:rPr>
          <w:rFonts w:ascii="Book Antiqua" w:hAnsi="Book Antiqua" w:hint="eastAsia"/>
          <w:b/>
          <w:sz w:val="24"/>
          <w:szCs w:val="24"/>
        </w:rPr>
        <w:t xml:space="preserve"> </w:t>
      </w:r>
      <w:r w:rsidR="00BD0B28" w:rsidRPr="00BD0B28">
        <w:rPr>
          <w:rFonts w:ascii="Book Antiqua" w:hAnsi="Book Antiqua" w:hint="eastAsia"/>
          <w:sz w:val="24"/>
          <w:szCs w:val="24"/>
        </w:rPr>
        <w:t>July 21, 2020</w:t>
      </w:r>
    </w:p>
    <w:p w:rsidR="00835DED" w:rsidRPr="00C8550C" w:rsidRDefault="0010346D" w:rsidP="00122AF4">
      <w:pPr>
        <w:adjustRightInd w:val="0"/>
        <w:snapToGrid w:val="0"/>
        <w:spacing w:after="0" w:line="360" w:lineRule="auto"/>
        <w:rPr>
          <w:rFonts w:ascii="Book Antiqua" w:hAnsi="Book Antiqua"/>
          <w:b/>
          <w:bCs/>
          <w:sz w:val="24"/>
          <w:szCs w:val="24"/>
        </w:rPr>
      </w:pPr>
      <w:r w:rsidRPr="00C8550C">
        <w:rPr>
          <w:rFonts w:ascii="Book Antiqua" w:hAnsi="Book Antiqua"/>
          <w:b/>
          <w:sz w:val="24"/>
          <w:szCs w:val="24"/>
        </w:rPr>
        <w:br w:type="page"/>
      </w:r>
      <w:r w:rsidR="00835DED" w:rsidRPr="00C8550C">
        <w:rPr>
          <w:rFonts w:ascii="Book Antiqua" w:hAnsi="Book Antiqua"/>
          <w:b/>
          <w:bCs/>
          <w:sz w:val="24"/>
          <w:szCs w:val="24"/>
        </w:rPr>
        <w:lastRenderedPageBreak/>
        <w:t>Abstract</w:t>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 xml:space="preserve">BACKGROUND </w:t>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 xml:space="preserve">Hepatocellular carcinoma (HCC) and intrahepatic cholangiocarcinoma (ICC) differ in treatment and prognosis, warranting an effective differential diagnosis between them. The LR-M category in </w:t>
      </w:r>
      <w:r w:rsidR="00825067">
        <w:rPr>
          <w:rFonts w:ascii="Book Antiqua" w:hAnsi="Book Antiqua"/>
          <w:sz w:val="24"/>
          <w:szCs w:val="24"/>
        </w:rPr>
        <w:t xml:space="preserve">the </w:t>
      </w:r>
      <w:r w:rsidRPr="00C8550C">
        <w:rPr>
          <w:rFonts w:ascii="Book Antiqua" w:hAnsi="Book Antiqua"/>
          <w:sz w:val="24"/>
          <w:szCs w:val="24"/>
        </w:rPr>
        <w:t xml:space="preserve">contrast-enhanced ultrasound (CEUS) </w:t>
      </w:r>
      <w:r w:rsidR="008323EC" w:rsidRPr="00C8550C">
        <w:rPr>
          <w:rFonts w:ascii="Book Antiqua" w:hAnsi="Book Antiqua"/>
          <w:sz w:val="24"/>
          <w:szCs w:val="24"/>
        </w:rPr>
        <w:t>liver imaging reporting and data system</w:t>
      </w:r>
      <w:r w:rsidRPr="00C8550C">
        <w:rPr>
          <w:rFonts w:ascii="Book Antiqua" w:hAnsi="Book Antiqua"/>
          <w:sz w:val="24"/>
          <w:szCs w:val="24"/>
        </w:rPr>
        <w:t xml:space="preserve"> (LI-RADS) was set up for lesions that are malignant but not specific to HCC. However, a substantial number of HCC cases in this category elevated the diagnostic challenge.</w:t>
      </w:r>
    </w:p>
    <w:p w:rsidR="00E24694" w:rsidRPr="00C8550C" w:rsidRDefault="00E24694"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AIM</w:t>
      </w:r>
    </w:p>
    <w:p w:rsidR="00835DED" w:rsidRPr="00C8550C" w:rsidRDefault="00E24694"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T</w:t>
      </w:r>
      <w:r w:rsidR="00835DED" w:rsidRPr="00C8550C">
        <w:rPr>
          <w:rFonts w:ascii="Book Antiqua" w:hAnsi="Book Antiqua"/>
          <w:sz w:val="24"/>
          <w:szCs w:val="24"/>
        </w:rPr>
        <w:t>o investigate the possibility and efficacy of differentiating ICC</w:t>
      </w:r>
      <w:r w:rsidRPr="00C8550C">
        <w:rPr>
          <w:rFonts w:ascii="Book Antiqua" w:hAnsi="Book Antiqua"/>
          <w:sz w:val="24"/>
          <w:szCs w:val="24"/>
        </w:rPr>
        <w:t xml:space="preserve"> </w:t>
      </w:r>
      <w:r w:rsidR="00835DED" w:rsidRPr="00C8550C">
        <w:rPr>
          <w:rFonts w:ascii="Book Antiqua" w:hAnsi="Book Antiqua"/>
          <w:sz w:val="24"/>
          <w:szCs w:val="24"/>
        </w:rPr>
        <w:t>from HCC classified in the LR-M category according to the CEUS LI-RADS</w:t>
      </w:r>
      <w:r w:rsidRPr="00C8550C">
        <w:rPr>
          <w:rFonts w:ascii="Book Antiqua" w:hAnsi="Book Antiqua"/>
          <w:sz w:val="24"/>
          <w:szCs w:val="24"/>
        </w:rPr>
        <w:t>.</w:t>
      </w:r>
    </w:p>
    <w:p w:rsidR="00E24694" w:rsidRPr="00C8550C" w:rsidRDefault="00E24694" w:rsidP="00122AF4">
      <w:pPr>
        <w:adjustRightInd w:val="0"/>
        <w:snapToGrid w:val="0"/>
        <w:spacing w:after="0" w:line="360" w:lineRule="auto"/>
        <w:rPr>
          <w:rFonts w:ascii="Book Antiqua" w:hAnsi="Book Antiqua"/>
          <w:sz w:val="24"/>
          <w:szCs w:val="24"/>
        </w:rPr>
      </w:pPr>
    </w:p>
    <w:p w:rsidR="00B37B49"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METHODS</w:t>
      </w:r>
    </w:p>
    <w:p w:rsidR="00B37B49" w:rsidRPr="00C8550C" w:rsidRDefault="00B37B49" w:rsidP="00122AF4">
      <w:pPr>
        <w:adjustRightInd w:val="0"/>
        <w:snapToGrid w:val="0"/>
        <w:spacing w:after="0" w:line="360" w:lineRule="auto"/>
        <w:rPr>
          <w:rFonts w:ascii="Book Antiqua" w:eastAsia="Arial Unicode MS" w:hAnsi="Book Antiqua"/>
          <w:sz w:val="24"/>
          <w:szCs w:val="24"/>
        </w:rPr>
      </w:pPr>
      <w:r w:rsidRPr="00C8550C">
        <w:rPr>
          <w:rFonts w:ascii="Book Antiqua" w:hAnsi="Book Antiqua"/>
          <w:bCs/>
          <w:sz w:val="24"/>
          <w:szCs w:val="24"/>
        </w:rPr>
        <w:t xml:space="preserve">Patients with complete CEUS records together with pathologically confirmed ICC and LR-M HCC (HCC classified in the CEUS LI-RADS LR-M category) between January 2015 and October 2018 were included in this retrospective study. </w:t>
      </w:r>
      <w:r w:rsidRPr="00C8550C">
        <w:rPr>
          <w:rFonts w:ascii="Book Antiqua" w:eastAsia="Arial Unicode MS" w:hAnsi="Book Antiqua"/>
          <w:sz w:val="24"/>
          <w:szCs w:val="24"/>
        </w:rPr>
        <w:t xml:space="preserve">Each ICC was assigned a category as per </w:t>
      </w:r>
      <w:r w:rsidR="00825067">
        <w:rPr>
          <w:rFonts w:ascii="Book Antiqua" w:eastAsia="Arial Unicode MS" w:hAnsi="Book Antiqua"/>
          <w:sz w:val="24"/>
          <w:szCs w:val="24"/>
        </w:rPr>
        <w:t xml:space="preserve">the </w:t>
      </w:r>
      <w:r w:rsidRPr="00C8550C">
        <w:rPr>
          <w:rFonts w:ascii="Book Antiqua" w:eastAsia="Arial Unicode MS" w:hAnsi="Book Antiqua"/>
          <w:sz w:val="24"/>
          <w:szCs w:val="24"/>
        </w:rPr>
        <w:t>CEUS LI-RADS. The enhancement pattern, washout timing</w:t>
      </w:r>
      <w:r w:rsidR="00825067">
        <w:rPr>
          <w:rFonts w:ascii="Book Antiqua" w:eastAsia="Arial Unicode MS" w:hAnsi="Book Antiqua"/>
          <w:sz w:val="24"/>
          <w:szCs w:val="24"/>
        </w:rPr>
        <w:t>,</w:t>
      </w:r>
      <w:r w:rsidRPr="00C8550C">
        <w:rPr>
          <w:rFonts w:ascii="Book Antiqua" w:eastAsia="Arial Unicode MS" w:hAnsi="Book Antiqua"/>
          <w:sz w:val="24"/>
          <w:szCs w:val="24"/>
        </w:rPr>
        <w:t xml:space="preserve"> and </w:t>
      </w:r>
      <w:r w:rsidR="0049145F" w:rsidRPr="00C8550C">
        <w:rPr>
          <w:rFonts w:ascii="Book Antiqua" w:eastAsia="Arial Unicode MS" w:hAnsi="Book Antiqua"/>
          <w:sz w:val="24"/>
          <w:szCs w:val="24"/>
        </w:rPr>
        <w:t xml:space="preserve">washout </w:t>
      </w:r>
      <w:r w:rsidRPr="00C8550C">
        <w:rPr>
          <w:rFonts w:ascii="Book Antiqua" w:eastAsia="Arial Unicode MS" w:hAnsi="Book Antiqua"/>
          <w:sz w:val="24"/>
          <w:szCs w:val="24"/>
        </w:rPr>
        <w:t xml:space="preserve">degree between the ICC and LR-M HCC were compared using the </w:t>
      </w:r>
      <w:r w:rsidR="006A1974" w:rsidRPr="00C8550C">
        <w:rPr>
          <w:rFonts w:ascii="Book Antiqua" w:hAnsi="Book Antiqua"/>
          <w:sz w:val="24"/>
          <w:szCs w:val="24"/>
        </w:rPr>
        <w:t>χ</w:t>
      </w:r>
      <w:r w:rsidR="006A1974" w:rsidRPr="00C8550C">
        <w:rPr>
          <w:rFonts w:ascii="Book Antiqua" w:hAnsi="Book Antiqua"/>
          <w:sz w:val="24"/>
          <w:szCs w:val="24"/>
          <w:vertAlign w:val="superscript"/>
        </w:rPr>
        <w:t>2</w:t>
      </w:r>
      <w:r w:rsidRPr="00C8550C">
        <w:rPr>
          <w:rFonts w:ascii="Book Antiqua" w:hAnsi="Book Antiqua"/>
          <w:sz w:val="24"/>
          <w:szCs w:val="24"/>
        </w:rPr>
        <w:t xml:space="preserve"> test</w:t>
      </w:r>
      <w:r w:rsidRPr="00C8550C">
        <w:rPr>
          <w:rFonts w:ascii="Book Antiqua" w:eastAsia="Arial Unicode MS" w:hAnsi="Book Antiqua"/>
          <w:sz w:val="24"/>
          <w:szCs w:val="24"/>
        </w:rPr>
        <w:t>. Logistic</w:t>
      </w:r>
      <w:r w:rsidRPr="00C8550C">
        <w:rPr>
          <w:rFonts w:ascii="Book Antiqua" w:hAnsi="Book Antiqua"/>
          <w:sz w:val="24"/>
          <w:szCs w:val="24"/>
          <w:shd w:val="clear" w:color="auto" w:fill="FFFFFF"/>
        </w:rPr>
        <w:t xml:space="preserve"> regression analysis was used for prediction of ICC. </w:t>
      </w:r>
      <w:r w:rsidRPr="00C8550C">
        <w:rPr>
          <w:rFonts w:ascii="Book Antiqua" w:eastAsia="Arial Unicode MS" w:hAnsi="Book Antiqua"/>
          <w:sz w:val="24"/>
          <w:szCs w:val="24"/>
        </w:rPr>
        <w:t>Receiver operating characteristic (ROC) curve analysis was used to investigate the possibility of LR-M criteria and serum tumor markers in differentiating ICC from LR-M HCC.</w:t>
      </w:r>
    </w:p>
    <w:p w:rsidR="00E24694" w:rsidRPr="00C8550C" w:rsidRDefault="00E24694" w:rsidP="00122AF4">
      <w:pPr>
        <w:adjustRightInd w:val="0"/>
        <w:snapToGrid w:val="0"/>
        <w:spacing w:after="0" w:line="360" w:lineRule="auto"/>
        <w:rPr>
          <w:rFonts w:ascii="Book Antiqua" w:eastAsia="Arial Unicode MS" w:hAnsi="Book Antiqua"/>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RESULTS</w:t>
      </w:r>
    </w:p>
    <w:p w:rsidR="00BA208C" w:rsidRPr="00C8550C" w:rsidRDefault="00BA208C" w:rsidP="00122AF4">
      <w:pPr>
        <w:adjustRightInd w:val="0"/>
        <w:snapToGrid w:val="0"/>
        <w:spacing w:after="0" w:line="360" w:lineRule="auto"/>
        <w:rPr>
          <w:rFonts w:ascii="Book Antiqua" w:eastAsia="Arial Unicode MS" w:hAnsi="Book Antiqua"/>
          <w:bCs/>
          <w:sz w:val="24"/>
          <w:szCs w:val="24"/>
        </w:rPr>
      </w:pPr>
      <w:r w:rsidRPr="00C8550C">
        <w:rPr>
          <w:rFonts w:ascii="Book Antiqua" w:eastAsia="Arial Unicode MS" w:hAnsi="Book Antiqua"/>
          <w:bCs/>
          <w:sz w:val="24"/>
          <w:szCs w:val="24"/>
        </w:rPr>
        <w:t>A total of 228 nodules (99 ICCs and 129 LR-M HCCs) in 228 patients were included. The mean sizes of ICC and LR-M HCC were 6.3</w:t>
      </w:r>
      <w:r w:rsidR="00E24694"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w:t>
      </w:r>
      <w:r w:rsidR="00E24694"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2.8 cm and 5.5</w:t>
      </w:r>
      <w:r w:rsidR="00E24694"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w:t>
      </w:r>
      <w:r w:rsidR="00E24694"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3.5 cm, respectively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w:t>
      </w:r>
      <w:r w:rsidR="0063424B"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0.03</w:t>
      </w:r>
      <w:r w:rsidRPr="00C8550C">
        <w:rPr>
          <w:rFonts w:ascii="Book Antiqua" w:eastAsia="Arial Unicode MS" w:hAnsi="Book Antiqua"/>
          <w:bCs/>
          <w:sz w:val="24"/>
          <w:szCs w:val="24"/>
        </w:rPr>
        <w:t xml:space="preserve">). Peripheral rim-like arterial phase hyperenhancement (APHE) was detected in 50.5% (50/99) of ICCs </w:t>
      </w:r>
      <w:r w:rsidRPr="00C8550C">
        <w:rPr>
          <w:rFonts w:ascii="Book Antiqua" w:eastAsia="Arial Unicode MS" w:hAnsi="Book Antiqua"/>
          <w:bCs/>
          <w:i/>
          <w:iCs/>
          <w:sz w:val="24"/>
          <w:szCs w:val="24"/>
        </w:rPr>
        <w:t>vs</w:t>
      </w:r>
      <w:r w:rsidRPr="00C8550C">
        <w:rPr>
          <w:rFonts w:ascii="Book Antiqua" w:eastAsia="Arial Unicode MS" w:hAnsi="Book Antiqua"/>
          <w:bCs/>
          <w:sz w:val="24"/>
          <w:szCs w:val="24"/>
        </w:rPr>
        <w:t xml:space="preserve"> 16.3% (21/129)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&lt;</w:t>
      </w:r>
      <w:r w:rsidR="0063424B"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0.001</w:t>
      </w:r>
      <w:r w:rsidRPr="00C8550C">
        <w:rPr>
          <w:rFonts w:ascii="Book Antiqua" w:eastAsia="Arial Unicode MS" w:hAnsi="Book Antiqua"/>
          <w:bCs/>
          <w:sz w:val="24"/>
          <w:szCs w:val="24"/>
        </w:rPr>
        <w:t xml:space="preserve">). Early washout was found in 93.4% (93/99) of ICCs </w:t>
      </w:r>
      <w:r w:rsidRPr="00C8550C">
        <w:rPr>
          <w:rFonts w:ascii="Book Antiqua" w:eastAsia="Arial Unicode MS" w:hAnsi="Book Antiqua"/>
          <w:bCs/>
          <w:i/>
          <w:iCs/>
          <w:sz w:val="24"/>
          <w:szCs w:val="24"/>
        </w:rPr>
        <w:t xml:space="preserve">vs </w:t>
      </w:r>
      <w:r w:rsidRPr="00C8550C">
        <w:rPr>
          <w:rFonts w:ascii="Book Antiqua" w:eastAsia="Arial Unicode MS" w:hAnsi="Book Antiqua"/>
          <w:bCs/>
          <w:sz w:val="24"/>
          <w:szCs w:val="24"/>
        </w:rPr>
        <w:t>96.1% (124/129)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&gt;</w:t>
      </w:r>
      <w:r w:rsidR="0063424B"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0.05</w:t>
      </w:r>
      <w:r w:rsidRPr="00C8550C">
        <w:rPr>
          <w:rFonts w:ascii="Book Antiqua" w:eastAsia="Arial Unicode MS" w:hAnsi="Book Antiqua"/>
          <w:bCs/>
          <w:sz w:val="24"/>
          <w:szCs w:val="24"/>
        </w:rPr>
        <w:t>). Marked washout was observed in 23.2% (23/99)</w:t>
      </w:r>
      <w:r w:rsidRPr="00C8550C">
        <w:rPr>
          <w:rFonts w:ascii="Book Antiqua" w:hAnsi="Book Antiqua"/>
          <w:sz w:val="24"/>
          <w:szCs w:val="24"/>
        </w:rPr>
        <w:t xml:space="preserve"> of ICCs and </w:t>
      </w:r>
      <w:r w:rsidRPr="00C8550C">
        <w:rPr>
          <w:rFonts w:ascii="Book Antiqua" w:eastAsia="Arial Unicode MS" w:hAnsi="Book Antiqua"/>
          <w:bCs/>
          <w:sz w:val="24"/>
          <w:szCs w:val="24"/>
        </w:rPr>
        <w:t xml:space="preserve">7.8% (10/129)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w:t>
      </w:r>
      <w:r w:rsidR="0063424B"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0.002</w:t>
      </w:r>
      <w:r w:rsidRPr="00C8550C">
        <w:rPr>
          <w:rFonts w:ascii="Book Antiqua" w:eastAsia="Arial Unicode MS" w:hAnsi="Book Antiqua"/>
          <w:bCs/>
          <w:sz w:val="24"/>
          <w:szCs w:val="24"/>
        </w:rPr>
        <w:t xml:space="preserve">), while this </w:t>
      </w:r>
      <w:r w:rsidRPr="00C8550C">
        <w:rPr>
          <w:rFonts w:ascii="Book Antiqua" w:eastAsia="Arial Unicode MS" w:hAnsi="Book Antiqua"/>
          <w:bCs/>
          <w:sz w:val="24"/>
          <w:szCs w:val="24"/>
        </w:rPr>
        <w:lastRenderedPageBreak/>
        <w:t>feature did not show up alone either in ICC or LR-M HCC. Homogeneous hyperenhancement was detected in 15.2% (15/99) of ICCs and 37.2% (48/129)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&lt;</w:t>
      </w:r>
      <w:r w:rsidR="0063424B"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0.001</w:t>
      </w:r>
      <w:r w:rsidRPr="00C8550C">
        <w:rPr>
          <w:rFonts w:ascii="Book Antiqua" w:eastAsia="Arial Unicode MS" w:hAnsi="Book Antiqua"/>
          <w:bCs/>
          <w:sz w:val="24"/>
          <w:szCs w:val="24"/>
        </w:rPr>
        <w:t xml:space="preserve">). The logistic regression showed that rim APHE, </w:t>
      </w:r>
      <w:r w:rsidRPr="00C8550C">
        <w:rPr>
          <w:rFonts w:ascii="Book Antiqua" w:hAnsi="Book Antiqua"/>
          <w:sz w:val="24"/>
          <w:szCs w:val="24"/>
        </w:rPr>
        <w:t>carbohydrate antigen 19-9 (</w:t>
      </w:r>
      <w:r w:rsidRPr="00C8550C">
        <w:rPr>
          <w:rFonts w:ascii="Book Antiqua" w:eastAsia="Arial Unicode MS" w:hAnsi="Book Antiqua"/>
          <w:bCs/>
          <w:sz w:val="24"/>
          <w:szCs w:val="24"/>
        </w:rPr>
        <w:t>CA 19-9)</w:t>
      </w:r>
      <w:r w:rsidR="00825067">
        <w:rPr>
          <w:rFonts w:ascii="Book Antiqua" w:eastAsia="Arial Unicode MS" w:hAnsi="Book Antiqua"/>
          <w:bCs/>
          <w:sz w:val="24"/>
          <w:szCs w:val="24"/>
        </w:rPr>
        <w:t>,</w:t>
      </w:r>
      <w:r w:rsidRPr="00C8550C">
        <w:rPr>
          <w:rFonts w:ascii="Book Antiqua" w:eastAsia="Arial Unicode MS" w:hAnsi="Book Antiqua"/>
          <w:bCs/>
          <w:sz w:val="24"/>
          <w:szCs w:val="24"/>
        </w:rPr>
        <w:t xml:space="preserve"> and alpha fetoprotein (AFP) </w:t>
      </w:r>
      <w:r w:rsidR="00825067">
        <w:rPr>
          <w:rFonts w:ascii="Book Antiqua" w:eastAsia="Arial Unicode MS" w:hAnsi="Book Antiqua"/>
          <w:bCs/>
          <w:sz w:val="24"/>
          <w:szCs w:val="24"/>
        </w:rPr>
        <w:t>had</w:t>
      </w:r>
      <w:r w:rsidR="00825067"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significant correlations with ICC (</w:t>
      </w:r>
      <w:r w:rsidR="006A1974" w:rsidRPr="00C8550C">
        <w:rPr>
          <w:rFonts w:ascii="Book Antiqua" w:hAnsi="Book Antiqua"/>
          <w:i/>
          <w:sz w:val="24"/>
          <w:szCs w:val="24"/>
        </w:rPr>
        <w:t>r</w:t>
      </w:r>
      <w:r w:rsidR="006A1974" w:rsidRPr="00C8550C">
        <w:rPr>
          <w:rFonts w:ascii="Book Antiqua" w:hAnsi="Book Antiqua"/>
          <w:sz w:val="24"/>
          <w:szCs w:val="24"/>
        </w:rPr>
        <w:t xml:space="preserve"> </w:t>
      </w:r>
      <w:r w:rsidRPr="00C8550C">
        <w:rPr>
          <w:rFonts w:ascii="Book Antiqua" w:eastAsia="Arial Unicode MS" w:hAnsi="Book Antiqua"/>
          <w:bCs/>
          <w:sz w:val="24"/>
          <w:szCs w:val="24"/>
        </w:rPr>
        <w:t>= 1.251, 3.074</w:t>
      </w:r>
      <w:r w:rsidR="00825067">
        <w:rPr>
          <w:rFonts w:ascii="Book Antiqua" w:eastAsia="Arial Unicode MS" w:hAnsi="Book Antiqua"/>
          <w:bCs/>
          <w:sz w:val="24"/>
          <w:szCs w:val="24"/>
        </w:rPr>
        <w:t>,</w:t>
      </w:r>
      <w:r w:rsidRPr="00C8550C">
        <w:rPr>
          <w:rFonts w:ascii="Book Antiqua" w:eastAsia="Arial Unicode MS" w:hAnsi="Book Antiqua"/>
          <w:bCs/>
          <w:sz w:val="24"/>
          <w:szCs w:val="24"/>
        </w:rPr>
        <w:t xml:space="preserve"> and -2.767, respectively; </w:t>
      </w:r>
      <w:r w:rsidRPr="00C8550C">
        <w:rPr>
          <w:rFonts w:ascii="Book Antiqua" w:eastAsia="Arial Unicode MS" w:hAnsi="Book Antiqua"/>
          <w:bCs/>
          <w:i/>
          <w:iCs/>
          <w:sz w:val="24"/>
          <w:szCs w:val="24"/>
        </w:rPr>
        <w:t>P </w:t>
      </w:r>
      <w:r w:rsidRPr="00C8550C">
        <w:rPr>
          <w:rFonts w:ascii="Book Antiqua" w:eastAsia="Arial Unicode MS" w:hAnsi="Book Antiqua"/>
          <w:bCs/>
          <w:iCs/>
          <w:sz w:val="24"/>
          <w:szCs w:val="24"/>
        </w:rPr>
        <w:t>&lt; 0.01</w:t>
      </w:r>
      <w:r w:rsidRPr="00C8550C">
        <w:rPr>
          <w:rFonts w:ascii="Book Antiqua" w:eastAsia="Arial Unicode MS" w:hAnsi="Book Antiqua"/>
          <w:bCs/>
          <w:sz w:val="24"/>
          <w:szCs w:val="24"/>
        </w:rPr>
        <w:t>). Rim APHE presented the best enhancement pattern for diagnosing ICC, with an area under the ROC curve (AUC) of 0.70, sensitivity of 70.4%</w:t>
      </w:r>
      <w:r w:rsidR="00825067">
        <w:rPr>
          <w:rFonts w:ascii="Book Antiqua" w:eastAsia="Arial Unicode MS" w:hAnsi="Book Antiqua"/>
          <w:bCs/>
          <w:sz w:val="24"/>
          <w:szCs w:val="24"/>
        </w:rPr>
        <w:t>,</w:t>
      </w:r>
      <w:r w:rsidRPr="00C8550C">
        <w:rPr>
          <w:rFonts w:ascii="Book Antiqua" w:eastAsia="Arial Unicode MS" w:hAnsi="Book Antiqua"/>
          <w:bCs/>
          <w:sz w:val="24"/>
          <w:szCs w:val="24"/>
        </w:rPr>
        <w:t xml:space="preserve"> and specificity of 68.8%. When rim hyperenhacement was coupled with elevated CA 19-9 and normal AFP, the AUC and sensitivity improved to 0.82 and 100%, respectively, with specificity decreasing to 63.9%.</w:t>
      </w:r>
    </w:p>
    <w:p w:rsidR="00E24694" w:rsidRPr="00C8550C" w:rsidRDefault="00E24694" w:rsidP="00122AF4">
      <w:pPr>
        <w:adjustRightInd w:val="0"/>
        <w:snapToGrid w:val="0"/>
        <w:spacing w:after="0" w:line="360" w:lineRule="auto"/>
        <w:rPr>
          <w:rFonts w:ascii="Book Antiqua" w:eastAsia="Arial Unicode MS" w:hAnsi="Book Antiqua"/>
          <w:bCs/>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CONCLUSION</w:t>
      </w:r>
    </w:p>
    <w:p w:rsidR="00835DED" w:rsidRPr="00C8550C" w:rsidRDefault="00BA208C"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 xml:space="preserve">Rim APHE </w:t>
      </w:r>
      <w:r w:rsidR="00825067">
        <w:rPr>
          <w:rFonts w:ascii="Book Antiqua" w:hAnsi="Book Antiqua"/>
          <w:sz w:val="24"/>
          <w:szCs w:val="24"/>
        </w:rPr>
        <w:t>i</w:t>
      </w:r>
      <w:r w:rsidR="00825067" w:rsidRPr="00C8550C">
        <w:rPr>
          <w:rFonts w:ascii="Book Antiqua" w:hAnsi="Book Antiqua"/>
          <w:sz w:val="24"/>
          <w:szCs w:val="24"/>
        </w:rPr>
        <w:t xml:space="preserve">s </w:t>
      </w:r>
      <w:r w:rsidRPr="00C8550C">
        <w:rPr>
          <w:rFonts w:ascii="Book Antiqua" w:hAnsi="Book Antiqua"/>
          <w:sz w:val="24"/>
          <w:szCs w:val="24"/>
        </w:rPr>
        <w:t xml:space="preserve">a key predictor for differentiating ICC from LR-M HCC. Rim </w:t>
      </w:r>
      <w:r w:rsidRPr="00C8550C">
        <w:rPr>
          <w:rFonts w:ascii="Book Antiqua" w:eastAsia="Arial Unicode MS" w:hAnsi="Book Antiqua"/>
          <w:bCs/>
          <w:sz w:val="24"/>
          <w:szCs w:val="24"/>
        </w:rPr>
        <w:t>APHE</w:t>
      </w:r>
      <w:r w:rsidRPr="00C8550C">
        <w:rPr>
          <w:rFonts w:ascii="Book Antiqua" w:hAnsi="Book Antiqua"/>
          <w:sz w:val="24"/>
          <w:szCs w:val="24"/>
        </w:rPr>
        <w:t xml:space="preserve"> plus elevated CA 19-9 and normal AFP is a strong predictor of ICC rather than LR-M HCC. Early washout and marked washout have limited value for the differentiation between the two entities.</w:t>
      </w:r>
    </w:p>
    <w:p w:rsidR="006A1974" w:rsidRPr="00C8550C" w:rsidRDefault="006A1974"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bookmarkStart w:id="2" w:name="OLE_LINK4"/>
      <w:bookmarkEnd w:id="0"/>
      <w:r w:rsidRPr="00C8550C">
        <w:rPr>
          <w:rFonts w:ascii="Book Antiqua" w:hAnsi="Book Antiqua"/>
          <w:b/>
          <w:sz w:val="24"/>
          <w:szCs w:val="24"/>
        </w:rPr>
        <w:t xml:space="preserve">Key words: </w:t>
      </w:r>
      <w:r w:rsidRPr="00C8550C">
        <w:rPr>
          <w:rFonts w:ascii="Book Antiqua" w:hAnsi="Book Antiqua"/>
          <w:sz w:val="24"/>
          <w:szCs w:val="24"/>
        </w:rPr>
        <w:t>Diagnosis; Contrast enhanced ultrasound; Hepatocellular carcinoma; Intrahepatic cholangiocarcinoma; Liver imaging reporting and data system</w:t>
      </w:r>
    </w:p>
    <w:p w:rsidR="008B5ABA" w:rsidRPr="00C8550C" w:rsidRDefault="008B5ABA" w:rsidP="00122AF4">
      <w:pPr>
        <w:adjustRightInd w:val="0"/>
        <w:snapToGrid w:val="0"/>
        <w:spacing w:after="0" w:line="360" w:lineRule="auto"/>
        <w:rPr>
          <w:rFonts w:ascii="Book Antiqua" w:hAnsi="Book Antiqua"/>
          <w:sz w:val="24"/>
          <w:szCs w:val="24"/>
        </w:rPr>
      </w:pPr>
    </w:p>
    <w:p w:rsidR="00BD0B28" w:rsidRDefault="00BD0B28" w:rsidP="00BD0B28">
      <w:pPr>
        <w:adjustRightInd w:val="0"/>
        <w:snapToGrid w:val="0"/>
        <w:spacing w:after="0" w:line="360" w:lineRule="auto"/>
        <w:rPr>
          <w:rFonts w:ascii="Book Antiqua" w:hAnsi="Book Antiqua" w:hint="eastAsia"/>
          <w:sz w:val="24"/>
        </w:rPr>
      </w:pPr>
      <w:r w:rsidRPr="00BD0B28">
        <w:rPr>
          <w:rFonts w:ascii="Book Antiqua" w:hAnsi="Book Antiqua" w:hint="eastAsia"/>
          <w:b/>
          <w:bCs/>
          <w:sz w:val="24"/>
          <w:szCs w:val="24"/>
        </w:rPr>
        <w:t>Citation:</w:t>
      </w:r>
      <w:r>
        <w:rPr>
          <w:rFonts w:ascii="Book Antiqua" w:hAnsi="Book Antiqua" w:hint="eastAsia"/>
          <w:bCs/>
          <w:sz w:val="24"/>
          <w:szCs w:val="24"/>
        </w:rPr>
        <w:t xml:space="preserve"> </w:t>
      </w:r>
      <w:r w:rsidRPr="00C8550C">
        <w:rPr>
          <w:rFonts w:ascii="Book Antiqua" w:hAnsi="Book Antiqua"/>
          <w:bCs/>
          <w:sz w:val="24"/>
          <w:szCs w:val="24"/>
        </w:rPr>
        <w:t xml:space="preserve">Huang JY, Li JW, Ling WW, Li T, Luo Y, Liu JB, Lu Q. Can contrast enhanced ultrasound differentiate intrahepatic cholangiocarcinoma from hepatocellular carcinoma? </w:t>
      </w:r>
      <w:r w:rsidRPr="00C8550C">
        <w:rPr>
          <w:rFonts w:ascii="Book Antiqua" w:hAnsi="Book Antiqua"/>
          <w:bCs/>
          <w:i/>
          <w:iCs/>
          <w:sz w:val="24"/>
          <w:szCs w:val="24"/>
        </w:rPr>
        <w:t>World J Gastroenterol</w:t>
      </w:r>
      <w:r w:rsidRPr="00C8550C">
        <w:rPr>
          <w:rFonts w:ascii="Book Antiqua" w:hAnsi="Book Antiqua"/>
          <w:bCs/>
          <w:sz w:val="24"/>
          <w:szCs w:val="24"/>
        </w:rPr>
        <w:t xml:space="preserve"> </w:t>
      </w:r>
      <w:r w:rsidRPr="00590AA2">
        <w:rPr>
          <w:rFonts w:ascii="Book Antiqua" w:hAnsi="Book Antiqua"/>
          <w:sz w:val="24"/>
        </w:rPr>
        <w:t>2020; 26(</w:t>
      </w:r>
      <w:r w:rsidRPr="00590AA2">
        <w:rPr>
          <w:rFonts w:ascii="Book Antiqua" w:hAnsi="Book Antiqua" w:hint="eastAsia"/>
          <w:sz w:val="24"/>
        </w:rPr>
        <w:t>2</w:t>
      </w:r>
      <w:r>
        <w:rPr>
          <w:rFonts w:ascii="Book Antiqua" w:hAnsi="Book Antiqua" w:hint="eastAsia"/>
          <w:sz w:val="24"/>
        </w:rPr>
        <w:t>7</w:t>
      </w:r>
      <w:r w:rsidRPr="00590AA2">
        <w:rPr>
          <w:rFonts w:ascii="Book Antiqua" w:hAnsi="Book Antiqua"/>
          <w:sz w:val="24"/>
        </w:rPr>
        <w:t xml:space="preserve">): </w:t>
      </w:r>
      <w:r>
        <w:rPr>
          <w:rFonts w:ascii="Book Antiqua" w:hAnsi="Book Antiqua" w:hint="eastAsia"/>
          <w:sz w:val="24"/>
        </w:rPr>
        <w:t>3938</w:t>
      </w:r>
      <w:r w:rsidRPr="00590AA2">
        <w:rPr>
          <w:rFonts w:ascii="Book Antiqua" w:hAnsi="Book Antiqua"/>
          <w:sz w:val="24"/>
        </w:rPr>
        <w:t>-</w:t>
      </w:r>
      <w:r>
        <w:rPr>
          <w:rFonts w:ascii="Book Antiqua" w:hAnsi="Book Antiqua" w:hint="eastAsia"/>
          <w:sz w:val="24"/>
        </w:rPr>
        <w:t>3951</w:t>
      </w:r>
      <w:r w:rsidRPr="00590AA2">
        <w:rPr>
          <w:rFonts w:ascii="Book Antiqua" w:hAnsi="Book Antiqua"/>
          <w:sz w:val="24"/>
        </w:rPr>
        <w:t xml:space="preserve">  </w:t>
      </w:r>
    </w:p>
    <w:p w:rsidR="00BD0B28" w:rsidRDefault="00BD0B28" w:rsidP="00BD0B28">
      <w:pPr>
        <w:adjustRightInd w:val="0"/>
        <w:snapToGrid w:val="0"/>
        <w:spacing w:after="0" w:line="360" w:lineRule="auto"/>
        <w:rPr>
          <w:rFonts w:ascii="Book Antiqua" w:hAnsi="Book Antiqua" w:hint="eastAsia"/>
          <w:sz w:val="24"/>
        </w:rPr>
      </w:pPr>
      <w:r w:rsidRPr="00BD0B28">
        <w:rPr>
          <w:rFonts w:ascii="Book Antiqua" w:hAnsi="Book Antiqua"/>
          <w:b/>
          <w:sz w:val="24"/>
        </w:rPr>
        <w:t xml:space="preserve">URL: </w:t>
      </w:r>
      <w:r w:rsidRPr="00590AA2">
        <w:rPr>
          <w:rFonts w:ascii="Book Antiqua" w:hAnsi="Book Antiqua"/>
          <w:sz w:val="24"/>
        </w:rPr>
        <w:t>https://www.wjgnet.com/1007-9327/full/v26/i</w:t>
      </w:r>
      <w:r w:rsidRPr="00590AA2">
        <w:rPr>
          <w:rFonts w:ascii="Book Antiqua" w:hAnsi="Book Antiqua" w:hint="eastAsia"/>
          <w:sz w:val="24"/>
        </w:rPr>
        <w:t>2</w:t>
      </w:r>
      <w:r>
        <w:rPr>
          <w:rFonts w:ascii="Book Antiqua" w:hAnsi="Book Antiqua" w:hint="eastAsia"/>
          <w:sz w:val="24"/>
        </w:rPr>
        <w:t>7</w:t>
      </w:r>
      <w:r w:rsidRPr="00590AA2">
        <w:rPr>
          <w:rFonts w:ascii="Book Antiqua" w:hAnsi="Book Antiqua"/>
          <w:sz w:val="24"/>
        </w:rPr>
        <w:t>/</w:t>
      </w:r>
      <w:r>
        <w:rPr>
          <w:rFonts w:ascii="Book Antiqua" w:hAnsi="Book Antiqua" w:hint="eastAsia"/>
          <w:sz w:val="24"/>
        </w:rPr>
        <w:t>3938</w:t>
      </w:r>
      <w:r w:rsidRPr="00590AA2">
        <w:rPr>
          <w:rFonts w:ascii="Book Antiqua" w:hAnsi="Book Antiqua"/>
          <w:sz w:val="24"/>
        </w:rPr>
        <w:t xml:space="preserve">.htm  </w:t>
      </w:r>
    </w:p>
    <w:p w:rsidR="00BD0B28" w:rsidRPr="00C8550C" w:rsidRDefault="00BD0B28" w:rsidP="00BD0B28">
      <w:pPr>
        <w:adjustRightInd w:val="0"/>
        <w:snapToGrid w:val="0"/>
        <w:spacing w:after="0" w:line="360" w:lineRule="auto"/>
        <w:rPr>
          <w:rFonts w:ascii="Book Antiqua" w:hAnsi="Book Antiqua"/>
          <w:bCs/>
          <w:sz w:val="24"/>
          <w:szCs w:val="24"/>
        </w:rPr>
      </w:pPr>
      <w:r w:rsidRPr="00BD0B28">
        <w:rPr>
          <w:rFonts w:ascii="Book Antiqua" w:hAnsi="Book Antiqua"/>
          <w:b/>
          <w:sz w:val="24"/>
        </w:rPr>
        <w:t>DOI:</w:t>
      </w:r>
      <w:r w:rsidRPr="00590AA2">
        <w:rPr>
          <w:rFonts w:ascii="Book Antiqua" w:hAnsi="Book Antiqua"/>
          <w:sz w:val="24"/>
        </w:rPr>
        <w:t xml:space="preserve"> https://dx.doi.org/10.3748/wjg.v26.i</w:t>
      </w:r>
      <w:r w:rsidRPr="00590AA2">
        <w:rPr>
          <w:rFonts w:ascii="Book Antiqua" w:hAnsi="Book Antiqua" w:hint="eastAsia"/>
          <w:sz w:val="24"/>
        </w:rPr>
        <w:t>2</w:t>
      </w:r>
      <w:r>
        <w:rPr>
          <w:rFonts w:ascii="Book Antiqua" w:hAnsi="Book Antiqua" w:hint="eastAsia"/>
          <w:sz w:val="24"/>
        </w:rPr>
        <w:t>7</w:t>
      </w:r>
      <w:r w:rsidRPr="00590AA2">
        <w:rPr>
          <w:rFonts w:ascii="Book Antiqua" w:hAnsi="Book Antiqua"/>
          <w:sz w:val="24"/>
        </w:rPr>
        <w:t>.</w:t>
      </w:r>
      <w:r>
        <w:rPr>
          <w:rFonts w:ascii="Book Antiqua" w:hAnsi="Book Antiqua" w:hint="eastAsia"/>
          <w:sz w:val="24"/>
        </w:rPr>
        <w:t>3938</w:t>
      </w:r>
    </w:p>
    <w:p w:rsidR="006A1974" w:rsidRPr="00BD0B28" w:rsidRDefault="006A1974"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kern w:val="0"/>
          <w:sz w:val="24"/>
          <w:szCs w:val="24"/>
        </w:rPr>
      </w:pPr>
      <w:r w:rsidRPr="00C8550C">
        <w:rPr>
          <w:rFonts w:ascii="Book Antiqua" w:hAnsi="Book Antiqua"/>
          <w:b/>
          <w:sz w:val="24"/>
          <w:szCs w:val="24"/>
        </w:rPr>
        <w:t>Core tip</w:t>
      </w:r>
      <w:r w:rsidR="00734CB9" w:rsidRPr="00C8550C">
        <w:rPr>
          <w:rFonts w:ascii="Book Antiqua" w:hAnsi="Book Antiqua"/>
          <w:b/>
          <w:sz w:val="24"/>
          <w:szCs w:val="24"/>
        </w:rPr>
        <w:t>：</w:t>
      </w:r>
      <w:r w:rsidRPr="00C8550C">
        <w:rPr>
          <w:rFonts w:ascii="Book Antiqua" w:hAnsi="Book Antiqua"/>
          <w:kern w:val="0"/>
          <w:sz w:val="24"/>
          <w:szCs w:val="24"/>
        </w:rPr>
        <w:t xml:space="preserve">Hepatocellular carcinoma (HCC) and intrahepatic cholangiocarcinoma (ICC) differ in treatment and prognosis, warranting an effective differential diagnosis between them. The LR-M category in </w:t>
      </w:r>
      <w:r w:rsidR="00825067">
        <w:rPr>
          <w:rFonts w:ascii="Book Antiqua" w:hAnsi="Book Antiqua"/>
          <w:kern w:val="0"/>
          <w:sz w:val="24"/>
          <w:szCs w:val="24"/>
        </w:rPr>
        <w:t xml:space="preserve">the </w:t>
      </w:r>
      <w:r w:rsidRPr="00C8550C">
        <w:rPr>
          <w:rFonts w:ascii="Book Antiqua" w:hAnsi="Book Antiqua"/>
          <w:sz w:val="24"/>
          <w:szCs w:val="24"/>
        </w:rPr>
        <w:t>contrast-enhanced ultrasound</w:t>
      </w:r>
      <w:r w:rsidRPr="00C8550C">
        <w:rPr>
          <w:rFonts w:ascii="Book Antiqua" w:hAnsi="Book Antiqua"/>
          <w:kern w:val="0"/>
          <w:sz w:val="24"/>
          <w:szCs w:val="24"/>
        </w:rPr>
        <w:t xml:space="preserve"> </w:t>
      </w:r>
      <w:r w:rsidR="008323EC" w:rsidRPr="00C8550C">
        <w:rPr>
          <w:rFonts w:ascii="Book Antiqua" w:hAnsi="Book Antiqua"/>
          <w:sz w:val="24"/>
          <w:szCs w:val="24"/>
        </w:rPr>
        <w:t>liver imaging reporting and data system</w:t>
      </w:r>
      <w:r w:rsidR="008323EC" w:rsidRPr="00C8550C">
        <w:rPr>
          <w:rFonts w:ascii="Book Antiqua" w:hAnsi="Book Antiqua"/>
          <w:kern w:val="0"/>
          <w:sz w:val="24"/>
          <w:szCs w:val="24"/>
        </w:rPr>
        <w:t xml:space="preserve"> </w:t>
      </w:r>
      <w:r w:rsidRPr="00C8550C">
        <w:rPr>
          <w:rFonts w:ascii="Book Antiqua" w:hAnsi="Book Antiqua"/>
          <w:kern w:val="0"/>
          <w:sz w:val="24"/>
          <w:szCs w:val="24"/>
        </w:rPr>
        <w:t xml:space="preserve">was set up for lesions that are malignant but not specific to HCC. Our study demonstrated that </w:t>
      </w:r>
      <w:r w:rsidRPr="00C8550C">
        <w:rPr>
          <w:rFonts w:ascii="Book Antiqua" w:eastAsia="Arial Unicode MS" w:hAnsi="Book Antiqua"/>
          <w:bCs/>
          <w:sz w:val="24"/>
          <w:szCs w:val="24"/>
        </w:rPr>
        <w:t xml:space="preserve">rim </w:t>
      </w:r>
      <w:r w:rsidR="002754E8" w:rsidRPr="00C8550C">
        <w:rPr>
          <w:rFonts w:ascii="Book Antiqua" w:eastAsia="Arial Unicode MS" w:hAnsi="Book Antiqua"/>
          <w:bCs/>
          <w:sz w:val="24"/>
          <w:szCs w:val="24"/>
        </w:rPr>
        <w:t>arterial phase hyperenhancement (</w:t>
      </w:r>
      <w:r w:rsidRPr="00C8550C">
        <w:rPr>
          <w:rFonts w:ascii="Book Antiqua" w:eastAsia="Arial Unicode MS" w:hAnsi="Book Antiqua"/>
          <w:bCs/>
          <w:sz w:val="24"/>
          <w:szCs w:val="24"/>
        </w:rPr>
        <w:t>APHE</w:t>
      </w:r>
      <w:r w:rsidR="002754E8" w:rsidRPr="00C8550C">
        <w:rPr>
          <w:rFonts w:ascii="Book Antiqua" w:eastAsia="Arial Unicode MS" w:hAnsi="Book Antiqua"/>
          <w:bCs/>
          <w:sz w:val="24"/>
          <w:szCs w:val="24"/>
        </w:rPr>
        <w:t>)</w:t>
      </w:r>
      <w:r w:rsidRPr="00C8550C">
        <w:rPr>
          <w:rFonts w:ascii="Book Antiqua" w:eastAsia="Arial Unicode MS" w:hAnsi="Book Antiqua"/>
          <w:bCs/>
          <w:sz w:val="24"/>
          <w:szCs w:val="24"/>
        </w:rPr>
        <w:t xml:space="preserve"> </w:t>
      </w:r>
      <w:r w:rsidR="00825067">
        <w:rPr>
          <w:rFonts w:ascii="Book Antiqua" w:eastAsia="Arial Unicode MS" w:hAnsi="Book Antiqua"/>
          <w:bCs/>
          <w:sz w:val="24"/>
          <w:szCs w:val="24"/>
        </w:rPr>
        <w:t>i</w:t>
      </w:r>
      <w:r w:rsidR="00825067" w:rsidRPr="00C8550C">
        <w:rPr>
          <w:rFonts w:ascii="Book Antiqua" w:eastAsia="Arial Unicode MS" w:hAnsi="Book Antiqua"/>
          <w:bCs/>
          <w:sz w:val="24"/>
          <w:szCs w:val="24"/>
        </w:rPr>
        <w:t xml:space="preserve">s </w:t>
      </w:r>
      <w:r w:rsidRPr="00C8550C">
        <w:rPr>
          <w:rFonts w:ascii="Book Antiqua" w:eastAsia="Arial Unicode MS" w:hAnsi="Book Antiqua"/>
          <w:bCs/>
          <w:sz w:val="24"/>
          <w:szCs w:val="24"/>
        </w:rPr>
        <w:t>a key pre</w:t>
      </w:r>
      <w:r w:rsidRPr="00C8550C">
        <w:rPr>
          <w:rFonts w:ascii="Book Antiqua" w:hAnsi="Book Antiqua"/>
          <w:kern w:val="0"/>
          <w:sz w:val="24"/>
          <w:szCs w:val="24"/>
        </w:rPr>
        <w:t xml:space="preserve">dictor for </w:t>
      </w:r>
      <w:r w:rsidRPr="00C8550C">
        <w:rPr>
          <w:rFonts w:ascii="Book Antiqua" w:hAnsi="Book Antiqua"/>
          <w:kern w:val="0"/>
          <w:sz w:val="24"/>
          <w:szCs w:val="24"/>
        </w:rPr>
        <w:lastRenderedPageBreak/>
        <w:t xml:space="preserve">differentiating ICC from LR-M HCC, whereas early washout and marked washout have limited value for differentiating them. Rim APHE plus elevated </w:t>
      </w:r>
      <w:r w:rsidR="007A3AA6" w:rsidRPr="00C8550C">
        <w:rPr>
          <w:rFonts w:ascii="Book Antiqua" w:hAnsi="Book Antiqua"/>
          <w:sz w:val="24"/>
          <w:szCs w:val="24"/>
        </w:rPr>
        <w:t xml:space="preserve">carbohydrate antigen 19-9 </w:t>
      </w:r>
      <w:r w:rsidR="007A3AA6" w:rsidRPr="00C8550C">
        <w:rPr>
          <w:rFonts w:ascii="Book Antiqua" w:eastAsia="Arial Unicode MS" w:hAnsi="Book Antiqua"/>
          <w:bCs/>
          <w:sz w:val="24"/>
          <w:szCs w:val="24"/>
        </w:rPr>
        <w:t xml:space="preserve">and </w:t>
      </w:r>
      <w:r w:rsidR="007A3AA6" w:rsidRPr="00C8550C">
        <w:rPr>
          <w:rFonts w:ascii="Book Antiqua" w:hAnsi="Book Antiqua"/>
          <w:kern w:val="0"/>
          <w:sz w:val="24"/>
          <w:szCs w:val="24"/>
        </w:rPr>
        <w:t>normal</w:t>
      </w:r>
      <w:r w:rsidR="007A3AA6" w:rsidRPr="00C8550C">
        <w:rPr>
          <w:rFonts w:ascii="Book Antiqua" w:eastAsia="Arial Unicode MS" w:hAnsi="Book Antiqua"/>
          <w:bCs/>
          <w:sz w:val="24"/>
          <w:szCs w:val="24"/>
        </w:rPr>
        <w:t xml:space="preserve"> alpha fetoprotein </w:t>
      </w:r>
      <w:r w:rsidRPr="00C8550C">
        <w:rPr>
          <w:rFonts w:ascii="Book Antiqua" w:hAnsi="Book Antiqua"/>
          <w:kern w:val="0"/>
          <w:sz w:val="24"/>
          <w:szCs w:val="24"/>
        </w:rPr>
        <w:t>is a strong predictor of ICC rather than LR-M HCC.</w:t>
      </w:r>
    </w:p>
    <w:p w:rsidR="009D1AA6" w:rsidRPr="00C8550C" w:rsidRDefault="009D1AA6" w:rsidP="00122AF4">
      <w:pPr>
        <w:adjustRightInd w:val="0"/>
        <w:snapToGrid w:val="0"/>
        <w:spacing w:after="0" w:line="360" w:lineRule="auto"/>
        <w:rPr>
          <w:rFonts w:ascii="Book Antiqua" w:hAnsi="Book Antiqua"/>
          <w:kern w:val="0"/>
          <w:sz w:val="24"/>
          <w:szCs w:val="24"/>
        </w:rPr>
      </w:pPr>
    </w:p>
    <w:bookmarkEnd w:id="2"/>
    <w:p w:rsidR="009D1AA6" w:rsidRPr="00C8550C" w:rsidRDefault="009D1AA6" w:rsidP="00122AF4">
      <w:pPr>
        <w:adjustRightInd w:val="0"/>
        <w:snapToGrid w:val="0"/>
        <w:spacing w:after="0" w:line="360" w:lineRule="auto"/>
        <w:rPr>
          <w:rFonts w:ascii="Book Antiqua" w:hAnsi="Book Antiqua"/>
          <w:b/>
          <w:sz w:val="24"/>
          <w:szCs w:val="24"/>
        </w:rPr>
      </w:pPr>
      <w:r w:rsidRPr="00C8550C">
        <w:rPr>
          <w:rFonts w:ascii="Book Antiqua" w:hAnsi="Book Antiqua" w:cs="Calibri"/>
          <w:b/>
          <w:sz w:val="24"/>
          <w:szCs w:val="24"/>
          <w:u w:val="single"/>
        </w:rPr>
        <w:t>INTRODUCTION</w:t>
      </w:r>
    </w:p>
    <w:p w:rsidR="00835DED" w:rsidRPr="00C8550C" w:rsidRDefault="00835DED" w:rsidP="00122AF4">
      <w:pPr>
        <w:adjustRightInd w:val="0"/>
        <w:snapToGrid w:val="0"/>
        <w:spacing w:after="0" w:line="360" w:lineRule="auto"/>
        <w:rPr>
          <w:rFonts w:ascii="Book Antiqua" w:hAnsi="Book Antiqua"/>
          <w:kern w:val="0"/>
          <w:sz w:val="24"/>
          <w:szCs w:val="24"/>
        </w:rPr>
      </w:pPr>
      <w:r w:rsidRPr="00C8550C">
        <w:rPr>
          <w:rFonts w:ascii="Book Antiqua" w:hAnsi="Book Antiqua"/>
          <w:kern w:val="0"/>
          <w:sz w:val="24"/>
          <w:szCs w:val="24"/>
        </w:rPr>
        <w:t>Liver cancer is the six</w:t>
      </w:r>
      <w:r w:rsidR="00825067">
        <w:rPr>
          <w:rFonts w:ascii="Book Antiqua" w:hAnsi="Book Antiqua"/>
          <w:kern w:val="0"/>
          <w:sz w:val="24"/>
          <w:szCs w:val="24"/>
        </w:rPr>
        <w:t>th</w:t>
      </w:r>
      <w:r w:rsidRPr="00C8550C">
        <w:rPr>
          <w:rFonts w:ascii="Book Antiqua" w:hAnsi="Book Antiqua"/>
          <w:kern w:val="0"/>
          <w:sz w:val="24"/>
          <w:szCs w:val="24"/>
        </w:rPr>
        <w:t xml:space="preserve"> most common cancer worldwide and </w:t>
      </w:r>
      <w:r w:rsidR="00825067">
        <w:rPr>
          <w:rFonts w:ascii="Book Antiqua" w:hAnsi="Book Antiqua"/>
          <w:kern w:val="0"/>
          <w:sz w:val="24"/>
          <w:szCs w:val="24"/>
        </w:rPr>
        <w:t>the</w:t>
      </w:r>
      <w:r w:rsidR="00825067" w:rsidRPr="00C8550C">
        <w:rPr>
          <w:rFonts w:ascii="Book Antiqua" w:hAnsi="Book Antiqua"/>
          <w:kern w:val="0"/>
          <w:sz w:val="24"/>
          <w:szCs w:val="24"/>
        </w:rPr>
        <w:t xml:space="preserve"> </w:t>
      </w:r>
      <w:r w:rsidR="00825067">
        <w:rPr>
          <w:rFonts w:ascii="Book Antiqua" w:hAnsi="Book Antiqua"/>
          <w:kern w:val="0"/>
          <w:sz w:val="24"/>
          <w:szCs w:val="24"/>
        </w:rPr>
        <w:t xml:space="preserve">fourth </w:t>
      </w:r>
      <w:r w:rsidR="00AB2919">
        <w:rPr>
          <w:rFonts w:ascii="Book Antiqua" w:hAnsi="Book Antiqua"/>
          <w:kern w:val="0"/>
          <w:sz w:val="24"/>
          <w:szCs w:val="24"/>
        </w:rPr>
        <w:t xml:space="preserve">leading </w:t>
      </w:r>
      <w:r w:rsidR="00825067" w:rsidRPr="00C8550C">
        <w:rPr>
          <w:rFonts w:ascii="Book Antiqua" w:hAnsi="Book Antiqua"/>
          <w:kern w:val="0"/>
          <w:sz w:val="24"/>
          <w:szCs w:val="24"/>
        </w:rPr>
        <w:t>cause</w:t>
      </w:r>
      <w:r w:rsidR="00825067" w:rsidRPr="00C8550C" w:rsidDel="00825067">
        <w:rPr>
          <w:rFonts w:ascii="Book Antiqua" w:hAnsi="Book Antiqua"/>
          <w:kern w:val="0"/>
          <w:sz w:val="24"/>
          <w:szCs w:val="24"/>
        </w:rPr>
        <w:t xml:space="preserve"> </w:t>
      </w:r>
      <w:r w:rsidR="00825067">
        <w:rPr>
          <w:rFonts w:ascii="Book Antiqua" w:hAnsi="Book Antiqua"/>
          <w:kern w:val="0"/>
          <w:sz w:val="24"/>
          <w:szCs w:val="24"/>
        </w:rPr>
        <w:t xml:space="preserve">of </w:t>
      </w:r>
      <w:r w:rsidR="00EA7FBE" w:rsidRPr="00C8550C">
        <w:rPr>
          <w:rFonts w:ascii="Book Antiqua" w:hAnsi="Book Antiqua"/>
          <w:kern w:val="0"/>
          <w:sz w:val="24"/>
          <w:szCs w:val="24"/>
        </w:rPr>
        <w:t>cancer-related</w:t>
      </w:r>
      <w:r w:rsidR="00825067">
        <w:rPr>
          <w:rFonts w:ascii="Book Antiqua" w:hAnsi="Book Antiqua"/>
          <w:kern w:val="0"/>
          <w:sz w:val="24"/>
          <w:szCs w:val="24"/>
        </w:rPr>
        <w:t xml:space="preserve"> </w:t>
      </w:r>
      <w:r w:rsidR="00EA7FBE" w:rsidRPr="00C8550C">
        <w:rPr>
          <w:rFonts w:ascii="Book Antiqua" w:hAnsi="Book Antiqua"/>
          <w:kern w:val="0"/>
          <w:sz w:val="24"/>
          <w:szCs w:val="24"/>
        </w:rPr>
        <w:t>death</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KYMRREF{1FF43429-33CF-42F4-92F5-1E2DD8534AE6}457 </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w:t>
      </w:r>
      <w:r w:rsidRPr="00C8550C">
        <w:rPr>
          <w:rFonts w:ascii="Book Antiqua" w:hAnsi="Book Antiqua"/>
          <w:kern w:val="0"/>
          <w:sz w:val="24"/>
          <w:szCs w:val="24"/>
        </w:rPr>
        <w:fldChar w:fldCharType="end"/>
      </w:r>
      <w:r w:rsidRPr="00C8550C">
        <w:rPr>
          <w:rFonts w:ascii="Book Antiqua" w:hAnsi="Book Antiqua"/>
          <w:kern w:val="0"/>
          <w:sz w:val="24"/>
          <w:szCs w:val="24"/>
        </w:rPr>
        <w:t>. Hepatocellular carcinoma (HCC) and intrahepatic cholangiocarcinoma (ICC) account for approximately 9</w:t>
      </w:r>
      <w:r w:rsidR="00EA7FBE" w:rsidRPr="00C8550C">
        <w:rPr>
          <w:rFonts w:ascii="Book Antiqua" w:hAnsi="Book Antiqua"/>
          <w:kern w:val="0"/>
          <w:sz w:val="24"/>
          <w:szCs w:val="24"/>
        </w:rPr>
        <w:t>5% of all primary liver cancers</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KYMRREF{1FF43429-33CF-42F4-92F5-1E2DD8534AE6}458,{1FF43429-33CF-42F4-92F5-1E2DD8534AE6}459</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[2,3]</w:t>
      </w:r>
      <w:r w:rsidRPr="00C8550C">
        <w:rPr>
          <w:rFonts w:ascii="Book Antiqua" w:hAnsi="Book Antiqua"/>
          <w:kern w:val="0"/>
          <w:sz w:val="24"/>
          <w:szCs w:val="24"/>
        </w:rPr>
        <w:fldChar w:fldCharType="end"/>
      </w:r>
      <w:r w:rsidRPr="00C8550C">
        <w:rPr>
          <w:rFonts w:ascii="Book Antiqua" w:hAnsi="Book Antiqua"/>
          <w:sz w:val="24"/>
          <w:szCs w:val="24"/>
        </w:rPr>
        <w:t>.</w:t>
      </w:r>
      <w:r w:rsidRPr="00C8550C">
        <w:rPr>
          <w:rFonts w:ascii="Book Antiqua" w:hAnsi="Book Antiqua"/>
          <w:kern w:val="0"/>
          <w:sz w:val="24"/>
          <w:szCs w:val="24"/>
        </w:rPr>
        <w:t xml:space="preserve"> However, ICC is more likely</w:t>
      </w:r>
      <w:r w:rsidR="00310214" w:rsidRPr="00C8550C">
        <w:rPr>
          <w:rFonts w:ascii="Book Antiqua" w:hAnsi="Book Antiqua"/>
          <w:kern w:val="0"/>
          <w:sz w:val="24"/>
          <w:szCs w:val="24"/>
        </w:rPr>
        <w:t xml:space="preserve"> to result in a worse prognosis</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KYMRREF{1FF43429-33CF-42F4-92F5-1E2DD8534AE6}460 </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[4]</w:t>
      </w:r>
      <w:r w:rsidRPr="00C8550C">
        <w:rPr>
          <w:rFonts w:ascii="Book Antiqua" w:hAnsi="Book Antiqua"/>
          <w:kern w:val="0"/>
          <w:sz w:val="24"/>
          <w:szCs w:val="24"/>
        </w:rPr>
        <w:fldChar w:fldCharType="end"/>
      </w:r>
      <w:r w:rsidRPr="00C8550C">
        <w:rPr>
          <w:rFonts w:ascii="Book Antiqua" w:hAnsi="Book Antiqua"/>
          <w:kern w:val="0"/>
          <w:sz w:val="24"/>
          <w:szCs w:val="24"/>
        </w:rPr>
        <w:t>, and the treatment for ICC is quite different from that for HCC in specific cases. Therefore, it is of paramount importance to differentiate these two entities for appropriate intervention and better judgment of prognosis.</w:t>
      </w:r>
    </w:p>
    <w:p w:rsidR="00835DED" w:rsidRPr="00C8550C" w:rsidRDefault="00835DED" w:rsidP="00122AF4">
      <w:pPr>
        <w:adjustRightInd w:val="0"/>
        <w:snapToGrid w:val="0"/>
        <w:spacing w:after="0" w:line="360" w:lineRule="auto"/>
        <w:ind w:firstLineChars="200" w:firstLine="480"/>
        <w:rPr>
          <w:rFonts w:ascii="Book Antiqua" w:hAnsi="Book Antiqua"/>
          <w:kern w:val="0"/>
          <w:sz w:val="24"/>
          <w:szCs w:val="24"/>
        </w:rPr>
      </w:pPr>
      <w:r w:rsidRPr="00C8550C">
        <w:rPr>
          <w:rFonts w:ascii="Book Antiqua" w:hAnsi="Book Antiqua"/>
          <w:kern w:val="0"/>
          <w:sz w:val="24"/>
          <w:szCs w:val="24"/>
        </w:rPr>
        <w:t xml:space="preserve">Over the past decade, </w:t>
      </w:r>
      <w:r w:rsidRPr="00C8550C">
        <w:rPr>
          <w:rFonts w:ascii="Book Antiqua" w:hAnsi="Book Antiqua"/>
          <w:sz w:val="24"/>
          <w:szCs w:val="24"/>
        </w:rPr>
        <w:t>contrast-enhanced ultrasound</w:t>
      </w:r>
      <w:r w:rsidRPr="00C8550C">
        <w:rPr>
          <w:rFonts w:ascii="Book Antiqua" w:hAnsi="Book Antiqua"/>
          <w:kern w:val="0"/>
          <w:sz w:val="24"/>
          <w:szCs w:val="24"/>
        </w:rPr>
        <w:t xml:space="preserve"> (CEUS) has been recommended as a useful tool for the characterization of focal liver lesions by several international profession</w:t>
      </w:r>
      <w:r w:rsidR="00EA7FBE" w:rsidRPr="00C8550C">
        <w:rPr>
          <w:rFonts w:ascii="Book Antiqua" w:hAnsi="Book Antiqua"/>
          <w:kern w:val="0"/>
          <w:sz w:val="24"/>
          <w:szCs w:val="24"/>
        </w:rPr>
        <w:t>al societies in Europe and Asia</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KYMRREF{1FF43429-33CF-42F4-92F5-1E2DD8534AE6}461,{1FF43429-33CF-42F4-92F5-1E2DD8534AE6}462,{1FF43429-33CF-42F4-92F5-1E2DD8534AE6}485,{1FF43429-33CF-42F4-92F5-1E2DD8534AE6}463,{1FF43429-33CF-42F4-92F5-1E2DD8534AE6}464</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[5-9]</w:t>
      </w:r>
      <w:r w:rsidRPr="00C8550C">
        <w:rPr>
          <w:rFonts w:ascii="Book Antiqua" w:hAnsi="Book Antiqua"/>
          <w:kern w:val="0"/>
          <w:sz w:val="24"/>
          <w:szCs w:val="24"/>
        </w:rPr>
        <w:fldChar w:fldCharType="end"/>
      </w:r>
      <w:r w:rsidRPr="00C8550C">
        <w:rPr>
          <w:rFonts w:ascii="Book Antiqua" w:hAnsi="Book Antiqua"/>
          <w:kern w:val="0"/>
          <w:sz w:val="24"/>
          <w:szCs w:val="24"/>
        </w:rPr>
        <w:t>. However, CEUS was removed from the updated American Association for the</w:t>
      </w:r>
      <w:r w:rsidR="00F70888" w:rsidRPr="00C8550C">
        <w:rPr>
          <w:rFonts w:ascii="Book Antiqua" w:hAnsi="Book Antiqua"/>
          <w:kern w:val="0"/>
          <w:sz w:val="24"/>
          <w:szCs w:val="24"/>
        </w:rPr>
        <w:t xml:space="preserve"> Study of Liver Diseases</w:t>
      </w:r>
      <w:r w:rsidRPr="00C8550C">
        <w:rPr>
          <w:rFonts w:ascii="Book Antiqua" w:hAnsi="Book Antiqua"/>
          <w:kern w:val="0"/>
          <w:sz w:val="24"/>
          <w:szCs w:val="24"/>
        </w:rPr>
        <w:t xml:space="preserve"> 2011 guidelines as</w:t>
      </w:r>
      <w:r w:rsidR="00EA7FBE" w:rsidRPr="00C8550C">
        <w:rPr>
          <w:rFonts w:ascii="Book Antiqua" w:hAnsi="Book Antiqua"/>
          <w:kern w:val="0"/>
          <w:sz w:val="24"/>
          <w:szCs w:val="24"/>
        </w:rPr>
        <w:t xml:space="preserve"> a diagnostic technique for HCC</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KYMRREF{1FF43429-33CF-42F4-92F5-1E2DD8534AE6}484 </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[10]</w:t>
      </w:r>
      <w:r w:rsidRPr="00C8550C">
        <w:rPr>
          <w:rFonts w:ascii="Book Antiqua" w:hAnsi="Book Antiqua"/>
          <w:kern w:val="0"/>
          <w:sz w:val="24"/>
          <w:szCs w:val="24"/>
        </w:rPr>
        <w:fldChar w:fldCharType="end"/>
      </w:r>
      <w:r w:rsidRPr="00C8550C">
        <w:rPr>
          <w:rFonts w:ascii="Book Antiqua" w:hAnsi="Book Antiqua"/>
          <w:kern w:val="0"/>
          <w:sz w:val="24"/>
          <w:szCs w:val="24"/>
        </w:rPr>
        <w:t xml:space="preserve"> because a single-center study with a limited sample size reported that CEUS may misdiagnose I</w:t>
      </w:r>
      <w:r w:rsidR="00EA7FBE" w:rsidRPr="00C8550C">
        <w:rPr>
          <w:rFonts w:ascii="Book Antiqua" w:hAnsi="Book Antiqua"/>
          <w:kern w:val="0"/>
          <w:sz w:val="24"/>
          <w:szCs w:val="24"/>
        </w:rPr>
        <w:t>CC as HCC in cirrhosis patients</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KYMRREF{1FF43429-33CF-42F4-92F5-1E2DD8534AE6}465 </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[11]</w:t>
      </w:r>
      <w:r w:rsidRPr="00C8550C">
        <w:rPr>
          <w:rFonts w:ascii="Book Antiqua" w:hAnsi="Book Antiqua"/>
          <w:kern w:val="0"/>
          <w:sz w:val="24"/>
          <w:szCs w:val="24"/>
        </w:rPr>
        <w:fldChar w:fldCharType="end"/>
      </w:r>
      <w:r w:rsidRPr="00C8550C">
        <w:rPr>
          <w:rFonts w:ascii="Book Antiqua" w:hAnsi="Book Antiqua"/>
          <w:kern w:val="0"/>
          <w:sz w:val="24"/>
          <w:szCs w:val="24"/>
        </w:rPr>
        <w:t xml:space="preserve">. ICC is more likely to display peripheral rim </w:t>
      </w:r>
      <w:r w:rsidRPr="00C8550C">
        <w:rPr>
          <w:rFonts w:ascii="Book Antiqua" w:eastAsia="Arial Unicode MS" w:hAnsi="Book Antiqua"/>
          <w:bCs/>
          <w:sz w:val="24"/>
          <w:szCs w:val="24"/>
        </w:rPr>
        <w:t>arterial phase hyperenhancement (APHE)</w:t>
      </w:r>
      <w:r w:rsidRPr="00C8550C">
        <w:rPr>
          <w:rFonts w:ascii="Book Antiqua" w:hAnsi="Book Antiqua"/>
          <w:kern w:val="0"/>
          <w:sz w:val="24"/>
          <w:szCs w:val="24"/>
        </w:rPr>
        <w:t xml:space="preserve"> followed by early and marked washout i</w:t>
      </w:r>
      <w:r w:rsidR="00EA7FBE" w:rsidRPr="00C8550C">
        <w:rPr>
          <w:rFonts w:ascii="Book Antiqua" w:hAnsi="Book Antiqua"/>
          <w:kern w:val="0"/>
          <w:sz w:val="24"/>
          <w:szCs w:val="24"/>
        </w:rPr>
        <w:t>n CEUS images compared with HCC</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KYMRREF{1FF43429-33CF-42F4-92F5-1E2DD8534AE6}466,{1FF43429-33CF-42F4-92F5-1E2DD8534AE6}467,{1FF43429-33CF-42F4-92F5-1E2DD8534AE6}468,{1FF43429-33CF-42F4-92F5-1E2DD8534AE6}469,{1FF43429-33CF-42F4-92F5-1E2DD8534AE6}471</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[12-16]</w:t>
      </w:r>
      <w:r w:rsidRPr="00C8550C">
        <w:rPr>
          <w:rFonts w:ascii="Book Antiqua" w:hAnsi="Book Antiqua"/>
          <w:kern w:val="0"/>
          <w:sz w:val="24"/>
          <w:szCs w:val="24"/>
        </w:rPr>
        <w:fldChar w:fldCharType="end"/>
      </w:r>
      <w:r w:rsidRPr="00C8550C">
        <w:rPr>
          <w:rFonts w:ascii="Book Antiqua" w:hAnsi="Book Antiqua"/>
          <w:kern w:val="0"/>
          <w:sz w:val="24"/>
          <w:szCs w:val="24"/>
        </w:rPr>
        <w:t>. However, some studies showed that the aforementioned CEUS patterns may be det</w:t>
      </w:r>
      <w:r w:rsidR="00EA7FBE" w:rsidRPr="00C8550C">
        <w:rPr>
          <w:rFonts w:ascii="Book Antiqua" w:hAnsi="Book Antiqua"/>
          <w:kern w:val="0"/>
          <w:sz w:val="24"/>
          <w:szCs w:val="24"/>
        </w:rPr>
        <w:t>ected in some HCC cases as well</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KYMRREF{1FF43429-33CF-42F4-92F5-1E2DD8534AE6}466,{1FF43429-33CF-42F4-92F5-1E2DD8534AE6}467,{1FF43429-33CF-42F4-92F5-1E2DD8534AE6}470,{1FF43429-33CF-42F4-92F5-1E2DD8534AE6}472,{1FF43429-33CF-42F4-92F5-1E2DD8534AE6}473</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[12,13,17-19]</w:t>
      </w:r>
      <w:r w:rsidRPr="00C8550C">
        <w:rPr>
          <w:rFonts w:ascii="Book Antiqua" w:hAnsi="Book Antiqua"/>
          <w:kern w:val="0"/>
          <w:sz w:val="24"/>
          <w:szCs w:val="24"/>
        </w:rPr>
        <w:fldChar w:fldCharType="end"/>
      </w:r>
      <w:r w:rsidRPr="00C8550C">
        <w:rPr>
          <w:rFonts w:ascii="Book Antiqua" w:hAnsi="Book Antiqua"/>
          <w:kern w:val="0"/>
          <w:sz w:val="24"/>
          <w:szCs w:val="24"/>
        </w:rPr>
        <w:t>, which adds to the difficulty in the differential diagnosis between the two entities.</w:t>
      </w:r>
    </w:p>
    <w:p w:rsidR="00835DED" w:rsidRPr="00C8550C" w:rsidRDefault="00835DED" w:rsidP="00122AF4">
      <w:pPr>
        <w:adjustRightInd w:val="0"/>
        <w:snapToGrid w:val="0"/>
        <w:spacing w:after="0" w:line="360" w:lineRule="auto"/>
        <w:ind w:firstLineChars="200" w:firstLine="480"/>
        <w:rPr>
          <w:rFonts w:ascii="Book Antiqua" w:hAnsi="Book Antiqua"/>
          <w:sz w:val="24"/>
          <w:szCs w:val="24"/>
        </w:rPr>
      </w:pPr>
      <w:r w:rsidRPr="00C8550C">
        <w:rPr>
          <w:rFonts w:ascii="Book Antiqua" w:hAnsi="Book Antiqua"/>
          <w:kern w:val="0"/>
          <w:sz w:val="24"/>
          <w:szCs w:val="24"/>
        </w:rPr>
        <w:t xml:space="preserve">The America College of Radiology released CEUS </w:t>
      </w:r>
      <w:r w:rsidR="008323EC" w:rsidRPr="00C8550C">
        <w:rPr>
          <w:rFonts w:ascii="Book Antiqua" w:hAnsi="Book Antiqua"/>
          <w:kern w:val="0"/>
          <w:sz w:val="24"/>
          <w:szCs w:val="24"/>
        </w:rPr>
        <w:t>liver imaging reporting and data system</w:t>
      </w:r>
      <w:r w:rsidRPr="00C8550C">
        <w:rPr>
          <w:rFonts w:ascii="Book Antiqua" w:hAnsi="Book Antiqua"/>
          <w:kern w:val="0"/>
          <w:sz w:val="24"/>
          <w:szCs w:val="24"/>
        </w:rPr>
        <w:t xml:space="preserve"> (LI-RADS) for standardizing CEUS diagnosis of liver nodu</w:t>
      </w:r>
      <w:r w:rsidR="00EA7FBE" w:rsidRPr="00C8550C">
        <w:rPr>
          <w:rFonts w:ascii="Book Antiqua" w:hAnsi="Book Antiqua"/>
          <w:kern w:val="0"/>
          <w:sz w:val="24"/>
          <w:szCs w:val="24"/>
        </w:rPr>
        <w:t>les in patients at risk for HCC</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KYMRREF{1FF43429-33CF-42F4-92F5-1E2DD8534AE6}473,{1FF43429-33CF-42F4-92F5-1E2DD8534AE6}474</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[19,20]</w:t>
      </w:r>
      <w:r w:rsidRPr="00C8550C">
        <w:rPr>
          <w:rFonts w:ascii="Book Antiqua" w:hAnsi="Book Antiqua"/>
          <w:kern w:val="0"/>
          <w:sz w:val="24"/>
          <w:szCs w:val="24"/>
        </w:rPr>
        <w:fldChar w:fldCharType="end"/>
      </w:r>
      <w:r w:rsidRPr="00C8550C">
        <w:rPr>
          <w:rFonts w:ascii="Book Antiqua" w:hAnsi="Book Antiqua"/>
          <w:kern w:val="0"/>
          <w:sz w:val="24"/>
          <w:szCs w:val="24"/>
        </w:rPr>
        <w:t>. In this system, the LR-M category represents malignanc</w:t>
      </w:r>
      <w:r w:rsidR="00EA7FBE" w:rsidRPr="00C8550C">
        <w:rPr>
          <w:rFonts w:ascii="Book Antiqua" w:hAnsi="Book Antiqua"/>
          <w:kern w:val="0"/>
          <w:sz w:val="24"/>
          <w:szCs w:val="24"/>
        </w:rPr>
        <w:t>ies but is not specific for HCC</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KYMRREF{1FF43429-33CF-42F4-92F5-1E2DD8534AE6}474 </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[20]</w:t>
      </w:r>
      <w:r w:rsidRPr="00C8550C">
        <w:rPr>
          <w:rFonts w:ascii="Book Antiqua" w:hAnsi="Book Antiqua"/>
          <w:kern w:val="0"/>
          <w:sz w:val="24"/>
          <w:szCs w:val="24"/>
        </w:rPr>
        <w:fldChar w:fldCharType="end"/>
      </w:r>
      <w:r w:rsidRPr="00C8550C">
        <w:rPr>
          <w:rFonts w:ascii="Book Antiqua" w:hAnsi="Book Antiqua"/>
          <w:kern w:val="0"/>
          <w:sz w:val="24"/>
          <w:szCs w:val="24"/>
        </w:rPr>
        <w:t xml:space="preserve">. However, previous studies revealed a high sensitivity </w:t>
      </w:r>
      <w:bookmarkStart w:id="3" w:name="OLE_LINK2"/>
      <w:r w:rsidRPr="00C8550C">
        <w:rPr>
          <w:rFonts w:ascii="Book Antiqua" w:hAnsi="Book Antiqua"/>
          <w:kern w:val="0"/>
          <w:sz w:val="24"/>
          <w:szCs w:val="24"/>
        </w:rPr>
        <w:t>of LR-M criteria for diagnosing non-HCC malignancy</w:t>
      </w:r>
      <w:bookmarkEnd w:id="3"/>
      <w:r w:rsidRPr="00C8550C">
        <w:rPr>
          <w:rFonts w:ascii="Book Antiqua" w:hAnsi="Book Antiqua"/>
          <w:kern w:val="0"/>
          <w:sz w:val="24"/>
          <w:szCs w:val="24"/>
        </w:rPr>
        <w:t xml:space="preserve"> but a quite low positive predictive value (PPV) because of a high pro</w:t>
      </w:r>
      <w:r w:rsidR="00EA7FBE" w:rsidRPr="00C8550C">
        <w:rPr>
          <w:rFonts w:ascii="Book Antiqua" w:hAnsi="Book Antiqua"/>
          <w:kern w:val="0"/>
          <w:sz w:val="24"/>
          <w:szCs w:val="24"/>
        </w:rPr>
        <w:t>portion of HCC in this category</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KYMRREF{1FF43429-33CF-42F4-92F5-1E2DD8534AE6}469,{1FF43429-33CF-42F4-92F5-1E2DD8534AE6}470,{1FF43429-33CF-42F4-92F5-1E2DD8534AE6}475</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[15,17,21]</w:t>
      </w:r>
      <w:r w:rsidRPr="00C8550C">
        <w:rPr>
          <w:rFonts w:ascii="Book Antiqua" w:hAnsi="Book Antiqua"/>
          <w:kern w:val="0"/>
          <w:sz w:val="24"/>
          <w:szCs w:val="24"/>
        </w:rPr>
        <w:fldChar w:fldCharType="end"/>
      </w:r>
      <w:r w:rsidRPr="00C8550C">
        <w:rPr>
          <w:rFonts w:ascii="Book Antiqua" w:hAnsi="Book Antiqua"/>
          <w:kern w:val="0"/>
          <w:sz w:val="24"/>
          <w:szCs w:val="24"/>
        </w:rPr>
        <w:t xml:space="preserve">. Until now, the diagnostic accuracy of LR-M criteria in differentiating ICC and LR-M HCC (defined as HCC, categorized as LR-M </w:t>
      </w:r>
      <w:r w:rsidRPr="00C8550C">
        <w:rPr>
          <w:rFonts w:ascii="Book Antiqua" w:hAnsi="Book Antiqua"/>
          <w:kern w:val="0"/>
          <w:sz w:val="24"/>
          <w:szCs w:val="24"/>
        </w:rPr>
        <w:lastRenderedPageBreak/>
        <w:t>according to CEUS LI-RADS) has not been fully studied. Hence, this</w:t>
      </w:r>
      <w:r w:rsidR="007C4214" w:rsidRPr="00C8550C">
        <w:rPr>
          <w:rFonts w:ascii="Book Antiqua" w:hAnsi="Book Antiqua"/>
          <w:kern w:val="0"/>
          <w:sz w:val="24"/>
          <w:szCs w:val="24"/>
        </w:rPr>
        <w:t xml:space="preserve"> </w:t>
      </w:r>
      <w:r w:rsidRPr="00C8550C">
        <w:rPr>
          <w:rFonts w:ascii="Book Antiqua" w:hAnsi="Book Antiqua"/>
          <w:kern w:val="0"/>
          <w:sz w:val="24"/>
          <w:szCs w:val="24"/>
        </w:rPr>
        <w:t xml:space="preserve">study focused on analyzing the CEUS features of ICC and LR-M </w:t>
      </w:r>
      <w:r w:rsidRPr="00C8550C">
        <w:rPr>
          <w:rFonts w:ascii="Book Antiqua" w:hAnsi="Book Antiqua"/>
          <w:sz w:val="24"/>
          <w:szCs w:val="24"/>
        </w:rPr>
        <w:t>HCC and further evaluating the possibility and efficacy of LR-M criteria in differentiation between them.</w:t>
      </w:r>
      <w:bookmarkStart w:id="4" w:name="OLE_LINK9"/>
      <w:r w:rsidRPr="00C8550C">
        <w:rPr>
          <w:rFonts w:ascii="Book Antiqua" w:hAnsi="Book Antiqua"/>
          <w:sz w:val="24"/>
          <w:szCs w:val="24"/>
        </w:rPr>
        <w:t xml:space="preserve"> We also associated CEUS patterns with tumor markers to investigate the potential diagnostic efficacy.</w:t>
      </w:r>
      <w:bookmarkEnd w:id="4"/>
    </w:p>
    <w:p w:rsidR="00381136" w:rsidRPr="00C8550C" w:rsidRDefault="00381136" w:rsidP="00122AF4">
      <w:pPr>
        <w:adjustRightInd w:val="0"/>
        <w:snapToGrid w:val="0"/>
        <w:spacing w:after="0" w:line="360" w:lineRule="auto"/>
        <w:rPr>
          <w:rFonts w:ascii="Book Antiqua" w:hAnsi="Book Antiqua"/>
          <w:kern w:val="0"/>
          <w:sz w:val="24"/>
          <w:szCs w:val="24"/>
        </w:rPr>
      </w:pPr>
    </w:p>
    <w:p w:rsidR="009D1AA6" w:rsidRPr="00C8550C" w:rsidRDefault="009D1AA6" w:rsidP="00122AF4">
      <w:pPr>
        <w:adjustRightInd w:val="0"/>
        <w:snapToGrid w:val="0"/>
        <w:spacing w:after="0" w:line="360" w:lineRule="auto"/>
        <w:rPr>
          <w:rFonts w:ascii="Book Antiqua" w:hAnsi="Book Antiqua"/>
          <w:b/>
          <w:sz w:val="24"/>
          <w:szCs w:val="24"/>
          <w:u w:val="single"/>
        </w:rPr>
      </w:pPr>
      <w:r w:rsidRPr="00C8550C">
        <w:rPr>
          <w:rFonts w:ascii="Book Antiqua" w:hAnsi="Book Antiqua" w:cs="Calibri"/>
          <w:b/>
          <w:sz w:val="24"/>
          <w:szCs w:val="24"/>
          <w:u w:val="single"/>
        </w:rPr>
        <w:t>MATERIALS AND METHODS</w:t>
      </w:r>
    </w:p>
    <w:p w:rsidR="00835DED" w:rsidRPr="00C8550C" w:rsidRDefault="00835DED" w:rsidP="00122AF4">
      <w:pPr>
        <w:adjustRightInd w:val="0"/>
        <w:snapToGrid w:val="0"/>
        <w:spacing w:after="0" w:line="360" w:lineRule="auto"/>
        <w:rPr>
          <w:rFonts w:ascii="Book Antiqua" w:hAnsi="Book Antiqua"/>
          <w:kern w:val="0"/>
          <w:sz w:val="24"/>
          <w:szCs w:val="24"/>
        </w:rPr>
      </w:pPr>
      <w:r w:rsidRPr="00C8550C">
        <w:rPr>
          <w:rFonts w:ascii="Book Antiqua" w:hAnsi="Book Antiqua"/>
          <w:kern w:val="0"/>
          <w:sz w:val="24"/>
          <w:szCs w:val="24"/>
        </w:rPr>
        <w:t>This retrospective study was approved by the institutional review board</w:t>
      </w:r>
      <w:r w:rsidR="00825067" w:rsidRPr="00825067">
        <w:rPr>
          <w:rFonts w:ascii="Book Antiqua" w:hAnsi="Book Antiqua"/>
          <w:bCs/>
          <w:sz w:val="24"/>
          <w:szCs w:val="24"/>
        </w:rPr>
        <w:t xml:space="preserve"> </w:t>
      </w:r>
      <w:r w:rsidR="00825067">
        <w:rPr>
          <w:rFonts w:ascii="Book Antiqua" w:hAnsi="Book Antiqua"/>
          <w:bCs/>
          <w:sz w:val="24"/>
          <w:szCs w:val="24"/>
        </w:rPr>
        <w:t xml:space="preserve">of </w:t>
      </w:r>
      <w:r w:rsidR="00825067" w:rsidRPr="00C8550C">
        <w:rPr>
          <w:rFonts w:ascii="Book Antiqua" w:hAnsi="Book Antiqua"/>
          <w:bCs/>
          <w:sz w:val="24"/>
          <w:szCs w:val="24"/>
        </w:rPr>
        <w:t>West China Hospital of Sichuan University</w:t>
      </w:r>
      <w:r w:rsidRPr="00C8550C">
        <w:rPr>
          <w:rFonts w:ascii="Book Antiqua" w:hAnsi="Book Antiqua"/>
          <w:kern w:val="0"/>
          <w:sz w:val="24"/>
          <w:szCs w:val="24"/>
        </w:rPr>
        <w:t>, and the requirement of written informed consent from patients was waived.</w:t>
      </w:r>
    </w:p>
    <w:p w:rsidR="00381136" w:rsidRPr="00C8550C" w:rsidRDefault="00381136" w:rsidP="00122AF4">
      <w:pPr>
        <w:adjustRightInd w:val="0"/>
        <w:snapToGrid w:val="0"/>
        <w:spacing w:after="0" w:line="360" w:lineRule="auto"/>
        <w:rPr>
          <w:rFonts w:ascii="Book Antiqua" w:hAnsi="Book Antiqua"/>
          <w:kern w:val="0"/>
          <w:sz w:val="24"/>
          <w:szCs w:val="24"/>
        </w:rPr>
      </w:pPr>
    </w:p>
    <w:p w:rsidR="00835DED" w:rsidRPr="00C8550C" w:rsidRDefault="00835DED" w:rsidP="00122AF4">
      <w:pPr>
        <w:adjustRightInd w:val="0"/>
        <w:snapToGrid w:val="0"/>
        <w:spacing w:after="0" w:line="360" w:lineRule="auto"/>
        <w:rPr>
          <w:rFonts w:ascii="Book Antiqua" w:hAnsi="Book Antiqua" w:cs="Calibri"/>
          <w:b/>
          <w:i/>
          <w:kern w:val="0"/>
          <w:sz w:val="24"/>
          <w:szCs w:val="24"/>
        </w:rPr>
      </w:pPr>
      <w:r w:rsidRPr="00C8550C">
        <w:rPr>
          <w:rFonts w:ascii="Book Antiqua" w:hAnsi="Book Antiqua" w:cs="Calibri"/>
          <w:b/>
          <w:i/>
          <w:kern w:val="0"/>
          <w:sz w:val="24"/>
          <w:szCs w:val="24"/>
        </w:rPr>
        <w:t>Patient selection</w:t>
      </w:r>
    </w:p>
    <w:p w:rsidR="00835DED" w:rsidRPr="00C8550C" w:rsidRDefault="00835DED" w:rsidP="00122AF4">
      <w:pPr>
        <w:adjustRightInd w:val="0"/>
        <w:snapToGrid w:val="0"/>
        <w:spacing w:after="0" w:line="360" w:lineRule="auto"/>
        <w:rPr>
          <w:rFonts w:ascii="Book Antiqua" w:hAnsi="Book Antiqua"/>
          <w:bCs/>
          <w:sz w:val="24"/>
          <w:szCs w:val="24"/>
        </w:rPr>
      </w:pPr>
      <w:bookmarkStart w:id="5" w:name="OLE_LINK15"/>
      <w:r w:rsidRPr="00C8550C">
        <w:rPr>
          <w:rFonts w:ascii="Book Antiqua" w:hAnsi="Book Antiqua"/>
          <w:bCs/>
          <w:sz w:val="24"/>
          <w:szCs w:val="24"/>
        </w:rPr>
        <w:t xml:space="preserve">Patients </w:t>
      </w:r>
      <w:bookmarkEnd w:id="5"/>
      <w:r w:rsidRPr="00C8550C">
        <w:rPr>
          <w:rFonts w:ascii="Book Antiqua" w:hAnsi="Book Antiqua"/>
          <w:bCs/>
          <w:sz w:val="24"/>
          <w:szCs w:val="24"/>
        </w:rPr>
        <w:t>with complete CEUS records together with pathologically confirmed ICC and LR-M HCC between January 2015 and October 2018 were included in this retrospective study. The patient selection flow chart is presented in Figure 1. In case of multiple lesions, the dominant tumor was chosen for analysis. Therefore, a total of 228 lesions were collected for analysis in this study.</w:t>
      </w:r>
    </w:p>
    <w:p w:rsidR="00381136" w:rsidRPr="00C8550C" w:rsidRDefault="00381136" w:rsidP="00122AF4">
      <w:pPr>
        <w:adjustRightInd w:val="0"/>
        <w:snapToGrid w:val="0"/>
        <w:spacing w:after="0" w:line="360" w:lineRule="auto"/>
        <w:rPr>
          <w:rFonts w:ascii="Book Antiqua" w:hAnsi="Book Antiqua"/>
          <w:bCs/>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Ultrasound examination</w:t>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All enrolled patients underwent conventional ultrasound and CEUS examinations using a Philips IU</w:t>
      </w:r>
      <w:r w:rsidR="0063424B" w:rsidRPr="00C8550C">
        <w:rPr>
          <w:rFonts w:ascii="Book Antiqua" w:hAnsi="Book Antiqua"/>
          <w:sz w:val="24"/>
          <w:szCs w:val="24"/>
        </w:rPr>
        <w:t xml:space="preserve"> </w:t>
      </w:r>
      <w:r w:rsidRPr="00C8550C">
        <w:rPr>
          <w:rFonts w:ascii="Book Antiqua" w:hAnsi="Book Antiqua"/>
          <w:sz w:val="24"/>
          <w:szCs w:val="24"/>
        </w:rPr>
        <w:t xml:space="preserve">22 system (Philips Medical Solutions; Mountain View, CA, United States) with a C5-1 MHz convex transducer. The CEUS study was performed after conventional ultrasound examination of the liver. A 1.2-2.4-mL bolus injection of sulfur hexafluoride-filled microbubble contrast agent (SonoVue; Bracco, Milan, Italy) was administered </w:t>
      </w:r>
      <w:r w:rsidRPr="002F0042">
        <w:rPr>
          <w:rFonts w:ascii="Book Antiqua" w:hAnsi="Book Antiqua"/>
          <w:i/>
          <w:sz w:val="24"/>
          <w:szCs w:val="24"/>
        </w:rPr>
        <w:t>via</w:t>
      </w:r>
      <w:r w:rsidRPr="00C8550C">
        <w:rPr>
          <w:rFonts w:ascii="Book Antiqua" w:hAnsi="Book Antiqua"/>
          <w:sz w:val="24"/>
          <w:szCs w:val="24"/>
        </w:rPr>
        <w:t xml:space="preserve"> a 20-gauge angiocatheter needle placed in the antecubital vein, followed by flushing with 5 mL of 0.9% sodium chloride solution. After the completion of the SonoVue injection, the imaging timer was initiated simultaneously. The still images and video clips of CEUS examination were digitally stored for further evaluation.</w:t>
      </w:r>
    </w:p>
    <w:p w:rsidR="00381136" w:rsidRPr="00C8550C" w:rsidRDefault="00381136"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cs="Calibri"/>
          <w:b/>
          <w:i/>
          <w:sz w:val="24"/>
          <w:szCs w:val="24"/>
        </w:rPr>
      </w:pPr>
      <w:r w:rsidRPr="00C8550C">
        <w:rPr>
          <w:rFonts w:ascii="Book Antiqua" w:hAnsi="Book Antiqua" w:cs="Calibri"/>
          <w:b/>
          <w:i/>
          <w:sz w:val="24"/>
          <w:szCs w:val="24"/>
        </w:rPr>
        <w:t>Image analysis</w:t>
      </w:r>
    </w:p>
    <w:p w:rsidR="00381136"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The CEUS images were numbered rando</w:t>
      </w:r>
      <w:r w:rsidR="00443EB6" w:rsidRPr="00C8550C">
        <w:rPr>
          <w:rFonts w:ascii="Book Antiqua" w:hAnsi="Book Antiqua"/>
          <w:sz w:val="24"/>
          <w:szCs w:val="24"/>
        </w:rPr>
        <w:t>ml</w:t>
      </w:r>
      <w:r w:rsidRPr="00C8550C">
        <w:rPr>
          <w:rFonts w:ascii="Book Antiqua" w:hAnsi="Book Antiqua"/>
          <w:sz w:val="24"/>
          <w:szCs w:val="24"/>
        </w:rPr>
        <w:t xml:space="preserve">y after deidentification and then reviewed by </w:t>
      </w:r>
      <w:r w:rsidRPr="00C8550C">
        <w:rPr>
          <w:rFonts w:ascii="Book Antiqua" w:hAnsi="Book Antiqua"/>
          <w:sz w:val="24"/>
          <w:szCs w:val="24"/>
        </w:rPr>
        <w:lastRenderedPageBreak/>
        <w:t>two radiologists (WL and JL) with more than 5 years of experience in liver CEUS examination independently. Both radiologists were blinded to the clinical information of the patients. Arterial phase enhancement, presence or absence of early washout</w:t>
      </w:r>
      <w:r w:rsidR="00825067">
        <w:rPr>
          <w:rFonts w:ascii="Book Antiqua" w:hAnsi="Book Antiqua"/>
          <w:sz w:val="24"/>
          <w:szCs w:val="24"/>
        </w:rPr>
        <w:t>,</w:t>
      </w:r>
      <w:r w:rsidRPr="00C8550C">
        <w:rPr>
          <w:rFonts w:ascii="Book Antiqua" w:hAnsi="Book Antiqua"/>
          <w:sz w:val="24"/>
          <w:szCs w:val="24"/>
        </w:rPr>
        <w:t xml:space="preserve"> and washout degree of the liver nodules were analyzed</w:t>
      </w:r>
      <w:r w:rsidRPr="00C8550C">
        <w:rPr>
          <w:rFonts w:ascii="Book Antiqua" w:hAnsi="Book Antiqua"/>
          <w:kern w:val="0"/>
          <w:sz w:val="24"/>
          <w:szCs w:val="24"/>
        </w:rPr>
        <w:t xml:space="preserve">. </w:t>
      </w:r>
      <w:r w:rsidRPr="00C8550C">
        <w:rPr>
          <w:rFonts w:ascii="Book Antiqua" w:hAnsi="Book Antiqua"/>
          <w:sz w:val="24"/>
          <w:szCs w:val="24"/>
        </w:rPr>
        <w:t xml:space="preserve">The </w:t>
      </w:r>
      <w:r w:rsidR="00671F58" w:rsidRPr="00C8550C">
        <w:rPr>
          <w:rFonts w:ascii="Book Antiqua" w:hAnsi="Book Antiqua"/>
          <w:sz w:val="24"/>
          <w:szCs w:val="24"/>
        </w:rPr>
        <w:t>APHE</w:t>
      </w:r>
      <w:r w:rsidRPr="00C8550C">
        <w:rPr>
          <w:rFonts w:ascii="Book Antiqua" w:hAnsi="Book Antiqua"/>
          <w:sz w:val="24"/>
          <w:szCs w:val="24"/>
        </w:rPr>
        <w:t xml:space="preserve"> pattern refers to lesions that manifest as hyperechoic when compared with the surrounding liver parenchyma in the arterial phase. Rim </w:t>
      </w:r>
      <w:r w:rsidRPr="00C8550C">
        <w:rPr>
          <w:rFonts w:ascii="Book Antiqua" w:eastAsia="Arial Unicode MS" w:hAnsi="Book Antiqua"/>
          <w:bCs/>
          <w:sz w:val="24"/>
          <w:szCs w:val="24"/>
        </w:rPr>
        <w:t>APHE</w:t>
      </w:r>
      <w:r w:rsidRPr="00C8550C">
        <w:rPr>
          <w:rFonts w:ascii="Book Antiqua" w:hAnsi="Book Antiqua"/>
          <w:sz w:val="24"/>
          <w:szCs w:val="24"/>
        </w:rPr>
        <w:t xml:space="preserve"> is a sub-type of APHE, where the enhancement is most pronounced in the periphery of the lesion. Washout refers to a lesion that presents a reduction in enhancement either in whole or in part </w:t>
      </w:r>
      <w:r w:rsidRPr="002F0042">
        <w:rPr>
          <w:rFonts w:ascii="Book Antiqua" w:hAnsi="Book Antiqua"/>
          <w:i/>
          <w:sz w:val="24"/>
          <w:szCs w:val="24"/>
        </w:rPr>
        <w:t>vs</w:t>
      </w:r>
      <w:r w:rsidRPr="00C8550C">
        <w:rPr>
          <w:rFonts w:ascii="Book Antiqua" w:hAnsi="Book Antiqua"/>
          <w:sz w:val="24"/>
          <w:szCs w:val="24"/>
        </w:rPr>
        <w:t xml:space="preserve"> the surrounding liver parenchyma. Washout that occurs within 60 s is further termed “early washout”; otherwise, it is termed “late washout”. Marked washout is defined as a lesion that is virtually devoid of enhancement (so-called “punch-out”) within</w:t>
      </w:r>
      <w:r w:rsidR="00EA7FBE" w:rsidRPr="00C8550C">
        <w:rPr>
          <w:rFonts w:ascii="Book Antiqua" w:hAnsi="Book Antiqua"/>
          <w:sz w:val="24"/>
          <w:szCs w:val="24"/>
        </w:rPr>
        <w:t xml:space="preserve"> 120 s after contrast injection</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KYMRREF{1FF43429-33CF-42F4-92F5-1E2DD8534AE6}476 </w:instrText>
      </w:r>
      <w:r w:rsidRPr="00C8550C">
        <w:rPr>
          <w:rFonts w:ascii="Book Antiqua" w:hAnsi="Book Antiqua"/>
          <w:sz w:val="24"/>
          <w:szCs w:val="24"/>
        </w:rPr>
        <w:fldChar w:fldCharType="separate"/>
      </w:r>
      <w:r w:rsidRPr="00C8550C">
        <w:rPr>
          <w:rFonts w:ascii="Book Antiqua" w:hAnsi="Book Antiqua"/>
          <w:sz w:val="24"/>
          <w:szCs w:val="24"/>
          <w:vertAlign w:val="superscript"/>
        </w:rPr>
        <w:t>[22]</w:t>
      </w:r>
      <w:r w:rsidRPr="00C8550C">
        <w:rPr>
          <w:rFonts w:ascii="Book Antiqua" w:hAnsi="Book Antiqua"/>
          <w:sz w:val="24"/>
          <w:szCs w:val="24"/>
        </w:rPr>
        <w:fldChar w:fldCharType="end"/>
      </w:r>
      <w:r w:rsidRPr="00C8550C">
        <w:rPr>
          <w:rFonts w:ascii="Book Antiqua" w:hAnsi="Book Antiqua"/>
          <w:sz w:val="24"/>
          <w:szCs w:val="24"/>
        </w:rPr>
        <w:t>. The enhancing feature of each lesion was analyzed, and the lesions were further classified into relevant categories according to the CEUS LI-RADS (2017 version) by both radiologists. If there was a discrepancy between the radiologists, arbitration from another senior radiologist (QL) with more than 10 years of experience in liver CEUS examination was performed. Meanwhile, the CEUS imaging features of lesions were recorded for further analysis.</w:t>
      </w:r>
    </w:p>
    <w:p w:rsidR="00381136" w:rsidRPr="00C8550C" w:rsidRDefault="00381136"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i/>
          <w:sz w:val="24"/>
          <w:szCs w:val="24"/>
        </w:rPr>
      </w:pPr>
      <w:r w:rsidRPr="00C8550C">
        <w:rPr>
          <w:rFonts w:ascii="Book Antiqua" w:hAnsi="Book Antiqua" w:cs="Calibri"/>
          <w:b/>
          <w:i/>
          <w:sz w:val="24"/>
          <w:szCs w:val="24"/>
        </w:rPr>
        <w:t>Statistical analysis</w:t>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 xml:space="preserve">Quantitative data are presented as the mean ± </w:t>
      </w:r>
      <w:r w:rsidR="00443EB6" w:rsidRPr="00C8550C">
        <w:rPr>
          <w:rFonts w:ascii="Book Antiqua" w:hAnsi="Book Antiqua"/>
          <w:sz w:val="24"/>
          <w:szCs w:val="24"/>
        </w:rPr>
        <w:t>SD</w:t>
      </w:r>
      <w:r w:rsidRPr="00C8550C">
        <w:rPr>
          <w:rFonts w:ascii="Book Antiqua" w:hAnsi="Book Antiqua"/>
          <w:sz w:val="24"/>
          <w:szCs w:val="24"/>
        </w:rPr>
        <w:t xml:space="preserve">, and qualitative data are presented as absolute numbers and percentages. Enhancing patterns of the nodules in CEUS were compared by using the </w:t>
      </w:r>
      <w:r w:rsidR="00381136" w:rsidRPr="00C8550C">
        <w:rPr>
          <w:rFonts w:ascii="Book Antiqua" w:hAnsi="Book Antiqua"/>
          <w:sz w:val="24"/>
          <w:szCs w:val="24"/>
        </w:rPr>
        <w:t>χ</w:t>
      </w:r>
      <w:r w:rsidR="00381136" w:rsidRPr="00C8550C">
        <w:rPr>
          <w:rFonts w:ascii="Book Antiqua" w:hAnsi="Book Antiqua"/>
          <w:sz w:val="24"/>
          <w:szCs w:val="24"/>
          <w:vertAlign w:val="superscript"/>
        </w:rPr>
        <w:t>2</w:t>
      </w:r>
      <w:r w:rsidRPr="00C8550C">
        <w:rPr>
          <w:rFonts w:ascii="Book Antiqua" w:hAnsi="Book Antiqua"/>
          <w:sz w:val="24"/>
          <w:szCs w:val="24"/>
        </w:rPr>
        <w:t xml:space="preserve"> test, while quantitative variables were compared using </w:t>
      </w:r>
      <w:r w:rsidR="00443EB6" w:rsidRPr="00C8550C">
        <w:rPr>
          <w:rFonts w:ascii="Book Antiqua" w:hAnsi="Book Antiqua"/>
          <w:sz w:val="24"/>
          <w:szCs w:val="24"/>
        </w:rPr>
        <w:t>s</w:t>
      </w:r>
      <w:r w:rsidRPr="00C8550C">
        <w:rPr>
          <w:rFonts w:ascii="Book Antiqua" w:hAnsi="Book Antiqua"/>
          <w:sz w:val="24"/>
          <w:szCs w:val="24"/>
        </w:rPr>
        <w:t xml:space="preserve">tudent’s </w:t>
      </w:r>
      <w:r w:rsidRPr="00C8550C">
        <w:rPr>
          <w:rFonts w:ascii="Book Antiqua" w:hAnsi="Book Antiqua"/>
          <w:i/>
          <w:sz w:val="24"/>
          <w:szCs w:val="24"/>
        </w:rPr>
        <w:t>t</w:t>
      </w:r>
      <w:r w:rsidRPr="00C8550C">
        <w:rPr>
          <w:rFonts w:ascii="Book Antiqua" w:hAnsi="Book Antiqua"/>
          <w:sz w:val="24"/>
          <w:szCs w:val="24"/>
        </w:rPr>
        <w:t xml:space="preserve"> test</w:t>
      </w:r>
      <w:bookmarkStart w:id="6" w:name="OLE_LINK14"/>
      <w:r w:rsidRPr="00C8550C">
        <w:rPr>
          <w:rFonts w:ascii="Book Antiqua" w:hAnsi="Book Antiqua"/>
          <w:sz w:val="24"/>
          <w:szCs w:val="24"/>
        </w:rPr>
        <w:t xml:space="preserve"> and the Mann-Whitney test. </w:t>
      </w:r>
      <w:bookmarkStart w:id="7" w:name="OLE_LINK3"/>
      <w:bookmarkStart w:id="8" w:name="OLE_LINK13"/>
      <w:r w:rsidRPr="00C8550C">
        <w:rPr>
          <w:rFonts w:ascii="Book Antiqua" w:hAnsi="Book Antiqua"/>
          <w:sz w:val="24"/>
          <w:szCs w:val="24"/>
        </w:rPr>
        <w:t>Logistic regression</w:t>
      </w:r>
      <w:bookmarkEnd w:id="7"/>
      <w:r w:rsidRPr="00C8550C">
        <w:rPr>
          <w:rFonts w:ascii="Book Antiqua" w:hAnsi="Book Antiqua"/>
          <w:sz w:val="24"/>
          <w:szCs w:val="24"/>
        </w:rPr>
        <w:t xml:space="preserve"> was used to predict the correlation between LR-M characteristics, serum tumor markers</w:t>
      </w:r>
      <w:r w:rsidR="00825067">
        <w:rPr>
          <w:rFonts w:ascii="Book Antiqua" w:hAnsi="Book Antiqua"/>
          <w:sz w:val="24"/>
          <w:szCs w:val="24"/>
        </w:rPr>
        <w:t>,</w:t>
      </w:r>
      <w:r w:rsidRPr="00C8550C">
        <w:rPr>
          <w:rFonts w:ascii="Book Antiqua" w:hAnsi="Book Antiqua"/>
          <w:sz w:val="24"/>
          <w:szCs w:val="24"/>
        </w:rPr>
        <w:t xml:space="preserve"> and ICC or LR-M HCC</w:t>
      </w:r>
      <w:bookmarkEnd w:id="8"/>
      <w:r w:rsidRPr="00C8550C">
        <w:rPr>
          <w:rFonts w:ascii="Book Antiqua" w:hAnsi="Book Antiqua"/>
          <w:sz w:val="24"/>
          <w:szCs w:val="24"/>
        </w:rPr>
        <w:t>. T</w:t>
      </w:r>
      <w:r w:rsidRPr="00C8550C">
        <w:rPr>
          <w:rFonts w:ascii="Book Antiqua" w:eastAsia="Arial Unicode MS" w:hAnsi="Book Antiqua"/>
          <w:sz w:val="24"/>
          <w:szCs w:val="24"/>
        </w:rPr>
        <w:t>he diagnostic capability of CEUS and tumor markers in differentiating between ICC and LR-M HCC was analyzed by receiver operating characteristic (ROC) curve analysis.</w:t>
      </w:r>
      <w:r w:rsidRPr="00C8550C">
        <w:rPr>
          <w:rFonts w:ascii="Book Antiqua" w:hAnsi="Book Antiqua"/>
          <w:sz w:val="24"/>
          <w:szCs w:val="24"/>
        </w:rPr>
        <w:t xml:space="preserve"> The cut-off values of 100 U/</w:t>
      </w:r>
      <w:r w:rsidR="00381136" w:rsidRPr="00C8550C">
        <w:rPr>
          <w:rFonts w:ascii="Book Antiqua" w:hAnsi="Book Antiqua"/>
          <w:sz w:val="24"/>
          <w:szCs w:val="24"/>
        </w:rPr>
        <w:t xml:space="preserve">mL </w:t>
      </w:r>
      <w:r w:rsidRPr="00C8550C">
        <w:rPr>
          <w:rFonts w:ascii="Book Antiqua" w:hAnsi="Book Antiqua"/>
          <w:sz w:val="24"/>
          <w:szCs w:val="24"/>
        </w:rPr>
        <w:t>and 20 ng/m</w:t>
      </w:r>
      <w:r w:rsidR="00381136" w:rsidRPr="00C8550C">
        <w:rPr>
          <w:rFonts w:ascii="Book Antiqua" w:hAnsi="Book Antiqua"/>
          <w:sz w:val="24"/>
          <w:szCs w:val="24"/>
        </w:rPr>
        <w:t>L</w:t>
      </w:r>
      <w:r w:rsidRPr="00C8550C">
        <w:rPr>
          <w:rFonts w:ascii="Book Antiqua" w:hAnsi="Book Antiqua"/>
          <w:sz w:val="24"/>
          <w:szCs w:val="24"/>
        </w:rPr>
        <w:t xml:space="preserve"> were used for the elevation of carbohydrate antigen 19-9 (CA 19-9) and </w:t>
      </w:r>
      <w:r w:rsidRPr="00C8550C">
        <w:rPr>
          <w:rFonts w:ascii="Book Antiqua" w:eastAsia="Arial Unicode MS" w:hAnsi="Book Antiqua"/>
          <w:bCs/>
          <w:sz w:val="24"/>
          <w:szCs w:val="24"/>
        </w:rPr>
        <w:t>alpha fetoprotein (</w:t>
      </w:r>
      <w:r w:rsidRPr="00C8550C">
        <w:rPr>
          <w:rFonts w:ascii="Book Antiqua" w:hAnsi="Book Antiqua"/>
          <w:sz w:val="24"/>
          <w:szCs w:val="24"/>
        </w:rPr>
        <w:t>AFP), respectively, as recommended by previou</w:t>
      </w:r>
      <w:r w:rsidR="00EA7FBE" w:rsidRPr="00C8550C">
        <w:rPr>
          <w:rFonts w:ascii="Book Antiqua" w:hAnsi="Book Antiqua"/>
          <w:sz w:val="24"/>
          <w:szCs w:val="24"/>
        </w:rPr>
        <w:t>s studies</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KYMRREF{1FF43429-33CF-42F4-92F5-1E2DD8534AE6}486,{1FF43429-33CF-42F4-92F5-1E2DD8534AE6}487,{1FF43429-33CF-42F4-92F5-1E2DD8534AE6}488,{1FF43429-33CF-42F4-92F5-1E2DD8534AE6}489,{1FF43429-33CF-42F4-92F5-1E2DD8534AE6}490</w:instrText>
      </w:r>
      <w:r w:rsidRPr="00C8550C">
        <w:rPr>
          <w:rFonts w:ascii="Book Antiqua" w:hAnsi="Book Antiqua"/>
          <w:sz w:val="24"/>
          <w:szCs w:val="24"/>
        </w:rPr>
        <w:fldChar w:fldCharType="separate"/>
      </w:r>
      <w:r w:rsidRPr="00C8550C">
        <w:rPr>
          <w:rFonts w:ascii="Book Antiqua" w:hAnsi="Book Antiqua"/>
          <w:sz w:val="24"/>
          <w:szCs w:val="24"/>
          <w:vertAlign w:val="superscript"/>
        </w:rPr>
        <w:t>[23-27]</w:t>
      </w:r>
      <w:r w:rsidRPr="00C8550C">
        <w:rPr>
          <w:rFonts w:ascii="Book Antiqua" w:hAnsi="Book Antiqua"/>
          <w:sz w:val="24"/>
          <w:szCs w:val="24"/>
        </w:rPr>
        <w:fldChar w:fldCharType="end"/>
      </w:r>
      <w:r w:rsidRPr="00C8550C">
        <w:rPr>
          <w:rFonts w:ascii="Book Antiqua" w:hAnsi="Book Antiqua"/>
          <w:sz w:val="24"/>
          <w:szCs w:val="24"/>
        </w:rPr>
        <w:t>. Interobserver agreement was evaluated by the two radiologists by calculating the κ-value.</w:t>
      </w:r>
      <w:bookmarkEnd w:id="6"/>
      <w:r w:rsidRPr="00C8550C">
        <w:rPr>
          <w:rFonts w:ascii="Book Antiqua" w:hAnsi="Book Antiqua"/>
          <w:sz w:val="24"/>
          <w:szCs w:val="24"/>
        </w:rPr>
        <w:t xml:space="preserve"> A κ value &lt;</w:t>
      </w:r>
      <w:r w:rsidR="00C34C3F" w:rsidRPr="00C8550C">
        <w:rPr>
          <w:rFonts w:ascii="Book Antiqua" w:hAnsi="Book Antiqua"/>
          <w:sz w:val="24"/>
          <w:szCs w:val="24"/>
        </w:rPr>
        <w:t xml:space="preserve"> </w:t>
      </w:r>
      <w:r w:rsidRPr="00C8550C">
        <w:rPr>
          <w:rFonts w:ascii="Book Antiqua" w:hAnsi="Book Antiqua"/>
          <w:sz w:val="24"/>
          <w:szCs w:val="24"/>
        </w:rPr>
        <w:t xml:space="preserve">0.2 indicates poor agreement, 0.21 to 0.40 indicates fair agreement, 0.41 to 0.60 indicates moderate agreement, 0.61 to 0.80 indicates good agreement, and 0.80 </w:t>
      </w:r>
      <w:r w:rsidRPr="00C8550C">
        <w:rPr>
          <w:rFonts w:ascii="Book Antiqua" w:hAnsi="Book Antiqua"/>
          <w:sz w:val="24"/>
          <w:szCs w:val="24"/>
        </w:rPr>
        <w:lastRenderedPageBreak/>
        <w:t xml:space="preserve">to 1 indicates almost perfect agreement. Significance was defined as </w:t>
      </w:r>
      <w:r w:rsidRPr="00C8550C">
        <w:rPr>
          <w:rFonts w:ascii="Book Antiqua" w:hAnsi="Book Antiqua"/>
          <w:i/>
          <w:sz w:val="24"/>
          <w:szCs w:val="24"/>
        </w:rPr>
        <w:t>P</w:t>
      </w:r>
      <w:r w:rsidR="00C34C3F" w:rsidRPr="00C8550C">
        <w:rPr>
          <w:rFonts w:ascii="Book Antiqua" w:hAnsi="Book Antiqua"/>
          <w:i/>
          <w:sz w:val="24"/>
          <w:szCs w:val="24"/>
        </w:rPr>
        <w:t xml:space="preserve"> </w:t>
      </w:r>
      <w:r w:rsidRPr="00C8550C">
        <w:rPr>
          <w:rFonts w:ascii="Book Antiqua" w:hAnsi="Book Antiqua"/>
          <w:sz w:val="24"/>
          <w:szCs w:val="24"/>
        </w:rPr>
        <w:t>&lt;</w:t>
      </w:r>
      <w:r w:rsidR="00C34C3F" w:rsidRPr="00C8550C">
        <w:rPr>
          <w:rFonts w:ascii="Book Antiqua" w:hAnsi="Book Antiqua"/>
          <w:sz w:val="24"/>
          <w:szCs w:val="24"/>
        </w:rPr>
        <w:t xml:space="preserve"> </w:t>
      </w:r>
      <w:r w:rsidRPr="00C8550C">
        <w:rPr>
          <w:rFonts w:ascii="Book Antiqua" w:hAnsi="Book Antiqua"/>
          <w:sz w:val="24"/>
          <w:szCs w:val="24"/>
        </w:rPr>
        <w:t xml:space="preserve">0.05. </w:t>
      </w:r>
      <w:r w:rsidRPr="00C8550C">
        <w:rPr>
          <w:rFonts w:ascii="Book Antiqua" w:hAnsi="Book Antiqua"/>
          <w:kern w:val="0"/>
          <w:sz w:val="24"/>
          <w:szCs w:val="24"/>
        </w:rPr>
        <w:t xml:space="preserve">Statistical analyses were performed using a </w:t>
      </w:r>
      <w:bookmarkStart w:id="9" w:name="OLE_LINK5"/>
      <w:bookmarkStart w:id="10" w:name="OLE_LINK6"/>
      <w:r w:rsidRPr="00C8550C">
        <w:rPr>
          <w:rFonts w:ascii="Book Antiqua" w:hAnsi="Book Antiqua"/>
          <w:kern w:val="0"/>
          <w:sz w:val="24"/>
          <w:szCs w:val="24"/>
        </w:rPr>
        <w:t>statistical</w:t>
      </w:r>
      <w:bookmarkEnd w:id="9"/>
      <w:bookmarkEnd w:id="10"/>
      <w:r w:rsidRPr="00C8550C">
        <w:rPr>
          <w:rFonts w:ascii="Book Antiqua" w:hAnsi="Book Antiqua"/>
          <w:kern w:val="0"/>
          <w:sz w:val="24"/>
          <w:szCs w:val="24"/>
        </w:rPr>
        <w:t xml:space="preserve"> software package </w:t>
      </w:r>
      <w:r w:rsidRPr="00C8550C">
        <w:rPr>
          <w:rFonts w:ascii="Book Antiqua" w:hAnsi="Book Antiqua"/>
          <w:sz w:val="24"/>
          <w:szCs w:val="24"/>
        </w:rPr>
        <w:t>(MedCalc10.4.7.0, Ostend, Belgium).</w:t>
      </w:r>
    </w:p>
    <w:p w:rsidR="00443EB6" w:rsidRPr="00C8550C" w:rsidRDefault="00443EB6" w:rsidP="00122AF4">
      <w:pPr>
        <w:adjustRightInd w:val="0"/>
        <w:snapToGrid w:val="0"/>
        <w:spacing w:after="0" w:line="360" w:lineRule="auto"/>
        <w:rPr>
          <w:rFonts w:ascii="Book Antiqua" w:hAnsi="Book Antiqua"/>
          <w:sz w:val="24"/>
          <w:szCs w:val="24"/>
        </w:rPr>
      </w:pPr>
    </w:p>
    <w:p w:rsidR="009D1AA6" w:rsidRPr="00C8550C" w:rsidRDefault="009D1AA6" w:rsidP="00122AF4">
      <w:pPr>
        <w:adjustRightInd w:val="0"/>
        <w:snapToGrid w:val="0"/>
        <w:spacing w:after="0" w:line="360" w:lineRule="auto"/>
        <w:rPr>
          <w:rFonts w:ascii="Book Antiqua" w:hAnsi="Book Antiqua"/>
          <w:b/>
          <w:sz w:val="24"/>
          <w:szCs w:val="24"/>
          <w:u w:val="single"/>
        </w:rPr>
      </w:pPr>
      <w:r w:rsidRPr="00C8550C">
        <w:rPr>
          <w:rFonts w:ascii="Book Antiqua" w:hAnsi="Book Antiqua"/>
          <w:b/>
          <w:sz w:val="24"/>
          <w:szCs w:val="24"/>
          <w:u w:val="single"/>
        </w:rPr>
        <w:t>RESULTS</w:t>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A total of 228 patients with 228 pathologically confirmed lesions, including 99 ICCs and 129 LR-M HCCs, were included in this study. The clinicopathological data of the patients, including age, gender, nodule size, etiology, tumor markers, fibrosis stage</w:t>
      </w:r>
      <w:r w:rsidR="0049145F">
        <w:rPr>
          <w:rFonts w:ascii="Book Antiqua" w:hAnsi="Book Antiqua"/>
          <w:sz w:val="24"/>
          <w:szCs w:val="24"/>
        </w:rPr>
        <w:t>,</w:t>
      </w:r>
      <w:r w:rsidRPr="00C8550C">
        <w:rPr>
          <w:rFonts w:ascii="Book Antiqua" w:hAnsi="Book Antiqua"/>
          <w:sz w:val="24"/>
          <w:szCs w:val="24"/>
        </w:rPr>
        <w:t xml:space="preserve"> and pathological results, are presented in Table 1.</w:t>
      </w:r>
    </w:p>
    <w:p w:rsidR="00835DED" w:rsidRPr="00C8550C" w:rsidRDefault="00835DED" w:rsidP="00122AF4">
      <w:pPr>
        <w:adjustRightInd w:val="0"/>
        <w:snapToGrid w:val="0"/>
        <w:spacing w:after="0" w:line="360" w:lineRule="auto"/>
        <w:ind w:firstLineChars="100" w:firstLine="240"/>
        <w:rPr>
          <w:rFonts w:ascii="Book Antiqua" w:hAnsi="Book Antiqua"/>
          <w:sz w:val="24"/>
          <w:szCs w:val="24"/>
        </w:rPr>
      </w:pPr>
      <w:r w:rsidRPr="00C8550C">
        <w:rPr>
          <w:rFonts w:ascii="Book Antiqua" w:hAnsi="Book Antiqua"/>
          <w:sz w:val="24"/>
          <w:szCs w:val="24"/>
        </w:rPr>
        <w:t xml:space="preserve">Interobserver agreement regarding the review of enhancing patterns in the arterial phase and portal/late phase showed good consistency, with κ values of 0.72 and 0.88, respectively. The tissue sample used for histological evaluation was obtained from surgical resection or percutaneous biopsy. Liver cirrhosis was found in 2% (2/99) of ICCs and 46.5% (60/129) of HCCs </w:t>
      </w:r>
      <w:r w:rsidRPr="00C8550C">
        <w:rPr>
          <w:rFonts w:ascii="Book Antiqua" w:hAnsi="Book Antiqua"/>
          <w:iCs/>
          <w:sz w:val="24"/>
          <w:szCs w:val="24"/>
        </w:rPr>
        <w:t>(</w:t>
      </w:r>
      <w:r w:rsidRPr="00C8550C">
        <w:rPr>
          <w:rFonts w:ascii="Book Antiqua" w:hAnsi="Book Antiqua"/>
          <w:i/>
          <w:iCs/>
          <w:sz w:val="24"/>
          <w:szCs w:val="24"/>
        </w:rPr>
        <w:t>P</w:t>
      </w:r>
      <w:r w:rsidR="0063424B" w:rsidRPr="00C8550C">
        <w:rPr>
          <w:rFonts w:ascii="Book Antiqua" w:hAnsi="Book Antiqua"/>
          <w:i/>
          <w:iCs/>
          <w:sz w:val="24"/>
          <w:szCs w:val="24"/>
        </w:rPr>
        <w:t xml:space="preserve"> </w:t>
      </w:r>
      <w:r w:rsidRPr="00C8550C">
        <w:rPr>
          <w:rFonts w:ascii="Book Antiqua" w:hAnsi="Book Antiqua"/>
          <w:iCs/>
          <w:sz w:val="24"/>
          <w:szCs w:val="24"/>
        </w:rPr>
        <w:t>&lt;</w:t>
      </w:r>
      <w:r w:rsidR="0063424B" w:rsidRPr="00C8550C">
        <w:rPr>
          <w:rFonts w:ascii="Book Antiqua" w:hAnsi="Book Antiqua"/>
          <w:iCs/>
          <w:sz w:val="24"/>
          <w:szCs w:val="24"/>
        </w:rPr>
        <w:t xml:space="preserve"> </w:t>
      </w:r>
      <w:r w:rsidRPr="00C8550C">
        <w:rPr>
          <w:rFonts w:ascii="Book Antiqua" w:hAnsi="Book Antiqua"/>
          <w:iCs/>
          <w:sz w:val="24"/>
          <w:szCs w:val="24"/>
        </w:rPr>
        <w:t>0.001</w:t>
      </w:r>
      <w:r w:rsidRPr="00C8550C">
        <w:rPr>
          <w:rFonts w:ascii="Book Antiqua" w:hAnsi="Book Antiqua"/>
          <w:sz w:val="24"/>
          <w:szCs w:val="24"/>
        </w:rPr>
        <w:t>). Chronic hepatitis B (CHB) was detected in 20.2% (20/99) of ICCs and 88.4% (114/129) of HCCs (</w:t>
      </w:r>
      <w:r w:rsidRPr="00C8550C">
        <w:rPr>
          <w:rFonts w:ascii="Book Antiqua" w:hAnsi="Book Antiqua"/>
          <w:i/>
          <w:iCs/>
          <w:sz w:val="24"/>
          <w:szCs w:val="24"/>
        </w:rPr>
        <w:t>P</w:t>
      </w:r>
      <w:r w:rsidR="0063424B" w:rsidRPr="00C8550C">
        <w:rPr>
          <w:rFonts w:ascii="Book Antiqua" w:hAnsi="Book Antiqua"/>
          <w:i/>
          <w:iCs/>
          <w:sz w:val="24"/>
          <w:szCs w:val="24"/>
        </w:rPr>
        <w:t xml:space="preserve"> </w:t>
      </w:r>
      <w:r w:rsidRPr="00C8550C">
        <w:rPr>
          <w:rFonts w:ascii="Book Antiqua" w:hAnsi="Book Antiqua"/>
          <w:iCs/>
          <w:sz w:val="24"/>
          <w:szCs w:val="24"/>
        </w:rPr>
        <w:t>&lt;</w:t>
      </w:r>
      <w:r w:rsidR="0063424B" w:rsidRPr="00C8550C">
        <w:rPr>
          <w:rFonts w:ascii="Book Antiqua" w:hAnsi="Book Antiqua"/>
          <w:iCs/>
          <w:sz w:val="24"/>
          <w:szCs w:val="24"/>
        </w:rPr>
        <w:t xml:space="preserve"> </w:t>
      </w:r>
      <w:r w:rsidRPr="00C8550C">
        <w:rPr>
          <w:rFonts w:ascii="Book Antiqua" w:hAnsi="Book Antiqua"/>
          <w:iCs/>
          <w:sz w:val="24"/>
          <w:szCs w:val="24"/>
        </w:rPr>
        <w:t>0.001</w:t>
      </w:r>
      <w:r w:rsidRPr="00C8550C">
        <w:rPr>
          <w:rFonts w:ascii="Book Antiqua" w:hAnsi="Book Antiqua"/>
          <w:sz w:val="24"/>
          <w:szCs w:val="24"/>
        </w:rPr>
        <w:t xml:space="preserve">), and intrahepatic duct dilatation was present in 17.2% (17/99) of ICCs </w:t>
      </w:r>
      <w:r w:rsidRPr="00C8550C">
        <w:rPr>
          <w:rFonts w:ascii="Book Antiqua" w:hAnsi="Book Antiqua"/>
          <w:i/>
          <w:sz w:val="24"/>
          <w:szCs w:val="24"/>
        </w:rPr>
        <w:t>vs</w:t>
      </w:r>
      <w:r w:rsidRPr="00C8550C">
        <w:rPr>
          <w:rFonts w:ascii="Book Antiqua" w:hAnsi="Book Antiqua"/>
          <w:sz w:val="24"/>
          <w:szCs w:val="24"/>
        </w:rPr>
        <w:t xml:space="preserve"> 2.3% (3/129) of HCCs (</w:t>
      </w:r>
      <w:r w:rsidRPr="00C8550C">
        <w:rPr>
          <w:rFonts w:ascii="Book Antiqua" w:hAnsi="Book Antiqua"/>
          <w:i/>
          <w:iCs/>
          <w:sz w:val="24"/>
          <w:szCs w:val="24"/>
        </w:rPr>
        <w:t>P</w:t>
      </w:r>
      <w:r w:rsidR="0063424B" w:rsidRPr="00C8550C">
        <w:rPr>
          <w:rFonts w:ascii="Book Antiqua" w:hAnsi="Book Antiqua"/>
          <w:i/>
          <w:iCs/>
          <w:sz w:val="24"/>
          <w:szCs w:val="24"/>
        </w:rPr>
        <w:t xml:space="preserve"> </w:t>
      </w:r>
      <w:r w:rsidRPr="00C8550C">
        <w:rPr>
          <w:rFonts w:ascii="Book Antiqua" w:hAnsi="Book Antiqua"/>
          <w:iCs/>
          <w:sz w:val="24"/>
          <w:szCs w:val="24"/>
        </w:rPr>
        <w:t>&lt;</w:t>
      </w:r>
      <w:r w:rsidR="00C136FA" w:rsidRPr="00C8550C">
        <w:rPr>
          <w:rFonts w:ascii="Book Antiqua" w:hAnsi="Book Antiqua"/>
          <w:iCs/>
          <w:sz w:val="24"/>
          <w:szCs w:val="24"/>
        </w:rPr>
        <w:t xml:space="preserve"> </w:t>
      </w:r>
      <w:r w:rsidRPr="00C8550C">
        <w:rPr>
          <w:rFonts w:ascii="Book Antiqua" w:hAnsi="Book Antiqua"/>
          <w:iCs/>
          <w:sz w:val="24"/>
          <w:szCs w:val="24"/>
        </w:rPr>
        <w:t>0.001</w:t>
      </w:r>
      <w:r w:rsidRPr="00C8550C">
        <w:rPr>
          <w:rFonts w:ascii="Book Antiqua" w:hAnsi="Book Antiqua"/>
          <w:sz w:val="24"/>
          <w:szCs w:val="24"/>
        </w:rPr>
        <w:t>). In terms of tumor differentiation, poor, moderate</w:t>
      </w:r>
      <w:r w:rsidR="0049145F">
        <w:rPr>
          <w:rFonts w:ascii="Book Antiqua" w:hAnsi="Book Antiqua"/>
          <w:sz w:val="24"/>
          <w:szCs w:val="24"/>
        </w:rPr>
        <w:t>,</w:t>
      </w:r>
      <w:r w:rsidRPr="00C8550C">
        <w:rPr>
          <w:rFonts w:ascii="Book Antiqua" w:hAnsi="Book Antiqua"/>
          <w:sz w:val="24"/>
          <w:szCs w:val="24"/>
        </w:rPr>
        <w:t xml:space="preserve"> and well differentiation was found in 52.7% (68/129), 45.7% (59/129)</w:t>
      </w:r>
      <w:r w:rsidR="0049145F">
        <w:rPr>
          <w:rFonts w:ascii="Book Antiqua" w:hAnsi="Book Antiqua"/>
          <w:sz w:val="24"/>
          <w:szCs w:val="24"/>
        </w:rPr>
        <w:t>,</w:t>
      </w:r>
      <w:r w:rsidRPr="00C8550C">
        <w:rPr>
          <w:rFonts w:ascii="Book Antiqua" w:hAnsi="Book Antiqua"/>
          <w:sz w:val="24"/>
          <w:szCs w:val="24"/>
        </w:rPr>
        <w:t xml:space="preserve"> and 1.6% (2/129) of LR-M HCCs, respectively. Regarding the tumor markers, </w:t>
      </w:r>
      <w:r w:rsidR="00122AF4" w:rsidRPr="00C8550C">
        <w:rPr>
          <w:rFonts w:ascii="Book Antiqua" w:hAnsi="Book Antiqua"/>
          <w:sz w:val="24"/>
          <w:szCs w:val="24"/>
        </w:rPr>
        <w:t>CA 19-9</w:t>
      </w:r>
      <w:r w:rsidRPr="00C8550C">
        <w:rPr>
          <w:rFonts w:ascii="Book Antiqua" w:hAnsi="Book Antiqua"/>
          <w:sz w:val="24"/>
          <w:szCs w:val="24"/>
        </w:rPr>
        <w:t xml:space="preserve"> was significantly higher in ICC than in LR-M HCC </w:t>
      </w:r>
      <w:r w:rsidR="00122AF4" w:rsidRPr="00C8550C">
        <w:rPr>
          <w:rFonts w:ascii="Book Antiqua" w:hAnsi="Book Antiqua"/>
          <w:sz w:val="24"/>
          <w:szCs w:val="24"/>
        </w:rPr>
        <w:t>[</w:t>
      </w:r>
      <w:r w:rsidRPr="00C8550C">
        <w:rPr>
          <w:rFonts w:ascii="Book Antiqua" w:hAnsi="Book Antiqua"/>
          <w:sz w:val="24"/>
          <w:szCs w:val="24"/>
        </w:rPr>
        <w:t xml:space="preserve">74.0 </w:t>
      </w:r>
      <w:r w:rsidR="00122AF4" w:rsidRPr="00C8550C">
        <w:rPr>
          <w:rFonts w:ascii="Book Antiqua" w:hAnsi="Book Antiqua"/>
          <w:sz w:val="24"/>
          <w:szCs w:val="24"/>
        </w:rPr>
        <w:t>(</w:t>
      </w:r>
      <w:r w:rsidRPr="00C8550C">
        <w:rPr>
          <w:rFonts w:ascii="Book Antiqua" w:hAnsi="Book Antiqua"/>
          <w:sz w:val="24"/>
          <w:szCs w:val="24"/>
        </w:rPr>
        <w:t>41.9-136.5</w:t>
      </w:r>
      <w:r w:rsidR="00122AF4" w:rsidRPr="00C8550C">
        <w:rPr>
          <w:rFonts w:ascii="Book Antiqua" w:hAnsi="Book Antiqua"/>
          <w:sz w:val="24"/>
          <w:szCs w:val="24"/>
        </w:rPr>
        <w:t>)</w:t>
      </w:r>
      <w:r w:rsidRPr="00C8550C">
        <w:rPr>
          <w:rFonts w:ascii="Book Antiqua" w:hAnsi="Book Antiqua"/>
          <w:sz w:val="24"/>
          <w:szCs w:val="24"/>
        </w:rPr>
        <w:t xml:space="preserve"> U/</w:t>
      </w:r>
      <w:r w:rsidR="00443EB6" w:rsidRPr="00C8550C">
        <w:rPr>
          <w:rFonts w:ascii="Book Antiqua" w:hAnsi="Book Antiqua"/>
          <w:sz w:val="24"/>
          <w:szCs w:val="24"/>
        </w:rPr>
        <w:t>mL</w:t>
      </w:r>
      <w:r w:rsidRPr="00C8550C">
        <w:rPr>
          <w:rFonts w:ascii="Book Antiqua" w:hAnsi="Book Antiqua"/>
          <w:i/>
          <w:sz w:val="24"/>
          <w:szCs w:val="24"/>
        </w:rPr>
        <w:t xml:space="preserve"> vs</w:t>
      </w:r>
      <w:r w:rsidRPr="00C8550C">
        <w:rPr>
          <w:rFonts w:ascii="Book Antiqua" w:hAnsi="Book Antiqua"/>
          <w:sz w:val="24"/>
          <w:szCs w:val="24"/>
        </w:rPr>
        <w:t xml:space="preserve"> 18.8 </w:t>
      </w:r>
      <w:r w:rsidR="00122AF4" w:rsidRPr="00C8550C">
        <w:rPr>
          <w:rFonts w:ascii="Book Antiqua" w:hAnsi="Book Antiqua"/>
          <w:sz w:val="24"/>
          <w:szCs w:val="24"/>
        </w:rPr>
        <w:t>(</w:t>
      </w:r>
      <w:r w:rsidRPr="00C8550C">
        <w:rPr>
          <w:rFonts w:ascii="Book Antiqua" w:hAnsi="Book Antiqua"/>
          <w:sz w:val="24"/>
          <w:szCs w:val="24"/>
        </w:rPr>
        <w:t>16.0-22.0</w:t>
      </w:r>
      <w:r w:rsidR="00122AF4" w:rsidRPr="00C8550C">
        <w:rPr>
          <w:rFonts w:ascii="Book Antiqua" w:hAnsi="Book Antiqua"/>
          <w:sz w:val="24"/>
          <w:szCs w:val="24"/>
        </w:rPr>
        <w:t>)</w:t>
      </w:r>
      <w:r w:rsidRPr="00C8550C">
        <w:rPr>
          <w:rFonts w:ascii="Book Antiqua" w:hAnsi="Book Antiqua"/>
          <w:sz w:val="24"/>
          <w:szCs w:val="24"/>
        </w:rPr>
        <w:t xml:space="preserve"> U/</w:t>
      </w:r>
      <w:r w:rsidR="00443EB6" w:rsidRPr="00C8550C">
        <w:rPr>
          <w:rFonts w:ascii="Book Antiqua" w:hAnsi="Book Antiqua"/>
          <w:sz w:val="24"/>
          <w:szCs w:val="24"/>
        </w:rPr>
        <w:t>mL</w:t>
      </w:r>
      <w:r w:rsidRPr="00C8550C">
        <w:rPr>
          <w:rFonts w:ascii="Book Antiqua" w:hAnsi="Book Antiqua"/>
          <w:sz w:val="24"/>
          <w:szCs w:val="24"/>
        </w:rPr>
        <w:t>,</w:t>
      </w:r>
      <w:r w:rsidRPr="00C8550C">
        <w:rPr>
          <w:rFonts w:ascii="Book Antiqua" w:hAnsi="Book Antiqua"/>
          <w:i/>
          <w:iCs/>
          <w:sz w:val="24"/>
          <w:szCs w:val="24"/>
        </w:rPr>
        <w:t xml:space="preserve"> P</w:t>
      </w:r>
      <w:r w:rsidR="0063424B" w:rsidRPr="00C8550C">
        <w:rPr>
          <w:rFonts w:ascii="Book Antiqua" w:hAnsi="Book Antiqua"/>
          <w:i/>
          <w:iCs/>
          <w:sz w:val="24"/>
          <w:szCs w:val="24"/>
        </w:rPr>
        <w:t xml:space="preserve"> </w:t>
      </w:r>
      <w:r w:rsidRPr="00C8550C">
        <w:rPr>
          <w:rFonts w:ascii="Book Antiqua" w:hAnsi="Book Antiqua"/>
          <w:iCs/>
          <w:sz w:val="24"/>
          <w:szCs w:val="24"/>
        </w:rPr>
        <w:t>&lt;</w:t>
      </w:r>
      <w:r w:rsidR="0063424B" w:rsidRPr="00C8550C">
        <w:rPr>
          <w:rFonts w:ascii="Book Antiqua" w:hAnsi="Book Antiqua"/>
          <w:iCs/>
          <w:sz w:val="24"/>
          <w:szCs w:val="24"/>
        </w:rPr>
        <w:t xml:space="preserve"> </w:t>
      </w:r>
      <w:r w:rsidRPr="00C8550C">
        <w:rPr>
          <w:rFonts w:ascii="Book Antiqua" w:hAnsi="Book Antiqua"/>
          <w:iCs/>
          <w:sz w:val="24"/>
          <w:szCs w:val="24"/>
        </w:rPr>
        <w:t>0.001</w:t>
      </w:r>
      <w:r w:rsidR="00122AF4" w:rsidRPr="00C8550C">
        <w:rPr>
          <w:rFonts w:ascii="Book Antiqua" w:hAnsi="Book Antiqua"/>
          <w:sz w:val="24"/>
          <w:szCs w:val="24"/>
        </w:rPr>
        <w:t>]</w:t>
      </w:r>
      <w:r w:rsidRPr="00C8550C">
        <w:rPr>
          <w:rFonts w:ascii="Book Antiqua" w:hAnsi="Book Antiqua"/>
          <w:sz w:val="24"/>
          <w:szCs w:val="24"/>
        </w:rPr>
        <w:t xml:space="preserve">, while AFP was significantly lower in ICC than in LR-M HCC </w:t>
      </w:r>
      <w:r w:rsidR="00122AF4" w:rsidRPr="00C8550C">
        <w:rPr>
          <w:rFonts w:ascii="Book Antiqua" w:hAnsi="Book Antiqua"/>
          <w:sz w:val="24"/>
          <w:szCs w:val="24"/>
        </w:rPr>
        <w:t>[</w:t>
      </w:r>
      <w:r w:rsidRPr="00C8550C">
        <w:rPr>
          <w:rFonts w:ascii="Book Antiqua" w:hAnsi="Book Antiqua"/>
          <w:sz w:val="24"/>
          <w:szCs w:val="24"/>
        </w:rPr>
        <w:t xml:space="preserve">3.0 </w:t>
      </w:r>
      <w:r w:rsidR="00122AF4" w:rsidRPr="00C8550C">
        <w:rPr>
          <w:rFonts w:ascii="Book Antiqua" w:hAnsi="Book Antiqua"/>
          <w:sz w:val="24"/>
          <w:szCs w:val="24"/>
        </w:rPr>
        <w:t>(</w:t>
      </w:r>
      <w:r w:rsidRPr="00C8550C">
        <w:rPr>
          <w:rFonts w:ascii="Book Antiqua" w:hAnsi="Book Antiqua"/>
          <w:sz w:val="24"/>
          <w:szCs w:val="24"/>
        </w:rPr>
        <w:t>2.7-3.5</w:t>
      </w:r>
      <w:r w:rsidR="00122AF4" w:rsidRPr="00C8550C">
        <w:rPr>
          <w:rFonts w:ascii="Book Antiqua" w:hAnsi="Book Antiqua"/>
          <w:sz w:val="24"/>
          <w:szCs w:val="24"/>
        </w:rPr>
        <w:t>)</w:t>
      </w:r>
      <w:r w:rsidRPr="00C8550C">
        <w:rPr>
          <w:rFonts w:ascii="Book Antiqua" w:hAnsi="Book Antiqua"/>
          <w:sz w:val="24"/>
          <w:szCs w:val="24"/>
        </w:rPr>
        <w:t xml:space="preserve"> ng/</w:t>
      </w:r>
      <w:r w:rsidR="00443EB6" w:rsidRPr="00C8550C">
        <w:rPr>
          <w:rFonts w:ascii="Book Antiqua" w:hAnsi="Book Antiqua"/>
          <w:sz w:val="24"/>
          <w:szCs w:val="24"/>
        </w:rPr>
        <w:t>mL</w:t>
      </w:r>
      <w:r w:rsidRPr="00C8550C">
        <w:rPr>
          <w:rFonts w:ascii="Book Antiqua" w:hAnsi="Book Antiqua"/>
          <w:sz w:val="24"/>
          <w:szCs w:val="24"/>
        </w:rPr>
        <w:t xml:space="preserve"> </w:t>
      </w:r>
      <w:r w:rsidRPr="00C8550C">
        <w:rPr>
          <w:rFonts w:ascii="Book Antiqua" w:hAnsi="Book Antiqua"/>
          <w:i/>
          <w:sz w:val="24"/>
          <w:szCs w:val="24"/>
        </w:rPr>
        <w:t>vs</w:t>
      </w:r>
      <w:r w:rsidRPr="00C8550C">
        <w:rPr>
          <w:rFonts w:ascii="Book Antiqua" w:hAnsi="Book Antiqua"/>
          <w:sz w:val="24"/>
          <w:szCs w:val="24"/>
        </w:rPr>
        <w:t xml:space="preserve"> 67.3 </w:t>
      </w:r>
      <w:r w:rsidR="00122AF4" w:rsidRPr="00C8550C">
        <w:rPr>
          <w:rFonts w:ascii="Book Antiqua" w:hAnsi="Book Antiqua"/>
          <w:sz w:val="24"/>
          <w:szCs w:val="24"/>
        </w:rPr>
        <w:t>(</w:t>
      </w:r>
      <w:r w:rsidRPr="00C8550C">
        <w:rPr>
          <w:rFonts w:ascii="Book Antiqua" w:hAnsi="Book Antiqua"/>
          <w:sz w:val="24"/>
          <w:szCs w:val="24"/>
        </w:rPr>
        <w:t>18.0-146.7</w:t>
      </w:r>
      <w:r w:rsidR="00122AF4" w:rsidRPr="00C8550C">
        <w:rPr>
          <w:rFonts w:ascii="Book Antiqua" w:hAnsi="Book Antiqua"/>
          <w:sz w:val="24"/>
          <w:szCs w:val="24"/>
        </w:rPr>
        <w:t>)</w:t>
      </w:r>
      <w:r w:rsidRPr="00C8550C">
        <w:rPr>
          <w:rFonts w:ascii="Book Antiqua" w:hAnsi="Book Antiqua"/>
          <w:sz w:val="24"/>
          <w:szCs w:val="24"/>
        </w:rPr>
        <w:t xml:space="preserve"> ng/</w:t>
      </w:r>
      <w:r w:rsidR="00443EB6" w:rsidRPr="00C8550C">
        <w:rPr>
          <w:rFonts w:ascii="Book Antiqua" w:hAnsi="Book Antiqua"/>
          <w:sz w:val="24"/>
          <w:szCs w:val="24"/>
        </w:rPr>
        <w:t>mL</w:t>
      </w:r>
      <w:r w:rsidRPr="00C8550C">
        <w:rPr>
          <w:rFonts w:ascii="Book Antiqua" w:hAnsi="Book Antiqua"/>
          <w:sz w:val="24"/>
          <w:szCs w:val="24"/>
        </w:rPr>
        <w:t xml:space="preserve">, </w:t>
      </w:r>
      <w:r w:rsidRPr="00C8550C">
        <w:rPr>
          <w:rFonts w:ascii="Book Antiqua" w:hAnsi="Book Antiqua"/>
          <w:i/>
          <w:iCs/>
          <w:sz w:val="24"/>
          <w:szCs w:val="24"/>
        </w:rPr>
        <w:t>P</w:t>
      </w:r>
      <w:r w:rsidR="0063424B" w:rsidRPr="00C8550C">
        <w:rPr>
          <w:rFonts w:ascii="Book Antiqua" w:hAnsi="Book Antiqua"/>
          <w:i/>
          <w:iCs/>
          <w:sz w:val="24"/>
          <w:szCs w:val="24"/>
        </w:rPr>
        <w:t xml:space="preserve"> </w:t>
      </w:r>
      <w:r w:rsidRPr="00C8550C">
        <w:rPr>
          <w:rFonts w:ascii="Book Antiqua" w:hAnsi="Book Antiqua"/>
          <w:iCs/>
          <w:sz w:val="24"/>
          <w:szCs w:val="24"/>
        </w:rPr>
        <w:t>&lt;</w:t>
      </w:r>
      <w:r w:rsidR="00C136FA" w:rsidRPr="00C8550C">
        <w:rPr>
          <w:rFonts w:ascii="Book Antiqua" w:hAnsi="Book Antiqua"/>
          <w:iCs/>
          <w:sz w:val="24"/>
          <w:szCs w:val="24"/>
        </w:rPr>
        <w:t xml:space="preserve"> </w:t>
      </w:r>
      <w:r w:rsidRPr="00C8550C">
        <w:rPr>
          <w:rFonts w:ascii="Book Antiqua" w:hAnsi="Book Antiqua"/>
          <w:iCs/>
          <w:sz w:val="24"/>
          <w:szCs w:val="24"/>
        </w:rPr>
        <w:t>0.001</w:t>
      </w:r>
      <w:r w:rsidR="00122AF4" w:rsidRPr="00C8550C">
        <w:rPr>
          <w:rFonts w:ascii="Book Antiqua" w:hAnsi="Book Antiqua"/>
          <w:sz w:val="24"/>
          <w:szCs w:val="24"/>
        </w:rPr>
        <w:t>]</w:t>
      </w:r>
      <w:r w:rsidRPr="00C8550C">
        <w:rPr>
          <w:rFonts w:ascii="Book Antiqua" w:hAnsi="Book Antiqua"/>
          <w:sz w:val="24"/>
          <w:szCs w:val="24"/>
        </w:rPr>
        <w:t>.</w:t>
      </w:r>
    </w:p>
    <w:p w:rsidR="00122AF4" w:rsidRPr="00C8550C" w:rsidRDefault="00122AF4" w:rsidP="00122AF4">
      <w:pPr>
        <w:adjustRightInd w:val="0"/>
        <w:snapToGrid w:val="0"/>
        <w:spacing w:after="0" w:line="360" w:lineRule="auto"/>
        <w:ind w:firstLineChars="100" w:firstLine="240"/>
        <w:rPr>
          <w:rFonts w:ascii="Book Antiqua" w:hAnsi="Book Antiqua"/>
          <w:sz w:val="24"/>
          <w:szCs w:val="24"/>
        </w:rPr>
      </w:pPr>
    </w:p>
    <w:p w:rsidR="00835DED" w:rsidRPr="00C8550C" w:rsidRDefault="00835DED" w:rsidP="00122AF4">
      <w:pPr>
        <w:tabs>
          <w:tab w:val="left" w:pos="3225"/>
        </w:tabs>
        <w:adjustRightInd w:val="0"/>
        <w:snapToGrid w:val="0"/>
        <w:spacing w:after="0" w:line="360" w:lineRule="auto"/>
        <w:rPr>
          <w:rFonts w:ascii="Book Antiqua" w:hAnsi="Book Antiqua" w:cs="Calibri"/>
          <w:b/>
          <w:i/>
          <w:sz w:val="24"/>
          <w:szCs w:val="24"/>
        </w:rPr>
      </w:pPr>
      <w:r w:rsidRPr="00C8550C">
        <w:rPr>
          <w:rFonts w:ascii="Book Antiqua" w:hAnsi="Book Antiqua" w:cs="Calibri"/>
          <w:b/>
          <w:i/>
          <w:sz w:val="24"/>
          <w:szCs w:val="24"/>
        </w:rPr>
        <w:t>CEUS features of ICC and LR-M HCC</w:t>
      </w:r>
      <w:r w:rsidRPr="00C8550C">
        <w:rPr>
          <w:rFonts w:ascii="Book Antiqua" w:hAnsi="Book Antiqua" w:cs="Calibri"/>
          <w:b/>
          <w:i/>
          <w:sz w:val="24"/>
          <w:szCs w:val="24"/>
        </w:rPr>
        <w:tab/>
      </w:r>
    </w:p>
    <w:p w:rsidR="00835DED" w:rsidRPr="00C8550C" w:rsidRDefault="00835DE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The CEUS image characteristics of ICC and LR-M HCC, including arterial phase enhancement pattern, washout onset timing</w:t>
      </w:r>
      <w:r w:rsidR="0049145F">
        <w:rPr>
          <w:rFonts w:ascii="Book Antiqua" w:hAnsi="Book Antiqua"/>
          <w:sz w:val="24"/>
          <w:szCs w:val="24"/>
        </w:rPr>
        <w:t>,</w:t>
      </w:r>
      <w:r w:rsidRPr="00C8550C">
        <w:rPr>
          <w:rFonts w:ascii="Book Antiqua" w:hAnsi="Book Antiqua"/>
          <w:sz w:val="24"/>
          <w:szCs w:val="24"/>
        </w:rPr>
        <w:t xml:space="preserve"> and </w:t>
      </w:r>
      <w:r w:rsidR="0049145F" w:rsidRPr="00C8550C">
        <w:rPr>
          <w:rFonts w:ascii="Book Antiqua" w:hAnsi="Book Antiqua"/>
          <w:sz w:val="24"/>
          <w:szCs w:val="24"/>
        </w:rPr>
        <w:t xml:space="preserve">washout </w:t>
      </w:r>
      <w:r w:rsidRPr="00C8550C">
        <w:rPr>
          <w:rFonts w:ascii="Book Antiqua" w:hAnsi="Book Antiqua"/>
          <w:sz w:val="24"/>
          <w:szCs w:val="24"/>
        </w:rPr>
        <w:t xml:space="preserve">degree are presented in Table 2. In the arterial phase, three types of enhancing patterns were illustrated: </w:t>
      </w:r>
      <w:r w:rsidR="00122AF4" w:rsidRPr="00C8550C">
        <w:rPr>
          <w:rFonts w:ascii="Book Antiqua" w:hAnsi="Book Antiqua"/>
          <w:sz w:val="24"/>
          <w:szCs w:val="24"/>
        </w:rPr>
        <w:t>H</w:t>
      </w:r>
      <w:r w:rsidRPr="00C8550C">
        <w:rPr>
          <w:rFonts w:ascii="Book Antiqua" w:hAnsi="Book Antiqua"/>
          <w:sz w:val="24"/>
          <w:szCs w:val="24"/>
        </w:rPr>
        <w:t>omogeneous hyperenhancement, heterogeneous hyperenhancement</w:t>
      </w:r>
      <w:r w:rsidR="0049145F">
        <w:rPr>
          <w:rFonts w:ascii="Book Antiqua" w:hAnsi="Book Antiqua"/>
          <w:sz w:val="24"/>
          <w:szCs w:val="24"/>
        </w:rPr>
        <w:t>,</w:t>
      </w:r>
      <w:r w:rsidRPr="00C8550C">
        <w:rPr>
          <w:rFonts w:ascii="Book Antiqua" w:hAnsi="Book Antiqua"/>
          <w:sz w:val="24"/>
          <w:szCs w:val="24"/>
        </w:rPr>
        <w:t xml:space="preserve"> and rim hyperenhancement. Rim </w:t>
      </w:r>
      <w:r w:rsidR="006164F9" w:rsidRPr="00C8550C">
        <w:rPr>
          <w:rFonts w:ascii="Book Antiqua" w:eastAsia="Arial Unicode MS" w:hAnsi="Book Antiqua"/>
          <w:bCs/>
          <w:sz w:val="24"/>
          <w:szCs w:val="24"/>
        </w:rPr>
        <w:t>APHE</w:t>
      </w:r>
      <w:r w:rsidRPr="00C8550C">
        <w:rPr>
          <w:rFonts w:ascii="Book Antiqua" w:hAnsi="Book Antiqua"/>
          <w:sz w:val="24"/>
          <w:szCs w:val="24"/>
        </w:rPr>
        <w:t xml:space="preserve"> was detected in 50.5% (50/99) of ICCs </w:t>
      </w:r>
      <w:r w:rsidRPr="00C8550C">
        <w:rPr>
          <w:rFonts w:ascii="Book Antiqua" w:hAnsi="Book Antiqua"/>
          <w:i/>
          <w:sz w:val="24"/>
          <w:szCs w:val="24"/>
        </w:rPr>
        <w:t>vs</w:t>
      </w:r>
      <w:r w:rsidR="00154593" w:rsidRPr="00C8550C">
        <w:rPr>
          <w:rFonts w:ascii="Book Antiqua" w:hAnsi="Book Antiqua"/>
          <w:i/>
          <w:sz w:val="24"/>
          <w:szCs w:val="24"/>
        </w:rPr>
        <w:t xml:space="preserve"> </w:t>
      </w:r>
      <w:r w:rsidRPr="00C8550C">
        <w:rPr>
          <w:rFonts w:ascii="Book Antiqua" w:hAnsi="Book Antiqua"/>
          <w:sz w:val="24"/>
          <w:szCs w:val="24"/>
        </w:rPr>
        <w:t>16.3% (21/129) of LR-M HCCs (</w:t>
      </w:r>
      <w:r w:rsidRPr="00C8550C">
        <w:rPr>
          <w:rFonts w:ascii="Book Antiqua" w:hAnsi="Book Antiqua"/>
          <w:i/>
          <w:sz w:val="24"/>
          <w:szCs w:val="24"/>
        </w:rPr>
        <w:t>P</w:t>
      </w:r>
      <w:r w:rsidR="0063424B" w:rsidRPr="00C8550C">
        <w:rPr>
          <w:rFonts w:ascii="Book Antiqua" w:hAnsi="Book Antiqua"/>
          <w:i/>
          <w:sz w:val="24"/>
          <w:szCs w:val="24"/>
        </w:rPr>
        <w:t xml:space="preserve"> </w:t>
      </w:r>
      <w:r w:rsidRPr="00C8550C">
        <w:rPr>
          <w:rFonts w:ascii="Book Antiqua" w:hAnsi="Book Antiqua"/>
          <w:sz w:val="24"/>
          <w:szCs w:val="24"/>
        </w:rPr>
        <w:t>&lt;</w:t>
      </w:r>
      <w:r w:rsidR="00F428A4" w:rsidRPr="00C8550C">
        <w:rPr>
          <w:rFonts w:ascii="Book Antiqua" w:hAnsi="Book Antiqua"/>
          <w:sz w:val="24"/>
          <w:szCs w:val="24"/>
        </w:rPr>
        <w:t xml:space="preserve"> </w:t>
      </w:r>
      <w:r w:rsidRPr="00C8550C">
        <w:rPr>
          <w:rFonts w:ascii="Book Antiqua" w:hAnsi="Book Antiqua"/>
          <w:sz w:val="24"/>
          <w:szCs w:val="24"/>
        </w:rPr>
        <w:t>0.0001) (Figure 2-4). Arterial homogeneous hyperenhancement was observed in 15.2% (15/99) of ICCs and 37.2% (48/129) of LR-M HCCs (</w:t>
      </w:r>
      <w:r w:rsidRPr="00C8550C">
        <w:rPr>
          <w:rFonts w:ascii="Book Antiqua" w:hAnsi="Book Antiqua"/>
          <w:i/>
          <w:sz w:val="24"/>
          <w:szCs w:val="24"/>
        </w:rPr>
        <w:t>P</w:t>
      </w:r>
      <w:r w:rsidR="0063424B" w:rsidRPr="00C8550C">
        <w:rPr>
          <w:rFonts w:ascii="Book Antiqua" w:hAnsi="Book Antiqua"/>
          <w:i/>
          <w:sz w:val="24"/>
          <w:szCs w:val="24"/>
        </w:rPr>
        <w:t xml:space="preserve"> </w:t>
      </w:r>
      <w:r w:rsidRPr="00C8550C">
        <w:rPr>
          <w:rFonts w:ascii="Book Antiqua" w:hAnsi="Book Antiqua"/>
          <w:sz w:val="24"/>
          <w:szCs w:val="24"/>
        </w:rPr>
        <w:t>=</w:t>
      </w:r>
      <w:r w:rsidR="00F428A4" w:rsidRPr="00C8550C">
        <w:rPr>
          <w:rFonts w:ascii="Book Antiqua" w:hAnsi="Book Antiqua"/>
          <w:sz w:val="24"/>
          <w:szCs w:val="24"/>
        </w:rPr>
        <w:t xml:space="preserve"> </w:t>
      </w:r>
      <w:r w:rsidRPr="00C8550C">
        <w:rPr>
          <w:rFonts w:ascii="Book Antiqua" w:hAnsi="Book Antiqua"/>
          <w:sz w:val="24"/>
          <w:szCs w:val="24"/>
        </w:rPr>
        <w:t xml:space="preserve">0.0004) (Figure 5). Early washout of contrast agent was illustrated in 93.4% (93/99) of ICCs </w:t>
      </w:r>
      <w:r w:rsidRPr="00C8550C">
        <w:rPr>
          <w:rFonts w:ascii="Book Antiqua" w:hAnsi="Book Antiqua"/>
          <w:i/>
          <w:sz w:val="24"/>
          <w:szCs w:val="24"/>
        </w:rPr>
        <w:t>vs</w:t>
      </w:r>
      <w:r w:rsidRPr="00C8550C">
        <w:rPr>
          <w:rFonts w:ascii="Book Antiqua" w:hAnsi="Book Antiqua"/>
          <w:sz w:val="24"/>
          <w:szCs w:val="24"/>
        </w:rPr>
        <w:t xml:space="preserve"> 96.1% (124/129) of LR-M HCCs (</w:t>
      </w:r>
      <w:r w:rsidRPr="00C8550C">
        <w:rPr>
          <w:rFonts w:ascii="Book Antiqua" w:hAnsi="Book Antiqua"/>
          <w:i/>
          <w:sz w:val="24"/>
          <w:szCs w:val="24"/>
        </w:rPr>
        <w:t>P</w:t>
      </w:r>
      <w:r w:rsidR="0063424B" w:rsidRPr="00C8550C">
        <w:rPr>
          <w:rFonts w:ascii="Book Antiqua" w:hAnsi="Book Antiqua"/>
          <w:i/>
          <w:sz w:val="24"/>
          <w:szCs w:val="24"/>
        </w:rPr>
        <w:t xml:space="preserve"> </w:t>
      </w:r>
      <w:r w:rsidRPr="00C8550C">
        <w:rPr>
          <w:rFonts w:ascii="Book Antiqua" w:hAnsi="Book Antiqua"/>
          <w:sz w:val="24"/>
          <w:szCs w:val="24"/>
        </w:rPr>
        <w:t>&gt;</w:t>
      </w:r>
      <w:r w:rsidR="00F428A4" w:rsidRPr="00C8550C">
        <w:rPr>
          <w:rFonts w:ascii="Book Antiqua" w:hAnsi="Book Antiqua"/>
          <w:sz w:val="24"/>
          <w:szCs w:val="24"/>
        </w:rPr>
        <w:t xml:space="preserve"> </w:t>
      </w:r>
      <w:r w:rsidRPr="00C8550C">
        <w:rPr>
          <w:rFonts w:ascii="Book Antiqua" w:hAnsi="Book Antiqua"/>
          <w:sz w:val="24"/>
          <w:szCs w:val="24"/>
        </w:rPr>
        <w:t xml:space="preserve">0.05). Marked washout of contrast agent within 120 s was shown in 23.2% (23/99) of ICCs </w:t>
      </w:r>
      <w:r w:rsidRPr="00C8550C">
        <w:rPr>
          <w:rFonts w:ascii="Book Antiqua" w:hAnsi="Book Antiqua"/>
          <w:i/>
          <w:sz w:val="24"/>
          <w:szCs w:val="24"/>
        </w:rPr>
        <w:t>vs</w:t>
      </w:r>
      <w:r w:rsidR="00122AF4" w:rsidRPr="00C8550C">
        <w:rPr>
          <w:rFonts w:ascii="Book Antiqua" w:hAnsi="Book Antiqua"/>
          <w:i/>
          <w:sz w:val="24"/>
          <w:szCs w:val="24"/>
        </w:rPr>
        <w:t xml:space="preserve"> </w:t>
      </w:r>
      <w:r w:rsidRPr="00C8550C">
        <w:rPr>
          <w:rFonts w:ascii="Book Antiqua" w:hAnsi="Book Antiqua"/>
          <w:sz w:val="24"/>
          <w:szCs w:val="24"/>
        </w:rPr>
        <w:t>7.8% (10/129) of HCCs (</w:t>
      </w:r>
      <w:r w:rsidRPr="00C8550C">
        <w:rPr>
          <w:rFonts w:ascii="Book Antiqua" w:hAnsi="Book Antiqua"/>
          <w:i/>
          <w:sz w:val="24"/>
          <w:szCs w:val="24"/>
        </w:rPr>
        <w:t>P</w:t>
      </w:r>
      <w:r w:rsidR="0063424B" w:rsidRPr="00C8550C">
        <w:rPr>
          <w:rFonts w:ascii="Book Antiqua" w:hAnsi="Book Antiqua"/>
          <w:i/>
          <w:sz w:val="24"/>
          <w:szCs w:val="24"/>
        </w:rPr>
        <w:t xml:space="preserve"> </w:t>
      </w:r>
      <w:r w:rsidRPr="00C8550C">
        <w:rPr>
          <w:rFonts w:ascii="Book Antiqua" w:hAnsi="Book Antiqua"/>
          <w:sz w:val="24"/>
          <w:szCs w:val="24"/>
        </w:rPr>
        <w:t>=</w:t>
      </w:r>
      <w:r w:rsidR="00F428A4" w:rsidRPr="00C8550C">
        <w:rPr>
          <w:rFonts w:ascii="Book Antiqua" w:hAnsi="Book Antiqua"/>
          <w:sz w:val="24"/>
          <w:szCs w:val="24"/>
        </w:rPr>
        <w:t xml:space="preserve"> </w:t>
      </w:r>
      <w:r w:rsidRPr="00C8550C">
        <w:rPr>
          <w:rFonts w:ascii="Book Antiqua" w:hAnsi="Book Antiqua"/>
          <w:iCs/>
          <w:sz w:val="24"/>
          <w:szCs w:val="24"/>
        </w:rPr>
        <w:t>0.002</w:t>
      </w:r>
      <w:r w:rsidRPr="00C8550C">
        <w:rPr>
          <w:rFonts w:ascii="Book Antiqua" w:hAnsi="Book Antiqua"/>
          <w:sz w:val="24"/>
          <w:szCs w:val="24"/>
        </w:rPr>
        <w:t xml:space="preserve">). Of note, this feature did not show up alone in either of the two entities. </w:t>
      </w:r>
    </w:p>
    <w:p w:rsidR="00835DED" w:rsidRPr="00C8550C" w:rsidRDefault="00835DED" w:rsidP="00122AF4">
      <w:pPr>
        <w:adjustRightInd w:val="0"/>
        <w:snapToGrid w:val="0"/>
        <w:spacing w:after="0" w:line="360" w:lineRule="auto"/>
        <w:ind w:firstLineChars="100" w:firstLine="240"/>
        <w:rPr>
          <w:rFonts w:ascii="Book Antiqua" w:hAnsi="Book Antiqua"/>
          <w:sz w:val="24"/>
          <w:szCs w:val="24"/>
        </w:rPr>
      </w:pPr>
      <w:r w:rsidRPr="00C8550C">
        <w:rPr>
          <w:rFonts w:ascii="Book Antiqua" w:hAnsi="Book Antiqua"/>
          <w:sz w:val="24"/>
          <w:szCs w:val="24"/>
        </w:rPr>
        <w:t xml:space="preserve">A comparison of the LR-M features between ICC and LR-M HCC is presented in Table 3. Rim </w:t>
      </w:r>
      <w:r w:rsidRPr="00C8550C">
        <w:rPr>
          <w:rFonts w:ascii="Book Antiqua" w:eastAsia="Arial Unicode MS" w:hAnsi="Book Antiqua"/>
          <w:bCs/>
          <w:sz w:val="24"/>
          <w:szCs w:val="24"/>
        </w:rPr>
        <w:t>APHE</w:t>
      </w:r>
      <w:r w:rsidRPr="00C8550C">
        <w:rPr>
          <w:rFonts w:ascii="Book Antiqua" w:hAnsi="Book Antiqua"/>
          <w:sz w:val="24"/>
          <w:szCs w:val="24"/>
        </w:rPr>
        <w:t xml:space="preserve"> followed by early washout was the most frequent combination of LR-M features, which was detected in 30.3% (30/99) of ICCs </w:t>
      </w:r>
      <w:r w:rsidRPr="00C8550C">
        <w:rPr>
          <w:rFonts w:ascii="Book Antiqua" w:hAnsi="Book Antiqua"/>
          <w:i/>
          <w:iCs/>
          <w:sz w:val="24"/>
          <w:szCs w:val="24"/>
        </w:rPr>
        <w:t>vs</w:t>
      </w:r>
      <w:r w:rsidRPr="00C8550C">
        <w:rPr>
          <w:rFonts w:ascii="Book Antiqua" w:hAnsi="Book Antiqua"/>
          <w:sz w:val="24"/>
          <w:szCs w:val="24"/>
        </w:rPr>
        <w:t xml:space="preserve"> 10.1% (13/129) of LR-M HCCs (</w:t>
      </w:r>
      <w:bookmarkStart w:id="11" w:name="OLE_LINK10"/>
      <w:r w:rsidRPr="00C8550C">
        <w:rPr>
          <w:rFonts w:ascii="Book Antiqua" w:hAnsi="Book Antiqua"/>
          <w:i/>
          <w:iCs/>
          <w:sz w:val="24"/>
          <w:szCs w:val="24"/>
        </w:rPr>
        <w:t>P</w:t>
      </w:r>
      <w:r w:rsidR="00122AF4" w:rsidRPr="00C8550C">
        <w:rPr>
          <w:rFonts w:ascii="Book Antiqua" w:hAnsi="Book Antiqua"/>
          <w:i/>
          <w:iCs/>
          <w:sz w:val="24"/>
          <w:szCs w:val="24"/>
        </w:rPr>
        <w:t xml:space="preserve"> </w:t>
      </w:r>
      <w:r w:rsidRPr="00C8550C">
        <w:rPr>
          <w:rFonts w:ascii="Book Antiqua" w:hAnsi="Book Antiqua"/>
          <w:iCs/>
          <w:sz w:val="24"/>
          <w:szCs w:val="24"/>
        </w:rPr>
        <w:t>=</w:t>
      </w:r>
      <w:bookmarkEnd w:id="11"/>
      <w:r w:rsidR="00122AF4" w:rsidRPr="00C8550C">
        <w:rPr>
          <w:rFonts w:ascii="Book Antiqua" w:hAnsi="Book Antiqua"/>
          <w:iCs/>
          <w:sz w:val="24"/>
          <w:szCs w:val="24"/>
        </w:rPr>
        <w:t xml:space="preserve"> </w:t>
      </w:r>
      <w:r w:rsidRPr="00C8550C">
        <w:rPr>
          <w:rFonts w:ascii="Book Antiqua" w:hAnsi="Book Antiqua"/>
          <w:iCs/>
          <w:sz w:val="24"/>
          <w:szCs w:val="24"/>
        </w:rPr>
        <w:t>0.0002</w:t>
      </w:r>
      <w:r w:rsidRPr="00C8550C">
        <w:rPr>
          <w:rFonts w:ascii="Book Antiqua" w:hAnsi="Book Antiqua"/>
          <w:sz w:val="24"/>
          <w:szCs w:val="24"/>
        </w:rPr>
        <w:t>). The presence of all three LR-M features in a nodule also showed a significant difference between the two entities (</w:t>
      </w:r>
      <w:r w:rsidRPr="00C8550C">
        <w:rPr>
          <w:rFonts w:ascii="Book Antiqua" w:hAnsi="Book Antiqua"/>
          <w:i/>
          <w:sz w:val="24"/>
          <w:szCs w:val="24"/>
        </w:rPr>
        <w:t>P</w:t>
      </w:r>
      <w:r w:rsidR="0063424B" w:rsidRPr="00C8550C">
        <w:rPr>
          <w:rFonts w:ascii="Book Antiqua" w:hAnsi="Book Antiqua"/>
          <w:i/>
          <w:sz w:val="24"/>
          <w:szCs w:val="24"/>
        </w:rPr>
        <w:t xml:space="preserve"> </w:t>
      </w:r>
      <w:r w:rsidRPr="00C8550C">
        <w:rPr>
          <w:rFonts w:ascii="Book Antiqua" w:hAnsi="Book Antiqua"/>
          <w:sz w:val="24"/>
          <w:szCs w:val="24"/>
        </w:rPr>
        <w:t>=</w:t>
      </w:r>
      <w:r w:rsidR="001E6876" w:rsidRPr="00C8550C">
        <w:rPr>
          <w:rFonts w:ascii="Book Antiqua" w:hAnsi="Book Antiqua"/>
          <w:sz w:val="24"/>
          <w:szCs w:val="24"/>
        </w:rPr>
        <w:t xml:space="preserve"> </w:t>
      </w:r>
      <w:r w:rsidRPr="00C8550C">
        <w:rPr>
          <w:rFonts w:ascii="Book Antiqua" w:hAnsi="Book Antiqua"/>
          <w:sz w:val="24"/>
          <w:szCs w:val="24"/>
        </w:rPr>
        <w:t>0.0018).</w:t>
      </w:r>
    </w:p>
    <w:p w:rsidR="00835DED" w:rsidRPr="00C8550C" w:rsidRDefault="00835DED" w:rsidP="00122AF4">
      <w:pPr>
        <w:adjustRightInd w:val="0"/>
        <w:snapToGrid w:val="0"/>
        <w:spacing w:after="0" w:line="360" w:lineRule="auto"/>
        <w:ind w:firstLineChars="100" w:firstLine="240"/>
        <w:rPr>
          <w:rFonts w:ascii="Book Antiqua" w:eastAsia="Arial Unicode MS" w:hAnsi="Book Antiqua"/>
          <w:bCs/>
          <w:sz w:val="24"/>
          <w:szCs w:val="24"/>
        </w:rPr>
      </w:pPr>
      <w:r w:rsidRPr="00C8550C">
        <w:rPr>
          <w:rFonts w:ascii="Book Antiqua" w:hAnsi="Book Antiqua"/>
          <w:sz w:val="24"/>
          <w:szCs w:val="24"/>
        </w:rPr>
        <w:t>Taking</w:t>
      </w:r>
      <w:r w:rsidRPr="00C8550C">
        <w:rPr>
          <w:rFonts w:ascii="Book Antiqua" w:eastAsia="Arial Unicode MS" w:hAnsi="Book Antiqua"/>
          <w:bCs/>
          <w:sz w:val="24"/>
          <w:szCs w:val="24"/>
        </w:rPr>
        <w:t xml:space="preserve"> rim APHE, early washout, marked washout, homogeneous hyperenhancement, </w:t>
      </w:r>
      <w:r w:rsidRPr="00C8550C">
        <w:rPr>
          <w:rFonts w:ascii="Book Antiqua" w:hAnsi="Book Antiqua"/>
          <w:sz w:val="24"/>
          <w:szCs w:val="24"/>
        </w:rPr>
        <w:t>CA 19-9</w:t>
      </w:r>
      <w:r w:rsidR="0049145F">
        <w:rPr>
          <w:rFonts w:ascii="Book Antiqua" w:hAnsi="Book Antiqua"/>
          <w:sz w:val="24"/>
          <w:szCs w:val="24"/>
        </w:rPr>
        <w:t>,</w:t>
      </w:r>
      <w:r w:rsidRPr="00C8550C">
        <w:rPr>
          <w:rFonts w:ascii="Book Antiqua" w:hAnsi="Book Antiqua"/>
          <w:sz w:val="24"/>
          <w:szCs w:val="24"/>
        </w:rPr>
        <w:t xml:space="preserve"> and AFP </w:t>
      </w:r>
      <w:r w:rsidRPr="00C8550C">
        <w:rPr>
          <w:rFonts w:ascii="Book Antiqua" w:eastAsia="Arial Unicode MS" w:hAnsi="Book Antiqua"/>
          <w:bCs/>
          <w:sz w:val="24"/>
          <w:szCs w:val="24"/>
        </w:rPr>
        <w:t>as independent variables, the regression analysis showed that rim APHE, CA 19-9</w:t>
      </w:r>
      <w:r w:rsidR="0049145F">
        <w:rPr>
          <w:rFonts w:ascii="Book Antiqua" w:eastAsia="Arial Unicode MS" w:hAnsi="Book Antiqua"/>
          <w:bCs/>
          <w:sz w:val="24"/>
          <w:szCs w:val="24"/>
        </w:rPr>
        <w:t>,</w:t>
      </w:r>
      <w:r w:rsidRPr="00C8550C">
        <w:rPr>
          <w:rFonts w:ascii="Book Antiqua" w:eastAsia="Arial Unicode MS" w:hAnsi="Book Antiqua"/>
          <w:bCs/>
          <w:sz w:val="24"/>
          <w:szCs w:val="24"/>
        </w:rPr>
        <w:t xml:space="preserve"> and AFP had significant correlations with ICC (</w:t>
      </w:r>
      <w:r w:rsidR="00122AF4" w:rsidRPr="00C8550C">
        <w:rPr>
          <w:rFonts w:ascii="Book Antiqua" w:hAnsi="Book Antiqua"/>
          <w:i/>
          <w:sz w:val="24"/>
          <w:szCs w:val="24"/>
        </w:rPr>
        <w:t>r</w:t>
      </w:r>
      <w:r w:rsidRPr="00C8550C">
        <w:rPr>
          <w:rFonts w:ascii="Book Antiqua" w:eastAsia="Arial Unicode MS" w:hAnsi="Book Antiqua"/>
          <w:bCs/>
          <w:sz w:val="24"/>
          <w:szCs w:val="24"/>
        </w:rPr>
        <w:t> = 1.251, 3.075</w:t>
      </w:r>
      <w:r w:rsidR="0049145F">
        <w:rPr>
          <w:rFonts w:ascii="Book Antiqua" w:eastAsia="Arial Unicode MS" w:hAnsi="Book Antiqua"/>
          <w:bCs/>
          <w:sz w:val="24"/>
          <w:szCs w:val="24"/>
        </w:rPr>
        <w:t>,</w:t>
      </w:r>
      <w:r w:rsidRPr="00C8550C">
        <w:rPr>
          <w:rFonts w:ascii="Book Antiqua" w:eastAsia="Arial Unicode MS" w:hAnsi="Book Antiqua"/>
          <w:bCs/>
          <w:sz w:val="24"/>
          <w:szCs w:val="24"/>
        </w:rPr>
        <w:t xml:space="preserve"> and -2.767, respectively;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&lt;</w:t>
      </w:r>
      <w:r w:rsidR="00F759AF"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0.01</w:t>
      </w:r>
      <w:r w:rsidRPr="00C8550C">
        <w:rPr>
          <w:rFonts w:ascii="Book Antiqua" w:eastAsia="Arial Unicode MS" w:hAnsi="Book Antiqua"/>
          <w:bCs/>
          <w:sz w:val="24"/>
          <w:szCs w:val="24"/>
        </w:rPr>
        <w:t xml:space="preserve">). ROC curve analysis for the diagnostic performance of LR-M characteristics in differentiating ICC from LR-M HCC is presented in Table 4. Rim APHE presented the best diagnostic performance for ICC, and </w:t>
      </w:r>
      <w:bookmarkStart w:id="12" w:name="OLE_LINK18"/>
      <w:r w:rsidRPr="00C8550C">
        <w:rPr>
          <w:rFonts w:ascii="Book Antiqua" w:eastAsia="Arial Unicode MS" w:hAnsi="Book Antiqua"/>
          <w:bCs/>
          <w:sz w:val="24"/>
          <w:szCs w:val="24"/>
        </w:rPr>
        <w:t xml:space="preserve">the area under the ROC curve (AUC) was 0.70 </w:t>
      </w:r>
      <w:r w:rsidR="00122AF4" w:rsidRPr="00C8550C">
        <w:rPr>
          <w:rFonts w:ascii="Book Antiqua" w:eastAsia="Arial Unicode MS" w:hAnsi="Book Antiqua"/>
          <w:bCs/>
          <w:sz w:val="24"/>
          <w:szCs w:val="24"/>
        </w:rPr>
        <w:t>[</w:t>
      </w:r>
      <w:r w:rsidRPr="00C8550C">
        <w:rPr>
          <w:rFonts w:ascii="Book Antiqua" w:eastAsia="Arial Unicode MS" w:hAnsi="Book Antiqua"/>
          <w:bCs/>
          <w:sz w:val="24"/>
          <w:szCs w:val="24"/>
        </w:rPr>
        <w:t xml:space="preserve">95% confidence interval </w:t>
      </w:r>
      <w:r w:rsidR="00122AF4" w:rsidRPr="00C8550C">
        <w:rPr>
          <w:rFonts w:ascii="Book Antiqua" w:eastAsia="Arial Unicode MS" w:hAnsi="Book Antiqua"/>
          <w:bCs/>
          <w:sz w:val="24"/>
          <w:szCs w:val="24"/>
        </w:rPr>
        <w:t>(</w:t>
      </w:r>
      <w:r w:rsidRPr="00C8550C">
        <w:rPr>
          <w:rFonts w:ascii="Book Antiqua" w:eastAsia="Arial Unicode MS" w:hAnsi="Book Antiqua"/>
          <w:bCs/>
          <w:sz w:val="24"/>
          <w:szCs w:val="24"/>
        </w:rPr>
        <w:t>CI</w:t>
      </w:r>
      <w:r w:rsidR="00122AF4" w:rsidRPr="00C8550C">
        <w:rPr>
          <w:rFonts w:ascii="Book Antiqua" w:eastAsia="Arial Unicode MS" w:hAnsi="Book Antiqua"/>
          <w:bCs/>
          <w:sz w:val="24"/>
          <w:szCs w:val="24"/>
        </w:rPr>
        <w:t>)</w:t>
      </w:r>
      <w:r w:rsidRPr="00C8550C">
        <w:rPr>
          <w:rFonts w:ascii="Book Antiqua" w:eastAsia="Arial Unicode MS" w:hAnsi="Book Antiqua"/>
          <w:bCs/>
          <w:sz w:val="24"/>
          <w:szCs w:val="24"/>
        </w:rPr>
        <w:t>: 0.63-0.76</w:t>
      </w:r>
      <w:r w:rsidR="00122AF4" w:rsidRPr="00C8550C">
        <w:rPr>
          <w:rFonts w:ascii="Book Antiqua" w:eastAsia="Arial Unicode MS" w:hAnsi="Book Antiqua"/>
          <w:bCs/>
          <w:sz w:val="24"/>
          <w:szCs w:val="24"/>
        </w:rPr>
        <w:t>]</w:t>
      </w:r>
      <w:r w:rsidRPr="00C8550C">
        <w:rPr>
          <w:rFonts w:ascii="Book Antiqua" w:eastAsia="Arial Unicode MS" w:hAnsi="Book Antiqua"/>
          <w:bCs/>
          <w:sz w:val="24"/>
          <w:szCs w:val="24"/>
        </w:rPr>
        <w:t xml:space="preserve">, with </w:t>
      </w:r>
      <w:r w:rsidR="00154593" w:rsidRPr="00C8550C">
        <w:rPr>
          <w:rFonts w:ascii="Book Antiqua" w:eastAsia="Arial Unicode MS" w:hAnsi="Book Antiqua"/>
          <w:bCs/>
          <w:sz w:val="24"/>
          <w:szCs w:val="24"/>
        </w:rPr>
        <w:t>a sensitivity of 70.4% (95%</w:t>
      </w:r>
      <w:r w:rsidRPr="00C8550C">
        <w:rPr>
          <w:rFonts w:ascii="Book Antiqua" w:eastAsia="Arial Unicode MS" w:hAnsi="Book Antiqua"/>
          <w:bCs/>
          <w:sz w:val="24"/>
          <w:szCs w:val="24"/>
        </w:rPr>
        <w:t>CI: 58.4%-80.7%) and specificity of</w:t>
      </w:r>
      <w:r w:rsidR="00154593" w:rsidRPr="00C8550C">
        <w:rPr>
          <w:rFonts w:ascii="Book Antiqua" w:eastAsia="Arial Unicode MS" w:hAnsi="Book Antiqua"/>
          <w:bCs/>
          <w:sz w:val="24"/>
          <w:szCs w:val="24"/>
        </w:rPr>
        <w:t xml:space="preserve"> 68.8% (95%</w:t>
      </w:r>
      <w:r w:rsidRPr="00C8550C">
        <w:rPr>
          <w:rFonts w:ascii="Book Antiqua" w:eastAsia="Arial Unicode MS" w:hAnsi="Book Antiqua"/>
          <w:bCs/>
          <w:sz w:val="24"/>
          <w:szCs w:val="24"/>
        </w:rPr>
        <w:t>CI: 60.9%-75.9%). When rim APHE was coupled with elevated CA 19-9 and normal AFP, the AUC and sensitivity improved to 0.82 (9</w:t>
      </w:r>
      <w:r w:rsidR="00154593" w:rsidRPr="00C8550C">
        <w:rPr>
          <w:rFonts w:ascii="Book Antiqua" w:eastAsia="Arial Unicode MS" w:hAnsi="Book Antiqua"/>
          <w:bCs/>
          <w:sz w:val="24"/>
          <w:szCs w:val="24"/>
        </w:rPr>
        <w:t>5% CI: 0.76-0.87) and 100% (95%</w:t>
      </w:r>
      <w:r w:rsidRPr="00C8550C">
        <w:rPr>
          <w:rFonts w:ascii="Book Antiqua" w:eastAsia="Arial Unicode MS" w:hAnsi="Book Antiqua"/>
          <w:bCs/>
          <w:sz w:val="24"/>
          <w:szCs w:val="24"/>
        </w:rPr>
        <w:t>CI: 86.8%-100%), respectively, with specificity decreasing to 63.9% (95% CI: 56.8%-70.5%).</w:t>
      </w:r>
      <w:bookmarkEnd w:id="12"/>
    </w:p>
    <w:p w:rsidR="00122AF4" w:rsidRPr="00C8550C" w:rsidRDefault="00122AF4" w:rsidP="00122AF4">
      <w:pPr>
        <w:adjustRightInd w:val="0"/>
        <w:snapToGrid w:val="0"/>
        <w:spacing w:after="0" w:line="360" w:lineRule="auto"/>
        <w:rPr>
          <w:rFonts w:ascii="Book Antiqua" w:eastAsia="等线" w:hAnsi="Book Antiqua"/>
          <w:bCs/>
          <w:sz w:val="24"/>
          <w:szCs w:val="24"/>
        </w:rPr>
      </w:pPr>
    </w:p>
    <w:p w:rsidR="00122AF4" w:rsidRPr="00C8550C" w:rsidRDefault="00122AF4" w:rsidP="00122AF4">
      <w:pPr>
        <w:adjustRightInd w:val="0"/>
        <w:snapToGrid w:val="0"/>
        <w:spacing w:after="0" w:line="360" w:lineRule="auto"/>
        <w:rPr>
          <w:rFonts w:ascii="Book Antiqua" w:hAnsi="Book Antiqua"/>
          <w:b/>
          <w:sz w:val="24"/>
          <w:szCs w:val="24"/>
          <w:u w:val="single"/>
        </w:rPr>
      </w:pPr>
      <w:r w:rsidRPr="00C8550C">
        <w:rPr>
          <w:rFonts w:ascii="Book Antiqua" w:hAnsi="Book Antiqua"/>
          <w:b/>
          <w:sz w:val="24"/>
          <w:szCs w:val="24"/>
          <w:u w:val="single"/>
        </w:rPr>
        <w:t>DISCUSSION</w:t>
      </w:r>
    </w:p>
    <w:p w:rsidR="00835DED" w:rsidRPr="00C8550C" w:rsidRDefault="00835DED" w:rsidP="00122AF4">
      <w:pPr>
        <w:adjustRightInd w:val="0"/>
        <w:snapToGrid w:val="0"/>
        <w:spacing w:after="0" w:line="360" w:lineRule="auto"/>
        <w:rPr>
          <w:rFonts w:ascii="Book Antiqua" w:hAnsi="Book Antiqua"/>
          <w:b/>
          <w:sz w:val="24"/>
          <w:szCs w:val="24"/>
          <w:u w:val="single"/>
        </w:rPr>
      </w:pPr>
      <w:r w:rsidRPr="00C8550C">
        <w:rPr>
          <w:rFonts w:ascii="Book Antiqua" w:hAnsi="Book Antiqua"/>
          <w:kern w:val="0"/>
          <w:sz w:val="24"/>
          <w:szCs w:val="24"/>
        </w:rPr>
        <w:t>The LR-M category of CEUS LI-RADS was generated for lesions that are malignant but not sp</w:t>
      </w:r>
      <w:r w:rsidR="00EA7FBE" w:rsidRPr="00C8550C">
        <w:rPr>
          <w:rFonts w:ascii="Book Antiqua" w:hAnsi="Book Antiqua"/>
          <w:kern w:val="0"/>
          <w:sz w:val="24"/>
          <w:szCs w:val="24"/>
        </w:rPr>
        <w:t>ecific to HCC</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KYMRREF{1FF43429-33CF-42F4-92F5-1E2DD8534AE6}474 </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[20]</w:t>
      </w:r>
      <w:r w:rsidRPr="00C8550C">
        <w:rPr>
          <w:rFonts w:ascii="Book Antiqua" w:hAnsi="Book Antiqua"/>
          <w:kern w:val="0"/>
          <w:sz w:val="24"/>
          <w:szCs w:val="24"/>
        </w:rPr>
        <w:fldChar w:fldCharType="end"/>
      </w:r>
      <w:r w:rsidRPr="00C8550C">
        <w:rPr>
          <w:rFonts w:ascii="Book Antiqua" w:hAnsi="Book Antiqua"/>
          <w:kern w:val="0"/>
          <w:sz w:val="24"/>
          <w:szCs w:val="24"/>
        </w:rPr>
        <w:t>. There was a significantly low PPV of LR-M for the diagnosis of non-HCC malignancy due to a high proportion of HCC cases in this category, leading to the recommendation of b</w:t>
      </w:r>
      <w:r w:rsidR="00EA7FBE" w:rsidRPr="00C8550C">
        <w:rPr>
          <w:rFonts w:ascii="Book Antiqua" w:hAnsi="Book Antiqua"/>
          <w:kern w:val="0"/>
          <w:sz w:val="24"/>
          <w:szCs w:val="24"/>
        </w:rPr>
        <w:t>iopsy for all CEUS LR-M lesions</w:t>
      </w:r>
      <w:r w:rsidRPr="00C8550C">
        <w:rPr>
          <w:rFonts w:ascii="Book Antiqua" w:hAnsi="Book Antiqua"/>
          <w:kern w:val="0"/>
          <w:sz w:val="24"/>
          <w:szCs w:val="24"/>
        </w:rPr>
        <w:fldChar w:fldCharType="begin"/>
      </w:r>
      <w:r w:rsidRPr="00C8550C">
        <w:rPr>
          <w:rFonts w:ascii="Book Antiqua" w:hAnsi="Book Antiqua"/>
          <w:kern w:val="0"/>
          <w:sz w:val="24"/>
          <w:szCs w:val="24"/>
        </w:rPr>
        <w:instrText xml:space="preserve"> ADDIN  ADDIN KYMRREF{1FF43429-33CF-42F4-92F5-1E2DD8534AE6}477,{1FF43429-33CF-42F4-92F5-1E2DD8534AE6}478</w:instrText>
      </w:r>
      <w:r w:rsidRPr="00C8550C">
        <w:rPr>
          <w:rFonts w:ascii="Book Antiqua" w:hAnsi="Book Antiqua"/>
          <w:kern w:val="0"/>
          <w:sz w:val="24"/>
          <w:szCs w:val="24"/>
        </w:rPr>
        <w:fldChar w:fldCharType="separate"/>
      </w:r>
      <w:r w:rsidRPr="00C8550C">
        <w:rPr>
          <w:rFonts w:ascii="Book Antiqua" w:hAnsi="Book Antiqua"/>
          <w:kern w:val="0"/>
          <w:sz w:val="24"/>
          <w:szCs w:val="24"/>
          <w:vertAlign w:val="superscript"/>
        </w:rPr>
        <w:t>[28,29]</w:t>
      </w:r>
      <w:r w:rsidRPr="00C8550C">
        <w:rPr>
          <w:rFonts w:ascii="Book Antiqua" w:hAnsi="Book Antiqua"/>
          <w:kern w:val="0"/>
          <w:sz w:val="24"/>
          <w:szCs w:val="24"/>
        </w:rPr>
        <w:fldChar w:fldCharType="end"/>
      </w:r>
      <w:r w:rsidRPr="00C8550C">
        <w:rPr>
          <w:rFonts w:ascii="Book Antiqua" w:hAnsi="Book Antiqua"/>
          <w:kern w:val="0"/>
          <w:sz w:val="24"/>
          <w:szCs w:val="24"/>
        </w:rPr>
        <w:t>.</w:t>
      </w:r>
      <w:r w:rsidRPr="00C8550C">
        <w:rPr>
          <w:rFonts w:ascii="Book Antiqua" w:hAnsi="Book Antiqua"/>
          <w:kern w:val="0"/>
          <w:sz w:val="24"/>
          <w:szCs w:val="24"/>
          <w:vertAlign w:val="superscript"/>
        </w:rPr>
        <w:t xml:space="preserve"> </w:t>
      </w:r>
      <w:r w:rsidRPr="00C8550C">
        <w:rPr>
          <w:rFonts w:ascii="Book Antiqua" w:hAnsi="Book Antiqua"/>
          <w:kern w:val="0"/>
          <w:sz w:val="24"/>
          <w:szCs w:val="24"/>
        </w:rPr>
        <w:t>In this retrospective study, we focused on ICC and LR-M HCC, which composed the</w:t>
      </w:r>
      <w:r w:rsidR="00122AF4" w:rsidRPr="00C8550C">
        <w:rPr>
          <w:rFonts w:ascii="Book Antiqua" w:hAnsi="Book Antiqua"/>
          <w:kern w:val="0"/>
          <w:sz w:val="24"/>
          <w:szCs w:val="24"/>
        </w:rPr>
        <w:t xml:space="preserve"> </w:t>
      </w:r>
      <w:r w:rsidRPr="00C8550C">
        <w:rPr>
          <w:rFonts w:ascii="Book Antiqua" w:hAnsi="Book Antiqua"/>
          <w:kern w:val="0"/>
          <w:sz w:val="24"/>
          <w:szCs w:val="24"/>
        </w:rPr>
        <w:t>majority</w:t>
      </w:r>
      <w:r w:rsidR="00122AF4" w:rsidRPr="00C8550C">
        <w:rPr>
          <w:rFonts w:ascii="Book Antiqua" w:hAnsi="Book Antiqua"/>
          <w:kern w:val="0"/>
          <w:sz w:val="24"/>
          <w:szCs w:val="24"/>
        </w:rPr>
        <w:t xml:space="preserve"> </w:t>
      </w:r>
      <w:r w:rsidRPr="00C8550C">
        <w:rPr>
          <w:rFonts w:ascii="Book Antiqua" w:hAnsi="Book Antiqua"/>
          <w:kern w:val="0"/>
          <w:sz w:val="24"/>
          <w:szCs w:val="24"/>
        </w:rPr>
        <w:t>of LR-M lesions, expecting to achieve a better understanding of the differential diagnosis between the two entities. Our study demonstrated that r</w:t>
      </w:r>
      <w:r w:rsidRPr="00C8550C">
        <w:rPr>
          <w:rFonts w:ascii="Book Antiqua" w:hAnsi="Book Antiqua"/>
          <w:sz w:val="24"/>
          <w:szCs w:val="24"/>
        </w:rPr>
        <w:t xml:space="preserve">im </w:t>
      </w:r>
      <w:r w:rsidRPr="00C8550C">
        <w:rPr>
          <w:rFonts w:ascii="Book Antiqua" w:eastAsia="Arial Unicode MS" w:hAnsi="Book Antiqua"/>
          <w:bCs/>
          <w:sz w:val="24"/>
          <w:szCs w:val="24"/>
        </w:rPr>
        <w:t>APHE</w:t>
      </w:r>
      <w:r w:rsidRPr="00C8550C">
        <w:rPr>
          <w:rFonts w:ascii="Book Antiqua" w:hAnsi="Book Antiqua"/>
          <w:sz w:val="24"/>
          <w:szCs w:val="24"/>
        </w:rPr>
        <w:t xml:space="preserve"> and marked washout were more frequently observed in ICCs than </w:t>
      </w:r>
      <w:r w:rsidR="0049145F">
        <w:rPr>
          <w:rFonts w:ascii="Book Antiqua" w:hAnsi="Book Antiqua"/>
          <w:sz w:val="24"/>
          <w:szCs w:val="24"/>
        </w:rPr>
        <w:t xml:space="preserve">in </w:t>
      </w:r>
      <w:r w:rsidRPr="00C8550C">
        <w:rPr>
          <w:rFonts w:ascii="Book Antiqua" w:hAnsi="Book Antiqua"/>
          <w:sz w:val="24"/>
          <w:szCs w:val="24"/>
        </w:rPr>
        <w:t>LR-M HCCs (</w:t>
      </w:r>
      <w:r w:rsidRPr="00C8550C">
        <w:rPr>
          <w:rFonts w:ascii="Book Antiqua" w:hAnsi="Book Antiqua"/>
          <w:kern w:val="0"/>
          <w:sz w:val="24"/>
          <w:szCs w:val="24"/>
        </w:rPr>
        <w:t xml:space="preserve">50.5% </w:t>
      </w:r>
      <w:r w:rsidRPr="00C8550C">
        <w:rPr>
          <w:rFonts w:ascii="Book Antiqua" w:hAnsi="Book Antiqua"/>
          <w:i/>
          <w:kern w:val="0"/>
          <w:sz w:val="24"/>
          <w:szCs w:val="24"/>
        </w:rPr>
        <w:t>vs</w:t>
      </w:r>
      <w:r w:rsidRPr="00C8550C">
        <w:rPr>
          <w:rFonts w:ascii="Book Antiqua" w:hAnsi="Book Antiqua"/>
          <w:kern w:val="0"/>
          <w:sz w:val="24"/>
          <w:szCs w:val="24"/>
        </w:rPr>
        <w:t xml:space="preserve"> 16.3% and 23.2% </w:t>
      </w:r>
      <w:r w:rsidRPr="00C8550C">
        <w:rPr>
          <w:rFonts w:ascii="Book Antiqua" w:hAnsi="Book Antiqua"/>
          <w:i/>
          <w:kern w:val="0"/>
          <w:sz w:val="24"/>
          <w:szCs w:val="24"/>
        </w:rPr>
        <w:t>vs</w:t>
      </w:r>
      <w:r w:rsidRPr="00C8550C">
        <w:rPr>
          <w:rFonts w:ascii="Book Antiqua" w:hAnsi="Book Antiqua"/>
          <w:kern w:val="0"/>
          <w:sz w:val="24"/>
          <w:szCs w:val="24"/>
        </w:rPr>
        <w:t xml:space="preserve"> 7.8%, respectively; </w:t>
      </w:r>
      <w:r w:rsidRPr="00C8550C">
        <w:rPr>
          <w:rFonts w:ascii="Book Antiqua" w:hAnsi="Book Antiqua"/>
          <w:i/>
          <w:iCs/>
          <w:kern w:val="0"/>
          <w:sz w:val="24"/>
          <w:szCs w:val="24"/>
        </w:rPr>
        <w:t>P</w:t>
      </w:r>
      <w:r w:rsidR="0063424B" w:rsidRPr="00C8550C">
        <w:rPr>
          <w:rFonts w:ascii="Book Antiqua" w:hAnsi="Book Antiqua"/>
          <w:i/>
          <w:iCs/>
          <w:kern w:val="0"/>
          <w:sz w:val="24"/>
          <w:szCs w:val="24"/>
        </w:rPr>
        <w:t xml:space="preserve"> </w:t>
      </w:r>
      <w:r w:rsidRPr="00C8550C">
        <w:rPr>
          <w:rFonts w:ascii="Book Antiqua" w:hAnsi="Book Antiqua"/>
          <w:kern w:val="0"/>
          <w:sz w:val="24"/>
          <w:szCs w:val="24"/>
        </w:rPr>
        <w:t>&lt;</w:t>
      </w:r>
      <w:r w:rsidR="00D446BF" w:rsidRPr="00C8550C">
        <w:rPr>
          <w:rFonts w:ascii="Book Antiqua" w:hAnsi="Book Antiqua"/>
          <w:kern w:val="0"/>
          <w:sz w:val="24"/>
          <w:szCs w:val="24"/>
        </w:rPr>
        <w:t xml:space="preserve"> </w:t>
      </w:r>
      <w:r w:rsidRPr="00C8550C">
        <w:rPr>
          <w:rFonts w:ascii="Book Antiqua" w:hAnsi="Book Antiqua"/>
          <w:kern w:val="0"/>
          <w:sz w:val="24"/>
          <w:szCs w:val="24"/>
        </w:rPr>
        <w:t>0.01</w:t>
      </w:r>
      <w:r w:rsidRPr="00C8550C">
        <w:rPr>
          <w:rFonts w:ascii="Book Antiqua" w:hAnsi="Book Antiqua"/>
          <w:sz w:val="24"/>
          <w:szCs w:val="24"/>
        </w:rPr>
        <w:t xml:space="preserve">). Although early washout was the most common feature in both ICCs and LR-M HCCs, the rate difference of this feature between the two entities was not significant. </w:t>
      </w:r>
      <w:r w:rsidRPr="00C8550C">
        <w:rPr>
          <w:rFonts w:ascii="Book Antiqua" w:hAnsi="Book Antiqua"/>
          <w:kern w:val="0"/>
          <w:sz w:val="24"/>
          <w:szCs w:val="24"/>
        </w:rPr>
        <w:t xml:space="preserve">Marked washout did not show up alone either in ICC or in LR-M HCC. </w:t>
      </w:r>
      <w:r w:rsidRPr="00C8550C">
        <w:rPr>
          <w:rFonts w:ascii="Book Antiqua" w:hAnsi="Book Antiqua"/>
          <w:sz w:val="24"/>
          <w:szCs w:val="24"/>
        </w:rPr>
        <w:t>Of note, r</w:t>
      </w:r>
      <w:r w:rsidRPr="00C8550C">
        <w:rPr>
          <w:rFonts w:ascii="Book Antiqua" w:hAnsi="Book Antiqua"/>
          <w:kern w:val="0"/>
          <w:sz w:val="24"/>
          <w:szCs w:val="24"/>
        </w:rPr>
        <w:t xml:space="preserve">im </w:t>
      </w:r>
      <w:r w:rsidRPr="00C8550C">
        <w:rPr>
          <w:rFonts w:ascii="Book Antiqua" w:eastAsia="Arial Unicode MS" w:hAnsi="Book Antiqua"/>
          <w:bCs/>
          <w:sz w:val="24"/>
          <w:szCs w:val="24"/>
        </w:rPr>
        <w:t>APHE</w:t>
      </w:r>
      <w:r w:rsidRPr="00C8550C">
        <w:rPr>
          <w:rFonts w:ascii="Book Antiqua" w:hAnsi="Book Antiqua"/>
          <w:kern w:val="0"/>
          <w:sz w:val="24"/>
          <w:szCs w:val="24"/>
        </w:rPr>
        <w:t xml:space="preserve"> was a key feature, which showed a significant positive correlation with ICCs in our study. The</w:t>
      </w:r>
      <w:r w:rsidRPr="00C8550C">
        <w:rPr>
          <w:rFonts w:ascii="Book Antiqua" w:eastAsia="Arial Unicode MS" w:hAnsi="Book Antiqua"/>
          <w:bCs/>
          <w:sz w:val="24"/>
          <w:szCs w:val="24"/>
        </w:rPr>
        <w:t xml:space="preserve"> AUC, sensitivity</w:t>
      </w:r>
      <w:r w:rsidR="0049145F">
        <w:rPr>
          <w:rFonts w:ascii="Book Antiqua" w:eastAsia="Arial Unicode MS" w:hAnsi="Book Antiqua"/>
          <w:bCs/>
          <w:sz w:val="24"/>
          <w:szCs w:val="24"/>
        </w:rPr>
        <w:t>,</w:t>
      </w:r>
      <w:r w:rsidRPr="00C8550C">
        <w:rPr>
          <w:rFonts w:ascii="Book Antiqua" w:eastAsia="Arial Unicode MS" w:hAnsi="Book Antiqua"/>
          <w:bCs/>
          <w:sz w:val="24"/>
          <w:szCs w:val="24"/>
        </w:rPr>
        <w:t xml:space="preserve"> and specificity of rim APHE for the differential diagnosis was 0.70, 70.4%</w:t>
      </w:r>
      <w:r w:rsidR="0049145F">
        <w:rPr>
          <w:rFonts w:ascii="Book Antiqua" w:eastAsia="Arial Unicode MS" w:hAnsi="Book Antiqua"/>
          <w:bCs/>
          <w:sz w:val="24"/>
          <w:szCs w:val="24"/>
        </w:rPr>
        <w:t>,</w:t>
      </w:r>
      <w:r w:rsidRPr="00C8550C">
        <w:rPr>
          <w:rFonts w:ascii="Book Antiqua" w:eastAsia="Arial Unicode MS" w:hAnsi="Book Antiqua"/>
          <w:bCs/>
          <w:sz w:val="24"/>
          <w:szCs w:val="24"/>
        </w:rPr>
        <w:t xml:space="preserve"> and 68.8%, respectively. When rim APHE was coupled with elevated CA 19-9 and normal AFP, the AUC and sensitivity improved to 0.82 and 100%, with specificity decreasing to 63.9%.</w:t>
      </w:r>
    </w:p>
    <w:p w:rsidR="00835DED" w:rsidRPr="00C8550C" w:rsidRDefault="00835DED" w:rsidP="00122AF4">
      <w:pPr>
        <w:adjustRightInd w:val="0"/>
        <w:snapToGrid w:val="0"/>
        <w:spacing w:after="0" w:line="360" w:lineRule="auto"/>
        <w:ind w:firstLineChars="100" w:firstLine="240"/>
        <w:rPr>
          <w:rFonts w:ascii="Book Antiqua" w:hAnsi="Book Antiqua"/>
          <w:sz w:val="24"/>
          <w:szCs w:val="24"/>
        </w:rPr>
      </w:pPr>
      <w:r w:rsidRPr="00C8550C">
        <w:rPr>
          <w:rFonts w:ascii="Book Antiqua" w:eastAsia="Arial Unicode MS" w:hAnsi="Book Antiqua"/>
          <w:bCs/>
          <w:sz w:val="24"/>
          <w:szCs w:val="24"/>
        </w:rPr>
        <w:t>Rim APHE was a symbolic wash-in pattern of ICC detected in 50.5% of ICC cases in the present study, which was in accordance with the rates of 43%-68.5% in previous reports</w:t>
      </w:r>
      <w:r w:rsidRPr="00C8550C">
        <w:rPr>
          <w:rFonts w:ascii="Book Antiqua" w:eastAsia="Arial Unicode MS" w:hAnsi="Book Antiqua"/>
          <w:bCs/>
          <w:sz w:val="24"/>
          <w:szCs w:val="24"/>
        </w:rPr>
        <w:fldChar w:fldCharType="begin"/>
      </w:r>
      <w:r w:rsidRPr="00C8550C">
        <w:rPr>
          <w:rFonts w:ascii="Book Antiqua" w:eastAsia="Arial Unicode MS" w:hAnsi="Book Antiqua"/>
          <w:bCs/>
          <w:sz w:val="24"/>
          <w:szCs w:val="24"/>
        </w:rPr>
        <w:instrText xml:space="preserve"> ADDIN  ADDIN KYMRREF{1FF43429-33CF-42F4-92F5-1E2DD8534AE6}466,{1FF43429-33CF-42F4-92F5-1E2DD8534AE6}467,{1FF43429-33CF-42F4-92F5-1E2DD8534AE6}468,{1FF43429-33CF-42F4-92F5-1E2DD8534AE6}472</w:instrText>
      </w:r>
      <w:r w:rsidRPr="00C8550C">
        <w:rPr>
          <w:rFonts w:ascii="Book Antiqua" w:eastAsia="Arial Unicode MS" w:hAnsi="Book Antiqua"/>
          <w:bCs/>
          <w:sz w:val="24"/>
          <w:szCs w:val="24"/>
        </w:rPr>
        <w:fldChar w:fldCharType="separate"/>
      </w:r>
      <w:r w:rsidRPr="00C8550C">
        <w:rPr>
          <w:rFonts w:ascii="Book Antiqua" w:hAnsi="Book Antiqua"/>
          <w:bCs/>
          <w:sz w:val="24"/>
          <w:szCs w:val="24"/>
          <w:vertAlign w:val="superscript"/>
        </w:rPr>
        <w:t>[12-14,18]</w:t>
      </w:r>
      <w:r w:rsidRPr="00C8550C">
        <w:rPr>
          <w:rFonts w:ascii="Book Antiqua" w:eastAsia="Arial Unicode MS" w:hAnsi="Book Antiqua"/>
          <w:bCs/>
          <w:sz w:val="24"/>
          <w:szCs w:val="24"/>
        </w:rPr>
        <w:fldChar w:fldCharType="end"/>
      </w:r>
      <w:r w:rsidRPr="00C8550C">
        <w:rPr>
          <w:rFonts w:ascii="Book Antiqua" w:eastAsia="Arial Unicode MS" w:hAnsi="Book Antiqua"/>
          <w:bCs/>
          <w:sz w:val="24"/>
          <w:szCs w:val="24"/>
        </w:rPr>
        <w:t xml:space="preserve">. Serum biomarkers, especially AFP and CA19-9, have been proven to be helpful for the diagnosis of HCC and ICC. In the study conducted by Chen </w:t>
      </w:r>
      <w:r w:rsidRPr="00C8550C">
        <w:rPr>
          <w:rFonts w:ascii="Book Antiqua" w:eastAsia="Arial Unicode MS" w:hAnsi="Book Antiqua"/>
          <w:bCs/>
          <w:i/>
          <w:sz w:val="24"/>
          <w:szCs w:val="24"/>
        </w:rPr>
        <w:t>et al</w:t>
      </w:r>
      <w:r w:rsidR="00122AF4" w:rsidRPr="00C8550C">
        <w:rPr>
          <w:rFonts w:ascii="Book Antiqua" w:eastAsia="Arial Unicode MS" w:hAnsi="Book Antiqua"/>
          <w:bCs/>
          <w:sz w:val="24"/>
          <w:szCs w:val="24"/>
        </w:rPr>
        <w:fldChar w:fldCharType="begin"/>
      </w:r>
      <w:r w:rsidR="00122AF4" w:rsidRPr="00C8550C">
        <w:rPr>
          <w:rFonts w:ascii="Book Antiqua" w:eastAsia="Arial Unicode MS" w:hAnsi="Book Antiqua"/>
          <w:bCs/>
          <w:sz w:val="24"/>
          <w:szCs w:val="24"/>
        </w:rPr>
        <w:instrText xml:space="preserve"> ADDIN  ADDIN KYMRREF{1FF43429-33CF-42F4-92F5-1E2DD8534AE6}466 </w:instrText>
      </w:r>
      <w:r w:rsidR="00122AF4" w:rsidRPr="00C8550C">
        <w:rPr>
          <w:rFonts w:ascii="Book Antiqua" w:eastAsia="Arial Unicode MS" w:hAnsi="Book Antiqua"/>
          <w:bCs/>
          <w:sz w:val="24"/>
          <w:szCs w:val="24"/>
        </w:rPr>
        <w:fldChar w:fldCharType="separate"/>
      </w:r>
      <w:r w:rsidR="00122AF4" w:rsidRPr="00C8550C">
        <w:rPr>
          <w:rFonts w:ascii="Book Antiqua" w:hAnsi="Book Antiqua"/>
          <w:bCs/>
          <w:sz w:val="24"/>
          <w:szCs w:val="24"/>
          <w:vertAlign w:val="superscript"/>
        </w:rPr>
        <w:t>[12]</w:t>
      </w:r>
      <w:r w:rsidR="00122AF4" w:rsidRPr="00C8550C">
        <w:rPr>
          <w:rFonts w:ascii="Book Antiqua" w:eastAsia="Arial Unicode MS" w:hAnsi="Book Antiqua"/>
          <w:bCs/>
          <w:sz w:val="24"/>
          <w:szCs w:val="24"/>
        </w:rPr>
        <w:fldChar w:fldCharType="end"/>
      </w:r>
      <w:r w:rsidRPr="00C8550C">
        <w:rPr>
          <w:rFonts w:ascii="Book Antiqua" w:eastAsia="Arial Unicode MS" w:hAnsi="Book Antiqua"/>
          <w:bCs/>
          <w:sz w:val="24"/>
          <w:szCs w:val="24"/>
        </w:rPr>
        <w:t>, the investigators added CA 19-9 to their CEUS score nomogram to enhance the discriminatory power of the predictive model for the diff</w:t>
      </w:r>
      <w:r w:rsidR="00EA7FBE" w:rsidRPr="00C8550C">
        <w:rPr>
          <w:rFonts w:ascii="Book Antiqua" w:eastAsia="Arial Unicode MS" w:hAnsi="Book Antiqua"/>
          <w:bCs/>
          <w:sz w:val="24"/>
          <w:szCs w:val="24"/>
        </w:rPr>
        <w:t>erentiation between ICC and HCC</w:t>
      </w:r>
      <w:r w:rsidRPr="00C8550C">
        <w:rPr>
          <w:rFonts w:ascii="Book Antiqua" w:eastAsia="Arial Unicode MS" w:hAnsi="Book Antiqua"/>
          <w:bCs/>
          <w:sz w:val="24"/>
          <w:szCs w:val="24"/>
        </w:rPr>
        <w:t>. We</w:t>
      </w:r>
      <w:r w:rsidRPr="00C8550C">
        <w:rPr>
          <w:rFonts w:ascii="Book Antiqua" w:hAnsi="Book Antiqua"/>
          <w:sz w:val="24"/>
          <w:szCs w:val="24"/>
        </w:rPr>
        <w:t xml:space="preserve"> found that when using rim </w:t>
      </w:r>
      <w:r w:rsidRPr="00C8550C">
        <w:rPr>
          <w:rFonts w:ascii="Book Antiqua" w:eastAsia="Arial Unicode MS" w:hAnsi="Book Antiqua"/>
          <w:bCs/>
          <w:sz w:val="24"/>
          <w:szCs w:val="24"/>
        </w:rPr>
        <w:t>APHE</w:t>
      </w:r>
      <w:r w:rsidRPr="00C8550C">
        <w:rPr>
          <w:rFonts w:ascii="Book Antiqua" w:hAnsi="Book Antiqua"/>
          <w:sz w:val="24"/>
          <w:szCs w:val="24"/>
        </w:rPr>
        <w:t xml:space="preserve"> plus CA 19-9 for the differential diagnosis, the AUC </w:t>
      </w:r>
      <w:r w:rsidRPr="00C8550C">
        <w:rPr>
          <w:rFonts w:ascii="Book Antiqua" w:eastAsia="Arial Unicode MS" w:hAnsi="Book Antiqua"/>
          <w:bCs/>
          <w:sz w:val="24"/>
          <w:szCs w:val="24"/>
        </w:rPr>
        <w:t>and sensitivity improved from 0.70 to 0.82 and 70.4% to 100%, respectively. However</w:t>
      </w:r>
      <w:r w:rsidRPr="00C8550C">
        <w:rPr>
          <w:rFonts w:ascii="Book Antiqua" w:hAnsi="Book Antiqua"/>
          <w:sz w:val="24"/>
          <w:szCs w:val="24"/>
        </w:rPr>
        <w:t xml:space="preserve">, rim </w:t>
      </w:r>
      <w:r w:rsidRPr="00C8550C">
        <w:rPr>
          <w:rFonts w:ascii="Book Antiqua" w:eastAsia="Arial Unicode MS" w:hAnsi="Book Antiqua"/>
          <w:bCs/>
          <w:sz w:val="24"/>
          <w:szCs w:val="24"/>
        </w:rPr>
        <w:t>APHE</w:t>
      </w:r>
      <w:r w:rsidRPr="00C8550C">
        <w:rPr>
          <w:rFonts w:ascii="Book Antiqua" w:hAnsi="Book Antiqua"/>
          <w:sz w:val="24"/>
          <w:szCs w:val="24"/>
        </w:rPr>
        <w:t xml:space="preserve"> could be influenced by multiple factors, including tumor size, pathological constitution of</w:t>
      </w:r>
      <w:r w:rsidR="00EA7FBE" w:rsidRPr="00C8550C">
        <w:rPr>
          <w:rFonts w:ascii="Book Antiqua" w:hAnsi="Book Antiqua"/>
          <w:sz w:val="24"/>
          <w:szCs w:val="24"/>
        </w:rPr>
        <w:t xml:space="preserve"> a lesion, and liver background</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KYMRREF{1FF43429-33CF-42F4-92F5-1E2DD8534AE6}472,{1FF43429-33CF-42F4-92F5-1E2DD8534AE6}479,{1FF43429-33CF-42F4-92F5-1E2DD8534AE6}480</w:instrText>
      </w:r>
      <w:r w:rsidRPr="00C8550C">
        <w:rPr>
          <w:rFonts w:ascii="Book Antiqua" w:hAnsi="Book Antiqua"/>
          <w:sz w:val="24"/>
          <w:szCs w:val="24"/>
        </w:rPr>
        <w:fldChar w:fldCharType="separate"/>
      </w:r>
      <w:r w:rsidRPr="00C8550C">
        <w:rPr>
          <w:rFonts w:ascii="Book Antiqua" w:hAnsi="Book Antiqua"/>
          <w:sz w:val="24"/>
          <w:szCs w:val="24"/>
          <w:vertAlign w:val="superscript"/>
        </w:rPr>
        <w:t>[18,30,31]</w:t>
      </w:r>
      <w:r w:rsidRPr="00C8550C">
        <w:rPr>
          <w:rFonts w:ascii="Book Antiqua" w:hAnsi="Book Antiqua"/>
          <w:sz w:val="24"/>
          <w:szCs w:val="24"/>
        </w:rPr>
        <w:fldChar w:fldCharType="end"/>
      </w:r>
      <w:r w:rsidRPr="00C8550C">
        <w:rPr>
          <w:rFonts w:ascii="Book Antiqua" w:hAnsi="Book Antiqua"/>
          <w:sz w:val="24"/>
          <w:szCs w:val="24"/>
        </w:rPr>
        <w:t>. Small ICCs, especially those ≤</w:t>
      </w:r>
      <w:r w:rsidR="00D446BF" w:rsidRPr="00C8550C">
        <w:rPr>
          <w:rFonts w:ascii="Book Antiqua" w:hAnsi="Book Antiqua"/>
          <w:sz w:val="24"/>
          <w:szCs w:val="24"/>
        </w:rPr>
        <w:t xml:space="preserve"> </w:t>
      </w:r>
      <w:r w:rsidRPr="00C8550C">
        <w:rPr>
          <w:rFonts w:ascii="Book Antiqua" w:hAnsi="Book Antiqua"/>
          <w:sz w:val="24"/>
          <w:szCs w:val="24"/>
        </w:rPr>
        <w:t>2 cm, are rich in tumor cells with few fibrous tissues and no central necrosis</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KYMRREF{1FF43429-33CF-42F4-92F5-1E2DD8534AE6}481 </w:instrText>
      </w:r>
      <w:r w:rsidRPr="00C8550C">
        <w:rPr>
          <w:rFonts w:ascii="Book Antiqua" w:hAnsi="Book Antiqua"/>
          <w:sz w:val="24"/>
          <w:szCs w:val="24"/>
        </w:rPr>
        <w:fldChar w:fldCharType="separate"/>
      </w:r>
      <w:r w:rsidRPr="00C8550C">
        <w:rPr>
          <w:rFonts w:ascii="Book Antiqua" w:hAnsi="Book Antiqua"/>
          <w:sz w:val="24"/>
          <w:szCs w:val="24"/>
          <w:vertAlign w:val="superscript"/>
        </w:rPr>
        <w:t>[32]</w:t>
      </w:r>
      <w:r w:rsidRPr="00C8550C">
        <w:rPr>
          <w:rFonts w:ascii="Book Antiqua" w:hAnsi="Book Antiqua"/>
          <w:sz w:val="24"/>
          <w:szCs w:val="24"/>
        </w:rPr>
        <w:fldChar w:fldCharType="end"/>
      </w:r>
      <w:r w:rsidRPr="00C8550C">
        <w:rPr>
          <w:rFonts w:ascii="Book Antiqua" w:hAnsi="Book Antiqua"/>
          <w:sz w:val="24"/>
          <w:szCs w:val="24"/>
        </w:rPr>
        <w:t>, thus potentially mimicking the homogeneous hyperenhancement pattern of HC</w:t>
      </w:r>
      <w:r w:rsidR="00EA7FBE" w:rsidRPr="00C8550C">
        <w:rPr>
          <w:rFonts w:ascii="Book Antiqua" w:hAnsi="Book Antiqua"/>
          <w:sz w:val="24"/>
          <w:szCs w:val="24"/>
        </w:rPr>
        <w:t>C</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KYMRREF{1FF43429-33CF-42F4-92F5-1E2DD8534AE6}468,{1FF43429-33CF-42F4-92F5-1E2DD8534AE6}473,{1FF43429-33CF-42F4-92F5-1E2DD8534AE6}482,{1FF43429-33CF-42F4-92F5-1E2DD8534AE6}483</w:instrText>
      </w:r>
      <w:r w:rsidRPr="00C8550C">
        <w:rPr>
          <w:rFonts w:ascii="Book Antiqua" w:hAnsi="Book Antiqua"/>
          <w:sz w:val="24"/>
          <w:szCs w:val="24"/>
        </w:rPr>
        <w:fldChar w:fldCharType="separate"/>
      </w:r>
      <w:r w:rsidRPr="00C8550C">
        <w:rPr>
          <w:rFonts w:ascii="Book Antiqua" w:hAnsi="Book Antiqua"/>
          <w:sz w:val="24"/>
          <w:szCs w:val="24"/>
          <w:vertAlign w:val="superscript"/>
        </w:rPr>
        <w:t>[14,19,33,34]</w:t>
      </w:r>
      <w:r w:rsidRPr="00C8550C">
        <w:rPr>
          <w:rFonts w:ascii="Book Antiqua" w:hAnsi="Book Antiqua"/>
          <w:sz w:val="24"/>
          <w:szCs w:val="24"/>
        </w:rPr>
        <w:fldChar w:fldCharType="end"/>
      </w:r>
      <w:r w:rsidRPr="00C8550C">
        <w:rPr>
          <w:rFonts w:ascii="Book Antiqua" w:hAnsi="Book Antiqua"/>
          <w:sz w:val="24"/>
          <w:szCs w:val="24"/>
        </w:rPr>
        <w:t>.</w:t>
      </w:r>
      <w:r w:rsidRPr="00C8550C">
        <w:rPr>
          <w:rFonts w:ascii="Book Antiqua" w:hAnsi="Book Antiqua"/>
          <w:sz w:val="24"/>
          <w:szCs w:val="24"/>
          <w:vertAlign w:val="superscript"/>
        </w:rPr>
        <w:t xml:space="preserve"> </w:t>
      </w:r>
      <w:r w:rsidRPr="00C8550C">
        <w:rPr>
          <w:rFonts w:ascii="Book Antiqua" w:hAnsi="Book Antiqua"/>
          <w:sz w:val="24"/>
          <w:szCs w:val="24"/>
        </w:rPr>
        <w:t xml:space="preserve">Meanwhile, ICC showing rim </w:t>
      </w:r>
      <w:r w:rsidRPr="00C8550C">
        <w:rPr>
          <w:rFonts w:ascii="Book Antiqua" w:eastAsia="Arial Unicode MS" w:hAnsi="Book Antiqua"/>
          <w:bCs/>
          <w:sz w:val="24"/>
          <w:szCs w:val="24"/>
        </w:rPr>
        <w:t>APHE</w:t>
      </w:r>
      <w:r w:rsidRPr="00C8550C">
        <w:rPr>
          <w:rFonts w:ascii="Book Antiqua" w:hAnsi="Book Antiqua"/>
          <w:sz w:val="24"/>
          <w:szCs w:val="24"/>
        </w:rPr>
        <w:t xml:space="preserve"> was more likely to be detected in livers without cirrhosis and chronic viral hepatitis </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KYMRREF{1FF43429-33CF-42F4-92F5-1E2DD8534AE6}473,{1FF43429-33CF-42F4-92F5-1E2DD8534AE6}479,{1FF43429-33CF-42F4-92F5-1E2DD8534AE6}480,{1FF43429-33CF-42F4-92F5-1E2DD8534AE6}482</w:instrText>
      </w:r>
      <w:r w:rsidRPr="00C8550C">
        <w:rPr>
          <w:rFonts w:ascii="Book Antiqua" w:hAnsi="Book Antiqua"/>
          <w:sz w:val="24"/>
          <w:szCs w:val="24"/>
        </w:rPr>
        <w:fldChar w:fldCharType="separate"/>
      </w:r>
      <w:r w:rsidRPr="00C8550C">
        <w:rPr>
          <w:rFonts w:ascii="Book Antiqua" w:hAnsi="Book Antiqua"/>
          <w:sz w:val="24"/>
          <w:szCs w:val="24"/>
          <w:vertAlign w:val="superscript"/>
        </w:rPr>
        <w:t>[19,30,31,33]</w:t>
      </w:r>
      <w:r w:rsidRPr="00C8550C">
        <w:rPr>
          <w:rFonts w:ascii="Book Antiqua" w:hAnsi="Book Antiqua"/>
          <w:sz w:val="24"/>
          <w:szCs w:val="24"/>
        </w:rPr>
        <w:fldChar w:fldCharType="end"/>
      </w:r>
      <w:r w:rsidRPr="00C8550C">
        <w:rPr>
          <w:rFonts w:ascii="Book Antiqua" w:hAnsi="Book Antiqua"/>
          <w:sz w:val="24"/>
          <w:szCs w:val="24"/>
        </w:rPr>
        <w:t xml:space="preserve">. In our study, chronic hepatitis B and cirrhosis were both more frequent in patients with LR-M HCCs than in those with ICCs (88.4% </w:t>
      </w:r>
      <w:r w:rsidRPr="00C8550C">
        <w:rPr>
          <w:rFonts w:ascii="Book Antiqua" w:hAnsi="Book Antiqua"/>
          <w:i/>
          <w:iCs/>
          <w:sz w:val="24"/>
          <w:szCs w:val="24"/>
        </w:rPr>
        <w:t>vs</w:t>
      </w:r>
      <w:r w:rsidRPr="00C8550C">
        <w:rPr>
          <w:rFonts w:ascii="Book Antiqua" w:hAnsi="Book Antiqua"/>
          <w:sz w:val="24"/>
          <w:szCs w:val="24"/>
        </w:rPr>
        <w:t xml:space="preserve"> 20.2% and 46.5% </w:t>
      </w:r>
      <w:r w:rsidRPr="00C8550C">
        <w:rPr>
          <w:rFonts w:ascii="Book Antiqua" w:hAnsi="Book Antiqua"/>
          <w:i/>
          <w:iCs/>
          <w:sz w:val="24"/>
          <w:szCs w:val="24"/>
        </w:rPr>
        <w:t>vs</w:t>
      </w:r>
      <w:r w:rsidRPr="00C8550C">
        <w:rPr>
          <w:rFonts w:ascii="Book Antiqua" w:hAnsi="Book Antiqua"/>
          <w:sz w:val="24"/>
          <w:szCs w:val="24"/>
        </w:rPr>
        <w:t xml:space="preserve"> 2%, respectively; </w:t>
      </w:r>
      <w:r w:rsidRPr="00C8550C">
        <w:rPr>
          <w:rFonts w:ascii="Book Antiqua" w:hAnsi="Book Antiqua"/>
          <w:i/>
          <w:iCs/>
          <w:sz w:val="24"/>
          <w:szCs w:val="24"/>
        </w:rPr>
        <w:t>P</w:t>
      </w:r>
      <w:r w:rsidR="0049145F">
        <w:rPr>
          <w:rFonts w:ascii="Book Antiqua" w:hAnsi="Book Antiqua"/>
          <w:i/>
          <w:iCs/>
          <w:sz w:val="24"/>
          <w:szCs w:val="24"/>
        </w:rPr>
        <w:t xml:space="preserve"> </w:t>
      </w:r>
      <w:r w:rsidRPr="00C8550C">
        <w:rPr>
          <w:rFonts w:ascii="Book Antiqua" w:hAnsi="Book Antiqua"/>
          <w:iCs/>
          <w:sz w:val="24"/>
          <w:szCs w:val="24"/>
        </w:rPr>
        <w:t>&lt;</w:t>
      </w:r>
      <w:r w:rsidR="0049145F">
        <w:rPr>
          <w:rFonts w:ascii="Book Antiqua" w:hAnsi="Book Antiqua"/>
          <w:iCs/>
          <w:sz w:val="24"/>
          <w:szCs w:val="24"/>
        </w:rPr>
        <w:t xml:space="preserve"> </w:t>
      </w:r>
      <w:r w:rsidRPr="00C8550C">
        <w:rPr>
          <w:rFonts w:ascii="Book Antiqua" w:hAnsi="Book Antiqua"/>
          <w:iCs/>
          <w:sz w:val="24"/>
          <w:szCs w:val="24"/>
        </w:rPr>
        <w:t>0.001</w:t>
      </w:r>
      <w:r w:rsidRPr="00C8550C">
        <w:rPr>
          <w:rFonts w:ascii="Book Antiqua" w:hAnsi="Book Antiqua"/>
          <w:sz w:val="24"/>
          <w:szCs w:val="24"/>
        </w:rPr>
        <w:t xml:space="preserve">). Similarly, in a recent study by </w:t>
      </w:r>
      <w:r w:rsidR="0050093F" w:rsidRPr="00C8550C">
        <w:rPr>
          <w:rFonts w:ascii="Book Antiqua" w:hAnsi="Book Antiqua"/>
          <w:sz w:val="24"/>
          <w:szCs w:val="24"/>
        </w:rPr>
        <w:t xml:space="preserve">Li </w:t>
      </w:r>
      <w:r w:rsidRPr="00C8550C">
        <w:rPr>
          <w:rFonts w:ascii="Book Antiqua" w:hAnsi="Book Antiqua"/>
          <w:i/>
          <w:sz w:val="24"/>
          <w:szCs w:val="24"/>
        </w:rPr>
        <w:t>et al</w:t>
      </w:r>
      <w:r w:rsidR="0050093F" w:rsidRPr="00C8550C">
        <w:rPr>
          <w:rFonts w:ascii="Book Antiqua" w:hAnsi="Book Antiqua"/>
          <w:sz w:val="24"/>
          <w:szCs w:val="24"/>
        </w:rPr>
        <w:fldChar w:fldCharType="begin"/>
      </w:r>
      <w:r w:rsidR="0050093F" w:rsidRPr="00C8550C">
        <w:rPr>
          <w:rFonts w:ascii="Book Antiqua" w:hAnsi="Book Antiqua"/>
          <w:sz w:val="24"/>
          <w:szCs w:val="24"/>
        </w:rPr>
        <w:instrText xml:space="preserve"> ADDIN  ADDIN KYMRREF{1FF43429-33CF-42F4-92F5-1E2DD8534AE6}472 </w:instrText>
      </w:r>
      <w:r w:rsidR="0050093F" w:rsidRPr="00C8550C">
        <w:rPr>
          <w:rFonts w:ascii="Book Antiqua" w:hAnsi="Book Antiqua"/>
          <w:sz w:val="24"/>
          <w:szCs w:val="24"/>
        </w:rPr>
        <w:fldChar w:fldCharType="separate"/>
      </w:r>
      <w:r w:rsidR="0050093F" w:rsidRPr="00C8550C">
        <w:rPr>
          <w:rFonts w:ascii="Book Antiqua" w:hAnsi="Book Antiqua"/>
          <w:sz w:val="24"/>
          <w:szCs w:val="24"/>
          <w:vertAlign w:val="superscript"/>
        </w:rPr>
        <w:t>[18]</w:t>
      </w:r>
      <w:r w:rsidR="0050093F" w:rsidRPr="00C8550C">
        <w:rPr>
          <w:rFonts w:ascii="Book Antiqua" w:hAnsi="Book Antiqua"/>
          <w:sz w:val="24"/>
          <w:szCs w:val="24"/>
        </w:rPr>
        <w:fldChar w:fldCharType="end"/>
      </w:r>
      <w:r w:rsidRPr="00C8550C">
        <w:rPr>
          <w:rFonts w:ascii="Book Antiqua" w:hAnsi="Book Antiqua"/>
          <w:sz w:val="24"/>
          <w:szCs w:val="24"/>
        </w:rPr>
        <w:t>, the authors proved</w:t>
      </w:r>
      <w:r w:rsidR="0049145F">
        <w:rPr>
          <w:rFonts w:ascii="Book Antiqua" w:hAnsi="Book Antiqua"/>
          <w:sz w:val="24"/>
          <w:szCs w:val="24"/>
        </w:rPr>
        <w:t xml:space="preserve"> that</w:t>
      </w:r>
      <w:r w:rsidRPr="00C8550C">
        <w:rPr>
          <w:rFonts w:ascii="Book Antiqua" w:hAnsi="Book Antiqua"/>
          <w:sz w:val="24"/>
          <w:szCs w:val="24"/>
        </w:rPr>
        <w:t xml:space="preserve"> there was no significant difference in rim APHE, early washout</w:t>
      </w:r>
      <w:r w:rsidR="0049145F">
        <w:rPr>
          <w:rFonts w:ascii="Book Antiqua" w:hAnsi="Book Antiqua"/>
          <w:sz w:val="24"/>
          <w:szCs w:val="24"/>
        </w:rPr>
        <w:t xml:space="preserve">, or </w:t>
      </w:r>
      <w:r w:rsidRPr="00C8550C">
        <w:rPr>
          <w:rFonts w:ascii="Book Antiqua" w:hAnsi="Book Antiqua"/>
          <w:sz w:val="24"/>
          <w:szCs w:val="24"/>
        </w:rPr>
        <w:t>marked washout between ICC</w:t>
      </w:r>
      <w:r w:rsidR="0049145F">
        <w:rPr>
          <w:rFonts w:ascii="Book Antiqua" w:hAnsi="Book Antiqua"/>
          <w:sz w:val="24"/>
          <w:szCs w:val="24"/>
        </w:rPr>
        <w:t xml:space="preserve"> </w:t>
      </w:r>
      <w:r w:rsidRPr="00C8550C">
        <w:rPr>
          <w:rFonts w:ascii="Book Antiqua" w:hAnsi="Book Antiqua"/>
          <w:sz w:val="24"/>
          <w:szCs w:val="24"/>
        </w:rPr>
        <w:t xml:space="preserve">patients with and without risk factors. </w:t>
      </w:r>
      <w:bookmarkStart w:id="13" w:name="OLE_LINK8"/>
      <w:r w:rsidRPr="00C8550C">
        <w:rPr>
          <w:rFonts w:ascii="Book Antiqua" w:hAnsi="Book Antiqua"/>
          <w:sz w:val="24"/>
          <w:szCs w:val="24"/>
        </w:rPr>
        <w:t>All of these features were more frequent in ICCs than in HCCs,</w:t>
      </w:r>
      <w:r w:rsidR="00EA7FBE" w:rsidRPr="00C8550C">
        <w:rPr>
          <w:rFonts w:ascii="Book Antiqua" w:hAnsi="Book Antiqua"/>
          <w:sz w:val="24"/>
          <w:szCs w:val="24"/>
        </w:rPr>
        <w:t xml:space="preserve"> regardless of the risk factors</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KYMRREF{1FF43429-33CF-42F4-92F5-1E2DD8534AE6}472 </w:instrText>
      </w:r>
      <w:r w:rsidRPr="00C8550C">
        <w:rPr>
          <w:rFonts w:ascii="Book Antiqua" w:hAnsi="Book Antiqua"/>
          <w:sz w:val="24"/>
          <w:szCs w:val="24"/>
        </w:rPr>
        <w:fldChar w:fldCharType="separate"/>
      </w:r>
      <w:r w:rsidRPr="00C8550C">
        <w:rPr>
          <w:rFonts w:ascii="Book Antiqua" w:hAnsi="Book Antiqua"/>
          <w:sz w:val="24"/>
          <w:szCs w:val="24"/>
          <w:vertAlign w:val="superscript"/>
        </w:rPr>
        <w:t>]</w:t>
      </w:r>
      <w:r w:rsidRPr="00C8550C">
        <w:rPr>
          <w:rFonts w:ascii="Book Antiqua" w:hAnsi="Book Antiqua"/>
          <w:sz w:val="24"/>
          <w:szCs w:val="24"/>
        </w:rPr>
        <w:fldChar w:fldCharType="end"/>
      </w:r>
      <w:r w:rsidRPr="00C8550C">
        <w:rPr>
          <w:rFonts w:ascii="Book Antiqua" w:hAnsi="Book Antiqua"/>
          <w:sz w:val="24"/>
          <w:szCs w:val="24"/>
        </w:rPr>
        <w:t>.</w:t>
      </w:r>
      <w:bookmarkEnd w:id="13"/>
    </w:p>
    <w:p w:rsidR="00835DED" w:rsidRPr="00C8550C" w:rsidRDefault="00835DED" w:rsidP="0050093F">
      <w:pPr>
        <w:adjustRightInd w:val="0"/>
        <w:snapToGrid w:val="0"/>
        <w:spacing w:after="0" w:line="360" w:lineRule="auto"/>
        <w:ind w:firstLineChars="200" w:firstLine="480"/>
        <w:rPr>
          <w:rFonts w:ascii="Book Antiqua" w:hAnsi="Book Antiqua"/>
          <w:sz w:val="24"/>
          <w:szCs w:val="24"/>
        </w:rPr>
      </w:pPr>
      <w:r w:rsidRPr="00C8550C">
        <w:rPr>
          <w:rFonts w:ascii="Book Antiqua" w:hAnsi="Book Antiqua"/>
          <w:sz w:val="24"/>
          <w:szCs w:val="24"/>
        </w:rPr>
        <w:t>In terms of washout pattern, previous studies indicated that ICC is pro</w:t>
      </w:r>
      <w:r w:rsidR="00EA7FBE" w:rsidRPr="00C8550C">
        <w:rPr>
          <w:rFonts w:ascii="Book Antiqua" w:hAnsi="Book Antiqua"/>
          <w:sz w:val="24"/>
          <w:szCs w:val="24"/>
        </w:rPr>
        <w:t>ne to wash out earlier than HCC</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KYMRREF{1FF43429-33CF-42F4-92F5-1E2DD8534AE6}466,{1FF43429-33CF-42F4-92F5-1E2DD8534AE6}467,{1FF43429-33CF-42F4-92F5-1E2DD8534AE6}469,{1FF43429-33CF-42F4-92F5-1E2DD8534AE6}483</w:instrText>
      </w:r>
      <w:r w:rsidRPr="00C8550C">
        <w:rPr>
          <w:rFonts w:ascii="Book Antiqua" w:hAnsi="Book Antiqua"/>
          <w:sz w:val="24"/>
          <w:szCs w:val="24"/>
        </w:rPr>
        <w:fldChar w:fldCharType="separate"/>
      </w:r>
      <w:r w:rsidRPr="00C8550C">
        <w:rPr>
          <w:rFonts w:ascii="Book Antiqua" w:hAnsi="Book Antiqua"/>
          <w:sz w:val="24"/>
          <w:szCs w:val="24"/>
          <w:vertAlign w:val="superscript"/>
        </w:rPr>
        <w:t>[12,13,15,34]</w:t>
      </w:r>
      <w:r w:rsidRPr="00C8550C">
        <w:rPr>
          <w:rFonts w:ascii="Book Antiqua" w:hAnsi="Book Antiqua"/>
          <w:sz w:val="24"/>
          <w:szCs w:val="24"/>
        </w:rPr>
        <w:fldChar w:fldCharType="end"/>
      </w:r>
      <w:r w:rsidRPr="00C8550C">
        <w:rPr>
          <w:rFonts w:ascii="Book Antiqua" w:hAnsi="Book Antiqua"/>
          <w:sz w:val="24"/>
          <w:szCs w:val="24"/>
        </w:rPr>
        <w:t xml:space="preserve">. Although early washout was the most frequent feature of both ICCs and LR-M HCCs in this study, no significant difference was found in the rates of early washout between the two entities. This discrepancy may result from the difference in study subjects, as this study focused on LR-M HCC, which presented specific imaging features compared with typical HCC. The feature of washout within 60 s per LR-M criteria may be the primary reason why a substantial number of HCCs were classified as LR-M. In our study, 96.1% (124/129) of LR-M HCCs presented early washout, which is close to the results of 96% (214/224) in the study of Zheng </w:t>
      </w:r>
      <w:r w:rsidRPr="00C8550C">
        <w:rPr>
          <w:rFonts w:ascii="Book Antiqua" w:hAnsi="Book Antiqua"/>
          <w:i/>
          <w:sz w:val="24"/>
          <w:szCs w:val="24"/>
        </w:rPr>
        <w:t>et al</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KYMRREF{1FF43429-33CF-42F4-92F5-1E2DD8534AE6}475 </w:instrText>
      </w:r>
      <w:r w:rsidRPr="00C8550C">
        <w:rPr>
          <w:rFonts w:ascii="Book Antiqua" w:hAnsi="Book Antiqua"/>
          <w:sz w:val="24"/>
          <w:szCs w:val="24"/>
        </w:rPr>
        <w:fldChar w:fldCharType="separate"/>
      </w:r>
      <w:r w:rsidRPr="00C8550C">
        <w:rPr>
          <w:rFonts w:ascii="Book Antiqua" w:hAnsi="Book Antiqua"/>
          <w:sz w:val="24"/>
          <w:szCs w:val="24"/>
          <w:vertAlign w:val="superscript"/>
        </w:rPr>
        <w:t>[21]</w:t>
      </w:r>
      <w:r w:rsidRPr="00C8550C">
        <w:rPr>
          <w:rFonts w:ascii="Book Antiqua" w:hAnsi="Book Antiqua"/>
          <w:sz w:val="24"/>
          <w:szCs w:val="24"/>
        </w:rPr>
        <w:fldChar w:fldCharType="end"/>
      </w:r>
      <w:r w:rsidRPr="00C8550C">
        <w:rPr>
          <w:rFonts w:ascii="Book Antiqua" w:hAnsi="Book Antiqua"/>
          <w:sz w:val="24"/>
          <w:szCs w:val="24"/>
        </w:rPr>
        <w:t xml:space="preserve">. Liu </w:t>
      </w:r>
      <w:r w:rsidRPr="00C8550C">
        <w:rPr>
          <w:rFonts w:ascii="Book Antiqua" w:hAnsi="Book Antiqua"/>
          <w:i/>
          <w:sz w:val="24"/>
          <w:szCs w:val="24"/>
        </w:rPr>
        <w:t>et al</w:t>
      </w:r>
      <w:r w:rsidR="0050093F" w:rsidRPr="00C8550C">
        <w:rPr>
          <w:rFonts w:ascii="Book Antiqua" w:hAnsi="Book Antiqua"/>
          <w:sz w:val="24"/>
          <w:szCs w:val="24"/>
        </w:rPr>
        <w:fldChar w:fldCharType="begin"/>
      </w:r>
      <w:r w:rsidR="0050093F" w:rsidRPr="00C8550C">
        <w:rPr>
          <w:rFonts w:ascii="Book Antiqua" w:hAnsi="Book Antiqua"/>
          <w:sz w:val="24"/>
          <w:szCs w:val="24"/>
        </w:rPr>
        <w:instrText xml:space="preserve"> ADDIN  ADDIN KYMRREF{1FF43429-33CF-42F4-92F5-1E2DD8534AE6}467 </w:instrText>
      </w:r>
      <w:r w:rsidR="0050093F" w:rsidRPr="00C8550C">
        <w:rPr>
          <w:rFonts w:ascii="Book Antiqua" w:hAnsi="Book Antiqua"/>
          <w:sz w:val="24"/>
          <w:szCs w:val="24"/>
        </w:rPr>
        <w:fldChar w:fldCharType="separate"/>
      </w:r>
      <w:r w:rsidR="0050093F" w:rsidRPr="00C8550C">
        <w:rPr>
          <w:rFonts w:ascii="Book Antiqua" w:hAnsi="Book Antiqua"/>
          <w:sz w:val="24"/>
          <w:szCs w:val="24"/>
          <w:vertAlign w:val="superscript"/>
        </w:rPr>
        <w:t>[13]</w:t>
      </w:r>
      <w:r w:rsidR="0050093F" w:rsidRPr="00C8550C">
        <w:rPr>
          <w:rFonts w:ascii="Book Antiqua" w:hAnsi="Book Antiqua"/>
          <w:sz w:val="24"/>
          <w:szCs w:val="24"/>
        </w:rPr>
        <w:fldChar w:fldCharType="end"/>
      </w:r>
      <w:r w:rsidRPr="00C8550C">
        <w:rPr>
          <w:rFonts w:ascii="Book Antiqua" w:hAnsi="Book Antiqua"/>
          <w:i/>
          <w:sz w:val="24"/>
          <w:szCs w:val="24"/>
        </w:rPr>
        <w:t xml:space="preserve"> </w:t>
      </w:r>
      <w:r w:rsidRPr="00C8550C">
        <w:rPr>
          <w:rFonts w:ascii="Book Antiqua" w:hAnsi="Book Antiqua"/>
          <w:sz w:val="24"/>
          <w:szCs w:val="24"/>
        </w:rPr>
        <w:t>found that the average washout time of ICCs was 27.5 s, compared with 70.1 s for HCCs (</w:t>
      </w:r>
      <w:r w:rsidRPr="00C8550C">
        <w:rPr>
          <w:rFonts w:ascii="Book Antiqua" w:hAnsi="Book Antiqua"/>
          <w:i/>
          <w:sz w:val="24"/>
          <w:szCs w:val="24"/>
        </w:rPr>
        <w:t>P</w:t>
      </w:r>
      <w:r w:rsidR="0063424B" w:rsidRPr="00C8550C">
        <w:rPr>
          <w:rFonts w:ascii="Book Antiqua" w:hAnsi="Book Antiqua"/>
          <w:i/>
          <w:sz w:val="24"/>
          <w:szCs w:val="24"/>
        </w:rPr>
        <w:t xml:space="preserve"> </w:t>
      </w:r>
      <w:r w:rsidRPr="00C8550C">
        <w:rPr>
          <w:rFonts w:ascii="Book Antiqua" w:hAnsi="Book Antiqua"/>
          <w:sz w:val="24"/>
          <w:szCs w:val="24"/>
        </w:rPr>
        <w:t>&lt;</w:t>
      </w:r>
      <w:r w:rsidR="00D446BF" w:rsidRPr="00C8550C">
        <w:rPr>
          <w:rFonts w:ascii="Book Antiqua" w:hAnsi="Book Antiqua"/>
          <w:sz w:val="24"/>
          <w:szCs w:val="24"/>
        </w:rPr>
        <w:t xml:space="preserve"> </w:t>
      </w:r>
      <w:r w:rsidRPr="00C8550C">
        <w:rPr>
          <w:rFonts w:ascii="Book Antiqua" w:hAnsi="Book Antiqua"/>
          <w:sz w:val="24"/>
          <w:szCs w:val="24"/>
        </w:rPr>
        <w:t xml:space="preserve">0.05). </w:t>
      </w:r>
      <w:r w:rsidR="0050093F" w:rsidRPr="00C8550C">
        <w:rPr>
          <w:rFonts w:ascii="Book Antiqua" w:hAnsi="Book Antiqua"/>
          <w:sz w:val="24"/>
          <w:szCs w:val="24"/>
        </w:rPr>
        <w:t>Li</w:t>
      </w:r>
      <w:r w:rsidRPr="00C8550C">
        <w:rPr>
          <w:rFonts w:ascii="Book Antiqua" w:hAnsi="Book Antiqua"/>
          <w:sz w:val="24"/>
          <w:szCs w:val="24"/>
        </w:rPr>
        <w:t xml:space="preserve"> </w:t>
      </w:r>
      <w:r w:rsidRPr="00C8550C">
        <w:rPr>
          <w:rFonts w:ascii="Book Antiqua" w:hAnsi="Book Antiqua"/>
          <w:i/>
          <w:sz w:val="24"/>
          <w:szCs w:val="24"/>
        </w:rPr>
        <w:t>et al</w:t>
      </w:r>
      <w:r w:rsidR="0050093F" w:rsidRPr="00C8550C">
        <w:rPr>
          <w:rFonts w:ascii="Book Antiqua" w:hAnsi="Book Antiqua"/>
          <w:sz w:val="24"/>
          <w:szCs w:val="24"/>
        </w:rPr>
        <w:fldChar w:fldCharType="begin"/>
      </w:r>
      <w:r w:rsidR="0050093F" w:rsidRPr="00C8550C">
        <w:rPr>
          <w:rFonts w:ascii="Book Antiqua" w:hAnsi="Book Antiqua"/>
          <w:sz w:val="24"/>
          <w:szCs w:val="24"/>
        </w:rPr>
        <w:instrText xml:space="preserve"> ADDIN  ADDIN KYMRREF{1FF43429-33CF-42F4-92F5-1E2DD8534AE6}472 </w:instrText>
      </w:r>
      <w:r w:rsidR="0050093F" w:rsidRPr="00C8550C">
        <w:rPr>
          <w:rFonts w:ascii="Book Antiqua" w:hAnsi="Book Antiqua"/>
          <w:sz w:val="24"/>
          <w:szCs w:val="24"/>
        </w:rPr>
        <w:fldChar w:fldCharType="separate"/>
      </w:r>
      <w:r w:rsidR="0050093F" w:rsidRPr="00C8550C">
        <w:rPr>
          <w:rFonts w:ascii="Book Antiqua" w:hAnsi="Book Antiqua"/>
          <w:sz w:val="24"/>
          <w:szCs w:val="24"/>
          <w:vertAlign w:val="superscript"/>
        </w:rPr>
        <w:t>[18]</w:t>
      </w:r>
      <w:r w:rsidR="0050093F" w:rsidRPr="00C8550C">
        <w:rPr>
          <w:rFonts w:ascii="Book Antiqua" w:hAnsi="Book Antiqua"/>
          <w:sz w:val="24"/>
          <w:szCs w:val="24"/>
        </w:rPr>
        <w:fldChar w:fldCharType="end"/>
      </w:r>
      <w:r w:rsidRPr="00C8550C">
        <w:rPr>
          <w:rFonts w:ascii="Book Antiqua" w:hAnsi="Book Antiqua"/>
          <w:sz w:val="24"/>
          <w:szCs w:val="24"/>
        </w:rPr>
        <w:t xml:space="preserve"> also reported that 90.7% and 92.7% of ICCs in patients with and without risk factors, respectively</w:t>
      </w:r>
      <w:r w:rsidR="00EA7FBE" w:rsidRPr="00C8550C">
        <w:rPr>
          <w:rFonts w:ascii="Book Antiqua" w:hAnsi="Book Antiqua"/>
          <w:sz w:val="24"/>
          <w:szCs w:val="24"/>
        </w:rPr>
        <w:t>, presented washout within 45 s</w:t>
      </w:r>
      <w:r w:rsidRPr="00C8550C">
        <w:rPr>
          <w:rFonts w:ascii="Book Antiqua" w:hAnsi="Book Antiqua"/>
          <w:sz w:val="24"/>
          <w:szCs w:val="24"/>
        </w:rPr>
        <w:t>. Thus, the early washout setting in LR-M may need to be further modified to address a considerable number of misdiagnosed HCCs.</w:t>
      </w:r>
    </w:p>
    <w:p w:rsidR="00835DED" w:rsidRPr="00C8550C" w:rsidRDefault="00835DED" w:rsidP="000C4A0B">
      <w:pPr>
        <w:adjustRightInd w:val="0"/>
        <w:snapToGrid w:val="0"/>
        <w:spacing w:after="0" w:line="360" w:lineRule="auto"/>
        <w:ind w:firstLineChars="200" w:firstLine="480"/>
        <w:rPr>
          <w:rFonts w:ascii="Book Antiqua" w:eastAsia="Arial Unicode MS" w:hAnsi="Book Antiqua"/>
          <w:sz w:val="24"/>
          <w:szCs w:val="24"/>
        </w:rPr>
      </w:pPr>
      <w:r w:rsidRPr="00C8550C">
        <w:rPr>
          <w:rFonts w:ascii="Book Antiqua" w:hAnsi="Book Antiqua"/>
          <w:sz w:val="24"/>
          <w:szCs w:val="24"/>
        </w:rPr>
        <w:t>Marked washout of contrast agent within 120 s was found more frequently in ICCs than in LR-M HCCs (</w:t>
      </w:r>
      <w:r w:rsidRPr="00C8550C">
        <w:rPr>
          <w:rFonts w:ascii="Book Antiqua" w:hAnsi="Book Antiqua"/>
          <w:i/>
          <w:iCs/>
          <w:sz w:val="24"/>
          <w:szCs w:val="24"/>
        </w:rPr>
        <w:t>P</w:t>
      </w:r>
      <w:r w:rsidR="0063424B" w:rsidRPr="00C8550C">
        <w:rPr>
          <w:rFonts w:ascii="Book Antiqua" w:hAnsi="Book Antiqua"/>
          <w:i/>
          <w:iCs/>
          <w:sz w:val="24"/>
          <w:szCs w:val="24"/>
        </w:rPr>
        <w:t xml:space="preserve"> </w:t>
      </w:r>
      <w:r w:rsidRPr="00C8550C">
        <w:rPr>
          <w:rFonts w:ascii="Book Antiqua" w:hAnsi="Book Antiqua"/>
          <w:iCs/>
          <w:sz w:val="24"/>
          <w:szCs w:val="24"/>
        </w:rPr>
        <w:t>=</w:t>
      </w:r>
      <w:r w:rsidR="00D446BF" w:rsidRPr="00C8550C">
        <w:rPr>
          <w:rFonts w:ascii="Book Antiqua" w:hAnsi="Book Antiqua"/>
          <w:iCs/>
          <w:sz w:val="24"/>
          <w:szCs w:val="24"/>
        </w:rPr>
        <w:t xml:space="preserve"> </w:t>
      </w:r>
      <w:r w:rsidRPr="00C8550C">
        <w:rPr>
          <w:rFonts w:ascii="Book Antiqua" w:hAnsi="Book Antiqua"/>
          <w:iCs/>
          <w:sz w:val="24"/>
          <w:szCs w:val="24"/>
        </w:rPr>
        <w:t>0.002</w:t>
      </w:r>
      <w:r w:rsidRPr="00C8550C">
        <w:rPr>
          <w:rFonts w:ascii="Book Antiqua" w:hAnsi="Book Antiqua"/>
          <w:sz w:val="24"/>
          <w:szCs w:val="24"/>
        </w:rPr>
        <w:t>) in this study</w:t>
      </w:r>
      <w:r w:rsidRPr="00C8550C">
        <w:rPr>
          <w:rFonts w:ascii="Book Antiqua" w:eastAsia="Arial Unicode MS" w:hAnsi="Book Antiqua"/>
          <w:bCs/>
          <w:sz w:val="24"/>
          <w:szCs w:val="24"/>
        </w:rPr>
        <w:t xml:space="preserve">. At the time point of 2 min, only 23.2% of the ICCs in our study showed marked washout, which is close to the rate of 25% reported by Han </w:t>
      </w:r>
      <w:r w:rsidRPr="00C8550C">
        <w:rPr>
          <w:rFonts w:ascii="Book Antiqua" w:eastAsia="Arial Unicode MS" w:hAnsi="Book Antiqua"/>
          <w:bCs/>
          <w:i/>
          <w:sz w:val="24"/>
          <w:szCs w:val="24"/>
        </w:rPr>
        <w:t>et al</w:t>
      </w:r>
      <w:r w:rsidRPr="00C8550C">
        <w:rPr>
          <w:rFonts w:ascii="Book Antiqua" w:eastAsia="Arial Unicode MS" w:hAnsi="Book Antiqua"/>
          <w:bCs/>
          <w:sz w:val="24"/>
          <w:szCs w:val="24"/>
        </w:rPr>
        <w:fldChar w:fldCharType="begin"/>
      </w:r>
      <w:r w:rsidRPr="00C8550C">
        <w:rPr>
          <w:rFonts w:ascii="Book Antiqua" w:eastAsia="Arial Unicode MS" w:hAnsi="Book Antiqua"/>
          <w:bCs/>
          <w:sz w:val="24"/>
          <w:szCs w:val="24"/>
        </w:rPr>
        <w:instrText xml:space="preserve"> ADDIN  ADDIN KYMRREF{1FF43429-33CF-42F4-92F5-1E2DD8534AE6}469 </w:instrText>
      </w:r>
      <w:r w:rsidRPr="00C8550C">
        <w:rPr>
          <w:rFonts w:ascii="Book Antiqua" w:eastAsia="Arial Unicode MS" w:hAnsi="Book Antiqua"/>
          <w:bCs/>
          <w:sz w:val="24"/>
          <w:szCs w:val="24"/>
        </w:rPr>
        <w:fldChar w:fldCharType="separate"/>
      </w:r>
      <w:r w:rsidRPr="00C8550C">
        <w:rPr>
          <w:rFonts w:ascii="Book Antiqua" w:hAnsi="Book Antiqua"/>
          <w:bCs/>
          <w:sz w:val="24"/>
          <w:szCs w:val="24"/>
          <w:vertAlign w:val="superscript"/>
        </w:rPr>
        <w:t>[15]</w:t>
      </w:r>
      <w:r w:rsidRPr="00C8550C">
        <w:rPr>
          <w:rFonts w:ascii="Book Antiqua" w:eastAsia="Arial Unicode MS" w:hAnsi="Book Antiqua"/>
          <w:bCs/>
          <w:sz w:val="24"/>
          <w:szCs w:val="24"/>
        </w:rPr>
        <w:fldChar w:fldCharType="end"/>
      </w:r>
      <w:r w:rsidRPr="00C8550C">
        <w:rPr>
          <w:rFonts w:ascii="Book Antiqua" w:eastAsia="Arial Unicode MS" w:hAnsi="Book Antiqua"/>
          <w:bCs/>
          <w:sz w:val="24"/>
          <w:szCs w:val="24"/>
        </w:rPr>
        <w:t xml:space="preserve">. Some studies also demonstrated that the efficacy of marked washout in differentiating ICC from HCC can only be slightly improved even by postponing the onset </w:t>
      </w:r>
      <w:r w:rsidR="00EA7FBE" w:rsidRPr="00C8550C">
        <w:rPr>
          <w:rFonts w:ascii="Book Antiqua" w:eastAsia="Arial Unicode MS" w:hAnsi="Book Antiqua"/>
          <w:bCs/>
          <w:sz w:val="24"/>
          <w:szCs w:val="24"/>
        </w:rPr>
        <w:t>time of marked washout to 3 min</w:t>
      </w:r>
      <w:r w:rsidRPr="00C8550C">
        <w:rPr>
          <w:rFonts w:ascii="Book Antiqua" w:eastAsia="Arial Unicode MS" w:hAnsi="Book Antiqua"/>
          <w:bCs/>
          <w:sz w:val="24"/>
          <w:szCs w:val="24"/>
        </w:rPr>
        <w:fldChar w:fldCharType="begin"/>
      </w:r>
      <w:r w:rsidRPr="00C8550C">
        <w:rPr>
          <w:rFonts w:ascii="Book Antiqua" w:eastAsia="Arial Unicode MS" w:hAnsi="Book Antiqua"/>
          <w:bCs/>
          <w:sz w:val="24"/>
          <w:szCs w:val="24"/>
        </w:rPr>
        <w:instrText xml:space="preserve"> ADDIN  ADDIN KYMRREF{1FF43429-33CF-42F4-92F5-1E2DD8534AE6}469,{1FF43429-33CF-42F4-92F5-1E2DD8534AE6}472</w:instrText>
      </w:r>
      <w:r w:rsidRPr="00C8550C">
        <w:rPr>
          <w:rFonts w:ascii="Book Antiqua" w:eastAsia="Arial Unicode MS" w:hAnsi="Book Antiqua"/>
          <w:bCs/>
          <w:sz w:val="24"/>
          <w:szCs w:val="24"/>
        </w:rPr>
        <w:fldChar w:fldCharType="separate"/>
      </w:r>
      <w:r w:rsidRPr="00C8550C">
        <w:rPr>
          <w:rFonts w:ascii="Book Antiqua" w:hAnsi="Book Antiqua"/>
          <w:bCs/>
          <w:sz w:val="24"/>
          <w:szCs w:val="24"/>
          <w:vertAlign w:val="superscript"/>
        </w:rPr>
        <w:t>[15,18]</w:t>
      </w:r>
      <w:r w:rsidRPr="00C8550C">
        <w:rPr>
          <w:rFonts w:ascii="Book Antiqua" w:eastAsia="Arial Unicode MS" w:hAnsi="Book Antiqua"/>
          <w:bCs/>
          <w:sz w:val="24"/>
          <w:szCs w:val="24"/>
        </w:rPr>
        <w:fldChar w:fldCharType="end"/>
      </w:r>
      <w:r w:rsidRPr="00C8550C">
        <w:rPr>
          <w:rFonts w:ascii="Book Antiqua" w:eastAsia="Arial Unicode MS" w:hAnsi="Book Antiqua"/>
          <w:bCs/>
          <w:sz w:val="24"/>
          <w:szCs w:val="24"/>
        </w:rPr>
        <w:t xml:space="preserve">. Zheng </w:t>
      </w:r>
      <w:r w:rsidRPr="00C8550C">
        <w:rPr>
          <w:rFonts w:ascii="Book Antiqua" w:eastAsia="Arial Unicode MS" w:hAnsi="Book Antiqua"/>
          <w:bCs/>
          <w:i/>
          <w:sz w:val="24"/>
          <w:szCs w:val="24"/>
        </w:rPr>
        <w:t>et al</w:t>
      </w:r>
      <w:r w:rsidR="000C4A0B" w:rsidRPr="00C8550C">
        <w:rPr>
          <w:rFonts w:ascii="Book Antiqua" w:eastAsia="Arial Unicode MS" w:hAnsi="Book Antiqua"/>
          <w:bCs/>
          <w:sz w:val="24"/>
          <w:szCs w:val="24"/>
        </w:rPr>
        <w:fldChar w:fldCharType="begin"/>
      </w:r>
      <w:r w:rsidR="000C4A0B" w:rsidRPr="00C8550C">
        <w:rPr>
          <w:rFonts w:ascii="Book Antiqua" w:eastAsia="Arial Unicode MS" w:hAnsi="Book Antiqua"/>
          <w:bCs/>
          <w:sz w:val="24"/>
          <w:szCs w:val="24"/>
        </w:rPr>
        <w:instrText xml:space="preserve"> ADDIN  ADDIN KYMRREF{1FF43429-33CF-42F4-92F5-1E2DD8534AE6}475 </w:instrText>
      </w:r>
      <w:r w:rsidR="000C4A0B" w:rsidRPr="00C8550C">
        <w:rPr>
          <w:rFonts w:ascii="Book Antiqua" w:eastAsia="Arial Unicode MS" w:hAnsi="Book Antiqua"/>
          <w:bCs/>
          <w:sz w:val="24"/>
          <w:szCs w:val="24"/>
        </w:rPr>
        <w:fldChar w:fldCharType="separate"/>
      </w:r>
      <w:r w:rsidR="000C4A0B" w:rsidRPr="00C8550C">
        <w:rPr>
          <w:rFonts w:ascii="Book Antiqua" w:hAnsi="Book Antiqua"/>
          <w:bCs/>
          <w:sz w:val="24"/>
          <w:szCs w:val="24"/>
          <w:vertAlign w:val="superscript"/>
        </w:rPr>
        <w:t>[21]</w:t>
      </w:r>
      <w:r w:rsidR="000C4A0B" w:rsidRPr="00C8550C">
        <w:rPr>
          <w:rFonts w:ascii="Book Antiqua" w:eastAsia="Arial Unicode MS" w:hAnsi="Book Antiqua"/>
          <w:bCs/>
          <w:sz w:val="24"/>
          <w:szCs w:val="24"/>
        </w:rPr>
        <w:fldChar w:fldCharType="end"/>
      </w:r>
      <w:r w:rsidRPr="00C8550C">
        <w:rPr>
          <w:rFonts w:ascii="Book Antiqua" w:eastAsia="Arial Unicode MS" w:hAnsi="Book Antiqua"/>
          <w:bCs/>
          <w:sz w:val="24"/>
          <w:szCs w:val="24"/>
        </w:rPr>
        <w:t xml:space="preserve"> found 142 out of 153 LR-M nodules showing early washout within 60 s and without punch</w:t>
      </w:r>
      <w:r w:rsidR="00EA7FBE" w:rsidRPr="00C8550C">
        <w:rPr>
          <w:rFonts w:ascii="Book Antiqua" w:eastAsia="Arial Unicode MS" w:hAnsi="Book Antiqua"/>
          <w:bCs/>
          <w:sz w:val="24"/>
          <w:szCs w:val="24"/>
        </w:rPr>
        <w:t xml:space="preserve">-out before 5 </w:t>
      </w:r>
      <w:r w:rsidR="0049145F" w:rsidRPr="00C8550C">
        <w:rPr>
          <w:rFonts w:ascii="Book Antiqua" w:eastAsia="Arial Unicode MS" w:hAnsi="Book Antiqua"/>
          <w:bCs/>
          <w:sz w:val="24"/>
          <w:szCs w:val="24"/>
        </w:rPr>
        <w:t>min</w:t>
      </w:r>
      <w:r w:rsidR="0049145F">
        <w:rPr>
          <w:rFonts w:ascii="Book Antiqua" w:eastAsia="Arial Unicode MS" w:hAnsi="Book Antiqua"/>
          <w:bCs/>
          <w:sz w:val="24"/>
          <w:szCs w:val="24"/>
        </w:rPr>
        <w:t xml:space="preserve"> </w:t>
      </w:r>
      <w:r w:rsidR="00EA7FBE" w:rsidRPr="00C8550C">
        <w:rPr>
          <w:rFonts w:ascii="Book Antiqua" w:eastAsia="Arial Unicode MS" w:hAnsi="Book Antiqua"/>
          <w:bCs/>
          <w:sz w:val="24"/>
          <w:szCs w:val="24"/>
        </w:rPr>
        <w:t>were HCCs</w:t>
      </w:r>
      <w:r w:rsidRPr="00C8550C">
        <w:rPr>
          <w:rFonts w:ascii="Book Antiqua" w:eastAsia="Arial Unicode MS" w:hAnsi="Book Antiqua"/>
          <w:bCs/>
          <w:sz w:val="24"/>
          <w:szCs w:val="24"/>
        </w:rPr>
        <w:t>. The authors re-categorized lesions showing the aforementioned washout patterns into LR-5, and the specificity and PPV of LR-M as a predictor of non-HCC malignancy were remarkably improved from 88% to 96% and 36% to 58%, respectively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&lt;</w:t>
      </w:r>
      <w:r w:rsidR="00D446BF"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0.001)</w:t>
      </w:r>
      <w:r w:rsidRPr="00C8550C">
        <w:rPr>
          <w:rFonts w:ascii="Book Antiqua" w:eastAsia="Arial Unicode MS" w:hAnsi="Book Antiqua"/>
          <w:bCs/>
          <w:sz w:val="24"/>
          <w:szCs w:val="24"/>
        </w:rPr>
        <w:t>. In our study, marked washout within 2 min did not show up alone in both entities. Thus, this feature in LR-M criteria may need to be refined for better practical application.</w:t>
      </w:r>
    </w:p>
    <w:p w:rsidR="000C4A0B" w:rsidRPr="00C8550C" w:rsidRDefault="00835DED" w:rsidP="000C4A0B">
      <w:pPr>
        <w:adjustRightInd w:val="0"/>
        <w:snapToGrid w:val="0"/>
        <w:spacing w:after="0" w:line="360" w:lineRule="auto"/>
        <w:ind w:firstLineChars="200" w:firstLine="480"/>
        <w:rPr>
          <w:rFonts w:ascii="Book Antiqua" w:hAnsi="Book Antiqua"/>
          <w:sz w:val="24"/>
          <w:szCs w:val="24"/>
        </w:rPr>
      </w:pPr>
      <w:r w:rsidRPr="00C8550C">
        <w:rPr>
          <w:rFonts w:ascii="Book Antiqua" w:hAnsi="Book Antiqua"/>
          <w:sz w:val="24"/>
          <w:szCs w:val="24"/>
        </w:rPr>
        <w:t xml:space="preserve">There are several limitations of our study. First, due to the limited number of ICC cases, CEUS LI-RADS was applied in patients without risk factors for HCC. In clinical practice, chronic hepatitis or cirrhosis would not present in the majority of ICC patients. However, the LR-M features enabled the differentiation of ICC from LR-M HCC in our </w:t>
      </w:r>
      <w:r w:rsidR="00A81746" w:rsidRPr="00C8550C">
        <w:rPr>
          <w:rFonts w:ascii="Book Antiqua" w:hAnsi="Book Antiqua"/>
          <w:sz w:val="24"/>
          <w:szCs w:val="24"/>
        </w:rPr>
        <w:t xml:space="preserve">study, as also validated by </w:t>
      </w:r>
      <w:r w:rsidR="0050093F" w:rsidRPr="00C8550C">
        <w:rPr>
          <w:rFonts w:ascii="Book Antiqua" w:hAnsi="Book Antiqua"/>
          <w:sz w:val="24"/>
          <w:szCs w:val="24"/>
        </w:rPr>
        <w:t>Li</w:t>
      </w:r>
      <w:r w:rsidRPr="00C8550C">
        <w:rPr>
          <w:rFonts w:ascii="Book Antiqua" w:hAnsi="Book Antiqua"/>
          <w:sz w:val="24"/>
          <w:szCs w:val="24"/>
        </w:rPr>
        <w:t xml:space="preserve"> </w:t>
      </w:r>
      <w:r w:rsidR="00310214" w:rsidRPr="00C8550C">
        <w:rPr>
          <w:rFonts w:ascii="Book Antiqua" w:hAnsi="Book Antiqua"/>
          <w:i/>
          <w:sz w:val="24"/>
          <w:szCs w:val="24"/>
        </w:rPr>
        <w:t>et al</w:t>
      </w:r>
      <w:r w:rsidRPr="00C8550C">
        <w:rPr>
          <w:rFonts w:ascii="Book Antiqua" w:hAnsi="Book Antiqua"/>
          <w:sz w:val="24"/>
          <w:szCs w:val="24"/>
        </w:rPr>
        <w:fldChar w:fldCharType="begin"/>
      </w:r>
      <w:r w:rsidRPr="00C8550C">
        <w:rPr>
          <w:rFonts w:ascii="Book Antiqua" w:hAnsi="Book Antiqua"/>
          <w:sz w:val="24"/>
          <w:szCs w:val="24"/>
        </w:rPr>
        <w:instrText xml:space="preserve"> ADDIN  ADDIN KYMRREF{1FF43429-33CF-42F4-92F5-1E2DD8534AE6}472 </w:instrText>
      </w:r>
      <w:r w:rsidRPr="00C8550C">
        <w:rPr>
          <w:rFonts w:ascii="Book Antiqua" w:hAnsi="Book Antiqua"/>
          <w:sz w:val="24"/>
          <w:szCs w:val="24"/>
        </w:rPr>
        <w:fldChar w:fldCharType="separate"/>
      </w:r>
      <w:r w:rsidRPr="00C8550C">
        <w:rPr>
          <w:rFonts w:ascii="Book Antiqua" w:hAnsi="Book Antiqua"/>
          <w:sz w:val="24"/>
          <w:szCs w:val="24"/>
          <w:vertAlign w:val="superscript"/>
        </w:rPr>
        <w:t>[18]</w:t>
      </w:r>
      <w:r w:rsidRPr="00C8550C">
        <w:rPr>
          <w:rFonts w:ascii="Book Antiqua" w:hAnsi="Book Antiqua"/>
          <w:sz w:val="24"/>
          <w:szCs w:val="24"/>
        </w:rPr>
        <w:fldChar w:fldCharType="end"/>
      </w:r>
      <w:r w:rsidRPr="00C8550C">
        <w:rPr>
          <w:rFonts w:ascii="Book Antiqua" w:hAnsi="Book Antiqua"/>
          <w:sz w:val="24"/>
          <w:szCs w:val="24"/>
        </w:rPr>
        <w:t>. Second, the scope of the study focused only on ICC and LR-M HCC. Other hepatic malignancies, such as combined hepatocellular-cholangiocarcinoma and metastasis, which also frequently present as LR-M tumors, were not enrolled in our study. Further studies are needed to validate the findings demonstrated in our study and determine, for example, h</w:t>
      </w:r>
      <w:bookmarkStart w:id="14" w:name="OLE_LINK12"/>
      <w:r w:rsidRPr="00C8550C">
        <w:rPr>
          <w:rFonts w:ascii="Book Antiqua" w:hAnsi="Book Antiqua"/>
          <w:sz w:val="24"/>
          <w:szCs w:val="24"/>
        </w:rPr>
        <w:t>ow much referential value</w:t>
      </w:r>
      <w:r w:rsidR="00AB2919">
        <w:rPr>
          <w:rFonts w:ascii="Book Antiqua" w:hAnsi="Book Antiqua"/>
          <w:sz w:val="24"/>
          <w:szCs w:val="24"/>
        </w:rPr>
        <w:t xml:space="preserve"> </w:t>
      </w:r>
      <w:r w:rsidRPr="00C8550C">
        <w:rPr>
          <w:rFonts w:ascii="Book Antiqua" w:hAnsi="Book Antiqua"/>
          <w:sz w:val="24"/>
          <w:szCs w:val="24"/>
        </w:rPr>
        <w:t>marked washout offer</w:t>
      </w:r>
      <w:r w:rsidR="00AB2919">
        <w:rPr>
          <w:rFonts w:ascii="Book Antiqua" w:hAnsi="Book Antiqua"/>
          <w:sz w:val="24"/>
          <w:szCs w:val="24"/>
        </w:rPr>
        <w:t>s</w:t>
      </w:r>
      <w:r w:rsidRPr="00C8550C">
        <w:rPr>
          <w:rFonts w:ascii="Book Antiqua" w:hAnsi="Book Antiqua"/>
          <w:sz w:val="24"/>
          <w:szCs w:val="24"/>
        </w:rPr>
        <w:t xml:space="preserve"> the LR-M category in the absence of arterial phase rim </w:t>
      </w:r>
      <w:r w:rsidRPr="00C8550C">
        <w:rPr>
          <w:rFonts w:ascii="Book Antiqua" w:eastAsia="Arial Unicode MS" w:hAnsi="Book Antiqua"/>
          <w:bCs/>
          <w:sz w:val="24"/>
          <w:szCs w:val="24"/>
        </w:rPr>
        <w:t>APHE</w:t>
      </w:r>
      <w:r w:rsidRPr="00C8550C">
        <w:rPr>
          <w:rFonts w:ascii="Book Antiqua" w:hAnsi="Book Antiqua"/>
          <w:sz w:val="24"/>
          <w:szCs w:val="24"/>
        </w:rPr>
        <w:t xml:space="preserve"> and early washout</w:t>
      </w:r>
      <w:bookmarkEnd w:id="14"/>
      <w:r w:rsidR="00AB2919">
        <w:rPr>
          <w:rFonts w:ascii="Book Antiqua" w:hAnsi="Book Antiqua"/>
          <w:sz w:val="24"/>
          <w:szCs w:val="24"/>
        </w:rPr>
        <w:t xml:space="preserve"> </w:t>
      </w:r>
      <w:r w:rsidRPr="00C8550C">
        <w:rPr>
          <w:rFonts w:ascii="Book Antiqua" w:hAnsi="Book Antiqua"/>
          <w:sz w:val="24"/>
          <w:szCs w:val="24"/>
        </w:rPr>
        <w:t xml:space="preserve">and </w:t>
      </w:r>
      <w:r w:rsidR="00AB2919">
        <w:rPr>
          <w:rFonts w:ascii="Book Antiqua" w:hAnsi="Book Antiqua"/>
          <w:sz w:val="24"/>
          <w:szCs w:val="24"/>
        </w:rPr>
        <w:t>whether</w:t>
      </w:r>
      <w:r w:rsidR="00AB2919" w:rsidRPr="00C8550C">
        <w:rPr>
          <w:rFonts w:ascii="Book Antiqua" w:hAnsi="Book Antiqua"/>
          <w:sz w:val="24"/>
          <w:szCs w:val="24"/>
        </w:rPr>
        <w:t xml:space="preserve"> </w:t>
      </w:r>
      <w:r w:rsidRPr="00C8550C">
        <w:rPr>
          <w:rFonts w:ascii="Book Antiqua" w:hAnsi="Book Antiqua"/>
          <w:sz w:val="24"/>
          <w:szCs w:val="24"/>
        </w:rPr>
        <w:t xml:space="preserve">the onset time of early washout and marked washout </w:t>
      </w:r>
      <w:r w:rsidR="00AB2919">
        <w:rPr>
          <w:rFonts w:ascii="Book Antiqua" w:hAnsi="Book Antiqua"/>
          <w:sz w:val="24"/>
          <w:szCs w:val="24"/>
        </w:rPr>
        <w:t xml:space="preserve">should </w:t>
      </w:r>
      <w:r w:rsidRPr="00C8550C">
        <w:rPr>
          <w:rFonts w:ascii="Book Antiqua" w:hAnsi="Book Antiqua"/>
          <w:sz w:val="24"/>
          <w:szCs w:val="24"/>
        </w:rPr>
        <w:t>be adjusted to reduce the number of HCCs classified as LR-M tumors</w:t>
      </w:r>
      <w:r w:rsidR="0043631B">
        <w:rPr>
          <w:rFonts w:ascii="Book Antiqua" w:hAnsi="Book Antiqua"/>
          <w:sz w:val="24"/>
          <w:szCs w:val="24"/>
        </w:rPr>
        <w:t>.</w:t>
      </w:r>
    </w:p>
    <w:p w:rsidR="00835DED" w:rsidRPr="00C8550C" w:rsidRDefault="00835DED" w:rsidP="0078385A">
      <w:pPr>
        <w:adjustRightInd w:val="0"/>
        <w:snapToGrid w:val="0"/>
        <w:spacing w:after="0" w:line="360" w:lineRule="auto"/>
        <w:ind w:firstLineChars="200" w:firstLine="480"/>
        <w:rPr>
          <w:rFonts w:ascii="Book Antiqua" w:hAnsi="Book Antiqua"/>
          <w:sz w:val="24"/>
          <w:szCs w:val="24"/>
        </w:rPr>
      </w:pPr>
      <w:r w:rsidRPr="00C8550C">
        <w:rPr>
          <w:rFonts w:ascii="Book Antiqua" w:hAnsi="Book Antiqua"/>
          <w:sz w:val="24"/>
          <w:szCs w:val="24"/>
        </w:rPr>
        <w:t xml:space="preserve">In conclusion, rim APHE </w:t>
      </w:r>
      <w:r w:rsidR="00AB2919">
        <w:rPr>
          <w:rFonts w:ascii="Book Antiqua" w:hAnsi="Book Antiqua"/>
          <w:sz w:val="24"/>
          <w:szCs w:val="24"/>
        </w:rPr>
        <w:t>i</w:t>
      </w:r>
      <w:r w:rsidR="00AB2919" w:rsidRPr="00C8550C">
        <w:rPr>
          <w:rFonts w:ascii="Book Antiqua" w:hAnsi="Book Antiqua"/>
          <w:sz w:val="24"/>
          <w:szCs w:val="24"/>
        </w:rPr>
        <w:t xml:space="preserve">s </w:t>
      </w:r>
      <w:r w:rsidRPr="00C8550C">
        <w:rPr>
          <w:rFonts w:ascii="Book Antiqua" w:hAnsi="Book Antiqua"/>
          <w:sz w:val="24"/>
          <w:szCs w:val="24"/>
        </w:rPr>
        <w:t xml:space="preserve">a key predictor for differentiating ICC from LR-M HCC. Rim APHE plus elevated CA 19-9 and normal AFP </w:t>
      </w:r>
      <w:r w:rsidR="00AB2919">
        <w:rPr>
          <w:rFonts w:ascii="Book Antiqua" w:hAnsi="Book Antiqua"/>
          <w:sz w:val="24"/>
          <w:szCs w:val="24"/>
        </w:rPr>
        <w:t>i</w:t>
      </w:r>
      <w:r w:rsidR="00AB2919" w:rsidRPr="00C8550C">
        <w:rPr>
          <w:rFonts w:ascii="Book Antiqua" w:hAnsi="Book Antiqua"/>
          <w:sz w:val="24"/>
          <w:szCs w:val="24"/>
        </w:rPr>
        <w:t xml:space="preserve">s </w:t>
      </w:r>
      <w:r w:rsidRPr="00C8550C">
        <w:rPr>
          <w:rFonts w:ascii="Book Antiqua" w:hAnsi="Book Antiqua"/>
          <w:sz w:val="24"/>
          <w:szCs w:val="24"/>
        </w:rPr>
        <w:t>a strong predictor of ICC rather than LR-M HCC. Early washout and marked washout have limited value for the differentiation between the two entities.</w:t>
      </w:r>
    </w:p>
    <w:p w:rsidR="000C4A0B" w:rsidRPr="00C8550C" w:rsidRDefault="000C4A0B" w:rsidP="00122AF4">
      <w:pPr>
        <w:adjustRightInd w:val="0"/>
        <w:snapToGrid w:val="0"/>
        <w:spacing w:after="0" w:line="360" w:lineRule="auto"/>
        <w:rPr>
          <w:rFonts w:ascii="Book Antiqua" w:hAnsi="Book Antiqua"/>
          <w:sz w:val="24"/>
          <w:szCs w:val="24"/>
        </w:rPr>
      </w:pPr>
    </w:p>
    <w:p w:rsidR="009D1AA6" w:rsidRPr="00C8550C" w:rsidRDefault="009D1AA6" w:rsidP="00122AF4">
      <w:pPr>
        <w:adjustRightInd w:val="0"/>
        <w:snapToGrid w:val="0"/>
        <w:spacing w:after="0" w:line="360" w:lineRule="auto"/>
        <w:rPr>
          <w:rFonts w:ascii="Book Antiqua" w:hAnsi="Book Antiqua"/>
          <w:b/>
          <w:sz w:val="24"/>
          <w:szCs w:val="24"/>
          <w:u w:val="single"/>
        </w:rPr>
      </w:pPr>
      <w:r w:rsidRPr="00C8550C">
        <w:rPr>
          <w:rFonts w:ascii="Book Antiqua" w:hAnsi="Book Antiqua" w:cs="Calibri"/>
          <w:b/>
          <w:sz w:val="24"/>
          <w:szCs w:val="24"/>
          <w:u w:val="single"/>
        </w:rPr>
        <w:t>ARTICLE HIGHLIGHTS</w:t>
      </w: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background</w:t>
      </w:r>
    </w:p>
    <w:p w:rsidR="00835DED" w:rsidRPr="00C8550C" w:rsidRDefault="00835DED" w:rsidP="00122AF4">
      <w:pPr>
        <w:adjustRightInd w:val="0"/>
        <w:snapToGrid w:val="0"/>
        <w:spacing w:after="0" w:line="360" w:lineRule="auto"/>
        <w:rPr>
          <w:rFonts w:ascii="Book Antiqua" w:hAnsi="Book Antiqua"/>
          <w:kern w:val="0"/>
          <w:sz w:val="24"/>
          <w:szCs w:val="24"/>
        </w:rPr>
      </w:pPr>
      <w:r w:rsidRPr="00C8550C">
        <w:rPr>
          <w:rFonts w:ascii="Book Antiqua" w:hAnsi="Book Antiqua"/>
          <w:kern w:val="0"/>
          <w:sz w:val="24"/>
          <w:szCs w:val="24"/>
        </w:rPr>
        <w:t xml:space="preserve">Liver cancer is the sixth most common cancer worldwide and </w:t>
      </w:r>
      <w:r w:rsidR="00AB2919">
        <w:rPr>
          <w:rFonts w:ascii="Book Antiqua" w:hAnsi="Book Antiqua"/>
          <w:kern w:val="0"/>
          <w:sz w:val="24"/>
          <w:szCs w:val="24"/>
        </w:rPr>
        <w:t>the</w:t>
      </w:r>
      <w:r w:rsidR="00AB2919" w:rsidRPr="00C8550C">
        <w:rPr>
          <w:rFonts w:ascii="Book Antiqua" w:hAnsi="Book Antiqua"/>
          <w:kern w:val="0"/>
          <w:sz w:val="24"/>
          <w:szCs w:val="24"/>
        </w:rPr>
        <w:t xml:space="preserve"> </w:t>
      </w:r>
      <w:r w:rsidR="00AB2919">
        <w:rPr>
          <w:rFonts w:ascii="Book Antiqua" w:hAnsi="Book Antiqua"/>
          <w:kern w:val="0"/>
          <w:sz w:val="24"/>
          <w:szCs w:val="24"/>
        </w:rPr>
        <w:t>fourth leading</w:t>
      </w:r>
      <w:r w:rsidR="00AB2919" w:rsidRPr="00C8550C">
        <w:rPr>
          <w:rFonts w:ascii="Book Antiqua" w:hAnsi="Book Antiqua"/>
          <w:kern w:val="0"/>
          <w:sz w:val="24"/>
          <w:szCs w:val="24"/>
        </w:rPr>
        <w:t xml:space="preserve"> </w:t>
      </w:r>
      <w:r w:rsidR="00AB2919">
        <w:rPr>
          <w:rFonts w:ascii="Book Antiqua" w:hAnsi="Book Antiqua"/>
          <w:kern w:val="0"/>
          <w:sz w:val="24"/>
          <w:szCs w:val="24"/>
        </w:rPr>
        <w:t>cause of</w:t>
      </w:r>
      <w:r w:rsidR="00AB2919" w:rsidRPr="00C8550C">
        <w:rPr>
          <w:rFonts w:ascii="Book Antiqua" w:hAnsi="Book Antiqua"/>
          <w:kern w:val="0"/>
          <w:sz w:val="24"/>
          <w:szCs w:val="24"/>
        </w:rPr>
        <w:t xml:space="preserve"> </w:t>
      </w:r>
      <w:r w:rsidRPr="00C8550C">
        <w:rPr>
          <w:rFonts w:ascii="Book Antiqua" w:hAnsi="Book Antiqua"/>
          <w:kern w:val="0"/>
          <w:sz w:val="24"/>
          <w:szCs w:val="24"/>
        </w:rPr>
        <w:t>cancer-related death. Hepatocellular carcinoma (HCC) and intrahepatic cholangiocarcinoma (ICC) account for the majority of all primary liver cancers and differ in treatment and prognosis.</w:t>
      </w:r>
    </w:p>
    <w:p w:rsidR="0078385A" w:rsidRPr="00C8550C" w:rsidRDefault="0078385A" w:rsidP="00122AF4">
      <w:pPr>
        <w:adjustRightInd w:val="0"/>
        <w:snapToGrid w:val="0"/>
        <w:spacing w:after="0" w:line="360" w:lineRule="auto"/>
        <w:rPr>
          <w:rFonts w:ascii="Book Antiqua" w:hAnsi="Book Antiqua"/>
          <w:kern w:val="0"/>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motivation</w:t>
      </w:r>
    </w:p>
    <w:p w:rsidR="00835DED" w:rsidRPr="00C8550C" w:rsidRDefault="007E032C" w:rsidP="00122AF4">
      <w:pPr>
        <w:adjustRightInd w:val="0"/>
        <w:snapToGrid w:val="0"/>
        <w:spacing w:after="0" w:line="360" w:lineRule="auto"/>
        <w:rPr>
          <w:rFonts w:ascii="Book Antiqua" w:hAnsi="Book Antiqua"/>
          <w:sz w:val="24"/>
          <w:szCs w:val="24"/>
        </w:rPr>
      </w:pPr>
      <w:r w:rsidRPr="00C8550C">
        <w:rPr>
          <w:rFonts w:ascii="Book Antiqua" w:hAnsi="Book Antiqua"/>
          <w:kern w:val="0"/>
          <w:sz w:val="24"/>
          <w:szCs w:val="24"/>
        </w:rPr>
        <w:t>Contrast-</w:t>
      </w:r>
      <w:r w:rsidR="00835DED" w:rsidRPr="00C8550C">
        <w:rPr>
          <w:rFonts w:ascii="Book Antiqua" w:hAnsi="Book Antiqua"/>
          <w:kern w:val="0"/>
          <w:sz w:val="24"/>
          <w:szCs w:val="24"/>
        </w:rPr>
        <w:t>enhanced ultrasound (CEUS) has been recommended and widely used for the characterizati</w:t>
      </w:r>
      <w:r w:rsidR="006164F9" w:rsidRPr="00C8550C">
        <w:rPr>
          <w:rFonts w:ascii="Book Antiqua" w:hAnsi="Book Antiqua"/>
          <w:kern w:val="0"/>
          <w:sz w:val="24"/>
          <w:szCs w:val="24"/>
        </w:rPr>
        <w:t>on of focal liver lesions</w:t>
      </w:r>
      <w:r w:rsidR="00835DED" w:rsidRPr="00C8550C">
        <w:rPr>
          <w:rFonts w:ascii="Book Antiqua" w:hAnsi="Book Antiqua"/>
          <w:kern w:val="0"/>
          <w:sz w:val="24"/>
          <w:szCs w:val="24"/>
        </w:rPr>
        <w:t xml:space="preserve">. However, the value of CEUS in differentiating between ICC and HCC remains controversial. The CEUS </w:t>
      </w:r>
      <w:r w:rsidR="00E2788D">
        <w:rPr>
          <w:rFonts w:ascii="Book Antiqua" w:hAnsi="Book Antiqua"/>
          <w:kern w:val="0"/>
          <w:sz w:val="24"/>
          <w:szCs w:val="24"/>
        </w:rPr>
        <w:t>l</w:t>
      </w:r>
      <w:r w:rsidR="00E2788D" w:rsidRPr="00C8550C">
        <w:rPr>
          <w:rFonts w:ascii="Book Antiqua" w:hAnsi="Book Antiqua"/>
          <w:kern w:val="0"/>
          <w:sz w:val="24"/>
          <w:szCs w:val="24"/>
        </w:rPr>
        <w:t xml:space="preserve">iver </w:t>
      </w:r>
      <w:r w:rsidR="008323EC" w:rsidRPr="00C8550C">
        <w:rPr>
          <w:rFonts w:ascii="Book Antiqua" w:hAnsi="Book Antiqua"/>
          <w:kern w:val="0"/>
          <w:sz w:val="24"/>
          <w:szCs w:val="24"/>
        </w:rPr>
        <w:t>imaging reporting and data system</w:t>
      </w:r>
      <w:r w:rsidR="00835DED" w:rsidRPr="00C8550C">
        <w:rPr>
          <w:rFonts w:ascii="Book Antiqua" w:hAnsi="Book Antiqua"/>
          <w:kern w:val="0"/>
          <w:sz w:val="24"/>
          <w:szCs w:val="24"/>
        </w:rPr>
        <w:t xml:space="preserve"> (LI-RADS) released by the American College of Radiology has been developed for standardizing CEUS criteria for the diagnosis of </w:t>
      </w:r>
      <w:r w:rsidR="008657CA" w:rsidRPr="00C8550C">
        <w:rPr>
          <w:rFonts w:ascii="Book Antiqua" w:hAnsi="Book Antiqua"/>
          <w:kern w:val="0"/>
          <w:sz w:val="24"/>
          <w:szCs w:val="24"/>
        </w:rPr>
        <w:t>focal liver lesions</w:t>
      </w:r>
      <w:r w:rsidR="00835DED" w:rsidRPr="00C8550C">
        <w:rPr>
          <w:rFonts w:ascii="Book Antiqua" w:hAnsi="Book Antiqua"/>
          <w:kern w:val="0"/>
          <w:sz w:val="24"/>
          <w:szCs w:val="24"/>
        </w:rPr>
        <w:t xml:space="preserve">. In the criteria, the LR-M category represents malignancies but is not specific to HCC. Of note, the presence of a substantial number of HCCs in this category elevates the difficulty in the differential diagnosis between ICC and HCC, and </w:t>
      </w:r>
      <w:r w:rsidR="00835DED" w:rsidRPr="00C8550C">
        <w:rPr>
          <w:rFonts w:ascii="Book Antiqua" w:hAnsi="Book Antiqua"/>
          <w:sz w:val="24"/>
          <w:szCs w:val="24"/>
        </w:rPr>
        <w:t>the efficacy of LR-M features for the differentiation between them has not yet been fully evaluated.</w:t>
      </w:r>
    </w:p>
    <w:p w:rsidR="0078385A" w:rsidRPr="00C8550C" w:rsidRDefault="0078385A"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objectives</w:t>
      </w:r>
    </w:p>
    <w:p w:rsidR="00835DED" w:rsidRPr="00C8550C" w:rsidRDefault="00835DED" w:rsidP="00122AF4">
      <w:pPr>
        <w:adjustRightInd w:val="0"/>
        <w:snapToGrid w:val="0"/>
        <w:spacing w:after="0" w:line="360" w:lineRule="auto"/>
        <w:rPr>
          <w:rFonts w:ascii="Book Antiqua" w:eastAsia="Arial Unicode MS" w:hAnsi="Book Antiqua"/>
          <w:sz w:val="24"/>
          <w:szCs w:val="24"/>
        </w:rPr>
      </w:pPr>
      <w:r w:rsidRPr="00C8550C">
        <w:rPr>
          <w:rFonts w:ascii="Book Antiqua" w:eastAsia="Arial Unicode MS" w:hAnsi="Book Antiqua"/>
          <w:sz w:val="24"/>
          <w:szCs w:val="24"/>
        </w:rPr>
        <w:t>The purpose of this study was to investigate the possibility and efficacy of differentiating ICC from HCC classified in the LR-M category according to the CEUS LI-RADS.</w:t>
      </w:r>
    </w:p>
    <w:p w:rsidR="0078385A" w:rsidRPr="00C8550C" w:rsidRDefault="0078385A" w:rsidP="00122AF4">
      <w:pPr>
        <w:adjustRightInd w:val="0"/>
        <w:snapToGrid w:val="0"/>
        <w:spacing w:after="0" w:line="360" w:lineRule="auto"/>
        <w:rPr>
          <w:rFonts w:ascii="Book Antiqua" w:eastAsia="Arial Unicode MS" w:hAnsi="Book Antiqua"/>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methods</w:t>
      </w:r>
    </w:p>
    <w:p w:rsidR="00835DED" w:rsidRPr="00C8550C" w:rsidRDefault="00835DED" w:rsidP="00122AF4">
      <w:pPr>
        <w:adjustRightInd w:val="0"/>
        <w:snapToGrid w:val="0"/>
        <w:spacing w:after="0" w:line="360" w:lineRule="auto"/>
        <w:rPr>
          <w:rFonts w:ascii="Book Antiqua" w:eastAsia="Arial Unicode MS" w:hAnsi="Book Antiqua"/>
          <w:sz w:val="24"/>
          <w:szCs w:val="24"/>
        </w:rPr>
      </w:pPr>
      <w:r w:rsidRPr="00C8550C">
        <w:rPr>
          <w:rFonts w:ascii="Book Antiqua" w:hAnsi="Book Antiqua"/>
          <w:bCs/>
          <w:sz w:val="24"/>
          <w:szCs w:val="24"/>
        </w:rPr>
        <w:t xml:space="preserve">Patients with complete CEUS records together with pathologically confirmed ICC and LR-M HCC (HCC classified in the CEUS LI-RADS LR-M category) between January 2015 and October 2018 were included in this retrospective study. </w:t>
      </w:r>
      <w:r w:rsidRPr="00C8550C">
        <w:rPr>
          <w:rFonts w:ascii="Book Antiqua" w:eastAsia="Arial Unicode MS" w:hAnsi="Book Antiqua"/>
          <w:sz w:val="24"/>
          <w:szCs w:val="24"/>
        </w:rPr>
        <w:t xml:space="preserve">Each ICC was assigned a category as per </w:t>
      </w:r>
      <w:r w:rsidR="00E2788D">
        <w:rPr>
          <w:rFonts w:ascii="Book Antiqua" w:eastAsia="Arial Unicode MS" w:hAnsi="Book Antiqua"/>
          <w:sz w:val="24"/>
          <w:szCs w:val="24"/>
        </w:rPr>
        <w:t xml:space="preserve">the </w:t>
      </w:r>
      <w:r w:rsidRPr="00C8550C">
        <w:rPr>
          <w:rFonts w:ascii="Book Antiqua" w:eastAsia="Arial Unicode MS" w:hAnsi="Book Antiqua"/>
          <w:sz w:val="24"/>
          <w:szCs w:val="24"/>
        </w:rPr>
        <w:t>CEUS LI-RADS. The enhancement pattern, washout timing</w:t>
      </w:r>
      <w:r w:rsidR="00E2788D">
        <w:rPr>
          <w:rFonts w:ascii="Book Antiqua" w:eastAsia="Arial Unicode MS" w:hAnsi="Book Antiqua"/>
          <w:sz w:val="24"/>
          <w:szCs w:val="24"/>
        </w:rPr>
        <w:t>,</w:t>
      </w:r>
      <w:r w:rsidRPr="00C8550C">
        <w:rPr>
          <w:rFonts w:ascii="Book Antiqua" w:eastAsia="Arial Unicode MS" w:hAnsi="Book Antiqua"/>
          <w:sz w:val="24"/>
          <w:szCs w:val="24"/>
        </w:rPr>
        <w:t xml:space="preserve"> and </w:t>
      </w:r>
      <w:r w:rsidR="00E2788D" w:rsidRPr="00C8550C">
        <w:rPr>
          <w:rFonts w:ascii="Book Antiqua" w:eastAsia="Arial Unicode MS" w:hAnsi="Book Antiqua"/>
          <w:sz w:val="24"/>
          <w:szCs w:val="24"/>
        </w:rPr>
        <w:t xml:space="preserve">washout </w:t>
      </w:r>
      <w:r w:rsidRPr="00C8550C">
        <w:rPr>
          <w:rFonts w:ascii="Book Antiqua" w:eastAsia="Arial Unicode MS" w:hAnsi="Book Antiqua"/>
          <w:sz w:val="24"/>
          <w:szCs w:val="24"/>
        </w:rPr>
        <w:t>degree between the ICC and LR-M HCC were compared using the</w:t>
      </w:r>
      <w:r w:rsidR="00E2788D">
        <w:rPr>
          <w:rFonts w:ascii="Book Antiqua" w:eastAsia="Arial Unicode MS" w:hAnsi="Book Antiqua"/>
          <w:sz w:val="24"/>
          <w:szCs w:val="24"/>
        </w:rPr>
        <w:t xml:space="preserve"> </w:t>
      </w:r>
      <w:r w:rsidR="00E2788D" w:rsidRPr="00C8550C">
        <w:rPr>
          <w:rFonts w:ascii="Book Antiqua" w:hAnsi="Book Antiqua"/>
          <w:sz w:val="24"/>
          <w:szCs w:val="24"/>
        </w:rPr>
        <w:t>χ</w:t>
      </w:r>
      <w:r w:rsidR="00E2788D" w:rsidRPr="00C8550C">
        <w:rPr>
          <w:rFonts w:ascii="Book Antiqua" w:hAnsi="Book Antiqua"/>
          <w:sz w:val="24"/>
          <w:szCs w:val="24"/>
          <w:vertAlign w:val="superscript"/>
        </w:rPr>
        <w:t>2</w:t>
      </w:r>
      <w:r w:rsidRPr="00C8550C">
        <w:rPr>
          <w:rFonts w:ascii="Book Antiqua" w:hAnsi="Book Antiqua"/>
          <w:sz w:val="24"/>
          <w:szCs w:val="24"/>
        </w:rPr>
        <w:t xml:space="preserve"> test</w:t>
      </w:r>
      <w:r w:rsidRPr="00C8550C">
        <w:rPr>
          <w:rFonts w:ascii="Book Antiqua" w:eastAsia="Arial Unicode MS" w:hAnsi="Book Antiqua"/>
          <w:sz w:val="24"/>
          <w:szCs w:val="24"/>
        </w:rPr>
        <w:t>. Logistic</w:t>
      </w:r>
      <w:r w:rsidRPr="00C8550C">
        <w:rPr>
          <w:rFonts w:ascii="Book Antiqua" w:hAnsi="Book Antiqua"/>
          <w:sz w:val="24"/>
          <w:szCs w:val="24"/>
          <w:shd w:val="clear" w:color="auto" w:fill="FFFFFF"/>
        </w:rPr>
        <w:t xml:space="preserve"> regression analysis was used for prediction of ICC. </w:t>
      </w:r>
      <w:r w:rsidRPr="00C8550C">
        <w:rPr>
          <w:rFonts w:ascii="Book Antiqua" w:eastAsia="Arial Unicode MS" w:hAnsi="Book Antiqua"/>
          <w:sz w:val="24"/>
          <w:szCs w:val="24"/>
        </w:rPr>
        <w:t>Receiver operating characteristic curve analysis was used to investigate the possibility of LR-M criteria and serum tumor markers in differentiating ICC from LR-M HCC.</w:t>
      </w:r>
    </w:p>
    <w:p w:rsidR="0078385A" w:rsidRPr="00C8550C" w:rsidRDefault="0078385A" w:rsidP="00122AF4">
      <w:pPr>
        <w:adjustRightInd w:val="0"/>
        <w:snapToGrid w:val="0"/>
        <w:spacing w:after="0" w:line="360" w:lineRule="auto"/>
        <w:rPr>
          <w:rFonts w:ascii="Book Antiqua" w:eastAsia="Arial Unicode MS" w:hAnsi="Book Antiqua"/>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results</w:t>
      </w:r>
    </w:p>
    <w:p w:rsidR="00835DED" w:rsidRPr="00C8550C" w:rsidRDefault="00835DED" w:rsidP="00122AF4">
      <w:pPr>
        <w:adjustRightInd w:val="0"/>
        <w:snapToGrid w:val="0"/>
        <w:spacing w:after="0" w:line="360" w:lineRule="auto"/>
        <w:rPr>
          <w:rFonts w:ascii="Book Antiqua" w:eastAsia="Arial Unicode MS" w:hAnsi="Book Antiqua"/>
          <w:bCs/>
          <w:sz w:val="24"/>
          <w:szCs w:val="24"/>
        </w:rPr>
      </w:pPr>
      <w:r w:rsidRPr="00C8550C">
        <w:rPr>
          <w:rFonts w:ascii="Book Antiqua" w:eastAsia="Arial Unicode MS" w:hAnsi="Book Antiqua"/>
          <w:bCs/>
          <w:sz w:val="24"/>
          <w:szCs w:val="24"/>
        </w:rPr>
        <w:t>A total of 228 nodules (99 ICCs and 129 LR-M HCCs) in 228 patients were included. The mean sizes of ICC and LR-M HCC were 6.3</w:t>
      </w:r>
      <w:r w:rsidR="0078385A"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w:t>
      </w:r>
      <w:r w:rsidR="0078385A"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2.8 cm and 5.5</w:t>
      </w:r>
      <w:r w:rsidR="0078385A"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w:t>
      </w:r>
      <w:r w:rsidR="0078385A"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3.5 cm, respectively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w:t>
      </w:r>
      <w:r w:rsidR="00D446BF"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w:t>
      </w:r>
      <w:r w:rsidRPr="00C8550C">
        <w:rPr>
          <w:rFonts w:ascii="Book Antiqua" w:eastAsia="Arial Unicode MS" w:hAnsi="Book Antiqua"/>
          <w:bCs/>
          <w:i/>
          <w:iCs/>
          <w:sz w:val="24"/>
          <w:szCs w:val="24"/>
        </w:rPr>
        <w:t>3</w:t>
      </w:r>
      <w:r w:rsidRPr="00C8550C">
        <w:rPr>
          <w:rFonts w:ascii="Book Antiqua" w:eastAsia="Arial Unicode MS" w:hAnsi="Book Antiqua"/>
          <w:bCs/>
          <w:sz w:val="24"/>
          <w:szCs w:val="24"/>
        </w:rPr>
        <w:t xml:space="preserve">). Peripheral rim-like arterial phase hyperenhancement (rim APHE) was detected in 50.5% (50/99) of ICCs </w:t>
      </w:r>
      <w:r w:rsidRPr="00C8550C">
        <w:rPr>
          <w:rFonts w:ascii="Book Antiqua" w:eastAsia="Arial Unicode MS" w:hAnsi="Book Antiqua"/>
          <w:bCs/>
          <w:i/>
          <w:iCs/>
          <w:sz w:val="24"/>
          <w:szCs w:val="24"/>
        </w:rPr>
        <w:t>vs</w:t>
      </w:r>
      <w:r w:rsidRPr="00C8550C">
        <w:rPr>
          <w:rFonts w:ascii="Book Antiqua" w:eastAsia="Arial Unicode MS" w:hAnsi="Book Antiqua"/>
          <w:bCs/>
          <w:sz w:val="24"/>
          <w:szCs w:val="24"/>
        </w:rPr>
        <w:t xml:space="preserve"> 16.3% (21/129)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&lt;</w:t>
      </w:r>
      <w:r w:rsidR="00D446BF"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0.001</w:t>
      </w:r>
      <w:r w:rsidRPr="00C8550C">
        <w:rPr>
          <w:rFonts w:ascii="Book Antiqua" w:eastAsia="Arial Unicode MS" w:hAnsi="Book Antiqua"/>
          <w:bCs/>
          <w:sz w:val="24"/>
          <w:szCs w:val="24"/>
        </w:rPr>
        <w:t xml:space="preserve">). Early washout was found in 93.4% (93/99) of ICCs </w:t>
      </w:r>
      <w:r w:rsidRPr="00C8550C">
        <w:rPr>
          <w:rFonts w:ascii="Book Antiqua" w:eastAsia="Arial Unicode MS" w:hAnsi="Book Antiqua"/>
          <w:bCs/>
          <w:i/>
          <w:iCs/>
          <w:sz w:val="24"/>
          <w:szCs w:val="24"/>
        </w:rPr>
        <w:t xml:space="preserve">vs </w:t>
      </w:r>
      <w:r w:rsidRPr="00C8550C">
        <w:rPr>
          <w:rFonts w:ascii="Book Antiqua" w:eastAsia="Arial Unicode MS" w:hAnsi="Book Antiqua"/>
          <w:bCs/>
          <w:sz w:val="24"/>
          <w:szCs w:val="24"/>
        </w:rPr>
        <w:t>96.1% (124/129)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&gt;</w:t>
      </w:r>
      <w:r w:rsidR="00D446BF"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0.05</w:t>
      </w:r>
      <w:r w:rsidRPr="00C8550C">
        <w:rPr>
          <w:rFonts w:ascii="Book Antiqua" w:eastAsia="Arial Unicode MS" w:hAnsi="Book Antiqua"/>
          <w:bCs/>
          <w:sz w:val="24"/>
          <w:szCs w:val="24"/>
        </w:rPr>
        <w:t>). Marked washout was observed in 23.2% (23/99)</w:t>
      </w:r>
      <w:r w:rsidRPr="00C8550C">
        <w:rPr>
          <w:rFonts w:ascii="Book Antiqua" w:hAnsi="Book Antiqua"/>
          <w:sz w:val="24"/>
          <w:szCs w:val="24"/>
        </w:rPr>
        <w:t xml:space="preserve"> of ICCs and </w:t>
      </w:r>
      <w:r w:rsidRPr="00C8550C">
        <w:rPr>
          <w:rFonts w:ascii="Book Antiqua" w:eastAsia="Arial Unicode MS" w:hAnsi="Book Antiqua"/>
          <w:bCs/>
          <w:sz w:val="24"/>
          <w:szCs w:val="24"/>
        </w:rPr>
        <w:t xml:space="preserve">7.8% (10/129) of LR-M HCCs </w:t>
      </w:r>
      <w:r w:rsidRPr="00C8550C">
        <w:rPr>
          <w:rFonts w:ascii="Book Antiqua" w:eastAsia="Arial Unicode MS" w:hAnsi="Book Antiqua"/>
          <w:bCs/>
          <w:i/>
          <w:iCs/>
          <w:sz w:val="24"/>
          <w:szCs w:val="24"/>
        </w:rPr>
        <w:t>(P</w:t>
      </w:r>
      <w:r w:rsidR="0063424B"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w:t>
      </w:r>
      <w:r w:rsidR="0063424B"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0.002</w:t>
      </w:r>
      <w:r w:rsidRPr="00C8550C">
        <w:rPr>
          <w:rFonts w:ascii="Book Antiqua" w:eastAsia="Arial Unicode MS" w:hAnsi="Book Antiqua"/>
          <w:bCs/>
          <w:sz w:val="24"/>
          <w:szCs w:val="24"/>
        </w:rPr>
        <w:t>), while this feature did not show up alone either in ICC or LR-M HCC. Homogeneous hyperenhancement was detected in 15.2% (15/99) of ICCs and 37.2% (48/129) of LR-M HCCs (</w:t>
      </w:r>
      <w:r w:rsidRPr="00C8550C">
        <w:rPr>
          <w:rFonts w:ascii="Book Antiqua" w:eastAsia="Arial Unicode MS" w:hAnsi="Book Antiqua"/>
          <w:bCs/>
          <w:i/>
          <w:iCs/>
          <w:sz w:val="24"/>
          <w:szCs w:val="24"/>
        </w:rPr>
        <w:t>P</w:t>
      </w:r>
      <w:r w:rsidR="009E5F9F" w:rsidRPr="00C8550C">
        <w:rPr>
          <w:rFonts w:ascii="Book Antiqua" w:eastAsia="Arial Unicode MS" w:hAnsi="Book Antiqua"/>
          <w:bCs/>
          <w:i/>
          <w:iCs/>
          <w:sz w:val="24"/>
          <w:szCs w:val="24"/>
        </w:rPr>
        <w:t xml:space="preserve"> </w:t>
      </w:r>
      <w:r w:rsidRPr="00C8550C">
        <w:rPr>
          <w:rFonts w:ascii="Book Antiqua" w:eastAsia="Arial Unicode MS" w:hAnsi="Book Antiqua"/>
          <w:bCs/>
          <w:iCs/>
          <w:sz w:val="24"/>
          <w:szCs w:val="24"/>
        </w:rPr>
        <w:t>&lt;</w:t>
      </w:r>
      <w:r w:rsidR="00D446BF" w:rsidRPr="00C8550C">
        <w:rPr>
          <w:rFonts w:ascii="Book Antiqua" w:eastAsia="Arial Unicode MS" w:hAnsi="Book Antiqua"/>
          <w:bCs/>
          <w:iCs/>
          <w:sz w:val="24"/>
          <w:szCs w:val="24"/>
        </w:rPr>
        <w:t xml:space="preserve"> </w:t>
      </w:r>
      <w:r w:rsidRPr="00C8550C">
        <w:rPr>
          <w:rFonts w:ascii="Book Antiqua" w:eastAsia="Arial Unicode MS" w:hAnsi="Book Antiqua"/>
          <w:bCs/>
          <w:iCs/>
          <w:sz w:val="24"/>
          <w:szCs w:val="24"/>
        </w:rPr>
        <w:t>0.001</w:t>
      </w:r>
      <w:r w:rsidRPr="00C8550C">
        <w:rPr>
          <w:rFonts w:ascii="Book Antiqua" w:eastAsia="Arial Unicode MS" w:hAnsi="Book Antiqua"/>
          <w:bCs/>
          <w:sz w:val="24"/>
          <w:szCs w:val="24"/>
        </w:rPr>
        <w:t xml:space="preserve">). The logistic regression showed that rim APHE, </w:t>
      </w:r>
      <w:r w:rsidRPr="00C8550C">
        <w:rPr>
          <w:rFonts w:ascii="Book Antiqua" w:hAnsi="Book Antiqua"/>
          <w:sz w:val="24"/>
          <w:szCs w:val="24"/>
        </w:rPr>
        <w:t>carbohydrate antigen 19-9 (</w:t>
      </w:r>
      <w:r w:rsidRPr="00C8550C">
        <w:rPr>
          <w:rFonts w:ascii="Book Antiqua" w:eastAsia="Arial Unicode MS" w:hAnsi="Book Antiqua"/>
          <w:bCs/>
          <w:sz w:val="24"/>
          <w:szCs w:val="24"/>
        </w:rPr>
        <w:t>CA 19-9)</w:t>
      </w:r>
      <w:r w:rsidR="00E2788D">
        <w:rPr>
          <w:rFonts w:ascii="Book Antiqua" w:eastAsia="Arial Unicode MS" w:hAnsi="Book Antiqua"/>
          <w:bCs/>
          <w:sz w:val="24"/>
          <w:szCs w:val="24"/>
        </w:rPr>
        <w:t>,</w:t>
      </w:r>
      <w:r w:rsidRPr="00C8550C">
        <w:rPr>
          <w:rFonts w:ascii="Book Antiqua" w:eastAsia="Arial Unicode MS" w:hAnsi="Book Antiqua"/>
          <w:bCs/>
          <w:sz w:val="24"/>
          <w:szCs w:val="24"/>
        </w:rPr>
        <w:t xml:space="preserve"> and alpha fetoprotein (AFP) exhibited significant correlations with ICC (</w:t>
      </w:r>
      <w:r w:rsidR="0078385A" w:rsidRPr="00C8550C">
        <w:rPr>
          <w:rFonts w:ascii="Book Antiqua" w:hAnsi="Book Antiqua"/>
          <w:i/>
          <w:sz w:val="24"/>
          <w:szCs w:val="24"/>
        </w:rPr>
        <w:t>r</w:t>
      </w:r>
      <w:r w:rsidRPr="00C8550C">
        <w:rPr>
          <w:rFonts w:ascii="Book Antiqua" w:eastAsia="Arial Unicode MS" w:hAnsi="Book Antiqua"/>
          <w:bCs/>
          <w:sz w:val="24"/>
          <w:szCs w:val="24"/>
        </w:rPr>
        <w:t> = 1.251, 3.074</w:t>
      </w:r>
      <w:r w:rsidR="00E2788D">
        <w:rPr>
          <w:rFonts w:ascii="Book Antiqua" w:eastAsia="Arial Unicode MS" w:hAnsi="Book Antiqua"/>
          <w:bCs/>
          <w:sz w:val="24"/>
          <w:szCs w:val="24"/>
        </w:rPr>
        <w:t>,</w:t>
      </w:r>
      <w:r w:rsidRPr="00C8550C">
        <w:rPr>
          <w:rFonts w:ascii="Book Antiqua" w:eastAsia="Arial Unicode MS" w:hAnsi="Book Antiqua"/>
          <w:bCs/>
          <w:sz w:val="24"/>
          <w:szCs w:val="24"/>
        </w:rPr>
        <w:t xml:space="preserve"> and -2.767, respectively; </w:t>
      </w:r>
      <w:r w:rsidRPr="00C8550C">
        <w:rPr>
          <w:rFonts w:ascii="Book Antiqua" w:eastAsia="Arial Unicode MS" w:hAnsi="Book Antiqua"/>
          <w:bCs/>
          <w:i/>
          <w:iCs/>
          <w:sz w:val="24"/>
          <w:szCs w:val="24"/>
        </w:rPr>
        <w:t>P</w:t>
      </w:r>
      <w:r w:rsidRPr="00C8550C">
        <w:rPr>
          <w:rFonts w:ascii="Book Antiqua" w:eastAsia="Arial Unicode MS" w:hAnsi="Book Antiqua"/>
          <w:bCs/>
          <w:iCs/>
          <w:sz w:val="24"/>
          <w:szCs w:val="24"/>
        </w:rPr>
        <w:t> &lt; 0.01</w:t>
      </w:r>
      <w:r w:rsidRPr="00C8550C">
        <w:rPr>
          <w:rFonts w:ascii="Book Antiqua" w:eastAsia="Arial Unicode MS" w:hAnsi="Book Antiqua"/>
          <w:bCs/>
          <w:sz w:val="24"/>
          <w:szCs w:val="24"/>
        </w:rPr>
        <w:t>). Rim APHE presented the best enhancement pattern for diagnosing ICC, with an area under the receiver operating characteristic curve (AUC) of 0.70, sensitivity of 70.4%</w:t>
      </w:r>
      <w:r w:rsidR="00E2788D">
        <w:rPr>
          <w:rFonts w:ascii="Book Antiqua" w:eastAsia="Arial Unicode MS" w:hAnsi="Book Antiqua"/>
          <w:bCs/>
          <w:sz w:val="24"/>
          <w:szCs w:val="24"/>
        </w:rPr>
        <w:t>,</w:t>
      </w:r>
      <w:r w:rsidRPr="00C8550C">
        <w:rPr>
          <w:rFonts w:ascii="Book Antiqua" w:eastAsia="Arial Unicode MS" w:hAnsi="Book Antiqua"/>
          <w:bCs/>
          <w:sz w:val="24"/>
          <w:szCs w:val="24"/>
        </w:rPr>
        <w:t xml:space="preserve"> and specificity of 68.8%. When rim hyperenhacement was coupled with elevated CA 19-9 and normal AFP, the AUC and sensitivity improved to 0.82 and 100%, respectively, with specificity decreasing to 63.9%.</w:t>
      </w:r>
    </w:p>
    <w:p w:rsidR="0078385A" w:rsidRPr="00C8550C" w:rsidRDefault="0078385A" w:rsidP="00122AF4">
      <w:pPr>
        <w:adjustRightInd w:val="0"/>
        <w:snapToGrid w:val="0"/>
        <w:spacing w:after="0" w:line="360" w:lineRule="auto"/>
        <w:rPr>
          <w:rFonts w:ascii="Book Antiqua" w:eastAsia="Arial Unicode MS" w:hAnsi="Book Antiqua"/>
          <w:bCs/>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conclusions</w:t>
      </w:r>
    </w:p>
    <w:p w:rsidR="00835DED" w:rsidRPr="00C8550C" w:rsidRDefault="00835DED" w:rsidP="00122AF4">
      <w:pPr>
        <w:adjustRightInd w:val="0"/>
        <w:snapToGrid w:val="0"/>
        <w:spacing w:after="0" w:line="360" w:lineRule="auto"/>
        <w:rPr>
          <w:rFonts w:ascii="Book Antiqua" w:eastAsia="Arial Unicode MS" w:hAnsi="Book Antiqua"/>
          <w:bCs/>
          <w:sz w:val="24"/>
          <w:szCs w:val="24"/>
        </w:rPr>
      </w:pPr>
      <w:r w:rsidRPr="00C8550C">
        <w:rPr>
          <w:rFonts w:ascii="Book Antiqua" w:eastAsia="Arial Unicode MS" w:hAnsi="Book Antiqua"/>
          <w:bCs/>
          <w:sz w:val="24"/>
          <w:szCs w:val="24"/>
        </w:rPr>
        <w:t xml:space="preserve">This study illustrated that rim APHE </w:t>
      </w:r>
      <w:r w:rsidR="00E2788D">
        <w:rPr>
          <w:rFonts w:ascii="Book Antiqua" w:eastAsia="Arial Unicode MS" w:hAnsi="Book Antiqua"/>
          <w:bCs/>
          <w:sz w:val="24"/>
          <w:szCs w:val="24"/>
        </w:rPr>
        <w:t>i</w:t>
      </w:r>
      <w:r w:rsidR="00E2788D" w:rsidRPr="00C8550C">
        <w:rPr>
          <w:rFonts w:ascii="Book Antiqua" w:eastAsia="Arial Unicode MS" w:hAnsi="Book Antiqua"/>
          <w:bCs/>
          <w:sz w:val="24"/>
          <w:szCs w:val="24"/>
        </w:rPr>
        <w:t xml:space="preserve">s </w:t>
      </w:r>
      <w:r w:rsidRPr="00C8550C">
        <w:rPr>
          <w:rFonts w:ascii="Book Antiqua" w:eastAsia="Arial Unicode MS" w:hAnsi="Book Antiqua"/>
          <w:bCs/>
          <w:sz w:val="24"/>
          <w:szCs w:val="24"/>
        </w:rPr>
        <w:t>a key predictor for differentiating ICC from LR-M HCC. Rim APHE plus elevated CA 19-9 and normal AFP is a</w:t>
      </w:r>
      <w:r w:rsidR="00E2788D">
        <w:rPr>
          <w:rFonts w:ascii="Book Antiqua" w:eastAsia="Arial Unicode MS" w:hAnsi="Book Antiqua"/>
          <w:bCs/>
          <w:sz w:val="24"/>
          <w:szCs w:val="24"/>
        </w:rPr>
        <w:t xml:space="preserve"> </w:t>
      </w:r>
      <w:r w:rsidRPr="00C8550C">
        <w:rPr>
          <w:rFonts w:ascii="Book Antiqua" w:eastAsia="Arial Unicode MS" w:hAnsi="Book Antiqua"/>
          <w:bCs/>
          <w:sz w:val="24"/>
          <w:szCs w:val="24"/>
        </w:rPr>
        <w:t xml:space="preserve">predictor of ICC </w:t>
      </w:r>
      <w:r w:rsidR="00E2788D">
        <w:rPr>
          <w:rFonts w:ascii="Book Antiqua" w:eastAsia="Arial Unicode MS" w:hAnsi="Book Antiqua"/>
          <w:bCs/>
          <w:sz w:val="24"/>
          <w:szCs w:val="24"/>
        </w:rPr>
        <w:t xml:space="preserve">rather </w:t>
      </w:r>
      <w:r w:rsidRPr="00C8550C">
        <w:rPr>
          <w:rFonts w:ascii="Book Antiqua" w:eastAsia="Arial Unicode MS" w:hAnsi="Book Antiqua"/>
          <w:bCs/>
          <w:sz w:val="24"/>
          <w:szCs w:val="24"/>
        </w:rPr>
        <w:t>than LR-M HCC. Early washout and marked washout have limited value for the differentiation between the two entities.</w:t>
      </w:r>
    </w:p>
    <w:p w:rsidR="0078385A" w:rsidRPr="00C8550C" w:rsidRDefault="0078385A" w:rsidP="00122AF4">
      <w:pPr>
        <w:adjustRightInd w:val="0"/>
        <w:snapToGrid w:val="0"/>
        <w:spacing w:after="0" w:line="360" w:lineRule="auto"/>
        <w:rPr>
          <w:rFonts w:ascii="Book Antiqua" w:eastAsia="Arial Unicode MS" w:hAnsi="Book Antiqua"/>
          <w:bCs/>
          <w:sz w:val="24"/>
          <w:szCs w:val="24"/>
        </w:rPr>
      </w:pPr>
    </w:p>
    <w:p w:rsidR="00835DED" w:rsidRPr="00C8550C" w:rsidRDefault="00835DED" w:rsidP="00122AF4">
      <w:pPr>
        <w:adjustRightInd w:val="0"/>
        <w:snapToGrid w:val="0"/>
        <w:spacing w:after="0" w:line="360" w:lineRule="auto"/>
        <w:rPr>
          <w:rFonts w:ascii="Book Antiqua" w:hAnsi="Book Antiqua"/>
          <w:b/>
          <w:i/>
          <w:sz w:val="24"/>
          <w:szCs w:val="24"/>
        </w:rPr>
      </w:pPr>
      <w:r w:rsidRPr="00C8550C">
        <w:rPr>
          <w:rFonts w:ascii="Book Antiqua" w:hAnsi="Book Antiqua"/>
          <w:b/>
          <w:i/>
          <w:sz w:val="24"/>
          <w:szCs w:val="24"/>
        </w:rPr>
        <w:t>Research perspectives</w:t>
      </w:r>
    </w:p>
    <w:p w:rsidR="007E7E75" w:rsidRPr="00C8550C" w:rsidRDefault="00835DED" w:rsidP="00122AF4">
      <w:pPr>
        <w:adjustRightInd w:val="0"/>
        <w:snapToGrid w:val="0"/>
        <w:spacing w:after="0" w:line="360" w:lineRule="auto"/>
        <w:rPr>
          <w:rFonts w:ascii="Book Antiqua" w:hAnsi="Book Antiqua"/>
          <w:sz w:val="24"/>
          <w:szCs w:val="24"/>
        </w:rPr>
      </w:pPr>
      <w:r w:rsidRPr="00C8550C">
        <w:rPr>
          <w:rFonts w:ascii="Book Antiqua" w:eastAsia="Arial Unicode MS" w:hAnsi="Book Antiqua"/>
          <w:bCs/>
          <w:sz w:val="24"/>
          <w:szCs w:val="24"/>
        </w:rPr>
        <w:t xml:space="preserve">Rim APHE </w:t>
      </w:r>
      <w:r w:rsidR="00E2788D">
        <w:rPr>
          <w:rFonts w:ascii="Book Antiqua" w:eastAsia="Arial Unicode MS" w:hAnsi="Book Antiqua"/>
          <w:bCs/>
          <w:sz w:val="24"/>
          <w:szCs w:val="24"/>
        </w:rPr>
        <w:t>is</w:t>
      </w:r>
      <w:r w:rsidR="00E2788D" w:rsidRPr="00C8550C">
        <w:rPr>
          <w:rFonts w:ascii="Book Antiqua" w:eastAsia="Arial Unicode MS" w:hAnsi="Book Antiqua"/>
          <w:bCs/>
          <w:sz w:val="24"/>
          <w:szCs w:val="24"/>
        </w:rPr>
        <w:t xml:space="preserve"> </w:t>
      </w:r>
      <w:r w:rsidRPr="00C8550C">
        <w:rPr>
          <w:rFonts w:ascii="Book Antiqua" w:eastAsia="Arial Unicode MS" w:hAnsi="Book Antiqua"/>
          <w:bCs/>
          <w:sz w:val="24"/>
          <w:szCs w:val="24"/>
        </w:rPr>
        <w:t>a key predictor for differentiating ICC from LR-M HCC, and rim APHE plus elevated CA 19-9 and normal AFP is a</w:t>
      </w:r>
      <w:r w:rsidR="00E2788D">
        <w:rPr>
          <w:rFonts w:ascii="Book Antiqua" w:eastAsia="Arial Unicode MS" w:hAnsi="Book Antiqua"/>
          <w:bCs/>
          <w:sz w:val="24"/>
          <w:szCs w:val="24"/>
        </w:rPr>
        <w:t xml:space="preserve"> </w:t>
      </w:r>
      <w:r w:rsidRPr="00C8550C">
        <w:rPr>
          <w:rFonts w:ascii="Book Antiqua" w:eastAsia="Arial Unicode MS" w:hAnsi="Book Antiqua"/>
          <w:bCs/>
          <w:sz w:val="24"/>
          <w:szCs w:val="24"/>
        </w:rPr>
        <w:t xml:space="preserve">predictor of ICC </w:t>
      </w:r>
      <w:r w:rsidR="00E2788D">
        <w:rPr>
          <w:rFonts w:ascii="Book Antiqua" w:eastAsia="Arial Unicode MS" w:hAnsi="Book Antiqua"/>
          <w:bCs/>
          <w:sz w:val="24"/>
          <w:szCs w:val="24"/>
        </w:rPr>
        <w:t xml:space="preserve">rather </w:t>
      </w:r>
      <w:r w:rsidRPr="00C8550C">
        <w:rPr>
          <w:rFonts w:ascii="Book Antiqua" w:eastAsia="Arial Unicode MS" w:hAnsi="Book Antiqua"/>
          <w:bCs/>
          <w:sz w:val="24"/>
          <w:szCs w:val="24"/>
        </w:rPr>
        <w:t xml:space="preserve">than LR-M HCC. The </w:t>
      </w:r>
      <w:r w:rsidRPr="00C8550C">
        <w:rPr>
          <w:rFonts w:ascii="Book Antiqua" w:hAnsi="Book Antiqua"/>
          <w:sz w:val="24"/>
          <w:szCs w:val="24"/>
        </w:rPr>
        <w:t>reference values of early washout (&lt;</w:t>
      </w:r>
      <w:r w:rsidR="00D446BF" w:rsidRPr="00C8550C">
        <w:rPr>
          <w:rFonts w:ascii="Book Antiqua" w:hAnsi="Book Antiqua"/>
          <w:sz w:val="24"/>
          <w:szCs w:val="24"/>
        </w:rPr>
        <w:t xml:space="preserve"> </w:t>
      </w:r>
      <w:r w:rsidRPr="00C8550C">
        <w:rPr>
          <w:rFonts w:ascii="Book Antiqua" w:hAnsi="Book Antiqua"/>
          <w:sz w:val="24"/>
          <w:szCs w:val="24"/>
        </w:rPr>
        <w:t>60 s) and marked washout within 120 s in the LR-M category are needed to further refine the CEUS LI-RADS criteria to avoid unnecessary biopsy.</w:t>
      </w:r>
    </w:p>
    <w:p w:rsidR="007E7E75" w:rsidRPr="00C8550C" w:rsidRDefault="007E7E75" w:rsidP="00122AF4">
      <w:pPr>
        <w:adjustRightInd w:val="0"/>
        <w:snapToGrid w:val="0"/>
        <w:spacing w:after="0" w:line="360" w:lineRule="auto"/>
        <w:rPr>
          <w:rFonts w:ascii="Book Antiqua" w:hAnsi="Book Antiqua"/>
          <w:sz w:val="24"/>
          <w:szCs w:val="24"/>
        </w:rPr>
      </w:pPr>
    </w:p>
    <w:p w:rsidR="007E7E75" w:rsidRPr="00C8550C" w:rsidRDefault="007E7E75" w:rsidP="00122AF4">
      <w:pPr>
        <w:adjustRightInd w:val="0"/>
        <w:snapToGrid w:val="0"/>
        <w:spacing w:after="0" w:line="360" w:lineRule="auto"/>
        <w:rPr>
          <w:rFonts w:ascii="Book Antiqua" w:hAnsi="Book Antiqua"/>
          <w:b/>
          <w:sz w:val="24"/>
          <w:szCs w:val="24"/>
        </w:rPr>
      </w:pPr>
      <w:r w:rsidRPr="00C8550C">
        <w:rPr>
          <w:rFonts w:ascii="Book Antiqua" w:hAnsi="Book Antiqua"/>
          <w:b/>
          <w:sz w:val="24"/>
          <w:szCs w:val="24"/>
        </w:rPr>
        <w:t>REFERENCES</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 </w:t>
      </w:r>
      <w:r w:rsidRPr="00C8550C">
        <w:rPr>
          <w:rFonts w:ascii="Book Antiqua" w:eastAsia="等线" w:hAnsi="Book Antiqua"/>
          <w:b/>
          <w:sz w:val="24"/>
          <w:szCs w:val="24"/>
        </w:rPr>
        <w:t>Bray F</w:t>
      </w:r>
      <w:r w:rsidRPr="00C8550C">
        <w:rPr>
          <w:rFonts w:ascii="Book Antiqua" w:eastAsia="等线" w:hAnsi="Book Antiqua"/>
          <w:sz w:val="24"/>
          <w:szCs w:val="24"/>
        </w:rPr>
        <w:t xml:space="preserve">, Ferlay J, Soerjomataram I, Siegel RL, Torre LA, Jemal A. Global cancer statistics 2018: GLOBOCAN estimates of incidence and mortality worldwide for 36 cancers in 185 countries. </w:t>
      </w:r>
      <w:r w:rsidRPr="00C8550C">
        <w:rPr>
          <w:rFonts w:ascii="Book Antiqua" w:eastAsia="等线" w:hAnsi="Book Antiqua"/>
          <w:i/>
          <w:sz w:val="24"/>
          <w:szCs w:val="24"/>
        </w:rPr>
        <w:t>CA Cancer J Clin</w:t>
      </w:r>
      <w:r w:rsidRPr="00C8550C">
        <w:rPr>
          <w:rFonts w:ascii="Book Antiqua" w:eastAsia="等线" w:hAnsi="Book Antiqua"/>
          <w:sz w:val="24"/>
          <w:szCs w:val="24"/>
        </w:rPr>
        <w:t xml:space="preserve"> 2018; </w:t>
      </w:r>
      <w:r w:rsidRPr="00C8550C">
        <w:rPr>
          <w:rFonts w:ascii="Book Antiqua" w:eastAsia="等线" w:hAnsi="Book Antiqua"/>
          <w:b/>
          <w:sz w:val="24"/>
          <w:szCs w:val="24"/>
        </w:rPr>
        <w:t>68</w:t>
      </w:r>
      <w:r w:rsidRPr="00C8550C">
        <w:rPr>
          <w:rFonts w:ascii="Book Antiqua" w:eastAsia="等线" w:hAnsi="Book Antiqua"/>
          <w:sz w:val="24"/>
          <w:szCs w:val="24"/>
        </w:rPr>
        <w:t>: 394-424 [PMID: 30207593 DOI: 10.3322/caac.21492]</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 </w:t>
      </w:r>
      <w:r w:rsidRPr="00C8550C">
        <w:rPr>
          <w:rFonts w:ascii="Book Antiqua" w:eastAsia="等线" w:hAnsi="Book Antiqua"/>
          <w:b/>
          <w:sz w:val="24"/>
          <w:szCs w:val="24"/>
        </w:rPr>
        <w:t>Sia D</w:t>
      </w:r>
      <w:r w:rsidRPr="00C8550C">
        <w:rPr>
          <w:rFonts w:ascii="Book Antiqua" w:eastAsia="等线" w:hAnsi="Book Antiqua"/>
          <w:sz w:val="24"/>
          <w:szCs w:val="24"/>
        </w:rPr>
        <w:t xml:space="preserve">, Villanueva A, Friedman SL, Llovet JM. Liver Cancer Cell of Origin, Molecular Class, and Effects on Patient Prognosis. </w:t>
      </w:r>
      <w:r w:rsidRPr="00C8550C">
        <w:rPr>
          <w:rFonts w:ascii="Book Antiqua" w:eastAsia="等线" w:hAnsi="Book Antiqua"/>
          <w:i/>
          <w:sz w:val="24"/>
          <w:szCs w:val="24"/>
        </w:rPr>
        <w:t>Gastroenterology</w:t>
      </w:r>
      <w:r w:rsidRPr="00C8550C">
        <w:rPr>
          <w:rFonts w:ascii="Book Antiqua" w:eastAsia="等线" w:hAnsi="Book Antiqua"/>
          <w:sz w:val="24"/>
          <w:szCs w:val="24"/>
        </w:rPr>
        <w:t xml:space="preserve"> 2017; </w:t>
      </w:r>
      <w:r w:rsidRPr="00C8550C">
        <w:rPr>
          <w:rFonts w:ascii="Book Antiqua" w:eastAsia="等线" w:hAnsi="Book Antiqua"/>
          <w:b/>
          <w:sz w:val="24"/>
          <w:szCs w:val="24"/>
        </w:rPr>
        <w:t>152</w:t>
      </w:r>
      <w:r w:rsidRPr="00C8550C">
        <w:rPr>
          <w:rFonts w:ascii="Book Antiqua" w:eastAsia="等线" w:hAnsi="Book Antiqua"/>
          <w:sz w:val="24"/>
          <w:szCs w:val="24"/>
        </w:rPr>
        <w:t>: 745-761 [PMID: 28043904 DOI: 10.1053/j.gastro.2016.11.048]</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3 </w:t>
      </w:r>
      <w:r w:rsidRPr="00C8550C">
        <w:rPr>
          <w:rFonts w:ascii="Book Antiqua" w:eastAsia="等线" w:hAnsi="Book Antiqua"/>
          <w:b/>
          <w:sz w:val="24"/>
          <w:szCs w:val="24"/>
        </w:rPr>
        <w:t>Massarweh NN</w:t>
      </w:r>
      <w:r w:rsidRPr="00C8550C">
        <w:rPr>
          <w:rFonts w:ascii="Book Antiqua" w:eastAsia="等线" w:hAnsi="Book Antiqua"/>
          <w:sz w:val="24"/>
          <w:szCs w:val="24"/>
        </w:rPr>
        <w:t xml:space="preserve">, El-Serag HB. Epidemiology of Hepatocellular Carcinoma and Intrahepatic Cholangiocarcinoma. </w:t>
      </w:r>
      <w:r w:rsidRPr="00C8550C">
        <w:rPr>
          <w:rFonts w:ascii="Book Antiqua" w:eastAsia="等线" w:hAnsi="Book Antiqua"/>
          <w:i/>
          <w:sz w:val="24"/>
          <w:szCs w:val="24"/>
        </w:rPr>
        <w:t>Cancer Control</w:t>
      </w:r>
      <w:r w:rsidRPr="00C8550C">
        <w:rPr>
          <w:rFonts w:ascii="Book Antiqua" w:eastAsia="等线" w:hAnsi="Book Antiqua"/>
          <w:sz w:val="24"/>
          <w:szCs w:val="24"/>
        </w:rPr>
        <w:t xml:space="preserve"> 2017; </w:t>
      </w:r>
      <w:r w:rsidRPr="00C8550C">
        <w:rPr>
          <w:rFonts w:ascii="Book Antiqua" w:eastAsia="等线" w:hAnsi="Book Antiqua"/>
          <w:b/>
          <w:sz w:val="24"/>
          <w:szCs w:val="24"/>
        </w:rPr>
        <w:t>24</w:t>
      </w:r>
      <w:r w:rsidRPr="00C8550C">
        <w:rPr>
          <w:rFonts w:ascii="Book Antiqua" w:eastAsia="等线" w:hAnsi="Book Antiqua"/>
          <w:sz w:val="24"/>
          <w:szCs w:val="24"/>
        </w:rPr>
        <w:t>: 1073274817729245 [PMID: 28975830 DOI: 10.1177/1073274817729245]</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4 </w:t>
      </w:r>
      <w:r w:rsidRPr="00C8550C">
        <w:rPr>
          <w:rFonts w:ascii="Book Antiqua" w:eastAsia="等线" w:hAnsi="Book Antiqua"/>
          <w:b/>
          <w:sz w:val="24"/>
          <w:szCs w:val="24"/>
        </w:rPr>
        <w:t>Xue TC</w:t>
      </w:r>
      <w:r w:rsidRPr="00C8550C">
        <w:rPr>
          <w:rFonts w:ascii="Book Antiqua" w:eastAsia="等线" w:hAnsi="Book Antiqua"/>
          <w:sz w:val="24"/>
          <w:szCs w:val="24"/>
        </w:rPr>
        <w:t xml:space="preserve">, Zhang BH, Ye SL, Ren ZG. Differentially expressed gene profiles of intrahepatic cholangiocarcinoma, hepatocellular carcinoma, and combined hepatocellular-cholangiocarcinoma by integrated microarray analysis. </w:t>
      </w:r>
      <w:r w:rsidRPr="00C8550C">
        <w:rPr>
          <w:rFonts w:ascii="Book Antiqua" w:eastAsia="等线" w:hAnsi="Book Antiqua"/>
          <w:i/>
          <w:sz w:val="24"/>
          <w:szCs w:val="24"/>
        </w:rPr>
        <w:t>Tumour Biol</w:t>
      </w:r>
      <w:r w:rsidRPr="00C8550C">
        <w:rPr>
          <w:rFonts w:ascii="Book Antiqua" w:eastAsia="等线" w:hAnsi="Book Antiqua"/>
          <w:sz w:val="24"/>
          <w:szCs w:val="24"/>
        </w:rPr>
        <w:t xml:space="preserve"> 2015; </w:t>
      </w:r>
      <w:r w:rsidRPr="00C8550C">
        <w:rPr>
          <w:rFonts w:ascii="Book Antiqua" w:eastAsia="等线" w:hAnsi="Book Antiqua"/>
          <w:b/>
          <w:sz w:val="24"/>
          <w:szCs w:val="24"/>
        </w:rPr>
        <w:t>36</w:t>
      </w:r>
      <w:r w:rsidRPr="00C8550C">
        <w:rPr>
          <w:rFonts w:ascii="Book Antiqua" w:eastAsia="等线" w:hAnsi="Book Antiqua"/>
          <w:sz w:val="24"/>
          <w:szCs w:val="24"/>
        </w:rPr>
        <w:t>: 5891-5899 [PMID: 25712376 DOI: 10.1007/s13277-015-3261-1]</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5 </w:t>
      </w:r>
      <w:r w:rsidRPr="00C8550C">
        <w:rPr>
          <w:rFonts w:ascii="Book Antiqua" w:eastAsia="等线" w:hAnsi="Book Antiqua"/>
          <w:b/>
          <w:sz w:val="24"/>
          <w:szCs w:val="24"/>
        </w:rPr>
        <w:t>Claudon M</w:t>
      </w:r>
      <w:r w:rsidRPr="00C8550C">
        <w:rPr>
          <w:rFonts w:ascii="Book Antiqua" w:eastAsia="等线" w:hAnsi="Book Antiqua"/>
          <w:sz w:val="24"/>
          <w:szCs w:val="24"/>
        </w:rPr>
        <w:t xml:space="preserve">, Dietrich CF, Choi BI, Cosgrove DO, Kudo M, Nolsøe CP, Piscaglia F, Wilson SR, Barr RG, Chammas MC, Chaubal NG, Chen MH, Clevert DA, Correas JM, Ding H, Forsberg F, Fowlkes JB, Gibson RN, Goldberg BB, Lassau N, Leen EL, Mattrey RF, Moriyasu F, Solbiati L, Weskott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C8550C">
        <w:rPr>
          <w:rFonts w:ascii="Book Antiqua" w:eastAsia="等线" w:hAnsi="Book Antiqua"/>
          <w:i/>
          <w:sz w:val="24"/>
          <w:szCs w:val="24"/>
        </w:rPr>
        <w:t>Ultrasound Med Biol</w:t>
      </w:r>
      <w:r w:rsidRPr="00C8550C">
        <w:rPr>
          <w:rFonts w:ascii="Book Antiqua" w:eastAsia="等线" w:hAnsi="Book Antiqua"/>
          <w:sz w:val="24"/>
          <w:szCs w:val="24"/>
        </w:rPr>
        <w:t xml:space="preserve"> 2013; </w:t>
      </w:r>
      <w:r w:rsidRPr="00C8550C">
        <w:rPr>
          <w:rFonts w:ascii="Book Antiqua" w:eastAsia="等线" w:hAnsi="Book Antiqua"/>
          <w:b/>
          <w:sz w:val="24"/>
          <w:szCs w:val="24"/>
        </w:rPr>
        <w:t>39</w:t>
      </w:r>
      <w:r w:rsidRPr="00C8550C">
        <w:rPr>
          <w:rFonts w:ascii="Book Antiqua" w:eastAsia="等线" w:hAnsi="Book Antiqua"/>
          <w:sz w:val="24"/>
          <w:szCs w:val="24"/>
        </w:rPr>
        <w:t>: 187-210 [PMID: 23137926 DOI: 10.1016/j.ultrasmedbio.2012.09.002]</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6 </w:t>
      </w:r>
      <w:r w:rsidRPr="00C8550C">
        <w:rPr>
          <w:rFonts w:ascii="Book Antiqua" w:eastAsia="等线" w:hAnsi="Book Antiqua"/>
          <w:b/>
          <w:sz w:val="24"/>
          <w:szCs w:val="24"/>
        </w:rPr>
        <w:t>Claudon M</w:t>
      </w:r>
      <w:r w:rsidRPr="00C8550C">
        <w:rPr>
          <w:rFonts w:ascii="Book Antiqua" w:eastAsia="等线" w:hAnsi="Book Antiqua"/>
          <w:sz w:val="24"/>
          <w:szCs w:val="24"/>
        </w:rPr>
        <w:t xml:space="preserve">, Cosgrove D, Albrecht T, Bolondi L, Bosio M, Calliada F, Correas JM, Darge K, Dietrich C, D'Onofrio M, Evans DH, Filice C, Greiner L, Jäger K, Jong Nd, Leen E, Lencioni R, Lindsell D, Martegani A, Meairs S, Nolsøe C, Piscaglia F, Ricci P, Seidel G, Skjoldbye B, Solbiati L, Thorelius L, Tranquart F, Weskott HP, Whittingham T. Guidelines and good clinical practice recommendations for contrast enhanced ultrasound (CEUS) - update 2008. </w:t>
      </w:r>
      <w:r w:rsidRPr="00C8550C">
        <w:rPr>
          <w:rFonts w:ascii="Book Antiqua" w:eastAsia="等线" w:hAnsi="Book Antiqua"/>
          <w:i/>
          <w:sz w:val="24"/>
          <w:szCs w:val="24"/>
        </w:rPr>
        <w:t>Ultraschall Med</w:t>
      </w:r>
      <w:r w:rsidRPr="00C8550C">
        <w:rPr>
          <w:rFonts w:ascii="Book Antiqua" w:eastAsia="等线" w:hAnsi="Book Antiqua"/>
          <w:sz w:val="24"/>
          <w:szCs w:val="24"/>
        </w:rPr>
        <w:t xml:space="preserve"> 2008; </w:t>
      </w:r>
      <w:r w:rsidRPr="00C8550C">
        <w:rPr>
          <w:rFonts w:ascii="Book Antiqua" w:eastAsia="等线" w:hAnsi="Book Antiqua"/>
          <w:b/>
          <w:sz w:val="24"/>
          <w:szCs w:val="24"/>
        </w:rPr>
        <w:t>29</w:t>
      </w:r>
      <w:r w:rsidRPr="00C8550C">
        <w:rPr>
          <w:rFonts w:ascii="Book Antiqua" w:eastAsia="等线" w:hAnsi="Book Antiqua"/>
          <w:sz w:val="24"/>
          <w:szCs w:val="24"/>
        </w:rPr>
        <w:t>: 28-44 [PMID: 18270887 DOI: 10.1055/s-2007-963785]</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7 </w:t>
      </w:r>
      <w:r w:rsidRPr="00C8550C">
        <w:rPr>
          <w:rFonts w:ascii="Book Antiqua" w:eastAsia="等线" w:hAnsi="Book Antiqua"/>
          <w:b/>
          <w:sz w:val="24"/>
          <w:szCs w:val="24"/>
        </w:rPr>
        <w:t>Italian Association for the Study of the Liver (AISF).</w:t>
      </w:r>
      <w:r w:rsidRPr="00C8550C">
        <w:rPr>
          <w:rFonts w:ascii="Book Antiqua" w:eastAsia="等线" w:hAnsi="Book Antiqua"/>
          <w:sz w:val="24"/>
          <w:szCs w:val="24"/>
        </w:rPr>
        <w:t xml:space="preserve">; AISF Expert Panel; AISF Coordinating Committee, Bolondi L, Cillo U, Colombo M, Craxì A, Farinati F, Giannini EG, Golfieri R, Levrero M, Pinna AD, Piscaglia F, Raimondo G, Trevisani F, Bruno R, Caraceni P, Ciancio A, Coco B, Fraquelli M, Rendina M, Squadrito G, Toniutto P. Position paper of the Italian Association for the Study of the Liver (AISF): the multidisciplinary clinical approach to hepatocellular carcinoma. </w:t>
      </w:r>
      <w:r w:rsidRPr="00C8550C">
        <w:rPr>
          <w:rFonts w:ascii="Book Antiqua" w:eastAsia="等线" w:hAnsi="Book Antiqua"/>
          <w:i/>
          <w:sz w:val="24"/>
          <w:szCs w:val="24"/>
        </w:rPr>
        <w:t>Dig Liver Dis</w:t>
      </w:r>
      <w:r w:rsidRPr="00C8550C">
        <w:rPr>
          <w:rFonts w:ascii="Book Antiqua" w:eastAsia="等线" w:hAnsi="Book Antiqua"/>
          <w:sz w:val="24"/>
          <w:szCs w:val="24"/>
        </w:rPr>
        <w:t xml:space="preserve"> 2013; </w:t>
      </w:r>
      <w:r w:rsidRPr="00C8550C">
        <w:rPr>
          <w:rFonts w:ascii="Book Antiqua" w:eastAsia="等线" w:hAnsi="Book Antiqua"/>
          <w:b/>
          <w:sz w:val="24"/>
          <w:szCs w:val="24"/>
        </w:rPr>
        <w:t>45</w:t>
      </w:r>
      <w:r w:rsidRPr="00C8550C">
        <w:rPr>
          <w:rFonts w:ascii="Book Antiqua" w:eastAsia="等线" w:hAnsi="Book Antiqua"/>
          <w:sz w:val="24"/>
          <w:szCs w:val="24"/>
        </w:rPr>
        <w:t>: 712-723 [PMID: 23769756 DOI: 10.1016/j.dld.2013.01.012]</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8 </w:t>
      </w:r>
      <w:r w:rsidRPr="00C8550C">
        <w:rPr>
          <w:rFonts w:ascii="Book Antiqua" w:eastAsia="等线" w:hAnsi="Book Antiqua"/>
          <w:b/>
          <w:sz w:val="24"/>
          <w:szCs w:val="24"/>
        </w:rPr>
        <w:t>Omata M</w:t>
      </w:r>
      <w:r w:rsidRPr="00C8550C">
        <w:rPr>
          <w:rFonts w:ascii="Book Antiqua" w:eastAsia="等线" w:hAnsi="Book Antiqua"/>
          <w:sz w:val="24"/>
          <w:szCs w:val="24"/>
        </w:rPr>
        <w:t xml:space="preserve">, Lesmana LA, Tateishi R, Chen PJ, Lin SM, Yoshida H, Kudo M, Lee JM, Choi BI, Poon RT, Shiina S, Cheng AL, Jia JD, Obi S, Han KH, Jafri W, Chow P, Lim SG, Chawla YK, Budihusodo U, Gani RA, Lesmana CR, Putranto TA, Liaw YF, Sarin SK. Asian Pacific Association for the Study of the Liver consensus recommendations on hepatocellular carcinoma. </w:t>
      </w:r>
      <w:r w:rsidRPr="00C8550C">
        <w:rPr>
          <w:rFonts w:ascii="Book Antiqua" w:eastAsia="等线" w:hAnsi="Book Antiqua"/>
          <w:i/>
          <w:sz w:val="24"/>
          <w:szCs w:val="24"/>
        </w:rPr>
        <w:t>Hepatol Int</w:t>
      </w:r>
      <w:r w:rsidRPr="00C8550C">
        <w:rPr>
          <w:rFonts w:ascii="Book Antiqua" w:eastAsia="等线" w:hAnsi="Book Antiqua"/>
          <w:sz w:val="24"/>
          <w:szCs w:val="24"/>
        </w:rPr>
        <w:t xml:space="preserve"> 2010; </w:t>
      </w:r>
      <w:r w:rsidRPr="00C8550C">
        <w:rPr>
          <w:rFonts w:ascii="Book Antiqua" w:eastAsia="等线" w:hAnsi="Book Antiqua"/>
          <w:b/>
          <w:sz w:val="24"/>
          <w:szCs w:val="24"/>
        </w:rPr>
        <w:t>4</w:t>
      </w:r>
      <w:r w:rsidRPr="00C8550C">
        <w:rPr>
          <w:rFonts w:ascii="Book Antiqua" w:eastAsia="等线" w:hAnsi="Book Antiqua"/>
          <w:sz w:val="24"/>
          <w:szCs w:val="24"/>
        </w:rPr>
        <w:t>: 439-474 [PMID: 20827404 DOI: 10.1007/s12072-010-9165-7]</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9 </w:t>
      </w:r>
      <w:r w:rsidRPr="00C8550C">
        <w:rPr>
          <w:rFonts w:ascii="Book Antiqua" w:eastAsia="等线" w:hAnsi="Book Antiqua"/>
          <w:b/>
          <w:sz w:val="24"/>
          <w:szCs w:val="24"/>
        </w:rPr>
        <w:t>Kudo M</w:t>
      </w:r>
      <w:r w:rsidRPr="00C8550C">
        <w:rPr>
          <w:rFonts w:ascii="Book Antiqua" w:eastAsia="等线" w:hAnsi="Book Antiqua"/>
          <w:sz w:val="24"/>
          <w:szCs w:val="24"/>
        </w:rPr>
        <w:t xml:space="preserve">, Matsui O, Izumi N, Iijima H, Kadoya M, Imai Y, Okusaka T, Miyayama S, Tsuchiya K, Ueshima K, Hiraoka A, Ikeda M, Ogasawara S, Yamashita T, Minami T, Yamakado K; Liver Cancer Study Group of Japan. JSH Consensus-Based Clinical Practice Guidelines for the Management of Hepatocellular Carcinoma: 2014 Update by the Liver Cancer Study Group of Japan. </w:t>
      </w:r>
      <w:r w:rsidRPr="00C8550C">
        <w:rPr>
          <w:rFonts w:ascii="Book Antiqua" w:eastAsia="等线" w:hAnsi="Book Antiqua"/>
          <w:i/>
          <w:sz w:val="24"/>
          <w:szCs w:val="24"/>
        </w:rPr>
        <w:t>Liver Cancer</w:t>
      </w:r>
      <w:r w:rsidRPr="00C8550C">
        <w:rPr>
          <w:rFonts w:ascii="Book Antiqua" w:eastAsia="等线" w:hAnsi="Book Antiqua"/>
          <w:sz w:val="24"/>
          <w:szCs w:val="24"/>
        </w:rPr>
        <w:t xml:space="preserve"> 2014; </w:t>
      </w:r>
      <w:r w:rsidRPr="00C8550C">
        <w:rPr>
          <w:rFonts w:ascii="Book Antiqua" w:eastAsia="等线" w:hAnsi="Book Antiqua"/>
          <w:b/>
          <w:sz w:val="24"/>
          <w:szCs w:val="24"/>
        </w:rPr>
        <w:t>3</w:t>
      </w:r>
      <w:r w:rsidRPr="00C8550C">
        <w:rPr>
          <w:rFonts w:ascii="Book Antiqua" w:eastAsia="等线" w:hAnsi="Book Antiqua"/>
          <w:sz w:val="24"/>
          <w:szCs w:val="24"/>
        </w:rPr>
        <w:t>: 458-468 [PMID: 26280007 DOI: 10.1159/000343875]</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10 </w:t>
      </w:r>
      <w:r w:rsidRPr="00C8550C">
        <w:rPr>
          <w:rFonts w:ascii="Book Antiqua" w:eastAsia="等线" w:hAnsi="Book Antiqua"/>
          <w:b/>
          <w:sz w:val="24"/>
          <w:szCs w:val="24"/>
        </w:rPr>
        <w:t>Bruix J</w:t>
      </w:r>
      <w:r w:rsidRPr="00C8550C">
        <w:rPr>
          <w:rFonts w:ascii="Book Antiqua" w:eastAsia="等线" w:hAnsi="Book Antiqua"/>
          <w:sz w:val="24"/>
          <w:szCs w:val="24"/>
        </w:rPr>
        <w:t xml:space="preserve">, Sherman M; American Association for the Study of Liver Diseases. Management of hepatocellular carcinoma: an update. </w:t>
      </w:r>
      <w:r w:rsidRPr="00C8550C">
        <w:rPr>
          <w:rFonts w:ascii="Book Antiqua" w:eastAsia="等线" w:hAnsi="Book Antiqua"/>
          <w:i/>
          <w:sz w:val="24"/>
          <w:szCs w:val="24"/>
        </w:rPr>
        <w:t>Hepatology</w:t>
      </w:r>
      <w:r w:rsidRPr="00C8550C">
        <w:rPr>
          <w:rFonts w:ascii="Book Antiqua" w:eastAsia="等线" w:hAnsi="Book Antiqua"/>
          <w:sz w:val="24"/>
          <w:szCs w:val="24"/>
        </w:rPr>
        <w:t xml:space="preserve"> 2011; </w:t>
      </w:r>
      <w:r w:rsidRPr="00C8550C">
        <w:rPr>
          <w:rFonts w:ascii="Book Antiqua" w:eastAsia="等线" w:hAnsi="Book Antiqua"/>
          <w:b/>
          <w:sz w:val="24"/>
          <w:szCs w:val="24"/>
        </w:rPr>
        <w:t>53</w:t>
      </w:r>
      <w:r w:rsidRPr="00C8550C">
        <w:rPr>
          <w:rFonts w:ascii="Book Antiqua" w:eastAsia="等线" w:hAnsi="Book Antiqua"/>
          <w:sz w:val="24"/>
          <w:szCs w:val="24"/>
        </w:rPr>
        <w:t>: 1020-1022 [PMID: 21374666 DOI: 10.1002/hep.24199]</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11 </w:t>
      </w:r>
      <w:r w:rsidRPr="00C8550C">
        <w:rPr>
          <w:rFonts w:ascii="Book Antiqua" w:eastAsia="等线" w:hAnsi="Book Antiqua"/>
          <w:b/>
          <w:sz w:val="24"/>
          <w:szCs w:val="24"/>
        </w:rPr>
        <w:t>Vilana R</w:t>
      </w:r>
      <w:r w:rsidRPr="00C8550C">
        <w:rPr>
          <w:rFonts w:ascii="Book Antiqua" w:eastAsia="等线" w:hAnsi="Book Antiqua"/>
          <w:sz w:val="24"/>
          <w:szCs w:val="24"/>
        </w:rPr>
        <w:t xml:space="preserve">, Forner A, Bianchi L, García-Criado A, Rimola J, de Lope CR, Reig M, Ayuso C, Brú C, Bruix J. Intrahepatic peripheral cholangiocarcinoma in cirrhosis patients may display a vascular pattern similar to hepatocellular carcinoma on contrast-enhanced ultrasound. </w:t>
      </w:r>
      <w:r w:rsidRPr="00C8550C">
        <w:rPr>
          <w:rFonts w:ascii="Book Antiqua" w:eastAsia="等线" w:hAnsi="Book Antiqua"/>
          <w:i/>
          <w:sz w:val="24"/>
          <w:szCs w:val="24"/>
        </w:rPr>
        <w:t>Hepatology</w:t>
      </w:r>
      <w:r w:rsidRPr="00C8550C">
        <w:rPr>
          <w:rFonts w:ascii="Book Antiqua" w:eastAsia="等线" w:hAnsi="Book Antiqua"/>
          <w:sz w:val="24"/>
          <w:szCs w:val="24"/>
        </w:rPr>
        <w:t xml:space="preserve"> 2010; </w:t>
      </w:r>
      <w:r w:rsidRPr="00C8550C">
        <w:rPr>
          <w:rFonts w:ascii="Book Antiqua" w:eastAsia="等线" w:hAnsi="Book Antiqua"/>
          <w:b/>
          <w:sz w:val="24"/>
          <w:szCs w:val="24"/>
        </w:rPr>
        <w:t>51</w:t>
      </w:r>
      <w:r w:rsidRPr="00C8550C">
        <w:rPr>
          <w:rFonts w:ascii="Book Antiqua" w:eastAsia="等线" w:hAnsi="Book Antiqua"/>
          <w:sz w:val="24"/>
          <w:szCs w:val="24"/>
        </w:rPr>
        <w:t>: 2020-2029 [PMID: 20512990 DOI: 10.1002/hep.23600]</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12 </w:t>
      </w:r>
      <w:r w:rsidRPr="00C8550C">
        <w:rPr>
          <w:rFonts w:ascii="Book Antiqua" w:eastAsia="等线" w:hAnsi="Book Antiqua"/>
          <w:b/>
          <w:sz w:val="24"/>
          <w:szCs w:val="24"/>
        </w:rPr>
        <w:t>Chen LD</w:t>
      </w:r>
      <w:r w:rsidRPr="00C8550C">
        <w:rPr>
          <w:rFonts w:ascii="Book Antiqua" w:eastAsia="等线" w:hAnsi="Book Antiqua"/>
          <w:sz w:val="24"/>
          <w:szCs w:val="24"/>
        </w:rPr>
        <w:t xml:space="preserve">, Ruan SM, Liang JY, Yang Z, Shen SL, Huang Y, Li W, Wang Z, Xie XY, Lu MD, Kuang M, Wang W. Differentiation of intrahepatic cholangiocarcinoma from hepatocellular carcinoma in high-risk patients: A predictive model using contrast-enhanced ultrasound. </w:t>
      </w:r>
      <w:r w:rsidRPr="00C8550C">
        <w:rPr>
          <w:rFonts w:ascii="Book Antiqua" w:eastAsia="等线" w:hAnsi="Book Antiqua"/>
          <w:i/>
          <w:sz w:val="24"/>
          <w:szCs w:val="24"/>
        </w:rPr>
        <w:t>World J Gastroenterol</w:t>
      </w:r>
      <w:r w:rsidRPr="00C8550C">
        <w:rPr>
          <w:rFonts w:ascii="Book Antiqua" w:eastAsia="等线" w:hAnsi="Book Antiqua"/>
          <w:sz w:val="24"/>
          <w:szCs w:val="24"/>
        </w:rPr>
        <w:t xml:space="preserve"> 2018; </w:t>
      </w:r>
      <w:r w:rsidRPr="00C8550C">
        <w:rPr>
          <w:rFonts w:ascii="Book Antiqua" w:eastAsia="等线" w:hAnsi="Book Antiqua"/>
          <w:b/>
          <w:sz w:val="24"/>
          <w:szCs w:val="24"/>
        </w:rPr>
        <w:t>24</w:t>
      </w:r>
      <w:r w:rsidRPr="00C8550C">
        <w:rPr>
          <w:rFonts w:ascii="Book Antiqua" w:eastAsia="等线" w:hAnsi="Book Antiqua"/>
          <w:sz w:val="24"/>
          <w:szCs w:val="24"/>
        </w:rPr>
        <w:t>: 3786-3798 [PMID: 30197484 DOI: 10.3748/wjg.v24.i33.3786]</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13 </w:t>
      </w:r>
      <w:r w:rsidRPr="00C8550C">
        <w:rPr>
          <w:rFonts w:ascii="Book Antiqua" w:eastAsia="等线" w:hAnsi="Book Antiqua"/>
          <w:b/>
          <w:sz w:val="24"/>
          <w:szCs w:val="24"/>
        </w:rPr>
        <w:t>Liu GJ</w:t>
      </w:r>
      <w:r w:rsidRPr="00C8550C">
        <w:rPr>
          <w:rFonts w:ascii="Book Antiqua" w:eastAsia="等线" w:hAnsi="Book Antiqua"/>
          <w:sz w:val="24"/>
          <w:szCs w:val="24"/>
        </w:rPr>
        <w:t xml:space="preserve">, Wang W, Lu MD, Xie XY, Xu HX, Xu ZF, Chen LD, Wang Z, Liang JY, Huang Y, Li W, Liu JY. Contrast-Enhanced Ultrasound for the Characterization of Hepatocellular Carcinoma and Intrahepatic Cholangiocarcinoma. </w:t>
      </w:r>
      <w:r w:rsidRPr="00C8550C">
        <w:rPr>
          <w:rFonts w:ascii="Book Antiqua" w:eastAsia="等线" w:hAnsi="Book Antiqua"/>
          <w:i/>
          <w:sz w:val="24"/>
          <w:szCs w:val="24"/>
        </w:rPr>
        <w:t>Liver Cancer</w:t>
      </w:r>
      <w:r w:rsidRPr="00C8550C">
        <w:rPr>
          <w:rFonts w:ascii="Book Antiqua" w:eastAsia="等线" w:hAnsi="Book Antiqua"/>
          <w:sz w:val="24"/>
          <w:szCs w:val="24"/>
        </w:rPr>
        <w:t xml:space="preserve"> 2015; </w:t>
      </w:r>
      <w:r w:rsidRPr="00C8550C">
        <w:rPr>
          <w:rFonts w:ascii="Book Antiqua" w:eastAsia="等线" w:hAnsi="Book Antiqua"/>
          <w:b/>
          <w:sz w:val="24"/>
          <w:szCs w:val="24"/>
        </w:rPr>
        <w:t>4</w:t>
      </w:r>
      <w:r w:rsidRPr="00C8550C">
        <w:rPr>
          <w:rFonts w:ascii="Book Antiqua" w:eastAsia="等线" w:hAnsi="Book Antiqua"/>
          <w:sz w:val="24"/>
          <w:szCs w:val="24"/>
        </w:rPr>
        <w:t>: 241-252 [PMID: 26779444 DOI: 10.1159/000367738]</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14 </w:t>
      </w:r>
      <w:r w:rsidRPr="00C8550C">
        <w:rPr>
          <w:rFonts w:ascii="Book Antiqua" w:eastAsia="等线" w:hAnsi="Book Antiqua"/>
          <w:b/>
          <w:sz w:val="24"/>
          <w:szCs w:val="24"/>
        </w:rPr>
        <w:t>Chen LD</w:t>
      </w:r>
      <w:r w:rsidRPr="00C8550C">
        <w:rPr>
          <w:rFonts w:ascii="Book Antiqua" w:eastAsia="等线" w:hAnsi="Book Antiqua"/>
          <w:sz w:val="24"/>
          <w:szCs w:val="24"/>
        </w:rPr>
        <w:t xml:space="preserve">, Xu HX, Xie XY, Xie XH, Xu ZF, Liu GJ, Wang Z, Lin MX, Lu MD. Intrahepatic cholangiocarcinoma and hepatocellular carcinoma: differential diagnosis with contrast-enhanced ultrasound. </w:t>
      </w:r>
      <w:r w:rsidRPr="00C8550C">
        <w:rPr>
          <w:rFonts w:ascii="Book Antiqua" w:eastAsia="等线" w:hAnsi="Book Antiqua"/>
          <w:i/>
          <w:sz w:val="24"/>
          <w:szCs w:val="24"/>
        </w:rPr>
        <w:t>Eur Radiol</w:t>
      </w:r>
      <w:r w:rsidRPr="00C8550C">
        <w:rPr>
          <w:rFonts w:ascii="Book Antiqua" w:eastAsia="等线" w:hAnsi="Book Antiqua"/>
          <w:sz w:val="24"/>
          <w:szCs w:val="24"/>
        </w:rPr>
        <w:t xml:space="preserve"> 2010; </w:t>
      </w:r>
      <w:r w:rsidRPr="00C8550C">
        <w:rPr>
          <w:rFonts w:ascii="Book Antiqua" w:eastAsia="等线" w:hAnsi="Book Antiqua"/>
          <w:b/>
          <w:sz w:val="24"/>
          <w:szCs w:val="24"/>
        </w:rPr>
        <w:t>20</w:t>
      </w:r>
      <w:r w:rsidRPr="00C8550C">
        <w:rPr>
          <w:rFonts w:ascii="Book Antiqua" w:eastAsia="等线" w:hAnsi="Book Antiqua"/>
          <w:sz w:val="24"/>
          <w:szCs w:val="24"/>
        </w:rPr>
        <w:t>: 743-753 [PMID: 19760416 DOI: 10.1007/s00330-009-1599-8]</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15 </w:t>
      </w:r>
      <w:r w:rsidRPr="00C8550C">
        <w:rPr>
          <w:rFonts w:ascii="Book Antiqua" w:eastAsia="等线" w:hAnsi="Book Antiqua"/>
          <w:b/>
          <w:sz w:val="24"/>
          <w:szCs w:val="24"/>
        </w:rPr>
        <w:t>Han J</w:t>
      </w:r>
      <w:r w:rsidRPr="00C8550C">
        <w:rPr>
          <w:rFonts w:ascii="Book Antiqua" w:eastAsia="等线" w:hAnsi="Book Antiqua"/>
          <w:sz w:val="24"/>
          <w:szCs w:val="24"/>
        </w:rPr>
        <w:t xml:space="preserve">, Liu Y, Han F, Li Q, Yan C, Zheng W, Wang J, Guo Z, Wang J, Li A, Zhou J. The Degree of Contrast Washout on Contrast-Enhanced Ultrasound in Distinguishing Intrahepatic Cholangiocarcinoma from Hepatocellular Carcinoma. </w:t>
      </w:r>
      <w:r w:rsidRPr="00C8550C">
        <w:rPr>
          <w:rFonts w:ascii="Book Antiqua" w:eastAsia="等线" w:hAnsi="Book Antiqua"/>
          <w:i/>
          <w:sz w:val="24"/>
          <w:szCs w:val="24"/>
        </w:rPr>
        <w:t>Ultrasound Med Biol</w:t>
      </w:r>
      <w:r w:rsidRPr="00C8550C">
        <w:rPr>
          <w:rFonts w:ascii="Book Antiqua" w:eastAsia="等线" w:hAnsi="Book Antiqua"/>
          <w:sz w:val="24"/>
          <w:szCs w:val="24"/>
        </w:rPr>
        <w:t xml:space="preserve"> 2015; </w:t>
      </w:r>
      <w:r w:rsidRPr="00C8550C">
        <w:rPr>
          <w:rFonts w:ascii="Book Antiqua" w:eastAsia="等线" w:hAnsi="Book Antiqua"/>
          <w:b/>
          <w:sz w:val="24"/>
          <w:szCs w:val="24"/>
        </w:rPr>
        <w:t>41</w:t>
      </w:r>
      <w:r w:rsidRPr="00C8550C">
        <w:rPr>
          <w:rFonts w:ascii="Book Antiqua" w:eastAsia="等线" w:hAnsi="Book Antiqua"/>
          <w:sz w:val="24"/>
          <w:szCs w:val="24"/>
        </w:rPr>
        <w:t>: 3088-3095 [PMID: 26386477 DOI: 10.1016/j.ultrasmedbio.2015.08.001]</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16 </w:t>
      </w:r>
      <w:r w:rsidRPr="00C8550C">
        <w:rPr>
          <w:rFonts w:ascii="Book Antiqua" w:eastAsia="等线" w:hAnsi="Book Antiqua"/>
          <w:b/>
          <w:sz w:val="24"/>
          <w:szCs w:val="24"/>
        </w:rPr>
        <w:t>Bohle W</w:t>
      </w:r>
      <w:r w:rsidRPr="00C8550C">
        <w:rPr>
          <w:rFonts w:ascii="Book Antiqua" w:eastAsia="等线" w:hAnsi="Book Antiqua"/>
          <w:sz w:val="24"/>
          <w:szCs w:val="24"/>
        </w:rPr>
        <w:t xml:space="preserve">, Clemens PU, Heubach T, Zoller WG. Contrast-enhanced ultrasound (CEUS) for differentiating between hepatocellular and cholangiocellular carcinoma. </w:t>
      </w:r>
      <w:r w:rsidRPr="00C8550C">
        <w:rPr>
          <w:rFonts w:ascii="Book Antiqua" w:eastAsia="等线" w:hAnsi="Book Antiqua"/>
          <w:i/>
          <w:sz w:val="24"/>
          <w:szCs w:val="24"/>
        </w:rPr>
        <w:t>Ultraschall Med</w:t>
      </w:r>
      <w:r w:rsidRPr="00C8550C">
        <w:rPr>
          <w:rFonts w:ascii="Book Antiqua" w:eastAsia="等线" w:hAnsi="Book Antiqua"/>
          <w:sz w:val="24"/>
          <w:szCs w:val="24"/>
        </w:rPr>
        <w:t xml:space="preserve"> 2012; </w:t>
      </w:r>
      <w:r w:rsidRPr="00C8550C">
        <w:rPr>
          <w:rFonts w:ascii="Book Antiqua" w:eastAsia="等线" w:hAnsi="Book Antiqua"/>
          <w:b/>
          <w:sz w:val="24"/>
          <w:szCs w:val="24"/>
        </w:rPr>
        <w:t>33</w:t>
      </w:r>
      <w:r w:rsidRPr="00C8550C">
        <w:rPr>
          <w:rFonts w:ascii="Book Antiqua" w:eastAsia="等线" w:hAnsi="Book Antiqua"/>
          <w:sz w:val="24"/>
          <w:szCs w:val="24"/>
        </w:rPr>
        <w:t>: E191-E195 [PMID: 22194045 DOI: 10.1055/s-0031-1282029]</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17 </w:t>
      </w:r>
      <w:r w:rsidRPr="00C8550C">
        <w:rPr>
          <w:rFonts w:ascii="Book Antiqua" w:eastAsia="等线" w:hAnsi="Book Antiqua"/>
          <w:b/>
          <w:sz w:val="24"/>
          <w:szCs w:val="24"/>
        </w:rPr>
        <w:t>Terzi E</w:t>
      </w:r>
      <w:r w:rsidRPr="00C8550C">
        <w:rPr>
          <w:rFonts w:ascii="Book Antiqua" w:eastAsia="等线" w:hAnsi="Book Antiqua"/>
          <w:sz w:val="24"/>
          <w:szCs w:val="24"/>
        </w:rPr>
        <w:t xml:space="preserve">, Iavarone M, Pompili M, Veronese L, Cabibbo G, Fraquelli M, Riccardi L, De Bonis L, Sangiovanni A, Leoni S, Zocco MA, Rossi S, Alessi N, Wilson SR, Piscaglia F; CEUS LI-RADS Italy study group collaborators:. Contrast ultrasound LI-RADS LR-5 identifies hepatocellular carcinoma in cirrhosis in a multicenter restropective study of 1,006 nodules. </w:t>
      </w:r>
      <w:r w:rsidRPr="00C8550C">
        <w:rPr>
          <w:rFonts w:ascii="Book Antiqua" w:eastAsia="等线" w:hAnsi="Book Antiqua"/>
          <w:i/>
          <w:sz w:val="24"/>
          <w:szCs w:val="24"/>
        </w:rPr>
        <w:t>J Hepatol</w:t>
      </w:r>
      <w:r w:rsidRPr="00C8550C">
        <w:rPr>
          <w:rFonts w:ascii="Book Antiqua" w:eastAsia="等线" w:hAnsi="Book Antiqua"/>
          <w:sz w:val="24"/>
          <w:szCs w:val="24"/>
        </w:rPr>
        <w:t xml:space="preserve"> 2018; </w:t>
      </w:r>
      <w:r w:rsidRPr="00C8550C">
        <w:rPr>
          <w:rFonts w:ascii="Book Antiqua" w:eastAsia="等线" w:hAnsi="Book Antiqua"/>
          <w:b/>
          <w:sz w:val="24"/>
          <w:szCs w:val="24"/>
        </w:rPr>
        <w:t>68</w:t>
      </w:r>
      <w:r w:rsidRPr="00C8550C">
        <w:rPr>
          <w:rFonts w:ascii="Book Antiqua" w:eastAsia="等线" w:hAnsi="Book Antiqua"/>
          <w:sz w:val="24"/>
          <w:szCs w:val="24"/>
        </w:rPr>
        <w:t>: 485-492 [PMID: 29133247 DOI: 10.1016/j.jhep.2017.11.007]</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18 </w:t>
      </w:r>
      <w:r w:rsidRPr="00C8550C">
        <w:rPr>
          <w:rFonts w:ascii="Book Antiqua" w:eastAsia="等线" w:hAnsi="Book Antiqua"/>
          <w:b/>
          <w:sz w:val="24"/>
          <w:szCs w:val="24"/>
        </w:rPr>
        <w:t>Li F</w:t>
      </w:r>
      <w:r w:rsidRPr="00C8550C">
        <w:rPr>
          <w:rFonts w:ascii="Book Antiqua" w:eastAsia="等线" w:hAnsi="Book Antiqua"/>
          <w:sz w:val="24"/>
          <w:szCs w:val="24"/>
        </w:rPr>
        <w:t xml:space="preserve">, Li Q, Liu Y, Han J, Zheng W, Huang Y, Zheng X, Cao L, Zhou JH. Distinguishing intrahepatic cholangiocarcinoma from hepatocellular carcinoma in patients with and without risks: the evaluation of the LR-M criteria of contrast-enhanced ultrasound liver imaging reporting and data system version 2017. </w:t>
      </w:r>
      <w:r w:rsidRPr="00C8550C">
        <w:rPr>
          <w:rFonts w:ascii="Book Antiqua" w:eastAsia="等线" w:hAnsi="Book Antiqua"/>
          <w:i/>
          <w:sz w:val="24"/>
          <w:szCs w:val="24"/>
        </w:rPr>
        <w:t>Eur Radiol</w:t>
      </w:r>
      <w:r w:rsidRPr="00C8550C">
        <w:rPr>
          <w:rFonts w:ascii="Book Antiqua" w:eastAsia="等线" w:hAnsi="Book Antiqua"/>
          <w:sz w:val="24"/>
          <w:szCs w:val="24"/>
        </w:rPr>
        <w:t xml:space="preserve"> 2020; </w:t>
      </w:r>
      <w:r w:rsidRPr="00C8550C">
        <w:rPr>
          <w:rFonts w:ascii="Book Antiqua" w:eastAsia="等线" w:hAnsi="Book Antiqua"/>
          <w:b/>
          <w:sz w:val="24"/>
          <w:szCs w:val="24"/>
        </w:rPr>
        <w:t>30</w:t>
      </w:r>
      <w:r w:rsidRPr="00C8550C">
        <w:rPr>
          <w:rFonts w:ascii="Book Antiqua" w:eastAsia="等线" w:hAnsi="Book Antiqua"/>
          <w:sz w:val="24"/>
          <w:szCs w:val="24"/>
        </w:rPr>
        <w:t>: 461-470 [PMID: 31297632 DOI: 10.1007/s00330-019-06317-2]</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19 </w:t>
      </w:r>
      <w:r w:rsidRPr="00C8550C">
        <w:rPr>
          <w:rFonts w:ascii="Book Antiqua" w:eastAsia="等线" w:hAnsi="Book Antiqua"/>
          <w:b/>
          <w:sz w:val="24"/>
          <w:szCs w:val="24"/>
        </w:rPr>
        <w:t>Piscaglia F</w:t>
      </w:r>
      <w:r w:rsidRPr="00C8550C">
        <w:rPr>
          <w:rFonts w:ascii="Book Antiqua" w:eastAsia="等线" w:hAnsi="Book Antiqua"/>
          <w:sz w:val="24"/>
          <w:szCs w:val="24"/>
        </w:rPr>
        <w:t xml:space="preserve">, Wilson SR, Lyshchik A, Cosgrove D, Dietrich CF, Jang HJ, Kim TK, Salvatore V, Willmann JK, Sirlin CB, Kono Y. American College of Radiology Contrast Enhanced Ultrasound Liver Imaging Reporting and Data System (CEUS LI-RADS) for the diagnosis of Hepatocellular Carcinoma: a pictorial essay. </w:t>
      </w:r>
      <w:r w:rsidRPr="00C8550C">
        <w:rPr>
          <w:rFonts w:ascii="Book Antiqua" w:eastAsia="等线" w:hAnsi="Book Antiqua"/>
          <w:i/>
          <w:sz w:val="24"/>
          <w:szCs w:val="24"/>
        </w:rPr>
        <w:t>Ultraschall Med</w:t>
      </w:r>
      <w:r w:rsidRPr="00C8550C">
        <w:rPr>
          <w:rFonts w:ascii="Book Antiqua" w:eastAsia="等线" w:hAnsi="Book Antiqua"/>
          <w:sz w:val="24"/>
          <w:szCs w:val="24"/>
        </w:rPr>
        <w:t xml:space="preserve"> 2017; </w:t>
      </w:r>
      <w:r w:rsidRPr="00C8550C">
        <w:rPr>
          <w:rFonts w:ascii="Book Antiqua" w:eastAsia="等线" w:hAnsi="Book Antiqua"/>
          <w:b/>
          <w:sz w:val="24"/>
          <w:szCs w:val="24"/>
        </w:rPr>
        <w:t>38</w:t>
      </w:r>
      <w:r w:rsidRPr="00C8550C">
        <w:rPr>
          <w:rFonts w:ascii="Book Antiqua" w:eastAsia="等线" w:hAnsi="Book Antiqua"/>
          <w:sz w:val="24"/>
          <w:szCs w:val="24"/>
        </w:rPr>
        <w:t>: 320-324 [PMID: 28329875 DOI: 10.1055/s-0042-124661]</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20 </w:t>
      </w:r>
      <w:r w:rsidRPr="00C8550C">
        <w:rPr>
          <w:rFonts w:ascii="Book Antiqua" w:eastAsia="等线" w:hAnsi="Book Antiqua"/>
          <w:b/>
          <w:sz w:val="24"/>
          <w:szCs w:val="24"/>
        </w:rPr>
        <w:t>Huang JY</w:t>
      </w:r>
      <w:r w:rsidRPr="00C8550C">
        <w:rPr>
          <w:rFonts w:ascii="Book Antiqua" w:eastAsia="等线" w:hAnsi="Book Antiqua"/>
          <w:sz w:val="24"/>
          <w:szCs w:val="24"/>
        </w:rPr>
        <w:t xml:space="preserve">, Li JW, Lu Q, Luo Y, Lin L, Shi YJ, Li T, Liu JB, Lyshchik A. Diagnostic Accuracy of CEUS LI-RADS for the Characterization of Liver Nodules 20 mm or Smaller in Patients at Risk for Hepatocellular Carcinoma. </w:t>
      </w:r>
      <w:r w:rsidRPr="00C8550C">
        <w:rPr>
          <w:rFonts w:ascii="Book Antiqua" w:eastAsia="等线" w:hAnsi="Book Antiqua"/>
          <w:i/>
          <w:sz w:val="24"/>
          <w:szCs w:val="24"/>
        </w:rPr>
        <w:t>Radiology</w:t>
      </w:r>
      <w:r w:rsidRPr="00C8550C">
        <w:rPr>
          <w:rFonts w:ascii="Book Antiqua" w:eastAsia="等线" w:hAnsi="Book Antiqua"/>
          <w:sz w:val="24"/>
          <w:szCs w:val="24"/>
        </w:rPr>
        <w:t xml:space="preserve"> 2020; </w:t>
      </w:r>
      <w:r w:rsidRPr="00C8550C">
        <w:rPr>
          <w:rFonts w:ascii="Book Antiqua" w:eastAsia="等线" w:hAnsi="Book Antiqua"/>
          <w:b/>
          <w:sz w:val="24"/>
          <w:szCs w:val="24"/>
        </w:rPr>
        <w:t>294</w:t>
      </w:r>
      <w:r w:rsidRPr="00C8550C">
        <w:rPr>
          <w:rFonts w:ascii="Book Antiqua" w:eastAsia="等线" w:hAnsi="Book Antiqua"/>
          <w:sz w:val="24"/>
          <w:szCs w:val="24"/>
        </w:rPr>
        <w:t>: 329-339 [PMID: 31793849 DOI: 10.1148/radiol.2019191086]</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21 </w:t>
      </w:r>
      <w:r w:rsidRPr="00C8550C">
        <w:rPr>
          <w:rFonts w:ascii="Book Antiqua" w:eastAsia="等线" w:hAnsi="Book Antiqua"/>
          <w:b/>
          <w:sz w:val="24"/>
          <w:szCs w:val="24"/>
        </w:rPr>
        <w:t>Zheng W</w:t>
      </w:r>
      <w:r w:rsidRPr="00C8550C">
        <w:rPr>
          <w:rFonts w:ascii="Book Antiqua" w:eastAsia="等线" w:hAnsi="Book Antiqua"/>
          <w:sz w:val="24"/>
          <w:szCs w:val="24"/>
        </w:rPr>
        <w:t xml:space="preserve">, Li Q, Zou XB, Wang JW, Han F, Li F, Huang LS, Li AH, Zhou JH. Evaluation of Contrast-enhanced US LI-RADS version 2017: Application on 2020 Liver Nodules in Patients with Hepatitis B Infection. </w:t>
      </w:r>
      <w:r w:rsidRPr="00C8550C">
        <w:rPr>
          <w:rFonts w:ascii="Book Antiqua" w:eastAsia="等线" w:hAnsi="Book Antiqua"/>
          <w:i/>
          <w:sz w:val="24"/>
          <w:szCs w:val="24"/>
        </w:rPr>
        <w:t>Radiology</w:t>
      </w:r>
      <w:r w:rsidRPr="00C8550C">
        <w:rPr>
          <w:rFonts w:ascii="Book Antiqua" w:eastAsia="等线" w:hAnsi="Book Antiqua"/>
          <w:sz w:val="24"/>
          <w:szCs w:val="24"/>
        </w:rPr>
        <w:t xml:space="preserve"> 2020; </w:t>
      </w:r>
      <w:r w:rsidRPr="00C8550C">
        <w:rPr>
          <w:rFonts w:ascii="Book Antiqua" w:eastAsia="等线" w:hAnsi="Book Antiqua"/>
          <w:b/>
          <w:sz w:val="24"/>
          <w:szCs w:val="24"/>
        </w:rPr>
        <w:t>294</w:t>
      </w:r>
      <w:r w:rsidRPr="00C8550C">
        <w:rPr>
          <w:rFonts w:ascii="Book Antiqua" w:eastAsia="等线" w:hAnsi="Book Antiqua"/>
          <w:sz w:val="24"/>
          <w:szCs w:val="24"/>
        </w:rPr>
        <w:t>: 299-307 [PMID: 31769742 DOI: 10.1148/radiol.2019190878]</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22 </w:t>
      </w:r>
      <w:r w:rsidRPr="00C8550C">
        <w:rPr>
          <w:rFonts w:ascii="Book Antiqua" w:eastAsia="等线" w:hAnsi="Book Antiqua"/>
          <w:b/>
          <w:sz w:val="24"/>
          <w:szCs w:val="24"/>
        </w:rPr>
        <w:t>European Association For The Study Of The Liver.</w:t>
      </w:r>
      <w:r w:rsidRPr="00C8550C">
        <w:rPr>
          <w:rFonts w:ascii="Book Antiqua" w:eastAsia="等线" w:hAnsi="Book Antiqua"/>
          <w:sz w:val="24"/>
          <w:szCs w:val="24"/>
        </w:rPr>
        <w:t xml:space="preserve">; European Organisation For Research And Treatment Of Cancer. EASL-EORTC clinical practice guidelines: management of hepatocellular carcinoma. </w:t>
      </w:r>
      <w:r w:rsidRPr="00C8550C">
        <w:rPr>
          <w:rFonts w:ascii="Book Antiqua" w:eastAsia="等线" w:hAnsi="Book Antiqua"/>
          <w:i/>
          <w:sz w:val="24"/>
          <w:szCs w:val="24"/>
        </w:rPr>
        <w:t>J Hepatol</w:t>
      </w:r>
      <w:r w:rsidRPr="00C8550C">
        <w:rPr>
          <w:rFonts w:ascii="Book Antiqua" w:eastAsia="等线" w:hAnsi="Book Antiqua"/>
          <w:sz w:val="24"/>
          <w:szCs w:val="24"/>
        </w:rPr>
        <w:t xml:space="preserve"> 2012; </w:t>
      </w:r>
      <w:r w:rsidRPr="00C8550C">
        <w:rPr>
          <w:rFonts w:ascii="Book Antiqua" w:eastAsia="等线" w:hAnsi="Book Antiqua"/>
          <w:b/>
          <w:sz w:val="24"/>
          <w:szCs w:val="24"/>
        </w:rPr>
        <w:t>56</w:t>
      </w:r>
      <w:r w:rsidRPr="00C8550C">
        <w:rPr>
          <w:rFonts w:ascii="Book Antiqua" w:eastAsia="等线" w:hAnsi="Book Antiqua"/>
          <w:sz w:val="24"/>
          <w:szCs w:val="24"/>
        </w:rPr>
        <w:t>: 908-943 [PMID: 22424438 DOI: 10.1016/j.jhep.2011.12.001]</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23 </w:t>
      </w:r>
      <w:r w:rsidRPr="00C8550C">
        <w:rPr>
          <w:rFonts w:ascii="Book Antiqua" w:eastAsia="等线" w:hAnsi="Book Antiqua"/>
          <w:b/>
          <w:sz w:val="24"/>
          <w:szCs w:val="24"/>
        </w:rPr>
        <w:t>Kassahun WT</w:t>
      </w:r>
      <w:r w:rsidRPr="00C8550C">
        <w:rPr>
          <w:rFonts w:ascii="Book Antiqua" w:eastAsia="等线" w:hAnsi="Book Antiqua"/>
          <w:sz w:val="24"/>
          <w:szCs w:val="24"/>
        </w:rPr>
        <w:t xml:space="preserve">, Hauss J. Management of combined hepatocellular and cholangiocarcinoma. </w:t>
      </w:r>
      <w:r w:rsidRPr="00C8550C">
        <w:rPr>
          <w:rFonts w:ascii="Book Antiqua" w:eastAsia="等线" w:hAnsi="Book Antiqua"/>
          <w:i/>
          <w:sz w:val="24"/>
          <w:szCs w:val="24"/>
        </w:rPr>
        <w:t>Int J Clin Pract</w:t>
      </w:r>
      <w:r w:rsidRPr="00C8550C">
        <w:rPr>
          <w:rFonts w:ascii="Book Antiqua" w:eastAsia="等线" w:hAnsi="Book Antiqua"/>
          <w:sz w:val="24"/>
          <w:szCs w:val="24"/>
        </w:rPr>
        <w:t xml:space="preserve"> 2008; </w:t>
      </w:r>
      <w:r w:rsidRPr="00C8550C">
        <w:rPr>
          <w:rFonts w:ascii="Book Antiqua" w:eastAsia="等线" w:hAnsi="Book Antiqua"/>
          <w:b/>
          <w:sz w:val="24"/>
          <w:szCs w:val="24"/>
        </w:rPr>
        <w:t>62</w:t>
      </w:r>
      <w:r w:rsidRPr="00C8550C">
        <w:rPr>
          <w:rFonts w:ascii="Book Antiqua" w:eastAsia="等线" w:hAnsi="Book Antiqua"/>
          <w:sz w:val="24"/>
          <w:szCs w:val="24"/>
        </w:rPr>
        <w:t>: 1271-1278 [PMID: 18284443 DOI: 10.1111/j.1742-1241.2007.01694.x]</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24 </w:t>
      </w:r>
      <w:r w:rsidRPr="00C8550C">
        <w:rPr>
          <w:rFonts w:ascii="Book Antiqua" w:eastAsia="等线" w:hAnsi="Book Antiqua"/>
          <w:b/>
          <w:sz w:val="24"/>
          <w:szCs w:val="24"/>
        </w:rPr>
        <w:t>Patel AH</w:t>
      </w:r>
      <w:r w:rsidRPr="00C8550C">
        <w:rPr>
          <w:rFonts w:ascii="Book Antiqua" w:eastAsia="等线" w:hAnsi="Book Antiqua"/>
          <w:sz w:val="24"/>
          <w:szCs w:val="24"/>
        </w:rPr>
        <w:t xml:space="preserve">, Harnois DM, Klee GG, LaRusso NF, Gores GJ. The utility of CA 19-9 in the diagnoses of cholangiocarcinoma in patients without primary sclerosing cholangitis. </w:t>
      </w:r>
      <w:r w:rsidRPr="00C8550C">
        <w:rPr>
          <w:rFonts w:ascii="Book Antiqua" w:eastAsia="等线" w:hAnsi="Book Antiqua"/>
          <w:i/>
          <w:sz w:val="24"/>
          <w:szCs w:val="24"/>
        </w:rPr>
        <w:t>Am J Gastroenterol</w:t>
      </w:r>
      <w:r w:rsidRPr="00C8550C">
        <w:rPr>
          <w:rFonts w:ascii="Book Antiqua" w:eastAsia="等线" w:hAnsi="Book Antiqua"/>
          <w:sz w:val="24"/>
          <w:szCs w:val="24"/>
        </w:rPr>
        <w:t xml:space="preserve"> 2000; </w:t>
      </w:r>
      <w:r w:rsidRPr="00C8550C">
        <w:rPr>
          <w:rFonts w:ascii="Book Antiqua" w:eastAsia="等线" w:hAnsi="Book Antiqua"/>
          <w:b/>
          <w:sz w:val="24"/>
          <w:szCs w:val="24"/>
        </w:rPr>
        <w:t>95</w:t>
      </w:r>
      <w:r w:rsidRPr="00C8550C">
        <w:rPr>
          <w:rFonts w:ascii="Book Antiqua" w:eastAsia="等线" w:hAnsi="Book Antiqua"/>
          <w:sz w:val="24"/>
          <w:szCs w:val="24"/>
        </w:rPr>
        <w:t>: 204-207 [PMID: 10638584 DOI: 10.1111/j.1572-0241.2000.01685.x]</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25 </w:t>
      </w:r>
      <w:r w:rsidRPr="00C8550C">
        <w:rPr>
          <w:rFonts w:ascii="Book Antiqua" w:eastAsia="等线" w:hAnsi="Book Antiqua"/>
          <w:b/>
          <w:sz w:val="24"/>
          <w:szCs w:val="24"/>
        </w:rPr>
        <w:t>Sherman M</w:t>
      </w:r>
      <w:r w:rsidRPr="00C8550C">
        <w:rPr>
          <w:rFonts w:ascii="Book Antiqua" w:eastAsia="等线" w:hAnsi="Book Antiqua"/>
          <w:sz w:val="24"/>
          <w:szCs w:val="24"/>
        </w:rPr>
        <w:t xml:space="preserve">, Peltekian KM, Lee C. Screening for hepatocellular carcinoma in chronic carriers of hepatitis B virus: incidence and prevalence of hepatocellular carcinoma in a North American urban population. </w:t>
      </w:r>
      <w:r w:rsidRPr="00C8550C">
        <w:rPr>
          <w:rFonts w:ascii="Book Antiqua" w:eastAsia="等线" w:hAnsi="Book Antiqua"/>
          <w:i/>
          <w:sz w:val="24"/>
          <w:szCs w:val="24"/>
        </w:rPr>
        <w:t>Hepatology</w:t>
      </w:r>
      <w:r w:rsidRPr="00C8550C">
        <w:rPr>
          <w:rFonts w:ascii="Book Antiqua" w:eastAsia="等线" w:hAnsi="Book Antiqua"/>
          <w:sz w:val="24"/>
          <w:szCs w:val="24"/>
        </w:rPr>
        <w:t xml:space="preserve"> 1995; </w:t>
      </w:r>
      <w:r w:rsidRPr="00C8550C">
        <w:rPr>
          <w:rFonts w:ascii="Book Antiqua" w:eastAsia="等线" w:hAnsi="Book Antiqua"/>
          <w:b/>
          <w:sz w:val="24"/>
          <w:szCs w:val="24"/>
        </w:rPr>
        <w:t>22</w:t>
      </w:r>
      <w:r w:rsidRPr="00C8550C">
        <w:rPr>
          <w:rFonts w:ascii="Book Antiqua" w:eastAsia="等线" w:hAnsi="Book Antiqua"/>
          <w:sz w:val="24"/>
          <w:szCs w:val="24"/>
        </w:rPr>
        <w:t>: 432-438 [PMID: 7543434]</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26 </w:t>
      </w:r>
      <w:r w:rsidRPr="00C8550C">
        <w:rPr>
          <w:rFonts w:ascii="Book Antiqua" w:eastAsia="等线" w:hAnsi="Book Antiqua"/>
          <w:b/>
          <w:sz w:val="24"/>
          <w:szCs w:val="24"/>
        </w:rPr>
        <w:t>Trevisani F</w:t>
      </w:r>
      <w:r w:rsidRPr="00C8550C">
        <w:rPr>
          <w:rFonts w:ascii="Book Antiqua" w:eastAsia="等线" w:hAnsi="Book Antiqua"/>
          <w:sz w:val="24"/>
          <w:szCs w:val="24"/>
        </w:rPr>
        <w:t xml:space="preserve">, D'Intino PE, Morselli-Labate AM, Mazzella G, Accogli E, Caraceni P, Domenicali M, De Notariis S, Roda E, Bernardi M. Serum alpha-fetoprotein for diagnosis of hepatocellular carcinoma in patients with chronic liver disease: influence of HBsAg and anti-HCV status. </w:t>
      </w:r>
      <w:r w:rsidRPr="00C8550C">
        <w:rPr>
          <w:rFonts w:ascii="Book Antiqua" w:eastAsia="等线" w:hAnsi="Book Antiqua"/>
          <w:i/>
          <w:sz w:val="24"/>
          <w:szCs w:val="24"/>
        </w:rPr>
        <w:t>J Hepatol</w:t>
      </w:r>
      <w:r w:rsidRPr="00C8550C">
        <w:rPr>
          <w:rFonts w:ascii="Book Antiqua" w:eastAsia="等线" w:hAnsi="Book Antiqua"/>
          <w:sz w:val="24"/>
          <w:szCs w:val="24"/>
        </w:rPr>
        <w:t xml:space="preserve"> 2001; </w:t>
      </w:r>
      <w:r w:rsidRPr="00C8550C">
        <w:rPr>
          <w:rFonts w:ascii="Book Antiqua" w:eastAsia="等线" w:hAnsi="Book Antiqua"/>
          <w:b/>
          <w:sz w:val="24"/>
          <w:szCs w:val="24"/>
        </w:rPr>
        <w:t>34</w:t>
      </w:r>
      <w:r w:rsidRPr="00C8550C">
        <w:rPr>
          <w:rFonts w:ascii="Book Antiqua" w:eastAsia="等线" w:hAnsi="Book Antiqua"/>
          <w:sz w:val="24"/>
          <w:szCs w:val="24"/>
        </w:rPr>
        <w:t>: 570-575 [PMID: 11394657 DOI: 10.1016/s0168-8278(00)00053-2]</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27 </w:t>
      </w:r>
      <w:r w:rsidRPr="00C8550C">
        <w:rPr>
          <w:rFonts w:ascii="Book Antiqua" w:eastAsia="等线" w:hAnsi="Book Antiqua"/>
          <w:b/>
          <w:sz w:val="24"/>
          <w:szCs w:val="24"/>
        </w:rPr>
        <w:t>Trevisani F</w:t>
      </w:r>
      <w:r w:rsidRPr="00C8550C">
        <w:rPr>
          <w:rFonts w:ascii="Book Antiqua" w:eastAsia="等线" w:hAnsi="Book Antiqua"/>
          <w:sz w:val="24"/>
          <w:szCs w:val="24"/>
        </w:rPr>
        <w:t xml:space="preserve">, D'Intino PE, Caraceni P, Pizzo M, Stefanini GF, Mazziotti A, Grazi GL, Gozzetti G, Gasbarrini G, Bernardi M. Etiologic factors and clinical presentation of hepatocellular carcinoma. Differences between cirrhotic and noncirrhotic Italian patients. </w:t>
      </w:r>
      <w:r w:rsidRPr="00C8550C">
        <w:rPr>
          <w:rFonts w:ascii="Book Antiqua" w:eastAsia="等线" w:hAnsi="Book Antiqua"/>
          <w:i/>
          <w:sz w:val="24"/>
          <w:szCs w:val="24"/>
        </w:rPr>
        <w:t>Cancer</w:t>
      </w:r>
      <w:r w:rsidRPr="00C8550C">
        <w:rPr>
          <w:rFonts w:ascii="Book Antiqua" w:eastAsia="等线" w:hAnsi="Book Antiqua"/>
          <w:sz w:val="24"/>
          <w:szCs w:val="24"/>
        </w:rPr>
        <w:t xml:space="preserve"> 1995; </w:t>
      </w:r>
      <w:r w:rsidRPr="00C8550C">
        <w:rPr>
          <w:rFonts w:ascii="Book Antiqua" w:eastAsia="等线" w:hAnsi="Book Antiqua"/>
          <w:b/>
          <w:sz w:val="24"/>
          <w:szCs w:val="24"/>
        </w:rPr>
        <w:t>75</w:t>
      </w:r>
      <w:r w:rsidRPr="00C8550C">
        <w:rPr>
          <w:rFonts w:ascii="Book Antiqua" w:eastAsia="等线" w:hAnsi="Book Antiqua"/>
          <w:sz w:val="24"/>
          <w:szCs w:val="24"/>
        </w:rPr>
        <w:t>: 2220-2232 [PMID: 7536121 DOI: 10.1002/1097-0142(19950501)75:9&lt;2220::aid-cncr2820750906&gt;3.0.co;2-4]</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28 </w:t>
      </w:r>
      <w:r w:rsidRPr="00C8550C">
        <w:rPr>
          <w:rFonts w:ascii="Book Antiqua" w:eastAsia="等线" w:hAnsi="Book Antiqua"/>
          <w:b/>
          <w:sz w:val="24"/>
          <w:szCs w:val="24"/>
        </w:rPr>
        <w:t>Wilson SR</w:t>
      </w:r>
      <w:r w:rsidRPr="00C8550C">
        <w:rPr>
          <w:rFonts w:ascii="Book Antiqua" w:eastAsia="等线" w:hAnsi="Book Antiqua"/>
          <w:sz w:val="24"/>
          <w:szCs w:val="24"/>
        </w:rPr>
        <w:t xml:space="preserve">, Lyshchik A, Piscaglia F, Cosgrove D, Jang HJ, Sirlin C, Dietrich CF, Kim TK, Willmann JK, Kono Y. CEUS LI-RADS: algorithm, implementation, and key differences from CT/MRI. </w:t>
      </w:r>
      <w:r w:rsidRPr="00C8550C">
        <w:rPr>
          <w:rFonts w:ascii="Book Antiqua" w:eastAsia="等线" w:hAnsi="Book Antiqua"/>
          <w:i/>
          <w:sz w:val="24"/>
          <w:szCs w:val="24"/>
        </w:rPr>
        <w:t>Abdom Radiol (NY)</w:t>
      </w:r>
      <w:r w:rsidRPr="00C8550C">
        <w:rPr>
          <w:rFonts w:ascii="Book Antiqua" w:eastAsia="等线" w:hAnsi="Book Antiqua"/>
          <w:sz w:val="24"/>
          <w:szCs w:val="24"/>
        </w:rPr>
        <w:t xml:space="preserve"> 2018; </w:t>
      </w:r>
      <w:r w:rsidRPr="00C8550C">
        <w:rPr>
          <w:rFonts w:ascii="Book Antiqua" w:eastAsia="等线" w:hAnsi="Book Antiqua"/>
          <w:b/>
          <w:sz w:val="24"/>
          <w:szCs w:val="24"/>
        </w:rPr>
        <w:t>43</w:t>
      </w:r>
      <w:r w:rsidRPr="00C8550C">
        <w:rPr>
          <w:rFonts w:ascii="Book Antiqua" w:eastAsia="等线" w:hAnsi="Book Antiqua"/>
          <w:sz w:val="24"/>
          <w:szCs w:val="24"/>
        </w:rPr>
        <w:t>: 127-142 [PMID: 28819825 DOI: 10.1007/s00261-017-1250-0]</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29 </w:t>
      </w:r>
      <w:r w:rsidRPr="00C8550C">
        <w:rPr>
          <w:rFonts w:ascii="Book Antiqua" w:eastAsia="等线" w:hAnsi="Book Antiqua"/>
          <w:b/>
          <w:sz w:val="24"/>
          <w:szCs w:val="24"/>
        </w:rPr>
        <w:t>Kim TK</w:t>
      </w:r>
      <w:r w:rsidRPr="00C8550C">
        <w:rPr>
          <w:rFonts w:ascii="Book Antiqua" w:eastAsia="等线" w:hAnsi="Book Antiqua"/>
          <w:sz w:val="24"/>
          <w:szCs w:val="24"/>
        </w:rPr>
        <w:t xml:space="preserve">, Noh SY, Wilson SR, Kono Y, Piscaglia F, Jang HJ, Lyshchik A, Dietrich CF, Willmann JK, Vezeridis A, Sirlin CB. Contrast-enhanced ultrasound (CEUS) liver imaging reporting and data system (LI-RADS) 2017 - a review of important differences compared to the CT/MRI system. </w:t>
      </w:r>
      <w:r w:rsidRPr="00C8550C">
        <w:rPr>
          <w:rFonts w:ascii="Book Antiqua" w:eastAsia="等线" w:hAnsi="Book Antiqua"/>
          <w:i/>
          <w:sz w:val="24"/>
          <w:szCs w:val="24"/>
        </w:rPr>
        <w:t>Clin Mol Hepatol</w:t>
      </w:r>
      <w:r w:rsidRPr="00C8550C">
        <w:rPr>
          <w:rFonts w:ascii="Book Antiqua" w:eastAsia="等线" w:hAnsi="Book Antiqua"/>
          <w:sz w:val="24"/>
          <w:szCs w:val="24"/>
        </w:rPr>
        <w:t xml:space="preserve"> 2017; </w:t>
      </w:r>
      <w:r w:rsidRPr="00C8550C">
        <w:rPr>
          <w:rFonts w:ascii="Book Antiqua" w:eastAsia="等线" w:hAnsi="Book Antiqua"/>
          <w:b/>
          <w:sz w:val="24"/>
          <w:szCs w:val="24"/>
        </w:rPr>
        <w:t>23</w:t>
      </w:r>
      <w:r w:rsidRPr="00C8550C">
        <w:rPr>
          <w:rFonts w:ascii="Book Antiqua" w:eastAsia="等线" w:hAnsi="Book Antiqua"/>
          <w:sz w:val="24"/>
          <w:szCs w:val="24"/>
        </w:rPr>
        <w:t>: 280-289 [PMID: 28911220 DOI: 10.3350/cmh.2017.0037]</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30 </w:t>
      </w:r>
      <w:r w:rsidRPr="00C8550C">
        <w:rPr>
          <w:rFonts w:ascii="Book Antiqua" w:eastAsia="等线" w:hAnsi="Book Antiqua"/>
          <w:b/>
          <w:sz w:val="24"/>
          <w:szCs w:val="24"/>
        </w:rPr>
        <w:t>Yuan MX</w:t>
      </w:r>
      <w:r w:rsidRPr="00C8550C">
        <w:rPr>
          <w:rFonts w:ascii="Book Antiqua" w:eastAsia="等线" w:hAnsi="Book Antiqua"/>
          <w:sz w:val="24"/>
          <w:szCs w:val="24"/>
        </w:rPr>
        <w:t xml:space="preserve">, Li R, Zhang XH, Tang CL, Guo YL, Guo DY, Luo MK. Factors Affecting the Enhancement Patterns of Intrahepatic Cholangiocarcinoma (ICC) on Contrast-Enhanced Ultrasound (CEUS) and their Pathological Correlations in Patients with a Single Lesion. </w:t>
      </w:r>
      <w:r w:rsidRPr="00C8550C">
        <w:rPr>
          <w:rFonts w:ascii="Book Antiqua" w:eastAsia="等线" w:hAnsi="Book Antiqua"/>
          <w:i/>
          <w:sz w:val="24"/>
          <w:szCs w:val="24"/>
        </w:rPr>
        <w:t>Ultraschall Med</w:t>
      </w:r>
      <w:r w:rsidRPr="00C8550C">
        <w:rPr>
          <w:rFonts w:ascii="Book Antiqua" w:eastAsia="等线" w:hAnsi="Book Antiqua"/>
          <w:sz w:val="24"/>
          <w:szCs w:val="24"/>
        </w:rPr>
        <w:t xml:space="preserve"> 2016; </w:t>
      </w:r>
      <w:r w:rsidRPr="00C8550C">
        <w:rPr>
          <w:rFonts w:ascii="Book Antiqua" w:eastAsia="等线" w:hAnsi="Book Antiqua"/>
          <w:b/>
          <w:sz w:val="24"/>
          <w:szCs w:val="24"/>
        </w:rPr>
        <w:t>37</w:t>
      </w:r>
      <w:r w:rsidRPr="00C8550C">
        <w:rPr>
          <w:rFonts w:ascii="Book Antiqua" w:eastAsia="等线" w:hAnsi="Book Antiqua"/>
          <w:sz w:val="24"/>
          <w:szCs w:val="24"/>
        </w:rPr>
        <w:t>: 609-618 [PMID: 25919414 DOI: 10.1055/s-0034-1399485]</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31 </w:t>
      </w:r>
      <w:r w:rsidRPr="00C8550C">
        <w:rPr>
          <w:rFonts w:ascii="Book Antiqua" w:eastAsia="等线" w:hAnsi="Book Antiqua"/>
          <w:b/>
          <w:sz w:val="24"/>
          <w:szCs w:val="24"/>
        </w:rPr>
        <w:t>Yuan M</w:t>
      </w:r>
      <w:r w:rsidRPr="00C8550C">
        <w:rPr>
          <w:rFonts w:ascii="Book Antiqua" w:eastAsia="等线" w:hAnsi="Book Antiqua"/>
          <w:sz w:val="24"/>
          <w:szCs w:val="24"/>
        </w:rPr>
        <w:t xml:space="preserve">, Li R, Zhang Y, Yang L, Zhang X, Tang C, Guo D. Enhancement Patterns of Intrahepatic Cholangiocarcinoma on Contrast-Enhanced Ultrasound: Correlation with Clinicopathologic Findings and Prognosis. </w:t>
      </w:r>
      <w:r w:rsidRPr="00C8550C">
        <w:rPr>
          <w:rFonts w:ascii="Book Antiqua" w:eastAsia="等线" w:hAnsi="Book Antiqua"/>
          <w:i/>
          <w:sz w:val="24"/>
          <w:szCs w:val="24"/>
        </w:rPr>
        <w:t>Ultrasound Med Biol</w:t>
      </w:r>
      <w:r w:rsidRPr="00C8550C">
        <w:rPr>
          <w:rFonts w:ascii="Book Antiqua" w:eastAsia="等线" w:hAnsi="Book Antiqua"/>
          <w:sz w:val="24"/>
          <w:szCs w:val="24"/>
        </w:rPr>
        <w:t xml:space="preserve"> 2019; </w:t>
      </w:r>
      <w:r w:rsidRPr="00C8550C">
        <w:rPr>
          <w:rFonts w:ascii="Book Antiqua" w:eastAsia="等线" w:hAnsi="Book Antiqua"/>
          <w:b/>
          <w:sz w:val="24"/>
          <w:szCs w:val="24"/>
        </w:rPr>
        <w:t>45</w:t>
      </w:r>
      <w:r w:rsidRPr="00C8550C">
        <w:rPr>
          <w:rFonts w:ascii="Book Antiqua" w:eastAsia="等线" w:hAnsi="Book Antiqua"/>
          <w:sz w:val="24"/>
          <w:szCs w:val="24"/>
        </w:rPr>
        <w:t>: 26-34 [PMID: 30292461 DOI: 10.1016/j.ultrasmedbio.2018.08.014]</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32 </w:t>
      </w:r>
      <w:r w:rsidRPr="00C8550C">
        <w:rPr>
          <w:rFonts w:ascii="Book Antiqua" w:eastAsia="等线" w:hAnsi="Book Antiqua"/>
          <w:b/>
          <w:sz w:val="24"/>
          <w:szCs w:val="24"/>
        </w:rPr>
        <w:t>Yoshida Y</w:t>
      </w:r>
      <w:r w:rsidRPr="00C8550C">
        <w:rPr>
          <w:rFonts w:ascii="Book Antiqua" w:eastAsia="等线" w:hAnsi="Book Antiqua"/>
          <w:sz w:val="24"/>
          <w:szCs w:val="24"/>
        </w:rPr>
        <w:t xml:space="preserve">, Imai Y, Murakami T, Nishikawa M, Kurokawa M, Yonezawa T, Tokunaga K, Fukushima Y, Wakasa K, Kim T, Nakamura H, Sakon M, Monden M. Intrahepatic cholangiocarcinoma with marked hypervascularity. </w:t>
      </w:r>
      <w:r w:rsidRPr="00C8550C">
        <w:rPr>
          <w:rFonts w:ascii="Book Antiqua" w:eastAsia="等线" w:hAnsi="Book Antiqua"/>
          <w:i/>
          <w:sz w:val="24"/>
          <w:szCs w:val="24"/>
        </w:rPr>
        <w:t>Abdom Imaging</w:t>
      </w:r>
      <w:r w:rsidRPr="00C8550C">
        <w:rPr>
          <w:rFonts w:ascii="Book Antiqua" w:eastAsia="等线" w:hAnsi="Book Antiqua"/>
          <w:sz w:val="24"/>
          <w:szCs w:val="24"/>
        </w:rPr>
        <w:t xml:space="preserve"> 1999; </w:t>
      </w:r>
      <w:r w:rsidRPr="00C8550C">
        <w:rPr>
          <w:rFonts w:ascii="Book Antiqua" w:eastAsia="等线" w:hAnsi="Book Antiqua"/>
          <w:b/>
          <w:sz w:val="24"/>
          <w:szCs w:val="24"/>
        </w:rPr>
        <w:t>24</w:t>
      </w:r>
      <w:r w:rsidRPr="00C8550C">
        <w:rPr>
          <w:rFonts w:ascii="Book Antiqua" w:eastAsia="等线" w:hAnsi="Book Antiqua"/>
          <w:sz w:val="24"/>
          <w:szCs w:val="24"/>
        </w:rPr>
        <w:t>: 66-68 [PMID: 9933676 DOI: 10.1007/s002619900442]</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33 </w:t>
      </w:r>
      <w:r w:rsidRPr="00C8550C">
        <w:rPr>
          <w:rFonts w:ascii="Book Antiqua" w:eastAsia="等线" w:hAnsi="Book Antiqua"/>
          <w:b/>
          <w:sz w:val="24"/>
          <w:szCs w:val="24"/>
        </w:rPr>
        <w:t>Galassi M</w:t>
      </w:r>
      <w:r w:rsidRPr="00C8550C">
        <w:rPr>
          <w:rFonts w:ascii="Book Antiqua" w:eastAsia="等线" w:hAnsi="Book Antiqua"/>
          <w:sz w:val="24"/>
          <w:szCs w:val="24"/>
        </w:rPr>
        <w:t xml:space="preserve">, Iavarone M, Rossi S, Bota S, Vavassori S, Rosa L, Leoni S, Venerandi L, Marinelli S, Sangiovanni A, Veronese L, Fraquelli M, Granito A, Golfieri R, Colombo M, Bolondi L, Piscaglia F. Patterns of appearance and risk of misdiagnosis of intrahepatic cholangiocarcinoma in cirrhosis at contrast enhanced ultrasound. </w:t>
      </w:r>
      <w:r w:rsidRPr="00C8550C">
        <w:rPr>
          <w:rFonts w:ascii="Book Antiqua" w:eastAsia="等线" w:hAnsi="Book Antiqua"/>
          <w:i/>
          <w:sz w:val="24"/>
          <w:szCs w:val="24"/>
        </w:rPr>
        <w:t>Liver Int</w:t>
      </w:r>
      <w:r w:rsidRPr="00C8550C">
        <w:rPr>
          <w:rFonts w:ascii="Book Antiqua" w:eastAsia="等线" w:hAnsi="Book Antiqua"/>
          <w:sz w:val="24"/>
          <w:szCs w:val="24"/>
        </w:rPr>
        <w:t xml:space="preserve"> 2013; </w:t>
      </w:r>
      <w:r w:rsidRPr="00C8550C">
        <w:rPr>
          <w:rFonts w:ascii="Book Antiqua" w:eastAsia="等线" w:hAnsi="Book Antiqua"/>
          <w:b/>
          <w:sz w:val="24"/>
          <w:szCs w:val="24"/>
        </w:rPr>
        <w:t>33</w:t>
      </w:r>
      <w:r w:rsidRPr="00C8550C">
        <w:rPr>
          <w:rFonts w:ascii="Book Antiqua" w:eastAsia="等线" w:hAnsi="Book Antiqua"/>
          <w:sz w:val="24"/>
          <w:szCs w:val="24"/>
        </w:rPr>
        <w:t>: 771-779 [PMID: 23445369 DOI: 10.1111/liv.12124]</w:t>
      </w:r>
    </w:p>
    <w:p w:rsidR="0078385A" w:rsidRPr="00C8550C" w:rsidRDefault="0078385A" w:rsidP="0078385A">
      <w:pPr>
        <w:adjustRightInd w:val="0"/>
        <w:snapToGrid w:val="0"/>
        <w:spacing w:after="0" w:line="360" w:lineRule="auto"/>
        <w:rPr>
          <w:rFonts w:ascii="Book Antiqua" w:eastAsia="等线" w:hAnsi="Book Antiqua"/>
          <w:sz w:val="24"/>
          <w:szCs w:val="24"/>
        </w:rPr>
      </w:pPr>
      <w:r w:rsidRPr="00C8550C">
        <w:rPr>
          <w:rFonts w:ascii="Book Antiqua" w:eastAsia="等线" w:hAnsi="Book Antiqua"/>
          <w:sz w:val="24"/>
          <w:szCs w:val="24"/>
        </w:rPr>
        <w:t xml:space="preserve">34 </w:t>
      </w:r>
      <w:r w:rsidRPr="00C8550C">
        <w:rPr>
          <w:rFonts w:ascii="Book Antiqua" w:eastAsia="等线" w:hAnsi="Book Antiqua"/>
          <w:b/>
          <w:sz w:val="24"/>
          <w:szCs w:val="24"/>
        </w:rPr>
        <w:t>Wildner D</w:t>
      </w:r>
      <w:r w:rsidRPr="00C8550C">
        <w:rPr>
          <w:rFonts w:ascii="Book Antiqua" w:eastAsia="等线" w:hAnsi="Book Antiqua"/>
          <w:sz w:val="24"/>
          <w:szCs w:val="24"/>
        </w:rPr>
        <w:t xml:space="preserve">, Bernatik T, Greis C, Seitz K, Neurath MF, Strobel D. CEUS in hepatocellular carcinoma and intrahepatic cholangiocellular carcinoma in 320 patients - early or late washout matters: a subanalysis of the DEGUM multicenter trial. </w:t>
      </w:r>
      <w:r w:rsidRPr="00C8550C">
        <w:rPr>
          <w:rFonts w:ascii="Book Antiqua" w:eastAsia="等线" w:hAnsi="Book Antiqua"/>
          <w:i/>
          <w:sz w:val="24"/>
          <w:szCs w:val="24"/>
        </w:rPr>
        <w:t>Ultraschall Med</w:t>
      </w:r>
      <w:r w:rsidRPr="00C8550C">
        <w:rPr>
          <w:rFonts w:ascii="Book Antiqua" w:eastAsia="等线" w:hAnsi="Book Antiqua"/>
          <w:sz w:val="24"/>
          <w:szCs w:val="24"/>
        </w:rPr>
        <w:t xml:space="preserve"> 2015; </w:t>
      </w:r>
      <w:r w:rsidRPr="00C8550C">
        <w:rPr>
          <w:rFonts w:ascii="Book Antiqua" w:eastAsia="等线" w:hAnsi="Book Antiqua"/>
          <w:b/>
          <w:sz w:val="24"/>
          <w:szCs w:val="24"/>
        </w:rPr>
        <w:t>36</w:t>
      </w:r>
      <w:r w:rsidRPr="00C8550C">
        <w:rPr>
          <w:rFonts w:ascii="Book Antiqua" w:eastAsia="等线" w:hAnsi="Book Antiqua"/>
          <w:sz w:val="24"/>
          <w:szCs w:val="24"/>
        </w:rPr>
        <w:t>: 132-139 [PMID: 25812115 DOI: 10.1055/s-0034-1399147]</w:t>
      </w:r>
    </w:p>
    <w:p w:rsidR="00EF0019" w:rsidRPr="00C8550C" w:rsidRDefault="0078385A" w:rsidP="00122AF4">
      <w:pPr>
        <w:adjustRightInd w:val="0"/>
        <w:snapToGrid w:val="0"/>
        <w:spacing w:after="0" w:line="360" w:lineRule="auto"/>
        <w:rPr>
          <w:rFonts w:ascii="Book Antiqua" w:hAnsi="Book Antiqua"/>
          <w:b/>
          <w:sz w:val="24"/>
          <w:szCs w:val="24"/>
        </w:rPr>
      </w:pPr>
      <w:r w:rsidRPr="00C8550C">
        <w:rPr>
          <w:rFonts w:ascii="Book Antiqua" w:eastAsia="等线" w:hAnsi="Book Antiqua"/>
          <w:sz w:val="24"/>
          <w:szCs w:val="24"/>
        </w:rPr>
        <w:br w:type="page"/>
      </w:r>
      <w:r w:rsidR="00484DE9" w:rsidRPr="00C8550C">
        <w:rPr>
          <w:rFonts w:ascii="Book Antiqua" w:hAnsi="Book Antiqua"/>
          <w:b/>
          <w:sz w:val="24"/>
          <w:szCs w:val="24"/>
        </w:rPr>
        <w:t>Footnotes</w:t>
      </w:r>
    </w:p>
    <w:p w:rsidR="005967B0" w:rsidRPr="00C8550C" w:rsidRDefault="00EF0019" w:rsidP="00122AF4">
      <w:pPr>
        <w:widowControl/>
        <w:adjustRightInd w:val="0"/>
        <w:snapToGrid w:val="0"/>
        <w:spacing w:after="0" w:line="360" w:lineRule="auto"/>
        <w:rPr>
          <w:rFonts w:ascii="Book Antiqua" w:hAnsi="Book Antiqua"/>
          <w:sz w:val="24"/>
          <w:szCs w:val="24"/>
        </w:rPr>
      </w:pPr>
      <w:r w:rsidRPr="00C8550C">
        <w:rPr>
          <w:rFonts w:ascii="Book Antiqua" w:hAnsi="Book Antiqua"/>
          <w:b/>
          <w:sz w:val="24"/>
          <w:szCs w:val="24"/>
          <w:lang w:val="hu-HU"/>
        </w:rPr>
        <w:t xml:space="preserve">Institutional review board statement: </w:t>
      </w:r>
      <w:r w:rsidR="0078385A" w:rsidRPr="00C8550C">
        <w:rPr>
          <w:rFonts w:ascii="Book Antiqua" w:hAnsi="Book Antiqua"/>
          <w:sz w:val="24"/>
          <w:szCs w:val="24"/>
        </w:rPr>
        <w:t>This study was reviewed and approved by</w:t>
      </w:r>
      <w:r w:rsidR="005967B0" w:rsidRPr="00C8550C">
        <w:rPr>
          <w:rFonts w:ascii="Book Antiqua" w:hAnsi="Book Antiqua"/>
          <w:sz w:val="24"/>
          <w:szCs w:val="24"/>
        </w:rPr>
        <w:t xml:space="preserve"> West China Hospital of Sichuan University.</w:t>
      </w:r>
    </w:p>
    <w:p w:rsidR="005967B0" w:rsidRPr="00C8550C" w:rsidRDefault="005967B0" w:rsidP="00122AF4">
      <w:pPr>
        <w:widowControl/>
        <w:adjustRightInd w:val="0"/>
        <w:snapToGrid w:val="0"/>
        <w:spacing w:after="0" w:line="360" w:lineRule="auto"/>
        <w:rPr>
          <w:rFonts w:ascii="Book Antiqua" w:hAnsi="Book Antiqua"/>
          <w:sz w:val="24"/>
          <w:szCs w:val="24"/>
        </w:rPr>
      </w:pPr>
    </w:p>
    <w:p w:rsidR="005967B0" w:rsidRPr="00C8550C" w:rsidRDefault="00EF0019" w:rsidP="00122AF4">
      <w:pPr>
        <w:widowControl/>
        <w:adjustRightInd w:val="0"/>
        <w:snapToGrid w:val="0"/>
        <w:spacing w:after="0" w:line="360" w:lineRule="auto"/>
        <w:rPr>
          <w:rFonts w:ascii="Book Antiqua" w:hAnsi="Book Antiqua"/>
          <w:sz w:val="24"/>
          <w:szCs w:val="24"/>
        </w:rPr>
      </w:pPr>
      <w:r w:rsidRPr="00C8550C">
        <w:rPr>
          <w:rFonts w:ascii="Book Antiqua" w:hAnsi="Book Antiqua"/>
          <w:b/>
          <w:sz w:val="24"/>
          <w:szCs w:val="24"/>
        </w:rPr>
        <w:t>Informed consent statement:</w:t>
      </w:r>
      <w:r w:rsidR="005967B0" w:rsidRPr="00C8550C">
        <w:rPr>
          <w:rFonts w:ascii="Book Antiqua" w:hAnsi="Book Antiqua"/>
          <w:bCs/>
          <w:sz w:val="24"/>
          <w:szCs w:val="24"/>
        </w:rPr>
        <w:t xml:space="preserve"> All patients gave informed consent to the study.</w:t>
      </w:r>
    </w:p>
    <w:p w:rsidR="005967B0" w:rsidRPr="00C8550C" w:rsidRDefault="005967B0" w:rsidP="00122AF4">
      <w:pPr>
        <w:widowControl/>
        <w:adjustRightInd w:val="0"/>
        <w:snapToGrid w:val="0"/>
        <w:spacing w:after="0" w:line="360" w:lineRule="auto"/>
        <w:rPr>
          <w:rFonts w:ascii="Book Antiqua" w:hAnsi="Book Antiqua"/>
          <w:b/>
          <w:sz w:val="24"/>
          <w:szCs w:val="24"/>
        </w:rPr>
      </w:pPr>
    </w:p>
    <w:p w:rsidR="00EF0019" w:rsidRPr="00C8550C" w:rsidRDefault="00EF0019" w:rsidP="00122AF4">
      <w:pPr>
        <w:widowControl/>
        <w:adjustRightInd w:val="0"/>
        <w:snapToGrid w:val="0"/>
        <w:spacing w:after="0" w:line="360" w:lineRule="auto"/>
        <w:rPr>
          <w:rFonts w:ascii="Book Antiqua" w:hAnsi="Book Antiqua"/>
          <w:b/>
          <w:sz w:val="24"/>
          <w:szCs w:val="24"/>
          <w:lang w:val="hu-HU"/>
        </w:rPr>
      </w:pPr>
      <w:r w:rsidRPr="00C8550C">
        <w:rPr>
          <w:rFonts w:ascii="Book Antiqua" w:hAnsi="Book Antiqua"/>
          <w:b/>
          <w:sz w:val="24"/>
          <w:szCs w:val="24"/>
          <w:lang w:val="hu-HU"/>
        </w:rPr>
        <w:t xml:space="preserve">Conflict-of-interest statement: </w:t>
      </w:r>
      <w:r w:rsidR="00E2788D" w:rsidRPr="002F0042">
        <w:rPr>
          <w:rFonts w:ascii="Book Antiqua" w:hAnsi="Book Antiqua"/>
          <w:sz w:val="24"/>
          <w:szCs w:val="24"/>
          <w:lang w:val="hu-HU"/>
        </w:rPr>
        <w:t>The</w:t>
      </w:r>
      <w:r w:rsidR="00E2788D">
        <w:rPr>
          <w:rFonts w:ascii="Book Antiqua" w:hAnsi="Book Antiqua"/>
          <w:b/>
          <w:sz w:val="24"/>
          <w:szCs w:val="24"/>
          <w:lang w:val="hu-HU"/>
        </w:rPr>
        <w:t xml:space="preserve"> </w:t>
      </w:r>
      <w:r w:rsidR="00E2788D">
        <w:rPr>
          <w:rFonts w:ascii="Book Antiqua" w:hAnsi="Book Antiqua" w:cs="TimesNewRomanPS-BoldItalicMT"/>
          <w:iCs/>
          <w:kern w:val="0"/>
          <w:sz w:val="24"/>
          <w:szCs w:val="24"/>
        </w:rPr>
        <w:t>a</w:t>
      </w:r>
      <w:r w:rsidR="00E2788D" w:rsidRPr="00C8550C">
        <w:rPr>
          <w:rFonts w:ascii="Book Antiqua" w:hAnsi="Book Antiqua" w:cs="TimesNewRomanPS-BoldItalicMT"/>
          <w:iCs/>
          <w:kern w:val="0"/>
          <w:sz w:val="24"/>
          <w:szCs w:val="24"/>
        </w:rPr>
        <w:t xml:space="preserve">uthors </w:t>
      </w:r>
      <w:r w:rsidR="005967B0" w:rsidRPr="00C8550C">
        <w:rPr>
          <w:rFonts w:ascii="Book Antiqua" w:hAnsi="Book Antiqua" w:cs="TimesNewRomanPS-BoldItalicMT"/>
          <w:iCs/>
          <w:kern w:val="0"/>
          <w:sz w:val="24"/>
          <w:szCs w:val="24"/>
        </w:rPr>
        <w:t>have no financial relationships to disclose.</w:t>
      </w:r>
    </w:p>
    <w:p w:rsidR="005967B0" w:rsidRPr="00C8550C" w:rsidRDefault="005967B0" w:rsidP="00122AF4">
      <w:pPr>
        <w:widowControl/>
        <w:adjustRightInd w:val="0"/>
        <w:snapToGrid w:val="0"/>
        <w:spacing w:after="0" w:line="360" w:lineRule="auto"/>
        <w:rPr>
          <w:rFonts w:ascii="Book Antiqua" w:hAnsi="Book Antiqua"/>
          <w:b/>
          <w:sz w:val="24"/>
          <w:szCs w:val="24"/>
          <w:lang w:val="hu-HU"/>
        </w:rPr>
      </w:pPr>
    </w:p>
    <w:p w:rsidR="00EF0019" w:rsidRPr="00C8550C" w:rsidRDefault="00EF0019" w:rsidP="00122AF4">
      <w:pPr>
        <w:widowControl/>
        <w:adjustRightInd w:val="0"/>
        <w:snapToGrid w:val="0"/>
        <w:spacing w:after="0" w:line="360" w:lineRule="auto"/>
        <w:rPr>
          <w:rFonts w:ascii="Book Antiqua" w:hAnsi="Book Antiqua"/>
          <w:sz w:val="24"/>
          <w:szCs w:val="24"/>
        </w:rPr>
      </w:pPr>
      <w:r w:rsidRPr="00C8550C">
        <w:rPr>
          <w:rFonts w:ascii="Book Antiqua" w:hAnsi="Book Antiqua" w:cs="Calibri"/>
          <w:b/>
          <w:sz w:val="24"/>
          <w:szCs w:val="24"/>
        </w:rPr>
        <w:t>Data sharing statement</w:t>
      </w:r>
      <w:r w:rsidRPr="00C8550C">
        <w:rPr>
          <w:rFonts w:ascii="Book Antiqua" w:hAnsi="Book Antiqua" w:cs="Calibri"/>
          <w:sz w:val="24"/>
          <w:szCs w:val="24"/>
        </w:rPr>
        <w:t>:</w:t>
      </w:r>
      <w:r w:rsidRPr="00C8550C">
        <w:rPr>
          <w:rFonts w:ascii="Book Antiqua" w:hAnsi="Book Antiqua"/>
          <w:b/>
          <w:sz w:val="24"/>
          <w:szCs w:val="24"/>
        </w:rPr>
        <w:t xml:space="preserve"> </w:t>
      </w:r>
      <w:r w:rsidR="005967B0" w:rsidRPr="00C8550C">
        <w:rPr>
          <w:rFonts w:ascii="Book Antiqua" w:hAnsi="Book Antiqua"/>
          <w:sz w:val="24"/>
          <w:szCs w:val="24"/>
        </w:rPr>
        <w:t>No additional data are available.</w:t>
      </w:r>
    </w:p>
    <w:p w:rsidR="005967B0" w:rsidRPr="00C8550C" w:rsidRDefault="005967B0" w:rsidP="00122AF4">
      <w:pPr>
        <w:widowControl/>
        <w:adjustRightInd w:val="0"/>
        <w:snapToGrid w:val="0"/>
        <w:spacing w:after="0" w:line="360" w:lineRule="auto"/>
        <w:rPr>
          <w:rFonts w:ascii="Book Antiqua" w:hAnsi="Book Antiqua"/>
          <w:sz w:val="24"/>
          <w:szCs w:val="24"/>
        </w:rPr>
      </w:pPr>
    </w:p>
    <w:p w:rsidR="005967B0" w:rsidRPr="00C8550C" w:rsidRDefault="005967B0" w:rsidP="005967B0">
      <w:pPr>
        <w:widowControl/>
        <w:adjustRightInd w:val="0"/>
        <w:snapToGrid w:val="0"/>
        <w:spacing w:line="360" w:lineRule="auto"/>
        <w:rPr>
          <w:rFonts w:ascii="Book Antiqua" w:hAnsi="Book Antiqua" w:cs="宋体"/>
          <w:kern w:val="0"/>
          <w:sz w:val="24"/>
          <w:szCs w:val="24"/>
        </w:rPr>
      </w:pPr>
      <w:r w:rsidRPr="00C8550C">
        <w:rPr>
          <w:rFonts w:ascii="Book Antiqua" w:hAnsi="Book Antiqua"/>
          <w:b/>
          <w:sz w:val="24"/>
          <w:szCs w:val="24"/>
        </w:rPr>
        <w:t>Open-Access:</w:t>
      </w:r>
      <w:r w:rsidRPr="00C8550C">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967B0" w:rsidRPr="00C8550C" w:rsidRDefault="005967B0" w:rsidP="00122AF4">
      <w:pPr>
        <w:widowControl/>
        <w:adjustRightInd w:val="0"/>
        <w:snapToGrid w:val="0"/>
        <w:spacing w:after="0" w:line="360" w:lineRule="auto"/>
        <w:rPr>
          <w:rFonts w:ascii="Book Antiqua" w:hAnsi="Book Antiqua"/>
          <w:sz w:val="24"/>
          <w:szCs w:val="24"/>
        </w:rPr>
      </w:pP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b/>
          <w:kern w:val="0"/>
          <w:sz w:val="24"/>
          <w:szCs w:val="24"/>
        </w:rPr>
        <w:t>Manuscript source:</w:t>
      </w:r>
      <w:r w:rsidRPr="00C8550C">
        <w:rPr>
          <w:rFonts w:ascii="Book Antiqua" w:hAnsi="Book Antiqua" w:cs="宋体"/>
          <w:kern w:val="0"/>
          <w:sz w:val="24"/>
          <w:szCs w:val="24"/>
        </w:rPr>
        <w:t xml:space="preserve"> Unsolicited manuscript</w:t>
      </w:r>
    </w:p>
    <w:p w:rsidR="005967B0" w:rsidRPr="00C8550C" w:rsidRDefault="005967B0" w:rsidP="00122AF4">
      <w:pPr>
        <w:widowControl/>
        <w:shd w:val="clear" w:color="auto" w:fill="FFFFFF"/>
        <w:adjustRightInd w:val="0"/>
        <w:snapToGrid w:val="0"/>
        <w:spacing w:after="0" w:line="360" w:lineRule="auto"/>
        <w:jc w:val="left"/>
        <w:rPr>
          <w:rFonts w:ascii="Book Antiqua" w:hAnsi="Book Antiqua" w:cs="宋体"/>
          <w:kern w:val="0"/>
          <w:sz w:val="24"/>
          <w:szCs w:val="24"/>
        </w:rPr>
      </w:pPr>
    </w:p>
    <w:p w:rsidR="005967B0" w:rsidRPr="00C8550C" w:rsidRDefault="005967B0" w:rsidP="005967B0">
      <w:pPr>
        <w:adjustRightInd w:val="0"/>
        <w:snapToGrid w:val="0"/>
        <w:spacing w:line="360" w:lineRule="auto"/>
        <w:rPr>
          <w:rFonts w:ascii="Book Antiqua" w:eastAsia="等线" w:hAnsi="Book Antiqua"/>
          <w:b/>
          <w:bCs/>
          <w:sz w:val="24"/>
          <w:szCs w:val="24"/>
        </w:rPr>
      </w:pPr>
      <w:r w:rsidRPr="00C8550C">
        <w:rPr>
          <w:rFonts w:ascii="Book Antiqua" w:eastAsia="等线" w:hAnsi="Book Antiqua"/>
          <w:b/>
          <w:sz w:val="24"/>
          <w:szCs w:val="24"/>
        </w:rPr>
        <w:t xml:space="preserve">Corresponding Author's Membership in Professional Societies: </w:t>
      </w:r>
      <w:r w:rsidRPr="00C8550C">
        <w:rPr>
          <w:rFonts w:ascii="Book Antiqua" w:hAnsi="Book Antiqua"/>
          <w:sz w:val="24"/>
          <w:szCs w:val="24"/>
          <w:shd w:val="clear" w:color="auto" w:fill="FFFFFF"/>
        </w:rPr>
        <w:t>European Society of Radiology</w:t>
      </w:r>
      <w:r w:rsidR="00154593" w:rsidRPr="00C8550C">
        <w:rPr>
          <w:rFonts w:ascii="Book Antiqua" w:hAnsi="Book Antiqua"/>
          <w:sz w:val="24"/>
          <w:szCs w:val="24"/>
          <w:shd w:val="clear" w:color="auto" w:fill="FFFFFF"/>
        </w:rPr>
        <w:t>.</w:t>
      </w:r>
    </w:p>
    <w:p w:rsidR="005967B0" w:rsidRPr="00C8550C" w:rsidRDefault="005967B0" w:rsidP="00122AF4">
      <w:pPr>
        <w:widowControl/>
        <w:shd w:val="clear" w:color="auto" w:fill="FFFFFF"/>
        <w:adjustRightInd w:val="0"/>
        <w:snapToGrid w:val="0"/>
        <w:spacing w:after="0" w:line="360" w:lineRule="auto"/>
        <w:jc w:val="left"/>
        <w:rPr>
          <w:rFonts w:ascii="Book Antiqua" w:hAnsi="Book Antiqua" w:cs="宋体"/>
          <w:kern w:val="0"/>
          <w:sz w:val="24"/>
          <w:szCs w:val="24"/>
        </w:rPr>
      </w:pPr>
    </w:p>
    <w:p w:rsidR="00EF0019" w:rsidRPr="00C8550C" w:rsidRDefault="00EF0019" w:rsidP="00122AF4">
      <w:pPr>
        <w:widowControl/>
        <w:shd w:val="clear" w:color="auto" w:fill="FFFFFF"/>
        <w:adjustRightInd w:val="0"/>
        <w:snapToGrid w:val="0"/>
        <w:spacing w:after="0" w:line="360" w:lineRule="auto"/>
        <w:jc w:val="left"/>
        <w:rPr>
          <w:rFonts w:ascii="Book Antiqua" w:hAnsi="Book Antiqua" w:cs="宋体"/>
          <w:b/>
          <w:kern w:val="0"/>
          <w:sz w:val="24"/>
          <w:szCs w:val="24"/>
        </w:rPr>
      </w:pPr>
      <w:r w:rsidRPr="00C8550C">
        <w:rPr>
          <w:rFonts w:ascii="Book Antiqua" w:hAnsi="Book Antiqua" w:cs="宋体"/>
          <w:b/>
          <w:kern w:val="0"/>
          <w:sz w:val="24"/>
          <w:szCs w:val="24"/>
        </w:rPr>
        <w:t xml:space="preserve">Peer-review started: </w:t>
      </w:r>
      <w:r w:rsidR="005967B0" w:rsidRPr="00C8550C">
        <w:rPr>
          <w:rFonts w:ascii="Book Antiqua" w:hAnsi="Book Antiqua" w:cs="宋体"/>
          <w:bCs/>
          <w:kern w:val="0"/>
          <w:sz w:val="24"/>
          <w:szCs w:val="24"/>
        </w:rPr>
        <w:t>March 2, 2020</w:t>
      </w:r>
    </w:p>
    <w:p w:rsidR="00EF0019" w:rsidRPr="00C8550C" w:rsidRDefault="00EF0019" w:rsidP="00122AF4">
      <w:pPr>
        <w:adjustRightInd w:val="0"/>
        <w:snapToGrid w:val="0"/>
        <w:spacing w:after="0" w:line="360" w:lineRule="auto"/>
        <w:rPr>
          <w:rFonts w:ascii="Book Antiqua" w:hAnsi="Book Antiqua"/>
          <w:sz w:val="24"/>
          <w:szCs w:val="24"/>
        </w:rPr>
      </w:pPr>
      <w:r w:rsidRPr="00C8550C">
        <w:rPr>
          <w:rFonts w:ascii="Book Antiqua" w:hAnsi="Book Antiqua"/>
          <w:b/>
          <w:sz w:val="24"/>
          <w:szCs w:val="24"/>
        </w:rPr>
        <w:t xml:space="preserve">First decision: </w:t>
      </w:r>
      <w:r w:rsidR="005967B0" w:rsidRPr="00C8550C">
        <w:rPr>
          <w:rFonts w:ascii="Book Antiqua" w:hAnsi="Book Antiqua"/>
          <w:sz w:val="24"/>
          <w:szCs w:val="24"/>
        </w:rPr>
        <w:t>April 25, 2020</w:t>
      </w:r>
    </w:p>
    <w:p w:rsidR="00EF0019" w:rsidRPr="00C8550C" w:rsidRDefault="00E615DD" w:rsidP="00122AF4">
      <w:pPr>
        <w:adjustRightInd w:val="0"/>
        <w:snapToGrid w:val="0"/>
        <w:spacing w:after="0" w:line="360" w:lineRule="auto"/>
        <w:rPr>
          <w:rFonts w:ascii="Book Antiqua" w:hAnsi="Book Antiqua"/>
          <w:b/>
          <w:sz w:val="24"/>
          <w:szCs w:val="24"/>
        </w:rPr>
      </w:pPr>
      <w:r w:rsidRPr="00C8550C">
        <w:rPr>
          <w:rFonts w:ascii="Book Antiqua" w:hAnsi="Book Antiqua"/>
          <w:b/>
          <w:sz w:val="24"/>
          <w:szCs w:val="24"/>
        </w:rPr>
        <w:t>Article in press:</w:t>
      </w:r>
      <w:r w:rsidR="00BD0B28" w:rsidRPr="00BD0B28">
        <w:rPr>
          <w:rFonts w:ascii="Book Antiqua" w:hAnsi="Book Antiqua"/>
          <w:bCs/>
          <w:sz w:val="24"/>
          <w:szCs w:val="24"/>
        </w:rPr>
        <w:t xml:space="preserve"> </w:t>
      </w:r>
      <w:r w:rsidR="00BD0B28" w:rsidRPr="00A93382">
        <w:rPr>
          <w:rFonts w:ascii="Book Antiqua" w:hAnsi="Book Antiqua"/>
          <w:bCs/>
          <w:sz w:val="24"/>
          <w:szCs w:val="24"/>
        </w:rPr>
        <w:t>July 4, 2020</w:t>
      </w:r>
    </w:p>
    <w:p w:rsidR="005967B0" w:rsidRPr="00C8550C" w:rsidRDefault="005967B0" w:rsidP="00122AF4">
      <w:pPr>
        <w:adjustRightInd w:val="0"/>
        <w:snapToGrid w:val="0"/>
        <w:spacing w:after="0" w:line="360" w:lineRule="auto"/>
        <w:rPr>
          <w:rFonts w:ascii="Book Antiqua" w:hAnsi="Book Antiqua"/>
          <w:b/>
          <w:sz w:val="24"/>
          <w:szCs w:val="24"/>
        </w:rPr>
      </w:pP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b/>
          <w:kern w:val="0"/>
          <w:sz w:val="24"/>
          <w:szCs w:val="24"/>
        </w:rPr>
        <w:t>Specialty type:</w:t>
      </w:r>
      <w:r w:rsidRPr="00C8550C">
        <w:rPr>
          <w:rFonts w:ascii="Book Antiqua" w:hAnsi="Book Antiqua" w:cs="宋体"/>
          <w:kern w:val="0"/>
          <w:sz w:val="24"/>
          <w:szCs w:val="24"/>
        </w:rPr>
        <w:t xml:space="preserve"> Gastroenterology and hepatology</w:t>
      </w: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b/>
          <w:kern w:val="0"/>
          <w:sz w:val="24"/>
          <w:szCs w:val="24"/>
        </w:rPr>
        <w:t xml:space="preserve">Country/Territory of origin: </w:t>
      </w:r>
      <w:r w:rsidRPr="00C8550C">
        <w:rPr>
          <w:rFonts w:ascii="Book Antiqua" w:hAnsi="Book Antiqua" w:cs="宋体"/>
          <w:kern w:val="0"/>
          <w:sz w:val="24"/>
          <w:szCs w:val="24"/>
        </w:rPr>
        <w:t>China</w:t>
      </w:r>
    </w:p>
    <w:p w:rsidR="005967B0" w:rsidRPr="00C8550C" w:rsidRDefault="005967B0" w:rsidP="00122AF4">
      <w:pPr>
        <w:widowControl/>
        <w:shd w:val="clear" w:color="auto" w:fill="FFFFFF"/>
        <w:adjustRightInd w:val="0"/>
        <w:snapToGrid w:val="0"/>
        <w:spacing w:after="0" w:line="360" w:lineRule="auto"/>
        <w:jc w:val="left"/>
        <w:rPr>
          <w:rFonts w:ascii="Book Antiqua" w:hAnsi="Book Antiqua" w:cs="宋体"/>
          <w:kern w:val="0"/>
          <w:sz w:val="24"/>
          <w:szCs w:val="24"/>
        </w:rPr>
      </w:pP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b/>
          <w:kern w:val="0"/>
          <w:sz w:val="24"/>
          <w:szCs w:val="24"/>
        </w:rPr>
      </w:pPr>
      <w:r w:rsidRPr="00C8550C">
        <w:rPr>
          <w:rFonts w:ascii="Book Antiqua" w:hAnsi="Book Antiqua" w:cs="宋体"/>
          <w:b/>
          <w:kern w:val="0"/>
          <w:sz w:val="24"/>
          <w:szCs w:val="24"/>
        </w:rPr>
        <w:t>Peer-review report’s scientific quality classification</w:t>
      </w: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kern w:val="0"/>
          <w:sz w:val="24"/>
          <w:szCs w:val="24"/>
        </w:rPr>
        <w:t>Grade A (Excellent): 0</w:t>
      </w: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kern w:val="0"/>
          <w:sz w:val="24"/>
          <w:szCs w:val="24"/>
        </w:rPr>
        <w:t>Grade B (Very good): 0</w:t>
      </w: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kern w:val="0"/>
          <w:sz w:val="24"/>
          <w:szCs w:val="24"/>
        </w:rPr>
        <w:t>Grade C (Good): C</w:t>
      </w: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kern w:val="0"/>
          <w:sz w:val="24"/>
          <w:szCs w:val="24"/>
        </w:rPr>
        <w:t>Grade D (Fair): 0</w:t>
      </w:r>
    </w:p>
    <w:p w:rsidR="003A6416" w:rsidRPr="00C8550C" w:rsidRDefault="003A6416" w:rsidP="00122AF4">
      <w:pPr>
        <w:widowControl/>
        <w:shd w:val="clear" w:color="auto" w:fill="FFFFFF"/>
        <w:adjustRightInd w:val="0"/>
        <w:snapToGrid w:val="0"/>
        <w:spacing w:after="0" w:line="360" w:lineRule="auto"/>
        <w:jc w:val="left"/>
        <w:rPr>
          <w:rFonts w:ascii="Book Antiqua" w:hAnsi="Book Antiqua" w:cs="宋体"/>
          <w:kern w:val="0"/>
          <w:sz w:val="24"/>
          <w:szCs w:val="24"/>
        </w:rPr>
      </w:pPr>
      <w:r w:rsidRPr="00C8550C">
        <w:rPr>
          <w:rFonts w:ascii="Book Antiqua" w:hAnsi="Book Antiqua" w:cs="宋体"/>
          <w:kern w:val="0"/>
          <w:sz w:val="24"/>
          <w:szCs w:val="24"/>
        </w:rPr>
        <w:t>Grade E (Poor): 0</w:t>
      </w:r>
    </w:p>
    <w:p w:rsidR="005967B0" w:rsidRPr="00C8550C" w:rsidRDefault="005967B0" w:rsidP="00122AF4">
      <w:pPr>
        <w:widowControl/>
        <w:shd w:val="clear" w:color="auto" w:fill="FFFFFF"/>
        <w:adjustRightInd w:val="0"/>
        <w:snapToGrid w:val="0"/>
        <w:spacing w:after="0" w:line="360" w:lineRule="auto"/>
        <w:jc w:val="left"/>
        <w:rPr>
          <w:rFonts w:ascii="Book Antiqua" w:hAnsi="Book Antiqua" w:cs="宋体"/>
          <w:kern w:val="0"/>
          <w:sz w:val="24"/>
          <w:szCs w:val="24"/>
        </w:rPr>
      </w:pPr>
    </w:p>
    <w:p w:rsidR="005967B0" w:rsidRPr="00C8550C" w:rsidRDefault="003A6416" w:rsidP="005967B0">
      <w:pPr>
        <w:adjustRightInd w:val="0"/>
        <w:snapToGrid w:val="0"/>
        <w:spacing w:after="0" w:line="360" w:lineRule="auto"/>
        <w:rPr>
          <w:rFonts w:ascii="Book Antiqua" w:hAnsi="Book Antiqua"/>
          <w:b/>
          <w:bCs/>
          <w:sz w:val="24"/>
          <w:szCs w:val="24"/>
        </w:rPr>
      </w:pPr>
      <w:r w:rsidRPr="00C8550C">
        <w:rPr>
          <w:rFonts w:ascii="Book Antiqua" w:hAnsi="Book Antiqua"/>
          <w:b/>
          <w:sz w:val="24"/>
          <w:szCs w:val="24"/>
          <w:shd w:val="clear" w:color="auto" w:fill="FFFFFF"/>
        </w:rPr>
        <w:t xml:space="preserve">P-Reviewer: </w:t>
      </w:r>
      <w:r w:rsidR="005967B0" w:rsidRPr="00C8550C">
        <w:rPr>
          <w:rFonts w:ascii="Book Antiqua" w:hAnsi="Book Antiqua"/>
          <w:bCs/>
          <w:sz w:val="24"/>
          <w:szCs w:val="24"/>
          <w:shd w:val="clear" w:color="auto" w:fill="FFFFFF"/>
        </w:rPr>
        <w:t>Chen T</w:t>
      </w:r>
      <w:r w:rsidR="005967B0" w:rsidRPr="00C8550C">
        <w:rPr>
          <w:rFonts w:ascii="Book Antiqua" w:hAnsi="Book Antiqua"/>
          <w:b/>
          <w:sz w:val="24"/>
          <w:szCs w:val="24"/>
        </w:rPr>
        <w:t xml:space="preserve"> </w:t>
      </w:r>
      <w:r w:rsidR="00E615DD" w:rsidRPr="00C8550C">
        <w:rPr>
          <w:rFonts w:ascii="Book Antiqua" w:hAnsi="Book Antiqua"/>
          <w:b/>
          <w:bCs/>
          <w:sz w:val="24"/>
          <w:szCs w:val="24"/>
        </w:rPr>
        <w:t>S-Editor:</w:t>
      </w:r>
      <w:r w:rsidR="00E615DD" w:rsidRPr="00C8550C">
        <w:rPr>
          <w:rFonts w:ascii="Book Antiqua" w:hAnsi="Book Antiqua"/>
          <w:sz w:val="24"/>
          <w:szCs w:val="24"/>
        </w:rPr>
        <w:t xml:space="preserve"> </w:t>
      </w:r>
      <w:r w:rsidR="005967B0" w:rsidRPr="00C8550C">
        <w:rPr>
          <w:rFonts w:ascii="Book Antiqua" w:hAnsi="Book Antiqua"/>
          <w:sz w:val="24"/>
          <w:szCs w:val="24"/>
        </w:rPr>
        <w:t>Liu M</w:t>
      </w:r>
      <w:r w:rsidR="005967B0" w:rsidRPr="00C8550C">
        <w:rPr>
          <w:rFonts w:ascii="Book Antiqua" w:hAnsi="Book Antiqua"/>
          <w:b/>
          <w:sz w:val="24"/>
          <w:szCs w:val="24"/>
        </w:rPr>
        <w:t xml:space="preserve"> </w:t>
      </w:r>
      <w:r w:rsidR="00E615DD" w:rsidRPr="00C8550C">
        <w:rPr>
          <w:rFonts w:ascii="Book Antiqua" w:hAnsi="Book Antiqua"/>
          <w:b/>
          <w:bCs/>
          <w:sz w:val="24"/>
          <w:szCs w:val="24"/>
        </w:rPr>
        <w:t>L-Editor:</w:t>
      </w:r>
      <w:r w:rsidR="007C4214" w:rsidRPr="00C8550C">
        <w:rPr>
          <w:rFonts w:ascii="Book Antiqua" w:hAnsi="Book Antiqua"/>
          <w:sz w:val="24"/>
          <w:szCs w:val="24"/>
        </w:rPr>
        <w:t xml:space="preserve"> </w:t>
      </w:r>
      <w:r w:rsidR="00E2788D">
        <w:rPr>
          <w:rFonts w:ascii="Book Antiqua" w:hAnsi="Book Antiqua"/>
          <w:sz w:val="24"/>
          <w:szCs w:val="24"/>
        </w:rPr>
        <w:t>Wang TQ</w:t>
      </w:r>
      <w:r w:rsidR="007C4214" w:rsidRPr="00C8550C">
        <w:rPr>
          <w:rFonts w:ascii="Book Antiqua" w:hAnsi="Book Antiqua"/>
          <w:sz w:val="24"/>
          <w:szCs w:val="24"/>
        </w:rPr>
        <w:t xml:space="preserve"> </w:t>
      </w:r>
      <w:r w:rsidR="00E615DD" w:rsidRPr="00C8550C">
        <w:rPr>
          <w:rFonts w:ascii="Book Antiqua" w:hAnsi="Book Antiqua"/>
          <w:b/>
          <w:bCs/>
          <w:sz w:val="24"/>
          <w:szCs w:val="24"/>
        </w:rPr>
        <w:t>E-Editor:</w:t>
      </w:r>
      <w:r w:rsidR="00BD0B28" w:rsidRPr="00BD0B28">
        <w:rPr>
          <w:rFonts w:ascii="Book Antiqua" w:hAnsi="Book Antiqua" w:hint="eastAsia"/>
          <w:bCs/>
          <w:sz w:val="24"/>
          <w:szCs w:val="24"/>
        </w:rPr>
        <w:t xml:space="preserve"> </w:t>
      </w:r>
      <w:r w:rsidR="002F6E9A">
        <w:rPr>
          <w:rFonts w:ascii="Book Antiqua" w:hAnsi="Book Antiqua" w:hint="eastAsia"/>
          <w:bCs/>
          <w:sz w:val="24"/>
          <w:szCs w:val="24"/>
        </w:rPr>
        <w:t>Zhang YL</w:t>
      </w:r>
    </w:p>
    <w:p w:rsidR="006A389B" w:rsidRPr="00C8550C" w:rsidRDefault="005967B0" w:rsidP="00122AF4">
      <w:pPr>
        <w:adjustRightInd w:val="0"/>
        <w:snapToGrid w:val="0"/>
        <w:spacing w:after="0" w:line="360" w:lineRule="auto"/>
        <w:rPr>
          <w:rFonts w:ascii="Book Antiqua" w:hAnsi="Book Antiqua"/>
          <w:b/>
          <w:sz w:val="24"/>
          <w:szCs w:val="24"/>
        </w:rPr>
      </w:pPr>
      <w:r w:rsidRPr="00C8550C">
        <w:rPr>
          <w:rFonts w:ascii="Book Antiqua" w:hAnsi="Book Antiqua"/>
          <w:b/>
          <w:bCs/>
          <w:sz w:val="24"/>
          <w:szCs w:val="24"/>
        </w:rPr>
        <w:br w:type="page"/>
      </w:r>
      <w:r w:rsidR="00E615DD" w:rsidRPr="00C8550C">
        <w:rPr>
          <w:rFonts w:ascii="Book Antiqua" w:hAnsi="Book Antiqua"/>
          <w:b/>
          <w:bCs/>
          <w:sz w:val="24"/>
          <w:szCs w:val="24"/>
        </w:rPr>
        <w:t>Figure Legends</w:t>
      </w:r>
    </w:p>
    <w:p w:rsidR="00AD3C26" w:rsidRPr="00C8550C" w:rsidRDefault="000D7CAA" w:rsidP="00122AF4">
      <w:pPr>
        <w:adjustRightInd w:val="0"/>
        <w:snapToGrid w:val="0"/>
        <w:spacing w:after="0" w:line="360" w:lineRule="auto"/>
        <w:rPr>
          <w:rFonts w:ascii="Book Antiqua" w:hAnsi="Book Antiqua"/>
          <w:b/>
          <w:bCs/>
          <w:sz w:val="24"/>
          <w:szCs w:val="24"/>
        </w:rPr>
      </w:pPr>
      <w:r>
        <w:rPr>
          <w:rFonts w:ascii="Book Antiqua" w:hAnsi="Book Antiqua"/>
          <w:b/>
          <w:bCs/>
          <w:noProof/>
          <w:sz w:val="24"/>
          <w:szCs w:val="24"/>
        </w:rPr>
        <w:drawing>
          <wp:inline distT="0" distB="0" distL="0" distR="0">
            <wp:extent cx="4704080" cy="4089400"/>
            <wp:effectExtent l="0" t="0" r="127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4080" cy="4089400"/>
                    </a:xfrm>
                    <a:prstGeom prst="rect">
                      <a:avLst/>
                    </a:prstGeom>
                    <a:noFill/>
                  </pic:spPr>
                </pic:pic>
              </a:graphicData>
            </a:graphic>
          </wp:inline>
        </w:drawing>
      </w:r>
    </w:p>
    <w:p w:rsidR="00343803" w:rsidRPr="00C8550C" w:rsidRDefault="006A389B" w:rsidP="00122AF4">
      <w:pPr>
        <w:adjustRightInd w:val="0"/>
        <w:snapToGrid w:val="0"/>
        <w:spacing w:after="0" w:line="360" w:lineRule="auto"/>
        <w:rPr>
          <w:rFonts w:ascii="Book Antiqua" w:hAnsi="Book Antiqua"/>
          <w:b/>
          <w:bCs/>
          <w:sz w:val="24"/>
          <w:szCs w:val="24"/>
        </w:rPr>
      </w:pPr>
      <w:r w:rsidRPr="00C8550C">
        <w:rPr>
          <w:rFonts w:ascii="Book Antiqua" w:hAnsi="Book Antiqua"/>
          <w:b/>
          <w:bCs/>
          <w:sz w:val="24"/>
          <w:szCs w:val="24"/>
        </w:rPr>
        <w:t>Figure 1 Flow chart of participant inclusion.</w:t>
      </w:r>
      <w:r w:rsidR="00343803" w:rsidRPr="00C8550C">
        <w:rPr>
          <w:rFonts w:ascii="Book Antiqua" w:hAnsi="Book Antiqua"/>
          <w:b/>
          <w:bCs/>
          <w:sz w:val="24"/>
          <w:szCs w:val="24"/>
        </w:rPr>
        <w:t xml:space="preserve"> </w:t>
      </w:r>
      <w:r w:rsidR="00835DED" w:rsidRPr="00C8550C">
        <w:rPr>
          <w:rFonts w:ascii="Book Antiqua" w:hAnsi="Book Antiqua"/>
          <w:sz w:val="24"/>
          <w:szCs w:val="24"/>
        </w:rPr>
        <w:t>CEUS:</w:t>
      </w:r>
      <w:r w:rsidRPr="00C8550C">
        <w:rPr>
          <w:rFonts w:ascii="Book Antiqua" w:hAnsi="Book Antiqua"/>
          <w:sz w:val="24"/>
          <w:szCs w:val="24"/>
        </w:rPr>
        <w:t xml:space="preserve"> </w:t>
      </w:r>
      <w:r w:rsidR="00343803" w:rsidRPr="00C8550C">
        <w:rPr>
          <w:rFonts w:ascii="Book Antiqua" w:hAnsi="Book Antiqua"/>
          <w:sz w:val="24"/>
          <w:szCs w:val="24"/>
        </w:rPr>
        <w:t>C</w:t>
      </w:r>
      <w:r w:rsidRPr="00C8550C">
        <w:rPr>
          <w:rFonts w:ascii="Book Antiqua" w:hAnsi="Book Antiqua"/>
          <w:sz w:val="24"/>
          <w:szCs w:val="24"/>
        </w:rPr>
        <w:t>ontrast-enhanced ultrasound; HCC</w:t>
      </w:r>
      <w:r w:rsidR="00835DED" w:rsidRPr="00C8550C">
        <w:rPr>
          <w:rFonts w:ascii="Book Antiqua" w:hAnsi="Book Antiqua"/>
          <w:sz w:val="24"/>
          <w:szCs w:val="24"/>
        </w:rPr>
        <w:t>:</w:t>
      </w:r>
      <w:r w:rsidR="00382FC4" w:rsidRPr="00C8550C">
        <w:rPr>
          <w:rFonts w:ascii="Book Antiqua" w:hAnsi="Book Antiqua"/>
          <w:sz w:val="24"/>
          <w:szCs w:val="24"/>
        </w:rPr>
        <w:t xml:space="preserve"> </w:t>
      </w:r>
      <w:r w:rsidR="00343803" w:rsidRPr="00C8550C">
        <w:rPr>
          <w:rFonts w:ascii="Book Antiqua" w:hAnsi="Book Antiqua"/>
          <w:sz w:val="24"/>
          <w:szCs w:val="24"/>
        </w:rPr>
        <w:t>H</w:t>
      </w:r>
      <w:r w:rsidR="00382FC4" w:rsidRPr="00C8550C">
        <w:rPr>
          <w:rFonts w:ascii="Book Antiqua" w:hAnsi="Book Antiqua"/>
          <w:sz w:val="24"/>
          <w:szCs w:val="24"/>
        </w:rPr>
        <w:t>epatocellular carcinoma; ICC:</w:t>
      </w:r>
      <w:r w:rsidRPr="00C8550C">
        <w:rPr>
          <w:rFonts w:ascii="Book Antiqua" w:hAnsi="Book Antiqua"/>
          <w:sz w:val="24"/>
          <w:szCs w:val="24"/>
        </w:rPr>
        <w:t xml:space="preserve"> </w:t>
      </w:r>
      <w:r w:rsidR="00343803" w:rsidRPr="00C8550C">
        <w:rPr>
          <w:rFonts w:ascii="Book Antiqua" w:hAnsi="Book Antiqua"/>
          <w:sz w:val="24"/>
          <w:szCs w:val="24"/>
        </w:rPr>
        <w:t>I</w:t>
      </w:r>
      <w:r w:rsidRPr="00C8550C">
        <w:rPr>
          <w:rFonts w:ascii="Book Antiqua" w:hAnsi="Book Antiqua"/>
          <w:sz w:val="24"/>
          <w:szCs w:val="24"/>
        </w:rPr>
        <w:t>ntrahepatic cholangiocarcinoma.</w:t>
      </w:r>
    </w:p>
    <w:p w:rsidR="00866381" w:rsidRPr="00C8550C" w:rsidRDefault="00343803" w:rsidP="00866381">
      <w:pPr>
        <w:adjustRightInd w:val="0"/>
        <w:snapToGrid w:val="0"/>
        <w:spacing w:after="0" w:line="360" w:lineRule="auto"/>
        <w:rPr>
          <w:rFonts w:ascii="Book Antiqua" w:hAnsi="Book Antiqua"/>
          <w:noProof/>
          <w:sz w:val="24"/>
          <w:szCs w:val="24"/>
        </w:rPr>
      </w:pPr>
      <w:r w:rsidRPr="00C8550C">
        <w:rPr>
          <w:rFonts w:ascii="Book Antiqua" w:hAnsi="Book Antiqua"/>
          <w:sz w:val="24"/>
          <w:szCs w:val="24"/>
        </w:rPr>
        <w:br w:type="page"/>
      </w:r>
      <w:r w:rsidR="000D7CAA">
        <w:rPr>
          <w:rFonts w:ascii="Book Antiqua" w:hAnsi="Book Antiqua"/>
          <w:noProof/>
          <w:sz w:val="24"/>
          <w:szCs w:val="24"/>
        </w:rPr>
        <mc:AlternateContent>
          <mc:Choice Requires="wps">
            <w:drawing>
              <wp:anchor distT="0" distB="0" distL="114300" distR="114300" simplePos="0" relativeHeight="251644928" behindDoc="0" locked="0" layoutInCell="1" allowOverlap="1">
                <wp:simplePos x="0" y="0"/>
                <wp:positionH relativeFrom="column">
                  <wp:posOffset>2400935</wp:posOffset>
                </wp:positionH>
                <wp:positionV relativeFrom="paragraph">
                  <wp:posOffset>1017270</wp:posOffset>
                </wp:positionV>
                <wp:extent cx="245110" cy="232410"/>
                <wp:effectExtent l="19050" t="38100" r="40640" b="15240"/>
                <wp:wrapNone/>
                <wp:docPr id="57"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5" o:spid="_x0000_s1026" type="#_x0000_t32" style="position:absolute;left:0;text-align:left;margin-left:189.05pt;margin-top:80.1pt;width:19.3pt;height:18.3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" strokecolor="yellow" strokeweight="2.25pt">
                <v:stroke endarrow="open"/>
                <o:lock v:ext="edit" shapetype="f"/>
              </v:shape>
            </w:pict>
          </mc:Fallback>
        </mc:AlternateContent>
      </w:r>
      <w:r w:rsidR="000D7CAA">
        <w:rPr>
          <w:rFonts w:ascii="Book Antiqua" w:hAnsi="Book Antiqua"/>
          <w:noProof/>
          <w:sz w:val="24"/>
          <w:szCs w:val="24"/>
        </w:rPr>
        <mc:AlternateContent>
          <mc:Choice Requires="wps">
            <w:drawing>
              <wp:anchor distT="0" distB="0" distL="114300" distR="114300" simplePos="0" relativeHeight="251643904" behindDoc="0" locked="0" layoutInCell="1" allowOverlap="1">
                <wp:simplePos x="0" y="0"/>
                <wp:positionH relativeFrom="column">
                  <wp:posOffset>459105</wp:posOffset>
                </wp:positionH>
                <wp:positionV relativeFrom="paragraph">
                  <wp:posOffset>859155</wp:posOffset>
                </wp:positionV>
                <wp:extent cx="245110" cy="232410"/>
                <wp:effectExtent l="19050" t="38100" r="40640" b="15240"/>
                <wp:wrapNone/>
                <wp:docPr id="5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36.15pt;margin-top:67.65pt;width:19.3pt;height:18.3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" strokecolor="yellow" strokeweight="2.25pt">
                <v:stroke endarrow="open"/>
                <o:lock v:ext="edit" shapetype="f"/>
              </v:shape>
            </w:pict>
          </mc:Fallback>
        </mc:AlternateContent>
      </w:r>
      <w:r w:rsidR="000D7CAA">
        <w:rPr>
          <w:rFonts w:ascii="Book Antiqua" w:hAnsi="Book Antiqua"/>
          <w:noProof/>
          <w:sz w:val="24"/>
          <w:szCs w:val="24"/>
        </w:rPr>
        <mc:AlternateContent>
          <mc:Choice Requires="wps">
            <w:drawing>
              <wp:anchor distT="0" distB="0" distL="114300" distR="114300" simplePos="0" relativeHeight="251640832" behindDoc="0" locked="0" layoutInCell="1" allowOverlap="1">
                <wp:simplePos x="0" y="0"/>
                <wp:positionH relativeFrom="column">
                  <wp:posOffset>2266315</wp:posOffset>
                </wp:positionH>
                <wp:positionV relativeFrom="paragraph">
                  <wp:posOffset>1617345</wp:posOffset>
                </wp:positionV>
                <wp:extent cx="459105" cy="487680"/>
                <wp:effectExtent l="0" t="0" r="0" b="7620"/>
                <wp:wrapNone/>
                <wp:docPr id="55"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487680"/>
                        </a:xfrm>
                        <a:prstGeom prst="rect">
                          <a:avLst/>
                        </a:prstGeom>
                        <a:noFill/>
                        <a:ln>
                          <a:noFill/>
                        </a:ln>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178.45pt;margin-top:127.35pt;width:36.15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" filled="f" stroked="f">
                <v:path arrowok="t"/>
                <v:textbox style="mso-fit-shape-to-text:t">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D</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41856" behindDoc="0" locked="0" layoutInCell="1" allowOverlap="1">
                <wp:simplePos x="0" y="0"/>
                <wp:positionH relativeFrom="column">
                  <wp:posOffset>-47625</wp:posOffset>
                </wp:positionH>
                <wp:positionV relativeFrom="paragraph">
                  <wp:posOffset>1617345</wp:posOffset>
                </wp:positionV>
                <wp:extent cx="459105" cy="487680"/>
                <wp:effectExtent l="0" t="0" r="0" b="7620"/>
                <wp:wrapNone/>
                <wp:docPr id="5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487680"/>
                        </a:xfrm>
                        <a:prstGeom prst="rect">
                          <a:avLst/>
                        </a:prstGeom>
                        <a:noFill/>
                        <a:ln>
                          <a:noFill/>
                        </a:ln>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75pt;margin-top:127.35pt;width:36.15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" filled="f" stroked="f">
                <v:path arrowok="t"/>
                <v:textbox style="mso-fit-shape-to-text:t">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C</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39808" behindDoc="0" locked="0" layoutInCell="1" allowOverlap="1">
                <wp:simplePos x="0" y="0"/>
                <wp:positionH relativeFrom="column">
                  <wp:posOffset>-47625</wp:posOffset>
                </wp:positionH>
                <wp:positionV relativeFrom="paragraph">
                  <wp:posOffset>-80010</wp:posOffset>
                </wp:positionV>
                <wp:extent cx="459105" cy="487680"/>
                <wp:effectExtent l="0" t="0" r="0" b="7620"/>
                <wp:wrapNone/>
                <wp:docPr id="5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487680"/>
                        </a:xfrm>
                        <a:prstGeom prst="rect">
                          <a:avLst/>
                        </a:prstGeom>
                        <a:noFill/>
                        <a:ln>
                          <a:noFill/>
                        </a:ln>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75pt;margin-top:-6.3pt;width:36.15pt;height:3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" filled="f" stroked="f">
                <v:path arrowok="t"/>
                <v:textbox style="mso-fit-shape-to-text:t">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A</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42880" behindDoc="0" locked="0" layoutInCell="1" allowOverlap="1">
                <wp:simplePos x="0" y="0"/>
                <wp:positionH relativeFrom="column">
                  <wp:posOffset>2322195</wp:posOffset>
                </wp:positionH>
                <wp:positionV relativeFrom="paragraph">
                  <wp:posOffset>-127000</wp:posOffset>
                </wp:positionV>
                <wp:extent cx="323850" cy="534670"/>
                <wp:effectExtent l="0" t="0" r="1905" b="1905"/>
                <wp:wrapNone/>
                <wp:docPr id="5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866381">
                            <w:pPr>
                              <w:pStyle w:val="ab"/>
                              <w:rPr>
                                <w:rFonts w:ascii="Book Antiqua" w:hAnsi="Book Antiqua"/>
                                <w:sz w:val="15"/>
                              </w:rPr>
                            </w:pPr>
                            <w:r w:rsidRPr="00DD1A5D">
                              <w:rPr>
                                <w:rFonts w:ascii="Book Antiqua" w:eastAsia="Arial Unicode MS" w:hAnsi="Book Antiqua"/>
                                <w:bCs/>
                                <w:color w:val="FFFF00"/>
                                <w:kern w:val="24"/>
                                <w:sz w:val="32"/>
                                <w:szCs w:val="5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82.85pt;margin-top:-10pt;width:25.5pt;height:4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" filled="f" stroked="f">
                <v:textbox>
                  <w:txbxContent>
                    <w:p w:rsidR="007910B5" w:rsidRPr="00DD1A5D" w:rsidRDefault="007910B5" w:rsidP="00866381">
                      <w:pPr>
                        <w:pStyle w:val="ab"/>
                        <w:rPr>
                          <w:rFonts w:ascii="Book Antiqua" w:hAnsi="Book Antiqua"/>
                          <w:sz w:val="15"/>
                        </w:rPr>
                      </w:pPr>
                      <w:r w:rsidRPr="00DD1A5D">
                        <w:rPr>
                          <w:rFonts w:ascii="Book Antiqua" w:eastAsia="Arial Unicode MS" w:hAnsi="Book Antiqua"/>
                          <w:bCs/>
                          <w:color w:val="FFFF00"/>
                          <w:kern w:val="24"/>
                          <w:sz w:val="32"/>
                          <w:szCs w:val="56"/>
                        </w:rPr>
                        <w:t>B</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-198755</wp:posOffset>
                </wp:positionV>
                <wp:extent cx="459105" cy="319405"/>
                <wp:effectExtent l="0" t="0" r="0" b="4445"/>
                <wp:wrapNone/>
                <wp:docPr id="5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319405"/>
                        </a:xfrm>
                        <a:prstGeom prst="rect">
                          <a:avLst/>
                        </a:prstGeom>
                        <a:noFill/>
                        <a:ln>
                          <a:noFill/>
                        </a:ln>
                      </wps:spPr>
                      <wps:txbx>
                        <w:txbxContent>
                          <w:p w:rsidR="007910B5" w:rsidRPr="00D33BE0" w:rsidRDefault="007910B5" w:rsidP="00866381">
                            <w:pPr>
                              <w:pStyle w:val="ab"/>
                              <w:rPr>
                                <w:sz w:val="18"/>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15.65pt;width:36.15pt;height:25.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" filled="f" stroked="f">
                <v:path arrowok="t"/>
                <v:textbox style="mso-fit-shape-to-text:t">
                  <w:txbxContent>
                    <w:p w:rsidR="007910B5" w:rsidRPr="00D33BE0" w:rsidRDefault="007910B5" w:rsidP="00866381">
                      <w:pPr>
                        <w:pStyle w:val="ab"/>
                        <w:rPr>
                          <w:sz w:val="18"/>
                        </w:rPr>
                      </w:pPr>
                    </w:p>
                  </w:txbxContent>
                </v:textbox>
              </v:shape>
            </w:pict>
          </mc:Fallback>
        </mc:AlternateContent>
      </w:r>
      <w:r w:rsidR="000D7CAA">
        <w:rPr>
          <w:rFonts w:ascii="Book Antiqua" w:hAnsi="Book Antiqua"/>
          <w:noProof/>
          <w:sz w:val="24"/>
          <w:szCs w:val="24"/>
        </w:rPr>
        <w:drawing>
          <wp:inline distT="0" distB="0" distL="0" distR="0">
            <wp:extent cx="2222500" cy="1562100"/>
            <wp:effectExtent l="0" t="0" r="6350" b="0"/>
            <wp:docPr id="2" name="图片 3" descr="说明: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2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00866381" w:rsidRPr="00C8550C">
        <w:rPr>
          <w:rFonts w:ascii="Book Antiqua" w:hAnsi="Book Antiqua"/>
          <w:noProof/>
          <w:sz w:val="24"/>
          <w:szCs w:val="24"/>
        </w:rPr>
        <w:t xml:space="preserve"> </w:t>
      </w:r>
      <w:r w:rsidR="000D7CAA">
        <w:rPr>
          <w:rFonts w:ascii="Book Antiqua" w:hAnsi="Book Antiqua"/>
          <w:noProof/>
          <w:sz w:val="24"/>
          <w:szCs w:val="24"/>
        </w:rPr>
        <w:drawing>
          <wp:inline distT="0" distB="0" distL="0" distR="0">
            <wp:extent cx="2222500" cy="1562100"/>
            <wp:effectExtent l="0" t="0" r="6350" b="0"/>
            <wp:docPr id="3" name="图片 3" descr="说明: 2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2B"/>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866381" w:rsidRPr="00C8550C" w:rsidRDefault="000D7CAA" w:rsidP="00866381">
      <w:pPr>
        <w:adjustRightInd w:val="0"/>
        <w:snapToGrid w:val="0"/>
        <w:spacing w:after="0" w:line="360" w:lineRule="auto"/>
        <w:rPr>
          <w:rFonts w:ascii="Book Antiqua" w:hAnsi="Book Antiqua"/>
          <w:b/>
          <w:sz w:val="24"/>
          <w:szCs w:val="24"/>
        </w:rPr>
      </w:pPr>
      <w:r>
        <w:rPr>
          <w:rFonts w:ascii="Book Antiqua" w:hAnsi="Book Antiqua"/>
          <w:noProof/>
          <w:sz w:val="24"/>
          <w:szCs w:val="24"/>
        </w:rPr>
        <mc:AlternateContent>
          <mc:Choice Requires="wps">
            <w:drawing>
              <wp:anchor distT="0" distB="0" distL="114300" distR="114300" simplePos="0" relativeHeight="251646976" behindDoc="0" locked="0" layoutInCell="1" allowOverlap="1">
                <wp:simplePos x="0" y="0"/>
                <wp:positionH relativeFrom="column">
                  <wp:posOffset>2322195</wp:posOffset>
                </wp:positionH>
                <wp:positionV relativeFrom="paragraph">
                  <wp:posOffset>1026160</wp:posOffset>
                </wp:positionV>
                <wp:extent cx="245110" cy="232410"/>
                <wp:effectExtent l="19050" t="38100" r="40640" b="15240"/>
                <wp:wrapNone/>
                <wp:docPr id="50"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82.85pt;margin-top:80.8pt;width:19.3pt;height:18.3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" strokecolor="yellow" strokeweight="2.25pt">
                <v:stroke endarrow="open"/>
                <o:lock v:ext="edit" shapetype="f"/>
              </v:shape>
            </w:pict>
          </mc:Fallback>
        </mc:AlternateContent>
      </w:r>
      <w:r>
        <w:rPr>
          <w:rFonts w:ascii="Book Antiqua" w:hAnsi="Book Antiqua"/>
          <w:b/>
          <w:noProof/>
          <w:sz w:val="24"/>
          <w:szCs w:val="24"/>
        </w:rPr>
        <mc:AlternateContent>
          <mc:Choice Requires="wps">
            <w:drawing>
              <wp:anchor distT="0" distB="0" distL="114300" distR="114300" simplePos="0" relativeHeight="251648000" behindDoc="0" locked="0" layoutInCell="1" allowOverlap="1">
                <wp:simplePos x="0" y="0"/>
                <wp:positionH relativeFrom="column">
                  <wp:posOffset>-47625</wp:posOffset>
                </wp:positionH>
                <wp:positionV relativeFrom="paragraph">
                  <wp:posOffset>1648460</wp:posOffset>
                </wp:positionV>
                <wp:extent cx="349250" cy="408305"/>
                <wp:effectExtent l="0" t="635" r="3175" b="635"/>
                <wp:wrapNone/>
                <wp:docPr id="49"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3B426A" w:rsidRDefault="007910B5" w:rsidP="00866381">
                            <w:pPr>
                              <w:pStyle w:val="ab"/>
                              <w:rPr>
                                <w:color w:val="FFFF00"/>
                              </w:rPr>
                            </w:pPr>
                            <w:r w:rsidRPr="003B426A">
                              <w:rPr>
                                <w:rFonts w:ascii="Arial Unicode MS" w:eastAsia="Arial Unicode MS" w:hAnsi="Arial Unicode MS" w:hint="eastAsia"/>
                                <w:b/>
                                <w:bCs/>
                                <w:color w:val="FFFF00"/>
                                <w:kern w:val="24"/>
                                <w:sz w:val="32"/>
                                <w:szCs w:val="3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75pt;margin-top:129.8pt;width:27.5pt;height:3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FpxwIAAME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" filled="f" stroked="f">
                <v:textbox>
                  <w:txbxContent>
                    <w:p w:rsidR="007910B5" w:rsidRPr="003B426A" w:rsidRDefault="007910B5" w:rsidP="00866381">
                      <w:pPr>
                        <w:pStyle w:val="ab"/>
                        <w:rPr>
                          <w:color w:val="FFFF00"/>
                        </w:rPr>
                      </w:pPr>
                      <w:r w:rsidRPr="003B426A">
                        <w:rPr>
                          <w:rFonts w:ascii="Arial Unicode MS" w:eastAsia="Arial Unicode MS" w:hAnsi="Arial Unicode MS" w:hint="eastAsia"/>
                          <w:b/>
                          <w:bCs/>
                          <w:color w:val="FFFF00"/>
                          <w:kern w:val="24"/>
                          <w:sz w:val="32"/>
                          <w:szCs w:val="32"/>
                        </w:rPr>
                        <w:t>E</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45952" behindDoc="0" locked="0" layoutInCell="1" allowOverlap="1">
                <wp:simplePos x="0" y="0"/>
                <wp:positionH relativeFrom="column">
                  <wp:posOffset>104140</wp:posOffset>
                </wp:positionH>
                <wp:positionV relativeFrom="paragraph">
                  <wp:posOffset>970915</wp:posOffset>
                </wp:positionV>
                <wp:extent cx="245110" cy="232410"/>
                <wp:effectExtent l="19050" t="38100" r="40640" b="15240"/>
                <wp:wrapNone/>
                <wp:docPr id="48"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8.2pt;margin-top:76.45pt;width:19.3pt;height:18.3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" strokecolor="yellow" strokeweight="2.25pt">
                <v:stroke endarrow="open"/>
                <o:lock v:ext="edit" shapetype="f"/>
              </v:shape>
            </w:pict>
          </mc:Fallback>
        </mc:AlternateContent>
      </w:r>
      <w:r>
        <w:rPr>
          <w:rFonts w:ascii="Book Antiqua" w:hAnsi="Book Antiqua"/>
          <w:b/>
          <w:noProof/>
          <w:sz w:val="24"/>
          <w:szCs w:val="24"/>
        </w:rPr>
        <w:drawing>
          <wp:inline distT="0" distB="0" distL="0" distR="0">
            <wp:extent cx="2222500" cy="1562100"/>
            <wp:effectExtent l="0" t="0" r="6350" b="0"/>
            <wp:docPr id="4" name="图片 3" descr="说明: 2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2C"/>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00866381" w:rsidRPr="00C8550C">
        <w:rPr>
          <w:rFonts w:ascii="Book Antiqua" w:hAnsi="Book Antiqua"/>
          <w:b/>
          <w:sz w:val="24"/>
          <w:szCs w:val="24"/>
        </w:rPr>
        <w:t xml:space="preserve"> </w:t>
      </w:r>
      <w:r>
        <w:rPr>
          <w:rFonts w:ascii="Book Antiqua" w:hAnsi="Book Antiqua"/>
          <w:b/>
          <w:noProof/>
          <w:sz w:val="24"/>
          <w:szCs w:val="24"/>
        </w:rPr>
        <w:drawing>
          <wp:inline distT="0" distB="0" distL="0" distR="0">
            <wp:extent cx="2222500" cy="1562100"/>
            <wp:effectExtent l="0" t="0" r="6350" b="0"/>
            <wp:docPr id="5" name="图片 3" descr="说明: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2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343803" w:rsidRPr="00C8550C" w:rsidRDefault="000D7CAA" w:rsidP="00122AF4">
      <w:pPr>
        <w:adjustRightInd w:val="0"/>
        <w:snapToGrid w:val="0"/>
        <w:spacing w:after="0" w:line="360" w:lineRule="auto"/>
        <w:rPr>
          <w:rFonts w:ascii="Book Antiqua" w:hAnsi="Book Antiqua"/>
          <w:b/>
          <w:sz w:val="24"/>
          <w:szCs w:val="24"/>
        </w:rPr>
      </w:pPr>
      <w:r>
        <w:rPr>
          <w:rFonts w:ascii="Book Antiqua" w:hAnsi="Book Antiqua"/>
          <w:b/>
          <w:noProof/>
          <w:sz w:val="24"/>
          <w:szCs w:val="24"/>
        </w:rPr>
        <w:drawing>
          <wp:inline distT="0" distB="0" distL="0" distR="0">
            <wp:extent cx="2222500" cy="1562100"/>
            <wp:effectExtent l="0" t="0" r="6350" b="0"/>
            <wp:docPr id="6" name="图片 3" descr="说明: 2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2E"/>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866381" w:rsidRPr="00C8550C" w:rsidRDefault="006A389B" w:rsidP="00122AF4">
      <w:pPr>
        <w:adjustRightInd w:val="0"/>
        <w:snapToGrid w:val="0"/>
        <w:spacing w:after="0" w:line="360" w:lineRule="auto"/>
        <w:rPr>
          <w:rFonts w:ascii="Book Antiqua" w:hAnsi="Book Antiqua"/>
          <w:sz w:val="24"/>
          <w:szCs w:val="24"/>
        </w:rPr>
      </w:pPr>
      <w:r w:rsidRPr="00C8550C">
        <w:rPr>
          <w:rFonts w:ascii="Book Antiqua" w:hAnsi="Book Antiqua"/>
          <w:b/>
          <w:bCs/>
          <w:sz w:val="24"/>
          <w:szCs w:val="24"/>
        </w:rPr>
        <w:t>Figure 2 A 54-year-old female patient with</w:t>
      </w:r>
      <w:r w:rsidR="00382FC4" w:rsidRPr="00C8550C">
        <w:rPr>
          <w:rFonts w:ascii="Book Antiqua" w:hAnsi="Book Antiqua"/>
          <w:b/>
          <w:bCs/>
          <w:sz w:val="24"/>
          <w:szCs w:val="24"/>
        </w:rPr>
        <w:t xml:space="preserve"> a lesion categorized as LR-M.</w:t>
      </w:r>
      <w:r w:rsidR="00382FC4" w:rsidRPr="00C8550C">
        <w:rPr>
          <w:rFonts w:ascii="Book Antiqua" w:hAnsi="Book Antiqua"/>
          <w:sz w:val="24"/>
          <w:szCs w:val="24"/>
        </w:rPr>
        <w:t xml:space="preserve"> A:</w:t>
      </w:r>
      <w:r w:rsidRPr="00C8550C">
        <w:rPr>
          <w:rFonts w:ascii="Book Antiqua" w:hAnsi="Book Antiqua"/>
          <w:sz w:val="24"/>
          <w:szCs w:val="24"/>
        </w:rPr>
        <w:t xml:space="preserve"> Conventional grayscale ultrasound detected a hypoechoic nodule (arrow) 3.6 cm in diameter i</w:t>
      </w:r>
      <w:r w:rsidR="00382FC4" w:rsidRPr="00C8550C">
        <w:rPr>
          <w:rFonts w:ascii="Book Antiqua" w:hAnsi="Book Antiqua"/>
          <w:sz w:val="24"/>
          <w:szCs w:val="24"/>
        </w:rPr>
        <w:t>n the right lobe of the liver</w:t>
      </w:r>
      <w:r w:rsidR="00866381" w:rsidRPr="00C8550C">
        <w:rPr>
          <w:rFonts w:ascii="Book Antiqua" w:hAnsi="Book Antiqua"/>
          <w:sz w:val="24"/>
          <w:szCs w:val="24"/>
        </w:rPr>
        <w:t xml:space="preserve">; </w:t>
      </w:r>
      <w:r w:rsidR="00382FC4" w:rsidRPr="00C8550C">
        <w:rPr>
          <w:rFonts w:ascii="Book Antiqua" w:hAnsi="Book Antiqua"/>
          <w:sz w:val="24"/>
          <w:szCs w:val="24"/>
        </w:rPr>
        <w:t>B</w:t>
      </w:r>
      <w:r w:rsidR="00866381" w:rsidRPr="00C8550C">
        <w:rPr>
          <w:rFonts w:ascii="Book Antiqua" w:hAnsi="Book Antiqua"/>
          <w:sz w:val="24"/>
          <w:szCs w:val="24"/>
        </w:rPr>
        <w:t xml:space="preserve">: </w:t>
      </w:r>
      <w:r w:rsidRPr="00C8550C">
        <w:rPr>
          <w:rFonts w:ascii="Book Antiqua" w:hAnsi="Book Antiqua"/>
          <w:sz w:val="24"/>
          <w:szCs w:val="24"/>
        </w:rPr>
        <w:t>Rim arterial phase hyperenhancement (</w:t>
      </w:r>
      <w:r w:rsidRPr="00C8550C">
        <w:rPr>
          <w:rFonts w:ascii="Book Antiqua" w:eastAsia="Arial Unicode MS" w:hAnsi="Book Antiqua"/>
          <w:bCs/>
          <w:sz w:val="24"/>
          <w:szCs w:val="24"/>
        </w:rPr>
        <w:t>APEH)</w:t>
      </w:r>
      <w:r w:rsidRPr="00C8550C">
        <w:rPr>
          <w:rFonts w:ascii="Book Antiqua" w:hAnsi="Book Antiqua"/>
          <w:sz w:val="24"/>
          <w:szCs w:val="24"/>
        </w:rPr>
        <w:t xml:space="preserve"> (arrow) in the arterial phase was demonstrated </w:t>
      </w:r>
      <w:r w:rsidR="00382FC4" w:rsidRPr="00C8550C">
        <w:rPr>
          <w:rFonts w:ascii="Book Antiqua" w:hAnsi="Book Antiqua"/>
          <w:sz w:val="24"/>
          <w:szCs w:val="24"/>
        </w:rPr>
        <w:t>by contrast-enhanced ultrasound</w:t>
      </w:r>
      <w:r w:rsidR="00866381" w:rsidRPr="00C8550C">
        <w:rPr>
          <w:rFonts w:ascii="Book Antiqua" w:hAnsi="Book Antiqua"/>
          <w:sz w:val="24"/>
          <w:szCs w:val="24"/>
        </w:rPr>
        <w:t xml:space="preserve">; </w:t>
      </w:r>
      <w:r w:rsidR="00382FC4" w:rsidRPr="00C8550C">
        <w:rPr>
          <w:rFonts w:ascii="Book Antiqua" w:hAnsi="Book Antiqua"/>
          <w:sz w:val="24"/>
          <w:szCs w:val="24"/>
        </w:rPr>
        <w:t>C</w:t>
      </w:r>
      <w:r w:rsidR="00B41473" w:rsidRPr="00C8550C">
        <w:rPr>
          <w:rFonts w:ascii="Book Antiqua" w:hAnsi="Book Antiqua"/>
          <w:sz w:val="24"/>
          <w:szCs w:val="24"/>
        </w:rPr>
        <w:t xml:space="preserve"> and </w:t>
      </w:r>
      <w:r w:rsidR="00382FC4" w:rsidRPr="00C8550C">
        <w:rPr>
          <w:rFonts w:ascii="Book Antiqua" w:hAnsi="Book Antiqua"/>
          <w:sz w:val="24"/>
          <w:szCs w:val="24"/>
        </w:rPr>
        <w:t>D</w:t>
      </w:r>
      <w:r w:rsidR="00866381" w:rsidRPr="00C8550C">
        <w:rPr>
          <w:rFonts w:ascii="Book Antiqua" w:hAnsi="Book Antiqua"/>
          <w:sz w:val="24"/>
          <w:szCs w:val="24"/>
        </w:rPr>
        <w:t xml:space="preserve">: </w:t>
      </w:r>
      <w:r w:rsidRPr="00C8550C">
        <w:rPr>
          <w:rFonts w:ascii="Book Antiqua" w:hAnsi="Book Antiqua"/>
          <w:sz w:val="24"/>
          <w:szCs w:val="24"/>
        </w:rPr>
        <w:t xml:space="preserve">No washout (arrow) was observed in the early portal phase (by 60 s), and no marked washout (arrow) was observed by 126 s after SonoVue injection. This lesion was designated </w:t>
      </w:r>
      <w:r w:rsidR="00E2788D">
        <w:rPr>
          <w:rFonts w:ascii="Book Antiqua" w:hAnsi="Book Antiqua"/>
          <w:sz w:val="24"/>
          <w:szCs w:val="24"/>
        </w:rPr>
        <w:t xml:space="preserve">as </w:t>
      </w:r>
      <w:r w:rsidRPr="00C8550C">
        <w:rPr>
          <w:rFonts w:ascii="Book Antiqua" w:hAnsi="Book Antiqua"/>
          <w:sz w:val="24"/>
          <w:szCs w:val="24"/>
        </w:rPr>
        <w:t xml:space="preserve">LR-M because of rim </w:t>
      </w:r>
      <w:r w:rsidRPr="00C8550C">
        <w:rPr>
          <w:rFonts w:ascii="Book Antiqua" w:eastAsia="Arial Unicode MS" w:hAnsi="Book Antiqua"/>
          <w:bCs/>
          <w:sz w:val="24"/>
          <w:szCs w:val="24"/>
        </w:rPr>
        <w:t>APEH</w:t>
      </w:r>
      <w:r w:rsidRPr="00C8550C">
        <w:rPr>
          <w:rFonts w:ascii="Book Antiqua" w:hAnsi="Book Antiqua"/>
          <w:sz w:val="24"/>
          <w:szCs w:val="24"/>
        </w:rPr>
        <w:t xml:space="preserve"> in the arte</w:t>
      </w:r>
      <w:r w:rsidR="00382FC4" w:rsidRPr="00C8550C">
        <w:rPr>
          <w:rFonts w:ascii="Book Antiqua" w:hAnsi="Book Antiqua"/>
          <w:sz w:val="24"/>
          <w:szCs w:val="24"/>
        </w:rPr>
        <w:t>rial phase</w:t>
      </w:r>
      <w:r w:rsidR="00866381" w:rsidRPr="00C8550C">
        <w:rPr>
          <w:rFonts w:ascii="Book Antiqua" w:hAnsi="Book Antiqua"/>
          <w:sz w:val="24"/>
          <w:szCs w:val="24"/>
        </w:rPr>
        <w:t xml:space="preserve">; </w:t>
      </w:r>
      <w:r w:rsidR="00382FC4" w:rsidRPr="00C8550C">
        <w:rPr>
          <w:rFonts w:ascii="Book Antiqua" w:hAnsi="Book Antiqua"/>
          <w:sz w:val="24"/>
          <w:szCs w:val="24"/>
        </w:rPr>
        <w:t>E</w:t>
      </w:r>
      <w:r w:rsidR="00866381" w:rsidRPr="00C8550C">
        <w:rPr>
          <w:rFonts w:ascii="Book Antiqua" w:hAnsi="Book Antiqua"/>
          <w:sz w:val="24"/>
          <w:szCs w:val="24"/>
        </w:rPr>
        <w:t xml:space="preserve">: </w:t>
      </w:r>
      <w:r w:rsidRPr="00C8550C">
        <w:rPr>
          <w:rFonts w:ascii="Book Antiqua" w:hAnsi="Book Antiqua"/>
          <w:sz w:val="24"/>
          <w:szCs w:val="24"/>
        </w:rPr>
        <w:t xml:space="preserve">Poorly differentiated intrahepatic cholangiocarcinoma was confirmed by histopathology (hematoxylin and eosin staining, </w:t>
      </w:r>
      <w:r w:rsidR="00B41473" w:rsidRPr="00C8550C">
        <w:rPr>
          <w:rFonts w:ascii="Book Antiqua" w:hAnsi="Book Antiqua"/>
          <w:sz w:val="24"/>
          <w:szCs w:val="24"/>
          <w:lang w:val="pl-PL"/>
        </w:rPr>
        <w:t>×</w:t>
      </w:r>
      <w:r w:rsidR="00366931" w:rsidRPr="00C8550C">
        <w:rPr>
          <w:rFonts w:ascii="Book Antiqua" w:hAnsi="Book Antiqua"/>
          <w:sz w:val="24"/>
          <w:szCs w:val="24"/>
        </w:rPr>
        <w:t xml:space="preserve"> </w:t>
      </w:r>
      <w:r w:rsidRPr="00C8550C">
        <w:rPr>
          <w:rFonts w:ascii="Book Antiqua" w:hAnsi="Book Antiqua"/>
          <w:sz w:val="24"/>
          <w:szCs w:val="24"/>
        </w:rPr>
        <w:t>200).</w:t>
      </w:r>
    </w:p>
    <w:p w:rsidR="00866381" w:rsidRPr="00C8550C" w:rsidRDefault="00866381" w:rsidP="00866381">
      <w:pPr>
        <w:adjustRightInd w:val="0"/>
        <w:snapToGrid w:val="0"/>
        <w:spacing w:after="0" w:line="360" w:lineRule="auto"/>
        <w:jc w:val="left"/>
        <w:rPr>
          <w:rFonts w:ascii="Book Antiqua" w:hAnsi="Book Antiqua"/>
          <w:sz w:val="24"/>
          <w:szCs w:val="24"/>
        </w:rPr>
      </w:pPr>
      <w:r w:rsidRPr="00C8550C">
        <w:rPr>
          <w:rFonts w:ascii="Book Antiqua" w:hAnsi="Book Antiqua"/>
          <w:sz w:val="24"/>
          <w:szCs w:val="24"/>
        </w:rPr>
        <w:br w:type="page"/>
      </w:r>
      <w:r w:rsidR="000D7CAA">
        <w:rPr>
          <w:rFonts w:ascii="Book Antiqua" w:hAnsi="Book Antiqua"/>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2465705</wp:posOffset>
                </wp:positionH>
                <wp:positionV relativeFrom="paragraph">
                  <wp:posOffset>890905</wp:posOffset>
                </wp:positionV>
                <wp:extent cx="245110" cy="232410"/>
                <wp:effectExtent l="19050" t="38100" r="40640" b="15240"/>
                <wp:wrapNone/>
                <wp:docPr id="47"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94.15pt;margin-top:70.15pt;width:19.3pt;height:18.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" strokecolor="yellow" strokeweight="2.25pt">
                <v:stroke endarrow="open"/>
                <o:lock v:ext="edit" shapetype="f"/>
              </v:shape>
            </w:pict>
          </mc:Fallback>
        </mc:AlternateContent>
      </w:r>
      <w:r w:rsidR="000D7CAA">
        <w:rPr>
          <w:rFonts w:ascii="Book Antiqua" w:hAnsi="Book Antiqua"/>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666750</wp:posOffset>
                </wp:positionH>
                <wp:positionV relativeFrom="paragraph">
                  <wp:posOffset>818515</wp:posOffset>
                </wp:positionV>
                <wp:extent cx="245110" cy="232410"/>
                <wp:effectExtent l="19050" t="38100" r="40640" b="15240"/>
                <wp:wrapNone/>
                <wp:docPr id="4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52.5pt;margin-top:64.45pt;width:19.3pt;height:18.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" strokecolor="yellow" strokeweight="2.25pt">
                <v:stroke endarrow="open"/>
                <o:lock v:ext="edit" shapetype="f"/>
              </v:shape>
            </w:pict>
          </mc:Fallback>
        </mc:AlternateContent>
      </w:r>
      <w:r w:rsidR="000D7CAA">
        <w:rPr>
          <w:rFonts w:ascii="Book Antiqua" w:hAnsi="Book Antiqua"/>
          <w:noProof/>
          <w:sz w:val="24"/>
          <w:szCs w:val="24"/>
        </w:rPr>
        <mc:AlternateContent>
          <mc:Choice Requires="wps">
            <w:drawing>
              <wp:anchor distT="0" distB="0" distL="114300" distR="114300" simplePos="0" relativeHeight="251651072" behindDoc="0" locked="0" layoutInCell="1" allowOverlap="1">
                <wp:simplePos x="0" y="0"/>
                <wp:positionH relativeFrom="column">
                  <wp:posOffset>2258695</wp:posOffset>
                </wp:positionH>
                <wp:positionV relativeFrom="paragraph">
                  <wp:posOffset>1591310</wp:posOffset>
                </wp:positionV>
                <wp:extent cx="331470" cy="400050"/>
                <wp:effectExtent l="1270" t="635" r="635" b="0"/>
                <wp:wrapNone/>
                <wp:docPr id="45"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77.85pt;margin-top:125.3pt;width:26.1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LCyQIAAME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" filled="f" stroked="f">
                <v:textbo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D</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52096" behindDoc="0" locked="0" layoutInCell="1" allowOverlap="1">
                <wp:simplePos x="0" y="0"/>
                <wp:positionH relativeFrom="column">
                  <wp:posOffset>-65405</wp:posOffset>
                </wp:positionH>
                <wp:positionV relativeFrom="paragraph">
                  <wp:posOffset>1591310</wp:posOffset>
                </wp:positionV>
                <wp:extent cx="331470" cy="400050"/>
                <wp:effectExtent l="1270" t="635" r="635" b="0"/>
                <wp:wrapNone/>
                <wp:docPr id="4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15pt;margin-top:125.3pt;width:26.1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XBJygIAAME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" filled="f" stroked="f">
                <v:textbo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C</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53120" behindDoc="0" locked="0" layoutInCell="1" allowOverlap="1">
                <wp:simplePos x="0" y="0"/>
                <wp:positionH relativeFrom="column">
                  <wp:posOffset>2258695</wp:posOffset>
                </wp:positionH>
                <wp:positionV relativeFrom="paragraph">
                  <wp:posOffset>-111125</wp:posOffset>
                </wp:positionV>
                <wp:extent cx="331470" cy="400050"/>
                <wp:effectExtent l="1270" t="3175" r="635" b="0"/>
                <wp:wrapNone/>
                <wp:docPr id="4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77.85pt;margin-top:-8.75pt;width:26.1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" filled="f" stroked="f">
                <v:textbo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B</w:t>
                      </w:r>
                    </w:p>
                  </w:txbxContent>
                </v:textbox>
              </v:shape>
            </w:pict>
          </mc:Fallback>
        </mc:AlternateContent>
      </w:r>
      <w:r w:rsidR="000D7CAA">
        <w:rPr>
          <w:rFonts w:ascii="Book Antiqua" w:hAnsi="Book Antiqua"/>
          <w:noProof/>
          <w:sz w:val="24"/>
          <w:szCs w:val="24"/>
        </w:rPr>
        <mc:AlternateContent>
          <mc:Choice Requires="wps">
            <w:drawing>
              <wp:anchor distT="0" distB="0" distL="114300" distR="114300" simplePos="0" relativeHeight="251649024" behindDoc="0" locked="0" layoutInCell="1" allowOverlap="1">
                <wp:simplePos x="0" y="0"/>
                <wp:positionH relativeFrom="column">
                  <wp:posOffset>-65405</wp:posOffset>
                </wp:positionH>
                <wp:positionV relativeFrom="paragraph">
                  <wp:posOffset>-58420</wp:posOffset>
                </wp:positionV>
                <wp:extent cx="331470" cy="400050"/>
                <wp:effectExtent l="1270" t="0" r="635" b="127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5.15pt;margin-top:-4.6pt;width:26.1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LPygIAAME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" filled="f" stroked="f">
                <v:textbox>
                  <w:txbxContent>
                    <w:p w:rsidR="007910B5" w:rsidRPr="00DD1A5D" w:rsidRDefault="007910B5" w:rsidP="00866381">
                      <w:pPr>
                        <w:pStyle w:val="ab"/>
                        <w:rPr>
                          <w:rFonts w:ascii="Book Antiqua" w:hAnsi="Book Antiqua"/>
                          <w:sz w:val="32"/>
                          <w:szCs w:val="32"/>
                        </w:rPr>
                      </w:pPr>
                      <w:r w:rsidRPr="00DD1A5D">
                        <w:rPr>
                          <w:rFonts w:ascii="Book Antiqua" w:eastAsia="Arial Unicode MS" w:hAnsi="Book Antiqua"/>
                          <w:bCs/>
                          <w:color w:val="FFFF00"/>
                          <w:kern w:val="24"/>
                          <w:sz w:val="32"/>
                          <w:szCs w:val="32"/>
                        </w:rPr>
                        <w:t>A</w:t>
                      </w:r>
                    </w:p>
                  </w:txbxContent>
                </v:textbox>
              </v:shape>
            </w:pict>
          </mc:Fallback>
        </mc:AlternateContent>
      </w:r>
      <w:r w:rsidR="000D7CAA">
        <w:rPr>
          <w:rFonts w:ascii="Book Antiqua" w:hAnsi="Book Antiqua"/>
          <w:noProof/>
          <w:sz w:val="24"/>
          <w:szCs w:val="24"/>
        </w:rPr>
        <w:drawing>
          <wp:inline distT="0" distB="0" distL="0" distR="0">
            <wp:extent cx="2222500" cy="1562100"/>
            <wp:effectExtent l="0" t="0" r="6350" b="0"/>
            <wp:docPr id="7" name="图片 5" descr="说明: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3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Pr="00C8550C">
        <w:rPr>
          <w:rFonts w:ascii="Book Antiqua" w:hAnsi="Book Antiqua"/>
          <w:sz w:val="24"/>
          <w:szCs w:val="24"/>
        </w:rPr>
        <w:t xml:space="preserve"> </w:t>
      </w:r>
      <w:r w:rsidR="000D7CAA">
        <w:rPr>
          <w:rFonts w:ascii="Book Antiqua" w:hAnsi="Book Antiqua"/>
          <w:noProof/>
          <w:sz w:val="24"/>
          <w:szCs w:val="24"/>
        </w:rPr>
        <w:drawing>
          <wp:inline distT="0" distB="0" distL="0" distR="0">
            <wp:extent cx="2222500" cy="1562100"/>
            <wp:effectExtent l="0" t="0" r="6350" b="0"/>
            <wp:docPr id="8" name="图片 3" descr="说明: 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3B"/>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866381" w:rsidRPr="00C8550C" w:rsidRDefault="000D7CAA" w:rsidP="00866381">
      <w:pPr>
        <w:adjustRightInd w:val="0"/>
        <w:snapToGrid w:val="0"/>
        <w:spacing w:after="0" w:line="360" w:lineRule="auto"/>
        <w:jc w:val="left"/>
        <w:rPr>
          <w:rFonts w:ascii="Book Antiqua" w:hAnsi="Book Antiqua"/>
          <w:sz w:val="24"/>
          <w:szCs w:val="24"/>
        </w:rPr>
      </w:pPr>
      <w:r>
        <w:rPr>
          <w:rFonts w:ascii="Book Antiqua" w:hAnsi="Book Antiqua"/>
          <w:b/>
          <w:noProof/>
          <w:sz w:val="24"/>
          <w:szCs w:val="24"/>
        </w:rPr>
        <mc:AlternateContent>
          <mc:Choice Requires="wps">
            <w:drawing>
              <wp:anchor distT="0" distB="0" distL="114300" distR="114300" simplePos="0" relativeHeight="251655168" behindDoc="0" locked="0" layoutInCell="1" allowOverlap="1">
                <wp:simplePos x="0" y="0"/>
                <wp:positionH relativeFrom="column">
                  <wp:posOffset>2465705</wp:posOffset>
                </wp:positionH>
                <wp:positionV relativeFrom="paragraph">
                  <wp:posOffset>792480</wp:posOffset>
                </wp:positionV>
                <wp:extent cx="245110" cy="232410"/>
                <wp:effectExtent l="19050" t="38100" r="40640" b="15240"/>
                <wp:wrapNone/>
                <wp:docPr id="41"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94.15pt;margin-top:62.4pt;width:19.3pt;height:18.3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" strokecolor="yellow" strokeweight="2.25pt">
                <v:stroke endarrow="open"/>
                <o:lock v:ext="edit" shapetype="f"/>
              </v:shape>
            </w:pict>
          </mc:Fallback>
        </mc:AlternateContent>
      </w:r>
      <w:r>
        <w:rPr>
          <w:rFonts w:ascii="Book Antiqua" w:hAnsi="Book Antiqua"/>
          <w:b/>
          <w:noProof/>
          <w:sz w:val="24"/>
          <w:szCs w:val="24"/>
        </w:rPr>
        <mc:AlternateContent>
          <mc:Choice Requires="wps">
            <w:drawing>
              <wp:anchor distT="0" distB="0" distL="114300" distR="114300" simplePos="0" relativeHeight="251656192" behindDoc="0" locked="0" layoutInCell="1" allowOverlap="1">
                <wp:simplePos x="0" y="0"/>
                <wp:positionH relativeFrom="column">
                  <wp:posOffset>167640</wp:posOffset>
                </wp:positionH>
                <wp:positionV relativeFrom="paragraph">
                  <wp:posOffset>874395</wp:posOffset>
                </wp:positionV>
                <wp:extent cx="245110" cy="232410"/>
                <wp:effectExtent l="19050" t="38100" r="40640" b="15240"/>
                <wp:wrapNone/>
                <wp:docPr id="40"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3.2pt;margin-top:68.85pt;width:19.3pt;height:18.3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" strokecolor="yellow" strokeweight="2.25pt">
                <v:stroke endarrow="open"/>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50048" behindDoc="0" locked="0" layoutInCell="1" allowOverlap="1">
                <wp:simplePos x="0" y="0"/>
                <wp:positionH relativeFrom="column">
                  <wp:posOffset>-23495</wp:posOffset>
                </wp:positionH>
                <wp:positionV relativeFrom="paragraph">
                  <wp:posOffset>1687830</wp:posOffset>
                </wp:positionV>
                <wp:extent cx="331470" cy="400050"/>
                <wp:effectExtent l="0" t="1905" r="0" b="0"/>
                <wp:wrapNone/>
                <wp:docPr id="39"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3B426A" w:rsidRDefault="007910B5" w:rsidP="00866381">
                            <w:pPr>
                              <w:pStyle w:val="ab"/>
                              <w:rPr>
                                <w:rFonts w:ascii="Book Antiqua" w:hAnsi="Book Antiqua"/>
                                <w:color w:val="FFFF00"/>
                                <w:sz w:val="32"/>
                                <w:szCs w:val="32"/>
                              </w:rPr>
                            </w:pPr>
                            <w:r w:rsidRPr="003B426A">
                              <w:rPr>
                                <w:rFonts w:ascii="Book Antiqua" w:hAnsi="Book Antiqua"/>
                                <w:color w:val="FFFF00"/>
                                <w:sz w:val="32"/>
                                <w:szCs w:val="3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85pt;margin-top:132.9pt;width:26.1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" filled="f" stroked="f">
                <v:textbox>
                  <w:txbxContent>
                    <w:p w:rsidR="007910B5" w:rsidRPr="003B426A" w:rsidRDefault="007910B5" w:rsidP="00866381">
                      <w:pPr>
                        <w:pStyle w:val="ab"/>
                        <w:rPr>
                          <w:rFonts w:ascii="Book Antiqua" w:hAnsi="Book Antiqua"/>
                          <w:color w:val="FFFF00"/>
                          <w:sz w:val="32"/>
                          <w:szCs w:val="32"/>
                        </w:rPr>
                      </w:pPr>
                      <w:r w:rsidRPr="003B426A">
                        <w:rPr>
                          <w:rFonts w:ascii="Book Antiqua" w:hAnsi="Book Antiqua"/>
                          <w:color w:val="FFFF00"/>
                          <w:sz w:val="32"/>
                          <w:szCs w:val="32"/>
                        </w:rPr>
                        <w:t>E</w:t>
                      </w:r>
                    </w:p>
                  </w:txbxContent>
                </v:textbox>
              </v:shape>
            </w:pict>
          </mc:Fallback>
        </mc:AlternateContent>
      </w:r>
      <w:r>
        <w:rPr>
          <w:rFonts w:ascii="Book Antiqua" w:hAnsi="Book Antiqua"/>
          <w:noProof/>
          <w:sz w:val="24"/>
          <w:szCs w:val="24"/>
        </w:rPr>
        <w:drawing>
          <wp:inline distT="0" distB="0" distL="0" distR="0">
            <wp:extent cx="2222500" cy="1562100"/>
            <wp:effectExtent l="0" t="0" r="6350" b="0"/>
            <wp:docPr id="9" name="图片 3" descr="说明: 3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3C"/>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00866381" w:rsidRPr="00C8550C">
        <w:rPr>
          <w:rFonts w:ascii="Book Antiqua" w:hAnsi="Book Antiqua"/>
          <w:sz w:val="24"/>
          <w:szCs w:val="24"/>
        </w:rPr>
        <w:t xml:space="preserve"> </w:t>
      </w:r>
      <w:r>
        <w:rPr>
          <w:rFonts w:ascii="Book Antiqua" w:hAnsi="Book Antiqua"/>
          <w:noProof/>
          <w:sz w:val="24"/>
          <w:szCs w:val="24"/>
        </w:rPr>
        <w:drawing>
          <wp:inline distT="0" distB="0" distL="0" distR="0">
            <wp:extent cx="2222500" cy="1562100"/>
            <wp:effectExtent l="0" t="0" r="6350" b="0"/>
            <wp:docPr id="10" name="图片 5" descr="说明: 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说明: 3D"/>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866381" w:rsidRPr="00C8550C" w:rsidRDefault="000D7CAA" w:rsidP="00866381">
      <w:pPr>
        <w:adjustRightInd w:val="0"/>
        <w:snapToGrid w:val="0"/>
        <w:spacing w:after="0" w:line="360" w:lineRule="auto"/>
        <w:jc w:val="left"/>
        <w:rPr>
          <w:rFonts w:ascii="Book Antiqua" w:hAnsi="Book Antiqua"/>
          <w:sz w:val="24"/>
          <w:szCs w:val="24"/>
        </w:rPr>
      </w:pPr>
      <w:r>
        <w:rPr>
          <w:rFonts w:ascii="Book Antiqua" w:hAnsi="Book Antiqua"/>
          <w:noProof/>
          <w:sz w:val="24"/>
          <w:szCs w:val="24"/>
        </w:rPr>
        <w:drawing>
          <wp:inline distT="0" distB="0" distL="0" distR="0">
            <wp:extent cx="2222500" cy="1562100"/>
            <wp:effectExtent l="0" t="0" r="6350" b="0"/>
            <wp:docPr id="11" name="图片 1" descr="说明: 3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3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7910B5" w:rsidRPr="00C8550C" w:rsidRDefault="006A389B" w:rsidP="00122AF4">
      <w:pPr>
        <w:adjustRightInd w:val="0"/>
        <w:snapToGrid w:val="0"/>
        <w:spacing w:after="0" w:line="360" w:lineRule="auto"/>
        <w:rPr>
          <w:rFonts w:ascii="Book Antiqua" w:hAnsi="Book Antiqua"/>
          <w:sz w:val="24"/>
          <w:szCs w:val="24"/>
        </w:rPr>
      </w:pPr>
      <w:r w:rsidRPr="00C8550C">
        <w:rPr>
          <w:rFonts w:ascii="Book Antiqua" w:hAnsi="Book Antiqua"/>
          <w:b/>
          <w:bCs/>
          <w:sz w:val="24"/>
          <w:szCs w:val="24"/>
        </w:rPr>
        <w:t>Figure 3 A 46-year-old femal</w:t>
      </w:r>
      <w:r w:rsidR="003B2D8A" w:rsidRPr="00C8550C">
        <w:rPr>
          <w:rFonts w:ascii="Book Antiqua" w:hAnsi="Book Antiqua"/>
          <w:b/>
          <w:bCs/>
          <w:sz w:val="24"/>
          <w:szCs w:val="24"/>
        </w:rPr>
        <w:t xml:space="preserve">e patient with an LR-M lesion. </w:t>
      </w:r>
      <w:r w:rsidR="003B2D8A" w:rsidRPr="00C8550C">
        <w:rPr>
          <w:rFonts w:ascii="Book Antiqua" w:hAnsi="Book Antiqua"/>
          <w:sz w:val="24"/>
          <w:szCs w:val="24"/>
        </w:rPr>
        <w:t>A</w:t>
      </w:r>
      <w:r w:rsidR="00866381" w:rsidRPr="00C8550C">
        <w:rPr>
          <w:rFonts w:ascii="Book Antiqua" w:hAnsi="Book Antiqua"/>
          <w:sz w:val="24"/>
          <w:szCs w:val="24"/>
        </w:rPr>
        <w:t xml:space="preserve">: </w:t>
      </w:r>
      <w:r w:rsidRPr="00C8550C">
        <w:rPr>
          <w:rFonts w:ascii="Book Antiqua" w:hAnsi="Book Antiqua"/>
          <w:sz w:val="24"/>
          <w:szCs w:val="24"/>
        </w:rPr>
        <w:t>A hypoechoic nodule (arrow) measuring 4.7 cm in diameter was identified in the left lobe of the liver by co</w:t>
      </w:r>
      <w:r w:rsidR="003B2D8A" w:rsidRPr="00C8550C">
        <w:rPr>
          <w:rFonts w:ascii="Book Antiqua" w:hAnsi="Book Antiqua"/>
          <w:sz w:val="24"/>
          <w:szCs w:val="24"/>
        </w:rPr>
        <w:t>nventional grayscale ultrasound</w:t>
      </w:r>
      <w:r w:rsidR="00866381" w:rsidRPr="00C8550C">
        <w:rPr>
          <w:rFonts w:ascii="Book Antiqua" w:hAnsi="Book Antiqua"/>
          <w:sz w:val="24"/>
          <w:szCs w:val="24"/>
        </w:rPr>
        <w:t xml:space="preserve">; </w:t>
      </w:r>
      <w:r w:rsidRPr="00C8550C">
        <w:rPr>
          <w:rFonts w:ascii="Book Antiqua" w:hAnsi="Book Antiqua"/>
          <w:sz w:val="24"/>
          <w:szCs w:val="24"/>
        </w:rPr>
        <w:t>B</w:t>
      </w:r>
      <w:r w:rsidR="00866381" w:rsidRPr="00C8550C">
        <w:rPr>
          <w:rFonts w:ascii="Book Antiqua" w:hAnsi="Book Antiqua"/>
          <w:sz w:val="24"/>
          <w:szCs w:val="24"/>
        </w:rPr>
        <w:t xml:space="preserve">: </w:t>
      </w:r>
      <w:r w:rsidRPr="00C8550C">
        <w:rPr>
          <w:rFonts w:ascii="Book Antiqua" w:hAnsi="Book Antiqua"/>
          <w:sz w:val="24"/>
          <w:szCs w:val="24"/>
        </w:rPr>
        <w:t xml:space="preserve">Peripheral rim-like </w:t>
      </w:r>
      <w:r w:rsidR="007910B5" w:rsidRPr="00C8550C">
        <w:rPr>
          <w:rFonts w:ascii="Book Antiqua" w:eastAsia="Arial Unicode MS" w:hAnsi="Book Antiqua"/>
          <w:bCs/>
          <w:sz w:val="24"/>
          <w:szCs w:val="24"/>
        </w:rPr>
        <w:t>arterial phase hyperenhancement</w:t>
      </w:r>
      <w:r w:rsidRPr="00C8550C">
        <w:rPr>
          <w:rFonts w:ascii="Book Antiqua" w:hAnsi="Book Antiqua"/>
          <w:sz w:val="24"/>
          <w:szCs w:val="24"/>
        </w:rPr>
        <w:t xml:space="preserve"> (arrow) in the arterial phase was demonstrated </w:t>
      </w:r>
      <w:r w:rsidR="003B2D8A" w:rsidRPr="00C8550C">
        <w:rPr>
          <w:rFonts w:ascii="Book Antiqua" w:hAnsi="Book Antiqua"/>
          <w:sz w:val="24"/>
          <w:szCs w:val="24"/>
        </w:rPr>
        <w:t>by contrast-enhanced ultrasound</w:t>
      </w:r>
      <w:r w:rsidR="007910B5" w:rsidRPr="00C8550C">
        <w:rPr>
          <w:rFonts w:ascii="Book Antiqua" w:hAnsi="Book Antiqua"/>
          <w:sz w:val="24"/>
          <w:szCs w:val="24"/>
        </w:rPr>
        <w:t xml:space="preserve">; </w:t>
      </w:r>
      <w:r w:rsidR="003B2D8A" w:rsidRPr="00C8550C">
        <w:rPr>
          <w:rFonts w:ascii="Book Antiqua" w:hAnsi="Book Antiqua"/>
          <w:sz w:val="24"/>
          <w:szCs w:val="24"/>
        </w:rPr>
        <w:t>C</w:t>
      </w:r>
      <w:r w:rsidR="007910B5" w:rsidRPr="00C8550C">
        <w:rPr>
          <w:rFonts w:ascii="Book Antiqua" w:hAnsi="Book Antiqua"/>
          <w:sz w:val="24"/>
          <w:szCs w:val="24"/>
        </w:rPr>
        <w:t xml:space="preserve">: </w:t>
      </w:r>
      <w:r w:rsidRPr="00C8550C">
        <w:rPr>
          <w:rFonts w:ascii="Book Antiqua" w:hAnsi="Book Antiqua"/>
          <w:sz w:val="24"/>
          <w:szCs w:val="24"/>
        </w:rPr>
        <w:t>Early washout (arrow) was observed in the portal phase</w:t>
      </w:r>
      <w:r w:rsidR="007910B5" w:rsidRPr="00C8550C">
        <w:rPr>
          <w:rFonts w:ascii="Book Antiqua" w:hAnsi="Book Antiqua"/>
          <w:sz w:val="24"/>
          <w:szCs w:val="24"/>
        </w:rPr>
        <w:t xml:space="preserve">; </w:t>
      </w:r>
      <w:r w:rsidRPr="00C8550C">
        <w:rPr>
          <w:rFonts w:ascii="Book Antiqua" w:hAnsi="Book Antiqua"/>
          <w:sz w:val="24"/>
          <w:szCs w:val="24"/>
        </w:rPr>
        <w:t>D</w:t>
      </w:r>
      <w:r w:rsidR="007910B5" w:rsidRPr="00C8550C">
        <w:rPr>
          <w:rFonts w:ascii="Book Antiqua" w:hAnsi="Book Antiqua"/>
          <w:sz w:val="24"/>
          <w:szCs w:val="24"/>
        </w:rPr>
        <w:t xml:space="preserve">: </w:t>
      </w:r>
      <w:r w:rsidRPr="00C8550C">
        <w:rPr>
          <w:rFonts w:ascii="Book Antiqua" w:hAnsi="Book Antiqua"/>
          <w:sz w:val="24"/>
          <w:szCs w:val="24"/>
        </w:rPr>
        <w:t>No marked washout (arrow) was displayed until</w:t>
      </w:r>
      <w:r w:rsidR="003B2D8A" w:rsidRPr="00C8550C">
        <w:rPr>
          <w:rFonts w:ascii="Book Antiqua" w:hAnsi="Book Antiqua"/>
          <w:sz w:val="24"/>
          <w:szCs w:val="24"/>
        </w:rPr>
        <w:t xml:space="preserve"> 155 s after SonoVue injection</w:t>
      </w:r>
      <w:r w:rsidR="007910B5" w:rsidRPr="00C8550C">
        <w:rPr>
          <w:rFonts w:ascii="Book Antiqua" w:hAnsi="Book Antiqua"/>
          <w:sz w:val="24"/>
          <w:szCs w:val="24"/>
        </w:rPr>
        <w:t xml:space="preserve">; </w:t>
      </w:r>
      <w:r w:rsidRPr="00C8550C">
        <w:rPr>
          <w:rFonts w:ascii="Book Antiqua" w:hAnsi="Book Antiqua"/>
          <w:sz w:val="24"/>
          <w:szCs w:val="24"/>
        </w:rPr>
        <w:t>E</w:t>
      </w:r>
      <w:r w:rsidR="007910B5" w:rsidRPr="00C8550C">
        <w:rPr>
          <w:rFonts w:ascii="Book Antiqua" w:hAnsi="Book Antiqua"/>
          <w:sz w:val="24"/>
          <w:szCs w:val="24"/>
        </w:rPr>
        <w:t xml:space="preserve">: </w:t>
      </w:r>
      <w:r w:rsidRPr="00C8550C">
        <w:rPr>
          <w:rFonts w:ascii="Book Antiqua" w:hAnsi="Book Antiqua"/>
          <w:sz w:val="24"/>
          <w:szCs w:val="24"/>
        </w:rPr>
        <w:t>Poorly differentiated ICC was confirmed by histopathology (</w:t>
      </w:r>
      <w:bookmarkStart w:id="15" w:name="_Hlk44494074"/>
      <w:r w:rsidR="007910B5" w:rsidRPr="00C8550C">
        <w:rPr>
          <w:rFonts w:ascii="Book Antiqua" w:hAnsi="Book Antiqua"/>
          <w:sz w:val="24"/>
          <w:szCs w:val="24"/>
        </w:rPr>
        <w:t>hematoxylin and eosin staining</w:t>
      </w:r>
      <w:bookmarkEnd w:id="15"/>
      <w:r w:rsidRPr="00C8550C">
        <w:rPr>
          <w:rFonts w:ascii="Book Antiqua" w:hAnsi="Book Antiqua"/>
          <w:sz w:val="24"/>
          <w:szCs w:val="24"/>
        </w:rPr>
        <w:t xml:space="preserve">, </w:t>
      </w:r>
      <w:r w:rsidR="00FC73B9" w:rsidRPr="00C8550C">
        <w:rPr>
          <w:rFonts w:ascii="Book Antiqua" w:hAnsi="Book Antiqua"/>
          <w:sz w:val="24"/>
          <w:szCs w:val="24"/>
        </w:rPr>
        <w:t xml:space="preserve">× </w:t>
      </w:r>
      <w:r w:rsidRPr="00C8550C">
        <w:rPr>
          <w:rFonts w:ascii="Book Antiqua" w:hAnsi="Book Antiqua"/>
          <w:sz w:val="24"/>
          <w:szCs w:val="24"/>
        </w:rPr>
        <w:t>200).</w:t>
      </w:r>
    </w:p>
    <w:p w:rsidR="007910B5" w:rsidRPr="00C8550C" w:rsidRDefault="007910B5" w:rsidP="007910B5">
      <w:pPr>
        <w:adjustRightInd w:val="0"/>
        <w:snapToGrid w:val="0"/>
        <w:spacing w:after="0" w:line="360" w:lineRule="auto"/>
        <w:rPr>
          <w:rFonts w:ascii="Book Antiqua" w:hAnsi="Book Antiqua"/>
          <w:sz w:val="24"/>
          <w:szCs w:val="24"/>
        </w:rPr>
      </w:pPr>
      <w:r w:rsidRPr="00C8550C">
        <w:rPr>
          <w:rFonts w:ascii="Book Antiqua" w:hAnsi="Book Antiqua"/>
          <w:sz w:val="24"/>
          <w:szCs w:val="24"/>
        </w:rPr>
        <w:br w:type="page"/>
      </w:r>
      <w:r w:rsidR="000D7CAA">
        <w:rPr>
          <w:rFonts w:ascii="Book Antiqua" w:hAnsi="Book Antiqua"/>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2521585</wp:posOffset>
                </wp:positionH>
                <wp:positionV relativeFrom="paragraph">
                  <wp:posOffset>926465</wp:posOffset>
                </wp:positionV>
                <wp:extent cx="245110" cy="232410"/>
                <wp:effectExtent l="19050" t="38100" r="40640" b="15240"/>
                <wp:wrapNone/>
                <wp:docPr id="38"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98.55pt;margin-top:72.95pt;width:19.3pt;height:18.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" strokecolor="yellow" strokeweight="2.25pt">
                <v:stroke endarrow="open"/>
                <o:lock v:ext="edit" shapetype="f"/>
              </v:shape>
            </w:pict>
          </mc:Fallback>
        </mc:AlternateContent>
      </w:r>
      <w:r w:rsidR="000D7CAA">
        <w:rPr>
          <w:rFonts w:ascii="Book Antiqua" w:hAnsi="Book Antiqua"/>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796290</wp:posOffset>
                </wp:positionH>
                <wp:positionV relativeFrom="paragraph">
                  <wp:posOffset>854075</wp:posOffset>
                </wp:positionV>
                <wp:extent cx="245110" cy="232410"/>
                <wp:effectExtent l="19050" t="38100" r="40640" b="15240"/>
                <wp:wrapNone/>
                <wp:docPr id="37"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62.7pt;margin-top:67.25pt;width:19.3pt;height:18.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" strokecolor="yellow" strokeweight="2.25pt">
                <v:stroke endarrow="open"/>
                <o:lock v:ext="edit" shapetype="f"/>
              </v:shape>
            </w:pict>
          </mc:Fallback>
        </mc:AlternateContent>
      </w:r>
      <w:r w:rsidR="000D7CAA">
        <w:rPr>
          <w:rFonts w:ascii="Book Antiqua" w:hAnsi="Book Antiqua"/>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2235200</wp:posOffset>
                </wp:positionH>
                <wp:positionV relativeFrom="paragraph">
                  <wp:posOffset>1591945</wp:posOffset>
                </wp:positionV>
                <wp:extent cx="331470" cy="400050"/>
                <wp:effectExtent l="0" t="1270" r="0" b="0"/>
                <wp:wrapNone/>
                <wp:docPr id="3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76pt;margin-top:125.35pt;width:26.1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D</w:t>
                      </w:r>
                    </w:p>
                  </w:txbxContent>
                </v:textbox>
              </v:shape>
            </w:pict>
          </mc:Fallback>
        </mc:AlternateContent>
      </w:r>
      <w:r w:rsidR="000D7CAA">
        <w:rPr>
          <w:rFonts w:ascii="Book Antiqua" w:hAnsi="Book Antiqua"/>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-50165</wp:posOffset>
                </wp:positionH>
                <wp:positionV relativeFrom="paragraph">
                  <wp:posOffset>1591945</wp:posOffset>
                </wp:positionV>
                <wp:extent cx="331470" cy="400050"/>
                <wp:effectExtent l="0" t="1270" r="4445" b="0"/>
                <wp:wrapNone/>
                <wp:docPr id="35"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5pt;margin-top:125.35pt;width:26.1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C</w:t>
                      </w:r>
                    </w:p>
                  </w:txbxContent>
                </v:textbox>
              </v:shape>
            </w:pict>
          </mc:Fallback>
        </mc:AlternateContent>
      </w:r>
      <w:r w:rsidR="000D7CAA">
        <w:rPr>
          <w:rFonts w:ascii="Book Antiqua" w:hAnsi="Book Antiqua"/>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2235200</wp:posOffset>
                </wp:positionH>
                <wp:positionV relativeFrom="paragraph">
                  <wp:posOffset>-97790</wp:posOffset>
                </wp:positionV>
                <wp:extent cx="331470" cy="400050"/>
                <wp:effectExtent l="0" t="0" r="0" b="2540"/>
                <wp:wrapNone/>
                <wp:docPr id="3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76pt;margin-top:-7.7pt;width:26.1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B</w:t>
                      </w:r>
                    </w:p>
                  </w:txbxContent>
                </v:textbox>
              </v:shape>
            </w:pict>
          </mc:Fallback>
        </mc:AlternateContent>
      </w:r>
      <w:r w:rsidR="000D7CAA">
        <w:rPr>
          <w:rFonts w:ascii="Book Antiqua" w:hAnsi="Book Antiqua"/>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-23495</wp:posOffset>
                </wp:positionH>
                <wp:positionV relativeFrom="paragraph">
                  <wp:posOffset>-97790</wp:posOffset>
                </wp:positionV>
                <wp:extent cx="331470" cy="400050"/>
                <wp:effectExtent l="0" t="0" r="0" b="2540"/>
                <wp:wrapNone/>
                <wp:docPr id="3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sidRPr="00DD1A5D">
                              <w:rPr>
                                <w:rFonts w:ascii="Book Antiqua" w:eastAsia="Arial Unicode MS" w:hAnsi="Book Antiqua"/>
                                <w:bCs/>
                                <w:color w:val="FFFF00"/>
                                <w:kern w:val="24"/>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85pt;margin-top:-7.7pt;width:26.1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" filled="f" stroked="f">
                <v:textbox>
                  <w:txbxContent>
                    <w:p w:rsidR="007910B5" w:rsidRPr="00DD1A5D" w:rsidRDefault="007910B5" w:rsidP="007910B5">
                      <w:pPr>
                        <w:pStyle w:val="ab"/>
                        <w:rPr>
                          <w:rFonts w:ascii="Book Antiqua" w:hAnsi="Book Antiqua"/>
                          <w:sz w:val="32"/>
                          <w:szCs w:val="32"/>
                        </w:rPr>
                      </w:pPr>
                      <w:r w:rsidRPr="00DD1A5D">
                        <w:rPr>
                          <w:rFonts w:ascii="Book Antiqua" w:eastAsia="Arial Unicode MS" w:hAnsi="Book Antiqua"/>
                          <w:bCs/>
                          <w:color w:val="FFFF00"/>
                          <w:kern w:val="24"/>
                          <w:sz w:val="32"/>
                          <w:szCs w:val="32"/>
                        </w:rPr>
                        <w:t>A</w:t>
                      </w:r>
                    </w:p>
                  </w:txbxContent>
                </v:textbox>
              </v:shape>
            </w:pict>
          </mc:Fallback>
        </mc:AlternateContent>
      </w:r>
      <w:r w:rsidR="000D7CAA">
        <w:rPr>
          <w:rFonts w:ascii="Book Antiqua" w:hAnsi="Book Antiqua"/>
          <w:noProof/>
          <w:sz w:val="24"/>
          <w:szCs w:val="24"/>
        </w:rPr>
        <w:drawing>
          <wp:inline distT="0" distB="0" distL="0" distR="0">
            <wp:extent cx="2222500" cy="1562100"/>
            <wp:effectExtent l="0" t="0" r="6350" b="0"/>
            <wp:docPr id="12" name="图片 1" descr="说明: 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4A"/>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Pr="00C8550C">
        <w:rPr>
          <w:rFonts w:ascii="Book Antiqua" w:hAnsi="Book Antiqua"/>
          <w:sz w:val="24"/>
          <w:szCs w:val="24"/>
        </w:rPr>
        <w:t xml:space="preserve"> </w:t>
      </w:r>
      <w:r w:rsidR="000D7CAA">
        <w:rPr>
          <w:rFonts w:ascii="Book Antiqua" w:hAnsi="Book Antiqua"/>
          <w:noProof/>
          <w:sz w:val="24"/>
          <w:szCs w:val="24"/>
        </w:rPr>
        <w:drawing>
          <wp:inline distT="0" distB="0" distL="0" distR="0">
            <wp:extent cx="2222500" cy="1562100"/>
            <wp:effectExtent l="0" t="0" r="6350" b="0"/>
            <wp:docPr id="13" name="图片 1" descr="说明: 4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4B"/>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7910B5" w:rsidRPr="00C8550C" w:rsidRDefault="000D7CAA" w:rsidP="007910B5">
      <w:pPr>
        <w:adjustRightInd w:val="0"/>
        <w:snapToGrid w:val="0"/>
        <w:spacing w:after="0" w:line="360" w:lineRule="auto"/>
        <w:rPr>
          <w:rFonts w:ascii="Book Antiqua" w:hAnsi="Book Antiqua"/>
          <w:sz w:val="24"/>
          <w:szCs w:val="24"/>
        </w:rPr>
      </w:pPr>
      <w:r>
        <w:rPr>
          <w:rFonts w:ascii="Book Antiqua" w:hAnsi="Book Antiqua"/>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2521585</wp:posOffset>
                </wp:positionH>
                <wp:positionV relativeFrom="paragraph">
                  <wp:posOffset>935355</wp:posOffset>
                </wp:positionV>
                <wp:extent cx="245110" cy="232410"/>
                <wp:effectExtent l="19050" t="38100" r="40640" b="15240"/>
                <wp:wrapNone/>
                <wp:docPr id="32"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98.55pt;margin-top:73.65pt;width:19.3pt;height:18.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" strokecolor="yellow" strokeweight="2.25pt">
                <v:stroke endarrow="open"/>
                <o:lock v:ext="edit" shapetype="f"/>
              </v:shape>
            </w:pict>
          </mc:Fallback>
        </mc:AlternateContent>
      </w:r>
      <w:r>
        <w:rPr>
          <w:rFonts w:ascii="Book Antiqua" w:hAnsi="Book Antiqua"/>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179070</wp:posOffset>
                </wp:positionH>
                <wp:positionV relativeFrom="paragraph">
                  <wp:posOffset>838835</wp:posOffset>
                </wp:positionV>
                <wp:extent cx="245110" cy="232410"/>
                <wp:effectExtent l="19050" t="38100" r="40640" b="15240"/>
                <wp:wrapNone/>
                <wp:docPr id="31"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4.1pt;margin-top:66.05pt;width:19.3pt;height:18.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" strokecolor="yellow" strokeweight="2.25pt">
                <v:stroke endarrow="open"/>
                <o:lock v:ext="edit" shapetype="f"/>
              </v:shape>
            </w:pict>
          </mc:Fallback>
        </mc:AlternateContent>
      </w:r>
      <w:r>
        <w:rPr>
          <w:rFonts w:ascii="Book Antiqua" w:hAnsi="Book Antiqua"/>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1664970</wp:posOffset>
                </wp:positionV>
                <wp:extent cx="331470" cy="400050"/>
                <wp:effectExtent l="0" t="0" r="0" b="1905"/>
                <wp:wrapNone/>
                <wp:docPr id="3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3B426A" w:rsidRDefault="007910B5" w:rsidP="007910B5">
                            <w:pPr>
                              <w:pStyle w:val="ab"/>
                              <w:rPr>
                                <w:rFonts w:ascii="Book Antiqua" w:hAnsi="Book Antiqua"/>
                                <w:color w:val="FFFF00"/>
                                <w:sz w:val="32"/>
                                <w:szCs w:val="32"/>
                              </w:rPr>
                            </w:pPr>
                            <w:r w:rsidRPr="003B426A">
                              <w:rPr>
                                <w:rFonts w:ascii="Book Antiqua" w:eastAsia="Arial Unicode MS" w:hAnsi="Book Antiqua" w:hint="eastAsia"/>
                                <w:bCs/>
                                <w:color w:val="FFFF00"/>
                                <w:kern w:val="24"/>
                                <w:sz w:val="32"/>
                                <w:szCs w:val="3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85pt;margin-top:131.1pt;width:26.1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" filled="f" stroked="f">
                <v:textbox>
                  <w:txbxContent>
                    <w:p w:rsidR="007910B5" w:rsidRPr="003B426A" w:rsidRDefault="007910B5" w:rsidP="007910B5">
                      <w:pPr>
                        <w:pStyle w:val="ab"/>
                        <w:rPr>
                          <w:rFonts w:ascii="Book Antiqua" w:hAnsi="Book Antiqua"/>
                          <w:color w:val="FFFF00"/>
                          <w:sz w:val="32"/>
                          <w:szCs w:val="32"/>
                        </w:rPr>
                      </w:pPr>
                      <w:r w:rsidRPr="003B426A">
                        <w:rPr>
                          <w:rFonts w:ascii="Book Antiqua" w:eastAsia="Arial Unicode MS" w:hAnsi="Book Antiqua" w:hint="eastAsia"/>
                          <w:bCs/>
                          <w:color w:val="FFFF00"/>
                          <w:kern w:val="24"/>
                          <w:sz w:val="32"/>
                          <w:szCs w:val="32"/>
                        </w:rPr>
                        <w:t>E</w:t>
                      </w:r>
                    </w:p>
                  </w:txbxContent>
                </v:textbox>
              </v:shape>
            </w:pict>
          </mc:Fallback>
        </mc:AlternateContent>
      </w:r>
      <w:r>
        <w:rPr>
          <w:rFonts w:ascii="Book Antiqua" w:hAnsi="Book Antiqua"/>
          <w:noProof/>
          <w:sz w:val="24"/>
          <w:szCs w:val="24"/>
        </w:rPr>
        <w:drawing>
          <wp:inline distT="0" distB="0" distL="0" distR="0">
            <wp:extent cx="2222500" cy="1562100"/>
            <wp:effectExtent l="0" t="0" r="6350" b="0"/>
            <wp:docPr id="14" name="图片 1" descr="说明: 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4C"/>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007910B5" w:rsidRPr="00C8550C">
        <w:rPr>
          <w:rFonts w:ascii="Book Antiqua" w:hAnsi="Book Antiqua"/>
          <w:sz w:val="24"/>
          <w:szCs w:val="24"/>
        </w:rPr>
        <w:t xml:space="preserve"> </w:t>
      </w:r>
      <w:r>
        <w:rPr>
          <w:rFonts w:ascii="Book Antiqua" w:hAnsi="Book Antiqua"/>
          <w:noProof/>
          <w:sz w:val="24"/>
          <w:szCs w:val="24"/>
        </w:rPr>
        <w:drawing>
          <wp:inline distT="0" distB="0" distL="0" distR="0">
            <wp:extent cx="2222500" cy="1562100"/>
            <wp:effectExtent l="0" t="0" r="6350" b="0"/>
            <wp:docPr id="15" name="图片 1" descr="说明: 4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4D"/>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7910B5" w:rsidRPr="00C8550C" w:rsidRDefault="000D7CAA" w:rsidP="007910B5">
      <w:pPr>
        <w:adjustRightInd w:val="0"/>
        <w:snapToGrid w:val="0"/>
        <w:spacing w:after="0" w:line="360" w:lineRule="auto"/>
        <w:rPr>
          <w:rFonts w:ascii="Book Antiqua" w:hAnsi="Book Antiqua"/>
          <w:sz w:val="24"/>
          <w:szCs w:val="24"/>
        </w:rPr>
      </w:pPr>
      <w:r>
        <w:rPr>
          <w:rFonts w:ascii="Book Antiqua" w:hAnsi="Book Antiqua"/>
          <w:noProof/>
          <w:sz w:val="24"/>
          <w:szCs w:val="24"/>
        </w:rPr>
        <w:drawing>
          <wp:inline distT="0" distB="0" distL="0" distR="0">
            <wp:extent cx="2222500" cy="1562100"/>
            <wp:effectExtent l="0" t="0" r="6350" b="0"/>
            <wp:docPr id="16" name="图片 2" descr="说明: 4Ex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说明: 4Ex400"/>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7910B5" w:rsidRPr="00C8550C" w:rsidRDefault="004C5493" w:rsidP="00122AF4">
      <w:pPr>
        <w:adjustRightInd w:val="0"/>
        <w:snapToGrid w:val="0"/>
        <w:spacing w:after="0" w:line="360" w:lineRule="auto"/>
        <w:rPr>
          <w:rFonts w:ascii="Book Antiqua" w:hAnsi="Book Antiqua"/>
          <w:sz w:val="24"/>
          <w:szCs w:val="24"/>
        </w:rPr>
      </w:pPr>
      <w:r w:rsidRPr="00C8550C">
        <w:rPr>
          <w:rFonts w:ascii="Book Antiqua" w:hAnsi="Book Antiqua"/>
          <w:b/>
          <w:bCs/>
          <w:sz w:val="24"/>
          <w:szCs w:val="24"/>
        </w:rPr>
        <w:t xml:space="preserve">Figure 4 Contrast-enhanced ultrasound examination of a 68-year-old male patient with </w:t>
      </w:r>
      <w:r w:rsidR="00B87C68" w:rsidRPr="00C8550C">
        <w:rPr>
          <w:rFonts w:ascii="Book Antiqua" w:hAnsi="Book Antiqua"/>
          <w:b/>
          <w:bCs/>
          <w:sz w:val="24"/>
          <w:szCs w:val="24"/>
        </w:rPr>
        <w:t>chronic hepatitis B infection.</w:t>
      </w:r>
      <w:r w:rsidR="00B87C68" w:rsidRPr="00C8550C">
        <w:rPr>
          <w:rFonts w:ascii="Book Antiqua" w:hAnsi="Book Antiqua"/>
          <w:sz w:val="24"/>
          <w:szCs w:val="24"/>
        </w:rPr>
        <w:t xml:space="preserve"> A</w:t>
      </w:r>
      <w:r w:rsidR="007910B5" w:rsidRPr="00C8550C">
        <w:rPr>
          <w:rFonts w:ascii="Book Antiqua" w:hAnsi="Book Antiqua"/>
          <w:sz w:val="24"/>
          <w:szCs w:val="24"/>
        </w:rPr>
        <w:t xml:space="preserve">: </w:t>
      </w:r>
      <w:r w:rsidRPr="00C8550C">
        <w:rPr>
          <w:rFonts w:ascii="Book Antiqua" w:hAnsi="Book Antiqua"/>
          <w:sz w:val="24"/>
          <w:szCs w:val="24"/>
        </w:rPr>
        <w:t>Conventional grayscale ultrasound demonstrated a mixed echo nodule (arrow) measuring 3.0 cm in diamete</w:t>
      </w:r>
      <w:r w:rsidR="00B87C68" w:rsidRPr="00C8550C">
        <w:rPr>
          <w:rFonts w:ascii="Book Antiqua" w:hAnsi="Book Antiqua"/>
          <w:sz w:val="24"/>
          <w:szCs w:val="24"/>
        </w:rPr>
        <w:t>r in the left lobe of the live</w:t>
      </w:r>
      <w:r w:rsidR="007910B5" w:rsidRPr="00C8550C">
        <w:rPr>
          <w:rFonts w:ascii="Book Antiqua" w:hAnsi="Book Antiqua"/>
          <w:sz w:val="24"/>
          <w:szCs w:val="24"/>
        </w:rPr>
        <w:t xml:space="preserve">r; </w:t>
      </w:r>
      <w:r w:rsidRPr="00C8550C">
        <w:rPr>
          <w:rFonts w:ascii="Book Antiqua" w:hAnsi="Book Antiqua"/>
          <w:sz w:val="24"/>
          <w:szCs w:val="24"/>
        </w:rPr>
        <w:t>B</w:t>
      </w:r>
      <w:r w:rsidR="007910B5" w:rsidRPr="00C8550C">
        <w:rPr>
          <w:rFonts w:ascii="Book Antiqua" w:hAnsi="Book Antiqua"/>
          <w:sz w:val="24"/>
          <w:szCs w:val="24"/>
        </w:rPr>
        <w:t>:</w:t>
      </w:r>
      <w:r w:rsidR="007C4214" w:rsidRPr="00C8550C">
        <w:rPr>
          <w:rFonts w:ascii="Book Antiqua" w:hAnsi="Book Antiqua"/>
          <w:sz w:val="24"/>
          <w:szCs w:val="24"/>
        </w:rPr>
        <w:t xml:space="preserve">  </w:t>
      </w:r>
      <w:r w:rsidRPr="00C8550C">
        <w:rPr>
          <w:rFonts w:ascii="Book Antiqua" w:hAnsi="Book Antiqua"/>
          <w:sz w:val="24"/>
          <w:szCs w:val="24"/>
        </w:rPr>
        <w:t xml:space="preserve">Contrast-enhanced ultrasound illustrated rim </w:t>
      </w:r>
      <w:r w:rsidR="007910B5" w:rsidRPr="00C8550C">
        <w:rPr>
          <w:rFonts w:ascii="Book Antiqua" w:eastAsia="Arial Unicode MS" w:hAnsi="Book Antiqua"/>
          <w:bCs/>
          <w:sz w:val="24"/>
          <w:szCs w:val="24"/>
        </w:rPr>
        <w:t>arterial phase hyperenhancement</w:t>
      </w:r>
      <w:r w:rsidRPr="00C8550C">
        <w:rPr>
          <w:rFonts w:ascii="Book Antiqua" w:hAnsi="Book Antiqua"/>
          <w:sz w:val="24"/>
          <w:szCs w:val="24"/>
        </w:rPr>
        <w:t xml:space="preserve"> (arrow) in the arterial phas</w:t>
      </w:r>
      <w:r w:rsidR="00B87C68" w:rsidRPr="00C8550C">
        <w:rPr>
          <w:rFonts w:ascii="Book Antiqua" w:hAnsi="Book Antiqua"/>
          <w:sz w:val="24"/>
          <w:szCs w:val="24"/>
        </w:rPr>
        <w:t>e</w:t>
      </w:r>
      <w:r w:rsidR="007910B5" w:rsidRPr="00C8550C">
        <w:rPr>
          <w:rFonts w:ascii="Book Antiqua" w:hAnsi="Book Antiqua"/>
          <w:sz w:val="24"/>
          <w:szCs w:val="24"/>
        </w:rPr>
        <w:t xml:space="preserve">; </w:t>
      </w:r>
      <w:r w:rsidRPr="00C8550C">
        <w:rPr>
          <w:rFonts w:ascii="Book Antiqua" w:hAnsi="Book Antiqua"/>
          <w:sz w:val="24"/>
          <w:szCs w:val="24"/>
        </w:rPr>
        <w:t>C</w:t>
      </w:r>
      <w:r w:rsidR="007910B5" w:rsidRPr="00C8550C">
        <w:rPr>
          <w:rFonts w:ascii="Book Antiqua" w:hAnsi="Book Antiqua"/>
          <w:sz w:val="24"/>
          <w:szCs w:val="24"/>
        </w:rPr>
        <w:t xml:space="preserve">: </w:t>
      </w:r>
      <w:r w:rsidRPr="00C8550C">
        <w:rPr>
          <w:rFonts w:ascii="Book Antiqua" w:hAnsi="Book Antiqua"/>
          <w:sz w:val="24"/>
          <w:szCs w:val="24"/>
        </w:rPr>
        <w:t>Early washout of the contrast agent w</w:t>
      </w:r>
      <w:r w:rsidR="00B87C68" w:rsidRPr="00C8550C">
        <w:rPr>
          <w:rFonts w:ascii="Book Antiqua" w:hAnsi="Book Antiqua"/>
          <w:sz w:val="24"/>
          <w:szCs w:val="24"/>
        </w:rPr>
        <w:t>ithin 60 s was observed (arrow)</w:t>
      </w:r>
      <w:r w:rsidR="007910B5" w:rsidRPr="00C8550C">
        <w:rPr>
          <w:rFonts w:ascii="Book Antiqua" w:hAnsi="Book Antiqua"/>
          <w:sz w:val="24"/>
          <w:szCs w:val="24"/>
        </w:rPr>
        <w:t xml:space="preserve">; </w:t>
      </w:r>
      <w:r w:rsidRPr="00C8550C">
        <w:rPr>
          <w:rFonts w:ascii="Book Antiqua" w:hAnsi="Book Antiqua"/>
          <w:sz w:val="24"/>
          <w:szCs w:val="24"/>
        </w:rPr>
        <w:t>D</w:t>
      </w:r>
      <w:r w:rsidR="007910B5" w:rsidRPr="00C8550C">
        <w:rPr>
          <w:rFonts w:ascii="Book Antiqua" w:hAnsi="Book Antiqua"/>
          <w:sz w:val="24"/>
          <w:szCs w:val="24"/>
        </w:rPr>
        <w:t xml:space="preserve">: </w:t>
      </w:r>
      <w:r w:rsidRPr="00C8550C">
        <w:rPr>
          <w:rFonts w:ascii="Book Antiqua" w:hAnsi="Book Antiqua"/>
          <w:sz w:val="24"/>
          <w:szCs w:val="24"/>
        </w:rPr>
        <w:t>Late-phase imaging demonstrated marked contrast washout (arrow) within 120 s. The lesion was classified as LR-M due</w:t>
      </w:r>
      <w:r w:rsidR="00B87C68" w:rsidRPr="00C8550C">
        <w:rPr>
          <w:rFonts w:ascii="Book Antiqua" w:hAnsi="Book Antiqua"/>
          <w:sz w:val="24"/>
          <w:szCs w:val="24"/>
        </w:rPr>
        <w:t xml:space="preserve"> to the</w:t>
      </w:r>
      <w:r w:rsidR="007910B5" w:rsidRPr="00C8550C">
        <w:rPr>
          <w:rFonts w:ascii="Book Antiqua" w:hAnsi="Book Antiqua"/>
          <w:sz w:val="24"/>
          <w:szCs w:val="24"/>
        </w:rPr>
        <w:t xml:space="preserve"> </w:t>
      </w:r>
      <w:r w:rsidR="00B87C68" w:rsidRPr="00C8550C">
        <w:rPr>
          <w:rFonts w:ascii="Book Antiqua" w:hAnsi="Book Antiqua"/>
          <w:sz w:val="24"/>
          <w:szCs w:val="24"/>
        </w:rPr>
        <w:t>aforementioned</w:t>
      </w:r>
      <w:r w:rsidR="007910B5" w:rsidRPr="00C8550C">
        <w:rPr>
          <w:rFonts w:ascii="Book Antiqua" w:hAnsi="Book Antiqua"/>
          <w:sz w:val="24"/>
          <w:szCs w:val="24"/>
        </w:rPr>
        <w:t xml:space="preserve"> </w:t>
      </w:r>
      <w:r w:rsidR="00B87C68" w:rsidRPr="00C8550C">
        <w:rPr>
          <w:rFonts w:ascii="Book Antiqua" w:hAnsi="Book Antiqua"/>
          <w:sz w:val="24"/>
          <w:szCs w:val="24"/>
        </w:rPr>
        <w:t>features</w:t>
      </w:r>
      <w:r w:rsidR="007910B5" w:rsidRPr="00C8550C">
        <w:rPr>
          <w:rFonts w:ascii="Book Antiqua" w:hAnsi="Book Antiqua"/>
          <w:sz w:val="24"/>
          <w:szCs w:val="24"/>
        </w:rPr>
        <w:t xml:space="preserve">; </w:t>
      </w:r>
      <w:r w:rsidRPr="00C8550C">
        <w:rPr>
          <w:rFonts w:ascii="Book Antiqua" w:hAnsi="Book Antiqua"/>
          <w:sz w:val="24"/>
          <w:szCs w:val="24"/>
        </w:rPr>
        <w:t>E</w:t>
      </w:r>
      <w:r w:rsidR="007910B5" w:rsidRPr="00C8550C">
        <w:rPr>
          <w:rFonts w:ascii="Book Antiqua" w:hAnsi="Book Antiqua"/>
          <w:sz w:val="24"/>
          <w:szCs w:val="24"/>
        </w:rPr>
        <w:t xml:space="preserve">: </w:t>
      </w:r>
      <w:r w:rsidRPr="00C8550C">
        <w:rPr>
          <w:rFonts w:ascii="Book Antiqua" w:hAnsi="Book Antiqua"/>
          <w:sz w:val="24"/>
          <w:szCs w:val="24"/>
        </w:rPr>
        <w:t>The nodule was revealed to be poorly differentiated hepatocellular carcinoma by histopathology (</w:t>
      </w:r>
      <w:r w:rsidR="007910B5" w:rsidRPr="00C8550C">
        <w:rPr>
          <w:rFonts w:ascii="Book Antiqua" w:hAnsi="Book Antiqua"/>
          <w:sz w:val="24"/>
          <w:szCs w:val="24"/>
        </w:rPr>
        <w:t>hematoxylin and eosin staining,</w:t>
      </w:r>
      <w:r w:rsidR="00644698" w:rsidRPr="00C8550C">
        <w:rPr>
          <w:rFonts w:ascii="Book Antiqua" w:hAnsi="Book Antiqua"/>
          <w:sz w:val="24"/>
          <w:szCs w:val="24"/>
        </w:rPr>
        <w:t xml:space="preserve"> × </w:t>
      </w:r>
      <w:r w:rsidRPr="00C8550C">
        <w:rPr>
          <w:rFonts w:ascii="Book Antiqua" w:hAnsi="Book Antiqua"/>
          <w:sz w:val="24"/>
          <w:szCs w:val="24"/>
        </w:rPr>
        <w:t>400).</w:t>
      </w:r>
    </w:p>
    <w:p w:rsidR="007910B5" w:rsidRPr="00C8550C" w:rsidRDefault="007910B5" w:rsidP="007910B5">
      <w:pPr>
        <w:adjustRightInd w:val="0"/>
        <w:snapToGrid w:val="0"/>
        <w:spacing w:after="0" w:line="360" w:lineRule="auto"/>
        <w:jc w:val="center"/>
        <w:rPr>
          <w:rFonts w:ascii="Book Antiqua" w:hAnsi="Book Antiqua"/>
          <w:sz w:val="24"/>
          <w:szCs w:val="24"/>
        </w:rPr>
      </w:pPr>
      <w:r w:rsidRPr="00C8550C">
        <w:rPr>
          <w:rFonts w:ascii="Book Antiqua" w:hAnsi="Book Antiqua"/>
          <w:sz w:val="24"/>
          <w:szCs w:val="24"/>
        </w:rPr>
        <w:br w:type="page"/>
      </w:r>
    </w:p>
    <w:p w:rsidR="007910B5" w:rsidRPr="00C8550C" w:rsidRDefault="000D7CAA" w:rsidP="007910B5">
      <w:pPr>
        <w:adjustRightInd w:val="0"/>
        <w:snapToGrid w:val="0"/>
        <w:spacing w:after="0"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73600" behindDoc="0" locked="0" layoutInCell="1" allowOverlap="1">
                <wp:simplePos x="0" y="0"/>
                <wp:positionH relativeFrom="column">
                  <wp:posOffset>2360930</wp:posOffset>
                </wp:positionH>
                <wp:positionV relativeFrom="paragraph">
                  <wp:posOffset>786130</wp:posOffset>
                </wp:positionV>
                <wp:extent cx="245110" cy="232410"/>
                <wp:effectExtent l="19050" t="38100" r="40640" b="15240"/>
                <wp:wrapNone/>
                <wp:docPr id="29"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85.9pt;margin-top:61.9pt;width:19.3pt;height:18.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" strokecolor="yellow" strokeweight="2.25pt">
                <v:stroke endarrow="open"/>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72576" behindDoc="0" locked="0" layoutInCell="1" allowOverlap="1">
                <wp:simplePos x="0" y="0"/>
                <wp:positionH relativeFrom="column">
                  <wp:posOffset>638175</wp:posOffset>
                </wp:positionH>
                <wp:positionV relativeFrom="paragraph">
                  <wp:posOffset>682625</wp:posOffset>
                </wp:positionV>
                <wp:extent cx="245110" cy="232410"/>
                <wp:effectExtent l="19050" t="38100" r="40640" b="15240"/>
                <wp:wrapNone/>
                <wp:docPr id="28"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50.25pt;margin-top:53.75pt;width:19.3pt;height:18.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" strokecolor="yellow" strokeweight="2.25pt">
                <v:stroke endarrow="open"/>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1640840</wp:posOffset>
                </wp:positionV>
                <wp:extent cx="331470" cy="400050"/>
                <wp:effectExtent l="0" t="2540" r="0" b="0"/>
                <wp:wrapNone/>
                <wp:docPr id="2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3pt;margin-top:129.2pt;width:26.1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3Myg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C</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0528" behindDoc="0" locked="0" layoutInCell="1" allowOverlap="1">
                <wp:simplePos x="0" y="0"/>
                <wp:positionH relativeFrom="column">
                  <wp:posOffset>2274570</wp:posOffset>
                </wp:positionH>
                <wp:positionV relativeFrom="paragraph">
                  <wp:posOffset>-113665</wp:posOffset>
                </wp:positionV>
                <wp:extent cx="331470" cy="400050"/>
                <wp:effectExtent l="0" t="635" r="3810" b="0"/>
                <wp:wrapNone/>
                <wp:docPr id="2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79.1pt;margin-top:-8.95pt;width:26.1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Ioyw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B</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1552" behindDoc="0" locked="0" layoutInCell="1" allowOverlap="1">
                <wp:simplePos x="0" y="0"/>
                <wp:positionH relativeFrom="column">
                  <wp:posOffset>-41910</wp:posOffset>
                </wp:positionH>
                <wp:positionV relativeFrom="paragraph">
                  <wp:posOffset>-113665</wp:posOffset>
                </wp:positionV>
                <wp:extent cx="331470" cy="400050"/>
                <wp:effectExtent l="0" t="635" r="0" b="0"/>
                <wp:wrapNone/>
                <wp:docPr id="25"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3pt;margin-top:-8.95pt;width:26.1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rRyw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A</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67456" behindDoc="0" locked="0" layoutInCell="1" allowOverlap="1">
                <wp:simplePos x="0" y="0"/>
                <wp:positionH relativeFrom="column">
                  <wp:posOffset>2274570</wp:posOffset>
                </wp:positionH>
                <wp:positionV relativeFrom="paragraph">
                  <wp:posOffset>1640840</wp:posOffset>
                </wp:positionV>
                <wp:extent cx="331470" cy="400050"/>
                <wp:effectExtent l="0" t="2540" r="3810" b="0"/>
                <wp:wrapNone/>
                <wp:docPr id="2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79.1pt;margin-top:129.2pt;width:26.1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U1ywIAAMI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D</w:t>
                      </w:r>
                    </w:p>
                  </w:txbxContent>
                </v:textbox>
              </v:shape>
            </w:pict>
          </mc:Fallback>
        </mc:AlternateContent>
      </w:r>
      <w:r>
        <w:rPr>
          <w:rFonts w:ascii="Book Antiqua" w:hAnsi="Book Antiqua"/>
          <w:noProof/>
          <w:sz w:val="24"/>
          <w:szCs w:val="24"/>
        </w:rPr>
        <w:drawing>
          <wp:inline distT="0" distB="0" distL="0" distR="0">
            <wp:extent cx="2222500" cy="1562100"/>
            <wp:effectExtent l="0" t="0" r="6350" b="0"/>
            <wp:docPr id="17" name="图片 3" descr="说明: 5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5A"/>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007910B5" w:rsidRPr="00C8550C">
        <w:rPr>
          <w:rFonts w:ascii="Book Antiqua" w:hAnsi="Book Antiqua"/>
          <w:sz w:val="24"/>
          <w:szCs w:val="24"/>
        </w:rPr>
        <w:t xml:space="preserve"> </w:t>
      </w:r>
      <w:r>
        <w:rPr>
          <w:rFonts w:ascii="Book Antiqua" w:hAnsi="Book Antiqua"/>
          <w:noProof/>
          <w:sz w:val="24"/>
          <w:szCs w:val="24"/>
        </w:rPr>
        <w:drawing>
          <wp:inline distT="0" distB="0" distL="0" distR="0">
            <wp:extent cx="2222500" cy="1562100"/>
            <wp:effectExtent l="0" t="0" r="6350" b="0"/>
            <wp:docPr id="18" name="图片 1" descr="说明: 5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5B"/>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7910B5" w:rsidRPr="00C8550C" w:rsidRDefault="000D7CAA" w:rsidP="007910B5">
      <w:pPr>
        <w:adjustRightInd w:val="0"/>
        <w:snapToGrid w:val="0"/>
        <w:spacing w:after="0"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75648" behindDoc="0" locked="0" layoutInCell="1" allowOverlap="1">
                <wp:simplePos x="0" y="0"/>
                <wp:positionH relativeFrom="column">
                  <wp:posOffset>2423795</wp:posOffset>
                </wp:positionH>
                <wp:positionV relativeFrom="paragraph">
                  <wp:posOffset>781685</wp:posOffset>
                </wp:positionV>
                <wp:extent cx="245110" cy="232410"/>
                <wp:effectExtent l="19050" t="38100" r="40640" b="15240"/>
                <wp:wrapNone/>
                <wp:docPr id="23"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190.85pt;margin-top:61.55pt;width:19.3pt;height:18.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" strokecolor="yellow" strokeweight="2.25pt">
                <v:stroke endarrow="open"/>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74624" behindDoc="0" locked="0" layoutInCell="1" allowOverlap="1">
                <wp:simplePos x="0" y="0"/>
                <wp:positionH relativeFrom="column">
                  <wp:posOffset>111125</wp:posOffset>
                </wp:positionH>
                <wp:positionV relativeFrom="paragraph">
                  <wp:posOffset>781685</wp:posOffset>
                </wp:positionV>
                <wp:extent cx="245110" cy="232410"/>
                <wp:effectExtent l="19050" t="38100" r="40640" b="15240"/>
                <wp:wrapNone/>
                <wp:docPr id="22"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5110" cy="232410"/>
                        </a:xfrm>
                        <a:prstGeom prst="straightConnector1">
                          <a:avLst/>
                        </a:prstGeom>
                        <a:noFill/>
                        <a:ln w="2857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8.75pt;margin-top:61.55pt;width:19.3pt;height:18.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" strokecolor="yellow" strokeweight="2.25pt">
                <v:stroke endarrow="open"/>
                <o:lock v:ext="edit" shapetype="f"/>
              </v:shape>
            </w:pict>
          </mc:Fallback>
        </mc:AlternateContent>
      </w:r>
      <w:r>
        <w:rPr>
          <w:rFonts w:ascii="Book Antiqua" w:hAnsi="Book Antiqua"/>
          <w:noProof/>
          <w:sz w:val="24"/>
          <w:szCs w:val="24"/>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1656715</wp:posOffset>
                </wp:positionV>
                <wp:extent cx="331470" cy="400050"/>
                <wp:effectExtent l="0" t="0" r="0" b="635"/>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3pt;margin-top:130.45pt;width:26.1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" filled="f" stroked="f">
                <v:textbox>
                  <w:txbxContent>
                    <w:p w:rsidR="007910B5" w:rsidRPr="00DD1A5D" w:rsidRDefault="007910B5" w:rsidP="007910B5">
                      <w:pPr>
                        <w:pStyle w:val="ab"/>
                        <w:rPr>
                          <w:rFonts w:ascii="Book Antiqua" w:hAnsi="Book Antiqua"/>
                          <w:sz w:val="32"/>
                          <w:szCs w:val="32"/>
                        </w:rPr>
                      </w:pPr>
                      <w:r>
                        <w:rPr>
                          <w:rFonts w:ascii="Book Antiqua" w:eastAsia="Arial Unicode MS" w:hAnsi="Book Antiqua" w:hint="eastAsia"/>
                          <w:bCs/>
                          <w:color w:val="FFFF00"/>
                          <w:kern w:val="24"/>
                          <w:sz w:val="32"/>
                          <w:szCs w:val="32"/>
                        </w:rPr>
                        <w:t>E</w:t>
                      </w:r>
                    </w:p>
                  </w:txbxContent>
                </v:textbox>
              </v:shape>
            </w:pict>
          </mc:Fallback>
        </mc:AlternateContent>
      </w:r>
      <w:r>
        <w:rPr>
          <w:rFonts w:ascii="Book Antiqua" w:hAnsi="Book Antiqua"/>
          <w:noProof/>
          <w:sz w:val="24"/>
          <w:szCs w:val="24"/>
        </w:rPr>
        <w:drawing>
          <wp:inline distT="0" distB="0" distL="0" distR="0">
            <wp:extent cx="2222500" cy="1562100"/>
            <wp:effectExtent l="0" t="0" r="6350" b="0"/>
            <wp:docPr id="19" name="图片 1" descr="说明: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5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r w:rsidR="007910B5" w:rsidRPr="00C8550C">
        <w:rPr>
          <w:rFonts w:ascii="Book Antiqua" w:hAnsi="Book Antiqua"/>
          <w:sz w:val="24"/>
          <w:szCs w:val="24"/>
        </w:rPr>
        <w:t xml:space="preserve"> </w:t>
      </w:r>
      <w:r>
        <w:rPr>
          <w:rFonts w:ascii="Book Antiqua" w:hAnsi="Book Antiqua"/>
          <w:noProof/>
          <w:sz w:val="24"/>
          <w:szCs w:val="24"/>
        </w:rPr>
        <w:drawing>
          <wp:inline distT="0" distB="0" distL="0" distR="0">
            <wp:extent cx="2222500" cy="1562100"/>
            <wp:effectExtent l="0" t="0" r="6350" b="0"/>
            <wp:docPr id="20" name="图片 1" descr="说明: 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5D"/>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4C5493" w:rsidRPr="00C8550C" w:rsidRDefault="000D7CAA" w:rsidP="007910B5">
      <w:pPr>
        <w:adjustRightInd w:val="0"/>
        <w:snapToGrid w:val="0"/>
        <w:spacing w:after="0" w:line="360" w:lineRule="auto"/>
        <w:rPr>
          <w:rFonts w:ascii="Book Antiqua" w:hAnsi="Book Antiqua"/>
          <w:sz w:val="24"/>
          <w:szCs w:val="24"/>
        </w:rPr>
      </w:pPr>
      <w:r>
        <w:rPr>
          <w:rFonts w:ascii="Book Antiqua" w:hAnsi="Book Antiqua"/>
          <w:noProof/>
          <w:sz w:val="24"/>
          <w:szCs w:val="24"/>
        </w:rPr>
        <w:drawing>
          <wp:inline distT="0" distB="0" distL="0" distR="0">
            <wp:extent cx="2222500" cy="1562100"/>
            <wp:effectExtent l="0" t="0" r="6350" b="0"/>
            <wp:docPr id="21" name="图片 1" descr="说明: 5Ex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5Ex200"/>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2500" cy="1562100"/>
                    </a:xfrm>
                    <a:prstGeom prst="rect">
                      <a:avLst/>
                    </a:prstGeom>
                    <a:noFill/>
                    <a:ln>
                      <a:noFill/>
                    </a:ln>
                  </pic:spPr>
                </pic:pic>
              </a:graphicData>
            </a:graphic>
          </wp:inline>
        </w:drawing>
      </w:r>
    </w:p>
    <w:p w:rsidR="007910B5" w:rsidRPr="00C8550C" w:rsidRDefault="004C5493" w:rsidP="00122AF4">
      <w:pPr>
        <w:adjustRightInd w:val="0"/>
        <w:snapToGrid w:val="0"/>
        <w:spacing w:after="0" w:line="360" w:lineRule="auto"/>
        <w:rPr>
          <w:rFonts w:ascii="Book Antiqua" w:hAnsi="Book Antiqua"/>
          <w:sz w:val="24"/>
          <w:szCs w:val="24"/>
        </w:rPr>
      </w:pPr>
      <w:r w:rsidRPr="00C8550C">
        <w:rPr>
          <w:rFonts w:ascii="Book Antiqua" w:hAnsi="Book Antiqua"/>
          <w:b/>
          <w:bCs/>
          <w:sz w:val="24"/>
          <w:szCs w:val="24"/>
        </w:rPr>
        <w:t>Figure 5 A 69-year-old fema</w:t>
      </w:r>
      <w:r w:rsidR="005D314D" w:rsidRPr="00C8550C">
        <w:rPr>
          <w:rFonts w:ascii="Book Antiqua" w:hAnsi="Book Antiqua"/>
          <w:b/>
          <w:bCs/>
          <w:sz w:val="24"/>
          <w:szCs w:val="24"/>
        </w:rPr>
        <w:t>le patient</w:t>
      </w:r>
      <w:r w:rsidR="00E67E56" w:rsidRPr="00C8550C">
        <w:rPr>
          <w:rFonts w:ascii="Book Antiqua" w:hAnsi="Book Antiqua"/>
          <w:b/>
          <w:bCs/>
          <w:sz w:val="24"/>
          <w:szCs w:val="24"/>
        </w:rPr>
        <w:t xml:space="preserve"> with a</w:t>
      </w:r>
      <w:r w:rsidR="00E2788D">
        <w:rPr>
          <w:rFonts w:ascii="Book Antiqua" w:hAnsi="Book Antiqua"/>
          <w:b/>
          <w:bCs/>
          <w:sz w:val="24"/>
          <w:szCs w:val="24"/>
        </w:rPr>
        <w:t>n</w:t>
      </w:r>
      <w:r w:rsidR="00E67E56" w:rsidRPr="00C8550C">
        <w:rPr>
          <w:rFonts w:ascii="Book Antiqua" w:hAnsi="Book Antiqua"/>
          <w:b/>
          <w:bCs/>
          <w:sz w:val="24"/>
          <w:szCs w:val="24"/>
        </w:rPr>
        <w:t xml:space="preserve"> LR-M lesion.</w:t>
      </w:r>
      <w:r w:rsidR="00E67E56" w:rsidRPr="00C8550C">
        <w:rPr>
          <w:rFonts w:ascii="Book Antiqua" w:hAnsi="Book Antiqua"/>
          <w:sz w:val="24"/>
          <w:szCs w:val="24"/>
        </w:rPr>
        <w:t xml:space="preserve"> </w:t>
      </w:r>
      <w:r w:rsidRPr="00C8550C">
        <w:rPr>
          <w:rFonts w:ascii="Book Antiqua" w:hAnsi="Book Antiqua"/>
          <w:sz w:val="24"/>
          <w:szCs w:val="24"/>
        </w:rPr>
        <w:t>A</w:t>
      </w:r>
      <w:r w:rsidR="007910B5" w:rsidRPr="00C8550C">
        <w:rPr>
          <w:rFonts w:ascii="Book Antiqua" w:hAnsi="Book Antiqua"/>
          <w:sz w:val="24"/>
          <w:szCs w:val="24"/>
        </w:rPr>
        <w:t xml:space="preserve">: </w:t>
      </w:r>
      <w:r w:rsidRPr="00C8550C">
        <w:rPr>
          <w:rFonts w:ascii="Book Antiqua" w:hAnsi="Book Antiqua"/>
          <w:sz w:val="24"/>
          <w:szCs w:val="24"/>
        </w:rPr>
        <w:t>A hypoechoic nodule measuring 3.2 cm in diameter (arrow) was observed by conventional grayscale ultrasound in the left lobe of the liver</w:t>
      </w:r>
      <w:r w:rsidR="007910B5" w:rsidRPr="00C8550C">
        <w:rPr>
          <w:rFonts w:ascii="Book Antiqua" w:hAnsi="Book Antiqua"/>
          <w:sz w:val="24"/>
          <w:szCs w:val="24"/>
        </w:rPr>
        <w:t xml:space="preserve">; </w:t>
      </w:r>
      <w:r w:rsidRPr="00C8550C">
        <w:rPr>
          <w:rFonts w:ascii="Book Antiqua" w:hAnsi="Book Antiqua"/>
          <w:sz w:val="24"/>
          <w:szCs w:val="24"/>
        </w:rPr>
        <w:t>B</w:t>
      </w:r>
      <w:r w:rsidR="007910B5" w:rsidRPr="00C8550C">
        <w:rPr>
          <w:rFonts w:ascii="Book Antiqua" w:hAnsi="Book Antiqua"/>
          <w:sz w:val="24"/>
          <w:szCs w:val="24"/>
        </w:rPr>
        <w:t xml:space="preserve">: </w:t>
      </w:r>
      <w:r w:rsidRPr="00C8550C">
        <w:rPr>
          <w:rFonts w:ascii="Book Antiqua" w:hAnsi="Book Antiqua"/>
          <w:sz w:val="24"/>
          <w:szCs w:val="24"/>
        </w:rPr>
        <w:t>Contrast-enhanced ultrasound illustrated homogeneous hyperenhancement (arrow) in the arterial phase</w:t>
      </w:r>
      <w:r w:rsidR="007910B5" w:rsidRPr="00C8550C">
        <w:rPr>
          <w:rFonts w:ascii="Book Antiqua" w:hAnsi="Book Antiqua"/>
          <w:sz w:val="24"/>
          <w:szCs w:val="24"/>
        </w:rPr>
        <w:t xml:space="preserve">; </w:t>
      </w:r>
      <w:r w:rsidRPr="00C8550C">
        <w:rPr>
          <w:rFonts w:ascii="Book Antiqua" w:hAnsi="Book Antiqua"/>
          <w:sz w:val="24"/>
          <w:szCs w:val="24"/>
        </w:rPr>
        <w:t>C</w:t>
      </w:r>
      <w:r w:rsidR="007910B5" w:rsidRPr="00C8550C">
        <w:rPr>
          <w:rFonts w:ascii="Book Antiqua" w:hAnsi="Book Antiqua"/>
          <w:sz w:val="24"/>
          <w:szCs w:val="24"/>
        </w:rPr>
        <w:t xml:space="preserve">: </w:t>
      </w:r>
      <w:r w:rsidRPr="00C8550C">
        <w:rPr>
          <w:rFonts w:ascii="Book Antiqua" w:hAnsi="Book Antiqua"/>
          <w:sz w:val="24"/>
          <w:szCs w:val="24"/>
        </w:rPr>
        <w:t xml:space="preserve">Early washout was demonstrated (arrow) </w:t>
      </w:r>
      <w:r w:rsidR="00E67E56" w:rsidRPr="00C8550C">
        <w:rPr>
          <w:rFonts w:ascii="Book Antiqua" w:hAnsi="Book Antiqua"/>
          <w:sz w:val="24"/>
          <w:szCs w:val="24"/>
        </w:rPr>
        <w:t>at 60 s after SonoVue injection</w:t>
      </w:r>
      <w:r w:rsidR="007910B5" w:rsidRPr="00C8550C">
        <w:rPr>
          <w:rFonts w:ascii="Book Antiqua" w:hAnsi="Book Antiqua"/>
          <w:sz w:val="24"/>
          <w:szCs w:val="24"/>
        </w:rPr>
        <w:t xml:space="preserve">; </w:t>
      </w:r>
      <w:r w:rsidRPr="00C8550C">
        <w:rPr>
          <w:rFonts w:ascii="Book Antiqua" w:hAnsi="Book Antiqua"/>
          <w:sz w:val="24"/>
          <w:szCs w:val="24"/>
        </w:rPr>
        <w:t>D</w:t>
      </w:r>
      <w:r w:rsidR="007910B5" w:rsidRPr="00C8550C">
        <w:rPr>
          <w:rFonts w:ascii="Book Antiqua" w:hAnsi="Book Antiqua"/>
          <w:sz w:val="24"/>
          <w:szCs w:val="24"/>
        </w:rPr>
        <w:t xml:space="preserve">: </w:t>
      </w:r>
      <w:r w:rsidRPr="00C8550C">
        <w:rPr>
          <w:rFonts w:ascii="Book Antiqua" w:hAnsi="Book Antiqua"/>
          <w:sz w:val="24"/>
          <w:szCs w:val="24"/>
        </w:rPr>
        <w:t>No marked washout (arrow) was observed by</w:t>
      </w:r>
      <w:r w:rsidR="00E67E56" w:rsidRPr="00C8550C">
        <w:rPr>
          <w:rFonts w:ascii="Book Antiqua" w:hAnsi="Book Antiqua"/>
          <w:sz w:val="24"/>
          <w:szCs w:val="24"/>
        </w:rPr>
        <w:t xml:space="preserve"> 120 s</w:t>
      </w:r>
      <w:r w:rsidR="007910B5" w:rsidRPr="00C8550C">
        <w:rPr>
          <w:rFonts w:ascii="Book Antiqua" w:hAnsi="Book Antiqua"/>
          <w:sz w:val="24"/>
          <w:szCs w:val="24"/>
        </w:rPr>
        <w:t xml:space="preserve">; </w:t>
      </w:r>
      <w:r w:rsidR="00E67E56" w:rsidRPr="00C8550C">
        <w:rPr>
          <w:rFonts w:ascii="Book Antiqua" w:hAnsi="Book Antiqua"/>
          <w:sz w:val="24"/>
          <w:szCs w:val="24"/>
        </w:rPr>
        <w:t>E</w:t>
      </w:r>
      <w:r w:rsidR="007910B5" w:rsidRPr="00C8550C">
        <w:rPr>
          <w:rFonts w:ascii="Book Antiqua" w:hAnsi="Book Antiqua"/>
          <w:sz w:val="24"/>
          <w:szCs w:val="24"/>
        </w:rPr>
        <w:t xml:space="preserve">: </w:t>
      </w:r>
      <w:r w:rsidRPr="00C8550C">
        <w:rPr>
          <w:rFonts w:ascii="Book Antiqua" w:hAnsi="Book Antiqua"/>
          <w:sz w:val="24"/>
          <w:szCs w:val="24"/>
        </w:rPr>
        <w:t xml:space="preserve">This lesion was classified as LR-M, and moderately differentiated </w:t>
      </w:r>
      <w:r w:rsidR="007910B5" w:rsidRPr="00C8550C">
        <w:rPr>
          <w:rFonts w:ascii="Book Antiqua" w:hAnsi="Book Antiqua"/>
          <w:sz w:val="24"/>
          <w:szCs w:val="24"/>
        </w:rPr>
        <w:t>intrahepatic cholangiocarcinoma</w:t>
      </w:r>
      <w:r w:rsidRPr="00C8550C">
        <w:rPr>
          <w:rFonts w:ascii="Book Antiqua" w:hAnsi="Book Antiqua"/>
          <w:sz w:val="24"/>
          <w:szCs w:val="24"/>
        </w:rPr>
        <w:t xml:space="preserve"> was confirmed by histopathology (</w:t>
      </w:r>
      <w:r w:rsidR="007910B5" w:rsidRPr="00C8550C">
        <w:rPr>
          <w:rFonts w:ascii="Book Antiqua" w:hAnsi="Book Antiqua"/>
          <w:sz w:val="24"/>
          <w:szCs w:val="24"/>
        </w:rPr>
        <w:t>hematoxylin and eosin staining</w:t>
      </w:r>
      <w:r w:rsidRPr="00C8550C">
        <w:rPr>
          <w:rFonts w:ascii="Book Antiqua" w:hAnsi="Book Antiqua"/>
          <w:sz w:val="24"/>
          <w:szCs w:val="24"/>
        </w:rPr>
        <w:t xml:space="preserve">, </w:t>
      </w:r>
      <w:r w:rsidR="00644698" w:rsidRPr="00C8550C">
        <w:rPr>
          <w:rFonts w:ascii="Book Antiqua" w:hAnsi="Book Antiqua"/>
          <w:sz w:val="24"/>
          <w:szCs w:val="24"/>
        </w:rPr>
        <w:t>×</w:t>
      </w:r>
      <w:r w:rsidR="00366931" w:rsidRPr="00C8550C">
        <w:rPr>
          <w:rFonts w:ascii="Book Antiqua" w:hAnsi="Book Antiqua"/>
          <w:sz w:val="24"/>
          <w:szCs w:val="24"/>
        </w:rPr>
        <w:t xml:space="preserve"> </w:t>
      </w:r>
      <w:r w:rsidRPr="00C8550C">
        <w:rPr>
          <w:rFonts w:ascii="Book Antiqua" w:hAnsi="Book Antiqua"/>
          <w:sz w:val="24"/>
          <w:szCs w:val="24"/>
        </w:rPr>
        <w:t>200).</w:t>
      </w:r>
    </w:p>
    <w:p w:rsidR="00835DED" w:rsidRPr="00C8550C" w:rsidRDefault="007910B5" w:rsidP="00122AF4">
      <w:pPr>
        <w:adjustRightInd w:val="0"/>
        <w:snapToGrid w:val="0"/>
        <w:spacing w:after="0" w:line="360" w:lineRule="auto"/>
        <w:rPr>
          <w:rFonts w:ascii="Book Antiqua" w:hAnsi="Book Antiqua"/>
          <w:b/>
          <w:bCs/>
          <w:sz w:val="24"/>
          <w:szCs w:val="24"/>
        </w:rPr>
      </w:pPr>
      <w:r w:rsidRPr="00C8550C">
        <w:rPr>
          <w:rFonts w:ascii="Book Antiqua" w:hAnsi="Book Antiqua"/>
          <w:sz w:val="24"/>
          <w:szCs w:val="24"/>
        </w:rPr>
        <w:br w:type="page"/>
      </w:r>
      <w:r w:rsidR="00835DED" w:rsidRPr="00C8550C">
        <w:rPr>
          <w:rFonts w:ascii="Book Antiqua" w:hAnsi="Book Antiqua"/>
          <w:b/>
          <w:bCs/>
          <w:sz w:val="24"/>
          <w:szCs w:val="24"/>
        </w:rPr>
        <w:t xml:space="preserve">Table 1 </w:t>
      </w:r>
      <w:r w:rsidR="00E2788D" w:rsidRPr="00C8550C">
        <w:rPr>
          <w:rFonts w:ascii="Book Antiqua" w:hAnsi="Book Antiqua"/>
          <w:b/>
          <w:bCs/>
          <w:sz w:val="24"/>
          <w:szCs w:val="24"/>
        </w:rPr>
        <w:t>Demograph</w:t>
      </w:r>
      <w:r w:rsidR="00E2788D">
        <w:rPr>
          <w:rFonts w:ascii="Book Antiqua" w:hAnsi="Book Antiqua"/>
          <w:b/>
          <w:bCs/>
          <w:sz w:val="24"/>
          <w:szCs w:val="24"/>
        </w:rPr>
        <w:t>ic</w:t>
      </w:r>
      <w:r w:rsidR="00E2788D" w:rsidRPr="00C8550C">
        <w:rPr>
          <w:rFonts w:ascii="Book Antiqua" w:hAnsi="Book Antiqua"/>
          <w:b/>
          <w:bCs/>
          <w:sz w:val="24"/>
          <w:szCs w:val="24"/>
        </w:rPr>
        <w:t xml:space="preserve"> </w:t>
      </w:r>
      <w:r w:rsidR="00835DED" w:rsidRPr="00C8550C">
        <w:rPr>
          <w:rFonts w:ascii="Book Antiqua" w:hAnsi="Book Antiqua"/>
          <w:b/>
          <w:bCs/>
          <w:sz w:val="24"/>
          <w:szCs w:val="24"/>
        </w:rPr>
        <w:t>and clinicopathological information of 228 enrolled patients</w:t>
      </w:r>
      <w:r w:rsidRPr="00C8550C">
        <w:rPr>
          <w:rFonts w:ascii="Book Antiqua" w:hAnsi="Book Antiqua"/>
          <w:b/>
          <w:bCs/>
          <w:sz w:val="24"/>
          <w:szCs w:val="24"/>
        </w:rPr>
        <w:t xml:space="preserve">, </w:t>
      </w:r>
      <w:r w:rsidRPr="00C8550C">
        <w:rPr>
          <w:rFonts w:ascii="Book Antiqua" w:hAnsi="Book Antiqua" w:cs="Tahoma"/>
          <w:b/>
          <w:bCs/>
          <w:i/>
          <w:sz w:val="24"/>
          <w:szCs w:val="24"/>
        </w:rPr>
        <w:t>n</w:t>
      </w:r>
      <w:r w:rsidRPr="00C8550C">
        <w:rPr>
          <w:rFonts w:ascii="Book Antiqua" w:hAnsi="Book Antiqua" w:cs="Tahoma"/>
          <w:b/>
          <w:bCs/>
          <w:sz w:val="24"/>
          <w:szCs w:val="24"/>
        </w:rPr>
        <w:t xml:space="preserve"> (%)</w:t>
      </w:r>
    </w:p>
    <w:tbl>
      <w:tblPr>
        <w:tblW w:w="9830" w:type="dxa"/>
        <w:tblInd w:w="0" w:type="dxa"/>
        <w:tblBorders>
          <w:top w:val="single" w:sz="4" w:space="0" w:color="auto"/>
          <w:bottom w:val="single" w:sz="4" w:space="0" w:color="auto"/>
        </w:tblBorders>
        <w:tblLayout w:type="fixed"/>
        <w:tblLook w:val="0000" w:firstRow="0" w:lastRow="0" w:firstColumn="0" w:lastColumn="0" w:noHBand="0" w:noVBand="0"/>
      </w:tblPr>
      <w:tblGrid>
        <w:gridCol w:w="4063"/>
        <w:gridCol w:w="2124"/>
        <w:gridCol w:w="2126"/>
        <w:gridCol w:w="1517"/>
      </w:tblGrid>
      <w:tr w:rsidR="00360BD3" w:rsidRPr="00C8550C" w:rsidTr="006A50B6">
        <w:trPr>
          <w:trHeight w:val="494"/>
        </w:trPr>
        <w:tc>
          <w:tcPr>
            <w:tcW w:w="4063" w:type="dxa"/>
            <w:vMerge w:val="restart"/>
            <w:tcBorders>
              <w:top w:val="single" w:sz="4" w:space="0" w:color="auto"/>
            </w:tcBorders>
          </w:tcPr>
          <w:p w:rsidR="00835DED" w:rsidRPr="00C8550C" w:rsidRDefault="00835DED" w:rsidP="007910B5">
            <w:pPr>
              <w:adjustRightInd w:val="0"/>
              <w:snapToGrid w:val="0"/>
              <w:spacing w:after="0" w:line="360" w:lineRule="auto"/>
              <w:rPr>
                <w:rFonts w:ascii="Book Antiqua" w:hAnsi="Book Antiqua"/>
                <w:b/>
                <w:bCs/>
                <w:sz w:val="24"/>
                <w:szCs w:val="24"/>
              </w:rPr>
            </w:pPr>
            <w:r w:rsidRPr="00C8550C">
              <w:rPr>
                <w:rFonts w:ascii="Book Antiqua" w:hAnsi="Book Antiqua"/>
                <w:b/>
                <w:bCs/>
                <w:sz w:val="24"/>
                <w:szCs w:val="24"/>
              </w:rPr>
              <w:t>Patient characteristic</w:t>
            </w:r>
          </w:p>
        </w:tc>
        <w:tc>
          <w:tcPr>
            <w:tcW w:w="4250" w:type="dxa"/>
            <w:gridSpan w:val="2"/>
            <w:tcBorders>
              <w:top w:val="single" w:sz="4" w:space="0" w:color="auto"/>
              <w:bottom w:val="single" w:sz="4" w:space="0" w:color="auto"/>
            </w:tcBorders>
          </w:tcPr>
          <w:p w:rsidR="00835DED" w:rsidRPr="00C8550C" w:rsidRDefault="00835DED" w:rsidP="007910B5">
            <w:pPr>
              <w:adjustRightInd w:val="0"/>
              <w:snapToGrid w:val="0"/>
              <w:spacing w:after="0" w:line="360" w:lineRule="auto"/>
              <w:rPr>
                <w:rFonts w:ascii="Book Antiqua" w:hAnsi="Book Antiqua"/>
                <w:b/>
                <w:bCs/>
                <w:sz w:val="24"/>
                <w:szCs w:val="24"/>
              </w:rPr>
            </w:pPr>
            <w:r w:rsidRPr="00C8550C">
              <w:rPr>
                <w:rFonts w:ascii="Book Antiqua" w:hAnsi="Book Antiqua"/>
                <w:b/>
                <w:bCs/>
                <w:sz w:val="24"/>
                <w:szCs w:val="24"/>
              </w:rPr>
              <w:t>Pathology</w:t>
            </w:r>
          </w:p>
        </w:tc>
        <w:tc>
          <w:tcPr>
            <w:tcW w:w="1517" w:type="dxa"/>
            <w:vMerge w:val="restart"/>
            <w:tcBorders>
              <w:top w:val="single" w:sz="4" w:space="0" w:color="auto"/>
            </w:tcBorders>
          </w:tcPr>
          <w:p w:rsidR="00835DED" w:rsidRPr="00C8550C" w:rsidRDefault="00835DED" w:rsidP="007910B5">
            <w:pPr>
              <w:tabs>
                <w:tab w:val="center" w:pos="654"/>
              </w:tabs>
              <w:adjustRightInd w:val="0"/>
              <w:snapToGrid w:val="0"/>
              <w:spacing w:after="0" w:line="360" w:lineRule="auto"/>
              <w:rPr>
                <w:rFonts w:ascii="Book Antiqua" w:hAnsi="Book Antiqua"/>
                <w:b/>
                <w:bCs/>
                <w:i/>
                <w:sz w:val="24"/>
                <w:szCs w:val="24"/>
              </w:rPr>
            </w:pPr>
            <w:r w:rsidRPr="00C8550C">
              <w:rPr>
                <w:rFonts w:ascii="Book Antiqua" w:hAnsi="Book Antiqua"/>
                <w:b/>
                <w:bCs/>
                <w:i/>
                <w:sz w:val="24"/>
                <w:szCs w:val="24"/>
              </w:rPr>
              <w:t>P</w:t>
            </w:r>
            <w:r w:rsidR="007910B5" w:rsidRPr="00C8550C">
              <w:rPr>
                <w:rFonts w:ascii="Book Antiqua" w:hAnsi="Book Antiqua"/>
                <w:b/>
                <w:bCs/>
                <w:i/>
                <w:sz w:val="24"/>
                <w:szCs w:val="24"/>
              </w:rPr>
              <w:t xml:space="preserve"> </w:t>
            </w:r>
            <w:r w:rsidR="007910B5" w:rsidRPr="00C8550C">
              <w:rPr>
                <w:rFonts w:ascii="Book Antiqua" w:hAnsi="Book Antiqua"/>
                <w:b/>
                <w:bCs/>
                <w:iCs/>
                <w:sz w:val="24"/>
                <w:szCs w:val="24"/>
              </w:rPr>
              <w:t>value</w:t>
            </w:r>
          </w:p>
        </w:tc>
      </w:tr>
      <w:tr w:rsidR="00360BD3" w:rsidRPr="00C8550C" w:rsidTr="006A50B6">
        <w:trPr>
          <w:trHeight w:val="451"/>
        </w:trPr>
        <w:tc>
          <w:tcPr>
            <w:tcW w:w="4063" w:type="dxa"/>
            <w:vMerge/>
            <w:tcBorders>
              <w:bottom w:val="single" w:sz="4" w:space="0" w:color="auto"/>
            </w:tcBorders>
          </w:tcPr>
          <w:p w:rsidR="00835DED" w:rsidRPr="00C8550C" w:rsidRDefault="00835DED" w:rsidP="007910B5">
            <w:pPr>
              <w:adjustRightInd w:val="0"/>
              <w:snapToGrid w:val="0"/>
              <w:spacing w:after="0" w:line="360" w:lineRule="auto"/>
              <w:rPr>
                <w:rFonts w:ascii="Book Antiqua" w:hAnsi="Book Antiqua"/>
                <w:sz w:val="24"/>
                <w:szCs w:val="24"/>
              </w:rPr>
            </w:pPr>
          </w:p>
        </w:tc>
        <w:tc>
          <w:tcPr>
            <w:tcW w:w="2124" w:type="dxa"/>
            <w:tcBorders>
              <w:top w:val="single" w:sz="4" w:space="0" w:color="auto"/>
              <w:bottom w:val="single" w:sz="4" w:space="0" w:color="auto"/>
            </w:tcBorders>
          </w:tcPr>
          <w:p w:rsidR="00835DED" w:rsidRPr="00C8550C" w:rsidRDefault="00C8550C" w:rsidP="007910B5">
            <w:pPr>
              <w:adjustRightInd w:val="0"/>
              <w:snapToGrid w:val="0"/>
              <w:spacing w:after="0" w:line="360" w:lineRule="auto"/>
              <w:rPr>
                <w:rFonts w:ascii="Book Antiqua" w:hAnsi="Book Antiqua"/>
                <w:b/>
                <w:sz w:val="24"/>
                <w:szCs w:val="24"/>
              </w:rPr>
            </w:pPr>
            <w:r>
              <w:rPr>
                <w:rFonts w:ascii="Book Antiqua" w:hAnsi="Book Antiqua"/>
                <w:b/>
                <w:sz w:val="24"/>
                <w:szCs w:val="24"/>
              </w:rPr>
              <w:t>ICC</w:t>
            </w:r>
            <w:r>
              <w:rPr>
                <w:rFonts w:ascii="Book Antiqua" w:hAnsi="Book Antiqua" w:hint="eastAsia"/>
                <w:b/>
                <w:sz w:val="24"/>
                <w:szCs w:val="24"/>
              </w:rPr>
              <w:t xml:space="preserve"> </w:t>
            </w:r>
            <w:r w:rsidR="00835DED" w:rsidRPr="00C8550C">
              <w:rPr>
                <w:rFonts w:ascii="Book Antiqua" w:hAnsi="Book Antiqua"/>
                <w:b/>
                <w:sz w:val="24"/>
                <w:szCs w:val="24"/>
              </w:rPr>
              <w:t>(</w:t>
            </w:r>
            <w:r w:rsidR="00835DED" w:rsidRPr="00C8550C">
              <w:rPr>
                <w:rFonts w:ascii="Book Antiqua" w:hAnsi="Book Antiqua"/>
                <w:b/>
                <w:i/>
                <w:iCs/>
                <w:sz w:val="24"/>
                <w:szCs w:val="24"/>
              </w:rPr>
              <w:t>n</w:t>
            </w:r>
            <w:r w:rsidR="007910B5" w:rsidRPr="00C8550C">
              <w:rPr>
                <w:rFonts w:ascii="Book Antiqua" w:hAnsi="Book Antiqua"/>
                <w:b/>
                <w:sz w:val="24"/>
                <w:szCs w:val="24"/>
              </w:rPr>
              <w:t xml:space="preserve"> </w:t>
            </w:r>
            <w:r w:rsidR="00835DED" w:rsidRPr="00C8550C">
              <w:rPr>
                <w:rFonts w:ascii="Book Antiqua" w:hAnsi="Book Antiqua"/>
                <w:b/>
                <w:sz w:val="24"/>
                <w:szCs w:val="24"/>
              </w:rPr>
              <w:t>=</w:t>
            </w:r>
            <w:r w:rsidR="007910B5" w:rsidRPr="00C8550C">
              <w:rPr>
                <w:rFonts w:ascii="Book Antiqua" w:hAnsi="Book Antiqua"/>
                <w:b/>
                <w:sz w:val="24"/>
                <w:szCs w:val="24"/>
              </w:rPr>
              <w:t xml:space="preserve"> </w:t>
            </w:r>
            <w:r w:rsidR="00835DED" w:rsidRPr="00C8550C">
              <w:rPr>
                <w:rFonts w:ascii="Book Antiqua" w:hAnsi="Book Antiqua"/>
                <w:b/>
                <w:sz w:val="24"/>
                <w:szCs w:val="24"/>
              </w:rPr>
              <w:t>99)</w:t>
            </w:r>
          </w:p>
        </w:tc>
        <w:tc>
          <w:tcPr>
            <w:tcW w:w="2125" w:type="dxa"/>
            <w:tcBorders>
              <w:bottom w:val="single" w:sz="4" w:space="0" w:color="auto"/>
            </w:tcBorders>
          </w:tcPr>
          <w:p w:rsidR="00835DED" w:rsidRPr="00C8550C" w:rsidRDefault="00C8550C" w:rsidP="007910B5">
            <w:pPr>
              <w:adjustRightInd w:val="0"/>
              <w:snapToGrid w:val="0"/>
              <w:spacing w:after="0" w:line="360" w:lineRule="auto"/>
              <w:rPr>
                <w:rFonts w:ascii="Book Antiqua" w:hAnsi="Book Antiqua"/>
                <w:b/>
                <w:sz w:val="24"/>
                <w:szCs w:val="24"/>
              </w:rPr>
            </w:pPr>
            <w:r>
              <w:rPr>
                <w:rFonts w:ascii="Book Antiqua" w:hAnsi="Book Antiqua"/>
                <w:b/>
                <w:sz w:val="24"/>
                <w:szCs w:val="24"/>
              </w:rPr>
              <w:t>LR-M HCC</w:t>
            </w:r>
            <w:r>
              <w:rPr>
                <w:rFonts w:ascii="Book Antiqua" w:hAnsi="Book Antiqua" w:hint="eastAsia"/>
                <w:b/>
                <w:sz w:val="24"/>
                <w:szCs w:val="24"/>
              </w:rPr>
              <w:t xml:space="preserve"> </w:t>
            </w:r>
            <w:r w:rsidR="007910B5" w:rsidRPr="00C8550C">
              <w:rPr>
                <w:rFonts w:ascii="Book Antiqua" w:hAnsi="Book Antiqua"/>
                <w:b/>
                <w:sz w:val="24"/>
                <w:szCs w:val="24"/>
              </w:rPr>
              <w:t>(</w:t>
            </w:r>
            <w:r w:rsidR="00835DED" w:rsidRPr="00C8550C">
              <w:rPr>
                <w:rFonts w:ascii="Book Antiqua" w:hAnsi="Book Antiqua"/>
                <w:b/>
                <w:i/>
                <w:iCs/>
                <w:sz w:val="24"/>
                <w:szCs w:val="24"/>
              </w:rPr>
              <w:t>n</w:t>
            </w:r>
            <w:r w:rsidR="007910B5" w:rsidRPr="00C8550C">
              <w:rPr>
                <w:rFonts w:ascii="Book Antiqua" w:hAnsi="Book Antiqua"/>
                <w:b/>
                <w:i/>
                <w:iCs/>
                <w:sz w:val="24"/>
                <w:szCs w:val="24"/>
              </w:rPr>
              <w:t xml:space="preserve"> </w:t>
            </w:r>
            <w:r w:rsidR="00835DED" w:rsidRPr="00C8550C">
              <w:rPr>
                <w:rFonts w:ascii="Book Antiqua" w:hAnsi="Book Antiqua"/>
                <w:b/>
                <w:sz w:val="24"/>
                <w:szCs w:val="24"/>
              </w:rPr>
              <w:t>=129)</w:t>
            </w:r>
          </w:p>
        </w:tc>
        <w:tc>
          <w:tcPr>
            <w:tcW w:w="1517" w:type="dxa"/>
            <w:vMerge/>
            <w:tcBorders>
              <w:bottom w:val="single" w:sz="4" w:space="0" w:color="auto"/>
            </w:tcBorders>
          </w:tcPr>
          <w:p w:rsidR="00835DED" w:rsidRPr="00C8550C" w:rsidRDefault="00835DED" w:rsidP="007910B5">
            <w:pPr>
              <w:tabs>
                <w:tab w:val="center" w:pos="654"/>
              </w:tabs>
              <w:adjustRightInd w:val="0"/>
              <w:snapToGrid w:val="0"/>
              <w:spacing w:after="0" w:line="360" w:lineRule="auto"/>
              <w:rPr>
                <w:rFonts w:ascii="Book Antiqua" w:hAnsi="Book Antiqua"/>
                <w:sz w:val="24"/>
                <w:szCs w:val="24"/>
              </w:rPr>
            </w:pPr>
          </w:p>
        </w:tc>
      </w:tr>
      <w:tr w:rsidR="00360BD3" w:rsidRPr="00C8550C" w:rsidTr="006A50B6">
        <w:trPr>
          <w:trHeight w:val="887"/>
        </w:trPr>
        <w:tc>
          <w:tcPr>
            <w:tcW w:w="4063" w:type="dxa"/>
            <w:tcBorders>
              <w:top w:val="single" w:sz="4" w:space="0" w:color="auto"/>
            </w:tcBorders>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Age</w:t>
            </w:r>
            <w:r w:rsidR="00E2788D">
              <w:rPr>
                <w:rFonts w:ascii="Book Antiqua" w:hAnsi="Book Antiqua"/>
                <w:bCs/>
                <w:sz w:val="24"/>
                <w:szCs w:val="24"/>
              </w:rPr>
              <w:t>,</w:t>
            </w:r>
            <w:r w:rsidRPr="00C8550C">
              <w:rPr>
                <w:rFonts w:ascii="Book Antiqua" w:hAnsi="Book Antiqua"/>
                <w:bCs/>
                <w:sz w:val="24"/>
                <w:szCs w:val="24"/>
              </w:rPr>
              <w:t xml:space="preserve"> </w:t>
            </w:r>
            <w:r w:rsidR="00D3359D" w:rsidRPr="00C8550C">
              <w:rPr>
                <w:rFonts w:ascii="Book Antiqua" w:hAnsi="Book Antiqua"/>
                <w:bCs/>
                <w:sz w:val="24"/>
                <w:szCs w:val="24"/>
              </w:rPr>
              <w:t>m</w:t>
            </w:r>
            <w:r w:rsidRPr="00C8550C">
              <w:rPr>
                <w:rFonts w:ascii="Book Antiqua" w:hAnsi="Book Antiqua"/>
                <w:bCs/>
                <w:sz w:val="24"/>
                <w:szCs w:val="24"/>
              </w:rPr>
              <w:t>ean</w:t>
            </w:r>
            <w:r w:rsidR="007910B5" w:rsidRPr="00C8550C">
              <w:rPr>
                <w:rFonts w:ascii="Book Antiqua" w:hAnsi="Book Antiqua"/>
                <w:bCs/>
                <w:sz w:val="24"/>
                <w:szCs w:val="24"/>
              </w:rPr>
              <w:t xml:space="preserve"> </w:t>
            </w:r>
            <w:r w:rsidRPr="00C8550C">
              <w:rPr>
                <w:rFonts w:ascii="Book Antiqua" w:hAnsi="Book Antiqua"/>
                <w:bCs/>
                <w:sz w:val="24"/>
                <w:szCs w:val="24"/>
              </w:rPr>
              <w:t>±</w:t>
            </w:r>
            <w:r w:rsidR="007910B5" w:rsidRPr="00C8550C">
              <w:rPr>
                <w:rFonts w:ascii="Book Antiqua" w:hAnsi="Book Antiqua"/>
                <w:bCs/>
                <w:sz w:val="24"/>
                <w:szCs w:val="24"/>
              </w:rPr>
              <w:t xml:space="preserve"> </w:t>
            </w:r>
            <w:r w:rsidRPr="00C8550C">
              <w:rPr>
                <w:rFonts w:ascii="Book Antiqua" w:hAnsi="Book Antiqua"/>
                <w:bCs/>
                <w:sz w:val="24"/>
                <w:szCs w:val="24"/>
              </w:rPr>
              <w:t>SD, (</w:t>
            </w:r>
            <w:r w:rsidR="00D3359D" w:rsidRPr="00C8550C">
              <w:rPr>
                <w:rFonts w:ascii="Book Antiqua" w:hAnsi="Book Antiqua"/>
                <w:bCs/>
                <w:sz w:val="24"/>
                <w:szCs w:val="24"/>
              </w:rPr>
              <w:t>r</w:t>
            </w:r>
            <w:r w:rsidRPr="00C8550C">
              <w:rPr>
                <w:rFonts w:ascii="Book Antiqua" w:hAnsi="Book Antiqua"/>
                <w:bCs/>
                <w:sz w:val="24"/>
                <w:szCs w:val="24"/>
              </w:rPr>
              <w:t>ange), y</w:t>
            </w:r>
            <w:r w:rsidR="007C4214" w:rsidRPr="00C8550C">
              <w:rPr>
                <w:rFonts w:ascii="Book Antiqua" w:hAnsi="Book Antiqua"/>
                <w:bCs/>
                <w:sz w:val="24"/>
                <w:szCs w:val="24"/>
              </w:rPr>
              <w:t>r</w:t>
            </w:r>
          </w:p>
          <w:p w:rsidR="00835DED" w:rsidRPr="00C8550C" w:rsidRDefault="00835DED" w:rsidP="007910B5">
            <w:pPr>
              <w:adjustRightInd w:val="0"/>
              <w:snapToGrid w:val="0"/>
              <w:spacing w:after="0" w:line="360" w:lineRule="auto"/>
              <w:rPr>
                <w:rFonts w:ascii="Book Antiqua" w:hAnsi="Book Antiqua"/>
                <w:bCs/>
                <w:sz w:val="24"/>
                <w:szCs w:val="24"/>
              </w:rPr>
            </w:pPr>
          </w:p>
        </w:tc>
        <w:tc>
          <w:tcPr>
            <w:tcW w:w="2124" w:type="dxa"/>
            <w:tcBorders>
              <w:top w:val="single" w:sz="4" w:space="0" w:color="auto"/>
            </w:tcBorders>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59</w:t>
            </w:r>
            <w:r w:rsidR="007910B5" w:rsidRPr="00C8550C">
              <w:rPr>
                <w:rFonts w:ascii="Book Antiqua" w:hAnsi="Book Antiqua"/>
                <w:bCs/>
                <w:sz w:val="24"/>
                <w:szCs w:val="24"/>
              </w:rPr>
              <w:t xml:space="preserve"> </w:t>
            </w:r>
            <w:r w:rsidR="00D661A9" w:rsidRPr="00C8550C">
              <w:rPr>
                <w:rFonts w:ascii="Book Antiqua" w:hAnsi="Book Antiqua"/>
                <w:bCs/>
                <w:sz w:val="24"/>
                <w:szCs w:val="24"/>
              </w:rPr>
              <w:t>±</w:t>
            </w:r>
            <w:r w:rsidR="007910B5" w:rsidRPr="00C8550C">
              <w:rPr>
                <w:rFonts w:ascii="Book Antiqua" w:hAnsi="Book Antiqua"/>
                <w:bCs/>
                <w:sz w:val="24"/>
                <w:szCs w:val="24"/>
              </w:rPr>
              <w:t xml:space="preserve"> </w:t>
            </w:r>
            <w:r w:rsidRPr="00C8550C">
              <w:rPr>
                <w:rFonts w:ascii="Book Antiqua" w:hAnsi="Book Antiqua"/>
                <w:bCs/>
                <w:sz w:val="24"/>
                <w:szCs w:val="24"/>
              </w:rPr>
              <w:t>10.2</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(57-61)</w:t>
            </w:r>
          </w:p>
        </w:tc>
        <w:tc>
          <w:tcPr>
            <w:tcW w:w="2125" w:type="dxa"/>
            <w:tcBorders>
              <w:top w:val="single" w:sz="4" w:space="0" w:color="auto"/>
            </w:tcBorders>
          </w:tcPr>
          <w:p w:rsidR="00835DED" w:rsidRPr="00C8550C" w:rsidRDefault="00D661A9"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52</w:t>
            </w:r>
            <w:r w:rsidR="007910B5" w:rsidRPr="00C8550C">
              <w:rPr>
                <w:rFonts w:ascii="Book Antiqua" w:hAnsi="Book Antiqua"/>
                <w:bCs/>
                <w:sz w:val="24"/>
                <w:szCs w:val="24"/>
              </w:rPr>
              <w:t xml:space="preserve"> </w:t>
            </w:r>
            <w:r w:rsidRPr="00C8550C">
              <w:rPr>
                <w:rFonts w:ascii="Book Antiqua" w:hAnsi="Book Antiqua"/>
                <w:bCs/>
                <w:sz w:val="24"/>
                <w:szCs w:val="24"/>
              </w:rPr>
              <w:t>±</w:t>
            </w:r>
            <w:r w:rsidR="007910B5" w:rsidRPr="00C8550C">
              <w:rPr>
                <w:rFonts w:ascii="Book Antiqua" w:hAnsi="Book Antiqua"/>
                <w:bCs/>
                <w:sz w:val="24"/>
                <w:szCs w:val="24"/>
              </w:rPr>
              <w:t xml:space="preserve"> </w:t>
            </w:r>
            <w:r w:rsidR="00835DED" w:rsidRPr="00C8550C">
              <w:rPr>
                <w:rFonts w:ascii="Book Antiqua" w:hAnsi="Book Antiqua"/>
                <w:bCs/>
                <w:sz w:val="24"/>
                <w:szCs w:val="24"/>
              </w:rPr>
              <w:t>12.8</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(50-54)</w:t>
            </w:r>
          </w:p>
        </w:tc>
        <w:tc>
          <w:tcPr>
            <w:tcW w:w="1517" w:type="dxa"/>
            <w:tcBorders>
              <w:top w:val="single" w:sz="4" w:space="0" w:color="auto"/>
            </w:tcBorders>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w:t>
            </w:r>
            <w:r w:rsidR="00D661A9" w:rsidRPr="00C8550C">
              <w:rPr>
                <w:rFonts w:ascii="Book Antiqua" w:hAnsi="Book Antiqua"/>
                <w:bCs/>
                <w:iCs/>
                <w:sz w:val="24"/>
                <w:szCs w:val="24"/>
              </w:rPr>
              <w:t xml:space="preserve"> </w:t>
            </w:r>
            <w:r w:rsidRPr="00C8550C">
              <w:rPr>
                <w:rFonts w:ascii="Book Antiqua" w:hAnsi="Book Antiqua"/>
                <w:bCs/>
                <w:iCs/>
                <w:sz w:val="24"/>
                <w:szCs w:val="24"/>
              </w:rPr>
              <w:t>0.017</w:t>
            </w:r>
          </w:p>
        </w:tc>
      </w:tr>
      <w:tr w:rsidR="00360BD3" w:rsidRPr="00C8550C" w:rsidTr="006A50B6">
        <w:trPr>
          <w:trHeight w:val="450"/>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Sex</w:t>
            </w:r>
            <w:r w:rsidR="00865E2E" w:rsidRPr="00C8550C">
              <w:rPr>
                <w:rFonts w:ascii="Book Antiqua" w:hAnsi="Book Antiqua"/>
                <w:bCs/>
                <w:sz w:val="24"/>
                <w:szCs w:val="24"/>
              </w:rPr>
              <w:t xml:space="preserve"> </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p>
        </w:tc>
        <w:tc>
          <w:tcPr>
            <w:tcW w:w="1517" w:type="dxa"/>
          </w:tcPr>
          <w:p w:rsidR="00835DED" w:rsidRPr="00C8550C" w:rsidRDefault="00835DED" w:rsidP="007910B5">
            <w:pPr>
              <w:adjustRightInd w:val="0"/>
              <w:snapToGrid w:val="0"/>
              <w:spacing w:after="0" w:line="360" w:lineRule="auto"/>
              <w:rPr>
                <w:rFonts w:ascii="Book Antiqua" w:hAnsi="Book Antiqua"/>
                <w:bCs/>
                <w:i/>
                <w:iCs/>
                <w:sz w:val="24"/>
                <w:szCs w:val="24"/>
              </w:rPr>
            </w:pPr>
          </w:p>
        </w:tc>
      </w:tr>
      <w:tr w:rsidR="00360BD3" w:rsidRPr="00C8550C" w:rsidTr="006A50B6">
        <w:trPr>
          <w:trHeight w:val="437"/>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 xml:space="preserve">    Male</w:t>
            </w:r>
          </w:p>
        </w:tc>
        <w:tc>
          <w:tcPr>
            <w:tcW w:w="2124"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51</w:t>
            </w:r>
            <w:r w:rsidR="007910B5" w:rsidRPr="00C8550C">
              <w:rPr>
                <w:rFonts w:ascii="Book Antiqua" w:hAnsi="Book Antiqua"/>
                <w:bCs/>
                <w:sz w:val="24"/>
                <w:szCs w:val="24"/>
              </w:rPr>
              <w:t xml:space="preserve"> </w:t>
            </w:r>
            <w:r w:rsidRPr="00C8550C">
              <w:rPr>
                <w:rFonts w:ascii="Book Antiqua" w:hAnsi="Book Antiqua"/>
                <w:bCs/>
                <w:sz w:val="24"/>
                <w:szCs w:val="24"/>
              </w:rPr>
              <w:t>(51.5</w:t>
            </w:r>
            <w:r w:rsidR="00835DED"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107</w:t>
            </w:r>
            <w:r w:rsidR="007910B5" w:rsidRPr="00C8550C">
              <w:rPr>
                <w:rFonts w:ascii="Book Antiqua" w:hAnsi="Book Antiqua"/>
                <w:bCs/>
                <w:sz w:val="24"/>
                <w:szCs w:val="24"/>
              </w:rPr>
              <w:t xml:space="preserve"> </w:t>
            </w:r>
            <w:r w:rsidRPr="00C8550C">
              <w:rPr>
                <w:rFonts w:ascii="Book Antiqua" w:hAnsi="Book Antiqua"/>
                <w:bCs/>
                <w:sz w:val="24"/>
                <w:szCs w:val="24"/>
              </w:rPr>
              <w:t>(82.9</w:t>
            </w:r>
            <w:r w:rsidR="00835DED"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&lt;</w:t>
            </w:r>
            <w:r w:rsidR="00D661A9" w:rsidRPr="00C8550C">
              <w:rPr>
                <w:rFonts w:ascii="Book Antiqua" w:hAnsi="Book Antiqua"/>
                <w:bCs/>
                <w:iCs/>
                <w:sz w:val="24"/>
                <w:szCs w:val="24"/>
              </w:rPr>
              <w:t xml:space="preserve"> </w:t>
            </w:r>
            <w:r w:rsidRPr="00C8550C">
              <w:rPr>
                <w:rFonts w:ascii="Book Antiqua" w:hAnsi="Book Antiqua"/>
                <w:bCs/>
                <w:iCs/>
                <w:sz w:val="24"/>
                <w:szCs w:val="24"/>
              </w:rPr>
              <w:t>0.001</w:t>
            </w:r>
          </w:p>
        </w:tc>
      </w:tr>
      <w:tr w:rsidR="00360BD3" w:rsidRPr="00C8550C" w:rsidTr="006A50B6">
        <w:trPr>
          <w:trHeight w:val="450"/>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 xml:space="preserve">    Female</w:t>
            </w:r>
          </w:p>
        </w:tc>
        <w:tc>
          <w:tcPr>
            <w:tcW w:w="2124"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48</w:t>
            </w:r>
            <w:r w:rsidR="007910B5" w:rsidRPr="00C8550C">
              <w:rPr>
                <w:rFonts w:ascii="Book Antiqua" w:hAnsi="Book Antiqua"/>
                <w:bCs/>
                <w:sz w:val="24"/>
                <w:szCs w:val="24"/>
              </w:rPr>
              <w:t xml:space="preserve"> </w:t>
            </w:r>
            <w:r w:rsidRPr="00C8550C">
              <w:rPr>
                <w:rFonts w:ascii="Book Antiqua" w:hAnsi="Book Antiqua"/>
                <w:bCs/>
                <w:sz w:val="24"/>
                <w:szCs w:val="24"/>
              </w:rPr>
              <w:t>(48.5</w:t>
            </w:r>
            <w:r w:rsidR="00835DED"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22</w:t>
            </w:r>
            <w:r w:rsidR="007910B5" w:rsidRPr="00C8550C">
              <w:rPr>
                <w:rFonts w:ascii="Book Antiqua" w:hAnsi="Book Antiqua"/>
                <w:bCs/>
                <w:sz w:val="24"/>
                <w:szCs w:val="24"/>
              </w:rPr>
              <w:t xml:space="preserve"> </w:t>
            </w:r>
            <w:r w:rsidRPr="00C8550C">
              <w:rPr>
                <w:rFonts w:ascii="Book Antiqua" w:hAnsi="Book Antiqua"/>
                <w:bCs/>
                <w:sz w:val="24"/>
                <w:szCs w:val="24"/>
              </w:rPr>
              <w:t>(17.1</w:t>
            </w:r>
            <w:r w:rsidR="00835DED"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w:t>
            </w:r>
          </w:p>
        </w:tc>
      </w:tr>
      <w:tr w:rsidR="00360BD3" w:rsidRPr="00C8550C" w:rsidTr="006A50B6">
        <w:trPr>
          <w:trHeight w:val="633"/>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Nodule size</w:t>
            </w:r>
            <w:r w:rsidR="00E2788D">
              <w:rPr>
                <w:rFonts w:ascii="Book Antiqua" w:hAnsi="Book Antiqua"/>
                <w:bCs/>
                <w:sz w:val="24"/>
                <w:szCs w:val="24"/>
              </w:rPr>
              <w:t>,</w:t>
            </w:r>
            <w:r w:rsidRPr="00C8550C">
              <w:rPr>
                <w:rFonts w:ascii="Book Antiqua" w:hAnsi="Book Antiqua"/>
                <w:bCs/>
                <w:sz w:val="24"/>
                <w:szCs w:val="24"/>
              </w:rPr>
              <w:t xml:space="preserve"> </w:t>
            </w:r>
            <w:r w:rsidR="00D3359D" w:rsidRPr="00C8550C">
              <w:rPr>
                <w:rFonts w:ascii="Book Antiqua" w:hAnsi="Book Antiqua"/>
                <w:bCs/>
                <w:sz w:val="24"/>
                <w:szCs w:val="24"/>
              </w:rPr>
              <w:t>m</w:t>
            </w:r>
            <w:r w:rsidRPr="00C8550C">
              <w:rPr>
                <w:rFonts w:ascii="Book Antiqua" w:hAnsi="Book Antiqua"/>
                <w:bCs/>
                <w:sz w:val="24"/>
                <w:szCs w:val="24"/>
              </w:rPr>
              <w:t>ean</w:t>
            </w:r>
            <w:r w:rsidR="007910B5" w:rsidRPr="00C8550C">
              <w:rPr>
                <w:rFonts w:ascii="Book Antiqua" w:hAnsi="Book Antiqua"/>
                <w:bCs/>
                <w:sz w:val="24"/>
                <w:szCs w:val="24"/>
              </w:rPr>
              <w:t xml:space="preserve"> </w:t>
            </w:r>
            <w:r w:rsidRPr="00C8550C">
              <w:rPr>
                <w:rFonts w:ascii="Book Antiqua" w:hAnsi="Book Antiqua"/>
                <w:bCs/>
                <w:sz w:val="24"/>
                <w:szCs w:val="24"/>
              </w:rPr>
              <w:t>±</w:t>
            </w:r>
            <w:r w:rsidR="007910B5" w:rsidRPr="00C8550C">
              <w:rPr>
                <w:rFonts w:ascii="Book Antiqua" w:hAnsi="Book Antiqua"/>
                <w:bCs/>
                <w:sz w:val="24"/>
                <w:szCs w:val="24"/>
              </w:rPr>
              <w:t xml:space="preserve"> </w:t>
            </w:r>
            <w:r w:rsidRPr="00C8550C">
              <w:rPr>
                <w:rFonts w:ascii="Book Antiqua" w:hAnsi="Book Antiqua"/>
                <w:bCs/>
                <w:sz w:val="24"/>
                <w:szCs w:val="24"/>
              </w:rPr>
              <w:t>SD</w:t>
            </w:r>
            <w:r w:rsidR="00D3359D" w:rsidRPr="00C8550C">
              <w:rPr>
                <w:rFonts w:ascii="Book Antiqua" w:hAnsi="Book Antiqua"/>
                <w:bCs/>
                <w:sz w:val="24"/>
                <w:szCs w:val="24"/>
              </w:rPr>
              <w:t>,</w:t>
            </w:r>
            <w:r w:rsidRPr="00C8550C">
              <w:rPr>
                <w:rFonts w:ascii="Book Antiqua" w:hAnsi="Book Antiqua"/>
                <w:bCs/>
                <w:sz w:val="24"/>
                <w:szCs w:val="24"/>
              </w:rPr>
              <w:t xml:space="preserve"> (</w:t>
            </w:r>
            <w:r w:rsidR="00D3359D" w:rsidRPr="00C8550C">
              <w:rPr>
                <w:rFonts w:ascii="Book Antiqua" w:hAnsi="Book Antiqua"/>
                <w:bCs/>
                <w:sz w:val="24"/>
                <w:szCs w:val="24"/>
              </w:rPr>
              <w:t>r</w:t>
            </w:r>
            <w:r w:rsidRPr="00C8550C">
              <w:rPr>
                <w:rFonts w:ascii="Book Antiqua" w:hAnsi="Book Antiqua"/>
                <w:bCs/>
                <w:sz w:val="24"/>
                <w:szCs w:val="24"/>
              </w:rPr>
              <w:t>ange), cm</w:t>
            </w:r>
          </w:p>
          <w:p w:rsidR="00835DED" w:rsidRPr="00C8550C" w:rsidRDefault="00835DED" w:rsidP="007910B5">
            <w:pPr>
              <w:adjustRightInd w:val="0"/>
              <w:snapToGrid w:val="0"/>
              <w:spacing w:after="0" w:line="360" w:lineRule="auto"/>
              <w:rPr>
                <w:rFonts w:ascii="Book Antiqua" w:hAnsi="Book Antiqua"/>
                <w:bCs/>
                <w:sz w:val="24"/>
                <w:szCs w:val="24"/>
              </w:rPr>
            </w:pPr>
          </w:p>
        </w:tc>
        <w:tc>
          <w:tcPr>
            <w:tcW w:w="2124" w:type="dxa"/>
          </w:tcPr>
          <w:p w:rsidR="00835DED" w:rsidRPr="00C8550C" w:rsidRDefault="00D661A9"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6.3</w:t>
            </w:r>
            <w:r w:rsidR="007910B5" w:rsidRPr="00C8550C">
              <w:rPr>
                <w:rFonts w:ascii="Book Antiqua" w:hAnsi="Book Antiqua"/>
                <w:bCs/>
                <w:sz w:val="24"/>
                <w:szCs w:val="24"/>
              </w:rPr>
              <w:t xml:space="preserve"> </w:t>
            </w:r>
            <w:r w:rsidRPr="00C8550C">
              <w:rPr>
                <w:rFonts w:ascii="Book Antiqua" w:hAnsi="Book Antiqua"/>
                <w:bCs/>
                <w:sz w:val="24"/>
                <w:szCs w:val="24"/>
              </w:rPr>
              <w:t>±</w:t>
            </w:r>
            <w:r w:rsidR="007910B5" w:rsidRPr="00C8550C">
              <w:rPr>
                <w:rFonts w:ascii="Book Antiqua" w:hAnsi="Book Antiqua"/>
                <w:bCs/>
                <w:sz w:val="24"/>
                <w:szCs w:val="24"/>
              </w:rPr>
              <w:t xml:space="preserve"> </w:t>
            </w:r>
            <w:r w:rsidR="00835DED" w:rsidRPr="00C8550C">
              <w:rPr>
                <w:rFonts w:ascii="Book Antiqua" w:hAnsi="Book Antiqua"/>
                <w:bCs/>
                <w:sz w:val="24"/>
                <w:szCs w:val="24"/>
              </w:rPr>
              <w:t>2.8</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(5.7-6.8)</w:t>
            </w:r>
          </w:p>
        </w:tc>
        <w:tc>
          <w:tcPr>
            <w:tcW w:w="2125" w:type="dxa"/>
          </w:tcPr>
          <w:p w:rsidR="00835DED" w:rsidRPr="00C8550C" w:rsidRDefault="00D661A9"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5.5</w:t>
            </w:r>
            <w:r w:rsidR="007910B5" w:rsidRPr="00C8550C">
              <w:rPr>
                <w:rFonts w:ascii="Book Antiqua" w:hAnsi="Book Antiqua"/>
                <w:bCs/>
                <w:sz w:val="24"/>
                <w:szCs w:val="24"/>
              </w:rPr>
              <w:t xml:space="preserve"> </w:t>
            </w:r>
            <w:r w:rsidRPr="00C8550C">
              <w:rPr>
                <w:rFonts w:ascii="Book Antiqua" w:hAnsi="Book Antiqua"/>
                <w:bCs/>
                <w:sz w:val="24"/>
                <w:szCs w:val="24"/>
              </w:rPr>
              <w:t>±</w:t>
            </w:r>
            <w:r w:rsidR="007910B5" w:rsidRPr="00C8550C">
              <w:rPr>
                <w:rFonts w:ascii="Book Antiqua" w:hAnsi="Book Antiqua"/>
                <w:bCs/>
                <w:sz w:val="24"/>
                <w:szCs w:val="24"/>
              </w:rPr>
              <w:t xml:space="preserve"> </w:t>
            </w:r>
            <w:r w:rsidR="00835DED" w:rsidRPr="00C8550C">
              <w:rPr>
                <w:rFonts w:ascii="Book Antiqua" w:hAnsi="Book Antiqua"/>
                <w:bCs/>
                <w:sz w:val="24"/>
                <w:szCs w:val="24"/>
              </w:rPr>
              <w:t>3.5</w:t>
            </w:r>
          </w:p>
          <w:p w:rsidR="00835DED" w:rsidRPr="00C8550C" w:rsidRDefault="00D661A9"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(4.9</w:t>
            </w:r>
            <w:r w:rsidR="00835DED" w:rsidRPr="00C8550C">
              <w:rPr>
                <w:rFonts w:ascii="Book Antiqua" w:hAnsi="Book Antiqua"/>
                <w:bCs/>
                <w:sz w:val="24"/>
                <w:szCs w:val="24"/>
              </w:rPr>
              <w:t>-6.1)</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0.03</w:t>
            </w:r>
          </w:p>
        </w:tc>
      </w:tr>
      <w:tr w:rsidR="00360BD3" w:rsidRPr="00C8550C" w:rsidTr="006A50B6">
        <w:trPr>
          <w:trHeight w:val="633"/>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Intrahepatic bile duct dilatation</w:t>
            </w:r>
          </w:p>
        </w:tc>
        <w:tc>
          <w:tcPr>
            <w:tcW w:w="2124"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17</w:t>
            </w:r>
            <w:r w:rsidR="007910B5" w:rsidRPr="00C8550C">
              <w:rPr>
                <w:rFonts w:ascii="Book Antiqua" w:hAnsi="Book Antiqua"/>
                <w:bCs/>
                <w:sz w:val="24"/>
                <w:szCs w:val="24"/>
              </w:rPr>
              <w:t xml:space="preserve"> </w:t>
            </w:r>
            <w:r w:rsidRPr="00C8550C">
              <w:rPr>
                <w:rFonts w:ascii="Book Antiqua" w:hAnsi="Book Antiqua"/>
                <w:bCs/>
                <w:sz w:val="24"/>
                <w:szCs w:val="24"/>
              </w:rPr>
              <w:t>(17.2</w:t>
            </w:r>
            <w:r w:rsidR="00835DED"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w:t>
            </w:r>
            <w:r w:rsidR="007910B5" w:rsidRPr="00C8550C">
              <w:rPr>
                <w:rFonts w:ascii="Book Antiqua" w:hAnsi="Book Antiqua"/>
                <w:bCs/>
                <w:sz w:val="24"/>
                <w:szCs w:val="24"/>
              </w:rPr>
              <w:t xml:space="preserve"> </w:t>
            </w:r>
            <w:r w:rsidRPr="00C8550C">
              <w:rPr>
                <w:rFonts w:ascii="Book Antiqua" w:hAnsi="Book Antiqua"/>
                <w:bCs/>
                <w:sz w:val="24"/>
                <w:szCs w:val="24"/>
              </w:rPr>
              <w:t>(2.3</w:t>
            </w:r>
            <w:r w:rsidR="00835DED"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0.001</w:t>
            </w:r>
          </w:p>
        </w:tc>
      </w:tr>
      <w:tr w:rsidR="00360BD3" w:rsidRPr="00C8550C" w:rsidTr="006A50B6">
        <w:trPr>
          <w:trHeight w:val="633"/>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CA 19-9 (U/</w:t>
            </w:r>
            <w:r w:rsidR="00443EB6" w:rsidRPr="00C8550C">
              <w:rPr>
                <w:rFonts w:ascii="Book Antiqua" w:hAnsi="Book Antiqua"/>
                <w:bCs/>
                <w:sz w:val="24"/>
                <w:szCs w:val="24"/>
              </w:rPr>
              <w:t>mL</w:t>
            </w:r>
            <w:r w:rsidRPr="00C8550C">
              <w:rPr>
                <w:rFonts w:ascii="Book Antiqua" w:hAnsi="Book Antiqua"/>
                <w:bCs/>
                <w:sz w:val="24"/>
                <w:szCs w:val="24"/>
              </w:rPr>
              <w:t>)</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74.0</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(41.9-136.5)</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18.8</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(16.0-22.0)</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&lt;</w:t>
            </w:r>
            <w:r w:rsidR="00D661A9" w:rsidRPr="00C8550C">
              <w:rPr>
                <w:rFonts w:ascii="Book Antiqua" w:hAnsi="Book Antiqua"/>
                <w:bCs/>
                <w:iCs/>
                <w:sz w:val="24"/>
                <w:szCs w:val="24"/>
              </w:rPr>
              <w:t xml:space="preserve"> </w:t>
            </w:r>
            <w:r w:rsidRPr="00C8550C">
              <w:rPr>
                <w:rFonts w:ascii="Book Antiqua" w:hAnsi="Book Antiqua"/>
                <w:bCs/>
                <w:iCs/>
                <w:sz w:val="24"/>
                <w:szCs w:val="24"/>
              </w:rPr>
              <w:t>0.001</w:t>
            </w:r>
          </w:p>
        </w:tc>
      </w:tr>
      <w:tr w:rsidR="00360BD3" w:rsidRPr="00C8550C" w:rsidTr="006A50B6">
        <w:trPr>
          <w:trHeight w:val="633"/>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AFP (ng/mL)</w:t>
            </w:r>
          </w:p>
          <w:p w:rsidR="00835DED" w:rsidRPr="00C8550C" w:rsidRDefault="00835DED" w:rsidP="007910B5">
            <w:pPr>
              <w:adjustRightInd w:val="0"/>
              <w:snapToGrid w:val="0"/>
              <w:spacing w:after="0" w:line="360" w:lineRule="auto"/>
              <w:rPr>
                <w:rFonts w:ascii="Book Antiqua" w:hAnsi="Book Antiqua"/>
                <w:bCs/>
                <w:sz w:val="24"/>
                <w:szCs w:val="24"/>
              </w:rPr>
            </w:pP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3.0</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(2.7-3.5)</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67.3</w:t>
            </w:r>
          </w:p>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(18.0-146.7)</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&lt;</w:t>
            </w:r>
            <w:r w:rsidR="00D661A9" w:rsidRPr="00C8550C">
              <w:rPr>
                <w:rFonts w:ascii="Book Antiqua" w:hAnsi="Book Antiqua"/>
                <w:bCs/>
                <w:iCs/>
                <w:sz w:val="24"/>
                <w:szCs w:val="24"/>
              </w:rPr>
              <w:t xml:space="preserve"> </w:t>
            </w:r>
            <w:r w:rsidRPr="00C8550C">
              <w:rPr>
                <w:rFonts w:ascii="Book Antiqua" w:hAnsi="Book Antiqua"/>
                <w:bCs/>
                <w:iCs/>
                <w:sz w:val="24"/>
                <w:szCs w:val="24"/>
              </w:rPr>
              <w:t>0.001</w:t>
            </w:r>
          </w:p>
        </w:tc>
      </w:tr>
      <w:tr w:rsidR="00360BD3" w:rsidRPr="00C8550C" w:rsidTr="006A50B6">
        <w:trPr>
          <w:trHeight w:val="184"/>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Etiology</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p>
        </w:tc>
      </w:tr>
      <w:tr w:rsidR="00360BD3" w:rsidRPr="00C8550C" w:rsidTr="006A50B6">
        <w:trPr>
          <w:trHeight w:val="195"/>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HBV</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20</w:t>
            </w:r>
            <w:r w:rsidR="007910B5" w:rsidRPr="00C8550C">
              <w:rPr>
                <w:rFonts w:ascii="Book Antiqua" w:hAnsi="Book Antiqua"/>
                <w:bCs/>
                <w:sz w:val="24"/>
                <w:szCs w:val="24"/>
              </w:rPr>
              <w:t xml:space="preserve"> </w:t>
            </w:r>
            <w:r w:rsidR="00865E2E" w:rsidRPr="00C8550C">
              <w:rPr>
                <w:rFonts w:ascii="Book Antiqua" w:hAnsi="Book Antiqua"/>
                <w:bCs/>
                <w:sz w:val="24"/>
                <w:szCs w:val="24"/>
              </w:rPr>
              <w:t>(20.2</w:t>
            </w:r>
            <w:r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114</w:t>
            </w:r>
            <w:r w:rsidR="007910B5" w:rsidRPr="00C8550C">
              <w:rPr>
                <w:rFonts w:ascii="Book Antiqua" w:hAnsi="Book Antiqua"/>
                <w:bCs/>
                <w:sz w:val="24"/>
                <w:szCs w:val="24"/>
              </w:rPr>
              <w:t xml:space="preserve"> </w:t>
            </w:r>
            <w:r w:rsidRPr="00C8550C">
              <w:rPr>
                <w:rFonts w:ascii="Book Antiqua" w:hAnsi="Book Antiqua"/>
                <w:bCs/>
                <w:sz w:val="24"/>
                <w:szCs w:val="24"/>
              </w:rPr>
              <w:t>(88.4</w:t>
            </w:r>
            <w:r w:rsidR="00835DED"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&lt;</w:t>
            </w:r>
            <w:r w:rsidR="00D661A9" w:rsidRPr="00C8550C">
              <w:rPr>
                <w:rFonts w:ascii="Book Antiqua" w:hAnsi="Book Antiqua"/>
                <w:bCs/>
                <w:iCs/>
                <w:sz w:val="24"/>
                <w:szCs w:val="24"/>
              </w:rPr>
              <w:t xml:space="preserve"> </w:t>
            </w:r>
            <w:r w:rsidRPr="00C8550C">
              <w:rPr>
                <w:rFonts w:ascii="Book Antiqua" w:hAnsi="Book Antiqua"/>
                <w:bCs/>
                <w:iCs/>
                <w:sz w:val="24"/>
                <w:szCs w:val="24"/>
              </w:rPr>
              <w:t>0.001</w:t>
            </w:r>
          </w:p>
        </w:tc>
      </w:tr>
      <w:tr w:rsidR="00360BD3" w:rsidRPr="00C8550C" w:rsidTr="006A50B6">
        <w:trPr>
          <w:trHeight w:val="195"/>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HCV</w:t>
            </w:r>
          </w:p>
        </w:tc>
        <w:tc>
          <w:tcPr>
            <w:tcW w:w="2124"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w:t>
            </w:r>
            <w:r w:rsidR="007910B5" w:rsidRPr="00C8550C">
              <w:rPr>
                <w:rFonts w:ascii="Book Antiqua" w:hAnsi="Book Antiqua"/>
                <w:bCs/>
                <w:sz w:val="24"/>
                <w:szCs w:val="24"/>
              </w:rPr>
              <w:t xml:space="preserve"> </w:t>
            </w:r>
            <w:r w:rsidRPr="00C8550C">
              <w:rPr>
                <w:rFonts w:ascii="Book Antiqua" w:hAnsi="Book Antiqua"/>
                <w:bCs/>
                <w:sz w:val="24"/>
                <w:szCs w:val="24"/>
              </w:rPr>
              <w:t>(1</w:t>
            </w:r>
            <w:r w:rsidR="00835DED"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w:t>
            </w:r>
            <w:r w:rsidR="007910B5" w:rsidRPr="00C8550C">
              <w:rPr>
                <w:rFonts w:ascii="Book Antiqua" w:hAnsi="Book Antiqua"/>
                <w:bCs/>
                <w:sz w:val="24"/>
                <w:szCs w:val="24"/>
              </w:rPr>
              <w:t xml:space="preserve"> </w:t>
            </w:r>
            <w:r w:rsidRPr="00C8550C">
              <w:rPr>
                <w:rFonts w:ascii="Book Antiqua" w:hAnsi="Book Antiqua"/>
                <w:bCs/>
                <w:sz w:val="24"/>
                <w:szCs w:val="24"/>
              </w:rPr>
              <w:t>(1.5</w:t>
            </w:r>
            <w:r w:rsidR="00835DED"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&gt;</w:t>
            </w:r>
            <w:r w:rsidR="00D661A9" w:rsidRPr="00C8550C">
              <w:rPr>
                <w:rFonts w:ascii="Book Antiqua" w:hAnsi="Book Antiqua"/>
                <w:bCs/>
                <w:iCs/>
                <w:sz w:val="24"/>
                <w:szCs w:val="24"/>
              </w:rPr>
              <w:t xml:space="preserve"> </w:t>
            </w:r>
            <w:r w:rsidRPr="00C8550C">
              <w:rPr>
                <w:rFonts w:ascii="Book Antiqua" w:hAnsi="Book Antiqua"/>
                <w:bCs/>
                <w:iCs/>
                <w:sz w:val="24"/>
                <w:szCs w:val="24"/>
              </w:rPr>
              <w:t>0.05</w:t>
            </w:r>
          </w:p>
        </w:tc>
      </w:tr>
      <w:tr w:rsidR="00360BD3" w:rsidRPr="00C8550C" w:rsidTr="006A50B6">
        <w:trPr>
          <w:trHeight w:val="195"/>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Intrahepatic cholelithiasis</w:t>
            </w:r>
          </w:p>
        </w:tc>
        <w:tc>
          <w:tcPr>
            <w:tcW w:w="2124"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w:t>
            </w:r>
            <w:r w:rsidR="007910B5" w:rsidRPr="00C8550C">
              <w:rPr>
                <w:rFonts w:ascii="Book Antiqua" w:hAnsi="Book Antiqua"/>
                <w:bCs/>
                <w:sz w:val="24"/>
                <w:szCs w:val="24"/>
              </w:rPr>
              <w:t xml:space="preserve"> </w:t>
            </w:r>
            <w:r w:rsidRPr="00C8550C">
              <w:rPr>
                <w:rFonts w:ascii="Book Antiqua" w:hAnsi="Book Antiqua"/>
                <w:bCs/>
                <w:sz w:val="24"/>
                <w:szCs w:val="24"/>
              </w:rPr>
              <w:t>(4</w:t>
            </w:r>
            <w:r w:rsidR="00835DED"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r w:rsidR="007910B5" w:rsidRPr="00C8550C">
              <w:rPr>
                <w:rFonts w:ascii="Book Antiqua" w:hAnsi="Book Antiqua"/>
                <w:bCs/>
                <w:sz w:val="24"/>
                <w:szCs w:val="24"/>
              </w:rPr>
              <w:t xml:space="preserve"> </w:t>
            </w:r>
            <w:r w:rsidRPr="00C8550C">
              <w:rPr>
                <w:rFonts w:ascii="Book Antiqua" w:hAnsi="Book Antiqua"/>
                <w:bCs/>
                <w:sz w:val="24"/>
                <w:szCs w:val="24"/>
              </w:rPr>
              <w:t>(0</w:t>
            </w:r>
            <w:r w:rsidR="00835DED" w:rsidRPr="00C8550C">
              <w:rPr>
                <w:rFonts w:ascii="Book Antiqua" w:hAnsi="Book Antiqua"/>
                <w:bCs/>
                <w:sz w:val="24"/>
                <w:szCs w:val="24"/>
              </w:rPr>
              <w:t>)</w:t>
            </w:r>
          </w:p>
        </w:tc>
        <w:tc>
          <w:tcPr>
            <w:tcW w:w="1517" w:type="dxa"/>
          </w:tcPr>
          <w:p w:rsidR="00835DED" w:rsidRPr="00C8550C" w:rsidRDefault="00D661A9"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 xml:space="preserve">&gt; </w:t>
            </w:r>
            <w:r w:rsidR="00835DED" w:rsidRPr="00C8550C">
              <w:rPr>
                <w:rFonts w:ascii="Book Antiqua" w:hAnsi="Book Antiqua"/>
                <w:bCs/>
                <w:iCs/>
                <w:sz w:val="24"/>
                <w:szCs w:val="24"/>
              </w:rPr>
              <w:t>0.05</w:t>
            </w:r>
          </w:p>
        </w:tc>
      </w:tr>
      <w:tr w:rsidR="00360BD3" w:rsidRPr="00C8550C" w:rsidTr="006A50B6">
        <w:trPr>
          <w:trHeight w:val="195"/>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Fatty liver</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w:t>
            </w:r>
            <w:r w:rsidR="007910B5" w:rsidRPr="00C8550C">
              <w:rPr>
                <w:rFonts w:ascii="Book Antiqua" w:hAnsi="Book Antiqua"/>
                <w:bCs/>
                <w:sz w:val="24"/>
                <w:szCs w:val="24"/>
              </w:rPr>
              <w:t xml:space="preserve"> </w:t>
            </w:r>
            <w:r w:rsidRPr="00C8550C">
              <w:rPr>
                <w:rFonts w:ascii="Book Antiqua" w:hAnsi="Book Antiqua"/>
                <w:bCs/>
                <w:sz w:val="24"/>
                <w:szCs w:val="24"/>
              </w:rPr>
              <w:t>(3.9</w:t>
            </w:r>
            <w:r w:rsidR="00835DED" w:rsidRPr="00C8550C">
              <w:rPr>
                <w:rFonts w:ascii="Book Antiqua" w:hAnsi="Book Antiqua"/>
                <w:bCs/>
                <w:sz w:val="24"/>
                <w:szCs w:val="24"/>
              </w:rPr>
              <w:t>)</w:t>
            </w:r>
          </w:p>
        </w:tc>
        <w:tc>
          <w:tcPr>
            <w:tcW w:w="1517" w:type="dxa"/>
          </w:tcPr>
          <w:p w:rsidR="00835DED" w:rsidRPr="00C8550C" w:rsidRDefault="00D661A9"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 xml:space="preserve">&gt; </w:t>
            </w:r>
            <w:r w:rsidR="00835DED" w:rsidRPr="00C8550C">
              <w:rPr>
                <w:rFonts w:ascii="Book Antiqua" w:hAnsi="Book Antiqua"/>
                <w:bCs/>
                <w:iCs/>
                <w:sz w:val="24"/>
                <w:szCs w:val="24"/>
              </w:rPr>
              <w:t>0.05</w:t>
            </w:r>
          </w:p>
        </w:tc>
      </w:tr>
      <w:tr w:rsidR="00360BD3" w:rsidRPr="00C8550C" w:rsidTr="006A50B6">
        <w:trPr>
          <w:trHeight w:val="195"/>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Unknown</w:t>
            </w:r>
          </w:p>
        </w:tc>
        <w:tc>
          <w:tcPr>
            <w:tcW w:w="2124"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74</w:t>
            </w:r>
            <w:r w:rsidR="007910B5" w:rsidRPr="00C8550C">
              <w:rPr>
                <w:rFonts w:ascii="Book Antiqua" w:hAnsi="Book Antiqua"/>
                <w:bCs/>
                <w:sz w:val="24"/>
                <w:szCs w:val="24"/>
              </w:rPr>
              <w:t xml:space="preserve"> </w:t>
            </w:r>
            <w:r w:rsidRPr="00C8550C">
              <w:rPr>
                <w:rFonts w:ascii="Book Antiqua" w:hAnsi="Book Antiqua"/>
                <w:bCs/>
                <w:sz w:val="24"/>
                <w:szCs w:val="24"/>
              </w:rPr>
              <w:t>(74.7</w:t>
            </w:r>
            <w:r w:rsidR="00835DED" w:rsidRPr="00C8550C">
              <w:rPr>
                <w:rFonts w:ascii="Book Antiqua" w:hAnsi="Book Antiqua"/>
                <w:bCs/>
                <w:sz w:val="24"/>
                <w:szCs w:val="24"/>
              </w:rPr>
              <w:t>)</w:t>
            </w:r>
          </w:p>
        </w:tc>
        <w:tc>
          <w:tcPr>
            <w:tcW w:w="2125" w:type="dxa"/>
          </w:tcPr>
          <w:p w:rsidR="00835DED" w:rsidRPr="00C8550C" w:rsidRDefault="00865E2E"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w:t>
            </w:r>
            <w:r w:rsidR="007910B5" w:rsidRPr="00C8550C">
              <w:rPr>
                <w:rFonts w:ascii="Book Antiqua" w:hAnsi="Book Antiqua"/>
                <w:bCs/>
                <w:sz w:val="24"/>
                <w:szCs w:val="24"/>
              </w:rPr>
              <w:t xml:space="preserve"> </w:t>
            </w:r>
            <w:r w:rsidRPr="00C8550C">
              <w:rPr>
                <w:rFonts w:ascii="Book Antiqua" w:hAnsi="Book Antiqua"/>
                <w:bCs/>
                <w:sz w:val="24"/>
                <w:szCs w:val="24"/>
              </w:rPr>
              <w:t>(1.5</w:t>
            </w:r>
            <w:r w:rsidR="00835DED"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&lt;</w:t>
            </w:r>
            <w:r w:rsidR="00D661A9" w:rsidRPr="00C8550C">
              <w:rPr>
                <w:rFonts w:ascii="Book Antiqua" w:hAnsi="Book Antiqua"/>
                <w:bCs/>
                <w:iCs/>
                <w:sz w:val="24"/>
                <w:szCs w:val="24"/>
              </w:rPr>
              <w:t xml:space="preserve"> </w:t>
            </w:r>
            <w:r w:rsidRPr="00C8550C">
              <w:rPr>
                <w:rFonts w:ascii="Book Antiqua" w:hAnsi="Book Antiqua"/>
                <w:bCs/>
                <w:iCs/>
                <w:sz w:val="24"/>
                <w:szCs w:val="24"/>
              </w:rPr>
              <w:t>0.001</w:t>
            </w:r>
          </w:p>
        </w:tc>
      </w:tr>
      <w:tr w:rsidR="00360BD3" w:rsidRPr="00C8550C" w:rsidTr="006A50B6">
        <w:trPr>
          <w:trHeight w:val="217"/>
        </w:trPr>
        <w:tc>
          <w:tcPr>
            <w:tcW w:w="4063" w:type="dxa"/>
          </w:tcPr>
          <w:p w:rsidR="00835DED" w:rsidRPr="00C8550C" w:rsidRDefault="00835DED" w:rsidP="000E328D">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Fibrosis stage</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p>
        </w:tc>
      </w:tr>
      <w:tr w:rsidR="00360BD3" w:rsidRPr="00C8550C" w:rsidTr="006A50B6">
        <w:trPr>
          <w:trHeight w:val="217"/>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S1</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w:t>
            </w:r>
            <w:r w:rsidR="007910B5" w:rsidRPr="00C8550C">
              <w:rPr>
                <w:rFonts w:ascii="Book Antiqua" w:hAnsi="Book Antiqua"/>
                <w:bCs/>
                <w:sz w:val="24"/>
                <w:szCs w:val="24"/>
              </w:rPr>
              <w:t xml:space="preserve"> </w:t>
            </w:r>
            <w:r w:rsidR="00670802" w:rsidRPr="00C8550C">
              <w:rPr>
                <w:rFonts w:ascii="Book Antiqua" w:hAnsi="Book Antiqua"/>
                <w:bCs/>
                <w:sz w:val="24"/>
                <w:szCs w:val="24"/>
              </w:rPr>
              <w:t>(3</w:t>
            </w:r>
            <w:r w:rsidRPr="00C8550C">
              <w:rPr>
                <w:rFonts w:ascii="Book Antiqua" w:hAnsi="Book Antiqua"/>
                <w:bCs/>
                <w:sz w:val="24"/>
                <w:szCs w:val="24"/>
              </w:rPr>
              <w:t>)</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w:t>
            </w:r>
            <w:r w:rsidR="007910B5" w:rsidRPr="00C8550C">
              <w:rPr>
                <w:rFonts w:ascii="Book Antiqua" w:hAnsi="Book Antiqua"/>
                <w:bCs/>
                <w:sz w:val="24"/>
                <w:szCs w:val="24"/>
              </w:rPr>
              <w:t xml:space="preserve"> </w:t>
            </w:r>
            <w:r w:rsidR="00670802" w:rsidRPr="00C8550C">
              <w:rPr>
                <w:rFonts w:ascii="Book Antiqua" w:hAnsi="Book Antiqua"/>
                <w:bCs/>
                <w:sz w:val="24"/>
                <w:szCs w:val="24"/>
              </w:rPr>
              <w:t>(3.1</w:t>
            </w:r>
            <w:r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 xml:space="preserve"> &gt;</w:t>
            </w:r>
            <w:r w:rsidR="00D661A9" w:rsidRPr="00C8550C">
              <w:rPr>
                <w:rFonts w:ascii="Book Antiqua" w:hAnsi="Book Antiqua"/>
                <w:bCs/>
                <w:iCs/>
                <w:sz w:val="24"/>
                <w:szCs w:val="24"/>
              </w:rPr>
              <w:t xml:space="preserve"> </w:t>
            </w:r>
            <w:r w:rsidRPr="00C8550C">
              <w:rPr>
                <w:rFonts w:ascii="Book Antiqua" w:hAnsi="Book Antiqua"/>
                <w:bCs/>
                <w:iCs/>
                <w:sz w:val="24"/>
                <w:szCs w:val="24"/>
              </w:rPr>
              <w:t>0.05</w:t>
            </w:r>
          </w:p>
        </w:tc>
      </w:tr>
      <w:tr w:rsidR="00360BD3" w:rsidRPr="00C8550C" w:rsidTr="006A50B6">
        <w:trPr>
          <w:trHeight w:val="217"/>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S2</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w:t>
            </w:r>
            <w:r w:rsidR="007910B5" w:rsidRPr="00C8550C">
              <w:rPr>
                <w:rFonts w:ascii="Book Antiqua" w:hAnsi="Book Antiqua"/>
                <w:bCs/>
                <w:sz w:val="24"/>
                <w:szCs w:val="24"/>
              </w:rPr>
              <w:t xml:space="preserve"> </w:t>
            </w:r>
            <w:r w:rsidR="00670802" w:rsidRPr="00C8550C">
              <w:rPr>
                <w:rFonts w:ascii="Book Antiqua" w:hAnsi="Book Antiqua"/>
                <w:bCs/>
                <w:sz w:val="24"/>
                <w:szCs w:val="24"/>
              </w:rPr>
              <w:t>(7.1</w:t>
            </w:r>
            <w:r w:rsidRPr="00C8550C">
              <w:rPr>
                <w:rFonts w:ascii="Book Antiqua" w:hAnsi="Book Antiqua"/>
                <w:bCs/>
                <w:sz w:val="24"/>
                <w:szCs w:val="24"/>
              </w:rPr>
              <w:t>)</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16</w:t>
            </w:r>
            <w:r w:rsidR="007910B5" w:rsidRPr="00C8550C">
              <w:rPr>
                <w:rFonts w:ascii="Book Antiqua" w:hAnsi="Book Antiqua"/>
                <w:bCs/>
                <w:sz w:val="24"/>
                <w:szCs w:val="24"/>
              </w:rPr>
              <w:t xml:space="preserve"> </w:t>
            </w:r>
            <w:r w:rsidR="00670802" w:rsidRPr="00C8550C">
              <w:rPr>
                <w:rFonts w:ascii="Book Antiqua" w:hAnsi="Book Antiqua"/>
                <w:bCs/>
                <w:sz w:val="24"/>
                <w:szCs w:val="24"/>
              </w:rPr>
              <w:t>(12.4</w:t>
            </w:r>
            <w:r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 xml:space="preserve"> &gt;</w:t>
            </w:r>
            <w:r w:rsidR="00D661A9" w:rsidRPr="00C8550C">
              <w:rPr>
                <w:rFonts w:ascii="Book Antiqua" w:hAnsi="Book Antiqua"/>
                <w:bCs/>
                <w:iCs/>
                <w:sz w:val="24"/>
                <w:szCs w:val="24"/>
              </w:rPr>
              <w:t xml:space="preserve"> </w:t>
            </w:r>
            <w:r w:rsidRPr="00C8550C">
              <w:rPr>
                <w:rFonts w:ascii="Book Antiqua" w:hAnsi="Book Antiqua"/>
                <w:bCs/>
                <w:iCs/>
                <w:sz w:val="24"/>
                <w:szCs w:val="24"/>
              </w:rPr>
              <w:t>0.05</w:t>
            </w:r>
          </w:p>
        </w:tc>
      </w:tr>
      <w:tr w:rsidR="00360BD3" w:rsidRPr="00C8550C" w:rsidTr="006A50B6">
        <w:trPr>
          <w:trHeight w:val="217"/>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S3</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w:t>
            </w:r>
            <w:r w:rsidR="007910B5" w:rsidRPr="00C8550C">
              <w:rPr>
                <w:rFonts w:ascii="Book Antiqua" w:hAnsi="Book Antiqua"/>
                <w:bCs/>
                <w:sz w:val="24"/>
                <w:szCs w:val="24"/>
              </w:rPr>
              <w:t xml:space="preserve"> </w:t>
            </w:r>
            <w:r w:rsidR="00670802" w:rsidRPr="00C8550C">
              <w:rPr>
                <w:rFonts w:ascii="Book Antiqua" w:hAnsi="Book Antiqua"/>
                <w:bCs/>
                <w:sz w:val="24"/>
                <w:szCs w:val="24"/>
              </w:rPr>
              <w:t>(4</w:t>
            </w:r>
            <w:r w:rsidRPr="00C8550C">
              <w:rPr>
                <w:rFonts w:ascii="Book Antiqua" w:hAnsi="Book Antiqua"/>
                <w:bCs/>
                <w:sz w:val="24"/>
                <w:szCs w:val="24"/>
              </w:rPr>
              <w:t>)</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20</w:t>
            </w:r>
            <w:r w:rsidR="007910B5" w:rsidRPr="00C8550C">
              <w:rPr>
                <w:rFonts w:ascii="Book Antiqua" w:hAnsi="Book Antiqua"/>
                <w:bCs/>
                <w:sz w:val="24"/>
                <w:szCs w:val="24"/>
              </w:rPr>
              <w:t xml:space="preserve"> </w:t>
            </w:r>
            <w:r w:rsidR="00670802" w:rsidRPr="00C8550C">
              <w:rPr>
                <w:rFonts w:ascii="Book Antiqua" w:hAnsi="Book Antiqua"/>
                <w:bCs/>
                <w:sz w:val="24"/>
                <w:szCs w:val="24"/>
              </w:rPr>
              <w:t>(15.5</w:t>
            </w:r>
            <w:r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0.009</w:t>
            </w:r>
          </w:p>
        </w:tc>
      </w:tr>
      <w:tr w:rsidR="00360BD3" w:rsidRPr="00C8550C" w:rsidTr="006A50B6">
        <w:trPr>
          <w:trHeight w:val="217"/>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S4</w:t>
            </w:r>
          </w:p>
        </w:tc>
        <w:tc>
          <w:tcPr>
            <w:tcW w:w="2124"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w:t>
            </w:r>
            <w:r w:rsidR="007910B5" w:rsidRPr="00C8550C">
              <w:rPr>
                <w:rFonts w:ascii="Book Antiqua" w:hAnsi="Book Antiqua"/>
                <w:bCs/>
                <w:sz w:val="24"/>
                <w:szCs w:val="24"/>
              </w:rPr>
              <w:t xml:space="preserve"> </w:t>
            </w:r>
            <w:r w:rsidR="00670802" w:rsidRPr="00C8550C">
              <w:rPr>
                <w:rFonts w:ascii="Book Antiqua" w:hAnsi="Book Antiqua"/>
                <w:bCs/>
                <w:sz w:val="24"/>
                <w:szCs w:val="24"/>
              </w:rPr>
              <w:t>(2</w:t>
            </w:r>
            <w:r w:rsidRPr="00C8550C">
              <w:rPr>
                <w:rFonts w:ascii="Book Antiqua" w:hAnsi="Book Antiqua"/>
                <w:bCs/>
                <w:sz w:val="24"/>
                <w:szCs w:val="24"/>
              </w:rPr>
              <w:t>)</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60</w:t>
            </w:r>
            <w:r w:rsidR="007910B5" w:rsidRPr="00C8550C">
              <w:rPr>
                <w:rFonts w:ascii="Book Antiqua" w:hAnsi="Book Antiqua"/>
                <w:bCs/>
                <w:sz w:val="24"/>
                <w:szCs w:val="24"/>
              </w:rPr>
              <w:t xml:space="preserve"> </w:t>
            </w:r>
            <w:r w:rsidR="00670802" w:rsidRPr="00C8550C">
              <w:rPr>
                <w:rFonts w:ascii="Book Antiqua" w:hAnsi="Book Antiqua"/>
                <w:bCs/>
                <w:sz w:val="24"/>
                <w:szCs w:val="24"/>
              </w:rPr>
              <w:t>(46.5</w:t>
            </w:r>
            <w:r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&lt;</w:t>
            </w:r>
            <w:r w:rsidR="00D661A9" w:rsidRPr="00C8550C">
              <w:rPr>
                <w:rFonts w:ascii="Book Antiqua" w:hAnsi="Book Antiqua"/>
                <w:bCs/>
                <w:iCs/>
                <w:sz w:val="24"/>
                <w:szCs w:val="24"/>
              </w:rPr>
              <w:t xml:space="preserve"> </w:t>
            </w:r>
            <w:r w:rsidRPr="00C8550C">
              <w:rPr>
                <w:rFonts w:ascii="Book Antiqua" w:hAnsi="Book Antiqua"/>
                <w:bCs/>
                <w:iCs/>
                <w:sz w:val="24"/>
                <w:szCs w:val="24"/>
              </w:rPr>
              <w:t>0.001</w:t>
            </w:r>
          </w:p>
        </w:tc>
      </w:tr>
      <w:tr w:rsidR="00360BD3" w:rsidRPr="00C8550C" w:rsidTr="006A50B6">
        <w:trPr>
          <w:trHeight w:val="217"/>
        </w:trPr>
        <w:tc>
          <w:tcPr>
            <w:tcW w:w="4063"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Unclassified</w:t>
            </w:r>
          </w:p>
        </w:tc>
        <w:tc>
          <w:tcPr>
            <w:tcW w:w="2124" w:type="dxa"/>
          </w:tcPr>
          <w:p w:rsidR="00835DED" w:rsidRPr="00C8550C" w:rsidRDefault="00670802"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83</w:t>
            </w:r>
            <w:r w:rsidR="007910B5" w:rsidRPr="00C8550C">
              <w:rPr>
                <w:rFonts w:ascii="Book Antiqua" w:hAnsi="Book Antiqua"/>
                <w:bCs/>
                <w:sz w:val="24"/>
                <w:szCs w:val="24"/>
              </w:rPr>
              <w:t xml:space="preserve"> </w:t>
            </w:r>
            <w:r w:rsidRPr="00C8550C">
              <w:rPr>
                <w:rFonts w:ascii="Book Antiqua" w:hAnsi="Book Antiqua"/>
                <w:bCs/>
                <w:sz w:val="24"/>
                <w:szCs w:val="24"/>
              </w:rPr>
              <w:t>(83.8</w:t>
            </w:r>
            <w:r w:rsidR="00835DED" w:rsidRPr="00C8550C">
              <w:rPr>
                <w:rFonts w:ascii="Book Antiqua" w:hAnsi="Book Antiqua"/>
                <w:bCs/>
                <w:sz w:val="24"/>
                <w:szCs w:val="24"/>
              </w:rPr>
              <w:t>)</w:t>
            </w:r>
          </w:p>
        </w:tc>
        <w:tc>
          <w:tcPr>
            <w:tcW w:w="2125"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29</w:t>
            </w:r>
            <w:r w:rsidR="007910B5" w:rsidRPr="00C8550C">
              <w:rPr>
                <w:rFonts w:ascii="Book Antiqua" w:hAnsi="Book Antiqua"/>
                <w:bCs/>
                <w:sz w:val="24"/>
                <w:szCs w:val="24"/>
              </w:rPr>
              <w:t xml:space="preserve"> </w:t>
            </w:r>
            <w:r w:rsidR="00670802" w:rsidRPr="00C8550C">
              <w:rPr>
                <w:rFonts w:ascii="Book Antiqua" w:hAnsi="Book Antiqua"/>
                <w:bCs/>
                <w:sz w:val="24"/>
                <w:szCs w:val="24"/>
              </w:rPr>
              <w:t>(22.5</w:t>
            </w:r>
            <w:r w:rsidRPr="00C8550C">
              <w:rPr>
                <w:rFonts w:ascii="Book Antiqua" w:hAnsi="Book Antiqua"/>
                <w:bCs/>
                <w:sz w:val="24"/>
                <w:szCs w:val="24"/>
              </w:rPr>
              <w:t>)</w:t>
            </w:r>
          </w:p>
        </w:tc>
        <w:tc>
          <w:tcPr>
            <w:tcW w:w="1517" w:type="dxa"/>
          </w:tcPr>
          <w:p w:rsidR="00835DED" w:rsidRPr="00C8550C" w:rsidRDefault="00835DED" w:rsidP="007910B5">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w:t>
            </w:r>
          </w:p>
        </w:tc>
      </w:tr>
      <w:tr w:rsidR="00360BD3" w:rsidRPr="00C8550C" w:rsidTr="006A50B6">
        <w:trPr>
          <w:trHeight w:val="217"/>
        </w:trPr>
        <w:tc>
          <w:tcPr>
            <w:tcW w:w="4063" w:type="dxa"/>
          </w:tcPr>
          <w:p w:rsidR="00835DED" w:rsidRPr="00C8550C" w:rsidRDefault="00835DED" w:rsidP="00122AF4">
            <w:pPr>
              <w:adjustRightInd w:val="0"/>
              <w:snapToGrid w:val="0"/>
              <w:spacing w:after="0" w:line="360" w:lineRule="auto"/>
              <w:jc w:val="left"/>
              <w:rPr>
                <w:rFonts w:ascii="Book Antiqua" w:hAnsi="Book Antiqua"/>
                <w:bCs/>
                <w:sz w:val="24"/>
                <w:szCs w:val="24"/>
              </w:rPr>
            </w:pPr>
            <w:r w:rsidRPr="00C8550C">
              <w:rPr>
                <w:rFonts w:ascii="Book Antiqua" w:hAnsi="Book Antiqua"/>
                <w:bCs/>
                <w:sz w:val="24"/>
                <w:szCs w:val="24"/>
              </w:rPr>
              <w:t>Tumor tissue differentiation</w:t>
            </w:r>
          </w:p>
        </w:tc>
        <w:tc>
          <w:tcPr>
            <w:tcW w:w="2124" w:type="dxa"/>
          </w:tcPr>
          <w:p w:rsidR="00835DED" w:rsidRPr="00C8550C" w:rsidRDefault="00835DED" w:rsidP="00122AF4">
            <w:pPr>
              <w:adjustRightInd w:val="0"/>
              <w:snapToGrid w:val="0"/>
              <w:spacing w:after="0" w:line="360" w:lineRule="auto"/>
              <w:jc w:val="center"/>
              <w:rPr>
                <w:rFonts w:ascii="Book Antiqua" w:hAnsi="Book Antiqua"/>
                <w:bCs/>
                <w:sz w:val="24"/>
                <w:szCs w:val="24"/>
              </w:rPr>
            </w:pPr>
          </w:p>
        </w:tc>
        <w:tc>
          <w:tcPr>
            <w:tcW w:w="2125" w:type="dxa"/>
          </w:tcPr>
          <w:p w:rsidR="00835DED" w:rsidRPr="00C8550C" w:rsidRDefault="00835DED" w:rsidP="00122AF4">
            <w:pPr>
              <w:adjustRightInd w:val="0"/>
              <w:snapToGrid w:val="0"/>
              <w:spacing w:after="0" w:line="360" w:lineRule="auto"/>
              <w:jc w:val="center"/>
              <w:rPr>
                <w:rFonts w:ascii="Book Antiqua" w:hAnsi="Book Antiqua"/>
                <w:bCs/>
                <w:sz w:val="24"/>
                <w:szCs w:val="24"/>
              </w:rPr>
            </w:pPr>
          </w:p>
        </w:tc>
        <w:tc>
          <w:tcPr>
            <w:tcW w:w="1517" w:type="dxa"/>
          </w:tcPr>
          <w:p w:rsidR="00835DED" w:rsidRPr="00C8550C" w:rsidRDefault="00835DED" w:rsidP="00122AF4">
            <w:pPr>
              <w:adjustRightInd w:val="0"/>
              <w:snapToGrid w:val="0"/>
              <w:spacing w:after="0" w:line="360" w:lineRule="auto"/>
              <w:jc w:val="center"/>
              <w:rPr>
                <w:rFonts w:ascii="Book Antiqua" w:hAnsi="Book Antiqua"/>
                <w:bCs/>
                <w:sz w:val="24"/>
                <w:szCs w:val="24"/>
              </w:rPr>
            </w:pPr>
          </w:p>
        </w:tc>
      </w:tr>
      <w:tr w:rsidR="00360BD3" w:rsidRPr="00C8550C" w:rsidTr="006A50B6">
        <w:trPr>
          <w:trHeight w:val="397"/>
        </w:trPr>
        <w:tc>
          <w:tcPr>
            <w:tcW w:w="4063" w:type="dxa"/>
          </w:tcPr>
          <w:p w:rsidR="00835DED" w:rsidRPr="00C8550C" w:rsidRDefault="00835DED" w:rsidP="00122AF4">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Well differentiated</w:t>
            </w:r>
          </w:p>
        </w:tc>
        <w:tc>
          <w:tcPr>
            <w:tcW w:w="2124" w:type="dxa"/>
          </w:tcPr>
          <w:p w:rsidR="00835DED" w:rsidRPr="00C8550C" w:rsidRDefault="00FF1167"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1</w:t>
            </w:r>
            <w:r w:rsidR="007910B5" w:rsidRPr="00C8550C">
              <w:rPr>
                <w:rFonts w:ascii="Book Antiqua" w:hAnsi="Book Antiqua"/>
                <w:bCs/>
                <w:sz w:val="24"/>
                <w:szCs w:val="24"/>
              </w:rPr>
              <w:t xml:space="preserve"> </w:t>
            </w:r>
            <w:r w:rsidRPr="00C8550C">
              <w:rPr>
                <w:rFonts w:ascii="Book Antiqua" w:hAnsi="Book Antiqua"/>
                <w:bCs/>
                <w:sz w:val="24"/>
                <w:szCs w:val="24"/>
              </w:rPr>
              <w:t>(1</w:t>
            </w:r>
            <w:r w:rsidR="00835DED" w:rsidRPr="00C8550C">
              <w:rPr>
                <w:rFonts w:ascii="Book Antiqua" w:hAnsi="Book Antiqua"/>
                <w:bCs/>
                <w:sz w:val="24"/>
                <w:szCs w:val="24"/>
              </w:rPr>
              <w:t>)</w:t>
            </w:r>
          </w:p>
        </w:tc>
        <w:tc>
          <w:tcPr>
            <w:tcW w:w="2125" w:type="dxa"/>
          </w:tcPr>
          <w:p w:rsidR="00835DED" w:rsidRPr="00C8550C" w:rsidRDefault="00FF1167"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2</w:t>
            </w:r>
            <w:r w:rsidR="007910B5" w:rsidRPr="00C8550C">
              <w:rPr>
                <w:rFonts w:ascii="Book Antiqua" w:hAnsi="Book Antiqua"/>
                <w:bCs/>
                <w:sz w:val="24"/>
                <w:szCs w:val="24"/>
              </w:rPr>
              <w:t xml:space="preserve"> </w:t>
            </w:r>
            <w:r w:rsidRPr="00C8550C">
              <w:rPr>
                <w:rFonts w:ascii="Book Antiqua" w:hAnsi="Book Antiqua"/>
                <w:bCs/>
                <w:sz w:val="24"/>
                <w:szCs w:val="24"/>
              </w:rPr>
              <w:t>(1.5</w:t>
            </w:r>
            <w:r w:rsidR="00835DED" w:rsidRPr="00C8550C">
              <w:rPr>
                <w:rFonts w:ascii="Book Antiqua" w:hAnsi="Book Antiqua"/>
                <w:bCs/>
                <w:sz w:val="24"/>
                <w:szCs w:val="24"/>
              </w:rPr>
              <w:t>)</w:t>
            </w:r>
          </w:p>
        </w:tc>
        <w:tc>
          <w:tcPr>
            <w:tcW w:w="1517" w:type="dxa"/>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r>
      <w:tr w:rsidR="00360BD3" w:rsidRPr="00C8550C" w:rsidTr="006A50B6">
        <w:trPr>
          <w:trHeight w:val="86"/>
        </w:trPr>
        <w:tc>
          <w:tcPr>
            <w:tcW w:w="4063" w:type="dxa"/>
            <w:tcBorders>
              <w:bottom w:val="nil"/>
            </w:tcBorders>
          </w:tcPr>
          <w:p w:rsidR="00835DED" w:rsidRPr="00C8550C" w:rsidRDefault="00835DED" w:rsidP="00122AF4">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Moderately differentiated</w:t>
            </w:r>
          </w:p>
        </w:tc>
        <w:tc>
          <w:tcPr>
            <w:tcW w:w="2124" w:type="dxa"/>
            <w:tcBorders>
              <w:bottom w:val="nil"/>
            </w:tcBorders>
          </w:tcPr>
          <w:p w:rsidR="00835DED" w:rsidRPr="00C8550C" w:rsidRDefault="00FF1167"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21</w:t>
            </w:r>
            <w:r w:rsidR="007910B5" w:rsidRPr="00C8550C">
              <w:rPr>
                <w:rFonts w:ascii="Book Antiqua" w:hAnsi="Book Antiqua"/>
                <w:bCs/>
                <w:sz w:val="24"/>
                <w:szCs w:val="24"/>
              </w:rPr>
              <w:t xml:space="preserve"> </w:t>
            </w:r>
            <w:r w:rsidRPr="00C8550C">
              <w:rPr>
                <w:rFonts w:ascii="Book Antiqua" w:hAnsi="Book Antiqua"/>
                <w:bCs/>
                <w:sz w:val="24"/>
                <w:szCs w:val="24"/>
              </w:rPr>
              <w:t>(21.2</w:t>
            </w:r>
            <w:r w:rsidR="00835DED" w:rsidRPr="00C8550C">
              <w:rPr>
                <w:rFonts w:ascii="Book Antiqua" w:hAnsi="Book Antiqua"/>
                <w:bCs/>
                <w:sz w:val="24"/>
                <w:szCs w:val="24"/>
              </w:rPr>
              <w:t>)</w:t>
            </w:r>
          </w:p>
        </w:tc>
        <w:tc>
          <w:tcPr>
            <w:tcW w:w="2125" w:type="dxa"/>
            <w:tcBorders>
              <w:bottom w:val="nil"/>
            </w:tcBorders>
          </w:tcPr>
          <w:p w:rsidR="00835DED" w:rsidRPr="00C8550C" w:rsidRDefault="00FF1167"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59</w:t>
            </w:r>
            <w:r w:rsidR="007910B5" w:rsidRPr="00C8550C">
              <w:rPr>
                <w:rFonts w:ascii="Book Antiqua" w:hAnsi="Book Antiqua"/>
                <w:bCs/>
                <w:sz w:val="24"/>
                <w:szCs w:val="24"/>
              </w:rPr>
              <w:t xml:space="preserve"> </w:t>
            </w:r>
            <w:r w:rsidRPr="00C8550C">
              <w:rPr>
                <w:rFonts w:ascii="Book Antiqua" w:hAnsi="Book Antiqua"/>
                <w:bCs/>
                <w:sz w:val="24"/>
                <w:szCs w:val="24"/>
              </w:rPr>
              <w:t>(45.7</w:t>
            </w:r>
            <w:r w:rsidR="00835DED" w:rsidRPr="00C8550C">
              <w:rPr>
                <w:rFonts w:ascii="Book Antiqua" w:hAnsi="Book Antiqua"/>
                <w:bCs/>
                <w:sz w:val="24"/>
                <w:szCs w:val="24"/>
              </w:rPr>
              <w:t>)</w:t>
            </w:r>
          </w:p>
        </w:tc>
        <w:tc>
          <w:tcPr>
            <w:tcW w:w="1517" w:type="dxa"/>
            <w:tcBorders>
              <w:bottom w:val="nil"/>
            </w:tcBorders>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r>
      <w:tr w:rsidR="00360BD3" w:rsidRPr="00C8550C" w:rsidTr="006A50B6">
        <w:trPr>
          <w:trHeight w:val="86"/>
        </w:trPr>
        <w:tc>
          <w:tcPr>
            <w:tcW w:w="4063" w:type="dxa"/>
            <w:tcBorders>
              <w:top w:val="nil"/>
              <w:bottom w:val="single" w:sz="4" w:space="0" w:color="auto"/>
            </w:tcBorders>
          </w:tcPr>
          <w:p w:rsidR="00835DED" w:rsidRPr="00C8550C" w:rsidRDefault="00835DED" w:rsidP="00122AF4">
            <w:pPr>
              <w:adjustRightInd w:val="0"/>
              <w:snapToGrid w:val="0"/>
              <w:spacing w:after="0" w:line="360" w:lineRule="auto"/>
              <w:rPr>
                <w:rFonts w:ascii="Book Antiqua" w:hAnsi="Book Antiqua"/>
                <w:bCs/>
                <w:iCs/>
                <w:sz w:val="24"/>
                <w:szCs w:val="24"/>
              </w:rPr>
            </w:pPr>
            <w:r w:rsidRPr="00C8550C">
              <w:rPr>
                <w:rFonts w:ascii="Book Antiqua" w:hAnsi="Book Antiqua"/>
                <w:bCs/>
                <w:iCs/>
                <w:sz w:val="24"/>
                <w:szCs w:val="24"/>
              </w:rPr>
              <w:t>Poorly differentiated</w:t>
            </w:r>
          </w:p>
        </w:tc>
        <w:tc>
          <w:tcPr>
            <w:tcW w:w="2124" w:type="dxa"/>
            <w:tcBorders>
              <w:top w:val="nil"/>
              <w:bottom w:val="single" w:sz="4" w:space="0" w:color="auto"/>
            </w:tcBorders>
          </w:tcPr>
          <w:p w:rsidR="00835DED" w:rsidRPr="00C8550C" w:rsidRDefault="00FF1167"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77</w:t>
            </w:r>
            <w:r w:rsidR="007910B5" w:rsidRPr="00C8550C">
              <w:rPr>
                <w:rFonts w:ascii="Book Antiqua" w:hAnsi="Book Antiqua"/>
                <w:bCs/>
                <w:sz w:val="24"/>
                <w:szCs w:val="24"/>
              </w:rPr>
              <w:t xml:space="preserve"> </w:t>
            </w:r>
            <w:r w:rsidRPr="00C8550C">
              <w:rPr>
                <w:rFonts w:ascii="Book Antiqua" w:hAnsi="Book Antiqua"/>
                <w:bCs/>
                <w:sz w:val="24"/>
                <w:szCs w:val="24"/>
              </w:rPr>
              <w:t>(77.8</w:t>
            </w:r>
            <w:r w:rsidR="00835DED" w:rsidRPr="00C8550C">
              <w:rPr>
                <w:rFonts w:ascii="Book Antiqua" w:hAnsi="Book Antiqua"/>
                <w:bCs/>
                <w:sz w:val="24"/>
                <w:szCs w:val="24"/>
              </w:rPr>
              <w:t>)</w:t>
            </w:r>
          </w:p>
        </w:tc>
        <w:tc>
          <w:tcPr>
            <w:tcW w:w="2125" w:type="dxa"/>
            <w:tcBorders>
              <w:top w:val="nil"/>
              <w:bottom w:val="single" w:sz="4" w:space="0" w:color="auto"/>
            </w:tcBorders>
          </w:tcPr>
          <w:p w:rsidR="00835DED" w:rsidRPr="00C8550C" w:rsidRDefault="00FF1167"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68</w:t>
            </w:r>
            <w:r w:rsidR="007910B5" w:rsidRPr="00C8550C">
              <w:rPr>
                <w:rFonts w:ascii="Book Antiqua" w:hAnsi="Book Antiqua"/>
                <w:bCs/>
                <w:sz w:val="24"/>
                <w:szCs w:val="24"/>
              </w:rPr>
              <w:t xml:space="preserve"> </w:t>
            </w:r>
            <w:r w:rsidRPr="00C8550C">
              <w:rPr>
                <w:rFonts w:ascii="Book Antiqua" w:hAnsi="Book Antiqua"/>
                <w:bCs/>
                <w:sz w:val="24"/>
                <w:szCs w:val="24"/>
              </w:rPr>
              <w:t>(52.7</w:t>
            </w:r>
            <w:r w:rsidR="00835DED" w:rsidRPr="00C8550C">
              <w:rPr>
                <w:rFonts w:ascii="Book Antiqua" w:hAnsi="Book Antiqua"/>
                <w:bCs/>
                <w:sz w:val="24"/>
                <w:szCs w:val="24"/>
              </w:rPr>
              <w:t>)</w:t>
            </w:r>
          </w:p>
        </w:tc>
        <w:tc>
          <w:tcPr>
            <w:tcW w:w="1517" w:type="dxa"/>
            <w:tcBorders>
              <w:top w:val="nil"/>
              <w:bottom w:val="single" w:sz="4" w:space="0" w:color="auto"/>
            </w:tcBorders>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r>
    </w:tbl>
    <w:p w:rsidR="000E328D" w:rsidRPr="00C8550C" w:rsidRDefault="000E328D"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ICC: Intrahepatic cholangiocarcinoma; HCC: Hepatocellular carcinoma; AFP: Alpha fetoprotein; CA 19-9: Carbohydrate antigen 19-9; HBV: Hepatitis B virus; HCV: Hepatitis C virus; SD: standard deviation.</w:t>
      </w:r>
    </w:p>
    <w:p w:rsidR="00835DED" w:rsidRPr="00C8550C" w:rsidRDefault="002C4C97" w:rsidP="00122AF4">
      <w:pPr>
        <w:adjustRightInd w:val="0"/>
        <w:snapToGrid w:val="0"/>
        <w:spacing w:after="0" w:line="360" w:lineRule="auto"/>
        <w:rPr>
          <w:rFonts w:ascii="Book Antiqua" w:hAnsi="Book Antiqua"/>
          <w:b/>
          <w:bCs/>
          <w:sz w:val="24"/>
          <w:szCs w:val="24"/>
        </w:rPr>
      </w:pPr>
      <w:r w:rsidRPr="00C8550C">
        <w:rPr>
          <w:rFonts w:ascii="Book Antiqua" w:hAnsi="Book Antiqua"/>
          <w:sz w:val="24"/>
          <w:szCs w:val="24"/>
        </w:rPr>
        <w:br w:type="page"/>
      </w:r>
      <w:r w:rsidR="00835DED" w:rsidRPr="00C8550C">
        <w:rPr>
          <w:rFonts w:ascii="Book Antiqua" w:hAnsi="Book Antiqua"/>
          <w:b/>
          <w:bCs/>
          <w:sz w:val="24"/>
          <w:szCs w:val="24"/>
        </w:rPr>
        <w:t>Table 2 Pre-contrast and contrast-enhanced ultrasound features of 228 lesions</w:t>
      </w:r>
      <w:r w:rsidRPr="00C8550C">
        <w:rPr>
          <w:rFonts w:ascii="Book Antiqua" w:hAnsi="Book Antiqua"/>
          <w:b/>
          <w:bCs/>
          <w:sz w:val="24"/>
          <w:szCs w:val="24"/>
        </w:rPr>
        <w:t xml:space="preserve">, </w:t>
      </w:r>
      <w:r w:rsidRPr="00C8550C">
        <w:rPr>
          <w:rFonts w:ascii="Book Antiqua" w:hAnsi="Book Antiqua"/>
          <w:b/>
          <w:bCs/>
          <w:i/>
          <w:iCs/>
          <w:sz w:val="24"/>
          <w:szCs w:val="24"/>
        </w:rPr>
        <w:t>n</w:t>
      </w:r>
      <w:r w:rsidRPr="00C8550C">
        <w:rPr>
          <w:rFonts w:ascii="Book Antiqua" w:hAnsi="Book Antiqua"/>
          <w:b/>
          <w:bCs/>
          <w:sz w:val="24"/>
          <w:szCs w:val="24"/>
        </w:rPr>
        <w:t xml:space="preserve"> (%)</w:t>
      </w:r>
    </w:p>
    <w:tbl>
      <w:tblPr>
        <w:tblpPr w:leftFromText="180" w:rightFromText="180" w:vertAnchor="text" w:tblpX="1" w:tblpY="1"/>
        <w:tblOverlap w:val="never"/>
        <w:tblW w:w="0" w:type="auto"/>
        <w:tblInd w:w="0" w:type="dxa"/>
        <w:tblBorders>
          <w:top w:val="single" w:sz="4" w:space="0" w:color="auto"/>
          <w:bottom w:val="single" w:sz="4" w:space="0" w:color="auto"/>
        </w:tblBorders>
        <w:tblLayout w:type="fixed"/>
        <w:tblLook w:val="0000" w:firstRow="0" w:lastRow="0" w:firstColumn="0" w:lastColumn="0" w:noHBand="0" w:noVBand="0"/>
      </w:tblPr>
      <w:tblGrid>
        <w:gridCol w:w="3454"/>
        <w:gridCol w:w="2584"/>
        <w:gridCol w:w="2533"/>
        <w:gridCol w:w="1035"/>
      </w:tblGrid>
      <w:tr w:rsidR="00360BD3" w:rsidRPr="00C8550C" w:rsidTr="005B6D15">
        <w:trPr>
          <w:trHeight w:val="274"/>
        </w:trPr>
        <w:tc>
          <w:tcPr>
            <w:tcW w:w="3454" w:type="dxa"/>
            <w:vMerge w:val="restart"/>
            <w:tcBorders>
              <w:top w:val="single" w:sz="4" w:space="0" w:color="auto"/>
            </w:tcBorders>
          </w:tcPr>
          <w:p w:rsidR="00835DED" w:rsidRPr="00C8550C" w:rsidRDefault="00835DED" w:rsidP="000E6EC8">
            <w:pPr>
              <w:adjustRightInd w:val="0"/>
              <w:snapToGrid w:val="0"/>
              <w:spacing w:after="0" w:line="360" w:lineRule="auto"/>
              <w:rPr>
                <w:rFonts w:ascii="Book Antiqua" w:hAnsi="Book Antiqua"/>
                <w:b/>
                <w:bCs/>
                <w:sz w:val="24"/>
                <w:szCs w:val="24"/>
              </w:rPr>
            </w:pPr>
            <w:r w:rsidRPr="00C8550C">
              <w:rPr>
                <w:rFonts w:ascii="Book Antiqua" w:hAnsi="Book Antiqua"/>
                <w:b/>
                <w:bCs/>
                <w:sz w:val="24"/>
                <w:szCs w:val="24"/>
              </w:rPr>
              <w:t>Imaging characteristic</w:t>
            </w:r>
          </w:p>
        </w:tc>
        <w:tc>
          <w:tcPr>
            <w:tcW w:w="5117" w:type="dxa"/>
            <w:gridSpan w:val="2"/>
            <w:tcBorders>
              <w:top w:val="single" w:sz="4" w:space="0" w:color="auto"/>
              <w:bottom w:val="single" w:sz="4" w:space="0" w:color="auto"/>
            </w:tcBorders>
          </w:tcPr>
          <w:p w:rsidR="00835DED" w:rsidRPr="00C8550C" w:rsidRDefault="00835DED" w:rsidP="002C4C97">
            <w:pPr>
              <w:adjustRightInd w:val="0"/>
              <w:snapToGrid w:val="0"/>
              <w:spacing w:after="0" w:line="360" w:lineRule="auto"/>
              <w:rPr>
                <w:rFonts w:ascii="Book Antiqua" w:hAnsi="Book Antiqua"/>
                <w:b/>
                <w:bCs/>
                <w:sz w:val="24"/>
                <w:szCs w:val="24"/>
              </w:rPr>
            </w:pPr>
            <w:r w:rsidRPr="00C8550C">
              <w:rPr>
                <w:rFonts w:ascii="Book Antiqua" w:hAnsi="Book Antiqua"/>
                <w:b/>
                <w:bCs/>
                <w:sz w:val="24"/>
                <w:szCs w:val="24"/>
              </w:rPr>
              <w:t>Pathology</w:t>
            </w:r>
          </w:p>
        </w:tc>
        <w:tc>
          <w:tcPr>
            <w:tcW w:w="1035" w:type="dxa"/>
            <w:vMerge w:val="restart"/>
            <w:tcBorders>
              <w:top w:val="single" w:sz="4" w:space="0" w:color="auto"/>
            </w:tcBorders>
          </w:tcPr>
          <w:p w:rsidR="00835DED" w:rsidRPr="00C8550C" w:rsidRDefault="00835DED" w:rsidP="002C4C97">
            <w:pPr>
              <w:adjustRightInd w:val="0"/>
              <w:snapToGrid w:val="0"/>
              <w:spacing w:after="0" w:line="360" w:lineRule="auto"/>
              <w:rPr>
                <w:rFonts w:ascii="Book Antiqua" w:hAnsi="Book Antiqua"/>
                <w:b/>
                <w:bCs/>
                <w:sz w:val="24"/>
                <w:szCs w:val="24"/>
              </w:rPr>
            </w:pPr>
            <w:r w:rsidRPr="00C8550C">
              <w:rPr>
                <w:rFonts w:ascii="Book Antiqua" w:hAnsi="Book Antiqua"/>
                <w:b/>
                <w:bCs/>
                <w:i/>
                <w:iCs/>
                <w:sz w:val="24"/>
                <w:szCs w:val="24"/>
              </w:rPr>
              <w:t>P</w:t>
            </w:r>
            <w:r w:rsidR="002C4C97" w:rsidRPr="00C8550C">
              <w:rPr>
                <w:rFonts w:ascii="Book Antiqua" w:hAnsi="Book Antiqua"/>
                <w:b/>
                <w:bCs/>
                <w:sz w:val="24"/>
                <w:szCs w:val="24"/>
              </w:rPr>
              <w:t xml:space="preserve"> value</w:t>
            </w:r>
          </w:p>
        </w:tc>
      </w:tr>
      <w:tr w:rsidR="00360BD3" w:rsidRPr="00C8550C" w:rsidTr="005B6D15">
        <w:trPr>
          <w:trHeight w:val="79"/>
        </w:trPr>
        <w:tc>
          <w:tcPr>
            <w:tcW w:w="3454" w:type="dxa"/>
            <w:vMerge/>
            <w:tcBorders>
              <w:bottom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p>
        </w:tc>
        <w:tc>
          <w:tcPr>
            <w:tcW w:w="2584" w:type="dxa"/>
            <w:tcBorders>
              <w:top w:val="single" w:sz="4" w:space="0" w:color="auto"/>
              <w:bottom w:val="single" w:sz="4" w:space="0" w:color="auto"/>
            </w:tcBorders>
          </w:tcPr>
          <w:p w:rsidR="00835DED" w:rsidRPr="00C8550C" w:rsidRDefault="00360BD3" w:rsidP="002C4C97">
            <w:pPr>
              <w:adjustRightInd w:val="0"/>
              <w:snapToGrid w:val="0"/>
              <w:spacing w:after="0" w:line="360" w:lineRule="auto"/>
              <w:rPr>
                <w:rFonts w:ascii="Book Antiqua" w:hAnsi="Book Antiqua"/>
                <w:b/>
                <w:sz w:val="24"/>
                <w:szCs w:val="24"/>
              </w:rPr>
            </w:pPr>
            <w:r w:rsidRPr="00C8550C">
              <w:rPr>
                <w:rFonts w:ascii="Book Antiqua" w:hAnsi="Book Antiqua"/>
                <w:b/>
                <w:sz w:val="24"/>
                <w:szCs w:val="24"/>
              </w:rPr>
              <w:t xml:space="preserve">ICC </w:t>
            </w:r>
            <w:r w:rsidR="00835DED" w:rsidRPr="00C8550C">
              <w:rPr>
                <w:rFonts w:ascii="Book Antiqua" w:hAnsi="Book Antiqua"/>
                <w:b/>
                <w:sz w:val="24"/>
                <w:szCs w:val="24"/>
              </w:rPr>
              <w:t>(</w:t>
            </w:r>
            <w:r w:rsidR="00835DED" w:rsidRPr="00C8550C">
              <w:rPr>
                <w:rFonts w:ascii="Book Antiqua" w:hAnsi="Book Antiqua"/>
                <w:b/>
                <w:i/>
                <w:iCs/>
                <w:sz w:val="24"/>
                <w:szCs w:val="24"/>
              </w:rPr>
              <w:t>n</w:t>
            </w:r>
            <w:r w:rsidR="002C4C97" w:rsidRPr="00C8550C">
              <w:rPr>
                <w:rFonts w:ascii="Book Antiqua" w:hAnsi="Book Antiqua"/>
                <w:b/>
                <w:sz w:val="24"/>
                <w:szCs w:val="24"/>
              </w:rPr>
              <w:t xml:space="preserve"> </w:t>
            </w:r>
            <w:r w:rsidR="00835DED" w:rsidRPr="00C8550C">
              <w:rPr>
                <w:rFonts w:ascii="Book Antiqua" w:hAnsi="Book Antiqua"/>
                <w:b/>
                <w:sz w:val="24"/>
                <w:szCs w:val="24"/>
              </w:rPr>
              <w:t>=</w:t>
            </w:r>
            <w:r w:rsidR="002C4C97" w:rsidRPr="00C8550C">
              <w:rPr>
                <w:rFonts w:ascii="Book Antiqua" w:hAnsi="Book Antiqua"/>
                <w:b/>
                <w:sz w:val="24"/>
                <w:szCs w:val="24"/>
              </w:rPr>
              <w:t xml:space="preserve"> </w:t>
            </w:r>
            <w:r w:rsidR="00835DED" w:rsidRPr="00C8550C">
              <w:rPr>
                <w:rFonts w:ascii="Book Antiqua" w:hAnsi="Book Antiqua"/>
                <w:b/>
                <w:sz w:val="24"/>
                <w:szCs w:val="24"/>
              </w:rPr>
              <w:t>99)</w:t>
            </w:r>
          </w:p>
        </w:tc>
        <w:tc>
          <w:tcPr>
            <w:tcW w:w="2533" w:type="dxa"/>
            <w:tcBorders>
              <w:top w:val="single" w:sz="4" w:space="0" w:color="auto"/>
              <w:bottom w:val="single" w:sz="4" w:space="0" w:color="auto"/>
            </w:tcBorders>
          </w:tcPr>
          <w:p w:rsidR="00835DED" w:rsidRPr="00C8550C" w:rsidRDefault="00360BD3" w:rsidP="002C4C97">
            <w:pPr>
              <w:adjustRightInd w:val="0"/>
              <w:snapToGrid w:val="0"/>
              <w:spacing w:after="0" w:line="360" w:lineRule="auto"/>
              <w:rPr>
                <w:rFonts w:ascii="Book Antiqua" w:hAnsi="Book Antiqua"/>
                <w:b/>
                <w:sz w:val="24"/>
                <w:szCs w:val="24"/>
              </w:rPr>
            </w:pPr>
            <w:r w:rsidRPr="00C8550C">
              <w:rPr>
                <w:rFonts w:ascii="Book Antiqua" w:hAnsi="Book Antiqua"/>
                <w:b/>
                <w:sz w:val="24"/>
                <w:szCs w:val="24"/>
              </w:rPr>
              <w:t xml:space="preserve">LR-M HCC </w:t>
            </w:r>
            <w:r w:rsidR="00835DED" w:rsidRPr="00C8550C">
              <w:rPr>
                <w:rFonts w:ascii="Book Antiqua" w:hAnsi="Book Antiqua"/>
                <w:b/>
                <w:sz w:val="24"/>
                <w:szCs w:val="24"/>
              </w:rPr>
              <w:t>(</w:t>
            </w:r>
            <w:r w:rsidR="00835DED" w:rsidRPr="00C8550C">
              <w:rPr>
                <w:rFonts w:ascii="Book Antiqua" w:hAnsi="Book Antiqua"/>
                <w:b/>
                <w:i/>
                <w:iCs/>
                <w:sz w:val="24"/>
                <w:szCs w:val="24"/>
              </w:rPr>
              <w:t>n</w:t>
            </w:r>
            <w:r w:rsidR="002C4C97" w:rsidRPr="00C8550C">
              <w:rPr>
                <w:rFonts w:ascii="Book Antiqua" w:hAnsi="Book Antiqua"/>
                <w:b/>
                <w:sz w:val="24"/>
                <w:szCs w:val="24"/>
              </w:rPr>
              <w:t xml:space="preserve"> </w:t>
            </w:r>
            <w:r w:rsidR="00835DED" w:rsidRPr="00C8550C">
              <w:rPr>
                <w:rFonts w:ascii="Book Antiqua" w:hAnsi="Book Antiqua"/>
                <w:b/>
                <w:sz w:val="24"/>
                <w:szCs w:val="24"/>
              </w:rPr>
              <w:t>=</w:t>
            </w:r>
            <w:r w:rsidR="002C4C97" w:rsidRPr="00C8550C">
              <w:rPr>
                <w:rFonts w:ascii="Book Antiqua" w:hAnsi="Book Antiqua"/>
                <w:b/>
                <w:sz w:val="24"/>
                <w:szCs w:val="24"/>
              </w:rPr>
              <w:t xml:space="preserve"> </w:t>
            </w:r>
            <w:r w:rsidR="00835DED" w:rsidRPr="00C8550C">
              <w:rPr>
                <w:rFonts w:ascii="Book Antiqua" w:hAnsi="Book Antiqua"/>
                <w:b/>
                <w:sz w:val="24"/>
                <w:szCs w:val="24"/>
              </w:rPr>
              <w:t>129)</w:t>
            </w:r>
          </w:p>
        </w:tc>
        <w:tc>
          <w:tcPr>
            <w:tcW w:w="1035" w:type="dxa"/>
            <w:vMerge/>
            <w:tcBorders>
              <w:bottom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p>
        </w:tc>
      </w:tr>
      <w:tr w:rsidR="00360BD3" w:rsidRPr="00C8550C" w:rsidTr="005B6D15">
        <w:trPr>
          <w:trHeight w:val="151"/>
        </w:trPr>
        <w:tc>
          <w:tcPr>
            <w:tcW w:w="3454" w:type="dxa"/>
            <w:tcBorders>
              <w:top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Gray scale echogenicity</w:t>
            </w:r>
          </w:p>
        </w:tc>
        <w:tc>
          <w:tcPr>
            <w:tcW w:w="6152" w:type="dxa"/>
            <w:gridSpan w:val="3"/>
            <w:tcBorders>
              <w:top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p>
        </w:tc>
      </w:tr>
      <w:tr w:rsidR="00360BD3" w:rsidRPr="00C8550C" w:rsidTr="005B6D15">
        <w:trPr>
          <w:trHeight w:val="203"/>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Hyperechoic</w:t>
            </w:r>
          </w:p>
        </w:tc>
        <w:tc>
          <w:tcPr>
            <w:tcW w:w="2584" w:type="dxa"/>
          </w:tcPr>
          <w:p w:rsidR="00835DED" w:rsidRPr="00C8550C" w:rsidRDefault="00C8380B" w:rsidP="002C4C97">
            <w:pPr>
              <w:adjustRightInd w:val="0"/>
              <w:snapToGrid w:val="0"/>
              <w:spacing w:after="0" w:line="360" w:lineRule="auto"/>
              <w:rPr>
                <w:rFonts w:ascii="Book Antiqua" w:hAnsi="Book Antiqua"/>
                <w:i/>
                <w:sz w:val="24"/>
                <w:szCs w:val="24"/>
              </w:rPr>
            </w:pPr>
            <w:r w:rsidRPr="00C8550C">
              <w:rPr>
                <w:rFonts w:ascii="Book Antiqua" w:hAnsi="Book Antiqua"/>
                <w:sz w:val="24"/>
                <w:szCs w:val="24"/>
              </w:rPr>
              <w:t>4</w:t>
            </w:r>
            <w:r w:rsidR="002C4C97" w:rsidRPr="00C8550C">
              <w:rPr>
                <w:rFonts w:ascii="Book Antiqua" w:hAnsi="Book Antiqua"/>
                <w:sz w:val="24"/>
                <w:szCs w:val="24"/>
              </w:rPr>
              <w:t xml:space="preserve"> </w:t>
            </w:r>
            <w:r w:rsidRPr="00C8550C">
              <w:rPr>
                <w:rFonts w:ascii="Book Antiqua" w:hAnsi="Book Antiqua"/>
                <w:sz w:val="24"/>
                <w:szCs w:val="24"/>
              </w:rPr>
              <w:t>(4</w:t>
            </w:r>
            <w:r w:rsidR="00835DED" w:rsidRPr="00C8550C">
              <w:rPr>
                <w:rFonts w:ascii="Book Antiqua" w:hAnsi="Book Antiqua"/>
                <w:sz w:val="24"/>
                <w:szCs w:val="24"/>
              </w:rPr>
              <w:t>)</w:t>
            </w:r>
          </w:p>
        </w:tc>
        <w:tc>
          <w:tcPr>
            <w:tcW w:w="2533"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39</w:t>
            </w:r>
            <w:r w:rsidR="002C4C97" w:rsidRPr="00C8550C">
              <w:rPr>
                <w:rFonts w:ascii="Book Antiqua" w:hAnsi="Book Antiqua"/>
                <w:sz w:val="24"/>
                <w:szCs w:val="24"/>
              </w:rPr>
              <w:t xml:space="preserve"> </w:t>
            </w:r>
            <w:r w:rsidRPr="00C8550C">
              <w:rPr>
                <w:rFonts w:ascii="Book Antiqua" w:hAnsi="Book Antiqua"/>
                <w:sz w:val="24"/>
                <w:szCs w:val="24"/>
                <w:lang w:val="fo-FO"/>
              </w:rPr>
              <w:t>(</w:t>
            </w:r>
            <w:r w:rsidR="00C8380B" w:rsidRPr="00C8550C">
              <w:rPr>
                <w:rFonts w:ascii="Book Antiqua" w:hAnsi="Book Antiqua"/>
                <w:sz w:val="24"/>
                <w:szCs w:val="24"/>
              </w:rPr>
              <w:t>30.0</w:t>
            </w:r>
            <w:r w:rsidRPr="00C8550C">
              <w:rPr>
                <w:rFonts w:ascii="Book Antiqua" w:hAnsi="Book Antiqua"/>
                <w:sz w:val="24"/>
                <w:szCs w:val="24"/>
                <w:lang w:val="fo-FO"/>
              </w:rPr>
              <w:t>)</w:t>
            </w:r>
          </w:p>
        </w:tc>
        <w:tc>
          <w:tcPr>
            <w:tcW w:w="1035"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&lt;</w:t>
            </w:r>
            <w:r w:rsidR="004B18C8" w:rsidRPr="00C8550C">
              <w:rPr>
                <w:rFonts w:ascii="Book Antiqua" w:hAnsi="Book Antiqua"/>
                <w:sz w:val="24"/>
                <w:szCs w:val="24"/>
              </w:rPr>
              <w:t xml:space="preserve"> </w:t>
            </w:r>
            <w:r w:rsidRPr="00C8550C">
              <w:rPr>
                <w:rFonts w:ascii="Book Antiqua" w:hAnsi="Book Antiqua"/>
                <w:sz w:val="24"/>
                <w:szCs w:val="24"/>
              </w:rPr>
              <w:t>0.001</w:t>
            </w:r>
          </w:p>
        </w:tc>
      </w:tr>
      <w:tr w:rsidR="00360BD3" w:rsidRPr="00C8550C" w:rsidTr="005B6D15">
        <w:trPr>
          <w:trHeight w:val="290"/>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Hypoechoic</w:t>
            </w:r>
          </w:p>
        </w:tc>
        <w:tc>
          <w:tcPr>
            <w:tcW w:w="2584"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93</w:t>
            </w:r>
            <w:r w:rsidR="002C4C97" w:rsidRPr="00C8550C">
              <w:rPr>
                <w:rFonts w:ascii="Book Antiqua" w:hAnsi="Book Antiqua"/>
                <w:sz w:val="24"/>
                <w:szCs w:val="24"/>
              </w:rPr>
              <w:t xml:space="preserve"> </w:t>
            </w:r>
            <w:r w:rsidR="00C8380B" w:rsidRPr="00C8550C">
              <w:rPr>
                <w:rFonts w:ascii="Book Antiqua" w:hAnsi="Book Antiqua"/>
                <w:sz w:val="24"/>
                <w:szCs w:val="24"/>
              </w:rPr>
              <w:t>(93.9</w:t>
            </w:r>
            <w:r w:rsidRPr="00C8550C">
              <w:rPr>
                <w:rFonts w:ascii="Book Antiqua" w:hAnsi="Book Antiqua"/>
                <w:sz w:val="24"/>
                <w:szCs w:val="24"/>
              </w:rPr>
              <w:t>)</w:t>
            </w:r>
          </w:p>
        </w:tc>
        <w:tc>
          <w:tcPr>
            <w:tcW w:w="2533"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82</w:t>
            </w:r>
            <w:r w:rsidR="002C4C97" w:rsidRPr="00C8550C">
              <w:rPr>
                <w:rFonts w:ascii="Book Antiqua" w:hAnsi="Book Antiqua"/>
                <w:sz w:val="24"/>
                <w:szCs w:val="24"/>
              </w:rPr>
              <w:t xml:space="preserve"> </w:t>
            </w:r>
            <w:r w:rsidR="00C8380B" w:rsidRPr="00C8550C">
              <w:rPr>
                <w:rFonts w:ascii="Book Antiqua" w:hAnsi="Book Antiqua"/>
                <w:sz w:val="24"/>
                <w:szCs w:val="24"/>
              </w:rPr>
              <w:t>(63.1</w:t>
            </w:r>
            <w:r w:rsidRPr="00C8550C">
              <w:rPr>
                <w:rFonts w:ascii="Book Antiqua" w:hAnsi="Book Antiqua"/>
                <w:sz w:val="24"/>
                <w:szCs w:val="24"/>
              </w:rPr>
              <w:t>)</w:t>
            </w:r>
          </w:p>
        </w:tc>
        <w:tc>
          <w:tcPr>
            <w:tcW w:w="1035" w:type="dxa"/>
          </w:tcPr>
          <w:p w:rsidR="00835DED" w:rsidRPr="00C8550C" w:rsidRDefault="00835DED" w:rsidP="002C4C97">
            <w:pPr>
              <w:tabs>
                <w:tab w:val="right" w:pos="5295"/>
              </w:tabs>
              <w:adjustRightInd w:val="0"/>
              <w:snapToGrid w:val="0"/>
              <w:spacing w:after="0" w:line="360" w:lineRule="auto"/>
              <w:rPr>
                <w:rFonts w:ascii="Book Antiqua" w:hAnsi="Book Antiqua"/>
                <w:sz w:val="24"/>
                <w:szCs w:val="24"/>
              </w:rPr>
            </w:pPr>
            <w:r w:rsidRPr="00C8550C">
              <w:rPr>
                <w:rFonts w:ascii="Book Antiqua" w:hAnsi="Book Antiqua"/>
                <w:sz w:val="24"/>
                <w:szCs w:val="24"/>
              </w:rPr>
              <w:t>&lt;</w:t>
            </w:r>
            <w:r w:rsidR="004B18C8" w:rsidRPr="00C8550C">
              <w:rPr>
                <w:rFonts w:ascii="Book Antiqua" w:hAnsi="Book Antiqua"/>
                <w:sz w:val="24"/>
                <w:szCs w:val="24"/>
              </w:rPr>
              <w:t xml:space="preserve"> </w:t>
            </w:r>
            <w:r w:rsidRPr="00C8550C">
              <w:rPr>
                <w:rFonts w:ascii="Book Antiqua" w:hAnsi="Book Antiqua"/>
                <w:sz w:val="24"/>
                <w:szCs w:val="24"/>
              </w:rPr>
              <w:t>0.001</w:t>
            </w:r>
          </w:p>
        </w:tc>
      </w:tr>
      <w:tr w:rsidR="00360BD3" w:rsidRPr="00C8550C" w:rsidTr="005B6D15">
        <w:trPr>
          <w:trHeight w:val="380"/>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Mixed</w:t>
            </w:r>
          </w:p>
        </w:tc>
        <w:tc>
          <w:tcPr>
            <w:tcW w:w="2584"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2</w:t>
            </w:r>
            <w:r w:rsidR="00C8380B" w:rsidRPr="00C8550C">
              <w:rPr>
                <w:rFonts w:ascii="Book Antiqua" w:hAnsi="Book Antiqua"/>
                <w:sz w:val="24"/>
                <w:szCs w:val="24"/>
              </w:rPr>
              <w:t xml:space="preserve"> </w:t>
            </w:r>
            <w:r w:rsidRPr="00C8550C">
              <w:rPr>
                <w:rFonts w:ascii="Book Antiqua" w:hAnsi="Book Antiqua"/>
                <w:sz w:val="24"/>
                <w:szCs w:val="24"/>
                <w:lang w:val="fo-FO"/>
              </w:rPr>
              <w:t>(</w:t>
            </w:r>
            <w:r w:rsidR="00C8380B" w:rsidRPr="00C8550C">
              <w:rPr>
                <w:rFonts w:ascii="Book Antiqua" w:hAnsi="Book Antiqua"/>
                <w:sz w:val="24"/>
                <w:szCs w:val="24"/>
              </w:rPr>
              <w:t>2</w:t>
            </w:r>
            <w:r w:rsidRPr="00C8550C">
              <w:rPr>
                <w:rFonts w:ascii="Book Antiqua" w:hAnsi="Book Antiqua"/>
                <w:sz w:val="24"/>
                <w:szCs w:val="24"/>
                <w:lang w:val="fo-FO"/>
              </w:rPr>
              <w:t>)</w:t>
            </w:r>
          </w:p>
        </w:tc>
        <w:tc>
          <w:tcPr>
            <w:tcW w:w="2533"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8</w:t>
            </w:r>
            <w:r w:rsidR="002C4C97" w:rsidRPr="00C8550C">
              <w:rPr>
                <w:rFonts w:ascii="Book Antiqua" w:hAnsi="Book Antiqua"/>
                <w:sz w:val="24"/>
                <w:szCs w:val="24"/>
              </w:rPr>
              <w:t xml:space="preserve"> </w:t>
            </w:r>
            <w:r w:rsidRPr="00C8550C">
              <w:rPr>
                <w:rFonts w:ascii="Book Antiqua" w:hAnsi="Book Antiqua"/>
                <w:sz w:val="24"/>
                <w:szCs w:val="24"/>
              </w:rPr>
              <w:t>(</w:t>
            </w:r>
            <w:r w:rsidR="00C8380B" w:rsidRPr="00C8550C">
              <w:rPr>
                <w:rFonts w:ascii="Book Antiqua" w:hAnsi="Book Antiqua"/>
                <w:sz w:val="24"/>
                <w:szCs w:val="24"/>
              </w:rPr>
              <w:t>6.9</w:t>
            </w:r>
            <w:r w:rsidRPr="00C8550C">
              <w:rPr>
                <w:rFonts w:ascii="Book Antiqua" w:hAnsi="Book Antiqua"/>
                <w:sz w:val="24"/>
                <w:szCs w:val="24"/>
              </w:rPr>
              <w:t>)</w:t>
            </w:r>
          </w:p>
        </w:tc>
        <w:tc>
          <w:tcPr>
            <w:tcW w:w="1035" w:type="dxa"/>
          </w:tcPr>
          <w:p w:rsidR="00835DED" w:rsidRPr="00C8550C" w:rsidRDefault="00835DED" w:rsidP="002C4C97">
            <w:pPr>
              <w:tabs>
                <w:tab w:val="right" w:pos="5295"/>
              </w:tabs>
              <w:adjustRightInd w:val="0"/>
              <w:snapToGrid w:val="0"/>
              <w:spacing w:after="0" w:line="360" w:lineRule="auto"/>
              <w:rPr>
                <w:rFonts w:ascii="Book Antiqua" w:hAnsi="Book Antiqua"/>
                <w:sz w:val="24"/>
                <w:szCs w:val="24"/>
              </w:rPr>
            </w:pPr>
            <w:r w:rsidRPr="00C8550C">
              <w:rPr>
                <w:rFonts w:ascii="Book Antiqua" w:hAnsi="Book Antiqua"/>
                <w:sz w:val="24"/>
                <w:szCs w:val="24"/>
              </w:rPr>
              <w:t>&gt;</w:t>
            </w:r>
            <w:r w:rsidR="004B18C8" w:rsidRPr="00C8550C">
              <w:rPr>
                <w:rFonts w:ascii="Book Antiqua" w:hAnsi="Book Antiqua"/>
                <w:sz w:val="24"/>
                <w:szCs w:val="24"/>
              </w:rPr>
              <w:t xml:space="preserve"> </w:t>
            </w:r>
            <w:r w:rsidRPr="00C8550C">
              <w:rPr>
                <w:rFonts w:ascii="Book Antiqua" w:hAnsi="Book Antiqua"/>
                <w:sz w:val="24"/>
                <w:szCs w:val="24"/>
              </w:rPr>
              <w:t>0.05</w:t>
            </w:r>
          </w:p>
        </w:tc>
      </w:tr>
      <w:tr w:rsidR="00360BD3" w:rsidRPr="00C8550C" w:rsidTr="005B6D15">
        <w:trPr>
          <w:trHeight w:val="215"/>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APHE</w:t>
            </w:r>
          </w:p>
        </w:tc>
        <w:tc>
          <w:tcPr>
            <w:tcW w:w="6152" w:type="dxa"/>
            <w:gridSpan w:val="3"/>
          </w:tcPr>
          <w:p w:rsidR="00835DED" w:rsidRPr="00C8550C" w:rsidRDefault="00835DED" w:rsidP="002C4C97">
            <w:pPr>
              <w:adjustRightInd w:val="0"/>
              <w:snapToGrid w:val="0"/>
              <w:spacing w:after="0" w:line="360" w:lineRule="auto"/>
              <w:rPr>
                <w:rFonts w:ascii="Book Antiqua" w:hAnsi="Book Antiqua"/>
                <w:sz w:val="24"/>
                <w:szCs w:val="24"/>
              </w:rPr>
            </w:pPr>
          </w:p>
        </w:tc>
      </w:tr>
      <w:tr w:rsidR="00360BD3" w:rsidRPr="00C8550C" w:rsidTr="005B6D15">
        <w:trPr>
          <w:trHeight w:val="215"/>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Homogeneous</w:t>
            </w:r>
          </w:p>
        </w:tc>
        <w:tc>
          <w:tcPr>
            <w:tcW w:w="2584" w:type="dxa"/>
          </w:tcPr>
          <w:p w:rsidR="00835DED" w:rsidRPr="00C8550C" w:rsidRDefault="00C8380B" w:rsidP="002C4C97">
            <w:pPr>
              <w:adjustRightInd w:val="0"/>
              <w:snapToGrid w:val="0"/>
              <w:spacing w:after="0" w:line="360" w:lineRule="auto"/>
              <w:rPr>
                <w:rFonts w:ascii="Book Antiqua" w:hAnsi="Book Antiqua"/>
                <w:i/>
                <w:sz w:val="24"/>
                <w:szCs w:val="24"/>
              </w:rPr>
            </w:pPr>
            <w:r w:rsidRPr="00C8550C">
              <w:rPr>
                <w:rFonts w:ascii="Book Antiqua" w:hAnsi="Book Antiqua"/>
                <w:sz w:val="24"/>
                <w:szCs w:val="24"/>
              </w:rPr>
              <w:t>15</w:t>
            </w:r>
            <w:r w:rsidR="002C4C97" w:rsidRPr="00C8550C">
              <w:rPr>
                <w:rFonts w:ascii="Book Antiqua" w:hAnsi="Book Antiqua"/>
                <w:sz w:val="24"/>
                <w:szCs w:val="24"/>
              </w:rPr>
              <w:t xml:space="preserve"> </w:t>
            </w:r>
            <w:r w:rsidRPr="00C8550C">
              <w:rPr>
                <w:rFonts w:ascii="Book Antiqua" w:hAnsi="Book Antiqua"/>
                <w:sz w:val="24"/>
                <w:szCs w:val="24"/>
              </w:rPr>
              <w:t>(15.2</w:t>
            </w:r>
            <w:r w:rsidR="00835DED" w:rsidRPr="00C8550C">
              <w:rPr>
                <w:rFonts w:ascii="Book Antiqua" w:hAnsi="Book Antiqua"/>
                <w:sz w:val="24"/>
                <w:szCs w:val="24"/>
              </w:rPr>
              <w:t>)</w:t>
            </w:r>
          </w:p>
        </w:tc>
        <w:tc>
          <w:tcPr>
            <w:tcW w:w="2533" w:type="dxa"/>
          </w:tcPr>
          <w:p w:rsidR="00835DED" w:rsidRPr="00C8550C" w:rsidRDefault="00C8380B"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48</w:t>
            </w:r>
            <w:r w:rsidR="002C4C97" w:rsidRPr="00C8550C">
              <w:rPr>
                <w:rFonts w:ascii="Book Antiqua" w:hAnsi="Book Antiqua"/>
                <w:sz w:val="24"/>
                <w:szCs w:val="24"/>
              </w:rPr>
              <w:t xml:space="preserve"> </w:t>
            </w:r>
            <w:r w:rsidRPr="00C8550C">
              <w:rPr>
                <w:rFonts w:ascii="Book Antiqua" w:hAnsi="Book Antiqua"/>
                <w:sz w:val="24"/>
                <w:szCs w:val="24"/>
              </w:rPr>
              <w:t>(37.2</w:t>
            </w:r>
            <w:r w:rsidR="00835DED" w:rsidRPr="00C8550C">
              <w:rPr>
                <w:rFonts w:ascii="Book Antiqua" w:hAnsi="Book Antiqua"/>
                <w:sz w:val="24"/>
                <w:szCs w:val="24"/>
              </w:rPr>
              <w:t>)</w:t>
            </w:r>
          </w:p>
        </w:tc>
        <w:tc>
          <w:tcPr>
            <w:tcW w:w="1035"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&lt;</w:t>
            </w:r>
            <w:r w:rsidR="004B18C8" w:rsidRPr="00C8550C">
              <w:rPr>
                <w:rFonts w:ascii="Book Antiqua" w:hAnsi="Book Antiqua"/>
                <w:sz w:val="24"/>
                <w:szCs w:val="24"/>
              </w:rPr>
              <w:t xml:space="preserve"> </w:t>
            </w:r>
            <w:r w:rsidRPr="00C8550C">
              <w:rPr>
                <w:rFonts w:ascii="Book Antiqua" w:hAnsi="Book Antiqua"/>
                <w:sz w:val="24"/>
                <w:szCs w:val="24"/>
              </w:rPr>
              <w:t>0.001</w:t>
            </w:r>
          </w:p>
        </w:tc>
      </w:tr>
      <w:tr w:rsidR="00360BD3" w:rsidRPr="00C8550C" w:rsidTr="005B6D15">
        <w:trPr>
          <w:trHeight w:val="215"/>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Heterogeneous</w:t>
            </w:r>
          </w:p>
        </w:tc>
        <w:tc>
          <w:tcPr>
            <w:tcW w:w="2584" w:type="dxa"/>
          </w:tcPr>
          <w:p w:rsidR="00835DED" w:rsidRPr="00C8550C" w:rsidRDefault="00D661A9" w:rsidP="002C4C97">
            <w:pPr>
              <w:adjustRightInd w:val="0"/>
              <w:snapToGrid w:val="0"/>
              <w:spacing w:after="0" w:line="360" w:lineRule="auto"/>
              <w:rPr>
                <w:rFonts w:ascii="Book Antiqua" w:hAnsi="Book Antiqua"/>
                <w:i/>
                <w:sz w:val="24"/>
                <w:szCs w:val="24"/>
              </w:rPr>
            </w:pPr>
            <w:r w:rsidRPr="00C8550C">
              <w:rPr>
                <w:rFonts w:ascii="Book Antiqua" w:hAnsi="Book Antiqua"/>
                <w:sz w:val="24"/>
                <w:szCs w:val="24"/>
              </w:rPr>
              <w:t>34</w:t>
            </w:r>
            <w:r w:rsidR="002C4C97" w:rsidRPr="00C8550C">
              <w:rPr>
                <w:rFonts w:ascii="Book Antiqua" w:hAnsi="Book Antiqua"/>
                <w:sz w:val="24"/>
                <w:szCs w:val="24"/>
              </w:rPr>
              <w:t xml:space="preserve"> </w:t>
            </w:r>
            <w:r w:rsidR="00C8380B" w:rsidRPr="00C8550C">
              <w:rPr>
                <w:rFonts w:ascii="Book Antiqua" w:hAnsi="Book Antiqua"/>
                <w:sz w:val="24"/>
                <w:szCs w:val="24"/>
              </w:rPr>
              <w:t>(34.3</w:t>
            </w:r>
            <w:r w:rsidR="00835DED" w:rsidRPr="00C8550C">
              <w:rPr>
                <w:rFonts w:ascii="Book Antiqua" w:hAnsi="Book Antiqua"/>
                <w:sz w:val="24"/>
                <w:szCs w:val="24"/>
              </w:rPr>
              <w:t>)</w:t>
            </w:r>
          </w:p>
        </w:tc>
        <w:tc>
          <w:tcPr>
            <w:tcW w:w="2533" w:type="dxa"/>
          </w:tcPr>
          <w:p w:rsidR="00835DED" w:rsidRPr="00C8550C" w:rsidRDefault="00D661A9"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60</w:t>
            </w:r>
            <w:r w:rsidR="002C4C97" w:rsidRPr="00C8550C">
              <w:rPr>
                <w:rFonts w:ascii="Book Antiqua" w:hAnsi="Book Antiqua"/>
                <w:sz w:val="24"/>
                <w:szCs w:val="24"/>
              </w:rPr>
              <w:t xml:space="preserve"> </w:t>
            </w:r>
            <w:r w:rsidR="00C8380B" w:rsidRPr="00C8550C">
              <w:rPr>
                <w:rFonts w:ascii="Book Antiqua" w:hAnsi="Book Antiqua"/>
                <w:sz w:val="24"/>
                <w:szCs w:val="24"/>
              </w:rPr>
              <w:t>(46.5</w:t>
            </w:r>
            <w:r w:rsidR="00835DED" w:rsidRPr="00C8550C">
              <w:rPr>
                <w:rFonts w:ascii="Book Antiqua" w:hAnsi="Book Antiqua"/>
                <w:sz w:val="24"/>
                <w:szCs w:val="24"/>
              </w:rPr>
              <w:t>)</w:t>
            </w:r>
          </w:p>
        </w:tc>
        <w:tc>
          <w:tcPr>
            <w:tcW w:w="1035" w:type="dxa"/>
          </w:tcPr>
          <w:p w:rsidR="00835DED" w:rsidRPr="00C8550C" w:rsidRDefault="00C8380B"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&gt; 0.05</w:t>
            </w:r>
          </w:p>
        </w:tc>
      </w:tr>
      <w:tr w:rsidR="00360BD3" w:rsidRPr="00C8550C" w:rsidTr="005B6D15">
        <w:trPr>
          <w:trHeight w:val="319"/>
        </w:trPr>
        <w:tc>
          <w:tcPr>
            <w:tcW w:w="3454" w:type="dxa"/>
          </w:tcPr>
          <w:p w:rsidR="00835DED" w:rsidRPr="00C8550C" w:rsidRDefault="00835DED" w:rsidP="002C4C97">
            <w:pPr>
              <w:adjustRightInd w:val="0"/>
              <w:snapToGrid w:val="0"/>
              <w:spacing w:after="0" w:line="360" w:lineRule="auto"/>
              <w:rPr>
                <w:rFonts w:ascii="Book Antiqua" w:hAnsi="Book Antiqua"/>
                <w:iCs/>
                <w:sz w:val="24"/>
                <w:szCs w:val="24"/>
              </w:rPr>
            </w:pPr>
            <w:r w:rsidRPr="00C8550C">
              <w:rPr>
                <w:rFonts w:ascii="Book Antiqua" w:hAnsi="Book Antiqua"/>
                <w:iCs/>
                <w:sz w:val="24"/>
                <w:szCs w:val="24"/>
              </w:rPr>
              <w:t>Rim</w:t>
            </w:r>
          </w:p>
        </w:tc>
        <w:tc>
          <w:tcPr>
            <w:tcW w:w="2584" w:type="dxa"/>
          </w:tcPr>
          <w:p w:rsidR="00835DED" w:rsidRPr="00C8550C" w:rsidRDefault="00C8380B"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50 (50.5</w:t>
            </w:r>
            <w:r w:rsidR="00835DED" w:rsidRPr="00C8550C">
              <w:rPr>
                <w:rFonts w:ascii="Book Antiqua" w:hAnsi="Book Antiqua"/>
                <w:sz w:val="24"/>
                <w:szCs w:val="24"/>
              </w:rPr>
              <w:t>)</w:t>
            </w:r>
          </w:p>
        </w:tc>
        <w:tc>
          <w:tcPr>
            <w:tcW w:w="2533" w:type="dxa"/>
          </w:tcPr>
          <w:p w:rsidR="00835DED" w:rsidRPr="00C8550C" w:rsidRDefault="00AA160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21</w:t>
            </w:r>
            <w:r w:rsidR="002C4C97" w:rsidRPr="00C8550C">
              <w:rPr>
                <w:rFonts w:ascii="Book Antiqua" w:hAnsi="Book Antiqua"/>
                <w:sz w:val="24"/>
                <w:szCs w:val="24"/>
              </w:rPr>
              <w:t xml:space="preserve"> </w:t>
            </w:r>
            <w:r w:rsidR="00C8380B" w:rsidRPr="00C8550C">
              <w:rPr>
                <w:rFonts w:ascii="Book Antiqua" w:hAnsi="Book Antiqua"/>
                <w:sz w:val="24"/>
                <w:szCs w:val="24"/>
              </w:rPr>
              <w:t>(16.3</w:t>
            </w:r>
            <w:r w:rsidR="00835DED" w:rsidRPr="00C8550C">
              <w:rPr>
                <w:rFonts w:ascii="Book Antiqua" w:hAnsi="Book Antiqua"/>
                <w:sz w:val="24"/>
                <w:szCs w:val="24"/>
              </w:rPr>
              <w:t>)</w:t>
            </w:r>
          </w:p>
        </w:tc>
        <w:tc>
          <w:tcPr>
            <w:tcW w:w="1035" w:type="dxa"/>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&lt;</w:t>
            </w:r>
            <w:r w:rsidR="00C8380B" w:rsidRPr="00C8550C">
              <w:rPr>
                <w:rFonts w:ascii="Book Antiqua" w:hAnsi="Book Antiqua"/>
                <w:sz w:val="24"/>
                <w:szCs w:val="24"/>
              </w:rPr>
              <w:t xml:space="preserve"> </w:t>
            </w:r>
            <w:r w:rsidRPr="00C8550C">
              <w:rPr>
                <w:rFonts w:ascii="Book Antiqua" w:hAnsi="Book Antiqua"/>
                <w:sz w:val="24"/>
                <w:szCs w:val="24"/>
              </w:rPr>
              <w:t>0.001</w:t>
            </w:r>
          </w:p>
        </w:tc>
      </w:tr>
      <w:tr w:rsidR="00360BD3" w:rsidRPr="00C8550C" w:rsidTr="005B6D15">
        <w:trPr>
          <w:trHeight w:val="65"/>
        </w:trPr>
        <w:tc>
          <w:tcPr>
            <w:tcW w:w="3454" w:type="dxa"/>
            <w:tcBorders>
              <w:bottom w:val="nil"/>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Early washout (onset &lt;</w:t>
            </w:r>
            <w:r w:rsidR="00A12199" w:rsidRPr="00C8550C">
              <w:rPr>
                <w:rFonts w:ascii="Book Antiqua" w:hAnsi="Book Antiqua"/>
                <w:sz w:val="24"/>
                <w:szCs w:val="24"/>
              </w:rPr>
              <w:t xml:space="preserve"> </w:t>
            </w:r>
            <w:r w:rsidRPr="00C8550C">
              <w:rPr>
                <w:rFonts w:ascii="Book Antiqua" w:hAnsi="Book Antiqua"/>
                <w:sz w:val="24"/>
                <w:szCs w:val="24"/>
              </w:rPr>
              <w:t>60 s)</w:t>
            </w:r>
          </w:p>
        </w:tc>
        <w:tc>
          <w:tcPr>
            <w:tcW w:w="2584" w:type="dxa"/>
            <w:tcBorders>
              <w:bottom w:val="nil"/>
            </w:tcBorders>
          </w:tcPr>
          <w:p w:rsidR="00835DED" w:rsidRPr="00C8550C" w:rsidRDefault="00C8380B" w:rsidP="002C4C97">
            <w:pPr>
              <w:tabs>
                <w:tab w:val="center" w:pos="884"/>
              </w:tabs>
              <w:adjustRightInd w:val="0"/>
              <w:snapToGrid w:val="0"/>
              <w:spacing w:after="0" w:line="360" w:lineRule="auto"/>
              <w:rPr>
                <w:rFonts w:ascii="Book Antiqua" w:hAnsi="Book Antiqua"/>
                <w:sz w:val="24"/>
                <w:szCs w:val="24"/>
              </w:rPr>
            </w:pPr>
            <w:r w:rsidRPr="00C8550C">
              <w:rPr>
                <w:rFonts w:ascii="Book Antiqua" w:hAnsi="Book Antiqua"/>
                <w:sz w:val="24"/>
                <w:szCs w:val="24"/>
              </w:rPr>
              <w:t>93</w:t>
            </w:r>
            <w:r w:rsidR="002C4C97" w:rsidRPr="00C8550C">
              <w:rPr>
                <w:rFonts w:ascii="Book Antiqua" w:hAnsi="Book Antiqua"/>
                <w:sz w:val="24"/>
                <w:szCs w:val="24"/>
              </w:rPr>
              <w:t xml:space="preserve"> </w:t>
            </w:r>
            <w:r w:rsidRPr="00C8550C">
              <w:rPr>
                <w:rFonts w:ascii="Book Antiqua" w:hAnsi="Book Antiqua"/>
                <w:sz w:val="24"/>
                <w:szCs w:val="24"/>
              </w:rPr>
              <w:t>(93.4</w:t>
            </w:r>
            <w:r w:rsidR="00835DED" w:rsidRPr="00C8550C">
              <w:rPr>
                <w:rFonts w:ascii="Book Antiqua" w:hAnsi="Book Antiqua"/>
                <w:sz w:val="24"/>
                <w:szCs w:val="24"/>
              </w:rPr>
              <w:t>)</w:t>
            </w:r>
          </w:p>
        </w:tc>
        <w:tc>
          <w:tcPr>
            <w:tcW w:w="2533" w:type="dxa"/>
            <w:tcBorders>
              <w:bottom w:val="nil"/>
            </w:tcBorders>
          </w:tcPr>
          <w:p w:rsidR="00835DED" w:rsidRPr="00C8550C" w:rsidRDefault="00C8380B"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124</w:t>
            </w:r>
            <w:r w:rsidR="002C4C97" w:rsidRPr="00C8550C">
              <w:rPr>
                <w:rFonts w:ascii="Book Antiqua" w:hAnsi="Book Antiqua"/>
                <w:sz w:val="24"/>
                <w:szCs w:val="24"/>
              </w:rPr>
              <w:t xml:space="preserve"> </w:t>
            </w:r>
            <w:r w:rsidRPr="00C8550C">
              <w:rPr>
                <w:rFonts w:ascii="Book Antiqua" w:hAnsi="Book Antiqua"/>
                <w:sz w:val="24"/>
                <w:szCs w:val="24"/>
              </w:rPr>
              <w:t>(96.1</w:t>
            </w:r>
            <w:r w:rsidR="00835DED" w:rsidRPr="00C8550C">
              <w:rPr>
                <w:rFonts w:ascii="Book Antiqua" w:hAnsi="Book Antiqua"/>
                <w:sz w:val="24"/>
                <w:szCs w:val="24"/>
              </w:rPr>
              <w:t>)</w:t>
            </w:r>
          </w:p>
        </w:tc>
        <w:tc>
          <w:tcPr>
            <w:tcW w:w="1035" w:type="dxa"/>
            <w:tcBorders>
              <w:bottom w:val="nil"/>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&gt;</w:t>
            </w:r>
            <w:r w:rsidR="00C8380B" w:rsidRPr="00C8550C">
              <w:rPr>
                <w:rFonts w:ascii="Book Antiqua" w:hAnsi="Book Antiqua"/>
                <w:sz w:val="24"/>
                <w:szCs w:val="24"/>
              </w:rPr>
              <w:t xml:space="preserve"> </w:t>
            </w:r>
            <w:r w:rsidRPr="00C8550C">
              <w:rPr>
                <w:rFonts w:ascii="Book Antiqua" w:hAnsi="Book Antiqua"/>
                <w:sz w:val="24"/>
                <w:szCs w:val="24"/>
              </w:rPr>
              <w:t>0.05</w:t>
            </w:r>
          </w:p>
        </w:tc>
      </w:tr>
      <w:tr w:rsidR="00360BD3" w:rsidRPr="00C8550C" w:rsidTr="005B6D15">
        <w:trPr>
          <w:trHeight w:val="241"/>
        </w:trPr>
        <w:tc>
          <w:tcPr>
            <w:tcW w:w="3454" w:type="dxa"/>
            <w:tcBorders>
              <w:top w:val="nil"/>
              <w:bottom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Marked washout within 120 s</w:t>
            </w:r>
          </w:p>
        </w:tc>
        <w:tc>
          <w:tcPr>
            <w:tcW w:w="2584" w:type="dxa"/>
            <w:tcBorders>
              <w:top w:val="nil"/>
              <w:bottom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23</w:t>
            </w:r>
            <w:r w:rsidR="002C4C97" w:rsidRPr="00C8550C">
              <w:rPr>
                <w:rFonts w:ascii="Book Antiqua" w:hAnsi="Book Antiqua"/>
                <w:sz w:val="24"/>
                <w:szCs w:val="24"/>
              </w:rPr>
              <w:t xml:space="preserve"> </w:t>
            </w:r>
            <w:r w:rsidR="00C8380B" w:rsidRPr="00C8550C">
              <w:rPr>
                <w:rFonts w:ascii="Book Antiqua" w:hAnsi="Book Antiqua"/>
                <w:sz w:val="24"/>
                <w:szCs w:val="24"/>
              </w:rPr>
              <w:t>(23.2</w:t>
            </w:r>
            <w:r w:rsidRPr="00C8550C">
              <w:rPr>
                <w:rFonts w:ascii="Book Antiqua" w:hAnsi="Book Antiqua"/>
                <w:sz w:val="24"/>
                <w:szCs w:val="24"/>
              </w:rPr>
              <w:t>)</w:t>
            </w:r>
          </w:p>
        </w:tc>
        <w:tc>
          <w:tcPr>
            <w:tcW w:w="2533" w:type="dxa"/>
            <w:tcBorders>
              <w:top w:val="nil"/>
              <w:bottom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10</w:t>
            </w:r>
            <w:r w:rsidR="002C4C97" w:rsidRPr="00C8550C">
              <w:rPr>
                <w:rFonts w:ascii="Book Antiqua" w:hAnsi="Book Antiqua"/>
                <w:sz w:val="24"/>
                <w:szCs w:val="24"/>
              </w:rPr>
              <w:t xml:space="preserve"> </w:t>
            </w:r>
            <w:r w:rsidR="00C8380B" w:rsidRPr="00C8550C">
              <w:rPr>
                <w:rFonts w:ascii="Book Antiqua" w:hAnsi="Book Antiqua"/>
                <w:sz w:val="24"/>
                <w:szCs w:val="24"/>
              </w:rPr>
              <w:t>(7.8</w:t>
            </w:r>
            <w:r w:rsidRPr="00C8550C">
              <w:rPr>
                <w:rFonts w:ascii="Book Antiqua" w:hAnsi="Book Antiqua"/>
                <w:sz w:val="24"/>
                <w:szCs w:val="24"/>
              </w:rPr>
              <w:t>)</w:t>
            </w:r>
          </w:p>
        </w:tc>
        <w:tc>
          <w:tcPr>
            <w:tcW w:w="1035" w:type="dxa"/>
            <w:tcBorders>
              <w:top w:val="nil"/>
              <w:bottom w:val="single" w:sz="4" w:space="0" w:color="auto"/>
            </w:tcBorders>
          </w:tcPr>
          <w:p w:rsidR="00835DED" w:rsidRPr="00C8550C" w:rsidRDefault="00835DED" w:rsidP="002C4C97">
            <w:pPr>
              <w:adjustRightInd w:val="0"/>
              <w:snapToGrid w:val="0"/>
              <w:spacing w:after="0" w:line="360" w:lineRule="auto"/>
              <w:rPr>
                <w:rFonts w:ascii="Book Antiqua" w:hAnsi="Book Antiqua"/>
                <w:sz w:val="24"/>
                <w:szCs w:val="24"/>
              </w:rPr>
            </w:pPr>
            <w:r w:rsidRPr="00C8550C">
              <w:rPr>
                <w:rFonts w:ascii="Book Antiqua" w:hAnsi="Book Antiqua"/>
                <w:sz w:val="24"/>
                <w:szCs w:val="24"/>
              </w:rPr>
              <w:t>=</w:t>
            </w:r>
            <w:r w:rsidR="00C8380B" w:rsidRPr="00C8550C">
              <w:rPr>
                <w:rFonts w:ascii="Book Antiqua" w:hAnsi="Book Antiqua"/>
                <w:sz w:val="24"/>
                <w:szCs w:val="24"/>
              </w:rPr>
              <w:t xml:space="preserve"> </w:t>
            </w:r>
            <w:r w:rsidRPr="00C8550C">
              <w:rPr>
                <w:rFonts w:ascii="Book Antiqua" w:hAnsi="Book Antiqua"/>
                <w:sz w:val="24"/>
                <w:szCs w:val="24"/>
              </w:rPr>
              <w:t>0.002</w:t>
            </w:r>
          </w:p>
        </w:tc>
      </w:tr>
    </w:tbl>
    <w:p w:rsidR="00360BD3" w:rsidRPr="00C8550C" w:rsidRDefault="00360BD3" w:rsidP="00122AF4">
      <w:pPr>
        <w:adjustRightInd w:val="0"/>
        <w:snapToGrid w:val="0"/>
        <w:spacing w:after="0" w:line="360" w:lineRule="auto"/>
        <w:rPr>
          <w:rFonts w:ascii="Book Antiqua" w:hAnsi="Book Antiqua"/>
          <w:sz w:val="24"/>
          <w:szCs w:val="24"/>
        </w:rPr>
      </w:pPr>
      <w:r w:rsidRPr="00C8550C">
        <w:rPr>
          <w:rFonts w:ascii="Book Antiqua" w:hAnsi="Book Antiqua"/>
          <w:sz w:val="24"/>
          <w:szCs w:val="24"/>
        </w:rPr>
        <w:t>ICC: Intrahepatic cholangiocarcinoma; HCC: Hepatocellular carcinoma; APHE: Arterial phase hyperenhancement.</w:t>
      </w:r>
    </w:p>
    <w:p w:rsidR="002C4C97" w:rsidRPr="00C8550C" w:rsidRDefault="002C4C97" w:rsidP="00122AF4">
      <w:pPr>
        <w:adjustRightInd w:val="0"/>
        <w:snapToGrid w:val="0"/>
        <w:spacing w:after="0" w:line="360" w:lineRule="auto"/>
        <w:rPr>
          <w:rFonts w:ascii="Book Antiqua" w:hAnsi="Book Antiqua"/>
          <w:sz w:val="24"/>
          <w:szCs w:val="24"/>
        </w:rPr>
      </w:pPr>
    </w:p>
    <w:p w:rsidR="004E7DF4" w:rsidRPr="00C8550C" w:rsidRDefault="004E7DF4" w:rsidP="00122AF4">
      <w:pPr>
        <w:adjustRightInd w:val="0"/>
        <w:snapToGrid w:val="0"/>
        <w:spacing w:after="0" w:line="360" w:lineRule="auto"/>
        <w:rPr>
          <w:rFonts w:ascii="Book Antiqua" w:hAnsi="Book Antiqua"/>
          <w:sz w:val="24"/>
          <w:szCs w:val="24"/>
        </w:rPr>
        <w:sectPr w:rsidR="004E7DF4" w:rsidRPr="00C8550C">
          <w:headerReference w:type="even" r:id="rId31"/>
          <w:headerReference w:type="default" r:id="rId32"/>
          <w:footerReference w:type="default" r:id="rId33"/>
          <w:pgSz w:w="11906" w:h="16838"/>
          <w:pgMar w:top="1440" w:right="1080" w:bottom="1440" w:left="1080" w:header="851" w:footer="992" w:gutter="0"/>
          <w:cols w:space="720"/>
          <w:docGrid w:type="lines" w:linePitch="312"/>
        </w:sectPr>
      </w:pPr>
    </w:p>
    <w:p w:rsidR="00047C20" w:rsidRPr="00C8550C" w:rsidRDefault="00047C20" w:rsidP="00122AF4">
      <w:pPr>
        <w:adjustRightInd w:val="0"/>
        <w:snapToGrid w:val="0"/>
        <w:spacing w:after="0" w:line="360" w:lineRule="auto"/>
        <w:rPr>
          <w:rFonts w:ascii="Book Antiqua" w:hAnsi="Book Antiqua"/>
          <w:sz w:val="24"/>
          <w:szCs w:val="24"/>
        </w:rPr>
      </w:pPr>
    </w:p>
    <w:tbl>
      <w:tblPr>
        <w:tblW w:w="5000" w:type="pct"/>
        <w:jc w:val="right"/>
        <w:tblInd w:w="0" w:type="dxa"/>
        <w:tblBorders>
          <w:insideH w:val="single" w:sz="4" w:space="0" w:color="auto"/>
          <w:insideV w:val="single" w:sz="4" w:space="0" w:color="auto"/>
        </w:tblBorders>
        <w:tblLook w:val="0000" w:firstRow="0" w:lastRow="0" w:firstColumn="0" w:lastColumn="0" w:noHBand="0" w:noVBand="0"/>
      </w:tblPr>
      <w:tblGrid>
        <w:gridCol w:w="959"/>
        <w:gridCol w:w="1324"/>
        <w:gridCol w:w="974"/>
        <w:gridCol w:w="974"/>
        <w:gridCol w:w="1205"/>
        <w:gridCol w:w="1207"/>
        <w:gridCol w:w="964"/>
        <w:gridCol w:w="952"/>
        <w:gridCol w:w="1403"/>
      </w:tblGrid>
      <w:tr w:rsidR="00835DED" w:rsidRPr="00C8550C" w:rsidTr="00403865">
        <w:trPr>
          <w:trHeight w:val="1019"/>
          <w:jc w:val="right"/>
        </w:trPr>
        <w:tc>
          <w:tcPr>
            <w:tcW w:w="481" w:type="pct"/>
            <w:vMerge w:val="restart"/>
            <w:tcBorders>
              <w:top w:val="nil"/>
              <w:left w:val="nil"/>
            </w:tcBorders>
            <w:textDirection w:val="btLr"/>
          </w:tcPr>
          <w:p w:rsidR="00835DED" w:rsidRPr="00C8550C" w:rsidRDefault="00835DED" w:rsidP="00EA7316">
            <w:pPr>
              <w:adjustRightInd w:val="0"/>
              <w:snapToGrid w:val="0"/>
              <w:spacing w:after="0" w:line="360" w:lineRule="auto"/>
              <w:rPr>
                <w:rFonts w:ascii="Book Antiqua" w:hAnsi="Book Antiqua"/>
                <w:b/>
                <w:bCs/>
                <w:sz w:val="24"/>
                <w:szCs w:val="24"/>
              </w:rPr>
            </w:pPr>
            <w:r w:rsidRPr="00C8550C">
              <w:rPr>
                <w:rFonts w:ascii="Book Antiqua" w:hAnsi="Book Antiqua"/>
                <w:b/>
                <w:bCs/>
                <w:sz w:val="24"/>
                <w:szCs w:val="24"/>
              </w:rPr>
              <w:t>Table 3</w:t>
            </w:r>
            <w:r w:rsidR="002F640B" w:rsidRPr="00C8550C">
              <w:rPr>
                <w:rFonts w:ascii="Book Antiqua" w:hAnsi="Book Antiqua"/>
                <w:b/>
                <w:bCs/>
                <w:sz w:val="24"/>
                <w:szCs w:val="24"/>
              </w:rPr>
              <w:t xml:space="preserve"> </w:t>
            </w:r>
            <w:r w:rsidRPr="00C8550C">
              <w:rPr>
                <w:rFonts w:ascii="Book Antiqua" w:hAnsi="Book Antiqua"/>
                <w:b/>
                <w:bCs/>
                <w:sz w:val="24"/>
                <w:szCs w:val="24"/>
              </w:rPr>
              <w:t xml:space="preserve">Comparison of the LR-M features between </w:t>
            </w:r>
            <w:r w:rsidR="00403865" w:rsidRPr="00C8550C">
              <w:rPr>
                <w:rFonts w:ascii="Book Antiqua" w:hAnsi="Book Antiqua"/>
                <w:b/>
                <w:bCs/>
                <w:sz w:val="24"/>
                <w:szCs w:val="24"/>
              </w:rPr>
              <w:t xml:space="preserve">intrahepatic cholangiocarcinoma </w:t>
            </w:r>
            <w:r w:rsidRPr="00C8550C">
              <w:rPr>
                <w:rFonts w:ascii="Book Antiqua" w:hAnsi="Book Antiqua"/>
                <w:b/>
                <w:bCs/>
                <w:sz w:val="24"/>
                <w:szCs w:val="24"/>
              </w:rPr>
              <w:t xml:space="preserve">and LR-M </w:t>
            </w:r>
            <w:r w:rsidR="00403865" w:rsidRPr="00C8550C">
              <w:rPr>
                <w:rFonts w:ascii="Book Antiqua" w:hAnsi="Book Antiqua"/>
                <w:b/>
                <w:bCs/>
                <w:sz w:val="24"/>
                <w:szCs w:val="24"/>
              </w:rPr>
              <w:t>hepatocellular carcinoma</w:t>
            </w:r>
          </w:p>
        </w:tc>
        <w:tc>
          <w:tcPr>
            <w:tcW w:w="664" w:type="pct"/>
            <w:vMerge w:val="restart"/>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 xml:space="preserve">APHE </w:t>
            </w:r>
            <w:r w:rsidR="000D7CDE" w:rsidRPr="00C8550C">
              <w:rPr>
                <w:rFonts w:ascii="Book Antiqua" w:hAnsi="Book Antiqua"/>
                <w:kern w:val="0"/>
                <w:sz w:val="24"/>
                <w:szCs w:val="24"/>
              </w:rPr>
              <w:t>+</w:t>
            </w:r>
            <w:r w:rsidRPr="00C8550C">
              <w:rPr>
                <w:rFonts w:ascii="Book Antiqua" w:hAnsi="Book Antiqua"/>
                <w:kern w:val="0"/>
                <w:sz w:val="24"/>
                <w:szCs w:val="24"/>
              </w:rPr>
              <w:t xml:space="preserve"> early </w:t>
            </w:r>
            <w:r w:rsidR="008974F4" w:rsidRPr="00C8550C">
              <w:rPr>
                <w:rFonts w:ascii="Book Antiqua" w:hAnsi="Book Antiqua"/>
                <w:kern w:val="0"/>
                <w:sz w:val="24"/>
                <w:szCs w:val="24"/>
              </w:rPr>
              <w:t>and</w:t>
            </w:r>
            <w:r w:rsidRPr="00C8550C">
              <w:rPr>
                <w:rFonts w:ascii="Book Antiqua" w:hAnsi="Book Antiqua"/>
                <w:kern w:val="0"/>
                <w:sz w:val="24"/>
                <w:szCs w:val="24"/>
              </w:rPr>
              <w:t xml:space="preserve"> marked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122</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5.4</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&gt;</w:t>
            </w:r>
            <w:r w:rsidR="006C3A9B" w:rsidRPr="00C8550C">
              <w:rPr>
                <w:rFonts w:ascii="Book Antiqua" w:hAnsi="Book Antiqua"/>
                <w:bCs/>
                <w:sz w:val="24"/>
                <w:szCs w:val="24"/>
              </w:rPr>
              <w:t xml:space="preserve"> </w:t>
            </w:r>
            <w:r w:rsidRPr="00C8550C">
              <w:rPr>
                <w:rFonts w:ascii="Book Antiqua" w:hAnsi="Book Antiqua"/>
                <w:bCs/>
                <w:sz w:val="24"/>
                <w:szCs w:val="24"/>
              </w:rPr>
              <w:t>0.05</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-5.2%-9.4%</w:t>
            </w:r>
          </w:p>
        </w:tc>
        <w:tc>
          <w:tcPr>
            <w:tcW w:w="705" w:type="pct"/>
            <w:vMerge w:val="restart"/>
            <w:tcBorders>
              <w:top w:val="nil"/>
            </w:tcBorders>
            <w:textDirection w:val="btLr"/>
          </w:tcPr>
          <w:p w:rsidR="00835DED" w:rsidRPr="00C8550C" w:rsidRDefault="0075472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ICC:</w:t>
            </w:r>
            <w:r w:rsidR="00835DED" w:rsidRPr="00C8550C">
              <w:rPr>
                <w:rFonts w:ascii="Book Antiqua" w:hAnsi="Book Antiqua"/>
                <w:sz w:val="24"/>
                <w:szCs w:val="24"/>
              </w:rPr>
              <w:t xml:space="preserve"> </w:t>
            </w:r>
            <w:r w:rsidR="00D8280A" w:rsidRPr="00C8550C">
              <w:rPr>
                <w:rFonts w:ascii="Book Antiqua" w:hAnsi="Book Antiqua"/>
                <w:sz w:val="24"/>
                <w:szCs w:val="24"/>
              </w:rPr>
              <w:t>I</w:t>
            </w:r>
            <w:r w:rsidRPr="00C8550C">
              <w:rPr>
                <w:rFonts w:ascii="Book Antiqua" w:hAnsi="Book Antiqua"/>
                <w:sz w:val="24"/>
                <w:szCs w:val="24"/>
              </w:rPr>
              <w:t xml:space="preserve">ntrahepatic cholangiocarcinoma; HCC: </w:t>
            </w:r>
            <w:r w:rsidR="00D8280A" w:rsidRPr="00C8550C">
              <w:rPr>
                <w:rFonts w:ascii="Book Antiqua" w:hAnsi="Book Antiqua"/>
                <w:sz w:val="24"/>
                <w:szCs w:val="24"/>
              </w:rPr>
              <w:t>H</w:t>
            </w:r>
            <w:r w:rsidRPr="00C8550C">
              <w:rPr>
                <w:rFonts w:ascii="Book Antiqua" w:hAnsi="Book Antiqua"/>
                <w:sz w:val="24"/>
                <w:szCs w:val="24"/>
              </w:rPr>
              <w:t>epatocellular carcinoma;</w:t>
            </w:r>
            <w:r w:rsidR="00835DED" w:rsidRPr="00C8550C">
              <w:rPr>
                <w:rFonts w:ascii="Book Antiqua" w:hAnsi="Book Antiqua"/>
                <w:sz w:val="24"/>
                <w:szCs w:val="24"/>
              </w:rPr>
              <w:t xml:space="preserve"> CEU</w:t>
            </w:r>
            <w:r w:rsidRPr="00C8550C">
              <w:rPr>
                <w:rFonts w:ascii="Book Antiqua" w:hAnsi="Book Antiqua"/>
                <w:sz w:val="24"/>
                <w:szCs w:val="24"/>
              </w:rPr>
              <w:t xml:space="preserve">S: </w:t>
            </w:r>
            <w:r w:rsidR="00D8280A" w:rsidRPr="00C8550C">
              <w:rPr>
                <w:rFonts w:ascii="Book Antiqua" w:hAnsi="Book Antiqua"/>
                <w:sz w:val="24"/>
                <w:szCs w:val="24"/>
              </w:rPr>
              <w:t>C</w:t>
            </w:r>
            <w:r w:rsidRPr="00C8550C">
              <w:rPr>
                <w:rFonts w:ascii="Book Antiqua" w:hAnsi="Book Antiqua"/>
                <w:sz w:val="24"/>
                <w:szCs w:val="24"/>
              </w:rPr>
              <w:t>ontrast enhanced ultrasound; LI-RADS:</w:t>
            </w:r>
            <w:r w:rsidR="00835DED" w:rsidRPr="00C8550C">
              <w:rPr>
                <w:rFonts w:ascii="Book Antiqua" w:hAnsi="Book Antiqua"/>
                <w:sz w:val="24"/>
                <w:szCs w:val="24"/>
              </w:rPr>
              <w:t xml:space="preserve"> </w:t>
            </w:r>
            <w:r w:rsidR="00D8280A" w:rsidRPr="00C8550C">
              <w:rPr>
                <w:rFonts w:ascii="Book Antiqua" w:hAnsi="Book Antiqua"/>
                <w:sz w:val="24"/>
                <w:szCs w:val="24"/>
              </w:rPr>
              <w:t>L</w:t>
            </w:r>
            <w:r w:rsidR="00835DED" w:rsidRPr="00C8550C">
              <w:rPr>
                <w:rFonts w:ascii="Book Antiqua" w:hAnsi="Book Antiqua"/>
                <w:sz w:val="24"/>
                <w:szCs w:val="24"/>
              </w:rPr>
              <w:t xml:space="preserve">iver imaging reporting and data system. </w:t>
            </w:r>
            <w:r w:rsidRPr="00C8550C">
              <w:rPr>
                <w:rFonts w:ascii="Book Antiqua" w:hAnsi="Book Antiqua"/>
                <w:kern w:val="0"/>
                <w:sz w:val="24"/>
                <w:szCs w:val="24"/>
              </w:rPr>
              <w:t>APHE:</w:t>
            </w:r>
            <w:r w:rsidR="00835DED" w:rsidRPr="00C8550C">
              <w:rPr>
                <w:rFonts w:ascii="Book Antiqua" w:hAnsi="Book Antiqua"/>
                <w:kern w:val="0"/>
                <w:sz w:val="24"/>
                <w:szCs w:val="24"/>
              </w:rPr>
              <w:t xml:space="preserve"> </w:t>
            </w:r>
            <w:r w:rsidR="00D8280A" w:rsidRPr="00C8550C">
              <w:rPr>
                <w:rFonts w:ascii="Book Antiqua" w:hAnsi="Book Antiqua"/>
                <w:kern w:val="0"/>
                <w:sz w:val="24"/>
                <w:szCs w:val="24"/>
              </w:rPr>
              <w:t>A</w:t>
            </w:r>
            <w:r w:rsidR="00835DED" w:rsidRPr="00C8550C">
              <w:rPr>
                <w:rFonts w:ascii="Book Antiqua" w:hAnsi="Book Antiqua"/>
                <w:kern w:val="0"/>
                <w:sz w:val="24"/>
                <w:szCs w:val="24"/>
              </w:rPr>
              <w:t>rte</w:t>
            </w:r>
            <w:r w:rsidRPr="00C8550C">
              <w:rPr>
                <w:rFonts w:ascii="Book Antiqua" w:hAnsi="Book Antiqua"/>
                <w:kern w:val="0"/>
                <w:sz w:val="24"/>
                <w:szCs w:val="24"/>
              </w:rPr>
              <w:t>rial phase hyperenhancement; 95% CI:</w:t>
            </w:r>
            <w:r w:rsidR="00835DED" w:rsidRPr="00C8550C">
              <w:rPr>
                <w:rFonts w:ascii="Book Antiqua" w:hAnsi="Book Antiqua"/>
                <w:kern w:val="0"/>
                <w:sz w:val="24"/>
                <w:szCs w:val="24"/>
              </w:rPr>
              <w:t xml:space="preserve"> 95% confidence interval.</w:t>
            </w:r>
          </w:p>
        </w:tc>
      </w:tr>
      <w:tr w:rsidR="00835DED" w:rsidRPr="00C8550C" w:rsidTr="00403865">
        <w:trPr>
          <w:trHeight w:val="649"/>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92</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7.1</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829"/>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val="restart"/>
            <w:tcBorders>
              <w:top w:val="nil"/>
              <w:bottom w:val="nil"/>
              <w:right w:val="single" w:sz="4" w:space="0" w:color="auto"/>
            </w:tcBorders>
            <w:textDirection w:val="btLr"/>
          </w:tcPr>
          <w:p w:rsidR="00835DED" w:rsidRPr="00C8550C" w:rsidRDefault="002F640B"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R</w:t>
            </w:r>
            <w:r w:rsidR="00835DED" w:rsidRPr="00C8550C">
              <w:rPr>
                <w:rFonts w:ascii="Book Antiqua" w:hAnsi="Book Antiqua"/>
                <w:kern w:val="0"/>
                <w:sz w:val="24"/>
                <w:szCs w:val="24"/>
              </w:rPr>
              <w:t xml:space="preserve">im APHE </w:t>
            </w:r>
            <w:r w:rsidR="000D7CDE" w:rsidRPr="00C8550C">
              <w:rPr>
                <w:rFonts w:ascii="Book Antiqua" w:hAnsi="Book Antiqua"/>
                <w:kern w:val="0"/>
                <w:sz w:val="24"/>
                <w:szCs w:val="24"/>
              </w:rPr>
              <w:t>+</w:t>
            </w:r>
            <w:r w:rsidR="00835DED" w:rsidRPr="00C8550C">
              <w:rPr>
                <w:rFonts w:ascii="Book Antiqua" w:hAnsi="Book Antiqua"/>
                <w:kern w:val="0"/>
                <w:sz w:val="24"/>
                <w:szCs w:val="24"/>
              </w:rPr>
              <w:t xml:space="preserve"> late </w:t>
            </w:r>
            <w:r w:rsidR="008974F4" w:rsidRPr="00C8550C">
              <w:rPr>
                <w:rFonts w:ascii="Book Antiqua" w:hAnsi="Book Antiqua"/>
                <w:kern w:val="0"/>
                <w:sz w:val="24"/>
                <w:szCs w:val="24"/>
              </w:rPr>
              <w:t>and</w:t>
            </w:r>
            <w:r w:rsidR="00835DED" w:rsidRPr="00C8550C">
              <w:rPr>
                <w:rFonts w:ascii="Book Antiqua" w:hAnsi="Book Antiqua"/>
                <w:kern w:val="0"/>
                <w:sz w:val="24"/>
                <w:szCs w:val="24"/>
              </w:rPr>
              <w:t xml:space="preserve"> marked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129</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&gt;</w:t>
            </w:r>
            <w:r w:rsidR="006C3A9B" w:rsidRPr="00C8550C">
              <w:rPr>
                <w:rFonts w:ascii="Book Antiqua" w:hAnsi="Book Antiqua"/>
                <w:bCs/>
                <w:sz w:val="24"/>
                <w:szCs w:val="24"/>
              </w:rPr>
              <w:t xml:space="preserve"> </w:t>
            </w:r>
            <w:r w:rsidRPr="00C8550C">
              <w:rPr>
                <w:rFonts w:ascii="Book Antiqua" w:hAnsi="Book Antiqua"/>
                <w:bCs/>
                <w:sz w:val="24"/>
                <w:szCs w:val="24"/>
              </w:rPr>
              <w:t>0.05</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-1.3%-7.1%</w:t>
            </w: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734"/>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97</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2.0</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954"/>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664" w:type="pct"/>
            <w:vMerge w:val="restart"/>
            <w:tcBorders>
              <w:top w:val="nil"/>
              <w:bottom w:val="nil"/>
              <w:right w:val="single" w:sz="4" w:space="0" w:color="auto"/>
            </w:tcBorders>
            <w:textDirection w:val="btLr"/>
          </w:tcPr>
          <w:p w:rsidR="00835DED" w:rsidRPr="00C8550C" w:rsidRDefault="002F640B"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R</w:t>
            </w:r>
            <w:r w:rsidR="00835DED" w:rsidRPr="00C8550C">
              <w:rPr>
                <w:rFonts w:ascii="Book Antiqua" w:hAnsi="Book Antiqua"/>
                <w:kern w:val="0"/>
                <w:sz w:val="24"/>
                <w:szCs w:val="24"/>
              </w:rPr>
              <w:t xml:space="preserve">im APHE </w:t>
            </w:r>
            <w:r w:rsidR="000D7CDE" w:rsidRPr="00C8550C">
              <w:rPr>
                <w:rFonts w:ascii="Book Antiqua" w:hAnsi="Book Antiqua"/>
                <w:kern w:val="0"/>
                <w:sz w:val="24"/>
                <w:szCs w:val="24"/>
              </w:rPr>
              <w:t>+</w:t>
            </w:r>
            <w:r w:rsidR="00835DED" w:rsidRPr="00C8550C">
              <w:rPr>
                <w:rFonts w:ascii="Book Antiqua" w:hAnsi="Book Antiqua"/>
                <w:kern w:val="0"/>
                <w:sz w:val="24"/>
                <w:szCs w:val="24"/>
              </w:rPr>
              <w:t xml:space="preserve"> early </w:t>
            </w:r>
            <w:r w:rsidR="008974F4" w:rsidRPr="00C8550C">
              <w:rPr>
                <w:rFonts w:ascii="Book Antiqua" w:hAnsi="Book Antiqua"/>
                <w:kern w:val="0"/>
                <w:sz w:val="24"/>
                <w:szCs w:val="24"/>
              </w:rPr>
              <w:t>and</w:t>
            </w:r>
            <w:r w:rsidR="00835DED" w:rsidRPr="00C8550C">
              <w:rPr>
                <w:rFonts w:ascii="Book Antiqua" w:hAnsi="Book Antiqua"/>
                <w:kern w:val="0"/>
                <w:sz w:val="24"/>
                <w:szCs w:val="24"/>
              </w:rPr>
              <w:t xml:space="preserve"> mild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13</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116</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10.1</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0.0002</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9.2%-31.3%</w:t>
            </w: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754"/>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30</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9</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30.3</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825"/>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664" w:type="pct"/>
            <w:vMerge w:val="restart"/>
            <w:tcBorders>
              <w:top w:val="nil"/>
              <w:bottom w:val="nil"/>
              <w:right w:val="single" w:sz="4" w:space="0" w:color="auto"/>
            </w:tcBorders>
            <w:textDirection w:val="btLr"/>
          </w:tcPr>
          <w:p w:rsidR="00835DED" w:rsidRPr="00C8550C" w:rsidRDefault="002F640B"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R</w:t>
            </w:r>
            <w:r w:rsidR="00835DED" w:rsidRPr="00C8550C">
              <w:rPr>
                <w:rFonts w:ascii="Book Antiqua" w:hAnsi="Book Antiqua"/>
                <w:kern w:val="0"/>
                <w:sz w:val="24"/>
                <w:szCs w:val="24"/>
              </w:rPr>
              <w:t xml:space="preserve">im APHE </w:t>
            </w:r>
            <w:r w:rsidR="000D7CDE" w:rsidRPr="00C8550C">
              <w:rPr>
                <w:rFonts w:ascii="Book Antiqua" w:hAnsi="Book Antiqua"/>
                <w:kern w:val="0"/>
                <w:sz w:val="24"/>
                <w:szCs w:val="24"/>
              </w:rPr>
              <w:t>+</w:t>
            </w:r>
            <w:r w:rsidR="00835DED" w:rsidRPr="00C8550C">
              <w:rPr>
                <w:rFonts w:ascii="Book Antiqua" w:hAnsi="Book Antiqua"/>
                <w:kern w:val="0"/>
                <w:sz w:val="24"/>
                <w:szCs w:val="24"/>
              </w:rPr>
              <w:t xml:space="preserve"> early </w:t>
            </w:r>
            <w:r w:rsidR="008974F4" w:rsidRPr="00C8550C">
              <w:rPr>
                <w:rFonts w:ascii="Book Antiqua" w:hAnsi="Book Antiqua"/>
                <w:kern w:val="0"/>
                <w:sz w:val="24"/>
                <w:szCs w:val="24"/>
              </w:rPr>
              <w:t>and</w:t>
            </w:r>
            <w:r w:rsidR="00835DED" w:rsidRPr="00C8550C">
              <w:rPr>
                <w:rFonts w:ascii="Book Antiqua" w:hAnsi="Book Antiqua"/>
                <w:kern w:val="0"/>
                <w:sz w:val="24"/>
                <w:szCs w:val="24"/>
              </w:rPr>
              <w:t xml:space="preserve"> marked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126</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2.3</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0.0018</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4.3%-20.4%</w:t>
            </w: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889"/>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14</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8</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14.1</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810"/>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664" w:type="pct"/>
            <w:vMerge w:val="restart"/>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 xml:space="preserve">APHE </w:t>
            </w:r>
            <w:r w:rsidR="000D7CDE" w:rsidRPr="00C8550C">
              <w:rPr>
                <w:rFonts w:ascii="Book Antiqua" w:hAnsi="Book Antiqua"/>
                <w:kern w:val="0"/>
                <w:sz w:val="24"/>
                <w:szCs w:val="24"/>
              </w:rPr>
              <w:t>+</w:t>
            </w:r>
            <w:r w:rsidRPr="00C8550C">
              <w:rPr>
                <w:rFonts w:ascii="Book Antiqua" w:hAnsi="Book Antiqua"/>
                <w:kern w:val="0"/>
                <w:sz w:val="24"/>
                <w:szCs w:val="24"/>
              </w:rPr>
              <w:t xml:space="preserve"> late </w:t>
            </w:r>
            <w:r w:rsidR="008974F4" w:rsidRPr="00C8550C">
              <w:rPr>
                <w:rFonts w:ascii="Book Antiqua" w:hAnsi="Book Antiqua"/>
                <w:kern w:val="0"/>
                <w:sz w:val="24"/>
                <w:szCs w:val="24"/>
              </w:rPr>
              <w:t>and</w:t>
            </w:r>
            <w:r w:rsidRPr="00C8550C">
              <w:rPr>
                <w:rFonts w:ascii="Book Antiqua" w:hAnsi="Book Antiqua"/>
                <w:kern w:val="0"/>
                <w:sz w:val="24"/>
                <w:szCs w:val="24"/>
              </w:rPr>
              <w:t xml:space="preserve"> marked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129</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r w:rsidRPr="00C8550C">
              <w:rPr>
                <w:rFonts w:ascii="Book Antiqua" w:hAnsi="Book Antiqua"/>
                <w:sz w:val="24"/>
                <w:szCs w:val="24"/>
              </w:rPr>
              <w:t>-</w:t>
            </w: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779"/>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99</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0</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864"/>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664" w:type="pct"/>
            <w:vMerge w:val="restart"/>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 xml:space="preserve">APHE </w:t>
            </w:r>
            <w:r w:rsidR="000D7CDE" w:rsidRPr="00C8550C">
              <w:rPr>
                <w:rFonts w:ascii="Book Antiqua" w:hAnsi="Book Antiqua"/>
                <w:kern w:val="0"/>
                <w:sz w:val="24"/>
                <w:szCs w:val="24"/>
              </w:rPr>
              <w:t>+</w:t>
            </w:r>
            <w:r w:rsidRPr="00C8550C">
              <w:rPr>
                <w:rFonts w:ascii="Book Antiqua" w:hAnsi="Book Antiqua"/>
                <w:kern w:val="0"/>
                <w:sz w:val="24"/>
                <w:szCs w:val="24"/>
              </w:rPr>
              <w:t xml:space="preserve"> early </w:t>
            </w:r>
            <w:r w:rsidR="008974F4" w:rsidRPr="00C8550C">
              <w:rPr>
                <w:rFonts w:ascii="Book Antiqua" w:hAnsi="Book Antiqua"/>
                <w:kern w:val="0"/>
                <w:sz w:val="24"/>
                <w:szCs w:val="24"/>
              </w:rPr>
              <w:t>and</w:t>
            </w:r>
            <w:r w:rsidRPr="00C8550C">
              <w:rPr>
                <w:rFonts w:ascii="Book Antiqua" w:hAnsi="Book Antiqua"/>
                <w:kern w:val="0"/>
                <w:sz w:val="24"/>
                <w:szCs w:val="24"/>
              </w:rPr>
              <w:t xml:space="preserve"> mild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101</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28</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78.3</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&lt;</w:t>
            </w:r>
            <w:r w:rsidR="006C3A9B" w:rsidRPr="00C8550C">
              <w:rPr>
                <w:rFonts w:ascii="Book Antiqua" w:hAnsi="Book Antiqua"/>
                <w:bCs/>
                <w:sz w:val="24"/>
                <w:szCs w:val="24"/>
              </w:rPr>
              <w:t xml:space="preserve"> </w:t>
            </w:r>
            <w:r w:rsidRPr="00C8550C">
              <w:rPr>
                <w:rFonts w:ascii="Book Antiqua" w:hAnsi="Book Antiqua"/>
                <w:bCs/>
                <w:sz w:val="24"/>
                <w:szCs w:val="24"/>
              </w:rPr>
              <w:t>0.0001</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22.8%-47.8%</w:t>
            </w: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690"/>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42</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57</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42.4</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884"/>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664" w:type="pct"/>
            <w:vMerge w:val="restart"/>
            <w:tcBorders>
              <w:top w:val="nil"/>
              <w:bottom w:val="nil"/>
              <w:right w:val="single" w:sz="4" w:space="0" w:color="auto"/>
            </w:tcBorders>
            <w:textDirection w:val="btLr"/>
          </w:tcPr>
          <w:p w:rsidR="00835DED" w:rsidRPr="00C8550C" w:rsidRDefault="002F640B" w:rsidP="00EA7316">
            <w:pPr>
              <w:adjustRightInd w:val="0"/>
              <w:snapToGrid w:val="0"/>
              <w:spacing w:after="0" w:line="360" w:lineRule="auto"/>
              <w:rPr>
                <w:rFonts w:ascii="Book Antiqua" w:hAnsi="Book Antiqua"/>
                <w:b/>
                <w:sz w:val="24"/>
                <w:szCs w:val="24"/>
              </w:rPr>
            </w:pPr>
            <w:r w:rsidRPr="00C8550C">
              <w:rPr>
                <w:rFonts w:ascii="Book Antiqua" w:hAnsi="Book Antiqua"/>
                <w:kern w:val="0"/>
                <w:sz w:val="24"/>
                <w:szCs w:val="24"/>
              </w:rPr>
              <w:t>R</w:t>
            </w:r>
            <w:r w:rsidR="000D7CDE" w:rsidRPr="00C8550C">
              <w:rPr>
                <w:rFonts w:ascii="Book Antiqua" w:hAnsi="Book Antiqua"/>
                <w:kern w:val="0"/>
                <w:sz w:val="24"/>
                <w:szCs w:val="24"/>
              </w:rPr>
              <w:t xml:space="preserve">im APHE + late </w:t>
            </w:r>
            <w:r w:rsidR="008974F4" w:rsidRPr="00C8550C">
              <w:rPr>
                <w:rFonts w:ascii="Book Antiqua" w:hAnsi="Book Antiqua"/>
                <w:kern w:val="0"/>
                <w:sz w:val="24"/>
                <w:szCs w:val="24"/>
              </w:rPr>
              <w:t>and</w:t>
            </w:r>
            <w:r w:rsidR="00835DED" w:rsidRPr="00C8550C">
              <w:rPr>
                <w:rFonts w:ascii="Book Antiqua" w:hAnsi="Book Antiqua"/>
                <w:kern w:val="0"/>
                <w:sz w:val="24"/>
                <w:szCs w:val="24"/>
              </w:rPr>
              <w:t xml:space="preserve"> mild washout</w:t>
            </w: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LR-M HCC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5</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124</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3.9</w:t>
            </w:r>
          </w:p>
        </w:tc>
        <w:tc>
          <w:tcPr>
            <w:tcW w:w="484" w:type="pct"/>
            <w:vMerge w:val="restar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bCs/>
                <w:sz w:val="24"/>
                <w:szCs w:val="24"/>
              </w:rPr>
              <w:t>&gt;</w:t>
            </w:r>
            <w:r w:rsidR="006C3A9B" w:rsidRPr="00C8550C">
              <w:rPr>
                <w:rFonts w:ascii="Book Antiqua" w:hAnsi="Book Antiqua"/>
                <w:bCs/>
                <w:sz w:val="24"/>
                <w:szCs w:val="24"/>
              </w:rPr>
              <w:t xml:space="preserve"> </w:t>
            </w:r>
            <w:r w:rsidRPr="00C8550C">
              <w:rPr>
                <w:rFonts w:ascii="Book Antiqua" w:hAnsi="Book Antiqua"/>
                <w:bCs/>
                <w:sz w:val="24"/>
                <w:szCs w:val="24"/>
              </w:rPr>
              <w:t>0.05</w:t>
            </w:r>
          </w:p>
        </w:tc>
        <w:tc>
          <w:tcPr>
            <w:tcW w:w="478" w:type="pct"/>
            <w:vMerge w:val="restar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-5.6%-6.6%</w:t>
            </w: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403865">
        <w:trPr>
          <w:trHeight w:val="540"/>
          <w:jc w:val="right"/>
        </w:trPr>
        <w:tc>
          <w:tcPr>
            <w:tcW w:w="481" w:type="pct"/>
            <w:vMerge/>
            <w:tcBorders>
              <w:left w:val="nil"/>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664" w:type="pct"/>
            <w:vMerge/>
            <w:tcBorders>
              <w:top w:val="nil"/>
              <w:bottom w:val="nil"/>
              <w:right w:val="single" w:sz="4" w:space="0" w:color="auto"/>
            </w:tcBorders>
            <w:textDirection w:val="btLr"/>
          </w:tcPr>
          <w:p w:rsidR="00835DED" w:rsidRPr="00C8550C" w:rsidRDefault="00835DED" w:rsidP="00EA7316">
            <w:pPr>
              <w:adjustRightInd w:val="0"/>
              <w:snapToGrid w:val="0"/>
              <w:spacing w:after="0" w:line="360" w:lineRule="auto"/>
              <w:rPr>
                <w:rFonts w:ascii="Book Antiqua" w:hAnsi="Book Antiqua"/>
                <w:sz w:val="24"/>
                <w:szCs w:val="24"/>
              </w:rPr>
            </w:pPr>
          </w:p>
        </w:tc>
        <w:tc>
          <w:tcPr>
            <w:tcW w:w="489" w:type="pct"/>
            <w:tcBorders>
              <w:top w:val="nil"/>
              <w:left w:val="single" w:sz="4" w:space="0" w:color="auto"/>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eastAsia="Arial Unicode MS" w:hAnsi="Book Antiqua"/>
                <w:bCs/>
                <w:sz w:val="24"/>
                <w:szCs w:val="24"/>
              </w:rPr>
              <w:t>ICC</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95</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4.0</w:t>
            </w:r>
          </w:p>
        </w:tc>
        <w:tc>
          <w:tcPr>
            <w:tcW w:w="484" w:type="pct"/>
            <w:vMerge/>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478" w:type="pct"/>
            <w:vMerge/>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705" w:type="pct"/>
            <w:vMerge/>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r w:rsidR="00835DED" w:rsidRPr="00C8550C" w:rsidTr="00A51DA8">
        <w:trPr>
          <w:trHeight w:val="1235"/>
          <w:jc w:val="right"/>
        </w:trPr>
        <w:tc>
          <w:tcPr>
            <w:tcW w:w="481" w:type="pct"/>
            <w:vMerge/>
            <w:tcBorders>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c>
          <w:tcPr>
            <w:tcW w:w="1153" w:type="pct"/>
            <w:gridSpan w:val="2"/>
            <w:tcBorders>
              <w:top w:val="nil"/>
              <w:bottom w:val="nil"/>
              <w:right w:val="nil"/>
            </w:tcBorders>
            <w:textDirection w:val="btLr"/>
          </w:tcPr>
          <w:p w:rsidR="00835DED" w:rsidRPr="00C8550C" w:rsidRDefault="004E7DF4"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χ</w:t>
            </w:r>
            <w:r w:rsidRPr="00C8550C">
              <w:rPr>
                <w:rFonts w:ascii="Book Antiqua" w:hAnsi="Book Antiqua"/>
                <w:sz w:val="24"/>
                <w:szCs w:val="24"/>
                <w:vertAlign w:val="superscript"/>
              </w:rPr>
              <w:t>2</w:t>
            </w:r>
            <w:r w:rsidR="00835DED" w:rsidRPr="00C8550C">
              <w:rPr>
                <w:rFonts w:ascii="Book Antiqua" w:hAnsi="Book Antiqua"/>
                <w:sz w:val="24"/>
                <w:szCs w:val="24"/>
                <w:vertAlign w:val="superscript"/>
              </w:rPr>
              <w:t xml:space="preserve"> </w:t>
            </w:r>
            <w:r w:rsidR="00835DED" w:rsidRPr="00C8550C">
              <w:rPr>
                <w:rFonts w:ascii="Book Antiqua" w:hAnsi="Book Antiqua"/>
                <w:sz w:val="24"/>
                <w:szCs w:val="24"/>
              </w:rPr>
              <w:t>test</w:t>
            </w:r>
          </w:p>
        </w:tc>
        <w:tc>
          <w:tcPr>
            <w:tcW w:w="489"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Positive</w:t>
            </w:r>
          </w:p>
        </w:tc>
        <w:tc>
          <w:tcPr>
            <w:tcW w:w="605"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Negative</w:t>
            </w:r>
          </w:p>
        </w:tc>
        <w:tc>
          <w:tcPr>
            <w:tcW w:w="606"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Proportion</w:t>
            </w:r>
            <w:r w:rsidRPr="00C8550C">
              <w:rPr>
                <w:rFonts w:ascii="Book Antiqua" w:hAnsi="Book Antiqua"/>
                <w:sz w:val="24"/>
                <w:szCs w:val="24"/>
              </w:rPr>
              <w:t>（</w:t>
            </w:r>
            <w:r w:rsidRPr="00C8550C">
              <w:rPr>
                <w:rFonts w:ascii="Book Antiqua" w:hAnsi="Book Antiqua"/>
                <w:sz w:val="24"/>
                <w:szCs w:val="24"/>
              </w:rPr>
              <w:t>%</w:t>
            </w:r>
            <w:r w:rsidRPr="00C8550C">
              <w:rPr>
                <w:rFonts w:ascii="Book Antiqua" w:hAnsi="Book Antiqua"/>
                <w:sz w:val="24"/>
                <w:szCs w:val="24"/>
              </w:rPr>
              <w:t>）</w:t>
            </w:r>
          </w:p>
        </w:tc>
        <w:tc>
          <w:tcPr>
            <w:tcW w:w="484" w:type="pct"/>
            <w:tcBorders>
              <w:top w:val="nil"/>
              <w:left w:val="nil"/>
              <w:bottom w:val="nil"/>
              <w:right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i/>
                <w:iCs/>
                <w:sz w:val="24"/>
                <w:szCs w:val="24"/>
              </w:rPr>
              <w:t>P</w:t>
            </w:r>
            <w:r w:rsidR="00403865" w:rsidRPr="00C8550C">
              <w:rPr>
                <w:rFonts w:ascii="Book Antiqua" w:hAnsi="Book Antiqua"/>
                <w:sz w:val="24"/>
                <w:szCs w:val="24"/>
              </w:rPr>
              <w:t xml:space="preserve"> value</w:t>
            </w:r>
          </w:p>
        </w:tc>
        <w:tc>
          <w:tcPr>
            <w:tcW w:w="478" w:type="pct"/>
            <w:tcBorders>
              <w:top w:val="nil"/>
              <w:left w:val="nil"/>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r w:rsidRPr="00C8550C">
              <w:rPr>
                <w:rFonts w:ascii="Book Antiqua" w:hAnsi="Book Antiqua"/>
                <w:sz w:val="24"/>
                <w:szCs w:val="24"/>
              </w:rPr>
              <w:t>95% CI</w:t>
            </w:r>
          </w:p>
        </w:tc>
        <w:tc>
          <w:tcPr>
            <w:tcW w:w="705" w:type="pct"/>
            <w:vMerge/>
            <w:tcBorders>
              <w:bottom w:val="nil"/>
            </w:tcBorders>
            <w:textDirection w:val="btLr"/>
          </w:tcPr>
          <w:p w:rsidR="00835DED" w:rsidRPr="00C8550C" w:rsidRDefault="00835DED" w:rsidP="00EA7316">
            <w:pPr>
              <w:adjustRightInd w:val="0"/>
              <w:snapToGrid w:val="0"/>
              <w:spacing w:after="0" w:line="360" w:lineRule="auto"/>
              <w:rPr>
                <w:rFonts w:ascii="Book Antiqua" w:hAnsi="Book Antiqua"/>
                <w:b/>
                <w:sz w:val="24"/>
                <w:szCs w:val="24"/>
              </w:rPr>
            </w:pPr>
          </w:p>
        </w:tc>
      </w:tr>
    </w:tbl>
    <w:p w:rsidR="00835DED" w:rsidRPr="00C8550C" w:rsidRDefault="00835DED" w:rsidP="00EA7316">
      <w:pPr>
        <w:adjustRightInd w:val="0"/>
        <w:snapToGrid w:val="0"/>
        <w:spacing w:after="0" w:line="360" w:lineRule="auto"/>
        <w:rPr>
          <w:rFonts w:ascii="Book Antiqua" w:hAnsi="Book Antiqua"/>
          <w:sz w:val="24"/>
          <w:szCs w:val="24"/>
        </w:rPr>
      </w:pPr>
    </w:p>
    <w:tbl>
      <w:tblPr>
        <w:tblW w:w="0" w:type="auto"/>
        <w:tblInd w:w="0" w:type="dxa"/>
        <w:tblBorders>
          <w:insideH w:val="single" w:sz="4" w:space="0" w:color="auto"/>
          <w:insideV w:val="single" w:sz="4" w:space="0" w:color="auto"/>
        </w:tblBorders>
        <w:tblLayout w:type="fixed"/>
        <w:tblLook w:val="0000" w:firstRow="0" w:lastRow="0" w:firstColumn="0" w:lastColumn="0" w:noHBand="0" w:noVBand="0"/>
      </w:tblPr>
      <w:tblGrid>
        <w:gridCol w:w="1384"/>
        <w:gridCol w:w="839"/>
        <w:gridCol w:w="974"/>
        <w:gridCol w:w="915"/>
        <w:gridCol w:w="1050"/>
        <w:gridCol w:w="2034"/>
        <w:gridCol w:w="2126"/>
      </w:tblGrid>
      <w:tr w:rsidR="00835DED" w:rsidRPr="00C8550C" w:rsidTr="00A51DA8">
        <w:trPr>
          <w:trHeight w:val="993"/>
        </w:trPr>
        <w:tc>
          <w:tcPr>
            <w:tcW w:w="1384" w:type="dxa"/>
            <w:vMerge w:val="restart"/>
            <w:textDirection w:val="btLr"/>
          </w:tcPr>
          <w:p w:rsidR="00835DED" w:rsidRPr="00C8550C" w:rsidRDefault="00835DED" w:rsidP="00122AF4">
            <w:pPr>
              <w:adjustRightInd w:val="0"/>
              <w:snapToGrid w:val="0"/>
              <w:spacing w:after="0" w:line="360" w:lineRule="auto"/>
              <w:jc w:val="left"/>
              <w:rPr>
                <w:rFonts w:ascii="Book Antiqua" w:hAnsi="Book Antiqua"/>
                <w:bCs/>
                <w:sz w:val="24"/>
                <w:szCs w:val="24"/>
              </w:rPr>
            </w:pPr>
            <w:r w:rsidRPr="00C8550C">
              <w:rPr>
                <w:rFonts w:ascii="Book Antiqua" w:hAnsi="Book Antiqua"/>
                <w:b/>
                <w:sz w:val="24"/>
                <w:szCs w:val="24"/>
              </w:rPr>
              <w:t xml:space="preserve">Table 4 The </w:t>
            </w:r>
            <w:r w:rsidR="00A51DA8" w:rsidRPr="00C8550C">
              <w:rPr>
                <w:rFonts w:ascii="Book Antiqua" w:hAnsi="Book Antiqua"/>
                <w:b/>
                <w:sz w:val="24"/>
                <w:szCs w:val="24"/>
              </w:rPr>
              <w:t>receiver operating characteristic</w:t>
            </w:r>
            <w:r w:rsidRPr="00C8550C">
              <w:rPr>
                <w:rFonts w:ascii="Book Antiqua" w:hAnsi="Book Antiqua"/>
                <w:b/>
                <w:sz w:val="24"/>
                <w:szCs w:val="24"/>
              </w:rPr>
              <w:t xml:space="preserve"> curve analysis for diagnostic performance of </w:t>
            </w:r>
            <w:r w:rsidR="00A51DA8" w:rsidRPr="00C8550C">
              <w:rPr>
                <w:rFonts w:ascii="Book Antiqua" w:hAnsi="Book Antiqua"/>
                <w:b/>
                <w:sz w:val="24"/>
                <w:szCs w:val="24"/>
              </w:rPr>
              <w:t>contrast-enhanced ultrasound liver imaging reporting and data system</w:t>
            </w:r>
            <w:r w:rsidRPr="00C8550C">
              <w:rPr>
                <w:rFonts w:ascii="Book Antiqua" w:hAnsi="Book Antiqua"/>
                <w:b/>
                <w:sz w:val="24"/>
                <w:szCs w:val="24"/>
              </w:rPr>
              <w:t xml:space="preserve"> LR-M characteristics in differentiation </w:t>
            </w:r>
            <w:r w:rsidR="00A51DA8" w:rsidRPr="00C8550C">
              <w:rPr>
                <w:rFonts w:ascii="Book Antiqua" w:hAnsi="Book Antiqua"/>
                <w:b/>
                <w:sz w:val="24"/>
                <w:szCs w:val="24"/>
              </w:rPr>
              <w:t>intrahepatic cholangiocarcinoma</w:t>
            </w:r>
            <w:r w:rsidRPr="00C8550C">
              <w:rPr>
                <w:rFonts w:ascii="Book Antiqua" w:hAnsi="Book Antiqua"/>
                <w:b/>
                <w:sz w:val="24"/>
                <w:szCs w:val="24"/>
              </w:rPr>
              <w:t xml:space="preserve"> and LR-M </w:t>
            </w:r>
            <w:r w:rsidR="00A51DA8" w:rsidRPr="00C8550C">
              <w:rPr>
                <w:rFonts w:ascii="Book Antiqua" w:hAnsi="Book Antiqua"/>
                <w:b/>
                <w:sz w:val="24"/>
                <w:szCs w:val="24"/>
              </w:rPr>
              <w:t>hepatocellular carcinoma</w:t>
            </w:r>
          </w:p>
        </w:tc>
        <w:tc>
          <w:tcPr>
            <w:tcW w:w="839" w:type="dxa"/>
            <w:tcBorders>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95% CI</w:t>
            </w:r>
          </w:p>
        </w:tc>
        <w:tc>
          <w:tcPr>
            <w:tcW w:w="974" w:type="dxa"/>
            <w:tcBorders>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0.3-0.7</w:t>
            </w:r>
          </w:p>
        </w:tc>
        <w:tc>
          <w:tcPr>
            <w:tcW w:w="915" w:type="dxa"/>
            <w:tcBorders>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0.4-1.5</w:t>
            </w:r>
          </w:p>
        </w:tc>
        <w:tc>
          <w:tcPr>
            <w:tcW w:w="1050" w:type="dxa"/>
            <w:tcBorders>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0.3-0.9</w:t>
            </w:r>
          </w:p>
        </w:tc>
        <w:tc>
          <w:tcPr>
            <w:tcW w:w="2034" w:type="dxa"/>
            <w:tcBorders>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c>
          <w:tcPr>
            <w:tcW w:w="2126" w:type="dxa"/>
            <w:vMerge w:val="restart"/>
            <w:textDirection w:val="btLr"/>
          </w:tcPr>
          <w:p w:rsidR="00835DED" w:rsidRPr="00C8550C" w:rsidRDefault="0075472D" w:rsidP="00122AF4">
            <w:pPr>
              <w:adjustRightInd w:val="0"/>
              <w:snapToGrid w:val="0"/>
              <w:spacing w:after="0" w:line="360" w:lineRule="auto"/>
              <w:rPr>
                <w:rFonts w:ascii="Book Antiqua" w:hAnsi="Book Antiqua"/>
                <w:bCs/>
                <w:sz w:val="24"/>
                <w:szCs w:val="24"/>
              </w:rPr>
            </w:pPr>
            <w:r w:rsidRPr="00C8550C">
              <w:rPr>
                <w:rFonts w:ascii="Book Antiqua" w:hAnsi="Book Antiqua"/>
                <w:sz w:val="24"/>
                <w:szCs w:val="24"/>
              </w:rPr>
              <w:t>ROC:</w:t>
            </w:r>
            <w:r w:rsidR="00835DED" w:rsidRPr="00C8550C">
              <w:rPr>
                <w:rFonts w:ascii="Book Antiqua" w:hAnsi="Book Antiqua"/>
                <w:sz w:val="24"/>
                <w:szCs w:val="24"/>
              </w:rPr>
              <w:t xml:space="preserve"> </w:t>
            </w:r>
            <w:r w:rsidR="00A51DA8" w:rsidRPr="00C8550C">
              <w:rPr>
                <w:rFonts w:ascii="Book Antiqua" w:hAnsi="Book Antiqua"/>
                <w:sz w:val="24"/>
                <w:szCs w:val="24"/>
              </w:rPr>
              <w:t>R</w:t>
            </w:r>
            <w:r w:rsidR="00835DED" w:rsidRPr="00C8550C">
              <w:rPr>
                <w:rFonts w:ascii="Book Antiqua" w:hAnsi="Book Antiqua"/>
                <w:sz w:val="24"/>
                <w:szCs w:val="24"/>
              </w:rPr>
              <w:t>eceive</w:t>
            </w:r>
            <w:r w:rsidR="00D2321D" w:rsidRPr="00C8550C">
              <w:rPr>
                <w:rFonts w:ascii="Book Antiqua" w:hAnsi="Book Antiqua"/>
                <w:sz w:val="24"/>
                <w:szCs w:val="24"/>
              </w:rPr>
              <w:t>r operator characteristic curve;</w:t>
            </w:r>
            <w:r w:rsidRPr="00C8550C">
              <w:rPr>
                <w:rFonts w:ascii="Book Antiqua" w:hAnsi="Book Antiqua"/>
                <w:sz w:val="24"/>
                <w:szCs w:val="24"/>
              </w:rPr>
              <w:t xml:space="preserve"> AUC:</w:t>
            </w:r>
            <w:r w:rsidR="00D2321D" w:rsidRPr="00C8550C">
              <w:rPr>
                <w:rFonts w:ascii="Book Antiqua" w:hAnsi="Book Antiqua"/>
                <w:sz w:val="24"/>
                <w:szCs w:val="24"/>
              </w:rPr>
              <w:t xml:space="preserve"> </w:t>
            </w:r>
            <w:r w:rsidR="00A51DA8" w:rsidRPr="00C8550C">
              <w:rPr>
                <w:rFonts w:ascii="Book Antiqua" w:hAnsi="Book Antiqua"/>
                <w:sz w:val="24"/>
                <w:szCs w:val="24"/>
              </w:rPr>
              <w:t>A</w:t>
            </w:r>
            <w:r w:rsidR="00D2321D" w:rsidRPr="00C8550C">
              <w:rPr>
                <w:rFonts w:ascii="Book Antiqua" w:hAnsi="Book Antiqua"/>
                <w:sz w:val="24"/>
                <w:szCs w:val="24"/>
              </w:rPr>
              <w:t>rea under curve;</w:t>
            </w:r>
            <w:r w:rsidRPr="00C8550C">
              <w:rPr>
                <w:rFonts w:ascii="Book Antiqua" w:hAnsi="Book Antiqua"/>
                <w:sz w:val="24"/>
                <w:szCs w:val="24"/>
              </w:rPr>
              <w:t xml:space="preserve"> ICC:</w:t>
            </w:r>
            <w:r w:rsidR="00835DED" w:rsidRPr="00C8550C">
              <w:rPr>
                <w:rFonts w:ascii="Book Antiqua" w:hAnsi="Book Antiqua"/>
                <w:sz w:val="24"/>
                <w:szCs w:val="24"/>
              </w:rPr>
              <w:t xml:space="preserve"> </w:t>
            </w:r>
            <w:r w:rsidR="00A51DA8" w:rsidRPr="00C8550C">
              <w:rPr>
                <w:rFonts w:ascii="Book Antiqua" w:hAnsi="Book Antiqua"/>
                <w:sz w:val="24"/>
                <w:szCs w:val="24"/>
              </w:rPr>
              <w:t>I</w:t>
            </w:r>
            <w:r w:rsidR="00D2321D" w:rsidRPr="00C8550C">
              <w:rPr>
                <w:rFonts w:ascii="Book Antiqua" w:hAnsi="Book Antiqua"/>
                <w:sz w:val="24"/>
                <w:szCs w:val="24"/>
              </w:rPr>
              <w:t>ntrahepatic cholangiocarcinoma;</w:t>
            </w:r>
            <w:r w:rsidRPr="00C8550C">
              <w:rPr>
                <w:rFonts w:ascii="Book Antiqua" w:hAnsi="Book Antiqua"/>
                <w:sz w:val="24"/>
                <w:szCs w:val="24"/>
              </w:rPr>
              <w:t xml:space="preserve"> HCC:</w:t>
            </w:r>
            <w:r w:rsidR="00D2321D" w:rsidRPr="00C8550C">
              <w:rPr>
                <w:rFonts w:ascii="Book Antiqua" w:hAnsi="Book Antiqua"/>
                <w:sz w:val="24"/>
                <w:szCs w:val="24"/>
              </w:rPr>
              <w:t xml:space="preserve"> </w:t>
            </w:r>
            <w:r w:rsidR="00A51DA8" w:rsidRPr="00C8550C">
              <w:rPr>
                <w:rFonts w:ascii="Book Antiqua" w:hAnsi="Book Antiqua"/>
                <w:sz w:val="24"/>
                <w:szCs w:val="24"/>
              </w:rPr>
              <w:t>H</w:t>
            </w:r>
            <w:r w:rsidR="00D2321D" w:rsidRPr="00C8550C">
              <w:rPr>
                <w:rFonts w:ascii="Book Antiqua" w:hAnsi="Book Antiqua"/>
                <w:sz w:val="24"/>
                <w:szCs w:val="24"/>
              </w:rPr>
              <w:t>epatocellular carcinoma;</w:t>
            </w:r>
            <w:r w:rsidR="00835DED" w:rsidRPr="00C8550C">
              <w:rPr>
                <w:rFonts w:ascii="Book Antiqua" w:hAnsi="Book Antiqua"/>
                <w:sz w:val="24"/>
                <w:szCs w:val="24"/>
              </w:rPr>
              <w:t xml:space="preserve"> CA </w:t>
            </w:r>
            <w:r w:rsidRPr="00C8550C">
              <w:rPr>
                <w:rFonts w:ascii="Book Antiqua" w:hAnsi="Book Antiqua"/>
                <w:sz w:val="24"/>
                <w:szCs w:val="24"/>
              </w:rPr>
              <w:t>19-9:</w:t>
            </w:r>
            <w:r w:rsidR="00D2321D" w:rsidRPr="00C8550C">
              <w:rPr>
                <w:rFonts w:ascii="Book Antiqua" w:hAnsi="Book Antiqua"/>
                <w:sz w:val="24"/>
                <w:szCs w:val="24"/>
              </w:rPr>
              <w:t xml:space="preserve"> </w:t>
            </w:r>
            <w:r w:rsidR="00A51DA8" w:rsidRPr="00C8550C">
              <w:rPr>
                <w:rFonts w:ascii="Book Antiqua" w:hAnsi="Book Antiqua"/>
                <w:sz w:val="24"/>
                <w:szCs w:val="24"/>
              </w:rPr>
              <w:t>C</w:t>
            </w:r>
            <w:r w:rsidR="00D2321D" w:rsidRPr="00C8550C">
              <w:rPr>
                <w:rFonts w:ascii="Book Antiqua" w:hAnsi="Book Antiqua"/>
                <w:sz w:val="24"/>
                <w:szCs w:val="24"/>
              </w:rPr>
              <w:t>arbohydrate antigen 19-9;</w:t>
            </w:r>
            <w:r w:rsidR="00835DED" w:rsidRPr="00C8550C">
              <w:rPr>
                <w:rFonts w:ascii="Book Antiqua" w:hAnsi="Book Antiqua"/>
                <w:sz w:val="24"/>
                <w:szCs w:val="24"/>
              </w:rPr>
              <w:t xml:space="preserve"> </w:t>
            </w:r>
            <w:r w:rsidRPr="00C8550C">
              <w:rPr>
                <w:rFonts w:ascii="Book Antiqua" w:hAnsi="Book Antiqua"/>
                <w:sz w:val="24"/>
                <w:szCs w:val="24"/>
              </w:rPr>
              <w:t>AFP:</w:t>
            </w:r>
            <w:r w:rsidR="00835DED" w:rsidRPr="00C8550C">
              <w:rPr>
                <w:rFonts w:ascii="Book Antiqua" w:hAnsi="Book Antiqua"/>
                <w:sz w:val="24"/>
                <w:szCs w:val="24"/>
              </w:rPr>
              <w:t xml:space="preserve"> </w:t>
            </w:r>
            <w:r w:rsidR="00A51DA8" w:rsidRPr="00C8550C">
              <w:rPr>
                <w:rFonts w:ascii="Book Antiqua" w:hAnsi="Book Antiqua"/>
                <w:sz w:val="24"/>
                <w:szCs w:val="24"/>
              </w:rPr>
              <w:t>A</w:t>
            </w:r>
            <w:r w:rsidR="00835DED" w:rsidRPr="00C8550C">
              <w:rPr>
                <w:rFonts w:ascii="Book Antiqua" w:hAnsi="Book Antiqua"/>
                <w:sz w:val="24"/>
                <w:szCs w:val="24"/>
              </w:rPr>
              <w:t>lp</w:t>
            </w:r>
            <w:r w:rsidR="00D2321D" w:rsidRPr="00C8550C">
              <w:rPr>
                <w:rFonts w:ascii="Book Antiqua" w:hAnsi="Book Antiqua"/>
                <w:sz w:val="24"/>
                <w:szCs w:val="24"/>
              </w:rPr>
              <w:t>ha fetoprotein;</w:t>
            </w:r>
            <w:r w:rsidR="00835DED" w:rsidRPr="00C8550C">
              <w:rPr>
                <w:rFonts w:ascii="Book Antiqua" w:hAnsi="Book Antiqua"/>
                <w:sz w:val="24"/>
                <w:szCs w:val="24"/>
              </w:rPr>
              <w:t xml:space="preserve"> CEU</w:t>
            </w:r>
            <w:r w:rsidRPr="00C8550C">
              <w:rPr>
                <w:rFonts w:ascii="Book Antiqua" w:hAnsi="Book Antiqua"/>
                <w:sz w:val="24"/>
                <w:szCs w:val="24"/>
              </w:rPr>
              <w:t>S:</w:t>
            </w:r>
            <w:r w:rsidR="00626712" w:rsidRPr="00C8550C">
              <w:rPr>
                <w:rFonts w:ascii="Book Antiqua" w:hAnsi="Book Antiqua"/>
                <w:sz w:val="24"/>
                <w:szCs w:val="24"/>
              </w:rPr>
              <w:t xml:space="preserve"> </w:t>
            </w:r>
            <w:r w:rsidR="00A51DA8" w:rsidRPr="00C8550C">
              <w:rPr>
                <w:rFonts w:ascii="Book Antiqua" w:hAnsi="Book Antiqua"/>
                <w:sz w:val="24"/>
                <w:szCs w:val="24"/>
              </w:rPr>
              <w:t>C</w:t>
            </w:r>
            <w:r w:rsidR="00626712" w:rsidRPr="00C8550C">
              <w:rPr>
                <w:rFonts w:ascii="Book Antiqua" w:hAnsi="Book Antiqua"/>
                <w:sz w:val="24"/>
                <w:szCs w:val="24"/>
              </w:rPr>
              <w:t>ontrast enhanced ultrasound;</w:t>
            </w:r>
            <w:r w:rsidRPr="00C8550C">
              <w:rPr>
                <w:rFonts w:ascii="Book Antiqua" w:hAnsi="Book Antiqua"/>
                <w:sz w:val="24"/>
                <w:szCs w:val="24"/>
              </w:rPr>
              <w:t xml:space="preserve"> LI-RADS:</w:t>
            </w:r>
            <w:r w:rsidR="00835DED" w:rsidRPr="00C8550C">
              <w:rPr>
                <w:rFonts w:ascii="Book Antiqua" w:hAnsi="Book Antiqua"/>
                <w:sz w:val="24"/>
                <w:szCs w:val="24"/>
              </w:rPr>
              <w:t xml:space="preserve"> </w:t>
            </w:r>
            <w:r w:rsidR="00720257" w:rsidRPr="00C8550C">
              <w:rPr>
                <w:rFonts w:ascii="Book Antiqua" w:hAnsi="Book Antiqua"/>
                <w:sz w:val="24"/>
                <w:szCs w:val="24"/>
              </w:rPr>
              <w:t>L</w:t>
            </w:r>
            <w:r w:rsidR="00835DED" w:rsidRPr="00C8550C">
              <w:rPr>
                <w:rFonts w:ascii="Book Antiqua" w:hAnsi="Book Antiqua"/>
                <w:sz w:val="24"/>
                <w:szCs w:val="24"/>
              </w:rPr>
              <w:t>iver im</w:t>
            </w:r>
            <w:r w:rsidR="00626712" w:rsidRPr="00C8550C">
              <w:rPr>
                <w:rFonts w:ascii="Book Antiqua" w:hAnsi="Book Antiqua"/>
                <w:sz w:val="24"/>
                <w:szCs w:val="24"/>
              </w:rPr>
              <w:t>aging reporting and data system;</w:t>
            </w:r>
            <w:r w:rsidR="00835DED" w:rsidRPr="00C8550C">
              <w:rPr>
                <w:rFonts w:ascii="Book Antiqua" w:hAnsi="Book Antiqua"/>
                <w:sz w:val="24"/>
                <w:szCs w:val="24"/>
              </w:rPr>
              <w:t xml:space="preserve"> </w:t>
            </w:r>
            <w:r w:rsidRPr="00C8550C">
              <w:rPr>
                <w:rFonts w:ascii="Book Antiqua" w:hAnsi="Book Antiqua"/>
                <w:kern w:val="0"/>
                <w:sz w:val="24"/>
                <w:szCs w:val="24"/>
              </w:rPr>
              <w:t>APHE:</w:t>
            </w:r>
            <w:r w:rsidR="00835DED" w:rsidRPr="00C8550C">
              <w:rPr>
                <w:rFonts w:ascii="Book Antiqua" w:hAnsi="Book Antiqua"/>
                <w:kern w:val="0"/>
                <w:sz w:val="24"/>
                <w:szCs w:val="24"/>
              </w:rPr>
              <w:t xml:space="preserve"> </w:t>
            </w:r>
            <w:r w:rsidR="008323EC" w:rsidRPr="00C8550C">
              <w:rPr>
                <w:rFonts w:ascii="Book Antiqua" w:hAnsi="Book Antiqua"/>
                <w:kern w:val="0"/>
                <w:sz w:val="24"/>
                <w:szCs w:val="24"/>
              </w:rPr>
              <w:t>A</w:t>
            </w:r>
            <w:r w:rsidR="00626712" w:rsidRPr="00C8550C">
              <w:rPr>
                <w:rFonts w:ascii="Book Antiqua" w:hAnsi="Book Antiqua"/>
                <w:kern w:val="0"/>
                <w:sz w:val="24"/>
                <w:szCs w:val="24"/>
              </w:rPr>
              <w:t>rterial phase hyperenhancement;</w:t>
            </w:r>
            <w:r w:rsidR="00835DED" w:rsidRPr="00C8550C">
              <w:rPr>
                <w:rFonts w:ascii="Book Antiqua" w:hAnsi="Book Antiqua"/>
                <w:kern w:val="0"/>
                <w:sz w:val="24"/>
                <w:szCs w:val="24"/>
              </w:rPr>
              <w:t xml:space="preserve"> </w:t>
            </w:r>
            <w:r w:rsidRPr="00C8550C">
              <w:rPr>
                <w:rFonts w:ascii="Book Antiqua" w:hAnsi="Book Antiqua"/>
                <w:kern w:val="0"/>
                <w:sz w:val="24"/>
                <w:szCs w:val="24"/>
              </w:rPr>
              <w:t>95% CI:</w:t>
            </w:r>
            <w:r w:rsidR="00D2321D" w:rsidRPr="00C8550C">
              <w:rPr>
                <w:rFonts w:ascii="Book Antiqua" w:hAnsi="Book Antiqua"/>
                <w:kern w:val="0"/>
                <w:sz w:val="24"/>
                <w:szCs w:val="24"/>
              </w:rPr>
              <w:t xml:space="preserve"> 95% confidence interval;</w:t>
            </w:r>
            <w:r w:rsidRPr="00C8550C">
              <w:rPr>
                <w:rFonts w:ascii="Book Antiqua" w:hAnsi="Book Antiqua"/>
                <w:kern w:val="0"/>
                <w:sz w:val="24"/>
                <w:szCs w:val="24"/>
              </w:rPr>
              <w:t xml:space="preserve"> +LR:</w:t>
            </w:r>
            <w:r w:rsidR="00D2321D" w:rsidRPr="00C8550C">
              <w:rPr>
                <w:rFonts w:ascii="Book Antiqua" w:hAnsi="Book Antiqua"/>
                <w:kern w:val="0"/>
                <w:sz w:val="24"/>
                <w:szCs w:val="24"/>
              </w:rPr>
              <w:t xml:space="preserve"> </w:t>
            </w:r>
            <w:r w:rsidR="00A51DA8" w:rsidRPr="00C8550C">
              <w:rPr>
                <w:rFonts w:ascii="Book Antiqua" w:hAnsi="Book Antiqua"/>
                <w:kern w:val="0"/>
                <w:sz w:val="24"/>
                <w:szCs w:val="24"/>
              </w:rPr>
              <w:t>P</w:t>
            </w:r>
            <w:r w:rsidR="00D2321D" w:rsidRPr="00C8550C">
              <w:rPr>
                <w:rFonts w:ascii="Book Antiqua" w:hAnsi="Book Antiqua"/>
                <w:kern w:val="0"/>
                <w:sz w:val="24"/>
                <w:szCs w:val="24"/>
              </w:rPr>
              <w:t>ositive likelihood ratio;</w:t>
            </w:r>
            <w:r w:rsidRPr="00C8550C">
              <w:rPr>
                <w:rFonts w:ascii="Book Antiqua" w:hAnsi="Book Antiqua"/>
                <w:kern w:val="0"/>
                <w:sz w:val="24"/>
                <w:szCs w:val="24"/>
              </w:rPr>
              <w:t xml:space="preserve"> -LR:</w:t>
            </w:r>
            <w:r w:rsidR="00835DED" w:rsidRPr="00C8550C">
              <w:rPr>
                <w:rFonts w:ascii="Book Antiqua" w:hAnsi="Book Antiqua"/>
                <w:kern w:val="0"/>
                <w:sz w:val="24"/>
                <w:szCs w:val="24"/>
              </w:rPr>
              <w:t xml:space="preserve"> </w:t>
            </w:r>
            <w:r w:rsidR="00A51DA8" w:rsidRPr="00C8550C">
              <w:rPr>
                <w:rFonts w:ascii="Book Antiqua" w:hAnsi="Book Antiqua"/>
                <w:kern w:val="0"/>
                <w:sz w:val="24"/>
                <w:szCs w:val="24"/>
              </w:rPr>
              <w:t>N</w:t>
            </w:r>
            <w:r w:rsidR="00835DED" w:rsidRPr="00C8550C">
              <w:rPr>
                <w:rFonts w:ascii="Book Antiqua" w:hAnsi="Book Antiqua"/>
                <w:kern w:val="0"/>
                <w:sz w:val="24"/>
                <w:szCs w:val="24"/>
              </w:rPr>
              <w:t xml:space="preserve">egative likelihood ratio. </w:t>
            </w:r>
          </w:p>
        </w:tc>
      </w:tr>
      <w:tr w:rsidR="00835DED" w:rsidRPr="00C8550C" w:rsidTr="00A51DA8">
        <w:trPr>
          <w:trHeight w:val="841"/>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-LR</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0.4</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0.8</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0.5</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984"/>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95% CI</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1.9-2.7</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0.7-2.2</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1.4-2.3</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2.5-3.1</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695"/>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+LR</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2.3</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1.3</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1.8</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2.8</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1115"/>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95% CI</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60.9-75.9</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23.4-83.3</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53.8-67.9</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56.8-70.5</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1415"/>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Specificity</w:t>
            </w:r>
          </w:p>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68.8</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54.6</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61.0</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63.9</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1123"/>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95% CI</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58.4-80.7</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50.3-63.8</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51.3-84.4</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86.8-100</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1409"/>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Sensitivity</w:t>
            </w:r>
          </w:p>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70.4</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57.1</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69.7</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100</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1131"/>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95% CI</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0.63-0.76</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0.49-0.62</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0.59-0.72</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0.76-0.87</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836"/>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sz w:val="24"/>
                <w:szCs w:val="24"/>
              </w:rPr>
            </w:pPr>
          </w:p>
        </w:tc>
        <w:tc>
          <w:tcPr>
            <w:tcW w:w="839" w:type="dxa"/>
            <w:tcBorders>
              <w:top w:val="nil"/>
              <w:bottom w:val="nil"/>
              <w:right w:val="single" w:sz="4" w:space="0" w:color="auto"/>
            </w:tcBorders>
            <w:textDirection w:val="btLr"/>
          </w:tcPr>
          <w:p w:rsidR="00835DED" w:rsidRPr="00C8550C" w:rsidRDefault="00835DED" w:rsidP="00122AF4">
            <w:pPr>
              <w:adjustRightInd w:val="0"/>
              <w:snapToGrid w:val="0"/>
              <w:spacing w:after="0" w:line="360" w:lineRule="auto"/>
              <w:jc w:val="center"/>
              <w:rPr>
                <w:rFonts w:ascii="Book Antiqua" w:hAnsi="Book Antiqua"/>
                <w:sz w:val="24"/>
                <w:szCs w:val="24"/>
              </w:rPr>
            </w:pPr>
            <w:r w:rsidRPr="00C8550C">
              <w:rPr>
                <w:rFonts w:ascii="Book Antiqua" w:hAnsi="Book Antiqua"/>
                <w:bCs/>
                <w:sz w:val="24"/>
                <w:szCs w:val="24"/>
              </w:rPr>
              <w:t>AUC</w:t>
            </w:r>
          </w:p>
        </w:tc>
        <w:tc>
          <w:tcPr>
            <w:tcW w:w="974" w:type="dxa"/>
            <w:tcBorders>
              <w:top w:val="nil"/>
              <w:left w:val="single" w:sz="4" w:space="0" w:color="auto"/>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sz w:val="24"/>
                <w:szCs w:val="24"/>
              </w:rPr>
            </w:pPr>
            <w:r w:rsidRPr="00C8550C">
              <w:rPr>
                <w:rFonts w:ascii="Book Antiqua" w:hAnsi="Book Antiqua"/>
                <w:bCs/>
                <w:sz w:val="24"/>
                <w:szCs w:val="24"/>
              </w:rPr>
              <w:t>0.70</w:t>
            </w:r>
          </w:p>
        </w:tc>
        <w:tc>
          <w:tcPr>
            <w:tcW w:w="915"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sz w:val="24"/>
                <w:szCs w:val="24"/>
              </w:rPr>
            </w:pPr>
            <w:r w:rsidRPr="00C8550C">
              <w:rPr>
                <w:rFonts w:ascii="Book Antiqua" w:hAnsi="Book Antiqua"/>
                <w:bCs/>
                <w:sz w:val="24"/>
                <w:szCs w:val="24"/>
              </w:rPr>
              <w:t>0.56</w:t>
            </w:r>
          </w:p>
        </w:tc>
        <w:tc>
          <w:tcPr>
            <w:tcW w:w="1050" w:type="dxa"/>
            <w:tcBorders>
              <w:top w:val="nil"/>
              <w:left w:val="nil"/>
              <w:bottom w:val="nil"/>
              <w:right w:val="nil"/>
            </w:tcBorders>
            <w:textDirection w:val="btLr"/>
          </w:tcPr>
          <w:p w:rsidR="00835DED" w:rsidRPr="00C8550C" w:rsidRDefault="00835DED" w:rsidP="00122AF4">
            <w:pPr>
              <w:adjustRightInd w:val="0"/>
              <w:snapToGrid w:val="0"/>
              <w:spacing w:after="0" w:line="360" w:lineRule="auto"/>
              <w:jc w:val="center"/>
              <w:rPr>
                <w:rFonts w:ascii="Book Antiqua" w:hAnsi="Book Antiqua"/>
                <w:sz w:val="24"/>
                <w:szCs w:val="24"/>
              </w:rPr>
            </w:pPr>
            <w:r w:rsidRPr="00C8550C">
              <w:rPr>
                <w:rFonts w:ascii="Book Antiqua" w:hAnsi="Book Antiqua"/>
                <w:bCs/>
                <w:sz w:val="24"/>
                <w:szCs w:val="24"/>
              </w:rPr>
              <w:t>0.65</w:t>
            </w:r>
          </w:p>
        </w:tc>
        <w:tc>
          <w:tcPr>
            <w:tcW w:w="2034" w:type="dxa"/>
            <w:tcBorders>
              <w:top w:val="nil"/>
              <w:left w:val="nil"/>
              <w:bottom w:val="nil"/>
            </w:tcBorders>
            <w:textDirection w:val="btLr"/>
          </w:tcPr>
          <w:p w:rsidR="00835DED" w:rsidRPr="00C8550C" w:rsidRDefault="00835DED" w:rsidP="00122AF4">
            <w:pPr>
              <w:adjustRightInd w:val="0"/>
              <w:snapToGrid w:val="0"/>
              <w:spacing w:after="0" w:line="360" w:lineRule="auto"/>
              <w:jc w:val="center"/>
              <w:rPr>
                <w:rFonts w:ascii="Book Antiqua" w:hAnsi="Book Antiqua"/>
                <w:bCs/>
                <w:sz w:val="24"/>
                <w:szCs w:val="24"/>
              </w:rPr>
            </w:pPr>
            <w:r w:rsidRPr="00C8550C">
              <w:rPr>
                <w:rFonts w:ascii="Book Antiqua" w:hAnsi="Book Antiqua"/>
                <w:bCs/>
                <w:sz w:val="24"/>
                <w:szCs w:val="24"/>
              </w:rPr>
              <w:t>0.82</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r w:rsidR="00835DED" w:rsidRPr="00C8550C" w:rsidTr="00A51DA8">
        <w:trPr>
          <w:trHeight w:val="1542"/>
        </w:trPr>
        <w:tc>
          <w:tcPr>
            <w:tcW w:w="1384"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c>
          <w:tcPr>
            <w:tcW w:w="839" w:type="dxa"/>
            <w:tcBorders>
              <w:top w:val="nil"/>
              <w:right w:val="single" w:sz="4" w:space="0" w:color="auto"/>
            </w:tcBorders>
            <w:textDirection w:val="btLr"/>
          </w:tcPr>
          <w:p w:rsidR="00835DED" w:rsidRPr="00C8550C" w:rsidRDefault="00835DED" w:rsidP="0043631B">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Criterion</w:t>
            </w:r>
          </w:p>
        </w:tc>
        <w:tc>
          <w:tcPr>
            <w:tcW w:w="974" w:type="dxa"/>
            <w:tcBorders>
              <w:top w:val="nil"/>
              <w:left w:val="single" w:sz="4" w:space="0" w:color="auto"/>
              <w:right w:val="nil"/>
            </w:tcBorders>
            <w:textDirection w:val="btLr"/>
          </w:tcPr>
          <w:p w:rsidR="00835DED" w:rsidRPr="00C8550C" w:rsidRDefault="00835DED" w:rsidP="00122AF4">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Rim APHE</w:t>
            </w:r>
          </w:p>
        </w:tc>
        <w:tc>
          <w:tcPr>
            <w:tcW w:w="915" w:type="dxa"/>
            <w:tcBorders>
              <w:top w:val="nil"/>
              <w:left w:val="nil"/>
              <w:right w:val="nil"/>
            </w:tcBorders>
            <w:textDirection w:val="btLr"/>
          </w:tcPr>
          <w:p w:rsidR="00835DED" w:rsidRPr="00C8550C" w:rsidRDefault="00835DED" w:rsidP="00122AF4">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Early washout</w:t>
            </w:r>
          </w:p>
        </w:tc>
        <w:tc>
          <w:tcPr>
            <w:tcW w:w="1050" w:type="dxa"/>
            <w:tcBorders>
              <w:top w:val="nil"/>
              <w:left w:val="nil"/>
              <w:right w:val="nil"/>
            </w:tcBorders>
            <w:textDirection w:val="btLr"/>
          </w:tcPr>
          <w:p w:rsidR="00835DED" w:rsidRPr="00C8550C" w:rsidRDefault="00835DED" w:rsidP="00122AF4">
            <w:pPr>
              <w:adjustRightInd w:val="0"/>
              <w:snapToGrid w:val="0"/>
              <w:spacing w:after="0" w:line="360" w:lineRule="auto"/>
              <w:rPr>
                <w:rFonts w:ascii="Book Antiqua" w:hAnsi="Book Antiqua"/>
                <w:bCs/>
                <w:sz w:val="24"/>
                <w:szCs w:val="24"/>
              </w:rPr>
            </w:pPr>
            <w:r w:rsidRPr="00C8550C">
              <w:rPr>
                <w:rFonts w:ascii="Book Antiqua" w:hAnsi="Book Antiqua"/>
                <w:bCs/>
                <w:sz w:val="24"/>
                <w:szCs w:val="24"/>
              </w:rPr>
              <w:t>Marked washout</w:t>
            </w:r>
          </w:p>
        </w:tc>
        <w:tc>
          <w:tcPr>
            <w:tcW w:w="2034" w:type="dxa"/>
            <w:tcBorders>
              <w:top w:val="nil"/>
              <w:left w:val="nil"/>
            </w:tcBorders>
            <w:textDirection w:val="btLr"/>
          </w:tcPr>
          <w:p w:rsidR="00835DED" w:rsidRPr="00C8550C" w:rsidRDefault="00835DED" w:rsidP="00122AF4">
            <w:pPr>
              <w:adjustRightInd w:val="0"/>
              <w:snapToGrid w:val="0"/>
              <w:spacing w:after="0" w:line="360" w:lineRule="auto"/>
              <w:jc w:val="left"/>
              <w:rPr>
                <w:rFonts w:ascii="Book Antiqua" w:hAnsi="Book Antiqua"/>
                <w:bCs/>
                <w:sz w:val="24"/>
                <w:szCs w:val="24"/>
              </w:rPr>
            </w:pPr>
            <w:r w:rsidRPr="00C8550C">
              <w:rPr>
                <w:rFonts w:ascii="Book Antiqua" w:hAnsi="Book Antiqua"/>
                <w:bCs/>
                <w:sz w:val="24"/>
                <w:szCs w:val="24"/>
              </w:rPr>
              <w:t xml:space="preserve">Rim APHE </w:t>
            </w:r>
            <w:r w:rsidR="000D7CDE" w:rsidRPr="00C8550C">
              <w:rPr>
                <w:rFonts w:ascii="Book Antiqua" w:hAnsi="Book Antiqua"/>
                <w:bCs/>
                <w:sz w:val="24"/>
                <w:szCs w:val="24"/>
              </w:rPr>
              <w:t>+</w:t>
            </w:r>
            <w:r w:rsidRPr="00C8550C">
              <w:rPr>
                <w:rFonts w:ascii="Book Antiqua" w:hAnsi="Book Antiqua"/>
                <w:bCs/>
                <w:sz w:val="24"/>
                <w:szCs w:val="24"/>
              </w:rPr>
              <w:t xml:space="preserve"> elevated CA 19-9 </w:t>
            </w:r>
            <w:r w:rsidR="000D7CDE" w:rsidRPr="00C8550C">
              <w:rPr>
                <w:rFonts w:ascii="Book Antiqua" w:hAnsi="Book Antiqua"/>
                <w:bCs/>
                <w:sz w:val="24"/>
                <w:szCs w:val="24"/>
              </w:rPr>
              <w:t>+</w:t>
            </w:r>
            <w:r w:rsidRPr="00C8550C">
              <w:rPr>
                <w:rFonts w:ascii="Book Antiqua" w:hAnsi="Book Antiqua"/>
                <w:bCs/>
                <w:sz w:val="24"/>
                <w:szCs w:val="24"/>
              </w:rPr>
              <w:t xml:space="preserve"> normal AFP</w:t>
            </w:r>
          </w:p>
        </w:tc>
        <w:tc>
          <w:tcPr>
            <w:tcW w:w="2126" w:type="dxa"/>
            <w:vMerge/>
            <w:textDirection w:val="btLr"/>
          </w:tcPr>
          <w:p w:rsidR="00835DED" w:rsidRPr="00C8550C" w:rsidRDefault="00835DED" w:rsidP="00122AF4">
            <w:pPr>
              <w:adjustRightInd w:val="0"/>
              <w:snapToGrid w:val="0"/>
              <w:spacing w:after="0" w:line="360" w:lineRule="auto"/>
              <w:rPr>
                <w:rFonts w:ascii="Book Antiqua" w:hAnsi="Book Antiqua"/>
                <w:bCs/>
                <w:sz w:val="24"/>
                <w:szCs w:val="24"/>
              </w:rPr>
            </w:pPr>
          </w:p>
        </w:tc>
      </w:tr>
    </w:tbl>
    <w:p w:rsidR="00835DED" w:rsidRPr="00C8550C" w:rsidRDefault="00835DED" w:rsidP="00122AF4">
      <w:pPr>
        <w:adjustRightInd w:val="0"/>
        <w:snapToGrid w:val="0"/>
        <w:spacing w:after="0" w:line="360" w:lineRule="auto"/>
        <w:rPr>
          <w:rFonts w:ascii="Book Antiqua" w:hAnsi="Book Antiqua"/>
          <w:sz w:val="24"/>
          <w:szCs w:val="24"/>
        </w:rPr>
      </w:pPr>
    </w:p>
    <w:p w:rsidR="00835DED" w:rsidRPr="00C8550C" w:rsidRDefault="00835DED" w:rsidP="00122AF4">
      <w:pPr>
        <w:adjustRightInd w:val="0"/>
        <w:snapToGrid w:val="0"/>
        <w:spacing w:after="0" w:line="360" w:lineRule="auto"/>
        <w:rPr>
          <w:rFonts w:ascii="Book Antiqua" w:hAnsi="Book Antiqua"/>
          <w:sz w:val="24"/>
          <w:szCs w:val="24"/>
        </w:rPr>
      </w:pPr>
    </w:p>
    <w:sectPr w:rsidR="00835DED" w:rsidRPr="00C8550C">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EC9" w:rsidRDefault="00775EC9" w:rsidP="009D0ECF">
      <w:pPr>
        <w:spacing w:after="0" w:line="240" w:lineRule="auto"/>
      </w:pPr>
      <w:r>
        <w:separator/>
      </w:r>
    </w:p>
  </w:endnote>
  <w:endnote w:type="continuationSeparator" w:id="0">
    <w:p w:rsidR="00775EC9" w:rsidRDefault="00775EC9" w:rsidP="009D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PMincho">
    <w:altName w:val="MS Gothic"/>
    <w:charset w:val="80"/>
    <w:family w:val="roman"/>
    <w:pitch w:val="variable"/>
    <w:sig w:usb0="00000000"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TimesNewRomanPS-BoldItalicMT">
    <w:charset w:val="00"/>
    <w:family w:val="roman"/>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CD2" w:rsidRPr="00382CD2" w:rsidRDefault="00382CD2" w:rsidP="00382CD2">
    <w:pPr>
      <w:pStyle w:val="a8"/>
      <w:jc w:val="right"/>
      <w:rPr>
        <w:rFonts w:ascii="Book Antiqua" w:hAnsi="Book Antiqua"/>
        <w:sz w:val="24"/>
        <w:szCs w:val="24"/>
      </w:rPr>
    </w:pPr>
    <w:r w:rsidRPr="00382CD2">
      <w:rPr>
        <w:rFonts w:ascii="Book Antiqua" w:hAnsi="Book Antiqua"/>
        <w:sz w:val="24"/>
        <w:szCs w:val="24"/>
        <w:lang w:val="zh-CN"/>
      </w:rPr>
      <w:t xml:space="preserve"> </w:t>
    </w:r>
    <w:r w:rsidRPr="00382CD2">
      <w:rPr>
        <w:rFonts w:ascii="Book Antiqua" w:hAnsi="Book Antiqua"/>
        <w:b/>
        <w:bCs/>
        <w:sz w:val="24"/>
        <w:szCs w:val="24"/>
      </w:rPr>
      <w:fldChar w:fldCharType="begin"/>
    </w:r>
    <w:r w:rsidRPr="00382CD2">
      <w:rPr>
        <w:rFonts w:ascii="Book Antiqua" w:hAnsi="Book Antiqua"/>
        <w:b/>
        <w:bCs/>
        <w:sz w:val="24"/>
        <w:szCs w:val="24"/>
      </w:rPr>
      <w:instrText>PAGE</w:instrText>
    </w:r>
    <w:r w:rsidRPr="00382CD2">
      <w:rPr>
        <w:rFonts w:ascii="Book Antiqua" w:hAnsi="Book Antiqua"/>
        <w:b/>
        <w:bCs/>
        <w:sz w:val="24"/>
        <w:szCs w:val="24"/>
      </w:rPr>
      <w:fldChar w:fldCharType="separate"/>
    </w:r>
    <w:r w:rsidR="000D7CAA">
      <w:rPr>
        <w:rFonts w:ascii="Book Antiqua" w:hAnsi="Book Antiqua"/>
        <w:b/>
        <w:bCs/>
        <w:noProof/>
        <w:sz w:val="24"/>
        <w:szCs w:val="24"/>
      </w:rPr>
      <w:t>2</w:t>
    </w:r>
    <w:r w:rsidRPr="00382CD2">
      <w:rPr>
        <w:rFonts w:ascii="Book Antiqua" w:hAnsi="Book Antiqua"/>
        <w:b/>
        <w:bCs/>
        <w:sz w:val="24"/>
        <w:szCs w:val="24"/>
      </w:rPr>
      <w:fldChar w:fldCharType="end"/>
    </w:r>
    <w:r w:rsidRPr="00382CD2">
      <w:rPr>
        <w:rFonts w:ascii="Book Antiqua" w:hAnsi="Book Antiqua"/>
        <w:sz w:val="24"/>
        <w:szCs w:val="24"/>
        <w:lang w:val="zh-CN"/>
      </w:rPr>
      <w:t xml:space="preserve"> / </w:t>
    </w:r>
    <w:r w:rsidRPr="00382CD2">
      <w:rPr>
        <w:rFonts w:ascii="Book Antiqua" w:hAnsi="Book Antiqua"/>
        <w:b/>
        <w:bCs/>
        <w:sz w:val="24"/>
        <w:szCs w:val="24"/>
      </w:rPr>
      <w:fldChar w:fldCharType="begin"/>
    </w:r>
    <w:r w:rsidRPr="00382CD2">
      <w:rPr>
        <w:rFonts w:ascii="Book Antiqua" w:hAnsi="Book Antiqua"/>
        <w:b/>
        <w:bCs/>
        <w:sz w:val="24"/>
        <w:szCs w:val="24"/>
      </w:rPr>
      <w:instrText>NUMPAGES</w:instrText>
    </w:r>
    <w:r w:rsidRPr="00382CD2">
      <w:rPr>
        <w:rFonts w:ascii="Book Antiqua" w:hAnsi="Book Antiqua"/>
        <w:b/>
        <w:bCs/>
        <w:sz w:val="24"/>
        <w:szCs w:val="24"/>
      </w:rPr>
      <w:fldChar w:fldCharType="separate"/>
    </w:r>
    <w:r w:rsidR="000D7CAA">
      <w:rPr>
        <w:rFonts w:ascii="Book Antiqua" w:hAnsi="Book Antiqua"/>
        <w:b/>
        <w:bCs/>
        <w:noProof/>
        <w:sz w:val="24"/>
        <w:szCs w:val="24"/>
      </w:rPr>
      <w:t>8</w:t>
    </w:r>
    <w:r w:rsidRPr="00382CD2">
      <w:rPr>
        <w:rFonts w:ascii="Book Antiqua" w:hAnsi="Book Antiqua"/>
        <w:b/>
        <w:bCs/>
        <w:sz w:val="24"/>
        <w:szCs w:val="24"/>
      </w:rPr>
      <w:fldChar w:fldCharType="end"/>
    </w:r>
  </w:p>
  <w:p w:rsidR="007910B5" w:rsidRDefault="007910B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EC9" w:rsidRDefault="00775EC9" w:rsidP="009D0ECF">
      <w:pPr>
        <w:spacing w:after="0" w:line="240" w:lineRule="auto"/>
      </w:pPr>
      <w:r>
        <w:separator/>
      </w:r>
    </w:p>
  </w:footnote>
  <w:footnote w:type="continuationSeparator" w:id="0">
    <w:p w:rsidR="00775EC9" w:rsidRDefault="00775EC9" w:rsidP="009D0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20" w:rsidRDefault="00047C20" w:rsidP="00047C20">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20" w:rsidRDefault="00047C20" w:rsidP="00047C20">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C3A85"/>
    <w:multiLevelType w:val="hybridMultilevel"/>
    <w:tmpl w:val="D3447364"/>
    <w:lvl w:ilvl="0" w:tplc="87C4F6E2">
      <w:start w:val="34"/>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8C6A00"/>
    <w:multiLevelType w:val="hybridMultilevel"/>
    <w:tmpl w:val="0994E9E0"/>
    <w:lvl w:ilvl="0" w:tplc="1234A24E">
      <w:start w:val="60"/>
      <w:numFmt w:val="bullet"/>
      <w:lvlText w:val=""/>
      <w:lvlJc w:val="left"/>
      <w:pPr>
        <w:ind w:left="600" w:hanging="360"/>
      </w:pPr>
      <w:rPr>
        <w:rFonts w:ascii="Wingdings" w:eastAsia="宋体"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nsid w:val="4CF47D04"/>
    <w:multiLevelType w:val="hybridMultilevel"/>
    <w:tmpl w:val="8314212A"/>
    <w:lvl w:ilvl="0" w:tplc="58761EC2">
      <w:start w:val="18"/>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7FC3EBE"/>
    <w:multiLevelType w:val="hybridMultilevel"/>
    <w:tmpl w:val="FBEC427A"/>
    <w:lvl w:ilvl="0" w:tplc="5254F1C0">
      <w:start w:val="60"/>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7D3C49DF"/>
    <w:multiLevelType w:val="hybridMultilevel"/>
    <w:tmpl w:val="18D64DB2"/>
    <w:lvl w:ilvl="0" w:tplc="701EB62A">
      <w:start w:val="60"/>
      <w:numFmt w:val="bullet"/>
      <w:lvlText w:val=""/>
      <w:lvlJc w:val="left"/>
      <w:pPr>
        <w:ind w:left="480" w:hanging="360"/>
      </w:pPr>
      <w:rPr>
        <w:rFonts w:ascii="Wingdings" w:eastAsia="宋体" w:hAnsi="Wingdings" w:cs="Times New Roman" w:hint="default"/>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5">
    <w:nsid w:val="7F006BF9"/>
    <w:multiLevelType w:val="hybridMultilevel"/>
    <w:tmpl w:val="A04C1C8A"/>
    <w:lvl w:ilvl="0" w:tplc="EA288CE4">
      <w:start w:val="18"/>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1FF43429-33CF-42F4-92F5-1E2DD8534AE6}457" w:val="&lt;KyMRNote dbid=&quot;{1FF43429-33CF-42F4-92F5-1E2DD8534AE6}&quot; recid=&quot;457&quot;&gt;&lt;Data&gt;&lt;Field id=&quot;AccessNum&quot;&gt;30207593&lt;/Field&gt;&lt;Field id=&quot;Author&quot;&gt;Bray F;Ferlay J;Soerjomataram I;Siegel RL;Torre LA;Jemal A&lt;/Field&gt;&lt;Field id=&quot;AuthorTrans&quot;&gt;&lt;/Field&gt;&lt;Field id=&quot;DOI&quot;&gt;10.3322/caac.21492&lt;/Field&gt;&lt;Field id=&quot;Editor&quot;&gt;&lt;/Field&gt;&lt;Field id=&quot;FmtTitle&quot;&gt;&lt;/Field&gt;&lt;Field id=&quot;Issue&quot;&gt;6&lt;/Field&gt;&lt;Field id=&quot;LIID&quot;&gt;457&lt;/Field&gt;&lt;Field id=&quot;Magazine&quot;&gt;CA: a cancer journal for clinicians&lt;/Field&gt;&lt;Field id=&quot;MagazineAB&quot;&gt;CA Cancer J Clin&lt;/Field&gt;&lt;Field id=&quot;MagazineTrans&quot;&gt;&lt;/Field&gt;&lt;Field id=&quot;PageNum&quot;&gt;394-424&lt;/Field&gt;&lt;Field id=&quot;PubDate&quot;&gt;11&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Global cancer statistics 2018: GLOBOCAN estimates of incidence and mortality worldwide for 36 cancers in 185 countries.&lt;/Field&gt;&lt;Field id=&quot;Translator&quot;&gt;&lt;/Field&gt;&lt;Field id=&quot;Type&quot;&gt;{041D4F77-279E-4405-0002-4388361B9CFF}&lt;/Field&gt;&lt;Field id=&quot;Version&quot;&gt;&lt;/Field&gt;&lt;Field id=&quot;Vol&quot;&gt;68&lt;/Field&gt;&lt;Field id=&quot;Author2&quot;&gt;Bray,F;Ferlay,J;Soerjomataram,I;Siegel,RL;Torre,LA;Jemal,A;&lt;/Field&gt;&lt;/Data&gt;&lt;Ref&gt;&lt;Display&gt;&lt;Text StringText=&quot;「RefIndex」&quot; StringTextOri=&quot;「RefIndex」&quot; SuperScript=&quot;true&quot;/&gt;&lt;/Display&gt;&lt;/Ref&gt;&lt;Doc&gt;&lt;Display&gt;&lt;Text StringText=&quot;Bray F, Ferlay J, Soerjomataram I, Siegel RL, Torre LA, Jemal A&quot; StringGroup=&quot;Author&quot;/&gt;_x000d__x000a__x0009__x0009__x0009_&lt;Text StringText=&quot;. &quot; StringGroup=&quot;Author&quot;/&gt;_x000d__x000a__x0009__x0009__x0009_&lt;Text StringText=&quot;Global cancer statistics 2018: GLOBOCAN estimates of incidence and mortality worldwide for 36 cancers in 185 countries&quot; StringGroup=&quot;Title&quot;/&gt;_x000d__x000a__x0009__x0009__x0009_&lt;Text StringText=&quot;. &quot; StringGroup=&quot;Title&quot;/&gt;_x000d__x000a__x0009__x0009__x0009_&lt;Text StringText=&quot;CA Cancer J Clin&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68&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394-424&quot; StringGroup=&quot;PageNum&quot;/&gt;_x000d__x000a__x0009__x0009__x0009_&lt;Text StringText=&quot;.&quot; StringGroup=&quot;none&quot;/&gt;_x000d__x000a__x0009__x0009_&lt;/Display&gt;&lt;/Doc&gt;&lt;/KyMRNote&gt;"/>
    <w:docVar w:name="KY.MR.DATA{1FF43429-33CF-42F4-92F5-1E2DD8534AE6}458" w:val="&lt;KyMRNote dbid=&quot;{1FF43429-33CF-42F4-92F5-1E2DD8534AE6}&quot; recid=&quot;458&quot;&gt;&lt;Data&gt;&lt;Field id=&quot;AccessNum&quot;&gt;28043904&lt;/Field&gt;&lt;Field id=&quot;Author&quot;&gt;Sia D;Villanueva A;Friedman SL;Llovet JM&lt;/Field&gt;&lt;Field id=&quot;AuthorTrans&quot;&gt;&lt;/Field&gt;&lt;Field id=&quot;DOI&quot;&gt;10.1053/j.gastro.2016.11.048&lt;/Field&gt;&lt;Field id=&quot;Editor&quot;&gt;&lt;/Field&gt;&lt;Field id=&quot;FmtTitle&quot;&gt;&lt;/Field&gt;&lt;Field id=&quot;Issue&quot;&gt;4&lt;/Field&gt;&lt;Field id=&quot;LIID&quot;&gt;458&lt;/Field&gt;&lt;Field id=&quot;Magazine&quot;&gt;Gastroenterology&lt;/Field&gt;&lt;Field id=&quot;MagazineAB&quot;&gt;Gastroenterology&lt;/Field&gt;&lt;Field id=&quot;MagazineTrans&quot;&gt;&lt;/Field&gt;&lt;Field id=&quot;PageNum&quot;&gt;745-761&lt;/Field&gt;&lt;Field id=&quot;PubDate&quot;&gt;03&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Liver Cancer Cell of Origin, Molecular Class, and Effects on Patient Prognosis.&lt;/Field&gt;&lt;Field id=&quot;Translator&quot;&gt;&lt;/Field&gt;&lt;Field id=&quot;Type&quot;&gt;{041D4F77-279E-4405-0002-4388361B9CFF}&lt;/Field&gt;&lt;Field id=&quot;Version&quot;&gt;&lt;/Field&gt;&lt;Field id=&quot;Vol&quot;&gt;152&lt;/Field&gt;&lt;Field id=&quot;Author2&quot;&gt;Sia,D;Villanueva,A;Friedman,SL;Llovet,JM;&lt;/Field&gt;&lt;/Data&gt;&lt;Ref&gt;&lt;Display&gt;&lt;Text StringText=&quot;「RefIndex」&quot; StringTextOri=&quot;「RefIndex」&quot; SuperScript=&quot;true&quot;/&gt;&lt;/Display&gt;&lt;/Ref&gt;&lt;Doc&gt;&lt;Display&gt;&lt;Text StringText=&quot;Sia D, Villanueva A, Friedman SL, Llovet JM&quot; StringGroup=&quot;Author&quot;/&gt;_x000d__x000a__x0009__x0009__x0009_&lt;Text StringText=&quot;. &quot; StringGroup=&quot;Author&quot;/&gt;_x000d__x000a__x0009__x0009__x0009_&lt;Text StringText=&quot;Liver Cancer Cell of Origin, Molecular Class, and Effects on Patient Prognosis&quot; StringGroup=&quot;Title&quot;/&gt;_x000d__x000a__x0009__x0009__x0009_&lt;Text StringText=&quot;. &quot; StringGroup=&quot;Title&quot;/&gt;_x000d__x000a__x0009__x0009__x0009_&lt;Text StringText=&quot;Gastroenterology&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52&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745-761&quot; StringGroup=&quot;PageNum&quot;/&gt;_x000d__x000a__x0009__x0009__x0009_&lt;Text StringText=&quot;.&quot; StringGroup=&quot;none&quot;/&gt;_x000d__x000a__x0009__x0009_&lt;/Display&gt;&lt;/Doc&gt;&lt;/KyMRNote&gt;"/>
    <w:docVar w:name="KY.MR.DATA{1FF43429-33CF-42F4-92F5-1E2DD8534AE6}459" w:val="&lt;KyMRNote dbid=&quot;{1FF43429-33CF-42F4-92F5-1E2DD8534AE6}&quot; recid=&quot;459&quot;&gt;&lt;Data&gt;&lt;Field id=&quot;AccessNum&quot;&gt;28975830&lt;/Field&gt;&lt;Field id=&quot;Author&quot;&gt;Massarweh NN;El-Serag HB&lt;/Field&gt;&lt;Field id=&quot;AuthorTrans&quot;&gt;&lt;/Field&gt;&lt;Field id=&quot;DOI&quot;&gt;10.1177/1073274817729245&lt;/Field&gt;&lt;Field id=&quot;Editor&quot;&gt;&lt;/Field&gt;&lt;Field id=&quot;FmtTitle&quot;&gt;&lt;/Field&gt;&lt;Field id=&quot;Issue&quot;&gt;3&lt;/Field&gt;&lt;Field id=&quot;LIID&quot;&gt;459&lt;/Field&gt;&lt;Field id=&quot;Magazine&quot;&gt;Cancer control : journal of the Moffitt Cancer Center&lt;/Field&gt;&lt;Field id=&quot;MagazineAB&quot;&gt;Cancer Control&lt;/Field&gt;&lt;Field id=&quot;MagazineTrans&quot;&gt;&lt;/Field&gt;&lt;Field id=&quot;PageNum&quot;&gt;1073274817729245&lt;/Field&gt;&lt;Field id=&quot;PubDate&quot;&gt;Jul-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Epidemiology of Hepatocellular Carcinoma and Intrahepatic Cholangiocarcinoma.&lt;/Field&gt;&lt;Field id=&quot;Translator&quot;&gt;&lt;/Field&gt;&lt;Field id=&quot;Type&quot;&gt;{041D4F77-279E-4405-0002-4388361B9CFF}&lt;/Field&gt;&lt;Field id=&quot;Version&quot;&gt;&lt;/Field&gt;&lt;Field id=&quot;Vol&quot;&gt;24&lt;/Field&gt;&lt;Field id=&quot;Author2&quot;&gt;Massarweh,NN;El-Serag,HB;&lt;/Field&gt;&lt;/Data&gt;&lt;Ref&gt;&lt;Display&gt;&lt;Text StringText=&quot;「RefIndex」&quot; StringTextOri=&quot;「RefIndex」&quot; SuperScript=&quot;true&quot;/&gt;&lt;/Display&gt;&lt;/Ref&gt;&lt;Doc&gt;&lt;Display&gt;&lt;Text StringText=&quot;Massarweh NN, El-Serag HB&quot; StringGroup=&quot;Author&quot;/&gt;_x000d__x000a__x0009__x0009__x0009_&lt;Text StringText=&quot;. &quot; StringGroup=&quot;Author&quot;/&gt;_x000d__x000a__x0009__x0009__x0009_&lt;Text StringText=&quot;Epidemiology of Hepatocellular Carcinoma and Intrahepatic Cholangiocarcinoma&quot; StringGroup=&quot;Title&quot;/&gt;_x000d__x000a__x0009__x0009__x0009_&lt;Text StringText=&quot;. &quot; StringGroup=&quot;Title&quot;/&gt;_x000d__x000a__x0009__x0009__x0009_&lt;Text StringText=&quot;Cancer Control&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24&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073274817729245&quot; StringGroup=&quot;PageNum&quot;/&gt;_x000d__x000a__x0009__x0009__x0009_&lt;Text StringText=&quot;.&quot; StringGroup=&quot;none&quot;/&gt;_x000d__x000a__x0009__x0009_&lt;/Display&gt;&lt;/Doc&gt;&lt;/KyMRNote&gt;"/>
    <w:docVar w:name="KY.MR.DATA{1FF43429-33CF-42F4-92F5-1E2DD8534AE6}460" w:val="&lt;KyMRNote dbid=&quot;{1FF43429-33CF-42F4-92F5-1E2DD8534AE6}&quot; recid=&quot;460&quot;&gt;&lt;Data&gt;&lt;Field id=&quot;AccessNum&quot;&gt;25712376&lt;/Field&gt;&lt;Field id=&quot;Author&quot;&gt;Xue TC;Zhang BH;Ye SL;Ren ZG&lt;/Field&gt;&lt;Field id=&quot;AuthorTrans&quot;&gt;&lt;/Field&gt;&lt;Field id=&quot;DOI&quot;&gt;10.1007/s13277-015-3261-1&lt;/Field&gt;&lt;Field id=&quot;Editor&quot;&gt;&lt;/Field&gt;&lt;Field id=&quot;FmtTitle&quot;&gt;&lt;/Field&gt;&lt;Field id=&quot;Issue&quot;&gt;8&lt;/Field&gt;&lt;Field id=&quot;LIID&quot;&gt;460&lt;/Field&gt;&lt;Field id=&quot;Magazine&quot;&gt;Tumour biology : the journal of the International Society for Oncodevelopmental Biology and Medicine&lt;/Field&gt;&lt;Field id=&quot;MagazineAB&quot;&gt;Tumour Biol&lt;/Field&gt;&lt;Field id=&quot;MagazineTrans&quot;&gt;&lt;/Field&gt;&lt;Field id=&quot;PageNum&quot;&gt;5891-9&lt;/Field&gt;&lt;Field id=&quot;PubDate&quot;&gt;Aug&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Differentially expressed gene profiles of intrahepatic cholangiocarcinoma, hepatocellular carcinoma, and combined hepatocellular-cholangiocarcinoma by integrated microarray analysis.&lt;/Field&gt;&lt;Field id=&quot;Translator&quot;&gt;&lt;/Field&gt;&lt;Field id=&quot;Type&quot;&gt;{041D4F77-279E-4405-0002-4388361B9CFF}&lt;/Field&gt;&lt;Field id=&quot;Version&quot;&gt;&lt;/Field&gt;&lt;Field id=&quot;Vol&quot;&gt;36&lt;/Field&gt;&lt;Field id=&quot;Author2&quot;&gt;Xue,TC;Zhang,BH;Ye,SL;Ren,ZG;&lt;/Field&gt;&lt;/Data&gt;&lt;Ref&gt;&lt;Display&gt;&lt;Text StringText=&quot;「RefIndex」&quot; StringTextOri=&quot;「RefIndex」&quot; SuperScript=&quot;true&quot;/&gt;&lt;/Display&gt;&lt;/Ref&gt;&lt;Doc&gt;&lt;Display&gt;&lt;Text StringText=&quot;Xue TC, Zhang BH, Ye SL, Ren ZG&quot; StringGroup=&quot;Author&quot;/&gt;_x000d__x000a__x0009__x0009__x0009_&lt;Text StringText=&quot;. &quot; StringGroup=&quot;Author&quot;/&gt;_x000d__x000a__x0009__x0009__x0009_&lt;Text StringText=&quot;Differentially expressed gene profiles of intrahepatic cholangiocarcinoma, hepatocellular carcinoma, and combined hepatocellular-cholangiocarcinoma by integrated microarray analysis&quot; StringGroup=&quot;Title&quot;/&gt;_x000d__x000a__x0009__x0009__x0009_&lt;Text StringText=&quot;. &quot; StringGroup=&quot;Title&quot;/&gt;_x000d__x000a__x0009__x0009__x0009_&lt;Text StringText=&quot;Tumour Bi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36&quot; StringGroup=&quot;Vol&quot;/&gt;_x000d__x000a__x0009__x0009__x0009_&lt;Text StringText=&quot;(&quot; StringGroup=&quot;Issue&quot;/&gt;_x000d__x000a__x0009__x0009__x0009_&lt;Text StringText=&quot;8&quot; StringGroup=&quot;Issue&quot;/&gt;_x000d__x000a__x0009__x0009__x0009_&lt;Text StringText=&quot;)&quot; StringGroup=&quot;Issue&quot;/&gt;_x000d__x000a__x0009__x0009__x0009_&lt;Text StringText=&quot;: &quot; StringGroup=&quot;PageNum&quot;/&gt;_x000d__x000a__x0009__x0009__x0009_&lt;Text StringText=&quot;5891-9&quot; StringGroup=&quot;PageNum&quot;/&gt;_x000d__x000a__x0009__x0009__x0009_&lt;Text StringText=&quot;.&quot; StringGroup=&quot;none&quot;/&gt;_x000d__x000a__x0009__x0009_&lt;/Display&gt;&lt;/Doc&gt;&lt;/KyMRNote&gt;"/>
    <w:docVar w:name="KY.MR.DATA{1FF43429-33CF-42F4-92F5-1E2DD8534AE6}461" w:val="&lt;KyMRNote dbid=&quot;{1FF43429-33CF-42F4-92F5-1E2DD8534AE6}&quot; recid=&quot;461&quot;&gt;&lt;Data&gt;&lt;Field id=&quot;AccessNum&quot;&gt;23137926&lt;/Field&gt;&lt;Field id=&quot;Author&quot;&gt;Claudon M;Dietrich CF;Choi BI;Cosgrove DO;Kudo M;Nolsøe CP;Piscaglia F;Wilson SR;Barr RG;Chammas MC;Chaubal NG;Chen MH;Clevert DA;Correas JM;Ding H;Forsberg F;Fowlkes JB;Gibson RN;Goldberg BB;Lassau N;Leen EL;Mattrey RF;Moriyasu F;Solbiati L;Weskott HP;Xu HX;CollectiveName:World Federation for Ultrasound in Medicine;CollectiveName:European Federation of Societies for Ultrasound&lt;/Field&gt;&lt;Field id=&quot;AuthorTrans&quot;&gt;&lt;/Field&gt;&lt;Field id=&quot;DOI&quot;&gt;10.1016/j.ultrasmedbio.2012.09.002&lt;/Field&gt;&lt;Field id=&quot;Editor&quot;&gt;&lt;/Field&gt;&lt;Field id=&quot;FmtTitle&quot;&gt;&lt;/Field&gt;&lt;Field id=&quot;Issue&quot;&gt;2&lt;/Field&gt;&lt;Field id=&quot;LIID&quot;&gt;461&lt;/Field&gt;&lt;Field id=&quot;Magazine&quot;&gt;Ultrasound in medicine &amp;amp; biology&lt;/Field&gt;&lt;Field id=&quot;MagazineAB&quot;&gt;Ultrasound Med Biol&lt;/Field&gt;&lt;Field id=&quot;MagazineTrans&quot;&gt;&lt;/Field&gt;&lt;Field id=&quot;PageNum&quot;&gt;187-210&lt;/Field&gt;&lt;Field id=&quot;PubDate&quot;&gt;Feb&lt;/Field&gt;&lt;Field id=&quot;PubPlace&quot;&gt;England&lt;/Field&gt;&lt;Field id=&quot;PubPlaceTrans&quot;&gt;&lt;/Field&gt;&lt;Field id=&quot;PubYear&quot;&gt;2013&lt;/Field&gt;&lt;Field id=&quot;Publisher&quot;&gt;&lt;/Field&gt;&lt;Field id=&quot;PublisherTrans&quot;&gt;&lt;/Field&gt;&lt;Field id=&quot;TITrans&quot;&gt;&lt;/Field&gt;&lt;Field id=&quot;Title&quot;&gt;Guidelines and good clinical practice recommendations for Contrast Enhanced Ultrasound (CEUS) in the liver - update 2012: A WFUMB-EFSUMB initiative in cooperation with representatives of AFSUMB, AIUM, ASUM, FLAUS and ICUS.&lt;/Field&gt;&lt;Field id=&quot;Translator&quot;&gt;&lt;/Field&gt;&lt;Field id=&quot;Type&quot;&gt;{041D4F77-279E-4405-0002-4388361B9CFF}&lt;/Field&gt;&lt;Field id=&quot;Version&quot;&gt;&lt;/Field&gt;&lt;Field id=&quot;Vol&quot;&gt;39&lt;/Field&gt;&lt;Field id=&quot;Author2&quot;&gt;Claudon,M;Dietrich,CF;Choi,BI;&lt;/Field&gt;&lt;/Data&gt;&lt;Ref&gt;&lt;Display&gt;&lt;Text StringText=&quot;「RefIndex」&quot; StringTextOri=&quot;「RefIndex」&quot; SuperScript=&quot;true&quot;/&gt;&lt;/Display&gt;&lt;/Ref&gt;&lt;Doc&gt;&lt;Display&gt;&lt;Text StringText=&quot;Claudon M, Dietrich CF, Choi BI, et al.&quot; StringGroup=&quot;Author&quot;/&gt;_x000d__x000a__x0009__x0009__x0009_&lt;Text StringText=&quot; &quot; StringGroup=&quot;Author&quot;/&gt;_x000d__x000a__x0009__x0009__x0009_&lt;Text StringText=&quot;Guidelines and good clinical practice recommendations for Contrast Enhanced Ultrasound (CEUS) in the liver - update 2012: A WFUMB-EFSUMB initiative in cooperation with representatives of AFSUMB, AIUM, ASUM, FLAUS and ICUS&quot; StringGroup=&quot;Title&quot;/&gt;_x000d__x000a__x0009__x0009__x0009_&lt;Text StringText=&quot;. &quot; StringGroup=&quot;Title&quot;/&gt;_x000d__x000a__x0009__x0009__x0009_&lt;Text StringText=&quot;Ultrasound Med Biol&quot; StringGroup=&quot;Magazine&quot;/&gt;_x000d__x000a__x0009__x0009__x0009_&lt;Text StringText=&quot;. &quot; StringGroup=&quot;Magazine&quot;/&gt;_x000d__x000a__x0009__x0009__x0009_&lt;Text StringText=&quot;2013&quot; StringGroup=&quot;PubYear&quot;/&gt;_x000d__x000a__x0009__x0009__x0009_&lt;Text StringText=&quot;. &quot; StringGroup=&quot;PubYear&quot;/&gt;_x000d__x000a__x0009__x0009__x0009_&lt;Text StringText=&quot;39&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87-210&quot; StringGroup=&quot;PageNum&quot;/&gt;_x000d__x000a__x0009__x0009__x0009_&lt;Text StringText=&quot;.&quot; StringGroup=&quot;none&quot;/&gt;_x000d__x000a__x0009__x0009_&lt;/Display&gt;&lt;/Doc&gt;&lt;/KyMRNote&gt;"/>
    <w:docVar w:name="KY.MR.DATA{1FF43429-33CF-42F4-92F5-1E2DD8534AE6}462" w:val="&lt;KyMRNote dbid=&quot;{1FF43429-33CF-42F4-92F5-1E2DD8534AE6}&quot; recid=&quot;462&quot;&gt;&lt;Data&gt;&lt;Field id=&quot;AccessNum&quot;&gt;18270887&lt;/Field&gt;&lt;Field id=&quot;Author&quot;&gt;Claudon M;Cosgrove D;Albrecht T;Bolondi L;Bosio M;Calliada F;Correas JM;Darge K;Dietrich C;D'Onofrio M;Evans DH;Filice C;Greiner L;Jäger K;Jong Nd;Leen E;Lencioni R;Lindsell D;Martegani A;Meairs S;Nolsøe C;Piscaglia F;Ricci P;Seidel G;Skjoldbye B;Solbiati L;Thorelius L;Tranquart F;Weskott HP;Whittingham T&lt;/Field&gt;&lt;Field id=&quot;AuthorTrans&quot;&gt;&lt;/Field&gt;&lt;Field id=&quot;DOI&quot;&gt;10.1055/s-2007-963785&lt;/Field&gt;&lt;Field id=&quot;Editor&quot;&gt;&lt;/Field&gt;&lt;Field id=&quot;FmtTitle&quot;&gt;&lt;/Field&gt;&lt;Field id=&quot;Issue&quot;&gt;1&lt;/Field&gt;&lt;Field id=&quot;LIID&quot;&gt;462&lt;/Field&gt;&lt;Field id=&quot;Magazine&quot;&gt;Ultraschall in der Medizin : Organ der Deutschen Gesellschaft für Ultraschall in der Medizin, [der] Österreichischen Gesellschaft für Ultraschall in der Medizin, [der] Schweizerischen Gesellschaft für Ultraschall in Medizin und Biologie&lt;/Field&gt;&lt;Field id=&quot;MagazineAB&quot;&gt;Ultraschall Med&lt;/Field&gt;&lt;Field id=&quot;MagazineTrans&quot;&gt;&lt;/Field&gt;&lt;Field id=&quot;PageNum&quot;&gt;28-44&lt;/Field&gt;&lt;Field id=&quot;PubDate&quot;&gt;Feb&lt;/Field&gt;&lt;Field id=&quot;PubPlace&quot;&gt;Germany&lt;/Field&gt;&lt;Field id=&quot;PubPlaceTrans&quot;&gt;&lt;/Field&gt;&lt;Field id=&quot;PubYear&quot;&gt;2008&lt;/Field&gt;&lt;Field id=&quot;Publisher&quot;&gt;&lt;/Field&gt;&lt;Field id=&quot;PublisherTrans&quot;&gt;&lt;/Field&gt;&lt;Field id=&quot;TITrans&quot;&gt;&lt;/Field&gt;&lt;Field id=&quot;Title&quot;&gt;Guidelines and good clinical practice recommendations for contrast enhanced ultrasound (CEUS) - update 2008.&lt;/Field&gt;&lt;Field id=&quot;Translator&quot;&gt;&lt;/Field&gt;&lt;Field id=&quot;Type&quot;&gt;{041D4F77-279E-4405-0002-4388361B9CFF}&lt;/Field&gt;&lt;Field id=&quot;Version&quot;&gt;&lt;/Field&gt;&lt;Field id=&quot;Vol&quot;&gt;29&lt;/Field&gt;&lt;Field id=&quot;Author2&quot;&gt;Claudon,M;Cosgrove,D;Albrecht,T;&lt;/Field&gt;&lt;/Data&gt;&lt;Ref&gt;&lt;Display&gt;&lt;Text StringText=&quot;「RefIndex」&quot; StringTextOri=&quot;「RefIndex」&quot; SuperScript=&quot;true&quot;/&gt;&lt;/Display&gt;&lt;/Ref&gt;&lt;Doc&gt;&lt;Display&gt;&lt;Text StringText=&quot;Claudon M, Cosgrove D, Albrecht T, et al.&quot; StringGroup=&quot;Author&quot;/&gt;_x000d__x000a__x0009__x0009__x0009_&lt;Text StringText=&quot; &quot; StringGroup=&quot;Author&quot;/&gt;_x000d__x000a__x0009__x0009__x0009_&lt;Text StringText=&quot;Guidelines and good clinical practice recommendations for contrast enhanced ultrasound (CEUS) - update 2008&quot; StringGroup=&quot;Title&quot;/&gt;_x000d__x000a__x0009__x0009__x0009_&lt;Text StringText=&quot;. &quot; StringGroup=&quot;Title&quot;/&gt;_x000d__x000a__x0009__x0009__x0009_&lt;Text StringText=&quot;Ultraschall Med&quot; StringGroup=&quot;Magazine&quot;/&gt;_x000d__x000a__x0009__x0009__x0009_&lt;Text StringText=&quot;. &quot; StringGroup=&quot;Magazine&quot;/&gt;_x000d__x000a__x0009__x0009__x0009_&lt;Text StringText=&quot;2008&quot; StringGroup=&quot;PubYear&quot;/&gt;_x000d__x000a__x0009__x0009__x0009_&lt;Text StringText=&quot;. &quot; StringGroup=&quot;PubYear&quot;/&gt;_x000d__x000a__x0009__x0009__x0009_&lt;Text StringText=&quot;29&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8-44&quot; StringGroup=&quot;PageNum&quot;/&gt;_x000d__x000a__x0009__x0009__x0009_&lt;Text StringText=&quot;.&quot; StringGroup=&quot;none&quot;/&gt;_x000d__x000a__x0009__x0009_&lt;/Display&gt;&lt;/Doc&gt;&lt;/KyMRNote&gt;"/>
    <w:docVar w:name="KY.MR.DATA{1FF43429-33CF-42F4-92F5-1E2DD8534AE6}463" w:val="&lt;KyMRNote dbid=&quot;{1FF43429-33CF-42F4-92F5-1E2DD8534AE6}&quot; recid=&quot;463&quot;&gt;&lt;Data&gt;&lt;Field id=&quot;AccessNum&quot;&gt;20827404&lt;/Field&gt;&lt;Field id=&quot;Author&quot;&gt;Omata M;Lesmana LA;Tateishi R;Chen PJ;Lin SM;Yoshida H;Kudo M;Lee JM;Choi BI;Poon RT;Shiina S;Cheng AL;Jia JD;Obi S;Han KH;Jafri W;Chow P;Lim SG;Chawla YK;Budihusodo U;Gani RA;Lesmana CR;Putranto TA;Liaw YF;Sarin SK&lt;/Field&gt;&lt;Field id=&quot;AuthorTrans&quot;&gt;&lt;/Field&gt;&lt;Field id=&quot;DOI&quot;&gt;10.1007/s12072-010-9165-7&lt;/Field&gt;&lt;Field id=&quot;Editor&quot;&gt;&lt;/Field&gt;&lt;Field id=&quot;FmtTitle&quot;&gt;&lt;/Field&gt;&lt;Field id=&quot;Issue&quot;&gt;2&lt;/Field&gt;&lt;Field id=&quot;LIID&quot;&gt;463&lt;/Field&gt;&lt;Field id=&quot;Magazine&quot;&gt;Hepatology international&lt;/Field&gt;&lt;Field id=&quot;MagazineAB&quot;&gt;Hepatol Int&lt;/Field&gt;&lt;Field id=&quot;MagazineTrans&quot;&gt;&lt;/Field&gt;&lt;Field id=&quot;PageNum&quot;&gt;439-74&lt;/Field&gt;&lt;Field id=&quot;PubDate&quot;&gt;Mar 18&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Asian Pacific Association for the Study of the Liver consensus recommendations on hepatocellular carcinoma.&lt;/Field&gt;&lt;Field id=&quot;Translator&quot;&gt;&lt;/Field&gt;&lt;Field id=&quot;Type&quot;&gt;{041D4F77-279E-4405-0002-4388361B9CFF}&lt;/Field&gt;&lt;Field id=&quot;Version&quot;&gt;&lt;/Field&gt;&lt;Field id=&quot;Vol&quot;&gt;4&lt;/Field&gt;&lt;Field id=&quot;Author2&quot;&gt;Omata,M;Lesmana,LA;Tateishi,R;&lt;/Field&gt;&lt;/Data&gt;&lt;Ref&gt;&lt;Display&gt;&lt;Text StringText=&quot;「RefIndex」&quot; StringTextOri=&quot;「RefIndex」&quot; SuperScript=&quot;true&quot;/&gt;&lt;/Display&gt;&lt;/Ref&gt;&lt;Doc&gt;&lt;Display&gt;&lt;Text StringText=&quot;Omata M, Lesmana LA, Tateishi R, et al.&quot; StringGroup=&quot;Author&quot;/&gt;_x000d__x000a__x0009__x0009__x0009_&lt;Text StringText=&quot; &quot; StringGroup=&quot;Author&quot;/&gt;_x000d__x000a__x0009__x0009__x0009_&lt;Text StringText=&quot;Asian Pacific Association for the Study of the Liver consensus recommendations on hepatocellular carcinoma&quot; StringGroup=&quot;Title&quot;/&gt;_x000d__x000a__x0009__x0009__x0009_&lt;Text StringText=&quot;. &quot; StringGroup=&quot;Title&quot;/&gt;_x000d__x000a__x0009__x0009__x0009_&lt;Text StringText=&quot;Hepatol Int&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4&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439-74&quot; StringGroup=&quot;PageNum&quot;/&gt;_x000d__x000a__x0009__x0009__x0009_&lt;Text StringText=&quot;.&quot; StringGroup=&quot;none&quot;/&gt;_x000d__x000a__x0009__x0009_&lt;/Display&gt;&lt;/Doc&gt;&lt;/KyMRNote&gt;"/>
    <w:docVar w:name="KY.MR.DATA{1FF43429-33CF-42F4-92F5-1E2DD8534AE6}464" w:val="&lt;KyMRNote dbid=&quot;{1FF43429-33CF-42F4-92F5-1E2DD8534AE6}&quot; recid=&quot;464&quot;&gt;&lt;Data&gt;&lt;Field id=&quot;AccessNum&quot;&gt;26280007&lt;/Field&gt;&lt;Field id=&quot;Author&quot;&gt;Kudo M;Matsui O;Izumi N;Iijima H;Kadoya M;Imai Y;Okusaka T;Miyayama S;Tsuchiya K;Ueshima K;Hiraoka A;Ikeda M;Ogasawara S;Yamashita T;Minami T;Yamakado K;CollectiveName:Liver Cancer Study Group of Japan&lt;/Field&gt;&lt;Field id=&quot;AuthorTrans&quot;&gt;&lt;/Field&gt;&lt;Field id=&quot;DOI&quot;&gt;10.1159/000343875&lt;/Field&gt;&lt;Field id=&quot;Editor&quot;&gt;&lt;/Field&gt;&lt;Field id=&quot;FmtTitle&quot;&gt;&lt;/Field&gt;&lt;Field id=&quot;Issue&quot;&gt;3-4&lt;/Field&gt;&lt;Field id=&quot;LIID&quot;&gt;464&lt;/Field&gt;&lt;Field id=&quot;Magazine&quot;&gt;Liver cancer&lt;/Field&gt;&lt;Field id=&quot;MagazineAB&quot;&gt;Liver Cancer&lt;/Field&gt;&lt;Field id=&quot;MagazineTrans&quot;&gt;&lt;/Field&gt;&lt;Field id=&quot;PageNum&quot;&gt;458-68&lt;/Field&gt;&lt;Field id=&quot;PubDate&quot;&gt;Oct&lt;/Field&gt;&lt;Field id=&quot;PubPlace&quot;&gt;Switzerland&lt;/Field&gt;&lt;Field id=&quot;PubPlaceTrans&quot;&gt;&lt;/Field&gt;&lt;Field id=&quot;PubYear&quot;&gt;2014&lt;/Field&gt;&lt;Field id=&quot;Publisher&quot;&gt;&lt;/Field&gt;&lt;Field id=&quot;PublisherTrans&quot;&gt;&lt;/Field&gt;&lt;Field id=&quot;TITrans&quot;&gt;&lt;/Field&gt;&lt;Field id=&quot;Title&quot;&gt;JSH Consensus-Based Clinical Practice Guidelines for the Management of Hepatocellular Carcinoma: 2014 Update by the Liver Cancer Study Group of Japan.&lt;/Field&gt;&lt;Field id=&quot;Translator&quot;&gt;&lt;/Field&gt;&lt;Field id=&quot;Type&quot;&gt;{041D4F77-279E-4405-0002-4388361B9CFF}&lt;/Field&gt;&lt;Field id=&quot;Version&quot;&gt;&lt;/Field&gt;&lt;Field id=&quot;Vol&quot;&gt;3&lt;/Field&gt;&lt;Field id=&quot;Author2&quot;&gt;Kudo,M;Matsui,O;Izumi,N;&lt;/Field&gt;&lt;/Data&gt;&lt;Ref&gt;&lt;Display&gt;&lt;Text StringText=&quot;「RefIndex」&quot; StringTextOri=&quot;「RefIndex」&quot; SuperScript=&quot;true&quot;/&gt;&lt;/Display&gt;&lt;/Ref&gt;&lt;Doc&gt;&lt;Display&gt;&lt;Text StringText=&quot;Kudo M, Matsui O, Izumi N, et al.&quot; StringGroup=&quot;Author&quot;/&gt;_x000d__x000a__x0009__x0009__x0009_&lt;Text StringText=&quot; &quot; StringGroup=&quot;Author&quot;/&gt;_x000d__x000a__x0009__x0009__x0009_&lt;Text StringText=&quot;JSH Consensus-Based Clinical Practice Guidelines for the Management of Hepatocellular Carcinoma: 2014 Update by the Liver Cancer Study Group of Japan&quot; StringGroup=&quot;Title&quot;/&gt;_x000d__x000a__x0009__x0009__x0009_&lt;Text StringText=&quot;. &quot; StringGroup=&quot;Title&quot;/&gt;_x000d__x000a__x0009__x0009__x0009_&lt;Text StringText=&quot;Liver Cancer&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3&quot; StringGroup=&quot;Vol&quot;/&gt;_x000d__x000a__x0009__x0009__x0009_&lt;Text StringText=&quot;(&quot; StringGroup=&quot;Issue&quot;/&gt;_x000d__x000a__x0009__x0009__x0009_&lt;Text StringText=&quot;3-4&quot; StringGroup=&quot;Issue&quot;/&gt;_x000d__x000a__x0009__x0009__x0009_&lt;Text StringText=&quot;)&quot; StringGroup=&quot;Issue&quot;/&gt;_x000d__x000a__x0009__x0009__x0009_&lt;Text StringText=&quot;: &quot; StringGroup=&quot;PageNum&quot;/&gt;_x000d__x000a__x0009__x0009__x0009_&lt;Text StringText=&quot;458-68&quot; StringGroup=&quot;PageNum&quot;/&gt;_x000d__x000a__x0009__x0009__x0009_&lt;Text StringText=&quot;.&quot; StringGroup=&quot;none&quot;/&gt;_x000d__x000a__x0009__x0009_&lt;/Display&gt;&lt;/Doc&gt;&lt;/KyMRNote&gt;"/>
    <w:docVar w:name="KY.MR.DATA{1FF43429-33CF-42F4-92F5-1E2DD8534AE6}465" w:val="&lt;KyMRNote dbid=&quot;{1FF43429-33CF-42F4-92F5-1E2DD8534AE6}&quot; recid=&quot;465&quot;&gt;&lt;Data&gt;&lt;Field id=&quot;AccessNum&quot;&gt;20512990&lt;/Field&gt;&lt;Field id=&quot;Author&quot;&gt;Vilana R;Forner A;Bianchi L;García-Criado A;Rimola J;de Lope CR;Reig M;Ayuso C;Brú C;Bruix J&lt;/Field&gt;&lt;Field id=&quot;AuthorTrans&quot;&gt;&lt;/Field&gt;&lt;Field id=&quot;DOI&quot;&gt;10.1002/hep.23600&lt;/Field&gt;&lt;Field id=&quot;Editor&quot;&gt;&lt;/Field&gt;&lt;Field id=&quot;FmtTitle&quot;&gt;&lt;/Field&gt;&lt;Field id=&quot;Issue&quot;&gt;6&lt;/Field&gt;&lt;Field id=&quot;LIID&quot;&gt;465&lt;/Field&gt;&lt;Field id=&quot;Magazine&quot;&gt;Hepatology : official journal of the American Association for the Study of Liver Diseases&lt;/Field&gt;&lt;Field id=&quot;MagazineAB&quot;&gt;Hepatology&lt;/Field&gt;&lt;Field id=&quot;MagazineTrans&quot;&gt;&lt;/Field&gt;&lt;Field id=&quot;PageNum&quot;&gt;2020-9&lt;/Field&gt;&lt;Field id=&quot;PubDate&quot;&gt;Jun&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Intrahepatic peripheral cholangiocarcinoma in cirrhosis patients may display a vascular pattern similar to hepatocellular carcinoma on contrast-enhanced ultrasound.&lt;/Field&gt;&lt;Field id=&quot;Translator&quot;&gt;&lt;/Field&gt;&lt;Field id=&quot;Type&quot;&gt;{041D4F77-279E-4405-0002-4388361B9CFF}&lt;/Field&gt;&lt;Field id=&quot;Version&quot;&gt;&lt;/Field&gt;&lt;Field id=&quot;Vol&quot;&gt;51&lt;/Field&gt;&lt;Field id=&quot;Author2&quot;&gt;Vilana,R;Forner,A;Bianchi,L;&lt;/Field&gt;&lt;/Data&gt;&lt;Ref&gt;&lt;Display&gt;&lt;Text StringText=&quot;「RefIndex」&quot; StringTextOri=&quot;「RefIndex」&quot; SuperScript=&quot;true&quot;/&gt;&lt;/Display&gt;&lt;/Ref&gt;&lt;Doc&gt;&lt;Display&gt;&lt;Text StringText=&quot;Vilana R, Forner A, Bianchi L, et al.&quot; StringGroup=&quot;Author&quot;/&gt;_x000d__x000a__x0009__x0009__x0009_&lt;Text StringText=&quot; &quot; StringGroup=&quot;Author&quot;/&gt;_x000d__x000a__x0009__x0009__x0009_&lt;Text StringText=&quot;Intrahepatic peripheral cholangiocarcinoma in cirrhosis patients may display a vascular pattern similar to hepatocellular carcinoma on contrast-enhanced ultrasound&quot; StringGroup=&quot;Title&quot;/&gt;_x000d__x000a__x0009__x0009__x0009_&lt;Text StringText=&quot;. &quot; StringGroup=&quot;Title&quot;/&gt;_x000d__x000a__x0009__x0009__x0009_&lt;Text StringText=&quot;Hepatology&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51&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2020-9&quot; StringGroup=&quot;PageNum&quot;/&gt;_x000d__x000a__x0009__x0009__x0009_&lt;Text StringText=&quot;.&quot; StringGroup=&quot;none&quot;/&gt;_x000d__x000a__x0009__x0009_&lt;/Display&gt;&lt;/Doc&gt;&lt;/KyMRNote&gt;"/>
    <w:docVar w:name="KY.MR.DATA{1FF43429-33CF-42F4-92F5-1E2DD8534AE6}466" w:val="&lt;KyMRNote dbid=&quot;{1FF43429-33CF-42F4-92F5-1E2DD8534AE6}&quot; recid=&quot;466&quot;&gt;&lt;Data&gt;&lt;Field id=&quot;AccessNum&quot;&gt;30197484&lt;/Field&gt;&lt;Field id=&quot;Author&quot;&gt;Chen LD;Ruan SM;Liang JY;Yang Z;Shen SL;Huang Y;Li W;Wang Z;Xie XY;Lu MD;Kuang M;Wang W&lt;/Field&gt;&lt;Field id=&quot;AuthorTrans&quot;&gt;&lt;/Field&gt;&lt;Field id=&quot;DOI&quot;&gt;10.3748/wjg.v24.i33.3786&lt;/Field&gt;&lt;Field id=&quot;Editor&quot;&gt;&lt;/Field&gt;&lt;Field id=&quot;FmtTitle&quot;&gt;&lt;/Field&gt;&lt;Field id=&quot;Issue&quot;&gt;33&lt;/Field&gt;&lt;Field id=&quot;LIID&quot;&gt;466&lt;/Field&gt;&lt;Field id=&quot;Magazine&quot;&gt;World journal of gastroenterology&lt;/Field&gt;&lt;Field id=&quot;MagazineAB&quot;&gt;World J Gastroenterol&lt;/Field&gt;&lt;Field id=&quot;MagazineTrans&quot;&gt;&lt;/Field&gt;&lt;Field id=&quot;PageNum&quot;&gt;3786-3798&lt;/Field&gt;&lt;Field id=&quot;PubDate&quot;&gt;Sep 07&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Differentiation of intrahepatic cholangiocarcinoma from hepatocellular carcinoma in high-risk patients: A predictive model using contrast-enhanced ultrasound.&lt;/Field&gt;&lt;Field id=&quot;Translator&quot;&gt;&lt;/Field&gt;&lt;Field id=&quot;Type&quot;&gt;{041D4F77-279E-4405-0002-4388361B9CFF}&lt;/Field&gt;&lt;Field id=&quot;Version&quot;&gt;&lt;/Field&gt;&lt;Field id=&quot;Vol&quot;&gt;24&lt;/Field&gt;&lt;Field id=&quot;Author2&quot;&gt;Chen,LD;Ruan,SM;Liang,JY;&lt;/Field&gt;&lt;/Data&gt;&lt;Ref&gt;&lt;Display&gt;&lt;Text StringText=&quot;「RefIndex」&quot; StringTextOri=&quot;「RefIndex」&quot; SuperScript=&quot;true&quot;/&gt;&lt;/Display&gt;&lt;/Ref&gt;&lt;Doc&gt;&lt;Display&gt;&lt;Text StringText=&quot;Chen LD, Ruan SM, Liang JY, et al.&quot; StringGroup=&quot;Author&quot;/&gt;_x000d__x000a__x0009__x0009__x0009_&lt;Text StringText=&quot; &quot; StringGroup=&quot;Author&quot;/&gt;_x000d__x000a__x0009__x0009__x0009_&lt;Text StringText=&quot;Differentiation of intrahepatic cholangiocarcinoma from hepatocellular carcinoma in high-risk patients: A predictive model using contrast-enhanced ultrasound&quot; StringGroup=&quot;Title&quot;/&gt;_x000d__x000a__x0009__x0009__x0009_&lt;Text StringText=&quot;. &quot; StringGroup=&quot;Title&quot;/&gt;_x000d__x000a__x0009__x0009__x0009_&lt;Text StringText=&quot;World J Gastroenterol&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24&quot; StringGroup=&quot;Vol&quot;/&gt;_x000d__x000a__x0009__x0009__x0009_&lt;Text StringText=&quot;(&quot; StringGroup=&quot;Issue&quot;/&gt;_x000d__x000a__x0009__x0009__x0009_&lt;Text StringText=&quot;33&quot; StringGroup=&quot;Issue&quot;/&gt;_x000d__x000a__x0009__x0009__x0009_&lt;Text StringText=&quot;)&quot; StringGroup=&quot;Issue&quot;/&gt;_x000d__x000a__x0009__x0009__x0009_&lt;Text StringText=&quot;: &quot; StringGroup=&quot;PageNum&quot;/&gt;_x000d__x000a__x0009__x0009__x0009_&lt;Text StringText=&quot;3786-3798&quot; StringGroup=&quot;PageNum&quot;/&gt;_x000d__x000a__x0009__x0009__x0009_&lt;Text StringText=&quot;.&quot; StringGroup=&quot;none&quot;/&gt;_x000d__x000a__x0009__x0009_&lt;/Display&gt;&lt;/Doc&gt;&lt;/KyMRNote&gt;"/>
    <w:docVar w:name="KY.MR.DATA{1FF43429-33CF-42F4-92F5-1E2DD8534AE6}467" w:val="&lt;KyMRNote dbid=&quot;{1FF43429-33CF-42F4-92F5-1E2DD8534AE6}&quot; recid=&quot;467&quot;&gt;&lt;Data&gt;&lt;Field id=&quot;AccessNum&quot;&gt;26779444&lt;/Field&gt;&lt;Field id=&quot;Author&quot;&gt;Liu GJ;Wang W;Lu MD;Xie XY;Xu HX;Xu ZF;Chen LD;Wang Z;Liang JY;Huang Y;Li W;Liu JY&lt;/Field&gt;&lt;Field id=&quot;AuthorTrans&quot;&gt;&lt;/Field&gt;&lt;Field id=&quot;DOI&quot;&gt;10.1159/000367738&lt;/Field&gt;&lt;Field id=&quot;Editor&quot;&gt;&lt;/Field&gt;&lt;Field id=&quot;FmtTitle&quot;&gt;&lt;/Field&gt;&lt;Field id=&quot;Issue&quot;&gt;4&lt;/Field&gt;&lt;Field id=&quot;LIID&quot;&gt;467&lt;/Field&gt;&lt;Field id=&quot;Magazine&quot;&gt;Liver cancer&lt;/Field&gt;&lt;Field id=&quot;MagazineAB&quot;&gt;Liver Cancer&lt;/Field&gt;&lt;Field id=&quot;MagazineTrans&quot;&gt;&lt;/Field&gt;&lt;Field id=&quot;PageNum&quot;&gt;241-52&lt;/Field&gt;&lt;Field id=&quot;PubDate&quot;&gt;Dec&lt;/Field&gt;&lt;Field id=&quot;PubPlace&quot;&gt;Switzerland&lt;/Field&gt;&lt;Field id=&quot;PubPlaceTrans&quot;&gt;&lt;/Field&gt;&lt;Field id=&quot;PubYear&quot;&gt;2015&lt;/Field&gt;&lt;Field id=&quot;Publisher&quot;&gt;&lt;/Field&gt;&lt;Field id=&quot;PublisherTrans&quot;&gt;&lt;/Field&gt;&lt;Field id=&quot;TITrans&quot;&gt;&lt;/Field&gt;&lt;Field id=&quot;Title&quot;&gt;Contrast-Enhanced Ultrasound for the Characterization of Hepatocellular Carcinoma and Intrahepatic Cholangiocarcinoma.&lt;/Field&gt;&lt;Field id=&quot;Translator&quot;&gt;&lt;/Field&gt;&lt;Field id=&quot;Type&quot;&gt;{041D4F77-279E-4405-0002-4388361B9CFF}&lt;/Field&gt;&lt;Field id=&quot;Version&quot;&gt;&lt;/Field&gt;&lt;Field id=&quot;Vol&quot;&gt;4&lt;/Field&gt;&lt;Field id=&quot;Author2&quot;&gt;Liu,GJ;Wang,W;Lu,MD;&lt;/Field&gt;&lt;/Data&gt;&lt;Ref&gt;&lt;Display&gt;&lt;Text StringText=&quot;「RefIndex」&quot; StringTextOri=&quot;「RefIndex」&quot; SuperScript=&quot;true&quot;/&gt;&lt;/Display&gt;&lt;/Ref&gt;&lt;Doc&gt;&lt;Display&gt;&lt;Text StringText=&quot;Liu GJ, Wang W, Lu MD, et al.&quot; StringGroup=&quot;Author&quot;/&gt;_x000d__x000a__x0009__x0009__x0009_&lt;Text StringText=&quot; &quot; StringGroup=&quot;Author&quot;/&gt;_x000d__x000a__x0009__x0009__x0009_&lt;Text StringText=&quot;Contrast-Enhanced Ultrasound for the Characterization of Hepatocellular Carcinoma and Intrahepatic Cholangiocarcinoma&quot; StringGroup=&quot;Title&quot;/&gt;_x000d__x000a__x0009__x0009__x0009_&lt;Text StringText=&quot;. &quot; StringGroup=&quot;Title&quot;/&gt;_x000d__x000a__x0009__x0009__x0009_&lt;Text StringText=&quot;Liver Cancer&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4&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41-52&quot; StringGroup=&quot;PageNum&quot;/&gt;_x000d__x000a__x0009__x0009__x0009_&lt;Text StringText=&quot;.&quot; StringGroup=&quot;none&quot;/&gt;_x000d__x000a__x0009__x0009_&lt;/Display&gt;&lt;/Doc&gt;&lt;/KyMRNote&gt;"/>
    <w:docVar w:name="KY.MR.DATA{1FF43429-33CF-42F4-92F5-1E2DD8534AE6}468" w:val="&lt;KyMRNote dbid=&quot;{1FF43429-33CF-42F4-92F5-1E2DD8534AE6}&quot; recid=&quot;468&quot;&gt;&lt;Data&gt;&lt;Field id=&quot;AccessNum&quot;&gt;19760416&lt;/Field&gt;&lt;Field id=&quot;Author&quot;&gt;Chen LD;Xu HX;Xie XY;Xie XH;Xu ZF;Liu GJ;Wang Z;Lin MX;Lu MD&lt;/Field&gt;&lt;Field id=&quot;AuthorTrans&quot;&gt;&lt;/Field&gt;&lt;Field id=&quot;DOI&quot;&gt;10.1007/s00330-009-1599-8&lt;/Field&gt;&lt;Field id=&quot;Editor&quot;&gt;&lt;/Field&gt;&lt;Field id=&quot;FmtTitle&quot;&gt;&lt;/Field&gt;&lt;Field id=&quot;Issue&quot;&gt;3&lt;/Field&gt;&lt;Field id=&quot;LIID&quot;&gt;468&lt;/Field&gt;&lt;Field id=&quot;Magazine&quot;&gt;European radiology&lt;/Field&gt;&lt;Field id=&quot;MagazineAB&quot;&gt;Eur Radiol&lt;/Field&gt;&lt;Field id=&quot;MagazineTrans&quot;&gt;&lt;/Field&gt;&lt;Field id=&quot;PageNum&quot;&gt;743-53&lt;/Field&gt;&lt;Field id=&quot;PubDate&quot;&gt;Mar&lt;/Field&gt;&lt;Field id=&quot;PubPlace&quot;&gt;Germany&lt;/Field&gt;&lt;Field id=&quot;PubPlaceTrans&quot;&gt;&lt;/Field&gt;&lt;Field id=&quot;PubYear&quot;&gt;2010&lt;/Field&gt;&lt;Field id=&quot;Publisher&quot;&gt;&lt;/Field&gt;&lt;Field id=&quot;PublisherTrans&quot;&gt;&lt;/Field&gt;&lt;Field id=&quot;TITrans&quot;&gt;&lt;/Field&gt;&lt;Field id=&quot;Title&quot;&gt;Intrahepatic cholangiocarcinoma and hepatocellular carcinoma: differential diagnosis with contrast-enhanced ultrasound.&lt;/Field&gt;&lt;Field id=&quot;Translator&quot;&gt;&lt;/Field&gt;&lt;Field id=&quot;Type&quot;&gt;{041D4F77-279E-4405-0002-4388361B9CFF}&lt;/Field&gt;&lt;Field id=&quot;Version&quot;&gt;&lt;/Field&gt;&lt;Field id=&quot;Vol&quot;&gt;20&lt;/Field&gt;&lt;Field id=&quot;Author2&quot;&gt;Chen,LD;Xu,HX;Xie,XY;&lt;/Field&gt;&lt;/Data&gt;&lt;Ref&gt;&lt;Display&gt;&lt;Text StringText=&quot;「RefIndex」&quot; StringTextOri=&quot;「RefIndex」&quot; SuperScript=&quot;true&quot;/&gt;&lt;/Display&gt;&lt;/Ref&gt;&lt;Doc&gt;&lt;Display&gt;&lt;Text StringText=&quot;Chen LD, Xu HX, Xie XY, et al.&quot; StringGroup=&quot;Author&quot;/&gt;_x000d__x000a__x0009__x0009__x0009_&lt;Text StringText=&quot; &quot; StringGroup=&quot;Author&quot;/&gt;_x000d__x000a__x0009__x0009__x0009_&lt;Text StringText=&quot;Intrahepatic cholangiocarcinoma and hepatocellular carcinoma: differential diagnosis with contrast-enhanced ultrasound&quot; StringGroup=&quot;Title&quot;/&gt;_x000d__x000a__x0009__x0009__x0009_&lt;Text StringText=&quot;. &quot; StringGroup=&quot;Title&quot;/&gt;_x000d__x000a__x0009__x0009__x0009_&lt;Text StringText=&quot;Eur Radiol&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20&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743-53&quot; StringGroup=&quot;PageNum&quot;/&gt;_x000d__x000a__x0009__x0009__x0009_&lt;Text StringText=&quot;.&quot; StringGroup=&quot;none&quot;/&gt;_x000d__x000a__x0009__x0009_&lt;/Display&gt;&lt;/Doc&gt;&lt;/KyMRNote&gt;"/>
    <w:docVar w:name="KY.MR.DATA{1FF43429-33CF-42F4-92F5-1E2DD8534AE6}469" w:val="&lt;KyMRNote dbid=&quot;{1FF43429-33CF-42F4-92F5-1E2DD8534AE6}&quot; recid=&quot;469&quot;&gt;&lt;Data&gt;&lt;Field id=&quot;AccessNum&quot;&gt;26386477&lt;/Field&gt;&lt;Field id=&quot;Author&quot;&gt;Han J;Liu Y;Han F;Li Q;Yan C;Zheng W;Wang J;Guo Z;Wang J;Li A;Zhou J&lt;/Field&gt;&lt;Field id=&quot;AuthorTrans&quot;&gt;&lt;/Field&gt;&lt;Field id=&quot;DOI&quot;&gt;10.1016/j.ultrasmedbio.2015.08.001&lt;/Field&gt;&lt;Field id=&quot;Editor&quot;&gt;&lt;/Field&gt;&lt;Field id=&quot;FmtTitle&quot;&gt;&lt;/Field&gt;&lt;Field id=&quot;Issue&quot;&gt;12&lt;/Field&gt;&lt;Field id=&quot;LIID&quot;&gt;469&lt;/Field&gt;&lt;Field id=&quot;Magazine&quot;&gt;Ultrasound in medicine &amp;amp; biology&lt;/Field&gt;&lt;Field id=&quot;MagazineAB&quot;&gt;Ultrasound Med Biol&lt;/Field&gt;&lt;Field id=&quot;MagazineTrans&quot;&gt;&lt;/Field&gt;&lt;Field id=&quot;PageNum&quot;&gt;3088-95&lt;/Field&gt;&lt;Field id=&quot;PubDate&quot;&gt;Dec&lt;/Field&gt;&lt;Field id=&quot;PubPlace&quot;&gt;England&lt;/Field&gt;&lt;Field id=&quot;PubPlaceTrans&quot;&gt;&lt;/Field&gt;&lt;Field id=&quot;PubYear&quot;&gt;2015&lt;/Field&gt;&lt;Field id=&quot;Publisher&quot;&gt;&lt;/Field&gt;&lt;Field id=&quot;PublisherTrans&quot;&gt;&lt;/Field&gt;&lt;Field id=&quot;TITrans&quot;&gt;&lt;/Field&gt;&lt;Field id=&quot;Title&quot;&gt;The Degree of Contrast Washout on Contrast-Enhanced Ultrasound in Distinguishing Intrahepatic Cholangiocarcinoma from Hepatocellular Carcinoma.&lt;/Field&gt;&lt;Field id=&quot;Translator&quot;&gt;&lt;/Field&gt;&lt;Field id=&quot;Type&quot;&gt;{041D4F77-279E-4405-0002-4388361B9CFF}&lt;/Field&gt;&lt;Field id=&quot;Version&quot;&gt;&lt;/Field&gt;&lt;Field id=&quot;Vol&quot;&gt;41&lt;/Field&gt;&lt;Field id=&quot;Author2&quot;&gt;Han,J;Liu,Y;Han,F;&lt;/Field&gt;&lt;/Data&gt;&lt;Ref&gt;&lt;Display&gt;&lt;Text StringText=&quot;「RefIndex」&quot; StringTextOri=&quot;「RefIndex」&quot; SuperScript=&quot;true&quot;/&gt;&lt;/Display&gt;&lt;/Ref&gt;&lt;Doc&gt;&lt;Display&gt;&lt;Text StringText=&quot;Han J, Liu Y, Han F, et al.&quot; StringGroup=&quot;Author&quot;/&gt;_x000d__x000a__x0009__x0009__x0009_&lt;Text StringText=&quot; &quot; StringGroup=&quot;Author&quot;/&gt;_x000d__x000a__x0009__x0009__x0009_&lt;Text StringText=&quot;The Degree of Contrast Washout on Contrast-Enhanced Ultrasound in Distinguishing Intrahepatic Cholangiocarcinoma from Hepatocellular Carcinoma&quot; StringGroup=&quot;Title&quot;/&gt;_x000d__x000a__x0009__x0009__x0009_&lt;Text StringText=&quot;. &quot; StringGroup=&quot;Title&quot;/&gt;_x000d__x000a__x0009__x0009__x0009_&lt;Text StringText=&quot;Ultrasound Med Bi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41&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3088-95&quot; StringGroup=&quot;PageNum&quot;/&gt;_x000d__x000a__x0009__x0009__x0009_&lt;Text StringText=&quot;.&quot; StringGroup=&quot;none&quot;/&gt;_x000d__x000a__x0009__x0009_&lt;/Display&gt;&lt;/Doc&gt;&lt;/KyMRNote&gt;"/>
    <w:docVar w:name="KY.MR.DATA{1FF43429-33CF-42F4-92F5-1E2DD8534AE6}470" w:val="&lt;KyMRNote dbid=&quot;{1FF43429-33CF-42F4-92F5-1E2DD8534AE6}&quot; recid=&quot;470&quot;&gt;&lt;Data&gt;&lt;Field id=&quot;AccessNum&quot;&gt;29133247&lt;/Field&gt;&lt;Field id=&quot;Author&quot;&gt;Terzi E;Iavarone M;Pompili M;Veronese L;Cabibbo G;Fraquelli M;Riccardi L;De Bonis L;Sangiovanni A;Leoni S;Zocco MA;Rossi S;Alessi N;Wilson SR;Piscaglia F;CollectiveName:CEUS LI-RADS Italy study group collaborators:&lt;/Field&gt;&lt;Field id=&quot;AuthorTrans&quot;&gt;&lt;/Field&gt;&lt;Field id=&quot;DOI&quot;&gt;10.1016/j.jhep.2017.11.007&lt;/Field&gt;&lt;Field id=&quot;Editor&quot;&gt;&lt;/Field&gt;&lt;Field id=&quot;FmtTitle&quot;&gt;&lt;/Field&gt;&lt;Field id=&quot;Issue&quot;&gt;3&lt;/Field&gt;&lt;Field id=&quot;LIID&quot;&gt;470&lt;/Field&gt;&lt;Field id=&quot;Magazine&quot;&gt;Journal of hepatology&lt;/Field&gt;&lt;Field id=&quot;MagazineAB&quot;&gt;J Hepatol&lt;/Field&gt;&lt;Field id=&quot;MagazineTrans&quot;&gt;&lt;/Field&gt;&lt;Field id=&quot;PageNum&quot;&gt;485-492&lt;/Field&gt;&lt;Field id=&quot;PubDate&quot;&gt;03&lt;/Field&gt;&lt;Field id=&quot;PubPlace&quot;&gt;Netherlands&lt;/Field&gt;&lt;Field id=&quot;PubPlaceTrans&quot;&gt;&lt;/Field&gt;&lt;Field id=&quot;PubYear&quot;&gt;2018&lt;/Field&gt;&lt;Field id=&quot;Publisher&quot;&gt;&lt;/Field&gt;&lt;Field id=&quot;PublisherTrans&quot;&gt;&lt;/Field&gt;&lt;Field id=&quot;TITrans&quot;&gt;&lt;/Field&gt;&lt;Field id=&quot;Title&quot;&gt;Contrast ultrasound LI-RADS LR-5 identifies hepatocellular carcinoma in cirrhosis in a multicenter restropective study of 1,006 nodules.&lt;/Field&gt;&lt;Field id=&quot;Translator&quot;&gt;&lt;/Field&gt;&lt;Field id=&quot;Type&quot;&gt;{041D4F77-279E-4405-0002-4388361B9CFF}&lt;/Field&gt;&lt;Field id=&quot;Version&quot;&gt;&lt;/Field&gt;&lt;Field id=&quot;Vol&quot;&gt;68&lt;/Field&gt;&lt;Field id=&quot;Author2&quot;&gt;Terzi,E;Iavarone,M;Pompili,M;&lt;/Field&gt;&lt;/Data&gt;&lt;Ref&gt;&lt;Display&gt;&lt;Text StringText=&quot;「RefIndex」&quot; StringTextOri=&quot;「RefIndex」&quot; SuperScript=&quot;true&quot;/&gt;&lt;/Display&gt;&lt;/Ref&gt;&lt;Doc&gt;&lt;Display&gt;&lt;Text StringText=&quot;Terzi E, Iavarone M, Pompili M, et al.&quot; StringGroup=&quot;Author&quot;/&gt;_x000d__x000a__x0009__x0009__x0009_&lt;Text StringText=&quot; &quot; StringGroup=&quot;Author&quot;/&gt;_x000d__x000a__x0009__x0009__x0009_&lt;Text StringText=&quot;Contrast ultrasound LI-RADS LR-5 identifies hepatocellular carcinoma in cirrhosis in a multicenter restropective study of 1,006 nodules&quot; StringGroup=&quot;Title&quot;/&gt;_x000d__x000a__x0009__x0009__x0009_&lt;Text StringText=&quot;. &quot; StringGroup=&quot;Title&quot;/&gt;_x000d__x000a__x0009__x0009__x0009_&lt;Text StringText=&quot;J Hepatol&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68&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485-492&quot; StringGroup=&quot;PageNum&quot;/&gt;_x000d__x000a__x0009__x0009__x0009_&lt;Text StringText=&quot;.&quot; StringGroup=&quot;none&quot;/&gt;_x000d__x000a__x0009__x0009_&lt;/Display&gt;&lt;/Doc&gt;&lt;/KyMRNote&gt;"/>
    <w:docVar w:name="KY.MR.DATA{1FF43429-33CF-42F4-92F5-1E2DD8534AE6}471" w:val="&lt;KyMRNote dbid=&quot;{1FF43429-33CF-42F4-92F5-1E2DD8534AE6}&quot; recid=&quot;471&quot;&gt;&lt;Data&gt;&lt;Field id=&quot;AccessNum&quot;&gt;22194045&lt;/Field&gt;&lt;Field id=&quot;Author&quot;&gt;Bohle W;Clemens PU;Heubach T;Zoller WG&lt;/Field&gt;&lt;Field id=&quot;AuthorTrans&quot;&gt;&lt;/Field&gt;&lt;Field id=&quot;DOI&quot;&gt;10.1055/s-0031-1282029&lt;/Field&gt;&lt;Field id=&quot;Editor&quot;&gt;&lt;/Field&gt;&lt;Field id=&quot;FmtTitle&quot;&gt;&lt;/Field&gt;&lt;Field id=&quot;Issue&quot;&gt;7&lt;/Field&gt;&lt;Field id=&quot;LIID&quot;&gt;471&lt;/Field&gt;&lt;Field id=&quot;Magazine&quot;&gt;Ultraschall in der Medizin : Organ der Deutschen Gesellschaft für Ultraschall in der Medizin, [der] Österreichischen Gesellschaft für Ultraschall in der Medizin, [der] Schweizerischen Gesellschaft für Ultraschall in Medizin und Biologie&lt;/Field&gt;&lt;Field id=&quot;MagazineAB&quot;&gt;Ultraschall Med&lt;/Field&gt;&lt;Field id=&quot;MagazineTrans&quot;&gt;&lt;/Field&gt;&lt;Field id=&quot;PageNum&quot;&gt;E191-E195&lt;/Field&gt;&lt;Field id=&quot;PubDate&quot;&gt;Dec&lt;/Field&gt;&lt;Field id=&quot;PubPlace&quot;&gt;Germany&lt;/Field&gt;&lt;Field id=&quot;PubPlaceTrans&quot;&gt;&lt;/Field&gt;&lt;Field id=&quot;PubYear&quot;&gt;2012&lt;/Field&gt;&lt;Field id=&quot;Publisher&quot;&gt;&lt;/Field&gt;&lt;Field id=&quot;PublisherTrans&quot;&gt;&lt;/Field&gt;&lt;Field id=&quot;TITrans&quot;&gt;&lt;/Field&gt;&lt;Field id=&quot;Title&quot;&gt;Contrast-enhanced ultrasound (CEUS) for differentiating between hepatocellular and cholangiocellular carcinoma.&lt;/Field&gt;&lt;Field id=&quot;Translator&quot;&gt;&lt;/Field&gt;&lt;Field id=&quot;Type&quot;&gt;{041D4F77-279E-4405-0002-4388361B9CFF}&lt;/Field&gt;&lt;Field id=&quot;Version&quot;&gt;&lt;/Field&gt;&lt;Field id=&quot;Vol&quot;&gt;33&lt;/Field&gt;&lt;Field id=&quot;Author2&quot;&gt;Bohle,W;Clemens,PU;Heubach,T;Zoller,WG;&lt;/Field&gt;&lt;/Data&gt;&lt;Ref&gt;&lt;Display&gt;&lt;Text StringText=&quot;「RefIndex」&quot; StringTextOri=&quot;「RefIndex」&quot; SuperScript=&quot;true&quot;/&gt;&lt;/Display&gt;&lt;/Ref&gt;&lt;Doc&gt;&lt;Display&gt;&lt;Text StringText=&quot;Bohle W, Clemens PU, Heubach T, Zoller WG&quot; StringGroup=&quot;Author&quot;/&gt;_x000d__x000a__x0009__x0009__x0009_&lt;Text StringText=&quot;. &quot; StringGroup=&quot;Author&quot;/&gt;_x000d__x000a__x0009__x0009__x0009_&lt;Text StringText=&quot;Contrast-enhanced ultrasound (CEUS) for differentiating between hepatocellular and cholangiocellular carcinoma&quot; StringGroup=&quot;Title&quot;/&gt;_x000d__x000a__x0009__x0009__x0009_&lt;Text StringText=&quot;. &quot; StringGroup=&quot;Title&quot;/&gt;_x000d__x000a__x0009__x0009__x0009_&lt;Text StringText=&quot;Ultraschall Med&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E191-E195&quot; StringGroup=&quot;PageNum&quot;/&gt;_x000d__x000a__x0009__x0009__x0009_&lt;Text StringText=&quot;.&quot; StringGroup=&quot;none&quot;/&gt;_x000d__x000a__x0009__x0009_&lt;/Display&gt;&lt;/Doc&gt;&lt;/KyMRNote&gt;"/>
    <w:docVar w:name="KY.MR.DATA{1FF43429-33CF-42F4-92F5-1E2DD8534AE6}472" w:val="&lt;KyMRNote dbid=&quot;{1FF43429-33CF-42F4-92F5-1E2DD8534AE6}&quot; recid=&quot;472&quot;&gt;&lt;Data&gt;&lt;Field id=&quot;AccessNum&quot;&gt;31297632&lt;/Field&gt;&lt;Field id=&quot;Author&quot;&gt;Li F;Li Q;Liu Y;Han J;Zheng W;Huang Y;Zheng X;Cao L;Zhou JH&lt;/Field&gt;&lt;Field id=&quot;AuthorTrans&quot;&gt;&lt;/Field&gt;&lt;Field id=&quot;DOI&quot;&gt;10.1007/s00330-019-06317-2&lt;/Field&gt;&lt;Field id=&quot;Editor&quot;&gt;&lt;/Field&gt;&lt;Field id=&quot;FmtTitle&quot;&gt;&lt;/Field&gt;&lt;Field id=&quot;Issue&quot;&gt;1&lt;/Field&gt;&lt;Field id=&quot;LIID&quot;&gt;472&lt;/Field&gt;&lt;Field id=&quot;Magazine&quot;&gt;European radiology&lt;/Field&gt;&lt;Field id=&quot;MagazineAB&quot;&gt;Eur Radiol&lt;/Field&gt;&lt;Field id=&quot;MagazineTrans&quot;&gt;&lt;/Field&gt;&lt;Field id=&quot;PageNum&quot;&gt;461-470&lt;/Field&gt;&lt;Field id=&quot;PubDate&quot;&gt;Jan&lt;/Field&gt;&lt;Field id=&quot;PubPlace&quot;&gt;Germany&lt;/Field&gt;&lt;Field id=&quot;PubPlaceTrans&quot;&gt;&lt;/Field&gt;&lt;Field id=&quot;PubYear&quot;&gt;2020&lt;/Field&gt;&lt;Field id=&quot;Publisher&quot;&gt;&lt;/Field&gt;&lt;Field id=&quot;PublisherTrans&quot;&gt;&lt;/Field&gt;&lt;Field id=&quot;TITrans&quot;&gt;&lt;/Field&gt;&lt;Field id=&quot;Title&quot;&gt;Distinguishing intrahepatic cholangiocarcinoma from hepatocellular carcinoma in patients with and without risks: the evaluation of the LR-M criteria of contrast-enhanced ultrasound liver imaging reporting and data system version 2017.&lt;/Field&gt;&lt;Field id=&quot;Translator&quot;&gt;&lt;/Field&gt;&lt;Field id=&quot;Type&quot;&gt;{041D4F77-279E-4405-0002-4388361B9CFF}&lt;/Field&gt;&lt;Field id=&quot;Version&quot;&gt;&lt;/Field&gt;&lt;Field id=&quot;Vol&quot;&gt;30&lt;/Field&gt;&lt;Field id=&quot;Author2&quot;&gt;Li,F;Li,Q;Liu,Y;&lt;/Field&gt;&lt;/Data&gt;&lt;Ref&gt;&lt;Display&gt;&lt;Text StringText=&quot;「RefIndex」&quot; StringTextOri=&quot;「RefIndex」&quot; SuperScript=&quot;true&quot;/&gt;&lt;/Display&gt;&lt;/Ref&gt;&lt;Doc&gt;&lt;Display&gt;&lt;Text StringText=&quot;Li F, Li Q, Liu Y, et al.&quot; StringGroup=&quot;Author&quot;/&gt;_x000d__x000a__x0009__x0009__x0009_&lt;Text StringText=&quot; &quot; StringGroup=&quot;Author&quot;/&gt;_x000d__x000a__x0009__x0009__x0009_&lt;Text StringText=&quot;Distinguishing intrahepatic cholangiocarcinoma from hepatocellular carcinoma in patients with and without risks: the evaluation of the LR-M criteria of contrast-enhanced ultrasound liver imaging reporting and data system version 2017&quot; StringGroup=&quot;Title&quot;/&gt;_x000d__x000a__x0009__x0009__x0009_&lt;Text StringText=&quot;. &quot; StringGroup=&quot;Title&quot;/&gt;_x000d__x000a__x0009__x0009__x0009_&lt;Text StringText=&quot;Eur Radiol&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30&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461-470&quot; StringGroup=&quot;PageNum&quot;/&gt;_x000d__x000a__x0009__x0009__x0009_&lt;Text StringText=&quot;.&quot; StringGroup=&quot;none&quot;/&gt;_x000d__x000a__x0009__x0009_&lt;/Display&gt;&lt;/Doc&gt;&lt;/KyMRNote&gt;"/>
    <w:docVar w:name="KY.MR.DATA{1FF43429-33CF-42F4-92F5-1E2DD8534AE6}473" w:val="&lt;KyMRNote dbid=&quot;{1FF43429-33CF-42F4-92F5-1E2DD8534AE6}&quot; recid=&quot;473&quot;&gt;&lt;Data&gt;&lt;Field id=&quot;AccessNum&quot;&gt;28329875&lt;/Field&gt;&lt;Field id=&quot;Author&quot;&gt;Piscaglia F;Wilson SR;Lyshchik A;Cosgrove D;Dietrich CF;Jang HJ;Kim TK;Salvatore V;Willmann JK;Sirlin CB;Kono Y&lt;/Field&gt;&lt;Field id=&quot;AuthorTrans&quot;&gt;&lt;/Field&gt;&lt;Field id=&quot;DOI&quot;&gt;10.1055/s-0042-124661&lt;/Field&gt;&lt;Field id=&quot;Editor&quot;&gt;&lt;/Field&gt;&lt;Field id=&quot;FmtTitle&quot;&gt;&lt;/Field&gt;&lt;Field id=&quot;Issue&quot;&gt;3&lt;/Field&gt;&lt;Field id=&quot;LIID&quot;&gt;473&lt;/Field&gt;&lt;Field id=&quot;Magazine&quot;&gt;Ultraschall in der Medizin : Organ der Deutschen Gesellschaft für Ultraschall in der Medizin, [der] Österreichischen Gesellschaft für Ultraschall in der Medizin, [der] Schweizerischen Gesellschaft für Ultraschall in Medizin und Biologie&lt;/Field&gt;&lt;Field id=&quot;MagazineAB&quot;&gt;Ultraschall Med&lt;/Field&gt;&lt;Field id=&quot;MagazineTrans&quot;&gt;&lt;/Field&gt;&lt;Field id=&quot;PageNum&quot;&gt;320-324&lt;/Field&gt;&lt;Field id=&quot;PubDate&quot;&gt;Jun&lt;/Field&gt;&lt;Field id=&quot;PubPlace&quot;&gt;Germany&lt;/Field&gt;&lt;Field id=&quot;PubPlaceTrans&quot;&gt;&lt;/Field&gt;&lt;Field id=&quot;PubYear&quot;&gt;2017&lt;/Field&gt;&lt;Field id=&quot;Publisher&quot;&gt;&lt;/Field&gt;&lt;Field id=&quot;PublisherTrans&quot;&gt;&lt;/Field&gt;&lt;Field id=&quot;TITrans&quot;&gt;&lt;/Field&gt;&lt;Field id=&quot;Title&quot;&gt;American College of Radiology Contrast Enhanced Ultrasound Liver Imaging Reporting and Data System (CEUS LI-RADS) for the diagnosis of Hepatocellular Carcinoma: a pictorial essay.&lt;/Field&gt;&lt;Field id=&quot;Translator&quot;&gt;&lt;/Field&gt;&lt;Field id=&quot;Type&quot;&gt;{041D4F77-279E-4405-0002-4388361B9CFF}&lt;/Field&gt;&lt;Field id=&quot;Version&quot;&gt;&lt;/Field&gt;&lt;Field id=&quot;Vol&quot;&gt;38&lt;/Field&gt;&lt;Field id=&quot;Author2&quot;&gt;Piscaglia,F;Wilson,SR;Lyshchik,A;&lt;/Field&gt;&lt;/Data&gt;&lt;Ref&gt;&lt;Display&gt;&lt;Text StringText=&quot;「RefIndex」&quot; StringTextOri=&quot;「RefIndex」&quot; SuperScript=&quot;true&quot;/&gt;&lt;/Display&gt;&lt;/Ref&gt;&lt;Doc&gt;&lt;Display&gt;&lt;Text StringText=&quot;Piscaglia F, Wilson SR, Lyshchik A, et al.&quot; StringGroup=&quot;Author&quot;/&gt;_x000d__x000a__x0009__x0009__x0009_&lt;Text StringText=&quot; &quot; StringGroup=&quot;Author&quot;/&gt;_x000d__x000a__x0009__x0009__x0009_&lt;Text StringText=&quot;American College of Radiology Contrast Enhanced Ultrasound Liver Imaging Reporting and Data System (CEUS LI-RADS) for the diagnosis of Hepatocellular Carcinoma: a pictorial essay&quot; StringGroup=&quot;Title&quot;/&gt;_x000d__x000a__x0009__x0009__x0009_&lt;Text StringText=&quot;. &quot; StringGroup=&quot;Title&quot;/&gt;_x000d__x000a__x0009__x0009__x0009_&lt;Text StringText=&quot;Ultraschall Med&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8&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320-324&quot; StringGroup=&quot;PageNum&quot;/&gt;_x000d__x000a__x0009__x0009__x0009_&lt;Text StringText=&quot;.&quot; StringGroup=&quot;none&quot;/&gt;_x000d__x000a__x0009__x0009_&lt;/Display&gt;&lt;/Doc&gt;&lt;/KyMRNote&gt;"/>
    <w:docVar w:name="KY.MR.DATA{1FF43429-33CF-42F4-92F5-1E2DD8534AE6}474" w:val="&lt;KyMRNote dbid=&quot;{1FF43429-33CF-42F4-92F5-1E2DD8534AE6}&quot; recid=&quot;474&quot;&gt;&lt;Data&gt;&lt;Field id=&quot;AccessNum&quot;&gt;&lt;/Field&gt;&lt;Field id=&quot;Author&quot;&gt;&lt;/Field&gt;&lt;Field id=&quot;AuthorTrans&quot;&gt;&lt;/Field&gt;&lt;Field id=&quot;DOI&quot;&gt;&lt;/Field&gt;&lt;Field id=&quot;Editor&quot;&gt;&lt;/Field&gt;&lt;Field id=&quot;FmtTitle&quot;&gt;&amp;lt;p class=&quot;MsoNormal&quot; style=&quot;margin: 0pt;&quot;&amp;gt;&amp;lt;span style='font-family: 宋体; font-size: 12pt; mso-spacerun: &quot;yes&quot;; mso-font-kerning: 1.0000pt; mso-bidi-font-family: &quot;Times New Roman&quot;; mso-ascii-font-family: &quot;Times New Roman&quot;; mso-hansi-font-family: &quot;Times New Roman&quot;;'&amp;gt;American College of Radiology. &amp;lt;/span&amp;gt;&amp;lt;span style='font-family: &quot;Times New Roman&quot;; font-size: 12pt; mso-spacerun: &quot;yes&quot;; mso-fareast-font-family: 宋体; mso-font-kerning: 1.0000pt;'&amp;gt;Liver Imaging&amp;lt;/span&amp;gt;&amp;lt;span style='font-family: 宋体; font-size: 12pt; mso-spacerun: &quot;yes&quot;; mso-font-kerning: 1.0000pt; mso-bidi-font-family: &quot;Times New Roman&quot;; mso-ascii-font-family: &quot;Times New Roman&quot;; mso-hansi-font-family: &quot;Times New Roman&quot;;'&amp;gt;&amp;amp;nbsp;&amp;lt;/span&amp;gt;&amp;lt;span style='font-family: &quot;Times New Roman&quot;; font-size: 12pt; mso-spacerun: &quot;yes&quot;; mso-fareast-font-family: 宋体; mso-font-kerning: 1.0000pt;'&amp;gt;Reporting and Data&amp;lt;/span&amp;gt;&amp;lt;span style='font-family: 宋体; font-size: 12pt; mso-spacerun: &quot;yes&quot;; mso-font-kerning: 1.0000pt; mso-bidi-font-family: &quot;Times New Roman&quot;; mso-ascii-font-family: &quot;Times New Roman&quot;; mso-hansi-font-family: &quot;Times New Roman&quot;;'&amp;gt;&amp;amp;nbsp;&amp;lt;/span&amp;gt;&amp;lt;span style='font-family: &quot;Times New Roman&quot;; font-size: 12pt; mso-spacerun: &quot;yes&quot;; mso-fareast-font-family: 宋体; mso-font-kerning: 1.0000pt;'&amp;gt;System &amp;lt;/span&amp;gt;&amp;lt;span style='font-family: 宋体; font-size: 12pt; mso-spacerun: &quot;yes&quot;; mso-font-kerning: 1.0000pt; mso-bidi-font-family: &quot;Times New Roman&quot;; mso-ascii-font-family: &quot;Times New Roman&quot;; mso-hansi-font-family: &quot;Times New Roman&quot;;'&amp;gt;version 2017 core. &amp;lt;/span&amp;gt;&amp;lt;/p&amp;gt;&amp;lt;!--EndFragment--&amp;gt;&lt;/Field&gt;&lt;Field id=&quot;Issue&quot;&gt;&lt;/Field&gt;&lt;Field id=&quot;LIID&quot;&gt;474&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American College of Radiology. Liver Imaging Reporting and Data System version 2017 core. &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American College of Radiology. Liver Imaging Reporting and Data System version 2017 core&quot; StringGroup=&quot;Title&quot;/&gt;_x000d__x000a__x0009__x0009__x0009_&lt;Text StringText=&quot; &quot; StringGroup=&quot;Title&quot;/&gt;_x000d__x000a__x0009__x0009__x0009_&lt;Text StringText=&quot;.&quot; StringGroup=&quot;none&quot;/&gt;_x000d__x000a__x0009__x0009_&lt;/Display&gt;&lt;/Doc&gt;&lt;/KyMRNote&gt;"/>
    <w:docVar w:name="KY.MR.DATA{1FF43429-33CF-42F4-92F5-1E2DD8534AE6}475" w:val="&lt;KyMRNote dbid=&quot;{1FF43429-33CF-42F4-92F5-1E2DD8534AE6}&quot; recid=&quot;475&quot;&gt;&lt;Data&gt;&lt;Field id=&quot;AccessNum&quot;&gt;31769742&lt;/Field&gt;&lt;Field id=&quot;Author&quot;&gt;Zheng W;Li Q;Zou XB;Wang JW;Han F;Li F;Huang LS;Li AH;Zhou JH&lt;/Field&gt;&lt;Field id=&quot;AuthorTrans&quot;&gt;&lt;/Field&gt;&lt;Field id=&quot;DOI&quot;&gt;10.1148/radiol.2019190878&lt;/Field&gt;&lt;Field id=&quot;Editor&quot;&gt;&lt;/Field&gt;&lt;Field id=&quot;FmtTitle&quot;&gt;&lt;/Field&gt;&lt;Field id=&quot;Issue&quot;&gt;&lt;/Field&gt;&lt;Field id=&quot;LIID&quot;&gt;475&lt;/Field&gt;&lt;Field id=&quot;Magazine&quot;&gt;Radiology&lt;/Field&gt;&lt;Field id=&quot;MagazineAB&quot;&gt;Radiology&lt;/Field&gt;&lt;Field id=&quot;MagazineTrans&quot;&gt;&lt;/Field&gt;&lt;Field id=&quot;PageNum&quot;&gt;190878&lt;/Field&gt;&lt;Field id=&quot;PubDate&quot;&gt;Nov 2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Evaluation of Contrast-enhanced US LI-RADS version 2017: Application on 2020 Liver Nodules in Patients with Hepatitis B Infection.&lt;/Field&gt;&lt;Field id=&quot;Translator&quot;&gt;&lt;/Field&gt;&lt;Field id=&quot;Type&quot;&gt;{041D4F77-279E-4405-0002-4388361B9CFF}&lt;/Field&gt;&lt;Field id=&quot;Version&quot;&gt;&lt;/Field&gt;&lt;Field id=&quot;Vol&quot;&gt;&lt;/Field&gt;&lt;Field id=&quot;Author2&quot;&gt;Zheng,W;Li,Q;Zou,XB;&lt;/Field&gt;&lt;/Data&gt;&lt;Ref&gt;&lt;Display&gt;&lt;Text StringText=&quot;「RefIndex」&quot; StringTextOri=&quot;「RefIndex」&quot; SuperScript=&quot;true&quot;/&gt;&lt;/Display&gt;&lt;/Ref&gt;&lt;Doc&gt;&lt;Display&gt;&lt;Text StringText=&quot;Zheng W, Li Q, Zou XB, et al.&quot; StringGroup=&quot;Author&quot;/&gt;_x000d__x000a__x0009__x0009__x0009_&lt;Text StringText=&quot; &quot; StringGroup=&quot;Author&quot;/&gt;_x000d__x000a__x0009__x0009__x0009_&lt;Text StringText=&quot;Evaluation of Contrast-enhanced US LI-RADS version 2017: Application on 2020 Liver Nodules in Patients with Hepatitis B Infection&quot; StringGroup=&quot;Title&quot;/&gt;_x000d__x000a__x0009__x0009__x0009_&lt;Text StringText=&quot;. &quot; StringGroup=&quot;Title&quot;/&gt;_x000d__x000a__x0009__x0009__x0009_&lt;Text StringText=&quot;Radiology&quot; StringGroup=&quot;Magazine&quot;/&gt;_x000d__x000a__x0009__x0009__x0009_&lt;Text StringText=&quot;. &quot; StringGroup=&quot;Magazine&quot;/&gt;_x000d__x000a__x0009__x0009__x0009_&lt;Text StringText=&quot;2019&quot; StringGroup=&quot;PubYear&quot;/&gt;_x000d__x000a__x0009__x0009__x0009_&lt;Text StringText=&quot; &quot; StringGroup=&quot;PubYear&quot;/&gt;_x000d__x000a__x0009__x0009__x0009_&lt;Text StringText=&quot;: &quot; StringGroup=&quot;PageNum&quot;/&gt;_x000d__x000a__x0009__x0009__x0009_&lt;Text StringText=&quot;190878&quot; StringGroup=&quot;PageNum&quot;/&gt;_x000d__x000a__x0009__x0009__x0009_&lt;Text StringText=&quot;.&quot; StringGroup=&quot;none&quot;/&gt;_x000d__x000a__x0009__x0009_&lt;/Display&gt;&lt;/Doc&gt;&lt;/KyMRNote&gt;"/>
    <w:docVar w:name="KY.MR.DATA{1FF43429-33CF-42F4-92F5-1E2DD8534AE6}476" w:val="&lt;KyMRNote dbid=&quot;{1FF43429-33CF-42F4-92F5-1E2DD8534AE6}&quot; recid=&quot;476&quot;&gt;&lt;Data&gt;&lt;Field id=&quot;AccessNum&quot;&gt;22424438&lt;/Field&gt;&lt;Field id=&quot;Author&quot;&gt;CollectiveName:European Association For The Study Of The Liver;CollectiveName:European Organisation For Research And Treatment Of Cancer&lt;/Field&gt;&lt;Field id=&quot;AuthorTrans&quot;&gt;&lt;/Field&gt;&lt;Field id=&quot;DOI&quot;&gt;10.1016/j.jhep.2011.12.001&lt;/Field&gt;&lt;Field id=&quot;Editor&quot;&gt;&lt;/Field&gt;&lt;Field id=&quot;FmtTitle&quot;&gt;&lt;/Field&gt;&lt;Field id=&quot;Issue&quot;&gt;4&lt;/Field&gt;&lt;Field id=&quot;LIID&quot;&gt;476&lt;/Field&gt;&lt;Field id=&quot;Magazine&quot;&gt;Journal of hepatology&lt;/Field&gt;&lt;Field id=&quot;MagazineAB&quot;&gt;J Hepatol&lt;/Field&gt;&lt;Field id=&quot;MagazineTrans&quot;&gt;&lt;/Field&gt;&lt;Field id=&quot;PageNum&quot;&gt;908-43&lt;/Field&gt;&lt;Field id=&quot;PubDate&quot;&gt;Apr&lt;/Field&gt;&lt;Field id=&quot;PubPlace&quot;&gt;Netherlands&lt;/Field&gt;&lt;Field id=&quot;PubPlaceTrans&quot;&gt;&lt;/Field&gt;&lt;Field id=&quot;PubYear&quot;&gt;2012&lt;/Field&gt;&lt;Field id=&quot;Publisher&quot;&gt;&lt;/Field&gt;&lt;Field id=&quot;PublisherTrans&quot;&gt;&lt;/Field&gt;&lt;Field id=&quot;TITrans&quot;&gt;&lt;/Field&gt;&lt;Field id=&quot;Title&quot;&gt;EASL-EORTC clinical practice guidelines: management of hepatocellular carcinoma.&lt;/Field&gt;&lt;Field id=&quot;Translator&quot;&gt;&lt;/Field&gt;&lt;Field id=&quot;Type&quot;&gt;{041D4F77-279E-4405-0002-4388361B9CFF}&lt;/Field&gt;&lt;Field id=&quot;Version&quot;&gt;&lt;/Field&gt;&lt;Field id=&quot;Vol&quot;&gt;56&lt;/Field&gt;&lt;Field id=&quot;Author2&quot;&gt;CollectiveName:European Association For The Study Of The Liver,;CollectiveName:European Organisation For Research And Treatment Of Cancer,;&lt;/Field&gt;&lt;/Data&gt;&lt;Ref&gt;&lt;Display&gt;&lt;Text StringText=&quot;「RefIndex」&quot; StringTextOri=&quot;「RefIndex」&quot; SuperScript=&quot;true&quot;/&gt;&lt;/Display&gt;&lt;/Ref&gt;&lt;Doc&gt;&lt;Display&gt;&lt;Text StringText=&quot;European Association For The Study Of The Liver, European Organisation For Research And Treatment Of Cancer&quot; StringGroup=&quot;Author&quot;/&gt;_x000d__x000a__x0009__x0009__x0009_&lt;Text StringText=&quot;. &quot; StringGroup=&quot;Author&quot;/&gt;_x000d__x000a__x0009__x0009__x0009_&lt;Text StringText=&quot;EASL-EORTC clinical practice guidelines: management of hepatocellular carcinoma&quot; StringGroup=&quot;Title&quot;/&gt;_x000d__x000a__x0009__x0009__x0009_&lt;Text StringText=&quot;. &quot; StringGroup=&quot;Title&quot;/&gt;_x000d__x000a__x0009__x0009__x0009_&lt;Text StringText=&quot;J Hepatol&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56&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908-43&quot; StringGroup=&quot;PageNum&quot;/&gt;_x000d__x000a__x0009__x0009__x0009_&lt;Text StringText=&quot;.&quot; StringGroup=&quot;none&quot;/&gt;_x000d__x000a__x0009__x0009_&lt;/Display&gt;&lt;/Doc&gt;&lt;/KyMRNote&gt;"/>
    <w:docVar w:name="KY.MR.DATA{1FF43429-33CF-42F4-92F5-1E2DD8534AE6}477" w:val="&lt;KyMRNote dbid=&quot;{1FF43429-33CF-42F4-92F5-1E2DD8534AE6}&quot; recid=&quot;477&quot;&gt;&lt;Data&gt;&lt;Field id=&quot;AccessNum&quot;&gt;28819825&lt;/Field&gt;&lt;Field id=&quot;Author&quot;&gt;Wilson SR;Lyshchik A;Piscaglia F;Cosgrove D;Jang HJ;Sirlin C;Dietrich CF;Kim TK;Willmann JK;Kono Y&lt;/Field&gt;&lt;Field id=&quot;AuthorTrans&quot;&gt;&lt;/Field&gt;&lt;Field id=&quot;DOI&quot;&gt;10.1007/s00261-017-1250-0&lt;/Field&gt;&lt;Field id=&quot;Editor&quot;&gt;&lt;/Field&gt;&lt;Field id=&quot;FmtTitle&quot;&gt;&lt;/Field&gt;&lt;Field id=&quot;Issue&quot;&gt;1&lt;/Field&gt;&lt;Field id=&quot;LIID&quot;&gt;477&lt;/Field&gt;&lt;Field id=&quot;Magazine&quot;&gt;Abdominal radiology&lt;/Field&gt;&lt;Field id=&quot;MagazineAB&quot;&gt;Abdom Radiol (NY)&lt;/Field&gt;&lt;Field id=&quot;MagazineTrans&quot;&gt;&lt;/Field&gt;&lt;Field id=&quot;PageNum&quot;&gt;127-142&lt;/Field&gt;&lt;Field id=&quot;PubDate&quot;&gt;01&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CEUS LI-RADS: algorithm, implementation, and key differences from CT/MRI.&lt;/Field&gt;&lt;Field id=&quot;Translator&quot;&gt;&lt;/Field&gt;&lt;Field id=&quot;Type&quot;&gt;{041D4F77-279E-4405-0002-4388361B9CFF}&lt;/Field&gt;&lt;Field id=&quot;Version&quot;&gt;&lt;/Field&gt;&lt;Field id=&quot;Vol&quot;&gt;43&lt;/Field&gt;&lt;Field id=&quot;Author2&quot;&gt;Wilson,SR;Lyshchik,A;Piscaglia,F;&lt;/Field&gt;&lt;/Data&gt;&lt;Ref&gt;&lt;Display&gt;&lt;Text StringText=&quot;「RefIndex」&quot; StringTextOri=&quot;「RefIndex」&quot; SuperScript=&quot;true&quot;/&gt;&lt;/Display&gt;&lt;/Ref&gt;&lt;Doc&gt;&lt;Display&gt;&lt;Text StringText=&quot;Wilson SR, Lyshchik A, Piscaglia F, et al.&quot; StringGroup=&quot;Author&quot;/&gt;_x000d__x000a__x0009__x0009__x0009_&lt;Text StringText=&quot; &quot; StringGroup=&quot;Author&quot;/&gt;_x000d__x000a__x0009__x0009__x0009_&lt;Text StringText=&quot;CEUS LI-RADS: algorithm, implementation, and key differences from CT/MRI&quot; StringGroup=&quot;Title&quot;/&gt;_x000d__x000a__x0009__x0009__x0009_&lt;Text StringText=&quot;. &quot; StringGroup=&quot;Title&quot;/&gt;_x000d__x000a__x0009__x0009__x0009_&lt;Text StringText=&quot;Abdom Radiol (NY)&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4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127-142&quot; StringGroup=&quot;PageNum&quot;/&gt;_x000d__x000a__x0009__x0009__x0009_&lt;Text StringText=&quot;.&quot; StringGroup=&quot;none&quot;/&gt;_x000d__x000a__x0009__x0009_&lt;/Display&gt;&lt;/Doc&gt;&lt;/KyMRNote&gt;"/>
    <w:docVar w:name="KY.MR.DATA{1FF43429-33CF-42F4-92F5-1E2DD8534AE6}478" w:val="&lt;KyMRNote dbid=&quot;{1FF43429-33CF-42F4-92F5-1E2DD8534AE6}&quot; recid=&quot;478&quot;&gt;&lt;Data&gt;&lt;Field id=&quot;AccessNum&quot;&gt;28911220&lt;/Field&gt;&lt;Field id=&quot;Author&quot;&gt;Kim TK;Noh SY;Wilson SR;Kono Y;Piscaglia F;Jang HJ;Lyshchik A;Dietrich CF;Willmann JK;Vezeridis A;Sirlin CB&lt;/Field&gt;&lt;Field id=&quot;AuthorTrans&quot;&gt;&lt;/Field&gt;&lt;Field id=&quot;DOI&quot;&gt;10.3350/cmh.2017.0037&lt;/Field&gt;&lt;Field id=&quot;Editor&quot;&gt;&lt;/Field&gt;&lt;Field id=&quot;FmtTitle&quot;&gt;&lt;/Field&gt;&lt;Field id=&quot;Issue&quot;&gt;4&lt;/Field&gt;&lt;Field id=&quot;LIID&quot;&gt;478&lt;/Field&gt;&lt;Field id=&quot;Magazine&quot;&gt;Clinical and molecular hepatology&lt;/Field&gt;&lt;Field id=&quot;MagazineAB&quot;&gt;Clin Mol Hepatol&lt;/Field&gt;&lt;Field id=&quot;MagazineTrans&quot;&gt;&lt;/Field&gt;&lt;Field id=&quot;PageNum&quot;&gt;280-289&lt;/Field&gt;&lt;Field id=&quot;PubDate&quot;&gt;12&lt;/Field&gt;&lt;Field id=&quot;PubPlace&quot;&gt;Korea (South)&lt;/Field&gt;&lt;Field id=&quot;PubPlaceTrans&quot;&gt;&lt;/Field&gt;&lt;Field id=&quot;PubYear&quot;&gt;2017&lt;/Field&gt;&lt;Field id=&quot;Publisher&quot;&gt;&lt;/Field&gt;&lt;Field id=&quot;PublisherTrans&quot;&gt;&lt;/Field&gt;&lt;Field id=&quot;TITrans&quot;&gt;&lt;/Field&gt;&lt;Field id=&quot;Title&quot;&gt;Contrast-enhanced ultrasound (CEUS) liver imaging reporting and data system (LI-RADS) 2017 - a review of important differences compared to the CT/MRI system.&lt;/Field&gt;&lt;Field id=&quot;Translator&quot;&gt;&lt;/Field&gt;&lt;Field id=&quot;Type&quot;&gt;{041D4F77-279E-4405-0002-4388361B9CFF}&lt;/Field&gt;&lt;Field id=&quot;Version&quot;&gt;&lt;/Field&gt;&lt;Field id=&quot;Vol&quot;&gt;23&lt;/Field&gt;&lt;Field id=&quot;Author2&quot;&gt;Kim,TK;Noh,SY;Wilson,SR;&lt;/Field&gt;&lt;/Data&gt;&lt;Ref&gt;&lt;Display&gt;&lt;Text StringText=&quot;「RefIndex」&quot; StringTextOri=&quot;「RefIndex」&quot; SuperScript=&quot;true&quot;/&gt;&lt;/Display&gt;&lt;/Ref&gt;&lt;Doc&gt;&lt;Display&gt;&lt;Text StringText=&quot;Kim TK, Noh SY, Wilson SR, et al.&quot; StringGroup=&quot;Author&quot;/&gt;_x000d__x000a__x0009__x0009__x0009_&lt;Text StringText=&quot; &quot; StringGroup=&quot;Author&quot;/&gt;_x000d__x000a__x0009__x0009__x0009_&lt;Text StringText=&quot;Contrast-enhanced ultrasound (CEUS) liver imaging reporting and data system (LI-RADS) 2017 - a review of important differences compared to the CT/MRI system&quot; StringGroup=&quot;Title&quot;/&gt;_x000d__x000a__x0009__x0009__x0009_&lt;Text StringText=&quot;. &quot; StringGroup=&quot;Title&quot;/&gt;_x000d__x000a__x0009__x0009__x0009_&lt;Text StringText=&quot;Clin Mol Hepatol&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23&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80-289&quot; StringGroup=&quot;PageNum&quot;/&gt;_x000d__x000a__x0009__x0009__x0009_&lt;Text StringText=&quot;.&quot; StringGroup=&quot;none&quot;/&gt;_x000d__x000a__x0009__x0009_&lt;/Display&gt;&lt;/Doc&gt;&lt;/KyMRNote&gt;"/>
    <w:docVar w:name="KY.MR.DATA{1FF43429-33CF-42F4-92F5-1E2DD8534AE6}479" w:val="&lt;KyMRNote dbid=&quot;{1FF43429-33CF-42F4-92F5-1E2DD8534AE6}&quot; recid=&quot;479&quot;&gt;&lt;Data&gt;&lt;Field id=&quot;AccessNum&quot;&gt;25919414&lt;/Field&gt;&lt;Field id=&quot;Author&quot;&gt;Yuan MX;Li R;Zhang XH;Tang CL;Guo YL;Guo DY;Luo MK&lt;/Field&gt;&lt;Field id=&quot;AuthorTrans&quot;&gt;&lt;/Field&gt;&lt;Field id=&quot;DOI&quot;&gt;10.1055/s-0034-1399485&lt;/Field&gt;&lt;Field id=&quot;Editor&quot;&gt;&lt;/Field&gt;&lt;Field id=&quot;FmtTitle&quot;&gt;&lt;/Field&gt;&lt;Field id=&quot;Issue&quot;&gt;6&lt;/Field&gt;&lt;Field id=&quot;LIID&quot;&gt;479&lt;/Field&gt;&lt;Field id=&quot;Magazine&quot;&gt;Ultraschall in der Medizin : Organ der Deutschen Gesellschaft für Ultraschall in der Medizin, [der] Österreichischen Gesellschaft für Ultraschall in der Medizin, [der] Schweizerischen Gesellschaft für Ultraschall in Medizin und Biologie&lt;/Field&gt;&lt;Field id=&quot;MagazineAB&quot;&gt;Ultraschall Med&lt;/Field&gt;&lt;Field id=&quot;MagazineTrans&quot;&gt;&lt;/Field&gt;&lt;Field id=&quot;PageNum&quot;&gt;609-618&lt;/Field&gt;&lt;Field id=&quot;PubDate&quot;&gt;Dec&lt;/Field&gt;&lt;Field id=&quot;PubPlace&quot;&gt;Germany&lt;/Field&gt;&lt;Field id=&quot;PubPlaceTrans&quot;&gt;&lt;/Field&gt;&lt;Field id=&quot;PubYear&quot;&gt;2016&lt;/Field&gt;&lt;Field id=&quot;Publisher&quot;&gt;&lt;/Field&gt;&lt;Field id=&quot;PublisherTrans&quot;&gt;&lt;/Field&gt;&lt;Field id=&quot;TITrans&quot;&gt;&lt;/Field&gt;&lt;Field id=&quot;Title&quot;&gt;Factors Affecting the Enhancement Patterns of Intrahepatic Cholangiocarcinoma (ICC) on Contrast-Enhanced Ultrasound (CEUS) and their Pathological Correlations in Patients with a Single Lesion.&lt;/Field&gt;&lt;Field id=&quot;Translator&quot;&gt;&lt;/Field&gt;&lt;Field id=&quot;Type&quot;&gt;{041D4F77-279E-4405-0002-4388361B9CFF}&lt;/Field&gt;&lt;Field id=&quot;Version&quot;&gt;&lt;/Field&gt;&lt;Field id=&quot;Vol&quot;&gt;37&lt;/Field&gt;&lt;Field id=&quot;Author2&quot;&gt;Yuan,MX;Li,R;Zhang,XH;&lt;/Field&gt;&lt;/Data&gt;&lt;Ref&gt;&lt;Display&gt;&lt;Text StringText=&quot;「RefIndex」&quot; StringTextOri=&quot;「RefIndex」&quot; SuperScript=&quot;true&quot;/&gt;&lt;/Display&gt;&lt;/Ref&gt;&lt;Doc&gt;&lt;Display&gt;&lt;Text StringText=&quot;Yuan MX, Li R, Zhang XH, et al.&quot; StringGroup=&quot;Author&quot;/&gt;_x000d__x000a__x0009__x0009__x0009_&lt;Text StringText=&quot; &quot; StringGroup=&quot;Author&quot;/&gt;_x000d__x000a__x0009__x0009__x0009_&lt;Text StringText=&quot;Factors Affecting the Enhancement Patterns of Intrahepatic Cholangiocarcinoma (ICC) on Contrast-Enhanced Ultrasound (CEUS) and their Pathological Correlations in Patients with a Single Lesion&quot; StringGroup=&quot;Title&quot;/&gt;_x000d__x000a__x0009__x0009__x0009_&lt;Text StringText=&quot;. &quot; StringGroup=&quot;Title&quot;/&gt;_x000d__x000a__x0009__x0009__x0009_&lt;Text StringText=&quot;Ultraschall Med&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37&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609-618&quot; StringGroup=&quot;PageNum&quot;/&gt;_x000d__x000a__x0009__x0009__x0009_&lt;Text StringText=&quot;.&quot; StringGroup=&quot;none&quot;/&gt;_x000d__x000a__x0009__x0009_&lt;/Display&gt;&lt;/Doc&gt;&lt;/KyMRNote&gt;"/>
    <w:docVar w:name="KY.MR.DATA{1FF43429-33CF-42F4-92F5-1E2DD8534AE6}480" w:val="&lt;KyMRNote dbid=&quot;{1FF43429-33CF-42F4-92F5-1E2DD8534AE6}&quot; recid=&quot;480&quot;&gt;&lt;Data&gt;&lt;Field id=&quot;AccessNum&quot;&gt;30292461&lt;/Field&gt;&lt;Field id=&quot;Author&quot;&gt;Yuan M;Li R;Zhang Y;Yang L;Zhang X;Tang C;Guo D&lt;/Field&gt;&lt;Field id=&quot;AuthorTrans&quot;&gt;&lt;/Field&gt;&lt;Field id=&quot;DOI&quot;&gt;10.1016/j.ultrasmedbio.2018.08.014&lt;/Field&gt;&lt;Field id=&quot;Editor&quot;&gt;&lt;/Field&gt;&lt;Field id=&quot;FmtTitle&quot;&gt;&lt;/Field&gt;&lt;Field id=&quot;Issue&quot;&gt;1&lt;/Field&gt;&lt;Field id=&quot;LIID&quot;&gt;480&lt;/Field&gt;&lt;Field id=&quot;Magazine&quot;&gt;Ultrasound in medicine &amp;amp; biology&lt;/Field&gt;&lt;Field id=&quot;MagazineAB&quot;&gt;Ultrasound Med Biol&lt;/Field&gt;&lt;Field id=&quot;MagazineTrans&quot;&gt;&lt;/Field&gt;&lt;Field id=&quot;PageNum&quot;&gt;26-34&lt;/Field&gt;&lt;Field id=&quot;PubDate&quot;&gt;01&lt;/Field&gt;&lt;Field id=&quot;PubPlace&quot;&gt;England&lt;/Field&gt;&lt;Field id=&quot;PubPlaceTrans&quot;&gt;&lt;/Field&gt;&lt;Field id=&quot;PubYear&quot;&gt;2019&lt;/Field&gt;&lt;Field id=&quot;Publisher&quot;&gt;&lt;/Field&gt;&lt;Field id=&quot;PublisherTrans&quot;&gt;&lt;/Field&gt;&lt;Field id=&quot;TITrans&quot;&gt;&lt;/Field&gt;&lt;Field id=&quot;Title&quot;&gt;Enhancement Patterns of Intrahepatic Cholangiocarcinoma on Contrast-Enhanced Ultrasound: Correlation with Clinicopathologic Findings and Prognosis.&lt;/Field&gt;&lt;Field id=&quot;Translator&quot;&gt;&lt;/Field&gt;&lt;Field id=&quot;Type&quot;&gt;{041D4F77-279E-4405-0002-4388361B9CFF}&lt;/Field&gt;&lt;Field id=&quot;Version&quot;&gt;&lt;/Field&gt;&lt;Field id=&quot;Vol&quot;&gt;45&lt;/Field&gt;&lt;Field id=&quot;Author2&quot;&gt;Yuan,M;Li,R;Zhang,Y;&lt;/Field&gt;&lt;/Data&gt;&lt;Ref&gt;&lt;Display&gt;&lt;Text StringText=&quot;「RefIndex」&quot; StringTextOri=&quot;「RefIndex」&quot; SuperScript=&quot;true&quot;/&gt;&lt;/Display&gt;&lt;/Ref&gt;&lt;Doc&gt;&lt;Display&gt;&lt;Text StringText=&quot;Yuan M, Li R, Zhang Y, et al.&quot; StringGroup=&quot;Author&quot;/&gt;_x000d__x000a__x0009__x0009__x0009_&lt;Text StringText=&quot; &quot; StringGroup=&quot;Author&quot;/&gt;_x000d__x000a__x0009__x0009__x0009_&lt;Text StringText=&quot;Enhancement Patterns of Intrahepatic Cholangiocarcinoma on Contrast-Enhanced Ultrasound: Correlation with Clinicopathologic Findings and Prognosis&quot; StringGroup=&quot;Title&quot;/&gt;_x000d__x000a__x0009__x0009__x0009_&lt;Text StringText=&quot;. &quot; StringGroup=&quot;Title&quot;/&gt;_x000d__x000a__x0009__x0009__x0009_&lt;Text StringText=&quot;Ultrasound Med Biol&quot; StringGroup=&quot;Magazine&quot;/&gt;_x000d__x000a__x0009__x0009__x0009_&lt;Text StringText=&quot;. &quot; StringGroup=&quot;Magazine&quot;/&gt;_x000d__x000a__x0009__x0009__x0009_&lt;Text StringText=&quot;2019&quot; StringGroup=&quot;PubYear&quot;/&gt;_x000d__x000a__x0009__x0009__x0009_&lt;Text StringText=&quot;. &quot; StringGroup=&quot;PubYear&quot;/&gt;_x000d__x000a__x0009__x0009__x0009_&lt;Text StringText=&quot;45&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6-34&quot; StringGroup=&quot;PageNum&quot;/&gt;_x000d__x000a__x0009__x0009__x0009_&lt;Text StringText=&quot;.&quot; StringGroup=&quot;none&quot;/&gt;_x000d__x000a__x0009__x0009_&lt;/Display&gt;&lt;/Doc&gt;&lt;/KyMRNote&gt;"/>
    <w:docVar w:name="KY.MR.DATA{1FF43429-33CF-42F4-92F5-1E2DD8534AE6}481" w:val="&lt;KyMRNote dbid=&quot;{1FF43429-33CF-42F4-92F5-1E2DD8534AE6}&quot; recid=&quot;481&quot;&gt;&lt;Data&gt;&lt;Field id=&quot;AccessNum&quot;&gt;9933676&lt;/Field&gt;&lt;Field id=&quot;Author&quot;&gt;Yoshida Y;Imai Y;Murakami T;Nishikawa M;Kurokawa M;Yonezawa T;Tokunaga K;Fukushima Y;Wakasa K;Kim T;Nakamura H;Sakon M;Monden M&lt;/Field&gt;&lt;Field id=&quot;AuthorTrans&quot;&gt;&lt;/Field&gt;&lt;Field id=&quot;DOI&quot;&gt;10.1007/s002619900442&lt;/Field&gt;&lt;Field id=&quot;Editor&quot;&gt;&lt;/Field&gt;&lt;Field id=&quot;FmtTitle&quot;&gt;&lt;/Field&gt;&lt;Field id=&quot;Issue&quot;&gt;1&lt;/Field&gt;&lt;Field id=&quot;LIID&quot;&gt;481&lt;/Field&gt;&lt;Field id=&quot;Magazine&quot;&gt;Abdominal imaging&lt;/Field&gt;&lt;Field id=&quot;MagazineAB&quot;&gt;Abdom Imaging&lt;/Field&gt;&lt;Field id=&quot;MagazineTrans&quot;&gt;&lt;/Field&gt;&lt;Field id=&quot;PageNum&quot;&gt;66-8&lt;/Field&gt;&lt;Field id=&quot;PubDate&quot;&gt;Jan-Feb&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Intrahepatic cholangiocarcinoma with marked hypervascularity.&lt;/Field&gt;&lt;Field id=&quot;Translator&quot;&gt;&lt;/Field&gt;&lt;Field id=&quot;Type&quot;&gt;{041D4F77-279E-4405-0002-4388361B9CFF}&lt;/Field&gt;&lt;Field id=&quot;Version&quot;&gt;&lt;/Field&gt;&lt;Field id=&quot;Vol&quot;&gt;24&lt;/Field&gt;&lt;Field id=&quot;Author2&quot;&gt;Yoshida,Y;Imai,Y;Murakami,T;&lt;/Field&gt;&lt;/Data&gt;&lt;Ref&gt;&lt;Display&gt;&lt;Text StringText=&quot;「RefIndex」&quot; StringTextOri=&quot;「RefIndex」&quot; SuperScript=&quot;true&quot;/&gt;&lt;/Display&gt;&lt;/Ref&gt;&lt;Doc&gt;&lt;Display&gt;&lt;Text StringText=&quot;Yoshida Y, Imai Y, Murakami T, et al.&quot; StringGroup=&quot;Author&quot;/&gt;_x000d__x000a__x0009__x0009__x0009_&lt;Text StringText=&quot; &quot; StringGroup=&quot;Author&quot;/&gt;_x000d__x000a__x0009__x0009__x0009_&lt;Text StringText=&quot;Intrahepatic cholangiocarcinoma with marked hypervascularity&quot; StringGroup=&quot;Title&quot;/&gt;_x000d__x000a__x0009__x0009__x0009_&lt;Text StringText=&quot;. &quot; StringGroup=&quot;Title&quot;/&gt;_x000d__x000a__x0009__x0009__x0009_&lt;Text StringText=&quot;Abdom Imaging&quot; StringGroup=&quot;Magazine&quot;/&gt;_x000d__x000a__x0009__x0009__x0009_&lt;Text StringText=&quot;. &quot; StringGroup=&quot;Magazine&quot;/&gt;_x000d__x000a__x0009__x0009__x0009_&lt;Text StringText=&quot;1999&quot; StringGroup=&quot;PubYear&quot;/&gt;_x000d__x000a__x0009__x0009__x0009_&lt;Text StringText=&quot;. &quot; StringGroup=&quot;PubYear&quot;/&gt;_x000d__x000a__x0009__x0009__x0009_&lt;Text StringText=&quot;24&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66-8&quot; StringGroup=&quot;PageNum&quot;/&gt;_x000d__x000a__x0009__x0009__x0009_&lt;Text StringText=&quot;.&quot; StringGroup=&quot;none&quot;/&gt;_x000d__x000a__x0009__x0009_&lt;/Display&gt;&lt;/Doc&gt;&lt;/KyMRNote&gt;"/>
    <w:docVar w:name="KY.MR.DATA{1FF43429-33CF-42F4-92F5-1E2DD8534AE6}482" w:val="&lt;KyMRNote dbid=&quot;{1FF43429-33CF-42F4-92F5-1E2DD8534AE6}&quot; recid=&quot;482&quot;&gt;&lt;Data&gt;&lt;Field id=&quot;AccessNum&quot;&gt;23445369&lt;/Field&gt;&lt;Field id=&quot;Author&quot;&gt;Galassi M;Iavarone M;Rossi S;Bota S;Vavassori S;Rosa L;Leoni S;Venerandi L;Marinelli S;Sangiovanni A;Veronese L;Fraquelli M;Granito A;Golfieri R;Colombo M;Bolondi L;Piscaglia F&lt;/Field&gt;&lt;Field id=&quot;AuthorTrans&quot;&gt;&lt;/Field&gt;&lt;Field id=&quot;DOI&quot;&gt;10.1111/liv.12124&lt;/Field&gt;&lt;Field id=&quot;Editor&quot;&gt;&lt;/Field&gt;&lt;Field id=&quot;FmtTitle&quot;&gt;&lt;/Field&gt;&lt;Field id=&quot;Issue&quot;&gt;5&lt;/Field&gt;&lt;Field id=&quot;LIID&quot;&gt;482&lt;/Field&gt;&lt;Field id=&quot;Magazine&quot;&gt;Liver international : official journal of the International Association for the Study of the Liver&lt;/Field&gt;&lt;Field id=&quot;MagazineAB&quot;&gt;Liver Int&lt;/Field&gt;&lt;Field id=&quot;MagazineTrans&quot;&gt;&lt;/Field&gt;&lt;Field id=&quot;PageNum&quot;&gt;771-9&lt;/Field&gt;&lt;Field id=&quot;PubDate&quot;&gt;May&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Patterns of appearance and risk of misdiagnosis of intrahepatic cholangiocarcinoma in cirrhosis at contrast enhanced ultrasound.&lt;/Field&gt;&lt;Field id=&quot;Translator&quot;&gt;&lt;/Field&gt;&lt;Field id=&quot;Type&quot;&gt;{041D4F77-279E-4405-0002-4388361B9CFF}&lt;/Field&gt;&lt;Field id=&quot;Version&quot;&gt;&lt;/Field&gt;&lt;Field id=&quot;Vol&quot;&gt;33&lt;/Field&gt;&lt;Field id=&quot;Author2&quot;&gt;Galassi,M;Iavarone,M;Rossi,S;&lt;/Field&gt;&lt;/Data&gt;&lt;Ref&gt;&lt;Display&gt;&lt;Text StringText=&quot;「RefIndex」&quot; StringTextOri=&quot;「RefIndex」&quot; SuperScript=&quot;true&quot;/&gt;&lt;/Display&gt;&lt;/Ref&gt;&lt;Doc&gt;&lt;Display&gt;&lt;Text StringText=&quot;Galassi M, Iavarone M, Rossi S, et al.&quot; StringGroup=&quot;Author&quot;/&gt;_x000d__x000a__x0009__x0009__x0009_&lt;Text StringText=&quot; &quot; StringGroup=&quot;Author&quot;/&gt;_x000d__x000a__x0009__x0009__x0009_&lt;Text StringText=&quot;Patterns of appearance and risk of misdiagnosis of intrahepatic cholangiocarcinoma in cirrhosis at contrast enhanced ultrasound&quot; StringGroup=&quot;Title&quot;/&gt;_x000d__x000a__x0009__x0009__x0009_&lt;Text StringText=&quot;. &quot; StringGroup=&quot;Title&quot;/&gt;_x000d__x000a__x0009__x0009__x0009_&lt;Text StringText=&quot;Liver Int&quot; StringGroup=&quot;Magazine&quot;/&gt;_x000d__x000a__x0009__x0009__x0009_&lt;Text StringText=&quot;. &quot; StringGroup=&quot;Magazine&quot;/&gt;_x000d__x000a__x0009__x0009__x0009_&lt;Text StringText=&quot;2013&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771-9&quot; StringGroup=&quot;PageNum&quot;/&gt;_x000d__x000a__x0009__x0009__x0009_&lt;Text StringText=&quot;.&quot; StringGroup=&quot;none&quot;/&gt;_x000d__x000a__x0009__x0009_&lt;/Display&gt;&lt;/Doc&gt;&lt;/KyMRNote&gt;"/>
    <w:docVar w:name="KY.MR.DATA{1FF43429-33CF-42F4-92F5-1E2DD8534AE6}483" w:val="&lt;KyMRNote dbid=&quot;{1FF43429-33CF-42F4-92F5-1E2DD8534AE6}&quot; recid=&quot;483&quot;&gt;&lt;Data&gt;&lt;Field id=&quot;AccessNum&quot;&gt;25812115&lt;/Field&gt;&lt;Field id=&quot;Author&quot;&gt;Wildner D;Bernatik T;Greis C;Seitz K;Neurath MF;Strobel D&lt;/Field&gt;&lt;Field id=&quot;AuthorTrans&quot;&gt;&lt;/Field&gt;&lt;Field id=&quot;DOI&quot;&gt;10.1055/s-0034-1399147&lt;/Field&gt;&lt;Field id=&quot;Editor&quot;&gt;&lt;/Field&gt;&lt;Field id=&quot;FmtTitle&quot;&gt;&lt;/Field&gt;&lt;Field id=&quot;Issue&quot;&gt;2&lt;/Field&gt;&lt;Field id=&quot;LIID&quot;&gt;483&lt;/Field&gt;&lt;Field id=&quot;Magazine&quot;&gt;Ultraschall in der Medizin : Organ der Deutschen Gesellschaft für Ultraschall in der Medizin, [der] Österreichischen Gesellschaft für Ultraschall in der Medizin, [der] Schweizerischen Gesellschaft für Ultraschall in Medizin und Biologie&lt;/Field&gt;&lt;Field id=&quot;MagazineAB&quot;&gt;Ultraschall Med&lt;/Field&gt;&lt;Field id=&quot;MagazineTrans&quot;&gt;&lt;/Field&gt;&lt;Field id=&quot;PageNum&quot;&gt;132-9&lt;/Field&gt;&lt;Field id=&quot;PubDate&quot;&gt;Apr&lt;/Field&gt;&lt;Field id=&quot;PubPlace&quot;&gt;Germany&lt;/Field&gt;&lt;Field id=&quot;PubPlaceTrans&quot;&gt;&lt;/Field&gt;&lt;Field id=&quot;PubYear&quot;&gt;2015&lt;/Field&gt;&lt;Field id=&quot;Publisher&quot;&gt;&lt;/Field&gt;&lt;Field id=&quot;PublisherTrans&quot;&gt;&lt;/Field&gt;&lt;Field id=&quot;TITrans&quot;&gt;&lt;/Field&gt;&lt;Field id=&quot;Title&quot;&gt;CEUS in hepatocellular carcinoma and intrahepatic cholangiocellular carcinoma in 320 patients - early or late washout matters: a subanalysis of the DEGUM multicenter trial.&lt;/Field&gt;&lt;Field id=&quot;Translator&quot;&gt;&lt;/Field&gt;&lt;Field id=&quot;Type&quot;&gt;{041D4F77-279E-4405-0002-4388361B9CFF}&lt;/Field&gt;&lt;Field id=&quot;Version&quot;&gt;&lt;/Field&gt;&lt;Field id=&quot;Vol&quot;&gt;36&lt;/Field&gt;&lt;Field id=&quot;Author2&quot;&gt;Wildner,D;Bernatik,T;Greis,C;Seitz,K;Neurath,MF;Strobel,D;&lt;/Field&gt;&lt;/Data&gt;&lt;Ref&gt;&lt;Display&gt;&lt;Text StringText=&quot;「RefIndex」&quot; StringTextOri=&quot;「RefIndex」&quot; SuperScript=&quot;true&quot;/&gt;&lt;/Display&gt;&lt;/Ref&gt;&lt;Doc&gt;&lt;Display&gt;&lt;Text StringText=&quot;Wildner D, Bernatik T, Greis C, Seitz K, Neurath MF, Strobel D&quot; StringGroup=&quot;Author&quot;/&gt;_x000d__x000a__x0009__x0009__x0009_&lt;Text StringText=&quot;. &quot; StringGroup=&quot;Author&quot;/&gt;_x000d__x000a__x0009__x0009__x0009_&lt;Text StringText=&quot;CEUS in hepatocellular carcinoma and intrahepatic cholangiocellular carcinoma in 320 patients - early or late washout matters: a subanalysis of the DEGUM multicenter trial&quot; StringGroup=&quot;Title&quot;/&gt;_x000d__x000a__x0009__x0009__x0009_&lt;Text StringText=&quot;. &quot; StringGroup=&quot;Title&quot;/&gt;_x000d__x000a__x0009__x0009__x0009_&lt;Text StringText=&quot;Ultraschall Med&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36&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32-9&quot; StringGroup=&quot;PageNum&quot;/&gt;_x000d__x000a__x0009__x0009__x0009_&lt;Text StringText=&quot;.&quot; StringGroup=&quot;none&quot;/&gt;_x000d__x000a__x0009__x0009_&lt;/Display&gt;&lt;/Doc&gt;&lt;/KyMRNote&gt;"/>
    <w:docVar w:name="KY.MR.DATA{1FF43429-33CF-42F4-92F5-1E2DD8534AE6}484" w:val="&lt;KyMRNote dbid=&quot;{1FF43429-33CF-42F4-92F5-1E2DD8534AE6}&quot; recid=&quot;484&quot;&gt;&lt;Data&gt;&lt;Field id=&quot;AccessNum&quot;&gt;21374666&lt;/Field&gt;&lt;Field id=&quot;Author&quot;&gt;Bruix J;Sherman M;CollectiveName:American Association for the Study of Liver Diseases&lt;/Field&gt;&lt;Field id=&quot;AuthorTrans&quot;&gt;&lt;/Field&gt;&lt;Field id=&quot;DOI&quot;&gt;10.1002/hep.24199&lt;/Field&gt;&lt;Field id=&quot;Editor&quot;&gt;&lt;/Field&gt;&lt;Field id=&quot;FmtTitle&quot;&gt;&lt;/Field&gt;&lt;Field id=&quot;Issue&quot;&gt;3&lt;/Field&gt;&lt;Field id=&quot;LIID&quot;&gt;484&lt;/Field&gt;&lt;Field id=&quot;Magazine&quot;&gt;Hepatology : official journal of the American Association for the Study of Liver Diseases&lt;/Field&gt;&lt;Field id=&quot;MagazineAB&quot;&gt;Hepatology&lt;/Field&gt;&lt;Field id=&quot;MagazineTrans&quot;&gt;&lt;/Field&gt;&lt;Field id=&quot;PageNum&quot;&gt;1020-2&lt;/Field&gt;&lt;Field id=&quot;PubDate&quot;&gt;Mar&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Management of hepatocellular carcinoma: an update.&lt;/Field&gt;&lt;Field id=&quot;Translator&quot;&gt;&lt;/Field&gt;&lt;Field id=&quot;Type&quot;&gt;{041D4F77-279E-4405-0002-4388361B9CFF}&lt;/Field&gt;&lt;Field id=&quot;Version&quot;&gt;&lt;/Field&gt;&lt;Field id=&quot;Vol&quot;&gt;53&lt;/Field&gt;&lt;Field id=&quot;Author2&quot;&gt;Bruix,J;Sherman,M;CollectiveName:American Association for the Study of Liver Diseases,;&lt;/Field&gt;&lt;/Data&gt;&lt;Ref&gt;&lt;Display&gt;&lt;Text StringText=&quot;「RefIndex」&quot; StringTextOri=&quot;「RefIndex」&quot; SuperScript=&quot;true&quot;/&gt;&lt;/Display&gt;&lt;/Ref&gt;&lt;Doc&gt;&lt;Display&gt;&lt;Text StringText=&quot;Bruix J, Sherman M, American Association for the Study of Liver Diseases&quot; StringGroup=&quot;Author&quot;/&gt;_x000d__x000a__x0009__x0009__x0009_&lt;Text StringText=&quot;. &quot; StringGroup=&quot;Author&quot;/&gt;_x000d__x000a__x0009__x0009__x0009_&lt;Text StringText=&quot;Management of hepatocellular carcinoma: an update&quot; StringGroup=&quot;Title&quot;/&gt;_x000d__x000a__x0009__x0009__x0009_&lt;Text StringText=&quot;. &quot; StringGroup=&quot;Title&quot;/&gt;_x000d__x000a__x0009__x0009__x0009_&lt;Text StringText=&quot;Hepatology&quot; StringGroup=&quot;Magazine&quot;/&gt;_x000d__x000a__x0009__x0009__x0009_&lt;Text StringText=&quot;. &quot; StringGroup=&quot;Magazine&quot;/&gt;_x000d__x000a__x0009__x0009__x0009_&lt;Text StringText=&quot;2011&quot; StringGroup=&quot;PubYear&quot;/&gt;_x000d__x000a__x0009__x0009__x0009_&lt;Text StringText=&quot;. &quot; StringGroup=&quot;PubYear&quot;/&gt;_x000d__x000a__x0009__x0009__x0009_&lt;Text StringText=&quot;53&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020-2&quot; StringGroup=&quot;PageNum&quot;/&gt;_x000d__x000a__x0009__x0009__x0009_&lt;Text StringText=&quot;.&quot; StringGroup=&quot;none&quot;/&gt;_x000d__x000a__x0009__x0009_&lt;/Display&gt;&lt;/Doc&gt;&lt;/KyMRNote&gt;"/>
    <w:docVar w:name="KY.MR.DATA{1FF43429-33CF-42F4-92F5-1E2DD8534AE6}485" w:val="&lt;KyMRNote dbid=&quot;{1FF43429-33CF-42F4-92F5-1E2DD8534AE6}&quot; recid=&quot;485&quot;&gt;&lt;Data&gt;&lt;Field id=&quot;AccessNum&quot;&gt;23769756&lt;/Field&gt;&lt;Field id=&quot;Author&quot;&gt;CollectiveName:Italian Association for the Study of the Liver (AISF);CollectiveName:AISF Expert Panel;CollectiveName:AISF Coordinating Committee;Bolondi L;Cillo U;Colombo M;Craxì A;Farinati F;Giannini EG;Golfieri R;Levrero M;Pinna AD;Piscaglia F;Raimondo G;Trevisani F;Bruno R;Caraceni P;Ciancio A;Coco B;Fraquelli M;Rendina M;Squadrito G;Toniutto P&lt;/Field&gt;&lt;Field id=&quot;AuthorTrans&quot;&gt;&lt;/Field&gt;&lt;Field id=&quot;DOI&quot;&gt;10.1016/j.dld.2013.01.012&lt;/Field&gt;&lt;Field id=&quot;Editor&quot;&gt;&lt;/Field&gt;&lt;Field id=&quot;FmtTitle&quot;&gt;&lt;/Field&gt;&lt;Field id=&quot;Issue&quot;&gt;9&lt;/Field&gt;&lt;Field id=&quot;LIID&quot;&gt;485&lt;/Field&gt;&lt;Field id=&quot;Magazine&quot;&gt;Digestive and liver disease : official journal of the Italian Society of Gastroenterology and the Italian Association for the Study of the Liver&lt;/Field&gt;&lt;Field id=&quot;MagazineAB&quot;&gt;Dig Liver Dis&lt;/Field&gt;&lt;Field id=&quot;MagazineTrans&quot;&gt;&lt;/Field&gt;&lt;Field id=&quot;PageNum&quot;&gt;712-23&lt;/Field&gt;&lt;Field id=&quot;PubDate&quot;&gt;Sep&lt;/Field&gt;&lt;Field id=&quot;PubPlace&quot;&gt;Netherlands&lt;/Field&gt;&lt;Field id=&quot;PubPlaceTrans&quot;&gt;&lt;/Field&gt;&lt;Field id=&quot;PubYear&quot;&gt;2013&lt;/Field&gt;&lt;Field id=&quot;Publisher&quot;&gt;&lt;/Field&gt;&lt;Field id=&quot;PublisherTrans&quot;&gt;&lt;/Field&gt;&lt;Field id=&quot;TITrans&quot;&gt;&lt;/Field&gt;&lt;Field id=&quot;Title&quot;&gt;Position paper of the Italian Association for the Study of the Liver (AISF): the multidisciplinary clinical approach to hepatocellular carcinoma.&lt;/Field&gt;&lt;Field id=&quot;Translator&quot;&gt;&lt;/Field&gt;&lt;Field id=&quot;Type&quot;&gt;{041D4F77-279E-4405-0002-4388361B9CFF}&lt;/Field&gt;&lt;Field id=&quot;Version&quot;&gt;&lt;/Field&gt;&lt;Field id=&quot;Vol&quot;&gt;45&lt;/Field&gt;&lt;Field id=&quot;Author2&quot;&gt;CollectiveName:Italian Association for the Study of the Liver (AISF),;CollectiveName:AISF Expert Panel,;CollectiveName:AISF Coordinating Committee,;&lt;/Field&gt;&lt;/Data&gt;&lt;Ref&gt;&lt;Display&gt;&lt;Text StringText=&quot;「RefIndex」&quot; StringTextOri=&quot;「RefIndex」&quot; SuperScript=&quot;true&quot;/&gt;&lt;/Display&gt;&lt;/Ref&gt;&lt;Doc&gt;&lt;Display&gt;&lt;Text StringText=&quot;Italian Association for the Study of the Liver (AISF), AISF Expert Panel, AISF Coordinating Committee, et al.&quot; StringGroup=&quot;Author&quot;/&gt;_x000d__x000a__x0009__x0009__x0009_&lt;Text StringText=&quot; &quot; StringGroup=&quot;Author&quot;/&gt;_x000d__x000a__x0009__x0009__x0009_&lt;Text StringText=&quot;Position paper of the Italian Association for the Study of the Liver (AISF): the multidisciplinary clinical approach to hepatocellular carcinoma&quot; StringGroup=&quot;Title&quot;/&gt;_x000d__x000a__x0009__x0009__x0009_&lt;Text StringText=&quot;. &quot; StringGroup=&quot;Title&quot;/&gt;_x000d__x000a__x0009__x0009__x0009_&lt;Text StringText=&quot;Dig Liver Dis&quot; StringGroup=&quot;Magazine&quot;/&gt;_x000d__x000a__x0009__x0009__x0009_&lt;Text StringText=&quot;. &quot; StringGroup=&quot;Magazine&quot;/&gt;_x000d__x000a__x0009__x0009__x0009_&lt;Text StringText=&quot;2013&quot; StringGroup=&quot;PubYear&quot;/&gt;_x000d__x000a__x0009__x0009__x0009_&lt;Text StringText=&quot;. &quot; StringGroup=&quot;PubYear&quot;/&gt;_x000d__x000a__x0009__x0009__x0009_&lt;Text StringText=&quot;45&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712-23&quot; StringGroup=&quot;PageNum&quot;/&gt;_x000d__x000a__x0009__x0009__x0009_&lt;Text StringText=&quot;.&quot; StringGroup=&quot;none&quot;/&gt;_x000d__x000a__x0009__x0009_&lt;/Display&gt;&lt;/Doc&gt;&lt;/KyMRNote&gt;"/>
    <w:docVar w:name="KY.MR.DATA{1FF43429-33CF-42F4-92F5-1E2DD8534AE6}486" w:val="&lt;KyMRNote dbid=&quot;{1FF43429-33CF-42F4-92F5-1E2DD8534AE6}&quot; recid=&quot;486&quot;&gt;&lt;Data&gt;&lt;Field id=&quot;AccessNum&quot;&gt;18284443&lt;/Field&gt;&lt;Field id=&quot;Author&quot;&gt;Kassahun WT;Hauss J&lt;/Field&gt;&lt;Field id=&quot;AuthorTrans&quot;&gt;&lt;/Field&gt;&lt;Field id=&quot;DOI&quot;&gt;10.1111/j.1742-1241.2007.01694.x&lt;/Field&gt;&lt;Field id=&quot;Editor&quot;&gt;&lt;/Field&gt;&lt;Field id=&quot;FmtTitle&quot;&gt;&lt;/Field&gt;&lt;Field id=&quot;Issue&quot;&gt;8&lt;/Field&gt;&lt;Field id=&quot;LIID&quot;&gt;486&lt;/Field&gt;&lt;Field id=&quot;Magazine&quot;&gt;International journal of clinical practice&lt;/Field&gt;&lt;Field id=&quot;MagazineAB&quot;&gt;Int J Clin Pract&lt;/Field&gt;&lt;Field id=&quot;MagazineTrans&quot;&gt;&lt;/Field&gt;&lt;Field id=&quot;PageNum&quot;&gt;1271-8&lt;/Field&gt;&lt;Field id=&quot;PubDate&quot;&gt;Aug&lt;/Field&gt;&lt;Field id=&quot;PubPlace&quot;&gt;England&lt;/Field&gt;&lt;Field id=&quot;PubPlaceTrans&quot;&gt;&lt;/Field&gt;&lt;Field id=&quot;PubYear&quot;&gt;2008&lt;/Field&gt;&lt;Field id=&quot;Publisher&quot;&gt;&lt;/Field&gt;&lt;Field id=&quot;PublisherTrans&quot;&gt;&lt;/Field&gt;&lt;Field id=&quot;TITrans&quot;&gt;&lt;/Field&gt;&lt;Field id=&quot;Title&quot;&gt;Management of combined hepatocellular and cholangiocarcinoma.&lt;/Field&gt;&lt;Field id=&quot;Translator&quot;&gt;&lt;/Field&gt;&lt;Field id=&quot;Type&quot;&gt;{041D4F77-279E-4405-0002-4388361B9CFF}&lt;/Field&gt;&lt;Field id=&quot;Version&quot;&gt;&lt;/Field&gt;&lt;Field id=&quot;Vol&quot;&gt;62&lt;/Field&gt;&lt;Field id=&quot;Author2&quot;&gt;Kassahun,WT;Hauss,J;&lt;/Field&gt;&lt;/Data&gt;&lt;Ref&gt;&lt;Display&gt;&lt;Text StringText=&quot;「RefIndex」&quot; StringTextOri=&quot;「RefIndex」&quot; SuperScript=&quot;true&quot;/&gt;&lt;/Display&gt;&lt;/Ref&gt;&lt;Doc&gt;&lt;Display&gt;&lt;Text StringText=&quot;Kassahun WT, Hauss J&quot; StringGroup=&quot;Author&quot;/&gt;_x000d__x000a__x0009__x0009__x0009_&lt;Text StringText=&quot;. &quot; StringGroup=&quot;Author&quot;/&gt;_x000d__x000a__x0009__x0009__x0009_&lt;Text StringText=&quot;Management of combined hepatocellular and cholangiocarcinoma&quot; StringGroup=&quot;Title&quot;/&gt;_x000d__x000a__x0009__x0009__x0009_&lt;Text StringText=&quot;. &quot; StringGroup=&quot;Title&quot;/&gt;_x000d__x000a__x0009__x0009__x0009_&lt;Text StringText=&quot;Int J Clin Pract&quot; StringGroup=&quot;Magazine&quot;/&gt;_x000d__x000a__x0009__x0009__x0009_&lt;Text StringText=&quot;. &quot; StringGroup=&quot;Magazine&quot;/&gt;_x000d__x000a__x0009__x0009__x0009_&lt;Text StringText=&quot;2008&quot; StringGroup=&quot;PubYear&quot;/&gt;_x000d__x000a__x0009__x0009__x0009_&lt;Text StringText=&quot;. &quot; StringGroup=&quot;PubYear&quot;/&gt;_x000d__x000a__x0009__x0009__x0009_&lt;Text StringText=&quot;62&quot; StringGroup=&quot;Vol&quot;/&gt;_x000d__x000a__x0009__x0009__x0009_&lt;Text StringText=&quot;(&quot; StringGroup=&quot;Issue&quot;/&gt;_x000d__x000a__x0009__x0009__x0009_&lt;Text StringText=&quot;8&quot; StringGroup=&quot;Issue&quot;/&gt;_x000d__x000a__x0009__x0009__x0009_&lt;Text StringText=&quot;)&quot; StringGroup=&quot;Issue&quot;/&gt;_x000d__x000a__x0009__x0009__x0009_&lt;Text StringText=&quot;: &quot; StringGroup=&quot;PageNum&quot;/&gt;_x000d__x000a__x0009__x0009__x0009_&lt;Text StringText=&quot;1271-8&quot; StringGroup=&quot;PageNum&quot;/&gt;_x000d__x000a__x0009__x0009__x0009_&lt;Text StringText=&quot;.&quot; StringGroup=&quot;none&quot;/&gt;_x000d__x000a__x0009__x0009_&lt;/Display&gt;&lt;/Doc&gt;&lt;/KyMRNote&gt;"/>
    <w:docVar w:name="KY.MR.DATA{1FF43429-33CF-42F4-92F5-1E2DD8534AE6}487" w:val="&lt;KyMRNote dbid=&quot;{1FF43429-33CF-42F4-92F5-1E2DD8534AE6}&quot; recid=&quot;487&quot;&gt;&lt;Data&gt;&lt;Field id=&quot;AccessNum&quot;&gt;10638584&lt;/Field&gt;&lt;Field id=&quot;Author&quot;&gt;Patel AH;Harnois DM;Klee GG;LaRusso NF;Gores GJ&lt;/Field&gt;&lt;Field id=&quot;AuthorTrans&quot;&gt;&lt;/Field&gt;&lt;Field id=&quot;DOI&quot;&gt;10.1111/j.1572-0241.2000.01685.x&lt;/Field&gt;&lt;Field id=&quot;Editor&quot;&gt;&lt;/Field&gt;&lt;Field id=&quot;FmtTitle&quot;&gt;&lt;/Field&gt;&lt;Field id=&quot;Issue&quot;&gt;1&lt;/Field&gt;&lt;Field id=&quot;LIID&quot;&gt;487&lt;/Field&gt;&lt;Field id=&quot;Magazine&quot;&gt;The American journal of gastroenterology&lt;/Field&gt;&lt;Field id=&quot;MagazineAB&quot;&gt;Am J Gastroenterol&lt;/Field&gt;&lt;Field id=&quot;MagazineTrans&quot;&gt;&lt;/Field&gt;&lt;Field id=&quot;PageNum&quot;&gt;204-7&lt;/Field&gt;&lt;Field id=&quot;PubDate&quot;&gt;Jan&lt;/Field&gt;&lt;Field id=&quot;PubPlace&quot;&gt;United States&lt;/Field&gt;&lt;Field id=&quot;PubPlaceTrans&quot;&gt;&lt;/Field&gt;&lt;Field id=&quot;PubYear&quot;&gt;2000&lt;/Field&gt;&lt;Field id=&quot;Publisher&quot;&gt;&lt;/Field&gt;&lt;Field id=&quot;PublisherTrans&quot;&gt;&lt;/Field&gt;&lt;Field id=&quot;TITrans&quot;&gt;&lt;/Field&gt;&lt;Field id=&quot;Title&quot;&gt;The utility of CA 19-9 in the diagnoses of cholangiocarcinoma in patients without primary sclerosing cholangitis.&lt;/Field&gt;&lt;Field id=&quot;Translator&quot;&gt;&lt;/Field&gt;&lt;Field id=&quot;Type&quot;&gt;{041D4F77-279E-4405-0002-4388361B9CFF}&lt;/Field&gt;&lt;Field id=&quot;Version&quot;&gt;&lt;/Field&gt;&lt;Field id=&quot;Vol&quot;&gt;95&lt;/Field&gt;&lt;Field id=&quot;Author2&quot;&gt;Patel,AH;Harnois,DM;Klee,GG;LaRusso,NF;Gores,GJ;&lt;/Field&gt;&lt;/Data&gt;&lt;Ref&gt;&lt;Display&gt;&lt;Text StringText=&quot;「RefIndex」&quot; StringTextOri=&quot;「RefIndex」&quot; SuperScript=&quot;true&quot;/&gt;&lt;/Display&gt;&lt;/Ref&gt;&lt;Doc&gt;&lt;Display&gt;&lt;Text StringText=&quot;Patel AH, Harnois DM, Klee GG, LaRusso NF, Gores GJ&quot; StringGroup=&quot;Author&quot;/&gt;_x000d__x000a__x0009__x0009__x0009_&lt;Text StringText=&quot;. &quot; StringGroup=&quot;Author&quot;/&gt;_x000d__x000a__x0009__x0009__x0009_&lt;Text StringText=&quot;The utility of CA 19-9 in the diagnoses of cholangiocarcinoma in patients without primary sclerosing cholangitis&quot; StringGroup=&quot;Title&quot;/&gt;_x000d__x000a__x0009__x0009__x0009_&lt;Text StringText=&quot;. &quot; StringGroup=&quot;Title&quot;/&gt;_x000d__x000a__x0009__x0009__x0009_&lt;Text StringText=&quot;Am J Gastroenterol&quot; StringGroup=&quot;Magazine&quot;/&gt;_x000d__x000a__x0009__x0009__x0009_&lt;Text StringText=&quot;. &quot; StringGroup=&quot;Magazine&quot;/&gt;_x000d__x000a__x0009__x0009__x0009_&lt;Text StringText=&quot;2000&quot; StringGroup=&quot;PubYear&quot;/&gt;_x000d__x000a__x0009__x0009__x0009_&lt;Text StringText=&quot;. &quot; StringGroup=&quot;PubYear&quot;/&gt;_x000d__x000a__x0009__x0009__x0009_&lt;Text StringText=&quot;95&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04-7&quot; StringGroup=&quot;PageNum&quot;/&gt;_x000d__x000a__x0009__x0009__x0009_&lt;Text StringText=&quot;.&quot; StringGroup=&quot;none&quot;/&gt;_x000d__x000a__x0009__x0009_&lt;/Display&gt;&lt;/Doc&gt;&lt;/KyMRNote&gt;"/>
    <w:docVar w:name="KY.MR.DATA{1FF43429-33CF-42F4-92F5-1E2DD8534AE6}488" w:val="&lt;KyMRNote dbid=&quot;{1FF43429-33CF-42F4-92F5-1E2DD8534AE6}&quot; recid=&quot;488&quot;&gt;&lt;Data&gt;&lt;Field id=&quot;AccessNum&quot;&gt;7543434&lt;/Field&gt;&lt;Field id=&quot;Author&quot;&gt;Sherman M;Peltekian KM;Lee C&lt;/Field&gt;&lt;Field id=&quot;AuthorTrans&quot;&gt;&lt;/Field&gt;&lt;Field id=&quot;DOI&quot;&gt;&lt;/Field&gt;&lt;Field id=&quot;Editor&quot;&gt;&lt;/Field&gt;&lt;Field id=&quot;FmtTitle&quot;&gt;&lt;/Field&gt;&lt;Field id=&quot;Issue&quot;&gt;2&lt;/Field&gt;&lt;Field id=&quot;LIID&quot;&gt;488&lt;/Field&gt;&lt;Field id=&quot;Magazine&quot;&gt;Hepatology : official journal of the American Association for the Study of Liver Diseases&lt;/Field&gt;&lt;Field id=&quot;MagazineAB&quot;&gt;Hepatology&lt;/Field&gt;&lt;Field id=&quot;MagazineTrans&quot;&gt;&lt;/Field&gt;&lt;Field id=&quot;PageNum&quot;&gt;432-8&lt;/Field&gt;&lt;Field id=&quot;PubDate&quot;&gt;Aug&lt;/Field&gt;&lt;Field id=&quot;PubPlace&quot;&gt;United States&lt;/Field&gt;&lt;Field id=&quot;PubPlaceTrans&quot;&gt;&lt;/Field&gt;&lt;Field id=&quot;PubYear&quot;&gt;1995&lt;/Field&gt;&lt;Field id=&quot;Publisher&quot;&gt;&lt;/Field&gt;&lt;Field id=&quot;PublisherTrans&quot;&gt;&lt;/Field&gt;&lt;Field id=&quot;TITrans&quot;&gt;&lt;/Field&gt;&lt;Field id=&quot;Title&quot;&gt;Screening for hepatocellular carcinoma in chronic carriers of hepatitis B virus: incidence and prevalence of hepatocellular carcinoma in a North American urban population.&lt;/Field&gt;&lt;Field id=&quot;Translator&quot;&gt;&lt;/Field&gt;&lt;Field id=&quot;Type&quot;&gt;{041D4F77-279E-4405-0002-4388361B9CFF}&lt;/Field&gt;&lt;Field id=&quot;Version&quot;&gt;&lt;/Field&gt;&lt;Field id=&quot;Vol&quot;&gt;22&lt;/Field&gt;&lt;Field id=&quot;Author2&quot;&gt;Sherman,M;Peltekian,KM;Lee,C;&lt;/Field&gt;&lt;/Data&gt;&lt;Ref&gt;&lt;Display&gt;&lt;Text StringText=&quot;「RefIndex」&quot; StringTextOri=&quot;「RefIndex」&quot; SuperScript=&quot;true&quot;/&gt;&lt;/Display&gt;&lt;/Ref&gt;&lt;Doc&gt;&lt;Display&gt;&lt;Text StringText=&quot;Sherman M, Peltekian KM, Lee C&quot; StringGroup=&quot;Author&quot;/&gt;_x000d__x000a__x0009__x0009__x0009_&lt;Text StringText=&quot;. &quot; StringGroup=&quot;Author&quot;/&gt;_x000d__x000a__x0009__x0009__x0009_&lt;Text StringText=&quot;Screening for hepatocellular carcinoma in chronic carriers of hepatitis B virus: incidence and prevalence of hepatocellular carcinoma in a North American urban population&quot; StringGroup=&quot;Title&quot;/&gt;_x000d__x000a__x0009__x0009__x0009_&lt;Text StringText=&quot;. &quot; StringGroup=&quot;Title&quot;/&gt;_x000d__x000a__x0009__x0009__x0009_&lt;Text StringText=&quot;Hepatology&quot; StringGroup=&quot;Magazine&quot;/&gt;_x000d__x000a__x0009__x0009__x0009_&lt;Text StringText=&quot;. &quot; StringGroup=&quot;Magazine&quot;/&gt;_x000d__x000a__x0009__x0009__x0009_&lt;Text StringText=&quot;1995&quot; StringGroup=&quot;PubYear&quot;/&gt;_x000d__x000a__x0009__x0009__x0009_&lt;Text StringText=&quot;. &quot; StringGroup=&quot;PubYear&quot;/&gt;_x000d__x000a__x0009__x0009__x0009_&lt;Text StringText=&quot;22&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432-8&quot; StringGroup=&quot;PageNum&quot;/&gt;_x000d__x000a__x0009__x0009__x0009_&lt;Text StringText=&quot;.&quot; StringGroup=&quot;none&quot;/&gt;_x000d__x000a__x0009__x0009_&lt;/Display&gt;&lt;/Doc&gt;&lt;/KyMRNote&gt;"/>
    <w:docVar w:name="KY.MR.DATA{1FF43429-33CF-42F4-92F5-1E2DD8534AE6}489" w:val="&lt;KyMRNote dbid=&quot;{1FF43429-33CF-42F4-92F5-1E2DD8534AE6}&quot; recid=&quot;489&quot;&gt;&lt;Data&gt;&lt;Field id=&quot;AccessNum&quot;&gt;11394657&lt;/Field&gt;&lt;Field id=&quot;Author&quot;&gt;Trevisani F;D'Intino PE;Morselli-Labate AM;Mazzella G;Accogli E;Caraceni P;Domenicali M;De Notariis S;Roda E;Bernardi M&lt;/Field&gt;&lt;Field id=&quot;AuthorTrans&quot;&gt;&lt;/Field&gt;&lt;Field id=&quot;DOI&quot;&gt;10.1016/s0168-8278(00)00053-2&lt;/Field&gt;&lt;Field id=&quot;Editor&quot;&gt;&lt;/Field&gt;&lt;Field id=&quot;FmtTitle&quot;&gt;&lt;/Field&gt;&lt;Field id=&quot;Issue&quot;&gt;4&lt;/Field&gt;&lt;Field id=&quot;LIID&quot;&gt;489&lt;/Field&gt;&lt;Field id=&quot;Magazine&quot;&gt;Journal of hepatology&lt;/Field&gt;&lt;Field id=&quot;MagazineAB&quot;&gt;J Hepatol&lt;/Field&gt;&lt;Field id=&quot;MagazineTrans&quot;&gt;&lt;/Field&gt;&lt;Field id=&quot;PageNum&quot;&gt;570-5&lt;/Field&gt;&lt;Field id=&quot;PubDate&quot;&gt;Apr&lt;/Field&gt;&lt;Field id=&quot;PubPlace&quot;&gt;Netherlands&lt;/Field&gt;&lt;Field id=&quot;PubPlaceTrans&quot;&gt;&lt;/Field&gt;&lt;Field id=&quot;PubYear&quot;&gt;2001&lt;/Field&gt;&lt;Field id=&quot;Publisher&quot;&gt;&lt;/Field&gt;&lt;Field id=&quot;PublisherTrans&quot;&gt;&lt;/Field&gt;&lt;Field id=&quot;TITrans&quot;&gt;&lt;/Field&gt;&lt;Field id=&quot;Title&quot;&gt;Serum alpha-fetoprotein for diagnosis of hepatocellular carcinoma in patients with chronic liver disease: influence of HBsAg and anti-HCV status.&lt;/Field&gt;&lt;Field id=&quot;Translator&quot;&gt;&lt;/Field&gt;&lt;Field id=&quot;Type&quot;&gt;{041D4F77-279E-4405-0002-4388361B9CFF}&lt;/Field&gt;&lt;Field id=&quot;Version&quot;&gt;&lt;/Field&gt;&lt;Field id=&quot;Vol&quot;&gt;34&lt;/Field&gt;&lt;Field id=&quot;Author2&quot;&gt;Trevisani,F;D'Intino,PE;Morselli-Labate,AM;&lt;/Field&gt;&lt;/Data&gt;&lt;Ref&gt;&lt;Display&gt;&lt;Text StringText=&quot;「RefIndex」&quot; StringTextOri=&quot;「RefIndex」&quot; SuperScript=&quot;true&quot;/&gt;&lt;/Display&gt;&lt;/Ref&gt;&lt;Doc&gt;&lt;Display&gt;&lt;Text StringText=&quot;Trevisani F, D'Intino PE, Morselli-Labate AM, et al.&quot; StringGroup=&quot;Author&quot;/&gt;_x000d__x000a__x0009__x0009__x0009_&lt;Text StringText=&quot; &quot; StringGroup=&quot;Author&quot;/&gt;_x000d__x000a__x0009__x0009__x0009_&lt;Text StringText=&quot;Serum alpha-fetoprotein for diagnosis of hepatocellular carcinoma in patients with chronic liver disease: influence of HBsAg and anti-HCV status&quot; StringGroup=&quot;Title&quot;/&gt;_x000d__x000a__x0009__x0009__x0009_&lt;Text StringText=&quot;. &quot; StringGroup=&quot;Title&quot;/&gt;_x000d__x000a__x0009__x0009__x0009_&lt;Text StringText=&quot;J Hepatol&quot; StringGroup=&quot;Magazine&quot;/&gt;_x000d__x000a__x0009__x0009__x0009_&lt;Text StringText=&quot;. &quot; StringGroup=&quot;Magazine&quot;/&gt;_x000d__x000a__x0009__x0009__x0009_&lt;Text StringText=&quot;2001&quot; StringGroup=&quot;PubYear&quot;/&gt;_x000d__x000a__x0009__x0009__x0009_&lt;Text StringText=&quot;. &quot; StringGroup=&quot;PubYear&quot;/&gt;_x000d__x000a__x0009__x0009__x0009_&lt;Text StringText=&quot;34&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570-5&quot; StringGroup=&quot;PageNum&quot;/&gt;_x000d__x000a__x0009__x0009__x0009_&lt;Text StringText=&quot;.&quot; StringGroup=&quot;none&quot;/&gt;_x000d__x000a__x0009__x0009_&lt;/Display&gt;&lt;/Doc&gt;&lt;/KyMRNote&gt;"/>
    <w:docVar w:name="KY.MR.DATA{1FF43429-33CF-42F4-92F5-1E2DD8534AE6}490" w:val="&lt;KyMRNote dbid=&quot;{1FF43429-33CF-42F4-92F5-1E2DD8534AE6}&quot; recid=&quot;490&quot;&gt;&lt;Data&gt;&lt;Field id=&quot;AccessNum&quot;&gt;7536121&lt;/Field&gt;&lt;Field id=&quot;Author&quot;&gt;Trevisani F;D'Intino PE;Caraceni P;Pizzo M;Stefanini GF;Mazziotti A;Grazi GL;Gozzetti G;Gasbarrini G;Bernardi M&lt;/Field&gt;&lt;Field id=&quot;AuthorTrans&quot;&gt;&lt;/Field&gt;&lt;Field id=&quot;DOI&quot;&gt;10.1002/1097-0142(19950501)75:9&amp;lt;2220::aid-cncr2820750906&amp;gt;3.0.co;2-4&lt;/Field&gt;&lt;Field id=&quot;Editor&quot;&gt;&lt;/Field&gt;&lt;Field id=&quot;FmtTitle&quot;&gt;&lt;/Field&gt;&lt;Field id=&quot;Issue&quot;&gt;9&lt;/Field&gt;&lt;Field id=&quot;LIID&quot;&gt;490&lt;/Field&gt;&lt;Field id=&quot;Magazine&quot;&gt;Cancer&lt;/Field&gt;&lt;Field id=&quot;MagazineAB&quot;&gt;Cancer&lt;/Field&gt;&lt;Field id=&quot;MagazineTrans&quot;&gt;&lt;/Field&gt;&lt;Field id=&quot;PageNum&quot;&gt;2220-32&lt;/Field&gt;&lt;Field id=&quot;PubDate&quot;&gt;May 01&lt;/Field&gt;&lt;Field id=&quot;PubPlace&quot;&gt;United States&lt;/Field&gt;&lt;Field id=&quot;PubPlaceTrans&quot;&gt;&lt;/Field&gt;&lt;Field id=&quot;PubYear&quot;&gt;1995&lt;/Field&gt;&lt;Field id=&quot;Publisher&quot;&gt;&lt;/Field&gt;&lt;Field id=&quot;PublisherTrans&quot;&gt;&lt;/Field&gt;&lt;Field id=&quot;TITrans&quot;&gt;&lt;/Field&gt;&lt;Field id=&quot;Title&quot;&gt;Etiologic factors and clinical presentation of hepatocellular carcinoma. Differences between cirrhotic and noncirrhotic Italian patients.&lt;/Field&gt;&lt;Field id=&quot;Translator&quot;&gt;&lt;/Field&gt;&lt;Field id=&quot;Type&quot;&gt;{041D4F77-279E-4405-0002-4388361B9CFF}&lt;/Field&gt;&lt;Field id=&quot;Version&quot;&gt;&lt;/Field&gt;&lt;Field id=&quot;Vol&quot;&gt;75&lt;/Field&gt;&lt;Field id=&quot;Author2&quot;&gt;Trevisani,F;D'Intino,PE;Caraceni,P;&lt;/Field&gt;&lt;/Data&gt;&lt;Ref&gt;&lt;Display&gt;&lt;Text StringText=&quot;「RefIndex」&quot; StringTextOri=&quot;「RefIndex」&quot; SuperScript=&quot;true&quot;/&gt;&lt;/Display&gt;&lt;/Ref&gt;&lt;Doc&gt;&lt;Display&gt;&lt;Text StringText=&quot;Trevisani F, D'Intino PE, Caraceni P, et al.&quot; StringGroup=&quot;Author&quot;/&gt;_x000d__x000a__x0009__x0009__x0009_&lt;Text StringText=&quot; &quot; StringGroup=&quot;Author&quot;/&gt;_x000d__x000a__x0009__x0009__x0009_&lt;Text StringText=&quot;Etiologic factors and clinical presentation of hepatocellular carcinoma. Differences between cirrhotic and noncirrhotic Italian patients&quot; StringGroup=&quot;Title&quot;/&gt;_x000d__x000a__x0009__x0009__x0009_&lt;Text StringText=&quot;. &quot; StringGroup=&quot;Title&quot;/&gt;_x000d__x000a__x0009__x0009__x0009_&lt;Text StringText=&quot;Cancer&quot; StringGroup=&quot;Magazine&quot;/&gt;_x000d__x000a__x0009__x0009__x0009_&lt;Text StringText=&quot;. &quot; StringGroup=&quot;Magazine&quot;/&gt;_x000d__x000a__x0009__x0009__x0009_&lt;Text StringText=&quot;1995&quot; StringGroup=&quot;PubYear&quot;/&gt;_x000d__x000a__x0009__x0009__x0009_&lt;Text StringText=&quot;. &quot; StringGroup=&quot;PubYear&quot;/&gt;_x000d__x000a__x0009__x0009__x0009_&lt;Text StringText=&quot;75&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2220-32&quot; StringGroup=&quot;PageNum&quot;/&gt;_x000d__x000a__x0009__x0009__x0009_&lt;Text StringText=&quot;.&quot; StringGroup=&quot;none&quot;/&gt;_x000d__x000a__x0009__x0009_&lt;/Display&gt;&lt;/Doc&gt;&lt;/KyMRNote&gt;"/>
    <w:docVar w:name="KY.MR.DATA{3EAE0106-457A-4C37-A735-19CCB6BAF505}251" w:val="&lt;KyMRNote dbid=&quot;{3EAE0106-457A-4C37-A735-19CCB6BAF505}&quot; recid=&quot;251&quot;&gt;&lt;Data&gt;&lt;Field id=&quot;AccessNum&quot;&gt;29807369&lt;/Field&gt;&lt;Field id=&quot;Author&quot;&gt;Loosen SH;Vucur M;Trautwein C;Roderburg C;Luedde T&lt;/Field&gt;&lt;Field id=&quot;AuthorTrans&quot;&gt;&lt;/Field&gt;&lt;Field id=&quot;DOI&quot;&gt;10.1159/000488342&lt;/Field&gt;&lt;Field id=&quot;Editor&quot;&gt;&lt;/Field&gt;&lt;Field id=&quot;FmtTitle&quot;&gt;&amp;lt;h1 style=&quot;margin: 0.5em 0px; text-align: left; color: rgb(0, 0, 0); text-transform: none; line-height: 1.25em; text-indent: 0px; letter-spacing: normal; font-family: arial, helvetica, clean, sans-serif; font-size: 1.4em; font-style: normal; font-weight: bold; word-spacing: 0px; white-space: normal; orphans: 2; widows: 2; background-color: rgb(255, 255, 255); font-variant-ligatures: normal; font-variant-caps: normal; -webkit-text-stroke-width: 0px; text-decoration-style: initial; text-decoration-color: initial;&quot;&amp;gt;Circulating Biomarkers for Cholangiocarcinoma.&amp;lt;/h1&amp;gt;&lt;/Field&gt;&lt;Field id=&quot;Issue&quot;&gt;4&lt;/Field&gt;&lt;Field id=&quot;LIID&quot;&gt;251&lt;/Field&gt;&lt;Field id=&quot;Magazine&quot;&gt;Digestive diseases&lt;/Field&gt;&lt;Field id=&quot;MagazineAB&quot;&gt;Dig Dis&lt;/Field&gt;&lt;Field id=&quot;MagazineTrans&quot;&gt;&lt;/Field&gt;&lt;Field id=&quot;PageNum&quot;&gt;281-288&lt;/Field&gt;&lt;Field id=&quot;PubDate&quot;&gt;&lt;/Field&gt;&lt;Field id=&quot;PubPlace&quot;&gt;Switzerland&lt;/Field&gt;&lt;Field id=&quot;PubPlaceTrans&quot;&gt;&lt;/Field&gt;&lt;Field id=&quot;PubYear&quot;&gt;2018&lt;/Field&gt;&lt;Field id=&quot;Publisher&quot;&gt;&lt;/Field&gt;&lt;Field id=&quot;PublisherTrans&quot;&gt;&lt;/Field&gt;&lt;Field id=&quot;TITrans&quot;&gt;&lt;/Field&gt;&lt;Field id=&quot;Title&quot;&gt;Circulating Biomarkers for Cholangiocarcinoma.&lt;/Field&gt;&lt;Field id=&quot;Translator&quot;&gt;&lt;/Field&gt;&lt;Field id=&quot;Type&quot;&gt;{041D4F77-279E-4405-0002-4388361B9CFF}&lt;/Field&gt;&lt;Field id=&quot;Version&quot;&gt;&lt;/Field&gt;&lt;Field id=&quot;Vol&quot;&gt;36&lt;/Field&gt;&lt;Field id=&quot;Author2&quot;&gt;Loosen,SH;Vucur,M;Trautwein,C;Roderburg,C;Luedde,T;&lt;/Field&gt;&lt;/Data&gt;&lt;Ref&gt;&lt;Display&gt;&lt;Text StringText=&quot;「RefIndex」&quot; StringTextOri=&quot;「RefIndex」&quot; SuperScript=&quot;true&quot;/&gt;&lt;/Display&gt;&lt;/Ref&gt;&lt;Doc&gt;&lt;Display&gt;&lt;Text StringText=&quot;Loosen SH, Vucur M, Trautwein C, Roderburg C, Luedde T&quot; StringGroup=&quot;Author&quot;/&gt;_x000d__x000a__x0009__x0009__x0009_&lt;Text StringText=&quot;. &quot; StringGroup=&quot;Author&quot;/&gt;_x000d__x000a__x0009__x0009__x0009_&lt;Text StringText=&quot;Circulating Biomarkers for Cholangiocarcinoma&quot; StringGroup=&quot;Title&quot;/&gt;_x000d__x000a__x0009__x0009__x0009_&lt;Text StringText=&quot;. &quot; StringGroup=&quot;Title&quot;/&gt;_x000d__x000a__x0009__x0009__x0009_&lt;Text StringText=&quot;Dig Dis&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36&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81-288&quot; StringGroup=&quot;PageNum&quot;/&gt;_x000d__x000a__x0009__x0009__x0009_&lt;Text StringText=&quot;.&quot; StringGroup=&quot;none&quot;/&gt;_x000d__x000a__x0009__x0009_&lt;/Display&gt;&lt;/Doc&gt;&lt;/KyMRNote&gt;"/>
    <w:docVar w:name="KY_MEDREF_DOCUID" w:val="{3699203A-2D9B-4266-8184-3B876D2828D6}"/>
    <w:docVar w:name="KY_MEDREF_VERSION" w:val="3"/>
    <w:docVar w:name="MachineID" w:val="204|203|197|186|201|197|190|187|197|202|189|197|204|200|197|201|187|"/>
    <w:docVar w:name="Username" w:val="Editor"/>
  </w:docVars>
  <w:rsids>
    <w:rsidRoot w:val="00172A27"/>
    <w:rsid w:val="0000674C"/>
    <w:rsid w:val="00011BC7"/>
    <w:rsid w:val="00015F7B"/>
    <w:rsid w:val="0001688C"/>
    <w:rsid w:val="0003085C"/>
    <w:rsid w:val="00030864"/>
    <w:rsid w:val="00036819"/>
    <w:rsid w:val="00037705"/>
    <w:rsid w:val="00041198"/>
    <w:rsid w:val="00047C20"/>
    <w:rsid w:val="00064A93"/>
    <w:rsid w:val="00072E1A"/>
    <w:rsid w:val="00076428"/>
    <w:rsid w:val="00077112"/>
    <w:rsid w:val="00077892"/>
    <w:rsid w:val="00082BBA"/>
    <w:rsid w:val="00082D68"/>
    <w:rsid w:val="000A2678"/>
    <w:rsid w:val="000A269F"/>
    <w:rsid w:val="000B0A1D"/>
    <w:rsid w:val="000C0A09"/>
    <w:rsid w:val="000C1ECA"/>
    <w:rsid w:val="000C227E"/>
    <w:rsid w:val="000C4A0B"/>
    <w:rsid w:val="000D2820"/>
    <w:rsid w:val="000D7CAA"/>
    <w:rsid w:val="000D7CDE"/>
    <w:rsid w:val="000E0FE9"/>
    <w:rsid w:val="000E328D"/>
    <w:rsid w:val="000E6EC8"/>
    <w:rsid w:val="000E74B1"/>
    <w:rsid w:val="000F32F7"/>
    <w:rsid w:val="000F3D5A"/>
    <w:rsid w:val="000F5376"/>
    <w:rsid w:val="0010101B"/>
    <w:rsid w:val="0010346D"/>
    <w:rsid w:val="00107E82"/>
    <w:rsid w:val="00110918"/>
    <w:rsid w:val="00112F39"/>
    <w:rsid w:val="00113B73"/>
    <w:rsid w:val="001157B3"/>
    <w:rsid w:val="00115B73"/>
    <w:rsid w:val="00120C64"/>
    <w:rsid w:val="00121CA4"/>
    <w:rsid w:val="00122AF4"/>
    <w:rsid w:val="001234E7"/>
    <w:rsid w:val="0012441E"/>
    <w:rsid w:val="00124FA3"/>
    <w:rsid w:val="00135F8D"/>
    <w:rsid w:val="00142C07"/>
    <w:rsid w:val="001437BE"/>
    <w:rsid w:val="001534A0"/>
    <w:rsid w:val="00154593"/>
    <w:rsid w:val="00157432"/>
    <w:rsid w:val="00167409"/>
    <w:rsid w:val="00170B67"/>
    <w:rsid w:val="00176A15"/>
    <w:rsid w:val="00191021"/>
    <w:rsid w:val="00193DC1"/>
    <w:rsid w:val="00197090"/>
    <w:rsid w:val="00197A4C"/>
    <w:rsid w:val="001A06A7"/>
    <w:rsid w:val="001A1553"/>
    <w:rsid w:val="001A2B00"/>
    <w:rsid w:val="001B69A1"/>
    <w:rsid w:val="001D1495"/>
    <w:rsid w:val="001D632C"/>
    <w:rsid w:val="001E0606"/>
    <w:rsid w:val="001E65D5"/>
    <w:rsid w:val="001E6876"/>
    <w:rsid w:val="001F52A5"/>
    <w:rsid w:val="001F541A"/>
    <w:rsid w:val="00200A60"/>
    <w:rsid w:val="00221746"/>
    <w:rsid w:val="00224880"/>
    <w:rsid w:val="0022792F"/>
    <w:rsid w:val="00242DC5"/>
    <w:rsid w:val="002561BA"/>
    <w:rsid w:val="00263C5B"/>
    <w:rsid w:val="002644AD"/>
    <w:rsid w:val="002751FE"/>
    <w:rsid w:val="002754E8"/>
    <w:rsid w:val="00277FDD"/>
    <w:rsid w:val="00280508"/>
    <w:rsid w:val="00281DBE"/>
    <w:rsid w:val="00295CC9"/>
    <w:rsid w:val="002969A5"/>
    <w:rsid w:val="002B39B2"/>
    <w:rsid w:val="002C4C97"/>
    <w:rsid w:val="002D1878"/>
    <w:rsid w:val="002D4A52"/>
    <w:rsid w:val="002E1AA5"/>
    <w:rsid w:val="002E4360"/>
    <w:rsid w:val="002E70C7"/>
    <w:rsid w:val="002F0042"/>
    <w:rsid w:val="002F640B"/>
    <w:rsid w:val="002F6E9A"/>
    <w:rsid w:val="00301531"/>
    <w:rsid w:val="00310214"/>
    <w:rsid w:val="00343803"/>
    <w:rsid w:val="00345892"/>
    <w:rsid w:val="0035318C"/>
    <w:rsid w:val="00360BD3"/>
    <w:rsid w:val="00366931"/>
    <w:rsid w:val="0037351C"/>
    <w:rsid w:val="00374C97"/>
    <w:rsid w:val="00375A04"/>
    <w:rsid w:val="00381136"/>
    <w:rsid w:val="00382CD2"/>
    <w:rsid w:val="00382FC4"/>
    <w:rsid w:val="003841B6"/>
    <w:rsid w:val="003903E4"/>
    <w:rsid w:val="00390D16"/>
    <w:rsid w:val="003A0028"/>
    <w:rsid w:val="003A4039"/>
    <w:rsid w:val="003A6416"/>
    <w:rsid w:val="003B2D8A"/>
    <w:rsid w:val="003B426A"/>
    <w:rsid w:val="003C3916"/>
    <w:rsid w:val="003C7E60"/>
    <w:rsid w:val="003D3BDA"/>
    <w:rsid w:val="003D7A43"/>
    <w:rsid w:val="003E0BF9"/>
    <w:rsid w:val="003E16BF"/>
    <w:rsid w:val="003E1DD3"/>
    <w:rsid w:val="003E2268"/>
    <w:rsid w:val="003E3C9F"/>
    <w:rsid w:val="003E57B7"/>
    <w:rsid w:val="003E63EC"/>
    <w:rsid w:val="003F0DEA"/>
    <w:rsid w:val="00402626"/>
    <w:rsid w:val="00403865"/>
    <w:rsid w:val="00406447"/>
    <w:rsid w:val="004118C0"/>
    <w:rsid w:val="00424539"/>
    <w:rsid w:val="00426448"/>
    <w:rsid w:val="004308CB"/>
    <w:rsid w:val="00431099"/>
    <w:rsid w:val="0043631B"/>
    <w:rsid w:val="00437C86"/>
    <w:rsid w:val="00443EB6"/>
    <w:rsid w:val="004447F0"/>
    <w:rsid w:val="00444DC7"/>
    <w:rsid w:val="00445B5B"/>
    <w:rsid w:val="004462F1"/>
    <w:rsid w:val="004530BE"/>
    <w:rsid w:val="004548C9"/>
    <w:rsid w:val="00466E26"/>
    <w:rsid w:val="00471614"/>
    <w:rsid w:val="00472E6C"/>
    <w:rsid w:val="0047434D"/>
    <w:rsid w:val="00474F53"/>
    <w:rsid w:val="00484DE9"/>
    <w:rsid w:val="004870E2"/>
    <w:rsid w:val="004900F1"/>
    <w:rsid w:val="0049145F"/>
    <w:rsid w:val="004A08E6"/>
    <w:rsid w:val="004A3DA0"/>
    <w:rsid w:val="004A3E09"/>
    <w:rsid w:val="004A4324"/>
    <w:rsid w:val="004A52B4"/>
    <w:rsid w:val="004A62C8"/>
    <w:rsid w:val="004B18C8"/>
    <w:rsid w:val="004C0566"/>
    <w:rsid w:val="004C11A9"/>
    <w:rsid w:val="004C2159"/>
    <w:rsid w:val="004C3209"/>
    <w:rsid w:val="004C5493"/>
    <w:rsid w:val="004D724C"/>
    <w:rsid w:val="004E1E85"/>
    <w:rsid w:val="004E4063"/>
    <w:rsid w:val="004E4737"/>
    <w:rsid w:val="004E7DF4"/>
    <w:rsid w:val="004F0984"/>
    <w:rsid w:val="004F51BB"/>
    <w:rsid w:val="00500114"/>
    <w:rsid w:val="0050093F"/>
    <w:rsid w:val="005045F4"/>
    <w:rsid w:val="00506454"/>
    <w:rsid w:val="00506CA9"/>
    <w:rsid w:val="005106D4"/>
    <w:rsid w:val="00511BB0"/>
    <w:rsid w:val="005137F2"/>
    <w:rsid w:val="0051569E"/>
    <w:rsid w:val="0051793D"/>
    <w:rsid w:val="005319CA"/>
    <w:rsid w:val="00535452"/>
    <w:rsid w:val="005407C0"/>
    <w:rsid w:val="005418DF"/>
    <w:rsid w:val="00546A29"/>
    <w:rsid w:val="0056158D"/>
    <w:rsid w:val="00561794"/>
    <w:rsid w:val="00563F15"/>
    <w:rsid w:val="00567520"/>
    <w:rsid w:val="00567D1A"/>
    <w:rsid w:val="005712D8"/>
    <w:rsid w:val="00571898"/>
    <w:rsid w:val="005741F5"/>
    <w:rsid w:val="005749DE"/>
    <w:rsid w:val="00574E47"/>
    <w:rsid w:val="005754EE"/>
    <w:rsid w:val="00586EBC"/>
    <w:rsid w:val="00591512"/>
    <w:rsid w:val="005967B0"/>
    <w:rsid w:val="005A04C4"/>
    <w:rsid w:val="005A44ED"/>
    <w:rsid w:val="005B2355"/>
    <w:rsid w:val="005B2482"/>
    <w:rsid w:val="005B2CC9"/>
    <w:rsid w:val="005B6D15"/>
    <w:rsid w:val="005C1B8C"/>
    <w:rsid w:val="005D314D"/>
    <w:rsid w:val="005D765E"/>
    <w:rsid w:val="005D7771"/>
    <w:rsid w:val="005D7B21"/>
    <w:rsid w:val="005E1478"/>
    <w:rsid w:val="005E3157"/>
    <w:rsid w:val="005E6C90"/>
    <w:rsid w:val="005F435B"/>
    <w:rsid w:val="00601F3B"/>
    <w:rsid w:val="00606718"/>
    <w:rsid w:val="0061471C"/>
    <w:rsid w:val="00616019"/>
    <w:rsid w:val="006164F9"/>
    <w:rsid w:val="006172B6"/>
    <w:rsid w:val="00621D18"/>
    <w:rsid w:val="00626712"/>
    <w:rsid w:val="0063424B"/>
    <w:rsid w:val="006356C4"/>
    <w:rsid w:val="00635A51"/>
    <w:rsid w:val="00636E1F"/>
    <w:rsid w:val="00637372"/>
    <w:rsid w:val="00640AC2"/>
    <w:rsid w:val="00644698"/>
    <w:rsid w:val="00651A70"/>
    <w:rsid w:val="0066354D"/>
    <w:rsid w:val="00664769"/>
    <w:rsid w:val="006665AA"/>
    <w:rsid w:val="0067069E"/>
    <w:rsid w:val="00670802"/>
    <w:rsid w:val="00671F58"/>
    <w:rsid w:val="00672911"/>
    <w:rsid w:val="00681269"/>
    <w:rsid w:val="00687C21"/>
    <w:rsid w:val="00687C4E"/>
    <w:rsid w:val="006A0970"/>
    <w:rsid w:val="006A18AD"/>
    <w:rsid w:val="006A1974"/>
    <w:rsid w:val="006A389B"/>
    <w:rsid w:val="006A50B6"/>
    <w:rsid w:val="006B62B9"/>
    <w:rsid w:val="006C2A43"/>
    <w:rsid w:val="006C3A9B"/>
    <w:rsid w:val="006C659E"/>
    <w:rsid w:val="006D24A4"/>
    <w:rsid w:val="006D365A"/>
    <w:rsid w:val="006D40AD"/>
    <w:rsid w:val="006E5A82"/>
    <w:rsid w:val="006F56DF"/>
    <w:rsid w:val="00706EEA"/>
    <w:rsid w:val="00720257"/>
    <w:rsid w:val="007266C2"/>
    <w:rsid w:val="007331A6"/>
    <w:rsid w:val="00734CB9"/>
    <w:rsid w:val="00734FAE"/>
    <w:rsid w:val="00736B77"/>
    <w:rsid w:val="007379B7"/>
    <w:rsid w:val="00746AE5"/>
    <w:rsid w:val="00753501"/>
    <w:rsid w:val="0075472D"/>
    <w:rsid w:val="00754C9F"/>
    <w:rsid w:val="007675E0"/>
    <w:rsid w:val="00767821"/>
    <w:rsid w:val="00775EC9"/>
    <w:rsid w:val="0078385A"/>
    <w:rsid w:val="00786F6C"/>
    <w:rsid w:val="007910B5"/>
    <w:rsid w:val="0079352B"/>
    <w:rsid w:val="007939C4"/>
    <w:rsid w:val="007A1CE7"/>
    <w:rsid w:val="007A2625"/>
    <w:rsid w:val="007A3AA6"/>
    <w:rsid w:val="007B0F1A"/>
    <w:rsid w:val="007B23B8"/>
    <w:rsid w:val="007B46F1"/>
    <w:rsid w:val="007C01DC"/>
    <w:rsid w:val="007C1622"/>
    <w:rsid w:val="007C4214"/>
    <w:rsid w:val="007C592C"/>
    <w:rsid w:val="007E032C"/>
    <w:rsid w:val="007E7E75"/>
    <w:rsid w:val="008045AA"/>
    <w:rsid w:val="00807480"/>
    <w:rsid w:val="00821947"/>
    <w:rsid w:val="00824031"/>
    <w:rsid w:val="008247FE"/>
    <w:rsid w:val="00825067"/>
    <w:rsid w:val="00825F1F"/>
    <w:rsid w:val="008323EC"/>
    <w:rsid w:val="00833189"/>
    <w:rsid w:val="0083399F"/>
    <w:rsid w:val="00835A4B"/>
    <w:rsid w:val="00835DED"/>
    <w:rsid w:val="00844A86"/>
    <w:rsid w:val="0084563B"/>
    <w:rsid w:val="00863502"/>
    <w:rsid w:val="0086405E"/>
    <w:rsid w:val="0086483E"/>
    <w:rsid w:val="00864B37"/>
    <w:rsid w:val="008657CA"/>
    <w:rsid w:val="00865E2E"/>
    <w:rsid w:val="00866381"/>
    <w:rsid w:val="00871D81"/>
    <w:rsid w:val="00872BBD"/>
    <w:rsid w:val="00881067"/>
    <w:rsid w:val="008865A0"/>
    <w:rsid w:val="008974F4"/>
    <w:rsid w:val="008A2563"/>
    <w:rsid w:val="008B0C57"/>
    <w:rsid w:val="008B5ABA"/>
    <w:rsid w:val="008B5F11"/>
    <w:rsid w:val="008C43F6"/>
    <w:rsid w:val="008D176F"/>
    <w:rsid w:val="008D3899"/>
    <w:rsid w:val="008D4281"/>
    <w:rsid w:val="008D6149"/>
    <w:rsid w:val="008E067E"/>
    <w:rsid w:val="008E50B4"/>
    <w:rsid w:val="008E57C5"/>
    <w:rsid w:val="008E6849"/>
    <w:rsid w:val="008F05C5"/>
    <w:rsid w:val="009042DC"/>
    <w:rsid w:val="00907F68"/>
    <w:rsid w:val="00911D86"/>
    <w:rsid w:val="00913263"/>
    <w:rsid w:val="00913DE6"/>
    <w:rsid w:val="009162B5"/>
    <w:rsid w:val="00943722"/>
    <w:rsid w:val="00961131"/>
    <w:rsid w:val="009762A4"/>
    <w:rsid w:val="009852C5"/>
    <w:rsid w:val="00985C21"/>
    <w:rsid w:val="00987A54"/>
    <w:rsid w:val="009A7322"/>
    <w:rsid w:val="009B5D17"/>
    <w:rsid w:val="009D0ECF"/>
    <w:rsid w:val="009D1AA6"/>
    <w:rsid w:val="009D2A75"/>
    <w:rsid w:val="009E1F46"/>
    <w:rsid w:val="009E527F"/>
    <w:rsid w:val="009E5F9F"/>
    <w:rsid w:val="009E7B7E"/>
    <w:rsid w:val="009F79C9"/>
    <w:rsid w:val="009F7BA6"/>
    <w:rsid w:val="00A0377B"/>
    <w:rsid w:val="00A101CA"/>
    <w:rsid w:val="00A12199"/>
    <w:rsid w:val="00A14B71"/>
    <w:rsid w:val="00A15603"/>
    <w:rsid w:val="00A15C87"/>
    <w:rsid w:val="00A22B40"/>
    <w:rsid w:val="00A326F9"/>
    <w:rsid w:val="00A37A90"/>
    <w:rsid w:val="00A4749F"/>
    <w:rsid w:val="00A51DA8"/>
    <w:rsid w:val="00A520BE"/>
    <w:rsid w:val="00A6517F"/>
    <w:rsid w:val="00A81746"/>
    <w:rsid w:val="00A86C8E"/>
    <w:rsid w:val="00A93382"/>
    <w:rsid w:val="00AA160D"/>
    <w:rsid w:val="00AB2919"/>
    <w:rsid w:val="00AB44EF"/>
    <w:rsid w:val="00AC3170"/>
    <w:rsid w:val="00AD3C26"/>
    <w:rsid w:val="00AD5841"/>
    <w:rsid w:val="00AD69FF"/>
    <w:rsid w:val="00AE0042"/>
    <w:rsid w:val="00AF19F6"/>
    <w:rsid w:val="00AF39F5"/>
    <w:rsid w:val="00AF41EB"/>
    <w:rsid w:val="00B01D99"/>
    <w:rsid w:val="00B04829"/>
    <w:rsid w:val="00B05D88"/>
    <w:rsid w:val="00B06EDE"/>
    <w:rsid w:val="00B075FC"/>
    <w:rsid w:val="00B169FF"/>
    <w:rsid w:val="00B31531"/>
    <w:rsid w:val="00B37B49"/>
    <w:rsid w:val="00B41473"/>
    <w:rsid w:val="00B4243B"/>
    <w:rsid w:val="00B44099"/>
    <w:rsid w:val="00B504C2"/>
    <w:rsid w:val="00B5229E"/>
    <w:rsid w:val="00B55432"/>
    <w:rsid w:val="00B55923"/>
    <w:rsid w:val="00B6399E"/>
    <w:rsid w:val="00B64652"/>
    <w:rsid w:val="00B70A91"/>
    <w:rsid w:val="00B87C68"/>
    <w:rsid w:val="00B91C65"/>
    <w:rsid w:val="00B92A8C"/>
    <w:rsid w:val="00B97D29"/>
    <w:rsid w:val="00BA1052"/>
    <w:rsid w:val="00BA208C"/>
    <w:rsid w:val="00BA6F1B"/>
    <w:rsid w:val="00BB049A"/>
    <w:rsid w:val="00BB39AB"/>
    <w:rsid w:val="00BC1878"/>
    <w:rsid w:val="00BC7519"/>
    <w:rsid w:val="00BC76E9"/>
    <w:rsid w:val="00BD0B28"/>
    <w:rsid w:val="00BE7E65"/>
    <w:rsid w:val="00BE7FAE"/>
    <w:rsid w:val="00BF4C7C"/>
    <w:rsid w:val="00BF4FB0"/>
    <w:rsid w:val="00C004E9"/>
    <w:rsid w:val="00C136FA"/>
    <w:rsid w:val="00C14D0C"/>
    <w:rsid w:val="00C328CA"/>
    <w:rsid w:val="00C34C3F"/>
    <w:rsid w:val="00C40F45"/>
    <w:rsid w:val="00C44BAB"/>
    <w:rsid w:val="00C44ED1"/>
    <w:rsid w:val="00C46947"/>
    <w:rsid w:val="00C50A26"/>
    <w:rsid w:val="00C639BD"/>
    <w:rsid w:val="00C65209"/>
    <w:rsid w:val="00C75D76"/>
    <w:rsid w:val="00C775C3"/>
    <w:rsid w:val="00C8380B"/>
    <w:rsid w:val="00C8550C"/>
    <w:rsid w:val="00C85F7E"/>
    <w:rsid w:val="00C86439"/>
    <w:rsid w:val="00C91A8A"/>
    <w:rsid w:val="00C94161"/>
    <w:rsid w:val="00C942B9"/>
    <w:rsid w:val="00CA173A"/>
    <w:rsid w:val="00CA4842"/>
    <w:rsid w:val="00CA539B"/>
    <w:rsid w:val="00CB0D94"/>
    <w:rsid w:val="00CB3789"/>
    <w:rsid w:val="00CB3D35"/>
    <w:rsid w:val="00CD7C55"/>
    <w:rsid w:val="00CE16C0"/>
    <w:rsid w:val="00CF7416"/>
    <w:rsid w:val="00D00586"/>
    <w:rsid w:val="00D1403D"/>
    <w:rsid w:val="00D160F9"/>
    <w:rsid w:val="00D2321D"/>
    <w:rsid w:val="00D259B6"/>
    <w:rsid w:val="00D3359D"/>
    <w:rsid w:val="00D33BE0"/>
    <w:rsid w:val="00D446BF"/>
    <w:rsid w:val="00D44D83"/>
    <w:rsid w:val="00D541A9"/>
    <w:rsid w:val="00D55C5B"/>
    <w:rsid w:val="00D661A9"/>
    <w:rsid w:val="00D741DF"/>
    <w:rsid w:val="00D8280A"/>
    <w:rsid w:val="00D86A41"/>
    <w:rsid w:val="00D92D26"/>
    <w:rsid w:val="00D96B9E"/>
    <w:rsid w:val="00DA0024"/>
    <w:rsid w:val="00DA668C"/>
    <w:rsid w:val="00DB6EC3"/>
    <w:rsid w:val="00DC3228"/>
    <w:rsid w:val="00DC3DA3"/>
    <w:rsid w:val="00DC4815"/>
    <w:rsid w:val="00DC4B41"/>
    <w:rsid w:val="00DD1A5D"/>
    <w:rsid w:val="00DD6915"/>
    <w:rsid w:val="00DE484B"/>
    <w:rsid w:val="00E01F66"/>
    <w:rsid w:val="00E02697"/>
    <w:rsid w:val="00E03C54"/>
    <w:rsid w:val="00E14080"/>
    <w:rsid w:val="00E1767D"/>
    <w:rsid w:val="00E24694"/>
    <w:rsid w:val="00E26BFE"/>
    <w:rsid w:val="00E2788D"/>
    <w:rsid w:val="00E44FE8"/>
    <w:rsid w:val="00E56CB8"/>
    <w:rsid w:val="00E60A75"/>
    <w:rsid w:val="00E615DD"/>
    <w:rsid w:val="00E63F9C"/>
    <w:rsid w:val="00E67E56"/>
    <w:rsid w:val="00E8122D"/>
    <w:rsid w:val="00E818CB"/>
    <w:rsid w:val="00E90B30"/>
    <w:rsid w:val="00E948B9"/>
    <w:rsid w:val="00EA1A83"/>
    <w:rsid w:val="00EA3972"/>
    <w:rsid w:val="00EA6E75"/>
    <w:rsid w:val="00EA713C"/>
    <w:rsid w:val="00EA7316"/>
    <w:rsid w:val="00EA7DAC"/>
    <w:rsid w:val="00EA7FBE"/>
    <w:rsid w:val="00EB26A9"/>
    <w:rsid w:val="00EB797E"/>
    <w:rsid w:val="00EC0322"/>
    <w:rsid w:val="00EC0EEF"/>
    <w:rsid w:val="00EC11E1"/>
    <w:rsid w:val="00EC19AB"/>
    <w:rsid w:val="00EC76B2"/>
    <w:rsid w:val="00ED7B58"/>
    <w:rsid w:val="00EE2B69"/>
    <w:rsid w:val="00EE4EE4"/>
    <w:rsid w:val="00EF0019"/>
    <w:rsid w:val="00EF2A61"/>
    <w:rsid w:val="00F05E9E"/>
    <w:rsid w:val="00F07397"/>
    <w:rsid w:val="00F11CC1"/>
    <w:rsid w:val="00F136C5"/>
    <w:rsid w:val="00F21EDD"/>
    <w:rsid w:val="00F347BC"/>
    <w:rsid w:val="00F41968"/>
    <w:rsid w:val="00F428A4"/>
    <w:rsid w:val="00F60432"/>
    <w:rsid w:val="00F628B0"/>
    <w:rsid w:val="00F66176"/>
    <w:rsid w:val="00F7070E"/>
    <w:rsid w:val="00F70888"/>
    <w:rsid w:val="00F72F7E"/>
    <w:rsid w:val="00F759AF"/>
    <w:rsid w:val="00F772FD"/>
    <w:rsid w:val="00F80262"/>
    <w:rsid w:val="00F82BF2"/>
    <w:rsid w:val="00F85C1C"/>
    <w:rsid w:val="00FA6A23"/>
    <w:rsid w:val="00FA7DC7"/>
    <w:rsid w:val="00FB4D84"/>
    <w:rsid w:val="00FC35EE"/>
    <w:rsid w:val="00FC4B49"/>
    <w:rsid w:val="00FC73B9"/>
    <w:rsid w:val="00FD2965"/>
    <w:rsid w:val="00FE2694"/>
    <w:rsid w:val="00FE2E4B"/>
    <w:rsid w:val="00FF1167"/>
    <w:rsid w:val="01142F7C"/>
    <w:rsid w:val="01727D9B"/>
    <w:rsid w:val="017B7728"/>
    <w:rsid w:val="01B910B8"/>
    <w:rsid w:val="0210374D"/>
    <w:rsid w:val="0219172A"/>
    <w:rsid w:val="02491911"/>
    <w:rsid w:val="024F7D78"/>
    <w:rsid w:val="02841838"/>
    <w:rsid w:val="02A76655"/>
    <w:rsid w:val="02DD7E77"/>
    <w:rsid w:val="02FC5E0D"/>
    <w:rsid w:val="03066CE1"/>
    <w:rsid w:val="030F03D2"/>
    <w:rsid w:val="031C7C63"/>
    <w:rsid w:val="0338539A"/>
    <w:rsid w:val="034B49D4"/>
    <w:rsid w:val="03637660"/>
    <w:rsid w:val="03696AFB"/>
    <w:rsid w:val="03BC5AB7"/>
    <w:rsid w:val="03E2004B"/>
    <w:rsid w:val="04016952"/>
    <w:rsid w:val="04076CCA"/>
    <w:rsid w:val="042E72D5"/>
    <w:rsid w:val="04322C10"/>
    <w:rsid w:val="04480D3F"/>
    <w:rsid w:val="04EC585C"/>
    <w:rsid w:val="04FA773A"/>
    <w:rsid w:val="04FD77A0"/>
    <w:rsid w:val="05066876"/>
    <w:rsid w:val="051E32B9"/>
    <w:rsid w:val="05535D41"/>
    <w:rsid w:val="056C2A59"/>
    <w:rsid w:val="05835042"/>
    <w:rsid w:val="05A54535"/>
    <w:rsid w:val="05E52194"/>
    <w:rsid w:val="05F224E3"/>
    <w:rsid w:val="05F858E6"/>
    <w:rsid w:val="060C328F"/>
    <w:rsid w:val="0610374F"/>
    <w:rsid w:val="061F1F49"/>
    <w:rsid w:val="066D399C"/>
    <w:rsid w:val="06C86C49"/>
    <w:rsid w:val="06DD3CFE"/>
    <w:rsid w:val="07104AC0"/>
    <w:rsid w:val="07277313"/>
    <w:rsid w:val="07281232"/>
    <w:rsid w:val="072A19D3"/>
    <w:rsid w:val="073B2F58"/>
    <w:rsid w:val="07521402"/>
    <w:rsid w:val="075E0DE9"/>
    <w:rsid w:val="077229B8"/>
    <w:rsid w:val="07985CCD"/>
    <w:rsid w:val="07CA7B15"/>
    <w:rsid w:val="080619CE"/>
    <w:rsid w:val="08630E6A"/>
    <w:rsid w:val="088F33A8"/>
    <w:rsid w:val="08A40719"/>
    <w:rsid w:val="08A611F1"/>
    <w:rsid w:val="08B22EDA"/>
    <w:rsid w:val="08BB2B2A"/>
    <w:rsid w:val="08CB04BC"/>
    <w:rsid w:val="08E27F99"/>
    <w:rsid w:val="08F71622"/>
    <w:rsid w:val="0936416B"/>
    <w:rsid w:val="093B135D"/>
    <w:rsid w:val="093E02D7"/>
    <w:rsid w:val="094E225C"/>
    <w:rsid w:val="096D24F4"/>
    <w:rsid w:val="09840AB7"/>
    <w:rsid w:val="09CF55A5"/>
    <w:rsid w:val="09E35CD7"/>
    <w:rsid w:val="09E90287"/>
    <w:rsid w:val="0A0148B2"/>
    <w:rsid w:val="0A4B2072"/>
    <w:rsid w:val="0A7D52D9"/>
    <w:rsid w:val="0ABF6AB3"/>
    <w:rsid w:val="0AD02629"/>
    <w:rsid w:val="0AEF77FA"/>
    <w:rsid w:val="0B0A679F"/>
    <w:rsid w:val="0B16587B"/>
    <w:rsid w:val="0B4C3A18"/>
    <w:rsid w:val="0B533F75"/>
    <w:rsid w:val="0B5B24D7"/>
    <w:rsid w:val="0B6E19EA"/>
    <w:rsid w:val="0B9449D5"/>
    <w:rsid w:val="0BBA49EE"/>
    <w:rsid w:val="0BF73ED2"/>
    <w:rsid w:val="0C077486"/>
    <w:rsid w:val="0C156DEB"/>
    <w:rsid w:val="0C427DA5"/>
    <w:rsid w:val="0C501229"/>
    <w:rsid w:val="0C73051A"/>
    <w:rsid w:val="0CD327B3"/>
    <w:rsid w:val="0CD74A1E"/>
    <w:rsid w:val="0D015C8F"/>
    <w:rsid w:val="0D1809ED"/>
    <w:rsid w:val="0D567585"/>
    <w:rsid w:val="0D7C4952"/>
    <w:rsid w:val="0D881ED1"/>
    <w:rsid w:val="0DC45D8A"/>
    <w:rsid w:val="0DD460A3"/>
    <w:rsid w:val="0DFD64BB"/>
    <w:rsid w:val="0E470A69"/>
    <w:rsid w:val="0E696B12"/>
    <w:rsid w:val="0E6B1A3B"/>
    <w:rsid w:val="0E774774"/>
    <w:rsid w:val="0E9F188D"/>
    <w:rsid w:val="0EBB720B"/>
    <w:rsid w:val="0F1A0F93"/>
    <w:rsid w:val="0F2A5EB2"/>
    <w:rsid w:val="0F367070"/>
    <w:rsid w:val="0F422658"/>
    <w:rsid w:val="0F666E0A"/>
    <w:rsid w:val="0F6B3709"/>
    <w:rsid w:val="0F714A0C"/>
    <w:rsid w:val="0F9615AC"/>
    <w:rsid w:val="0FEA6083"/>
    <w:rsid w:val="101542BA"/>
    <w:rsid w:val="10420129"/>
    <w:rsid w:val="104B5052"/>
    <w:rsid w:val="10CB6A9A"/>
    <w:rsid w:val="10D84CE8"/>
    <w:rsid w:val="10E945D5"/>
    <w:rsid w:val="10F356A5"/>
    <w:rsid w:val="11A425D4"/>
    <w:rsid w:val="11A73006"/>
    <w:rsid w:val="11B4434C"/>
    <w:rsid w:val="11C02254"/>
    <w:rsid w:val="11D22220"/>
    <w:rsid w:val="11EB395C"/>
    <w:rsid w:val="124A7919"/>
    <w:rsid w:val="129D5912"/>
    <w:rsid w:val="12AF3128"/>
    <w:rsid w:val="12CB2D43"/>
    <w:rsid w:val="12E46BB4"/>
    <w:rsid w:val="131E18FF"/>
    <w:rsid w:val="13204248"/>
    <w:rsid w:val="135045CE"/>
    <w:rsid w:val="138901B2"/>
    <w:rsid w:val="1391741A"/>
    <w:rsid w:val="13C673CB"/>
    <w:rsid w:val="13FC4960"/>
    <w:rsid w:val="142439AA"/>
    <w:rsid w:val="143623A0"/>
    <w:rsid w:val="143B0419"/>
    <w:rsid w:val="14727D7E"/>
    <w:rsid w:val="14953FC0"/>
    <w:rsid w:val="14B93062"/>
    <w:rsid w:val="14BE1CDF"/>
    <w:rsid w:val="152B0171"/>
    <w:rsid w:val="15403FF9"/>
    <w:rsid w:val="155619B6"/>
    <w:rsid w:val="155F3C05"/>
    <w:rsid w:val="156A558D"/>
    <w:rsid w:val="156C0438"/>
    <w:rsid w:val="157C3CD9"/>
    <w:rsid w:val="15BE7DF3"/>
    <w:rsid w:val="15D4743A"/>
    <w:rsid w:val="15E34FC5"/>
    <w:rsid w:val="15FD44D0"/>
    <w:rsid w:val="16053DA1"/>
    <w:rsid w:val="161B2501"/>
    <w:rsid w:val="161F0AA2"/>
    <w:rsid w:val="16310DC3"/>
    <w:rsid w:val="1698283C"/>
    <w:rsid w:val="16A629A4"/>
    <w:rsid w:val="170E353F"/>
    <w:rsid w:val="17307618"/>
    <w:rsid w:val="177638D2"/>
    <w:rsid w:val="179273D5"/>
    <w:rsid w:val="17B22539"/>
    <w:rsid w:val="17BB03B6"/>
    <w:rsid w:val="185F572D"/>
    <w:rsid w:val="1890337F"/>
    <w:rsid w:val="18F45EA0"/>
    <w:rsid w:val="1914641C"/>
    <w:rsid w:val="195409B3"/>
    <w:rsid w:val="19A51015"/>
    <w:rsid w:val="19BB62F9"/>
    <w:rsid w:val="19C6109A"/>
    <w:rsid w:val="19C80DD9"/>
    <w:rsid w:val="19EE3FC0"/>
    <w:rsid w:val="1A363860"/>
    <w:rsid w:val="1A6A1821"/>
    <w:rsid w:val="1AC57DC0"/>
    <w:rsid w:val="1B780644"/>
    <w:rsid w:val="1BB55DDA"/>
    <w:rsid w:val="1BD222D2"/>
    <w:rsid w:val="1BF35380"/>
    <w:rsid w:val="1BF5540C"/>
    <w:rsid w:val="1C1405AC"/>
    <w:rsid w:val="1C1D5589"/>
    <w:rsid w:val="1C451D7C"/>
    <w:rsid w:val="1C481B4C"/>
    <w:rsid w:val="1C5F1055"/>
    <w:rsid w:val="1CAE42F6"/>
    <w:rsid w:val="1CD35808"/>
    <w:rsid w:val="1CE33BDE"/>
    <w:rsid w:val="1CFD621F"/>
    <w:rsid w:val="1CFE6E8D"/>
    <w:rsid w:val="1E02454B"/>
    <w:rsid w:val="1E1958E6"/>
    <w:rsid w:val="1E1F6AA2"/>
    <w:rsid w:val="1E2D212E"/>
    <w:rsid w:val="1E496703"/>
    <w:rsid w:val="1E7610C1"/>
    <w:rsid w:val="1E8E29A5"/>
    <w:rsid w:val="1EBE1A6E"/>
    <w:rsid w:val="1ED9317E"/>
    <w:rsid w:val="1EE63AB4"/>
    <w:rsid w:val="1EEA7D38"/>
    <w:rsid w:val="1EF203A6"/>
    <w:rsid w:val="1F083C83"/>
    <w:rsid w:val="1F6E16FD"/>
    <w:rsid w:val="1FCE686F"/>
    <w:rsid w:val="1FEC7CEE"/>
    <w:rsid w:val="1FFF1AEF"/>
    <w:rsid w:val="20185FDA"/>
    <w:rsid w:val="207D1D34"/>
    <w:rsid w:val="20AA67E9"/>
    <w:rsid w:val="20C200E7"/>
    <w:rsid w:val="20E8061E"/>
    <w:rsid w:val="210558FA"/>
    <w:rsid w:val="21121703"/>
    <w:rsid w:val="218C4372"/>
    <w:rsid w:val="218C528A"/>
    <w:rsid w:val="21D2173C"/>
    <w:rsid w:val="21F1688D"/>
    <w:rsid w:val="221D6E83"/>
    <w:rsid w:val="224A206A"/>
    <w:rsid w:val="22701040"/>
    <w:rsid w:val="22A43247"/>
    <w:rsid w:val="22D87AA0"/>
    <w:rsid w:val="22DF5899"/>
    <w:rsid w:val="22EA5072"/>
    <w:rsid w:val="2308406F"/>
    <w:rsid w:val="234623CD"/>
    <w:rsid w:val="234D6ADB"/>
    <w:rsid w:val="23534334"/>
    <w:rsid w:val="238627F8"/>
    <w:rsid w:val="2393384D"/>
    <w:rsid w:val="239916CF"/>
    <w:rsid w:val="23BA7EA5"/>
    <w:rsid w:val="243A4638"/>
    <w:rsid w:val="24546E57"/>
    <w:rsid w:val="24724FB4"/>
    <w:rsid w:val="247D4F17"/>
    <w:rsid w:val="248B193F"/>
    <w:rsid w:val="249B356A"/>
    <w:rsid w:val="24BF4E04"/>
    <w:rsid w:val="256B208D"/>
    <w:rsid w:val="25D023E8"/>
    <w:rsid w:val="25E66A47"/>
    <w:rsid w:val="261559CE"/>
    <w:rsid w:val="262853DF"/>
    <w:rsid w:val="26503610"/>
    <w:rsid w:val="268F3645"/>
    <w:rsid w:val="26BA4CEB"/>
    <w:rsid w:val="26DD35FC"/>
    <w:rsid w:val="26E13215"/>
    <w:rsid w:val="26E762D8"/>
    <w:rsid w:val="26E975C9"/>
    <w:rsid w:val="26F15B83"/>
    <w:rsid w:val="26FC3CDA"/>
    <w:rsid w:val="275E3C34"/>
    <w:rsid w:val="276A5190"/>
    <w:rsid w:val="27805684"/>
    <w:rsid w:val="27BE78D4"/>
    <w:rsid w:val="27D849FA"/>
    <w:rsid w:val="27DF5267"/>
    <w:rsid w:val="27F0549E"/>
    <w:rsid w:val="28126E12"/>
    <w:rsid w:val="28272866"/>
    <w:rsid w:val="28370962"/>
    <w:rsid w:val="28471B46"/>
    <w:rsid w:val="286942BD"/>
    <w:rsid w:val="28A06B77"/>
    <w:rsid w:val="28A6710F"/>
    <w:rsid w:val="28AC461D"/>
    <w:rsid w:val="28B14FE4"/>
    <w:rsid w:val="29377A41"/>
    <w:rsid w:val="2971523A"/>
    <w:rsid w:val="29751474"/>
    <w:rsid w:val="29B85289"/>
    <w:rsid w:val="29BD0969"/>
    <w:rsid w:val="29FE38AF"/>
    <w:rsid w:val="2A190DB9"/>
    <w:rsid w:val="2A3845A1"/>
    <w:rsid w:val="2A435C21"/>
    <w:rsid w:val="2A5F5BA6"/>
    <w:rsid w:val="2A94180A"/>
    <w:rsid w:val="2AB664CB"/>
    <w:rsid w:val="2ABC52F5"/>
    <w:rsid w:val="2ADE473E"/>
    <w:rsid w:val="2B0222D4"/>
    <w:rsid w:val="2B1B5452"/>
    <w:rsid w:val="2B4B047F"/>
    <w:rsid w:val="2B846180"/>
    <w:rsid w:val="2BEC60FE"/>
    <w:rsid w:val="2C357DD2"/>
    <w:rsid w:val="2C854272"/>
    <w:rsid w:val="2C8A4DE7"/>
    <w:rsid w:val="2CAB7F81"/>
    <w:rsid w:val="2D0654B1"/>
    <w:rsid w:val="2D0F1A42"/>
    <w:rsid w:val="2D4E4DA2"/>
    <w:rsid w:val="2D8333B0"/>
    <w:rsid w:val="2D8D7CA9"/>
    <w:rsid w:val="2D9B3D52"/>
    <w:rsid w:val="2DBA16FD"/>
    <w:rsid w:val="2DEB4B4F"/>
    <w:rsid w:val="2E1F4309"/>
    <w:rsid w:val="2E765FB1"/>
    <w:rsid w:val="2E7875AA"/>
    <w:rsid w:val="2E916118"/>
    <w:rsid w:val="2EAC4189"/>
    <w:rsid w:val="2EC76CB5"/>
    <w:rsid w:val="2F3036F9"/>
    <w:rsid w:val="2F4E4A86"/>
    <w:rsid w:val="2F56015C"/>
    <w:rsid w:val="2F78118A"/>
    <w:rsid w:val="2FB243B4"/>
    <w:rsid w:val="2FB356E8"/>
    <w:rsid w:val="2FDB6A9D"/>
    <w:rsid w:val="2FED5EE1"/>
    <w:rsid w:val="2FEF3CB7"/>
    <w:rsid w:val="2FF936FB"/>
    <w:rsid w:val="30043B12"/>
    <w:rsid w:val="302073FD"/>
    <w:rsid w:val="30337742"/>
    <w:rsid w:val="304348A3"/>
    <w:rsid w:val="305B1EE4"/>
    <w:rsid w:val="30807C57"/>
    <w:rsid w:val="30F53B7C"/>
    <w:rsid w:val="30FA55CE"/>
    <w:rsid w:val="315C6A4D"/>
    <w:rsid w:val="319247A0"/>
    <w:rsid w:val="31983139"/>
    <w:rsid w:val="319C1263"/>
    <w:rsid w:val="31C5099A"/>
    <w:rsid w:val="31CA12C8"/>
    <w:rsid w:val="32047B51"/>
    <w:rsid w:val="3213597B"/>
    <w:rsid w:val="322F121B"/>
    <w:rsid w:val="32620CF1"/>
    <w:rsid w:val="32A13B43"/>
    <w:rsid w:val="33095564"/>
    <w:rsid w:val="33340D02"/>
    <w:rsid w:val="333918D7"/>
    <w:rsid w:val="334B1D21"/>
    <w:rsid w:val="334C778C"/>
    <w:rsid w:val="33665D5C"/>
    <w:rsid w:val="33757370"/>
    <w:rsid w:val="33A61BCB"/>
    <w:rsid w:val="33A75117"/>
    <w:rsid w:val="33BC4FDA"/>
    <w:rsid w:val="342800E9"/>
    <w:rsid w:val="342A6E73"/>
    <w:rsid w:val="34347400"/>
    <w:rsid w:val="34444B8A"/>
    <w:rsid w:val="34555F00"/>
    <w:rsid w:val="34726F98"/>
    <w:rsid w:val="34AA42E2"/>
    <w:rsid w:val="34D26AD5"/>
    <w:rsid w:val="34E352CE"/>
    <w:rsid w:val="34F40A83"/>
    <w:rsid w:val="352E5B03"/>
    <w:rsid w:val="354C2B82"/>
    <w:rsid w:val="355F323F"/>
    <w:rsid w:val="35611841"/>
    <w:rsid w:val="357417DC"/>
    <w:rsid w:val="35791021"/>
    <w:rsid w:val="358A5F1D"/>
    <w:rsid w:val="358C11AE"/>
    <w:rsid w:val="359E3D24"/>
    <w:rsid w:val="35B915EB"/>
    <w:rsid w:val="35DE231B"/>
    <w:rsid w:val="360B3F29"/>
    <w:rsid w:val="36283357"/>
    <w:rsid w:val="362D4D70"/>
    <w:rsid w:val="363848CB"/>
    <w:rsid w:val="36404558"/>
    <w:rsid w:val="364A38E3"/>
    <w:rsid w:val="3650611A"/>
    <w:rsid w:val="366313EE"/>
    <w:rsid w:val="36634039"/>
    <w:rsid w:val="368C0AD9"/>
    <w:rsid w:val="36AC4351"/>
    <w:rsid w:val="36DB464F"/>
    <w:rsid w:val="36FE7A7D"/>
    <w:rsid w:val="37205841"/>
    <w:rsid w:val="37294A8C"/>
    <w:rsid w:val="37526B9C"/>
    <w:rsid w:val="377E0A8E"/>
    <w:rsid w:val="37B112EB"/>
    <w:rsid w:val="37D30953"/>
    <w:rsid w:val="37DE2BC1"/>
    <w:rsid w:val="383A5E12"/>
    <w:rsid w:val="38483797"/>
    <w:rsid w:val="385253A1"/>
    <w:rsid w:val="38535777"/>
    <w:rsid w:val="38BB0BDE"/>
    <w:rsid w:val="38E57610"/>
    <w:rsid w:val="38F974B0"/>
    <w:rsid w:val="390E1CEB"/>
    <w:rsid w:val="39206011"/>
    <w:rsid w:val="39225080"/>
    <w:rsid w:val="39280A13"/>
    <w:rsid w:val="39387336"/>
    <w:rsid w:val="396350E4"/>
    <w:rsid w:val="396F44AC"/>
    <w:rsid w:val="39D71CB6"/>
    <w:rsid w:val="3A3E5036"/>
    <w:rsid w:val="3A7418AB"/>
    <w:rsid w:val="3A853F0A"/>
    <w:rsid w:val="3A874452"/>
    <w:rsid w:val="3AC126E1"/>
    <w:rsid w:val="3AFE72F8"/>
    <w:rsid w:val="3B33434B"/>
    <w:rsid w:val="3B423396"/>
    <w:rsid w:val="3B923D06"/>
    <w:rsid w:val="3B9E66F2"/>
    <w:rsid w:val="3BB04924"/>
    <w:rsid w:val="3BB52A01"/>
    <w:rsid w:val="3BB9641C"/>
    <w:rsid w:val="3BC52DCC"/>
    <w:rsid w:val="3BE86781"/>
    <w:rsid w:val="3C55350E"/>
    <w:rsid w:val="3CA2276E"/>
    <w:rsid w:val="3CA33BC5"/>
    <w:rsid w:val="3CAF42F9"/>
    <w:rsid w:val="3CB53EDE"/>
    <w:rsid w:val="3CCE6832"/>
    <w:rsid w:val="3CD21503"/>
    <w:rsid w:val="3CE1772F"/>
    <w:rsid w:val="3CEC4845"/>
    <w:rsid w:val="3CF97C18"/>
    <w:rsid w:val="3D0F3AA0"/>
    <w:rsid w:val="3D11346F"/>
    <w:rsid w:val="3D2959ED"/>
    <w:rsid w:val="3D2B4F76"/>
    <w:rsid w:val="3D467F9C"/>
    <w:rsid w:val="3D553700"/>
    <w:rsid w:val="3D6F429B"/>
    <w:rsid w:val="3D980CAD"/>
    <w:rsid w:val="3DC77A4F"/>
    <w:rsid w:val="3E3B6CDF"/>
    <w:rsid w:val="3E872C1B"/>
    <w:rsid w:val="3E9812B7"/>
    <w:rsid w:val="3EB06901"/>
    <w:rsid w:val="3F7D6EAB"/>
    <w:rsid w:val="3FDF3FA5"/>
    <w:rsid w:val="400B1912"/>
    <w:rsid w:val="40164BAE"/>
    <w:rsid w:val="407A5272"/>
    <w:rsid w:val="40874729"/>
    <w:rsid w:val="40BF0DFA"/>
    <w:rsid w:val="40FE1EF0"/>
    <w:rsid w:val="411F3806"/>
    <w:rsid w:val="414C3226"/>
    <w:rsid w:val="41517319"/>
    <w:rsid w:val="417F5401"/>
    <w:rsid w:val="41A9113F"/>
    <w:rsid w:val="41E672D9"/>
    <w:rsid w:val="4208360D"/>
    <w:rsid w:val="42BA28A7"/>
    <w:rsid w:val="42CC2C47"/>
    <w:rsid w:val="42F84516"/>
    <w:rsid w:val="432B6BD3"/>
    <w:rsid w:val="43502228"/>
    <w:rsid w:val="43631390"/>
    <w:rsid w:val="43653175"/>
    <w:rsid w:val="4368592A"/>
    <w:rsid w:val="43801742"/>
    <w:rsid w:val="4382298E"/>
    <w:rsid w:val="43916D90"/>
    <w:rsid w:val="43BC1B2B"/>
    <w:rsid w:val="43D801CC"/>
    <w:rsid w:val="440774D3"/>
    <w:rsid w:val="442F548E"/>
    <w:rsid w:val="44542DDB"/>
    <w:rsid w:val="447A005A"/>
    <w:rsid w:val="448529AA"/>
    <w:rsid w:val="449401E0"/>
    <w:rsid w:val="44AB4027"/>
    <w:rsid w:val="44AD46BD"/>
    <w:rsid w:val="44BE713E"/>
    <w:rsid w:val="44C546A7"/>
    <w:rsid w:val="44DE0D1F"/>
    <w:rsid w:val="452053B0"/>
    <w:rsid w:val="45323250"/>
    <w:rsid w:val="45595718"/>
    <w:rsid w:val="45BF6185"/>
    <w:rsid w:val="46147C32"/>
    <w:rsid w:val="461A1DCE"/>
    <w:rsid w:val="46280976"/>
    <w:rsid w:val="46571C48"/>
    <w:rsid w:val="4673394D"/>
    <w:rsid w:val="46826E6C"/>
    <w:rsid w:val="46BB4AD4"/>
    <w:rsid w:val="46C727D2"/>
    <w:rsid w:val="46FF370A"/>
    <w:rsid w:val="471734A8"/>
    <w:rsid w:val="473A1A9A"/>
    <w:rsid w:val="47430DBF"/>
    <w:rsid w:val="475D2CF1"/>
    <w:rsid w:val="47F352D7"/>
    <w:rsid w:val="47F64A7C"/>
    <w:rsid w:val="48053420"/>
    <w:rsid w:val="4844666B"/>
    <w:rsid w:val="486A5B7F"/>
    <w:rsid w:val="487D63C5"/>
    <w:rsid w:val="48B5498F"/>
    <w:rsid w:val="48B86EA8"/>
    <w:rsid w:val="48DC715C"/>
    <w:rsid w:val="48E25E75"/>
    <w:rsid w:val="48E6120D"/>
    <w:rsid w:val="48FF2CCE"/>
    <w:rsid w:val="48FF75D7"/>
    <w:rsid w:val="490C7FB2"/>
    <w:rsid w:val="493967A5"/>
    <w:rsid w:val="494C0568"/>
    <w:rsid w:val="49514757"/>
    <w:rsid w:val="49884300"/>
    <w:rsid w:val="49EC152C"/>
    <w:rsid w:val="49EC5942"/>
    <w:rsid w:val="4A1930CA"/>
    <w:rsid w:val="4A4B4F92"/>
    <w:rsid w:val="4A785F9E"/>
    <w:rsid w:val="4AEC18A4"/>
    <w:rsid w:val="4B0D11D8"/>
    <w:rsid w:val="4BA67878"/>
    <w:rsid w:val="4BB40B75"/>
    <w:rsid w:val="4C005394"/>
    <w:rsid w:val="4C0552D9"/>
    <w:rsid w:val="4C3530E9"/>
    <w:rsid w:val="4C6F6AC5"/>
    <w:rsid w:val="4C965F0D"/>
    <w:rsid w:val="4CAA36A3"/>
    <w:rsid w:val="4CFD3E1D"/>
    <w:rsid w:val="4D3B3D38"/>
    <w:rsid w:val="4D3E3F6D"/>
    <w:rsid w:val="4D8E4ABA"/>
    <w:rsid w:val="4DA115AF"/>
    <w:rsid w:val="4DAD109B"/>
    <w:rsid w:val="4DDB05AA"/>
    <w:rsid w:val="4DF246EC"/>
    <w:rsid w:val="4E0054A6"/>
    <w:rsid w:val="4E065511"/>
    <w:rsid w:val="4E397FF7"/>
    <w:rsid w:val="4E3E36F3"/>
    <w:rsid w:val="4E5D127A"/>
    <w:rsid w:val="4E737D9F"/>
    <w:rsid w:val="4E833762"/>
    <w:rsid w:val="4EA73056"/>
    <w:rsid w:val="4EB848F5"/>
    <w:rsid w:val="4EF917B9"/>
    <w:rsid w:val="4EFD0170"/>
    <w:rsid w:val="4F5207EA"/>
    <w:rsid w:val="4F9B17DF"/>
    <w:rsid w:val="4FDF6979"/>
    <w:rsid w:val="503D5C67"/>
    <w:rsid w:val="505A4BDD"/>
    <w:rsid w:val="505E55F9"/>
    <w:rsid w:val="5080411E"/>
    <w:rsid w:val="50887273"/>
    <w:rsid w:val="50964129"/>
    <w:rsid w:val="50A42462"/>
    <w:rsid w:val="51066B7A"/>
    <w:rsid w:val="51067245"/>
    <w:rsid w:val="512C7EC0"/>
    <w:rsid w:val="51363F3F"/>
    <w:rsid w:val="513C4EB0"/>
    <w:rsid w:val="517E5A32"/>
    <w:rsid w:val="522B28DC"/>
    <w:rsid w:val="52CF1A40"/>
    <w:rsid w:val="52E65300"/>
    <w:rsid w:val="53052AD0"/>
    <w:rsid w:val="53082B71"/>
    <w:rsid w:val="530C1341"/>
    <w:rsid w:val="530E5CC0"/>
    <w:rsid w:val="53E67BAB"/>
    <w:rsid w:val="540D3FCA"/>
    <w:rsid w:val="541057AE"/>
    <w:rsid w:val="541227A9"/>
    <w:rsid w:val="543F2A8F"/>
    <w:rsid w:val="545D6A15"/>
    <w:rsid w:val="545E02DF"/>
    <w:rsid w:val="546B140A"/>
    <w:rsid w:val="549E0A61"/>
    <w:rsid w:val="54C063EB"/>
    <w:rsid w:val="54EB594F"/>
    <w:rsid w:val="55267F5A"/>
    <w:rsid w:val="552A66EC"/>
    <w:rsid w:val="553D59BC"/>
    <w:rsid w:val="558244E3"/>
    <w:rsid w:val="559E60BE"/>
    <w:rsid w:val="55A51521"/>
    <w:rsid w:val="55A7005E"/>
    <w:rsid w:val="55CD27BF"/>
    <w:rsid w:val="55D36CA6"/>
    <w:rsid w:val="55E53078"/>
    <w:rsid w:val="56443F92"/>
    <w:rsid w:val="564B7B14"/>
    <w:rsid w:val="570951BF"/>
    <w:rsid w:val="57120BA5"/>
    <w:rsid w:val="571D02E9"/>
    <w:rsid w:val="57212825"/>
    <w:rsid w:val="57572482"/>
    <w:rsid w:val="579A7F53"/>
    <w:rsid w:val="57AD226E"/>
    <w:rsid w:val="57E72C5B"/>
    <w:rsid w:val="580D33AF"/>
    <w:rsid w:val="58122D04"/>
    <w:rsid w:val="58A315BA"/>
    <w:rsid w:val="58E87D66"/>
    <w:rsid w:val="591D3A71"/>
    <w:rsid w:val="59463CF2"/>
    <w:rsid w:val="597D5DA5"/>
    <w:rsid w:val="59AA3E4C"/>
    <w:rsid w:val="59E16D44"/>
    <w:rsid w:val="5A1659AC"/>
    <w:rsid w:val="5A2818BC"/>
    <w:rsid w:val="5A3B0B7E"/>
    <w:rsid w:val="5A4760CA"/>
    <w:rsid w:val="5A504350"/>
    <w:rsid w:val="5A784FEF"/>
    <w:rsid w:val="5A825C26"/>
    <w:rsid w:val="5A8A14AD"/>
    <w:rsid w:val="5ABB4790"/>
    <w:rsid w:val="5ACE2D43"/>
    <w:rsid w:val="5AE33605"/>
    <w:rsid w:val="5AF518BA"/>
    <w:rsid w:val="5AFB031B"/>
    <w:rsid w:val="5B2E5218"/>
    <w:rsid w:val="5B387B1D"/>
    <w:rsid w:val="5B500BF3"/>
    <w:rsid w:val="5B7A096F"/>
    <w:rsid w:val="5C0E10FC"/>
    <w:rsid w:val="5C4D198F"/>
    <w:rsid w:val="5CAF57DE"/>
    <w:rsid w:val="5CB9720A"/>
    <w:rsid w:val="5CEC44AA"/>
    <w:rsid w:val="5D257E1C"/>
    <w:rsid w:val="5D85444E"/>
    <w:rsid w:val="5DF878D9"/>
    <w:rsid w:val="5E0F24C6"/>
    <w:rsid w:val="5E11154E"/>
    <w:rsid w:val="5E616A75"/>
    <w:rsid w:val="5EDB4B50"/>
    <w:rsid w:val="5EF275AF"/>
    <w:rsid w:val="5F290F59"/>
    <w:rsid w:val="5F3156B2"/>
    <w:rsid w:val="5F704BF8"/>
    <w:rsid w:val="600A05EF"/>
    <w:rsid w:val="60514C8E"/>
    <w:rsid w:val="606B709B"/>
    <w:rsid w:val="60E442A8"/>
    <w:rsid w:val="60EF4552"/>
    <w:rsid w:val="612A49F6"/>
    <w:rsid w:val="613E3691"/>
    <w:rsid w:val="61630832"/>
    <w:rsid w:val="61A61955"/>
    <w:rsid w:val="62061929"/>
    <w:rsid w:val="624A4A24"/>
    <w:rsid w:val="6255285B"/>
    <w:rsid w:val="62655362"/>
    <w:rsid w:val="62A255FE"/>
    <w:rsid w:val="62C679D9"/>
    <w:rsid w:val="62EC0177"/>
    <w:rsid w:val="63167430"/>
    <w:rsid w:val="637B309B"/>
    <w:rsid w:val="63A30BAC"/>
    <w:rsid w:val="640D3147"/>
    <w:rsid w:val="648A5ACD"/>
    <w:rsid w:val="64E7515A"/>
    <w:rsid w:val="6506611B"/>
    <w:rsid w:val="65112215"/>
    <w:rsid w:val="651A18F0"/>
    <w:rsid w:val="653D7920"/>
    <w:rsid w:val="65611184"/>
    <w:rsid w:val="65897B12"/>
    <w:rsid w:val="659865AE"/>
    <w:rsid w:val="65E52CB7"/>
    <w:rsid w:val="65EF17BE"/>
    <w:rsid w:val="660B6064"/>
    <w:rsid w:val="661D6D16"/>
    <w:rsid w:val="662E5B18"/>
    <w:rsid w:val="66524083"/>
    <w:rsid w:val="66625A1C"/>
    <w:rsid w:val="66700117"/>
    <w:rsid w:val="66D63E10"/>
    <w:rsid w:val="66E12710"/>
    <w:rsid w:val="67086730"/>
    <w:rsid w:val="67086B9E"/>
    <w:rsid w:val="672168F9"/>
    <w:rsid w:val="67270FE6"/>
    <w:rsid w:val="672B59F3"/>
    <w:rsid w:val="67892328"/>
    <w:rsid w:val="68364A50"/>
    <w:rsid w:val="68367F0B"/>
    <w:rsid w:val="68507921"/>
    <w:rsid w:val="68563737"/>
    <w:rsid w:val="6864665F"/>
    <w:rsid w:val="686E0BED"/>
    <w:rsid w:val="68B53DB8"/>
    <w:rsid w:val="68BB7E03"/>
    <w:rsid w:val="68FA1A46"/>
    <w:rsid w:val="69497006"/>
    <w:rsid w:val="69636F8D"/>
    <w:rsid w:val="69A17934"/>
    <w:rsid w:val="69A35F3E"/>
    <w:rsid w:val="69F30261"/>
    <w:rsid w:val="6A0A6B5A"/>
    <w:rsid w:val="6A145CB8"/>
    <w:rsid w:val="6A1756E1"/>
    <w:rsid w:val="6A1B5D9B"/>
    <w:rsid w:val="6A1D32B2"/>
    <w:rsid w:val="6A1D4981"/>
    <w:rsid w:val="6A3C7946"/>
    <w:rsid w:val="6A682143"/>
    <w:rsid w:val="6AD40BE4"/>
    <w:rsid w:val="6ADC2A3F"/>
    <w:rsid w:val="6AE70DC4"/>
    <w:rsid w:val="6B15312F"/>
    <w:rsid w:val="6B3A58ED"/>
    <w:rsid w:val="6B9243C6"/>
    <w:rsid w:val="6B953803"/>
    <w:rsid w:val="6BA0281E"/>
    <w:rsid w:val="6BA5577F"/>
    <w:rsid w:val="6BCF1DC0"/>
    <w:rsid w:val="6BD346BC"/>
    <w:rsid w:val="6BD578C3"/>
    <w:rsid w:val="6BDE3B2E"/>
    <w:rsid w:val="6BFE050E"/>
    <w:rsid w:val="6C1C485E"/>
    <w:rsid w:val="6C2445BB"/>
    <w:rsid w:val="6C442827"/>
    <w:rsid w:val="6C6609BB"/>
    <w:rsid w:val="6CA2486D"/>
    <w:rsid w:val="6CDD29EF"/>
    <w:rsid w:val="6CF56675"/>
    <w:rsid w:val="6D355F88"/>
    <w:rsid w:val="6D3D730C"/>
    <w:rsid w:val="6D44306B"/>
    <w:rsid w:val="6D484AA6"/>
    <w:rsid w:val="6D493447"/>
    <w:rsid w:val="6D74335D"/>
    <w:rsid w:val="6D8E5FC6"/>
    <w:rsid w:val="6E0C5425"/>
    <w:rsid w:val="6E52590C"/>
    <w:rsid w:val="6E6931B3"/>
    <w:rsid w:val="6E973D9F"/>
    <w:rsid w:val="6EBD5592"/>
    <w:rsid w:val="6EDA2F40"/>
    <w:rsid w:val="6EDD1B9D"/>
    <w:rsid w:val="6F382460"/>
    <w:rsid w:val="6F41638E"/>
    <w:rsid w:val="6F583A3D"/>
    <w:rsid w:val="6F71607E"/>
    <w:rsid w:val="6F9105E6"/>
    <w:rsid w:val="6F91207F"/>
    <w:rsid w:val="6F98101F"/>
    <w:rsid w:val="6FA87EC7"/>
    <w:rsid w:val="6FA96452"/>
    <w:rsid w:val="6FC94E09"/>
    <w:rsid w:val="6FE9599F"/>
    <w:rsid w:val="701311E1"/>
    <w:rsid w:val="705E5B7E"/>
    <w:rsid w:val="707146E5"/>
    <w:rsid w:val="708956F2"/>
    <w:rsid w:val="70B15ADC"/>
    <w:rsid w:val="70E921F7"/>
    <w:rsid w:val="70F35E67"/>
    <w:rsid w:val="70FA669D"/>
    <w:rsid w:val="71026288"/>
    <w:rsid w:val="710C187C"/>
    <w:rsid w:val="7130067D"/>
    <w:rsid w:val="714234EF"/>
    <w:rsid w:val="714B7F86"/>
    <w:rsid w:val="71502056"/>
    <w:rsid w:val="71710BE4"/>
    <w:rsid w:val="719B6529"/>
    <w:rsid w:val="71C35A5D"/>
    <w:rsid w:val="7213540D"/>
    <w:rsid w:val="722436FE"/>
    <w:rsid w:val="725025BD"/>
    <w:rsid w:val="725B1428"/>
    <w:rsid w:val="72AD15EA"/>
    <w:rsid w:val="72D4504B"/>
    <w:rsid w:val="72D67D0F"/>
    <w:rsid w:val="733078F6"/>
    <w:rsid w:val="73693D23"/>
    <w:rsid w:val="73E0485D"/>
    <w:rsid w:val="73E60C2A"/>
    <w:rsid w:val="74244D8D"/>
    <w:rsid w:val="742F0F6B"/>
    <w:rsid w:val="744C74A1"/>
    <w:rsid w:val="74851317"/>
    <w:rsid w:val="74F1777D"/>
    <w:rsid w:val="750B5CD9"/>
    <w:rsid w:val="752007C8"/>
    <w:rsid w:val="75237AAF"/>
    <w:rsid w:val="753D5203"/>
    <w:rsid w:val="75643A55"/>
    <w:rsid w:val="75724891"/>
    <w:rsid w:val="757277AB"/>
    <w:rsid w:val="757B2D23"/>
    <w:rsid w:val="758E6AB4"/>
    <w:rsid w:val="75913FFB"/>
    <w:rsid w:val="75C23FF3"/>
    <w:rsid w:val="75FA57F6"/>
    <w:rsid w:val="766173B2"/>
    <w:rsid w:val="767311E9"/>
    <w:rsid w:val="767A0EAF"/>
    <w:rsid w:val="767D1913"/>
    <w:rsid w:val="7697180F"/>
    <w:rsid w:val="76A54427"/>
    <w:rsid w:val="76C603BC"/>
    <w:rsid w:val="76EA6B11"/>
    <w:rsid w:val="76F43243"/>
    <w:rsid w:val="773F7CEA"/>
    <w:rsid w:val="77657E35"/>
    <w:rsid w:val="77B67277"/>
    <w:rsid w:val="77C863A8"/>
    <w:rsid w:val="77EA664E"/>
    <w:rsid w:val="77F93556"/>
    <w:rsid w:val="78491ECA"/>
    <w:rsid w:val="78496855"/>
    <w:rsid w:val="78625448"/>
    <w:rsid w:val="7886242C"/>
    <w:rsid w:val="78A1045D"/>
    <w:rsid w:val="78D04499"/>
    <w:rsid w:val="79006D63"/>
    <w:rsid w:val="79315977"/>
    <w:rsid w:val="79A4038B"/>
    <w:rsid w:val="79A62016"/>
    <w:rsid w:val="79BD2173"/>
    <w:rsid w:val="79E34325"/>
    <w:rsid w:val="79FA4CC8"/>
    <w:rsid w:val="7A1F71F7"/>
    <w:rsid w:val="7A46588B"/>
    <w:rsid w:val="7A54181D"/>
    <w:rsid w:val="7A5D2BA8"/>
    <w:rsid w:val="7ADA3EF0"/>
    <w:rsid w:val="7AE71CE1"/>
    <w:rsid w:val="7B267C07"/>
    <w:rsid w:val="7B480CCB"/>
    <w:rsid w:val="7B9D2BD6"/>
    <w:rsid w:val="7BD77575"/>
    <w:rsid w:val="7C1C70E0"/>
    <w:rsid w:val="7C267211"/>
    <w:rsid w:val="7C3807EC"/>
    <w:rsid w:val="7C756DF8"/>
    <w:rsid w:val="7C8478F9"/>
    <w:rsid w:val="7C91702E"/>
    <w:rsid w:val="7CC26C99"/>
    <w:rsid w:val="7CD2030C"/>
    <w:rsid w:val="7CE87A66"/>
    <w:rsid w:val="7CFB1888"/>
    <w:rsid w:val="7D3051C4"/>
    <w:rsid w:val="7D5D31DD"/>
    <w:rsid w:val="7D685BF3"/>
    <w:rsid w:val="7D6F1692"/>
    <w:rsid w:val="7D713FE0"/>
    <w:rsid w:val="7D9B1CC7"/>
    <w:rsid w:val="7DAA461D"/>
    <w:rsid w:val="7DC244BE"/>
    <w:rsid w:val="7DD932D5"/>
    <w:rsid w:val="7DEC115B"/>
    <w:rsid w:val="7E2212E1"/>
    <w:rsid w:val="7E4A1947"/>
    <w:rsid w:val="7E642BE7"/>
    <w:rsid w:val="7EE07104"/>
    <w:rsid w:val="7EEE1E04"/>
    <w:rsid w:val="7F6605AC"/>
    <w:rsid w:val="7F7F4C56"/>
    <w:rsid w:val="7FAF7BC1"/>
    <w:rsid w:val="7FB45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381"/>
    <w:pPr>
      <w:widowControl w:val="0"/>
      <w:spacing w:after="200" w:line="276" w:lineRule="auto"/>
      <w:jc w:val="both"/>
    </w:pPr>
    <w:rPr>
      <w:rFonts w:ascii="Calibri" w:hAnsi="Calibri"/>
      <w:kern w:val="2"/>
      <w:sz w:val="21"/>
      <w:szCs w:val="22"/>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paragraph" w:styleId="5">
    <w:name w:val="heading 5"/>
    <w:basedOn w:val="a"/>
    <w:next w:val="a"/>
    <w:qFormat/>
    <w:pPr>
      <w:spacing w:before="100" w:beforeAutospacing="1" w:after="100" w:afterAutospacing="1"/>
      <w:jc w:val="left"/>
      <w:outlineLvl w:val="4"/>
    </w:pPr>
    <w:rPr>
      <w:rFonts w:ascii="宋体" w:hAnsi="宋体" w:hint="eastAsia"/>
      <w:b/>
      <w:kern w:val="0"/>
      <w:sz w:val="20"/>
      <w:szCs w:val="20"/>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con13">
    <w:name w:val="c-icon13"/>
    <w:basedOn w:val="a0"/>
  </w:style>
  <w:style w:type="character" w:customStyle="1" w:styleId="article-ref-vol1">
    <w:name w:val="article-ref-vol1"/>
    <w:rPr>
      <w:b/>
    </w:rPr>
  </w:style>
  <w:style w:type="character" w:customStyle="1" w:styleId="Char">
    <w:name w:val="页眉 Char"/>
    <w:link w:val="a3"/>
    <w:rPr>
      <w:rFonts w:ascii="Calibri" w:hAnsi="Calibri"/>
      <w:kern w:val="2"/>
      <w:sz w:val="18"/>
      <w:szCs w:val="18"/>
    </w:rPr>
  </w:style>
  <w:style w:type="character" w:styleId="HTML">
    <w:name w:val="HTML Cite"/>
    <w:rPr>
      <w:i w:val="0"/>
      <w:color w:val="008000"/>
    </w:rPr>
  </w:style>
  <w:style w:type="character" w:styleId="a4">
    <w:name w:val="Emphasis"/>
    <w:qFormat/>
    <w:rPr>
      <w:i w:val="0"/>
      <w:color w:val="CC0000"/>
    </w:rPr>
  </w:style>
  <w:style w:type="character" w:styleId="a5">
    <w:name w:val="annotation reference"/>
    <w:rPr>
      <w:rFonts w:ascii="Tahoma" w:hAnsi="Tahoma" w:cs="Tahoma"/>
      <w:b w:val="0"/>
      <w:i w:val="0"/>
      <w:caps w:val="0"/>
      <w:strike w:val="0"/>
      <w:sz w:val="16"/>
      <w:szCs w:val="16"/>
      <w:u w:val="none"/>
    </w:rPr>
  </w:style>
  <w:style w:type="character" w:styleId="a6">
    <w:name w:val="Hyperlink"/>
    <w:rPr>
      <w:color w:val="0000FF"/>
      <w:u w:val="single"/>
    </w:rPr>
  </w:style>
  <w:style w:type="character" w:customStyle="1" w:styleId="addthisfollowlabel4">
    <w:name w:val="addthis_follow_label4"/>
    <w:rPr>
      <w:vanish/>
    </w:rPr>
  </w:style>
  <w:style w:type="character" w:customStyle="1" w:styleId="Char0">
    <w:name w:val="批注框文本 Char"/>
    <w:link w:val="a7"/>
    <w:rPr>
      <w:rFonts w:ascii="Segoe UI" w:hAnsi="Segoe UI" w:cs="Segoe UI"/>
      <w:kern w:val="2"/>
      <w:sz w:val="18"/>
      <w:szCs w:val="18"/>
    </w:rPr>
  </w:style>
  <w:style w:type="character" w:customStyle="1" w:styleId="Char1">
    <w:name w:val="页脚 Char"/>
    <w:link w:val="a8"/>
    <w:uiPriority w:val="99"/>
    <w:rPr>
      <w:rFonts w:ascii="Calibri" w:hAnsi="Calibri"/>
      <w:kern w:val="2"/>
      <w:sz w:val="18"/>
      <w:szCs w:val="18"/>
    </w:rPr>
  </w:style>
  <w:style w:type="character" w:customStyle="1" w:styleId="first-of-type">
    <w:name w:val="first-of-type"/>
    <w:basedOn w:val="a0"/>
  </w:style>
  <w:style w:type="character" w:customStyle="1" w:styleId="Char2">
    <w:name w:val="批注主题 Char"/>
    <w:link w:val="a9"/>
    <w:rPr>
      <w:rFonts w:ascii="Tahoma" w:hAnsi="Tahoma" w:cs="Tahoma"/>
      <w:b/>
      <w:bCs/>
      <w:kern w:val="2"/>
      <w:sz w:val="16"/>
    </w:rPr>
  </w:style>
  <w:style w:type="character" w:customStyle="1" w:styleId="Char3">
    <w:name w:val="批注文字 Char"/>
    <w:link w:val="aa"/>
    <w:rPr>
      <w:rFonts w:ascii="Tahoma" w:hAnsi="Tahoma" w:cs="Tahoma"/>
      <w:kern w:val="2"/>
      <w:sz w:val="16"/>
    </w:rPr>
  </w:style>
  <w:style w:type="character" w:customStyle="1" w:styleId="addthisfollowlabel">
    <w:name w:val="addthis_follow_label"/>
    <w:rPr>
      <w:vanish/>
    </w:rPr>
  </w:style>
  <w:style w:type="paragraph" w:styleId="aa">
    <w:name w:val="annotation text"/>
    <w:basedOn w:val="a"/>
    <w:link w:val="Char3"/>
    <w:rPr>
      <w:rFonts w:ascii="Tahoma" w:hAnsi="Tahoma" w:cs="Tahoma"/>
      <w:sz w:val="16"/>
      <w:szCs w:val="20"/>
    </w:rPr>
  </w:style>
  <w:style w:type="paragraph" w:styleId="a3">
    <w:name w:val="header"/>
    <w:basedOn w:val="a"/>
    <w:link w:val="Char"/>
    <w:pPr>
      <w:pBdr>
        <w:bottom w:val="single" w:sz="6" w:space="1" w:color="auto"/>
      </w:pBdr>
      <w:tabs>
        <w:tab w:val="center" w:pos="4153"/>
        <w:tab w:val="right" w:pos="8306"/>
      </w:tabs>
      <w:snapToGrid w:val="0"/>
      <w:spacing w:line="240" w:lineRule="auto"/>
      <w:jc w:val="center"/>
    </w:pPr>
    <w:rPr>
      <w:sz w:val="18"/>
      <w:szCs w:val="18"/>
    </w:rPr>
  </w:style>
  <w:style w:type="paragraph" w:styleId="a8">
    <w:name w:val="footer"/>
    <w:basedOn w:val="a"/>
    <w:link w:val="Char1"/>
    <w:uiPriority w:val="99"/>
    <w:pPr>
      <w:tabs>
        <w:tab w:val="center" w:pos="4153"/>
        <w:tab w:val="right" w:pos="8306"/>
      </w:tabs>
      <w:snapToGrid w:val="0"/>
      <w:spacing w:line="240" w:lineRule="auto"/>
      <w:jc w:val="left"/>
    </w:pPr>
    <w:rPr>
      <w:sz w:val="18"/>
      <w:szCs w:val="18"/>
    </w:rPr>
  </w:style>
  <w:style w:type="paragraph" w:styleId="a7">
    <w:name w:val="Balloon Text"/>
    <w:basedOn w:val="a"/>
    <w:link w:val="Char0"/>
    <w:pPr>
      <w:spacing w:after="0" w:line="240" w:lineRule="auto"/>
    </w:pPr>
    <w:rPr>
      <w:rFonts w:ascii="Segoe UI" w:hAnsi="Segoe UI" w:cs="Segoe UI"/>
      <w:sz w:val="18"/>
      <w:szCs w:val="18"/>
    </w:rPr>
  </w:style>
  <w:style w:type="paragraph" w:styleId="ab">
    <w:name w:val="Normal (Web)"/>
    <w:basedOn w:val="a"/>
    <w:uiPriority w:val="99"/>
    <w:pPr>
      <w:spacing w:after="0"/>
      <w:jc w:val="left"/>
    </w:pPr>
    <w:rPr>
      <w:kern w:val="0"/>
      <w:sz w:val="24"/>
    </w:rPr>
  </w:style>
  <w:style w:type="paragraph" w:styleId="a9">
    <w:name w:val="annotation subject"/>
    <w:basedOn w:val="aa"/>
    <w:next w:val="aa"/>
    <w:link w:val="Char2"/>
    <w:rPr>
      <w:b/>
      <w:bCs/>
    </w:rPr>
  </w:style>
  <w:style w:type="paragraph" w:customStyle="1" w:styleId="article-section-content">
    <w:name w:val="article-section-content"/>
    <w:basedOn w:val="a"/>
    <w:pPr>
      <w:jc w:val="left"/>
    </w:pPr>
    <w:rPr>
      <w:rFonts w:ascii="Verdana" w:hAnsi="Verdana"/>
      <w:kern w:val="0"/>
      <w:sz w:val="20"/>
      <w:szCs w:val="20"/>
    </w:rPr>
  </w:style>
  <w:style w:type="paragraph" w:styleId="ac">
    <w:name w:val="Revision"/>
    <w:uiPriority w:val="99"/>
    <w:unhideWhenUsed/>
    <w:rPr>
      <w:rFonts w:ascii="Calibri" w:hAnsi="Calibri"/>
      <w:kern w:val="2"/>
      <w:sz w:val="21"/>
      <w:szCs w:val="22"/>
    </w:rPr>
  </w:style>
  <w:style w:type="table" w:styleId="a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脚 字符"/>
    <w:uiPriority w:val="99"/>
    <w:rsid w:val="00382C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381"/>
    <w:pPr>
      <w:widowControl w:val="0"/>
      <w:spacing w:after="200" w:line="276" w:lineRule="auto"/>
      <w:jc w:val="both"/>
    </w:pPr>
    <w:rPr>
      <w:rFonts w:ascii="Calibri" w:hAnsi="Calibri"/>
      <w:kern w:val="2"/>
      <w:sz w:val="21"/>
      <w:szCs w:val="22"/>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paragraph" w:styleId="5">
    <w:name w:val="heading 5"/>
    <w:basedOn w:val="a"/>
    <w:next w:val="a"/>
    <w:qFormat/>
    <w:pPr>
      <w:spacing w:before="100" w:beforeAutospacing="1" w:after="100" w:afterAutospacing="1"/>
      <w:jc w:val="left"/>
      <w:outlineLvl w:val="4"/>
    </w:pPr>
    <w:rPr>
      <w:rFonts w:ascii="宋体" w:hAnsi="宋体" w:hint="eastAsia"/>
      <w:b/>
      <w:kern w:val="0"/>
      <w:sz w:val="20"/>
      <w:szCs w:val="20"/>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con13">
    <w:name w:val="c-icon13"/>
    <w:basedOn w:val="a0"/>
  </w:style>
  <w:style w:type="character" w:customStyle="1" w:styleId="article-ref-vol1">
    <w:name w:val="article-ref-vol1"/>
    <w:rPr>
      <w:b/>
    </w:rPr>
  </w:style>
  <w:style w:type="character" w:customStyle="1" w:styleId="Char">
    <w:name w:val="页眉 Char"/>
    <w:link w:val="a3"/>
    <w:rPr>
      <w:rFonts w:ascii="Calibri" w:hAnsi="Calibri"/>
      <w:kern w:val="2"/>
      <w:sz w:val="18"/>
      <w:szCs w:val="18"/>
    </w:rPr>
  </w:style>
  <w:style w:type="character" w:styleId="HTML">
    <w:name w:val="HTML Cite"/>
    <w:rPr>
      <w:i w:val="0"/>
      <w:color w:val="008000"/>
    </w:rPr>
  </w:style>
  <w:style w:type="character" w:styleId="a4">
    <w:name w:val="Emphasis"/>
    <w:qFormat/>
    <w:rPr>
      <w:i w:val="0"/>
      <w:color w:val="CC0000"/>
    </w:rPr>
  </w:style>
  <w:style w:type="character" w:styleId="a5">
    <w:name w:val="annotation reference"/>
    <w:rPr>
      <w:rFonts w:ascii="Tahoma" w:hAnsi="Tahoma" w:cs="Tahoma"/>
      <w:b w:val="0"/>
      <w:i w:val="0"/>
      <w:caps w:val="0"/>
      <w:strike w:val="0"/>
      <w:sz w:val="16"/>
      <w:szCs w:val="16"/>
      <w:u w:val="none"/>
    </w:rPr>
  </w:style>
  <w:style w:type="character" w:styleId="a6">
    <w:name w:val="Hyperlink"/>
    <w:rPr>
      <w:color w:val="0000FF"/>
      <w:u w:val="single"/>
    </w:rPr>
  </w:style>
  <w:style w:type="character" w:customStyle="1" w:styleId="addthisfollowlabel4">
    <w:name w:val="addthis_follow_label4"/>
    <w:rPr>
      <w:vanish/>
    </w:rPr>
  </w:style>
  <w:style w:type="character" w:customStyle="1" w:styleId="Char0">
    <w:name w:val="批注框文本 Char"/>
    <w:link w:val="a7"/>
    <w:rPr>
      <w:rFonts w:ascii="Segoe UI" w:hAnsi="Segoe UI" w:cs="Segoe UI"/>
      <w:kern w:val="2"/>
      <w:sz w:val="18"/>
      <w:szCs w:val="18"/>
    </w:rPr>
  </w:style>
  <w:style w:type="character" w:customStyle="1" w:styleId="Char1">
    <w:name w:val="页脚 Char"/>
    <w:link w:val="a8"/>
    <w:uiPriority w:val="99"/>
    <w:rPr>
      <w:rFonts w:ascii="Calibri" w:hAnsi="Calibri"/>
      <w:kern w:val="2"/>
      <w:sz w:val="18"/>
      <w:szCs w:val="18"/>
    </w:rPr>
  </w:style>
  <w:style w:type="character" w:customStyle="1" w:styleId="first-of-type">
    <w:name w:val="first-of-type"/>
    <w:basedOn w:val="a0"/>
  </w:style>
  <w:style w:type="character" w:customStyle="1" w:styleId="Char2">
    <w:name w:val="批注主题 Char"/>
    <w:link w:val="a9"/>
    <w:rPr>
      <w:rFonts w:ascii="Tahoma" w:hAnsi="Tahoma" w:cs="Tahoma"/>
      <w:b/>
      <w:bCs/>
      <w:kern w:val="2"/>
      <w:sz w:val="16"/>
    </w:rPr>
  </w:style>
  <w:style w:type="character" w:customStyle="1" w:styleId="Char3">
    <w:name w:val="批注文字 Char"/>
    <w:link w:val="aa"/>
    <w:rPr>
      <w:rFonts w:ascii="Tahoma" w:hAnsi="Tahoma" w:cs="Tahoma"/>
      <w:kern w:val="2"/>
      <w:sz w:val="16"/>
    </w:rPr>
  </w:style>
  <w:style w:type="character" w:customStyle="1" w:styleId="addthisfollowlabel">
    <w:name w:val="addthis_follow_label"/>
    <w:rPr>
      <w:vanish/>
    </w:rPr>
  </w:style>
  <w:style w:type="paragraph" w:styleId="aa">
    <w:name w:val="annotation text"/>
    <w:basedOn w:val="a"/>
    <w:link w:val="Char3"/>
    <w:rPr>
      <w:rFonts w:ascii="Tahoma" w:hAnsi="Tahoma" w:cs="Tahoma"/>
      <w:sz w:val="16"/>
      <w:szCs w:val="20"/>
    </w:rPr>
  </w:style>
  <w:style w:type="paragraph" w:styleId="a3">
    <w:name w:val="header"/>
    <w:basedOn w:val="a"/>
    <w:link w:val="Char"/>
    <w:pPr>
      <w:pBdr>
        <w:bottom w:val="single" w:sz="6" w:space="1" w:color="auto"/>
      </w:pBdr>
      <w:tabs>
        <w:tab w:val="center" w:pos="4153"/>
        <w:tab w:val="right" w:pos="8306"/>
      </w:tabs>
      <w:snapToGrid w:val="0"/>
      <w:spacing w:line="240" w:lineRule="auto"/>
      <w:jc w:val="center"/>
    </w:pPr>
    <w:rPr>
      <w:sz w:val="18"/>
      <w:szCs w:val="18"/>
    </w:rPr>
  </w:style>
  <w:style w:type="paragraph" w:styleId="a8">
    <w:name w:val="footer"/>
    <w:basedOn w:val="a"/>
    <w:link w:val="Char1"/>
    <w:uiPriority w:val="99"/>
    <w:pPr>
      <w:tabs>
        <w:tab w:val="center" w:pos="4153"/>
        <w:tab w:val="right" w:pos="8306"/>
      </w:tabs>
      <w:snapToGrid w:val="0"/>
      <w:spacing w:line="240" w:lineRule="auto"/>
      <w:jc w:val="left"/>
    </w:pPr>
    <w:rPr>
      <w:sz w:val="18"/>
      <w:szCs w:val="18"/>
    </w:rPr>
  </w:style>
  <w:style w:type="paragraph" w:styleId="a7">
    <w:name w:val="Balloon Text"/>
    <w:basedOn w:val="a"/>
    <w:link w:val="Char0"/>
    <w:pPr>
      <w:spacing w:after="0" w:line="240" w:lineRule="auto"/>
    </w:pPr>
    <w:rPr>
      <w:rFonts w:ascii="Segoe UI" w:hAnsi="Segoe UI" w:cs="Segoe UI"/>
      <w:sz w:val="18"/>
      <w:szCs w:val="18"/>
    </w:rPr>
  </w:style>
  <w:style w:type="paragraph" w:styleId="ab">
    <w:name w:val="Normal (Web)"/>
    <w:basedOn w:val="a"/>
    <w:uiPriority w:val="99"/>
    <w:pPr>
      <w:spacing w:after="0"/>
      <w:jc w:val="left"/>
    </w:pPr>
    <w:rPr>
      <w:kern w:val="0"/>
      <w:sz w:val="24"/>
    </w:rPr>
  </w:style>
  <w:style w:type="paragraph" w:styleId="a9">
    <w:name w:val="annotation subject"/>
    <w:basedOn w:val="aa"/>
    <w:next w:val="aa"/>
    <w:link w:val="Char2"/>
    <w:rPr>
      <w:b/>
      <w:bCs/>
    </w:rPr>
  </w:style>
  <w:style w:type="paragraph" w:customStyle="1" w:styleId="article-section-content">
    <w:name w:val="article-section-content"/>
    <w:basedOn w:val="a"/>
    <w:pPr>
      <w:jc w:val="left"/>
    </w:pPr>
    <w:rPr>
      <w:rFonts w:ascii="Verdana" w:hAnsi="Verdana"/>
      <w:kern w:val="0"/>
      <w:sz w:val="20"/>
      <w:szCs w:val="20"/>
    </w:rPr>
  </w:style>
  <w:style w:type="paragraph" w:styleId="ac">
    <w:name w:val="Revision"/>
    <w:uiPriority w:val="99"/>
    <w:unhideWhenUsed/>
    <w:rPr>
      <w:rFonts w:ascii="Calibri" w:hAnsi="Calibri"/>
      <w:kern w:val="2"/>
      <w:sz w:val="21"/>
      <w:szCs w:val="22"/>
    </w:rPr>
  </w:style>
  <w:style w:type="table" w:styleId="a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脚 字符"/>
    <w:uiPriority w:val="99"/>
    <w:rsid w:val="00382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030">
      <w:bodyDiv w:val="1"/>
      <w:marLeft w:val="0"/>
      <w:marRight w:val="0"/>
      <w:marTop w:val="0"/>
      <w:marBottom w:val="0"/>
      <w:divBdr>
        <w:top w:val="none" w:sz="0" w:space="0" w:color="auto"/>
        <w:left w:val="none" w:sz="0" w:space="0" w:color="auto"/>
        <w:bottom w:val="none" w:sz="0" w:space="0" w:color="auto"/>
        <w:right w:val="none" w:sz="0" w:space="0" w:color="auto"/>
      </w:divBdr>
    </w:div>
    <w:div w:id="220094403">
      <w:bodyDiv w:val="1"/>
      <w:marLeft w:val="0"/>
      <w:marRight w:val="0"/>
      <w:marTop w:val="0"/>
      <w:marBottom w:val="0"/>
      <w:divBdr>
        <w:top w:val="none" w:sz="0" w:space="0" w:color="auto"/>
        <w:left w:val="none" w:sz="0" w:space="0" w:color="auto"/>
        <w:bottom w:val="none" w:sz="0" w:space="0" w:color="auto"/>
        <w:right w:val="none" w:sz="0" w:space="0" w:color="auto"/>
      </w:divBdr>
    </w:div>
    <w:div w:id="482284787">
      <w:bodyDiv w:val="1"/>
      <w:marLeft w:val="0"/>
      <w:marRight w:val="0"/>
      <w:marTop w:val="0"/>
      <w:marBottom w:val="0"/>
      <w:divBdr>
        <w:top w:val="none" w:sz="0" w:space="0" w:color="auto"/>
        <w:left w:val="none" w:sz="0" w:space="0" w:color="auto"/>
        <w:bottom w:val="none" w:sz="0" w:space="0" w:color="auto"/>
        <w:right w:val="none" w:sz="0" w:space="0" w:color="auto"/>
      </w:divBdr>
    </w:div>
    <w:div w:id="1274704771">
      <w:bodyDiv w:val="1"/>
      <w:marLeft w:val="0"/>
      <w:marRight w:val="0"/>
      <w:marTop w:val="0"/>
      <w:marBottom w:val="0"/>
      <w:divBdr>
        <w:top w:val="none" w:sz="0" w:space="0" w:color="auto"/>
        <w:left w:val="none" w:sz="0" w:space="0" w:color="auto"/>
        <w:bottom w:val="none" w:sz="0" w:space="0" w:color="auto"/>
        <w:right w:val="none" w:sz="0" w:space="0" w:color="auto"/>
      </w:divBdr>
    </w:div>
    <w:div w:id="1672030072">
      <w:bodyDiv w:val="1"/>
      <w:marLeft w:val="0"/>
      <w:marRight w:val="0"/>
      <w:marTop w:val="0"/>
      <w:marBottom w:val="0"/>
      <w:divBdr>
        <w:top w:val="none" w:sz="0" w:space="0" w:color="auto"/>
        <w:left w:val="none" w:sz="0" w:space="0" w:color="auto"/>
        <w:bottom w:val="none" w:sz="0" w:space="0" w:color="auto"/>
        <w:right w:val="none" w:sz="0" w:space="0" w:color="auto"/>
      </w:divBdr>
      <w:divsChild>
        <w:div w:id="7404923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55288822">
              <w:marLeft w:val="0"/>
              <w:marRight w:val="0"/>
              <w:marTop w:val="0"/>
              <w:marBottom w:val="0"/>
              <w:divBdr>
                <w:top w:val="none" w:sz="0" w:space="0" w:color="auto"/>
                <w:left w:val="none" w:sz="0" w:space="0" w:color="auto"/>
                <w:bottom w:val="none" w:sz="0" w:space="0" w:color="auto"/>
                <w:right w:val="none" w:sz="0" w:space="0" w:color="auto"/>
              </w:divBdr>
              <w:divsChild>
                <w:div w:id="2101678945">
                  <w:marLeft w:val="0"/>
                  <w:marRight w:val="0"/>
                  <w:marTop w:val="0"/>
                  <w:marBottom w:val="0"/>
                  <w:divBdr>
                    <w:top w:val="none" w:sz="0" w:space="0" w:color="auto"/>
                    <w:left w:val="none" w:sz="0" w:space="0" w:color="auto"/>
                    <w:bottom w:val="none" w:sz="0" w:space="0" w:color="auto"/>
                    <w:right w:val="none" w:sz="0" w:space="0" w:color="auto"/>
                  </w:divBdr>
                  <w:divsChild>
                    <w:div w:id="11170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uqiang@wchscu.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88F59-77D1-4CAD-BAC0-7ACF74D56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7357</Words>
  <Characters>41937</Characters>
  <Application>Microsoft Office Word</Application>
  <DocSecurity>0</DocSecurity>
  <Lines>349</Lines>
  <Paragraphs>98</Paragraphs>
  <ScaleCrop>false</ScaleCrop>
  <Company/>
  <LinksUpToDate>false</LinksUpToDate>
  <CharactersWithSpaces>49196</CharactersWithSpaces>
  <SharedDoc>false</SharedDoc>
  <HLinks>
    <vt:vector size="6" baseType="variant">
      <vt:variant>
        <vt:i4>4522110</vt:i4>
      </vt:variant>
      <vt:variant>
        <vt:i4>0</vt:i4>
      </vt:variant>
      <vt:variant>
        <vt:i4>0</vt:i4>
      </vt:variant>
      <vt:variant>
        <vt:i4>5</vt:i4>
      </vt:variant>
      <vt:variant>
        <vt:lpwstr>mailto:luqiang@wchscu.cn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 bub</dc:creator>
  <cp:lastModifiedBy>Lenovo</cp:lastModifiedBy>
  <cp:revision>2</cp:revision>
  <dcterms:created xsi:type="dcterms:W3CDTF">2020-07-20T13:46:00Z</dcterms:created>
  <dcterms:modified xsi:type="dcterms:W3CDTF">2020-07-20T13:46:00Z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EditTimer">
    <vt:r8>3005</vt:r8>
  </property>
  <property fmtid="{D5CDD505-2E9C-101B-9397-08002B2CF9AE}" pid="4" name="UseTimer">
    <vt:bool>false</vt:bool>
  </property>
  <property fmtid="{D5CDD505-2E9C-101B-9397-08002B2CF9AE}" pid="5" name="LastTick">
    <vt:r8>43955.9187847222</vt:r8>
  </property>
  <property fmtid="{D5CDD505-2E9C-101B-9397-08002B2CF9AE}" pid="6" name="EditTotal">
    <vt:r8>0</vt:r8>
  </property>
</Properties>
</file>