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9A22" w14:textId="3210F693" w:rsidR="001A2E87" w:rsidRPr="006E7292" w:rsidRDefault="001A2E87" w:rsidP="006E7292">
      <w:pPr>
        <w:snapToGrid w:val="0"/>
        <w:spacing w:line="360" w:lineRule="auto"/>
        <w:jc w:val="both"/>
        <w:rPr>
          <w:rFonts w:ascii="Book Antiqua" w:hAnsi="Book Antiqua"/>
          <w:b/>
          <w:i/>
          <w:lang w:eastAsia="en-US"/>
        </w:rPr>
      </w:pPr>
      <w:bookmarkStart w:id="0" w:name="_Hlk32767783"/>
      <w:r w:rsidRPr="006E7292">
        <w:rPr>
          <w:rFonts w:ascii="Book Antiqua" w:hAnsi="Book Antiqua"/>
          <w:b/>
          <w:lang w:eastAsia="en-US"/>
        </w:rPr>
        <w:t xml:space="preserve">Name of Journal: </w:t>
      </w:r>
      <w:r w:rsidRPr="006E7292">
        <w:rPr>
          <w:rFonts w:ascii="Book Antiqua" w:hAnsi="Book Antiqua"/>
          <w:i/>
          <w:lang w:eastAsia="en-US"/>
        </w:rPr>
        <w:t>World Journal of Clinical Oncology</w:t>
      </w:r>
    </w:p>
    <w:p w14:paraId="0EDB0D68" w14:textId="60062AF5" w:rsidR="001A2E87" w:rsidRPr="006E7292" w:rsidRDefault="001A2E87" w:rsidP="006E7292">
      <w:pPr>
        <w:snapToGrid w:val="0"/>
        <w:spacing w:line="360" w:lineRule="auto"/>
        <w:jc w:val="both"/>
        <w:rPr>
          <w:rFonts w:ascii="Book Antiqua" w:hAnsi="Book Antiqua"/>
          <w:b/>
          <w:lang w:eastAsia="en-US"/>
        </w:rPr>
      </w:pPr>
      <w:r w:rsidRPr="006E7292">
        <w:rPr>
          <w:rFonts w:ascii="Book Antiqua" w:hAnsi="Book Antiqua"/>
          <w:b/>
          <w:lang w:eastAsia="en-US"/>
        </w:rPr>
        <w:t xml:space="preserve">Manuscript NO: </w:t>
      </w:r>
      <w:r w:rsidRPr="006E7292">
        <w:rPr>
          <w:rFonts w:ascii="Book Antiqua" w:hAnsi="Book Antiqua"/>
          <w:lang w:eastAsia="en-US"/>
        </w:rPr>
        <w:t>55218</w:t>
      </w:r>
    </w:p>
    <w:p w14:paraId="049DF66C" w14:textId="07EA2E6B" w:rsidR="001A2E87" w:rsidRPr="006E7292" w:rsidRDefault="001A2E87" w:rsidP="006E7292">
      <w:pPr>
        <w:snapToGrid w:val="0"/>
        <w:spacing w:line="360" w:lineRule="auto"/>
        <w:jc w:val="both"/>
        <w:rPr>
          <w:rFonts w:ascii="Book Antiqua" w:hAnsi="Book Antiqua"/>
          <w:b/>
          <w:lang w:eastAsia="en-US"/>
        </w:rPr>
      </w:pPr>
      <w:bookmarkStart w:id="1" w:name="OLE_LINK3"/>
      <w:bookmarkStart w:id="2" w:name="OLE_LINK4"/>
      <w:r w:rsidRPr="006E7292">
        <w:rPr>
          <w:rFonts w:ascii="Book Antiqua" w:hAnsi="Book Antiqua"/>
          <w:b/>
          <w:shd w:val="clear" w:color="auto" w:fill="FFFFFF"/>
        </w:rPr>
        <w:t>Manuscript</w:t>
      </w:r>
      <w:r w:rsidR="00261DBC" w:rsidRPr="006E7292">
        <w:rPr>
          <w:rFonts w:ascii="Book Antiqua" w:hAnsi="Book Antiqua"/>
          <w:b/>
          <w:shd w:val="clear" w:color="auto" w:fill="FFFFFF"/>
        </w:rPr>
        <w:t xml:space="preserve"> </w:t>
      </w:r>
      <w:r w:rsidRPr="006E7292">
        <w:rPr>
          <w:rFonts w:ascii="Book Antiqua" w:hAnsi="Book Antiqua"/>
          <w:b/>
          <w:shd w:val="clear" w:color="auto" w:fill="FFFFFF"/>
        </w:rPr>
        <w:t>Type</w:t>
      </w:r>
      <w:bookmarkEnd w:id="1"/>
      <w:bookmarkEnd w:id="2"/>
      <w:r w:rsidRPr="006E7292">
        <w:rPr>
          <w:rFonts w:ascii="Book Antiqua" w:hAnsi="Book Antiqua"/>
          <w:b/>
          <w:lang w:eastAsia="en-US"/>
        </w:rPr>
        <w:t xml:space="preserve">: </w:t>
      </w:r>
      <w:r w:rsidRPr="006E7292">
        <w:rPr>
          <w:rFonts w:ascii="Book Antiqua" w:hAnsi="Book Antiqua"/>
          <w:lang w:eastAsia="en-US"/>
        </w:rPr>
        <w:t>REVIEW</w:t>
      </w:r>
      <w:bookmarkStart w:id="3" w:name="_GoBack"/>
      <w:bookmarkEnd w:id="3"/>
    </w:p>
    <w:p w14:paraId="6C8D0D06" w14:textId="77777777" w:rsidR="001A2E87" w:rsidRPr="006E7292" w:rsidRDefault="001A2E87" w:rsidP="00EF7A13">
      <w:pPr>
        <w:snapToGrid w:val="0"/>
        <w:spacing w:line="360" w:lineRule="auto"/>
        <w:jc w:val="both"/>
        <w:rPr>
          <w:rFonts w:ascii="Book Antiqua" w:hAnsi="Book Antiqua"/>
          <w:b/>
        </w:rPr>
      </w:pPr>
    </w:p>
    <w:p w14:paraId="7ABA2676" w14:textId="04CB956B" w:rsidR="001B0767" w:rsidRPr="006E7292" w:rsidRDefault="001B0767">
      <w:pPr>
        <w:snapToGrid w:val="0"/>
        <w:spacing w:line="360" w:lineRule="auto"/>
        <w:jc w:val="both"/>
        <w:rPr>
          <w:rFonts w:ascii="Book Antiqua" w:hAnsi="Book Antiqua"/>
          <w:b/>
        </w:rPr>
      </w:pPr>
      <w:r w:rsidRPr="006E7292">
        <w:rPr>
          <w:rFonts w:ascii="Book Antiqua" w:hAnsi="Book Antiqua"/>
          <w:b/>
        </w:rPr>
        <w:t xml:space="preserve">Circulating </w:t>
      </w:r>
      <w:r w:rsidR="00BA406A" w:rsidRPr="006E7292">
        <w:rPr>
          <w:rFonts w:ascii="Book Antiqua" w:hAnsi="Book Antiqua"/>
          <w:b/>
        </w:rPr>
        <w:t xml:space="preserve">cell-free </w:t>
      </w:r>
      <w:r w:rsidRPr="006E7292">
        <w:rPr>
          <w:rFonts w:ascii="Book Antiqua" w:hAnsi="Book Antiqua"/>
          <w:b/>
        </w:rPr>
        <w:t xml:space="preserve">nucleic acids as </w:t>
      </w:r>
      <w:r w:rsidR="000F6D6F" w:rsidRPr="006E7292">
        <w:rPr>
          <w:rFonts w:ascii="Book Antiqua" w:hAnsi="Book Antiqua"/>
          <w:b/>
        </w:rPr>
        <w:t xml:space="preserve">prognostic and therapy predictive tools for </w:t>
      </w:r>
      <w:bookmarkStart w:id="4" w:name="OLE_LINK2"/>
      <w:bookmarkStart w:id="5" w:name="OLE_LINK5"/>
      <w:r w:rsidR="001C788A" w:rsidRPr="006E7292">
        <w:rPr>
          <w:rFonts w:ascii="Book Antiqua" w:hAnsi="Book Antiqua"/>
          <w:b/>
        </w:rPr>
        <w:t xml:space="preserve">metastatic </w:t>
      </w:r>
      <w:r w:rsidR="001A2E87" w:rsidRPr="006E7292">
        <w:rPr>
          <w:rFonts w:ascii="Book Antiqua" w:hAnsi="Book Antiqua"/>
          <w:b/>
        </w:rPr>
        <w:t>castrate</w:t>
      </w:r>
      <w:r w:rsidR="00DB07DC" w:rsidRPr="006E7292">
        <w:rPr>
          <w:rFonts w:ascii="Book Antiqua" w:hAnsi="Book Antiqua"/>
          <w:b/>
        </w:rPr>
        <w:t>-</w:t>
      </w:r>
      <w:r w:rsidR="001A2E87" w:rsidRPr="006E7292">
        <w:rPr>
          <w:rFonts w:ascii="Book Antiqua" w:hAnsi="Book Antiqua"/>
          <w:b/>
        </w:rPr>
        <w:t>resistant prostate cancer</w:t>
      </w:r>
      <w:bookmarkEnd w:id="0"/>
    </w:p>
    <w:bookmarkEnd w:id="4"/>
    <w:bookmarkEnd w:id="5"/>
    <w:p w14:paraId="48952054" w14:textId="77777777" w:rsidR="000F6D6F" w:rsidRPr="006E7292" w:rsidRDefault="000F6D6F">
      <w:pPr>
        <w:snapToGrid w:val="0"/>
        <w:spacing w:line="360" w:lineRule="auto"/>
        <w:jc w:val="both"/>
        <w:rPr>
          <w:rFonts w:ascii="Book Antiqua" w:hAnsi="Book Antiqua"/>
        </w:rPr>
      </w:pPr>
    </w:p>
    <w:p w14:paraId="721DCA17" w14:textId="01EE00B6" w:rsidR="001A2E87" w:rsidRPr="006E7292" w:rsidRDefault="000A3BC6">
      <w:pPr>
        <w:snapToGrid w:val="0"/>
        <w:spacing w:line="360" w:lineRule="auto"/>
        <w:jc w:val="both"/>
        <w:rPr>
          <w:rFonts w:ascii="Book Antiqua" w:hAnsi="Book Antiqua"/>
        </w:rPr>
      </w:pPr>
      <w:r w:rsidRPr="006E7292">
        <w:rPr>
          <w:rFonts w:ascii="Book Antiqua" w:hAnsi="Book Antiqua"/>
        </w:rPr>
        <w:t xml:space="preserve">Sobhani N </w:t>
      </w:r>
      <w:r w:rsidRPr="006E7292">
        <w:rPr>
          <w:rFonts w:ascii="Book Antiqua" w:hAnsi="Book Antiqua"/>
          <w:i/>
        </w:rPr>
        <w:t>et al</w:t>
      </w:r>
      <w:r w:rsidRPr="006E7292">
        <w:rPr>
          <w:rFonts w:ascii="Book Antiqua" w:hAnsi="Book Antiqua"/>
        </w:rPr>
        <w:t xml:space="preserve">. </w:t>
      </w:r>
      <w:r w:rsidR="001A2E87" w:rsidRPr="006E7292">
        <w:rPr>
          <w:rFonts w:ascii="Book Antiqua" w:hAnsi="Book Antiqua"/>
        </w:rPr>
        <w:t>Prognostic and therapy of mCRPC</w:t>
      </w:r>
    </w:p>
    <w:p w14:paraId="7BDECDF6" w14:textId="77777777" w:rsidR="001A2E87" w:rsidRPr="006E7292" w:rsidRDefault="001A2E87">
      <w:pPr>
        <w:snapToGrid w:val="0"/>
        <w:spacing w:line="360" w:lineRule="auto"/>
        <w:jc w:val="both"/>
        <w:rPr>
          <w:rFonts w:ascii="Book Antiqua" w:hAnsi="Book Antiqua"/>
          <w:b/>
        </w:rPr>
      </w:pPr>
    </w:p>
    <w:p w14:paraId="6DFDE28E" w14:textId="112FCED0" w:rsidR="000F6D6F" w:rsidRPr="00644326" w:rsidRDefault="000F6D6F">
      <w:pPr>
        <w:snapToGrid w:val="0"/>
        <w:spacing w:line="360" w:lineRule="auto"/>
        <w:jc w:val="both"/>
        <w:rPr>
          <w:rFonts w:ascii="Book Antiqua" w:hAnsi="Book Antiqua"/>
          <w:b/>
          <w:lang w:val="it-IT"/>
        </w:rPr>
      </w:pPr>
      <w:r w:rsidRPr="00644326">
        <w:rPr>
          <w:rFonts w:ascii="Book Antiqua" w:hAnsi="Book Antiqua"/>
          <w:lang w:val="it-IT"/>
        </w:rPr>
        <w:t xml:space="preserve">Navid Sobhani, Marianna Sirico, </w:t>
      </w:r>
      <w:r w:rsidR="00FC273A" w:rsidRPr="00644326">
        <w:rPr>
          <w:rFonts w:ascii="Book Antiqua" w:hAnsi="Book Antiqua"/>
          <w:lang w:val="it-IT"/>
        </w:rPr>
        <w:t xml:space="preserve">Daniele Generali, </w:t>
      </w:r>
      <w:r w:rsidR="00296540" w:rsidRPr="00644326">
        <w:rPr>
          <w:rFonts w:ascii="Book Antiqua" w:hAnsi="Book Antiqua"/>
          <w:lang w:val="it-IT"/>
        </w:rPr>
        <w:t xml:space="preserve">Fabrizio Zanconati, </w:t>
      </w:r>
      <w:r w:rsidRPr="00644326">
        <w:rPr>
          <w:rFonts w:ascii="Book Antiqua" w:hAnsi="Book Antiqua"/>
          <w:lang w:val="it-IT"/>
        </w:rPr>
        <w:t>Bruna Scaggiante</w:t>
      </w:r>
    </w:p>
    <w:p w14:paraId="3FE951E7" w14:textId="77777777" w:rsidR="000F6D6F" w:rsidRPr="00644326" w:rsidRDefault="000F6D6F">
      <w:pPr>
        <w:snapToGrid w:val="0"/>
        <w:spacing w:line="360" w:lineRule="auto"/>
        <w:jc w:val="both"/>
        <w:rPr>
          <w:rFonts w:ascii="Book Antiqua" w:eastAsia="宋体" w:hAnsi="Book Antiqua"/>
          <w:b/>
          <w:bCs/>
          <w:lang w:val="it-IT" w:eastAsia="zh-CN"/>
        </w:rPr>
      </w:pPr>
    </w:p>
    <w:p w14:paraId="6CA44C6A" w14:textId="0C3F7E2A" w:rsidR="001052E8" w:rsidRPr="006E7292" w:rsidRDefault="000F6D6F">
      <w:pPr>
        <w:snapToGrid w:val="0"/>
        <w:spacing w:line="360" w:lineRule="auto"/>
        <w:jc w:val="both"/>
        <w:rPr>
          <w:rFonts w:ascii="Book Antiqua" w:eastAsia="Times New Roman" w:hAnsi="Book Antiqua" w:cs="Times New Roman"/>
        </w:rPr>
      </w:pPr>
      <w:r w:rsidRPr="006E7292">
        <w:rPr>
          <w:rFonts w:ascii="Book Antiqua" w:hAnsi="Book Antiqua"/>
          <w:b/>
        </w:rPr>
        <w:t>Navid Sobhani,</w:t>
      </w:r>
      <w:r w:rsidR="001052E8" w:rsidRPr="006E7292">
        <w:rPr>
          <w:rFonts w:ascii="Book Antiqua" w:hAnsi="Book Antiqua"/>
          <w:b/>
        </w:rPr>
        <w:t xml:space="preserve"> </w:t>
      </w:r>
      <w:r w:rsidR="001052E8" w:rsidRPr="006E7292">
        <w:rPr>
          <w:rFonts w:ascii="Book Antiqua" w:eastAsia="Times New Roman" w:hAnsi="Book Antiqua" w:cs="Times New Roman"/>
        </w:rPr>
        <w:t xml:space="preserve">Texas Medical Centre, Baylor College of Medicine, Alkek Building, </w:t>
      </w:r>
      <w:r w:rsidR="000A3BC6" w:rsidRPr="006E7292">
        <w:rPr>
          <w:rFonts w:ascii="Book Antiqua" w:eastAsia="Times New Roman" w:hAnsi="Book Antiqua" w:cs="Times New Roman"/>
        </w:rPr>
        <w:t>Houston, TX 77030, United States</w:t>
      </w:r>
    </w:p>
    <w:p w14:paraId="651F4C0D" w14:textId="77777777" w:rsidR="000A3BC6" w:rsidRPr="006E7292" w:rsidRDefault="000A3BC6">
      <w:pPr>
        <w:snapToGrid w:val="0"/>
        <w:spacing w:line="360" w:lineRule="auto"/>
        <w:jc w:val="both"/>
        <w:rPr>
          <w:rFonts w:ascii="Book Antiqua" w:hAnsi="Book Antiqua"/>
          <w:b/>
        </w:rPr>
      </w:pPr>
    </w:p>
    <w:p w14:paraId="48D1AF82" w14:textId="61304332" w:rsidR="001052E8" w:rsidRPr="006E7292" w:rsidRDefault="001052E8">
      <w:pPr>
        <w:snapToGrid w:val="0"/>
        <w:spacing w:line="360" w:lineRule="auto"/>
        <w:jc w:val="both"/>
        <w:rPr>
          <w:rFonts w:ascii="Book Antiqua" w:eastAsia="Times New Roman" w:hAnsi="Book Antiqua" w:cs="Times New Roman"/>
        </w:rPr>
      </w:pPr>
      <w:r w:rsidRPr="006E7292">
        <w:rPr>
          <w:rFonts w:ascii="Book Antiqua" w:hAnsi="Book Antiqua"/>
          <w:b/>
        </w:rPr>
        <w:t xml:space="preserve">Marianna Sirico, </w:t>
      </w:r>
      <w:r w:rsidR="000A3BC6" w:rsidRPr="006E7292">
        <w:rPr>
          <w:rFonts w:ascii="Book Antiqua" w:hAnsi="Book Antiqua"/>
          <w:b/>
        </w:rPr>
        <w:t xml:space="preserve">Daniele Generali, </w:t>
      </w:r>
      <w:r w:rsidRPr="006E7292">
        <w:rPr>
          <w:rFonts w:ascii="Book Antiqua" w:eastAsia="Times New Roman" w:hAnsi="Book Antiqua" w:cs="Times New Roman"/>
        </w:rPr>
        <w:t xml:space="preserve">Multidisciplinary Operative Unit of Mammary Pathology and Translational Research, ASST of Cremona, </w:t>
      </w:r>
      <w:r w:rsidR="000A3BC6" w:rsidRPr="006E7292">
        <w:rPr>
          <w:rFonts w:ascii="Book Antiqua" w:eastAsia="Times New Roman" w:hAnsi="Book Antiqua" w:cs="Times New Roman"/>
        </w:rPr>
        <w:t>Cremona 26100, Italy</w:t>
      </w:r>
    </w:p>
    <w:p w14:paraId="7CB576B8" w14:textId="77777777" w:rsidR="000A3BC6" w:rsidRPr="006E7292" w:rsidRDefault="000A3BC6">
      <w:pPr>
        <w:snapToGrid w:val="0"/>
        <w:spacing w:line="360" w:lineRule="auto"/>
        <w:jc w:val="both"/>
        <w:rPr>
          <w:rFonts w:ascii="Book Antiqua" w:hAnsi="Book Antiqua"/>
          <w:b/>
        </w:rPr>
      </w:pPr>
    </w:p>
    <w:p w14:paraId="661CCA83" w14:textId="65DE0CAB" w:rsidR="000A3BC6" w:rsidRPr="006E7292" w:rsidRDefault="001052E8">
      <w:pPr>
        <w:snapToGrid w:val="0"/>
        <w:spacing w:line="360" w:lineRule="auto"/>
        <w:jc w:val="both"/>
        <w:rPr>
          <w:rFonts w:ascii="Book Antiqua" w:eastAsia="Times New Roman" w:hAnsi="Book Antiqua" w:cs="Times New Roman"/>
        </w:rPr>
      </w:pPr>
      <w:r w:rsidRPr="006E7292">
        <w:rPr>
          <w:rFonts w:ascii="Book Antiqua" w:hAnsi="Book Antiqua"/>
          <w:b/>
        </w:rPr>
        <w:t>Daniele Generali</w:t>
      </w:r>
      <w:r w:rsidR="000F6D6F" w:rsidRPr="006E7292">
        <w:rPr>
          <w:rFonts w:ascii="Book Antiqua" w:hAnsi="Book Antiqua"/>
          <w:b/>
        </w:rPr>
        <w:t xml:space="preserve">, </w:t>
      </w:r>
      <w:r w:rsidR="000A3BC6" w:rsidRPr="006E7292">
        <w:rPr>
          <w:rFonts w:ascii="Book Antiqua" w:hAnsi="Book Antiqua"/>
          <w:b/>
        </w:rPr>
        <w:t xml:space="preserve">Fabrizio Zanconati, </w:t>
      </w:r>
      <w:r w:rsidR="000F6D6F" w:rsidRPr="006E7292">
        <w:rPr>
          <w:rFonts w:ascii="Book Antiqua" w:eastAsia="Times New Roman" w:hAnsi="Book Antiqua" w:cs="Times New Roman"/>
        </w:rPr>
        <w:t xml:space="preserve">Department of Medical, Surgical </w:t>
      </w:r>
      <w:r w:rsidR="000F6D6F" w:rsidRPr="006E7292">
        <w:rPr>
          <w:rFonts w:ascii="Book Antiqua" w:eastAsia="宋体" w:hAnsi="Book Antiqua" w:cs="Times New Roman"/>
          <w:lang w:eastAsia="zh-CN"/>
        </w:rPr>
        <w:t>and</w:t>
      </w:r>
      <w:r w:rsidR="000F6D6F" w:rsidRPr="006E7292">
        <w:rPr>
          <w:rFonts w:ascii="Book Antiqua" w:eastAsia="Times New Roman" w:hAnsi="Book Antiqua" w:cs="Times New Roman"/>
        </w:rPr>
        <w:t xml:space="preserve"> Health Sciences, University of Trieste,</w:t>
      </w:r>
      <w:r w:rsidR="00261DBC" w:rsidRPr="006E7292">
        <w:rPr>
          <w:rFonts w:ascii="Book Antiqua" w:eastAsia="Times New Roman" w:hAnsi="Book Antiqua" w:cs="Times New Roman"/>
        </w:rPr>
        <w:t xml:space="preserve"> </w:t>
      </w:r>
      <w:r w:rsidR="000F6D6F" w:rsidRPr="006E7292">
        <w:rPr>
          <w:rFonts w:ascii="Book Antiqua" w:eastAsia="Times New Roman" w:hAnsi="Book Antiqua" w:cs="Times New Roman"/>
        </w:rPr>
        <w:t>Cattinara</w:t>
      </w:r>
      <w:r w:rsidR="00261DBC" w:rsidRPr="006E7292">
        <w:rPr>
          <w:rFonts w:ascii="Book Antiqua" w:eastAsia="Times New Roman" w:hAnsi="Book Antiqua" w:cs="Times New Roman"/>
        </w:rPr>
        <w:t xml:space="preserve"> </w:t>
      </w:r>
      <w:r w:rsidR="000F6D6F" w:rsidRPr="006E7292">
        <w:rPr>
          <w:rFonts w:ascii="Book Antiqua" w:eastAsia="Times New Roman" w:hAnsi="Book Antiqua" w:cs="Times New Roman"/>
        </w:rPr>
        <w:t>Academic Hospital, Trieste</w:t>
      </w:r>
      <w:r w:rsidR="000F6D6F" w:rsidRPr="006E7292">
        <w:rPr>
          <w:rFonts w:ascii="Book Antiqua" w:eastAsia="宋体" w:hAnsi="Book Antiqua" w:cs="Times New Roman"/>
          <w:lang w:eastAsia="zh-CN"/>
        </w:rPr>
        <w:t xml:space="preserve"> </w:t>
      </w:r>
      <w:r w:rsidR="000F6D6F" w:rsidRPr="006E7292">
        <w:rPr>
          <w:rFonts w:ascii="Book Antiqua" w:eastAsia="Times New Roman" w:hAnsi="Book Antiqua" w:cs="Times New Roman"/>
        </w:rPr>
        <w:t>34149, Italy</w:t>
      </w:r>
    </w:p>
    <w:p w14:paraId="6BE22358" w14:textId="77777777" w:rsidR="000A3BC6" w:rsidRPr="006E7292" w:rsidRDefault="000A3BC6">
      <w:pPr>
        <w:pStyle w:val="Normal1"/>
        <w:widowControl w:val="0"/>
        <w:snapToGrid w:val="0"/>
        <w:spacing w:after="0" w:line="360" w:lineRule="auto"/>
        <w:jc w:val="both"/>
        <w:rPr>
          <w:rFonts w:ascii="Book Antiqua" w:hAnsi="Book Antiqua"/>
          <w:b/>
          <w:bCs/>
          <w:color w:val="auto"/>
          <w:sz w:val="24"/>
          <w:szCs w:val="24"/>
          <w:lang w:val="en-US"/>
        </w:rPr>
      </w:pPr>
    </w:p>
    <w:p w14:paraId="2EB3F39A" w14:textId="211973B7" w:rsidR="000F6D6F" w:rsidRPr="006E7292" w:rsidRDefault="000F6D6F">
      <w:pPr>
        <w:pStyle w:val="Normal1"/>
        <w:widowControl w:val="0"/>
        <w:snapToGrid w:val="0"/>
        <w:spacing w:after="0" w:line="360" w:lineRule="auto"/>
        <w:jc w:val="both"/>
        <w:rPr>
          <w:rFonts w:ascii="Book Antiqua" w:eastAsia="宋体" w:hAnsi="Book Antiqua"/>
          <w:color w:val="auto"/>
          <w:sz w:val="24"/>
          <w:szCs w:val="24"/>
          <w:lang w:val="en-US" w:eastAsia="zh-CN"/>
        </w:rPr>
      </w:pPr>
      <w:r w:rsidRPr="006E7292">
        <w:rPr>
          <w:rFonts w:ascii="Book Antiqua" w:hAnsi="Book Antiqua"/>
          <w:b/>
          <w:bCs/>
          <w:color w:val="auto"/>
          <w:sz w:val="24"/>
          <w:szCs w:val="24"/>
          <w:lang w:val="en-US"/>
        </w:rPr>
        <w:t>Bruna Scaggiante,</w:t>
      </w:r>
      <w:r w:rsidR="00E409F7" w:rsidRPr="006E7292" w:rsidDel="00E409F7">
        <w:rPr>
          <w:rFonts w:ascii="Book Antiqua" w:hAnsi="Book Antiqua"/>
          <w:b/>
          <w:color w:val="auto"/>
          <w:sz w:val="24"/>
          <w:szCs w:val="24"/>
          <w:lang w:val="en-US"/>
        </w:rPr>
        <w:t xml:space="preserve"> </w:t>
      </w:r>
      <w:r w:rsidRPr="006E7292">
        <w:rPr>
          <w:rFonts w:ascii="Book Antiqua" w:hAnsi="Book Antiqua"/>
          <w:color w:val="auto"/>
          <w:sz w:val="24"/>
          <w:szCs w:val="24"/>
          <w:lang w:val="en-US"/>
        </w:rPr>
        <w:t>Department of Life Sciences, University of Trieste, Trieste 34127, Italy</w:t>
      </w:r>
    </w:p>
    <w:p w14:paraId="052F2FEA" w14:textId="77777777" w:rsidR="000C3E30" w:rsidRPr="006E7292" w:rsidRDefault="000C3E30">
      <w:pPr>
        <w:snapToGrid w:val="0"/>
        <w:spacing w:line="360" w:lineRule="auto"/>
        <w:jc w:val="both"/>
        <w:rPr>
          <w:rFonts w:ascii="Book Antiqua" w:hAnsi="Book Antiqua"/>
          <w:b/>
        </w:rPr>
      </w:pPr>
    </w:p>
    <w:p w14:paraId="1F4AA70B" w14:textId="53AB0765" w:rsidR="00947B1E" w:rsidRPr="00644326" w:rsidRDefault="00947B1E">
      <w:pPr>
        <w:snapToGrid w:val="0"/>
        <w:spacing w:line="360" w:lineRule="auto"/>
        <w:jc w:val="both"/>
        <w:rPr>
          <w:rFonts w:ascii="Book Antiqua" w:hAnsi="Book Antiqua"/>
          <w:b/>
          <w:lang w:val="it-IT"/>
        </w:rPr>
      </w:pPr>
      <w:r w:rsidRPr="00644326">
        <w:rPr>
          <w:rFonts w:ascii="Book Antiqua" w:hAnsi="Book Antiqua"/>
          <w:b/>
          <w:lang w:val="it-IT"/>
        </w:rPr>
        <w:t>Supported by</w:t>
      </w:r>
      <w:r w:rsidR="00F7579A" w:rsidRPr="00644326">
        <w:rPr>
          <w:rFonts w:ascii="Book Antiqua" w:hAnsi="Book Antiqua"/>
          <w:b/>
          <w:lang w:val="it-IT"/>
        </w:rPr>
        <w:t xml:space="preserve"> </w:t>
      </w:r>
      <w:r w:rsidR="00F7579A" w:rsidRPr="00644326">
        <w:rPr>
          <w:rFonts w:ascii="Book Antiqua" w:hAnsi="Book Antiqua"/>
          <w:lang w:val="it-IT"/>
        </w:rPr>
        <w:t>Beneficentia Stiftung, No. 2016/16; Lega Italiana per la Lotta contro i Tumori.</w:t>
      </w:r>
    </w:p>
    <w:p w14:paraId="03F9C015" w14:textId="77777777" w:rsidR="00947B1E" w:rsidRPr="00644326" w:rsidRDefault="00947B1E">
      <w:pPr>
        <w:snapToGrid w:val="0"/>
        <w:spacing w:line="360" w:lineRule="auto"/>
        <w:jc w:val="both"/>
        <w:rPr>
          <w:rFonts w:ascii="Book Antiqua" w:hAnsi="Book Antiqua"/>
          <w:b/>
          <w:lang w:val="it-IT"/>
        </w:rPr>
      </w:pPr>
    </w:p>
    <w:p w14:paraId="0A95AA21" w14:textId="3A2D1E3C" w:rsidR="000C3E30" w:rsidRPr="006E7292" w:rsidRDefault="003A0A61">
      <w:pPr>
        <w:pStyle w:val="Normal1"/>
        <w:snapToGrid w:val="0"/>
        <w:spacing w:after="0" w:line="360" w:lineRule="auto"/>
        <w:jc w:val="both"/>
        <w:rPr>
          <w:rFonts w:ascii="Book Antiqua" w:eastAsia="Times New Roman" w:hAnsi="Book Antiqua" w:cs="Times New Roman"/>
          <w:color w:val="auto"/>
          <w:sz w:val="24"/>
          <w:szCs w:val="24"/>
          <w:u w:val="single"/>
          <w:lang w:val="en-US"/>
        </w:rPr>
      </w:pPr>
      <w:r w:rsidRPr="006E7292">
        <w:rPr>
          <w:rFonts w:ascii="Book Antiqua" w:hAnsi="Book Antiqua"/>
          <w:b/>
          <w:color w:val="auto"/>
          <w:sz w:val="24"/>
          <w:szCs w:val="24"/>
          <w:lang w:val="en-US"/>
        </w:rPr>
        <w:t>Corresponding author:</w:t>
      </w:r>
      <w:r w:rsidR="001D1CB6" w:rsidRPr="006E7292">
        <w:rPr>
          <w:rFonts w:ascii="Book Antiqua" w:eastAsia="宋体" w:hAnsi="Book Antiqua"/>
          <w:b/>
          <w:color w:val="auto"/>
          <w:sz w:val="24"/>
          <w:szCs w:val="24"/>
          <w:lang w:val="en-US" w:eastAsia="zh-CN"/>
        </w:rPr>
        <w:t xml:space="preserve"> </w:t>
      </w:r>
      <w:r w:rsidR="001D1CB6" w:rsidRPr="006E7292">
        <w:rPr>
          <w:rFonts w:ascii="Book Antiqua" w:eastAsia="宋体" w:hAnsi="Book Antiqua" w:cs="Times New Roman"/>
          <w:b/>
          <w:color w:val="auto"/>
          <w:sz w:val="24"/>
          <w:szCs w:val="24"/>
          <w:lang w:val="en-US" w:eastAsia="zh-CN"/>
        </w:rPr>
        <w:t>Bruna Scaggiante,</w:t>
      </w:r>
      <w:r w:rsidR="001D1CB6" w:rsidRPr="006E7292">
        <w:rPr>
          <w:rFonts w:ascii="Book Antiqua" w:eastAsia="Times New Roman" w:hAnsi="Book Antiqua" w:cs="Times New Roman"/>
          <w:b/>
          <w:color w:val="auto"/>
          <w:sz w:val="24"/>
          <w:szCs w:val="24"/>
          <w:lang w:val="en-US"/>
        </w:rPr>
        <w:t xml:space="preserve"> PhD, </w:t>
      </w:r>
      <w:r w:rsidR="00F7579A" w:rsidRPr="006E7292">
        <w:rPr>
          <w:rFonts w:ascii="Book Antiqua" w:eastAsia="Times New Roman" w:hAnsi="Book Antiqua" w:cs="Times New Roman"/>
          <w:b/>
          <w:color w:val="auto"/>
          <w:sz w:val="24"/>
          <w:szCs w:val="24"/>
          <w:lang w:val="en-US"/>
        </w:rPr>
        <w:t>Assistant Professor,</w:t>
      </w:r>
      <w:r w:rsidR="001D1CB6" w:rsidRPr="006E7292">
        <w:rPr>
          <w:rFonts w:ascii="Book Antiqua" w:hAnsi="Book Antiqua"/>
          <w:color w:val="auto"/>
          <w:sz w:val="24"/>
          <w:szCs w:val="24"/>
          <w:lang w:val="en-US"/>
        </w:rPr>
        <w:t xml:space="preserve"> Department of Life Sciences, University of Trieste, </w:t>
      </w:r>
      <w:r w:rsidR="00F7579A" w:rsidRPr="006E7292">
        <w:rPr>
          <w:rFonts w:ascii="Book Antiqua" w:eastAsia="Times New Roman" w:hAnsi="Book Antiqua" w:cs="Times New Roman"/>
          <w:color w:val="auto"/>
          <w:sz w:val="24"/>
          <w:szCs w:val="24"/>
          <w:lang w:val="en-US"/>
        </w:rPr>
        <w:t>Via Giorgeri</w:t>
      </w:r>
      <w:r w:rsidR="001D1CB6" w:rsidRPr="006E7292">
        <w:rPr>
          <w:rFonts w:ascii="Book Antiqua" w:eastAsia="Times New Roman" w:hAnsi="Book Antiqua" w:cs="Times New Roman"/>
          <w:color w:val="auto"/>
          <w:sz w:val="24"/>
          <w:szCs w:val="24"/>
          <w:lang w:val="en-US"/>
        </w:rPr>
        <w:t xml:space="preserve"> 1</w:t>
      </w:r>
      <w:r w:rsidR="001D1CB6" w:rsidRPr="006E7292">
        <w:rPr>
          <w:rFonts w:ascii="Book Antiqua" w:eastAsia="宋体" w:hAnsi="Book Antiqua" w:cs="Times New Roman"/>
          <w:color w:val="auto"/>
          <w:sz w:val="24"/>
          <w:szCs w:val="24"/>
          <w:lang w:val="en-US" w:eastAsia="zh-CN"/>
        </w:rPr>
        <w:t xml:space="preserve">, </w:t>
      </w:r>
      <w:r w:rsidR="001D1CB6" w:rsidRPr="006E7292">
        <w:rPr>
          <w:rFonts w:ascii="Book Antiqua" w:hAnsi="Book Antiqua"/>
          <w:color w:val="auto"/>
          <w:sz w:val="24"/>
          <w:szCs w:val="24"/>
          <w:lang w:val="en-US"/>
        </w:rPr>
        <w:t>Trieste 34127, Italy</w:t>
      </w:r>
      <w:r w:rsidR="001D1CB6" w:rsidRPr="006E7292">
        <w:rPr>
          <w:rFonts w:ascii="Book Antiqua" w:eastAsia="宋体" w:hAnsi="Book Antiqua"/>
          <w:color w:val="auto"/>
          <w:sz w:val="24"/>
          <w:szCs w:val="24"/>
          <w:lang w:val="en-US" w:eastAsia="zh-CN"/>
        </w:rPr>
        <w:t xml:space="preserve">. </w:t>
      </w:r>
      <w:r w:rsidR="00F7579A" w:rsidRPr="006E7292">
        <w:rPr>
          <w:rFonts w:ascii="Book Antiqua" w:eastAsia="Times New Roman" w:hAnsi="Book Antiqua" w:cs="Times New Roman"/>
          <w:color w:val="auto"/>
          <w:sz w:val="24"/>
          <w:szCs w:val="24"/>
          <w:u w:val="single"/>
          <w:lang w:val="en-US"/>
        </w:rPr>
        <w:t>bscaggiante@units.it</w:t>
      </w:r>
    </w:p>
    <w:p w14:paraId="096C8545" w14:textId="77777777" w:rsidR="00F7579A" w:rsidRPr="006E7292" w:rsidRDefault="00F7579A">
      <w:pPr>
        <w:pStyle w:val="Normal1"/>
        <w:snapToGrid w:val="0"/>
        <w:spacing w:after="0" w:line="360" w:lineRule="auto"/>
        <w:jc w:val="both"/>
        <w:rPr>
          <w:rFonts w:ascii="Book Antiqua" w:eastAsia="Times New Roman" w:hAnsi="Book Antiqua" w:cs="Times New Roman"/>
          <w:color w:val="auto"/>
          <w:sz w:val="24"/>
          <w:szCs w:val="24"/>
          <w:u w:val="single"/>
          <w:lang w:val="en-US"/>
        </w:rPr>
      </w:pPr>
    </w:p>
    <w:p w14:paraId="00596414" w14:textId="0638A048" w:rsidR="00F7579A" w:rsidRPr="006E7292" w:rsidRDefault="00F7579A">
      <w:pPr>
        <w:snapToGrid w:val="0"/>
        <w:spacing w:line="360" w:lineRule="auto"/>
        <w:jc w:val="both"/>
        <w:rPr>
          <w:rFonts w:ascii="Book Antiqua" w:hAnsi="Book Antiqua"/>
          <w:b/>
        </w:rPr>
      </w:pPr>
      <w:r w:rsidRPr="006E7292">
        <w:rPr>
          <w:rFonts w:ascii="Book Antiqua" w:hAnsi="Book Antiqua"/>
          <w:b/>
        </w:rPr>
        <w:lastRenderedPageBreak/>
        <w:t>Received:</w:t>
      </w:r>
      <w:r w:rsidRPr="006E7292">
        <w:rPr>
          <w:rFonts w:ascii="Book Antiqua" w:eastAsia="宋体" w:hAnsi="Book Antiqua"/>
          <w:b/>
          <w:lang w:eastAsia="zh-CN"/>
        </w:rPr>
        <w:t xml:space="preserve"> </w:t>
      </w:r>
      <w:r w:rsidRPr="006E7292">
        <w:rPr>
          <w:rFonts w:ascii="Book Antiqua" w:eastAsia="宋体" w:hAnsi="Book Antiqua"/>
          <w:lang w:eastAsia="zh-CN"/>
        </w:rPr>
        <w:t>March 6, 2020</w:t>
      </w:r>
    </w:p>
    <w:p w14:paraId="0060FA75" w14:textId="1CF8D2A6" w:rsidR="00F7579A" w:rsidRPr="006E7292" w:rsidRDefault="00F7579A">
      <w:pPr>
        <w:snapToGrid w:val="0"/>
        <w:spacing w:line="360" w:lineRule="auto"/>
        <w:jc w:val="both"/>
        <w:rPr>
          <w:rFonts w:ascii="Book Antiqua" w:eastAsia="宋体" w:hAnsi="Book Antiqua"/>
          <w:b/>
          <w:lang w:eastAsia="zh-CN"/>
        </w:rPr>
      </w:pPr>
      <w:r w:rsidRPr="006E7292">
        <w:rPr>
          <w:rFonts w:ascii="Book Antiqua" w:hAnsi="Book Antiqua"/>
          <w:b/>
        </w:rPr>
        <w:t xml:space="preserve">Revised: </w:t>
      </w:r>
      <w:r w:rsidRPr="006E7292">
        <w:rPr>
          <w:rFonts w:ascii="Book Antiqua" w:eastAsia="宋体" w:hAnsi="Book Antiqua"/>
          <w:lang w:eastAsia="zh-CN"/>
        </w:rPr>
        <w:t>May 12, 2020</w:t>
      </w:r>
    </w:p>
    <w:p w14:paraId="23750DE9" w14:textId="140C1863" w:rsidR="00F7579A" w:rsidRPr="006E7292" w:rsidRDefault="00F7579A">
      <w:pPr>
        <w:snapToGrid w:val="0"/>
        <w:spacing w:line="360" w:lineRule="auto"/>
        <w:jc w:val="both"/>
        <w:rPr>
          <w:rFonts w:ascii="Book Antiqua" w:hAnsi="Book Antiqua"/>
        </w:rPr>
      </w:pPr>
      <w:r w:rsidRPr="006E7292">
        <w:rPr>
          <w:rFonts w:ascii="Book Antiqua" w:hAnsi="Book Antiqua"/>
          <w:b/>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6E7292">
        <w:rPr>
          <w:rFonts w:ascii="Book Antiqua" w:hAnsi="Book Antiqua"/>
        </w:rPr>
        <w:t xml:space="preserve"> </w:t>
      </w:r>
      <w:bookmarkEnd w:id="6"/>
      <w:bookmarkEnd w:id="7"/>
      <w:bookmarkEnd w:id="8"/>
      <w:bookmarkEnd w:id="9"/>
      <w:bookmarkEnd w:id="10"/>
      <w:bookmarkEnd w:id="11"/>
      <w:bookmarkEnd w:id="12"/>
      <w:r w:rsidR="00EF7BE2" w:rsidRPr="006E7292">
        <w:rPr>
          <w:rFonts w:ascii="Book Antiqua" w:hAnsi="Book Antiqua"/>
        </w:rPr>
        <w:t>May 28, 2020</w:t>
      </w:r>
    </w:p>
    <w:p w14:paraId="5CA3565B" w14:textId="77777777" w:rsidR="00F7579A" w:rsidRPr="006E7292" w:rsidRDefault="00F7579A">
      <w:pPr>
        <w:snapToGrid w:val="0"/>
        <w:spacing w:line="360" w:lineRule="auto"/>
        <w:jc w:val="both"/>
        <w:rPr>
          <w:rFonts w:ascii="Book Antiqua" w:hAnsi="Book Antiqua"/>
          <w:b/>
        </w:rPr>
      </w:pPr>
      <w:r w:rsidRPr="006E7292">
        <w:rPr>
          <w:rFonts w:ascii="Book Antiqua" w:hAnsi="Book Antiqua"/>
          <w:b/>
        </w:rPr>
        <w:t xml:space="preserve">Published online: </w:t>
      </w:r>
    </w:p>
    <w:p w14:paraId="6A4F5414" w14:textId="77777777" w:rsidR="00F7579A" w:rsidRPr="006E7292" w:rsidRDefault="00F7579A">
      <w:pPr>
        <w:pStyle w:val="Normal1"/>
        <w:snapToGrid w:val="0"/>
        <w:spacing w:after="0" w:line="360" w:lineRule="auto"/>
        <w:jc w:val="both"/>
        <w:rPr>
          <w:rFonts w:ascii="Book Antiqua" w:eastAsia="宋体" w:hAnsi="Book Antiqua" w:cs="Times New Roman"/>
          <w:color w:val="auto"/>
          <w:sz w:val="24"/>
          <w:szCs w:val="24"/>
          <w:u w:val="single"/>
          <w:lang w:val="en-US" w:eastAsia="zh-CN"/>
        </w:rPr>
      </w:pPr>
    </w:p>
    <w:p w14:paraId="26EBEF15" w14:textId="77777777" w:rsidR="00F7579A" w:rsidRPr="006E7292" w:rsidRDefault="00F7579A">
      <w:pPr>
        <w:snapToGrid w:val="0"/>
        <w:spacing w:line="360" w:lineRule="auto"/>
        <w:jc w:val="both"/>
        <w:rPr>
          <w:rFonts w:ascii="Book Antiqua" w:hAnsi="Book Antiqua"/>
          <w:b/>
        </w:rPr>
      </w:pPr>
      <w:r w:rsidRPr="006E7292">
        <w:rPr>
          <w:rFonts w:ascii="Book Antiqua" w:hAnsi="Book Antiqua"/>
          <w:b/>
        </w:rPr>
        <w:br w:type="page"/>
      </w:r>
    </w:p>
    <w:p w14:paraId="2F4D537E" w14:textId="77777777" w:rsidR="00F7579A" w:rsidRPr="006E7292" w:rsidRDefault="00F7579A">
      <w:pPr>
        <w:snapToGrid w:val="0"/>
        <w:spacing w:line="360" w:lineRule="auto"/>
        <w:jc w:val="both"/>
        <w:rPr>
          <w:rFonts w:ascii="Book Antiqua" w:eastAsia="宋体" w:hAnsi="Book Antiqua"/>
          <w:lang w:eastAsia="zh-CN"/>
        </w:rPr>
      </w:pPr>
      <w:r w:rsidRPr="006E7292">
        <w:rPr>
          <w:rFonts w:ascii="Book Antiqua" w:hAnsi="Book Antiqua"/>
          <w:b/>
          <w:bCs/>
          <w:lang w:eastAsia="es-ES"/>
        </w:rPr>
        <w:lastRenderedPageBreak/>
        <w:t>Abstract</w:t>
      </w:r>
    </w:p>
    <w:p w14:paraId="256FB14D" w14:textId="6F1E0C0E" w:rsidR="007C48FC" w:rsidRPr="006E7292" w:rsidRDefault="007C48FC">
      <w:pPr>
        <w:snapToGrid w:val="0"/>
        <w:spacing w:line="360" w:lineRule="auto"/>
        <w:jc w:val="both"/>
        <w:rPr>
          <w:rFonts w:ascii="Book Antiqua" w:hAnsi="Book Antiqua" w:cs="Times New Roman"/>
        </w:rPr>
      </w:pPr>
      <w:r w:rsidRPr="006E7292">
        <w:rPr>
          <w:rFonts w:ascii="Book Antiqua" w:hAnsi="Book Antiqua" w:cs="Times New Roman"/>
        </w:rPr>
        <w:t xml:space="preserve">Metastatic </w:t>
      </w:r>
      <w:r w:rsidR="006C5C2E" w:rsidRPr="006E7292">
        <w:rPr>
          <w:rFonts w:ascii="Book Antiqua" w:hAnsi="Book Antiqua" w:cs="Times New Roman"/>
        </w:rPr>
        <w:t>castrate</w:t>
      </w:r>
      <w:r w:rsidRPr="006E7292">
        <w:rPr>
          <w:rFonts w:ascii="Book Antiqua" w:hAnsi="Book Antiqua" w:cs="Times New Roman"/>
        </w:rPr>
        <w:t>-</w:t>
      </w:r>
      <w:r w:rsidR="006C5C2E" w:rsidRPr="006E7292">
        <w:rPr>
          <w:rFonts w:ascii="Book Antiqua" w:hAnsi="Book Antiqua" w:cs="Times New Roman"/>
        </w:rPr>
        <w:t>resistant prostate cancer</w:t>
      </w:r>
      <w:r w:rsidRPr="006E7292">
        <w:rPr>
          <w:rFonts w:ascii="Book Antiqua" w:hAnsi="Book Antiqua" w:cs="Times New Roman"/>
        </w:rPr>
        <w:t xml:space="preserve"> remains a disease hard to cure,</w:t>
      </w:r>
      <w:r w:rsidR="005D30B0" w:rsidRPr="006E7292">
        <w:rPr>
          <w:rFonts w:ascii="Book Antiqua" w:hAnsi="Book Antiqua" w:cs="Times New Roman"/>
        </w:rPr>
        <w:t xml:space="preserve"> and</w:t>
      </w:r>
      <w:r w:rsidRPr="006E7292">
        <w:rPr>
          <w:rFonts w:ascii="Book Antiqua" w:hAnsi="Book Antiqua" w:cs="Times New Roman"/>
        </w:rPr>
        <w:t xml:space="preserve"> for this reason predictive tools to monitor disease progression and therap</w:t>
      </w:r>
      <w:r w:rsidR="00142626" w:rsidRPr="006E7292">
        <w:rPr>
          <w:rFonts w:ascii="Book Antiqua" w:hAnsi="Book Antiqua" w:cs="Times New Roman"/>
        </w:rPr>
        <w:t xml:space="preserve">y response are an urgent need. </w:t>
      </w:r>
      <w:r w:rsidRPr="006E7292">
        <w:rPr>
          <w:rFonts w:ascii="Book Antiqua" w:hAnsi="Book Antiqua" w:cs="Times New Roman"/>
        </w:rPr>
        <w:t xml:space="preserve">In this respect, liquid biopsy on circulating cell-free nucleic acids represents an interesting strategy based on robust data. The </w:t>
      </w:r>
      <w:r w:rsidR="000E44F1" w:rsidRPr="006E7292">
        <w:rPr>
          <w:rFonts w:ascii="Book Antiqua" w:hAnsi="Book Antiqua" w:cs="Times New Roman"/>
        </w:rPr>
        <w:t>low</w:t>
      </w:r>
      <w:r w:rsidRPr="006E7292">
        <w:rPr>
          <w:rFonts w:ascii="Book Antiqua" w:hAnsi="Book Antiqua" w:cs="Times New Roman"/>
        </w:rPr>
        <w:t xml:space="preserve"> invasiveness and the possibility to target circulating cell-free tumor </w:t>
      </w:r>
      <w:r w:rsidR="006C5C2E" w:rsidRPr="006E7292">
        <w:rPr>
          <w:rFonts w:ascii="Book Antiqua" w:hAnsi="Book Antiqua" w:cs="Times New Roman"/>
        </w:rPr>
        <w:t>deoxyribonucleic acid</w:t>
      </w:r>
      <w:r w:rsidRPr="006E7292">
        <w:rPr>
          <w:rFonts w:ascii="Book Antiqua" w:hAnsi="Book Antiqua" w:cs="Times New Roman"/>
        </w:rPr>
        <w:t xml:space="preserve"> underline the high specificity, sensitivity and clinical usability of the technique. Moreover, it has been </w:t>
      </w:r>
      <w:r w:rsidR="00386BB9" w:rsidRPr="006E7292">
        <w:rPr>
          <w:rFonts w:ascii="Book Antiqua" w:hAnsi="Book Antiqua" w:cs="Times New Roman"/>
        </w:rPr>
        <w:t xml:space="preserve">observed </w:t>
      </w:r>
      <w:r w:rsidRPr="006E7292">
        <w:rPr>
          <w:rFonts w:ascii="Book Antiqua" w:hAnsi="Book Antiqua" w:cs="Times New Roman"/>
        </w:rPr>
        <w:t xml:space="preserve">that the </w:t>
      </w:r>
      <w:r w:rsidR="005D30B0" w:rsidRPr="006E7292">
        <w:rPr>
          <w:rFonts w:ascii="Book Antiqua" w:hAnsi="Book Antiqua" w:cs="Times New Roman"/>
        </w:rPr>
        <w:t>cell-free tumor deoxyribonucleic acid</w:t>
      </w:r>
      <w:r w:rsidRPr="006E7292">
        <w:rPr>
          <w:rFonts w:ascii="Book Antiqua" w:hAnsi="Book Antiqua" w:cs="Times New Roman"/>
        </w:rPr>
        <w:t xml:space="preserve"> of </w:t>
      </w:r>
      <w:r w:rsidR="00386BB9" w:rsidRPr="006E7292">
        <w:rPr>
          <w:rFonts w:ascii="Book Antiqua" w:hAnsi="Book Antiqua" w:cs="Times New Roman"/>
        </w:rPr>
        <w:t>m</w:t>
      </w:r>
      <w:r w:rsidR="005D30B0" w:rsidRPr="006E7292">
        <w:rPr>
          <w:rFonts w:ascii="Book Antiqua" w:hAnsi="Book Antiqua" w:cs="Times New Roman"/>
        </w:rPr>
        <w:t>etastatic castrate-resistant prostate cancer</w:t>
      </w:r>
      <w:r w:rsidRPr="006E7292">
        <w:rPr>
          <w:rFonts w:ascii="Book Antiqua" w:hAnsi="Book Antiqua" w:cs="Times New Roman"/>
        </w:rPr>
        <w:t xml:space="preserve"> patients can be representative of the tumor heterogeneity</w:t>
      </w:r>
      <w:r w:rsidR="00386BB9" w:rsidRPr="006E7292">
        <w:rPr>
          <w:rFonts w:ascii="Book Antiqua" w:hAnsi="Book Antiqua" w:cs="Times New Roman"/>
        </w:rPr>
        <w:t>.</w:t>
      </w:r>
      <w:r w:rsidRPr="006E7292">
        <w:rPr>
          <w:rFonts w:ascii="Book Antiqua" w:hAnsi="Book Antiqua" w:cs="Times New Roman"/>
        </w:rPr>
        <w:t xml:space="preserve"> </w:t>
      </w:r>
      <w:r w:rsidR="00386BB9" w:rsidRPr="006E7292">
        <w:rPr>
          <w:rFonts w:ascii="Book Antiqua" w:hAnsi="Book Antiqua" w:cs="Times New Roman"/>
        </w:rPr>
        <w:t>C</w:t>
      </w:r>
      <w:r w:rsidR="005D30B0" w:rsidRPr="006E7292">
        <w:rPr>
          <w:rFonts w:ascii="Book Antiqua" w:hAnsi="Book Antiqua" w:cs="Times New Roman"/>
        </w:rPr>
        <w:t>ell-free tumor deoxyribonucleic acid</w:t>
      </w:r>
      <w:r w:rsidR="00386BB9" w:rsidRPr="006E7292">
        <w:rPr>
          <w:rFonts w:ascii="Book Antiqua" w:hAnsi="Book Antiqua" w:cs="Times New Roman"/>
        </w:rPr>
        <w:t>s</w:t>
      </w:r>
      <w:r w:rsidRPr="006E7292">
        <w:rPr>
          <w:rFonts w:ascii="Book Antiqua" w:hAnsi="Book Antiqua" w:cs="Times New Roman"/>
        </w:rPr>
        <w:t xml:space="preserve"> express the same behaviors as mutations</w:t>
      </w:r>
      <w:r w:rsidR="000E44F1" w:rsidRPr="006E7292">
        <w:rPr>
          <w:rFonts w:ascii="Book Antiqua" w:hAnsi="Book Antiqua" w:cs="Times New Roman"/>
        </w:rPr>
        <w:t xml:space="preserve">: </w:t>
      </w:r>
      <w:r w:rsidRPr="006E7292">
        <w:rPr>
          <w:rFonts w:ascii="Book Antiqua" w:hAnsi="Book Antiqua" w:cs="Times New Roman"/>
        </w:rPr>
        <w:t>variation in gene copy number or</w:t>
      </w:r>
      <w:r w:rsidR="000E44F1" w:rsidRPr="006E7292">
        <w:rPr>
          <w:rFonts w:ascii="Book Antiqua" w:hAnsi="Book Antiqua" w:cs="Times New Roman"/>
        </w:rPr>
        <w:t xml:space="preserve"> the</w:t>
      </w:r>
      <w:r w:rsidRPr="006E7292">
        <w:rPr>
          <w:rFonts w:ascii="Book Antiqua" w:hAnsi="Book Antiqua" w:cs="Times New Roman"/>
        </w:rPr>
        <w:t xml:space="preserve"> methylation rate of the tumor tissue. Recently, circulating cell-free </w:t>
      </w:r>
      <w:r w:rsidR="007807A2" w:rsidRPr="006E7292">
        <w:rPr>
          <w:rFonts w:ascii="Book Antiqua" w:hAnsi="Book Antiqua" w:cs="Times New Roman"/>
        </w:rPr>
        <w:t xml:space="preserve">ribonucleic acid </w:t>
      </w:r>
      <w:r w:rsidRPr="006E7292">
        <w:rPr>
          <w:rFonts w:ascii="Book Antiqua" w:hAnsi="Book Antiqua" w:cs="Times New Roman"/>
        </w:rPr>
        <w:t xml:space="preserve">molecules </w:t>
      </w:r>
      <w:r w:rsidR="000E44F1" w:rsidRPr="006E7292">
        <w:rPr>
          <w:rFonts w:ascii="Book Antiqua" w:hAnsi="Book Antiqua" w:cs="Times New Roman"/>
        </w:rPr>
        <w:t>have</w:t>
      </w:r>
      <w:r w:rsidRPr="006E7292">
        <w:rPr>
          <w:rFonts w:ascii="Book Antiqua" w:hAnsi="Book Antiqua" w:cs="Times New Roman"/>
        </w:rPr>
        <w:t xml:space="preserve"> emerg</w:t>
      </w:r>
      <w:r w:rsidR="000E44F1" w:rsidRPr="006E7292">
        <w:rPr>
          <w:rFonts w:ascii="Book Antiqua" w:hAnsi="Book Antiqua" w:cs="Times New Roman"/>
        </w:rPr>
        <w:t>ed</w:t>
      </w:r>
      <w:r w:rsidRPr="006E7292">
        <w:rPr>
          <w:rFonts w:ascii="Book Antiqua" w:hAnsi="Book Antiqua" w:cs="Times New Roman"/>
        </w:rPr>
        <w:t xml:space="preserve"> as interesting markers to stratify the disease. </w:t>
      </w:r>
      <w:r w:rsidR="000E44F1" w:rsidRPr="006E7292">
        <w:rPr>
          <w:rFonts w:ascii="Book Antiqua" w:hAnsi="Book Antiqua" w:cs="Times New Roman"/>
        </w:rPr>
        <w:t xml:space="preserve">Due </w:t>
      </w:r>
      <w:r w:rsidRPr="006E7292">
        <w:rPr>
          <w:rFonts w:ascii="Book Antiqua" w:hAnsi="Book Antiqua" w:cs="Times New Roman"/>
        </w:rPr>
        <w:t xml:space="preserve">to high-throughput technologies, liquid biopsy on circulating cell-free nucleic acids </w:t>
      </w:r>
      <w:r w:rsidR="000E44F1" w:rsidRPr="006E7292">
        <w:rPr>
          <w:rFonts w:ascii="Book Antiqua" w:hAnsi="Book Antiqua" w:cs="Times New Roman"/>
        </w:rPr>
        <w:t>will soon be utilized in</w:t>
      </w:r>
      <w:r w:rsidRPr="006E7292">
        <w:rPr>
          <w:rFonts w:ascii="Book Antiqua" w:hAnsi="Book Antiqua" w:cs="Times New Roman"/>
        </w:rPr>
        <w:t xml:space="preserve"> the clinical management of </w:t>
      </w:r>
      <w:r w:rsidR="000E44F1" w:rsidRPr="006E7292">
        <w:rPr>
          <w:rFonts w:ascii="Book Antiqua" w:hAnsi="Book Antiqua" w:cs="Times New Roman"/>
        </w:rPr>
        <w:t>m</w:t>
      </w:r>
      <w:r w:rsidR="005D30B0" w:rsidRPr="006E7292">
        <w:rPr>
          <w:rFonts w:ascii="Book Antiqua" w:hAnsi="Book Antiqua" w:cs="Times New Roman"/>
        </w:rPr>
        <w:t>etastatic castrate-resistant prostate cancer</w:t>
      </w:r>
      <w:r w:rsidRPr="006E7292">
        <w:rPr>
          <w:rFonts w:ascii="Book Antiqua" w:hAnsi="Book Antiqua" w:cs="Times New Roman"/>
        </w:rPr>
        <w:t xml:space="preserve"> patients</w:t>
      </w:r>
      <w:r w:rsidR="000E44F1" w:rsidRPr="006E7292">
        <w:rPr>
          <w:rFonts w:ascii="Book Antiqua" w:hAnsi="Book Antiqua" w:cs="Times New Roman"/>
        </w:rPr>
        <w:t>.</w:t>
      </w:r>
      <w:r w:rsidRPr="006E7292">
        <w:rPr>
          <w:rFonts w:ascii="Book Antiqua" w:hAnsi="Book Antiqua" w:cs="Times New Roman"/>
        </w:rPr>
        <w:t xml:space="preserve"> </w:t>
      </w:r>
    </w:p>
    <w:p w14:paraId="522D8C81" w14:textId="77777777" w:rsidR="00F7579A" w:rsidRPr="006E7292" w:rsidRDefault="00F7579A">
      <w:pPr>
        <w:snapToGrid w:val="0"/>
        <w:spacing w:line="360" w:lineRule="auto"/>
        <w:jc w:val="both"/>
        <w:rPr>
          <w:rFonts w:ascii="Book Antiqua" w:hAnsi="Book Antiqua"/>
          <w:b/>
        </w:rPr>
      </w:pPr>
    </w:p>
    <w:p w14:paraId="5414556E" w14:textId="5AAEF74A" w:rsidR="00F7579A" w:rsidRPr="006E7292" w:rsidRDefault="00F7579A">
      <w:pPr>
        <w:snapToGrid w:val="0"/>
        <w:spacing w:line="360" w:lineRule="auto"/>
        <w:jc w:val="both"/>
        <w:rPr>
          <w:rFonts w:ascii="Book Antiqua" w:hAnsi="Book Antiqua"/>
        </w:rPr>
      </w:pPr>
      <w:r w:rsidRPr="006E7292">
        <w:rPr>
          <w:rFonts w:ascii="Book Antiqua" w:hAnsi="Book Antiqua"/>
          <w:b/>
        </w:rPr>
        <w:t xml:space="preserve">Key words: </w:t>
      </w:r>
      <w:r w:rsidR="006C5C2E" w:rsidRPr="006E7292">
        <w:rPr>
          <w:rFonts w:ascii="Book Antiqua" w:hAnsi="Book Antiqua" w:cs="Times New Roman"/>
        </w:rPr>
        <w:t>Metastatic castrate-resistant prostate cancer</w:t>
      </w:r>
      <w:r w:rsidR="006C5C2E" w:rsidRPr="006E7292">
        <w:rPr>
          <w:rFonts w:ascii="Book Antiqua" w:hAnsi="Book Antiqua"/>
        </w:rPr>
        <w:t>;</w:t>
      </w:r>
      <w:r w:rsidRPr="006E7292">
        <w:rPr>
          <w:rFonts w:ascii="Book Antiqua" w:hAnsi="Book Antiqua"/>
        </w:rPr>
        <w:t xml:space="preserve"> </w:t>
      </w:r>
      <w:bookmarkStart w:id="13" w:name="OLE_LINK1"/>
      <w:bookmarkStart w:id="14" w:name="OLE_LINK6"/>
      <w:r w:rsidR="006C5C2E" w:rsidRPr="006E7292">
        <w:rPr>
          <w:rFonts w:ascii="Book Antiqua" w:hAnsi="Book Antiqua"/>
        </w:rPr>
        <w:t>Circulating free</w:t>
      </w:r>
      <w:bookmarkEnd w:id="13"/>
      <w:bookmarkEnd w:id="14"/>
      <w:r w:rsidR="006C5C2E" w:rsidRPr="006E7292">
        <w:rPr>
          <w:rFonts w:ascii="Book Antiqua" w:hAnsi="Book Antiqua"/>
        </w:rPr>
        <w:t xml:space="preserve"> deoxyribonucleic acid;</w:t>
      </w:r>
      <w:r w:rsidRPr="006E7292">
        <w:rPr>
          <w:rFonts w:ascii="Book Antiqua" w:hAnsi="Book Antiqua"/>
        </w:rPr>
        <w:t xml:space="preserve"> </w:t>
      </w:r>
      <w:r w:rsidR="006C5C2E" w:rsidRPr="006E7292">
        <w:rPr>
          <w:rFonts w:ascii="Book Antiqua" w:hAnsi="Book Antiqua" w:cs="Times New Roman"/>
        </w:rPr>
        <w:t>Cell-free tumor deoxyribonucleic acid</w:t>
      </w:r>
      <w:r w:rsidR="006C5C2E" w:rsidRPr="006E7292">
        <w:rPr>
          <w:rFonts w:ascii="Book Antiqua" w:hAnsi="Book Antiqua"/>
        </w:rPr>
        <w:t>;</w:t>
      </w:r>
      <w:r w:rsidRPr="006E7292">
        <w:rPr>
          <w:rFonts w:ascii="Book Antiqua" w:hAnsi="Book Antiqua"/>
        </w:rPr>
        <w:t xml:space="preserve"> </w:t>
      </w:r>
      <w:r w:rsidR="006C5C2E" w:rsidRPr="006E7292">
        <w:rPr>
          <w:rFonts w:ascii="Book Antiqua" w:hAnsi="Book Antiqua"/>
        </w:rPr>
        <w:t>Circulating free ribonucleic acid; Liquid biopsy;</w:t>
      </w:r>
      <w:r w:rsidRPr="006E7292">
        <w:rPr>
          <w:rFonts w:ascii="Book Antiqua" w:hAnsi="Book Antiqua"/>
        </w:rPr>
        <w:t xml:space="preserve"> </w:t>
      </w:r>
      <w:r w:rsidR="006C5C2E" w:rsidRPr="006E7292">
        <w:rPr>
          <w:rFonts w:ascii="Book Antiqua" w:hAnsi="Book Antiqua"/>
        </w:rPr>
        <w:t xml:space="preserve">Prostate </w:t>
      </w:r>
      <w:r w:rsidRPr="006E7292">
        <w:rPr>
          <w:rFonts w:ascii="Book Antiqua" w:hAnsi="Book Antiqua"/>
        </w:rPr>
        <w:t>cancer</w:t>
      </w:r>
    </w:p>
    <w:p w14:paraId="2B1E40FE" w14:textId="77777777" w:rsidR="00F7579A" w:rsidRPr="006E7292" w:rsidRDefault="00F7579A">
      <w:pPr>
        <w:snapToGrid w:val="0"/>
        <w:spacing w:line="360" w:lineRule="auto"/>
        <w:jc w:val="both"/>
        <w:rPr>
          <w:rFonts w:ascii="Book Antiqua" w:hAnsi="Book Antiqua"/>
          <w:b/>
        </w:rPr>
      </w:pPr>
    </w:p>
    <w:p w14:paraId="7580328B" w14:textId="681480DB" w:rsidR="007807A2" w:rsidRPr="006E7292" w:rsidRDefault="007807A2">
      <w:pPr>
        <w:snapToGrid w:val="0"/>
        <w:spacing w:line="360" w:lineRule="auto"/>
        <w:jc w:val="both"/>
        <w:rPr>
          <w:rFonts w:ascii="Book Antiqua" w:hAnsi="Book Antiqua"/>
          <w:i/>
        </w:rPr>
      </w:pPr>
      <w:r w:rsidRPr="006E7292">
        <w:rPr>
          <w:rFonts w:ascii="Book Antiqua" w:hAnsi="Book Antiqua"/>
        </w:rPr>
        <w:t xml:space="preserve">Sobhani N, Sirico M, Generali D, Zanconati F, Scaggiante B. Circulating cell-free nucleic acids as prognostic and therapy predictive tools for metastatic castrate-resistant prostate cancer. </w:t>
      </w:r>
      <w:r w:rsidRPr="006E7292">
        <w:rPr>
          <w:rFonts w:ascii="Book Antiqua" w:hAnsi="Book Antiqua"/>
          <w:i/>
        </w:rPr>
        <w:t xml:space="preserve">World J Clin Oncol </w:t>
      </w:r>
      <w:r w:rsidRPr="006E7292">
        <w:rPr>
          <w:rFonts w:ascii="Book Antiqua" w:hAnsi="Book Antiqua"/>
        </w:rPr>
        <w:t xml:space="preserve">2020; </w:t>
      </w:r>
      <w:proofErr w:type="gramStart"/>
      <w:r w:rsidRPr="006E7292">
        <w:rPr>
          <w:rFonts w:ascii="Book Antiqua" w:hAnsi="Book Antiqua"/>
        </w:rPr>
        <w:t>In</w:t>
      </w:r>
      <w:proofErr w:type="gramEnd"/>
      <w:r w:rsidRPr="006E7292">
        <w:rPr>
          <w:rFonts w:ascii="Book Antiqua" w:hAnsi="Book Antiqua"/>
        </w:rPr>
        <w:t xml:space="preserve"> press</w:t>
      </w:r>
    </w:p>
    <w:p w14:paraId="382EAAE2" w14:textId="77777777" w:rsidR="007807A2" w:rsidRPr="006E7292" w:rsidRDefault="007807A2">
      <w:pPr>
        <w:snapToGrid w:val="0"/>
        <w:spacing w:line="360" w:lineRule="auto"/>
        <w:jc w:val="both"/>
        <w:rPr>
          <w:rFonts w:ascii="Book Antiqua" w:hAnsi="Book Antiqua"/>
          <w:b/>
        </w:rPr>
      </w:pPr>
    </w:p>
    <w:p w14:paraId="25D4076C" w14:textId="212FE611" w:rsidR="00F7579A" w:rsidRPr="006E7292" w:rsidRDefault="00F7579A">
      <w:pPr>
        <w:snapToGrid w:val="0"/>
        <w:spacing w:line="360" w:lineRule="auto"/>
        <w:jc w:val="both"/>
        <w:rPr>
          <w:rFonts w:ascii="Book Antiqua" w:hAnsi="Book Antiqua"/>
          <w:b/>
        </w:rPr>
      </w:pPr>
      <w:r w:rsidRPr="006E7292">
        <w:rPr>
          <w:rFonts w:ascii="Book Antiqua" w:hAnsi="Book Antiqua"/>
          <w:b/>
        </w:rPr>
        <w:t>Core tip:</w:t>
      </w:r>
      <w:r w:rsidR="006C5C2E" w:rsidRPr="006E7292">
        <w:rPr>
          <w:rFonts w:ascii="Book Antiqua" w:hAnsi="Book Antiqua"/>
          <w:b/>
        </w:rPr>
        <w:t xml:space="preserve"> </w:t>
      </w:r>
      <w:r w:rsidR="006C5C2E" w:rsidRPr="006E7292">
        <w:rPr>
          <w:rFonts w:ascii="Book Antiqua" w:hAnsi="Book Antiqua"/>
        </w:rPr>
        <w:t>Among men in industrialized countries, prostate c</w:t>
      </w:r>
      <w:r w:rsidR="007807A2" w:rsidRPr="006E7292">
        <w:rPr>
          <w:rFonts w:ascii="Book Antiqua" w:hAnsi="Book Antiqua"/>
        </w:rPr>
        <w:t>ancer is the most frequent</w:t>
      </w:r>
      <w:r w:rsidR="006C5C2E" w:rsidRPr="006E7292">
        <w:rPr>
          <w:rFonts w:ascii="Book Antiqua" w:hAnsi="Book Antiqua"/>
        </w:rPr>
        <w:t xml:space="preserve"> occurring type of cancer and the leading cause of cancer-related deaths.</w:t>
      </w:r>
      <w:r w:rsidR="000E44F1" w:rsidRPr="006E7292">
        <w:rPr>
          <w:rFonts w:ascii="Book Antiqua" w:hAnsi="Book Antiqua"/>
        </w:rPr>
        <w:t xml:space="preserve"> </w:t>
      </w:r>
      <w:r w:rsidR="006C5C2E" w:rsidRPr="006E7292">
        <w:rPr>
          <w:rFonts w:ascii="Book Antiqua" w:hAnsi="Book Antiqua"/>
        </w:rPr>
        <w:t xml:space="preserve">To assure an optimal management of </w:t>
      </w:r>
      <w:r w:rsidR="000E44F1" w:rsidRPr="006E7292">
        <w:rPr>
          <w:rFonts w:ascii="Book Antiqua" w:hAnsi="Book Antiqua"/>
        </w:rPr>
        <w:t xml:space="preserve">metastatic castrate-resistant prostate cancer </w:t>
      </w:r>
      <w:r w:rsidR="006C5C2E" w:rsidRPr="006E7292">
        <w:rPr>
          <w:rFonts w:ascii="Book Antiqua" w:hAnsi="Book Antiqua"/>
        </w:rPr>
        <w:t xml:space="preserve">patients, specific markers to monitor response to therapies and to predict the clinical outcomes are an urgent need. </w:t>
      </w:r>
      <w:r w:rsidR="000E44F1" w:rsidRPr="006E7292">
        <w:rPr>
          <w:rFonts w:ascii="Book Antiqua" w:hAnsi="Book Antiqua"/>
        </w:rPr>
        <w:t>L</w:t>
      </w:r>
      <w:r w:rsidR="006C5C2E" w:rsidRPr="006E7292">
        <w:rPr>
          <w:rFonts w:ascii="Book Antiqua" w:hAnsi="Book Antiqua"/>
        </w:rPr>
        <w:t xml:space="preserve">iquid biopsy on circulating cell-free </w:t>
      </w:r>
      <w:r w:rsidR="007807A2" w:rsidRPr="006E7292">
        <w:rPr>
          <w:rFonts w:ascii="Book Antiqua" w:hAnsi="Book Antiqua" w:cs="Times New Roman"/>
        </w:rPr>
        <w:t>deoxyribonucleic acid</w:t>
      </w:r>
      <w:r w:rsidR="006C5C2E" w:rsidRPr="006E7292">
        <w:rPr>
          <w:rFonts w:ascii="Book Antiqua" w:hAnsi="Book Antiqua"/>
        </w:rPr>
        <w:t xml:space="preserve"> is able to give useful information about the genetic status of the tumor and the </w:t>
      </w:r>
      <w:r w:rsidR="006C5C2E" w:rsidRPr="006E7292">
        <w:rPr>
          <w:rFonts w:ascii="Book Antiqua" w:hAnsi="Book Antiqua"/>
        </w:rPr>
        <w:lastRenderedPageBreak/>
        <w:t>prognosis</w:t>
      </w:r>
      <w:r w:rsidR="0067694C" w:rsidRPr="006E7292">
        <w:rPr>
          <w:rFonts w:ascii="Book Antiqua" w:hAnsi="Book Antiqua"/>
        </w:rPr>
        <w:t>.</w:t>
      </w:r>
      <w:r w:rsidR="006C5C2E" w:rsidRPr="006E7292">
        <w:rPr>
          <w:rFonts w:ascii="Book Antiqua" w:hAnsi="Book Antiqua"/>
        </w:rPr>
        <w:t xml:space="preserve"> </w:t>
      </w:r>
      <w:r w:rsidR="0067694C" w:rsidRPr="006E7292">
        <w:rPr>
          <w:rFonts w:ascii="Book Antiqua" w:hAnsi="Book Antiqua"/>
        </w:rPr>
        <w:t>L</w:t>
      </w:r>
      <w:r w:rsidR="006C5C2E" w:rsidRPr="006E7292">
        <w:rPr>
          <w:rFonts w:ascii="Book Antiqua" w:hAnsi="Book Antiqua"/>
        </w:rPr>
        <w:t>iquid biopsy on circulating cell-free nucleic acids has the potential to integrate clinical data for a personalized management of patients.</w:t>
      </w:r>
      <w:r w:rsidRPr="006E7292">
        <w:rPr>
          <w:rFonts w:ascii="Book Antiqua" w:hAnsi="Book Antiqua"/>
          <w:b/>
        </w:rPr>
        <w:br w:type="page"/>
      </w:r>
    </w:p>
    <w:p w14:paraId="4190E5D7" w14:textId="77777777" w:rsidR="007807A2" w:rsidRPr="006E7292" w:rsidRDefault="007807A2">
      <w:pPr>
        <w:snapToGrid w:val="0"/>
        <w:spacing w:line="360" w:lineRule="auto"/>
        <w:jc w:val="both"/>
        <w:rPr>
          <w:rFonts w:ascii="Book Antiqua" w:hAnsi="Book Antiqua"/>
          <w:b/>
          <w:u w:val="single"/>
        </w:rPr>
      </w:pPr>
      <w:r w:rsidRPr="006E7292">
        <w:rPr>
          <w:rFonts w:ascii="Book Antiqua" w:hAnsi="Book Antiqua"/>
          <w:b/>
          <w:u w:val="single"/>
        </w:rPr>
        <w:lastRenderedPageBreak/>
        <w:t>INTRODUCTION</w:t>
      </w:r>
    </w:p>
    <w:p w14:paraId="2EFC6616" w14:textId="4B31B44B" w:rsidR="008567DA" w:rsidRPr="006E7292" w:rsidRDefault="00CB1421">
      <w:pPr>
        <w:snapToGrid w:val="0"/>
        <w:spacing w:line="360" w:lineRule="auto"/>
        <w:jc w:val="both"/>
        <w:rPr>
          <w:rFonts w:ascii="Book Antiqua" w:hAnsi="Book Antiqua"/>
          <w:iCs/>
        </w:rPr>
      </w:pPr>
      <w:r w:rsidRPr="006E7292">
        <w:rPr>
          <w:rFonts w:ascii="Book Antiqua" w:hAnsi="Book Antiqua"/>
        </w:rPr>
        <w:t xml:space="preserve">Prostate cancer is the most frequently occurring type of cancer among men in over one-half (105 of 185) </w:t>
      </w:r>
      <w:r w:rsidR="00F23515" w:rsidRPr="006E7292">
        <w:rPr>
          <w:rFonts w:ascii="Book Antiqua" w:hAnsi="Book Antiqua"/>
        </w:rPr>
        <w:t xml:space="preserve">of </w:t>
      </w:r>
      <w:r w:rsidRPr="006E7292">
        <w:rPr>
          <w:rFonts w:ascii="Book Antiqua" w:hAnsi="Book Antiqua"/>
        </w:rPr>
        <w:t>world</w:t>
      </w:r>
      <w:r w:rsidR="00CE17E0" w:rsidRPr="006E7292">
        <w:rPr>
          <w:rFonts w:ascii="Book Antiqua" w:hAnsi="Book Antiqua"/>
        </w:rPr>
        <w:t>’s</w:t>
      </w:r>
      <w:r w:rsidRPr="006E7292">
        <w:rPr>
          <w:rFonts w:ascii="Book Antiqua" w:hAnsi="Book Antiqua"/>
        </w:rPr>
        <w:t xml:space="preserve"> countries</w:t>
      </w:r>
      <w:r w:rsidR="002D2847" w:rsidRPr="006E7292">
        <w:rPr>
          <w:rFonts w:ascii="Book Antiqua" w:hAnsi="Book Antiqua"/>
        </w:rPr>
        <w:t>,</w:t>
      </w:r>
      <w:r w:rsidRPr="006E7292">
        <w:rPr>
          <w:rFonts w:ascii="Book Antiqua" w:hAnsi="Book Antiqua"/>
        </w:rPr>
        <w:t xml:space="preserve"> and it is the leading cause of cancer-related deaths among men in 46 countries</w:t>
      </w:r>
      <w:r w:rsidR="007807A2" w:rsidRPr="006E7292">
        <w:rPr>
          <w:rFonts w:ascii="Book Antiqua" w:hAnsi="Book Antiqua"/>
          <w:vertAlign w:val="superscript"/>
        </w:rPr>
        <w:t>[</w:t>
      </w:r>
      <w:r w:rsidRPr="006E7292">
        <w:rPr>
          <w:rFonts w:ascii="Book Antiqua" w:hAnsi="Book Antiqua"/>
          <w:vertAlign w:val="superscript"/>
        </w:rPr>
        <w:fldChar w:fldCharType="begin" w:fldLock="1"/>
      </w:r>
      <w:r w:rsidR="00DF69CE" w:rsidRPr="006E7292">
        <w:rPr>
          <w:rFonts w:ascii="Book Antiqua" w:hAnsi="Book Antiqua"/>
          <w:vertAlign w:val="superscript"/>
        </w:rPr>
        <w:instrText>ADDIN CSL_CITATION {"citationItems":[{"id":"ITEM-1","itemData":{"DOI":"10.3322/caac.21492","ISSN":"00079235","PMID":"30207593","abstract":"This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Clinicians","id":"ITEM-1","issue":"6","issued":{"date-parts":[["2018","11"]]},"page":"394-424","publisher":"American Cancer Society","title":"Global cancer statistics 2018: GLOBOCAN estimates of incidence and mortality worldwide for 36 cancers in 185 countries","type":"article-journal","volume":"68"},"uris":["http://www.mendeley.com/documents/?uuid=297f4022-ef2c-4a61-ba5e-a32c81eaf993"]}],"mendeley":{"formattedCitation":"&lt;sup&gt;1&lt;/sup&gt;","plainTextFormattedCitation":"1","previouslyFormattedCitation":"&lt;sup&gt;1&lt;/sup&gt;"},"properties":{"noteIndex":0},"schema":"https://github.com/citation-style-language/schema/raw/master/csl-citation.json"}</w:instrText>
      </w:r>
      <w:r w:rsidRPr="006E7292">
        <w:rPr>
          <w:rFonts w:ascii="Book Antiqua" w:hAnsi="Book Antiqua"/>
          <w:vertAlign w:val="superscript"/>
        </w:rPr>
        <w:fldChar w:fldCharType="separate"/>
      </w:r>
      <w:r w:rsidR="006170E2" w:rsidRPr="00644326">
        <w:rPr>
          <w:rFonts w:ascii="Book Antiqua" w:hAnsi="Book Antiqua"/>
          <w:vertAlign w:val="superscript"/>
        </w:rPr>
        <w:t>1</w:t>
      </w:r>
      <w:r w:rsidRPr="006E7292">
        <w:rPr>
          <w:rFonts w:ascii="Book Antiqua" w:hAnsi="Book Antiqua"/>
          <w:vertAlign w:val="superscript"/>
        </w:rPr>
        <w:fldChar w:fldCharType="end"/>
      </w:r>
      <w:r w:rsidR="007807A2" w:rsidRPr="006E7292">
        <w:rPr>
          <w:rFonts w:ascii="Book Antiqua" w:hAnsi="Book Antiqua"/>
          <w:vertAlign w:val="superscript"/>
        </w:rPr>
        <w:t>]</w:t>
      </w:r>
      <w:r w:rsidRPr="006E7292">
        <w:rPr>
          <w:rFonts w:ascii="Book Antiqua" w:hAnsi="Book Antiqua"/>
        </w:rPr>
        <w:t xml:space="preserve">. </w:t>
      </w:r>
      <w:r w:rsidR="006170E2" w:rsidRPr="006E7292">
        <w:rPr>
          <w:rFonts w:ascii="Book Antiqua" w:hAnsi="Book Antiqua"/>
        </w:rPr>
        <w:t>Although</w:t>
      </w:r>
      <w:r w:rsidRPr="006E7292">
        <w:rPr>
          <w:rFonts w:ascii="Book Antiqua" w:hAnsi="Book Antiqua"/>
        </w:rPr>
        <w:t xml:space="preserve"> inhibition of </w:t>
      </w:r>
      <w:r w:rsidR="007807A2" w:rsidRPr="006E7292">
        <w:rPr>
          <w:rFonts w:ascii="Book Antiqua" w:hAnsi="Book Antiqua"/>
        </w:rPr>
        <w:t xml:space="preserve">androgen receptor </w:t>
      </w:r>
      <w:r w:rsidR="00BC579E" w:rsidRPr="006E7292">
        <w:rPr>
          <w:rFonts w:ascii="Book Antiqua" w:hAnsi="Book Antiqua"/>
        </w:rPr>
        <w:t>(AR) s</w:t>
      </w:r>
      <w:r w:rsidR="00142626" w:rsidRPr="006E7292">
        <w:rPr>
          <w:rFonts w:ascii="Book Antiqua" w:hAnsi="Book Antiqua"/>
        </w:rPr>
        <w:t xml:space="preserve">ignaling </w:t>
      </w:r>
      <w:r w:rsidRPr="006E7292">
        <w:rPr>
          <w:rFonts w:ascii="Book Antiqua" w:hAnsi="Book Antiqua"/>
        </w:rPr>
        <w:t xml:space="preserve">with antiandrogens and conventional </w:t>
      </w:r>
      <w:r w:rsidR="006170E2" w:rsidRPr="006E7292">
        <w:rPr>
          <w:rFonts w:ascii="Book Antiqua" w:hAnsi="Book Antiqua"/>
        </w:rPr>
        <w:t>chemotherapeutic molecules</w:t>
      </w:r>
      <w:r w:rsidR="008567DA" w:rsidRPr="006E7292">
        <w:rPr>
          <w:rFonts w:ascii="Book Antiqua" w:hAnsi="Book Antiqua"/>
        </w:rPr>
        <w:t xml:space="preserve"> in metastatic castrate-resistant prostate cancer (mCRPC) patients has increased the </w:t>
      </w:r>
      <w:r w:rsidR="006170E2" w:rsidRPr="006E7292">
        <w:rPr>
          <w:rFonts w:ascii="Book Antiqua" w:hAnsi="Book Antiqua"/>
        </w:rPr>
        <w:t xml:space="preserve">5-year survival </w:t>
      </w:r>
      <w:r w:rsidR="00A901D6" w:rsidRPr="006E7292">
        <w:rPr>
          <w:rFonts w:ascii="Book Antiqua" w:hAnsi="Book Antiqua"/>
        </w:rPr>
        <w:t>rate</w:t>
      </w:r>
      <w:r w:rsidR="008567DA" w:rsidRPr="006E7292">
        <w:rPr>
          <w:rFonts w:ascii="Book Antiqua" w:hAnsi="Book Antiqua"/>
        </w:rPr>
        <w:t xml:space="preserve"> to 29%</w:t>
      </w:r>
      <w:r w:rsidR="006170E2" w:rsidRPr="006E7292">
        <w:rPr>
          <w:rFonts w:ascii="Book Antiqua" w:hAnsi="Book Antiqua"/>
        </w:rPr>
        <w:t xml:space="preserve">, </w:t>
      </w:r>
      <w:r w:rsidR="008567DA" w:rsidRPr="006E7292">
        <w:rPr>
          <w:rFonts w:ascii="Book Antiqua" w:hAnsi="Book Antiqua"/>
        </w:rPr>
        <w:t xml:space="preserve">it </w:t>
      </w:r>
      <w:r w:rsidR="00F259E8" w:rsidRPr="006E7292">
        <w:rPr>
          <w:rFonts w:ascii="Book Antiqua" w:hAnsi="Book Antiqua"/>
        </w:rPr>
        <w:t xml:space="preserve">still </w:t>
      </w:r>
      <w:r w:rsidR="006170E2" w:rsidRPr="006E7292">
        <w:rPr>
          <w:rFonts w:ascii="Book Antiqua" w:hAnsi="Book Antiqua"/>
        </w:rPr>
        <w:t xml:space="preserve">remains </w:t>
      </w:r>
      <w:r w:rsidR="008567DA" w:rsidRPr="006E7292">
        <w:rPr>
          <w:rFonts w:ascii="Book Antiqua" w:hAnsi="Book Antiqua"/>
        </w:rPr>
        <w:t xml:space="preserve">difficult </w:t>
      </w:r>
      <w:r w:rsidR="00296540" w:rsidRPr="006E7292">
        <w:rPr>
          <w:rFonts w:ascii="Book Antiqua" w:hAnsi="Book Antiqua"/>
        </w:rPr>
        <w:t>to cure</w:t>
      </w:r>
      <w:r w:rsidR="007807A2" w:rsidRPr="006E7292">
        <w:rPr>
          <w:rFonts w:ascii="Book Antiqua" w:hAnsi="Book Antiqua"/>
          <w:vertAlign w:val="superscript"/>
        </w:rPr>
        <w:t>[</w:t>
      </w:r>
      <w:r w:rsidR="00AB62E4"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{"citationItems":[{"id":"ITEM-1","itemData":{"DOI":"10.1016/j.juro.2010.11.029","ISSN":"00225347","author":[{"dropping-particle":"","family":"Walsh","given":"Patrick C.","non-dropping-particle":"","parse-names":false,"suffix":""}],"container-title":"Journal of Urology","id":"ITEM-1","issue":"3","issued":{"date-parts":[["2011"]]},"page":"897-898","title":"Sipuleucel-T immunotherapy for castration-resistant prostate cancer: Editorial comment","type":"article","volume":"185"},"uris":["http://www.mendeley.com/documents/?uuid=d98ab7d5-5665-40b1-a1c1-91be73176699"]}],"mendeley":{"formattedCitation":"&lt;sup&gt;2&lt;/sup&gt;","plainTextFormattedCitation":"2","previouslyFormattedCitation":"&lt;sup&gt;2&lt;/sup&gt;"},"properties":{"noteIndex":0},"schema":"https://github.com/citation-style-language/schema/raw/master/csl-citation.json"}</w:instrText>
      </w:r>
      <w:r w:rsidR="00AB62E4" w:rsidRPr="006E7292">
        <w:rPr>
          <w:rFonts w:ascii="Book Antiqua" w:hAnsi="Book Antiqua"/>
          <w:vertAlign w:val="superscript"/>
        </w:rPr>
        <w:fldChar w:fldCharType="separate"/>
      </w:r>
      <w:r w:rsidR="00AB62E4" w:rsidRPr="00644326">
        <w:rPr>
          <w:rFonts w:ascii="Book Antiqua" w:hAnsi="Book Antiqua"/>
          <w:vertAlign w:val="superscript"/>
        </w:rPr>
        <w:t>2</w:t>
      </w:r>
      <w:r w:rsidR="00AB62E4" w:rsidRPr="006E7292">
        <w:rPr>
          <w:rFonts w:ascii="Book Antiqua" w:hAnsi="Book Antiqua"/>
          <w:vertAlign w:val="superscript"/>
        </w:rPr>
        <w:fldChar w:fldCharType="end"/>
      </w:r>
      <w:r w:rsidR="007807A2" w:rsidRPr="006E7292">
        <w:rPr>
          <w:rFonts w:ascii="Book Antiqua" w:hAnsi="Book Antiqua"/>
          <w:vertAlign w:val="superscript"/>
        </w:rPr>
        <w:t>]</w:t>
      </w:r>
      <w:r w:rsidR="006170E2" w:rsidRPr="006E7292">
        <w:rPr>
          <w:rFonts w:ascii="Book Antiqua" w:hAnsi="Book Antiqua"/>
        </w:rPr>
        <w:t>.</w:t>
      </w:r>
      <w:r w:rsidR="007E3966" w:rsidRPr="006E7292">
        <w:rPr>
          <w:rFonts w:ascii="Book Antiqua" w:hAnsi="Book Antiqua"/>
        </w:rPr>
        <w:t xml:space="preserve"> In mCRPC, cancer cells </w:t>
      </w:r>
      <w:r w:rsidR="00BA221B" w:rsidRPr="00EF7A13">
        <w:rPr>
          <w:rFonts w:ascii="Book Antiqua" w:hAnsi="Book Antiqua"/>
        </w:rPr>
        <w:t xml:space="preserve">adapt to live </w:t>
      </w:r>
      <w:r w:rsidR="00152651" w:rsidRPr="00EF7A13">
        <w:rPr>
          <w:rFonts w:ascii="Book Antiqua" w:hAnsi="Book Antiqua"/>
        </w:rPr>
        <w:t xml:space="preserve">with </w:t>
      </w:r>
      <w:r w:rsidR="00BA221B" w:rsidRPr="00EF7A13">
        <w:rPr>
          <w:rFonts w:ascii="Book Antiqua" w:hAnsi="Book Antiqua"/>
        </w:rPr>
        <w:t>very low levels of androgens</w:t>
      </w:r>
      <w:r w:rsidR="00D53130" w:rsidRPr="00EF7A13">
        <w:rPr>
          <w:rFonts w:ascii="Book Antiqua" w:hAnsi="Book Antiqua"/>
        </w:rPr>
        <w:t>.</w:t>
      </w:r>
      <w:r w:rsidR="00BA221B" w:rsidRPr="006E7292">
        <w:rPr>
          <w:rFonts w:ascii="Book Antiqua" w:hAnsi="Book Antiqua"/>
        </w:rPr>
        <w:t xml:space="preserve"> </w:t>
      </w:r>
      <w:r w:rsidR="00D53130" w:rsidRPr="006E7292">
        <w:rPr>
          <w:rFonts w:ascii="Book Antiqua" w:hAnsi="Book Antiqua"/>
        </w:rPr>
        <w:t>Such cells</w:t>
      </w:r>
      <w:r w:rsidR="00BA221B" w:rsidRPr="006E7292">
        <w:rPr>
          <w:rFonts w:ascii="Book Antiqua" w:hAnsi="Book Antiqua"/>
        </w:rPr>
        <w:t xml:space="preserve"> </w:t>
      </w:r>
      <w:r w:rsidR="00D53130" w:rsidRPr="006E7292">
        <w:rPr>
          <w:rFonts w:ascii="Book Antiqua" w:hAnsi="Book Antiqua"/>
        </w:rPr>
        <w:t>try to use</w:t>
      </w:r>
      <w:r w:rsidR="00BA221B" w:rsidRPr="006E7292">
        <w:rPr>
          <w:rFonts w:ascii="Book Antiqua" w:hAnsi="Book Antiqua"/>
        </w:rPr>
        <w:t xml:space="preserve"> different strategies to</w:t>
      </w:r>
      <w:r w:rsidR="00D53130" w:rsidRPr="006E7292">
        <w:rPr>
          <w:rFonts w:ascii="Book Antiqua" w:hAnsi="Book Antiqua"/>
        </w:rPr>
        <w:t xml:space="preserve"> independently</w:t>
      </w:r>
      <w:r w:rsidR="00BA221B" w:rsidRPr="006E7292">
        <w:rPr>
          <w:rFonts w:ascii="Book Antiqua" w:hAnsi="Book Antiqua"/>
        </w:rPr>
        <w:t xml:space="preserve"> </w:t>
      </w:r>
      <w:r w:rsidR="00D53130" w:rsidRPr="006E7292">
        <w:rPr>
          <w:rFonts w:ascii="Book Antiqua" w:hAnsi="Book Antiqua"/>
        </w:rPr>
        <w:t>promote</w:t>
      </w:r>
      <w:r w:rsidR="00BA221B" w:rsidRPr="006E7292">
        <w:rPr>
          <w:rFonts w:ascii="Book Antiqua" w:hAnsi="Book Antiqua"/>
        </w:rPr>
        <w:t xml:space="preserve"> the AR</w:t>
      </w:r>
      <w:r w:rsidR="007807A2" w:rsidRPr="006E7292">
        <w:rPr>
          <w:rFonts w:ascii="Book Antiqua" w:hAnsi="Book Antiqua"/>
        </w:rPr>
        <w:t xml:space="preserve"> </w:t>
      </w:r>
      <w:r w:rsidR="00BA221B" w:rsidRPr="006E7292">
        <w:rPr>
          <w:rFonts w:ascii="Book Antiqua" w:hAnsi="Book Antiqua"/>
        </w:rPr>
        <w:t>pathway</w:t>
      </w:r>
      <w:r w:rsidR="00D53130" w:rsidRPr="006E7292">
        <w:rPr>
          <w:rFonts w:ascii="Book Antiqua" w:hAnsi="Book Antiqua"/>
          <w:iCs/>
        </w:rPr>
        <w:t>.</w:t>
      </w:r>
      <w:r w:rsidR="00BC579E" w:rsidRPr="006E7292">
        <w:rPr>
          <w:rFonts w:ascii="Book Antiqua" w:hAnsi="Book Antiqua"/>
          <w:iCs/>
        </w:rPr>
        <w:t xml:space="preserve"> </w:t>
      </w:r>
    </w:p>
    <w:p w14:paraId="62A2503B" w14:textId="3483BBA4" w:rsidR="00D44F38" w:rsidRPr="006E7292" w:rsidRDefault="005A1AE7" w:rsidP="00644326">
      <w:pPr>
        <w:snapToGrid w:val="0"/>
        <w:spacing w:line="360" w:lineRule="auto"/>
        <w:ind w:firstLine="240"/>
        <w:jc w:val="both"/>
        <w:rPr>
          <w:rFonts w:ascii="Book Antiqua" w:hAnsi="Book Antiqua"/>
        </w:rPr>
      </w:pPr>
      <w:r w:rsidRPr="006E7292">
        <w:rPr>
          <w:rFonts w:ascii="Book Antiqua" w:hAnsi="Book Antiqua"/>
        </w:rPr>
        <w:t>After developing the first</w:t>
      </w:r>
      <w:r w:rsidR="006170E2" w:rsidRPr="006E7292">
        <w:rPr>
          <w:rFonts w:ascii="Book Antiqua" w:hAnsi="Book Antiqua"/>
        </w:rPr>
        <w:t xml:space="preserve"> antiandrogens</w:t>
      </w:r>
      <w:r w:rsidRPr="006E7292">
        <w:rPr>
          <w:rFonts w:ascii="Book Antiqua" w:hAnsi="Book Antiqua"/>
        </w:rPr>
        <w:t xml:space="preserve"> </w:t>
      </w:r>
      <w:r w:rsidR="008567DA" w:rsidRPr="006E7292">
        <w:rPr>
          <w:rFonts w:ascii="Book Antiqua" w:hAnsi="Book Antiqua"/>
        </w:rPr>
        <w:t>(</w:t>
      </w:r>
      <w:r w:rsidRPr="006E7292">
        <w:rPr>
          <w:rFonts w:ascii="Book Antiqua" w:hAnsi="Book Antiqua"/>
        </w:rPr>
        <w:t xml:space="preserve">flutamide, nilumatide and </w:t>
      </w:r>
      <w:r w:rsidR="00291567" w:rsidRPr="006E7292">
        <w:rPr>
          <w:rFonts w:ascii="Book Antiqua" w:hAnsi="Book Antiqua"/>
        </w:rPr>
        <w:t>bicalutamide</w:t>
      </w:r>
      <w:r w:rsidR="008567DA" w:rsidRPr="006E7292">
        <w:rPr>
          <w:rFonts w:ascii="Book Antiqua" w:hAnsi="Book Antiqua"/>
        </w:rPr>
        <w:t>)</w:t>
      </w:r>
      <w:r w:rsidR="00BC579E" w:rsidRPr="006E7292">
        <w:rPr>
          <w:rFonts w:ascii="Book Antiqua" w:hAnsi="Book Antiqua"/>
        </w:rPr>
        <w:t>,</w:t>
      </w:r>
      <w:r w:rsidRPr="006E7292">
        <w:rPr>
          <w:rFonts w:ascii="Book Antiqua" w:hAnsi="Book Antiqua"/>
        </w:rPr>
        <w:t xml:space="preserve"> there was an urgent</w:t>
      </w:r>
      <w:r w:rsidR="006170E2" w:rsidRPr="006E7292">
        <w:rPr>
          <w:rFonts w:ascii="Book Antiqua" w:hAnsi="Book Antiqua"/>
        </w:rPr>
        <w:t xml:space="preserve"> need for impeding any agonist activity against wild-type AR</w:t>
      </w:r>
      <w:r w:rsidRPr="006E7292">
        <w:rPr>
          <w:rFonts w:ascii="Book Antiqua" w:hAnsi="Book Antiqua"/>
        </w:rPr>
        <w:t>. There was a</w:t>
      </w:r>
      <w:r w:rsidR="006170E2" w:rsidRPr="006E7292">
        <w:rPr>
          <w:rFonts w:ascii="Book Antiqua" w:hAnsi="Book Antiqua"/>
        </w:rPr>
        <w:t xml:space="preserve"> </w:t>
      </w:r>
      <w:r w:rsidRPr="006E7292">
        <w:rPr>
          <w:rFonts w:ascii="Book Antiqua" w:hAnsi="Book Antiqua"/>
        </w:rPr>
        <w:t>necessity</w:t>
      </w:r>
      <w:r w:rsidR="006170E2" w:rsidRPr="006E7292">
        <w:rPr>
          <w:rFonts w:ascii="Book Antiqua" w:hAnsi="Book Antiqua"/>
        </w:rPr>
        <w:t xml:space="preserve"> </w:t>
      </w:r>
      <w:r w:rsidR="00576A4B" w:rsidRPr="006E7292">
        <w:rPr>
          <w:rFonts w:ascii="Book Antiqua" w:hAnsi="Book Antiqua"/>
        </w:rPr>
        <w:t xml:space="preserve">to </w:t>
      </w:r>
      <w:r w:rsidR="00296540" w:rsidRPr="006E7292">
        <w:rPr>
          <w:rFonts w:ascii="Book Antiqua" w:hAnsi="Book Antiqua"/>
        </w:rPr>
        <w:t xml:space="preserve">inhibit </w:t>
      </w:r>
      <w:r w:rsidR="006170E2" w:rsidRPr="006E7292">
        <w:rPr>
          <w:rFonts w:ascii="Book Antiqua" w:hAnsi="Book Antiqua"/>
        </w:rPr>
        <w:t xml:space="preserve">wild-type AR </w:t>
      </w:r>
      <w:r w:rsidRPr="006E7292">
        <w:rPr>
          <w:rFonts w:ascii="Book Antiqua" w:hAnsi="Book Antiqua"/>
        </w:rPr>
        <w:t>recruitment of</w:t>
      </w:r>
      <w:r w:rsidR="006170E2" w:rsidRPr="006E7292">
        <w:rPr>
          <w:rFonts w:ascii="Book Antiqua" w:hAnsi="Book Antiqua"/>
        </w:rPr>
        <w:t xml:space="preserve"> co</w:t>
      </w:r>
      <w:r w:rsidRPr="006E7292">
        <w:rPr>
          <w:rFonts w:ascii="Book Antiqua" w:hAnsi="Book Antiqua"/>
        </w:rPr>
        <w:t>-</w:t>
      </w:r>
      <w:r w:rsidR="006170E2" w:rsidRPr="006E7292">
        <w:rPr>
          <w:rFonts w:ascii="Book Antiqua" w:hAnsi="Book Antiqua"/>
        </w:rPr>
        <w:t xml:space="preserve">activators and </w:t>
      </w:r>
      <w:r w:rsidR="00576A4B" w:rsidRPr="006E7292">
        <w:rPr>
          <w:rFonts w:ascii="Book Antiqua" w:hAnsi="Book Antiqua"/>
        </w:rPr>
        <w:t xml:space="preserve">to </w:t>
      </w:r>
      <w:r w:rsidR="006170E2" w:rsidRPr="006E7292">
        <w:rPr>
          <w:rFonts w:ascii="Book Antiqua" w:hAnsi="Book Antiqua"/>
        </w:rPr>
        <w:t xml:space="preserve">block the consequent AR binding to </w:t>
      </w:r>
      <w:r w:rsidR="007807A2" w:rsidRPr="006E7292">
        <w:rPr>
          <w:rFonts w:ascii="Book Antiqua" w:hAnsi="Book Antiqua"/>
        </w:rPr>
        <w:t>deoxyribonucleic acid (</w:t>
      </w:r>
      <w:r w:rsidR="006170E2" w:rsidRPr="006E7292">
        <w:rPr>
          <w:rFonts w:ascii="Book Antiqua" w:hAnsi="Book Antiqua"/>
        </w:rPr>
        <w:t>DNA</w:t>
      </w:r>
      <w:r w:rsidR="007807A2" w:rsidRPr="006E7292">
        <w:rPr>
          <w:rFonts w:ascii="Book Antiqua" w:hAnsi="Book Antiqua"/>
        </w:rPr>
        <w:t>)</w:t>
      </w:r>
      <w:r w:rsidR="00AA3814" w:rsidRPr="006E7292">
        <w:rPr>
          <w:rFonts w:ascii="Book Antiqua" w:hAnsi="Book Antiqua"/>
        </w:rPr>
        <w:t xml:space="preserve">, </w:t>
      </w:r>
      <w:r w:rsidR="00576A4B" w:rsidRPr="006E7292">
        <w:rPr>
          <w:rFonts w:ascii="Book Antiqua" w:hAnsi="Book Antiqua"/>
        </w:rPr>
        <w:t>which is</w:t>
      </w:r>
      <w:r w:rsidR="006170E2" w:rsidRPr="006E7292">
        <w:rPr>
          <w:rFonts w:ascii="Book Antiqua" w:hAnsi="Book Antiqua"/>
        </w:rPr>
        <w:t xml:space="preserve"> </w:t>
      </w:r>
      <w:r w:rsidR="007E3966" w:rsidRPr="006E7292">
        <w:rPr>
          <w:rFonts w:ascii="Book Antiqua" w:hAnsi="Book Antiqua"/>
        </w:rPr>
        <w:t>a</w:t>
      </w:r>
      <w:r w:rsidR="006170E2" w:rsidRPr="006E7292">
        <w:rPr>
          <w:rFonts w:ascii="Book Antiqua" w:hAnsi="Book Antiqua"/>
        </w:rPr>
        <w:t xml:space="preserve"> transcription</w:t>
      </w:r>
      <w:r w:rsidR="007E3966" w:rsidRPr="006E7292">
        <w:rPr>
          <w:rFonts w:ascii="Book Antiqua" w:hAnsi="Book Antiqua"/>
        </w:rPr>
        <w:t xml:space="preserve"> factor </w:t>
      </w:r>
      <w:r w:rsidR="00FE5175" w:rsidRPr="006E7292">
        <w:rPr>
          <w:rFonts w:ascii="Book Antiqua" w:hAnsi="Book Antiqua"/>
        </w:rPr>
        <w:t>for</w:t>
      </w:r>
      <w:r w:rsidR="007E3966" w:rsidRPr="006E7292">
        <w:rPr>
          <w:rFonts w:ascii="Book Antiqua" w:hAnsi="Book Antiqua"/>
        </w:rPr>
        <w:t xml:space="preserve"> androgen-dependent genes that lead</w:t>
      </w:r>
      <w:r w:rsidR="00576A4B" w:rsidRPr="006E7292">
        <w:rPr>
          <w:rFonts w:ascii="Book Antiqua" w:hAnsi="Book Antiqua"/>
        </w:rPr>
        <w:t>s</w:t>
      </w:r>
      <w:r w:rsidR="007E3966" w:rsidRPr="006E7292">
        <w:rPr>
          <w:rFonts w:ascii="Book Antiqua" w:hAnsi="Book Antiqua"/>
        </w:rPr>
        <w:t xml:space="preserve"> to tumor proliferation</w:t>
      </w:r>
      <w:r w:rsidR="007807A2" w:rsidRPr="006E7292">
        <w:rPr>
          <w:rFonts w:ascii="Book Antiqua" w:hAnsi="Book Antiqua"/>
          <w:vertAlign w:val="superscript"/>
        </w:rPr>
        <w:t>[</w:t>
      </w:r>
      <w:r w:rsidR="00AB62E4"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{"citationItems":[{"id":"ITEM-1","itemData":{"DOI":"10.18632/oncotarget.14537","ISSN":"1949-2553","PMID":"28077788","abstract":"Therapeutic interventions for advanced prostate cancer (PCa) center on inhibiting androgen receptor (AR) and downstream signaling pathways. Resistance to androgen deprivation therapy and/or AR antagonists is inevitable and molecular mechanisms driving castration-resistant PCa (CR-PCa) primarily involve alterations in AR expression and activity. Detailed molecular biology work over the past decade, discussed at length in this review article, has revealed several AR transcripts that result from alternative splicing. These AR splice variants are increased in cell and mouse models of CR-PCa and in CR-PCa tumors. Several AR variants lack the ligand binding domain, but retain their ability to bind DNA and activate transcription-linking constitutive AR function and therapeutic failure. ARV7 is the only variant endogenously detected at the protein level and thus has undergone more thorough molecular characterization. Clinical trials in PCa are currently investigating ARV7 utility as a biomarker and new therapeutics that inhibit ARV7 . Overall, this review will illustrate the historical perspectives of AR splice variant discovery using fundamental molecular biology techniques and how it changed the clinical approach to both therapeutic decisions and strategy. The body of work investigating AR splice variants in PCa represents a true example of translational research from bench to bedside.","author":[{"dropping-particle":"","family":"Wadosky","given":"Kristine M.","non-dropping-particle":"","parse-names":false,"suffix":""},{"dropping-particle":"","family":"Koochekpour","given":"Shahriar","non-dropping-particle":"","parse-names":false,"suffix":""}],"container-title":"Oncotarget","id":"ITEM-1","issue":"11","issued":{"date-parts":[["2017","3"]]},"page":"18550-18576","title":"Androgen receptor splice variants and prostate cancer: From bench to bedside","type":"article-journal","volume":"8"},"uris":["http://www.mendeley.com/documents/?uuid=3946ec2e-6431-4d99-9966-83b489af880a"]}],"mendeley":{"formattedCitation":"&lt;sup&gt;3&lt;/sup&gt;","plainTextFormattedCitation":"3","previouslyFormattedCitation":"&lt;sup&gt;3&lt;/sup&gt;"},"properties":{"noteIndex":0},"schema":"https://github.com/citation-style-language/schema/raw/master/csl-citation.json"}</w:instrText>
      </w:r>
      <w:r w:rsidR="00AB62E4" w:rsidRPr="006E7292">
        <w:rPr>
          <w:rFonts w:ascii="Book Antiqua" w:hAnsi="Book Antiqua"/>
          <w:vertAlign w:val="superscript"/>
        </w:rPr>
        <w:fldChar w:fldCharType="separate"/>
      </w:r>
      <w:r w:rsidR="00AB62E4" w:rsidRPr="00644326">
        <w:rPr>
          <w:rFonts w:ascii="Book Antiqua" w:hAnsi="Book Antiqua"/>
          <w:vertAlign w:val="superscript"/>
        </w:rPr>
        <w:t>3</w:t>
      </w:r>
      <w:r w:rsidR="00AB62E4" w:rsidRPr="006E7292">
        <w:rPr>
          <w:rFonts w:ascii="Book Antiqua" w:hAnsi="Book Antiqua"/>
          <w:vertAlign w:val="superscript"/>
        </w:rPr>
        <w:fldChar w:fldCharType="end"/>
      </w:r>
      <w:r w:rsidR="007807A2" w:rsidRPr="006E7292">
        <w:rPr>
          <w:rFonts w:ascii="Book Antiqua" w:hAnsi="Book Antiqua"/>
          <w:vertAlign w:val="superscript"/>
        </w:rPr>
        <w:t>]</w:t>
      </w:r>
      <w:r w:rsidR="007E3966" w:rsidRPr="006E7292">
        <w:rPr>
          <w:rFonts w:ascii="Book Antiqua" w:hAnsi="Book Antiqua"/>
        </w:rPr>
        <w:t>. This brought the development of second-generation antiandrogens</w:t>
      </w:r>
      <w:r w:rsidR="00BC579E" w:rsidRPr="006E7292">
        <w:rPr>
          <w:rFonts w:ascii="Book Antiqua" w:hAnsi="Book Antiqua"/>
        </w:rPr>
        <w:t>,</w:t>
      </w:r>
      <w:r w:rsidR="00354640" w:rsidRPr="006E7292">
        <w:rPr>
          <w:rFonts w:ascii="Book Antiqua" w:hAnsi="Book Antiqua"/>
        </w:rPr>
        <w:t xml:space="preserve"> </w:t>
      </w:r>
      <w:r w:rsidR="00576A4B" w:rsidRPr="006E7292">
        <w:rPr>
          <w:rFonts w:ascii="Book Antiqua" w:hAnsi="Book Antiqua"/>
        </w:rPr>
        <w:t xml:space="preserve">which </w:t>
      </w:r>
      <w:r w:rsidR="00354640" w:rsidRPr="006E7292">
        <w:rPr>
          <w:rFonts w:ascii="Book Antiqua" w:hAnsi="Book Antiqua"/>
        </w:rPr>
        <w:t>show</w:t>
      </w:r>
      <w:r w:rsidR="00576A4B" w:rsidRPr="006E7292">
        <w:rPr>
          <w:rFonts w:ascii="Book Antiqua" w:hAnsi="Book Antiqua"/>
        </w:rPr>
        <w:t>ed</w:t>
      </w:r>
      <w:r w:rsidR="00BC579E" w:rsidRPr="006E7292">
        <w:rPr>
          <w:rFonts w:ascii="Book Antiqua" w:hAnsi="Book Antiqua"/>
        </w:rPr>
        <w:t xml:space="preserve"> a</w:t>
      </w:r>
      <w:r w:rsidR="00354640" w:rsidRPr="006E7292">
        <w:rPr>
          <w:rFonts w:ascii="Book Antiqua" w:hAnsi="Book Antiqua"/>
        </w:rPr>
        <w:t xml:space="preserve"> </w:t>
      </w:r>
      <w:r w:rsidR="00A561FE" w:rsidRPr="006E7292">
        <w:rPr>
          <w:rFonts w:ascii="Book Antiqua" w:hAnsi="Book Antiqua"/>
        </w:rPr>
        <w:t>significant improvement</w:t>
      </w:r>
      <w:r w:rsidR="00A901D6" w:rsidRPr="006E7292">
        <w:rPr>
          <w:rFonts w:ascii="Book Antiqua" w:hAnsi="Book Antiqua"/>
        </w:rPr>
        <w:t xml:space="preserve"> in </w:t>
      </w:r>
      <w:r w:rsidR="00354640" w:rsidRPr="006E7292">
        <w:rPr>
          <w:rFonts w:ascii="Book Antiqua" w:hAnsi="Book Antiqua"/>
        </w:rPr>
        <w:t>clinical treatment</w:t>
      </w:r>
      <w:r w:rsidR="001F5BFE" w:rsidRPr="006E7292">
        <w:rPr>
          <w:rFonts w:ascii="Book Antiqua" w:hAnsi="Book Antiqua"/>
        </w:rPr>
        <w:t>.</w:t>
      </w:r>
      <w:r w:rsidR="00007DDD" w:rsidRPr="006E7292">
        <w:rPr>
          <w:rFonts w:ascii="Book Antiqua" w:hAnsi="Book Antiqua"/>
        </w:rPr>
        <w:t xml:space="preserve"> </w:t>
      </w:r>
      <w:r w:rsidR="00A25D25" w:rsidRPr="006E7292">
        <w:rPr>
          <w:rFonts w:ascii="Book Antiqua" w:hAnsi="Book Antiqua"/>
        </w:rPr>
        <w:t xml:space="preserve">In fact, </w:t>
      </w:r>
      <w:r w:rsidR="00F571A3" w:rsidRPr="006E7292">
        <w:rPr>
          <w:rFonts w:ascii="Book Antiqua" w:hAnsi="Book Antiqua"/>
        </w:rPr>
        <w:t xml:space="preserve">in 2012 </w:t>
      </w:r>
      <w:bookmarkStart w:id="15" w:name="OLE_LINK7"/>
      <w:r w:rsidR="00576A4B" w:rsidRPr="006E7292">
        <w:rPr>
          <w:rFonts w:ascii="Book Antiqua" w:hAnsi="Book Antiqua"/>
        </w:rPr>
        <w:t xml:space="preserve">the </w:t>
      </w:r>
      <w:r w:rsidR="007807A2" w:rsidRPr="006E7292">
        <w:rPr>
          <w:rFonts w:ascii="Book Antiqua" w:hAnsi="Book Antiqua"/>
        </w:rPr>
        <w:t xml:space="preserve">Food and Drug Administration </w:t>
      </w:r>
      <w:bookmarkEnd w:id="15"/>
      <w:r w:rsidR="00007DDD" w:rsidRPr="006E7292">
        <w:rPr>
          <w:rFonts w:ascii="Book Antiqua" w:hAnsi="Book Antiqua"/>
        </w:rPr>
        <w:t>approved enzalutamide and abiraterone acetate as second-generation antiandrogens</w:t>
      </w:r>
      <w:r w:rsidR="007E3966" w:rsidRPr="006E7292">
        <w:rPr>
          <w:rFonts w:ascii="Book Antiqua" w:hAnsi="Book Antiqua"/>
        </w:rPr>
        <w:t xml:space="preserve"> for the treatment of mCRPC</w:t>
      </w:r>
      <w:r w:rsidR="001B3466" w:rsidRPr="006E7292">
        <w:rPr>
          <w:rFonts w:ascii="Book Antiqua" w:hAnsi="Book Antiqua"/>
        </w:rPr>
        <w:t>,</w:t>
      </w:r>
      <w:r w:rsidR="00AB62E4" w:rsidRPr="006E7292">
        <w:rPr>
          <w:rFonts w:ascii="Book Antiqua" w:hAnsi="Book Antiqua"/>
        </w:rPr>
        <w:t xml:space="preserve"> </w:t>
      </w:r>
      <w:r w:rsidR="00142626" w:rsidRPr="006E7292">
        <w:rPr>
          <w:rFonts w:ascii="Book Antiqua" w:hAnsi="Book Antiqua"/>
        </w:rPr>
        <w:t xml:space="preserve">while </w:t>
      </w:r>
      <w:r w:rsidR="00AA3814" w:rsidRPr="006E7292">
        <w:rPr>
          <w:rFonts w:ascii="Book Antiqua" w:hAnsi="Book Antiqua"/>
        </w:rPr>
        <w:t xml:space="preserve">other </w:t>
      </w:r>
      <w:r w:rsidR="00007DDD" w:rsidRPr="006E7292">
        <w:rPr>
          <w:rFonts w:ascii="Book Antiqua" w:hAnsi="Book Antiqua"/>
        </w:rPr>
        <w:t>second-generation antiandrogens are at different stages of pre-clinical and clinical development</w:t>
      </w:r>
      <w:r w:rsidR="007807A2" w:rsidRPr="006E7292">
        <w:rPr>
          <w:rFonts w:ascii="Book Antiqua" w:hAnsi="Book Antiqua"/>
          <w:vertAlign w:val="superscript"/>
        </w:rPr>
        <w:t>[</w:t>
      </w:r>
      <w:r w:rsidR="00AB62E4"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{"citationItems":[{"id":"ITEM-1","itemData":{"DOI":"10.3389/fonc.2019.00801","ISSN":"16642295","abstract":"Prostate cancer is the most commonly diagnosed cancer affecting men in the United States. The prostate is a hormone-dependent gland in which androgen hormones testosterone and dihydrotestosterone bind to and activate the androgen receptor, initiating nuclear translocation of androgen receptor and a subsequent signaling cascade. Due to the androgen dependency of the prostate, androgen deprivation therapies have emerged as first line treatment for aggressive prostate cancer. Such therapies are effective until the point at which prostate cancer, through a variety of mechanisms including but not limited to generation of ligand-independent androgen receptor splice variants, or intratumoral androgen production, overcome hormone deprivation. These cancers are androgen ablation resistant, clinically termed castration resistant prostate cancer (CRPC) and remain incurable. First-generation antiandrogens established androgen receptor blockade as a therapeutic strategy, but these therapies do not completely block androgen receptor activity. Efficacy and potency have been improved by the development of second-generation antiandrogen therapies, which remain the standard of care for patients with CRPC. Four second-generation anti-androgens are currently approved by the Food and Drug Administration (FDA); abiraterone acetate, enzalutamide, and recently approved apalutamide and darolutamide. This review is intended to provide a thorough overview of FDA approved second-generation antiandrogen discovery, treatment application, strategies for combination therapy to overcome resistance, and an insight for the potential future approaches for therapeutic inhibition of androgen receptor.","author":[{"dropping-particle":"","family":"Rice","given":"Meghan A.","non-dropping-particle":"","parse-names":false,"suffix":""},{"dropping-particle":"V.","family":"Malhotra","given":"Sanjay","non-dropping-particle":"","parse-names":false,"suffix":""},{"dropping-particle":"","family":"Stoyanova","given":"Tanya","non-dropping-particle":"","parse-names":false,"suffix":""}],"container-title":"Frontiers in Neurology","id":"ITEM-1","issue":"AUG","issued":{"date-parts":[["2019"]]},"publisher":"Frontiers Media S.A.","title":"Second-generation antiandrogens: From discovery to standard of care in castration resistant prostate cancer","type":"article","volume":"10"},"uris":["http://www.mendeley.com/documents/?uuid=717b2fc7-a896-497e-badd-c95f99316fe7"]}],"mendeley":{"formattedCitation":"&lt;sup&gt;4&lt;/sup&gt;","plainTextFormattedCitation":"4"},"properties":{"noteIndex":0},"schema":"https://github.com/citation-style-language/schema/raw/master/csl-citation.json"}</w:instrText>
      </w:r>
      <w:r w:rsidR="00AB62E4" w:rsidRPr="006E7292">
        <w:rPr>
          <w:rFonts w:ascii="Book Antiqua" w:hAnsi="Book Antiqua"/>
          <w:vertAlign w:val="superscript"/>
        </w:rPr>
        <w:fldChar w:fldCharType="separate"/>
      </w:r>
      <w:r w:rsidR="00AB62E4" w:rsidRPr="00644326">
        <w:rPr>
          <w:rFonts w:ascii="Book Antiqua" w:hAnsi="Book Antiqua"/>
          <w:vertAlign w:val="superscript"/>
        </w:rPr>
        <w:t>4</w:t>
      </w:r>
      <w:r w:rsidR="00AB62E4" w:rsidRPr="006E7292">
        <w:rPr>
          <w:rFonts w:ascii="Book Antiqua" w:hAnsi="Book Antiqua"/>
          <w:vertAlign w:val="superscript"/>
        </w:rPr>
        <w:fldChar w:fldCharType="end"/>
      </w:r>
      <w:r w:rsidR="007807A2" w:rsidRPr="006E7292">
        <w:rPr>
          <w:rFonts w:ascii="Book Antiqua" w:hAnsi="Book Antiqua"/>
          <w:vertAlign w:val="superscript"/>
        </w:rPr>
        <w:t>]</w:t>
      </w:r>
      <w:r w:rsidR="00007DDD" w:rsidRPr="006E7292">
        <w:rPr>
          <w:rFonts w:ascii="Book Antiqua" w:hAnsi="Book Antiqua"/>
        </w:rPr>
        <w:t xml:space="preserve">. </w:t>
      </w:r>
      <w:r w:rsidR="00236353" w:rsidRPr="006E7292">
        <w:rPr>
          <w:rFonts w:ascii="Book Antiqua" w:hAnsi="Book Antiqua"/>
        </w:rPr>
        <w:t xml:space="preserve">Although these two drugs act on different levels of the AR pathway, the cross-resistance is a common </w:t>
      </w:r>
      <w:r w:rsidR="00A561FE" w:rsidRPr="00EF7A13">
        <w:rPr>
          <w:rFonts w:ascii="Book Antiqua" w:hAnsi="Book Antiqua"/>
        </w:rPr>
        <w:t>event; resistance</w:t>
      </w:r>
      <w:r w:rsidR="00236353" w:rsidRPr="00EF7A13">
        <w:rPr>
          <w:rFonts w:ascii="Book Antiqua" w:hAnsi="Book Antiqua"/>
        </w:rPr>
        <w:t xml:space="preserve"> to abiraterone and enzalutamide was found </w:t>
      </w:r>
      <w:r w:rsidR="00F571A3" w:rsidRPr="00EF7A13">
        <w:rPr>
          <w:rFonts w:ascii="Book Antiqua" w:hAnsi="Book Antiqua"/>
        </w:rPr>
        <w:t xml:space="preserve">to be </w:t>
      </w:r>
      <w:r w:rsidR="00236353" w:rsidRPr="00EF7A13">
        <w:rPr>
          <w:rFonts w:ascii="Book Antiqua" w:hAnsi="Book Antiqua"/>
        </w:rPr>
        <w:t>associated with splicing variants of AR</w:t>
      </w:r>
      <w:r w:rsidR="00236353" w:rsidRPr="006E7292">
        <w:rPr>
          <w:rFonts w:ascii="Book Antiqua" w:hAnsi="Book Antiqua"/>
        </w:rPr>
        <w:t xml:space="preserve"> without </w:t>
      </w:r>
      <w:r w:rsidR="001B3466" w:rsidRPr="006E7292">
        <w:rPr>
          <w:rFonts w:ascii="Book Antiqua" w:hAnsi="Book Antiqua"/>
        </w:rPr>
        <w:t xml:space="preserve">the </w:t>
      </w:r>
      <w:r w:rsidR="00236353" w:rsidRPr="006E7292">
        <w:rPr>
          <w:rFonts w:ascii="Book Antiqua" w:hAnsi="Book Antiqua"/>
        </w:rPr>
        <w:t xml:space="preserve">ligand-binding domain. Such splice variants encode for a receptor incapable </w:t>
      </w:r>
      <w:r w:rsidR="001B3466" w:rsidRPr="006E7292">
        <w:rPr>
          <w:rFonts w:ascii="Book Antiqua" w:hAnsi="Book Antiqua"/>
        </w:rPr>
        <w:t xml:space="preserve">of </w:t>
      </w:r>
      <w:r w:rsidR="00236353" w:rsidRPr="006E7292">
        <w:rPr>
          <w:rFonts w:ascii="Book Antiqua" w:hAnsi="Book Antiqua"/>
        </w:rPr>
        <w:t>bind</w:t>
      </w:r>
      <w:r w:rsidR="001B3466" w:rsidRPr="006E7292">
        <w:rPr>
          <w:rFonts w:ascii="Book Antiqua" w:hAnsi="Book Antiqua"/>
        </w:rPr>
        <w:t>ing</w:t>
      </w:r>
      <w:r w:rsidR="00236353" w:rsidRPr="006E7292">
        <w:rPr>
          <w:rFonts w:ascii="Book Antiqua" w:hAnsi="Book Antiqua"/>
        </w:rPr>
        <w:t xml:space="preserve"> to ligands</w:t>
      </w:r>
      <w:r w:rsidR="00D93752" w:rsidRPr="006E7292">
        <w:rPr>
          <w:rFonts w:ascii="Book Antiqua" w:hAnsi="Book Antiqua"/>
        </w:rPr>
        <w:t>.</w:t>
      </w:r>
      <w:r w:rsidR="00BC579E" w:rsidRPr="006E7292">
        <w:rPr>
          <w:rFonts w:ascii="Book Antiqua" w:hAnsi="Book Antiqua"/>
        </w:rPr>
        <w:t xml:space="preserve"> </w:t>
      </w:r>
      <w:r w:rsidR="00D93752" w:rsidRPr="006E7292">
        <w:rPr>
          <w:rFonts w:ascii="Book Antiqua" w:hAnsi="Book Antiqua"/>
        </w:rPr>
        <w:t>I</w:t>
      </w:r>
      <w:r w:rsidR="00236353" w:rsidRPr="006E7292">
        <w:rPr>
          <w:rFonts w:ascii="Book Antiqua" w:hAnsi="Book Antiqua"/>
        </w:rPr>
        <w:t xml:space="preserve">t is constitutively active as a transcription factor and capable of promoting the activation of target genes. </w:t>
      </w:r>
      <w:r w:rsidR="00D93752" w:rsidRPr="006E7292">
        <w:rPr>
          <w:rFonts w:ascii="Book Antiqua" w:hAnsi="Book Antiqua"/>
        </w:rPr>
        <w:t xml:space="preserve">Because </w:t>
      </w:r>
      <w:r w:rsidR="00236353" w:rsidRPr="006E7292">
        <w:rPr>
          <w:rFonts w:ascii="Book Antiqua" w:hAnsi="Book Antiqua"/>
        </w:rPr>
        <w:t xml:space="preserve">enzalutamide exerts its antitumor activity by binding to the </w:t>
      </w:r>
      <w:r w:rsidR="001B3466" w:rsidRPr="006E7292">
        <w:rPr>
          <w:rFonts w:ascii="Book Antiqua" w:hAnsi="Book Antiqua"/>
        </w:rPr>
        <w:t>ligand-binding domain</w:t>
      </w:r>
      <w:r w:rsidR="00E409F7" w:rsidRPr="006E7292">
        <w:rPr>
          <w:rFonts w:ascii="Book Antiqua" w:hAnsi="Book Antiqua"/>
        </w:rPr>
        <w:t xml:space="preserve"> of the </w:t>
      </w:r>
      <w:r w:rsidR="00236353" w:rsidRPr="006E7292">
        <w:rPr>
          <w:rFonts w:ascii="Book Antiqua" w:hAnsi="Book Antiqua"/>
        </w:rPr>
        <w:t>receptor</w:t>
      </w:r>
      <w:r w:rsidR="00E80B92" w:rsidRPr="006E7292">
        <w:rPr>
          <w:rFonts w:ascii="Book Antiqua" w:hAnsi="Book Antiqua"/>
        </w:rPr>
        <w:t xml:space="preserve">, the splice variants </w:t>
      </w:r>
      <w:r w:rsidR="00BE1F0A" w:rsidRPr="006E7292">
        <w:rPr>
          <w:rFonts w:ascii="Book Antiqua" w:hAnsi="Book Antiqua"/>
        </w:rPr>
        <w:t>cannot</w:t>
      </w:r>
      <w:r w:rsidR="00236353" w:rsidRPr="006E7292">
        <w:rPr>
          <w:rFonts w:ascii="Book Antiqua" w:hAnsi="Book Antiqua"/>
        </w:rPr>
        <w:t xml:space="preserve"> be targeted by the drug</w:t>
      </w:r>
      <w:r w:rsidR="00BC579E" w:rsidRPr="006E7292">
        <w:rPr>
          <w:rFonts w:ascii="Book Antiqua" w:hAnsi="Book Antiqua"/>
        </w:rPr>
        <w:t xml:space="preserve">, </w:t>
      </w:r>
      <w:r w:rsidR="00D93752" w:rsidRPr="006E7292">
        <w:rPr>
          <w:rFonts w:ascii="Book Antiqua" w:hAnsi="Book Antiqua"/>
        </w:rPr>
        <w:t xml:space="preserve">which </w:t>
      </w:r>
      <w:r w:rsidR="00236353" w:rsidRPr="006E7292">
        <w:rPr>
          <w:rFonts w:ascii="Book Antiqua" w:hAnsi="Book Antiqua"/>
        </w:rPr>
        <w:t>generat</w:t>
      </w:r>
      <w:r w:rsidR="00D93752" w:rsidRPr="006E7292">
        <w:rPr>
          <w:rFonts w:ascii="Book Antiqua" w:hAnsi="Book Antiqua"/>
        </w:rPr>
        <w:t>es</w:t>
      </w:r>
      <w:r w:rsidR="00236353" w:rsidRPr="006E7292">
        <w:rPr>
          <w:rFonts w:ascii="Book Antiqua" w:hAnsi="Book Antiqua"/>
        </w:rPr>
        <w:t xml:space="preserve"> </w:t>
      </w:r>
      <w:r w:rsidR="00BC579E" w:rsidRPr="006E7292">
        <w:rPr>
          <w:rFonts w:ascii="Book Antiqua" w:hAnsi="Book Antiqua"/>
        </w:rPr>
        <w:t>drug-</w:t>
      </w:r>
      <w:r w:rsidR="00236353" w:rsidRPr="006E7292">
        <w:rPr>
          <w:rFonts w:ascii="Book Antiqua" w:hAnsi="Book Antiqua"/>
        </w:rPr>
        <w:t xml:space="preserve">resistance. Moreover, </w:t>
      </w:r>
      <w:r w:rsidR="00BC579E" w:rsidRPr="006E7292">
        <w:rPr>
          <w:rFonts w:ascii="Book Antiqua" w:hAnsi="Book Antiqua"/>
        </w:rPr>
        <w:t xml:space="preserve">as </w:t>
      </w:r>
      <w:r w:rsidR="00236353" w:rsidRPr="006E7292">
        <w:rPr>
          <w:rFonts w:ascii="Book Antiqua" w:hAnsi="Book Antiqua"/>
        </w:rPr>
        <w:t>the receptor is constitutively activated</w:t>
      </w:r>
      <w:r w:rsidR="00BC579E" w:rsidRPr="006E7292">
        <w:rPr>
          <w:rFonts w:ascii="Book Antiqua" w:hAnsi="Book Antiqua"/>
        </w:rPr>
        <w:t>,</w:t>
      </w:r>
      <w:r w:rsidR="00236353" w:rsidRPr="006E7292">
        <w:rPr>
          <w:rFonts w:ascii="Book Antiqua" w:hAnsi="Book Antiqua"/>
        </w:rPr>
        <w:t xml:space="preserve"> it will not be influenced by abiraterone, which inhibits </w:t>
      </w:r>
      <w:r w:rsidR="00F079B8" w:rsidRPr="006E7292">
        <w:rPr>
          <w:rFonts w:ascii="Book Antiqua" w:hAnsi="Book Antiqua"/>
        </w:rPr>
        <w:t xml:space="preserve">the </w:t>
      </w:r>
      <w:r w:rsidR="00236353" w:rsidRPr="006E7292">
        <w:rPr>
          <w:rFonts w:ascii="Book Antiqua" w:hAnsi="Book Antiqua"/>
        </w:rPr>
        <w:t>synthesis of androgens. In this scenario</w:t>
      </w:r>
      <w:r w:rsidR="00BC579E" w:rsidRPr="006E7292">
        <w:rPr>
          <w:rFonts w:ascii="Book Antiqua" w:hAnsi="Book Antiqua"/>
        </w:rPr>
        <w:t>,</w:t>
      </w:r>
      <w:r w:rsidR="00236353" w:rsidRPr="006E7292">
        <w:rPr>
          <w:rFonts w:ascii="Book Antiqua" w:hAnsi="Book Antiqua"/>
        </w:rPr>
        <w:t xml:space="preserve"> androgens are not required to activate the pathway, </w:t>
      </w:r>
      <w:r w:rsidR="00BC579E" w:rsidRPr="006E7292">
        <w:rPr>
          <w:rFonts w:ascii="Book Antiqua" w:hAnsi="Book Antiqua"/>
        </w:rPr>
        <w:t xml:space="preserve">as it </w:t>
      </w:r>
      <w:r w:rsidR="00236353" w:rsidRPr="006E7292">
        <w:rPr>
          <w:rFonts w:ascii="Book Antiqua" w:hAnsi="Book Antiqua"/>
        </w:rPr>
        <w:t>is already active</w:t>
      </w:r>
      <w:r w:rsidR="007807A2" w:rsidRPr="006E7292">
        <w:rPr>
          <w:rFonts w:ascii="Book Antiqua" w:hAnsi="Book Antiqua"/>
          <w:vertAlign w:val="superscript"/>
        </w:rPr>
        <w:t>[</w:t>
      </w:r>
      <w:r w:rsidR="00236353"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{"citationItems":[{"id":"ITEM-1","itemData":{"DOI":"10.1126/scitranslmed.3007094","ISSN":"1946-6234","PMID":"24553385","abstract":"The development of noninvasive methods to detect and monitor tumors continues to be a major challenge in oncology. We used digital polymerase chain reaction-based technologies to evaluate the ability of circulating tumor DNA (ctDNA) to detect tumors in 640 patients with various cancer types. We found that ctDNA was detectable in &gt;75% of patients with advanced pancreatic, ovarian, colorectal, bladder, gastroesophageal, breast, melanoma, hepatocellular, and head and neck cancers, but in less than 50% of primary brain, renal, prostate, or thyroid cancers. In patients with localized tumors, ctDNA was detected in 73, 57, 48, and 50% of patients with colorectal cancer, gastroesophageal cancer, pancreatic cancer, and breast adenocarcinoma, respectively. ctDNA was often present in patients without detectable circulating tumor cells, suggesting that these two biomarkers are distinct entities. In a separate panel of 206 patients with metastatic colorectal cancers, we showed that the sensitivity of ctDNA for detection of clinically relevant KRAS gene mutations was 87.2% and its specificity was 99.2%. Finally, we assessed whether ctDNA could provide clues into the mechanisms underlying resistance to epidermal growth factor receptor blockade in 24 patients who objectively responded to therapy but subsequently relapsed. Twenty-three (96%) of these patients developed one or more mutations in genes involved in the mitogen-activated protein kinase pathway. Together, these data suggest that ctDNA is a broadly applicable, sensitive, and specific biomarker that can be used for a variety of clinical and research purposes in patients with multiple different types of cancer.","author":[{"dropping-particle":"","family":"Bettegowda","given":"C.","non-dropping-particle":"","parse-names":false,"suffix":""},{"dropping-particle":"","family":"Sausen","given":"M.","non-dropping-particle":"","parse-names":false,"suffix":""},{"dropping-particle":"","family":"Leary","given":"R. J.","non-dropping-particle":"","parse-names":false,"suffix":""},{"dropping-particle":"","family":"Kinde","given":"I.","non-dropping-particle":"","parse-names":false,"suffix":""},{"dropping-particle":"","family":"Wang","given":"Y.","non-dropping-particle":"","parse-names":false,"suffix":""},{"dropping-particle":"","family":"Agrawal","given":"N.","non-dropping-particle":"","parse-names":false,"suffix":""},{"dropping-particle":"","family":"Bartlett","given":"B. R.","non-dropping-particle":"","parse-names":false,"suffix":""},{"dropping-particle":"","family":"Wang","given":"H.","non-dropping-particle":"","parse-names":false,"suffix":""},{"dropping-particle":"","family":"Luber","given":"B.","non-dropping-particle":"","parse-names":false,"suffix":""},{"dropping-particle":"","family":"Alani","given":"R. M.","non-dropping-particle":"","parse-names":false,"suffix":""},{"dropping-particle":"","family":"Antonarakis","given":"E. S.","non-dropping-particle":"","parse-names":false,"suffix":""},{"dropping-particle":"","family":"Azad","given":"N. S.","non-dropping-particle":"","parse-names":false,"suffix":""},{"dropping-particle":"","family":"Bardelli","given":"A.","non-dropping-particle":"","parse-names":false,"suffix":""},{"dropping-particle":"","family":"Brem","given":"H.","non-dropping-particle":"","parse-names":false,"suffix":""},{"dropping-particle":"","family":"Cameron","given":"J. L.","non-dropping-particle":"","parse-names":false,"suffix":""},{"dropping-particle":"","family":"Lee","given":"C. C.","non-dropping-particle":"","parse-names":false,"suffix":""},{"dropping-particle":"","family":"Fecher","given":"L. A.","non-dropping-particle":"","parse-names":false,"suffix":""},{"dropping-particle":"","family":"Gallia","given":"G. L.","non-dropping-particle":"","parse-names":false,"suffix":""},{"dropping-particle":"","family":"Gibbs","given":"P.","non-dropping-particle":"","parse-names":false,"suffix":""},{"dropping-particle":"","family":"Le","given":"D.","non-dropping-particle":"","parse-names":false,"suffix":""},{"dropping-particle":"","family":"Giuntoli","given":"R. L.","non-dropping-particle":"","parse-names":false,"suffix":""},{"dropping-particle":"","family":"Goggins","given":"M.","non-dropping-particle":"","parse-names":false,"suffix":""},{"dropping-particle":"","family":"Hogarty","given":"M. D.","non-dropping-particle":"","parse-names":false,"suffix":""},{"dropping-particle":"","family":"Holdhoff","given":"M.","non-dropping-particle":"","parse-names":false,"suffix":""},{"dropping-particle":"","family":"Hong","given":"S.-M.","non-dropping-particle":"","parse-names":false,"suffix":""},{"dropping-particle":"","family":"Jiao","given":"Y.","non-dropping-particle":"","parse-names":false,"suffix":""},{"dropping-particle":"","family":"Juhl","given":"H. H.","non-dropping-particle":"","parse-names":false,"suffix":""},{"dropping-particle":"","family":"Kim","given":"J. J.","non-dropping-particle":"","parse-names":false,"suffix":""},{"dropping-particle":"","family":"Siravegna","given":"G.","non-dropping-particle":"","parse-names":false,"suffix":""},{"dropping-particle":"","family":"Laheru","given":"D. A.","non-dropping-particle":"","parse-names":false,"suffix":""},{"dropping-particle":"","family":"Lauricella","given":"C.","non-dropping-particle":"","parse-names":false,"suffix":""},{"dropping-particle":"","family":"Lim","given":"M.","non-dropping-particle":"","parse-names":false,"suffix":""},{"dropping-particle":"","family":"Lipson","given":"E. J.","non-dropping-particle":"","parse-names":false,"suffix":""},{"dropping-particle":"","family":"Marie","given":"S. K. N.","non-dropping-particle":"","parse-names":false,"suffix":""},{"dropping-particle":"","family":"Netto","given":"G. J.","non-dropping-particle":"","parse-names":false,"suffix":""},{"dropping-particle":"","family":"Oliner","given":"K. S.","non-dropping-particle":"","parse-names":false,"suffix":""},{"dropping-particle":"","family":"Olivi","given":"A.","non-dropping-particle":"","parse-names":false,"suffix":""},{"dropping-particle":"","family":"Olsson","given":"L.","non-dropping-particle":"","parse-names":false,"suffix":""},{"dropping-particle":"","family":"Riggins","given":"G. J.","non-dropping-particle":"","parse-names":false,"suffix":""},{"dropping-particle":"","family":"Sartore-Bianchi","given":"A.","non-dropping-particle":"","parse-names":false,"suffix":""},{"dropping-particle":"","family":"Schmidt","given":"K.","non-dropping-particle":"","parse-names":false,"suffix":""},{"dropping-particle":"","family":"Shih","given":"l.-M.","non-dropping-particle":"","parse-names":false,"suffix":""},{"dropping-particle":"","family":"Oba-Shinjo","given":"S. M.","non-dropping-particle":"","parse-names":false,"suffix":""},{"dropping-particle":"","family":"Siena","given":"S.","non-dropping-particle":"","parse-names":false,"suffix":""},{"dropping-particle":"","family":"Theodorescu","given":"D.","non-dropping-particle":"","parse-names":false,"suffix":""},{"dropping-particle":"","family":"Tie","given":"J.","non-dropping-particle":"","parse-names":false,"suffix":""},{"dropping-particle":"","family":"Harkins","given":"T. T.","non-dropping-particle":"","parse-names":false,"suffix":""},{"dropping-particle":"","family":"Veronese","given":"S.","non-dropping-particle":"","parse-names":false,"suffix":""},{"dropping-particle":"","family":"Wang","given":"T.-L.","non-dropping-particle":"","parse-names":false,"suffix":""},{"dropping-particle":"","family":"Weingart","given":"J. D.","non-dropping-particle":"","parse-names":false,"suffix":""},{"dropping-particle":"","family":"Wolfgang","given":"C. L.","non-dropping-particle":"","parse-names":false,"suffix":""},{"dropping-particle":"","family":"Wood","given":"L. D.","non-dropping-particle":"","parse-names":false,"suffix":""},{"dropping-particle":"","family":"Xing","given":"D.","non-dropping-particle":"","parse-names":false,"suffix":""},{"dropping-particle":"","family":"Hruban","given":"R. H.","non-dropping-particle":"","parse-names":false,"suffix":""},{"dropping-particle":"","family":"Wu","given":"J.","non-dropping-particle":"","parse-names":false,"suffix":""},{"dropping-particle":"","family":"Allen","given":"P. J.","non-dropping-particle":"","parse-names":false,"suffix":""},{"dropping-particle":"","family":"Schmidt","given":"C. M.","non-dropping-particle":"","parse-names":false,"suffix":""},{"dropping-particle":"","family":"Choti","given":"M. A.","non-dropping-particle":"","parse-names":false,"suffix":""},{"dropping-particle":"","family":"Velculescu","given":"V. E.","non-dropping-particle":"","parse-names":false,"suffix":""},{"dropping-particle":"","family":"Kinzler","given":"K. W.","non-dropping-particle":"","parse-names":false,"suffix":""},{"dropping-particle":"","family":"Vogelstein","given":"B.","non-dropping-particle":"","parse-names":false,"suffix":""},{"dropping-particle":"","family":"Papadopoulos","given":"N.","non-dropping-particle":"","parse-names":false,"suffix":""},{"dropping-particle":"","family":"Diaz","given":"L. A.","non-dropping-particle":"","parse-names":false,"suffix":""}],"container-title":"Science Translational Medicine","id":"ITEM-1","issue":"224","issued":{"date-parts":[["2014","2"]]},"page":"224ra24-224ra24","title":"Detection of Circulating Tumor DNA in Early- and Late-Stage Human Malignancies","type":"article-journal","volume":"6"},"uris":["http://www.mendeley.com/documents/?uuid=fc44d350-538d-4245-adb8-62497fccc40f"]}],"mendeley":{"formattedCitation":"&lt;sup&gt;5&lt;/sup&gt;","plainTextFormattedCitation":"5","previouslyFormattedCitation":"&lt;sup&gt;7&lt;/sup&gt;"},"properties":{"noteIndex":0},"schema":"https://github.com/citation-style-language/schema/raw/master/csl-citation.json"}</w:instrText>
      </w:r>
      <w:r w:rsidR="00236353" w:rsidRPr="006E7292">
        <w:rPr>
          <w:rFonts w:ascii="Book Antiqua" w:hAnsi="Book Antiqua"/>
          <w:vertAlign w:val="superscript"/>
        </w:rPr>
        <w:fldChar w:fldCharType="separate"/>
      </w:r>
      <w:r w:rsidR="00AB62E4" w:rsidRPr="00644326">
        <w:rPr>
          <w:rFonts w:ascii="Book Antiqua" w:hAnsi="Book Antiqua"/>
          <w:vertAlign w:val="superscript"/>
        </w:rPr>
        <w:t>5</w:t>
      </w:r>
      <w:r w:rsidR="00236353" w:rsidRPr="006E7292">
        <w:rPr>
          <w:rFonts w:ascii="Book Antiqua" w:hAnsi="Book Antiqua"/>
          <w:vertAlign w:val="superscript"/>
        </w:rPr>
        <w:fldChar w:fldCharType="end"/>
      </w:r>
      <w:r w:rsidR="007807A2" w:rsidRPr="006E7292">
        <w:rPr>
          <w:rFonts w:ascii="Book Antiqua" w:hAnsi="Book Antiqua"/>
          <w:vertAlign w:val="superscript"/>
        </w:rPr>
        <w:t>]</w:t>
      </w:r>
      <w:r w:rsidR="00142626" w:rsidRPr="006E7292">
        <w:rPr>
          <w:rFonts w:ascii="Book Antiqua" w:hAnsi="Book Antiqua"/>
        </w:rPr>
        <w:t xml:space="preserve">. </w:t>
      </w:r>
      <w:r w:rsidR="00AA3814" w:rsidRPr="006E7292">
        <w:rPr>
          <w:rFonts w:ascii="Book Antiqua" w:hAnsi="Book Antiqua"/>
        </w:rPr>
        <w:t>Interestingly</w:t>
      </w:r>
      <w:r w:rsidR="00236353" w:rsidRPr="006E7292">
        <w:rPr>
          <w:rFonts w:ascii="Book Antiqua" w:hAnsi="Book Antiqua"/>
        </w:rPr>
        <w:t xml:space="preserve">, </w:t>
      </w:r>
      <w:r w:rsidR="007F7859" w:rsidRPr="006E7292">
        <w:rPr>
          <w:rFonts w:ascii="Book Antiqua" w:hAnsi="Book Antiqua"/>
        </w:rPr>
        <w:t>20</w:t>
      </w:r>
      <w:r w:rsidR="007807A2" w:rsidRPr="006E7292">
        <w:rPr>
          <w:rFonts w:ascii="Book Antiqua" w:hAnsi="Book Antiqua"/>
        </w:rPr>
        <w:t>%</w:t>
      </w:r>
      <w:r w:rsidR="007F7859" w:rsidRPr="006E7292">
        <w:rPr>
          <w:rFonts w:ascii="Book Antiqua" w:hAnsi="Book Antiqua"/>
        </w:rPr>
        <w:t xml:space="preserve">-40% of mCRPC </w:t>
      </w:r>
      <w:r w:rsidR="00236353" w:rsidRPr="006E7292">
        <w:rPr>
          <w:rFonts w:ascii="Book Antiqua" w:hAnsi="Book Antiqua"/>
        </w:rPr>
        <w:t xml:space="preserve">patients not </w:t>
      </w:r>
      <w:r w:rsidR="007F7859" w:rsidRPr="00EF7A13">
        <w:rPr>
          <w:rFonts w:ascii="Book Antiqua" w:hAnsi="Book Antiqua"/>
        </w:rPr>
        <w:lastRenderedPageBreak/>
        <w:t xml:space="preserve">previously treated with chemotherapy </w:t>
      </w:r>
      <w:r w:rsidR="00EB1A48" w:rsidRPr="00EF7A13">
        <w:rPr>
          <w:rFonts w:ascii="Book Antiqua" w:hAnsi="Book Antiqua"/>
        </w:rPr>
        <w:t xml:space="preserve">are </w:t>
      </w:r>
      <w:r w:rsidR="00236353" w:rsidRPr="00EF7A13">
        <w:rPr>
          <w:rFonts w:ascii="Book Antiqua" w:hAnsi="Book Antiqua"/>
        </w:rPr>
        <w:t xml:space="preserve">intrinsically </w:t>
      </w:r>
      <w:r w:rsidR="0095162B" w:rsidRPr="006E7292">
        <w:rPr>
          <w:rFonts w:ascii="Book Antiqua" w:hAnsi="Book Antiqua"/>
        </w:rPr>
        <w:t>resistant to abirateron</w:t>
      </w:r>
      <w:r w:rsidR="007F7859" w:rsidRPr="006E7292">
        <w:rPr>
          <w:rFonts w:ascii="Book Antiqua" w:hAnsi="Book Antiqua"/>
        </w:rPr>
        <w:t>e acetate or enzalutamide</w:t>
      </w:r>
      <w:r w:rsidR="007807A2" w:rsidRPr="006E7292">
        <w:rPr>
          <w:rFonts w:ascii="Book Antiqua" w:hAnsi="Book Antiqua"/>
          <w:vertAlign w:val="superscript"/>
        </w:rPr>
        <w:t>[</w:t>
      </w:r>
      <w:r w:rsidR="00236353"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{"citationItems":[{"id":"ITEM-1","itemData":{"DOI":"10.1016/j.urolonc.2017.11.017","ISSN":"18732496","PMID":"29248429","abstract":"The treatment of metastatic castration-resistant prostate cancer (mCRPC) is empirical, with progress to a more precision medicine approach hampered by lack of predictive biomarkers. This is due in large part to the historical difficulty of molecularly profiling a bone-predominant metastatic disease. Focus has turned to minimally invasive sources of tumor material to better understand the molecular drivers of therapy resistance. Circulating cell-free tumor DNA (ctDNA) is highly abundant in the bloodstream of mCRPC patients and appears to provide an accurate snapshot of real-time tumor genomics. Already, the analysis of androgen receptor gene alterations in the ctDNA of mCRPC patient cohorts has suggested significant potential for guiding the use of androgen receptor-directed therapy. Furthermore, the monitoring of patient ctDNA burden in the wake of systemic therapy may offer a powerful surrogate for tracking tumor responses and emerging resistant subclones. This seminar covers recent advances in mCRPC patient ctDNA profiling, emerging associations of distinct molecular subtypes with clinical outcomes, and the potential for ctDNA to augment precision oncology.","author":[{"dropping-particle":"","family":"Ritch","given":"Elie","non-dropping-particle":"","parse-names":false,"suffix":""},{"dropping-particle":"","family":"Wyatt","given":"Alexander W.","non-dropping-particle":"","parse-names":false,"suffix":""}],"container-title":"Urologic Oncology: Seminars and Original Investigations","id":"ITEM-1","issue":"8","issued":{"date-parts":[["2018","8"]]},"page":"380-384","publisher":"Elsevier Inc.","title":"Predicting therapy response and resistance in metastatic prostate cancer with circulating tumor DNA","type":"article","volume":"36"},"uris":["http://www.mendeley.com/documents/?uuid=9d65cc85-ac5b-47e4-8341-a34d7dd9e97c"]}],"mendeley":{"formattedCitation":"&lt;sup&gt;6&lt;/sup&gt;","plainTextFormattedCitation":"6","previouslyFormattedCitation":"&lt;sup&gt;8&lt;/sup&gt;"},"properties":{"noteIndex":0},"schema":"https://github.com/citation-style-language/schema/raw/master/csl-citation.json"}</w:instrText>
      </w:r>
      <w:r w:rsidR="00236353" w:rsidRPr="006E7292">
        <w:rPr>
          <w:rFonts w:ascii="Book Antiqua" w:hAnsi="Book Antiqua"/>
          <w:vertAlign w:val="superscript"/>
        </w:rPr>
        <w:fldChar w:fldCharType="separate"/>
      </w:r>
      <w:r w:rsidR="00AB62E4" w:rsidRPr="00644326">
        <w:rPr>
          <w:rFonts w:ascii="Book Antiqua" w:hAnsi="Book Antiqua"/>
          <w:vertAlign w:val="superscript"/>
        </w:rPr>
        <w:t>6</w:t>
      </w:r>
      <w:r w:rsidR="00236353" w:rsidRPr="006E7292">
        <w:rPr>
          <w:rFonts w:ascii="Book Antiqua" w:hAnsi="Book Antiqua"/>
          <w:vertAlign w:val="superscript"/>
        </w:rPr>
        <w:fldChar w:fldCharType="end"/>
      </w:r>
      <w:r w:rsidR="007807A2" w:rsidRPr="006E7292">
        <w:rPr>
          <w:rFonts w:ascii="Book Antiqua" w:hAnsi="Book Antiqua"/>
          <w:vertAlign w:val="superscript"/>
        </w:rPr>
        <w:t>]</w:t>
      </w:r>
      <w:r w:rsidR="007F7859" w:rsidRPr="006E7292">
        <w:rPr>
          <w:rFonts w:ascii="Book Antiqua" w:hAnsi="Book Antiqua"/>
        </w:rPr>
        <w:t>.</w:t>
      </w:r>
    </w:p>
    <w:p w14:paraId="07ECCEC3" w14:textId="4DB306BA" w:rsidR="00D44F38" w:rsidRPr="006E7292" w:rsidRDefault="00513B32" w:rsidP="006E7292">
      <w:pPr>
        <w:snapToGrid w:val="0"/>
        <w:spacing w:line="360" w:lineRule="auto"/>
        <w:ind w:firstLineChars="100" w:firstLine="240"/>
        <w:jc w:val="both"/>
        <w:rPr>
          <w:rFonts w:ascii="Book Antiqua" w:hAnsi="Book Antiqua"/>
        </w:rPr>
      </w:pPr>
      <w:r w:rsidRPr="006E7292">
        <w:rPr>
          <w:rFonts w:ascii="Book Antiqua" w:hAnsi="Book Antiqua"/>
        </w:rPr>
        <w:t>Th</w:t>
      </w:r>
      <w:r w:rsidR="00AA3814" w:rsidRPr="006E7292">
        <w:rPr>
          <w:rFonts w:ascii="Book Antiqua" w:hAnsi="Book Antiqua"/>
        </w:rPr>
        <w:t>us</w:t>
      </w:r>
      <w:r w:rsidRPr="006E7292">
        <w:rPr>
          <w:rFonts w:ascii="Book Antiqua" w:hAnsi="Book Antiqua"/>
        </w:rPr>
        <w:t xml:space="preserve"> </w:t>
      </w:r>
      <w:r w:rsidR="009E13AF" w:rsidRPr="006E7292">
        <w:rPr>
          <w:rFonts w:ascii="Book Antiqua" w:hAnsi="Book Antiqua"/>
        </w:rPr>
        <w:t>mCRPC</w:t>
      </w:r>
      <w:r w:rsidRPr="006E7292">
        <w:rPr>
          <w:rFonts w:ascii="Book Antiqua" w:hAnsi="Book Antiqua"/>
        </w:rPr>
        <w:t xml:space="preserve"> cells</w:t>
      </w:r>
      <w:r w:rsidR="00AA3814" w:rsidRPr="006E7292">
        <w:rPr>
          <w:rFonts w:ascii="Book Antiqua" w:hAnsi="Book Antiqua"/>
        </w:rPr>
        <w:t xml:space="preserve"> evolving </w:t>
      </w:r>
      <w:r w:rsidR="009E13AF" w:rsidRPr="00EF7A13">
        <w:rPr>
          <w:rFonts w:ascii="Book Antiqua" w:hAnsi="Book Antiqua"/>
        </w:rPr>
        <w:t xml:space="preserve">into an AR-independent </w:t>
      </w:r>
      <w:r w:rsidRPr="00EF7A13">
        <w:rPr>
          <w:rFonts w:ascii="Book Antiqua" w:hAnsi="Book Antiqua"/>
        </w:rPr>
        <w:t>type</w:t>
      </w:r>
      <w:r w:rsidR="00437995" w:rsidRPr="006E7292">
        <w:rPr>
          <w:rFonts w:ascii="Book Antiqua" w:hAnsi="Book Antiqua"/>
        </w:rPr>
        <w:t xml:space="preserve"> escap</w:t>
      </w:r>
      <w:r w:rsidR="00AA3814" w:rsidRPr="006E7292">
        <w:rPr>
          <w:rFonts w:ascii="Book Antiqua" w:hAnsi="Book Antiqua"/>
        </w:rPr>
        <w:t>e</w:t>
      </w:r>
      <w:r w:rsidR="00437995" w:rsidRPr="006E7292">
        <w:rPr>
          <w:rFonts w:ascii="Book Antiqua" w:hAnsi="Book Antiqua"/>
        </w:rPr>
        <w:t xml:space="preserve"> targeted therapies against androgens</w:t>
      </w:r>
      <w:r w:rsidR="00D93752" w:rsidRPr="006E7292">
        <w:rPr>
          <w:rFonts w:ascii="Book Antiqua" w:hAnsi="Book Antiqua"/>
        </w:rPr>
        <w:t>.</w:t>
      </w:r>
      <w:r w:rsidR="00CA1641" w:rsidRPr="006E7292">
        <w:rPr>
          <w:rFonts w:ascii="Book Antiqua" w:hAnsi="Book Antiqua"/>
        </w:rPr>
        <w:t xml:space="preserve"> </w:t>
      </w:r>
      <w:r w:rsidR="00D93752" w:rsidRPr="006E7292">
        <w:rPr>
          <w:rFonts w:ascii="Book Antiqua" w:hAnsi="Book Antiqua"/>
        </w:rPr>
        <w:t>S</w:t>
      </w:r>
      <w:r w:rsidR="00A16FBC" w:rsidRPr="006E7292">
        <w:rPr>
          <w:rFonts w:ascii="Book Antiqua" w:hAnsi="Book Antiqua"/>
        </w:rPr>
        <w:t xml:space="preserve">ometimes </w:t>
      </w:r>
      <w:r w:rsidR="00AA3814" w:rsidRPr="006E7292">
        <w:rPr>
          <w:rFonts w:ascii="Book Antiqua" w:hAnsi="Book Antiqua"/>
        </w:rPr>
        <w:t xml:space="preserve">they </w:t>
      </w:r>
      <w:r w:rsidR="00C93EF2" w:rsidRPr="006E7292">
        <w:rPr>
          <w:rFonts w:ascii="Book Antiqua" w:hAnsi="Book Antiqua"/>
        </w:rPr>
        <w:t xml:space="preserve">can </w:t>
      </w:r>
      <w:r w:rsidRPr="006E7292">
        <w:rPr>
          <w:rFonts w:ascii="Book Antiqua" w:hAnsi="Book Antiqua"/>
        </w:rPr>
        <w:t>acquire</w:t>
      </w:r>
      <w:r w:rsidR="009E13AF" w:rsidRPr="006E7292">
        <w:rPr>
          <w:rFonts w:ascii="Book Antiqua" w:hAnsi="Book Antiqua"/>
        </w:rPr>
        <w:t xml:space="preserve"> characteristics of neuroendocrine prostate cancer</w:t>
      </w:r>
      <w:r w:rsidR="003E7C47" w:rsidRPr="006E7292">
        <w:rPr>
          <w:rFonts w:ascii="Book Antiqua" w:hAnsi="Book Antiqua"/>
        </w:rPr>
        <w:t>,</w:t>
      </w:r>
      <w:r w:rsidR="00AA3814" w:rsidRPr="006E7292">
        <w:rPr>
          <w:rFonts w:ascii="Book Antiqua" w:hAnsi="Book Antiqua"/>
        </w:rPr>
        <w:t xml:space="preserve"> </w:t>
      </w:r>
      <w:r w:rsidR="00D93752" w:rsidRPr="006E7292">
        <w:rPr>
          <w:rFonts w:ascii="Book Antiqua" w:hAnsi="Book Antiqua"/>
        </w:rPr>
        <w:t xml:space="preserve">which is </w:t>
      </w:r>
      <w:r w:rsidR="00AA3814" w:rsidRPr="006E7292">
        <w:rPr>
          <w:rFonts w:ascii="Book Antiqua" w:hAnsi="Book Antiqua"/>
        </w:rPr>
        <w:t xml:space="preserve">a transformation that occurs in the clinical context of a moderate increment of blood </w:t>
      </w:r>
      <w:r w:rsidR="007807A2" w:rsidRPr="006E7292">
        <w:rPr>
          <w:rFonts w:ascii="Book Antiqua" w:hAnsi="Book Antiqua"/>
        </w:rPr>
        <w:t>prostate specific antigen (</w:t>
      </w:r>
      <w:r w:rsidR="00AA3814" w:rsidRPr="006E7292">
        <w:rPr>
          <w:rFonts w:ascii="Book Antiqua" w:hAnsi="Book Antiqua"/>
        </w:rPr>
        <w:t>PSA</w:t>
      </w:r>
      <w:r w:rsidR="007807A2" w:rsidRPr="006E7292">
        <w:rPr>
          <w:rFonts w:ascii="Book Antiqua" w:hAnsi="Book Antiqua"/>
        </w:rPr>
        <w:t>)</w:t>
      </w:r>
      <w:r w:rsidR="00AA3814" w:rsidRPr="006E7292">
        <w:rPr>
          <w:rFonts w:ascii="Book Antiqua" w:hAnsi="Book Antiqua"/>
        </w:rPr>
        <w:t xml:space="preserve"> levels</w:t>
      </w:r>
      <w:r w:rsidR="007807A2" w:rsidRPr="006E7292">
        <w:rPr>
          <w:rFonts w:ascii="Book Antiqua" w:hAnsi="Book Antiqua"/>
          <w:vertAlign w:val="superscript"/>
        </w:rPr>
        <w:t>[</w:t>
      </w:r>
      <w:r w:rsidR="00742D2E"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{"citationItems":[{"id":"ITEM-1","itemData":{"DOI":"10.1200/EDBK_175510","ISSN":"1548-8756","PMID":"28561699","abstract":"Although biopsies of metastatic prostate cancer are rarely undertaken in the clinical setting, there is increasing interest in developing personalized approaches to therapy by taking into account the genetic and phenotypic changes in an individual tumor. Indeed, analysis of metastatic prostate tumors can predict sensitivity to agents that inhibit DNA repair and resistance to novel hormonal agents, such as abiraterone and enzalutamide, and identify phenotypic changes, such as neuroendocrine differentiation, that have important clinical implications. Although obtaining metastatic tumor tissue is necessary for this genomic and molecular profiling, knowing when to biopsy, selecting the appropriate metastatic lesion, and interpreting the results are major challenges facing clinicians today. In this article, we discuss the rationale for obtaining metastatic tumor tissue, review the bioinformatic approach to analyzing these specimens, discuss the timing and approach to solid and liquid tumor biopsies, review the challenges associated with obtaining and acting on clinically relevant results, and discuss opportunities for the future.","author":[{"dropping-particle":"","family":"Friedlander","given":"Terence W","non-dropping-particle":"","parse-names":false,"suffix":""},{"dropping-particle":"","family":"Pritchard","given":"Colin C","non-dropping-particle":"","parse-names":false,"suffix":""},{"dropping-particle":"","family":"Beltran","given":"Himisha","non-dropping-particle":"","parse-names":false,"suffix":""}],"container-title":"American Society of Clinical Oncology educational book. American Society of Clinical Oncology. Annual Meeting","id":"ITEM-1","issued":{"date-parts":[["2017"]]},"page":"358-369","title":"Personalizing Therapy for Metastatic Prostate Cancer: The Role of Solid and Liquid Tumor Biopsies.","type":"article-journal","volume":"37"},"uris":["http://www.mendeley.com/documents/?uuid=a94573b8-de87-4bf9-8e66-bf8a3dbbddf7"]}],"mendeley":{"formattedCitation":"&lt;sup&gt;7&lt;/sup&gt;","plainTextFormattedCitation":"7","previouslyFormattedCitation":"&lt;sup&gt;9&lt;/sup&gt;"},"properties":{"noteIndex":0},"schema":"https://github.com/citation-style-language/schema/raw/master/csl-citation.json"}</w:instrText>
      </w:r>
      <w:r w:rsidR="00742D2E" w:rsidRPr="006E7292">
        <w:rPr>
          <w:rFonts w:ascii="Book Antiqua" w:hAnsi="Book Antiqua"/>
          <w:vertAlign w:val="superscript"/>
        </w:rPr>
        <w:fldChar w:fldCharType="separate"/>
      </w:r>
      <w:r w:rsidR="00AB62E4" w:rsidRPr="00644326">
        <w:rPr>
          <w:rFonts w:ascii="Book Antiqua" w:hAnsi="Book Antiqua"/>
          <w:vertAlign w:val="superscript"/>
        </w:rPr>
        <w:t>7</w:t>
      </w:r>
      <w:r w:rsidR="00742D2E" w:rsidRPr="006E7292">
        <w:rPr>
          <w:rFonts w:ascii="Book Antiqua" w:hAnsi="Book Antiqua"/>
          <w:vertAlign w:val="superscript"/>
        </w:rPr>
        <w:fldChar w:fldCharType="end"/>
      </w:r>
      <w:r w:rsidR="007807A2" w:rsidRPr="006E7292">
        <w:rPr>
          <w:rFonts w:ascii="Book Antiqua" w:hAnsi="Book Antiqua"/>
          <w:vertAlign w:val="superscript"/>
        </w:rPr>
        <w:t>]</w:t>
      </w:r>
      <w:r w:rsidR="00F310C5" w:rsidRPr="006E7292">
        <w:rPr>
          <w:rFonts w:ascii="Book Antiqua" w:hAnsi="Book Antiqua"/>
        </w:rPr>
        <w:t>.</w:t>
      </w:r>
      <w:r w:rsidR="00D93752" w:rsidRPr="006E7292">
        <w:rPr>
          <w:rFonts w:ascii="Book Antiqua" w:hAnsi="Book Antiqua"/>
        </w:rPr>
        <w:t xml:space="preserve"> </w:t>
      </w:r>
      <w:r w:rsidR="00A133E7" w:rsidRPr="006E7292">
        <w:rPr>
          <w:rFonts w:ascii="Book Antiqua" w:hAnsi="Book Antiqua"/>
        </w:rPr>
        <w:t>I</w:t>
      </w:r>
      <w:r w:rsidR="00437995" w:rsidRPr="006E7292">
        <w:rPr>
          <w:rFonts w:ascii="Book Antiqua" w:hAnsi="Book Antiqua"/>
        </w:rPr>
        <w:t>t is clear that</w:t>
      </w:r>
      <w:r w:rsidR="00A133E7" w:rsidRPr="006E7292">
        <w:rPr>
          <w:rFonts w:ascii="Book Antiqua" w:hAnsi="Book Antiqua"/>
        </w:rPr>
        <w:t xml:space="preserve"> mCRPC progression can have </w:t>
      </w:r>
      <w:r w:rsidR="00E0191F" w:rsidRPr="006E7292">
        <w:rPr>
          <w:rFonts w:ascii="Book Antiqua" w:hAnsi="Book Antiqua"/>
        </w:rPr>
        <w:t>different</w:t>
      </w:r>
      <w:r w:rsidR="00A133E7" w:rsidRPr="006E7292">
        <w:rPr>
          <w:rFonts w:ascii="Book Antiqua" w:hAnsi="Book Antiqua"/>
        </w:rPr>
        <w:t xml:space="preserve"> therapeutic options</w:t>
      </w:r>
      <w:r w:rsidR="00C93EF2" w:rsidRPr="006E7292">
        <w:rPr>
          <w:rFonts w:ascii="Book Antiqua" w:hAnsi="Book Antiqua"/>
        </w:rPr>
        <w:t>, but the</w:t>
      </w:r>
      <w:r w:rsidR="00437995" w:rsidRPr="006E7292">
        <w:rPr>
          <w:rFonts w:ascii="Book Antiqua" w:hAnsi="Book Antiqua"/>
        </w:rPr>
        <w:t xml:space="preserve"> monitor</w:t>
      </w:r>
      <w:r w:rsidR="00C93EF2" w:rsidRPr="006E7292">
        <w:rPr>
          <w:rFonts w:ascii="Book Antiqua" w:hAnsi="Book Antiqua"/>
        </w:rPr>
        <w:t>ing of</w:t>
      </w:r>
      <w:r w:rsidR="00437995" w:rsidRPr="006E7292">
        <w:rPr>
          <w:rFonts w:ascii="Book Antiqua" w:hAnsi="Book Antiqua"/>
        </w:rPr>
        <w:t xml:space="preserve"> </w:t>
      </w:r>
      <w:r w:rsidR="00A133E7" w:rsidRPr="006E7292">
        <w:rPr>
          <w:rFonts w:ascii="Book Antiqua" w:hAnsi="Book Antiqua"/>
        </w:rPr>
        <w:t>mCRPC</w:t>
      </w:r>
      <w:r w:rsidR="00437995" w:rsidRPr="006E7292">
        <w:rPr>
          <w:rFonts w:ascii="Book Antiqua" w:hAnsi="Book Antiqua"/>
        </w:rPr>
        <w:t xml:space="preserve"> is an urgent task </w:t>
      </w:r>
      <w:r w:rsidR="00A133E7" w:rsidRPr="006E7292">
        <w:rPr>
          <w:rFonts w:ascii="Book Antiqua" w:hAnsi="Book Antiqua"/>
        </w:rPr>
        <w:t xml:space="preserve">for </w:t>
      </w:r>
      <w:r w:rsidR="00A55BC3" w:rsidRPr="006E7292">
        <w:rPr>
          <w:rFonts w:ascii="Book Antiqua" w:hAnsi="Book Antiqua"/>
        </w:rPr>
        <w:t>patients</w:t>
      </w:r>
      <w:r w:rsidR="00A71551" w:rsidRPr="006E7292">
        <w:rPr>
          <w:rFonts w:ascii="Book Antiqua" w:hAnsi="Book Antiqua"/>
        </w:rPr>
        <w:t xml:space="preserve">’ </w:t>
      </w:r>
      <w:r w:rsidR="00A55BC3" w:rsidRPr="006E7292">
        <w:rPr>
          <w:rFonts w:ascii="Book Antiqua" w:hAnsi="Book Antiqua"/>
        </w:rPr>
        <w:t>surveillance</w:t>
      </w:r>
      <w:r w:rsidR="00A133E7" w:rsidRPr="006E7292">
        <w:rPr>
          <w:rFonts w:ascii="Book Antiqua" w:hAnsi="Book Antiqua"/>
        </w:rPr>
        <w:t xml:space="preserve"> </w:t>
      </w:r>
      <w:r w:rsidR="00437995" w:rsidRPr="006E7292">
        <w:rPr>
          <w:rFonts w:ascii="Book Antiqua" w:hAnsi="Book Antiqua"/>
        </w:rPr>
        <w:t>to anticipate relapse of the disease or to</w:t>
      </w:r>
      <w:r w:rsidR="00A133E7" w:rsidRPr="006E7292">
        <w:rPr>
          <w:rFonts w:ascii="Book Antiqua" w:hAnsi="Book Antiqua"/>
        </w:rPr>
        <w:t xml:space="preserve"> evaluate the efficacy of the therapies.</w:t>
      </w:r>
      <w:r w:rsidR="00D93752" w:rsidRPr="006E7292">
        <w:rPr>
          <w:rFonts w:ascii="Book Antiqua" w:hAnsi="Book Antiqua"/>
        </w:rPr>
        <w:t xml:space="preserve"> </w:t>
      </w:r>
      <w:r w:rsidR="003E7C47" w:rsidRPr="006E7292">
        <w:rPr>
          <w:rFonts w:ascii="Book Antiqua" w:hAnsi="Book Antiqua"/>
        </w:rPr>
        <w:t>In this respect, w</w:t>
      </w:r>
      <w:r w:rsidR="00A5536E" w:rsidRPr="006E7292">
        <w:rPr>
          <w:rFonts w:ascii="Book Antiqua" w:hAnsi="Book Antiqua"/>
        </w:rPr>
        <w:t>e will discuss the emerging role of liquid</w:t>
      </w:r>
      <w:r w:rsidR="00CC1332" w:rsidRPr="006E7292">
        <w:rPr>
          <w:rFonts w:ascii="Book Antiqua" w:hAnsi="Book Antiqua"/>
        </w:rPr>
        <w:t xml:space="preserve"> biopsy</w:t>
      </w:r>
      <w:r w:rsidR="00A5536E" w:rsidRPr="006E7292">
        <w:rPr>
          <w:rFonts w:ascii="Book Antiqua" w:hAnsi="Book Antiqua"/>
        </w:rPr>
        <w:t xml:space="preserve"> for </w:t>
      </w:r>
      <w:r w:rsidR="00C04274" w:rsidRPr="006E7292">
        <w:rPr>
          <w:rFonts w:ascii="Book Antiqua" w:hAnsi="Book Antiqua"/>
        </w:rPr>
        <w:t xml:space="preserve">metastatic castrate-resistant </w:t>
      </w:r>
      <w:r w:rsidR="00A5536E" w:rsidRPr="006E7292">
        <w:rPr>
          <w:rFonts w:ascii="Book Antiqua" w:hAnsi="Book Antiqua"/>
        </w:rPr>
        <w:t>prostate cancer</w:t>
      </w:r>
      <w:r w:rsidR="006A3291" w:rsidRPr="006E7292">
        <w:rPr>
          <w:rFonts w:ascii="Book Antiqua" w:hAnsi="Book Antiqua"/>
        </w:rPr>
        <w:t xml:space="preserve"> patients</w:t>
      </w:r>
      <w:r w:rsidR="00A5536E" w:rsidRPr="006E7292">
        <w:rPr>
          <w:rFonts w:ascii="Book Antiqua" w:hAnsi="Book Antiqua"/>
        </w:rPr>
        <w:t xml:space="preserve"> with a </w:t>
      </w:r>
      <w:r w:rsidR="00F52352" w:rsidRPr="006E7292">
        <w:rPr>
          <w:rFonts w:ascii="Book Antiqua" w:hAnsi="Book Antiqua"/>
        </w:rPr>
        <w:t>focus</w:t>
      </w:r>
      <w:r w:rsidR="00A5536E" w:rsidRPr="006E7292">
        <w:rPr>
          <w:rFonts w:ascii="Book Antiqua" w:hAnsi="Book Antiqua"/>
        </w:rPr>
        <w:t xml:space="preserve"> on nucleic acids to predict disease </w:t>
      </w:r>
      <w:r w:rsidR="00CC1332" w:rsidRPr="006E7292">
        <w:rPr>
          <w:rFonts w:ascii="Book Antiqua" w:hAnsi="Book Antiqua"/>
        </w:rPr>
        <w:t>progression</w:t>
      </w:r>
      <w:r w:rsidR="00A5536E" w:rsidRPr="006E7292">
        <w:rPr>
          <w:rFonts w:ascii="Book Antiqua" w:hAnsi="Book Antiqua"/>
        </w:rPr>
        <w:t xml:space="preserve"> or therapy efficacy.</w:t>
      </w:r>
    </w:p>
    <w:p w14:paraId="46A72209" w14:textId="77777777" w:rsidR="00B63E91" w:rsidRPr="006E7292" w:rsidRDefault="00B63E91" w:rsidP="00EF7A13">
      <w:pPr>
        <w:snapToGrid w:val="0"/>
        <w:spacing w:line="360" w:lineRule="auto"/>
        <w:jc w:val="both"/>
        <w:rPr>
          <w:rFonts w:ascii="Book Antiqua" w:hAnsi="Book Antiqua"/>
        </w:rPr>
      </w:pPr>
    </w:p>
    <w:p w14:paraId="20010833" w14:textId="2928825F" w:rsidR="00545E16" w:rsidRPr="006E7292" w:rsidRDefault="00545E16">
      <w:pPr>
        <w:pStyle w:val="ac"/>
        <w:snapToGrid w:val="0"/>
        <w:spacing w:line="360" w:lineRule="auto"/>
        <w:ind w:left="0"/>
        <w:contextualSpacing w:val="0"/>
        <w:jc w:val="both"/>
        <w:rPr>
          <w:rFonts w:ascii="Book Antiqua" w:hAnsi="Book Antiqua"/>
          <w:b/>
          <w:caps/>
          <w:u w:val="single"/>
        </w:rPr>
      </w:pPr>
      <w:r w:rsidRPr="006E7292">
        <w:rPr>
          <w:rFonts w:ascii="Book Antiqua" w:hAnsi="Book Antiqua"/>
          <w:b/>
          <w:caps/>
          <w:u w:val="single"/>
        </w:rPr>
        <w:t xml:space="preserve">Liquid Biopsy in </w:t>
      </w:r>
      <w:r w:rsidR="00D71200" w:rsidRPr="006E7292">
        <w:rPr>
          <w:rFonts w:ascii="Book Antiqua" w:hAnsi="Book Antiqua" w:cs="Times New Roman"/>
          <w:b/>
          <w:caps/>
          <w:u w:val="single"/>
        </w:rPr>
        <w:t>Metastatic castrate-resistant prostate cancer</w:t>
      </w:r>
    </w:p>
    <w:p w14:paraId="1E0EBA04" w14:textId="190AD80C" w:rsidR="00545E16" w:rsidRPr="006E7292" w:rsidRDefault="003E7C47">
      <w:pPr>
        <w:snapToGrid w:val="0"/>
        <w:spacing w:line="360" w:lineRule="auto"/>
        <w:jc w:val="both"/>
        <w:rPr>
          <w:rFonts w:ascii="Book Antiqua" w:hAnsi="Book Antiqua"/>
        </w:rPr>
      </w:pPr>
      <w:r w:rsidRPr="006E7292">
        <w:rPr>
          <w:rFonts w:ascii="Book Antiqua" w:hAnsi="Book Antiqua"/>
        </w:rPr>
        <w:t xml:space="preserve">In contrast to traditional tissue biopsy, liquid biopsy involves the analysis of different biological fluids. As technologies </w:t>
      </w:r>
      <w:r w:rsidR="008E436C" w:rsidRPr="006E7292">
        <w:rPr>
          <w:rFonts w:ascii="Book Antiqua" w:hAnsi="Book Antiqua"/>
        </w:rPr>
        <w:t>advance</w:t>
      </w:r>
      <w:r w:rsidRPr="006E7292">
        <w:rPr>
          <w:rFonts w:ascii="Book Antiqua" w:hAnsi="Book Antiqua"/>
        </w:rPr>
        <w:t xml:space="preserve">, </w:t>
      </w:r>
      <w:r w:rsidR="008E436C" w:rsidRPr="006E7292">
        <w:rPr>
          <w:rFonts w:ascii="Book Antiqua" w:hAnsi="Book Antiqua"/>
        </w:rPr>
        <w:t xml:space="preserve">the </w:t>
      </w:r>
      <w:r w:rsidRPr="006E7292">
        <w:rPr>
          <w:rFonts w:ascii="Book Antiqua" w:hAnsi="Book Antiqua"/>
        </w:rPr>
        <w:t xml:space="preserve">amplification and detection methods </w:t>
      </w:r>
      <w:r w:rsidR="00C0371C" w:rsidRPr="006E7292">
        <w:rPr>
          <w:rFonts w:ascii="Book Antiqua" w:hAnsi="Book Antiqua"/>
        </w:rPr>
        <w:t>have become more and</w:t>
      </w:r>
      <w:r w:rsidRPr="006E7292">
        <w:rPr>
          <w:rFonts w:ascii="Book Antiqua" w:hAnsi="Book Antiqua"/>
        </w:rPr>
        <w:t xml:space="preserve"> more efficient and sensitive </w:t>
      </w:r>
      <w:r w:rsidR="00C0371C" w:rsidRPr="006E7292">
        <w:rPr>
          <w:rFonts w:ascii="Book Antiqua" w:hAnsi="Book Antiqua"/>
        </w:rPr>
        <w:t>in the</w:t>
      </w:r>
      <w:r w:rsidRPr="006E7292">
        <w:rPr>
          <w:rFonts w:ascii="Book Antiqua" w:hAnsi="Book Antiqua"/>
        </w:rPr>
        <w:t xml:space="preserve"> target identification</w:t>
      </w:r>
      <w:r w:rsidR="00C0371C" w:rsidRPr="006E7292">
        <w:rPr>
          <w:rFonts w:ascii="Book Antiqua" w:hAnsi="Book Antiqua"/>
        </w:rPr>
        <w:t>, using</w:t>
      </w:r>
      <w:r w:rsidRPr="006E7292">
        <w:rPr>
          <w:rFonts w:ascii="Book Antiqua" w:hAnsi="Book Antiqua"/>
        </w:rPr>
        <w:t xml:space="preserve"> </w:t>
      </w:r>
      <w:r w:rsidR="003E476D" w:rsidRPr="006E7292">
        <w:rPr>
          <w:rFonts w:ascii="Book Antiqua" w:hAnsi="Book Antiqua"/>
        </w:rPr>
        <w:t>minute</w:t>
      </w:r>
      <w:r w:rsidRPr="006E7292">
        <w:rPr>
          <w:rFonts w:ascii="Book Antiqua" w:hAnsi="Book Antiqua"/>
        </w:rPr>
        <w:t xml:space="preserve"> quantities of nucleic acids. As a proof of principle, liquid biopsy can detect various tumor-specific macromolecules to profile and stratify the pathology. Longitudinal monitoring by liquid biopsy could give </w:t>
      </w:r>
      <w:r w:rsidR="003E476D" w:rsidRPr="006E7292">
        <w:rPr>
          <w:rFonts w:ascii="Book Antiqua" w:hAnsi="Book Antiqua"/>
        </w:rPr>
        <w:t xml:space="preserve">critical </w:t>
      </w:r>
      <w:r w:rsidRPr="006E7292">
        <w:rPr>
          <w:rFonts w:ascii="Book Antiqua" w:hAnsi="Book Antiqua"/>
        </w:rPr>
        <w:t>support to clinical management of patients</w:t>
      </w:r>
      <w:r w:rsidR="003E476D" w:rsidRPr="006E7292">
        <w:rPr>
          <w:rFonts w:ascii="Book Antiqua" w:hAnsi="Book Antiqua"/>
        </w:rPr>
        <w:t xml:space="preserve"> because</w:t>
      </w:r>
      <w:r w:rsidRPr="006E7292">
        <w:rPr>
          <w:rFonts w:ascii="Book Antiqua" w:hAnsi="Book Antiqua"/>
        </w:rPr>
        <w:t xml:space="preserve"> specific molecular changes are correlated with tumor progression and response to therapies.</w:t>
      </w:r>
    </w:p>
    <w:p w14:paraId="3D511404" w14:textId="52716CA5" w:rsidR="0047376C" w:rsidRPr="006E7292" w:rsidRDefault="0047376C">
      <w:pPr>
        <w:snapToGrid w:val="0"/>
        <w:spacing w:line="360" w:lineRule="auto"/>
        <w:ind w:firstLineChars="100" w:firstLine="240"/>
        <w:jc w:val="both"/>
        <w:rPr>
          <w:rFonts w:ascii="Book Antiqua" w:hAnsi="Book Antiqua"/>
        </w:rPr>
      </w:pPr>
      <w:r w:rsidRPr="006E7292">
        <w:rPr>
          <w:rFonts w:ascii="Book Antiqua" w:hAnsi="Book Antiqua"/>
        </w:rPr>
        <w:t xml:space="preserve">Di Nunno </w:t>
      </w:r>
      <w:r w:rsidRPr="006E7292">
        <w:rPr>
          <w:rFonts w:ascii="Book Antiqua" w:hAnsi="Book Antiqua"/>
          <w:i/>
        </w:rPr>
        <w:t>et al</w:t>
      </w:r>
      <w:r w:rsidR="00D71200" w:rsidRPr="006E7292">
        <w:rPr>
          <w:rFonts w:ascii="Book Antiqua" w:hAnsi="Book Antiqua"/>
          <w:vertAlign w:val="superscript"/>
        </w:rPr>
        <w:t>[8]</w:t>
      </w:r>
      <w:r w:rsidRPr="006E7292">
        <w:rPr>
          <w:rFonts w:ascii="Book Antiqua" w:hAnsi="Book Antiqua"/>
          <w:vertAlign w:val="superscript"/>
        </w:rPr>
        <w:t xml:space="preserve"> </w:t>
      </w:r>
      <w:r w:rsidRPr="006E7292">
        <w:rPr>
          <w:rFonts w:ascii="Book Antiqua" w:hAnsi="Book Antiqua"/>
        </w:rPr>
        <w:t>summarize</w:t>
      </w:r>
      <w:r w:rsidR="003E476D" w:rsidRPr="006E7292">
        <w:rPr>
          <w:rFonts w:ascii="Book Antiqua" w:hAnsi="Book Antiqua"/>
        </w:rPr>
        <w:t>d</w:t>
      </w:r>
      <w:r w:rsidRPr="006E7292">
        <w:rPr>
          <w:rFonts w:ascii="Book Antiqua" w:hAnsi="Book Antiqua"/>
        </w:rPr>
        <w:t xml:space="preserve"> in six points the advantages of liquid biopsy as an innovative approach to prostate cancer: </w:t>
      </w:r>
      <w:r w:rsidR="00D71200" w:rsidRPr="006E7292">
        <w:rPr>
          <w:rFonts w:ascii="Book Antiqua" w:hAnsi="Book Antiqua"/>
        </w:rPr>
        <w:t>(</w:t>
      </w:r>
      <w:r w:rsidRPr="006E7292">
        <w:rPr>
          <w:rFonts w:ascii="Book Antiqua" w:hAnsi="Book Antiqua"/>
        </w:rPr>
        <w:t xml:space="preserve">1) </w:t>
      </w:r>
      <w:r w:rsidR="00D71200" w:rsidRPr="006E7292">
        <w:rPr>
          <w:rFonts w:ascii="Book Antiqua" w:hAnsi="Book Antiqua"/>
        </w:rPr>
        <w:t>low invasiveness;</w:t>
      </w:r>
      <w:r w:rsidRPr="006E7292">
        <w:rPr>
          <w:rFonts w:ascii="Book Antiqua" w:hAnsi="Book Antiqua"/>
        </w:rPr>
        <w:t xml:space="preserve"> </w:t>
      </w:r>
      <w:r w:rsidR="00D71200" w:rsidRPr="006E7292">
        <w:rPr>
          <w:rFonts w:ascii="Book Antiqua" w:hAnsi="Book Antiqua"/>
        </w:rPr>
        <w:t>(</w:t>
      </w:r>
      <w:r w:rsidRPr="006E7292">
        <w:rPr>
          <w:rFonts w:ascii="Book Antiqua" w:hAnsi="Book Antiqua"/>
        </w:rPr>
        <w:t>2) early detection of most aggre</w:t>
      </w:r>
      <w:r w:rsidR="00D71200" w:rsidRPr="006E7292">
        <w:rPr>
          <w:rFonts w:ascii="Book Antiqua" w:hAnsi="Book Antiqua"/>
        </w:rPr>
        <w:t>ssive tumors;</w:t>
      </w:r>
      <w:r w:rsidRPr="006E7292">
        <w:rPr>
          <w:rFonts w:ascii="Book Antiqua" w:hAnsi="Book Antiqua"/>
        </w:rPr>
        <w:t xml:space="preserve"> </w:t>
      </w:r>
      <w:r w:rsidR="00D71200" w:rsidRPr="006E7292">
        <w:rPr>
          <w:rFonts w:ascii="Book Antiqua" w:hAnsi="Book Antiqua"/>
        </w:rPr>
        <w:t>(</w:t>
      </w:r>
      <w:r w:rsidRPr="006E7292">
        <w:rPr>
          <w:rFonts w:ascii="Book Antiqua" w:hAnsi="Book Antiqua"/>
        </w:rPr>
        <w:t>3) early diagnosis of residual tumors or</w:t>
      </w:r>
      <w:r w:rsidR="00D71200" w:rsidRPr="006E7292">
        <w:rPr>
          <w:rFonts w:ascii="Book Antiqua" w:hAnsi="Book Antiqua"/>
        </w:rPr>
        <w:t xml:space="preserve"> micrometastasis after surgery;</w:t>
      </w:r>
      <w:r w:rsidRPr="006E7292">
        <w:rPr>
          <w:rFonts w:ascii="Book Antiqua" w:hAnsi="Book Antiqua"/>
        </w:rPr>
        <w:t xml:space="preserve"> </w:t>
      </w:r>
      <w:r w:rsidR="00D71200" w:rsidRPr="006E7292">
        <w:rPr>
          <w:rFonts w:ascii="Book Antiqua" w:hAnsi="Book Antiqua"/>
        </w:rPr>
        <w:t>(</w:t>
      </w:r>
      <w:r w:rsidRPr="006E7292">
        <w:rPr>
          <w:rFonts w:ascii="Book Antiqua" w:hAnsi="Book Antiqua"/>
        </w:rPr>
        <w:t>4) monitoring patien</w:t>
      </w:r>
      <w:r w:rsidR="00142626" w:rsidRPr="006E7292">
        <w:rPr>
          <w:rFonts w:ascii="Book Antiqua" w:hAnsi="Book Antiqua"/>
        </w:rPr>
        <w:t xml:space="preserve">t response and/or progression </w:t>
      </w:r>
      <w:r w:rsidRPr="006E7292">
        <w:rPr>
          <w:rFonts w:ascii="Book Antiqua" w:hAnsi="Book Antiqua"/>
        </w:rPr>
        <w:t xml:space="preserve">of the disease after therapy, </w:t>
      </w:r>
      <w:r w:rsidR="00D71200" w:rsidRPr="006E7292">
        <w:rPr>
          <w:rFonts w:ascii="Book Antiqua" w:hAnsi="Book Antiqua"/>
        </w:rPr>
        <w:t>particularly for mCRPC; (</w:t>
      </w:r>
      <w:r w:rsidRPr="006E7292">
        <w:rPr>
          <w:rFonts w:ascii="Book Antiqua" w:hAnsi="Book Antiqua"/>
        </w:rPr>
        <w:t>5)</w:t>
      </w:r>
      <w:r w:rsidR="00D71200" w:rsidRPr="006E7292">
        <w:rPr>
          <w:rFonts w:ascii="Book Antiqua" w:hAnsi="Book Antiqua"/>
        </w:rPr>
        <w:t xml:space="preserve"> </w:t>
      </w:r>
      <w:r w:rsidRPr="006E7292">
        <w:rPr>
          <w:rFonts w:ascii="Book Antiqua" w:hAnsi="Book Antiqua"/>
        </w:rPr>
        <w:t>prognosticat</w:t>
      </w:r>
      <w:r w:rsidR="00142626" w:rsidRPr="006E7292">
        <w:rPr>
          <w:rFonts w:ascii="Book Antiqua" w:hAnsi="Book Antiqua"/>
        </w:rPr>
        <w:t xml:space="preserve">ion of </w:t>
      </w:r>
      <w:r w:rsidR="00D71200" w:rsidRPr="006E7292">
        <w:rPr>
          <w:rFonts w:ascii="Book Antiqua" w:hAnsi="Book Antiqua"/>
        </w:rPr>
        <w:t>the response to therapy;</w:t>
      </w:r>
      <w:r w:rsidRPr="006E7292">
        <w:rPr>
          <w:rFonts w:ascii="Book Antiqua" w:hAnsi="Book Antiqua"/>
        </w:rPr>
        <w:t xml:space="preserve"> </w:t>
      </w:r>
      <w:r w:rsidR="00D71200" w:rsidRPr="006E7292">
        <w:rPr>
          <w:rFonts w:ascii="Book Antiqua" w:hAnsi="Book Antiqua"/>
        </w:rPr>
        <w:t>and (</w:t>
      </w:r>
      <w:r w:rsidRPr="006E7292">
        <w:rPr>
          <w:rFonts w:ascii="Book Antiqua" w:hAnsi="Book Antiqua"/>
        </w:rPr>
        <w:t>6) possibility to delineate an accurate genetic profile of the disease directing the analysis towards key mutations correlated with tumor resistance</w:t>
      </w:r>
      <w:r w:rsidR="00D71200" w:rsidRPr="006E7292">
        <w:rPr>
          <w:rFonts w:ascii="Book Antiqua" w:hAnsi="Book Antiqua"/>
          <w:vertAlign w:val="superscript"/>
        </w:rPr>
        <w:t>[</w:t>
      </w:r>
      <w:r w:rsidR="0095162B"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{"citationItems":[{"id":"ITEM-1","itemData":{"DOI":"10.3389/fonc.2018.00397","ISSN":"2234-943X","abstract":"Management of localized and advanced prostate cancer benefits from several therapeutic options with a surprising improvement in terms of clinical outcome. The selection of patients more likely to benefit from a specific approach still remains a key issue as well as the early identification of patients with aggressive disease which could benefit from a more aggressive treatment strategy. The lack of reliable bio-marker in castration resistant setting able to monitor response to treatment and early inform about tumor progression is an emerging issue. Accordingly, circulating DNA and circulating tumor cells appears a promising and attractive approach despite to date practical applications of these techniques are few and not validated. The aim of this review of the literature is to explore current knowledge on liquid biopsy in prostate cancer focusing on possible future applications.","author":[{"dropping-particle":"","family":"Nunno","given":"Vincenzo","non-dropping-particle":"Di","parse-names":false,"suffix":""},{"dropping-particle":"","family":"Gatto","given":"Lidia","non-dropping-particle":"","parse-names":false,"suffix":""},{"dropping-particle":"","family":"Santoni","given":"Matteo","non-dropping-particle":"","parse-names":false,"suffix":""},{"dropping-particle":"","family":"Cimadamore","given":"Alessia","non-dropping-particle":"","parse-names":false,"suffix":""},{"dropping-particle":"","family":"Lopez-Beltran","given":"Antonio","non-dropping-particle":"","parse-names":false,"suffix":""},{"dropping-particle":"","family":"Cheng","given":"Liang","non-dropping-particle":"","parse-names":false,"suffix":""},{"dropping-particle":"","family":"Scarpelli","given":"Marina","non-dropping-particle":"","parse-names":false,"suffix":""},{"dropping-particle":"","family":"Montironi","given":"Rodolfo","non-dropping-particle":"","parse-names":false,"suffix":""},{"dropping-particle":"","family":"Massari","given":"Francesco","non-dropping-particle":"","parse-names":false,"suffix":""}],"container-title":"Frontiers in Oncology","id":"ITEM-1","issued":{"date-parts":[["2018","9"]]},"publisher":"Frontiers Media SA","title":"Recent Advances in Liquid Biopsy in Patients With Castration Resistant Prostate Cancer","type":"article-journal","volume":"8"},"uris":["http://www.mendeley.com/documents/?uuid=df3897f5-690a-4db7-9147-33609f421ec8"]}],"mendeley":{"formattedCitation":"&lt;sup&gt;8&lt;/sup&gt;","plainTextFormattedCitation":"8","previouslyFormattedCitation":"&lt;sup&gt;10&lt;/sup&gt;"},"properties":{"noteIndex":0},"schema":"https://github.com/citation-style-language/schema/raw/master/csl-citation.json"}</w:instrText>
      </w:r>
      <w:r w:rsidR="0095162B" w:rsidRPr="006E7292">
        <w:rPr>
          <w:rFonts w:ascii="Book Antiqua" w:hAnsi="Book Antiqua"/>
          <w:vertAlign w:val="superscript"/>
        </w:rPr>
        <w:fldChar w:fldCharType="separate"/>
      </w:r>
      <w:r w:rsidR="00AB62E4" w:rsidRPr="00644326">
        <w:rPr>
          <w:rFonts w:ascii="Book Antiqua" w:hAnsi="Book Antiqua"/>
          <w:vertAlign w:val="superscript"/>
        </w:rPr>
        <w:t>8</w:t>
      </w:r>
      <w:r w:rsidR="0095162B" w:rsidRPr="006E7292">
        <w:rPr>
          <w:rFonts w:ascii="Book Antiqua" w:hAnsi="Book Antiqua"/>
          <w:vertAlign w:val="superscript"/>
        </w:rPr>
        <w:fldChar w:fldCharType="end"/>
      </w:r>
      <w:r w:rsidR="00D71200" w:rsidRPr="006E7292">
        <w:rPr>
          <w:rFonts w:ascii="Book Antiqua" w:hAnsi="Book Antiqua"/>
          <w:vertAlign w:val="superscript"/>
        </w:rPr>
        <w:t>]</w:t>
      </w:r>
      <w:r w:rsidRPr="006E7292">
        <w:rPr>
          <w:rFonts w:ascii="Book Antiqua" w:hAnsi="Book Antiqua"/>
        </w:rPr>
        <w:t>.</w:t>
      </w:r>
    </w:p>
    <w:p w14:paraId="41726144" w14:textId="3392DC64" w:rsidR="0047376C" w:rsidRPr="006E7292" w:rsidDel="00083B5C" w:rsidRDefault="0030283C">
      <w:pPr>
        <w:snapToGrid w:val="0"/>
        <w:spacing w:line="360" w:lineRule="auto"/>
        <w:ind w:firstLineChars="100" w:firstLine="240"/>
        <w:jc w:val="both"/>
        <w:rPr>
          <w:rFonts w:ascii="Book Antiqua" w:hAnsi="Book Antiqua"/>
        </w:rPr>
      </w:pPr>
      <w:r w:rsidRPr="00EF7A13">
        <w:rPr>
          <w:rFonts w:ascii="Book Antiqua" w:hAnsi="Book Antiqua"/>
        </w:rPr>
        <w:lastRenderedPageBreak/>
        <w:t>Many molecular alteration</w:t>
      </w:r>
      <w:r w:rsidR="003E476D" w:rsidRPr="00EF7A13">
        <w:rPr>
          <w:rFonts w:ascii="Book Antiqua" w:hAnsi="Book Antiqua"/>
        </w:rPr>
        <w:t>s</w:t>
      </w:r>
      <w:r w:rsidRPr="00EF7A13">
        <w:rPr>
          <w:rFonts w:ascii="Book Antiqua" w:hAnsi="Book Antiqua"/>
        </w:rPr>
        <w:t xml:space="preserve"> (mutations, amplifications, deletions, alterations in the expression of specific genes or in non-coding RNAs transcription levels)</w:t>
      </w:r>
      <w:r w:rsidRPr="006E7292">
        <w:rPr>
          <w:rFonts w:ascii="Book Antiqua" w:hAnsi="Book Antiqua"/>
        </w:rPr>
        <w:t xml:space="preserve"> have been correlated </w:t>
      </w:r>
      <w:r w:rsidR="00A1340D" w:rsidRPr="006E7292">
        <w:rPr>
          <w:rFonts w:ascii="Book Antiqua" w:hAnsi="Book Antiqua"/>
        </w:rPr>
        <w:t>with</w:t>
      </w:r>
      <w:r w:rsidRPr="006E7292">
        <w:rPr>
          <w:rFonts w:ascii="Book Antiqua" w:hAnsi="Book Antiqua"/>
        </w:rPr>
        <w:t xml:space="preserve"> resistance or sensibility against specific treatments.</w:t>
      </w:r>
      <w:r w:rsidR="003E7C47" w:rsidRPr="006E7292">
        <w:rPr>
          <w:rFonts w:ascii="Book Antiqua" w:hAnsi="Book Antiqua"/>
        </w:rPr>
        <w:t xml:space="preserve"> Targets in liquid biopsy can be circulating </w:t>
      </w:r>
      <w:r w:rsidR="0066663F" w:rsidRPr="006E7292">
        <w:rPr>
          <w:rFonts w:ascii="Book Antiqua" w:hAnsi="Book Antiqua"/>
        </w:rPr>
        <w:t>cell-</w:t>
      </w:r>
      <w:r w:rsidR="0047376C" w:rsidRPr="006E7292">
        <w:rPr>
          <w:rFonts w:ascii="Book Antiqua" w:hAnsi="Book Antiqua"/>
        </w:rPr>
        <w:t xml:space="preserve">free </w:t>
      </w:r>
      <w:r w:rsidR="003E7C47" w:rsidRPr="006E7292">
        <w:rPr>
          <w:rFonts w:ascii="Book Antiqua" w:hAnsi="Book Antiqua"/>
        </w:rPr>
        <w:t>nucleic acids.</w:t>
      </w:r>
      <w:r w:rsidR="0047376C" w:rsidRPr="006E7292">
        <w:rPr>
          <w:rFonts w:ascii="Book Antiqua" w:hAnsi="Book Antiqua"/>
        </w:rPr>
        <w:t xml:space="preserve"> </w:t>
      </w:r>
      <w:r w:rsidR="003E7C47" w:rsidRPr="006E7292">
        <w:rPr>
          <w:rFonts w:ascii="Book Antiqua" w:hAnsi="Book Antiqua"/>
        </w:rPr>
        <w:t xml:space="preserve">Circulating </w:t>
      </w:r>
      <w:r w:rsidR="0066663F" w:rsidRPr="006E7292">
        <w:rPr>
          <w:rFonts w:ascii="Book Antiqua" w:hAnsi="Book Antiqua"/>
        </w:rPr>
        <w:t xml:space="preserve">cell-free </w:t>
      </w:r>
      <w:r w:rsidR="003E7C47" w:rsidRPr="006E7292">
        <w:rPr>
          <w:rFonts w:ascii="Book Antiqua" w:hAnsi="Book Antiqua"/>
        </w:rPr>
        <w:t xml:space="preserve">tumor DNA (ctDNA) analysis includes detection of </w:t>
      </w:r>
      <w:r w:rsidR="00E36C34" w:rsidRPr="006E7292">
        <w:rPr>
          <w:rFonts w:ascii="Book Antiqua" w:hAnsi="Book Antiqua"/>
        </w:rPr>
        <w:t xml:space="preserve">circulating free </w:t>
      </w:r>
      <w:r w:rsidR="003E7C47" w:rsidRPr="006E7292">
        <w:rPr>
          <w:rFonts w:ascii="Book Antiqua" w:hAnsi="Book Antiqua"/>
        </w:rPr>
        <w:t xml:space="preserve">DNA </w:t>
      </w:r>
      <w:r w:rsidR="00E36C34" w:rsidRPr="006E7292">
        <w:rPr>
          <w:rFonts w:ascii="Book Antiqua" w:hAnsi="Book Antiqua"/>
        </w:rPr>
        <w:t xml:space="preserve">(cfDNA) </w:t>
      </w:r>
      <w:r w:rsidR="003E7C47" w:rsidRPr="006E7292">
        <w:rPr>
          <w:rFonts w:ascii="Book Antiqua" w:hAnsi="Book Antiqua"/>
        </w:rPr>
        <w:t xml:space="preserve">levels, </w:t>
      </w:r>
      <w:r w:rsidR="00E36C34" w:rsidRPr="006E7292">
        <w:rPr>
          <w:rFonts w:ascii="Book Antiqua" w:hAnsi="Book Antiqua"/>
        </w:rPr>
        <w:t xml:space="preserve">circulating </w:t>
      </w:r>
      <w:r w:rsidR="00782861" w:rsidRPr="006E7292">
        <w:rPr>
          <w:rFonts w:ascii="Book Antiqua" w:hAnsi="Book Antiqua"/>
        </w:rPr>
        <w:t>cell-</w:t>
      </w:r>
      <w:r w:rsidR="00E36C34" w:rsidRPr="006E7292">
        <w:rPr>
          <w:rFonts w:ascii="Book Antiqua" w:hAnsi="Book Antiqua"/>
        </w:rPr>
        <w:t xml:space="preserve">free </w:t>
      </w:r>
      <w:r w:rsidR="003E7C47" w:rsidRPr="006E7292">
        <w:rPr>
          <w:rFonts w:ascii="Book Antiqua" w:hAnsi="Book Antiqua"/>
        </w:rPr>
        <w:t>DNA integrity</w:t>
      </w:r>
      <w:r w:rsidR="00E36C34" w:rsidRPr="006E7292">
        <w:rPr>
          <w:rFonts w:ascii="Book Antiqua" w:hAnsi="Book Antiqua"/>
        </w:rPr>
        <w:t xml:space="preserve"> (cfDI)</w:t>
      </w:r>
      <w:r w:rsidR="003E7C47" w:rsidRPr="006E7292">
        <w:rPr>
          <w:rFonts w:ascii="Book Antiqua" w:hAnsi="Book Antiqua"/>
        </w:rPr>
        <w:t xml:space="preserve">, methylation rate, mutations and/or aberrations in the copy number of specific genes. </w:t>
      </w:r>
      <w:r w:rsidR="0047376C" w:rsidRPr="006E7292">
        <w:rPr>
          <w:rFonts w:ascii="Book Antiqua" w:hAnsi="Book Antiqua"/>
        </w:rPr>
        <w:t xml:space="preserve">For example, amplification of AR and/or the detection of certain driver mutations, </w:t>
      </w:r>
      <w:r w:rsidR="0047376C" w:rsidRPr="006E7292">
        <w:rPr>
          <w:rFonts w:ascii="Book Antiqua" w:hAnsi="Book Antiqua"/>
          <w:i/>
        </w:rPr>
        <w:t>e.g.</w:t>
      </w:r>
      <w:r w:rsidR="00BE1F0A" w:rsidRPr="006E7292">
        <w:rPr>
          <w:rFonts w:ascii="Book Antiqua" w:hAnsi="Book Antiqua"/>
        </w:rPr>
        <w:t xml:space="preserve"> </w:t>
      </w:r>
      <w:r w:rsidR="0047376C" w:rsidRPr="006E7292">
        <w:rPr>
          <w:rFonts w:ascii="Book Antiqua" w:hAnsi="Book Antiqua"/>
        </w:rPr>
        <w:t>deletion of PTEN, can be useful to anticipate an unfavorable clinical outcome</w:t>
      </w:r>
      <w:r w:rsidR="00D71200" w:rsidRPr="006E7292">
        <w:rPr>
          <w:rFonts w:ascii="Book Antiqua" w:hAnsi="Book Antiqua"/>
          <w:vertAlign w:val="superscript"/>
        </w:rPr>
        <w:t>[</w:t>
      </w:r>
      <w:r w:rsidR="0047376C"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{"citationItems":[{"id":"ITEM-1","itemData":{"DOI":"10.2147/cmar.s170380","ISSN":"1179-1322","abstract":"In recent years, new therapeutic options have become available for prostate cancer (PC) patients, generating an urgent need for better biomarkers to guide the choice of therapy and monitor treatment response. Liquid biopsies, including circulating tumor cells (CTCs), circulating nucleic acids, and exosomes, have been developed as minimally invasive assays allowing oncologists to monitor PC patients with real-time cellular or molecular information. While CTC counts remain the most extensively validated prognostic biomarker to monitor treatment response, recent advances demonstrate that CTC morphology and androgen receptor characterization can provide additional information to guide the choice of treatment. Characterization of cell-free DNA (cfDNA) is another rapidly emerging field with novel technologies capable of monitoring the evolution of treatment relevant alterations such as those in DNA damage repair genes for poly (ADP-ribose) polymerase (PARP) inhibition. In addition, several new liquid biopsy fields are emerging, including the characterization of heterogeneity, CTC RNA sequencing, the culture and xenografting of CTCs, and the characterization of extracellular vesicles (EVs) and circulating microRNAs. This review describes the clinical utilization of liquid biopsies in the management of PC patients and emerging liquid biopsy technologies with the potential to advance personalized cancer therapy.","author":[{"dropping-particle":"","family":"Lu","given":"Yi-Tsung","non-dropping-particle":"","parse-names":false,"suffix":""},{"dropping-particle":"","family":"Delijani","given":"Kevin","non-dropping-particle":"","parse-names":false,"suffix":""},{"dropping-particle":"","family":"Mecum","given":"Andrew","non-dropping-particle":"","parse-names":false,"suffix":""},{"dropping-particle":"","family":"Goldkorn","given":"Amir","non-dropping-particle":"","parse-names":false,"suffix":""}],"container-title":"Cancer Management and Research","id":"ITEM-1","issued":{"date-parts":[["2019","6"]]},"page":"5271-5291","publisher":"Dove Medical Press Ltd.","title":"&lt;p&gt;Current status of liquid biopsies for the detection and management of prostate cancer&lt;/p&gt;","type":"article-journal","volume":"Volume 11"},"uris":["http://www.mendeley.com/documents/?uuid=88bee216-f085-405a-b815-14f872f9a2a8"]}],"mendeley":{"formattedCitation":"&lt;sup&gt;9&lt;/sup&gt;","plainTextFormattedCitation":"9","previouslyFormattedCitation":"&lt;sup&gt;11&lt;/sup&gt;"},"properties":{"noteIndex":0},"schema":"https://github.com/citation-style-language/schema/raw/master/csl-citation.json"}</w:instrText>
      </w:r>
      <w:r w:rsidR="0047376C" w:rsidRPr="006E7292">
        <w:rPr>
          <w:rFonts w:ascii="Book Antiqua" w:hAnsi="Book Antiqua"/>
          <w:vertAlign w:val="superscript"/>
        </w:rPr>
        <w:fldChar w:fldCharType="separate"/>
      </w:r>
      <w:r w:rsidR="00AB62E4" w:rsidRPr="00644326">
        <w:rPr>
          <w:rFonts w:ascii="Book Antiqua" w:hAnsi="Book Antiqua"/>
          <w:vertAlign w:val="superscript"/>
        </w:rPr>
        <w:t>9</w:t>
      </w:r>
      <w:r w:rsidR="0047376C" w:rsidRPr="006E7292">
        <w:rPr>
          <w:rFonts w:ascii="Book Antiqua" w:hAnsi="Book Antiqua"/>
          <w:vertAlign w:val="superscript"/>
        </w:rPr>
        <w:fldChar w:fldCharType="end"/>
      </w:r>
      <w:r w:rsidR="00D71200" w:rsidRPr="006E7292">
        <w:rPr>
          <w:rFonts w:ascii="Book Antiqua" w:hAnsi="Book Antiqua"/>
          <w:vertAlign w:val="superscript"/>
        </w:rPr>
        <w:t>]</w:t>
      </w:r>
      <w:r w:rsidR="0047376C" w:rsidRPr="006E7292">
        <w:rPr>
          <w:rFonts w:ascii="Book Antiqua" w:hAnsi="Book Antiqua"/>
        </w:rPr>
        <w:t>. Of interest are the AR mutations, particularly of certain splicing variants (AR-V7), correlating with resistance against second-generation hormone treatments</w:t>
      </w:r>
      <w:r w:rsidR="00D47FE6" w:rsidRPr="006E7292">
        <w:rPr>
          <w:rFonts w:ascii="Book Antiqua" w:hAnsi="Book Antiqua"/>
        </w:rPr>
        <w:t xml:space="preserve">, such </w:t>
      </w:r>
      <w:r w:rsidR="0047376C" w:rsidRPr="006E7292">
        <w:rPr>
          <w:rFonts w:ascii="Book Antiqua" w:hAnsi="Book Antiqua"/>
        </w:rPr>
        <w:t>as abiraterone acetate and enzalutamide. Moreover, inherited gene mutations that have been found significantly correlated with the prognosis of the disease are eligible for liquid biopsy analysis</w:t>
      </w:r>
      <w:r w:rsidR="00D71200" w:rsidRPr="006E7292">
        <w:rPr>
          <w:rFonts w:ascii="Book Antiqua" w:hAnsi="Book Antiqua"/>
          <w:vertAlign w:val="superscript"/>
        </w:rPr>
        <w:t>[</w:t>
      </w:r>
      <w:r w:rsidR="0047376C"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{"citationItems":[{"id":"ITEM-1","itemData":{"DOI":"10.1056/NEJMoa1603144","ISSN":"0028-4793","author":[{"dropping-particle":"","family":"Pritchard","given":"Colin C.","non-dropping-particle":"","parse-names":false,"suffix":""},{"dropping-particle":"","family":"Mateo","given":"Joaquin","non-dropping-particle":"","parse-names":false,"suffix":""},{"dropping-particle":"","family":"Walsh","given":"Michael F.","non-dropping-particle":"","parse-names":false,"suffix":""},{"dropping-particle":"","family":"Sarkar","given":"Navonil","non-dropping-particle":"De","parse-names":false,"suffix":""},{"dropping-particle":"","family":"Abida","given":"Wassim","non-dropping-particle":"","parse-names":false,"suffix":""},{"dropping-particle":"","family":"Beltran","given":"Himisha","non-dropping-particle":"","parse-names":false,"suffix":""},{"dropping-particle":"","family":"Garofalo","given":"Andrea","non-dropping-particle":"","parse-names":false,"suffix":""},{"dropping-particle":"","family":"Gulati","given":"Roman","non-dropping-particle":"","parse-names":false,"suffix":""},{"dropping-particle":"","family":"Carreira","given":"Suzanne","non-dropping-particle":"","parse-names":false,"suffix":""},{"dropping-particle":"","family":"Eeles","given":"Rosalind","non-dropping-particle":"","parse-names":false,"suffix":""},{"dropping-particle":"","family":"Elemento","given":"Olivier","non-dropping-particle":"","parse-names":false,"suffix":""},{"dropping-particle":"","family":"Rubin","given":"Mark A.","non-dropping-particle":"","parse-names":false,"suffix":""},{"dropping-particle":"","family":"Robinson","given":"Dan","non-dropping-particle":"","parse-names":false,"suffix":""},{"dropping-particle":"","family":"Lonigro","given":"Robert","non-dropping-particle":"","parse-names":false,"suffix":""},{"dropping-particle":"","family":"Hussain","given":"Maha","non-dropping-particle":"","parse-names":false,"suffix":""},{"dropping-particle":"","family":"Chinnaiyan","given":"Arul","non-dropping-particle":"","parse-names":false,"suffix":""},{"dropping-particle":"","family":"Vinson","given":"Jake","non-dropping-particle":"","parse-names":false,"suffix":""},{"dropping-particle":"","family":"Filipenko","given":"Julie","non-dropping-particle":"","parse-names":false,"suffix":""},{"dropping-particle":"","family":"Garraway","given":"Levi","non-dropping-particle":"","parse-names":false,"suffix":""},{"dropping-particle":"","family":"Taplin","given":"Mary-Ellen","non-dropping-particle":"","parse-names":false,"suffix":""},{"dropping-particle":"","family":"AlDubayan","given":"Saud","non-dropping-particle":"","parse-names":false,"suffix":""},{"dropping-particle":"","family":"Han","given":"G. Celine","non-dropping-particle":"","parse-names":false,"suffix":""},{"dropping-particle":"","family":"Beightol","given":"Mallory","non-dropping-particle":"","parse-names":false,"suffix":""},{"dropping-particle":"","family":"Morrissey","given":"Colm","non-dropping-particle":"","parse-names":false,"suffix":""},{"dropping-particle":"","family":"Nghiem","given":"Belinda","non-dropping-particle":"","parse-names":false,"suffix":""},{"dropping-particle":"","family":"Cheng","given":"Heather H.","non-dropping-particle":"","parse-names":false,"suffix":""},{"dropping-particle":"","family":"Montgomery","given":"Bruce","non-dropping-particle":"","parse-names":false,"suffix":""},{"dropping-particle":"","family":"Walsh","given":"Tom","non-dropping-particle":"","parse-names":false,"suffix":""},{"dropping-particle":"","family":"Casadei","given":"Silvia","non-dropping-particle":"","parse-names":false,"suffix":""},{"dropping-particle":"","family":"Berger","given":"Michael","non-dropping-particle":"","parse-names":false,"suffix":""},{"dropping-particle":"","family":"Zhang","given":"Liying","non-dropping-particle":"","parse-names":false,"suffix":""},{"dropping-particle":"","family":"Zehir","given":"Ahmet","non-dropping-particle":"","parse-names":false,"suffix":""},{"dropping-particle":"","family":"Vijai","given":"Joseph","non-dropping-particle":"","parse-names":false,"suffix":""},{"dropping-particle":"","family":"Scher","given":"Howard I.","non-dropping-particle":"","parse-names":false,"suffix":""},{"dropping-particle":"","family":"Sawyers","given":"Charles","non-dropping-particle":"","parse-names":false,"suffix":""},{"dropping-particle":"","family":"Schultz","given":"Nikolaus","non-dropping-particle":"","parse-names":false,"suffix":""},{"dropping-particle":"","family":"Kantoff","given":"Philip W.","non-dropping-particle":"","parse-names":false,"suffix":""},{"dropping-particle":"","family":"Solit","given":"David","non-dropping-particle":"","parse-names":false,"suffix":""},{"dropping-particle":"","family":"Robson","given":"Mark","non-dropping-particle":"","parse-names":false,"suffix":""},{"dropping-particle":"","family":"Allen","given":"Eliezer M.","non-dropping-particle":"Van","parse-names":false,"suffix":""},{"dropping-particle":"","family":"Offit","given":"Kenneth","non-dropping-particle":"","parse-names":false,"suffix":""},{"dropping-particle":"","family":"Bono","given":"Johann","non-dropping-particle":"de","parse-names":false,"suffix":""},{"dropping-particle":"","family":"Nelson","given":"Peter S.","non-dropping-particle":"","parse-names":false,"suffix":""}],"container-title":"New England Journal of Medicine","id":"ITEM-1","issue":"5","issued":{"date-parts":[["2016","8"]]},"page":"443-453","title":"Inherited DNA-Repair Gene Mutations in Men with Metastatic Prostate Cancer","type":"article-journal","volume":"375"},"uris":["http://www.mendeley.com/documents/?uuid=e5aaba97-b73b-4107-b940-30090434fe29"]}],"mendeley":{"formattedCitation":"&lt;sup&gt;10&lt;/sup&gt;","plainTextFormattedCitation":"10","previouslyFormattedCitation":"&lt;sup&gt;12&lt;/sup&gt;"},"properties":{"noteIndex":0},"schema":"https://github.com/citation-style-language/schema/raw/master/csl-citation.json"}</w:instrText>
      </w:r>
      <w:r w:rsidR="0047376C" w:rsidRPr="006E7292">
        <w:rPr>
          <w:rFonts w:ascii="Book Antiqua" w:hAnsi="Book Antiqua"/>
          <w:vertAlign w:val="superscript"/>
        </w:rPr>
        <w:fldChar w:fldCharType="separate"/>
      </w:r>
      <w:r w:rsidR="00AB62E4" w:rsidRPr="00644326">
        <w:rPr>
          <w:rFonts w:ascii="Book Antiqua" w:hAnsi="Book Antiqua"/>
          <w:vertAlign w:val="superscript"/>
        </w:rPr>
        <w:t>10</w:t>
      </w:r>
      <w:r w:rsidR="0047376C" w:rsidRPr="006E7292">
        <w:rPr>
          <w:rFonts w:ascii="Book Antiqua" w:hAnsi="Book Antiqua"/>
          <w:vertAlign w:val="superscript"/>
        </w:rPr>
        <w:fldChar w:fldCharType="end"/>
      </w:r>
      <w:r w:rsidR="00D71200" w:rsidRPr="006E7292">
        <w:rPr>
          <w:rFonts w:ascii="Book Antiqua" w:hAnsi="Book Antiqua"/>
          <w:vertAlign w:val="superscript"/>
        </w:rPr>
        <w:t>]</w:t>
      </w:r>
      <w:r w:rsidR="00D71200" w:rsidRPr="006E7292">
        <w:rPr>
          <w:rFonts w:ascii="Book Antiqua" w:hAnsi="Book Antiqua"/>
        </w:rPr>
        <w:t>.</w:t>
      </w:r>
    </w:p>
    <w:p w14:paraId="6DD2333F" w14:textId="2BF88153" w:rsidR="0030283C" w:rsidRPr="006E7292" w:rsidRDefault="003E7C47">
      <w:pPr>
        <w:snapToGrid w:val="0"/>
        <w:spacing w:line="360" w:lineRule="auto"/>
        <w:ind w:firstLineChars="100" w:firstLine="240"/>
        <w:jc w:val="both"/>
        <w:rPr>
          <w:rFonts w:ascii="Book Antiqua" w:hAnsi="Book Antiqua"/>
        </w:rPr>
      </w:pPr>
      <w:r w:rsidRPr="00EF7A13">
        <w:rPr>
          <w:rFonts w:ascii="Book Antiqua" w:hAnsi="Book Antiqua"/>
        </w:rPr>
        <w:t>Other valuable</w:t>
      </w:r>
      <w:r w:rsidR="0047376C" w:rsidRPr="00EF7A13">
        <w:rPr>
          <w:rFonts w:ascii="Book Antiqua" w:hAnsi="Book Antiqua"/>
        </w:rPr>
        <w:t xml:space="preserve"> </w:t>
      </w:r>
      <w:r w:rsidR="00BE1F0A" w:rsidRPr="006E7292">
        <w:rPr>
          <w:rFonts w:ascii="Book Antiqua" w:hAnsi="Book Antiqua"/>
        </w:rPr>
        <w:t xml:space="preserve">emerging </w:t>
      </w:r>
      <w:r w:rsidR="00A1340D" w:rsidRPr="006E7292">
        <w:rPr>
          <w:rFonts w:ascii="Book Antiqua" w:hAnsi="Book Antiqua"/>
        </w:rPr>
        <w:t>tumor</w:t>
      </w:r>
      <w:r w:rsidRPr="006E7292">
        <w:rPr>
          <w:rFonts w:ascii="Book Antiqua" w:hAnsi="Book Antiqua"/>
        </w:rPr>
        <w:t xml:space="preserve"> biomarkers in </w:t>
      </w:r>
      <w:r w:rsidR="00E36C34" w:rsidRPr="006E7292">
        <w:rPr>
          <w:rFonts w:ascii="Book Antiqua" w:hAnsi="Book Antiqua"/>
        </w:rPr>
        <w:t>liquid biopsy</w:t>
      </w:r>
      <w:r w:rsidRPr="006E7292">
        <w:rPr>
          <w:rFonts w:ascii="Book Antiqua" w:hAnsi="Book Antiqua"/>
        </w:rPr>
        <w:t xml:space="preserve"> are represented by different classes of RNAs, including microRNA</w:t>
      </w:r>
      <w:r w:rsidR="00D71200" w:rsidRPr="006E7292">
        <w:rPr>
          <w:rFonts w:ascii="Book Antiqua" w:hAnsi="Book Antiqua"/>
        </w:rPr>
        <w:t>s (miRNAs), long non-coding RNA</w:t>
      </w:r>
      <w:r w:rsidRPr="006E7292">
        <w:rPr>
          <w:rFonts w:ascii="Book Antiqua" w:hAnsi="Book Antiqua"/>
        </w:rPr>
        <w:t xml:space="preserve"> and messenger RNA (mRNA). </w:t>
      </w:r>
    </w:p>
    <w:p w14:paraId="6728F586" w14:textId="77777777" w:rsidR="005211E2" w:rsidRPr="006E7292" w:rsidRDefault="005211E2">
      <w:pPr>
        <w:snapToGrid w:val="0"/>
        <w:spacing w:line="360" w:lineRule="auto"/>
        <w:jc w:val="both"/>
        <w:rPr>
          <w:rFonts w:ascii="Book Antiqua" w:hAnsi="Book Antiqua"/>
        </w:rPr>
      </w:pPr>
    </w:p>
    <w:p w14:paraId="7E5204C8" w14:textId="29866235" w:rsidR="005211E2" w:rsidRPr="006E7292" w:rsidRDefault="005F2D9A">
      <w:pPr>
        <w:snapToGrid w:val="0"/>
        <w:spacing w:line="360" w:lineRule="auto"/>
        <w:jc w:val="both"/>
        <w:rPr>
          <w:rFonts w:ascii="Book Antiqua" w:hAnsi="Book Antiqua"/>
          <w:b/>
          <w:i/>
        </w:rPr>
      </w:pPr>
      <w:proofErr w:type="gramStart"/>
      <w:r w:rsidRPr="006E7292">
        <w:rPr>
          <w:rFonts w:ascii="Book Antiqua" w:hAnsi="Book Antiqua"/>
          <w:b/>
          <w:i/>
        </w:rPr>
        <w:t>ctDNA</w:t>
      </w:r>
      <w:proofErr w:type="gramEnd"/>
      <w:r w:rsidRPr="006E7292">
        <w:rPr>
          <w:rFonts w:ascii="Book Antiqua" w:hAnsi="Book Antiqua"/>
          <w:b/>
          <w:i/>
        </w:rPr>
        <w:t xml:space="preserve"> </w:t>
      </w:r>
      <w:r w:rsidR="00BE1F0A" w:rsidRPr="006E7292">
        <w:rPr>
          <w:rFonts w:ascii="Book Antiqua" w:hAnsi="Book Antiqua"/>
          <w:b/>
          <w:i/>
        </w:rPr>
        <w:t>analysis in</w:t>
      </w:r>
      <w:r w:rsidR="006A3291" w:rsidRPr="006E7292">
        <w:rPr>
          <w:rFonts w:ascii="Book Antiqua" w:hAnsi="Book Antiqua"/>
          <w:b/>
          <w:i/>
        </w:rPr>
        <w:t xml:space="preserve"> mCRPC patients</w:t>
      </w:r>
    </w:p>
    <w:p w14:paraId="1C529EEF" w14:textId="0312E34E" w:rsidR="0026697A" w:rsidRPr="006E7292" w:rsidRDefault="00B24D30">
      <w:pPr>
        <w:snapToGrid w:val="0"/>
        <w:spacing w:line="360" w:lineRule="auto"/>
        <w:jc w:val="both"/>
        <w:rPr>
          <w:rFonts w:ascii="Book Antiqua" w:hAnsi="Book Antiqua"/>
        </w:rPr>
      </w:pPr>
      <w:r w:rsidRPr="006E7292">
        <w:rPr>
          <w:rFonts w:ascii="Book Antiqua" w:hAnsi="Book Antiqua"/>
        </w:rPr>
        <w:t xml:space="preserve">The total cfDNA </w:t>
      </w:r>
      <w:r w:rsidR="00142626" w:rsidRPr="006E7292">
        <w:rPr>
          <w:rFonts w:ascii="Book Antiqua" w:hAnsi="Book Antiqua"/>
        </w:rPr>
        <w:t xml:space="preserve">concentration </w:t>
      </w:r>
      <w:r w:rsidRPr="006E7292">
        <w:rPr>
          <w:rFonts w:ascii="Book Antiqua" w:hAnsi="Book Antiqua"/>
        </w:rPr>
        <w:t xml:space="preserve">was </w:t>
      </w:r>
      <w:r w:rsidR="00682088" w:rsidRPr="006E7292">
        <w:rPr>
          <w:rFonts w:ascii="Book Antiqua" w:hAnsi="Book Antiqua"/>
        </w:rPr>
        <w:t>increased in</w:t>
      </w:r>
      <w:r w:rsidRPr="006E7292">
        <w:rPr>
          <w:rFonts w:ascii="Book Antiqua" w:hAnsi="Book Antiqua"/>
        </w:rPr>
        <w:t xml:space="preserve"> cancer</w:t>
      </w:r>
      <w:r w:rsidR="00682088" w:rsidRPr="006E7292">
        <w:rPr>
          <w:rFonts w:ascii="Book Antiqua" w:hAnsi="Book Antiqua"/>
        </w:rPr>
        <w:t xml:space="preserve"> patients and may be a useful tool</w:t>
      </w:r>
      <w:r w:rsidR="00D71200" w:rsidRPr="006E7292">
        <w:rPr>
          <w:rFonts w:ascii="Book Antiqua" w:hAnsi="Book Antiqua"/>
          <w:vertAlign w:val="superscript"/>
        </w:rPr>
        <w:t>[</w:t>
      </w:r>
      <w:r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{"citationItems":[{"id":"ITEM-1","itemData":{"DOI":"10.5306/wjco.v9.i2.26","ISSN":"2218-4333","PMID":"29651384","abstract":"Breast cancer (BC) is the most common cancer and the second cause of death in women worldwide. Therapeutic options are increasing, but the response to treatments is not always efficient and the risk of recurrence covers decades. In this perspective, the need to have a proper follow-up for the therapeutic responses and for anticipating recurrence it is urgent in the clinical setting. Liquid biopsy provides the basic principle for a non-invasive method for the routinely monitoring of BC. However, due to the heterogeneity of tumors during onset and progression, the search for tumor DNA mutations of targeted genes in plasma/serum is a limiting factor. A possible approach overtaking this problem comes from the measurement of cell-free DNA integrity, which is an independent factor from the mutational status and theoretically is representative of all tumors. This review summarizes the state-of-the-art of cell-free DNA integrity researches in BC, the controversies and the future perspective.","author":[{"dropping-particle":"","family":"Sobhani","given":"Navid","non-dropping-particle":"","parse-names":false,"suffix":""},{"dropping-particle":"","family":"Generali","given":"Daniele","non-dropping-particle":"","parse-names":false,"suffix":""},{"dropping-particle":"","family":"Zanconati","given":"Fabrizio","non-dropping-particle":"","parse-names":false,"suffix":""},{"dropping-particle":"","family":"Bortul","given":"Marina","non-dropping-particle":"","parse-names":false,"suffix":""},{"dropping-particle":"","family":"Scaggiante","given":"Bruna","non-dropping-particle":"","parse-names":false,"suffix":""}],"container-title":"World journal of clinical oncology","id":"ITEM-1","issue":"2","issued":{"date-parts":[["2018","4"]]},"page":"26-32","publisher":"Baishideng Publishing Group Inc","title":"Cell-free DNA integrity for the monitoring of breast cancer: Future perspectives?","type":"article-journal","volume":"9"},"uris":["http://www.mendeley.com/documents/?uuid=0651ace9-53f3-4e9e-8760-baaccc3259f4"]}],"mendeley":{"formattedCitation":"&lt;sup&gt;11&lt;/sup&gt;","plainTextFormattedCitation":"11","previouslyFormattedCitation":"&lt;sup&gt;13&lt;/sup&gt;"},"properties":{"noteIndex":0},"schema":"https://github.com/citation-style-language/schema/raw/master/csl-citation.json"}</w:instrText>
      </w:r>
      <w:r w:rsidRPr="006E7292">
        <w:rPr>
          <w:rFonts w:ascii="Book Antiqua" w:hAnsi="Book Antiqua"/>
          <w:vertAlign w:val="superscript"/>
        </w:rPr>
        <w:fldChar w:fldCharType="separate"/>
      </w:r>
      <w:r w:rsidR="00AB62E4" w:rsidRPr="00644326">
        <w:rPr>
          <w:rFonts w:ascii="Book Antiqua" w:hAnsi="Book Antiqua"/>
          <w:vertAlign w:val="superscript"/>
        </w:rPr>
        <w:t>11</w:t>
      </w:r>
      <w:r w:rsidRPr="006E7292">
        <w:rPr>
          <w:rFonts w:ascii="Book Antiqua" w:hAnsi="Book Antiqua"/>
          <w:vertAlign w:val="superscript"/>
        </w:rPr>
        <w:fldChar w:fldCharType="end"/>
      </w:r>
      <w:r w:rsidR="00D71200" w:rsidRPr="006E7292">
        <w:rPr>
          <w:rFonts w:ascii="Book Antiqua" w:hAnsi="Book Antiqua"/>
          <w:vertAlign w:val="superscript"/>
        </w:rPr>
        <w:t>]</w:t>
      </w:r>
      <w:r w:rsidRPr="006E7292">
        <w:rPr>
          <w:rFonts w:ascii="Book Antiqua" w:hAnsi="Book Antiqua"/>
        </w:rPr>
        <w:t>. However</w:t>
      </w:r>
      <w:r w:rsidR="00122FC1" w:rsidRPr="006E7292">
        <w:rPr>
          <w:rFonts w:ascii="Book Antiqua" w:hAnsi="Book Antiqua"/>
        </w:rPr>
        <w:t>,</w:t>
      </w:r>
      <w:r w:rsidRPr="006E7292">
        <w:rPr>
          <w:rFonts w:ascii="Book Antiqua" w:hAnsi="Book Antiqua"/>
        </w:rPr>
        <w:t xml:space="preserve"> more </w:t>
      </w:r>
      <w:r w:rsidR="00110B65" w:rsidRPr="006E7292">
        <w:rPr>
          <w:rFonts w:ascii="Book Antiqua" w:hAnsi="Book Antiqua"/>
        </w:rPr>
        <w:t>information</w:t>
      </w:r>
      <w:r w:rsidRPr="006E7292">
        <w:rPr>
          <w:rFonts w:ascii="Book Antiqua" w:hAnsi="Book Antiqua"/>
        </w:rPr>
        <w:t xml:space="preserve"> for </w:t>
      </w:r>
      <w:r w:rsidR="00A1340D" w:rsidRPr="006E7292">
        <w:rPr>
          <w:rFonts w:ascii="Book Antiqua" w:hAnsi="Book Antiqua"/>
        </w:rPr>
        <w:t>patient</w:t>
      </w:r>
      <w:r w:rsidRPr="006E7292">
        <w:rPr>
          <w:rFonts w:ascii="Book Antiqua" w:hAnsi="Book Antiqua"/>
        </w:rPr>
        <w:t xml:space="preserve"> management </w:t>
      </w:r>
      <w:r w:rsidR="0082101D" w:rsidRPr="006E7292">
        <w:rPr>
          <w:rFonts w:ascii="Book Antiqua" w:hAnsi="Book Antiqua"/>
        </w:rPr>
        <w:t xml:space="preserve">is </w:t>
      </w:r>
      <w:r w:rsidRPr="006E7292">
        <w:rPr>
          <w:rFonts w:ascii="Book Antiqua" w:hAnsi="Book Antiqua"/>
        </w:rPr>
        <w:t>derive</w:t>
      </w:r>
      <w:r w:rsidR="0082101D" w:rsidRPr="006E7292">
        <w:rPr>
          <w:rFonts w:ascii="Book Antiqua" w:hAnsi="Book Antiqua"/>
        </w:rPr>
        <w:t>d</w:t>
      </w:r>
      <w:r w:rsidRPr="006E7292">
        <w:rPr>
          <w:rFonts w:ascii="Book Antiqua" w:hAnsi="Book Antiqua"/>
        </w:rPr>
        <w:t xml:space="preserve"> f</w:t>
      </w:r>
      <w:r w:rsidR="00A1340D" w:rsidRPr="006E7292">
        <w:rPr>
          <w:rFonts w:ascii="Book Antiqua" w:hAnsi="Book Antiqua"/>
        </w:rPr>
        <w:t>ro</w:t>
      </w:r>
      <w:r w:rsidRPr="006E7292">
        <w:rPr>
          <w:rFonts w:ascii="Book Antiqua" w:hAnsi="Book Antiqua"/>
        </w:rPr>
        <w:t xml:space="preserve">m the analysis </w:t>
      </w:r>
      <w:r w:rsidR="00BE1F0A" w:rsidRPr="006E7292">
        <w:rPr>
          <w:rFonts w:ascii="Book Antiqua" w:hAnsi="Book Antiqua"/>
        </w:rPr>
        <w:t>of ctDNA</w:t>
      </w:r>
      <w:r w:rsidR="00D71200" w:rsidRPr="006E7292">
        <w:rPr>
          <w:rFonts w:ascii="Book Antiqua" w:hAnsi="Book Antiqua"/>
        </w:rPr>
        <w:t xml:space="preserve">. </w:t>
      </w:r>
      <w:r w:rsidR="00502850" w:rsidRPr="006E7292">
        <w:rPr>
          <w:rFonts w:ascii="Book Antiqua" w:hAnsi="Book Antiqua"/>
        </w:rPr>
        <w:t xml:space="preserve">Table 1 summarizes the main studies investigating cfDNA in mCRPC patients by liquid biopsy. </w:t>
      </w:r>
      <w:r w:rsidRPr="006E7292">
        <w:rPr>
          <w:rFonts w:ascii="Book Antiqua" w:hAnsi="Book Antiqua"/>
        </w:rPr>
        <w:t>A</w:t>
      </w:r>
      <w:r w:rsidR="00502850" w:rsidRPr="006E7292">
        <w:rPr>
          <w:rFonts w:ascii="Book Antiqua" w:hAnsi="Book Antiqua"/>
        </w:rPr>
        <w:t xml:space="preserve"> </w:t>
      </w:r>
      <w:r w:rsidRPr="006E7292">
        <w:rPr>
          <w:rFonts w:ascii="Book Antiqua" w:hAnsi="Book Antiqua"/>
        </w:rPr>
        <w:t>strategy</w:t>
      </w:r>
      <w:r w:rsidR="00502850" w:rsidRPr="006E7292">
        <w:rPr>
          <w:rFonts w:ascii="Book Antiqua" w:hAnsi="Book Antiqua"/>
        </w:rPr>
        <w:t xml:space="preserve"> </w:t>
      </w:r>
      <w:r w:rsidRPr="006E7292">
        <w:rPr>
          <w:rFonts w:ascii="Book Antiqua" w:hAnsi="Book Antiqua"/>
        </w:rPr>
        <w:t xml:space="preserve">is </w:t>
      </w:r>
      <w:r w:rsidR="001D0384" w:rsidRPr="006E7292">
        <w:rPr>
          <w:rFonts w:ascii="Book Antiqua" w:hAnsi="Book Antiqua"/>
        </w:rPr>
        <w:t>to calculate</w:t>
      </w:r>
      <w:r w:rsidRPr="006E7292">
        <w:rPr>
          <w:rFonts w:ascii="Book Antiqua" w:hAnsi="Book Antiqua"/>
        </w:rPr>
        <w:t xml:space="preserve"> the</w:t>
      </w:r>
      <w:r w:rsidR="001D0384" w:rsidRPr="006E7292">
        <w:rPr>
          <w:rFonts w:ascii="Book Antiqua" w:hAnsi="Book Antiqua"/>
        </w:rPr>
        <w:t xml:space="preserve"> </w:t>
      </w:r>
      <w:r w:rsidR="00122FC1" w:rsidRPr="006E7292">
        <w:rPr>
          <w:rFonts w:ascii="Book Antiqua" w:hAnsi="Book Antiqua"/>
        </w:rPr>
        <w:t xml:space="preserve">circulating </w:t>
      </w:r>
      <w:r w:rsidR="00D71200" w:rsidRPr="006E7292">
        <w:rPr>
          <w:rFonts w:ascii="Book Antiqua" w:hAnsi="Book Antiqua"/>
        </w:rPr>
        <w:t>cfDI</w:t>
      </w:r>
      <w:r w:rsidR="00122FC1" w:rsidRPr="006E7292">
        <w:rPr>
          <w:rFonts w:ascii="Book Antiqua" w:hAnsi="Book Antiqua"/>
        </w:rPr>
        <w:t xml:space="preserve">, </w:t>
      </w:r>
      <w:r w:rsidR="00CA1641" w:rsidRPr="006E7292">
        <w:rPr>
          <w:rFonts w:ascii="Book Antiqua" w:hAnsi="Book Antiqua"/>
        </w:rPr>
        <w:t xml:space="preserve">which </w:t>
      </w:r>
      <w:r w:rsidR="00122FC1" w:rsidRPr="006E7292">
        <w:rPr>
          <w:rFonts w:ascii="Book Antiqua" w:hAnsi="Book Antiqua"/>
        </w:rPr>
        <w:t>is the evaluation of</w:t>
      </w:r>
      <w:r w:rsidR="0073051A" w:rsidRPr="006E7292">
        <w:rPr>
          <w:rFonts w:ascii="Book Antiqua" w:hAnsi="Book Antiqua"/>
        </w:rPr>
        <w:t xml:space="preserve"> </w:t>
      </w:r>
      <w:r w:rsidR="00AF528F" w:rsidRPr="006E7292">
        <w:rPr>
          <w:rFonts w:ascii="Book Antiqua" w:hAnsi="Book Antiqua"/>
        </w:rPr>
        <w:t xml:space="preserve">the </w:t>
      </w:r>
      <w:r w:rsidR="00122FC1" w:rsidRPr="006E7292">
        <w:rPr>
          <w:rFonts w:ascii="Book Antiqua" w:hAnsi="Book Antiqua"/>
        </w:rPr>
        <w:t>cfDNA fragmentations</w:t>
      </w:r>
      <w:r w:rsidR="00086495" w:rsidRPr="006E7292">
        <w:rPr>
          <w:rFonts w:ascii="Book Antiqua" w:hAnsi="Book Antiqua"/>
        </w:rPr>
        <w:t xml:space="preserve"> of repetitive elements </w:t>
      </w:r>
      <w:r w:rsidR="00014A24" w:rsidRPr="006E7292">
        <w:rPr>
          <w:rFonts w:ascii="Book Antiqua" w:hAnsi="Book Antiqua"/>
        </w:rPr>
        <w:t>such as ALU and LINE-</w:t>
      </w:r>
      <w:r w:rsidR="00142626" w:rsidRPr="006E7292">
        <w:rPr>
          <w:rFonts w:ascii="Book Antiqua" w:hAnsi="Book Antiqua"/>
        </w:rPr>
        <w:t xml:space="preserve">1. </w:t>
      </w:r>
      <w:r w:rsidR="0082101D" w:rsidRPr="006E7292">
        <w:rPr>
          <w:rFonts w:ascii="Book Antiqua" w:hAnsi="Book Antiqua"/>
        </w:rPr>
        <w:t>I</w:t>
      </w:r>
      <w:r w:rsidR="00086495" w:rsidRPr="006E7292">
        <w:rPr>
          <w:rFonts w:ascii="Book Antiqua" w:hAnsi="Book Antiqua"/>
        </w:rPr>
        <w:t xml:space="preserve">t has been observed that </w:t>
      </w:r>
      <w:r w:rsidR="00D71200" w:rsidRPr="006E7292">
        <w:rPr>
          <w:rFonts w:ascii="Book Antiqua" w:hAnsi="Book Antiqua"/>
        </w:rPr>
        <w:t xml:space="preserve">in tumors the cfDI </w:t>
      </w:r>
      <w:r w:rsidR="00CA1641" w:rsidRPr="006E7292">
        <w:rPr>
          <w:rFonts w:ascii="Book Antiqua" w:hAnsi="Book Antiqua"/>
        </w:rPr>
        <w:t xml:space="preserve">value </w:t>
      </w:r>
      <w:r w:rsidR="00086495" w:rsidRPr="006E7292">
        <w:rPr>
          <w:rFonts w:ascii="Book Antiqua" w:hAnsi="Book Antiqua"/>
        </w:rPr>
        <w:t>can increase or decrease</w:t>
      </w:r>
      <w:r w:rsidR="00122FC1" w:rsidRPr="006E7292">
        <w:rPr>
          <w:rFonts w:ascii="Book Antiqua" w:hAnsi="Book Antiqua"/>
        </w:rPr>
        <w:t>.</w:t>
      </w:r>
      <w:r w:rsidR="00A627CE" w:rsidRPr="006E7292">
        <w:rPr>
          <w:rFonts w:ascii="Book Antiqua" w:hAnsi="Book Antiqua"/>
        </w:rPr>
        <w:t xml:space="preserve"> </w:t>
      </w:r>
      <w:r w:rsidR="00913A32" w:rsidRPr="006E7292">
        <w:rPr>
          <w:rFonts w:ascii="Book Antiqua" w:hAnsi="Book Antiqua"/>
        </w:rPr>
        <w:t xml:space="preserve">The concentration and integrity of circulating cfDNA have been </w:t>
      </w:r>
      <w:r w:rsidR="005F2D1E" w:rsidRPr="006E7292">
        <w:rPr>
          <w:rFonts w:ascii="Book Antiqua" w:hAnsi="Book Antiqua"/>
        </w:rPr>
        <w:t xml:space="preserve">proposed </w:t>
      </w:r>
      <w:r w:rsidR="00913A32" w:rsidRPr="006E7292">
        <w:rPr>
          <w:rFonts w:ascii="Book Antiqua" w:hAnsi="Book Antiqua"/>
        </w:rPr>
        <w:t xml:space="preserve">as a clinical tool for </w:t>
      </w:r>
      <w:r w:rsidR="00A1340D" w:rsidRPr="006E7292">
        <w:rPr>
          <w:rFonts w:ascii="Book Antiqua" w:hAnsi="Book Antiqua"/>
        </w:rPr>
        <w:t xml:space="preserve">the </w:t>
      </w:r>
      <w:r w:rsidR="00913A32" w:rsidRPr="006E7292">
        <w:rPr>
          <w:rFonts w:ascii="Book Antiqua" w:hAnsi="Book Antiqua"/>
        </w:rPr>
        <w:t>diagnosis of prostate cancer</w:t>
      </w:r>
      <w:r w:rsidR="0082101D" w:rsidRPr="006E7292">
        <w:rPr>
          <w:rFonts w:ascii="Book Antiqua" w:hAnsi="Book Antiqua"/>
        </w:rPr>
        <w:t>.</w:t>
      </w:r>
      <w:r w:rsidR="00913A32" w:rsidRPr="006E7292">
        <w:rPr>
          <w:rFonts w:ascii="Book Antiqua" w:hAnsi="Book Antiqua"/>
        </w:rPr>
        <w:t xml:space="preserve"> Khani </w:t>
      </w:r>
      <w:r w:rsidR="00913A32" w:rsidRPr="006E7292">
        <w:rPr>
          <w:rFonts w:ascii="Book Antiqua" w:hAnsi="Book Antiqua"/>
          <w:i/>
        </w:rPr>
        <w:t xml:space="preserve">et </w:t>
      </w:r>
      <w:proofErr w:type="gramStart"/>
      <w:r w:rsidR="00913A32" w:rsidRPr="006E7292">
        <w:rPr>
          <w:rFonts w:ascii="Book Antiqua" w:hAnsi="Book Antiqua"/>
          <w:i/>
        </w:rPr>
        <w:t>al</w:t>
      </w:r>
      <w:r w:rsidR="00D71200" w:rsidRPr="006E7292">
        <w:rPr>
          <w:rFonts w:ascii="Book Antiqua" w:hAnsi="Book Antiqua"/>
          <w:vertAlign w:val="superscript"/>
        </w:rPr>
        <w:t>[</w:t>
      </w:r>
      <w:proofErr w:type="gramEnd"/>
      <w:r w:rsidR="00D71200" w:rsidRPr="006E7292">
        <w:rPr>
          <w:rFonts w:ascii="Book Antiqua" w:hAnsi="Book Antiqua"/>
          <w:vertAlign w:val="superscript"/>
        </w:rPr>
        <w:t>45]</w:t>
      </w:r>
      <w:r w:rsidR="00913A32" w:rsidRPr="006E7292">
        <w:rPr>
          <w:rFonts w:ascii="Book Antiqua" w:hAnsi="Book Antiqua"/>
        </w:rPr>
        <w:t xml:space="preserve"> proved in </w:t>
      </w:r>
      <w:r w:rsidR="003C0C57" w:rsidRPr="006E7292">
        <w:rPr>
          <w:rFonts w:ascii="Book Antiqua" w:hAnsi="Book Antiqua"/>
        </w:rPr>
        <w:t>Iranian</w:t>
      </w:r>
      <w:r w:rsidR="00913A32" w:rsidRPr="006E7292">
        <w:rPr>
          <w:rFonts w:ascii="Book Antiqua" w:hAnsi="Book Antiqua"/>
        </w:rPr>
        <w:t xml:space="preserve"> patients</w:t>
      </w:r>
      <w:r w:rsidR="00AE5F3C" w:rsidRPr="006E7292">
        <w:rPr>
          <w:rFonts w:ascii="Book Antiqua" w:hAnsi="Book Antiqua"/>
        </w:rPr>
        <w:t xml:space="preserve"> </w:t>
      </w:r>
      <w:r w:rsidR="00506D95" w:rsidRPr="006E7292">
        <w:rPr>
          <w:rFonts w:ascii="Book Antiqua" w:hAnsi="Book Antiqua"/>
        </w:rPr>
        <w:t xml:space="preserve">that </w:t>
      </w:r>
      <w:r w:rsidR="00AB2849" w:rsidRPr="006E7292">
        <w:rPr>
          <w:rFonts w:ascii="Book Antiqua" w:hAnsi="Book Antiqua"/>
        </w:rPr>
        <w:t xml:space="preserve">the </w:t>
      </w:r>
      <w:r w:rsidR="00B024DF" w:rsidRPr="006E7292">
        <w:rPr>
          <w:rFonts w:ascii="Book Antiqua" w:hAnsi="Book Antiqua"/>
        </w:rPr>
        <w:t>value</w:t>
      </w:r>
      <w:r w:rsidR="00AE5F3C" w:rsidRPr="006E7292">
        <w:rPr>
          <w:rFonts w:ascii="Book Antiqua" w:hAnsi="Book Antiqua"/>
        </w:rPr>
        <w:t>s</w:t>
      </w:r>
      <w:r w:rsidR="00B024DF" w:rsidRPr="006E7292">
        <w:rPr>
          <w:rFonts w:ascii="Book Antiqua" w:hAnsi="Book Antiqua"/>
        </w:rPr>
        <w:t xml:space="preserve"> </w:t>
      </w:r>
      <w:r w:rsidR="003C0C57" w:rsidRPr="006E7292">
        <w:rPr>
          <w:rFonts w:ascii="Book Antiqua" w:hAnsi="Book Antiqua"/>
        </w:rPr>
        <w:t>of</w:t>
      </w:r>
      <w:r w:rsidR="00B024DF" w:rsidRPr="006E7292">
        <w:rPr>
          <w:rFonts w:ascii="Book Antiqua" w:hAnsi="Book Antiqua"/>
        </w:rPr>
        <w:t xml:space="preserve"> </w:t>
      </w:r>
      <w:r w:rsidR="00913A32" w:rsidRPr="006E7292">
        <w:rPr>
          <w:rFonts w:ascii="Book Antiqua" w:hAnsi="Book Antiqua"/>
        </w:rPr>
        <w:t>c</w:t>
      </w:r>
      <w:r w:rsidR="00D7042C" w:rsidRPr="006E7292">
        <w:rPr>
          <w:rFonts w:ascii="Book Antiqua" w:hAnsi="Book Antiqua"/>
        </w:rPr>
        <w:t>f</w:t>
      </w:r>
      <w:r w:rsidR="00913A32" w:rsidRPr="006E7292">
        <w:rPr>
          <w:rFonts w:ascii="Book Antiqua" w:hAnsi="Book Antiqua"/>
        </w:rPr>
        <w:t xml:space="preserve">DI </w:t>
      </w:r>
      <w:r w:rsidR="00D7042C" w:rsidRPr="006E7292">
        <w:rPr>
          <w:rFonts w:ascii="Book Antiqua" w:hAnsi="Book Antiqua"/>
        </w:rPr>
        <w:t>were significa</w:t>
      </w:r>
      <w:r w:rsidR="003F59E8" w:rsidRPr="006E7292">
        <w:rPr>
          <w:rFonts w:ascii="Book Antiqua" w:hAnsi="Book Antiqua"/>
        </w:rPr>
        <w:t xml:space="preserve">ntly higher in patients with </w:t>
      </w:r>
      <w:r w:rsidR="00AE5F3C" w:rsidRPr="006E7292">
        <w:rPr>
          <w:rFonts w:ascii="Book Antiqua" w:hAnsi="Book Antiqua"/>
        </w:rPr>
        <w:t>prostate</w:t>
      </w:r>
      <w:r w:rsidR="00B024DF" w:rsidRPr="006E7292">
        <w:rPr>
          <w:rFonts w:ascii="Book Antiqua" w:hAnsi="Book Antiqua"/>
        </w:rPr>
        <w:t xml:space="preserve"> cancer </w:t>
      </w:r>
      <w:r w:rsidR="00D7042C" w:rsidRPr="00644326">
        <w:rPr>
          <w:rFonts w:ascii="Book Antiqua" w:hAnsi="Book Antiqua"/>
          <w:i/>
          <w:iCs/>
        </w:rPr>
        <w:t>v</w:t>
      </w:r>
      <w:r w:rsidR="00983947" w:rsidRPr="00644326">
        <w:rPr>
          <w:rFonts w:ascii="Book Antiqua" w:hAnsi="Book Antiqua"/>
          <w:i/>
          <w:iCs/>
        </w:rPr>
        <w:t>ersus</w:t>
      </w:r>
      <w:r w:rsidR="00D7042C" w:rsidRPr="006E7292">
        <w:rPr>
          <w:rFonts w:ascii="Book Antiqua" w:hAnsi="Book Antiqua"/>
        </w:rPr>
        <w:t xml:space="preserve"> </w:t>
      </w:r>
      <w:r w:rsidR="00AE5F3C" w:rsidRPr="006E7292">
        <w:rPr>
          <w:rFonts w:ascii="Book Antiqua" w:hAnsi="Book Antiqua"/>
        </w:rPr>
        <w:t xml:space="preserve">those with benign hyperplasia </w:t>
      </w:r>
      <w:r w:rsidR="00D7042C" w:rsidRPr="006E7292">
        <w:rPr>
          <w:rFonts w:ascii="Book Antiqua" w:hAnsi="Book Antiqua"/>
        </w:rPr>
        <w:t xml:space="preserve">and healthy individuals. </w:t>
      </w:r>
      <w:r w:rsidR="00647AFD" w:rsidRPr="006E7292">
        <w:rPr>
          <w:rFonts w:ascii="Book Antiqua" w:hAnsi="Book Antiqua"/>
        </w:rPr>
        <w:t>They</w:t>
      </w:r>
      <w:r w:rsidR="00B024DF" w:rsidRPr="006E7292">
        <w:rPr>
          <w:rFonts w:ascii="Book Antiqua" w:hAnsi="Book Antiqua"/>
        </w:rPr>
        <w:t xml:space="preserve"> measured a </w:t>
      </w:r>
      <w:r w:rsidR="00506D95" w:rsidRPr="006E7292">
        <w:rPr>
          <w:rFonts w:ascii="Book Antiqua" w:hAnsi="Book Antiqua"/>
        </w:rPr>
        <w:t>region</w:t>
      </w:r>
      <w:r w:rsidR="00B024DF" w:rsidRPr="006E7292">
        <w:rPr>
          <w:rFonts w:ascii="Book Antiqua" w:hAnsi="Book Antiqua"/>
        </w:rPr>
        <w:t xml:space="preserve"> of ALU repetitive elements with shorter fragments of 115 bp nested in longer 247 bp</w:t>
      </w:r>
      <w:r w:rsidR="00AE5F3C" w:rsidRPr="006E7292">
        <w:rPr>
          <w:rFonts w:ascii="Book Antiqua" w:hAnsi="Book Antiqua"/>
        </w:rPr>
        <w:t xml:space="preserve"> ones</w:t>
      </w:r>
      <w:r w:rsidR="0082101D" w:rsidRPr="006E7292">
        <w:rPr>
          <w:rFonts w:ascii="Book Antiqua" w:hAnsi="Book Antiqua"/>
        </w:rPr>
        <w:t xml:space="preserve"> by quantitative polymerase chain reaction (qPCR)</w:t>
      </w:r>
      <w:r w:rsidR="00B024DF" w:rsidRPr="006E7292">
        <w:rPr>
          <w:rFonts w:ascii="Book Antiqua" w:hAnsi="Book Antiqua"/>
        </w:rPr>
        <w:t xml:space="preserve">; the ratio of </w:t>
      </w:r>
      <w:r w:rsidR="00B024DF" w:rsidRPr="006E7292">
        <w:rPr>
          <w:rFonts w:ascii="Book Antiqua" w:hAnsi="Book Antiqua"/>
        </w:rPr>
        <w:lastRenderedPageBreak/>
        <w:t xml:space="preserve">247 bp over </w:t>
      </w:r>
      <w:r w:rsidR="00F10FA1" w:rsidRPr="006E7292">
        <w:rPr>
          <w:rFonts w:ascii="Book Antiqua" w:hAnsi="Book Antiqua"/>
        </w:rPr>
        <w:t>the</w:t>
      </w:r>
      <w:r w:rsidR="00B024DF" w:rsidRPr="006E7292">
        <w:rPr>
          <w:rFonts w:ascii="Book Antiqua" w:hAnsi="Book Antiqua"/>
        </w:rPr>
        <w:t xml:space="preserve"> 115 bp gave the integrity </w:t>
      </w:r>
      <w:r w:rsidR="003F2E3F" w:rsidRPr="006E7292">
        <w:rPr>
          <w:rFonts w:ascii="Book Antiqua" w:hAnsi="Book Antiqua"/>
        </w:rPr>
        <w:t xml:space="preserve">DNA </w:t>
      </w:r>
      <w:r w:rsidR="00B024DF" w:rsidRPr="006E7292">
        <w:rPr>
          <w:rFonts w:ascii="Book Antiqua" w:hAnsi="Book Antiqua"/>
        </w:rPr>
        <w:t xml:space="preserve">index. </w:t>
      </w:r>
      <w:r w:rsidR="00D7042C" w:rsidRPr="006E7292">
        <w:rPr>
          <w:rFonts w:ascii="Book Antiqua" w:hAnsi="Book Antiqua"/>
        </w:rPr>
        <w:t xml:space="preserve">Additionally, both the </w:t>
      </w:r>
      <w:r w:rsidR="003F2E3F" w:rsidRPr="006E7292">
        <w:rPr>
          <w:rFonts w:ascii="Book Antiqua" w:hAnsi="Book Antiqua"/>
        </w:rPr>
        <w:t xml:space="preserve">DNA </w:t>
      </w:r>
      <w:r w:rsidR="00D7042C" w:rsidRPr="006E7292">
        <w:rPr>
          <w:rFonts w:ascii="Book Antiqua" w:hAnsi="Book Antiqua"/>
        </w:rPr>
        <w:t xml:space="preserve">concentration and cfDI were </w:t>
      </w:r>
      <w:r w:rsidR="00AE5F3C" w:rsidRPr="006E7292">
        <w:rPr>
          <w:rFonts w:ascii="Book Antiqua" w:hAnsi="Book Antiqua"/>
        </w:rPr>
        <w:t xml:space="preserve">found </w:t>
      </w:r>
      <w:r w:rsidR="00B75583" w:rsidRPr="006E7292">
        <w:rPr>
          <w:rFonts w:ascii="Book Antiqua" w:hAnsi="Book Antiqua"/>
        </w:rPr>
        <w:t xml:space="preserve">to be </w:t>
      </w:r>
      <w:r w:rsidR="00D7042C" w:rsidRPr="006E7292">
        <w:rPr>
          <w:rFonts w:ascii="Book Antiqua" w:hAnsi="Book Antiqua"/>
        </w:rPr>
        <w:t xml:space="preserve">elevated in the metastatic </w:t>
      </w:r>
      <w:proofErr w:type="gramStart"/>
      <w:r w:rsidR="00D7042C" w:rsidRPr="006E7292">
        <w:rPr>
          <w:rFonts w:ascii="Book Antiqua" w:hAnsi="Book Antiqua"/>
        </w:rPr>
        <w:t>conditions</w:t>
      </w:r>
      <w:r w:rsidR="00D71200" w:rsidRPr="006E7292">
        <w:rPr>
          <w:rFonts w:ascii="Book Antiqua" w:hAnsi="Book Antiqua"/>
          <w:vertAlign w:val="superscript"/>
        </w:rPr>
        <w:t>[</w:t>
      </w:r>
      <w:proofErr w:type="gramEnd"/>
      <w:r w:rsidR="00794EB2" w:rsidRPr="006E7292">
        <w:rPr>
          <w:rFonts w:ascii="Book Antiqua" w:hAnsi="Book Antiqua"/>
          <w:vertAlign w:val="superscript"/>
        </w:rPr>
        <w:t>45</w:t>
      </w:r>
      <w:r w:rsidR="00D71200" w:rsidRPr="006E7292">
        <w:rPr>
          <w:rFonts w:ascii="Book Antiqua" w:hAnsi="Book Antiqua"/>
          <w:vertAlign w:val="superscript"/>
        </w:rPr>
        <w:t>]</w:t>
      </w:r>
      <w:r w:rsidR="00DF69CE" w:rsidRPr="006E7292">
        <w:rPr>
          <w:rFonts w:ascii="Book Antiqua" w:hAnsi="Book Antiqua"/>
        </w:rPr>
        <w:t>.</w:t>
      </w:r>
      <w:r w:rsidR="00502850" w:rsidRPr="006E7292">
        <w:rPr>
          <w:rFonts w:ascii="Book Antiqua" w:hAnsi="Book Antiqua"/>
        </w:rPr>
        <w:t xml:space="preserve"> These result</w:t>
      </w:r>
      <w:r w:rsidR="00086495" w:rsidRPr="006E7292">
        <w:rPr>
          <w:rFonts w:ascii="Book Antiqua" w:hAnsi="Book Antiqua"/>
        </w:rPr>
        <w:t xml:space="preserve">s were confirmed by </w:t>
      </w:r>
      <w:r w:rsidR="00CA1641" w:rsidRPr="00644326">
        <w:rPr>
          <w:rFonts w:ascii="Book Antiqua" w:hAnsi="Book Antiqua" w:cs="Times New Roman"/>
          <w:bCs/>
        </w:rPr>
        <w:t>Arko-Boham</w:t>
      </w:r>
      <w:r w:rsidR="005F5AFA" w:rsidRPr="006E7292">
        <w:rPr>
          <w:rFonts w:ascii="Book Antiqua" w:hAnsi="Book Antiqua"/>
        </w:rPr>
        <w:t xml:space="preserve"> </w:t>
      </w:r>
      <w:r w:rsidR="005F5AFA" w:rsidRPr="006E7292">
        <w:rPr>
          <w:rFonts w:ascii="Book Antiqua" w:hAnsi="Book Antiqua"/>
          <w:i/>
        </w:rPr>
        <w:t xml:space="preserve">et </w:t>
      </w:r>
      <w:proofErr w:type="gramStart"/>
      <w:r w:rsidR="005F5AFA" w:rsidRPr="006E7292">
        <w:rPr>
          <w:rFonts w:ascii="Book Antiqua" w:hAnsi="Book Antiqua"/>
          <w:i/>
        </w:rPr>
        <w:t>al</w:t>
      </w:r>
      <w:r w:rsidR="005F5AFA" w:rsidRPr="006E7292">
        <w:rPr>
          <w:rFonts w:ascii="Book Antiqua" w:hAnsi="Book Antiqua"/>
          <w:vertAlign w:val="superscript"/>
        </w:rPr>
        <w:t>[</w:t>
      </w:r>
      <w:proofErr w:type="gramEnd"/>
      <w:r w:rsidR="00794EB2" w:rsidRPr="006E7292">
        <w:rPr>
          <w:rFonts w:ascii="Book Antiqua" w:hAnsi="Book Antiqua"/>
          <w:vertAlign w:val="superscript"/>
        </w:rPr>
        <w:t>46</w:t>
      </w:r>
      <w:r w:rsidR="005F5AFA" w:rsidRPr="006E7292">
        <w:rPr>
          <w:rFonts w:ascii="Book Antiqua" w:hAnsi="Book Antiqua"/>
          <w:vertAlign w:val="superscript"/>
        </w:rPr>
        <w:t>]</w:t>
      </w:r>
      <w:r w:rsidR="0082101D" w:rsidRPr="006E7292">
        <w:rPr>
          <w:rFonts w:ascii="Book Antiqua" w:hAnsi="Book Antiqua"/>
        </w:rPr>
        <w:t>.</w:t>
      </w:r>
      <w:r w:rsidR="00086495" w:rsidRPr="006E7292">
        <w:rPr>
          <w:rFonts w:ascii="Book Antiqua" w:hAnsi="Book Antiqua"/>
          <w:vertAlign w:val="superscript"/>
        </w:rPr>
        <w:t xml:space="preserve"> </w:t>
      </w:r>
      <w:r w:rsidR="0082101D" w:rsidRPr="006E7292">
        <w:rPr>
          <w:rFonts w:ascii="Book Antiqua" w:hAnsi="Book Antiqua"/>
        </w:rPr>
        <w:t>I</w:t>
      </w:r>
      <w:r w:rsidR="005F5AFA" w:rsidRPr="006E7292">
        <w:rPr>
          <w:rFonts w:ascii="Book Antiqua" w:hAnsi="Book Antiqua"/>
        </w:rPr>
        <w:t>nterestingly</w:t>
      </w:r>
      <w:r w:rsidR="00086495" w:rsidRPr="006E7292">
        <w:rPr>
          <w:rFonts w:ascii="Book Antiqua" w:hAnsi="Book Antiqua"/>
        </w:rPr>
        <w:t>,</w:t>
      </w:r>
      <w:r w:rsidR="00086495" w:rsidRPr="006E7292">
        <w:rPr>
          <w:rFonts w:ascii="Book Antiqua" w:hAnsi="Book Antiqua"/>
          <w:vertAlign w:val="superscript"/>
        </w:rPr>
        <w:t xml:space="preserve"> </w:t>
      </w:r>
      <w:r w:rsidR="00086495" w:rsidRPr="006E7292">
        <w:rPr>
          <w:rFonts w:ascii="Book Antiqua" w:hAnsi="Book Antiqua"/>
        </w:rPr>
        <w:t xml:space="preserve">cfDI of ALU247/115 </w:t>
      </w:r>
      <w:r w:rsidR="001D1E68" w:rsidRPr="006E7292">
        <w:rPr>
          <w:rFonts w:ascii="Book Antiqua" w:hAnsi="Book Antiqua"/>
        </w:rPr>
        <w:t xml:space="preserve">had </w:t>
      </w:r>
      <w:r w:rsidR="00086495" w:rsidRPr="006E7292">
        <w:rPr>
          <w:rFonts w:ascii="Book Antiqua" w:hAnsi="Book Antiqua"/>
        </w:rPr>
        <w:t xml:space="preserve">already </w:t>
      </w:r>
      <w:r w:rsidR="00CA1641" w:rsidRPr="006E7292">
        <w:rPr>
          <w:rFonts w:ascii="Book Antiqua" w:hAnsi="Book Antiqua"/>
        </w:rPr>
        <w:t xml:space="preserve">been </w:t>
      </w:r>
      <w:r w:rsidR="00086495" w:rsidRPr="006E7292">
        <w:rPr>
          <w:rFonts w:ascii="Book Antiqua" w:hAnsi="Book Antiqua"/>
        </w:rPr>
        <w:t xml:space="preserve">found to be higher </w:t>
      </w:r>
      <w:r w:rsidR="005F5AFA" w:rsidRPr="006E7292">
        <w:rPr>
          <w:rFonts w:ascii="Book Antiqua" w:hAnsi="Book Antiqua"/>
        </w:rPr>
        <w:t xml:space="preserve">in metastatic </w:t>
      </w:r>
      <w:r w:rsidR="004A7411" w:rsidRPr="006E7292">
        <w:rPr>
          <w:rFonts w:ascii="Book Antiqua" w:hAnsi="Book Antiqua"/>
        </w:rPr>
        <w:t>prostate cancer</w:t>
      </w:r>
      <w:r w:rsidR="005F5AFA" w:rsidRPr="006E7292">
        <w:rPr>
          <w:rFonts w:ascii="Book Antiqua" w:hAnsi="Book Antiqua"/>
        </w:rPr>
        <w:t xml:space="preserve"> patients </w:t>
      </w:r>
      <w:r w:rsidR="005F5AFA" w:rsidRPr="006E7292">
        <w:rPr>
          <w:rFonts w:ascii="Book Antiqua" w:hAnsi="Book Antiqua"/>
          <w:i/>
        </w:rPr>
        <w:t>v</w:t>
      </w:r>
      <w:r w:rsidR="006E7292">
        <w:rPr>
          <w:rFonts w:ascii="Book Antiqua" w:hAnsi="Book Antiqua"/>
          <w:i/>
        </w:rPr>
        <w:t>ersu</w:t>
      </w:r>
      <w:r w:rsidR="00086495" w:rsidRPr="006E7292">
        <w:rPr>
          <w:rFonts w:ascii="Book Antiqua" w:hAnsi="Book Antiqua"/>
          <w:i/>
        </w:rPr>
        <w:t>s</w:t>
      </w:r>
      <w:r w:rsidR="00086495" w:rsidRPr="006E7292">
        <w:rPr>
          <w:rFonts w:ascii="Book Antiqua" w:hAnsi="Book Antiqua"/>
        </w:rPr>
        <w:t xml:space="preserve"> non metastatic </w:t>
      </w:r>
      <w:proofErr w:type="gramStart"/>
      <w:r w:rsidR="00086495" w:rsidRPr="006E7292">
        <w:rPr>
          <w:rFonts w:ascii="Book Antiqua" w:hAnsi="Book Antiqua"/>
        </w:rPr>
        <w:t>ones</w:t>
      </w:r>
      <w:r w:rsidR="005F5AFA" w:rsidRPr="006E7292">
        <w:rPr>
          <w:rFonts w:ascii="Book Antiqua" w:hAnsi="Book Antiqua"/>
          <w:vertAlign w:val="superscript"/>
        </w:rPr>
        <w:t>[</w:t>
      </w:r>
      <w:proofErr w:type="gramEnd"/>
      <w:r w:rsidR="00794EB2" w:rsidRPr="006E7292">
        <w:rPr>
          <w:rFonts w:ascii="Book Antiqua" w:hAnsi="Book Antiqua"/>
          <w:vertAlign w:val="superscript"/>
        </w:rPr>
        <w:t>40</w:t>
      </w:r>
      <w:r w:rsidR="005F5AFA" w:rsidRPr="006E7292">
        <w:rPr>
          <w:rFonts w:ascii="Book Antiqua" w:hAnsi="Book Antiqua"/>
          <w:vertAlign w:val="superscript"/>
        </w:rPr>
        <w:t>]</w:t>
      </w:r>
      <w:r w:rsidR="00014A24" w:rsidRPr="006E7292">
        <w:rPr>
          <w:rFonts w:ascii="Book Antiqua" w:hAnsi="Book Antiqua"/>
        </w:rPr>
        <w:t>.</w:t>
      </w:r>
    </w:p>
    <w:p w14:paraId="5BD55B25" w14:textId="0FDD5637" w:rsidR="006465DD" w:rsidRPr="006E7292" w:rsidRDefault="00502850">
      <w:pPr>
        <w:snapToGrid w:val="0"/>
        <w:spacing w:line="360" w:lineRule="auto"/>
        <w:ind w:firstLineChars="100" w:firstLine="240"/>
        <w:jc w:val="both"/>
        <w:rPr>
          <w:rFonts w:ascii="Book Antiqua" w:hAnsi="Book Antiqua"/>
        </w:rPr>
      </w:pPr>
      <w:r w:rsidRPr="00EF7A13">
        <w:rPr>
          <w:rFonts w:ascii="Book Antiqua" w:hAnsi="Book Antiqua"/>
        </w:rPr>
        <w:t>In the amount of purified cfDNA, ctDNA can be analyzed by searching gene aberrations such as copy number variations</w:t>
      </w:r>
      <w:r w:rsidR="00142626" w:rsidRPr="006E7292">
        <w:rPr>
          <w:rFonts w:ascii="Book Antiqua" w:hAnsi="Book Antiqua"/>
        </w:rPr>
        <w:t xml:space="preserve"> or mutations in target genes. </w:t>
      </w:r>
      <w:r w:rsidRPr="006E7292">
        <w:rPr>
          <w:rFonts w:ascii="Book Antiqua" w:hAnsi="Book Antiqua"/>
        </w:rPr>
        <w:t>T</w:t>
      </w:r>
      <w:r w:rsidR="00D34160" w:rsidRPr="006E7292">
        <w:rPr>
          <w:rFonts w:ascii="Book Antiqua" w:hAnsi="Book Antiqua"/>
        </w:rPr>
        <w:t xml:space="preserve">he </w:t>
      </w:r>
      <w:r w:rsidR="0026697A" w:rsidRPr="006E7292">
        <w:rPr>
          <w:rFonts w:ascii="Book Antiqua" w:hAnsi="Book Antiqua"/>
        </w:rPr>
        <w:t xml:space="preserve">analysis of genetic alterations of </w:t>
      </w:r>
      <w:proofErr w:type="gramStart"/>
      <w:r w:rsidR="0026697A" w:rsidRPr="006E7292">
        <w:rPr>
          <w:rFonts w:ascii="Book Antiqua" w:hAnsi="Book Antiqua"/>
        </w:rPr>
        <w:t>AR,</w:t>
      </w:r>
      <w:proofErr w:type="gramEnd"/>
      <w:r w:rsidR="0026697A" w:rsidRPr="006E7292">
        <w:rPr>
          <w:rFonts w:ascii="Book Antiqua" w:hAnsi="Book Antiqua"/>
        </w:rPr>
        <w:t xml:space="preserve"> </w:t>
      </w:r>
      <w:r w:rsidR="00444519" w:rsidRPr="006E7292">
        <w:rPr>
          <w:rFonts w:ascii="Book Antiqua" w:hAnsi="Book Antiqua"/>
        </w:rPr>
        <w:t>identified</w:t>
      </w:r>
      <w:r w:rsidR="0026697A" w:rsidRPr="006E7292">
        <w:rPr>
          <w:rFonts w:ascii="Book Antiqua" w:hAnsi="Book Antiqua"/>
        </w:rPr>
        <w:t xml:space="preserve"> through ctDNA </w:t>
      </w:r>
      <w:r w:rsidR="00444519" w:rsidRPr="006E7292">
        <w:rPr>
          <w:rFonts w:ascii="Book Antiqua" w:hAnsi="Book Antiqua"/>
        </w:rPr>
        <w:t>in</w:t>
      </w:r>
      <w:r w:rsidR="0026697A" w:rsidRPr="006E7292">
        <w:rPr>
          <w:rFonts w:ascii="Book Antiqua" w:hAnsi="Book Antiqua"/>
        </w:rPr>
        <w:t xml:space="preserve"> </w:t>
      </w:r>
      <w:r w:rsidR="00444519" w:rsidRPr="006E7292">
        <w:rPr>
          <w:rFonts w:ascii="Book Antiqua" w:hAnsi="Book Antiqua"/>
        </w:rPr>
        <w:t>mCRPC patients</w:t>
      </w:r>
      <w:r w:rsidR="00D34160" w:rsidRPr="006E7292">
        <w:rPr>
          <w:rFonts w:ascii="Book Antiqua" w:hAnsi="Book Antiqua"/>
        </w:rPr>
        <w:t>,</w:t>
      </w:r>
      <w:r w:rsidR="0026697A" w:rsidRPr="006E7292">
        <w:rPr>
          <w:rFonts w:ascii="Book Antiqua" w:hAnsi="Book Antiqua"/>
        </w:rPr>
        <w:t xml:space="preserve"> </w:t>
      </w:r>
      <w:r w:rsidR="00D34160" w:rsidRPr="006E7292">
        <w:rPr>
          <w:rFonts w:ascii="Book Antiqua" w:hAnsi="Book Antiqua"/>
        </w:rPr>
        <w:t xml:space="preserve">that </w:t>
      </w:r>
      <w:r w:rsidR="00A60479" w:rsidRPr="006E7292">
        <w:rPr>
          <w:rFonts w:ascii="Book Antiqua" w:hAnsi="Book Antiqua"/>
        </w:rPr>
        <w:t xml:space="preserve">circulating molecules </w:t>
      </w:r>
      <w:r w:rsidR="00D34160" w:rsidRPr="006E7292">
        <w:rPr>
          <w:rFonts w:ascii="Book Antiqua" w:hAnsi="Book Antiqua"/>
        </w:rPr>
        <w:t xml:space="preserve">have a significant potential </w:t>
      </w:r>
      <w:r w:rsidR="00A60479" w:rsidRPr="006E7292">
        <w:rPr>
          <w:rFonts w:ascii="Book Antiqua" w:hAnsi="Book Antiqua"/>
        </w:rPr>
        <w:t xml:space="preserve">to guide the use of therapies </w:t>
      </w:r>
      <w:r w:rsidR="00444519" w:rsidRPr="006E7292">
        <w:rPr>
          <w:rFonts w:ascii="Book Antiqua" w:hAnsi="Book Antiqua"/>
        </w:rPr>
        <w:t>against this</w:t>
      </w:r>
      <w:r w:rsidR="00A60479" w:rsidRPr="006E7292">
        <w:rPr>
          <w:rFonts w:ascii="Book Antiqua" w:hAnsi="Book Antiqua"/>
        </w:rPr>
        <w:t xml:space="preserve"> receptor. </w:t>
      </w:r>
      <w:r w:rsidR="00444519" w:rsidRPr="006E7292">
        <w:rPr>
          <w:rFonts w:ascii="Book Antiqua" w:hAnsi="Book Antiqua"/>
        </w:rPr>
        <w:t>Furthermore</w:t>
      </w:r>
      <w:r w:rsidR="00A60479" w:rsidRPr="006E7292">
        <w:rPr>
          <w:rFonts w:ascii="Book Antiqua" w:hAnsi="Book Antiqua"/>
        </w:rPr>
        <w:t>, the monitoring of ctDNA levels could result in a powerful way to trace response of tumors and detect the uprising of resistant subclones</w:t>
      </w:r>
      <w:r w:rsidR="005F5AFA" w:rsidRPr="006E7292">
        <w:rPr>
          <w:rFonts w:ascii="Book Antiqua" w:hAnsi="Book Antiqua"/>
          <w:vertAlign w:val="superscript"/>
        </w:rPr>
        <w:t>[</w:t>
      </w:r>
      <w:r w:rsidR="00826B88"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{"citationItems":[{"id":"ITEM-1","itemData":{"DOI":"10.1016/j.urolonc.2017.11.017","ISSN":"18732496","PMID":"29248429","abstract":"The treatment of metastatic castration-resistant prostate cancer (mCRPC) is empirical, with progress to a more precision medicine approach hampered by lack of predictive biomarkers. This is due in large part to the historical difficulty of molecularly profiling a bone-predominant metastatic disease. Focus has turned to minimally invasive sources of tumor material to better understand the molecular drivers of therapy resistance. Circulating cell-free tumor DNA (ctDNA) is highly abundant in the bloodstream of mCRPC patients and appears to provide an accurate snapshot of real-time tumor genomics. Already, the analysis of androgen receptor gene alterations in the ctDNA of mCRPC patient cohorts has suggested significant potential for guiding the use of androgen receptor-directed therapy. Furthermore, the monitoring of patient ctDNA burden in the wake of systemic therapy may offer a powerful surrogate for tracking tumor responses and emerging resistant subclones. This seminar covers recent advances in mCRPC patient ctDNA profiling, emerging associations of distinct molecular subtypes with clinical outcomes, and the potential for ctDNA to augment precision oncology.","author":[{"dropping-particle":"","family":"Ritch","given":"Elie","non-dropping-particle":"","parse-names":false,"suffix":""},{"dropping-particle":"","family":"Wyatt","given":"Alexander W.","non-dropping-particle":"","parse-names":false,"suffix":""}],"container-title":"Urologic Oncology: Seminars and Original Investigations","id":"ITEM-1","issue":"8","issued":{"date-parts":[["2018","8"]]},"page":"380-384","publisher":"Elsevier Inc.","title":"Predicting therapy response and resistance in metastatic prostate cancer with circulating tumor DNA","type":"article","volume":"36"},"uris":["http://www.mendeley.com/documents/?uuid=9d65cc85-ac5b-47e4-8341-a34d7dd9e97c"]}],"mendeley":{"formattedCitation":"&lt;sup&gt;6&lt;/sup&gt;","plainTextFormattedCitation":"6","previouslyFormattedCitation":"&lt;sup&gt;8&lt;/sup&gt;"},"properties":{"noteIndex":0},"schema":"https://github.com/citation-style-language/schema/raw/master/csl-citation.json"}</w:instrText>
      </w:r>
      <w:r w:rsidR="00826B88" w:rsidRPr="006E7292">
        <w:rPr>
          <w:rFonts w:ascii="Book Antiqua" w:hAnsi="Book Antiqua"/>
          <w:vertAlign w:val="superscript"/>
        </w:rPr>
        <w:fldChar w:fldCharType="separate"/>
      </w:r>
      <w:r w:rsidR="00AB62E4" w:rsidRPr="00644326">
        <w:rPr>
          <w:rFonts w:ascii="Book Antiqua" w:hAnsi="Book Antiqua"/>
          <w:vertAlign w:val="superscript"/>
        </w:rPr>
        <w:t>6</w:t>
      </w:r>
      <w:r w:rsidR="00826B88" w:rsidRPr="006E7292">
        <w:rPr>
          <w:rFonts w:ascii="Book Antiqua" w:hAnsi="Book Antiqua"/>
          <w:vertAlign w:val="superscript"/>
        </w:rPr>
        <w:fldChar w:fldCharType="end"/>
      </w:r>
      <w:r w:rsidR="005F5AFA" w:rsidRPr="006E7292">
        <w:rPr>
          <w:rFonts w:ascii="Book Antiqua" w:hAnsi="Book Antiqua"/>
          <w:vertAlign w:val="superscript"/>
        </w:rPr>
        <w:t>]</w:t>
      </w:r>
      <w:r w:rsidR="00A60479" w:rsidRPr="006E7292">
        <w:rPr>
          <w:rFonts w:ascii="Book Antiqua" w:hAnsi="Book Antiqua"/>
        </w:rPr>
        <w:t>.</w:t>
      </w:r>
      <w:r w:rsidR="00DA5783" w:rsidRPr="006E7292">
        <w:rPr>
          <w:rFonts w:ascii="Book Antiqua" w:hAnsi="Book Antiqua"/>
        </w:rPr>
        <w:t xml:space="preserve"> </w:t>
      </w:r>
      <w:r w:rsidR="00581E59" w:rsidRPr="006E7292">
        <w:rPr>
          <w:rFonts w:ascii="Book Antiqua" w:hAnsi="Book Antiqua"/>
        </w:rPr>
        <w:t>In addition to alterations</w:t>
      </w:r>
      <w:r w:rsidR="00DA5783" w:rsidRPr="006E7292">
        <w:rPr>
          <w:rFonts w:ascii="Book Antiqua" w:hAnsi="Book Antiqua"/>
        </w:rPr>
        <w:t xml:space="preserve"> </w:t>
      </w:r>
      <w:r w:rsidR="00581E59" w:rsidRPr="006E7292">
        <w:rPr>
          <w:rFonts w:ascii="Book Antiqua" w:hAnsi="Book Antiqua"/>
        </w:rPr>
        <w:t>of</w:t>
      </w:r>
      <w:r w:rsidR="00DA5783" w:rsidRPr="006E7292">
        <w:rPr>
          <w:rFonts w:ascii="Book Antiqua" w:hAnsi="Book Antiqua"/>
        </w:rPr>
        <w:t xml:space="preserve"> </w:t>
      </w:r>
      <w:r w:rsidR="00DF7F99" w:rsidRPr="006E7292">
        <w:rPr>
          <w:rFonts w:ascii="Book Antiqua" w:hAnsi="Book Antiqua"/>
        </w:rPr>
        <w:t xml:space="preserve">the </w:t>
      </w:r>
      <w:r w:rsidR="00DA5783" w:rsidRPr="006E7292">
        <w:rPr>
          <w:rFonts w:ascii="Book Antiqua" w:hAnsi="Book Antiqua"/>
        </w:rPr>
        <w:t xml:space="preserve">AR pathway, other </w:t>
      </w:r>
      <w:r w:rsidR="005A59D7" w:rsidRPr="006E7292">
        <w:rPr>
          <w:rFonts w:ascii="Book Antiqua" w:hAnsi="Book Antiqua"/>
        </w:rPr>
        <w:t>modifications</w:t>
      </w:r>
      <w:r w:rsidR="00581E59" w:rsidRPr="006E7292">
        <w:rPr>
          <w:rFonts w:ascii="Book Antiqua" w:hAnsi="Book Antiqua"/>
        </w:rPr>
        <w:t xml:space="preserve"> in </w:t>
      </w:r>
      <w:r w:rsidR="00DA5783" w:rsidRPr="006E7292">
        <w:rPr>
          <w:rFonts w:ascii="Book Antiqua" w:hAnsi="Book Antiqua"/>
          <w:i/>
        </w:rPr>
        <w:t>TP53, WNT, PI3K</w:t>
      </w:r>
      <w:r w:rsidR="00DA5783" w:rsidRPr="006E7292">
        <w:rPr>
          <w:rFonts w:ascii="Book Antiqua" w:hAnsi="Book Antiqua"/>
        </w:rPr>
        <w:t xml:space="preserve"> and cell cycle</w:t>
      </w:r>
      <w:r w:rsidR="00E94D77" w:rsidRPr="006E7292">
        <w:rPr>
          <w:rFonts w:ascii="Book Antiqua" w:hAnsi="Book Antiqua"/>
        </w:rPr>
        <w:t xml:space="preserve"> pathway (</w:t>
      </w:r>
      <w:r w:rsidR="00E94D77" w:rsidRPr="006E7292">
        <w:rPr>
          <w:rFonts w:ascii="Book Antiqua" w:hAnsi="Book Antiqua"/>
          <w:i/>
        </w:rPr>
        <w:t>RB1</w:t>
      </w:r>
      <w:r w:rsidR="00E94D77" w:rsidRPr="006E7292">
        <w:rPr>
          <w:rFonts w:ascii="Book Antiqua" w:hAnsi="Book Antiqua"/>
        </w:rPr>
        <w:t xml:space="preserve"> and </w:t>
      </w:r>
      <w:r w:rsidR="00E94D77" w:rsidRPr="006E7292">
        <w:rPr>
          <w:rFonts w:ascii="Book Antiqua" w:hAnsi="Book Antiqua"/>
          <w:i/>
        </w:rPr>
        <w:t>CCND1</w:t>
      </w:r>
      <w:r w:rsidR="00E94D77" w:rsidRPr="006E7292">
        <w:rPr>
          <w:rFonts w:ascii="Book Antiqua" w:hAnsi="Book Antiqua"/>
        </w:rPr>
        <w:t>)</w:t>
      </w:r>
      <w:r w:rsidR="00581E59" w:rsidRPr="006E7292">
        <w:rPr>
          <w:rFonts w:ascii="Book Antiqua" w:hAnsi="Book Antiqua"/>
        </w:rPr>
        <w:t xml:space="preserve"> </w:t>
      </w:r>
      <w:r w:rsidR="00506D95" w:rsidRPr="006E7292">
        <w:rPr>
          <w:rFonts w:ascii="Book Antiqua" w:hAnsi="Book Antiqua"/>
        </w:rPr>
        <w:t xml:space="preserve">genes </w:t>
      </w:r>
      <w:r w:rsidR="00DF7F99" w:rsidRPr="006E7292">
        <w:rPr>
          <w:rFonts w:ascii="Book Antiqua" w:hAnsi="Book Antiqua"/>
        </w:rPr>
        <w:t xml:space="preserve">are </w:t>
      </w:r>
      <w:r w:rsidR="00581E59" w:rsidRPr="006E7292">
        <w:rPr>
          <w:rFonts w:ascii="Book Antiqua" w:hAnsi="Book Antiqua"/>
        </w:rPr>
        <w:t>important for prognosis and drug-development</w:t>
      </w:r>
      <w:r w:rsidR="005F5AFA" w:rsidRPr="006E7292">
        <w:rPr>
          <w:rFonts w:ascii="Book Antiqua" w:hAnsi="Book Antiqua"/>
          <w:vertAlign w:val="superscript"/>
        </w:rPr>
        <w:t>[</w:t>
      </w:r>
      <w:r w:rsidR="00826B88"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{"citationItems":[{"id":"ITEM-1","itemData":{"DOI":"10.1200/EDBK_175510","ISSN":"1548-8756","PMID":"28561699","abstract":"Although biopsies of metastatic prostate cancer are rarely undertaken in the clinical setting, there is increasing interest in developing personalized approaches to therapy by taking into account the genetic and phenotypic changes in an individual tumor. Indeed, analysis of metastatic prostate tumors can predict sensitivity to agents that inhibit DNA repair and resistance to novel hormonal agents, such as abiraterone and enzalutamide, and identify phenotypic changes, such as neuroendocrine differentiation, that have important clinical implications. Although obtaining metastatic tumor tissue is necessary for this genomic and molecular profiling, knowing when to biopsy, selecting the appropriate metastatic lesion, and interpreting the results are major challenges facing clinicians today. In this article, we discuss the rationale for obtaining metastatic tumor tissue, review the bioinformatic approach to analyzing these specimens, discuss the timing and approach to solid and liquid tumor biopsies, review the challenges associated with obtaining and acting on clinically relevant results, and discuss opportunities for the future.","author":[{"dropping-particle":"","family":"Friedlander","given":"Terence W","non-dropping-particle":"","parse-names":false,"suffix":""},{"dropping-particle":"","family":"Pritchard","given":"Colin C","non-dropping-particle":"","parse-names":false,"suffix":""},{"dropping-particle":"","family":"Beltran","given":"Himisha","non-dropping-particle":"","parse-names":false,"suffix":""}],"container-title":"American Society of Clinical Oncology educational book. American Society of Clinical Oncology. Annual Meeting","id":"ITEM-1","issued":{"date-parts":[["2017"]]},"page":"358-369","title":"Personalizing Therapy for Metastatic Prostate Cancer: The Role of Solid and Liquid Tumor Biopsies.","type":"article-journal","volume":"37"},"uris":["http://www.mendeley.com/documents/?uuid=a94573b8-de87-4bf9-8e66-bf8a3dbbddf7"]}],"mendeley":{"formattedCitation":"&lt;sup&gt;7&lt;/sup&gt;","plainTextFormattedCitation":"7","previouslyFormattedCitation":"&lt;sup&gt;9&lt;/sup&gt;"},"properties":{"noteIndex":0},"schema":"https://github.com/citation-style-language/schema/raw/master/csl-citation.json"}</w:instrText>
      </w:r>
      <w:r w:rsidR="00826B88" w:rsidRPr="006E7292">
        <w:rPr>
          <w:rFonts w:ascii="Book Antiqua" w:hAnsi="Book Antiqua"/>
          <w:vertAlign w:val="superscript"/>
        </w:rPr>
        <w:fldChar w:fldCharType="separate"/>
      </w:r>
      <w:r w:rsidR="00AB62E4" w:rsidRPr="00644326">
        <w:rPr>
          <w:rFonts w:ascii="Book Antiqua" w:hAnsi="Book Antiqua"/>
          <w:vertAlign w:val="superscript"/>
        </w:rPr>
        <w:t>7</w:t>
      </w:r>
      <w:r w:rsidR="00826B88" w:rsidRPr="006E7292">
        <w:rPr>
          <w:rFonts w:ascii="Book Antiqua" w:hAnsi="Book Antiqua"/>
          <w:vertAlign w:val="superscript"/>
        </w:rPr>
        <w:fldChar w:fldCharType="end"/>
      </w:r>
      <w:r w:rsidR="005F5AFA" w:rsidRPr="006E7292">
        <w:rPr>
          <w:rFonts w:ascii="Book Antiqua" w:hAnsi="Book Antiqua"/>
          <w:vertAlign w:val="superscript"/>
        </w:rPr>
        <w:t>]</w:t>
      </w:r>
      <w:r w:rsidR="00DA5783" w:rsidRPr="006E7292">
        <w:rPr>
          <w:rFonts w:ascii="Book Antiqua" w:hAnsi="Book Antiqua"/>
        </w:rPr>
        <w:t>.</w:t>
      </w:r>
      <w:r w:rsidR="0027529E" w:rsidRPr="006E7292">
        <w:rPr>
          <w:rFonts w:ascii="Book Antiqua" w:hAnsi="Book Antiqua"/>
        </w:rPr>
        <w:t xml:space="preserve"> </w:t>
      </w:r>
      <w:r w:rsidR="008E09B5" w:rsidRPr="006E7292">
        <w:rPr>
          <w:rFonts w:ascii="Book Antiqua" w:hAnsi="Book Antiqua"/>
        </w:rPr>
        <w:t xml:space="preserve">It should be noted that </w:t>
      </w:r>
      <w:r w:rsidR="00A1340D" w:rsidRPr="006E7292">
        <w:rPr>
          <w:rFonts w:ascii="Book Antiqua" w:hAnsi="Book Antiqua"/>
        </w:rPr>
        <w:t xml:space="preserve">the </w:t>
      </w:r>
      <w:r w:rsidR="008E09B5" w:rsidRPr="006E7292">
        <w:rPr>
          <w:rFonts w:ascii="Book Antiqua" w:hAnsi="Book Antiqua"/>
        </w:rPr>
        <w:t xml:space="preserve">deletion of </w:t>
      </w:r>
      <w:r w:rsidR="008E09B5" w:rsidRPr="006E7292">
        <w:rPr>
          <w:rFonts w:ascii="Book Antiqua" w:hAnsi="Book Antiqua"/>
          <w:i/>
        </w:rPr>
        <w:t>PTEN</w:t>
      </w:r>
      <w:r w:rsidR="008E09B5" w:rsidRPr="006E7292">
        <w:rPr>
          <w:rFonts w:ascii="Book Antiqua" w:hAnsi="Book Antiqua"/>
        </w:rPr>
        <w:t xml:space="preserve"> is found in 40% of patients with mCRPC and l</w:t>
      </w:r>
      <w:r w:rsidR="0027529E" w:rsidRPr="00EF7A13">
        <w:rPr>
          <w:rFonts w:ascii="Book Antiqua" w:hAnsi="Book Antiqua"/>
        </w:rPr>
        <w:t>oss-of-function mutations in genes of the DNA repair pathway (homologous recombina</w:t>
      </w:r>
      <w:r w:rsidR="00C12DDF" w:rsidRPr="006E7292">
        <w:rPr>
          <w:rFonts w:ascii="Book Antiqua" w:hAnsi="Book Antiqua"/>
        </w:rPr>
        <w:t>tion and mismatch) are expressed</w:t>
      </w:r>
      <w:r w:rsidR="0027529E" w:rsidRPr="006E7292">
        <w:rPr>
          <w:rFonts w:ascii="Book Antiqua" w:hAnsi="Book Antiqua"/>
        </w:rPr>
        <w:t xml:space="preserve"> </w:t>
      </w:r>
      <w:r w:rsidR="00C12DDF" w:rsidRPr="006E7292">
        <w:rPr>
          <w:rFonts w:ascii="Book Antiqua" w:hAnsi="Book Antiqua"/>
        </w:rPr>
        <w:t>in approximately 20% of m</w:t>
      </w:r>
      <w:r w:rsidR="008E09B5" w:rsidRPr="006E7292">
        <w:rPr>
          <w:rFonts w:ascii="Book Antiqua" w:hAnsi="Book Antiqua"/>
        </w:rPr>
        <w:t xml:space="preserve">etastatic </w:t>
      </w:r>
      <w:r w:rsidR="005F5AFA" w:rsidRPr="006E7292">
        <w:rPr>
          <w:rFonts w:ascii="Book Antiqua" w:hAnsi="Book Antiqua"/>
        </w:rPr>
        <w:t>prostate cancer</w:t>
      </w:r>
      <w:r w:rsidR="005F5AFA" w:rsidRPr="006E7292">
        <w:rPr>
          <w:rFonts w:ascii="Book Antiqua" w:hAnsi="Book Antiqua"/>
          <w:vertAlign w:val="superscript"/>
        </w:rPr>
        <w:t>[</w:t>
      </w:r>
      <w:r w:rsidR="00826B88"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{"citationItems":[{"id":"ITEM-1","itemData":{"DOI":"10.1200/EDBK_175510","ISSN":"1548-8756","PMID":"28561699","abstract":"Although biopsies of metastatic prostate cancer are rarely undertaken in the clinical setting, there is increasing interest in developing personalized approaches to therapy by taking into account the genetic and phenotypic changes in an individual tumor. Indeed, analysis of metastatic prostate tumors can predict sensitivity to agents that inhibit DNA repair and resistance to novel hormonal agents, such as abiraterone and enzalutamide, and identify phenotypic changes, such as neuroendocrine differentiation, that have important clinical implications. Although obtaining metastatic tumor tissue is necessary for this genomic and molecular profiling, knowing when to biopsy, selecting the appropriate metastatic lesion, and interpreting the results are major challenges facing clinicians today. In this article, we discuss the rationale for obtaining metastatic tumor tissue, review the bioinformatic approach to analyzing these specimens, discuss the timing and approach to solid and liquid tumor biopsies, review the challenges associated with obtaining and acting on clinically relevant results, and discuss opportunities for the future.","author":[{"dropping-particle":"","family":"Friedlander","given":"Terence W","non-dropping-particle":"","parse-names":false,"suffix":""},{"dropping-particle":"","family":"Pritchard","given":"Colin C","non-dropping-particle":"","parse-names":false,"suffix":""},{"dropping-particle":"","family":"Beltran","given":"Himisha","non-dropping-particle":"","parse-names":false,"suffix":""}],"container-title":"American Society of Clinical Oncology educational book. American Society of Clinical Oncology. Annual Meeting","id":"ITEM-1","issued":{"date-parts":[["2017"]]},"page":"358-369","title":"Personalizing Therapy for Metastatic Prostate Cancer: The Role of Solid and Liquid Tumor Biopsies.","type":"article-journal","volume":"37"},"uris":["http://www.mendeley.com/documents/?uuid=a94573b8-de87-4bf9-8e66-bf8a3dbbddf7"]}],"mendeley":{"formattedCitation":"&lt;sup&gt;7&lt;/sup&gt;","plainTextFormattedCitation":"7","previouslyFormattedCitation":"&lt;sup&gt;9&lt;/sup&gt;"},"properties":{"noteIndex":0},"schema":"https://github.com/citation-style-language/schema/raw/master/csl-citation.json"}</w:instrText>
      </w:r>
      <w:r w:rsidR="00826B88" w:rsidRPr="006E7292">
        <w:rPr>
          <w:rFonts w:ascii="Book Antiqua" w:hAnsi="Book Antiqua"/>
          <w:vertAlign w:val="superscript"/>
        </w:rPr>
        <w:fldChar w:fldCharType="separate"/>
      </w:r>
      <w:r w:rsidR="00AB62E4" w:rsidRPr="00644326">
        <w:rPr>
          <w:rFonts w:ascii="Book Antiqua" w:hAnsi="Book Antiqua"/>
          <w:vertAlign w:val="superscript"/>
        </w:rPr>
        <w:t>7</w:t>
      </w:r>
      <w:r w:rsidR="00826B88" w:rsidRPr="006E7292">
        <w:rPr>
          <w:rFonts w:ascii="Book Antiqua" w:hAnsi="Book Antiqua"/>
          <w:vertAlign w:val="superscript"/>
        </w:rPr>
        <w:fldChar w:fldCharType="end"/>
      </w:r>
      <w:r w:rsidR="005F5AFA" w:rsidRPr="006E7292">
        <w:rPr>
          <w:rFonts w:ascii="Book Antiqua" w:hAnsi="Book Antiqua"/>
          <w:vertAlign w:val="superscript"/>
        </w:rPr>
        <w:t>]</w:t>
      </w:r>
      <w:r w:rsidR="009160CB" w:rsidRPr="006E7292">
        <w:rPr>
          <w:rFonts w:ascii="Book Antiqua" w:hAnsi="Book Antiqua"/>
        </w:rPr>
        <w:t>.</w:t>
      </w:r>
      <w:r w:rsidR="006465DD" w:rsidRPr="006E7292">
        <w:rPr>
          <w:rFonts w:ascii="Book Antiqua" w:hAnsi="Book Antiqua"/>
        </w:rPr>
        <w:t xml:space="preserve"> </w:t>
      </w:r>
      <w:r w:rsidR="006465DD" w:rsidRPr="006E7292">
        <w:rPr>
          <w:rFonts w:ascii="Book Antiqua" w:hAnsi="Book Antiqua"/>
          <w:i/>
        </w:rPr>
        <w:t>TP53</w:t>
      </w:r>
      <w:r w:rsidR="006465DD" w:rsidRPr="006E7292">
        <w:rPr>
          <w:rFonts w:ascii="Book Antiqua" w:hAnsi="Book Antiqua"/>
        </w:rPr>
        <w:t xml:space="preserve"> gene is very frequently mutated in mCRP</w:t>
      </w:r>
      <w:r w:rsidR="00291567" w:rsidRPr="006E7292">
        <w:rPr>
          <w:rFonts w:ascii="Book Antiqua" w:hAnsi="Book Antiqua"/>
        </w:rPr>
        <w:t>C</w:t>
      </w:r>
      <w:r w:rsidR="006465DD" w:rsidRPr="006E7292">
        <w:rPr>
          <w:rFonts w:ascii="Book Antiqua" w:hAnsi="Book Antiqua"/>
        </w:rPr>
        <w:t xml:space="preserve">. </w:t>
      </w:r>
      <w:r w:rsidR="00DB0882" w:rsidRPr="006E7292">
        <w:rPr>
          <w:rFonts w:ascii="Book Antiqua" w:hAnsi="Book Antiqua"/>
        </w:rPr>
        <w:t>In particular</w:t>
      </w:r>
      <w:r w:rsidR="00647AFD" w:rsidRPr="006E7292">
        <w:rPr>
          <w:rFonts w:ascii="Book Antiqua" w:hAnsi="Book Antiqua"/>
        </w:rPr>
        <w:t>,</w:t>
      </w:r>
      <w:r w:rsidR="00DB0882" w:rsidRPr="006E7292">
        <w:rPr>
          <w:rFonts w:ascii="Book Antiqua" w:hAnsi="Book Antiqua"/>
        </w:rPr>
        <w:t xml:space="preserve"> </w:t>
      </w:r>
      <w:r w:rsidR="00A627CE" w:rsidRPr="006E7292">
        <w:rPr>
          <w:rFonts w:ascii="Book Antiqua" w:hAnsi="Book Antiqua"/>
          <w:i/>
        </w:rPr>
        <w:t>TP53</w:t>
      </w:r>
      <w:r w:rsidR="005F5AFA" w:rsidRPr="006E7292">
        <w:rPr>
          <w:rFonts w:ascii="Book Antiqua" w:hAnsi="Book Antiqua"/>
        </w:rPr>
        <w:t xml:space="preserve"> gain</w:t>
      </w:r>
      <w:r w:rsidR="00DF7F99" w:rsidRPr="006E7292">
        <w:rPr>
          <w:rFonts w:ascii="Book Antiqua" w:hAnsi="Book Antiqua"/>
        </w:rPr>
        <w:t>-</w:t>
      </w:r>
      <w:r w:rsidR="005F5AFA" w:rsidRPr="006E7292">
        <w:rPr>
          <w:rFonts w:ascii="Book Antiqua" w:hAnsi="Book Antiqua"/>
        </w:rPr>
        <w:t>of</w:t>
      </w:r>
      <w:r w:rsidR="00DF7F99" w:rsidRPr="006E7292">
        <w:rPr>
          <w:rFonts w:ascii="Book Antiqua" w:hAnsi="Book Antiqua"/>
        </w:rPr>
        <w:t>-</w:t>
      </w:r>
      <w:r w:rsidR="005F5AFA" w:rsidRPr="006E7292">
        <w:rPr>
          <w:rFonts w:ascii="Book Antiqua" w:hAnsi="Book Antiqua"/>
        </w:rPr>
        <w:t>function</w:t>
      </w:r>
      <w:r w:rsidR="00DF7F99" w:rsidRPr="006E7292">
        <w:rPr>
          <w:rFonts w:ascii="Book Antiqua" w:hAnsi="Book Antiqua"/>
        </w:rPr>
        <w:t xml:space="preserve"> mutation</w:t>
      </w:r>
      <w:r w:rsidR="005F5AFA" w:rsidRPr="006E7292">
        <w:rPr>
          <w:rFonts w:ascii="Book Antiqua" w:hAnsi="Book Antiqua"/>
        </w:rPr>
        <w:t>s</w:t>
      </w:r>
      <w:r w:rsidR="00A627CE" w:rsidRPr="006E7292">
        <w:rPr>
          <w:rFonts w:ascii="Book Antiqua" w:hAnsi="Book Antiqua"/>
        </w:rPr>
        <w:t xml:space="preserve"> have been associated </w:t>
      </w:r>
      <w:r w:rsidR="00692176" w:rsidRPr="006E7292">
        <w:rPr>
          <w:rFonts w:ascii="Book Antiqua" w:hAnsi="Book Antiqua"/>
        </w:rPr>
        <w:t>with</w:t>
      </w:r>
      <w:r w:rsidR="00A627CE" w:rsidRPr="006E7292">
        <w:rPr>
          <w:rFonts w:ascii="Book Antiqua" w:hAnsi="Book Antiqua"/>
        </w:rPr>
        <w:t xml:space="preserve"> cancer cell survival and chemoresistance. </w:t>
      </w:r>
      <w:r w:rsidR="006465DD" w:rsidRPr="006E7292">
        <w:rPr>
          <w:rFonts w:ascii="Book Antiqua" w:hAnsi="Book Antiqua"/>
        </w:rPr>
        <w:t xml:space="preserve">Interestingly, </w:t>
      </w:r>
      <w:r w:rsidR="006465DD" w:rsidRPr="006E7292">
        <w:rPr>
          <w:rFonts w:ascii="Book Antiqua" w:hAnsi="Book Antiqua"/>
          <w:i/>
        </w:rPr>
        <w:t>TP53</w:t>
      </w:r>
      <w:r w:rsidR="006465DD" w:rsidRPr="006E7292">
        <w:rPr>
          <w:rFonts w:ascii="Book Antiqua" w:hAnsi="Book Antiqua"/>
        </w:rPr>
        <w:t xml:space="preserve"> mutations </w:t>
      </w:r>
      <w:r w:rsidR="00A627CE" w:rsidRPr="006E7292">
        <w:rPr>
          <w:rFonts w:ascii="Book Antiqua" w:hAnsi="Book Antiqua"/>
        </w:rPr>
        <w:t xml:space="preserve">conferring </w:t>
      </w:r>
      <w:r w:rsidR="005F5AFA" w:rsidRPr="006E7292">
        <w:rPr>
          <w:rFonts w:ascii="Book Antiqua" w:hAnsi="Book Antiqua"/>
        </w:rPr>
        <w:t>gain of function</w:t>
      </w:r>
      <w:r w:rsidR="00A627CE" w:rsidRPr="006E7292">
        <w:rPr>
          <w:rFonts w:ascii="Book Antiqua" w:hAnsi="Book Antiqua"/>
        </w:rPr>
        <w:t xml:space="preserve"> </w:t>
      </w:r>
      <w:r w:rsidR="006465DD" w:rsidRPr="006E7292">
        <w:rPr>
          <w:rFonts w:ascii="Book Antiqua" w:hAnsi="Book Antiqua"/>
        </w:rPr>
        <w:t xml:space="preserve">were related to disease progression </w:t>
      </w:r>
      <w:r w:rsidR="00A627CE" w:rsidRPr="006E7292">
        <w:rPr>
          <w:rFonts w:ascii="Book Antiqua" w:hAnsi="Book Antiqua"/>
        </w:rPr>
        <w:t xml:space="preserve">and drug resistance </w:t>
      </w:r>
      <w:r w:rsidR="006465DD" w:rsidRPr="006E7292">
        <w:rPr>
          <w:rFonts w:ascii="Book Antiqua" w:hAnsi="Book Antiqua"/>
        </w:rPr>
        <w:t xml:space="preserve">after abiraterone or enzalutamide </w:t>
      </w:r>
      <w:proofErr w:type="gramStart"/>
      <w:r w:rsidR="003D203D" w:rsidRPr="006E7292">
        <w:rPr>
          <w:rFonts w:ascii="Book Antiqua" w:hAnsi="Book Antiqua"/>
        </w:rPr>
        <w:t>treatments</w:t>
      </w:r>
      <w:r w:rsidR="005F5AFA" w:rsidRPr="006E7292">
        <w:rPr>
          <w:rFonts w:ascii="Book Antiqua" w:hAnsi="Book Antiqua"/>
          <w:vertAlign w:val="superscript"/>
        </w:rPr>
        <w:t>[</w:t>
      </w:r>
      <w:proofErr w:type="gramEnd"/>
      <w:r w:rsidR="00014A24" w:rsidRPr="006E7292">
        <w:rPr>
          <w:rFonts w:ascii="Book Antiqua" w:hAnsi="Book Antiqua"/>
          <w:vertAlign w:val="superscript"/>
        </w:rPr>
        <w:t>1</w:t>
      </w:r>
      <w:r w:rsidR="00794EB2" w:rsidRPr="006E7292">
        <w:rPr>
          <w:rFonts w:ascii="Book Antiqua" w:hAnsi="Book Antiqua"/>
          <w:vertAlign w:val="superscript"/>
        </w:rPr>
        <w:t>3</w:t>
      </w:r>
      <w:r w:rsidR="005F5AFA" w:rsidRPr="006E7292">
        <w:rPr>
          <w:rFonts w:ascii="Book Antiqua" w:hAnsi="Book Antiqua"/>
          <w:vertAlign w:val="superscript"/>
        </w:rPr>
        <w:t>]</w:t>
      </w:r>
      <w:r w:rsidR="00F82335" w:rsidRPr="006E7292">
        <w:rPr>
          <w:rFonts w:ascii="Book Antiqua" w:hAnsi="Book Antiqua"/>
        </w:rPr>
        <w:t>.</w:t>
      </w:r>
    </w:p>
    <w:p w14:paraId="745BAC48" w14:textId="656DFA9D" w:rsidR="00743A85" w:rsidRPr="006E7292" w:rsidRDefault="00743A85">
      <w:pPr>
        <w:snapToGrid w:val="0"/>
        <w:spacing w:line="360" w:lineRule="auto"/>
        <w:ind w:firstLineChars="100" w:firstLine="240"/>
        <w:jc w:val="both"/>
        <w:rPr>
          <w:rFonts w:ascii="Book Antiqua" w:hAnsi="Book Antiqua"/>
        </w:rPr>
      </w:pPr>
      <w:r w:rsidRPr="006E7292">
        <w:rPr>
          <w:rFonts w:ascii="Book Antiqua" w:hAnsi="Book Antiqua"/>
        </w:rPr>
        <w:t xml:space="preserve">Different studies </w:t>
      </w:r>
      <w:r w:rsidR="00692176" w:rsidRPr="006E7292">
        <w:rPr>
          <w:rFonts w:ascii="Book Antiqua" w:hAnsi="Book Antiqua"/>
        </w:rPr>
        <w:t xml:space="preserve">offer </w:t>
      </w:r>
      <w:r w:rsidR="00FE65AB" w:rsidRPr="006E7292">
        <w:rPr>
          <w:rFonts w:ascii="Book Antiqua" w:hAnsi="Book Antiqua"/>
        </w:rPr>
        <w:t xml:space="preserve">a comparison between ctDNA and the corresponding metastatic tissue. </w:t>
      </w:r>
      <w:r w:rsidR="00171780" w:rsidRPr="006E7292">
        <w:rPr>
          <w:rFonts w:ascii="Book Antiqua" w:hAnsi="Book Antiqua"/>
        </w:rPr>
        <w:t xml:space="preserve">For example, </w:t>
      </w:r>
      <w:r w:rsidR="00FE65AB" w:rsidRPr="006E7292">
        <w:rPr>
          <w:rFonts w:ascii="Book Antiqua" w:hAnsi="Book Antiqua"/>
        </w:rPr>
        <w:t xml:space="preserve">Wyatt </w:t>
      </w:r>
      <w:r w:rsidR="00FE65AB" w:rsidRPr="006E7292">
        <w:rPr>
          <w:rFonts w:ascii="Book Antiqua" w:hAnsi="Book Antiqua"/>
          <w:i/>
        </w:rPr>
        <w:t xml:space="preserve">et </w:t>
      </w:r>
      <w:proofErr w:type="gramStart"/>
      <w:r w:rsidR="00FE65AB" w:rsidRPr="006E7292">
        <w:rPr>
          <w:rFonts w:ascii="Book Antiqua" w:hAnsi="Book Antiqua"/>
          <w:i/>
        </w:rPr>
        <w:t>al</w:t>
      </w:r>
      <w:r w:rsidR="005F5AFA" w:rsidRPr="006E7292">
        <w:rPr>
          <w:rFonts w:ascii="Book Antiqua" w:hAnsi="Book Antiqua"/>
          <w:vertAlign w:val="superscript"/>
        </w:rPr>
        <w:t>[</w:t>
      </w:r>
      <w:proofErr w:type="gramEnd"/>
      <w:r w:rsidR="005F5AFA" w:rsidRPr="006E7292">
        <w:rPr>
          <w:rFonts w:ascii="Book Antiqua" w:hAnsi="Book Antiqua"/>
          <w:vertAlign w:val="superscript"/>
        </w:rPr>
        <w:t>30]</w:t>
      </w:r>
      <w:r w:rsidR="00FE65AB" w:rsidRPr="006E7292">
        <w:rPr>
          <w:rFonts w:ascii="Book Antiqua" w:hAnsi="Book Antiqua"/>
        </w:rPr>
        <w:t xml:space="preserve"> sequenc</w:t>
      </w:r>
      <w:r w:rsidR="00D83780" w:rsidRPr="006E7292">
        <w:rPr>
          <w:rFonts w:ascii="Book Antiqua" w:hAnsi="Book Antiqua"/>
        </w:rPr>
        <w:t>ed</w:t>
      </w:r>
      <w:r w:rsidR="00FE65AB" w:rsidRPr="006E7292">
        <w:rPr>
          <w:rFonts w:ascii="Book Antiqua" w:hAnsi="Book Antiqua"/>
        </w:rPr>
        <w:t xml:space="preserve"> 72 clinically relevant genes in 45 cfDNA samples </w:t>
      </w:r>
      <w:r w:rsidR="008E7FA1" w:rsidRPr="006E7292">
        <w:rPr>
          <w:rFonts w:ascii="Book Antiqua" w:hAnsi="Book Antiqua"/>
        </w:rPr>
        <w:t xml:space="preserve">and corresponding tissues </w:t>
      </w:r>
      <w:r w:rsidR="00FE65AB" w:rsidRPr="006E7292">
        <w:rPr>
          <w:rFonts w:ascii="Book Antiqua" w:hAnsi="Book Antiqua"/>
        </w:rPr>
        <w:t xml:space="preserve">obtained during biopsy. </w:t>
      </w:r>
      <w:r w:rsidR="00840123" w:rsidRPr="006E7292">
        <w:rPr>
          <w:rFonts w:ascii="Book Antiqua" w:hAnsi="Book Antiqua"/>
        </w:rPr>
        <w:t xml:space="preserve">The comparison of </w:t>
      </w:r>
      <w:r w:rsidR="00FE65AB" w:rsidRPr="006E7292">
        <w:rPr>
          <w:rFonts w:ascii="Book Antiqua" w:hAnsi="Book Antiqua"/>
        </w:rPr>
        <w:t xml:space="preserve">data concerning alterations in </w:t>
      </w:r>
      <w:r w:rsidR="008E7FA1" w:rsidRPr="006E7292">
        <w:rPr>
          <w:rFonts w:ascii="Book Antiqua" w:hAnsi="Book Antiqua"/>
        </w:rPr>
        <w:t xml:space="preserve">ctDNA </w:t>
      </w:r>
      <w:r w:rsidR="00FE65AB" w:rsidRPr="006E7292">
        <w:rPr>
          <w:rFonts w:ascii="Book Antiqua" w:hAnsi="Book Antiqua"/>
        </w:rPr>
        <w:t xml:space="preserve">with those </w:t>
      </w:r>
      <w:r w:rsidR="008E7FA1" w:rsidRPr="006E7292">
        <w:rPr>
          <w:rFonts w:ascii="Book Antiqua" w:hAnsi="Book Antiqua"/>
        </w:rPr>
        <w:t>of the</w:t>
      </w:r>
      <w:r w:rsidR="00FE65AB" w:rsidRPr="006E7292">
        <w:rPr>
          <w:rFonts w:ascii="Book Antiqua" w:hAnsi="Book Antiqua"/>
        </w:rPr>
        <w:t xml:space="preserve"> tissues has been demonstrated that for the majority of </w:t>
      </w:r>
      <w:r w:rsidR="008E7FA1" w:rsidRPr="006E7292">
        <w:rPr>
          <w:rFonts w:ascii="Book Antiqua" w:hAnsi="Book Antiqua"/>
        </w:rPr>
        <w:t>patients</w:t>
      </w:r>
      <w:r w:rsidR="00FE65AB" w:rsidRPr="006E7292">
        <w:rPr>
          <w:rFonts w:ascii="Book Antiqua" w:hAnsi="Book Antiqua"/>
        </w:rPr>
        <w:t xml:space="preserve"> an assay of ctDNA could be enough to identify all the alterations in </w:t>
      </w:r>
      <w:r w:rsidR="008E7FA1" w:rsidRPr="006E7292">
        <w:rPr>
          <w:rFonts w:ascii="Book Antiqua" w:hAnsi="Book Antiqua"/>
        </w:rPr>
        <w:t xml:space="preserve">a </w:t>
      </w:r>
      <w:r w:rsidR="00FE65AB" w:rsidRPr="006E7292">
        <w:rPr>
          <w:rFonts w:ascii="Book Antiqua" w:hAnsi="Book Antiqua"/>
        </w:rPr>
        <w:t>metastatic tissue. The authors suggest</w:t>
      </w:r>
      <w:r w:rsidR="00E30950" w:rsidRPr="006E7292">
        <w:rPr>
          <w:rFonts w:ascii="Book Antiqua" w:hAnsi="Book Antiqua"/>
        </w:rPr>
        <w:t>ed</w:t>
      </w:r>
      <w:r w:rsidR="00FE65AB" w:rsidRPr="006E7292">
        <w:rPr>
          <w:rFonts w:ascii="Book Antiqua" w:hAnsi="Book Antiqua"/>
        </w:rPr>
        <w:t xml:space="preserve"> that </w:t>
      </w:r>
      <w:r w:rsidR="008D4C34" w:rsidRPr="006E7292">
        <w:rPr>
          <w:rFonts w:ascii="Book Antiqua" w:hAnsi="Book Antiqua"/>
        </w:rPr>
        <w:t>with appropriate valid</w:t>
      </w:r>
      <w:r w:rsidR="00204C59" w:rsidRPr="006E7292">
        <w:rPr>
          <w:rFonts w:ascii="Book Antiqua" w:hAnsi="Book Antiqua"/>
        </w:rPr>
        <w:t>ation</w:t>
      </w:r>
      <w:r w:rsidR="00840123" w:rsidRPr="006E7292">
        <w:rPr>
          <w:rFonts w:ascii="Book Antiqua" w:hAnsi="Book Antiqua"/>
        </w:rPr>
        <w:t xml:space="preserve"> methods</w:t>
      </w:r>
      <w:r w:rsidR="00204C59" w:rsidRPr="006E7292">
        <w:rPr>
          <w:rFonts w:ascii="Book Antiqua" w:hAnsi="Book Antiqua"/>
        </w:rPr>
        <w:t xml:space="preserve">, </w:t>
      </w:r>
      <w:r w:rsidR="00111D4A" w:rsidRPr="006E7292">
        <w:rPr>
          <w:rFonts w:ascii="Book Antiqua" w:hAnsi="Book Antiqua"/>
        </w:rPr>
        <w:t xml:space="preserve">it </w:t>
      </w:r>
      <w:r w:rsidR="00443A1A" w:rsidRPr="006E7292">
        <w:rPr>
          <w:rFonts w:ascii="Book Antiqua" w:hAnsi="Book Antiqua"/>
        </w:rPr>
        <w:t xml:space="preserve">could be </w:t>
      </w:r>
      <w:r w:rsidR="00111D4A" w:rsidRPr="006E7292">
        <w:rPr>
          <w:rFonts w:ascii="Book Antiqua" w:hAnsi="Book Antiqua"/>
        </w:rPr>
        <w:t>possible to develop</w:t>
      </w:r>
      <w:r w:rsidR="00204C59" w:rsidRPr="006E7292">
        <w:rPr>
          <w:rFonts w:ascii="Book Antiqua" w:hAnsi="Book Antiqua"/>
        </w:rPr>
        <w:t xml:space="preserve"> </w:t>
      </w:r>
      <w:r w:rsidR="008D4C34" w:rsidRPr="006E7292">
        <w:rPr>
          <w:rFonts w:ascii="Book Antiqua" w:hAnsi="Book Antiqua"/>
        </w:rPr>
        <w:t>DNA</w:t>
      </w:r>
      <w:r w:rsidR="00111D4A" w:rsidRPr="006E7292">
        <w:rPr>
          <w:rFonts w:ascii="Book Antiqua" w:hAnsi="Book Antiqua"/>
        </w:rPr>
        <w:t>-based</w:t>
      </w:r>
      <w:r w:rsidR="008D4C34" w:rsidRPr="006E7292">
        <w:rPr>
          <w:rFonts w:ascii="Book Antiqua" w:hAnsi="Book Antiqua"/>
        </w:rPr>
        <w:t xml:space="preserve"> biomarkers useful </w:t>
      </w:r>
      <w:r w:rsidR="00D83780" w:rsidRPr="006E7292">
        <w:rPr>
          <w:rFonts w:ascii="Book Antiqua" w:hAnsi="Book Antiqua"/>
        </w:rPr>
        <w:t xml:space="preserve">in </w:t>
      </w:r>
      <w:r w:rsidR="008E7FA1" w:rsidRPr="006E7292">
        <w:rPr>
          <w:rFonts w:ascii="Book Antiqua" w:hAnsi="Book Antiqua"/>
        </w:rPr>
        <w:t>identify</w:t>
      </w:r>
      <w:r w:rsidR="00D83780" w:rsidRPr="006E7292">
        <w:rPr>
          <w:rFonts w:ascii="Book Antiqua" w:hAnsi="Book Antiqua"/>
        </w:rPr>
        <w:t>ing</w:t>
      </w:r>
      <w:r w:rsidR="008E7FA1" w:rsidRPr="006E7292">
        <w:rPr>
          <w:rFonts w:ascii="Book Antiqua" w:hAnsi="Book Antiqua"/>
        </w:rPr>
        <w:t xml:space="preserve"> ctDNA </w:t>
      </w:r>
      <w:r w:rsidR="008D4C34" w:rsidRPr="006E7292">
        <w:rPr>
          <w:rFonts w:ascii="Book Antiqua" w:hAnsi="Book Antiqua"/>
        </w:rPr>
        <w:t>for the management of patients with mCRPC</w:t>
      </w:r>
      <w:r w:rsidR="00867B00" w:rsidRPr="006E7292">
        <w:rPr>
          <w:rFonts w:ascii="Book Antiqua" w:hAnsi="Book Antiqua"/>
        </w:rPr>
        <w:t xml:space="preserve">. </w:t>
      </w:r>
      <w:r w:rsidR="0078707D" w:rsidRPr="006E7292">
        <w:rPr>
          <w:rFonts w:ascii="Book Antiqua" w:hAnsi="Book Antiqua"/>
        </w:rPr>
        <w:t>An important advantage of ctD</w:t>
      </w:r>
      <w:r w:rsidR="00031210" w:rsidRPr="006E7292">
        <w:rPr>
          <w:rFonts w:ascii="Book Antiqua" w:hAnsi="Book Antiqua"/>
        </w:rPr>
        <w:t>N</w:t>
      </w:r>
      <w:r w:rsidR="0078707D" w:rsidRPr="006E7292">
        <w:rPr>
          <w:rFonts w:ascii="Book Antiqua" w:hAnsi="Book Antiqua"/>
        </w:rPr>
        <w:t xml:space="preserve">A is the ability to integrate somatic information from metastatic </w:t>
      </w:r>
      <w:r w:rsidR="00782861" w:rsidRPr="006E7292">
        <w:rPr>
          <w:rFonts w:ascii="Book Antiqua" w:hAnsi="Book Antiqua"/>
        </w:rPr>
        <w:t xml:space="preserve">sites </w:t>
      </w:r>
      <w:r w:rsidR="0078707D" w:rsidRPr="006E7292">
        <w:rPr>
          <w:rFonts w:ascii="Book Antiqua" w:hAnsi="Book Antiqua"/>
        </w:rPr>
        <w:t xml:space="preserve">to </w:t>
      </w:r>
      <w:r w:rsidR="00F46BB5" w:rsidRPr="006E7292">
        <w:rPr>
          <w:rFonts w:ascii="Book Antiqua" w:hAnsi="Book Antiqua"/>
        </w:rPr>
        <w:t>discover</w:t>
      </w:r>
      <w:r w:rsidR="0078707D" w:rsidRPr="006E7292">
        <w:rPr>
          <w:rFonts w:ascii="Book Antiqua" w:hAnsi="Book Antiqua"/>
        </w:rPr>
        <w:t xml:space="preserve"> mutation heterogeneity</w:t>
      </w:r>
      <w:r w:rsidR="00F46BB5" w:rsidRPr="006E7292">
        <w:rPr>
          <w:rFonts w:ascii="Book Antiqua" w:hAnsi="Book Antiqua"/>
        </w:rPr>
        <w:t xml:space="preserve"> of the tumor</w:t>
      </w:r>
      <w:r w:rsidR="005B39FE" w:rsidRPr="006E7292">
        <w:rPr>
          <w:rFonts w:ascii="Book Antiqua" w:hAnsi="Book Antiqua"/>
        </w:rPr>
        <w:t>,</w:t>
      </w:r>
      <w:r w:rsidR="0078707D" w:rsidRPr="006E7292">
        <w:rPr>
          <w:rFonts w:ascii="Book Antiqua" w:hAnsi="Book Antiqua"/>
        </w:rPr>
        <w:t xml:space="preserve"> </w:t>
      </w:r>
      <w:r w:rsidR="0078707D" w:rsidRPr="006E7292">
        <w:rPr>
          <w:rFonts w:ascii="Book Antiqua" w:hAnsi="Book Antiqua"/>
        </w:rPr>
        <w:lastRenderedPageBreak/>
        <w:t>which should be taken into consideration</w:t>
      </w:r>
      <w:r w:rsidR="009B1D68" w:rsidRPr="006E7292">
        <w:rPr>
          <w:rFonts w:ascii="Book Antiqua" w:hAnsi="Book Antiqua"/>
        </w:rPr>
        <w:t xml:space="preserve"> to monitor </w:t>
      </w:r>
      <w:r w:rsidR="00692176" w:rsidRPr="006E7292">
        <w:rPr>
          <w:rFonts w:ascii="Book Antiqua" w:hAnsi="Book Antiqua"/>
        </w:rPr>
        <w:t xml:space="preserve">the </w:t>
      </w:r>
      <w:r w:rsidR="009B1D68" w:rsidRPr="006E7292">
        <w:rPr>
          <w:rFonts w:ascii="Book Antiqua" w:hAnsi="Book Antiqua"/>
        </w:rPr>
        <w:t xml:space="preserve">tumor stage and </w:t>
      </w:r>
      <w:r w:rsidR="00692176" w:rsidRPr="006E7292">
        <w:rPr>
          <w:rFonts w:ascii="Book Antiqua" w:hAnsi="Book Antiqua"/>
        </w:rPr>
        <w:t xml:space="preserve">its </w:t>
      </w:r>
      <w:r w:rsidR="009B1D68" w:rsidRPr="006E7292">
        <w:rPr>
          <w:rFonts w:ascii="Book Antiqua" w:hAnsi="Book Antiqua"/>
        </w:rPr>
        <w:t>progression</w:t>
      </w:r>
      <w:r w:rsidR="00F46BB5" w:rsidRPr="006E7292">
        <w:rPr>
          <w:rFonts w:ascii="Book Antiqua" w:hAnsi="Book Antiqua"/>
        </w:rPr>
        <w:t xml:space="preserve">. This information could add knowledge to the </w:t>
      </w:r>
      <w:r w:rsidR="009B1D68" w:rsidRPr="006E7292">
        <w:rPr>
          <w:rFonts w:ascii="Book Antiqua" w:hAnsi="Book Antiqua"/>
        </w:rPr>
        <w:t xml:space="preserve">pathological analysis of </w:t>
      </w:r>
      <w:r w:rsidR="00800AE7" w:rsidRPr="006E7292">
        <w:rPr>
          <w:rFonts w:ascii="Book Antiqua" w:hAnsi="Book Antiqua"/>
        </w:rPr>
        <w:t xml:space="preserve">the </w:t>
      </w:r>
      <w:r w:rsidR="00630A76" w:rsidRPr="006E7292">
        <w:rPr>
          <w:rFonts w:ascii="Book Antiqua" w:hAnsi="Book Antiqua"/>
        </w:rPr>
        <w:t xml:space="preserve">prostate </w:t>
      </w:r>
      <w:r w:rsidR="009B1D68" w:rsidRPr="006E7292">
        <w:rPr>
          <w:rFonts w:ascii="Book Antiqua" w:hAnsi="Book Antiqua"/>
        </w:rPr>
        <w:t xml:space="preserve">tissue </w:t>
      </w:r>
      <w:r w:rsidR="005B39FE" w:rsidRPr="006E7292">
        <w:rPr>
          <w:rFonts w:ascii="Book Antiqua" w:hAnsi="Book Antiqua"/>
        </w:rPr>
        <w:t>biopsy</w:t>
      </w:r>
      <w:r w:rsidR="00BF77C9" w:rsidRPr="006E7292">
        <w:rPr>
          <w:rFonts w:ascii="Book Antiqua" w:hAnsi="Book Antiqua"/>
        </w:rPr>
        <w:t xml:space="preserve">, which </w:t>
      </w:r>
      <w:r w:rsidR="00867B00" w:rsidRPr="006E7292">
        <w:rPr>
          <w:rFonts w:ascii="Book Antiqua" w:hAnsi="Book Antiqua"/>
        </w:rPr>
        <w:t>by itself</w:t>
      </w:r>
      <w:r w:rsidR="00800AE7" w:rsidRPr="006E7292">
        <w:rPr>
          <w:rFonts w:ascii="Book Antiqua" w:hAnsi="Book Antiqua"/>
        </w:rPr>
        <w:t xml:space="preserve"> </w:t>
      </w:r>
      <w:r w:rsidR="00101C58" w:rsidRPr="006E7292">
        <w:rPr>
          <w:rFonts w:ascii="Book Antiqua" w:hAnsi="Book Antiqua"/>
        </w:rPr>
        <w:t xml:space="preserve">may be not completely representative of the </w:t>
      </w:r>
      <w:r w:rsidR="00BF77C9" w:rsidRPr="006E7292">
        <w:rPr>
          <w:rFonts w:ascii="Book Antiqua" w:hAnsi="Book Antiqua"/>
        </w:rPr>
        <w:t xml:space="preserve">heterogeneous behavior of </w:t>
      </w:r>
      <w:proofErr w:type="gramStart"/>
      <w:r w:rsidR="00101C58" w:rsidRPr="006E7292">
        <w:rPr>
          <w:rFonts w:ascii="Book Antiqua" w:hAnsi="Book Antiqua"/>
        </w:rPr>
        <w:t>tumor</w:t>
      </w:r>
      <w:r w:rsidR="00BF77C9" w:rsidRPr="006E7292">
        <w:rPr>
          <w:rFonts w:ascii="Book Antiqua" w:hAnsi="Book Antiqua"/>
        </w:rPr>
        <w:t>s</w:t>
      </w:r>
      <w:r w:rsidR="005F5AFA" w:rsidRPr="006E7292">
        <w:rPr>
          <w:rFonts w:ascii="Book Antiqua" w:hAnsi="Book Antiqua"/>
          <w:vertAlign w:val="superscript"/>
        </w:rPr>
        <w:t>[</w:t>
      </w:r>
      <w:proofErr w:type="gramEnd"/>
      <w:r w:rsidR="00794EB2" w:rsidRPr="006E7292">
        <w:rPr>
          <w:rFonts w:ascii="Book Antiqua" w:hAnsi="Book Antiqua"/>
          <w:vertAlign w:val="superscript"/>
        </w:rPr>
        <w:t>30</w:t>
      </w:r>
      <w:r w:rsidR="005F5AFA" w:rsidRPr="006E7292">
        <w:rPr>
          <w:rFonts w:ascii="Book Antiqua" w:hAnsi="Book Antiqua"/>
          <w:vertAlign w:val="superscript"/>
        </w:rPr>
        <w:t>]</w:t>
      </w:r>
      <w:r w:rsidR="00794EB2" w:rsidRPr="006E7292">
        <w:rPr>
          <w:rFonts w:ascii="Book Antiqua" w:hAnsi="Book Antiqua"/>
        </w:rPr>
        <w:t>.</w:t>
      </w:r>
    </w:p>
    <w:p w14:paraId="0F22AF1E" w14:textId="77777777" w:rsidR="00110B65" w:rsidRPr="006E7292" w:rsidRDefault="00110B65">
      <w:pPr>
        <w:snapToGrid w:val="0"/>
        <w:spacing w:line="360" w:lineRule="auto"/>
        <w:jc w:val="both"/>
        <w:rPr>
          <w:rFonts w:ascii="Book Antiqua" w:hAnsi="Book Antiqua"/>
        </w:rPr>
      </w:pPr>
    </w:p>
    <w:p w14:paraId="42AC3340" w14:textId="01A027E1" w:rsidR="001F47F1" w:rsidRPr="006E7292" w:rsidRDefault="007856B9">
      <w:pPr>
        <w:snapToGrid w:val="0"/>
        <w:spacing w:line="360" w:lineRule="auto"/>
        <w:jc w:val="both"/>
        <w:rPr>
          <w:rFonts w:ascii="Book Antiqua" w:hAnsi="Book Antiqua"/>
          <w:b/>
          <w:i/>
        </w:rPr>
      </w:pPr>
      <w:proofErr w:type="gramStart"/>
      <w:r w:rsidRPr="006E7292">
        <w:rPr>
          <w:rFonts w:ascii="Book Antiqua" w:hAnsi="Book Antiqua"/>
          <w:b/>
          <w:i/>
        </w:rPr>
        <w:t>ctRNA</w:t>
      </w:r>
      <w:proofErr w:type="gramEnd"/>
      <w:r w:rsidRPr="006E7292">
        <w:rPr>
          <w:rFonts w:ascii="Book Antiqua" w:hAnsi="Book Antiqua"/>
          <w:b/>
          <w:i/>
        </w:rPr>
        <w:t xml:space="preserve"> </w:t>
      </w:r>
      <w:r w:rsidR="006A3291" w:rsidRPr="006E7292">
        <w:rPr>
          <w:rFonts w:ascii="Book Antiqua" w:hAnsi="Book Antiqua"/>
          <w:b/>
          <w:i/>
        </w:rPr>
        <w:t xml:space="preserve">in </w:t>
      </w:r>
      <w:r w:rsidR="00ED6CE0" w:rsidRPr="006E7292">
        <w:rPr>
          <w:rFonts w:ascii="Book Antiqua" w:hAnsi="Book Antiqua"/>
          <w:b/>
          <w:i/>
        </w:rPr>
        <w:t>prostate cancer</w:t>
      </w:r>
      <w:r w:rsidR="006A3291" w:rsidRPr="006E7292">
        <w:rPr>
          <w:rFonts w:ascii="Book Antiqua" w:hAnsi="Book Antiqua"/>
          <w:b/>
          <w:i/>
        </w:rPr>
        <w:t xml:space="preserve"> patients</w:t>
      </w:r>
    </w:p>
    <w:p w14:paraId="4EF7FA9B" w14:textId="6290540F" w:rsidR="001F47F1" w:rsidRPr="006E7292" w:rsidRDefault="00F20FB7">
      <w:pPr>
        <w:snapToGrid w:val="0"/>
        <w:spacing w:line="360" w:lineRule="auto"/>
        <w:jc w:val="both"/>
        <w:rPr>
          <w:rFonts w:ascii="Book Antiqua" w:hAnsi="Book Antiqua"/>
        </w:rPr>
      </w:pPr>
      <w:r w:rsidRPr="006E7292">
        <w:rPr>
          <w:rFonts w:ascii="Book Antiqua" w:hAnsi="Book Antiqua"/>
        </w:rPr>
        <w:t>The necessity of a multi-parameter approach has been highlighted in different studies. Indeed, important additional knowledge could arise from a simultaneous investigation of molecules using liquid biopsy (</w:t>
      </w:r>
      <w:r w:rsidRPr="006E7292">
        <w:rPr>
          <w:rFonts w:ascii="Book Antiqua" w:hAnsi="Book Antiqua"/>
          <w:i/>
        </w:rPr>
        <w:t>i.e.</w:t>
      </w:r>
      <w:r w:rsidRPr="006E7292">
        <w:rPr>
          <w:rFonts w:ascii="Book Antiqua" w:hAnsi="Book Antiqua"/>
        </w:rPr>
        <w:t xml:space="preserve"> cfDNA) and DNA extracted from </w:t>
      </w:r>
      <w:r w:rsidR="005F5AFA" w:rsidRPr="006E7292">
        <w:rPr>
          <w:rFonts w:ascii="Book Antiqua" w:hAnsi="Book Antiqua"/>
        </w:rPr>
        <w:t xml:space="preserve">circulating tumor cells </w:t>
      </w:r>
      <w:r w:rsidRPr="006E7292">
        <w:rPr>
          <w:rFonts w:ascii="Book Antiqua" w:hAnsi="Book Antiqua"/>
        </w:rPr>
        <w:t xml:space="preserve">and cfRNA, with the purpose of building a complete molecular </w:t>
      </w:r>
      <w:proofErr w:type="gramStart"/>
      <w:r w:rsidRPr="006E7292">
        <w:rPr>
          <w:rFonts w:ascii="Book Antiqua" w:hAnsi="Book Antiqua"/>
        </w:rPr>
        <w:t>profile</w:t>
      </w:r>
      <w:r w:rsidR="005F5AFA" w:rsidRPr="006E7292">
        <w:rPr>
          <w:rFonts w:ascii="Book Antiqua" w:hAnsi="Book Antiqua"/>
          <w:vertAlign w:val="superscript"/>
        </w:rPr>
        <w:t>[</w:t>
      </w:r>
      <w:proofErr w:type="gramEnd"/>
      <w:r w:rsidR="00794EB2" w:rsidRPr="006E7292">
        <w:rPr>
          <w:rFonts w:ascii="Book Antiqua" w:hAnsi="Book Antiqua"/>
          <w:vertAlign w:val="superscript"/>
        </w:rPr>
        <w:t>47</w:t>
      </w:r>
      <w:r w:rsidR="005F5AFA" w:rsidRPr="006E7292">
        <w:rPr>
          <w:rFonts w:ascii="Book Antiqua" w:hAnsi="Book Antiqua"/>
          <w:vertAlign w:val="superscript"/>
        </w:rPr>
        <w:t>]</w:t>
      </w:r>
      <w:r w:rsidRPr="006E7292">
        <w:rPr>
          <w:rFonts w:ascii="Book Antiqua" w:hAnsi="Book Antiqua"/>
        </w:rPr>
        <w:t xml:space="preserve"> to integrate with the clinical data.</w:t>
      </w:r>
    </w:p>
    <w:p w14:paraId="50B89305" w14:textId="23EA94BE" w:rsidR="007856B9" w:rsidRPr="006E7292" w:rsidRDefault="00110B65">
      <w:pPr>
        <w:snapToGrid w:val="0"/>
        <w:spacing w:line="360" w:lineRule="auto"/>
        <w:ind w:firstLineChars="100" w:firstLine="240"/>
        <w:jc w:val="both"/>
        <w:rPr>
          <w:rFonts w:ascii="Book Antiqua" w:hAnsi="Book Antiqua"/>
        </w:rPr>
      </w:pPr>
      <w:r w:rsidRPr="006E7292">
        <w:rPr>
          <w:rFonts w:ascii="Book Antiqua" w:hAnsi="Book Antiqua"/>
        </w:rPr>
        <w:t xml:space="preserve">RNA evaluation in liquid biopsy represents the next frontier in integrated molecular medicine. </w:t>
      </w:r>
      <w:r w:rsidR="001F47F1" w:rsidRPr="006E7292">
        <w:rPr>
          <w:rFonts w:ascii="Book Antiqua" w:hAnsi="Book Antiqua"/>
        </w:rPr>
        <w:t xml:space="preserve">Table 2 summarizes the </w:t>
      </w:r>
      <w:r w:rsidR="00EF2C20" w:rsidRPr="006E7292">
        <w:rPr>
          <w:rFonts w:ascii="Book Antiqua" w:hAnsi="Book Antiqua"/>
        </w:rPr>
        <w:t xml:space="preserve">main </w:t>
      </w:r>
      <w:r w:rsidR="00D552BA" w:rsidRPr="006E7292">
        <w:rPr>
          <w:rFonts w:ascii="Book Antiqua" w:hAnsi="Book Antiqua"/>
        </w:rPr>
        <w:t xml:space="preserve">clinical </w:t>
      </w:r>
      <w:r w:rsidR="001F47F1" w:rsidRPr="006E7292">
        <w:rPr>
          <w:rFonts w:ascii="Book Antiqua" w:hAnsi="Book Antiqua"/>
        </w:rPr>
        <w:t>investigations o</w:t>
      </w:r>
      <w:r w:rsidR="00D552BA" w:rsidRPr="006E7292">
        <w:rPr>
          <w:rFonts w:ascii="Book Antiqua" w:hAnsi="Book Antiqua"/>
        </w:rPr>
        <w:t>n</w:t>
      </w:r>
      <w:r w:rsidR="001F47F1" w:rsidRPr="006E7292">
        <w:rPr>
          <w:rFonts w:ascii="Book Antiqua" w:hAnsi="Book Antiqua"/>
        </w:rPr>
        <w:t xml:space="preserve"> ctRNA.</w:t>
      </w:r>
      <w:r w:rsidR="008E0955" w:rsidRPr="006E7292">
        <w:rPr>
          <w:rFonts w:ascii="Book Antiqua" w:hAnsi="Book Antiqua"/>
        </w:rPr>
        <w:t xml:space="preserve"> </w:t>
      </w:r>
      <w:r w:rsidR="00946A9E" w:rsidRPr="006E7292">
        <w:rPr>
          <w:rFonts w:ascii="Book Antiqua" w:hAnsi="Book Antiqua"/>
        </w:rPr>
        <w:t>M</w:t>
      </w:r>
      <w:r w:rsidR="008E0955" w:rsidRPr="006E7292">
        <w:rPr>
          <w:rFonts w:ascii="Book Antiqua" w:hAnsi="Book Antiqua"/>
        </w:rPr>
        <w:t>ost studies involve</w:t>
      </w:r>
      <w:r w:rsidR="00D552BA" w:rsidRPr="006E7292">
        <w:rPr>
          <w:rFonts w:ascii="Book Antiqua" w:hAnsi="Book Antiqua"/>
        </w:rPr>
        <w:t>d</w:t>
      </w:r>
      <w:r w:rsidR="008E0955" w:rsidRPr="006E7292">
        <w:rPr>
          <w:rFonts w:ascii="Book Antiqua" w:hAnsi="Book Antiqua"/>
        </w:rPr>
        <w:t xml:space="preserve"> prostate cancer patients at diagnosis</w:t>
      </w:r>
      <w:r w:rsidR="00C91BCF" w:rsidRPr="006E7292">
        <w:rPr>
          <w:rFonts w:ascii="Book Antiqua" w:hAnsi="Book Antiqua"/>
        </w:rPr>
        <w:t>.</w:t>
      </w:r>
      <w:r w:rsidR="008E0955" w:rsidRPr="006E7292">
        <w:rPr>
          <w:rFonts w:ascii="Book Antiqua" w:hAnsi="Book Antiqua"/>
        </w:rPr>
        <w:t xml:space="preserve"> </w:t>
      </w:r>
      <w:r w:rsidR="00760EB2" w:rsidRPr="006E7292">
        <w:rPr>
          <w:rFonts w:ascii="Book Antiqua" w:hAnsi="Book Antiqua"/>
        </w:rPr>
        <w:t xml:space="preserve">Pioneer </w:t>
      </w:r>
      <w:r w:rsidR="007C6FEB" w:rsidRPr="006E7292">
        <w:rPr>
          <w:rFonts w:ascii="Book Antiqua" w:hAnsi="Book Antiqua"/>
        </w:rPr>
        <w:t>exploration of RNA molecules in liquid biopsy has involved the analysis of</w:t>
      </w:r>
      <w:r w:rsidR="00760EB2" w:rsidRPr="006E7292">
        <w:rPr>
          <w:rFonts w:ascii="Book Antiqua" w:hAnsi="Book Antiqua"/>
        </w:rPr>
        <w:t xml:space="preserve"> </w:t>
      </w:r>
      <w:r w:rsidR="005F5AFA" w:rsidRPr="006E7292">
        <w:rPr>
          <w:rFonts w:ascii="Book Antiqua" w:hAnsi="Book Antiqua"/>
        </w:rPr>
        <w:t>prostate specific membrane antigen</w:t>
      </w:r>
      <w:r w:rsidR="00760EB2" w:rsidRPr="006E7292">
        <w:rPr>
          <w:rFonts w:ascii="Book Antiqua" w:hAnsi="Book Antiqua"/>
        </w:rPr>
        <w:t xml:space="preserve"> mRNA</w:t>
      </w:r>
      <w:r w:rsidR="0087263E" w:rsidRPr="006E7292">
        <w:rPr>
          <w:rFonts w:ascii="Book Antiqua" w:hAnsi="Book Antiqua"/>
        </w:rPr>
        <w:t>,</w:t>
      </w:r>
      <w:r w:rsidR="00760EB2" w:rsidRPr="006E7292">
        <w:rPr>
          <w:rFonts w:ascii="Book Antiqua" w:hAnsi="Book Antiqua"/>
        </w:rPr>
        <w:t xml:space="preserve"> but only a limited number of newly diagnosed patients </w:t>
      </w:r>
      <w:r w:rsidR="00493EE5" w:rsidRPr="006E7292">
        <w:rPr>
          <w:rFonts w:ascii="Book Antiqua" w:hAnsi="Book Antiqua"/>
        </w:rPr>
        <w:t>were</w:t>
      </w:r>
      <w:r w:rsidR="00760EB2" w:rsidRPr="006E7292">
        <w:rPr>
          <w:rFonts w:ascii="Book Antiqua" w:hAnsi="Book Antiqua"/>
        </w:rPr>
        <w:t xml:space="preserve"> </w:t>
      </w:r>
      <w:proofErr w:type="gramStart"/>
      <w:r w:rsidR="00760EB2" w:rsidRPr="006E7292">
        <w:rPr>
          <w:rFonts w:ascii="Book Antiqua" w:hAnsi="Book Antiqua"/>
        </w:rPr>
        <w:t>positive</w:t>
      </w:r>
      <w:r w:rsidR="005F5AFA" w:rsidRPr="006E7292">
        <w:rPr>
          <w:rFonts w:ascii="Book Antiqua" w:hAnsi="Book Antiqua"/>
          <w:vertAlign w:val="superscript"/>
        </w:rPr>
        <w:t>[</w:t>
      </w:r>
      <w:proofErr w:type="gramEnd"/>
      <w:r w:rsidR="00F20FB7" w:rsidRPr="006E7292">
        <w:rPr>
          <w:rFonts w:ascii="Book Antiqua" w:hAnsi="Book Antiqua"/>
          <w:vertAlign w:val="superscript"/>
        </w:rPr>
        <w:t>62</w:t>
      </w:r>
      <w:r w:rsidR="005F5AFA" w:rsidRPr="006E7292">
        <w:rPr>
          <w:rFonts w:ascii="Book Antiqua" w:hAnsi="Book Antiqua"/>
          <w:vertAlign w:val="superscript"/>
        </w:rPr>
        <w:t>]</w:t>
      </w:r>
      <w:r w:rsidR="00760EB2" w:rsidRPr="006E7292">
        <w:rPr>
          <w:rFonts w:ascii="Book Antiqua" w:hAnsi="Book Antiqua"/>
        </w:rPr>
        <w:t xml:space="preserve">, whereas the </w:t>
      </w:r>
      <w:r w:rsidR="00DA251C" w:rsidRPr="006E7292">
        <w:rPr>
          <w:rFonts w:ascii="Book Antiqua" w:hAnsi="Book Antiqua"/>
        </w:rPr>
        <w:t xml:space="preserve">bone morphogenetic protein-6 </w:t>
      </w:r>
      <w:r w:rsidR="00EA4C5E" w:rsidRPr="006E7292">
        <w:rPr>
          <w:rFonts w:ascii="Book Antiqua" w:hAnsi="Book Antiqua"/>
        </w:rPr>
        <w:t>mRNA</w:t>
      </w:r>
      <w:r w:rsidR="007C6FEB" w:rsidRPr="006E7292">
        <w:rPr>
          <w:rFonts w:ascii="Book Antiqua" w:hAnsi="Book Antiqua"/>
        </w:rPr>
        <w:t>,</w:t>
      </w:r>
      <w:r w:rsidR="00912C1D" w:rsidRPr="006E7292">
        <w:rPr>
          <w:rFonts w:ascii="Book Antiqua" w:hAnsi="Book Antiqua"/>
        </w:rPr>
        <w:t xml:space="preserve"> </w:t>
      </w:r>
      <w:r w:rsidR="00A4635A" w:rsidRPr="006E7292">
        <w:rPr>
          <w:rFonts w:ascii="Book Antiqua" w:hAnsi="Book Antiqua"/>
        </w:rPr>
        <w:t>whose</w:t>
      </w:r>
      <w:r w:rsidR="007C6FEB" w:rsidRPr="006E7292">
        <w:rPr>
          <w:rFonts w:ascii="Book Antiqua" w:hAnsi="Book Antiqua"/>
        </w:rPr>
        <w:t xml:space="preserve"> upregulation is strongly associated </w:t>
      </w:r>
      <w:r w:rsidR="00405C9C" w:rsidRPr="006E7292">
        <w:rPr>
          <w:rFonts w:ascii="Book Antiqua" w:hAnsi="Book Antiqua"/>
        </w:rPr>
        <w:t>with</w:t>
      </w:r>
      <w:r w:rsidR="007C6FEB" w:rsidRPr="006E7292">
        <w:rPr>
          <w:rFonts w:ascii="Book Antiqua" w:hAnsi="Book Antiqua"/>
        </w:rPr>
        <w:t xml:space="preserve"> bone metastasis</w:t>
      </w:r>
      <w:r w:rsidR="00760EB2" w:rsidRPr="006E7292">
        <w:rPr>
          <w:rFonts w:ascii="Book Antiqua" w:hAnsi="Book Antiqua"/>
        </w:rPr>
        <w:t>,</w:t>
      </w:r>
      <w:r w:rsidR="007C6FEB" w:rsidRPr="006E7292">
        <w:rPr>
          <w:rFonts w:ascii="Book Antiqua" w:hAnsi="Book Antiqua"/>
        </w:rPr>
        <w:t xml:space="preserve"> </w:t>
      </w:r>
      <w:r w:rsidR="00EA4C5E" w:rsidRPr="006E7292">
        <w:rPr>
          <w:rFonts w:ascii="Book Antiqua" w:hAnsi="Book Antiqua"/>
        </w:rPr>
        <w:t xml:space="preserve">was </w:t>
      </w:r>
      <w:r w:rsidR="004B6D8C" w:rsidRPr="006E7292">
        <w:rPr>
          <w:rFonts w:ascii="Book Antiqua" w:hAnsi="Book Antiqua"/>
        </w:rPr>
        <w:t>found to be</w:t>
      </w:r>
      <w:r w:rsidR="00405C9C" w:rsidRPr="006E7292">
        <w:rPr>
          <w:rFonts w:ascii="Book Antiqua" w:hAnsi="Book Antiqua"/>
        </w:rPr>
        <w:t xml:space="preserve"> </w:t>
      </w:r>
      <w:r w:rsidR="00C91BCF" w:rsidRPr="006E7292">
        <w:rPr>
          <w:rFonts w:ascii="Book Antiqua" w:hAnsi="Book Antiqua"/>
        </w:rPr>
        <w:t>a biomarker for</w:t>
      </w:r>
      <w:r w:rsidR="007C6FEB" w:rsidRPr="006E7292">
        <w:rPr>
          <w:rFonts w:ascii="Book Antiqua" w:hAnsi="Book Antiqua"/>
        </w:rPr>
        <w:t xml:space="preserve"> </w:t>
      </w:r>
      <w:r w:rsidR="00405C9C" w:rsidRPr="006E7292">
        <w:rPr>
          <w:rFonts w:ascii="Book Antiqua" w:hAnsi="Book Antiqua"/>
        </w:rPr>
        <w:t xml:space="preserve">the </w:t>
      </w:r>
      <w:r w:rsidR="007C6FEB" w:rsidRPr="006E7292">
        <w:rPr>
          <w:rFonts w:ascii="Book Antiqua" w:hAnsi="Book Antiqua"/>
        </w:rPr>
        <w:t>metastatic disease</w:t>
      </w:r>
      <w:r w:rsidR="00DA251C" w:rsidRPr="006E7292">
        <w:rPr>
          <w:rFonts w:ascii="Book Antiqua" w:hAnsi="Book Antiqua"/>
          <w:vertAlign w:val="superscript"/>
        </w:rPr>
        <w:t>[</w:t>
      </w:r>
      <w:r w:rsidR="00794EB2" w:rsidRPr="006E7292">
        <w:rPr>
          <w:rFonts w:ascii="Book Antiqua" w:hAnsi="Book Antiqua"/>
          <w:vertAlign w:val="superscript"/>
        </w:rPr>
        <w:t>42</w:t>
      </w:r>
      <w:r w:rsidR="00DA251C" w:rsidRPr="006E7292">
        <w:rPr>
          <w:rFonts w:ascii="Book Antiqua" w:hAnsi="Book Antiqua"/>
          <w:vertAlign w:val="superscript"/>
        </w:rPr>
        <w:t>]</w:t>
      </w:r>
      <w:r w:rsidR="007C6FEB" w:rsidRPr="006E7292">
        <w:rPr>
          <w:rFonts w:ascii="Book Antiqua" w:hAnsi="Book Antiqua"/>
        </w:rPr>
        <w:t>.</w:t>
      </w:r>
    </w:p>
    <w:p w14:paraId="664D3322" w14:textId="0D125445" w:rsidR="006A7ECD" w:rsidRPr="006E7292" w:rsidRDefault="007856B9">
      <w:pPr>
        <w:snapToGrid w:val="0"/>
        <w:spacing w:line="360" w:lineRule="auto"/>
        <w:ind w:firstLineChars="100" w:firstLine="240"/>
        <w:jc w:val="both"/>
        <w:rPr>
          <w:rFonts w:ascii="Book Antiqua" w:hAnsi="Book Antiqua"/>
        </w:rPr>
      </w:pPr>
      <w:r w:rsidRPr="006E7292">
        <w:rPr>
          <w:rFonts w:ascii="Book Antiqua" w:hAnsi="Book Antiqua"/>
        </w:rPr>
        <w:t xml:space="preserve">Circulating mRNAs are generally degraded by RNases. However, </w:t>
      </w:r>
      <w:r w:rsidR="00DA251C" w:rsidRPr="006E7292">
        <w:rPr>
          <w:rFonts w:ascii="Book Antiqua" w:hAnsi="Book Antiqua"/>
        </w:rPr>
        <w:t>circulating mRNAs</w:t>
      </w:r>
      <w:r w:rsidRPr="006E7292">
        <w:rPr>
          <w:rFonts w:ascii="Book Antiqua" w:hAnsi="Book Antiqua"/>
        </w:rPr>
        <w:t xml:space="preserve"> are capable </w:t>
      </w:r>
      <w:r w:rsidR="00493EE5" w:rsidRPr="006E7292">
        <w:rPr>
          <w:rFonts w:ascii="Book Antiqua" w:hAnsi="Book Antiqua"/>
        </w:rPr>
        <w:t xml:space="preserve">of </w:t>
      </w:r>
      <w:r w:rsidRPr="006E7292">
        <w:rPr>
          <w:rFonts w:ascii="Book Antiqua" w:hAnsi="Book Antiqua"/>
        </w:rPr>
        <w:t>form</w:t>
      </w:r>
      <w:r w:rsidR="00493EE5" w:rsidRPr="006E7292">
        <w:rPr>
          <w:rFonts w:ascii="Book Antiqua" w:hAnsi="Book Antiqua"/>
        </w:rPr>
        <w:t>ing</w:t>
      </w:r>
      <w:r w:rsidRPr="006E7292">
        <w:rPr>
          <w:rFonts w:ascii="Book Antiqua" w:hAnsi="Book Antiqua"/>
        </w:rPr>
        <w:t xml:space="preserve"> complexes with </w:t>
      </w:r>
      <w:r w:rsidR="00115A85" w:rsidRPr="006E7292">
        <w:rPr>
          <w:rFonts w:ascii="Book Antiqua" w:hAnsi="Book Antiqua"/>
        </w:rPr>
        <w:t>transporters, which</w:t>
      </w:r>
      <w:r w:rsidRPr="006E7292">
        <w:rPr>
          <w:rFonts w:ascii="Book Antiqua" w:hAnsi="Book Antiqua"/>
        </w:rPr>
        <w:t xml:space="preserve"> are proteins a</w:t>
      </w:r>
      <w:r w:rsidR="00350975" w:rsidRPr="006E7292">
        <w:rPr>
          <w:rFonts w:ascii="Book Antiqua" w:hAnsi="Book Antiqua"/>
        </w:rPr>
        <w:t xml:space="preserve">nd/or lipids. When they form such </w:t>
      </w:r>
      <w:r w:rsidR="00522BC2" w:rsidRPr="006E7292">
        <w:rPr>
          <w:rFonts w:ascii="Book Antiqua" w:hAnsi="Book Antiqua"/>
        </w:rPr>
        <w:t>complexes,</w:t>
      </w:r>
      <w:r w:rsidR="00350975" w:rsidRPr="006E7292">
        <w:rPr>
          <w:rFonts w:ascii="Book Antiqua" w:hAnsi="Book Antiqua"/>
        </w:rPr>
        <w:t xml:space="preserve"> they</w:t>
      </w:r>
      <w:r w:rsidRPr="006E7292">
        <w:rPr>
          <w:rFonts w:ascii="Book Antiqua" w:hAnsi="Book Antiqua"/>
        </w:rPr>
        <w:t xml:space="preserve"> </w:t>
      </w:r>
      <w:r w:rsidR="000E561C" w:rsidRPr="006E7292">
        <w:rPr>
          <w:rFonts w:ascii="Book Antiqua" w:hAnsi="Book Antiqua"/>
        </w:rPr>
        <w:t xml:space="preserve">turn into a </w:t>
      </w:r>
      <w:r w:rsidRPr="006E7292">
        <w:rPr>
          <w:rFonts w:ascii="Book Antiqua" w:hAnsi="Book Antiqua"/>
        </w:rPr>
        <w:t>relatively stable</w:t>
      </w:r>
      <w:r w:rsidR="000E561C" w:rsidRPr="006E7292">
        <w:rPr>
          <w:rFonts w:ascii="Book Antiqua" w:hAnsi="Book Antiqua"/>
        </w:rPr>
        <w:t xml:space="preserve"> structure</w:t>
      </w:r>
      <w:r w:rsidRPr="006E7292">
        <w:rPr>
          <w:rFonts w:ascii="Book Antiqua" w:hAnsi="Book Antiqua"/>
        </w:rPr>
        <w:t xml:space="preserve"> in the blood circulation, </w:t>
      </w:r>
      <w:r w:rsidR="000E561C" w:rsidRPr="006E7292">
        <w:rPr>
          <w:rFonts w:ascii="Book Antiqua" w:hAnsi="Book Antiqua"/>
        </w:rPr>
        <w:t>thus</w:t>
      </w:r>
      <w:r w:rsidRPr="006E7292">
        <w:rPr>
          <w:rFonts w:ascii="Book Antiqua" w:hAnsi="Book Antiqua"/>
        </w:rPr>
        <w:t xml:space="preserve"> </w:t>
      </w:r>
      <w:r w:rsidR="0056511A" w:rsidRPr="006E7292">
        <w:rPr>
          <w:rFonts w:ascii="Book Antiqua" w:hAnsi="Book Antiqua"/>
        </w:rPr>
        <w:t xml:space="preserve">becoming </w:t>
      </w:r>
      <w:r w:rsidRPr="006E7292">
        <w:rPr>
          <w:rFonts w:ascii="Book Antiqua" w:hAnsi="Book Antiqua"/>
        </w:rPr>
        <w:t>potential</w:t>
      </w:r>
      <w:r w:rsidR="0056511A" w:rsidRPr="006E7292">
        <w:rPr>
          <w:rFonts w:ascii="Book Antiqua" w:hAnsi="Book Antiqua"/>
        </w:rPr>
        <w:t>ly useful</w:t>
      </w:r>
      <w:r w:rsidRPr="006E7292">
        <w:rPr>
          <w:rFonts w:ascii="Book Antiqua" w:hAnsi="Book Antiqua"/>
        </w:rPr>
        <w:t xml:space="preserve"> </w:t>
      </w:r>
      <w:proofErr w:type="gramStart"/>
      <w:r w:rsidRPr="006E7292">
        <w:rPr>
          <w:rFonts w:ascii="Book Antiqua" w:hAnsi="Book Antiqua"/>
        </w:rPr>
        <w:t>biomarkers</w:t>
      </w:r>
      <w:r w:rsidR="00DA251C" w:rsidRPr="006E7292">
        <w:rPr>
          <w:rFonts w:ascii="Book Antiqua" w:hAnsi="Book Antiqua"/>
          <w:vertAlign w:val="superscript"/>
        </w:rPr>
        <w:t>[</w:t>
      </w:r>
      <w:proofErr w:type="gramEnd"/>
      <w:r w:rsidR="00794EB2" w:rsidRPr="006E7292">
        <w:rPr>
          <w:rFonts w:ascii="Book Antiqua" w:hAnsi="Book Antiqua"/>
          <w:vertAlign w:val="superscript"/>
        </w:rPr>
        <w:t>63</w:t>
      </w:r>
      <w:r w:rsidR="00DA251C" w:rsidRPr="006E7292">
        <w:rPr>
          <w:rFonts w:ascii="Book Antiqua" w:hAnsi="Book Antiqua"/>
          <w:vertAlign w:val="superscript"/>
        </w:rPr>
        <w:t>]</w:t>
      </w:r>
      <w:r w:rsidRPr="006E7292">
        <w:rPr>
          <w:rFonts w:ascii="Book Antiqua" w:hAnsi="Book Antiqua"/>
        </w:rPr>
        <w:t xml:space="preserve">. </w:t>
      </w:r>
      <w:r w:rsidR="00324B34" w:rsidRPr="006E7292">
        <w:rPr>
          <w:rFonts w:ascii="Book Antiqua" w:hAnsi="Book Antiqua"/>
        </w:rPr>
        <w:t>Currently</w:t>
      </w:r>
      <w:r w:rsidR="0056511A" w:rsidRPr="006E7292">
        <w:rPr>
          <w:rFonts w:ascii="Book Antiqua" w:hAnsi="Book Antiqua"/>
        </w:rPr>
        <w:t>,</w:t>
      </w:r>
      <w:r w:rsidR="00324B34" w:rsidRPr="006E7292">
        <w:rPr>
          <w:rFonts w:ascii="Book Antiqua" w:hAnsi="Book Antiqua"/>
        </w:rPr>
        <w:t xml:space="preserve"> </w:t>
      </w:r>
      <w:r w:rsidR="00DA251C" w:rsidRPr="006E7292">
        <w:rPr>
          <w:rFonts w:ascii="Book Antiqua" w:hAnsi="Book Antiqua"/>
        </w:rPr>
        <w:t>androgen receptor variants</w:t>
      </w:r>
      <w:r w:rsidR="00324B34" w:rsidRPr="006E7292">
        <w:rPr>
          <w:rFonts w:ascii="Book Antiqua" w:hAnsi="Book Antiqua"/>
        </w:rPr>
        <w:t xml:space="preserve"> are </w:t>
      </w:r>
      <w:r w:rsidR="00493EE5" w:rsidRPr="006E7292">
        <w:rPr>
          <w:rFonts w:ascii="Book Antiqua" w:hAnsi="Book Antiqua"/>
        </w:rPr>
        <w:t>generally</w:t>
      </w:r>
      <w:r w:rsidR="00324B34" w:rsidRPr="006E7292">
        <w:rPr>
          <w:rFonts w:ascii="Book Antiqua" w:hAnsi="Book Antiqua"/>
        </w:rPr>
        <w:t xml:space="preserve"> responsible for AR activity, survival and</w:t>
      </w:r>
      <w:r w:rsidR="00DA251C" w:rsidRPr="006E7292">
        <w:rPr>
          <w:rFonts w:ascii="Book Antiqua" w:hAnsi="Book Antiqua"/>
        </w:rPr>
        <w:t xml:space="preserve"> progression of prostate </w:t>
      </w:r>
      <w:proofErr w:type="gramStart"/>
      <w:r w:rsidR="00DA251C" w:rsidRPr="006E7292">
        <w:rPr>
          <w:rFonts w:ascii="Book Antiqua" w:hAnsi="Book Antiqua"/>
        </w:rPr>
        <w:t>cancer</w:t>
      </w:r>
      <w:r w:rsidR="00DA251C" w:rsidRPr="006E7292">
        <w:rPr>
          <w:rFonts w:ascii="Book Antiqua" w:hAnsi="Book Antiqua"/>
          <w:vertAlign w:val="superscript"/>
        </w:rPr>
        <w:t>[</w:t>
      </w:r>
      <w:proofErr w:type="gramEnd"/>
      <w:r w:rsidR="00794EB2" w:rsidRPr="006E7292">
        <w:rPr>
          <w:rFonts w:ascii="Book Antiqua" w:hAnsi="Book Antiqua"/>
          <w:vertAlign w:val="superscript"/>
        </w:rPr>
        <w:t>64</w:t>
      </w:r>
      <w:r w:rsidR="00DA251C" w:rsidRPr="006E7292">
        <w:rPr>
          <w:rFonts w:ascii="Book Antiqua" w:hAnsi="Book Antiqua"/>
          <w:vertAlign w:val="superscript"/>
        </w:rPr>
        <w:t>]</w:t>
      </w:r>
      <w:r w:rsidR="00324B34" w:rsidRPr="006E7292">
        <w:rPr>
          <w:rFonts w:ascii="Book Antiqua" w:hAnsi="Book Antiqua"/>
        </w:rPr>
        <w:t xml:space="preserve">. The </w:t>
      </w:r>
      <w:r w:rsidR="00324B34" w:rsidRPr="006E7292">
        <w:rPr>
          <w:rFonts w:ascii="Book Antiqua" w:hAnsi="Book Antiqua"/>
          <w:i/>
        </w:rPr>
        <w:t>AR-V7</w:t>
      </w:r>
      <w:r w:rsidR="00324B34" w:rsidRPr="006E7292">
        <w:rPr>
          <w:rFonts w:ascii="Book Antiqua" w:hAnsi="Book Antiqua"/>
        </w:rPr>
        <w:t xml:space="preserve"> is the only one of the </w:t>
      </w:r>
      <w:r w:rsidR="00DA251C" w:rsidRPr="006E7292">
        <w:rPr>
          <w:rFonts w:ascii="Book Antiqua" w:hAnsi="Book Antiqua"/>
        </w:rPr>
        <w:t>androgen receptor variants</w:t>
      </w:r>
      <w:r w:rsidR="00324B34" w:rsidRPr="006E7292">
        <w:rPr>
          <w:rFonts w:ascii="Book Antiqua" w:hAnsi="Book Antiqua"/>
        </w:rPr>
        <w:t xml:space="preserve"> observed </w:t>
      </w:r>
      <w:r w:rsidR="00493EE5" w:rsidRPr="006E7292">
        <w:rPr>
          <w:rFonts w:ascii="Book Antiqua" w:hAnsi="Book Antiqua"/>
        </w:rPr>
        <w:t>as a</w:t>
      </w:r>
      <w:r w:rsidR="00324B34" w:rsidRPr="006E7292">
        <w:rPr>
          <w:rFonts w:ascii="Book Antiqua" w:hAnsi="Book Antiqua"/>
        </w:rPr>
        <w:t xml:space="preserve"> protein</w:t>
      </w:r>
      <w:r w:rsidR="00493EE5" w:rsidRPr="006E7292">
        <w:rPr>
          <w:rFonts w:ascii="Book Antiqua" w:hAnsi="Book Antiqua"/>
        </w:rPr>
        <w:t>,</w:t>
      </w:r>
      <w:r w:rsidR="00324B34" w:rsidRPr="006E7292">
        <w:rPr>
          <w:rFonts w:ascii="Book Antiqua" w:hAnsi="Book Antiqua"/>
        </w:rPr>
        <w:t xml:space="preserve"> and it is therefore properly defined</w:t>
      </w:r>
      <w:r w:rsidR="00DA251C" w:rsidRPr="006E7292">
        <w:rPr>
          <w:rFonts w:ascii="Book Antiqua" w:hAnsi="Book Antiqua"/>
          <w:vertAlign w:val="superscript"/>
        </w:rPr>
        <w:t>[</w:t>
      </w:r>
      <w:r w:rsidR="00324B34" w:rsidRPr="006E7292">
        <w:rPr>
          <w:rFonts w:ascii="Book Antiqua" w:hAnsi="Book Antiqua"/>
          <w:vertAlign w:val="superscript"/>
        </w:rPr>
        <w:fldChar w:fldCharType="begin" w:fldLock="1"/>
      </w:r>
      <w:r w:rsidR="00AB62E4" w:rsidRPr="006E7292">
        <w:rPr>
          <w:rFonts w:ascii="Book Antiqua" w:hAnsi="Book Antiqua"/>
          <w:vertAlign w:val="superscript"/>
        </w:rPr>
        <w:instrText>ADDIN CSL_CITATION {"citationItems":[{"id":"ITEM-1","itemData":{"DOI":"10.18632/oncotarget.14537","ISSN":"1949-2553","PMID":"28077788","abstract":"Therapeutic interventions for advanced prostate cancer (PCa) center on inhibiting androgen receptor (AR) and downstream signaling pathways. Resistance to androgen deprivation therapy and/or AR antagonists is inevitable and molecular mechanisms driving castration-resistant PCa (CR-PCa) primarily involve alterations in AR expression and activity. Detailed molecular biology work over the past decade, discussed at length in this review article, has revealed several AR transcripts that result from alternative splicing. These AR splice variants are increased in cell and mouse models of CR-PCa and in CR-PCa tumors. Several AR variants lack the ligand binding domain, but retain their ability to bind DNA and activate transcription-linking constitutive AR function and therapeutic failure. ARV7 is the only variant endogenously detected at the protein level and thus has undergone more thorough molecular characterization. Clinical trials in PCa are currently investigating ARV7 utility as a biomarker and new therapeutics that inhibit ARV7 . Overall, this review will illustrate the historical perspectives of AR splice variant discovery using fundamental molecular biology techniques and how it changed the clinical approach to both therapeutic decisions and strategy. The body of work investigating AR splice variants in PCa represents a true example of translational research from bench to bedside.","author":[{"dropping-particle":"","family":"Wadosky","given":"Kristine M.","non-dropping-particle":"","parse-names":false,"suffix":""},{"dropping-particle":"","family":"Koochekpour","given":"Shahriar","non-dropping-particle":"","parse-names":false,"suffix":""}],"container-title":"Oncotarget","id":"ITEM-1","issue":"11","issued":{"date-parts":[["2017","3"]]},"page":"18550-18576","title":"Androgen receptor splice variants and prostate cancer: From bench to bedside","type":"article-journal","volume":"8"},"uris":["http://www.mendeley.com/documents/?uuid=3946ec2e-6431-4d99-9966-83b489af880a"]}],"mendeley":{"formattedCitation":"&lt;sup&gt;3&lt;/sup&gt;","plainTextFormattedCitation":"3","previouslyFormattedCitation":"&lt;sup&gt;3&lt;/sup&gt;"},"properties":{"noteIndex":0},"schema":"https://github.com/citation-style-language/schema/raw/master/csl-citation.json"}</w:instrText>
      </w:r>
      <w:r w:rsidR="00324B34" w:rsidRPr="006E7292">
        <w:rPr>
          <w:rFonts w:ascii="Book Antiqua" w:hAnsi="Book Antiqua"/>
          <w:vertAlign w:val="superscript"/>
        </w:rPr>
        <w:fldChar w:fldCharType="separate"/>
      </w:r>
      <w:r w:rsidR="00AB62E4" w:rsidRPr="00644326">
        <w:rPr>
          <w:rFonts w:ascii="Book Antiqua" w:hAnsi="Book Antiqua"/>
          <w:vertAlign w:val="superscript"/>
        </w:rPr>
        <w:t>3</w:t>
      </w:r>
      <w:r w:rsidR="00324B34" w:rsidRPr="006E7292">
        <w:rPr>
          <w:rFonts w:ascii="Book Antiqua" w:hAnsi="Book Antiqua"/>
          <w:vertAlign w:val="superscript"/>
        </w:rPr>
        <w:fldChar w:fldCharType="end"/>
      </w:r>
      <w:r w:rsidR="00DA251C" w:rsidRPr="006E7292">
        <w:rPr>
          <w:rFonts w:ascii="Book Antiqua" w:hAnsi="Book Antiqua"/>
          <w:vertAlign w:val="superscript"/>
        </w:rPr>
        <w:t>]</w:t>
      </w:r>
      <w:r w:rsidR="00324B34" w:rsidRPr="006E7292">
        <w:rPr>
          <w:rFonts w:ascii="Book Antiqua" w:hAnsi="Book Antiqua"/>
        </w:rPr>
        <w:t xml:space="preserve">. Different studies in </w:t>
      </w:r>
      <w:r w:rsidR="00493EE5" w:rsidRPr="006E7292">
        <w:rPr>
          <w:rFonts w:ascii="Book Antiqua" w:hAnsi="Book Antiqua"/>
        </w:rPr>
        <w:t xml:space="preserve">the </w:t>
      </w:r>
      <w:r w:rsidR="00324B34" w:rsidRPr="006E7292">
        <w:rPr>
          <w:rFonts w:ascii="Book Antiqua" w:hAnsi="Book Antiqua"/>
        </w:rPr>
        <w:t xml:space="preserve">literature have </w:t>
      </w:r>
      <w:r w:rsidR="00493EE5" w:rsidRPr="006E7292">
        <w:rPr>
          <w:rFonts w:ascii="Book Antiqua" w:hAnsi="Book Antiqua"/>
        </w:rPr>
        <w:t xml:space="preserve">shown </w:t>
      </w:r>
      <w:r w:rsidR="00324B34" w:rsidRPr="006E7292">
        <w:rPr>
          <w:rFonts w:ascii="Book Antiqua" w:hAnsi="Book Antiqua"/>
        </w:rPr>
        <w:t xml:space="preserve">that </w:t>
      </w:r>
      <w:r w:rsidR="00324B34" w:rsidRPr="006E7292">
        <w:rPr>
          <w:rFonts w:ascii="Book Antiqua" w:hAnsi="Book Antiqua"/>
          <w:i/>
        </w:rPr>
        <w:t>AR-V7</w:t>
      </w:r>
      <w:r w:rsidR="00324B34" w:rsidRPr="006E7292">
        <w:rPr>
          <w:rFonts w:ascii="Book Antiqua" w:hAnsi="Book Antiqua"/>
        </w:rPr>
        <w:t xml:space="preserve"> is the main AR </w:t>
      </w:r>
      <w:proofErr w:type="gramStart"/>
      <w:r w:rsidR="00324B34" w:rsidRPr="006E7292">
        <w:rPr>
          <w:rFonts w:ascii="Book Antiqua" w:hAnsi="Book Antiqua"/>
        </w:rPr>
        <w:t>variant</w:t>
      </w:r>
      <w:r w:rsidR="00DA251C" w:rsidRPr="006E7292">
        <w:rPr>
          <w:rFonts w:ascii="Book Antiqua" w:hAnsi="Book Antiqua"/>
          <w:vertAlign w:val="superscript"/>
        </w:rPr>
        <w:t>[</w:t>
      </w:r>
      <w:proofErr w:type="gramEnd"/>
      <w:r w:rsidR="00794EB2" w:rsidRPr="006E7292">
        <w:rPr>
          <w:rFonts w:ascii="Book Antiqua" w:hAnsi="Book Antiqua"/>
          <w:vertAlign w:val="superscript"/>
        </w:rPr>
        <w:t>65</w:t>
      </w:r>
      <w:r w:rsidR="00DA251C" w:rsidRPr="006E7292">
        <w:rPr>
          <w:rFonts w:ascii="Book Antiqua" w:hAnsi="Book Antiqua"/>
          <w:vertAlign w:val="superscript"/>
        </w:rPr>
        <w:t>]</w:t>
      </w:r>
      <w:r w:rsidR="00324B34" w:rsidRPr="006E7292">
        <w:rPr>
          <w:rFonts w:ascii="Book Antiqua" w:hAnsi="Book Antiqua"/>
        </w:rPr>
        <w:t xml:space="preserve">. The </w:t>
      </w:r>
      <w:r w:rsidR="00324B34" w:rsidRPr="006E7292">
        <w:rPr>
          <w:rFonts w:ascii="Book Antiqua" w:hAnsi="Book Antiqua"/>
          <w:i/>
        </w:rPr>
        <w:t>AR-V7</w:t>
      </w:r>
      <w:r w:rsidR="00324B34" w:rsidRPr="006E7292">
        <w:rPr>
          <w:rFonts w:ascii="Book Antiqua" w:hAnsi="Book Antiqua"/>
        </w:rPr>
        <w:t xml:space="preserve"> </w:t>
      </w:r>
      <w:r w:rsidR="00D552BA" w:rsidRPr="006E7292">
        <w:rPr>
          <w:rFonts w:ascii="Book Antiqua" w:hAnsi="Book Antiqua"/>
        </w:rPr>
        <w:t xml:space="preserve">product </w:t>
      </w:r>
      <w:r w:rsidR="00324B34" w:rsidRPr="006E7292">
        <w:rPr>
          <w:rFonts w:ascii="Book Antiqua" w:hAnsi="Book Antiqua"/>
        </w:rPr>
        <w:t xml:space="preserve">is a truncated AR protein, which lacks the C-terminal </w:t>
      </w:r>
      <w:r w:rsidR="001B3466" w:rsidRPr="006E7292">
        <w:rPr>
          <w:rFonts w:ascii="Book Antiqua" w:hAnsi="Book Antiqua"/>
        </w:rPr>
        <w:t>ligand-binding domain</w:t>
      </w:r>
      <w:r w:rsidR="00324B34" w:rsidRPr="006E7292">
        <w:rPr>
          <w:rFonts w:ascii="Book Antiqua" w:hAnsi="Book Antiqua"/>
        </w:rPr>
        <w:t xml:space="preserve"> but retains the transactivating N-terminal domain. Consequently, this protein is not capable of binding to ligands but remains a constitutively active transcription factor promoting the activation of target genes </w:t>
      </w:r>
      <w:r w:rsidR="005D666E" w:rsidRPr="006E7292">
        <w:rPr>
          <w:rFonts w:ascii="Book Antiqua" w:hAnsi="Book Antiqua"/>
        </w:rPr>
        <w:lastRenderedPageBreak/>
        <w:t>promoting</w:t>
      </w:r>
      <w:r w:rsidR="00324B34" w:rsidRPr="006E7292">
        <w:rPr>
          <w:rFonts w:ascii="Book Antiqua" w:hAnsi="Book Antiqua"/>
        </w:rPr>
        <w:t xml:space="preserve"> cancer </w:t>
      </w:r>
      <w:proofErr w:type="gramStart"/>
      <w:r w:rsidR="00324B34" w:rsidRPr="006E7292">
        <w:rPr>
          <w:rFonts w:ascii="Book Antiqua" w:hAnsi="Book Antiqua"/>
        </w:rPr>
        <w:t>progression</w:t>
      </w:r>
      <w:r w:rsidR="00DA251C" w:rsidRPr="006E7292">
        <w:rPr>
          <w:rFonts w:ascii="Book Antiqua" w:hAnsi="Book Antiqua"/>
          <w:vertAlign w:val="superscript"/>
        </w:rPr>
        <w:t>[</w:t>
      </w:r>
      <w:proofErr w:type="gramEnd"/>
      <w:r w:rsidR="00794EB2" w:rsidRPr="006E7292">
        <w:rPr>
          <w:rFonts w:ascii="Book Antiqua" w:hAnsi="Book Antiqua"/>
          <w:vertAlign w:val="superscript"/>
        </w:rPr>
        <w:t>65-67</w:t>
      </w:r>
      <w:r w:rsidR="00DA251C" w:rsidRPr="006E7292">
        <w:rPr>
          <w:rFonts w:ascii="Book Antiqua" w:hAnsi="Book Antiqua"/>
          <w:vertAlign w:val="superscript"/>
        </w:rPr>
        <w:t>]</w:t>
      </w:r>
      <w:r w:rsidR="00D552BA" w:rsidRPr="006E7292">
        <w:rPr>
          <w:rFonts w:ascii="Book Antiqua" w:hAnsi="Book Antiqua"/>
        </w:rPr>
        <w:t xml:space="preserve">. </w:t>
      </w:r>
      <w:r w:rsidR="00324B34" w:rsidRPr="006E7292">
        <w:rPr>
          <w:rFonts w:ascii="Book Antiqua" w:hAnsi="Book Antiqua"/>
        </w:rPr>
        <w:t xml:space="preserve">Antonarakis </w:t>
      </w:r>
      <w:r w:rsidR="00324B34" w:rsidRPr="006E7292">
        <w:rPr>
          <w:rFonts w:ascii="Book Antiqua" w:hAnsi="Book Antiqua"/>
          <w:i/>
        </w:rPr>
        <w:t>et al</w:t>
      </w:r>
      <w:r w:rsidR="00DA251C" w:rsidRPr="006E7292">
        <w:rPr>
          <w:rFonts w:ascii="Book Antiqua" w:hAnsi="Book Antiqua"/>
          <w:vertAlign w:val="superscript"/>
        </w:rPr>
        <w:t>[60]</w:t>
      </w:r>
      <w:r w:rsidR="00324B34" w:rsidRPr="006E7292">
        <w:rPr>
          <w:rFonts w:ascii="Book Antiqua" w:hAnsi="Book Antiqua"/>
        </w:rPr>
        <w:t xml:space="preserve"> evinced that </w:t>
      </w:r>
      <w:r w:rsidR="00324B34" w:rsidRPr="00644326">
        <w:rPr>
          <w:rFonts w:ascii="Book Antiqua" w:hAnsi="Book Antiqua"/>
          <w:i/>
          <w:iCs/>
        </w:rPr>
        <w:t>AR-V7</w:t>
      </w:r>
      <w:r w:rsidR="00DA251C" w:rsidRPr="006E7292">
        <w:rPr>
          <w:rFonts w:ascii="Book Antiqua" w:hAnsi="Book Antiqua"/>
        </w:rPr>
        <w:t xml:space="preserve"> </w:t>
      </w:r>
      <w:r w:rsidR="00DC3D52" w:rsidRPr="006E7292">
        <w:rPr>
          <w:rFonts w:ascii="Book Antiqua" w:hAnsi="Book Antiqua"/>
        </w:rPr>
        <w:t>mRNA</w:t>
      </w:r>
      <w:r w:rsidR="00324B34" w:rsidRPr="006E7292">
        <w:rPr>
          <w:rFonts w:ascii="Book Antiqua" w:hAnsi="Book Antiqua"/>
        </w:rPr>
        <w:t xml:space="preserve"> is expressed at high levels in </w:t>
      </w:r>
      <w:r w:rsidR="005F5AFA" w:rsidRPr="006E7292">
        <w:rPr>
          <w:rFonts w:ascii="Book Antiqua" w:hAnsi="Book Antiqua" w:cs="Times New Roman"/>
        </w:rPr>
        <w:t>circulating tumor cell</w:t>
      </w:r>
      <w:r w:rsidR="000752D2" w:rsidRPr="006E7292">
        <w:rPr>
          <w:rFonts w:ascii="Book Antiqua" w:hAnsi="Book Antiqua" w:cs="Times New Roman"/>
        </w:rPr>
        <w:t>s</w:t>
      </w:r>
      <w:r w:rsidR="00DA251C" w:rsidRPr="006E7292">
        <w:rPr>
          <w:rFonts w:ascii="Book Antiqua" w:hAnsi="Book Antiqua"/>
          <w:vertAlign w:val="superscript"/>
        </w:rPr>
        <w:t>[</w:t>
      </w:r>
      <w:r w:rsidR="00AE383A" w:rsidRPr="006E7292">
        <w:rPr>
          <w:rFonts w:ascii="Book Antiqua" w:hAnsi="Book Antiqua"/>
          <w:vertAlign w:val="superscript"/>
        </w:rPr>
        <w:t>6</w:t>
      </w:r>
      <w:r w:rsidR="00794EB2" w:rsidRPr="006E7292">
        <w:rPr>
          <w:rFonts w:ascii="Book Antiqua" w:hAnsi="Book Antiqua"/>
          <w:vertAlign w:val="superscript"/>
        </w:rPr>
        <w:t>0</w:t>
      </w:r>
      <w:r w:rsidR="00DA251C" w:rsidRPr="006E7292">
        <w:rPr>
          <w:rFonts w:ascii="Book Antiqua" w:hAnsi="Book Antiqua"/>
          <w:vertAlign w:val="superscript"/>
        </w:rPr>
        <w:t>]</w:t>
      </w:r>
      <w:r w:rsidR="00AE383A" w:rsidRPr="006E7292">
        <w:rPr>
          <w:rFonts w:ascii="Book Antiqua" w:hAnsi="Book Antiqua"/>
        </w:rPr>
        <w:t xml:space="preserve"> </w:t>
      </w:r>
      <w:r w:rsidR="00324B34" w:rsidRPr="006E7292">
        <w:rPr>
          <w:rFonts w:ascii="Book Antiqua" w:hAnsi="Book Antiqua"/>
        </w:rPr>
        <w:t xml:space="preserve">and </w:t>
      </w:r>
      <w:r w:rsidR="000752D2" w:rsidRPr="006E7292">
        <w:rPr>
          <w:rFonts w:ascii="Book Antiqua" w:hAnsi="Book Antiqua"/>
        </w:rPr>
        <w:t xml:space="preserve">is </w:t>
      </w:r>
      <w:r w:rsidR="00324B34" w:rsidRPr="006E7292">
        <w:rPr>
          <w:rFonts w:ascii="Book Antiqua" w:hAnsi="Book Antiqua"/>
        </w:rPr>
        <w:t xml:space="preserve">associated with abiraterone and enzalutamide resistance in mCRPC </w:t>
      </w:r>
      <w:r w:rsidR="00AE383A" w:rsidRPr="006E7292">
        <w:rPr>
          <w:rFonts w:ascii="Book Antiqua" w:hAnsi="Book Antiqua"/>
        </w:rPr>
        <w:t>patients</w:t>
      </w:r>
      <w:r w:rsidR="00DA251C" w:rsidRPr="006E7292">
        <w:rPr>
          <w:rFonts w:ascii="Book Antiqua" w:hAnsi="Book Antiqua"/>
          <w:vertAlign w:val="superscript"/>
        </w:rPr>
        <w:t>[</w:t>
      </w:r>
      <w:r w:rsidR="00794EB2" w:rsidRPr="006E7292">
        <w:rPr>
          <w:rFonts w:ascii="Book Antiqua" w:hAnsi="Book Antiqua"/>
          <w:vertAlign w:val="superscript"/>
        </w:rPr>
        <w:t>68,69</w:t>
      </w:r>
      <w:r w:rsidR="00DA251C" w:rsidRPr="006E7292">
        <w:rPr>
          <w:rFonts w:ascii="Book Antiqua" w:hAnsi="Book Antiqua"/>
          <w:vertAlign w:val="superscript"/>
        </w:rPr>
        <w:t>]</w:t>
      </w:r>
      <w:r w:rsidR="00324B34" w:rsidRPr="006E7292">
        <w:rPr>
          <w:rFonts w:ascii="Book Antiqua" w:hAnsi="Book Antiqua"/>
        </w:rPr>
        <w:t>.</w:t>
      </w:r>
      <w:r w:rsidR="00531477" w:rsidRPr="006E7292">
        <w:rPr>
          <w:rFonts w:ascii="Book Antiqua" w:hAnsi="Book Antiqua"/>
        </w:rPr>
        <w:t xml:space="preserve"> </w:t>
      </w:r>
      <w:r w:rsidRPr="006E7292">
        <w:rPr>
          <w:rFonts w:ascii="Book Antiqua" w:hAnsi="Book Antiqua"/>
        </w:rPr>
        <w:t xml:space="preserve">Indeed, </w:t>
      </w:r>
      <w:r w:rsidR="00ED6CE0" w:rsidRPr="006E7292">
        <w:rPr>
          <w:rFonts w:ascii="Book Antiqua" w:hAnsi="Book Antiqua"/>
        </w:rPr>
        <w:t xml:space="preserve">Joncas </w:t>
      </w:r>
      <w:r w:rsidR="00ED6CE0" w:rsidRPr="006E7292">
        <w:rPr>
          <w:rFonts w:ascii="Book Antiqua" w:hAnsi="Book Antiqua"/>
          <w:i/>
        </w:rPr>
        <w:t xml:space="preserve">et </w:t>
      </w:r>
      <w:proofErr w:type="gramStart"/>
      <w:r w:rsidR="00ED6CE0" w:rsidRPr="006E7292">
        <w:rPr>
          <w:rFonts w:ascii="Book Antiqua" w:hAnsi="Book Antiqua"/>
          <w:i/>
        </w:rPr>
        <w:t>al</w:t>
      </w:r>
      <w:r w:rsidR="00DA251C" w:rsidRPr="006E7292">
        <w:rPr>
          <w:rFonts w:ascii="Book Antiqua" w:hAnsi="Book Antiqua"/>
          <w:vertAlign w:val="superscript"/>
        </w:rPr>
        <w:t>[</w:t>
      </w:r>
      <w:proofErr w:type="gramEnd"/>
      <w:r w:rsidR="00DA251C" w:rsidRPr="006E7292">
        <w:rPr>
          <w:rFonts w:ascii="Book Antiqua" w:hAnsi="Book Antiqua"/>
          <w:vertAlign w:val="superscript"/>
        </w:rPr>
        <w:t>48]</w:t>
      </w:r>
      <w:r w:rsidR="00ED6CE0" w:rsidRPr="006E7292">
        <w:rPr>
          <w:rFonts w:ascii="Book Antiqua" w:hAnsi="Book Antiqua"/>
        </w:rPr>
        <w:t xml:space="preserve"> </w:t>
      </w:r>
      <w:r w:rsidR="004B6D8C" w:rsidRPr="006E7292">
        <w:rPr>
          <w:rFonts w:ascii="Book Antiqua" w:hAnsi="Book Antiqua"/>
        </w:rPr>
        <w:t xml:space="preserve">recently </w:t>
      </w:r>
      <w:r w:rsidR="00ED6CE0" w:rsidRPr="006E7292">
        <w:rPr>
          <w:rFonts w:ascii="Book Antiqua" w:hAnsi="Book Antiqua"/>
        </w:rPr>
        <w:t xml:space="preserve">found </w:t>
      </w:r>
      <w:r w:rsidRPr="006E7292">
        <w:rPr>
          <w:rFonts w:ascii="Book Antiqua" w:hAnsi="Book Antiqua"/>
        </w:rPr>
        <w:t xml:space="preserve">blood levels of </w:t>
      </w:r>
      <w:r w:rsidRPr="006E7292">
        <w:rPr>
          <w:rFonts w:ascii="Book Antiqua" w:hAnsi="Book Antiqua"/>
          <w:i/>
        </w:rPr>
        <w:t>AR-V7</w:t>
      </w:r>
      <w:r w:rsidR="00DC3D52" w:rsidRPr="006E7292">
        <w:rPr>
          <w:rFonts w:ascii="Book Antiqua" w:hAnsi="Book Antiqua"/>
        </w:rPr>
        <w:t xml:space="preserve"> mRNA</w:t>
      </w:r>
      <w:r w:rsidR="00E1480D" w:rsidRPr="006E7292">
        <w:rPr>
          <w:rFonts w:ascii="Book Antiqua" w:hAnsi="Book Antiqua"/>
          <w:i/>
        </w:rPr>
        <w:t>,</w:t>
      </w:r>
      <w:r w:rsidR="00ED6CE0" w:rsidRPr="006E7292">
        <w:rPr>
          <w:rFonts w:ascii="Book Antiqua" w:hAnsi="Book Antiqua"/>
          <w:i/>
        </w:rPr>
        <w:t xml:space="preserve"> </w:t>
      </w:r>
      <w:r w:rsidR="005A254C" w:rsidRPr="006E7292">
        <w:rPr>
          <w:rFonts w:ascii="Book Antiqua" w:hAnsi="Book Antiqua"/>
        </w:rPr>
        <w:t>which was</w:t>
      </w:r>
      <w:r w:rsidR="00ED6CE0" w:rsidRPr="006E7292">
        <w:rPr>
          <w:rFonts w:ascii="Book Antiqua" w:hAnsi="Book Antiqua"/>
        </w:rPr>
        <w:t xml:space="preserve"> </w:t>
      </w:r>
      <w:r w:rsidR="000752D2" w:rsidRPr="006E7292">
        <w:rPr>
          <w:rFonts w:ascii="Book Antiqua" w:hAnsi="Book Antiqua"/>
        </w:rPr>
        <w:t xml:space="preserve">shown </w:t>
      </w:r>
      <w:r w:rsidR="00160BF4" w:rsidRPr="006E7292">
        <w:rPr>
          <w:rFonts w:ascii="Book Antiqua" w:hAnsi="Book Antiqua"/>
        </w:rPr>
        <w:t>to be</w:t>
      </w:r>
      <w:r w:rsidRPr="006E7292">
        <w:rPr>
          <w:rFonts w:ascii="Book Antiqua" w:hAnsi="Book Antiqua"/>
        </w:rPr>
        <w:t xml:space="preserve"> correlated with response and resistance to abiraterone in mCRPC patients, </w:t>
      </w:r>
      <w:r w:rsidR="00160BF4" w:rsidRPr="006E7292">
        <w:rPr>
          <w:rFonts w:ascii="Book Antiqua" w:hAnsi="Book Antiqua"/>
        </w:rPr>
        <w:t xml:space="preserve">demonstrating </w:t>
      </w:r>
      <w:r w:rsidRPr="006E7292">
        <w:rPr>
          <w:rFonts w:ascii="Book Antiqua" w:hAnsi="Book Antiqua"/>
        </w:rPr>
        <w:t>it</w:t>
      </w:r>
      <w:r w:rsidR="00160BF4" w:rsidRPr="006E7292">
        <w:rPr>
          <w:rFonts w:ascii="Book Antiqua" w:hAnsi="Book Antiqua"/>
        </w:rPr>
        <w:t>s</w:t>
      </w:r>
      <w:r w:rsidRPr="006E7292">
        <w:rPr>
          <w:rFonts w:ascii="Book Antiqua" w:hAnsi="Book Antiqua"/>
        </w:rPr>
        <w:t xml:space="preserve"> </w:t>
      </w:r>
      <w:r w:rsidR="00160BF4" w:rsidRPr="006E7292">
        <w:rPr>
          <w:rFonts w:ascii="Book Antiqua" w:hAnsi="Book Antiqua"/>
        </w:rPr>
        <w:t>potential as</w:t>
      </w:r>
      <w:r w:rsidRPr="006E7292">
        <w:rPr>
          <w:rFonts w:ascii="Book Antiqua" w:hAnsi="Book Antiqua"/>
        </w:rPr>
        <w:t xml:space="preserve"> predictiv</w:t>
      </w:r>
      <w:r w:rsidR="00115A85" w:rsidRPr="006E7292">
        <w:rPr>
          <w:rFonts w:ascii="Book Antiqua" w:hAnsi="Book Antiqua"/>
        </w:rPr>
        <w:t>e biomarker</w:t>
      </w:r>
      <w:r w:rsidR="00DA251C" w:rsidRPr="006E7292">
        <w:rPr>
          <w:rFonts w:ascii="Book Antiqua" w:hAnsi="Book Antiqua"/>
          <w:vertAlign w:val="superscript"/>
        </w:rPr>
        <w:t>[</w:t>
      </w:r>
      <w:r w:rsidR="00794EB2" w:rsidRPr="006E7292">
        <w:rPr>
          <w:rFonts w:ascii="Book Antiqua" w:hAnsi="Book Antiqua"/>
          <w:vertAlign w:val="superscript"/>
        </w:rPr>
        <w:t>48</w:t>
      </w:r>
      <w:r w:rsidR="00DA251C" w:rsidRPr="006E7292">
        <w:rPr>
          <w:rFonts w:ascii="Book Antiqua" w:hAnsi="Book Antiqua"/>
          <w:vertAlign w:val="superscript"/>
        </w:rPr>
        <w:t>]</w:t>
      </w:r>
      <w:r w:rsidR="00115A85" w:rsidRPr="006E7292">
        <w:rPr>
          <w:rFonts w:ascii="Book Antiqua" w:hAnsi="Book Antiqua"/>
        </w:rPr>
        <w:t>.</w:t>
      </w:r>
      <w:r w:rsidRPr="006E7292">
        <w:rPr>
          <w:rFonts w:ascii="Book Antiqua" w:hAnsi="Book Antiqua"/>
        </w:rPr>
        <w:t xml:space="preserve"> </w:t>
      </w:r>
      <w:r w:rsidR="00600D97" w:rsidRPr="006E7292">
        <w:rPr>
          <w:rFonts w:ascii="Book Antiqua" w:hAnsi="Book Antiqua"/>
        </w:rPr>
        <w:t>Particularly worthy of note</w:t>
      </w:r>
      <w:r w:rsidR="000752D2" w:rsidRPr="006E7292">
        <w:rPr>
          <w:rFonts w:ascii="Book Antiqua" w:hAnsi="Book Antiqua"/>
        </w:rPr>
        <w:t xml:space="preserve">, upregulation </w:t>
      </w:r>
      <w:r w:rsidR="003E364A" w:rsidRPr="006E7292">
        <w:rPr>
          <w:rFonts w:ascii="Book Antiqua" w:hAnsi="Book Antiqua"/>
        </w:rPr>
        <w:t>of</w:t>
      </w:r>
      <w:r w:rsidR="00ED6CE0" w:rsidRPr="006E7292">
        <w:rPr>
          <w:rFonts w:ascii="Book Antiqua" w:hAnsi="Book Antiqua"/>
        </w:rPr>
        <w:t xml:space="preserve"> </w:t>
      </w:r>
      <w:r w:rsidR="001C1408" w:rsidRPr="006E7292">
        <w:rPr>
          <w:rFonts w:ascii="Book Antiqua" w:hAnsi="Book Antiqua"/>
        </w:rPr>
        <w:t xml:space="preserve">the programmed death-ligand </w:t>
      </w:r>
      <w:r w:rsidR="001C1408" w:rsidRPr="00644326">
        <w:rPr>
          <w:rFonts w:ascii="Book Antiqua" w:hAnsi="Book Antiqua"/>
          <w:i/>
          <w:iCs/>
        </w:rPr>
        <w:t>PD-</w:t>
      </w:r>
      <w:r w:rsidR="003D203D" w:rsidRPr="00644326">
        <w:rPr>
          <w:rFonts w:ascii="Book Antiqua" w:hAnsi="Book Antiqua"/>
          <w:i/>
          <w:iCs/>
        </w:rPr>
        <w:t>L1</w:t>
      </w:r>
      <w:r w:rsidR="009D7C5E" w:rsidRPr="00644326">
        <w:rPr>
          <w:rFonts w:ascii="Book Antiqua" w:hAnsi="Book Antiqua"/>
          <w:i/>
          <w:iCs/>
        </w:rPr>
        <w:t xml:space="preserve"> </w:t>
      </w:r>
      <w:r w:rsidR="009D7C5E" w:rsidRPr="006E7292">
        <w:rPr>
          <w:rFonts w:ascii="Book Antiqua" w:hAnsi="Book Antiqua"/>
        </w:rPr>
        <w:t>mRNA</w:t>
      </w:r>
      <w:r w:rsidR="001C1408" w:rsidRPr="006E7292">
        <w:rPr>
          <w:rFonts w:ascii="Book Antiqua" w:hAnsi="Book Antiqua"/>
        </w:rPr>
        <w:t xml:space="preserve"> </w:t>
      </w:r>
      <w:r w:rsidR="000752D2" w:rsidRPr="006E7292">
        <w:rPr>
          <w:rFonts w:ascii="Book Antiqua" w:hAnsi="Book Antiqua"/>
        </w:rPr>
        <w:t>causes</w:t>
      </w:r>
      <w:r w:rsidR="001C1408" w:rsidRPr="006E7292">
        <w:rPr>
          <w:rFonts w:ascii="Book Antiqua" w:hAnsi="Book Antiqua"/>
        </w:rPr>
        <w:t xml:space="preserve"> cancer cells to</w:t>
      </w:r>
      <w:r w:rsidR="000752D2" w:rsidRPr="006E7292">
        <w:rPr>
          <w:rFonts w:ascii="Book Antiqua" w:hAnsi="Book Antiqua"/>
        </w:rPr>
        <w:t xml:space="preserve"> able to</w:t>
      </w:r>
      <w:r w:rsidR="001C1408" w:rsidRPr="006E7292">
        <w:rPr>
          <w:rFonts w:ascii="Book Antiqua" w:hAnsi="Book Antiqua"/>
        </w:rPr>
        <w:t xml:space="preserve"> evade </w:t>
      </w:r>
      <w:r w:rsidR="00600D97" w:rsidRPr="006E7292">
        <w:rPr>
          <w:rFonts w:ascii="Book Antiqua" w:hAnsi="Book Antiqua"/>
        </w:rPr>
        <w:t xml:space="preserve">the </w:t>
      </w:r>
      <w:r w:rsidR="001C1408" w:rsidRPr="006E7292">
        <w:rPr>
          <w:rFonts w:ascii="Book Antiqua" w:hAnsi="Book Antiqua"/>
        </w:rPr>
        <w:t xml:space="preserve">host immune </w:t>
      </w:r>
      <w:proofErr w:type="gramStart"/>
      <w:r w:rsidR="001C1408" w:rsidRPr="006E7292">
        <w:rPr>
          <w:rFonts w:ascii="Book Antiqua" w:hAnsi="Book Antiqua"/>
        </w:rPr>
        <w:t>system</w:t>
      </w:r>
      <w:r w:rsidR="00DA251C" w:rsidRPr="006E7292">
        <w:rPr>
          <w:rFonts w:ascii="Book Antiqua" w:hAnsi="Book Antiqua"/>
          <w:vertAlign w:val="superscript"/>
        </w:rPr>
        <w:t>[</w:t>
      </w:r>
      <w:proofErr w:type="gramEnd"/>
      <w:r w:rsidR="00794EB2" w:rsidRPr="006E7292">
        <w:rPr>
          <w:rFonts w:ascii="Book Antiqua" w:hAnsi="Book Antiqua"/>
          <w:vertAlign w:val="superscript"/>
        </w:rPr>
        <w:t>50</w:t>
      </w:r>
      <w:r w:rsidR="00DA251C" w:rsidRPr="006E7292">
        <w:rPr>
          <w:rFonts w:ascii="Book Antiqua" w:hAnsi="Book Antiqua"/>
          <w:vertAlign w:val="superscript"/>
        </w:rPr>
        <w:t>]</w:t>
      </w:r>
      <w:r w:rsidR="00B00EB2" w:rsidRPr="006E7292">
        <w:rPr>
          <w:rFonts w:ascii="Book Antiqua" w:hAnsi="Book Antiqua"/>
        </w:rPr>
        <w:t>.</w:t>
      </w:r>
    </w:p>
    <w:p w14:paraId="49471BC9" w14:textId="2F36CC0C" w:rsidR="007856B9" w:rsidRPr="006E7292" w:rsidRDefault="00115A85">
      <w:pPr>
        <w:snapToGrid w:val="0"/>
        <w:spacing w:line="360" w:lineRule="auto"/>
        <w:ind w:firstLineChars="100" w:firstLine="240"/>
        <w:jc w:val="both"/>
        <w:rPr>
          <w:rFonts w:ascii="Book Antiqua" w:hAnsi="Book Antiqua"/>
        </w:rPr>
      </w:pPr>
      <w:r w:rsidRPr="006E7292">
        <w:rPr>
          <w:rFonts w:ascii="Book Antiqua" w:hAnsi="Book Antiqua"/>
        </w:rPr>
        <w:t xml:space="preserve">In </w:t>
      </w:r>
      <w:r w:rsidR="00600D97" w:rsidRPr="006E7292">
        <w:rPr>
          <w:rFonts w:ascii="Book Antiqua" w:hAnsi="Book Antiqua"/>
        </w:rPr>
        <w:t>most</w:t>
      </w:r>
      <w:r w:rsidRPr="006E7292">
        <w:rPr>
          <w:rFonts w:ascii="Book Antiqua" w:hAnsi="Book Antiqua"/>
        </w:rPr>
        <w:t xml:space="preserve"> </w:t>
      </w:r>
      <w:r w:rsidR="004E4513" w:rsidRPr="006E7292">
        <w:rPr>
          <w:rFonts w:ascii="Book Antiqua" w:hAnsi="Book Antiqua"/>
        </w:rPr>
        <w:t>patients</w:t>
      </w:r>
      <w:r w:rsidR="00003E46" w:rsidRPr="006E7292">
        <w:rPr>
          <w:rFonts w:ascii="Book Antiqua" w:hAnsi="Book Antiqua"/>
        </w:rPr>
        <w:t>,</w:t>
      </w:r>
      <w:r w:rsidR="00467F5C" w:rsidRPr="006E7292">
        <w:rPr>
          <w:rFonts w:ascii="Book Antiqua" w:hAnsi="Book Antiqua"/>
        </w:rPr>
        <w:t xml:space="preserve"> </w:t>
      </w:r>
      <w:r w:rsidR="00C573EE" w:rsidRPr="006E7292">
        <w:rPr>
          <w:rFonts w:ascii="Book Antiqua" w:hAnsi="Book Antiqua"/>
        </w:rPr>
        <w:t>altered levels of</w:t>
      </w:r>
      <w:r w:rsidRPr="006E7292">
        <w:rPr>
          <w:rFonts w:ascii="Book Antiqua" w:hAnsi="Book Antiqua"/>
        </w:rPr>
        <w:t xml:space="preserve"> mi</w:t>
      </w:r>
      <w:r w:rsidR="006A7ECD" w:rsidRPr="006E7292">
        <w:rPr>
          <w:rFonts w:ascii="Book Antiqua" w:hAnsi="Book Antiqua"/>
        </w:rPr>
        <w:t>R</w:t>
      </w:r>
      <w:r w:rsidRPr="006E7292">
        <w:rPr>
          <w:rFonts w:ascii="Book Antiqua" w:hAnsi="Book Antiqua"/>
        </w:rPr>
        <w:t>NAs</w:t>
      </w:r>
      <w:r w:rsidR="00C573EE" w:rsidRPr="006E7292">
        <w:rPr>
          <w:rFonts w:ascii="Book Antiqua" w:hAnsi="Book Antiqua"/>
        </w:rPr>
        <w:t xml:space="preserve"> have been found</w:t>
      </w:r>
      <w:r w:rsidRPr="006E7292">
        <w:rPr>
          <w:rFonts w:ascii="Book Antiqua" w:hAnsi="Book Antiqua"/>
        </w:rPr>
        <w:t>, such as</w:t>
      </w:r>
      <w:r w:rsidR="00A93CF3" w:rsidRPr="006E7292">
        <w:rPr>
          <w:rFonts w:ascii="Book Antiqua" w:hAnsi="Book Antiqua"/>
        </w:rPr>
        <w:t xml:space="preserve"> </w:t>
      </w:r>
      <w:r w:rsidRPr="006E7292">
        <w:rPr>
          <w:rFonts w:ascii="Book Antiqua" w:hAnsi="Book Antiqua"/>
        </w:rPr>
        <w:t>miR-21, miR-221, miR</w:t>
      </w:r>
      <w:r w:rsidR="000752D2" w:rsidRPr="006E7292">
        <w:rPr>
          <w:rFonts w:ascii="Book Antiqua" w:hAnsi="Book Antiqua"/>
        </w:rPr>
        <w:t>-</w:t>
      </w:r>
      <w:r w:rsidRPr="006E7292">
        <w:rPr>
          <w:rFonts w:ascii="Book Antiqua" w:hAnsi="Book Antiqua"/>
        </w:rPr>
        <w:t xml:space="preserve">1290 and miR-375. Such </w:t>
      </w:r>
      <w:r w:rsidR="00003E46" w:rsidRPr="006E7292">
        <w:rPr>
          <w:rFonts w:ascii="Book Antiqua" w:hAnsi="Book Antiqua"/>
        </w:rPr>
        <w:t xml:space="preserve">differential </w:t>
      </w:r>
      <w:proofErr w:type="gramStart"/>
      <w:r w:rsidRPr="006E7292">
        <w:rPr>
          <w:rFonts w:ascii="Book Antiqua" w:hAnsi="Book Antiqua"/>
        </w:rPr>
        <w:t xml:space="preserve">expression </w:t>
      </w:r>
      <w:r w:rsidR="00003E46" w:rsidRPr="006E7292">
        <w:rPr>
          <w:rFonts w:ascii="Book Antiqua" w:hAnsi="Book Antiqua"/>
        </w:rPr>
        <w:t>compared to healthy controls</w:t>
      </w:r>
      <w:r w:rsidRPr="006E7292">
        <w:rPr>
          <w:rFonts w:ascii="Book Antiqua" w:hAnsi="Book Antiqua"/>
        </w:rPr>
        <w:t xml:space="preserve"> have</w:t>
      </w:r>
      <w:proofErr w:type="gramEnd"/>
      <w:r w:rsidRPr="006E7292">
        <w:rPr>
          <w:rFonts w:ascii="Book Antiqua" w:hAnsi="Book Antiqua"/>
        </w:rPr>
        <w:t xml:space="preserve"> been associate</w:t>
      </w:r>
      <w:r w:rsidR="00EB0DDB" w:rsidRPr="006E7292">
        <w:rPr>
          <w:rFonts w:ascii="Book Antiqua" w:hAnsi="Book Antiqua"/>
        </w:rPr>
        <w:t>d</w:t>
      </w:r>
      <w:r w:rsidRPr="006E7292">
        <w:rPr>
          <w:rFonts w:ascii="Book Antiqua" w:hAnsi="Book Antiqua"/>
        </w:rPr>
        <w:t xml:space="preserve"> with different prognostic outcomes in </w:t>
      </w:r>
      <w:r w:rsidR="00A93CF3" w:rsidRPr="006E7292">
        <w:rPr>
          <w:rFonts w:ascii="Book Antiqua" w:hAnsi="Book Antiqua"/>
        </w:rPr>
        <w:t>m</w:t>
      </w:r>
      <w:r w:rsidRPr="006E7292">
        <w:rPr>
          <w:rFonts w:ascii="Book Antiqua" w:hAnsi="Book Antiqua"/>
        </w:rPr>
        <w:t>CRPC patients.</w:t>
      </w:r>
      <w:r w:rsidR="008C6B32" w:rsidRPr="006E7292">
        <w:rPr>
          <w:rFonts w:ascii="Book Antiqua" w:hAnsi="Book Antiqua"/>
        </w:rPr>
        <w:t xml:space="preserve"> For example, </w:t>
      </w:r>
      <w:r w:rsidR="0075470A" w:rsidRPr="006E7292">
        <w:rPr>
          <w:rFonts w:ascii="Book Antiqua" w:hAnsi="Book Antiqua"/>
        </w:rPr>
        <w:t xml:space="preserve">a </w:t>
      </w:r>
      <w:r w:rsidR="008C6B32" w:rsidRPr="006E7292">
        <w:rPr>
          <w:rFonts w:ascii="Book Antiqua" w:hAnsi="Book Antiqua"/>
        </w:rPr>
        <w:t xml:space="preserve">potential diagnostic and prognostic </w:t>
      </w:r>
      <w:r w:rsidR="0075470A" w:rsidRPr="006E7292">
        <w:rPr>
          <w:rFonts w:ascii="Book Antiqua" w:hAnsi="Book Antiqua"/>
        </w:rPr>
        <w:t>role</w:t>
      </w:r>
      <w:r w:rsidR="00D944C5" w:rsidRPr="006E7292">
        <w:rPr>
          <w:rFonts w:ascii="Book Antiqua" w:hAnsi="Book Antiqua"/>
        </w:rPr>
        <w:t xml:space="preserve"> </w:t>
      </w:r>
      <w:r w:rsidR="0075470A" w:rsidRPr="006E7292">
        <w:rPr>
          <w:rFonts w:ascii="Book Antiqua" w:hAnsi="Book Antiqua"/>
        </w:rPr>
        <w:t>played by</w:t>
      </w:r>
      <w:r w:rsidR="00D944C5" w:rsidRPr="006E7292">
        <w:rPr>
          <w:rFonts w:ascii="Book Antiqua" w:hAnsi="Book Antiqua"/>
        </w:rPr>
        <w:t xml:space="preserve"> miR-141</w:t>
      </w:r>
      <w:r w:rsidR="00AF0254" w:rsidRPr="006E7292">
        <w:rPr>
          <w:rFonts w:ascii="Book Antiqua" w:hAnsi="Book Antiqua"/>
        </w:rPr>
        <w:t xml:space="preserve"> has been suggested. </w:t>
      </w:r>
      <w:proofErr w:type="gramStart"/>
      <w:r w:rsidR="00AF0254" w:rsidRPr="006E7292">
        <w:rPr>
          <w:rFonts w:ascii="Book Antiqua" w:hAnsi="Book Antiqua"/>
        </w:rPr>
        <w:t>miR-141</w:t>
      </w:r>
      <w:proofErr w:type="gramEnd"/>
      <w:r w:rsidR="00D944C5" w:rsidRPr="006E7292">
        <w:rPr>
          <w:rFonts w:ascii="Book Antiqua" w:hAnsi="Book Antiqua"/>
        </w:rPr>
        <w:t xml:space="preserve"> levels have been found </w:t>
      </w:r>
      <w:r w:rsidR="00AF0254" w:rsidRPr="006E7292">
        <w:rPr>
          <w:rFonts w:ascii="Book Antiqua" w:hAnsi="Book Antiqua"/>
        </w:rPr>
        <w:t xml:space="preserve">to be </w:t>
      </w:r>
      <w:r w:rsidR="00D944C5" w:rsidRPr="006E7292">
        <w:rPr>
          <w:rFonts w:ascii="Book Antiqua" w:hAnsi="Book Antiqua"/>
        </w:rPr>
        <w:t>progressively increased from hypertrophy</w:t>
      </w:r>
      <w:r w:rsidR="00A93CF3" w:rsidRPr="006E7292">
        <w:rPr>
          <w:rFonts w:ascii="Book Antiqua" w:hAnsi="Book Antiqua"/>
        </w:rPr>
        <w:t xml:space="preserve"> of </w:t>
      </w:r>
      <w:r w:rsidR="005F47FA" w:rsidRPr="006E7292">
        <w:rPr>
          <w:rFonts w:ascii="Book Antiqua" w:hAnsi="Book Antiqua"/>
        </w:rPr>
        <w:t>the p</w:t>
      </w:r>
      <w:r w:rsidR="00A93CF3" w:rsidRPr="006E7292">
        <w:rPr>
          <w:rFonts w:ascii="Book Antiqua" w:hAnsi="Book Antiqua"/>
        </w:rPr>
        <w:t xml:space="preserve">rostate to </w:t>
      </w:r>
      <w:r w:rsidR="00910E12" w:rsidRPr="006E7292">
        <w:rPr>
          <w:rFonts w:ascii="Book Antiqua" w:hAnsi="Book Antiqua"/>
        </w:rPr>
        <w:t xml:space="preserve">prostate </w:t>
      </w:r>
      <w:r w:rsidR="00467F5C" w:rsidRPr="006E7292">
        <w:rPr>
          <w:rFonts w:ascii="Book Antiqua" w:hAnsi="Book Antiqua"/>
        </w:rPr>
        <w:t xml:space="preserve">cancer </w:t>
      </w:r>
      <w:r w:rsidR="00A93CF3" w:rsidRPr="006E7292">
        <w:rPr>
          <w:rFonts w:ascii="Book Antiqua" w:hAnsi="Book Antiqua"/>
        </w:rPr>
        <w:t xml:space="preserve">and </w:t>
      </w:r>
      <w:r w:rsidR="00467F5C" w:rsidRPr="006E7292">
        <w:rPr>
          <w:rFonts w:ascii="Book Antiqua" w:hAnsi="Book Antiqua"/>
        </w:rPr>
        <w:t>to</w:t>
      </w:r>
      <w:r w:rsidR="00910E12" w:rsidRPr="006E7292">
        <w:rPr>
          <w:rFonts w:ascii="Book Antiqua" w:hAnsi="Book Antiqua"/>
        </w:rPr>
        <w:t xml:space="preserve"> the</w:t>
      </w:r>
      <w:r w:rsidR="00467F5C" w:rsidRPr="006E7292">
        <w:rPr>
          <w:rFonts w:ascii="Book Antiqua" w:hAnsi="Book Antiqua"/>
        </w:rPr>
        <w:t xml:space="preserve"> metastatic disease</w:t>
      </w:r>
      <w:r w:rsidR="00DA251C" w:rsidRPr="006E7292">
        <w:rPr>
          <w:rFonts w:ascii="Book Antiqua" w:hAnsi="Book Antiqua"/>
          <w:vertAlign w:val="superscript"/>
        </w:rPr>
        <w:t>[</w:t>
      </w:r>
      <w:r w:rsidR="00794EB2" w:rsidRPr="006E7292">
        <w:rPr>
          <w:rFonts w:ascii="Book Antiqua" w:hAnsi="Book Antiqua"/>
          <w:vertAlign w:val="superscript"/>
        </w:rPr>
        <w:t>70</w:t>
      </w:r>
      <w:r w:rsidR="00DA251C" w:rsidRPr="006E7292">
        <w:rPr>
          <w:rFonts w:ascii="Book Antiqua" w:hAnsi="Book Antiqua"/>
          <w:vertAlign w:val="superscript"/>
        </w:rPr>
        <w:t>]</w:t>
      </w:r>
      <w:r w:rsidR="00467F5C" w:rsidRPr="006E7292">
        <w:rPr>
          <w:rFonts w:ascii="Book Antiqua" w:hAnsi="Book Antiqua"/>
        </w:rPr>
        <w:t xml:space="preserve">. </w:t>
      </w:r>
      <w:r w:rsidR="00E901DD" w:rsidRPr="006E7292">
        <w:rPr>
          <w:rFonts w:ascii="Book Antiqua" w:hAnsi="Book Antiqua"/>
        </w:rPr>
        <w:t>Interestingly</w:t>
      </w:r>
      <w:r w:rsidR="00467F5C" w:rsidRPr="006E7292">
        <w:rPr>
          <w:rFonts w:ascii="Book Antiqua" w:hAnsi="Book Antiqua"/>
        </w:rPr>
        <w:t>,</w:t>
      </w:r>
      <w:r w:rsidR="00033AFF" w:rsidRPr="006E7292">
        <w:rPr>
          <w:rFonts w:ascii="Book Antiqua" w:hAnsi="Book Antiqua"/>
        </w:rPr>
        <w:t xml:space="preserve"> the</w:t>
      </w:r>
      <w:r w:rsidR="00467F5C" w:rsidRPr="006E7292">
        <w:rPr>
          <w:rFonts w:ascii="Book Antiqua" w:hAnsi="Book Antiqua"/>
        </w:rPr>
        <w:t xml:space="preserve"> </w:t>
      </w:r>
      <w:r w:rsidR="00033AFF" w:rsidRPr="006E7292">
        <w:rPr>
          <w:rFonts w:ascii="Book Antiqua" w:hAnsi="Book Antiqua"/>
        </w:rPr>
        <w:t xml:space="preserve">quantification of </w:t>
      </w:r>
      <w:r w:rsidR="00467F5C" w:rsidRPr="006E7292">
        <w:rPr>
          <w:rFonts w:ascii="Book Antiqua" w:hAnsi="Book Antiqua"/>
        </w:rPr>
        <w:t xml:space="preserve">miR-141 </w:t>
      </w:r>
      <w:r w:rsidR="00033AFF" w:rsidRPr="006E7292">
        <w:rPr>
          <w:rFonts w:ascii="Book Antiqua" w:hAnsi="Book Antiqua"/>
        </w:rPr>
        <w:t xml:space="preserve">in the </w:t>
      </w:r>
      <w:r w:rsidR="00467F5C" w:rsidRPr="006E7292">
        <w:rPr>
          <w:rFonts w:ascii="Book Antiqua" w:hAnsi="Book Antiqua"/>
        </w:rPr>
        <w:t>liquid biopsy by d</w:t>
      </w:r>
      <w:r w:rsidR="00AF0254" w:rsidRPr="006E7292">
        <w:rPr>
          <w:rFonts w:ascii="Book Antiqua" w:hAnsi="Book Antiqua"/>
        </w:rPr>
        <w:t xml:space="preserve">roplet </w:t>
      </w:r>
      <w:r w:rsidR="00467F5C" w:rsidRPr="006E7292">
        <w:rPr>
          <w:rFonts w:ascii="Book Antiqua" w:hAnsi="Book Antiqua"/>
        </w:rPr>
        <w:t>d</w:t>
      </w:r>
      <w:r w:rsidR="00AF0254" w:rsidRPr="006E7292">
        <w:rPr>
          <w:rFonts w:ascii="Book Antiqua" w:hAnsi="Book Antiqua"/>
        </w:rPr>
        <w:t xml:space="preserve">igital </w:t>
      </w:r>
      <w:r w:rsidR="00467F5C" w:rsidRPr="006E7292">
        <w:rPr>
          <w:rFonts w:ascii="Book Antiqua" w:hAnsi="Book Antiqua"/>
        </w:rPr>
        <w:t xml:space="preserve">PCR has been </w:t>
      </w:r>
      <w:proofErr w:type="gramStart"/>
      <w:r w:rsidR="00FA52B0" w:rsidRPr="006E7292">
        <w:rPr>
          <w:rFonts w:ascii="Book Antiqua" w:hAnsi="Book Antiqua"/>
        </w:rPr>
        <w:t>described</w:t>
      </w:r>
      <w:r w:rsidR="00DA251C" w:rsidRPr="006E7292">
        <w:rPr>
          <w:rFonts w:ascii="Book Antiqua" w:hAnsi="Book Antiqua"/>
          <w:vertAlign w:val="superscript"/>
        </w:rPr>
        <w:t>[</w:t>
      </w:r>
      <w:proofErr w:type="gramEnd"/>
      <w:r w:rsidR="00794EB2" w:rsidRPr="006E7292">
        <w:rPr>
          <w:rFonts w:ascii="Book Antiqua" w:hAnsi="Book Antiqua"/>
          <w:vertAlign w:val="superscript"/>
        </w:rPr>
        <w:t>71</w:t>
      </w:r>
      <w:r w:rsidR="00DA251C" w:rsidRPr="006E7292">
        <w:rPr>
          <w:rFonts w:ascii="Book Antiqua" w:hAnsi="Book Antiqua"/>
          <w:vertAlign w:val="superscript"/>
        </w:rPr>
        <w:t>]</w:t>
      </w:r>
      <w:r w:rsidR="00D14BFB" w:rsidRPr="006E7292">
        <w:rPr>
          <w:rFonts w:ascii="Book Antiqua" w:hAnsi="Book Antiqua"/>
        </w:rPr>
        <w:t>.</w:t>
      </w:r>
      <w:r w:rsidR="00D552BA" w:rsidRPr="006E7292">
        <w:rPr>
          <w:rFonts w:ascii="Book Antiqua" w:hAnsi="Book Antiqua" w:cs="Arial"/>
          <w:shd w:val="clear" w:color="auto" w:fill="FFFFFF"/>
        </w:rPr>
        <w:t xml:space="preserve"> </w:t>
      </w:r>
      <w:r w:rsidR="00E901DD" w:rsidRPr="006E7292">
        <w:rPr>
          <w:rFonts w:ascii="Book Antiqua" w:hAnsi="Book Antiqua"/>
        </w:rPr>
        <w:t>However, a recent study showed that miR-18a has the highest po</w:t>
      </w:r>
      <w:r w:rsidR="00910E12" w:rsidRPr="006E7292">
        <w:rPr>
          <w:rFonts w:ascii="Book Antiqua" w:hAnsi="Book Antiqua"/>
        </w:rPr>
        <w:t>tency</w:t>
      </w:r>
      <w:r w:rsidR="00E901DD" w:rsidRPr="006E7292">
        <w:rPr>
          <w:rFonts w:ascii="Book Antiqua" w:hAnsi="Book Antiqua"/>
        </w:rPr>
        <w:t xml:space="preserve"> to discriminate between healthy indiv</w:t>
      </w:r>
      <w:r w:rsidR="00910E12" w:rsidRPr="006E7292">
        <w:rPr>
          <w:rFonts w:ascii="Book Antiqua" w:hAnsi="Book Antiqua"/>
        </w:rPr>
        <w:t>id</w:t>
      </w:r>
      <w:r w:rsidR="00E901DD" w:rsidRPr="006E7292">
        <w:rPr>
          <w:rFonts w:ascii="Book Antiqua" w:hAnsi="Book Antiqua"/>
        </w:rPr>
        <w:t>uals and cancer patie</w:t>
      </w:r>
      <w:r w:rsidR="00910E12" w:rsidRPr="006E7292">
        <w:rPr>
          <w:rFonts w:ascii="Book Antiqua" w:hAnsi="Book Antiqua"/>
        </w:rPr>
        <w:t>n</w:t>
      </w:r>
      <w:r w:rsidR="00E901DD" w:rsidRPr="006E7292">
        <w:rPr>
          <w:rFonts w:ascii="Book Antiqua" w:hAnsi="Book Antiqua"/>
        </w:rPr>
        <w:t xml:space="preserve">ts, whereas miR-221 </w:t>
      </w:r>
      <w:r w:rsidR="00852DE1" w:rsidRPr="006E7292">
        <w:rPr>
          <w:rFonts w:ascii="Book Antiqua" w:hAnsi="Book Antiqua"/>
        </w:rPr>
        <w:t xml:space="preserve">discriminated between patients with localized disease from those with metastasis. </w:t>
      </w:r>
      <w:proofErr w:type="gramStart"/>
      <w:r w:rsidR="00852DE1" w:rsidRPr="006E7292">
        <w:rPr>
          <w:rFonts w:ascii="Book Antiqua" w:hAnsi="Book Antiqua"/>
        </w:rPr>
        <w:t>miR-141</w:t>
      </w:r>
      <w:proofErr w:type="gramEnd"/>
      <w:r w:rsidR="00852DE1" w:rsidRPr="006E7292">
        <w:rPr>
          <w:rFonts w:ascii="Book Antiqua" w:hAnsi="Book Antiqua"/>
        </w:rPr>
        <w:t xml:space="preserve"> did not show the same </w:t>
      </w:r>
      <w:r w:rsidR="00FA52B0" w:rsidRPr="006E7292">
        <w:rPr>
          <w:rFonts w:ascii="Book Antiqua" w:hAnsi="Book Antiqua"/>
        </w:rPr>
        <w:t>potency</w:t>
      </w:r>
      <w:r w:rsidR="00DA251C" w:rsidRPr="006E7292">
        <w:rPr>
          <w:rFonts w:ascii="Book Antiqua" w:hAnsi="Book Antiqua"/>
          <w:vertAlign w:val="superscript"/>
        </w:rPr>
        <w:t>[</w:t>
      </w:r>
      <w:r w:rsidR="00794EB2" w:rsidRPr="006E7292">
        <w:rPr>
          <w:rFonts w:ascii="Book Antiqua" w:hAnsi="Book Antiqua"/>
          <w:vertAlign w:val="superscript"/>
        </w:rPr>
        <w:t>72</w:t>
      </w:r>
      <w:r w:rsidR="00DA251C" w:rsidRPr="006E7292">
        <w:rPr>
          <w:rFonts w:ascii="Book Antiqua" w:hAnsi="Book Antiqua"/>
          <w:vertAlign w:val="superscript"/>
        </w:rPr>
        <w:t>]</w:t>
      </w:r>
      <w:r w:rsidR="00852DE1" w:rsidRPr="006E7292">
        <w:rPr>
          <w:rFonts w:ascii="Book Antiqua" w:hAnsi="Book Antiqua"/>
        </w:rPr>
        <w:t>.</w:t>
      </w:r>
    </w:p>
    <w:p w14:paraId="6C9DABB0" w14:textId="77777777" w:rsidR="001603E7" w:rsidRPr="006E7292" w:rsidRDefault="001603E7">
      <w:pPr>
        <w:snapToGrid w:val="0"/>
        <w:spacing w:line="360" w:lineRule="auto"/>
        <w:jc w:val="both"/>
        <w:rPr>
          <w:rFonts w:ascii="Book Antiqua" w:hAnsi="Book Antiqua"/>
        </w:rPr>
      </w:pPr>
    </w:p>
    <w:p w14:paraId="0094925B" w14:textId="7FB130A1" w:rsidR="00160000" w:rsidRPr="006E7292" w:rsidRDefault="005211E2">
      <w:pPr>
        <w:pStyle w:val="ac"/>
        <w:snapToGrid w:val="0"/>
        <w:spacing w:line="360" w:lineRule="auto"/>
        <w:ind w:left="0"/>
        <w:contextualSpacing w:val="0"/>
        <w:jc w:val="both"/>
        <w:rPr>
          <w:rFonts w:ascii="Book Antiqua" w:hAnsi="Book Antiqua"/>
          <w:b/>
          <w:caps/>
          <w:u w:val="single"/>
        </w:rPr>
      </w:pPr>
      <w:bookmarkStart w:id="16" w:name="_MON_1641736558"/>
      <w:bookmarkEnd w:id="16"/>
      <w:r w:rsidRPr="006E7292">
        <w:rPr>
          <w:rFonts w:ascii="Book Antiqua" w:hAnsi="Book Antiqua"/>
          <w:b/>
          <w:caps/>
          <w:u w:val="single"/>
        </w:rPr>
        <w:t xml:space="preserve">Future </w:t>
      </w:r>
      <w:r w:rsidR="002846A4" w:rsidRPr="006E7292">
        <w:rPr>
          <w:rFonts w:ascii="Book Antiqua" w:hAnsi="Book Antiqua"/>
          <w:b/>
          <w:caps/>
          <w:u w:val="single"/>
        </w:rPr>
        <w:t>Perspectives</w:t>
      </w:r>
    </w:p>
    <w:p w14:paraId="35009EF2" w14:textId="212AFD4F" w:rsidR="00160000" w:rsidRPr="006E7292" w:rsidRDefault="00160000">
      <w:pPr>
        <w:snapToGrid w:val="0"/>
        <w:spacing w:line="360" w:lineRule="auto"/>
        <w:jc w:val="both"/>
        <w:rPr>
          <w:rFonts w:ascii="Book Antiqua" w:hAnsi="Book Antiqua"/>
        </w:rPr>
      </w:pPr>
      <w:r w:rsidRPr="006E7292">
        <w:rPr>
          <w:rFonts w:ascii="Book Antiqua" w:hAnsi="Book Antiqua"/>
        </w:rPr>
        <w:t>Liquid biopsy represents an attractive field of research for many types of cancer, including prostate adenocarcinoma. In particular</w:t>
      </w:r>
      <w:r w:rsidR="00F52352" w:rsidRPr="006E7292">
        <w:rPr>
          <w:rFonts w:ascii="Book Antiqua" w:hAnsi="Book Antiqua"/>
        </w:rPr>
        <w:t>,</w:t>
      </w:r>
      <w:r w:rsidRPr="006E7292">
        <w:rPr>
          <w:rFonts w:ascii="Book Antiqua" w:hAnsi="Book Antiqua"/>
        </w:rPr>
        <w:t xml:space="preserve"> liquid biopsy has </w:t>
      </w:r>
      <w:r w:rsidR="00AF0254" w:rsidRPr="006E7292">
        <w:rPr>
          <w:rFonts w:ascii="Book Antiqua" w:hAnsi="Book Antiqua"/>
        </w:rPr>
        <w:t xml:space="preserve">been </w:t>
      </w:r>
      <w:r w:rsidRPr="006E7292">
        <w:rPr>
          <w:rFonts w:ascii="Book Antiqua" w:hAnsi="Book Antiqua"/>
        </w:rPr>
        <w:t>prove</w:t>
      </w:r>
      <w:r w:rsidR="00AF0254" w:rsidRPr="006E7292">
        <w:rPr>
          <w:rFonts w:ascii="Book Antiqua" w:hAnsi="Book Antiqua"/>
        </w:rPr>
        <w:t>n</w:t>
      </w:r>
      <w:r w:rsidRPr="006E7292">
        <w:rPr>
          <w:rFonts w:ascii="Book Antiqua" w:hAnsi="Book Antiqua"/>
        </w:rPr>
        <w:t xml:space="preserve"> to provide support in therapeutic planning for patients with mCRPC, allowing detection of molecular changes in cell-free nucleic acids (</w:t>
      </w:r>
      <w:r w:rsidRPr="006E7292">
        <w:rPr>
          <w:rFonts w:ascii="Book Antiqua" w:hAnsi="Book Antiqua"/>
          <w:i/>
        </w:rPr>
        <w:t>i.e</w:t>
      </w:r>
      <w:r w:rsidR="00910E12" w:rsidRPr="006E7292">
        <w:rPr>
          <w:rFonts w:ascii="Book Antiqua" w:hAnsi="Book Antiqua"/>
        </w:rPr>
        <w:t>.</w:t>
      </w:r>
      <w:r w:rsidRPr="006E7292">
        <w:rPr>
          <w:rFonts w:ascii="Book Antiqua" w:hAnsi="Book Antiqua"/>
        </w:rPr>
        <w:t xml:space="preserve"> DNA and RNA) that are associated with tumor progression and response or resistance to different drugs. The </w:t>
      </w:r>
      <w:r w:rsidR="00AF0254" w:rsidRPr="006E7292">
        <w:rPr>
          <w:rFonts w:ascii="Book Antiqua" w:hAnsi="Book Antiqua"/>
        </w:rPr>
        <w:t xml:space="preserve">low </w:t>
      </w:r>
      <w:r w:rsidRPr="006E7292">
        <w:rPr>
          <w:rFonts w:ascii="Book Antiqua" w:hAnsi="Book Antiqua"/>
        </w:rPr>
        <w:t xml:space="preserve">invasiveness is particularly relevant because of the possibility of repeating the analyses frequently over time, allowing longitudinal monitoring of patients. In </w:t>
      </w:r>
      <w:r w:rsidR="00AF0254" w:rsidRPr="006E7292">
        <w:rPr>
          <w:rFonts w:ascii="Book Antiqua" w:hAnsi="Book Antiqua"/>
        </w:rPr>
        <w:t>the</w:t>
      </w:r>
      <w:r w:rsidRPr="006E7292">
        <w:rPr>
          <w:rFonts w:ascii="Book Antiqua" w:hAnsi="Book Antiqua"/>
        </w:rPr>
        <w:t xml:space="preserve"> near future</w:t>
      </w:r>
      <w:r w:rsidR="00983947" w:rsidRPr="006E7292">
        <w:rPr>
          <w:rFonts w:ascii="Book Antiqua" w:hAnsi="Book Antiqua"/>
        </w:rPr>
        <w:t>,</w:t>
      </w:r>
      <w:r w:rsidRPr="006E7292">
        <w:rPr>
          <w:rFonts w:ascii="Book Antiqua" w:hAnsi="Book Antiqua"/>
        </w:rPr>
        <w:t xml:space="preserve"> liquid biopsy will lead to a deeper </w:t>
      </w:r>
      <w:r w:rsidR="00910E12" w:rsidRPr="006E7292">
        <w:rPr>
          <w:rFonts w:ascii="Book Antiqua" w:hAnsi="Book Antiqua"/>
        </w:rPr>
        <w:t>understanding</w:t>
      </w:r>
      <w:r w:rsidRPr="006E7292">
        <w:rPr>
          <w:rFonts w:ascii="Book Antiqua" w:hAnsi="Book Antiqua"/>
        </w:rPr>
        <w:t xml:space="preserve"> of the metastatic evolution of prostate cancer with the possibility of developing new </w:t>
      </w:r>
      <w:r w:rsidR="00F52352" w:rsidRPr="006E7292">
        <w:rPr>
          <w:rFonts w:ascii="Book Antiqua" w:hAnsi="Book Antiqua"/>
        </w:rPr>
        <w:t>targeted therapies</w:t>
      </w:r>
      <w:r w:rsidRPr="006E7292">
        <w:rPr>
          <w:rFonts w:ascii="Book Antiqua" w:hAnsi="Book Antiqua"/>
        </w:rPr>
        <w:t xml:space="preserve"> in the perspective of an </w:t>
      </w:r>
      <w:r w:rsidR="00AD5085" w:rsidRPr="006E7292">
        <w:rPr>
          <w:rFonts w:ascii="Book Antiqua" w:hAnsi="Book Antiqua"/>
        </w:rPr>
        <w:t xml:space="preserve">even </w:t>
      </w:r>
      <w:r w:rsidR="00FE6938" w:rsidRPr="006E7292">
        <w:rPr>
          <w:rFonts w:ascii="Book Antiqua" w:hAnsi="Book Antiqua"/>
        </w:rPr>
        <w:t xml:space="preserve">more </w:t>
      </w:r>
      <w:r w:rsidRPr="006E7292">
        <w:rPr>
          <w:rFonts w:ascii="Book Antiqua" w:hAnsi="Book Antiqua"/>
        </w:rPr>
        <w:t>personalized oncology.</w:t>
      </w:r>
    </w:p>
    <w:p w14:paraId="643DFA66" w14:textId="34221E1C" w:rsidR="00715721" w:rsidRPr="006E7292" w:rsidRDefault="00AF0254">
      <w:pPr>
        <w:snapToGrid w:val="0"/>
        <w:spacing w:line="360" w:lineRule="auto"/>
        <w:ind w:firstLineChars="100" w:firstLine="240"/>
        <w:jc w:val="both"/>
        <w:rPr>
          <w:rFonts w:ascii="Book Antiqua" w:hAnsi="Book Antiqua"/>
        </w:rPr>
      </w:pPr>
      <w:r w:rsidRPr="006E7292">
        <w:rPr>
          <w:rFonts w:ascii="Book Antiqua" w:hAnsi="Book Antiqua"/>
        </w:rPr>
        <w:lastRenderedPageBreak/>
        <w:t>T</w:t>
      </w:r>
      <w:r w:rsidR="00160000" w:rsidRPr="006E7292">
        <w:rPr>
          <w:rFonts w:ascii="Book Antiqua" w:hAnsi="Book Antiqua"/>
        </w:rPr>
        <w:t xml:space="preserve">he analysis of ctDNA appears to be the </w:t>
      </w:r>
      <w:r w:rsidR="00FE6938" w:rsidRPr="006E7292">
        <w:rPr>
          <w:rFonts w:ascii="Book Antiqua" w:hAnsi="Book Antiqua"/>
        </w:rPr>
        <w:t>most</w:t>
      </w:r>
      <w:r w:rsidR="00160000" w:rsidRPr="006E7292">
        <w:rPr>
          <w:rFonts w:ascii="Book Antiqua" w:hAnsi="Book Antiqua"/>
        </w:rPr>
        <w:t xml:space="preserve"> promising tool to monitor </w:t>
      </w:r>
      <w:r w:rsidR="0006092C" w:rsidRPr="006E7292">
        <w:rPr>
          <w:rFonts w:ascii="Book Antiqua" w:hAnsi="Book Antiqua"/>
        </w:rPr>
        <w:t xml:space="preserve">cancer </w:t>
      </w:r>
      <w:r w:rsidR="00160000" w:rsidRPr="006E7292">
        <w:rPr>
          <w:rFonts w:ascii="Book Antiqua" w:hAnsi="Book Antiqua"/>
        </w:rPr>
        <w:t>disease</w:t>
      </w:r>
      <w:r w:rsidR="0006092C" w:rsidRPr="006E7292">
        <w:rPr>
          <w:rFonts w:ascii="Book Antiqua" w:hAnsi="Book Antiqua"/>
        </w:rPr>
        <w:t>s</w:t>
      </w:r>
      <w:r w:rsidR="00160000" w:rsidRPr="006E7292">
        <w:rPr>
          <w:rFonts w:ascii="Book Antiqua" w:hAnsi="Book Antiqua"/>
        </w:rPr>
        <w:t>. In fact, ctDNA is the only target recommended by the</w:t>
      </w:r>
      <w:bookmarkStart w:id="17" w:name="OLE_LINK10"/>
      <w:r w:rsidR="00576A4B" w:rsidRPr="006E7292">
        <w:rPr>
          <w:rFonts w:ascii="Book Antiqua" w:hAnsi="Book Antiqua"/>
        </w:rPr>
        <w:t xml:space="preserve"> Food and Drug Administration</w:t>
      </w:r>
      <w:r w:rsidR="00160000" w:rsidRPr="006E7292">
        <w:rPr>
          <w:rFonts w:ascii="Book Antiqua" w:hAnsi="Book Antiqua"/>
        </w:rPr>
        <w:t xml:space="preserve"> and the </w:t>
      </w:r>
      <w:bookmarkEnd w:id="17"/>
      <w:r w:rsidR="004A7411" w:rsidRPr="006E7292">
        <w:rPr>
          <w:rFonts w:ascii="Book Antiqua" w:hAnsi="Book Antiqua"/>
        </w:rPr>
        <w:t>European Medicines Agency</w:t>
      </w:r>
      <w:r w:rsidR="00160000" w:rsidRPr="006E7292">
        <w:rPr>
          <w:rFonts w:ascii="Book Antiqua" w:hAnsi="Book Antiqua"/>
        </w:rPr>
        <w:t xml:space="preserve"> for cancer diagnosis and to monitor </w:t>
      </w:r>
      <w:r w:rsidR="00AD5085" w:rsidRPr="006E7292">
        <w:rPr>
          <w:rFonts w:ascii="Book Antiqua" w:hAnsi="Book Antiqua"/>
        </w:rPr>
        <w:t xml:space="preserve">the </w:t>
      </w:r>
      <w:r w:rsidR="00160000" w:rsidRPr="006E7292">
        <w:rPr>
          <w:rFonts w:ascii="Book Antiqua" w:hAnsi="Book Antiqua"/>
        </w:rPr>
        <w:t xml:space="preserve">efficacy of treatments. For prostate cancer, ctDNA is </w:t>
      </w:r>
      <w:r w:rsidR="00F74834" w:rsidRPr="006E7292">
        <w:rPr>
          <w:rFonts w:ascii="Book Antiqua" w:hAnsi="Book Antiqua"/>
        </w:rPr>
        <w:t>a very</w:t>
      </w:r>
      <w:r w:rsidR="00160000" w:rsidRPr="006E7292">
        <w:rPr>
          <w:rFonts w:ascii="Book Antiqua" w:hAnsi="Book Antiqua"/>
        </w:rPr>
        <w:t xml:space="preserve"> interesting </w:t>
      </w:r>
      <w:r w:rsidR="00F74834" w:rsidRPr="006E7292">
        <w:rPr>
          <w:rFonts w:ascii="Book Antiqua" w:hAnsi="Book Antiqua"/>
        </w:rPr>
        <w:t>biomarker</w:t>
      </w:r>
      <w:r w:rsidR="00FE6938" w:rsidRPr="006E7292">
        <w:rPr>
          <w:rFonts w:ascii="Book Antiqua" w:hAnsi="Book Antiqua"/>
        </w:rPr>
        <w:t xml:space="preserve"> for the</w:t>
      </w:r>
      <w:r w:rsidR="00160000" w:rsidRPr="006E7292">
        <w:rPr>
          <w:rFonts w:ascii="Book Antiqua" w:hAnsi="Book Antiqua"/>
        </w:rPr>
        <w:t xml:space="preserve"> </w:t>
      </w:r>
      <w:r w:rsidR="00FE6938" w:rsidRPr="006E7292">
        <w:rPr>
          <w:rFonts w:ascii="Book Antiqua" w:hAnsi="Book Antiqua"/>
        </w:rPr>
        <w:t>anticipation of</w:t>
      </w:r>
      <w:r w:rsidR="00160000" w:rsidRPr="006E7292">
        <w:rPr>
          <w:rFonts w:ascii="Book Antiqua" w:hAnsi="Book Antiqua"/>
        </w:rPr>
        <w:t xml:space="preserve"> </w:t>
      </w:r>
      <w:r w:rsidRPr="006E7292">
        <w:rPr>
          <w:rFonts w:ascii="Book Antiqua" w:hAnsi="Book Antiqua"/>
        </w:rPr>
        <w:t>progression</w:t>
      </w:r>
      <w:r w:rsidR="006E7292">
        <w:rPr>
          <w:rFonts w:ascii="Book Antiqua" w:hAnsi="Book Antiqua"/>
        </w:rPr>
        <w:t>-</w:t>
      </w:r>
      <w:r w:rsidRPr="006E7292">
        <w:rPr>
          <w:rFonts w:ascii="Book Antiqua" w:hAnsi="Book Antiqua"/>
        </w:rPr>
        <w:t>free survival</w:t>
      </w:r>
      <w:r w:rsidR="00160000" w:rsidRPr="006E7292">
        <w:rPr>
          <w:rFonts w:ascii="Book Antiqua" w:hAnsi="Book Antiqua"/>
        </w:rPr>
        <w:t xml:space="preserve"> and </w:t>
      </w:r>
      <w:r w:rsidR="004A7411" w:rsidRPr="006E7292">
        <w:rPr>
          <w:rFonts w:ascii="Book Antiqua" w:hAnsi="Book Antiqua"/>
        </w:rPr>
        <w:t>overall survival</w:t>
      </w:r>
      <w:r w:rsidR="00160000" w:rsidRPr="006E7292">
        <w:rPr>
          <w:rFonts w:ascii="Book Antiqua" w:hAnsi="Book Antiqua"/>
        </w:rPr>
        <w:t xml:space="preserve"> </w:t>
      </w:r>
      <w:r w:rsidR="00AD5085" w:rsidRPr="006E7292">
        <w:rPr>
          <w:rFonts w:ascii="Book Antiqua" w:hAnsi="Book Antiqua"/>
        </w:rPr>
        <w:t xml:space="preserve">in </w:t>
      </w:r>
      <w:r w:rsidR="00160000" w:rsidRPr="006E7292">
        <w:rPr>
          <w:rFonts w:ascii="Book Antiqua" w:hAnsi="Book Antiqua"/>
        </w:rPr>
        <w:t>response to therapies and for improving the clinical management of patients avoiding overtreatments.</w:t>
      </w:r>
      <w:r w:rsidR="0006092C" w:rsidRPr="006E7292">
        <w:rPr>
          <w:rFonts w:ascii="Book Antiqua" w:hAnsi="Book Antiqua"/>
        </w:rPr>
        <w:t xml:space="preserve"> </w:t>
      </w:r>
      <w:r w:rsidR="00507C90" w:rsidRPr="006E7292">
        <w:rPr>
          <w:rFonts w:ascii="Book Antiqua" w:hAnsi="Book Antiqua"/>
        </w:rPr>
        <w:t xml:space="preserve">The high </w:t>
      </w:r>
      <w:r w:rsidR="00FE6938" w:rsidRPr="006E7292">
        <w:rPr>
          <w:rFonts w:ascii="Book Antiqua" w:hAnsi="Book Antiqua"/>
        </w:rPr>
        <w:t>concordance between ctDNA genomic alterations and those found in tumor tissue biopsies strongly supports</w:t>
      </w:r>
      <w:r w:rsidR="00507C90" w:rsidRPr="006E7292">
        <w:rPr>
          <w:rFonts w:ascii="Book Antiqua" w:hAnsi="Book Antiqua"/>
        </w:rPr>
        <w:t xml:space="preserve"> the potential of liquid biopsy </w:t>
      </w:r>
      <w:r w:rsidR="00A74CFA" w:rsidRPr="006E7292">
        <w:rPr>
          <w:rFonts w:ascii="Book Antiqua" w:hAnsi="Book Antiqua"/>
        </w:rPr>
        <w:t xml:space="preserve">to integrate clinical data and improve patient management. </w:t>
      </w:r>
      <w:r w:rsidR="00AD5085" w:rsidRPr="006E7292">
        <w:rPr>
          <w:rFonts w:ascii="Book Antiqua" w:hAnsi="Book Antiqua"/>
        </w:rPr>
        <w:t>The n</w:t>
      </w:r>
      <w:r w:rsidR="0006092C" w:rsidRPr="006E7292">
        <w:rPr>
          <w:rFonts w:ascii="Book Antiqua" w:hAnsi="Book Antiqua"/>
        </w:rPr>
        <w:t xml:space="preserve">ext generation sequencing of cfDNA has demonstrated </w:t>
      </w:r>
      <w:r w:rsidR="00715721" w:rsidRPr="006E7292">
        <w:rPr>
          <w:rFonts w:ascii="Book Antiqua" w:hAnsi="Book Antiqua"/>
        </w:rPr>
        <w:t xml:space="preserve">the </w:t>
      </w:r>
      <w:r w:rsidR="0006092C" w:rsidRPr="006E7292">
        <w:rPr>
          <w:rFonts w:ascii="Book Antiqua" w:hAnsi="Book Antiqua"/>
        </w:rPr>
        <w:t>potential for the follow</w:t>
      </w:r>
      <w:r w:rsidR="00715721" w:rsidRPr="006E7292">
        <w:rPr>
          <w:rFonts w:ascii="Book Antiqua" w:hAnsi="Book Antiqua"/>
        </w:rPr>
        <w:t>-</w:t>
      </w:r>
      <w:r w:rsidR="0006092C" w:rsidRPr="006E7292">
        <w:rPr>
          <w:rFonts w:ascii="Book Antiqua" w:hAnsi="Book Antiqua"/>
        </w:rPr>
        <w:t xml:space="preserve">up of the mutational changes of the tumor </w:t>
      </w:r>
      <w:r w:rsidR="00715721" w:rsidRPr="006E7292">
        <w:rPr>
          <w:rFonts w:ascii="Book Antiqua" w:hAnsi="Book Antiqua"/>
        </w:rPr>
        <w:t xml:space="preserve">by </w:t>
      </w:r>
      <w:r w:rsidR="0006092C" w:rsidRPr="006E7292">
        <w:rPr>
          <w:rFonts w:ascii="Book Antiqua" w:hAnsi="Book Antiqua"/>
        </w:rPr>
        <w:t xml:space="preserve">being able to identify all its heterogeneity </w:t>
      </w:r>
      <w:r w:rsidR="00F52352" w:rsidRPr="006E7292">
        <w:rPr>
          <w:rFonts w:ascii="Book Antiqua" w:hAnsi="Book Antiqua"/>
        </w:rPr>
        <w:t>and</w:t>
      </w:r>
      <w:r w:rsidR="0006092C" w:rsidRPr="006E7292">
        <w:rPr>
          <w:rFonts w:ascii="Book Antiqua" w:hAnsi="Book Antiqua"/>
        </w:rPr>
        <w:t xml:space="preserve"> to anticipate drug resistance. Moreover, many affordable high</w:t>
      </w:r>
      <w:r w:rsidR="00AD5085" w:rsidRPr="006E7292">
        <w:rPr>
          <w:rFonts w:ascii="Book Antiqua" w:hAnsi="Book Antiqua"/>
        </w:rPr>
        <w:t>-</w:t>
      </w:r>
      <w:r w:rsidR="0006092C" w:rsidRPr="006E7292">
        <w:rPr>
          <w:rFonts w:ascii="Book Antiqua" w:hAnsi="Book Antiqua"/>
        </w:rPr>
        <w:t xml:space="preserve">throughput technologies, </w:t>
      </w:r>
      <w:r w:rsidR="00FE6938" w:rsidRPr="006E7292">
        <w:rPr>
          <w:rFonts w:ascii="Book Antiqua" w:hAnsi="Book Antiqua"/>
          <w:i/>
        </w:rPr>
        <w:t>e.g.</w:t>
      </w:r>
      <w:r w:rsidR="0006092C" w:rsidRPr="006E7292">
        <w:rPr>
          <w:rFonts w:ascii="Book Antiqua" w:hAnsi="Book Antiqua"/>
        </w:rPr>
        <w:t xml:space="preserve"> digital PCR, are now available to precisely detect</w:t>
      </w:r>
      <w:r w:rsidR="00AD5085" w:rsidRPr="006E7292">
        <w:rPr>
          <w:rFonts w:ascii="Book Antiqua" w:hAnsi="Book Antiqua"/>
        </w:rPr>
        <w:t xml:space="preserve"> the </w:t>
      </w:r>
      <w:r w:rsidR="0006092C" w:rsidRPr="006E7292">
        <w:rPr>
          <w:rFonts w:ascii="Book Antiqua" w:hAnsi="Book Antiqua"/>
        </w:rPr>
        <w:t>copy number variations of selected target genes (</w:t>
      </w:r>
      <w:r w:rsidR="00B16687" w:rsidRPr="006E7292">
        <w:rPr>
          <w:rFonts w:ascii="Book Antiqua" w:hAnsi="Book Antiqua"/>
          <w:i/>
        </w:rPr>
        <w:t>e.g.</w:t>
      </w:r>
      <w:r w:rsidR="0006092C" w:rsidRPr="006E7292">
        <w:rPr>
          <w:rFonts w:ascii="Book Antiqua" w:hAnsi="Book Antiqua"/>
        </w:rPr>
        <w:t xml:space="preserve"> </w:t>
      </w:r>
      <w:r w:rsidR="0006092C" w:rsidRPr="006E7292">
        <w:rPr>
          <w:rFonts w:ascii="Book Antiqua" w:hAnsi="Book Antiqua"/>
          <w:i/>
        </w:rPr>
        <w:t xml:space="preserve">AR, TP53, BRCA2, </w:t>
      </w:r>
      <w:proofErr w:type="gramStart"/>
      <w:r w:rsidR="0006092C" w:rsidRPr="006E7292">
        <w:rPr>
          <w:rFonts w:ascii="Book Antiqua" w:hAnsi="Book Antiqua"/>
          <w:i/>
        </w:rPr>
        <w:t>PIK3CA</w:t>
      </w:r>
      <w:proofErr w:type="gramEnd"/>
      <w:r w:rsidR="0006092C" w:rsidRPr="006E7292">
        <w:rPr>
          <w:rFonts w:ascii="Book Antiqua" w:hAnsi="Book Antiqua"/>
        </w:rPr>
        <w:t xml:space="preserve">) that are relevant </w:t>
      </w:r>
      <w:r w:rsidR="008C5076" w:rsidRPr="006E7292">
        <w:rPr>
          <w:rFonts w:ascii="Book Antiqua" w:hAnsi="Book Antiqua"/>
        </w:rPr>
        <w:t xml:space="preserve">for </w:t>
      </w:r>
      <w:r w:rsidR="00AD5085" w:rsidRPr="006E7292">
        <w:rPr>
          <w:rFonts w:ascii="Book Antiqua" w:hAnsi="Book Antiqua"/>
        </w:rPr>
        <w:t xml:space="preserve">the </w:t>
      </w:r>
      <w:r w:rsidR="008C5076" w:rsidRPr="006E7292">
        <w:rPr>
          <w:rFonts w:ascii="Book Antiqua" w:hAnsi="Book Antiqua"/>
        </w:rPr>
        <w:t>progression of the disease and</w:t>
      </w:r>
      <w:r w:rsidR="00AD5085" w:rsidRPr="006E7292">
        <w:rPr>
          <w:rFonts w:ascii="Book Antiqua" w:hAnsi="Book Antiqua"/>
        </w:rPr>
        <w:t xml:space="preserve"> in</w:t>
      </w:r>
      <w:r w:rsidR="008C5076" w:rsidRPr="006E7292">
        <w:rPr>
          <w:rFonts w:ascii="Book Antiqua" w:hAnsi="Book Antiqua"/>
        </w:rPr>
        <w:t xml:space="preserve"> response to therapies.</w:t>
      </w:r>
      <w:r w:rsidR="00A74CFA" w:rsidRPr="006E7292">
        <w:rPr>
          <w:rFonts w:ascii="Book Antiqua" w:hAnsi="Book Antiqua"/>
        </w:rPr>
        <w:t xml:space="preserve"> </w:t>
      </w:r>
    </w:p>
    <w:p w14:paraId="13630D48" w14:textId="77CB3C35" w:rsidR="00DF6E4D" w:rsidRPr="006E7292" w:rsidRDefault="00A74CFA">
      <w:pPr>
        <w:snapToGrid w:val="0"/>
        <w:spacing w:line="360" w:lineRule="auto"/>
        <w:ind w:firstLineChars="100" w:firstLine="240"/>
        <w:jc w:val="both"/>
        <w:rPr>
          <w:rFonts w:ascii="Book Antiqua" w:hAnsi="Book Antiqua"/>
        </w:rPr>
      </w:pPr>
      <w:r w:rsidRPr="006E7292">
        <w:rPr>
          <w:rFonts w:ascii="Book Antiqua" w:hAnsi="Book Antiqua"/>
        </w:rPr>
        <w:t xml:space="preserve">The potential usefulness of cfRNAs in mCRPC is emerging, especially as </w:t>
      </w:r>
      <w:r w:rsidR="00F74834" w:rsidRPr="006E7292">
        <w:rPr>
          <w:rFonts w:ascii="Book Antiqua" w:hAnsi="Book Antiqua"/>
        </w:rPr>
        <w:t>additional</w:t>
      </w:r>
      <w:r w:rsidRPr="006E7292">
        <w:rPr>
          <w:rFonts w:ascii="Book Antiqua" w:hAnsi="Book Antiqua"/>
        </w:rPr>
        <w:t xml:space="preserve"> marker</w:t>
      </w:r>
      <w:r w:rsidR="00715721" w:rsidRPr="006E7292">
        <w:rPr>
          <w:rFonts w:ascii="Book Antiqua" w:hAnsi="Book Antiqua"/>
        </w:rPr>
        <w:t>s</w:t>
      </w:r>
      <w:r w:rsidRPr="006E7292">
        <w:rPr>
          <w:rFonts w:ascii="Book Antiqua" w:hAnsi="Book Antiqua"/>
        </w:rPr>
        <w:t xml:space="preserve"> for aggressiveness and metastasis. Many of the studies in cfRNA involved miRNA analysis</w:t>
      </w:r>
      <w:r w:rsidR="00C137A0" w:rsidRPr="006E7292">
        <w:rPr>
          <w:rFonts w:ascii="Book Antiqua" w:hAnsi="Book Antiqua"/>
        </w:rPr>
        <w:t>,</w:t>
      </w:r>
      <w:r w:rsidRPr="006E7292">
        <w:rPr>
          <w:rFonts w:ascii="Book Antiqua" w:hAnsi="Book Antiqua"/>
        </w:rPr>
        <w:t xml:space="preserve"> but </w:t>
      </w:r>
      <w:r w:rsidR="00C137A0" w:rsidRPr="006E7292">
        <w:rPr>
          <w:rFonts w:ascii="Book Antiqua" w:hAnsi="Book Antiqua"/>
        </w:rPr>
        <w:t xml:space="preserve">more </w:t>
      </w:r>
      <w:r w:rsidRPr="006E7292">
        <w:rPr>
          <w:rFonts w:ascii="Book Antiqua" w:hAnsi="Book Antiqua"/>
        </w:rPr>
        <w:t xml:space="preserve">recently </w:t>
      </w:r>
      <w:r w:rsidR="00C137A0" w:rsidRPr="006E7292">
        <w:rPr>
          <w:rFonts w:ascii="Book Antiqua" w:hAnsi="Book Antiqua"/>
        </w:rPr>
        <w:t xml:space="preserve">even </w:t>
      </w:r>
      <w:r w:rsidRPr="006E7292">
        <w:rPr>
          <w:rFonts w:ascii="Book Antiqua" w:hAnsi="Book Antiqua"/>
        </w:rPr>
        <w:t xml:space="preserve">other classes of </w:t>
      </w:r>
      <w:r w:rsidR="003D203D" w:rsidRPr="006E7292">
        <w:rPr>
          <w:rFonts w:ascii="Book Antiqua" w:hAnsi="Book Antiqua"/>
        </w:rPr>
        <w:t>non-coding</w:t>
      </w:r>
      <w:r w:rsidRPr="006E7292">
        <w:rPr>
          <w:rFonts w:ascii="Book Antiqua" w:hAnsi="Book Antiqua"/>
        </w:rPr>
        <w:t xml:space="preserve"> RNA have been explore</w:t>
      </w:r>
      <w:r w:rsidR="003D203D" w:rsidRPr="006E7292">
        <w:rPr>
          <w:rFonts w:ascii="Book Antiqua" w:hAnsi="Book Antiqua"/>
        </w:rPr>
        <w:t>d</w:t>
      </w:r>
      <w:r w:rsidR="00C137A0" w:rsidRPr="006E7292">
        <w:rPr>
          <w:rFonts w:ascii="Book Antiqua" w:hAnsi="Book Antiqua"/>
        </w:rPr>
        <w:t>,</w:t>
      </w:r>
      <w:r w:rsidR="003D203D" w:rsidRPr="006E7292">
        <w:rPr>
          <w:rFonts w:ascii="Book Antiqua" w:hAnsi="Book Antiqua"/>
        </w:rPr>
        <w:t xml:space="preserve"> </w:t>
      </w:r>
      <w:r w:rsidR="00C137A0" w:rsidRPr="006E7292">
        <w:rPr>
          <w:rFonts w:ascii="Book Antiqua" w:hAnsi="Book Antiqua"/>
        </w:rPr>
        <w:t xml:space="preserve">such as </w:t>
      </w:r>
      <w:r w:rsidR="003D203D" w:rsidRPr="006E7292">
        <w:rPr>
          <w:rFonts w:ascii="Book Antiqua" w:hAnsi="Book Antiqua"/>
        </w:rPr>
        <w:t>long non-</w:t>
      </w:r>
      <w:r w:rsidR="003858B0" w:rsidRPr="006E7292">
        <w:rPr>
          <w:rFonts w:ascii="Book Antiqua" w:hAnsi="Book Antiqua"/>
        </w:rPr>
        <w:t xml:space="preserve">coding RNA. </w:t>
      </w:r>
      <w:r w:rsidR="00C137A0" w:rsidRPr="006E7292">
        <w:rPr>
          <w:rFonts w:ascii="Book Antiqua" w:hAnsi="Book Antiqua"/>
        </w:rPr>
        <w:t>In the clinic the</w:t>
      </w:r>
      <w:r w:rsidR="003858B0" w:rsidRPr="006E7292">
        <w:rPr>
          <w:rFonts w:ascii="Book Antiqua" w:hAnsi="Book Antiqua"/>
        </w:rPr>
        <w:t xml:space="preserve"> potential</w:t>
      </w:r>
      <w:r w:rsidR="00C137A0" w:rsidRPr="006E7292">
        <w:rPr>
          <w:rFonts w:ascii="Book Antiqua" w:hAnsi="Book Antiqua"/>
        </w:rPr>
        <w:t xml:space="preserve"> use</w:t>
      </w:r>
      <w:r w:rsidR="003858B0" w:rsidRPr="006E7292">
        <w:rPr>
          <w:rFonts w:ascii="Book Antiqua" w:hAnsi="Book Antiqua"/>
        </w:rPr>
        <w:t xml:space="preserve"> of cfRNA analysis could implement information about the sta</w:t>
      </w:r>
      <w:r w:rsidR="003D203D" w:rsidRPr="006E7292">
        <w:rPr>
          <w:rFonts w:ascii="Book Antiqua" w:hAnsi="Book Antiqua"/>
        </w:rPr>
        <w:t>ging</w:t>
      </w:r>
      <w:r w:rsidR="003858B0" w:rsidRPr="006E7292">
        <w:rPr>
          <w:rFonts w:ascii="Book Antiqua" w:hAnsi="Book Antiqua"/>
        </w:rPr>
        <w:t xml:space="preserve"> of the </w:t>
      </w:r>
      <w:r w:rsidR="00F52352" w:rsidRPr="006E7292">
        <w:rPr>
          <w:rFonts w:ascii="Book Antiqua" w:hAnsi="Book Antiqua"/>
        </w:rPr>
        <w:t>disease</w:t>
      </w:r>
      <w:r w:rsidR="00715721" w:rsidRPr="006E7292">
        <w:rPr>
          <w:rFonts w:ascii="Book Antiqua" w:hAnsi="Book Antiqua"/>
        </w:rPr>
        <w:t>,</w:t>
      </w:r>
      <w:r w:rsidR="00F52352" w:rsidRPr="006E7292">
        <w:rPr>
          <w:rFonts w:ascii="Book Antiqua" w:hAnsi="Book Antiqua"/>
        </w:rPr>
        <w:t xml:space="preserve"> but</w:t>
      </w:r>
      <w:r w:rsidR="00AD5085" w:rsidRPr="006E7292">
        <w:rPr>
          <w:rFonts w:ascii="Book Antiqua" w:hAnsi="Book Antiqua"/>
        </w:rPr>
        <w:t xml:space="preserve"> it</w:t>
      </w:r>
      <w:r w:rsidR="003858B0" w:rsidRPr="006E7292">
        <w:rPr>
          <w:rFonts w:ascii="Book Antiqua" w:hAnsi="Book Antiqua"/>
        </w:rPr>
        <w:t xml:space="preserve"> might be useful to discriminate indolent </w:t>
      </w:r>
      <w:r w:rsidR="003858B0" w:rsidRPr="00644326">
        <w:rPr>
          <w:rFonts w:ascii="Book Antiqua" w:hAnsi="Book Antiqua"/>
          <w:i/>
          <w:iCs/>
        </w:rPr>
        <w:t>versus</w:t>
      </w:r>
      <w:r w:rsidR="003858B0" w:rsidRPr="006E7292">
        <w:rPr>
          <w:rFonts w:ascii="Book Antiqua" w:hAnsi="Book Antiqua"/>
        </w:rPr>
        <w:t xml:space="preserve"> aggressive </w:t>
      </w:r>
      <w:r w:rsidR="0082101D" w:rsidRPr="006E7292">
        <w:rPr>
          <w:rFonts w:ascii="Book Antiqua" w:hAnsi="Book Antiqua"/>
        </w:rPr>
        <w:t>prostate cancer</w:t>
      </w:r>
      <w:r w:rsidR="003858B0" w:rsidRPr="006E7292">
        <w:rPr>
          <w:rFonts w:ascii="Book Antiqua" w:hAnsi="Book Antiqua"/>
        </w:rPr>
        <w:t xml:space="preserve">. </w:t>
      </w:r>
    </w:p>
    <w:p w14:paraId="5A01392E" w14:textId="765DA002" w:rsidR="00DF6E4D" w:rsidRPr="006E7292" w:rsidRDefault="00DF6E4D">
      <w:pPr>
        <w:snapToGrid w:val="0"/>
        <w:spacing w:line="360" w:lineRule="auto"/>
        <w:ind w:firstLineChars="100" w:firstLine="240"/>
        <w:jc w:val="both"/>
        <w:rPr>
          <w:rFonts w:ascii="Book Antiqua" w:hAnsi="Book Antiqua"/>
        </w:rPr>
      </w:pPr>
      <w:r w:rsidRPr="006E7292">
        <w:rPr>
          <w:rFonts w:ascii="Book Antiqua" w:hAnsi="Book Antiqua"/>
        </w:rPr>
        <w:t xml:space="preserve">Liquid biopsy data offers robust evidence to consider cell-free nucleic acid analysis useful to improve the clinical management of mCRPC patients. In this new approach the use of PSA as </w:t>
      </w:r>
      <w:r w:rsidR="00715721" w:rsidRPr="006E7292">
        <w:rPr>
          <w:rFonts w:ascii="Book Antiqua" w:hAnsi="Book Antiqua"/>
        </w:rPr>
        <w:t xml:space="preserve">a </w:t>
      </w:r>
      <w:r w:rsidRPr="006E7292">
        <w:rPr>
          <w:rFonts w:ascii="Book Antiqua" w:hAnsi="Book Antiqua"/>
        </w:rPr>
        <w:t xml:space="preserve">biomarker must be considered. PSA is the biomarker approved for men by </w:t>
      </w:r>
      <w:r w:rsidR="00576A4B" w:rsidRPr="006E7292">
        <w:rPr>
          <w:rFonts w:ascii="Book Antiqua" w:hAnsi="Book Antiqua"/>
        </w:rPr>
        <w:t>the Food and Drug Administration</w:t>
      </w:r>
      <w:r w:rsidRPr="006E7292">
        <w:rPr>
          <w:rFonts w:ascii="Book Antiqua" w:hAnsi="Book Antiqua"/>
        </w:rPr>
        <w:t xml:space="preserve"> in 1986</w:t>
      </w:r>
      <w:r w:rsidR="00934945" w:rsidRPr="006E7292">
        <w:rPr>
          <w:rFonts w:ascii="Book Antiqua" w:hAnsi="Book Antiqua"/>
        </w:rPr>
        <w:t>.</w:t>
      </w:r>
      <w:r w:rsidRPr="006E7292">
        <w:rPr>
          <w:rFonts w:ascii="Book Antiqua" w:hAnsi="Book Antiqua"/>
        </w:rPr>
        <w:t xml:space="preserve"> </w:t>
      </w:r>
      <w:r w:rsidR="00934945" w:rsidRPr="006E7292">
        <w:rPr>
          <w:rFonts w:ascii="Book Antiqua" w:hAnsi="Book Antiqua"/>
        </w:rPr>
        <w:t>F</w:t>
      </w:r>
      <w:r w:rsidRPr="006E7292">
        <w:rPr>
          <w:rFonts w:ascii="Book Antiqua" w:hAnsi="Book Antiqua"/>
        </w:rPr>
        <w:t xml:space="preserve">rom then on, it has been widely used to predict incidence and recurrence of prostate cancer, despite its poor specificity. However, in mCRPC the PSA seems to be more specific as </w:t>
      </w:r>
      <w:r w:rsidR="00934945" w:rsidRPr="006E7292">
        <w:rPr>
          <w:rFonts w:ascii="Book Antiqua" w:hAnsi="Book Antiqua"/>
        </w:rPr>
        <w:t xml:space="preserve">a </w:t>
      </w:r>
      <w:r w:rsidRPr="006E7292">
        <w:rPr>
          <w:rFonts w:ascii="Book Antiqua" w:hAnsi="Book Antiqua"/>
        </w:rPr>
        <w:t xml:space="preserve">biomarker than in the onset of prostate cancer; its increase is related to cancer </w:t>
      </w:r>
      <w:proofErr w:type="gramStart"/>
      <w:r w:rsidRPr="006E7292">
        <w:rPr>
          <w:rFonts w:ascii="Book Antiqua" w:hAnsi="Book Antiqua"/>
        </w:rPr>
        <w:t>progression</w:t>
      </w:r>
      <w:r w:rsidR="004A7411" w:rsidRPr="006E7292">
        <w:rPr>
          <w:rFonts w:ascii="Book Antiqua" w:hAnsi="Book Antiqua"/>
          <w:vertAlign w:val="superscript"/>
        </w:rPr>
        <w:t>[</w:t>
      </w:r>
      <w:proofErr w:type="gramEnd"/>
      <w:r w:rsidRPr="006E7292">
        <w:rPr>
          <w:rFonts w:ascii="Book Antiqua" w:hAnsi="Book Antiqua"/>
          <w:vertAlign w:val="superscript"/>
        </w:rPr>
        <w:t>73</w:t>
      </w:r>
      <w:r w:rsidR="004A7411" w:rsidRPr="006E7292">
        <w:rPr>
          <w:rFonts w:ascii="Book Antiqua" w:hAnsi="Book Antiqua"/>
          <w:vertAlign w:val="superscript"/>
        </w:rPr>
        <w:t>]</w:t>
      </w:r>
      <w:r w:rsidRPr="006E7292">
        <w:rPr>
          <w:rFonts w:ascii="Book Antiqua" w:hAnsi="Book Antiqua"/>
        </w:rPr>
        <w:t xml:space="preserve">. The significance of PSA measurements in mCRPC is still interesting for the scientific community. For example, Aggarwal </w:t>
      </w:r>
      <w:r w:rsidRPr="006E7292">
        <w:rPr>
          <w:rFonts w:ascii="Book Antiqua" w:hAnsi="Book Antiqua"/>
          <w:i/>
        </w:rPr>
        <w:t xml:space="preserve">et </w:t>
      </w:r>
      <w:proofErr w:type="gramStart"/>
      <w:r w:rsidRPr="006E7292">
        <w:rPr>
          <w:rFonts w:ascii="Book Antiqua" w:hAnsi="Book Antiqua"/>
          <w:i/>
        </w:rPr>
        <w:t>al</w:t>
      </w:r>
      <w:r w:rsidR="004A7411" w:rsidRPr="006E7292">
        <w:rPr>
          <w:rFonts w:ascii="Book Antiqua" w:hAnsi="Book Antiqua"/>
          <w:vertAlign w:val="superscript"/>
        </w:rPr>
        <w:t>[</w:t>
      </w:r>
      <w:proofErr w:type="gramEnd"/>
      <w:r w:rsidR="004A7411" w:rsidRPr="006E7292">
        <w:rPr>
          <w:rFonts w:ascii="Book Antiqua" w:hAnsi="Book Antiqua"/>
          <w:vertAlign w:val="superscript"/>
        </w:rPr>
        <w:t>74]</w:t>
      </w:r>
      <w:r w:rsidRPr="006E7292">
        <w:rPr>
          <w:rFonts w:ascii="Book Antiqua" w:hAnsi="Book Antiqua"/>
        </w:rPr>
        <w:t xml:space="preserve"> recently demonstrated that low PSA secretion levels can stratify mCRPC patients with treatment-emergent </w:t>
      </w:r>
      <w:r w:rsidRPr="006E7292">
        <w:rPr>
          <w:rFonts w:ascii="Book Antiqua" w:hAnsi="Book Antiqua"/>
        </w:rPr>
        <w:lastRenderedPageBreak/>
        <w:t xml:space="preserve">small-cell neuroendocrine prostate cancer. In fact, low PSA secretors showed high </w:t>
      </w:r>
      <w:r w:rsidR="004A7411" w:rsidRPr="006E7292">
        <w:rPr>
          <w:rFonts w:ascii="Book Antiqua" w:hAnsi="Book Antiqua"/>
        </w:rPr>
        <w:t>treatment-emergent small-cell neuroendocrine prostate cancer</w:t>
      </w:r>
      <w:r w:rsidRPr="006E7292">
        <w:rPr>
          <w:rFonts w:ascii="Book Antiqua" w:hAnsi="Book Antiqua"/>
        </w:rPr>
        <w:t xml:space="preserve">, </w:t>
      </w:r>
      <w:r w:rsidRPr="006E7292">
        <w:rPr>
          <w:rFonts w:ascii="Book Antiqua" w:hAnsi="Book Antiqua"/>
          <w:i/>
        </w:rPr>
        <w:t>RB1</w:t>
      </w:r>
      <w:r w:rsidRPr="006E7292">
        <w:rPr>
          <w:rFonts w:ascii="Book Antiqua" w:hAnsi="Book Antiqua"/>
        </w:rPr>
        <w:t xml:space="preserve"> and </w:t>
      </w:r>
      <w:r w:rsidRPr="006E7292">
        <w:rPr>
          <w:rFonts w:ascii="Book Antiqua" w:hAnsi="Book Antiqua"/>
          <w:i/>
        </w:rPr>
        <w:t>TP53</w:t>
      </w:r>
      <w:r w:rsidRPr="006E7292">
        <w:rPr>
          <w:rFonts w:ascii="Book Antiqua" w:hAnsi="Book Antiqua"/>
        </w:rPr>
        <w:t xml:space="preserve"> loss and low AR transcription. In addition, </w:t>
      </w:r>
      <w:r w:rsidR="00934945" w:rsidRPr="006E7292">
        <w:rPr>
          <w:rFonts w:ascii="Book Antiqua" w:hAnsi="Book Antiqua"/>
        </w:rPr>
        <w:t xml:space="preserve">overall survival </w:t>
      </w:r>
      <w:r w:rsidRPr="006E7292">
        <w:rPr>
          <w:rFonts w:ascii="Book Antiqua" w:hAnsi="Book Antiqua"/>
        </w:rPr>
        <w:t xml:space="preserve">and </w:t>
      </w:r>
      <w:r w:rsidR="00934945" w:rsidRPr="006E7292">
        <w:rPr>
          <w:rFonts w:ascii="Book Antiqua" w:hAnsi="Book Antiqua"/>
        </w:rPr>
        <w:t>progression</w:t>
      </w:r>
      <w:r w:rsidR="006E7292">
        <w:rPr>
          <w:rFonts w:ascii="Book Antiqua" w:hAnsi="Book Antiqua"/>
        </w:rPr>
        <w:t>-</w:t>
      </w:r>
      <w:r w:rsidR="00934945" w:rsidRPr="006E7292">
        <w:rPr>
          <w:rFonts w:ascii="Book Antiqua" w:hAnsi="Book Antiqua"/>
        </w:rPr>
        <w:t xml:space="preserve">free survival </w:t>
      </w:r>
      <w:r w:rsidRPr="006E7292">
        <w:rPr>
          <w:rFonts w:ascii="Book Antiqua" w:hAnsi="Book Antiqua"/>
        </w:rPr>
        <w:t xml:space="preserve">were shorter in the low PSA secretor </w:t>
      </w:r>
      <w:proofErr w:type="gramStart"/>
      <w:r w:rsidRPr="006E7292">
        <w:rPr>
          <w:rFonts w:ascii="Book Antiqua" w:hAnsi="Book Antiqua"/>
        </w:rPr>
        <w:t>group</w:t>
      </w:r>
      <w:r w:rsidR="004A7411" w:rsidRPr="006E7292">
        <w:rPr>
          <w:rFonts w:ascii="Book Antiqua" w:hAnsi="Book Antiqua"/>
          <w:vertAlign w:val="superscript"/>
        </w:rPr>
        <w:t>[</w:t>
      </w:r>
      <w:proofErr w:type="gramEnd"/>
      <w:r w:rsidRPr="006E7292">
        <w:rPr>
          <w:rFonts w:ascii="Book Antiqua" w:hAnsi="Book Antiqua"/>
          <w:vertAlign w:val="superscript"/>
        </w:rPr>
        <w:t>74</w:t>
      </w:r>
      <w:r w:rsidR="004A7411" w:rsidRPr="006E7292">
        <w:rPr>
          <w:rFonts w:ascii="Book Antiqua" w:hAnsi="Book Antiqua"/>
          <w:vertAlign w:val="superscript"/>
        </w:rPr>
        <w:t>]</w:t>
      </w:r>
      <w:r w:rsidRPr="006E7292">
        <w:rPr>
          <w:rFonts w:ascii="Book Antiqua" w:hAnsi="Book Antiqua"/>
        </w:rPr>
        <w:t>. In a retrosp</w:t>
      </w:r>
      <w:r w:rsidR="004A7411" w:rsidRPr="006E7292">
        <w:rPr>
          <w:rFonts w:ascii="Book Antiqua" w:hAnsi="Book Antiqua"/>
        </w:rPr>
        <w:t xml:space="preserve">ective study, Buttigliero </w:t>
      </w:r>
      <w:r w:rsidR="004A7411" w:rsidRPr="006E7292">
        <w:rPr>
          <w:rFonts w:ascii="Book Antiqua" w:hAnsi="Book Antiqua"/>
          <w:i/>
        </w:rPr>
        <w:t>et al</w:t>
      </w:r>
      <w:r w:rsidR="004A7411" w:rsidRPr="006E7292">
        <w:rPr>
          <w:rFonts w:ascii="Book Antiqua" w:hAnsi="Book Antiqua"/>
          <w:vertAlign w:val="superscript"/>
        </w:rPr>
        <w:t>[75]</w:t>
      </w:r>
      <w:r w:rsidRPr="006E7292">
        <w:rPr>
          <w:rFonts w:ascii="Book Antiqua" w:hAnsi="Book Antiqua"/>
        </w:rPr>
        <w:t xml:space="preserve"> showed that early PSA drop was related to a better </w:t>
      </w:r>
      <w:r w:rsidR="00934945" w:rsidRPr="006E7292">
        <w:rPr>
          <w:rFonts w:ascii="Book Antiqua" w:hAnsi="Book Antiqua"/>
        </w:rPr>
        <w:t>overall survival</w:t>
      </w:r>
      <w:r w:rsidRPr="006E7292">
        <w:rPr>
          <w:rFonts w:ascii="Book Antiqua" w:hAnsi="Book Antiqua"/>
        </w:rPr>
        <w:t xml:space="preserve"> and </w:t>
      </w:r>
      <w:r w:rsidR="00934945" w:rsidRPr="006E7292">
        <w:rPr>
          <w:rFonts w:ascii="Book Antiqua" w:hAnsi="Book Antiqua"/>
        </w:rPr>
        <w:t>progression</w:t>
      </w:r>
      <w:r w:rsidR="006E7292">
        <w:rPr>
          <w:rFonts w:ascii="Book Antiqua" w:hAnsi="Book Antiqua"/>
        </w:rPr>
        <w:t>-</w:t>
      </w:r>
      <w:r w:rsidR="00934945" w:rsidRPr="006E7292">
        <w:rPr>
          <w:rFonts w:ascii="Book Antiqua" w:hAnsi="Book Antiqua"/>
        </w:rPr>
        <w:t>free survival</w:t>
      </w:r>
      <w:r w:rsidRPr="006E7292">
        <w:rPr>
          <w:rFonts w:ascii="Book Antiqua" w:hAnsi="Book Antiqua"/>
        </w:rPr>
        <w:t xml:space="preserve"> in mCRPC patients treated with abiraterone or enzalutamide (docetaxel-naïve or post-docetaxel setting). Finally, a mathematical model of PSA dynamics has been proposed to predict individual response to intermittent androgen deprivation </w:t>
      </w:r>
      <w:proofErr w:type="gramStart"/>
      <w:r w:rsidRPr="006E7292">
        <w:rPr>
          <w:rFonts w:ascii="Book Antiqua" w:hAnsi="Book Antiqua"/>
        </w:rPr>
        <w:t>therapy</w:t>
      </w:r>
      <w:r w:rsidR="00A93BA6" w:rsidRPr="006E7292">
        <w:rPr>
          <w:rFonts w:ascii="Book Antiqua" w:hAnsi="Book Antiqua"/>
          <w:vertAlign w:val="superscript"/>
        </w:rPr>
        <w:t>[</w:t>
      </w:r>
      <w:proofErr w:type="gramEnd"/>
      <w:r w:rsidRPr="006E7292">
        <w:rPr>
          <w:rFonts w:ascii="Book Antiqua" w:hAnsi="Book Antiqua"/>
          <w:vertAlign w:val="superscript"/>
        </w:rPr>
        <w:t>76</w:t>
      </w:r>
      <w:r w:rsidR="00A93BA6" w:rsidRPr="006E7292">
        <w:rPr>
          <w:rFonts w:ascii="Book Antiqua" w:hAnsi="Book Antiqua"/>
          <w:vertAlign w:val="superscript"/>
        </w:rPr>
        <w:t>]</w:t>
      </w:r>
      <w:r w:rsidRPr="006E7292">
        <w:rPr>
          <w:rFonts w:ascii="Book Antiqua" w:hAnsi="Book Antiqua"/>
        </w:rPr>
        <w:t>.</w:t>
      </w:r>
    </w:p>
    <w:p w14:paraId="53EAFBE3" w14:textId="77777777" w:rsidR="00A93BA6" w:rsidRPr="006E7292" w:rsidRDefault="00A93BA6">
      <w:pPr>
        <w:snapToGrid w:val="0"/>
        <w:spacing w:line="360" w:lineRule="auto"/>
        <w:jc w:val="both"/>
        <w:rPr>
          <w:rFonts w:ascii="Book Antiqua" w:hAnsi="Book Antiqua"/>
        </w:rPr>
      </w:pPr>
    </w:p>
    <w:p w14:paraId="78CE0BCD" w14:textId="09F1E9D0" w:rsidR="00A93BA6" w:rsidRPr="006E7292" w:rsidRDefault="00A93BA6">
      <w:pPr>
        <w:snapToGrid w:val="0"/>
        <w:spacing w:line="360" w:lineRule="auto"/>
        <w:jc w:val="both"/>
        <w:rPr>
          <w:rFonts w:ascii="Book Antiqua" w:hAnsi="Book Antiqua"/>
        </w:rPr>
      </w:pPr>
      <w:r w:rsidRPr="006E7292">
        <w:rPr>
          <w:rStyle w:val="h3"/>
          <w:rFonts w:ascii="Book Antiqua" w:hAnsi="Book Antiqua"/>
          <w:b/>
          <w:bCs/>
          <w:color w:val="000000"/>
          <w:u w:val="single"/>
        </w:rPr>
        <w:t>CONCLUSION</w:t>
      </w:r>
    </w:p>
    <w:p w14:paraId="7BFB721F" w14:textId="4A82A719" w:rsidR="00DF6E4D" w:rsidRPr="006E7292" w:rsidRDefault="00DF6E4D">
      <w:pPr>
        <w:snapToGrid w:val="0"/>
        <w:spacing w:line="360" w:lineRule="auto"/>
        <w:jc w:val="both"/>
        <w:rPr>
          <w:rFonts w:ascii="Book Antiqua" w:hAnsi="Book Antiqua"/>
        </w:rPr>
      </w:pPr>
      <w:r w:rsidRPr="006E7292">
        <w:rPr>
          <w:rFonts w:ascii="Book Antiqua" w:hAnsi="Book Antiqua"/>
        </w:rPr>
        <w:t xml:space="preserve">In our opinion, PSA can play an important role as </w:t>
      </w:r>
      <w:r w:rsidR="00934945" w:rsidRPr="006E7292">
        <w:rPr>
          <w:rFonts w:ascii="Book Antiqua" w:hAnsi="Book Antiqua"/>
        </w:rPr>
        <w:t xml:space="preserve">a </w:t>
      </w:r>
      <w:r w:rsidRPr="006E7292">
        <w:rPr>
          <w:rFonts w:ascii="Book Antiqua" w:hAnsi="Book Antiqua"/>
        </w:rPr>
        <w:t>biomarker for the management of mCRPC patients. However, PSA measurements could maintain some limitations due to the high individual variability. Liquid biopsy on circulating cell-free nucleic acid offers the same low invasiveness but important molecular details on each specific tumor heterogeneity evolution. In conclusion, liquid biopsy on circulating cell-free nucleic acid along with PSA measurements and other clinical data can assure the best treatment decision-making for mCRPC patients.</w:t>
      </w:r>
    </w:p>
    <w:p w14:paraId="3EBED5C5" w14:textId="77777777" w:rsidR="00A93BA6" w:rsidRPr="006E7292" w:rsidRDefault="00A93BA6">
      <w:pPr>
        <w:snapToGrid w:val="0"/>
        <w:spacing w:line="360" w:lineRule="auto"/>
        <w:jc w:val="both"/>
        <w:rPr>
          <w:rFonts w:ascii="Book Antiqua" w:hAnsi="Book Antiqua"/>
        </w:rPr>
      </w:pPr>
    </w:p>
    <w:p w14:paraId="027E07E4" w14:textId="7960E228" w:rsidR="006D110B" w:rsidRPr="006E7292" w:rsidRDefault="00A93BA6">
      <w:pPr>
        <w:shd w:val="clear" w:color="auto" w:fill="FFFFFF"/>
        <w:snapToGrid w:val="0"/>
        <w:spacing w:line="360" w:lineRule="auto"/>
        <w:jc w:val="both"/>
        <w:rPr>
          <w:rFonts w:ascii="Book Antiqua" w:hAnsi="Book Antiqua"/>
          <w:b/>
          <w:color w:val="000000"/>
        </w:rPr>
      </w:pPr>
      <w:r w:rsidRPr="006E7292">
        <w:rPr>
          <w:rFonts w:ascii="Book Antiqua" w:hAnsi="Book Antiqua"/>
          <w:b/>
          <w:color w:val="000000"/>
        </w:rPr>
        <w:t>REFERENCES</w:t>
      </w:r>
    </w:p>
    <w:p w14:paraId="32AC2D1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 </w:t>
      </w:r>
      <w:r w:rsidRPr="006E7292">
        <w:rPr>
          <w:rFonts w:ascii="Book Antiqua" w:hAnsi="Book Antiqua"/>
          <w:b/>
        </w:rPr>
        <w:t>Bray F</w:t>
      </w:r>
      <w:r w:rsidRPr="006E7292">
        <w:rPr>
          <w:rFonts w:ascii="Book Antiqua" w:hAnsi="Book Antiqua"/>
        </w:rPr>
        <w:t xml:space="preserve">, Ferlay J, Soerjomataram I, Siegel RL, Torre LA, </w:t>
      </w:r>
      <w:proofErr w:type="gramStart"/>
      <w:r w:rsidRPr="006E7292">
        <w:rPr>
          <w:rFonts w:ascii="Book Antiqua" w:hAnsi="Book Antiqua"/>
        </w:rPr>
        <w:t>Jemal</w:t>
      </w:r>
      <w:proofErr w:type="gramEnd"/>
      <w:r w:rsidRPr="006E7292">
        <w:rPr>
          <w:rFonts w:ascii="Book Antiqua" w:hAnsi="Book Antiqua"/>
        </w:rPr>
        <w:t xml:space="preserve"> A. Global cancer statistics 2018: GLOBOCAN estimates of incidence and mortality worldwide for 36 cancers in 185 countries. </w:t>
      </w:r>
      <w:r w:rsidRPr="006E7292">
        <w:rPr>
          <w:rFonts w:ascii="Book Antiqua" w:hAnsi="Book Antiqua"/>
          <w:i/>
        </w:rPr>
        <w:t>CA Cancer J Clin</w:t>
      </w:r>
      <w:r w:rsidRPr="006E7292">
        <w:rPr>
          <w:rFonts w:ascii="Book Antiqua" w:hAnsi="Book Antiqua"/>
        </w:rPr>
        <w:t xml:space="preserve"> 2018; </w:t>
      </w:r>
      <w:r w:rsidRPr="006E7292">
        <w:rPr>
          <w:rFonts w:ascii="Book Antiqua" w:hAnsi="Book Antiqua"/>
          <w:b/>
        </w:rPr>
        <w:t>68</w:t>
      </w:r>
      <w:r w:rsidRPr="006E7292">
        <w:rPr>
          <w:rFonts w:ascii="Book Antiqua" w:hAnsi="Book Antiqua"/>
        </w:rPr>
        <w:t>: 394-424 [PMID: 30207593 DOI: 10.3322/caac.21492]</w:t>
      </w:r>
    </w:p>
    <w:p w14:paraId="124BBA0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 </w:t>
      </w:r>
      <w:r w:rsidRPr="006E7292">
        <w:rPr>
          <w:rFonts w:ascii="Book Antiqua" w:hAnsi="Book Antiqua"/>
          <w:b/>
        </w:rPr>
        <w:t>Kantoff PW</w:t>
      </w:r>
      <w:r w:rsidRPr="006E7292">
        <w:rPr>
          <w:rFonts w:ascii="Book Antiqua" w:hAnsi="Book Antiqua"/>
        </w:rPr>
        <w:t xml:space="preserve">, Higano CS, Shore ND, Berger ER, Small EJ, Penson DF, Redfern CH, Ferrari AC, Dreicer R, Sims RB, Xu Y, Frohlich MW, Schellhammer PF; IMPACT Study Investigators. </w:t>
      </w:r>
      <w:proofErr w:type="gramStart"/>
      <w:r w:rsidRPr="006E7292">
        <w:rPr>
          <w:rFonts w:ascii="Book Antiqua" w:hAnsi="Book Antiqua"/>
        </w:rPr>
        <w:t>Sipuleucel-T immunotherapy for castration-resistant prostate cancer.</w:t>
      </w:r>
      <w:proofErr w:type="gramEnd"/>
      <w:r w:rsidRPr="006E7292">
        <w:rPr>
          <w:rFonts w:ascii="Book Antiqua" w:hAnsi="Book Antiqua"/>
        </w:rPr>
        <w:t xml:space="preserve"> </w:t>
      </w:r>
      <w:r w:rsidRPr="006E7292">
        <w:rPr>
          <w:rFonts w:ascii="Book Antiqua" w:hAnsi="Book Antiqua"/>
          <w:i/>
        </w:rPr>
        <w:t>N Engl J Med</w:t>
      </w:r>
      <w:r w:rsidRPr="006E7292">
        <w:rPr>
          <w:rFonts w:ascii="Book Antiqua" w:hAnsi="Book Antiqua"/>
        </w:rPr>
        <w:t xml:space="preserve"> 2010; </w:t>
      </w:r>
      <w:r w:rsidRPr="006E7292">
        <w:rPr>
          <w:rFonts w:ascii="Book Antiqua" w:hAnsi="Book Antiqua"/>
          <w:b/>
        </w:rPr>
        <w:t>363</w:t>
      </w:r>
      <w:r w:rsidRPr="006E7292">
        <w:rPr>
          <w:rFonts w:ascii="Book Antiqua" w:hAnsi="Book Antiqua"/>
        </w:rPr>
        <w:t>: 411-422 [PMID: 20818862 DOI: 10.1056/NEJMoa1001294]</w:t>
      </w:r>
    </w:p>
    <w:p w14:paraId="7E2D82F9"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3 </w:t>
      </w:r>
      <w:r w:rsidRPr="006E7292">
        <w:rPr>
          <w:rFonts w:ascii="Book Antiqua" w:hAnsi="Book Antiqua"/>
          <w:b/>
        </w:rPr>
        <w:t>Wadosky KM</w:t>
      </w:r>
      <w:r w:rsidRPr="006E7292">
        <w:rPr>
          <w:rFonts w:ascii="Book Antiqua" w:hAnsi="Book Antiqua"/>
        </w:rPr>
        <w:t xml:space="preserve">, Koochekpour S. Androgen receptor splice variants and prostate cancer: From bench to bedside. </w:t>
      </w:r>
      <w:r w:rsidRPr="006E7292">
        <w:rPr>
          <w:rFonts w:ascii="Book Antiqua" w:hAnsi="Book Antiqua"/>
          <w:i/>
        </w:rPr>
        <w:t>Oncotarget</w:t>
      </w:r>
      <w:r w:rsidRPr="006E7292">
        <w:rPr>
          <w:rFonts w:ascii="Book Antiqua" w:hAnsi="Book Antiqua"/>
        </w:rPr>
        <w:t xml:space="preserve"> 2017; </w:t>
      </w:r>
      <w:r w:rsidRPr="006E7292">
        <w:rPr>
          <w:rFonts w:ascii="Book Antiqua" w:hAnsi="Book Antiqua"/>
          <w:b/>
        </w:rPr>
        <w:t>8</w:t>
      </w:r>
      <w:r w:rsidRPr="006E7292">
        <w:rPr>
          <w:rFonts w:ascii="Book Antiqua" w:hAnsi="Book Antiqua"/>
        </w:rPr>
        <w:t>: 18550-18576 [PMID: 28077788 DOI: 10.18632/oncotarget.14537]</w:t>
      </w:r>
    </w:p>
    <w:p w14:paraId="33068D22"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 </w:t>
      </w:r>
      <w:r w:rsidRPr="006E7292">
        <w:rPr>
          <w:rFonts w:ascii="Book Antiqua" w:hAnsi="Book Antiqua"/>
          <w:b/>
        </w:rPr>
        <w:t>Rice MA</w:t>
      </w:r>
      <w:r w:rsidRPr="006E7292">
        <w:rPr>
          <w:rFonts w:ascii="Book Antiqua" w:hAnsi="Book Antiqua"/>
        </w:rPr>
        <w:t xml:space="preserve">, Malhotra SV, Stoyanova T. Second-Generation Antiandrogens: From Discovery to Standard of Care in Castration Resistant Prostate Cancer. </w:t>
      </w:r>
      <w:r w:rsidRPr="006E7292">
        <w:rPr>
          <w:rFonts w:ascii="Book Antiqua" w:hAnsi="Book Antiqua"/>
          <w:i/>
        </w:rPr>
        <w:t>Front Oncol</w:t>
      </w:r>
      <w:r w:rsidRPr="006E7292">
        <w:rPr>
          <w:rFonts w:ascii="Book Antiqua" w:hAnsi="Book Antiqua"/>
        </w:rPr>
        <w:t xml:space="preserve"> 2019; </w:t>
      </w:r>
      <w:r w:rsidRPr="006E7292">
        <w:rPr>
          <w:rFonts w:ascii="Book Antiqua" w:hAnsi="Book Antiqua"/>
          <w:b/>
        </w:rPr>
        <w:t>9</w:t>
      </w:r>
      <w:r w:rsidRPr="006E7292">
        <w:rPr>
          <w:rFonts w:ascii="Book Antiqua" w:hAnsi="Book Antiqua"/>
        </w:rPr>
        <w:t>: 801 [PMID: 31555580 DOI: 10.3389/fonc.2019.00801]</w:t>
      </w:r>
    </w:p>
    <w:p w14:paraId="1D6122CD"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 </w:t>
      </w:r>
      <w:r w:rsidRPr="006E7292">
        <w:rPr>
          <w:rFonts w:ascii="Book Antiqua" w:hAnsi="Book Antiqua"/>
          <w:b/>
        </w:rPr>
        <w:t>Bettegowda C</w:t>
      </w:r>
      <w:r w:rsidRPr="006E7292">
        <w:rPr>
          <w:rFonts w:ascii="Book Antiqua" w:hAnsi="Book Antiqua"/>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6E7292">
        <w:rPr>
          <w:rFonts w:ascii="Book Antiqua" w:hAnsi="Book Antiqua"/>
          <w:i/>
        </w:rPr>
        <w:t>Sci Transl Med</w:t>
      </w:r>
      <w:r w:rsidRPr="006E7292">
        <w:rPr>
          <w:rFonts w:ascii="Book Antiqua" w:hAnsi="Book Antiqua"/>
        </w:rPr>
        <w:t xml:space="preserve"> 2014; </w:t>
      </w:r>
      <w:r w:rsidRPr="006E7292">
        <w:rPr>
          <w:rFonts w:ascii="Book Antiqua" w:hAnsi="Book Antiqua"/>
          <w:b/>
        </w:rPr>
        <w:t>6</w:t>
      </w:r>
      <w:r w:rsidRPr="006E7292">
        <w:rPr>
          <w:rFonts w:ascii="Book Antiqua" w:hAnsi="Book Antiqua"/>
        </w:rPr>
        <w:t>: 224ra24 [PMID: 24553385 DOI: 10.1126/scitranslmed.3007094]</w:t>
      </w:r>
    </w:p>
    <w:p w14:paraId="3280D6F5"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6 </w:t>
      </w:r>
      <w:r w:rsidRPr="006E7292">
        <w:rPr>
          <w:rFonts w:ascii="Book Antiqua" w:hAnsi="Book Antiqua"/>
          <w:b/>
        </w:rPr>
        <w:t>Ritch E</w:t>
      </w:r>
      <w:r w:rsidRPr="006E7292">
        <w:rPr>
          <w:rFonts w:ascii="Book Antiqua" w:hAnsi="Book Antiqua"/>
        </w:rPr>
        <w:t>, Wyatt AW.</w:t>
      </w:r>
      <w:proofErr w:type="gramEnd"/>
      <w:r w:rsidRPr="006E7292">
        <w:rPr>
          <w:rFonts w:ascii="Book Antiqua" w:hAnsi="Book Antiqua"/>
        </w:rPr>
        <w:t xml:space="preserve"> </w:t>
      </w:r>
      <w:proofErr w:type="gramStart"/>
      <w:r w:rsidRPr="006E7292">
        <w:rPr>
          <w:rFonts w:ascii="Book Antiqua" w:hAnsi="Book Antiqua"/>
        </w:rPr>
        <w:t>Predicting therapy response and resistance in metastatic prostate cancer with circulating tumor DNA.</w:t>
      </w:r>
      <w:proofErr w:type="gramEnd"/>
      <w:r w:rsidRPr="006E7292">
        <w:rPr>
          <w:rFonts w:ascii="Book Antiqua" w:hAnsi="Book Antiqua"/>
        </w:rPr>
        <w:t xml:space="preserve"> </w:t>
      </w:r>
      <w:r w:rsidRPr="006E7292">
        <w:rPr>
          <w:rFonts w:ascii="Book Antiqua" w:hAnsi="Book Antiqua"/>
          <w:i/>
        </w:rPr>
        <w:t>Urol Oncol</w:t>
      </w:r>
      <w:r w:rsidRPr="006E7292">
        <w:rPr>
          <w:rFonts w:ascii="Book Antiqua" w:hAnsi="Book Antiqua"/>
        </w:rPr>
        <w:t xml:space="preserve"> 2018; </w:t>
      </w:r>
      <w:r w:rsidRPr="006E7292">
        <w:rPr>
          <w:rFonts w:ascii="Book Antiqua" w:hAnsi="Book Antiqua"/>
          <w:b/>
        </w:rPr>
        <w:t>36</w:t>
      </w:r>
      <w:r w:rsidRPr="006E7292">
        <w:rPr>
          <w:rFonts w:ascii="Book Antiqua" w:hAnsi="Book Antiqua"/>
        </w:rPr>
        <w:t>: 380-384 [PMID: 29248429 DOI: 10.1016/j.urolonc.2017.11.017]</w:t>
      </w:r>
    </w:p>
    <w:p w14:paraId="13C34F9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7 </w:t>
      </w:r>
      <w:r w:rsidRPr="006E7292">
        <w:rPr>
          <w:rFonts w:ascii="Book Antiqua" w:hAnsi="Book Antiqua"/>
          <w:b/>
        </w:rPr>
        <w:t>Friedlander TW</w:t>
      </w:r>
      <w:r w:rsidRPr="006E7292">
        <w:rPr>
          <w:rFonts w:ascii="Book Antiqua" w:hAnsi="Book Antiqua"/>
        </w:rPr>
        <w:t xml:space="preserve">, Pritchard CC, Beltran H. Personalizing Therapy for Metastatic Prostate Cancer: The Role of Solid and Liquid Tumor Biopsies. </w:t>
      </w:r>
      <w:r w:rsidRPr="006E7292">
        <w:rPr>
          <w:rFonts w:ascii="Book Antiqua" w:hAnsi="Book Antiqua"/>
          <w:i/>
        </w:rPr>
        <w:t>Am Soc Clin Oncol Educ Book</w:t>
      </w:r>
      <w:r w:rsidRPr="006E7292">
        <w:rPr>
          <w:rFonts w:ascii="Book Antiqua" w:hAnsi="Book Antiqua"/>
        </w:rPr>
        <w:t xml:space="preserve"> 2017; </w:t>
      </w:r>
      <w:r w:rsidRPr="006E7292">
        <w:rPr>
          <w:rFonts w:ascii="Book Antiqua" w:hAnsi="Book Antiqua"/>
          <w:b/>
        </w:rPr>
        <w:t>37</w:t>
      </w:r>
      <w:r w:rsidRPr="006E7292">
        <w:rPr>
          <w:rFonts w:ascii="Book Antiqua" w:hAnsi="Book Antiqua"/>
        </w:rPr>
        <w:t>: 358-369 [PMID: 28561699 DOI: 10.1200/EDBK_175510]</w:t>
      </w:r>
    </w:p>
    <w:p w14:paraId="46D144D9"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8 </w:t>
      </w:r>
      <w:r w:rsidRPr="006E7292">
        <w:rPr>
          <w:rFonts w:ascii="Book Antiqua" w:hAnsi="Book Antiqua"/>
          <w:b/>
        </w:rPr>
        <w:t>Di Nunno V</w:t>
      </w:r>
      <w:r w:rsidRPr="006E7292">
        <w:rPr>
          <w:rFonts w:ascii="Book Antiqua" w:hAnsi="Book Antiqua"/>
        </w:rPr>
        <w:t xml:space="preserve">, Gatto L, Santoni M, Cimadamore A, Lopez-Beltran A, Cheng L, Scarpelli M, Montironi R, Massari F. Recent Advances in Liquid Biopsy in Patients </w:t>
      </w:r>
      <w:proofErr w:type="gramStart"/>
      <w:r w:rsidRPr="006E7292">
        <w:rPr>
          <w:rFonts w:ascii="Book Antiqua" w:hAnsi="Book Antiqua"/>
        </w:rPr>
        <w:t>With</w:t>
      </w:r>
      <w:proofErr w:type="gramEnd"/>
      <w:r w:rsidRPr="006E7292">
        <w:rPr>
          <w:rFonts w:ascii="Book Antiqua" w:hAnsi="Book Antiqua"/>
        </w:rPr>
        <w:t xml:space="preserve"> Castration Resistant Prostate Cancer. </w:t>
      </w:r>
      <w:r w:rsidRPr="006E7292">
        <w:rPr>
          <w:rFonts w:ascii="Book Antiqua" w:hAnsi="Book Antiqua"/>
          <w:i/>
        </w:rPr>
        <w:t>Front Oncol</w:t>
      </w:r>
      <w:r w:rsidRPr="006E7292">
        <w:rPr>
          <w:rFonts w:ascii="Book Antiqua" w:hAnsi="Book Antiqua"/>
        </w:rPr>
        <w:t xml:space="preserve"> 2018; </w:t>
      </w:r>
      <w:r w:rsidRPr="006E7292">
        <w:rPr>
          <w:rFonts w:ascii="Book Antiqua" w:hAnsi="Book Antiqua"/>
          <w:b/>
        </w:rPr>
        <w:t>8</w:t>
      </w:r>
      <w:r w:rsidRPr="006E7292">
        <w:rPr>
          <w:rFonts w:ascii="Book Antiqua" w:hAnsi="Book Antiqua"/>
        </w:rPr>
        <w:t>: 397 [PMID: 30319966 DOI: 10.3389/fonc.2018.00397]</w:t>
      </w:r>
    </w:p>
    <w:p w14:paraId="654B0F5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9 </w:t>
      </w:r>
      <w:r w:rsidRPr="006E7292">
        <w:rPr>
          <w:rFonts w:ascii="Book Antiqua" w:hAnsi="Book Antiqua"/>
          <w:b/>
        </w:rPr>
        <w:t>Lu YT</w:t>
      </w:r>
      <w:r w:rsidRPr="006E7292">
        <w:rPr>
          <w:rFonts w:ascii="Book Antiqua" w:hAnsi="Book Antiqua"/>
        </w:rPr>
        <w:t xml:space="preserve">, Delijani K, Mecum A, Goldkorn A. Current status of liquid biopsies for the detection and management of prostate cancer. </w:t>
      </w:r>
      <w:r w:rsidRPr="006E7292">
        <w:rPr>
          <w:rFonts w:ascii="Book Antiqua" w:hAnsi="Book Antiqua"/>
          <w:i/>
        </w:rPr>
        <w:t>Cancer Manag Res</w:t>
      </w:r>
      <w:r w:rsidRPr="006E7292">
        <w:rPr>
          <w:rFonts w:ascii="Book Antiqua" w:hAnsi="Book Antiqua"/>
        </w:rPr>
        <w:t xml:space="preserve"> 2019; </w:t>
      </w:r>
      <w:r w:rsidRPr="006E7292">
        <w:rPr>
          <w:rFonts w:ascii="Book Antiqua" w:hAnsi="Book Antiqua"/>
          <w:b/>
        </w:rPr>
        <w:t>11</w:t>
      </w:r>
      <w:r w:rsidRPr="006E7292">
        <w:rPr>
          <w:rFonts w:ascii="Book Antiqua" w:hAnsi="Book Antiqua"/>
        </w:rPr>
        <w:t>: 5271-5291 [PMID: 31239778 DOI: 10.2147/CMAR.S170380]</w:t>
      </w:r>
    </w:p>
    <w:p w14:paraId="0B99A7DA"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10 </w:t>
      </w:r>
      <w:r w:rsidRPr="006E7292">
        <w:rPr>
          <w:rFonts w:ascii="Book Antiqua" w:hAnsi="Book Antiqua"/>
          <w:b/>
        </w:rPr>
        <w:t>Pritchard CC</w:t>
      </w:r>
      <w:r w:rsidRPr="006E7292">
        <w:rPr>
          <w:rFonts w:ascii="Book Antiqua" w:hAnsi="Book Antiqua"/>
        </w:rPr>
        <w:t xml:space="preserve">, Mateo J, Walsh MF, De Sarkar N, Abida W, Beltran H, Garofalo A, Gulati R, Carreira S, Eeles R, Elemento O, Rubin MA, Robinson D, Lonigro R, Hussain M, Chinnaiyan A, Vinson J, Filipenko J, Garraway L, Taplin ME, AlDubayan S, Han GC, Beightol M, Morrissey C, Nghiem B, Cheng HH, Montgomery B, Walsh T, Casadei S, Berger M, Zhang L, Zehir A, Vijai J, Scher HI, Sawyers C, Schultz N, Kantoff PW, Solit D, Robson M, Van Allen EM, Offit K, de Bono J, Nelson PS. Inherited DNA-Repair Gene Mutations in Men with Metastatic Prostate Cancer. </w:t>
      </w:r>
      <w:r w:rsidRPr="006E7292">
        <w:rPr>
          <w:rFonts w:ascii="Book Antiqua" w:hAnsi="Book Antiqua"/>
          <w:i/>
        </w:rPr>
        <w:t>N Engl J Med</w:t>
      </w:r>
      <w:r w:rsidRPr="006E7292">
        <w:rPr>
          <w:rFonts w:ascii="Book Antiqua" w:hAnsi="Book Antiqua"/>
        </w:rPr>
        <w:t xml:space="preserve"> 2016; </w:t>
      </w:r>
      <w:r w:rsidRPr="006E7292">
        <w:rPr>
          <w:rFonts w:ascii="Book Antiqua" w:hAnsi="Book Antiqua"/>
          <w:b/>
        </w:rPr>
        <w:t>375</w:t>
      </w:r>
      <w:r w:rsidRPr="006E7292">
        <w:rPr>
          <w:rFonts w:ascii="Book Antiqua" w:hAnsi="Book Antiqua"/>
        </w:rPr>
        <w:t>: 443-453 [PMID: 27433846 DOI: 10.1056/NEJMoa1603144]</w:t>
      </w:r>
    </w:p>
    <w:p w14:paraId="20C8FEB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11 </w:t>
      </w:r>
      <w:r w:rsidRPr="006E7292">
        <w:rPr>
          <w:rFonts w:ascii="Book Antiqua" w:hAnsi="Book Antiqua"/>
          <w:b/>
        </w:rPr>
        <w:t>Sobhani N</w:t>
      </w:r>
      <w:r w:rsidRPr="006E7292">
        <w:rPr>
          <w:rFonts w:ascii="Book Antiqua" w:hAnsi="Book Antiqua"/>
        </w:rPr>
        <w:t xml:space="preserve">, Generali D, Zanconati F, Bortul M, Scaggiante B. Cell-free DNA integrity for the monitoring of breast cancer: Future perspectives? </w:t>
      </w:r>
      <w:r w:rsidRPr="006E7292">
        <w:rPr>
          <w:rFonts w:ascii="Book Antiqua" w:hAnsi="Book Antiqua"/>
          <w:i/>
        </w:rPr>
        <w:t>World J Clin Oncol</w:t>
      </w:r>
      <w:r w:rsidRPr="006E7292">
        <w:rPr>
          <w:rFonts w:ascii="Book Antiqua" w:hAnsi="Book Antiqua"/>
        </w:rPr>
        <w:t xml:space="preserve"> 2018; </w:t>
      </w:r>
      <w:r w:rsidRPr="006E7292">
        <w:rPr>
          <w:rFonts w:ascii="Book Antiqua" w:hAnsi="Book Antiqua"/>
          <w:b/>
        </w:rPr>
        <w:t>9</w:t>
      </w:r>
      <w:r w:rsidRPr="006E7292">
        <w:rPr>
          <w:rFonts w:ascii="Book Antiqua" w:hAnsi="Book Antiqua"/>
        </w:rPr>
        <w:t>: 26-32 [PMID: 29651384 DOI: 10.5306/wjco.v9.i2.26]</w:t>
      </w:r>
    </w:p>
    <w:p w14:paraId="59E13009"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12 </w:t>
      </w:r>
      <w:r w:rsidRPr="006E7292">
        <w:rPr>
          <w:rFonts w:ascii="Book Antiqua" w:hAnsi="Book Antiqua"/>
          <w:b/>
        </w:rPr>
        <w:t>Ritch E</w:t>
      </w:r>
      <w:r w:rsidRPr="006E7292">
        <w:rPr>
          <w:rFonts w:ascii="Book Antiqua" w:hAnsi="Book Antiqua"/>
        </w:rPr>
        <w:t xml:space="preserve">, Fu SYF, Herberts C, Wang G, Warner EW, Schönlau E, Taavitsainen S, Murtha AJ, Vandekerkhove G, Beja K, Loktionova Y, Khalaf D, Fazli L, Kushnir I, Ferrario C, Hotte S, Annala M, Chi KN, Wyatt AW. </w:t>
      </w:r>
      <w:proofErr w:type="gramStart"/>
      <w:r w:rsidRPr="006E7292">
        <w:rPr>
          <w:rFonts w:ascii="Book Antiqua" w:hAnsi="Book Antiqua"/>
        </w:rPr>
        <w:t>Identification of Hypermutation and Defective Mismatch Repair in ctDNA from Metastatic Prostate Cancer.</w:t>
      </w:r>
      <w:proofErr w:type="gramEnd"/>
      <w:r w:rsidRPr="006E7292">
        <w:rPr>
          <w:rFonts w:ascii="Book Antiqua" w:hAnsi="Book Antiqua"/>
        </w:rPr>
        <w:t xml:space="preserve"> </w:t>
      </w:r>
      <w:r w:rsidRPr="006E7292">
        <w:rPr>
          <w:rFonts w:ascii="Book Antiqua" w:hAnsi="Book Antiqua"/>
          <w:i/>
        </w:rPr>
        <w:t>Clin Cancer Res</w:t>
      </w:r>
      <w:r w:rsidRPr="006E7292">
        <w:rPr>
          <w:rFonts w:ascii="Book Antiqua" w:hAnsi="Book Antiqua"/>
        </w:rPr>
        <w:t xml:space="preserve"> 2020; </w:t>
      </w:r>
      <w:r w:rsidRPr="006E7292">
        <w:rPr>
          <w:rFonts w:ascii="Book Antiqua" w:hAnsi="Book Antiqua"/>
          <w:b/>
        </w:rPr>
        <w:t>26</w:t>
      </w:r>
      <w:r w:rsidRPr="006E7292">
        <w:rPr>
          <w:rFonts w:ascii="Book Antiqua" w:hAnsi="Book Antiqua"/>
        </w:rPr>
        <w:t>: 1114-1125 [PMID: 31744831 DOI: 10.1158/1078-0432.CCR-19-1623]</w:t>
      </w:r>
    </w:p>
    <w:p w14:paraId="2EFCBCE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13 </w:t>
      </w:r>
      <w:r w:rsidRPr="006E7292">
        <w:rPr>
          <w:rFonts w:ascii="Book Antiqua" w:hAnsi="Book Antiqua"/>
          <w:b/>
        </w:rPr>
        <w:t>Chapman L</w:t>
      </w:r>
      <w:r w:rsidRPr="006E7292">
        <w:rPr>
          <w:rFonts w:ascii="Book Antiqua" w:hAnsi="Book Antiqua"/>
        </w:rPr>
        <w:t xml:space="preserve">, Ledet EM, Barata PC, Cotogno P, Manogue C, Moses M, Christensen BR, Steinwald P, Ranasinghe L, Layton JL, Lewis BE, Sartor O. TP53 Gain-of-Function Mutations in Circulating Tumor DNA in Men With Metastatic Castration-Resistant Prostate Cancer. </w:t>
      </w:r>
      <w:r w:rsidRPr="006E7292">
        <w:rPr>
          <w:rFonts w:ascii="Book Antiqua" w:hAnsi="Book Antiqua"/>
          <w:i/>
        </w:rPr>
        <w:t>Clin Genitourin Cancer</w:t>
      </w:r>
      <w:r w:rsidRPr="006E7292">
        <w:rPr>
          <w:rFonts w:ascii="Book Antiqua" w:hAnsi="Book Antiqua"/>
        </w:rPr>
        <w:t xml:space="preserve"> 2020; </w:t>
      </w:r>
      <w:r w:rsidRPr="006E7292">
        <w:rPr>
          <w:rFonts w:ascii="Book Antiqua" w:hAnsi="Book Antiqua"/>
          <w:b/>
        </w:rPr>
        <w:t>18</w:t>
      </w:r>
      <w:r w:rsidRPr="006E7292">
        <w:rPr>
          <w:rFonts w:ascii="Book Antiqua" w:hAnsi="Book Antiqua"/>
        </w:rPr>
        <w:t>: 148-154 [PMID: 31822380 DOI: 10.1016/j.clgc.2019.10.022]</w:t>
      </w:r>
    </w:p>
    <w:p w14:paraId="30E70E5B"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14 </w:t>
      </w:r>
      <w:r w:rsidRPr="006E7292">
        <w:rPr>
          <w:rFonts w:ascii="Book Antiqua" w:hAnsi="Book Antiqua"/>
          <w:b/>
        </w:rPr>
        <w:t>Gupta S</w:t>
      </w:r>
      <w:r w:rsidRPr="006E7292">
        <w:rPr>
          <w:rFonts w:ascii="Book Antiqua" w:hAnsi="Book Antiqua"/>
        </w:rPr>
        <w:t xml:space="preserve">, Hovelson DH, Kemeny G, Halabi S, Foo WC, Anand M, Somarelli JA, Tomlins SA, Antonarakis ES, Luo J, Dittamore RV, George DJ, Rothwell C, Nanus DM, Armstrong AJ, Gregory SG. </w:t>
      </w:r>
      <w:proofErr w:type="gramStart"/>
      <w:r w:rsidRPr="006E7292">
        <w:rPr>
          <w:rFonts w:ascii="Book Antiqua" w:hAnsi="Book Antiqua"/>
        </w:rPr>
        <w:t>Discordant and heterogeneous clinically relevant genomic alterations in circulating tumor cells vs plasma DNA from men with metastatic castration resistant prostate cancer.</w:t>
      </w:r>
      <w:proofErr w:type="gramEnd"/>
      <w:r w:rsidRPr="006E7292">
        <w:rPr>
          <w:rFonts w:ascii="Book Antiqua" w:hAnsi="Book Antiqua"/>
        </w:rPr>
        <w:t xml:space="preserve"> </w:t>
      </w:r>
      <w:r w:rsidRPr="006E7292">
        <w:rPr>
          <w:rFonts w:ascii="Book Antiqua" w:hAnsi="Book Antiqua"/>
          <w:i/>
        </w:rPr>
        <w:t>Genes Chromosomes Cancer</w:t>
      </w:r>
      <w:r w:rsidRPr="006E7292">
        <w:rPr>
          <w:rFonts w:ascii="Book Antiqua" w:hAnsi="Book Antiqua"/>
        </w:rPr>
        <w:t xml:space="preserve"> 2020; </w:t>
      </w:r>
      <w:r w:rsidRPr="006E7292">
        <w:rPr>
          <w:rFonts w:ascii="Book Antiqua" w:hAnsi="Book Antiqua"/>
          <w:b/>
        </w:rPr>
        <w:t>59</w:t>
      </w:r>
      <w:r w:rsidRPr="006E7292">
        <w:rPr>
          <w:rFonts w:ascii="Book Antiqua" w:hAnsi="Book Antiqua"/>
        </w:rPr>
        <w:t>: 225-239 [PMID: 31705765 DOI: 10.1002/gcc.22824]</w:t>
      </w:r>
    </w:p>
    <w:p w14:paraId="2B1E943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15 </w:t>
      </w:r>
      <w:r w:rsidRPr="006E7292">
        <w:rPr>
          <w:rFonts w:ascii="Book Antiqua" w:hAnsi="Book Antiqua"/>
          <w:b/>
        </w:rPr>
        <w:t>Patsch K</w:t>
      </w:r>
      <w:r w:rsidRPr="006E7292">
        <w:rPr>
          <w:rFonts w:ascii="Book Antiqua" w:hAnsi="Book Antiqua"/>
        </w:rPr>
        <w:t xml:space="preserve">, Matasci N, Soundararajan A, Diaz P, Agus DB, Ruderman D, Gross ME. </w:t>
      </w:r>
      <w:proofErr w:type="gramStart"/>
      <w:r w:rsidRPr="006E7292">
        <w:rPr>
          <w:rFonts w:ascii="Book Antiqua" w:hAnsi="Book Antiqua"/>
        </w:rPr>
        <w:t xml:space="preserve">Monitoring dynamic cytotoxic chemotherapy response in castration-resistant </w:t>
      </w:r>
      <w:r w:rsidRPr="006E7292">
        <w:rPr>
          <w:rFonts w:ascii="Book Antiqua" w:hAnsi="Book Antiqua"/>
        </w:rPr>
        <w:lastRenderedPageBreak/>
        <w:t>prostate cancer using plasma cell-free DNA (cfDNA).</w:t>
      </w:r>
      <w:proofErr w:type="gramEnd"/>
      <w:r w:rsidRPr="006E7292">
        <w:rPr>
          <w:rFonts w:ascii="Book Antiqua" w:hAnsi="Book Antiqua"/>
        </w:rPr>
        <w:t xml:space="preserve"> </w:t>
      </w:r>
      <w:r w:rsidRPr="006E7292">
        <w:rPr>
          <w:rFonts w:ascii="Book Antiqua" w:hAnsi="Book Antiqua"/>
          <w:i/>
        </w:rPr>
        <w:t>BMC Res Notes</w:t>
      </w:r>
      <w:r w:rsidRPr="006E7292">
        <w:rPr>
          <w:rFonts w:ascii="Book Antiqua" w:hAnsi="Book Antiqua"/>
        </w:rPr>
        <w:t xml:space="preserve"> 2019; </w:t>
      </w:r>
      <w:r w:rsidRPr="006E7292">
        <w:rPr>
          <w:rFonts w:ascii="Book Antiqua" w:hAnsi="Book Antiqua"/>
          <w:b/>
        </w:rPr>
        <w:t>12</w:t>
      </w:r>
      <w:r w:rsidRPr="006E7292">
        <w:rPr>
          <w:rFonts w:ascii="Book Antiqua" w:hAnsi="Book Antiqua"/>
        </w:rPr>
        <w:t>: 275 [PMID: 31092276 DOI: 10.1186/s13104-019-4312-2]</w:t>
      </w:r>
    </w:p>
    <w:p w14:paraId="4F2A10E6"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16 </w:t>
      </w:r>
      <w:r w:rsidRPr="006E7292">
        <w:rPr>
          <w:rFonts w:ascii="Book Antiqua" w:hAnsi="Book Antiqua"/>
          <w:b/>
        </w:rPr>
        <w:t>Hahn AW</w:t>
      </w:r>
      <w:r w:rsidRPr="006E7292">
        <w:rPr>
          <w:rFonts w:ascii="Book Antiqua" w:hAnsi="Book Antiqua"/>
        </w:rPr>
        <w:t xml:space="preserve">, Stenehjem D, Nussenzveig R, Carroll E, Bailey E, Batten J, Maughan BL, Agarwal N. Evolution of the genomic landscape of circulating tumor DNA (ctDNA) in metastatic prostate cancer over treatment and time. </w:t>
      </w:r>
      <w:r w:rsidRPr="006E7292">
        <w:rPr>
          <w:rFonts w:ascii="Book Antiqua" w:hAnsi="Book Antiqua"/>
          <w:i/>
        </w:rPr>
        <w:t>Cancer Treat Res Commun</w:t>
      </w:r>
      <w:r w:rsidRPr="006E7292">
        <w:rPr>
          <w:rFonts w:ascii="Book Antiqua" w:hAnsi="Book Antiqua"/>
        </w:rPr>
        <w:t xml:space="preserve"> 2019; </w:t>
      </w:r>
      <w:r w:rsidRPr="006E7292">
        <w:rPr>
          <w:rFonts w:ascii="Book Antiqua" w:hAnsi="Book Antiqua"/>
          <w:b/>
        </w:rPr>
        <w:t>19</w:t>
      </w:r>
      <w:r w:rsidRPr="006E7292">
        <w:rPr>
          <w:rFonts w:ascii="Book Antiqua" w:hAnsi="Book Antiqua"/>
        </w:rPr>
        <w:t>: 100120 [PMID: 30743187 DOI: 10.1016/j.ctarc.2019.100120]</w:t>
      </w:r>
    </w:p>
    <w:p w14:paraId="1BD7237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17 </w:t>
      </w:r>
      <w:r w:rsidRPr="006E7292">
        <w:rPr>
          <w:rFonts w:ascii="Book Antiqua" w:hAnsi="Book Antiqua"/>
          <w:b/>
        </w:rPr>
        <w:t>Qiu P</w:t>
      </w:r>
      <w:r w:rsidRPr="006E7292">
        <w:rPr>
          <w:rFonts w:ascii="Book Antiqua" w:hAnsi="Book Antiqua"/>
        </w:rPr>
        <w:t xml:space="preserve">, Poehlein CH, Marton MJ, Laterza OF, Levitan D. Measuring Tumor Mutational Burden (TMB) in Plasma from mCRPC Patients Using Two Commercial NGS Assays. </w:t>
      </w:r>
      <w:r w:rsidRPr="006E7292">
        <w:rPr>
          <w:rFonts w:ascii="Book Antiqua" w:hAnsi="Book Antiqua"/>
          <w:i/>
        </w:rPr>
        <w:t>Sci Rep</w:t>
      </w:r>
      <w:r w:rsidRPr="006E7292">
        <w:rPr>
          <w:rFonts w:ascii="Book Antiqua" w:hAnsi="Book Antiqua"/>
        </w:rPr>
        <w:t xml:space="preserve"> 2019; </w:t>
      </w:r>
      <w:r w:rsidRPr="006E7292">
        <w:rPr>
          <w:rFonts w:ascii="Book Antiqua" w:hAnsi="Book Antiqua"/>
          <w:b/>
        </w:rPr>
        <w:t>9</w:t>
      </w:r>
      <w:r w:rsidRPr="006E7292">
        <w:rPr>
          <w:rFonts w:ascii="Book Antiqua" w:hAnsi="Book Antiqua"/>
        </w:rPr>
        <w:t>: 114 [PMID: 30643180 DOI: 10.1038/s41598-018-37128-y]</w:t>
      </w:r>
    </w:p>
    <w:p w14:paraId="27796DBE" w14:textId="41FFB87E"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18 </w:t>
      </w:r>
      <w:r w:rsidRPr="006E7292">
        <w:rPr>
          <w:rFonts w:ascii="Book Antiqua" w:hAnsi="Book Antiqua"/>
          <w:b/>
        </w:rPr>
        <w:t>Torquato S</w:t>
      </w:r>
      <w:r w:rsidRPr="006E7292">
        <w:rPr>
          <w:rFonts w:ascii="Book Antiqua" w:hAnsi="Book Antiqua"/>
        </w:rPr>
        <w:t xml:space="preserve">, Pallavajjala A, Goldstein A, Toro PV, Silberstein JL, Lee J, Nakazawa M, Waters I, Chu D, Shinn D, Groginski T, Hughes RM, Simons BW, Khan H, Feng Z, Carducci MA, Paller CJ, Denmeade SR, Kressel B, Eisenberger MA, Antonarakis ES, Trock BJ, Park BH, Hurley PJ. Genetic Alterations Detected in Cell-Free DNA Are Associated With Enzalutamide and Abiraterone Resistance in Castration-Resistant Prostate Cancer. </w:t>
      </w:r>
      <w:r w:rsidRPr="006E7292">
        <w:rPr>
          <w:rFonts w:ascii="Book Antiqua" w:hAnsi="Book Antiqua"/>
          <w:i/>
        </w:rPr>
        <w:t>JCO Precis Oncol</w:t>
      </w:r>
      <w:r w:rsidRPr="006E7292">
        <w:rPr>
          <w:rFonts w:ascii="Book Antiqua" w:hAnsi="Book Antiqua"/>
        </w:rPr>
        <w:t xml:space="preserve"> 2019; </w:t>
      </w:r>
      <w:r w:rsidRPr="006E7292">
        <w:rPr>
          <w:rFonts w:ascii="Book Antiqua" w:hAnsi="Book Antiqua"/>
          <w:b/>
        </w:rPr>
        <w:t>3</w:t>
      </w:r>
      <w:r w:rsidRPr="006E7292">
        <w:rPr>
          <w:rFonts w:ascii="Book Antiqua" w:hAnsi="Book Antiqua"/>
        </w:rPr>
        <w:t xml:space="preserve"> [PMID: 31131348 DOI: 10.1200/PO.18.00227]</w:t>
      </w:r>
    </w:p>
    <w:p w14:paraId="7873EB1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19 </w:t>
      </w:r>
      <w:r w:rsidRPr="006E7292">
        <w:rPr>
          <w:rFonts w:ascii="Book Antiqua" w:hAnsi="Book Antiqua"/>
          <w:b/>
        </w:rPr>
        <w:t>De Laere B</w:t>
      </w:r>
      <w:r w:rsidRPr="006E7292">
        <w:rPr>
          <w:rFonts w:ascii="Book Antiqua" w:hAnsi="Book Antiqua"/>
        </w:rPr>
        <w:t xml:space="preserve">, Oeyen S, Mayrhofer M, Whitington T, van Dam PJ, Van Oyen P, Ghysel C, Ampe J, Ost P, Demey W, Hoekx L, Schrijvers D, Brouwers B, Lybaert W, Everaert EG, De Maeseneer D, Strijbos M, Bols A, Fransis K, Beije N, de Kruijff IE, van Dam V, Brouwer A, Goossens D, Heyrman L, Van den Eynden GG, Rutten A, Del Favero J, Rantalainen M, Rajan P, Sleijfer S, Ullén A, Yachnin J, Grönberg H, Van Laere SJ, Lindberg J, Dirix LY. </w:t>
      </w:r>
      <w:r w:rsidRPr="006E7292">
        <w:rPr>
          <w:rFonts w:ascii="Book Antiqua" w:hAnsi="Book Antiqua"/>
          <w:i/>
        </w:rPr>
        <w:t>TP53</w:t>
      </w:r>
      <w:r w:rsidRPr="006E7292">
        <w:rPr>
          <w:rFonts w:ascii="Book Antiqua" w:hAnsi="Book Antiqua"/>
        </w:rPr>
        <w:t xml:space="preserve"> Outperforms Other Androgen Receptor Biomarkers to Predict Abiraterone or Enzalutamide Outcome in Metastatic Castration-Resistant Prostate Cancer. </w:t>
      </w:r>
      <w:r w:rsidRPr="006E7292">
        <w:rPr>
          <w:rFonts w:ascii="Book Antiqua" w:hAnsi="Book Antiqua"/>
          <w:i/>
        </w:rPr>
        <w:t>Clin Cancer Res</w:t>
      </w:r>
      <w:r w:rsidRPr="006E7292">
        <w:rPr>
          <w:rFonts w:ascii="Book Antiqua" w:hAnsi="Book Antiqua"/>
        </w:rPr>
        <w:t xml:space="preserve"> 2019; </w:t>
      </w:r>
      <w:r w:rsidRPr="006E7292">
        <w:rPr>
          <w:rFonts w:ascii="Book Antiqua" w:hAnsi="Book Antiqua"/>
          <w:b/>
        </w:rPr>
        <w:t>25</w:t>
      </w:r>
      <w:r w:rsidRPr="006E7292">
        <w:rPr>
          <w:rFonts w:ascii="Book Antiqua" w:hAnsi="Book Antiqua"/>
        </w:rPr>
        <w:t>: 1766-1773 [PMID: 30209161 DOI: 10.1158/1078-0432.CCR-18-1943]</w:t>
      </w:r>
    </w:p>
    <w:p w14:paraId="120F9041"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20 </w:t>
      </w:r>
      <w:r w:rsidRPr="006E7292">
        <w:rPr>
          <w:rFonts w:ascii="Book Antiqua" w:hAnsi="Book Antiqua"/>
          <w:b/>
        </w:rPr>
        <w:t>Sonpavde G</w:t>
      </w:r>
      <w:r w:rsidRPr="006E7292">
        <w:rPr>
          <w:rFonts w:ascii="Book Antiqua" w:hAnsi="Book Antiqua"/>
        </w:rPr>
        <w:t xml:space="preserve">, Agarwal N, Pond GR, Nagy RJ, Nussenzveig RH, Hahn AW, Sartor O, Gourdin TS, Nandagopal L, Ledet EM, Naik G, Armstrong AJ, Wang J, Bilen MA, Gupta S, Grivas P, Pal SK, Lanman RB, Talasaz A, Lilly MB. </w:t>
      </w:r>
      <w:proofErr w:type="gramStart"/>
      <w:r w:rsidRPr="006E7292">
        <w:rPr>
          <w:rFonts w:ascii="Book Antiqua" w:hAnsi="Book Antiqua"/>
        </w:rPr>
        <w:t>Circulating tumor DNA alterations in patients with metastatic castration-resistant prostate cancer.</w:t>
      </w:r>
      <w:proofErr w:type="gramEnd"/>
      <w:r w:rsidRPr="006E7292">
        <w:rPr>
          <w:rFonts w:ascii="Book Antiqua" w:hAnsi="Book Antiqua"/>
        </w:rPr>
        <w:t xml:space="preserve"> </w:t>
      </w:r>
      <w:r w:rsidRPr="006E7292">
        <w:rPr>
          <w:rFonts w:ascii="Book Antiqua" w:hAnsi="Book Antiqua"/>
          <w:i/>
        </w:rPr>
        <w:t>Cancer</w:t>
      </w:r>
      <w:r w:rsidRPr="006E7292">
        <w:rPr>
          <w:rFonts w:ascii="Book Antiqua" w:hAnsi="Book Antiqua"/>
        </w:rPr>
        <w:t xml:space="preserve"> 2019; </w:t>
      </w:r>
      <w:r w:rsidRPr="006E7292">
        <w:rPr>
          <w:rFonts w:ascii="Book Antiqua" w:hAnsi="Book Antiqua"/>
          <w:b/>
        </w:rPr>
        <w:t>125</w:t>
      </w:r>
      <w:r w:rsidRPr="006E7292">
        <w:rPr>
          <w:rFonts w:ascii="Book Antiqua" w:hAnsi="Book Antiqua"/>
        </w:rPr>
        <w:t>: 1459-1469 [PMID: 30620391 DOI: 10.1002/cncr.31959]</w:t>
      </w:r>
    </w:p>
    <w:p w14:paraId="7A1DC37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21 </w:t>
      </w:r>
      <w:r w:rsidRPr="006E7292">
        <w:rPr>
          <w:rFonts w:ascii="Book Antiqua" w:hAnsi="Book Antiqua"/>
          <w:b/>
        </w:rPr>
        <w:t>Vandekerkhove G</w:t>
      </w:r>
      <w:r w:rsidRPr="006E7292">
        <w:rPr>
          <w:rFonts w:ascii="Book Antiqua" w:hAnsi="Book Antiqua"/>
        </w:rPr>
        <w:t xml:space="preserve">, Struss WJ, Annala M, Kallio HML, Khalaf D, Warner EW, Herberts C, Ritch E, Beja K, Loktionova Y, Hurtado-Coll A, Fazli L, So A, Black PC, </w:t>
      </w:r>
      <w:r w:rsidRPr="006E7292">
        <w:rPr>
          <w:rFonts w:ascii="Book Antiqua" w:hAnsi="Book Antiqua"/>
        </w:rPr>
        <w:lastRenderedPageBreak/>
        <w:t xml:space="preserve">Nykter M, Tammela T, Chi KN, Gleave ME, Wyatt AW. </w:t>
      </w:r>
      <w:proofErr w:type="gramStart"/>
      <w:r w:rsidRPr="006E7292">
        <w:rPr>
          <w:rFonts w:ascii="Book Antiqua" w:hAnsi="Book Antiqua"/>
        </w:rPr>
        <w:t>Circulating Tumor DNA Abundance and Potential Utility in De Novo Metastatic Prostate Cancer.</w:t>
      </w:r>
      <w:proofErr w:type="gramEnd"/>
      <w:r w:rsidRPr="006E7292">
        <w:rPr>
          <w:rFonts w:ascii="Book Antiqua" w:hAnsi="Book Antiqua"/>
        </w:rPr>
        <w:t xml:space="preserve"> </w:t>
      </w:r>
      <w:r w:rsidRPr="006E7292">
        <w:rPr>
          <w:rFonts w:ascii="Book Antiqua" w:hAnsi="Book Antiqua"/>
          <w:i/>
        </w:rPr>
        <w:t>Eur Urol</w:t>
      </w:r>
      <w:r w:rsidRPr="006E7292">
        <w:rPr>
          <w:rFonts w:ascii="Book Antiqua" w:hAnsi="Book Antiqua"/>
        </w:rPr>
        <w:t xml:space="preserve"> 2019; </w:t>
      </w:r>
      <w:r w:rsidRPr="006E7292">
        <w:rPr>
          <w:rFonts w:ascii="Book Antiqua" w:hAnsi="Book Antiqua"/>
          <w:b/>
        </w:rPr>
        <w:t>75</w:t>
      </w:r>
      <w:r w:rsidRPr="006E7292">
        <w:rPr>
          <w:rFonts w:ascii="Book Antiqua" w:hAnsi="Book Antiqua"/>
        </w:rPr>
        <w:t>: 667-675 [PMID: 30638634 DOI: 10.1016/j.eururo.2018.12.042]</w:t>
      </w:r>
    </w:p>
    <w:p w14:paraId="62E15CE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22 </w:t>
      </w:r>
      <w:r w:rsidRPr="006E7292">
        <w:rPr>
          <w:rFonts w:ascii="Book Antiqua" w:hAnsi="Book Antiqua"/>
          <w:b/>
        </w:rPr>
        <w:t>Mayrhofer M</w:t>
      </w:r>
      <w:r w:rsidRPr="006E7292">
        <w:rPr>
          <w:rFonts w:ascii="Book Antiqua" w:hAnsi="Book Antiqua"/>
        </w:rPr>
        <w:t xml:space="preserve">, De Laere B, Whitington T, Van Oyen P, Ghysel C, Ampe J, Ost P, Demey W, Hoekx L, Schrijvers D, Brouwers B, Lybaert W, Everaert E, De Maeseneer D, Strijbos M, Bols A, Fransis K, Oeyen S, van Dam PJ, Van den Eynden G, Rutten A, Aly M, Nordström T, Van Laere S, Rantalainen M, Rajan P, Egevad L, Ullén A, Yachnin J, Dirix L, Grönberg H, Lindberg J. Cell-free DNA profiling of metastatic prostate cancer reveals microsatellite instability, structural rearrangements and clonal hematopoiesis. </w:t>
      </w:r>
      <w:r w:rsidRPr="006E7292">
        <w:rPr>
          <w:rFonts w:ascii="Book Antiqua" w:hAnsi="Book Antiqua"/>
          <w:i/>
        </w:rPr>
        <w:t>Genome Med</w:t>
      </w:r>
      <w:r w:rsidRPr="006E7292">
        <w:rPr>
          <w:rFonts w:ascii="Book Antiqua" w:hAnsi="Book Antiqua"/>
        </w:rPr>
        <w:t xml:space="preserve"> 2018; </w:t>
      </w:r>
      <w:r w:rsidRPr="006E7292">
        <w:rPr>
          <w:rFonts w:ascii="Book Antiqua" w:hAnsi="Book Antiqua"/>
          <w:b/>
        </w:rPr>
        <w:t>10</w:t>
      </w:r>
      <w:r w:rsidRPr="006E7292">
        <w:rPr>
          <w:rFonts w:ascii="Book Antiqua" w:hAnsi="Book Antiqua"/>
        </w:rPr>
        <w:t>: 85 [PMID: 30458854 DOI: 10.1186/s13073-018-0595-5]</w:t>
      </w:r>
    </w:p>
    <w:p w14:paraId="7AB55F95" w14:textId="3E45064D"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23 </w:t>
      </w:r>
      <w:r w:rsidRPr="006E7292">
        <w:rPr>
          <w:rFonts w:ascii="Book Antiqua" w:hAnsi="Book Antiqua"/>
          <w:b/>
        </w:rPr>
        <w:t>Choudhury AD</w:t>
      </w:r>
      <w:r w:rsidRPr="006E7292">
        <w:rPr>
          <w:rFonts w:ascii="Book Antiqua" w:hAnsi="Book Antiqua"/>
        </w:rPr>
        <w:t xml:space="preserve">, Werner L, Francini E, Wei XX, Ha G, Freeman SS, Rhoades J, Reed SC, Gydush G, Rotem D, Lo C, Taplin ME, Harshman LC, Zhang Z, O'Connor EP, Stover DG, Parsons HA, Getz G, Meyerson M, Love JC, Hahn WC, Adalsteinsson VA. </w:t>
      </w:r>
      <w:proofErr w:type="gramStart"/>
      <w:r w:rsidRPr="006E7292">
        <w:rPr>
          <w:rFonts w:ascii="Book Antiqua" w:hAnsi="Book Antiqua"/>
        </w:rPr>
        <w:t>Tumor fraction in cell-free DNA as a biomarker in prostate cancer.</w:t>
      </w:r>
      <w:proofErr w:type="gramEnd"/>
      <w:r w:rsidRPr="006E7292">
        <w:rPr>
          <w:rFonts w:ascii="Book Antiqua" w:hAnsi="Book Antiqua"/>
        </w:rPr>
        <w:t xml:space="preserve"> </w:t>
      </w:r>
      <w:r w:rsidRPr="006E7292">
        <w:rPr>
          <w:rFonts w:ascii="Book Antiqua" w:hAnsi="Book Antiqua"/>
          <w:i/>
        </w:rPr>
        <w:t>JCI Insight</w:t>
      </w:r>
      <w:r w:rsidRPr="006E7292">
        <w:rPr>
          <w:rFonts w:ascii="Book Antiqua" w:hAnsi="Book Antiqua"/>
        </w:rPr>
        <w:t xml:space="preserve"> 2018; </w:t>
      </w:r>
      <w:r w:rsidRPr="006E7292">
        <w:rPr>
          <w:rFonts w:ascii="Book Antiqua" w:hAnsi="Book Antiqua"/>
          <w:b/>
        </w:rPr>
        <w:t>3</w:t>
      </w:r>
      <w:r w:rsidR="00142626" w:rsidRPr="006E7292">
        <w:rPr>
          <w:rFonts w:ascii="Book Antiqua" w:hAnsi="Book Antiqua"/>
        </w:rPr>
        <w:t xml:space="preserve"> </w:t>
      </w:r>
      <w:r w:rsidRPr="006E7292">
        <w:rPr>
          <w:rFonts w:ascii="Book Antiqua" w:hAnsi="Book Antiqua"/>
        </w:rPr>
        <w:t>[PMID: 30385733 DOI: 10.1172/jci.insight.122109]</w:t>
      </w:r>
    </w:p>
    <w:p w14:paraId="1B20BF4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24 </w:t>
      </w:r>
      <w:r w:rsidRPr="006E7292">
        <w:rPr>
          <w:rFonts w:ascii="Book Antiqua" w:hAnsi="Book Antiqua"/>
          <w:b/>
        </w:rPr>
        <w:t>Annala M</w:t>
      </w:r>
      <w:r w:rsidRPr="006E7292">
        <w:rPr>
          <w:rFonts w:ascii="Book Antiqua" w:hAnsi="Book Antiqua"/>
        </w:rPr>
        <w:t xml:space="preserve">, Vandekerkhove G, Khalaf D, Taavitsainen S, Beja K, Warner EW, Sunderland K, Kollmannsberger C, Eigl BJ, Finch D, Oja CD, Vergidis J, Zulfiqar M, Azad AA, Nykter M, Gleave ME, Wyatt AW, Chi KN. Circulating Tumor DNA Genomics Correlate with Resistance to Abiraterone and Enzalutamide in Prostate Cancer. </w:t>
      </w:r>
      <w:r w:rsidRPr="006E7292">
        <w:rPr>
          <w:rFonts w:ascii="Book Antiqua" w:hAnsi="Book Antiqua"/>
          <w:i/>
        </w:rPr>
        <w:t>Cancer Discov</w:t>
      </w:r>
      <w:r w:rsidRPr="006E7292">
        <w:rPr>
          <w:rFonts w:ascii="Book Antiqua" w:hAnsi="Book Antiqua"/>
        </w:rPr>
        <w:t xml:space="preserve"> 2018; </w:t>
      </w:r>
      <w:r w:rsidRPr="006E7292">
        <w:rPr>
          <w:rFonts w:ascii="Book Antiqua" w:hAnsi="Book Antiqua"/>
          <w:b/>
        </w:rPr>
        <w:t>8</w:t>
      </w:r>
      <w:r w:rsidRPr="006E7292">
        <w:rPr>
          <w:rFonts w:ascii="Book Antiqua" w:hAnsi="Book Antiqua"/>
        </w:rPr>
        <w:t>: 444-457 [PMID: 29367197 DOI: 10.1158/2159-8290.CD-17-0937]</w:t>
      </w:r>
    </w:p>
    <w:p w14:paraId="5256F337"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25 </w:t>
      </w:r>
      <w:r w:rsidRPr="006E7292">
        <w:rPr>
          <w:rFonts w:ascii="Book Antiqua" w:hAnsi="Book Antiqua"/>
          <w:b/>
        </w:rPr>
        <w:t>Kohli M</w:t>
      </w:r>
      <w:r w:rsidRPr="006E7292">
        <w:rPr>
          <w:rFonts w:ascii="Book Antiqua" w:hAnsi="Book Antiqua"/>
        </w:rPr>
        <w:t xml:space="preserve">, Li J, Du M, Hillman DW, Dehm SM, Tan W, Carlson R, Campion MB, Wang L, Wang L, Zhang H, Zhang P, Kilari D, Huang CC, Wang L. Prognostic association of plasma cell-free DNA-based androgen receptor amplification and circulating tumor cells in pre-chemotherapy metastatic castration-resistant prostate cancer patients. </w:t>
      </w:r>
      <w:r w:rsidRPr="006E7292">
        <w:rPr>
          <w:rFonts w:ascii="Book Antiqua" w:hAnsi="Book Antiqua"/>
          <w:i/>
        </w:rPr>
        <w:t>Prostate Cancer Prostatic Dis</w:t>
      </w:r>
      <w:r w:rsidRPr="006E7292">
        <w:rPr>
          <w:rFonts w:ascii="Book Antiqua" w:hAnsi="Book Antiqua"/>
        </w:rPr>
        <w:t xml:space="preserve"> 2018; </w:t>
      </w:r>
      <w:r w:rsidRPr="006E7292">
        <w:rPr>
          <w:rFonts w:ascii="Book Antiqua" w:hAnsi="Book Antiqua"/>
          <w:b/>
        </w:rPr>
        <w:t>21</w:t>
      </w:r>
      <w:r w:rsidRPr="006E7292">
        <w:rPr>
          <w:rFonts w:ascii="Book Antiqua" w:hAnsi="Book Antiqua"/>
        </w:rPr>
        <w:t>: 411-418 [PMID: 29858592 DOI: 10.1038/s41391-018-0043-z]</w:t>
      </w:r>
    </w:p>
    <w:p w14:paraId="6CBD587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26 </w:t>
      </w:r>
      <w:r w:rsidRPr="006E7292">
        <w:rPr>
          <w:rFonts w:ascii="Book Antiqua" w:hAnsi="Book Antiqua"/>
          <w:b/>
        </w:rPr>
        <w:t>Mehra N</w:t>
      </w:r>
      <w:r w:rsidRPr="006E7292">
        <w:rPr>
          <w:rFonts w:ascii="Book Antiqua" w:hAnsi="Book Antiqua"/>
        </w:rPr>
        <w:t xml:space="preserve">, Dolling D, Sumanasuriya S, Christova R, Pope L, Carreira S, Seed G, Yuan W, Goodall J, Hall E, Flohr P, Boysen G, Bianchini D, Sartor O, Eisenberger MA, Fizazi K, Oudard S, Chadjaa M, Macé S, de Bono JS. </w:t>
      </w:r>
      <w:proofErr w:type="gramStart"/>
      <w:r w:rsidRPr="006E7292">
        <w:rPr>
          <w:rFonts w:ascii="Book Antiqua" w:hAnsi="Book Antiqua"/>
        </w:rPr>
        <w:t xml:space="preserve">Plasma Cell-free DNA </w:t>
      </w:r>
      <w:r w:rsidRPr="006E7292">
        <w:rPr>
          <w:rFonts w:ascii="Book Antiqua" w:hAnsi="Book Antiqua"/>
        </w:rPr>
        <w:lastRenderedPageBreak/>
        <w:t>Concentration and Outcomes from Taxane Therapy in Metastatic Castration-resistant Prostate Cancer from Two Phase III Trials (FIRSTANA and PROSELICA).</w:t>
      </w:r>
      <w:proofErr w:type="gramEnd"/>
      <w:r w:rsidRPr="006E7292">
        <w:rPr>
          <w:rFonts w:ascii="Book Antiqua" w:hAnsi="Book Antiqua"/>
        </w:rPr>
        <w:t xml:space="preserve"> </w:t>
      </w:r>
      <w:r w:rsidRPr="006E7292">
        <w:rPr>
          <w:rFonts w:ascii="Book Antiqua" w:hAnsi="Book Antiqua"/>
          <w:i/>
        </w:rPr>
        <w:t>Eur Urol</w:t>
      </w:r>
      <w:r w:rsidRPr="006E7292">
        <w:rPr>
          <w:rFonts w:ascii="Book Antiqua" w:hAnsi="Book Antiqua"/>
        </w:rPr>
        <w:t xml:space="preserve"> 2018; </w:t>
      </w:r>
      <w:r w:rsidRPr="006E7292">
        <w:rPr>
          <w:rFonts w:ascii="Book Antiqua" w:hAnsi="Book Antiqua"/>
          <w:b/>
        </w:rPr>
        <w:t>74</w:t>
      </w:r>
      <w:r w:rsidRPr="006E7292">
        <w:rPr>
          <w:rFonts w:ascii="Book Antiqua" w:hAnsi="Book Antiqua"/>
        </w:rPr>
        <w:t>: 283-291 [PMID: 29500065 DOI: 10.1016/j.eururo.2018.02.013]</w:t>
      </w:r>
    </w:p>
    <w:p w14:paraId="36F71AF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27 </w:t>
      </w:r>
      <w:r w:rsidRPr="006E7292">
        <w:rPr>
          <w:rFonts w:ascii="Book Antiqua" w:hAnsi="Book Antiqua"/>
          <w:b/>
        </w:rPr>
        <w:t>Seyedolmohadessin SM</w:t>
      </w:r>
      <w:r w:rsidRPr="006E7292">
        <w:rPr>
          <w:rFonts w:ascii="Book Antiqua" w:hAnsi="Book Antiqua"/>
        </w:rPr>
        <w:t xml:space="preserve">, Akbari MT, Nourmohammadi Z, Basiri A, Pourmand G. Assessing the Diagnostic Value of Plasma-Free DNA in Prostate Cancer Screening </w:t>
      </w:r>
      <w:r w:rsidRPr="006E7292">
        <w:rPr>
          <w:rFonts w:ascii="Book Antiqua" w:hAnsi="Book Antiqua"/>
          <w:i/>
        </w:rPr>
        <w:t>Iran Biomed J</w:t>
      </w:r>
      <w:r w:rsidRPr="006E7292">
        <w:rPr>
          <w:rFonts w:ascii="Book Antiqua" w:hAnsi="Book Antiqua"/>
        </w:rPr>
        <w:t xml:space="preserve"> 2018; </w:t>
      </w:r>
      <w:r w:rsidRPr="006E7292">
        <w:rPr>
          <w:rFonts w:ascii="Book Antiqua" w:hAnsi="Book Antiqua"/>
          <w:b/>
        </w:rPr>
        <w:t>22</w:t>
      </w:r>
      <w:r w:rsidRPr="006E7292">
        <w:rPr>
          <w:rFonts w:ascii="Book Antiqua" w:hAnsi="Book Antiqua"/>
        </w:rPr>
        <w:t>: 331-337 [PMID: 29475366 DOI: 10.29252/ibj.22.5.331]</w:t>
      </w:r>
    </w:p>
    <w:p w14:paraId="40D1E120"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28 </w:t>
      </w:r>
      <w:r w:rsidRPr="006E7292">
        <w:rPr>
          <w:rFonts w:ascii="Book Antiqua" w:hAnsi="Book Antiqua"/>
          <w:b/>
        </w:rPr>
        <w:t>Belic J</w:t>
      </w:r>
      <w:r w:rsidRPr="006E7292">
        <w:rPr>
          <w:rFonts w:ascii="Book Antiqua" w:hAnsi="Book Antiqua"/>
        </w:rPr>
        <w:t xml:space="preserve">, Graf R, Bauernhofer T, Cherkas Y, Ulz P, Waldispuehl-Geigl J, Perakis S, Gormley M, Patel J, Li W, Geigl JB, Smirnov D, Heitzer E, Gross M, Speicher MR. Genomic alterations in plasma DNA from patients with metastasized prostate cancer receiving abiraterone or enzalutamide. </w:t>
      </w:r>
      <w:r w:rsidRPr="006E7292">
        <w:rPr>
          <w:rFonts w:ascii="Book Antiqua" w:hAnsi="Book Antiqua"/>
          <w:i/>
        </w:rPr>
        <w:t>Int J Cancer</w:t>
      </w:r>
      <w:r w:rsidRPr="006E7292">
        <w:rPr>
          <w:rFonts w:ascii="Book Antiqua" w:hAnsi="Book Antiqua"/>
        </w:rPr>
        <w:t xml:space="preserve"> 2018; </w:t>
      </w:r>
      <w:r w:rsidRPr="006E7292">
        <w:rPr>
          <w:rFonts w:ascii="Book Antiqua" w:hAnsi="Book Antiqua"/>
          <w:b/>
        </w:rPr>
        <w:t>143</w:t>
      </w:r>
      <w:r w:rsidRPr="006E7292">
        <w:rPr>
          <w:rFonts w:ascii="Book Antiqua" w:hAnsi="Book Antiqua"/>
        </w:rPr>
        <w:t>: 1236-1248 [PMID: 29574703 DOI: 10.1002/ijc.31397]</w:t>
      </w:r>
    </w:p>
    <w:p w14:paraId="4EB66456"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29 </w:t>
      </w:r>
      <w:r w:rsidRPr="006E7292">
        <w:rPr>
          <w:rFonts w:ascii="Book Antiqua" w:hAnsi="Book Antiqua"/>
          <w:b/>
        </w:rPr>
        <w:t>Hendriks RJ</w:t>
      </w:r>
      <w:r w:rsidRPr="006E7292">
        <w:rPr>
          <w:rFonts w:ascii="Book Antiqua" w:hAnsi="Book Antiqua"/>
        </w:rPr>
        <w:t xml:space="preserve">, Dijkstra S, Smit FP, Vandersmissen J, Van de Voorde H, Mulders PFA, van Oort IM, Van Criekinge W, Schalken JA. Epigenetic markers in circulating cell-free DNA as prognostic markers for survival of castration-resistant prostate cancer patients. </w:t>
      </w:r>
      <w:r w:rsidRPr="006E7292">
        <w:rPr>
          <w:rFonts w:ascii="Book Antiqua" w:hAnsi="Book Antiqua"/>
          <w:i/>
        </w:rPr>
        <w:t>Prostate</w:t>
      </w:r>
      <w:r w:rsidRPr="006E7292">
        <w:rPr>
          <w:rFonts w:ascii="Book Antiqua" w:hAnsi="Book Antiqua"/>
        </w:rPr>
        <w:t xml:space="preserve"> 2018; </w:t>
      </w:r>
      <w:r w:rsidRPr="006E7292">
        <w:rPr>
          <w:rFonts w:ascii="Book Antiqua" w:hAnsi="Book Antiqua"/>
          <w:b/>
        </w:rPr>
        <w:t>78</w:t>
      </w:r>
      <w:r w:rsidRPr="006E7292">
        <w:rPr>
          <w:rFonts w:ascii="Book Antiqua" w:hAnsi="Book Antiqua"/>
        </w:rPr>
        <w:t>: 336-342 [PMID: 29330943 DOI: 10.1002/pros.23477]</w:t>
      </w:r>
    </w:p>
    <w:p w14:paraId="46341DAB" w14:textId="4D134794"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30 </w:t>
      </w:r>
      <w:r w:rsidRPr="006E7292">
        <w:rPr>
          <w:rFonts w:ascii="Book Antiqua" w:hAnsi="Book Antiqua"/>
          <w:b/>
        </w:rPr>
        <w:t>Wyatt AW</w:t>
      </w:r>
      <w:r w:rsidRPr="006E7292">
        <w:rPr>
          <w:rFonts w:ascii="Book Antiqua" w:hAnsi="Book Antiqua"/>
        </w:rPr>
        <w:t xml:space="preserve">, Annala M, Aggarwal R, Beja K, Feng F, Youngren J, Foye A, Lloyd P, Nykter M, Beer TM, Alumkal JJ, Thomas GV, Reiter RE, Rettig MB, Evans CP, Gao AC, Chi KN, Small EJ, Gleave ME. </w:t>
      </w:r>
      <w:proofErr w:type="gramStart"/>
      <w:r w:rsidRPr="006E7292">
        <w:rPr>
          <w:rFonts w:ascii="Book Antiqua" w:hAnsi="Book Antiqua"/>
        </w:rPr>
        <w:t>Concordance of Circulating Tumor DNA and Matched Metastatic Tissue Biopsy in Prostate Cancer.</w:t>
      </w:r>
      <w:proofErr w:type="gramEnd"/>
      <w:r w:rsidRPr="006E7292">
        <w:rPr>
          <w:rFonts w:ascii="Book Antiqua" w:hAnsi="Book Antiqua"/>
        </w:rPr>
        <w:t xml:space="preserve"> </w:t>
      </w:r>
      <w:r w:rsidRPr="006E7292">
        <w:rPr>
          <w:rFonts w:ascii="Book Antiqua" w:hAnsi="Book Antiqua"/>
          <w:i/>
        </w:rPr>
        <w:t>J Natl Cancer Inst</w:t>
      </w:r>
      <w:r w:rsidRPr="006E7292">
        <w:rPr>
          <w:rFonts w:ascii="Book Antiqua" w:hAnsi="Book Antiqua"/>
        </w:rPr>
        <w:t xml:space="preserve"> 2017; </w:t>
      </w:r>
      <w:r w:rsidRPr="006E7292">
        <w:rPr>
          <w:rFonts w:ascii="Book Antiqua" w:hAnsi="Book Antiqua"/>
          <w:b/>
        </w:rPr>
        <w:t>109</w:t>
      </w:r>
      <w:r w:rsidR="00142626" w:rsidRPr="006E7292">
        <w:rPr>
          <w:rFonts w:ascii="Book Antiqua" w:hAnsi="Book Antiqua"/>
        </w:rPr>
        <w:t xml:space="preserve"> </w:t>
      </w:r>
      <w:r w:rsidRPr="006E7292">
        <w:rPr>
          <w:rFonts w:ascii="Book Antiqua" w:hAnsi="Book Antiqua"/>
        </w:rPr>
        <w:t>[PMID: 29206995 DOI: 10.1093/jnci/djx118]</w:t>
      </w:r>
    </w:p>
    <w:p w14:paraId="58630E9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31 </w:t>
      </w:r>
      <w:r w:rsidRPr="006E7292">
        <w:rPr>
          <w:rFonts w:ascii="Book Antiqua" w:hAnsi="Book Antiqua"/>
          <w:b/>
        </w:rPr>
        <w:t>Rathkopf DE</w:t>
      </w:r>
      <w:r w:rsidRPr="006E7292">
        <w:rPr>
          <w:rFonts w:ascii="Book Antiqua" w:hAnsi="Book Antiqua"/>
        </w:rPr>
        <w:t xml:space="preserve">, Smith MR, Ryan CJ, Berry WR, Shore ND, Liu G, Higano CS, Alumkal JJ, Hauke R, Tutrone RF, Saleh M, Chow Maneval E, Thomas S, Ricci DS, Yu MK, de Boer CJ, Trinh A, Kheoh T, Bandekar R, Scher HI, Antonarakis ES. Androgen receptor mutations in patients with castration-resistant prostate cancer treated with apalutamide. </w:t>
      </w:r>
      <w:r w:rsidRPr="006E7292">
        <w:rPr>
          <w:rFonts w:ascii="Book Antiqua" w:hAnsi="Book Antiqua"/>
          <w:i/>
        </w:rPr>
        <w:t>Ann Oncol</w:t>
      </w:r>
      <w:r w:rsidRPr="006E7292">
        <w:rPr>
          <w:rFonts w:ascii="Book Antiqua" w:hAnsi="Book Antiqua"/>
        </w:rPr>
        <w:t xml:space="preserve"> 2017; </w:t>
      </w:r>
      <w:r w:rsidRPr="006E7292">
        <w:rPr>
          <w:rFonts w:ascii="Book Antiqua" w:hAnsi="Book Antiqua"/>
          <w:b/>
        </w:rPr>
        <w:t>28</w:t>
      </w:r>
      <w:r w:rsidRPr="006E7292">
        <w:rPr>
          <w:rFonts w:ascii="Book Antiqua" w:hAnsi="Book Antiqua"/>
        </w:rPr>
        <w:t>: 2264-2271 [PMID: 28633425 DOI: 10.1093/annonc/mdx283]</w:t>
      </w:r>
    </w:p>
    <w:p w14:paraId="6B32F4FE"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32 </w:t>
      </w:r>
      <w:r w:rsidRPr="006E7292">
        <w:rPr>
          <w:rFonts w:ascii="Book Antiqua" w:hAnsi="Book Antiqua"/>
          <w:b/>
        </w:rPr>
        <w:t>Goodall J</w:t>
      </w:r>
      <w:r w:rsidRPr="006E7292">
        <w:rPr>
          <w:rFonts w:ascii="Book Antiqua" w:hAnsi="Book Antiqua"/>
        </w:rPr>
        <w:t xml:space="preserve">, Mateo J, Yuan W, Mossop H, Porta N, Miranda S, Perez-Lopez R, Dolling D, Robinson DR, Sandhu S, Fowler G, Ebbs B, Flohr P, Seed G, Rodrigues DN, Boysen G, Bertan C, Atkin M, Clarke M, Crespo M, Figueiredo I, Riisnaes R, Sumanasuriya S, Rescigno P, Zafeiriou Z, Sharp A, Tunariu N, Bianchini D, Gillman A, Lord CJ, Hall E, Chinnaiyan AM, Carreira S, de Bono JS; TOPARP-A investigators. </w:t>
      </w:r>
      <w:proofErr w:type="gramStart"/>
      <w:r w:rsidRPr="006E7292">
        <w:rPr>
          <w:rFonts w:ascii="Book Antiqua" w:hAnsi="Book Antiqua"/>
        </w:rPr>
        <w:lastRenderedPageBreak/>
        <w:t>Circulating Cell-Free DNA to Guide Prostate Cancer Treatment with PARP Inhibition.</w:t>
      </w:r>
      <w:proofErr w:type="gramEnd"/>
      <w:r w:rsidRPr="006E7292">
        <w:rPr>
          <w:rFonts w:ascii="Book Antiqua" w:hAnsi="Book Antiqua"/>
        </w:rPr>
        <w:t xml:space="preserve"> </w:t>
      </w:r>
      <w:r w:rsidRPr="006E7292">
        <w:rPr>
          <w:rFonts w:ascii="Book Antiqua" w:hAnsi="Book Antiqua"/>
          <w:i/>
        </w:rPr>
        <w:t>Cancer Discov</w:t>
      </w:r>
      <w:r w:rsidRPr="006E7292">
        <w:rPr>
          <w:rFonts w:ascii="Book Antiqua" w:hAnsi="Book Antiqua"/>
        </w:rPr>
        <w:t xml:space="preserve"> 2017; </w:t>
      </w:r>
      <w:r w:rsidRPr="006E7292">
        <w:rPr>
          <w:rFonts w:ascii="Book Antiqua" w:hAnsi="Book Antiqua"/>
          <w:b/>
        </w:rPr>
        <w:t>7</w:t>
      </w:r>
      <w:r w:rsidRPr="006E7292">
        <w:rPr>
          <w:rFonts w:ascii="Book Antiqua" w:hAnsi="Book Antiqua"/>
        </w:rPr>
        <w:t>: 1006-1017 [PMID: 28450425 DOI: 10.1158/2159-8290.CD-17-0261]</w:t>
      </w:r>
    </w:p>
    <w:p w14:paraId="1CED9B1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33 </w:t>
      </w:r>
      <w:r w:rsidRPr="006E7292">
        <w:rPr>
          <w:rFonts w:ascii="Book Antiqua" w:hAnsi="Book Antiqua"/>
          <w:b/>
        </w:rPr>
        <w:t>Conteduca V</w:t>
      </w:r>
      <w:r w:rsidRPr="006E7292">
        <w:rPr>
          <w:rFonts w:ascii="Book Antiqua" w:hAnsi="Book Antiqua"/>
        </w:rPr>
        <w:t xml:space="preserve">, Scarpi E, Caroli P, Salvi S, Lolli C, Burgio SL, Menna C, Schepisi G, Testoni S, Gurioli G, Paganelli G, Casadio V, Matteucci F, De Giorgi U. Circulating androgen receptor combined with 18F-fluorocholine PET/CT metabolic activity and outcome to androgen receptor signalling-directed therapies in castration-resistant prostate cancer. </w:t>
      </w:r>
      <w:r w:rsidRPr="006E7292">
        <w:rPr>
          <w:rFonts w:ascii="Book Antiqua" w:hAnsi="Book Antiqua"/>
          <w:i/>
        </w:rPr>
        <w:t>Sci Rep</w:t>
      </w:r>
      <w:r w:rsidRPr="006E7292">
        <w:rPr>
          <w:rFonts w:ascii="Book Antiqua" w:hAnsi="Book Antiqua"/>
        </w:rPr>
        <w:t xml:space="preserve"> 2017; </w:t>
      </w:r>
      <w:r w:rsidRPr="006E7292">
        <w:rPr>
          <w:rFonts w:ascii="Book Antiqua" w:hAnsi="Book Antiqua"/>
          <w:b/>
        </w:rPr>
        <w:t>7</w:t>
      </w:r>
      <w:r w:rsidRPr="006E7292">
        <w:rPr>
          <w:rFonts w:ascii="Book Antiqua" w:hAnsi="Book Antiqua"/>
        </w:rPr>
        <w:t>: 15541 [PMID: 29138500 DOI: 10.1038/s41598-017-15928-y]</w:t>
      </w:r>
    </w:p>
    <w:p w14:paraId="626309D5"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34 </w:t>
      </w:r>
      <w:r w:rsidRPr="006E7292">
        <w:rPr>
          <w:rFonts w:ascii="Book Antiqua" w:hAnsi="Book Antiqua"/>
          <w:b/>
        </w:rPr>
        <w:t>Annala M</w:t>
      </w:r>
      <w:r w:rsidRPr="006E7292">
        <w:rPr>
          <w:rFonts w:ascii="Book Antiqua" w:hAnsi="Book Antiqua"/>
        </w:rPr>
        <w:t xml:space="preserve">, Struss WJ, Warner EW, Beja K, Vandekerkhove G, Wong A, Khalaf D, Seppälä IL, So A, Lo G, Aggarwal R, Small EJ, Nykter M, Gleave ME, Chi KN, Wyatt AW. </w:t>
      </w:r>
      <w:proofErr w:type="gramStart"/>
      <w:r w:rsidRPr="006E7292">
        <w:rPr>
          <w:rFonts w:ascii="Book Antiqua" w:hAnsi="Book Antiqua"/>
        </w:rPr>
        <w:t>Treatment Outcomes and Tumor Loss of Heterozygosity in Germline DNA Repair-deficient Prostate Cancer.</w:t>
      </w:r>
      <w:proofErr w:type="gramEnd"/>
      <w:r w:rsidRPr="006E7292">
        <w:rPr>
          <w:rFonts w:ascii="Book Antiqua" w:hAnsi="Book Antiqua"/>
        </w:rPr>
        <w:t xml:space="preserve"> </w:t>
      </w:r>
      <w:r w:rsidRPr="006E7292">
        <w:rPr>
          <w:rFonts w:ascii="Book Antiqua" w:hAnsi="Book Antiqua"/>
          <w:i/>
        </w:rPr>
        <w:t>Eur Urol</w:t>
      </w:r>
      <w:r w:rsidRPr="006E7292">
        <w:rPr>
          <w:rFonts w:ascii="Book Antiqua" w:hAnsi="Book Antiqua"/>
        </w:rPr>
        <w:t xml:space="preserve"> 2017; </w:t>
      </w:r>
      <w:r w:rsidRPr="006E7292">
        <w:rPr>
          <w:rFonts w:ascii="Book Antiqua" w:hAnsi="Book Antiqua"/>
          <w:b/>
        </w:rPr>
        <w:t>72</w:t>
      </w:r>
      <w:r w:rsidRPr="006E7292">
        <w:rPr>
          <w:rFonts w:ascii="Book Antiqua" w:hAnsi="Book Antiqua"/>
        </w:rPr>
        <w:t>: 34-42 [PMID: 28259476 DOI: 10.1016/j.eururo.2017.02.023]</w:t>
      </w:r>
    </w:p>
    <w:p w14:paraId="0C7D19BB"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35 </w:t>
      </w:r>
      <w:r w:rsidRPr="006E7292">
        <w:rPr>
          <w:rFonts w:ascii="Book Antiqua" w:hAnsi="Book Antiqua"/>
          <w:b/>
        </w:rPr>
        <w:t>Conteduca V</w:t>
      </w:r>
      <w:r w:rsidRPr="006E7292">
        <w:rPr>
          <w:rFonts w:ascii="Book Antiqua" w:hAnsi="Book Antiqua"/>
        </w:rPr>
        <w:t xml:space="preserve">, Wetterskog D, Sharabiani MTA, Grande E, Fernandez-Perez MP, Jayaram A, Salvi S, Castellano D, Romanel A, Lolli C, Casadio V, Gurioli G, Amadori D, Font A, Vazquez-Estevez S, González Del Alba A, Mellado B, Fernandez-Calvo O, Méndez-Vidal MJ, Climent MA, Duran I, Gallardo E, Rodriguez A, Santander C, Sáez MI, Puente J, Gasi Tandefelt D, Wingate A, Dearnaley D; PREMIERE Collaborators; Spanish Oncology Genitourinary Group, Demichelis F, De Giorgi U, Gonzalez-Billalabeitia E, Attard G. Androgen receptor gene status in plasma DNA associates with worse outcome on enzalutamide or abiraterone for castration-resistant prostate cancer: a multi-institution correlative biomarker study. </w:t>
      </w:r>
      <w:r w:rsidRPr="006E7292">
        <w:rPr>
          <w:rFonts w:ascii="Book Antiqua" w:hAnsi="Book Antiqua"/>
          <w:i/>
        </w:rPr>
        <w:t>Ann Oncol</w:t>
      </w:r>
      <w:r w:rsidRPr="006E7292">
        <w:rPr>
          <w:rFonts w:ascii="Book Antiqua" w:hAnsi="Book Antiqua"/>
        </w:rPr>
        <w:t xml:space="preserve"> 2017; </w:t>
      </w:r>
      <w:r w:rsidRPr="006E7292">
        <w:rPr>
          <w:rFonts w:ascii="Book Antiqua" w:hAnsi="Book Antiqua"/>
          <w:b/>
        </w:rPr>
        <w:t>28</w:t>
      </w:r>
      <w:r w:rsidRPr="006E7292">
        <w:rPr>
          <w:rFonts w:ascii="Book Antiqua" w:hAnsi="Book Antiqua"/>
        </w:rPr>
        <w:t>: 1508-1516 [PMID: 28472366 DOI: 10.1093/annonc/mdx155]</w:t>
      </w:r>
    </w:p>
    <w:p w14:paraId="3650DD3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36 </w:t>
      </w:r>
      <w:r w:rsidRPr="006E7292">
        <w:rPr>
          <w:rFonts w:ascii="Book Antiqua" w:hAnsi="Book Antiqua"/>
          <w:b/>
        </w:rPr>
        <w:t>Goldstein A</w:t>
      </w:r>
      <w:r w:rsidRPr="006E7292">
        <w:rPr>
          <w:rFonts w:ascii="Book Antiqua" w:hAnsi="Book Antiqua"/>
        </w:rPr>
        <w:t xml:space="preserve">, Toro PV, Lee J, Silberstein JL, Nakazawa M, Waters I, Cravero K, Chu D, Cochran RL, Kim M, Shinn D, Torquato S, Hughes RM, Pallavajjala A, Carducci MA, Paller CJ, Denmeade SR, Kressel B, Trock BJ, Eisenberger MA, Antonarakis ES, Park BH, Hurley PJ. Detection fidelity of AR mutations in plasma derived cell-free DNA. </w:t>
      </w:r>
      <w:r w:rsidRPr="006E7292">
        <w:rPr>
          <w:rFonts w:ascii="Book Antiqua" w:hAnsi="Book Antiqua"/>
          <w:i/>
        </w:rPr>
        <w:t>Oncotarget</w:t>
      </w:r>
      <w:r w:rsidRPr="006E7292">
        <w:rPr>
          <w:rFonts w:ascii="Book Antiqua" w:hAnsi="Book Antiqua"/>
        </w:rPr>
        <w:t xml:space="preserve"> 2017; </w:t>
      </w:r>
      <w:r w:rsidRPr="006E7292">
        <w:rPr>
          <w:rFonts w:ascii="Book Antiqua" w:hAnsi="Book Antiqua"/>
          <w:b/>
        </w:rPr>
        <w:t>8</w:t>
      </w:r>
      <w:r w:rsidRPr="006E7292">
        <w:rPr>
          <w:rFonts w:ascii="Book Antiqua" w:hAnsi="Book Antiqua"/>
        </w:rPr>
        <w:t>: 15651-15662 [PMID: 28152506 DOI: 10.18632/oncotarget.14926]</w:t>
      </w:r>
    </w:p>
    <w:p w14:paraId="57448A35"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37 </w:t>
      </w:r>
      <w:r w:rsidRPr="006E7292">
        <w:rPr>
          <w:rFonts w:ascii="Book Antiqua" w:hAnsi="Book Antiqua"/>
          <w:b/>
        </w:rPr>
        <w:t>Adalsteinsson VA</w:t>
      </w:r>
      <w:r w:rsidRPr="006E7292">
        <w:rPr>
          <w:rFonts w:ascii="Book Antiqua" w:hAnsi="Book Antiqua"/>
        </w:rPr>
        <w:t xml:space="preserve">, Ha G, Freeman SS, Choudhury AD, Stover DG, Parsons HA, Gydush G, Reed SC, Rotem D, Rhoades J, Loginov D, Livitz D, Rosebrock D, Leshchiner I, Kim J, Stewart C, Rosenberg M, Francis JM, Zhang CZ, Cohen O, Oh C, Ding H, Polak P, Lloyd M, Mahmud S, Helvie K, Merrill MS, Santiago RA, O'Connor EP, Jeong SH, Leeson R, Barry RM, Kramkowski JF, Zhang Z, Polacek L, Lohr JG, Schleicher M, Lipscomb E, Saltzman A, Oliver NM, Marini L, Waks AG, Harshman LC, Tolaney SM, Van Allen EM, Winer EP, Lin NU, Nakabayashi M, Taplin ME, Johannessen CM, Garraway LA, Golub TR, Boehm JS, Wagle N, Getz G, Love JC, Meyerson M. Scalable whole-exome sequencing of cell-free DNA reveals high concordance with metastatic tumors. </w:t>
      </w:r>
      <w:r w:rsidRPr="006E7292">
        <w:rPr>
          <w:rFonts w:ascii="Book Antiqua" w:hAnsi="Book Antiqua"/>
          <w:i/>
        </w:rPr>
        <w:t>Nat Commun</w:t>
      </w:r>
      <w:r w:rsidRPr="006E7292">
        <w:rPr>
          <w:rFonts w:ascii="Book Antiqua" w:hAnsi="Book Antiqua"/>
        </w:rPr>
        <w:t xml:space="preserve"> 2017; </w:t>
      </w:r>
      <w:r w:rsidRPr="006E7292">
        <w:rPr>
          <w:rFonts w:ascii="Book Antiqua" w:hAnsi="Book Antiqua"/>
          <w:b/>
        </w:rPr>
        <w:t>8</w:t>
      </w:r>
      <w:r w:rsidRPr="006E7292">
        <w:rPr>
          <w:rFonts w:ascii="Book Antiqua" w:hAnsi="Book Antiqua"/>
        </w:rPr>
        <w:t>: 1324 [PMID: 29109393 DOI: 10.1038/s41467-017-00965-y]</w:t>
      </w:r>
    </w:p>
    <w:p w14:paraId="7B7708AA"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38 </w:t>
      </w:r>
      <w:r w:rsidRPr="006E7292">
        <w:rPr>
          <w:rFonts w:ascii="Book Antiqua" w:hAnsi="Book Antiqua"/>
          <w:b/>
        </w:rPr>
        <w:t>Wyatt AW</w:t>
      </w:r>
      <w:r w:rsidRPr="006E7292">
        <w:rPr>
          <w:rFonts w:ascii="Book Antiqua" w:hAnsi="Book Antiqua"/>
        </w:rPr>
        <w:t xml:space="preserve">, Azad AA, Volik SV, Annala M, Beja K, McConeghy B, Haegert A, Warner EW, Mo F, Brahmbhatt S, Shukin R, Le Bihan S, Gleave ME, Nykter M, Collins CC, Chi KN. Genomic Alterations in Cell-Free DNA and Enzalutamide Resistance in Castration-Resistant Prostate Cancer. </w:t>
      </w:r>
      <w:r w:rsidRPr="006E7292">
        <w:rPr>
          <w:rFonts w:ascii="Book Antiqua" w:hAnsi="Book Antiqua"/>
          <w:i/>
        </w:rPr>
        <w:t>JAMA Oncol</w:t>
      </w:r>
      <w:r w:rsidRPr="006E7292">
        <w:rPr>
          <w:rFonts w:ascii="Book Antiqua" w:hAnsi="Book Antiqua"/>
        </w:rPr>
        <w:t xml:space="preserve"> 2016; </w:t>
      </w:r>
      <w:r w:rsidRPr="006E7292">
        <w:rPr>
          <w:rFonts w:ascii="Book Antiqua" w:hAnsi="Book Antiqua"/>
          <w:b/>
        </w:rPr>
        <w:t>2</w:t>
      </w:r>
      <w:r w:rsidRPr="006E7292">
        <w:rPr>
          <w:rFonts w:ascii="Book Antiqua" w:hAnsi="Book Antiqua"/>
        </w:rPr>
        <w:t>: 1598-1606 [PMID: 27148695 DOI: 10.1001/jamaoncol.2016.0494]</w:t>
      </w:r>
    </w:p>
    <w:p w14:paraId="209453CD"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39 </w:t>
      </w:r>
      <w:r w:rsidRPr="006E7292">
        <w:rPr>
          <w:rFonts w:ascii="Book Antiqua" w:hAnsi="Book Antiqua"/>
          <w:b/>
        </w:rPr>
        <w:t>Salvi S</w:t>
      </w:r>
      <w:r w:rsidRPr="006E7292">
        <w:rPr>
          <w:rFonts w:ascii="Book Antiqua" w:hAnsi="Book Antiqua"/>
        </w:rPr>
        <w:t xml:space="preserve">, Casadio V, Conteduca V, Lolli C, Gurioli G, Martignano F, Schepisi G, Testoni S, Scarpi E, Amadori D, Calistri D, Attard G, De Giorgi U. Circulating AR copy number and outcome to enzalutamide in docetaxel-treated metastatic castration-resistant prostate cancer. </w:t>
      </w:r>
      <w:r w:rsidRPr="006E7292">
        <w:rPr>
          <w:rFonts w:ascii="Book Antiqua" w:hAnsi="Book Antiqua"/>
          <w:i/>
        </w:rPr>
        <w:t>Oncotarget</w:t>
      </w:r>
      <w:r w:rsidRPr="006E7292">
        <w:rPr>
          <w:rFonts w:ascii="Book Antiqua" w:hAnsi="Book Antiqua"/>
        </w:rPr>
        <w:t xml:space="preserve"> 2016; </w:t>
      </w:r>
      <w:r w:rsidRPr="006E7292">
        <w:rPr>
          <w:rFonts w:ascii="Book Antiqua" w:hAnsi="Book Antiqua"/>
          <w:b/>
        </w:rPr>
        <w:t>7</w:t>
      </w:r>
      <w:r w:rsidRPr="006E7292">
        <w:rPr>
          <w:rFonts w:ascii="Book Antiqua" w:hAnsi="Book Antiqua"/>
        </w:rPr>
        <w:t>: 37839-37845 [PMID: 27191887 DOI: 10.18632/oncotarget.9341]</w:t>
      </w:r>
    </w:p>
    <w:p w14:paraId="755FA4A1"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40 </w:t>
      </w:r>
      <w:r w:rsidRPr="006E7292">
        <w:rPr>
          <w:rFonts w:ascii="Book Antiqua" w:hAnsi="Book Antiqua"/>
          <w:b/>
        </w:rPr>
        <w:t>Fawzy A</w:t>
      </w:r>
      <w:r w:rsidRPr="006E7292">
        <w:rPr>
          <w:rFonts w:ascii="Book Antiqua" w:hAnsi="Book Antiqua"/>
        </w:rPr>
        <w:t>, Sweify KM, El-Fayoumy HM, Nofal N. Quantitative analysis of plasma cell-free DNA and its DNA integrity in patients with metastatic prostate cancer using ALU sequence.</w:t>
      </w:r>
      <w:proofErr w:type="gramEnd"/>
      <w:r w:rsidRPr="006E7292">
        <w:rPr>
          <w:rFonts w:ascii="Book Antiqua" w:hAnsi="Book Antiqua"/>
        </w:rPr>
        <w:t xml:space="preserve"> </w:t>
      </w:r>
      <w:r w:rsidRPr="006E7292">
        <w:rPr>
          <w:rFonts w:ascii="Book Antiqua" w:hAnsi="Book Antiqua"/>
          <w:i/>
        </w:rPr>
        <w:t>J Egypt Natl Canc Inst</w:t>
      </w:r>
      <w:r w:rsidRPr="006E7292">
        <w:rPr>
          <w:rFonts w:ascii="Book Antiqua" w:hAnsi="Book Antiqua"/>
        </w:rPr>
        <w:t xml:space="preserve"> 2016; </w:t>
      </w:r>
      <w:r w:rsidRPr="006E7292">
        <w:rPr>
          <w:rFonts w:ascii="Book Antiqua" w:hAnsi="Book Antiqua"/>
          <w:b/>
        </w:rPr>
        <w:t>28</w:t>
      </w:r>
      <w:r w:rsidRPr="006E7292">
        <w:rPr>
          <w:rFonts w:ascii="Book Antiqua" w:hAnsi="Book Antiqua"/>
        </w:rPr>
        <w:t>: 235-242 [PMID: 27634416 DOI: 10.1016/j.jnci.2016.08.003]</w:t>
      </w:r>
    </w:p>
    <w:p w14:paraId="713BA76D"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41 </w:t>
      </w:r>
      <w:r w:rsidRPr="006E7292">
        <w:rPr>
          <w:rFonts w:ascii="Book Antiqua" w:hAnsi="Book Antiqua"/>
          <w:b/>
        </w:rPr>
        <w:t>Azad AA</w:t>
      </w:r>
      <w:r w:rsidRPr="006E7292">
        <w:rPr>
          <w:rFonts w:ascii="Book Antiqua" w:hAnsi="Book Antiqua"/>
        </w:rPr>
        <w:t xml:space="preserve">, Volik SV, Wyatt AW, Haegert A, Le Bihan S, Bell RH, Anderson SA, McConeghy B, Shukin R, Bazov J, Youngren J, Paris P, Thomas G, Small EJ, Wang Y, Gleave ME, Collins CC, Chi KN. Androgen Receptor Gene Aberrations in Circulating Cell-Free DNA: Biomarkers of Therapeutic Resistance in Castration-Resistant Prostate Cancer. </w:t>
      </w:r>
      <w:r w:rsidRPr="006E7292">
        <w:rPr>
          <w:rFonts w:ascii="Book Antiqua" w:hAnsi="Book Antiqua"/>
          <w:i/>
        </w:rPr>
        <w:t>Clin Cancer Res</w:t>
      </w:r>
      <w:r w:rsidRPr="006E7292">
        <w:rPr>
          <w:rFonts w:ascii="Book Antiqua" w:hAnsi="Book Antiqua"/>
        </w:rPr>
        <w:t xml:space="preserve"> 2015; </w:t>
      </w:r>
      <w:r w:rsidRPr="006E7292">
        <w:rPr>
          <w:rFonts w:ascii="Book Antiqua" w:hAnsi="Book Antiqua"/>
          <w:b/>
        </w:rPr>
        <w:t>21</w:t>
      </w:r>
      <w:r w:rsidRPr="006E7292">
        <w:rPr>
          <w:rFonts w:ascii="Book Antiqua" w:hAnsi="Book Antiqua"/>
        </w:rPr>
        <w:t>: 2315-2324 [PMID: 25712683 DOI: 10.1158/1078-0432.CCR-14-2666]</w:t>
      </w:r>
    </w:p>
    <w:p w14:paraId="1892F30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42 </w:t>
      </w:r>
      <w:r w:rsidRPr="006E7292">
        <w:rPr>
          <w:rFonts w:ascii="Book Antiqua" w:hAnsi="Book Antiqua"/>
          <w:b/>
        </w:rPr>
        <w:t>Deligezer U</w:t>
      </w:r>
      <w:r w:rsidRPr="006E7292">
        <w:rPr>
          <w:rFonts w:ascii="Book Antiqua" w:hAnsi="Book Antiqua"/>
        </w:rPr>
        <w:t xml:space="preserve">, Yaman F, Darendeliler E, Dizdar Y, Holdenrieder S, Kovancilar M, Dalay N. Post-treatment circulating plasma BMP6 mRNA and H3K27 methylation levels discriminate metastatic prostate cancer from localized disease. </w:t>
      </w:r>
      <w:r w:rsidRPr="006E7292">
        <w:rPr>
          <w:rFonts w:ascii="Book Antiqua" w:hAnsi="Book Antiqua"/>
          <w:i/>
        </w:rPr>
        <w:t>Clin Chim Acta</w:t>
      </w:r>
      <w:r w:rsidRPr="006E7292">
        <w:rPr>
          <w:rFonts w:ascii="Book Antiqua" w:hAnsi="Book Antiqua"/>
        </w:rPr>
        <w:t xml:space="preserve"> 2010; </w:t>
      </w:r>
      <w:r w:rsidRPr="006E7292">
        <w:rPr>
          <w:rFonts w:ascii="Book Antiqua" w:hAnsi="Book Antiqua"/>
          <w:b/>
        </w:rPr>
        <w:t>411</w:t>
      </w:r>
      <w:r w:rsidRPr="006E7292">
        <w:rPr>
          <w:rFonts w:ascii="Book Antiqua" w:hAnsi="Book Antiqua"/>
        </w:rPr>
        <w:t>: 1452-1456 [PMID: 20573596 DOI: 10.1016/j.cca.2010.05.040]</w:t>
      </w:r>
    </w:p>
    <w:p w14:paraId="5881A20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43 </w:t>
      </w:r>
      <w:r w:rsidRPr="006E7292">
        <w:rPr>
          <w:rFonts w:ascii="Book Antiqua" w:hAnsi="Book Antiqua"/>
          <w:b/>
        </w:rPr>
        <w:t>Schwarzenbach H</w:t>
      </w:r>
      <w:r w:rsidRPr="006E7292">
        <w:rPr>
          <w:rFonts w:ascii="Book Antiqua" w:hAnsi="Book Antiqua"/>
        </w:rPr>
        <w:t xml:space="preserve">, Alix-Panabières C, Müller I, Letang N, Vendrell JP, Rebillard X, Pantel K. Cell-free tumor DNA in blood plasma as a marker for circulating tumor cells in prostate cancer. </w:t>
      </w:r>
      <w:r w:rsidRPr="006E7292">
        <w:rPr>
          <w:rFonts w:ascii="Book Antiqua" w:hAnsi="Book Antiqua"/>
          <w:i/>
        </w:rPr>
        <w:t>Clin Cancer Res</w:t>
      </w:r>
      <w:r w:rsidRPr="006E7292">
        <w:rPr>
          <w:rFonts w:ascii="Book Antiqua" w:hAnsi="Book Antiqua"/>
        </w:rPr>
        <w:t xml:space="preserve"> 2009; </w:t>
      </w:r>
      <w:r w:rsidRPr="006E7292">
        <w:rPr>
          <w:rFonts w:ascii="Book Antiqua" w:hAnsi="Book Antiqua"/>
          <w:b/>
        </w:rPr>
        <w:t>15</w:t>
      </w:r>
      <w:r w:rsidRPr="006E7292">
        <w:rPr>
          <w:rFonts w:ascii="Book Antiqua" w:hAnsi="Book Antiqua"/>
        </w:rPr>
        <w:t>: 1032-1038 [PMID: 19188176 DOI: 10.1158/1078-0432.CCR-08-1910]</w:t>
      </w:r>
    </w:p>
    <w:p w14:paraId="00314AD3"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44 </w:t>
      </w:r>
      <w:r w:rsidRPr="006E7292">
        <w:rPr>
          <w:rFonts w:ascii="Book Antiqua" w:hAnsi="Book Antiqua"/>
          <w:b/>
        </w:rPr>
        <w:t>Bastian PJ</w:t>
      </w:r>
      <w:r w:rsidRPr="006E7292">
        <w:rPr>
          <w:rFonts w:ascii="Book Antiqua" w:hAnsi="Book Antiqua"/>
        </w:rPr>
        <w:t>, Palapattu GS, Yegnasubramanian S, Lin X, Rogers CG, Mangold LA, Trock B, Eisenberger M, Partin AW, Nelson WG.</w:t>
      </w:r>
      <w:proofErr w:type="gramEnd"/>
      <w:r w:rsidRPr="006E7292">
        <w:rPr>
          <w:rFonts w:ascii="Book Antiqua" w:hAnsi="Book Antiqua"/>
        </w:rPr>
        <w:t xml:space="preserve"> </w:t>
      </w:r>
      <w:proofErr w:type="gramStart"/>
      <w:r w:rsidRPr="006E7292">
        <w:rPr>
          <w:rFonts w:ascii="Book Antiqua" w:hAnsi="Book Antiqua"/>
        </w:rPr>
        <w:t>Prognostic value of preoperative serum cell-free circulating DNA in men with prostate cancer undergoing radical prostatectomy.</w:t>
      </w:r>
      <w:proofErr w:type="gramEnd"/>
      <w:r w:rsidRPr="006E7292">
        <w:rPr>
          <w:rFonts w:ascii="Book Antiqua" w:hAnsi="Book Antiqua"/>
        </w:rPr>
        <w:t xml:space="preserve"> </w:t>
      </w:r>
      <w:r w:rsidRPr="006E7292">
        <w:rPr>
          <w:rFonts w:ascii="Book Antiqua" w:hAnsi="Book Antiqua"/>
          <w:i/>
        </w:rPr>
        <w:t>Clin Cancer Res</w:t>
      </w:r>
      <w:r w:rsidRPr="006E7292">
        <w:rPr>
          <w:rFonts w:ascii="Book Antiqua" w:hAnsi="Book Antiqua"/>
        </w:rPr>
        <w:t xml:space="preserve"> 2007; </w:t>
      </w:r>
      <w:r w:rsidRPr="006E7292">
        <w:rPr>
          <w:rFonts w:ascii="Book Antiqua" w:hAnsi="Book Antiqua"/>
          <w:b/>
        </w:rPr>
        <w:t>13</w:t>
      </w:r>
      <w:r w:rsidRPr="006E7292">
        <w:rPr>
          <w:rFonts w:ascii="Book Antiqua" w:hAnsi="Book Antiqua"/>
        </w:rPr>
        <w:t>: 5361-5367 [PMID: 17875764 DOI: 10.1158/1078-0432.CCR-06-2781]</w:t>
      </w:r>
    </w:p>
    <w:p w14:paraId="7E102C2F"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45 </w:t>
      </w:r>
      <w:r w:rsidRPr="006E7292">
        <w:rPr>
          <w:rFonts w:ascii="Book Antiqua" w:hAnsi="Book Antiqua"/>
          <w:b/>
        </w:rPr>
        <w:t>Brindley GS</w:t>
      </w:r>
      <w:r w:rsidRPr="006E7292">
        <w:rPr>
          <w:rFonts w:ascii="Book Antiqua" w:hAnsi="Book Antiqua"/>
        </w:rPr>
        <w:t>, Polkey CE, Rushton DN. Electrical splinting of the knee in paraplegia.</w:t>
      </w:r>
      <w:proofErr w:type="gramEnd"/>
      <w:r w:rsidRPr="006E7292">
        <w:rPr>
          <w:rFonts w:ascii="Book Antiqua" w:hAnsi="Book Antiqua"/>
        </w:rPr>
        <w:t xml:space="preserve"> </w:t>
      </w:r>
      <w:r w:rsidRPr="006E7292">
        <w:rPr>
          <w:rFonts w:ascii="Book Antiqua" w:hAnsi="Book Antiqua"/>
          <w:i/>
        </w:rPr>
        <w:t>Paraplegia</w:t>
      </w:r>
      <w:r w:rsidRPr="006E7292">
        <w:rPr>
          <w:rFonts w:ascii="Book Antiqua" w:hAnsi="Book Antiqua"/>
        </w:rPr>
        <w:t xml:space="preserve"> 1979; </w:t>
      </w:r>
      <w:r w:rsidRPr="006E7292">
        <w:rPr>
          <w:rFonts w:ascii="Book Antiqua" w:hAnsi="Book Antiqua"/>
          <w:b/>
        </w:rPr>
        <w:t>16</w:t>
      </w:r>
      <w:r w:rsidRPr="006E7292">
        <w:rPr>
          <w:rFonts w:ascii="Book Antiqua" w:hAnsi="Book Antiqua"/>
        </w:rPr>
        <w:t>: 428-437 [PMID: 311910 DOI: 10.2147/CMAR.S192646]</w:t>
      </w:r>
    </w:p>
    <w:p w14:paraId="4D7BF55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46 </w:t>
      </w:r>
      <w:r w:rsidRPr="006E7292">
        <w:rPr>
          <w:rFonts w:ascii="Book Antiqua" w:hAnsi="Book Antiqua"/>
          <w:b/>
        </w:rPr>
        <w:t>Khani M</w:t>
      </w:r>
      <w:r w:rsidRPr="006E7292">
        <w:rPr>
          <w:rFonts w:ascii="Book Antiqua" w:hAnsi="Book Antiqua"/>
        </w:rPr>
        <w:t xml:space="preserve">, Hosseini J, Mirfakhraie R, Habibi M, Azargashb E, Pouresmaeili F. The value of the plasma circulating cell-free DNA concentration and integrity index as a clinical tool for prostate cancer diagnosis: a prospective case-control cohort study in an Iranian population. </w:t>
      </w:r>
      <w:r w:rsidRPr="006E7292">
        <w:rPr>
          <w:rFonts w:ascii="Book Antiqua" w:hAnsi="Book Antiqua"/>
          <w:i/>
        </w:rPr>
        <w:t>Cancer Manag Res</w:t>
      </w:r>
      <w:r w:rsidRPr="006E7292">
        <w:rPr>
          <w:rFonts w:ascii="Book Antiqua" w:hAnsi="Book Antiqua"/>
        </w:rPr>
        <w:t xml:space="preserve"> 2019; </w:t>
      </w:r>
      <w:r w:rsidRPr="006E7292">
        <w:rPr>
          <w:rFonts w:ascii="Book Antiqua" w:hAnsi="Book Antiqua"/>
          <w:b/>
        </w:rPr>
        <w:t>11</w:t>
      </w:r>
      <w:r w:rsidRPr="006E7292">
        <w:rPr>
          <w:rFonts w:ascii="Book Antiqua" w:hAnsi="Book Antiqua"/>
        </w:rPr>
        <w:t>: 4549-4556 [PMID: 31191016 DOI: 10.2147/CMAR.S192646]</w:t>
      </w:r>
    </w:p>
    <w:p w14:paraId="27810DC3" w14:textId="5EC05694"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47 </w:t>
      </w:r>
      <w:r w:rsidRPr="006E7292">
        <w:rPr>
          <w:rFonts w:ascii="Book Antiqua" w:hAnsi="Book Antiqua"/>
          <w:b/>
        </w:rPr>
        <w:t>Hodara E</w:t>
      </w:r>
      <w:r w:rsidRPr="006E7292">
        <w:rPr>
          <w:rFonts w:ascii="Book Antiqua" w:hAnsi="Book Antiqua"/>
        </w:rPr>
        <w:t xml:space="preserve">, Morrison G, Cunha A, Zainfeld D, Xu T, Xu Y, Dempsey PW, Pagano PC, Bischoff F, Khurana A, Koo S, Ting M, Cotter PD, Moore MW, Gunn S, Usher J, Rabizadeh S, Danenberg P, Danenberg K, Carpten J, Dorff T, Quinn D, Goldkorn A. Multiparametric liquid biopsy analysis in metastatic prostate cancer. </w:t>
      </w:r>
      <w:r w:rsidRPr="006E7292">
        <w:rPr>
          <w:rFonts w:ascii="Book Antiqua" w:hAnsi="Book Antiqua"/>
          <w:i/>
        </w:rPr>
        <w:t>JCI Insight</w:t>
      </w:r>
      <w:r w:rsidRPr="006E7292">
        <w:rPr>
          <w:rFonts w:ascii="Book Antiqua" w:hAnsi="Book Antiqua"/>
        </w:rPr>
        <w:t xml:space="preserve"> 2019; </w:t>
      </w:r>
      <w:r w:rsidRPr="006E7292">
        <w:rPr>
          <w:rFonts w:ascii="Book Antiqua" w:hAnsi="Book Antiqua"/>
          <w:b/>
        </w:rPr>
        <w:t>4</w:t>
      </w:r>
      <w:r w:rsidR="00142626" w:rsidRPr="006E7292">
        <w:rPr>
          <w:rFonts w:ascii="Book Antiqua" w:hAnsi="Book Antiqua"/>
        </w:rPr>
        <w:t xml:space="preserve"> </w:t>
      </w:r>
      <w:r w:rsidRPr="006E7292">
        <w:rPr>
          <w:rFonts w:ascii="Book Antiqua" w:hAnsi="Book Antiqua"/>
        </w:rPr>
        <w:t>[PMID: 30702443 DOI: 10.1172/jci.insight.125529]</w:t>
      </w:r>
    </w:p>
    <w:p w14:paraId="1CF9B9E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48 </w:t>
      </w:r>
      <w:r w:rsidRPr="006E7292">
        <w:rPr>
          <w:rFonts w:ascii="Book Antiqua" w:hAnsi="Book Antiqua"/>
          <w:b/>
        </w:rPr>
        <w:t>Joncas FH</w:t>
      </w:r>
      <w:r w:rsidRPr="006E7292">
        <w:rPr>
          <w:rFonts w:ascii="Book Antiqua" w:hAnsi="Book Antiqua"/>
        </w:rPr>
        <w:t xml:space="preserve">, Lucien F, Rouleau M, Morin F, Leong HS, Pouliot F, Fradet Y, Gilbert C, Toren P. Plasma extracellular vesicles as phenotypic biomarkers in prostate cancer patients. </w:t>
      </w:r>
      <w:r w:rsidRPr="006E7292">
        <w:rPr>
          <w:rFonts w:ascii="Book Antiqua" w:hAnsi="Book Antiqua"/>
          <w:i/>
        </w:rPr>
        <w:t>Prostate</w:t>
      </w:r>
      <w:r w:rsidRPr="006E7292">
        <w:rPr>
          <w:rFonts w:ascii="Book Antiqua" w:hAnsi="Book Antiqua"/>
        </w:rPr>
        <w:t xml:space="preserve"> 2019; </w:t>
      </w:r>
      <w:r w:rsidRPr="006E7292">
        <w:rPr>
          <w:rFonts w:ascii="Book Antiqua" w:hAnsi="Book Antiqua"/>
          <w:b/>
        </w:rPr>
        <w:t>79</w:t>
      </w:r>
      <w:r w:rsidRPr="006E7292">
        <w:rPr>
          <w:rFonts w:ascii="Book Antiqua" w:hAnsi="Book Antiqua"/>
        </w:rPr>
        <w:t>: 1767-1776 [PMID: 31475741 DOI: 10.1002/pros.23901]</w:t>
      </w:r>
    </w:p>
    <w:p w14:paraId="335E6289"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49 </w:t>
      </w:r>
      <w:r w:rsidRPr="006E7292">
        <w:rPr>
          <w:rFonts w:ascii="Book Antiqua" w:hAnsi="Book Antiqua"/>
          <w:b/>
        </w:rPr>
        <w:t>Mohammadi Torbati P</w:t>
      </w:r>
      <w:r w:rsidRPr="006E7292">
        <w:rPr>
          <w:rFonts w:ascii="Book Antiqua" w:hAnsi="Book Antiqua"/>
        </w:rPr>
        <w:t xml:space="preserve">, Asadi F, Fard-Esfahani P. Circulating miR-20a and miR-26a as Biomarkers in Prostate Cancer </w:t>
      </w:r>
      <w:r w:rsidRPr="006E7292">
        <w:rPr>
          <w:rFonts w:ascii="Book Antiqua" w:hAnsi="Book Antiqua"/>
          <w:i/>
        </w:rPr>
        <w:t>Asian Pac J Cancer Prev</w:t>
      </w:r>
      <w:r w:rsidRPr="006E7292">
        <w:rPr>
          <w:rFonts w:ascii="Book Antiqua" w:hAnsi="Book Antiqua"/>
        </w:rPr>
        <w:t xml:space="preserve"> 2019; </w:t>
      </w:r>
      <w:r w:rsidRPr="006E7292">
        <w:rPr>
          <w:rFonts w:ascii="Book Antiqua" w:hAnsi="Book Antiqua"/>
          <w:b/>
        </w:rPr>
        <w:t>20</w:t>
      </w:r>
      <w:r w:rsidRPr="006E7292">
        <w:rPr>
          <w:rFonts w:ascii="Book Antiqua" w:hAnsi="Book Antiqua"/>
        </w:rPr>
        <w:t>: 1453-1456 [PMID: 31127907 DOI: 10.31557/APJCP.2019.20.5.1453]</w:t>
      </w:r>
    </w:p>
    <w:p w14:paraId="46F6E667"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50 </w:t>
      </w:r>
      <w:r w:rsidRPr="006E7292">
        <w:rPr>
          <w:rFonts w:ascii="Book Antiqua" w:hAnsi="Book Antiqua"/>
          <w:b/>
        </w:rPr>
        <w:t>Ishiba T</w:t>
      </w:r>
      <w:r w:rsidRPr="006E7292">
        <w:rPr>
          <w:rFonts w:ascii="Book Antiqua" w:hAnsi="Book Antiqua"/>
        </w:rPr>
        <w:t xml:space="preserve">, Hoffmann AC, Usher J, Elshimali Y, Sturdevant T, Dang M, Jaimes Y, Tyagi R, Gonzales R, Grino M, Pinski JK, Barzi A, Raez LE, Eberhardt WE, Theegarten D, Lenz HJ, Uetake H, Danenberg PV, Danenberg K. Frequencies and expression levels of programmed death ligand 1 (PD-L1) in circulating tumor RNA (ctRNA) in various cancer types. </w:t>
      </w:r>
      <w:r w:rsidRPr="006E7292">
        <w:rPr>
          <w:rFonts w:ascii="Book Antiqua" w:hAnsi="Book Antiqua"/>
          <w:i/>
        </w:rPr>
        <w:t>Biochem Biophys Res Commun</w:t>
      </w:r>
      <w:r w:rsidRPr="006E7292">
        <w:rPr>
          <w:rFonts w:ascii="Book Antiqua" w:hAnsi="Book Antiqua"/>
        </w:rPr>
        <w:t xml:space="preserve"> 2018; </w:t>
      </w:r>
      <w:r w:rsidRPr="006E7292">
        <w:rPr>
          <w:rFonts w:ascii="Book Antiqua" w:hAnsi="Book Antiqua"/>
          <w:b/>
        </w:rPr>
        <w:t>500</w:t>
      </w:r>
      <w:r w:rsidRPr="006E7292">
        <w:rPr>
          <w:rFonts w:ascii="Book Antiqua" w:hAnsi="Book Antiqua"/>
        </w:rPr>
        <w:t>: 621-625 [PMID: 29679564 DOI: 10.1016/j.bbrc.2018.04.120]</w:t>
      </w:r>
    </w:p>
    <w:p w14:paraId="08F1E5F2"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51 </w:t>
      </w:r>
      <w:r w:rsidRPr="006E7292">
        <w:rPr>
          <w:rFonts w:ascii="Book Antiqua" w:hAnsi="Book Antiqua"/>
          <w:b/>
        </w:rPr>
        <w:t>Wang YH</w:t>
      </w:r>
      <w:r w:rsidRPr="006E7292">
        <w:rPr>
          <w:rFonts w:ascii="Book Antiqua" w:hAnsi="Book Antiqua"/>
        </w:rPr>
        <w:t xml:space="preserve">, Ji J, Wang BC, Chen H, Yang ZH, Wang K, Luo CL, Zhang WW, Wang FB, Zhang XL. </w:t>
      </w:r>
      <w:proofErr w:type="gramStart"/>
      <w:r w:rsidRPr="006E7292">
        <w:rPr>
          <w:rFonts w:ascii="Book Antiqua" w:hAnsi="Book Antiqua"/>
        </w:rPr>
        <w:t>Tumor-Derived Exosomal Long Noncoding RNAs as Promising Diagnostic Biomarkers for Prostate Cancer.</w:t>
      </w:r>
      <w:proofErr w:type="gramEnd"/>
      <w:r w:rsidRPr="006E7292">
        <w:rPr>
          <w:rFonts w:ascii="Book Antiqua" w:hAnsi="Book Antiqua"/>
        </w:rPr>
        <w:t xml:space="preserve"> </w:t>
      </w:r>
      <w:r w:rsidRPr="006E7292">
        <w:rPr>
          <w:rFonts w:ascii="Book Antiqua" w:hAnsi="Book Antiqua"/>
          <w:i/>
        </w:rPr>
        <w:t>Cell Physiol Biochem</w:t>
      </w:r>
      <w:r w:rsidRPr="006E7292">
        <w:rPr>
          <w:rFonts w:ascii="Book Antiqua" w:hAnsi="Book Antiqua"/>
        </w:rPr>
        <w:t xml:space="preserve"> 2018; </w:t>
      </w:r>
      <w:r w:rsidRPr="006E7292">
        <w:rPr>
          <w:rFonts w:ascii="Book Antiqua" w:hAnsi="Book Antiqua"/>
          <w:b/>
        </w:rPr>
        <w:t>46</w:t>
      </w:r>
      <w:r w:rsidRPr="006E7292">
        <w:rPr>
          <w:rFonts w:ascii="Book Antiqua" w:hAnsi="Book Antiqua"/>
        </w:rPr>
        <w:t>: 532-545 [PMID: 29614511 DOI: 10.1159/000488620]</w:t>
      </w:r>
    </w:p>
    <w:p w14:paraId="430F374D"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52 </w:t>
      </w:r>
      <w:r w:rsidRPr="006E7292">
        <w:rPr>
          <w:rFonts w:ascii="Book Antiqua" w:hAnsi="Book Antiqua"/>
          <w:b/>
        </w:rPr>
        <w:t>Zedan AH</w:t>
      </w:r>
      <w:r w:rsidRPr="006E7292">
        <w:rPr>
          <w:rFonts w:ascii="Book Antiqua" w:hAnsi="Book Antiqua"/>
        </w:rPr>
        <w:t>, Hansen TF, Assenholt J, Madsen JS, Osther PJS.</w:t>
      </w:r>
      <w:proofErr w:type="gramEnd"/>
      <w:r w:rsidRPr="006E7292">
        <w:rPr>
          <w:rFonts w:ascii="Book Antiqua" w:hAnsi="Book Antiqua"/>
        </w:rPr>
        <w:t xml:space="preserve"> </w:t>
      </w:r>
      <w:proofErr w:type="gramStart"/>
      <w:r w:rsidRPr="006E7292">
        <w:rPr>
          <w:rFonts w:ascii="Book Antiqua" w:hAnsi="Book Antiqua"/>
        </w:rPr>
        <w:t>Circulating miRNAs in localized/locally advanced prostate cancer patients after radical prostatectomy and radiotherapy.</w:t>
      </w:r>
      <w:proofErr w:type="gramEnd"/>
      <w:r w:rsidRPr="006E7292">
        <w:rPr>
          <w:rFonts w:ascii="Book Antiqua" w:hAnsi="Book Antiqua"/>
        </w:rPr>
        <w:t xml:space="preserve"> </w:t>
      </w:r>
      <w:r w:rsidRPr="006E7292">
        <w:rPr>
          <w:rFonts w:ascii="Book Antiqua" w:hAnsi="Book Antiqua"/>
          <w:i/>
        </w:rPr>
        <w:t>Prostate</w:t>
      </w:r>
      <w:r w:rsidRPr="006E7292">
        <w:rPr>
          <w:rFonts w:ascii="Book Antiqua" w:hAnsi="Book Antiqua"/>
        </w:rPr>
        <w:t xml:space="preserve"> 2019; </w:t>
      </w:r>
      <w:r w:rsidRPr="006E7292">
        <w:rPr>
          <w:rFonts w:ascii="Book Antiqua" w:hAnsi="Book Antiqua"/>
          <w:b/>
        </w:rPr>
        <w:t>79</w:t>
      </w:r>
      <w:r w:rsidRPr="006E7292">
        <w:rPr>
          <w:rFonts w:ascii="Book Antiqua" w:hAnsi="Book Antiqua"/>
        </w:rPr>
        <w:t>: 425-432 [PMID: 30537232 DOI: 10.1002/pros.23748]</w:t>
      </w:r>
    </w:p>
    <w:p w14:paraId="39C95C4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53 </w:t>
      </w:r>
      <w:r w:rsidRPr="006E7292">
        <w:rPr>
          <w:rFonts w:ascii="Book Antiqua" w:hAnsi="Book Antiqua"/>
          <w:b/>
        </w:rPr>
        <w:t>Farran B</w:t>
      </w:r>
      <w:r w:rsidRPr="006E7292">
        <w:rPr>
          <w:rFonts w:ascii="Book Antiqua" w:hAnsi="Book Antiqua"/>
        </w:rPr>
        <w:t xml:space="preserve">, Dyson G, Craig D, Dombkowski A, Beebe-Dimmer JL, Powell IJ, Podgorski I, Heilbrun L, Bolton S, Bock CH. A study of circulating microRNAs identifies a new potential biomarker panel to distinguish aggressive prostate cancer. </w:t>
      </w:r>
      <w:r w:rsidRPr="006E7292">
        <w:rPr>
          <w:rFonts w:ascii="Book Antiqua" w:hAnsi="Book Antiqua"/>
          <w:i/>
        </w:rPr>
        <w:t>Carcinogenesis</w:t>
      </w:r>
      <w:r w:rsidRPr="006E7292">
        <w:rPr>
          <w:rFonts w:ascii="Book Antiqua" w:hAnsi="Book Antiqua"/>
        </w:rPr>
        <w:t xml:space="preserve"> 2018; </w:t>
      </w:r>
      <w:r w:rsidRPr="006E7292">
        <w:rPr>
          <w:rFonts w:ascii="Book Antiqua" w:hAnsi="Book Antiqua"/>
          <w:b/>
        </w:rPr>
        <w:t>39</w:t>
      </w:r>
      <w:r w:rsidRPr="006E7292">
        <w:rPr>
          <w:rFonts w:ascii="Book Antiqua" w:hAnsi="Book Antiqua"/>
        </w:rPr>
        <w:t>: 556-561 [PMID: 29471417 DOI: 10.1093/carcin/bgy025]</w:t>
      </w:r>
    </w:p>
    <w:p w14:paraId="7CE567A1"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54 </w:t>
      </w:r>
      <w:r w:rsidRPr="006E7292">
        <w:rPr>
          <w:rFonts w:ascii="Book Antiqua" w:hAnsi="Book Antiqua"/>
          <w:b/>
        </w:rPr>
        <w:t>Liu RSC</w:t>
      </w:r>
      <w:r w:rsidRPr="006E7292">
        <w:rPr>
          <w:rFonts w:ascii="Book Antiqua" w:hAnsi="Book Antiqua"/>
        </w:rPr>
        <w:t xml:space="preserve">, Olkhov-Mitsel E, Jeyapala R, Zhao F, Commisso K, Klotz L, Loblaw A, Liu SK, Vesprini D, Fleshner NE, Bapat B. Assessment of Serum microRNA Biomarkers to Predict Reclassification of Prostate Cancer in Patients on Active Surveillance. </w:t>
      </w:r>
      <w:r w:rsidRPr="006E7292">
        <w:rPr>
          <w:rFonts w:ascii="Book Antiqua" w:hAnsi="Book Antiqua"/>
          <w:i/>
        </w:rPr>
        <w:t>J Urol</w:t>
      </w:r>
      <w:r w:rsidRPr="006E7292">
        <w:rPr>
          <w:rFonts w:ascii="Book Antiqua" w:hAnsi="Book Antiqua"/>
        </w:rPr>
        <w:t xml:space="preserve"> 2018; </w:t>
      </w:r>
      <w:r w:rsidRPr="006E7292">
        <w:rPr>
          <w:rFonts w:ascii="Book Antiqua" w:hAnsi="Book Antiqua"/>
          <w:b/>
        </w:rPr>
        <w:t>199</w:t>
      </w:r>
      <w:r w:rsidRPr="006E7292">
        <w:rPr>
          <w:rFonts w:ascii="Book Antiqua" w:hAnsi="Book Antiqua"/>
        </w:rPr>
        <w:t>: 1475-1481 [PMID: 29246734 DOI: 10.1016/j.juro.2017.12.006]</w:t>
      </w:r>
    </w:p>
    <w:p w14:paraId="07C57DE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55 </w:t>
      </w:r>
      <w:r w:rsidRPr="006E7292">
        <w:rPr>
          <w:rFonts w:ascii="Book Antiqua" w:hAnsi="Book Antiqua"/>
          <w:b/>
        </w:rPr>
        <w:t>Albitar M</w:t>
      </w:r>
      <w:r w:rsidRPr="006E7292">
        <w:rPr>
          <w:rFonts w:ascii="Book Antiqua" w:hAnsi="Book Antiqua"/>
        </w:rPr>
        <w:t xml:space="preserve">, Ma W, Lund L, Shahbaba B, Uchio E, Feddersen S, Moylan D, Wojno K, Shore N. Prostatectomy-based validation of combined urine and plasma test for predicting high grade prostate cancer. </w:t>
      </w:r>
      <w:r w:rsidRPr="006E7292">
        <w:rPr>
          <w:rFonts w:ascii="Book Antiqua" w:hAnsi="Book Antiqua"/>
          <w:i/>
        </w:rPr>
        <w:t>Prostate</w:t>
      </w:r>
      <w:r w:rsidRPr="006E7292">
        <w:rPr>
          <w:rFonts w:ascii="Book Antiqua" w:hAnsi="Book Antiqua"/>
        </w:rPr>
        <w:t xml:space="preserve"> 2018; </w:t>
      </w:r>
      <w:r w:rsidRPr="006E7292">
        <w:rPr>
          <w:rFonts w:ascii="Book Antiqua" w:hAnsi="Book Antiqua"/>
          <w:b/>
        </w:rPr>
        <w:t>78</w:t>
      </w:r>
      <w:r w:rsidRPr="006E7292">
        <w:rPr>
          <w:rFonts w:ascii="Book Antiqua" w:hAnsi="Book Antiqua"/>
        </w:rPr>
        <w:t>: 294-299 [PMID: 29315679 DOI: 10.1002/pros.23473]</w:t>
      </w:r>
    </w:p>
    <w:p w14:paraId="3E7BEED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56 </w:t>
      </w:r>
      <w:r w:rsidRPr="006E7292">
        <w:rPr>
          <w:rFonts w:ascii="Book Antiqua" w:hAnsi="Book Antiqua"/>
          <w:b/>
        </w:rPr>
        <w:t>Endzeliņš E</w:t>
      </w:r>
      <w:r w:rsidRPr="006E7292">
        <w:rPr>
          <w:rFonts w:ascii="Book Antiqua" w:hAnsi="Book Antiqua"/>
        </w:rPr>
        <w:t xml:space="preserve">, Berger A, Melne V, Bajo-Santos C, Soboļevska K, Ābols A, Rodriguez M, Šantare D, Rudņickiha A, Lietuvietis V, Llorente A, Linē A. Detection of circulating miRNAs: comparative analysis of extracellular vesicle-incorporated </w:t>
      </w:r>
      <w:r w:rsidRPr="006E7292">
        <w:rPr>
          <w:rFonts w:ascii="Book Antiqua" w:hAnsi="Book Antiqua"/>
        </w:rPr>
        <w:lastRenderedPageBreak/>
        <w:t xml:space="preserve">miRNAs and cell-free miRNAs in whole plasma of prostate cancer patients. </w:t>
      </w:r>
      <w:r w:rsidRPr="006E7292">
        <w:rPr>
          <w:rFonts w:ascii="Book Antiqua" w:hAnsi="Book Antiqua"/>
          <w:i/>
        </w:rPr>
        <w:t>BMC Cancer</w:t>
      </w:r>
      <w:r w:rsidRPr="006E7292">
        <w:rPr>
          <w:rFonts w:ascii="Book Antiqua" w:hAnsi="Book Antiqua"/>
        </w:rPr>
        <w:t xml:space="preserve"> 2017; </w:t>
      </w:r>
      <w:r w:rsidRPr="006E7292">
        <w:rPr>
          <w:rFonts w:ascii="Book Antiqua" w:hAnsi="Book Antiqua"/>
          <w:b/>
        </w:rPr>
        <w:t>17</w:t>
      </w:r>
      <w:r w:rsidRPr="006E7292">
        <w:rPr>
          <w:rFonts w:ascii="Book Antiqua" w:hAnsi="Book Antiqua"/>
        </w:rPr>
        <w:t>: 730 [PMID: 29121858 DOI: 10.1186/s12885-017-3737-z]</w:t>
      </w:r>
    </w:p>
    <w:p w14:paraId="3386ABD6"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57 </w:t>
      </w:r>
      <w:r w:rsidRPr="006E7292">
        <w:rPr>
          <w:rFonts w:ascii="Book Antiqua" w:hAnsi="Book Antiqua"/>
          <w:b/>
        </w:rPr>
        <w:t>McDonald AC</w:t>
      </w:r>
      <w:r w:rsidRPr="006E7292">
        <w:rPr>
          <w:rFonts w:ascii="Book Antiqua" w:hAnsi="Book Antiqua"/>
        </w:rPr>
        <w:t xml:space="preserve">, Vira M, Shen J, Sanda M, Raman JD, Liao J, Patil D, Taioli E. Circulating microRNAs in plasma as potential biomarkers for the early detection of prostate cancer. </w:t>
      </w:r>
      <w:r w:rsidRPr="006E7292">
        <w:rPr>
          <w:rFonts w:ascii="Book Antiqua" w:hAnsi="Book Antiqua"/>
          <w:i/>
        </w:rPr>
        <w:t>Prostate</w:t>
      </w:r>
      <w:r w:rsidRPr="006E7292">
        <w:rPr>
          <w:rFonts w:ascii="Book Antiqua" w:hAnsi="Book Antiqua"/>
        </w:rPr>
        <w:t xml:space="preserve"> 2018; </w:t>
      </w:r>
      <w:r w:rsidRPr="006E7292">
        <w:rPr>
          <w:rFonts w:ascii="Book Antiqua" w:hAnsi="Book Antiqua"/>
          <w:b/>
        </w:rPr>
        <w:t>78</w:t>
      </w:r>
      <w:r w:rsidRPr="006E7292">
        <w:rPr>
          <w:rFonts w:ascii="Book Antiqua" w:hAnsi="Book Antiqua"/>
        </w:rPr>
        <w:t>: 411-418 [PMID: 29383739 DOI: 10.1002/pros.23485]</w:t>
      </w:r>
    </w:p>
    <w:p w14:paraId="507B02A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58 </w:t>
      </w:r>
      <w:r w:rsidRPr="006E7292">
        <w:rPr>
          <w:rFonts w:ascii="Book Antiqua" w:hAnsi="Book Antiqua"/>
          <w:b/>
        </w:rPr>
        <w:t>Alhasan AH</w:t>
      </w:r>
      <w:r w:rsidRPr="006E7292">
        <w:rPr>
          <w:rFonts w:ascii="Book Antiqua" w:hAnsi="Book Antiqua"/>
        </w:rPr>
        <w:t xml:space="preserve">, Scott AW, Wu JJ, Feng G, Meeks JJ, Thaxton CS, Mirkin CA. Circulating microRNA signature for the diagnosis of very high-risk prostate cancer. </w:t>
      </w:r>
      <w:r w:rsidRPr="006E7292">
        <w:rPr>
          <w:rFonts w:ascii="Book Antiqua" w:hAnsi="Book Antiqua"/>
          <w:i/>
        </w:rPr>
        <w:t xml:space="preserve">Proc Natl Acad Sci U S </w:t>
      </w:r>
      <w:proofErr w:type="gramStart"/>
      <w:r w:rsidRPr="006E7292">
        <w:rPr>
          <w:rFonts w:ascii="Book Antiqua" w:hAnsi="Book Antiqua"/>
          <w:i/>
        </w:rPr>
        <w:t>A</w:t>
      </w:r>
      <w:proofErr w:type="gramEnd"/>
      <w:r w:rsidRPr="006E7292">
        <w:rPr>
          <w:rFonts w:ascii="Book Antiqua" w:hAnsi="Book Antiqua"/>
        </w:rPr>
        <w:t xml:space="preserve"> 2016; </w:t>
      </w:r>
      <w:r w:rsidRPr="006E7292">
        <w:rPr>
          <w:rFonts w:ascii="Book Antiqua" w:hAnsi="Book Antiqua"/>
          <w:b/>
        </w:rPr>
        <w:t>113</w:t>
      </w:r>
      <w:r w:rsidRPr="006E7292">
        <w:rPr>
          <w:rFonts w:ascii="Book Antiqua" w:hAnsi="Book Antiqua"/>
        </w:rPr>
        <w:t>: 10655-10660 [PMID: 27601638 DOI: 10.1073/pnas.1611596113]</w:t>
      </w:r>
    </w:p>
    <w:p w14:paraId="1A21158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59 </w:t>
      </w:r>
      <w:r w:rsidRPr="006E7292">
        <w:rPr>
          <w:rFonts w:ascii="Book Antiqua" w:hAnsi="Book Antiqua"/>
          <w:b/>
        </w:rPr>
        <w:t>Yan C</w:t>
      </w:r>
      <w:r w:rsidRPr="006E7292">
        <w:rPr>
          <w:rFonts w:ascii="Book Antiqua" w:hAnsi="Book Antiqua"/>
        </w:rPr>
        <w:t xml:space="preserve">, Kim YH, Kang HW, Seo SP, Jeong P, Lee IS, Kim D, Kim JM, Choi YH, Moon SK, Yun SJ, Kim WJ. </w:t>
      </w:r>
      <w:proofErr w:type="gramStart"/>
      <w:r w:rsidRPr="006E7292">
        <w:rPr>
          <w:rFonts w:ascii="Book Antiqua" w:hAnsi="Book Antiqua"/>
        </w:rPr>
        <w:t>Urinary Nucleic Acid TSPAN13-to-S100A9 Ratio as a Diagnostic Marker in Prostate Cancer.</w:t>
      </w:r>
      <w:proofErr w:type="gramEnd"/>
      <w:r w:rsidRPr="006E7292">
        <w:rPr>
          <w:rFonts w:ascii="Book Antiqua" w:hAnsi="Book Antiqua"/>
        </w:rPr>
        <w:t xml:space="preserve"> </w:t>
      </w:r>
      <w:r w:rsidRPr="006E7292">
        <w:rPr>
          <w:rFonts w:ascii="Book Antiqua" w:hAnsi="Book Antiqua"/>
          <w:i/>
        </w:rPr>
        <w:t>J Korean Med Sci</w:t>
      </w:r>
      <w:r w:rsidRPr="006E7292">
        <w:rPr>
          <w:rFonts w:ascii="Book Antiqua" w:hAnsi="Book Antiqua"/>
        </w:rPr>
        <w:t xml:space="preserve"> 2015; </w:t>
      </w:r>
      <w:r w:rsidRPr="006E7292">
        <w:rPr>
          <w:rFonts w:ascii="Book Antiqua" w:hAnsi="Book Antiqua"/>
          <w:b/>
        </w:rPr>
        <w:t>30</w:t>
      </w:r>
      <w:r w:rsidRPr="006E7292">
        <w:rPr>
          <w:rFonts w:ascii="Book Antiqua" w:hAnsi="Book Antiqua"/>
        </w:rPr>
        <w:t>: 1784-1792 [PMID: 26713053 DOI: 10.3346/jkms.2015.30.12.1784]</w:t>
      </w:r>
    </w:p>
    <w:p w14:paraId="02430475"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60 </w:t>
      </w:r>
      <w:r w:rsidRPr="006E7292">
        <w:rPr>
          <w:rFonts w:ascii="Book Antiqua" w:hAnsi="Book Antiqua"/>
          <w:b/>
        </w:rPr>
        <w:t>Antonarakis ES</w:t>
      </w:r>
      <w:r w:rsidRPr="006E7292">
        <w:rPr>
          <w:rFonts w:ascii="Book Antiqua" w:hAnsi="Book Antiqua"/>
        </w:rPr>
        <w:t xml:space="preserve">, Lu C, Wang H, Luber B, Nakazawa M, Roeser JC, Chen Y, Mohammad TA, Chen Y, Fedor HL, Lotan TL, Zheng Q, De Marzo AM, Isaacs JT, Isaacs WB, Nadal R, Paller CJ, Denmeade SR, Carducci MA, Eisenberger MA, Luo J. AR-V7 and resistance to enzalutamide and abiraterone in prostate cancer. </w:t>
      </w:r>
      <w:r w:rsidRPr="006E7292">
        <w:rPr>
          <w:rFonts w:ascii="Book Antiqua" w:hAnsi="Book Antiqua"/>
          <w:i/>
        </w:rPr>
        <w:t>N Engl J Med</w:t>
      </w:r>
      <w:r w:rsidRPr="006E7292">
        <w:rPr>
          <w:rFonts w:ascii="Book Antiqua" w:hAnsi="Book Antiqua"/>
        </w:rPr>
        <w:t xml:space="preserve"> 2014; </w:t>
      </w:r>
      <w:r w:rsidRPr="006E7292">
        <w:rPr>
          <w:rFonts w:ascii="Book Antiqua" w:hAnsi="Book Antiqua"/>
          <w:b/>
        </w:rPr>
        <w:t>371</w:t>
      </w:r>
      <w:r w:rsidRPr="006E7292">
        <w:rPr>
          <w:rFonts w:ascii="Book Antiqua" w:hAnsi="Book Antiqua"/>
        </w:rPr>
        <w:t>: 1028-1038 [PMID: 25184630 DOI: 10.1056/NEJMoa1315815]</w:t>
      </w:r>
    </w:p>
    <w:p w14:paraId="600EA30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61 </w:t>
      </w:r>
      <w:r w:rsidRPr="006E7292">
        <w:rPr>
          <w:rFonts w:ascii="Book Antiqua" w:hAnsi="Book Antiqua"/>
          <w:b/>
        </w:rPr>
        <w:t>Korzeniewski N</w:t>
      </w:r>
      <w:r w:rsidRPr="006E7292">
        <w:rPr>
          <w:rFonts w:ascii="Book Antiqua" w:hAnsi="Book Antiqua"/>
        </w:rPr>
        <w:t xml:space="preserve">, Tosev G, Pahernik S, Hadaschik B, Hohenfellner M, Duensing S. Identification of cell-free microRNAs in the urine of patients with prostate cancer. </w:t>
      </w:r>
      <w:r w:rsidRPr="006E7292">
        <w:rPr>
          <w:rFonts w:ascii="Book Antiqua" w:hAnsi="Book Antiqua"/>
          <w:i/>
        </w:rPr>
        <w:t>Urol Oncol</w:t>
      </w:r>
      <w:r w:rsidRPr="006E7292">
        <w:rPr>
          <w:rFonts w:ascii="Book Antiqua" w:hAnsi="Book Antiqua"/>
        </w:rPr>
        <w:t xml:space="preserve"> 2015; </w:t>
      </w:r>
      <w:r w:rsidRPr="006E7292">
        <w:rPr>
          <w:rFonts w:ascii="Book Antiqua" w:hAnsi="Book Antiqua"/>
          <w:b/>
        </w:rPr>
        <w:t>33</w:t>
      </w:r>
      <w:r w:rsidRPr="006E7292">
        <w:rPr>
          <w:rFonts w:ascii="Book Antiqua" w:hAnsi="Book Antiqua"/>
        </w:rPr>
        <w:t>: 16.e17-16.e22 [PMID: 25445383 DOI: 10.1016/j.urolonc.2014.09.015]</w:t>
      </w:r>
    </w:p>
    <w:p w14:paraId="2C90B83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62 </w:t>
      </w:r>
      <w:r w:rsidRPr="006E7292">
        <w:rPr>
          <w:rFonts w:ascii="Book Antiqua" w:hAnsi="Book Antiqua"/>
          <w:b/>
        </w:rPr>
        <w:t>Papadopoulou E</w:t>
      </w:r>
      <w:r w:rsidRPr="006E7292">
        <w:rPr>
          <w:rFonts w:ascii="Book Antiqua" w:hAnsi="Book Antiqua"/>
        </w:rPr>
        <w:t xml:space="preserve">, Davilas E, Sotiriou V, Georgakopoulos E, Georgakopoulou S, Koliopanos A, Aggelakis F, Dardoufas K, Agnanti NJ, Karydas I, Nasioulas G. Cell-free DNA and RNA in plasma as a new molecular marker for prostate and breast cancer. </w:t>
      </w:r>
      <w:r w:rsidRPr="006E7292">
        <w:rPr>
          <w:rFonts w:ascii="Book Antiqua" w:hAnsi="Book Antiqua"/>
          <w:i/>
        </w:rPr>
        <w:t>Ann N Y Acad Sci</w:t>
      </w:r>
      <w:r w:rsidRPr="006E7292">
        <w:rPr>
          <w:rFonts w:ascii="Book Antiqua" w:hAnsi="Book Antiqua"/>
        </w:rPr>
        <w:t xml:space="preserve"> 2006; </w:t>
      </w:r>
      <w:r w:rsidRPr="006E7292">
        <w:rPr>
          <w:rFonts w:ascii="Book Antiqua" w:hAnsi="Book Antiqua"/>
          <w:b/>
        </w:rPr>
        <w:t>1075</w:t>
      </w:r>
      <w:r w:rsidRPr="006E7292">
        <w:rPr>
          <w:rFonts w:ascii="Book Antiqua" w:hAnsi="Book Antiqua"/>
        </w:rPr>
        <w:t>: 235-243 [PMID: 17108217 DOI: 10.1196/annals.1368.032]</w:t>
      </w:r>
    </w:p>
    <w:p w14:paraId="46F88FDE"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63 </w:t>
      </w:r>
      <w:r w:rsidRPr="006E7292">
        <w:rPr>
          <w:rFonts w:ascii="Book Antiqua" w:hAnsi="Book Antiqua"/>
          <w:b/>
        </w:rPr>
        <w:t>Di Meo A</w:t>
      </w:r>
      <w:r w:rsidRPr="006E7292">
        <w:rPr>
          <w:rFonts w:ascii="Book Antiqua" w:hAnsi="Book Antiqua"/>
        </w:rPr>
        <w:t xml:space="preserve">, Bartlett J, Cheng Y, Pasic MD, Yousef GM. Liquid biopsy: a step forward towards precision medicine in urologic malignancies. </w:t>
      </w:r>
      <w:r w:rsidRPr="006E7292">
        <w:rPr>
          <w:rFonts w:ascii="Book Antiqua" w:hAnsi="Book Antiqua"/>
          <w:i/>
        </w:rPr>
        <w:t>Mol Cancer</w:t>
      </w:r>
      <w:r w:rsidRPr="006E7292">
        <w:rPr>
          <w:rFonts w:ascii="Book Antiqua" w:hAnsi="Book Antiqua"/>
        </w:rPr>
        <w:t xml:space="preserve"> 2017; </w:t>
      </w:r>
      <w:r w:rsidRPr="006E7292">
        <w:rPr>
          <w:rFonts w:ascii="Book Antiqua" w:hAnsi="Book Antiqua"/>
          <w:b/>
        </w:rPr>
        <w:t>16</w:t>
      </w:r>
      <w:r w:rsidRPr="006E7292">
        <w:rPr>
          <w:rFonts w:ascii="Book Antiqua" w:hAnsi="Book Antiqua"/>
        </w:rPr>
        <w:t>: 80 [PMID: 28410618 DOI: 10.1186/s12943-017-0644-5]</w:t>
      </w:r>
    </w:p>
    <w:p w14:paraId="48B408B8"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lastRenderedPageBreak/>
        <w:t xml:space="preserve">64 </w:t>
      </w:r>
      <w:r w:rsidRPr="006E7292">
        <w:rPr>
          <w:rFonts w:ascii="Book Antiqua" w:hAnsi="Book Antiqua"/>
          <w:b/>
        </w:rPr>
        <w:t>Wadosky KM</w:t>
      </w:r>
      <w:r w:rsidRPr="006E7292">
        <w:rPr>
          <w:rFonts w:ascii="Book Antiqua" w:hAnsi="Book Antiqua"/>
        </w:rPr>
        <w:t>, Koochekpour S. Molecular mechanisms underlying resistance to androgen deprivation therapy in prostate cancer.</w:t>
      </w:r>
      <w:proofErr w:type="gramEnd"/>
      <w:r w:rsidRPr="006E7292">
        <w:rPr>
          <w:rFonts w:ascii="Book Antiqua" w:hAnsi="Book Antiqua"/>
        </w:rPr>
        <w:t xml:space="preserve"> </w:t>
      </w:r>
      <w:r w:rsidRPr="006E7292">
        <w:rPr>
          <w:rFonts w:ascii="Book Antiqua" w:hAnsi="Book Antiqua"/>
          <w:i/>
        </w:rPr>
        <w:t>Oncotarget</w:t>
      </w:r>
      <w:r w:rsidRPr="006E7292">
        <w:rPr>
          <w:rFonts w:ascii="Book Antiqua" w:hAnsi="Book Antiqua"/>
        </w:rPr>
        <w:t xml:space="preserve"> 2016; </w:t>
      </w:r>
      <w:r w:rsidRPr="006E7292">
        <w:rPr>
          <w:rFonts w:ascii="Book Antiqua" w:hAnsi="Book Antiqua"/>
          <w:b/>
        </w:rPr>
        <w:t>7</w:t>
      </w:r>
      <w:r w:rsidRPr="006E7292">
        <w:rPr>
          <w:rFonts w:ascii="Book Antiqua" w:hAnsi="Book Antiqua"/>
        </w:rPr>
        <w:t>: 64447-64470 [PMID: 27487144 DOI: 10.18632/oncotarget.10901]</w:t>
      </w:r>
    </w:p>
    <w:p w14:paraId="3DBF6937"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65 </w:t>
      </w:r>
      <w:r w:rsidRPr="006E7292">
        <w:rPr>
          <w:rFonts w:ascii="Book Antiqua" w:hAnsi="Book Antiqua"/>
          <w:b/>
        </w:rPr>
        <w:t>Sobhani N</w:t>
      </w:r>
      <w:r w:rsidRPr="006E7292">
        <w:rPr>
          <w:rFonts w:ascii="Book Antiqua" w:hAnsi="Book Antiqua"/>
        </w:rPr>
        <w:t xml:space="preserve">, Generali D, D'Angelo A, Aieta M, Roviello G. Current status of androgen receptor-splice variant 7 inhibitor niclosamide in castrate-resistant prostate-cancer. </w:t>
      </w:r>
      <w:r w:rsidRPr="006E7292">
        <w:rPr>
          <w:rFonts w:ascii="Book Antiqua" w:hAnsi="Book Antiqua"/>
          <w:i/>
        </w:rPr>
        <w:t>Invest New Drugs</w:t>
      </w:r>
      <w:r w:rsidRPr="006E7292">
        <w:rPr>
          <w:rFonts w:ascii="Book Antiqua" w:hAnsi="Book Antiqua"/>
        </w:rPr>
        <w:t xml:space="preserve"> 2018; </w:t>
      </w:r>
      <w:r w:rsidRPr="006E7292">
        <w:rPr>
          <w:rFonts w:ascii="Book Antiqua" w:hAnsi="Book Antiqua"/>
          <w:b/>
        </w:rPr>
        <w:t>36</w:t>
      </w:r>
      <w:r w:rsidRPr="006E7292">
        <w:rPr>
          <w:rFonts w:ascii="Book Antiqua" w:hAnsi="Book Antiqua"/>
        </w:rPr>
        <w:t>: 1133-1137 [PMID: 30083960 DOI: 10.1007/s10637-018-0653-2]</w:t>
      </w:r>
    </w:p>
    <w:p w14:paraId="73342BC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66 </w:t>
      </w:r>
      <w:r w:rsidRPr="006E7292">
        <w:rPr>
          <w:rFonts w:ascii="Book Antiqua" w:hAnsi="Book Antiqua"/>
          <w:b/>
        </w:rPr>
        <w:t>Dehm SM</w:t>
      </w:r>
      <w:r w:rsidRPr="006E7292">
        <w:rPr>
          <w:rFonts w:ascii="Book Antiqua" w:hAnsi="Book Antiqua"/>
        </w:rPr>
        <w:t xml:space="preserve">, Schmidt LJ, Heemers HV, Vessella RL, Tindall DJ. Splicing of a novel androgen receptor exon generates a constitutively active androgen receptor that mediates prostate cancer therapy resistance. </w:t>
      </w:r>
      <w:r w:rsidRPr="006E7292">
        <w:rPr>
          <w:rFonts w:ascii="Book Antiqua" w:hAnsi="Book Antiqua"/>
          <w:i/>
        </w:rPr>
        <w:t>Cancer Res</w:t>
      </w:r>
      <w:r w:rsidRPr="006E7292">
        <w:rPr>
          <w:rFonts w:ascii="Book Antiqua" w:hAnsi="Book Antiqua"/>
        </w:rPr>
        <w:t xml:space="preserve"> 2008; </w:t>
      </w:r>
      <w:r w:rsidRPr="006E7292">
        <w:rPr>
          <w:rFonts w:ascii="Book Antiqua" w:hAnsi="Book Antiqua"/>
          <w:b/>
        </w:rPr>
        <w:t>68</w:t>
      </w:r>
      <w:r w:rsidRPr="006E7292">
        <w:rPr>
          <w:rFonts w:ascii="Book Antiqua" w:hAnsi="Book Antiqua"/>
        </w:rPr>
        <w:t>: 5469-5477 [PMID: 18593950 DOI: 10.1158/0008-5472.CAN-08-0594]</w:t>
      </w:r>
    </w:p>
    <w:p w14:paraId="33819352"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67 </w:t>
      </w:r>
      <w:r w:rsidRPr="006E7292">
        <w:rPr>
          <w:rFonts w:ascii="Book Antiqua" w:hAnsi="Book Antiqua"/>
          <w:b/>
        </w:rPr>
        <w:t>Hu R</w:t>
      </w:r>
      <w:r w:rsidRPr="006E7292">
        <w:rPr>
          <w:rFonts w:ascii="Book Antiqua" w:hAnsi="Book Antiqua"/>
        </w:rPr>
        <w:t xml:space="preserve">, Dunn TA, Wei S, Isharwal S, Veltri RW, Humphreys E, Han M, Partin AW, Vessella RL, Isaacs WB, Bova GS, Luo J. Ligand-independent androgen receptor variants derived from splicing of cryptic exons signify hormone-refractory prostate cancer. </w:t>
      </w:r>
      <w:r w:rsidRPr="006E7292">
        <w:rPr>
          <w:rFonts w:ascii="Book Antiqua" w:hAnsi="Book Antiqua"/>
          <w:i/>
        </w:rPr>
        <w:t>Cancer Res</w:t>
      </w:r>
      <w:r w:rsidRPr="006E7292">
        <w:rPr>
          <w:rFonts w:ascii="Book Antiqua" w:hAnsi="Book Antiqua"/>
        </w:rPr>
        <w:t xml:space="preserve"> 2009; </w:t>
      </w:r>
      <w:r w:rsidRPr="006E7292">
        <w:rPr>
          <w:rFonts w:ascii="Book Antiqua" w:hAnsi="Book Antiqua"/>
          <w:b/>
        </w:rPr>
        <w:t>69</w:t>
      </w:r>
      <w:r w:rsidRPr="006E7292">
        <w:rPr>
          <w:rFonts w:ascii="Book Antiqua" w:hAnsi="Book Antiqua"/>
        </w:rPr>
        <w:t>: 16-22 [PMID: 19117982 DOI: 10.1158/0008-5472.CAN-08-2764]</w:t>
      </w:r>
    </w:p>
    <w:p w14:paraId="0CFD72A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68 </w:t>
      </w:r>
      <w:r w:rsidRPr="006E7292">
        <w:rPr>
          <w:rFonts w:ascii="Book Antiqua" w:hAnsi="Book Antiqua"/>
          <w:b/>
        </w:rPr>
        <w:t>Steinestel J</w:t>
      </w:r>
      <w:r w:rsidRPr="006E7292">
        <w:rPr>
          <w:rFonts w:ascii="Book Antiqua" w:hAnsi="Book Antiqua"/>
        </w:rPr>
        <w:t xml:space="preserve">, Luedeke M, Arndt A, Schnoeller TJ, Lennerz JK, Wurm C, Maier C, Cronauer MV, Steinestel K, Schrader AJ. </w:t>
      </w:r>
      <w:proofErr w:type="gramStart"/>
      <w:r w:rsidRPr="006E7292">
        <w:rPr>
          <w:rFonts w:ascii="Book Antiqua" w:hAnsi="Book Antiqua"/>
        </w:rPr>
        <w:t>Detecting predictive androgen receptor modifications in circulating prostate cancer cells.</w:t>
      </w:r>
      <w:proofErr w:type="gramEnd"/>
      <w:r w:rsidRPr="006E7292">
        <w:rPr>
          <w:rFonts w:ascii="Book Antiqua" w:hAnsi="Book Antiqua"/>
        </w:rPr>
        <w:t xml:space="preserve"> </w:t>
      </w:r>
      <w:r w:rsidRPr="006E7292">
        <w:rPr>
          <w:rFonts w:ascii="Book Antiqua" w:hAnsi="Book Antiqua"/>
          <w:i/>
        </w:rPr>
        <w:t>Oncotarget</w:t>
      </w:r>
      <w:r w:rsidRPr="006E7292">
        <w:rPr>
          <w:rFonts w:ascii="Book Antiqua" w:hAnsi="Book Antiqua"/>
        </w:rPr>
        <w:t xml:space="preserve"> 2019; </w:t>
      </w:r>
      <w:r w:rsidRPr="006E7292">
        <w:rPr>
          <w:rFonts w:ascii="Book Antiqua" w:hAnsi="Book Antiqua"/>
          <w:b/>
        </w:rPr>
        <w:t>10</w:t>
      </w:r>
      <w:r w:rsidRPr="006E7292">
        <w:rPr>
          <w:rFonts w:ascii="Book Antiqua" w:hAnsi="Book Antiqua"/>
        </w:rPr>
        <w:t>: 4213-4223 [PMID: 31289619 DOI: 10.18632/oncotarget.3925]</w:t>
      </w:r>
    </w:p>
    <w:p w14:paraId="72243D8B"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69 </w:t>
      </w:r>
      <w:r w:rsidRPr="006E7292">
        <w:rPr>
          <w:rFonts w:ascii="Book Antiqua" w:hAnsi="Book Antiqua"/>
          <w:b/>
        </w:rPr>
        <w:t>Scher HI</w:t>
      </w:r>
      <w:r w:rsidRPr="006E7292">
        <w:rPr>
          <w:rFonts w:ascii="Book Antiqua" w:hAnsi="Book Antiqua"/>
        </w:rPr>
        <w:t xml:space="preserve">, Graf RP, Schreiber NA, McLaughlin B, Lu D, Louw J, Danila DC, Dugan L, Johnson A, Heller G, Fleisher M, Dittamore R. Nuclear-specific AR-V7 Protein Localization is Necessary to Guide Treatment Selection in Metastatic Castration-resistant Prostate Cancer. </w:t>
      </w:r>
      <w:r w:rsidRPr="006E7292">
        <w:rPr>
          <w:rFonts w:ascii="Book Antiqua" w:hAnsi="Book Antiqua"/>
          <w:i/>
        </w:rPr>
        <w:t>Eur Urol</w:t>
      </w:r>
      <w:r w:rsidRPr="006E7292">
        <w:rPr>
          <w:rFonts w:ascii="Book Antiqua" w:hAnsi="Book Antiqua"/>
        </w:rPr>
        <w:t xml:space="preserve"> 2017; </w:t>
      </w:r>
      <w:r w:rsidRPr="006E7292">
        <w:rPr>
          <w:rFonts w:ascii="Book Antiqua" w:hAnsi="Book Antiqua"/>
          <w:b/>
        </w:rPr>
        <w:t>71</w:t>
      </w:r>
      <w:r w:rsidRPr="006E7292">
        <w:rPr>
          <w:rFonts w:ascii="Book Antiqua" w:hAnsi="Book Antiqua"/>
        </w:rPr>
        <w:t>: 874-882 [PMID: 27979426 DOI: 10.1016/j.eururo.2016.11.024]</w:t>
      </w:r>
    </w:p>
    <w:p w14:paraId="7359E545"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70 </w:t>
      </w:r>
      <w:r w:rsidRPr="006E7292">
        <w:rPr>
          <w:rFonts w:ascii="Book Antiqua" w:hAnsi="Book Antiqua"/>
          <w:b/>
        </w:rPr>
        <w:t>Richardsen E</w:t>
      </w:r>
      <w:r w:rsidRPr="006E7292">
        <w:rPr>
          <w:rFonts w:ascii="Book Antiqua" w:hAnsi="Book Antiqua"/>
        </w:rPr>
        <w:t xml:space="preserve">, Andersen S, Melbø-Jørgensen C, Rakaee M, Ness N, Al-Saad S, Nordby Y, Pedersen MI, Dønnem T, Bremnes RM, Busund LT. MicroRNA 141 is associated to outcome and aggressive tumor characteristics in prostate cancer. </w:t>
      </w:r>
      <w:r w:rsidRPr="006E7292">
        <w:rPr>
          <w:rFonts w:ascii="Book Antiqua" w:hAnsi="Book Antiqua"/>
          <w:i/>
        </w:rPr>
        <w:t>Sci Rep</w:t>
      </w:r>
      <w:r w:rsidRPr="006E7292">
        <w:rPr>
          <w:rFonts w:ascii="Book Antiqua" w:hAnsi="Book Antiqua"/>
        </w:rPr>
        <w:t xml:space="preserve"> 2019; </w:t>
      </w:r>
      <w:r w:rsidRPr="006E7292">
        <w:rPr>
          <w:rFonts w:ascii="Book Antiqua" w:hAnsi="Book Antiqua"/>
          <w:b/>
        </w:rPr>
        <w:t>9</w:t>
      </w:r>
      <w:r w:rsidRPr="006E7292">
        <w:rPr>
          <w:rFonts w:ascii="Book Antiqua" w:hAnsi="Book Antiqua"/>
        </w:rPr>
        <w:t>: 386 [PMID: 30674952 DOI: 10.1038/s41598-018-36854-7]</w:t>
      </w:r>
    </w:p>
    <w:p w14:paraId="5ABD77E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71 </w:t>
      </w:r>
      <w:r w:rsidRPr="006E7292">
        <w:rPr>
          <w:rFonts w:ascii="Book Antiqua" w:hAnsi="Book Antiqua"/>
          <w:b/>
        </w:rPr>
        <w:t>Giraldez MD</w:t>
      </w:r>
      <w:r w:rsidRPr="006E7292">
        <w:rPr>
          <w:rFonts w:ascii="Book Antiqua" w:hAnsi="Book Antiqua"/>
        </w:rPr>
        <w:t xml:space="preserve">, Chevillet JR, Tewari M. Droplet Digital PCR for Absolute Quantification of Extracellular MicroRNAs in Plasma and Serum: Quantification of </w:t>
      </w:r>
      <w:r w:rsidRPr="006E7292">
        <w:rPr>
          <w:rFonts w:ascii="Book Antiqua" w:hAnsi="Book Antiqua"/>
        </w:rPr>
        <w:lastRenderedPageBreak/>
        <w:t xml:space="preserve">the Cancer Biomarker hsa-miR-141. </w:t>
      </w:r>
      <w:r w:rsidRPr="006E7292">
        <w:rPr>
          <w:rFonts w:ascii="Book Antiqua" w:hAnsi="Book Antiqua"/>
          <w:i/>
        </w:rPr>
        <w:t>Methods Mol Biol</w:t>
      </w:r>
      <w:r w:rsidRPr="006E7292">
        <w:rPr>
          <w:rFonts w:ascii="Book Antiqua" w:hAnsi="Book Antiqua"/>
        </w:rPr>
        <w:t xml:space="preserve"> 2018; </w:t>
      </w:r>
      <w:r w:rsidRPr="006E7292">
        <w:rPr>
          <w:rFonts w:ascii="Book Antiqua" w:hAnsi="Book Antiqua"/>
          <w:b/>
        </w:rPr>
        <w:t>1768</w:t>
      </w:r>
      <w:r w:rsidRPr="006E7292">
        <w:rPr>
          <w:rFonts w:ascii="Book Antiqua" w:hAnsi="Book Antiqua"/>
        </w:rPr>
        <w:t>: 459-474 [PMID: 29717459 DOI: 10.1007/978-1-4939-7778-9_26]</w:t>
      </w:r>
    </w:p>
    <w:p w14:paraId="31AEED02" w14:textId="77777777" w:rsidR="00A93BA6" w:rsidRPr="00644326" w:rsidRDefault="00A93BA6">
      <w:pPr>
        <w:snapToGrid w:val="0"/>
        <w:spacing w:line="360" w:lineRule="auto"/>
        <w:jc w:val="both"/>
        <w:rPr>
          <w:rFonts w:ascii="Book Antiqua" w:hAnsi="Book Antiqua"/>
          <w:lang w:val="it-IT"/>
        </w:rPr>
      </w:pPr>
      <w:r w:rsidRPr="006E7292">
        <w:rPr>
          <w:rFonts w:ascii="Book Antiqua" w:hAnsi="Book Antiqua"/>
        </w:rPr>
        <w:t xml:space="preserve">72 </w:t>
      </w:r>
      <w:r w:rsidRPr="006E7292">
        <w:rPr>
          <w:rFonts w:ascii="Book Antiqua" w:hAnsi="Book Antiqua"/>
          <w:b/>
        </w:rPr>
        <w:t>Ibrahim NH</w:t>
      </w:r>
      <w:r w:rsidRPr="006E7292">
        <w:rPr>
          <w:rFonts w:ascii="Book Antiqua" w:hAnsi="Book Antiqua"/>
        </w:rPr>
        <w:t xml:space="preserve">, Abdellateif MS, Kassem SH, Abd El Salam MA, El Gammal MM. Diagnostic significance of miR-21, miR-141, miR-18a and miR-221 as novel biomarkers in prostate cancer among Egyptian patients. </w:t>
      </w:r>
      <w:r w:rsidRPr="00644326">
        <w:rPr>
          <w:rFonts w:ascii="Book Antiqua" w:hAnsi="Book Antiqua"/>
          <w:i/>
          <w:lang w:val="it-IT"/>
        </w:rPr>
        <w:t>Andrologia</w:t>
      </w:r>
      <w:r w:rsidRPr="00644326">
        <w:rPr>
          <w:rFonts w:ascii="Book Antiqua" w:hAnsi="Book Antiqua"/>
          <w:lang w:val="it-IT"/>
        </w:rPr>
        <w:t xml:space="preserve"> 2019; </w:t>
      </w:r>
      <w:r w:rsidRPr="00644326">
        <w:rPr>
          <w:rFonts w:ascii="Book Antiqua" w:hAnsi="Book Antiqua"/>
          <w:b/>
          <w:lang w:val="it-IT"/>
        </w:rPr>
        <w:t>51</w:t>
      </w:r>
      <w:r w:rsidRPr="00644326">
        <w:rPr>
          <w:rFonts w:ascii="Book Antiqua" w:hAnsi="Book Antiqua"/>
          <w:lang w:val="it-IT"/>
        </w:rPr>
        <w:t>: e13384 [PMID: 31483058 DOI: 10.1111/and.13384]</w:t>
      </w:r>
    </w:p>
    <w:p w14:paraId="1EC72FC2" w14:textId="77777777" w:rsidR="00A93BA6" w:rsidRPr="006E7292" w:rsidRDefault="00A93BA6">
      <w:pPr>
        <w:snapToGrid w:val="0"/>
        <w:spacing w:line="360" w:lineRule="auto"/>
        <w:jc w:val="both"/>
        <w:rPr>
          <w:rFonts w:ascii="Book Antiqua" w:hAnsi="Book Antiqua"/>
        </w:rPr>
      </w:pPr>
      <w:r w:rsidRPr="00644326">
        <w:rPr>
          <w:rFonts w:ascii="Book Antiqua" w:hAnsi="Book Antiqua"/>
          <w:lang w:val="it-IT"/>
        </w:rPr>
        <w:t xml:space="preserve">73 </w:t>
      </w:r>
      <w:r w:rsidRPr="00644326">
        <w:rPr>
          <w:rFonts w:ascii="Book Antiqua" w:hAnsi="Book Antiqua"/>
          <w:b/>
          <w:lang w:val="it-IT"/>
        </w:rPr>
        <w:t>Karzai FH</w:t>
      </w:r>
      <w:r w:rsidRPr="00644326">
        <w:rPr>
          <w:rFonts w:ascii="Book Antiqua" w:hAnsi="Book Antiqua"/>
          <w:lang w:val="it-IT"/>
        </w:rPr>
        <w:t xml:space="preserve">, Madan RA, Figg WD. </w:t>
      </w:r>
      <w:r w:rsidRPr="006E7292">
        <w:rPr>
          <w:rFonts w:ascii="Book Antiqua" w:hAnsi="Book Antiqua"/>
        </w:rPr>
        <w:t xml:space="preserve">Beyond PSA: managing modern therapeutic options in metastatic castration-resistant prostate cancer. </w:t>
      </w:r>
      <w:r w:rsidRPr="006E7292">
        <w:rPr>
          <w:rFonts w:ascii="Book Antiqua" w:hAnsi="Book Antiqua"/>
          <w:i/>
        </w:rPr>
        <w:t>South Med J</w:t>
      </w:r>
      <w:r w:rsidRPr="006E7292">
        <w:rPr>
          <w:rFonts w:ascii="Book Antiqua" w:hAnsi="Book Antiqua"/>
        </w:rPr>
        <w:t xml:space="preserve"> 2015; </w:t>
      </w:r>
      <w:r w:rsidRPr="006E7292">
        <w:rPr>
          <w:rFonts w:ascii="Book Antiqua" w:hAnsi="Book Antiqua"/>
          <w:b/>
        </w:rPr>
        <w:t>108</w:t>
      </w:r>
      <w:r w:rsidRPr="006E7292">
        <w:rPr>
          <w:rFonts w:ascii="Book Antiqua" w:hAnsi="Book Antiqua"/>
        </w:rPr>
        <w:t>: 224-228 [PMID: 25871992 DOI: 10.14423/SMJ.0000000000000266]</w:t>
      </w:r>
    </w:p>
    <w:p w14:paraId="5A7FEAA2" w14:textId="5177BE99" w:rsidR="00A93BA6" w:rsidRPr="00644326" w:rsidRDefault="00A93BA6">
      <w:pPr>
        <w:snapToGrid w:val="0"/>
        <w:spacing w:line="360" w:lineRule="auto"/>
        <w:jc w:val="both"/>
        <w:rPr>
          <w:rFonts w:ascii="Book Antiqua" w:hAnsi="Book Antiqua"/>
          <w:lang w:val="it-IT"/>
        </w:rPr>
      </w:pPr>
      <w:r w:rsidRPr="006E7292">
        <w:rPr>
          <w:rFonts w:ascii="Book Antiqua" w:hAnsi="Book Antiqua"/>
        </w:rPr>
        <w:t xml:space="preserve">74 </w:t>
      </w:r>
      <w:r w:rsidRPr="006E7292">
        <w:rPr>
          <w:rFonts w:ascii="Book Antiqua" w:hAnsi="Book Antiqua"/>
          <w:b/>
        </w:rPr>
        <w:t>Aggarwal R</w:t>
      </w:r>
      <w:r w:rsidRPr="006E7292">
        <w:rPr>
          <w:rFonts w:ascii="Book Antiqua" w:hAnsi="Book Antiqua"/>
        </w:rPr>
        <w:t xml:space="preserve">, Romero GR, Friedl V, Weinstein A, Foye A, Huang J, Feng F, Stuart JM, Small EJ. Clinical and genomic characterization of Low PSA Secretors: a unique subset of metastatic castration resistant prostate cancer. </w:t>
      </w:r>
      <w:r w:rsidRPr="00644326">
        <w:rPr>
          <w:rFonts w:ascii="Book Antiqua" w:hAnsi="Book Antiqua"/>
          <w:i/>
          <w:lang w:val="it-IT"/>
        </w:rPr>
        <w:t>Prostate Cancer Prostatic Dis</w:t>
      </w:r>
      <w:r w:rsidR="00142626" w:rsidRPr="00644326">
        <w:rPr>
          <w:rFonts w:ascii="Book Antiqua" w:hAnsi="Book Antiqua"/>
          <w:lang w:val="it-IT"/>
        </w:rPr>
        <w:t xml:space="preserve"> 2020 </w:t>
      </w:r>
      <w:r w:rsidRPr="00644326">
        <w:rPr>
          <w:rFonts w:ascii="Book Antiqua" w:hAnsi="Book Antiqua"/>
          <w:lang w:val="it-IT"/>
        </w:rPr>
        <w:t>[PMID: 32286548 DOI: 10.1038/s41391-020-0228-0]</w:t>
      </w:r>
    </w:p>
    <w:p w14:paraId="78593BCA" w14:textId="0F55228C" w:rsidR="00A93BA6" w:rsidRPr="006E7292" w:rsidRDefault="00A93BA6">
      <w:pPr>
        <w:snapToGrid w:val="0"/>
        <w:spacing w:line="360" w:lineRule="auto"/>
        <w:jc w:val="both"/>
        <w:rPr>
          <w:rFonts w:ascii="Book Antiqua" w:hAnsi="Book Antiqua"/>
        </w:rPr>
      </w:pPr>
      <w:r w:rsidRPr="00644326">
        <w:rPr>
          <w:rFonts w:ascii="Book Antiqua" w:hAnsi="Book Antiqua"/>
          <w:lang w:val="it-IT"/>
        </w:rPr>
        <w:t xml:space="preserve">75 </w:t>
      </w:r>
      <w:r w:rsidRPr="00644326">
        <w:rPr>
          <w:rFonts w:ascii="Book Antiqua" w:hAnsi="Book Antiqua"/>
          <w:b/>
          <w:lang w:val="it-IT"/>
        </w:rPr>
        <w:t>Buttigliero C</w:t>
      </w:r>
      <w:r w:rsidRPr="00644326">
        <w:rPr>
          <w:rFonts w:ascii="Book Antiqua" w:hAnsi="Book Antiqua"/>
          <w:lang w:val="it-IT"/>
        </w:rPr>
        <w:t xml:space="preserve">, Tucci M, Sonetto C, Vignani F, Di Stefano RF, Pisano C, Turco F, Lacidogna G, Guglielmini P, Numico G, Scagliotti GV, Di Maio M. Prognostic role of early PSA drop in castration resistant prostate cancer patients treated with abiraterone acetate or enzalutamide. </w:t>
      </w:r>
      <w:r w:rsidRPr="006E7292">
        <w:rPr>
          <w:rFonts w:ascii="Book Antiqua" w:hAnsi="Book Antiqua"/>
          <w:i/>
        </w:rPr>
        <w:t>Minerva Urol Nefrol</w:t>
      </w:r>
      <w:r w:rsidR="00142626" w:rsidRPr="006E7292">
        <w:rPr>
          <w:rFonts w:ascii="Book Antiqua" w:hAnsi="Book Antiqua"/>
        </w:rPr>
        <w:t xml:space="preserve"> 2020</w:t>
      </w:r>
      <w:r w:rsidRPr="006E7292">
        <w:rPr>
          <w:rFonts w:ascii="Book Antiqua" w:hAnsi="Book Antiqua"/>
        </w:rPr>
        <w:t xml:space="preserve"> [PMID: 32284527 DOI: 10.23736/S0393-2249.20.03708-X]</w:t>
      </w:r>
    </w:p>
    <w:p w14:paraId="38016316" w14:textId="4E4C031C" w:rsidR="006D110B" w:rsidRPr="006E7292" w:rsidRDefault="00A93BA6">
      <w:pPr>
        <w:snapToGrid w:val="0"/>
        <w:spacing w:line="360" w:lineRule="auto"/>
        <w:jc w:val="both"/>
        <w:rPr>
          <w:rFonts w:ascii="Book Antiqua" w:hAnsi="Book Antiqua"/>
        </w:rPr>
      </w:pPr>
      <w:r w:rsidRPr="006E7292">
        <w:rPr>
          <w:rFonts w:ascii="Book Antiqua" w:hAnsi="Book Antiqua"/>
        </w:rPr>
        <w:t xml:space="preserve">76 </w:t>
      </w:r>
      <w:r w:rsidRPr="006E7292">
        <w:rPr>
          <w:rFonts w:ascii="Book Antiqua" w:hAnsi="Book Antiqua"/>
          <w:b/>
        </w:rPr>
        <w:t>Brady-Nicholls R</w:t>
      </w:r>
      <w:r w:rsidRPr="006E7292">
        <w:rPr>
          <w:rFonts w:ascii="Book Antiqua" w:hAnsi="Book Antiqua"/>
        </w:rPr>
        <w:t xml:space="preserve">, Nagy JD, Gerke TA, Zhang T, Wang AZ, Zhang J, Gatenby RA, Enderling H. Prostate-specific antigen dynamics predict individual responses to intermittent androgen deprivation. </w:t>
      </w:r>
      <w:r w:rsidRPr="006E7292">
        <w:rPr>
          <w:rFonts w:ascii="Book Antiqua" w:hAnsi="Book Antiqua"/>
          <w:i/>
        </w:rPr>
        <w:t>Nat Commun</w:t>
      </w:r>
      <w:r w:rsidRPr="006E7292">
        <w:rPr>
          <w:rFonts w:ascii="Book Antiqua" w:hAnsi="Book Antiqua"/>
        </w:rPr>
        <w:t xml:space="preserve"> 2020; </w:t>
      </w:r>
      <w:r w:rsidRPr="006E7292">
        <w:rPr>
          <w:rFonts w:ascii="Book Antiqua" w:hAnsi="Book Antiqua"/>
          <w:b/>
        </w:rPr>
        <w:t>11</w:t>
      </w:r>
      <w:r w:rsidRPr="006E7292">
        <w:rPr>
          <w:rFonts w:ascii="Book Antiqua" w:hAnsi="Book Antiqua"/>
        </w:rPr>
        <w:t>: 1750 [PMID: 32273504 DOI: 10.1038/s41467-020-15424-4]</w:t>
      </w:r>
    </w:p>
    <w:p w14:paraId="284311BF" w14:textId="00FCA987" w:rsidR="00400966" w:rsidRPr="006E7292" w:rsidRDefault="00400966">
      <w:pPr>
        <w:snapToGrid w:val="0"/>
        <w:spacing w:line="360" w:lineRule="auto"/>
        <w:jc w:val="both"/>
        <w:rPr>
          <w:rFonts w:ascii="Book Antiqua" w:hAnsi="Book Antiqua"/>
        </w:rPr>
      </w:pPr>
      <w:r w:rsidRPr="006E7292">
        <w:rPr>
          <w:rFonts w:ascii="Book Antiqua" w:hAnsi="Book Antiqua"/>
        </w:rPr>
        <w:br w:type="page"/>
      </w:r>
    </w:p>
    <w:p w14:paraId="6E28A20B" w14:textId="77777777" w:rsidR="0049116D" w:rsidRPr="006E7292" w:rsidRDefault="0049116D">
      <w:pPr>
        <w:adjustRightInd w:val="0"/>
        <w:snapToGrid w:val="0"/>
        <w:spacing w:line="360" w:lineRule="auto"/>
        <w:jc w:val="both"/>
        <w:rPr>
          <w:rFonts w:ascii="Book Antiqua" w:hAnsi="Book Antiqua"/>
          <w:b/>
        </w:rPr>
      </w:pPr>
      <w:r w:rsidRPr="006E7292">
        <w:rPr>
          <w:rFonts w:ascii="Book Antiqua" w:hAnsi="Book Antiqua"/>
          <w:b/>
        </w:rPr>
        <w:lastRenderedPageBreak/>
        <w:t>Footnotes</w:t>
      </w:r>
    </w:p>
    <w:p w14:paraId="27DD71D0" w14:textId="11514892" w:rsidR="0049116D" w:rsidRPr="006E7292" w:rsidRDefault="0049116D">
      <w:pPr>
        <w:snapToGrid w:val="0"/>
        <w:spacing w:line="360" w:lineRule="auto"/>
        <w:jc w:val="both"/>
        <w:rPr>
          <w:rFonts w:ascii="Book Antiqua" w:eastAsia="宋体" w:hAnsi="Book Antiqua"/>
          <w:color w:val="000000"/>
          <w:lang w:eastAsia="zh-CN"/>
        </w:rPr>
      </w:pPr>
      <w:r w:rsidRPr="006E7292">
        <w:rPr>
          <w:rFonts w:ascii="Book Antiqua" w:hAnsi="Book Antiqua"/>
          <w:b/>
          <w:color w:val="000000"/>
        </w:rPr>
        <w:t>Conflict-of-interest statement</w:t>
      </w:r>
      <w:r w:rsidRPr="006E7292">
        <w:rPr>
          <w:rFonts w:ascii="Book Antiqua" w:hAnsi="Book Antiqua"/>
          <w:b/>
        </w:rPr>
        <w:t>:</w:t>
      </w:r>
      <w:r w:rsidRPr="006E7292">
        <w:rPr>
          <w:rFonts w:ascii="Book Antiqua" w:eastAsia="宋体" w:hAnsi="Book Antiqua" w:cs="TimesNewRomanPS-BoldItalicMT"/>
          <w:b/>
          <w:bCs/>
          <w:iCs/>
          <w:color w:val="000000"/>
          <w:lang w:eastAsia="zh-CN"/>
        </w:rPr>
        <w:t xml:space="preserve"> </w:t>
      </w:r>
      <w:r w:rsidR="006E7292">
        <w:rPr>
          <w:rFonts w:ascii="Book Antiqua" w:hAnsi="Book Antiqua"/>
          <w:color w:val="000000"/>
        </w:rPr>
        <w:t>The a</w:t>
      </w:r>
      <w:r w:rsidRPr="006E7292">
        <w:rPr>
          <w:rFonts w:ascii="Book Antiqua" w:hAnsi="Book Antiqua"/>
          <w:color w:val="000000"/>
        </w:rPr>
        <w:t>uthors declare no conflict of interests for this article.</w:t>
      </w:r>
    </w:p>
    <w:p w14:paraId="75640F1A" w14:textId="77777777" w:rsidR="0049116D" w:rsidRPr="006E7292" w:rsidRDefault="0049116D">
      <w:pPr>
        <w:snapToGrid w:val="0"/>
        <w:spacing w:line="360" w:lineRule="auto"/>
        <w:jc w:val="both"/>
        <w:rPr>
          <w:rFonts w:ascii="Book Antiqua" w:eastAsia="宋体" w:hAnsi="Book Antiqua"/>
          <w:b/>
          <w:color w:val="000000"/>
          <w:lang w:eastAsia="zh-CN"/>
        </w:rPr>
      </w:pPr>
    </w:p>
    <w:p w14:paraId="1AA450C8" w14:textId="77777777" w:rsidR="0049116D" w:rsidRPr="006E7292" w:rsidRDefault="0049116D">
      <w:pPr>
        <w:snapToGrid w:val="0"/>
        <w:spacing w:line="360" w:lineRule="auto"/>
        <w:jc w:val="both"/>
        <w:rPr>
          <w:rFonts w:ascii="Book Antiqua" w:hAnsi="Book Antiqua"/>
        </w:rPr>
      </w:pPr>
      <w:r w:rsidRPr="006E7292">
        <w:rPr>
          <w:rFonts w:ascii="Book Antiqua" w:hAnsi="Book Antiqua"/>
          <w:b/>
          <w:color w:val="000000"/>
        </w:rPr>
        <w:t>Open-Access:</w:t>
      </w:r>
      <w:r w:rsidRPr="006E7292">
        <w:rPr>
          <w:rFonts w:ascii="Book Antiqua" w:hAnsi="Book Antiqua"/>
          <w:color w:val="000000"/>
        </w:rPr>
        <w:t xml:space="preserve"> This article is an open-access </w:t>
      </w:r>
      <w:r w:rsidRPr="006E7292">
        <w:rPr>
          <w:rFonts w:ascii="Book Antiqua" w:hAnsi="Book Antiqua"/>
        </w:rPr>
        <w:t xml:space="preserve">article that was selected </w:t>
      </w:r>
      <w:r w:rsidRPr="006E729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BBD7B5" w14:textId="77777777" w:rsidR="0049116D" w:rsidRPr="006E7292" w:rsidRDefault="0049116D">
      <w:pPr>
        <w:pStyle w:val="a4"/>
        <w:snapToGrid w:val="0"/>
        <w:spacing w:line="360" w:lineRule="auto"/>
        <w:jc w:val="both"/>
        <w:rPr>
          <w:rFonts w:ascii="Book Antiqua" w:eastAsia="宋体" w:hAnsi="Book Antiqua" w:cs="Times New Roman"/>
          <w:bCs/>
          <w:color w:val="000000"/>
          <w:lang w:eastAsia="zh-CN"/>
        </w:rPr>
      </w:pPr>
    </w:p>
    <w:p w14:paraId="3D4F066F" w14:textId="7659BE63" w:rsidR="0049116D" w:rsidRPr="006E7292" w:rsidRDefault="0049116D">
      <w:pPr>
        <w:adjustRightInd w:val="0"/>
        <w:snapToGrid w:val="0"/>
        <w:spacing w:line="360" w:lineRule="auto"/>
        <w:jc w:val="both"/>
        <w:rPr>
          <w:rFonts w:ascii="Book Antiqua" w:hAnsi="Book Antiqua"/>
          <w:bCs/>
          <w:color w:val="000000"/>
          <w:lang w:eastAsia="zh-CN"/>
        </w:rPr>
      </w:pPr>
      <w:r w:rsidRPr="006E7292">
        <w:rPr>
          <w:rFonts w:ascii="Book Antiqua" w:hAnsi="Book Antiqua"/>
          <w:b/>
          <w:bCs/>
          <w:color w:val="000000"/>
          <w:lang w:eastAsia="pl-PL"/>
        </w:rPr>
        <w:t>Manuscript</w:t>
      </w:r>
      <w:r w:rsidR="0067694C" w:rsidRPr="006E7292">
        <w:rPr>
          <w:rFonts w:ascii="Book Antiqua" w:hAnsi="Book Antiqua"/>
          <w:b/>
          <w:bCs/>
          <w:color w:val="000000"/>
          <w:lang w:eastAsia="pl-PL"/>
        </w:rPr>
        <w:t xml:space="preserve"> </w:t>
      </w:r>
      <w:r w:rsidRPr="006E7292">
        <w:rPr>
          <w:rFonts w:ascii="Book Antiqua" w:hAnsi="Book Antiqua"/>
          <w:b/>
          <w:bCs/>
          <w:color w:val="000000"/>
          <w:lang w:eastAsia="pl-PL"/>
        </w:rPr>
        <w:t>source:</w:t>
      </w:r>
      <w:r w:rsidRPr="006E7292">
        <w:rPr>
          <w:rFonts w:ascii="Book Antiqua" w:hAnsi="Book Antiqua"/>
          <w:b/>
          <w:bCs/>
          <w:color w:val="000000"/>
          <w:lang w:eastAsia="zh-CN"/>
        </w:rPr>
        <w:t xml:space="preserve"> </w:t>
      </w:r>
      <w:r w:rsidRPr="006E7292">
        <w:rPr>
          <w:rFonts w:ascii="Book Antiqua" w:hAnsi="Book Antiqua"/>
          <w:bCs/>
          <w:color w:val="000000"/>
          <w:lang w:eastAsia="pl-PL"/>
        </w:rPr>
        <w:t>Invited manuscript</w:t>
      </w:r>
    </w:p>
    <w:p w14:paraId="7AC02C3E" w14:textId="77777777" w:rsidR="0049116D" w:rsidRPr="006E7292" w:rsidRDefault="0049116D">
      <w:pPr>
        <w:widowControl w:val="0"/>
        <w:adjustRightInd w:val="0"/>
        <w:snapToGrid w:val="0"/>
        <w:spacing w:line="360" w:lineRule="auto"/>
        <w:jc w:val="both"/>
        <w:rPr>
          <w:rFonts w:ascii="Book Antiqua" w:hAnsi="Book Antiqua"/>
          <w:b/>
          <w:kern w:val="2"/>
          <w:lang w:eastAsia="zh-CN"/>
        </w:rPr>
      </w:pPr>
    </w:p>
    <w:p w14:paraId="396E460D" w14:textId="41402DE9" w:rsidR="0049116D" w:rsidRPr="006E7292" w:rsidRDefault="0049116D">
      <w:pPr>
        <w:snapToGrid w:val="0"/>
        <w:spacing w:line="360" w:lineRule="auto"/>
        <w:jc w:val="both"/>
        <w:rPr>
          <w:rFonts w:ascii="Book Antiqua" w:eastAsia="宋体" w:hAnsi="Book Antiqua"/>
          <w:b/>
          <w:lang w:eastAsia="zh-CN"/>
        </w:rPr>
      </w:pPr>
      <w:r w:rsidRPr="006E7292">
        <w:rPr>
          <w:rFonts w:ascii="Book Antiqua" w:hAnsi="Book Antiqua"/>
          <w:b/>
        </w:rPr>
        <w:t>Peer-review started:</w:t>
      </w:r>
      <w:r w:rsidRPr="006E7292">
        <w:rPr>
          <w:rFonts w:ascii="Book Antiqua" w:eastAsia="宋体" w:hAnsi="Book Antiqua"/>
          <w:b/>
          <w:lang w:eastAsia="zh-CN"/>
        </w:rPr>
        <w:t xml:space="preserve"> </w:t>
      </w:r>
      <w:r w:rsidRPr="006E7292">
        <w:rPr>
          <w:rFonts w:ascii="Book Antiqua" w:eastAsia="宋体" w:hAnsi="Book Antiqua"/>
          <w:lang w:eastAsia="zh-CN"/>
        </w:rPr>
        <w:t>March 6, 2020</w:t>
      </w:r>
    </w:p>
    <w:p w14:paraId="5682408E" w14:textId="666CF54B" w:rsidR="0049116D" w:rsidRPr="006E7292" w:rsidRDefault="0049116D">
      <w:pPr>
        <w:snapToGrid w:val="0"/>
        <w:spacing w:line="360" w:lineRule="auto"/>
        <w:jc w:val="both"/>
        <w:rPr>
          <w:rFonts w:ascii="Book Antiqua" w:eastAsia="宋体" w:hAnsi="Book Antiqua"/>
          <w:b/>
          <w:lang w:eastAsia="zh-CN"/>
        </w:rPr>
      </w:pPr>
      <w:r w:rsidRPr="006E7292">
        <w:rPr>
          <w:rFonts w:ascii="Book Antiqua" w:hAnsi="Book Antiqua"/>
          <w:b/>
        </w:rPr>
        <w:t>First decision:</w:t>
      </w:r>
      <w:r w:rsidRPr="006E7292">
        <w:rPr>
          <w:rFonts w:ascii="Book Antiqua" w:eastAsia="宋体" w:hAnsi="Book Antiqua"/>
          <w:b/>
          <w:lang w:eastAsia="zh-CN"/>
        </w:rPr>
        <w:t xml:space="preserve"> </w:t>
      </w:r>
      <w:r w:rsidRPr="006E7292">
        <w:rPr>
          <w:rFonts w:ascii="Book Antiqua" w:eastAsia="宋体" w:hAnsi="Book Antiqua"/>
          <w:lang w:eastAsia="zh-CN"/>
        </w:rPr>
        <w:t>April 26, 2020</w:t>
      </w:r>
    </w:p>
    <w:p w14:paraId="5DF36DA3" w14:textId="77777777" w:rsidR="0049116D" w:rsidRPr="006E7292" w:rsidRDefault="0049116D">
      <w:pPr>
        <w:snapToGrid w:val="0"/>
        <w:spacing w:line="360" w:lineRule="auto"/>
        <w:jc w:val="both"/>
        <w:rPr>
          <w:rFonts w:ascii="Book Antiqua" w:hAnsi="Book Antiqua"/>
          <w:b/>
        </w:rPr>
      </w:pPr>
      <w:r w:rsidRPr="006E7292">
        <w:rPr>
          <w:rFonts w:ascii="Book Antiqua" w:hAnsi="Book Antiqua"/>
          <w:b/>
        </w:rPr>
        <w:t>Article in press:</w:t>
      </w:r>
    </w:p>
    <w:p w14:paraId="5EC1EF30" w14:textId="77777777" w:rsidR="0049116D" w:rsidRPr="006E7292" w:rsidRDefault="0049116D">
      <w:pPr>
        <w:snapToGrid w:val="0"/>
        <w:spacing w:line="360" w:lineRule="auto"/>
        <w:jc w:val="both"/>
        <w:rPr>
          <w:rFonts w:ascii="Book Antiqua" w:eastAsia="宋体" w:hAnsi="Book Antiqua"/>
          <w:color w:val="000000"/>
          <w:lang w:eastAsia="zh-CN"/>
        </w:rPr>
      </w:pPr>
    </w:p>
    <w:p w14:paraId="5101F0A2" w14:textId="6BE9C264" w:rsidR="0049116D" w:rsidRPr="006E7292" w:rsidRDefault="0049116D">
      <w:pPr>
        <w:widowControl w:val="0"/>
        <w:adjustRightInd w:val="0"/>
        <w:snapToGrid w:val="0"/>
        <w:spacing w:line="360" w:lineRule="auto"/>
        <w:jc w:val="both"/>
        <w:rPr>
          <w:rFonts w:ascii="Book Antiqua" w:eastAsia="微软雅黑" w:hAnsi="Book Antiqua" w:cs="宋体"/>
          <w:lang w:eastAsia="zh-CN"/>
        </w:rPr>
      </w:pPr>
      <w:r w:rsidRPr="006E7292">
        <w:rPr>
          <w:rFonts w:ascii="Book Antiqua" w:hAnsi="Book Antiqua" w:cs="宋体"/>
          <w:b/>
          <w:lang w:eastAsia="zh-CN"/>
        </w:rPr>
        <w:t>Specialty</w:t>
      </w:r>
      <w:r w:rsidR="0067694C" w:rsidRPr="006E7292">
        <w:rPr>
          <w:rFonts w:ascii="Book Antiqua" w:hAnsi="Book Antiqua" w:cs="宋体"/>
          <w:b/>
          <w:lang w:eastAsia="zh-CN"/>
        </w:rPr>
        <w:t xml:space="preserve"> </w:t>
      </w:r>
      <w:r w:rsidRPr="006E7292">
        <w:rPr>
          <w:rFonts w:ascii="Book Antiqua" w:hAnsi="Book Antiqua" w:cs="宋体"/>
          <w:b/>
          <w:lang w:eastAsia="zh-CN"/>
        </w:rPr>
        <w:t xml:space="preserve">type: </w:t>
      </w:r>
      <w:r w:rsidRPr="006E7292">
        <w:rPr>
          <w:rFonts w:ascii="Book Antiqua" w:eastAsia="微软雅黑" w:hAnsi="Book Antiqua" w:cs="宋体"/>
          <w:lang w:eastAsia="zh-CN"/>
        </w:rPr>
        <w:t>Oncology</w:t>
      </w:r>
    </w:p>
    <w:p w14:paraId="52795BC7" w14:textId="01D35BDC" w:rsidR="0049116D" w:rsidRPr="006E7292" w:rsidRDefault="0049116D">
      <w:pPr>
        <w:widowControl w:val="0"/>
        <w:adjustRightInd w:val="0"/>
        <w:snapToGrid w:val="0"/>
        <w:spacing w:line="360" w:lineRule="auto"/>
        <w:jc w:val="both"/>
        <w:rPr>
          <w:rFonts w:ascii="Book Antiqua" w:hAnsi="Book Antiqua" w:cs="宋体"/>
          <w:lang w:eastAsia="zh-CN"/>
        </w:rPr>
      </w:pPr>
      <w:r w:rsidRPr="006E7292">
        <w:rPr>
          <w:rFonts w:ascii="Book Antiqua" w:hAnsi="Book Antiqua" w:cs="宋体"/>
          <w:b/>
          <w:lang w:eastAsia="zh-CN"/>
        </w:rPr>
        <w:t>Country/Territory of</w:t>
      </w:r>
      <w:r w:rsidR="0067694C" w:rsidRPr="006E7292">
        <w:rPr>
          <w:rFonts w:ascii="Book Antiqua" w:hAnsi="Book Antiqua" w:cs="宋体"/>
          <w:b/>
          <w:lang w:eastAsia="zh-CN"/>
        </w:rPr>
        <w:t xml:space="preserve"> </w:t>
      </w:r>
      <w:r w:rsidRPr="006E7292">
        <w:rPr>
          <w:rFonts w:ascii="Book Antiqua" w:hAnsi="Book Antiqua" w:cs="宋体"/>
          <w:b/>
          <w:lang w:eastAsia="zh-CN"/>
        </w:rPr>
        <w:t xml:space="preserve">origin: </w:t>
      </w:r>
      <w:r w:rsidRPr="006E7292">
        <w:rPr>
          <w:rFonts w:ascii="Book Antiqua" w:eastAsia="宋体" w:hAnsi="Book Antiqua"/>
          <w:lang w:eastAsia="es-ES_tradnl"/>
        </w:rPr>
        <w:t>Italy</w:t>
      </w:r>
    </w:p>
    <w:p w14:paraId="14C2D4D6" w14:textId="77777777" w:rsidR="0049116D" w:rsidRPr="006E7292" w:rsidRDefault="0049116D">
      <w:pPr>
        <w:widowControl w:val="0"/>
        <w:adjustRightInd w:val="0"/>
        <w:snapToGrid w:val="0"/>
        <w:spacing w:line="360" w:lineRule="auto"/>
        <w:jc w:val="both"/>
        <w:rPr>
          <w:rFonts w:ascii="Book Antiqua" w:hAnsi="Book Antiqua" w:cs="宋体"/>
          <w:b/>
          <w:lang w:eastAsia="zh-CN"/>
        </w:rPr>
      </w:pPr>
      <w:r w:rsidRPr="006E7292">
        <w:rPr>
          <w:rFonts w:ascii="Book Antiqua" w:hAnsi="Book Antiqua" w:cs="宋体"/>
          <w:b/>
          <w:lang w:eastAsia="zh-CN"/>
        </w:rPr>
        <w:t>Peer-review report’s scientific quality classification</w:t>
      </w:r>
    </w:p>
    <w:p w14:paraId="116BCCAB" w14:textId="20EEA474" w:rsidR="0049116D" w:rsidRPr="006E7292" w:rsidRDefault="0049116D">
      <w:pPr>
        <w:widowControl w:val="0"/>
        <w:adjustRightInd w:val="0"/>
        <w:snapToGrid w:val="0"/>
        <w:spacing w:line="360" w:lineRule="auto"/>
        <w:jc w:val="both"/>
        <w:rPr>
          <w:rFonts w:ascii="Book Antiqua" w:hAnsi="Book Antiqua" w:cs="宋体"/>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proofErr w:type="gramStart"/>
      <w:r w:rsidRPr="006E7292">
        <w:rPr>
          <w:rFonts w:ascii="Book Antiqua" w:hAnsi="Book Antiqua" w:cs="宋体"/>
          <w:lang w:eastAsia="zh-CN"/>
        </w:rPr>
        <w:t>A</w:t>
      </w:r>
      <w:proofErr w:type="gramEnd"/>
      <w:r w:rsidR="0067694C" w:rsidRPr="006E7292">
        <w:rPr>
          <w:rFonts w:ascii="Book Antiqua" w:hAnsi="Book Antiqua" w:cs="宋体"/>
          <w:lang w:eastAsia="zh-CN"/>
        </w:rPr>
        <w:t xml:space="preserve"> </w:t>
      </w:r>
      <w:r w:rsidRPr="006E7292">
        <w:rPr>
          <w:rFonts w:ascii="Book Antiqua" w:hAnsi="Book Antiqua" w:cs="宋体"/>
          <w:lang w:eastAsia="zh-CN"/>
        </w:rPr>
        <w:t>(Excellent): 0</w:t>
      </w:r>
    </w:p>
    <w:p w14:paraId="6F977510" w14:textId="08795A19" w:rsidR="0049116D" w:rsidRPr="006E7292" w:rsidRDefault="0049116D">
      <w:pPr>
        <w:widowControl w:val="0"/>
        <w:adjustRightInd w:val="0"/>
        <w:snapToGrid w:val="0"/>
        <w:spacing w:line="360" w:lineRule="auto"/>
        <w:jc w:val="both"/>
        <w:rPr>
          <w:rFonts w:ascii="Book Antiqua" w:eastAsia="宋体" w:hAnsi="Book Antiqua" w:cs="宋体"/>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r w:rsidRPr="006E7292">
        <w:rPr>
          <w:rFonts w:ascii="Book Antiqua" w:hAnsi="Book Antiqua" w:cs="宋体"/>
          <w:lang w:eastAsia="zh-CN"/>
        </w:rPr>
        <w:t>B</w:t>
      </w:r>
      <w:r w:rsidR="0067694C" w:rsidRPr="006E7292">
        <w:rPr>
          <w:rFonts w:ascii="Book Antiqua" w:hAnsi="Book Antiqua" w:cs="宋体"/>
          <w:lang w:eastAsia="zh-CN"/>
        </w:rPr>
        <w:t xml:space="preserve"> </w:t>
      </w:r>
      <w:r w:rsidRPr="006E7292">
        <w:rPr>
          <w:rFonts w:ascii="Book Antiqua" w:hAnsi="Book Antiqua" w:cs="宋体"/>
          <w:lang w:eastAsia="zh-CN"/>
        </w:rPr>
        <w:t>(Very</w:t>
      </w:r>
      <w:r w:rsidR="0067694C" w:rsidRPr="006E7292">
        <w:rPr>
          <w:rFonts w:ascii="Book Antiqua" w:hAnsi="Book Antiqua" w:cs="宋体"/>
          <w:lang w:eastAsia="zh-CN"/>
        </w:rPr>
        <w:t xml:space="preserve"> </w:t>
      </w:r>
      <w:r w:rsidRPr="006E7292">
        <w:rPr>
          <w:rFonts w:ascii="Book Antiqua" w:hAnsi="Book Antiqua" w:cs="宋体"/>
          <w:lang w:eastAsia="zh-CN"/>
        </w:rPr>
        <w:t xml:space="preserve">good): </w:t>
      </w:r>
      <w:r w:rsidRPr="006E7292">
        <w:rPr>
          <w:rFonts w:ascii="Book Antiqua" w:eastAsia="宋体" w:hAnsi="Book Antiqua" w:cs="宋体"/>
          <w:lang w:eastAsia="zh-CN"/>
        </w:rPr>
        <w:t>B</w:t>
      </w:r>
    </w:p>
    <w:p w14:paraId="2072E8D1" w14:textId="484DD644" w:rsidR="0049116D" w:rsidRPr="006E7292" w:rsidRDefault="0049116D">
      <w:pPr>
        <w:widowControl w:val="0"/>
        <w:adjustRightInd w:val="0"/>
        <w:snapToGrid w:val="0"/>
        <w:spacing w:line="360" w:lineRule="auto"/>
        <w:jc w:val="both"/>
        <w:rPr>
          <w:rFonts w:ascii="Book Antiqua" w:hAnsi="Book Antiqua" w:cs="宋体"/>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r w:rsidRPr="006E7292">
        <w:rPr>
          <w:rFonts w:ascii="Book Antiqua" w:hAnsi="Book Antiqua" w:cs="宋体"/>
          <w:lang w:eastAsia="zh-CN"/>
        </w:rPr>
        <w:t>C</w:t>
      </w:r>
      <w:r w:rsidR="0067694C" w:rsidRPr="006E7292">
        <w:rPr>
          <w:rFonts w:ascii="Book Antiqua" w:hAnsi="Book Antiqua" w:cs="宋体"/>
          <w:lang w:eastAsia="zh-CN"/>
        </w:rPr>
        <w:t xml:space="preserve"> </w:t>
      </w:r>
      <w:r w:rsidRPr="006E7292">
        <w:rPr>
          <w:rFonts w:ascii="Book Antiqua" w:hAnsi="Book Antiqua" w:cs="宋体"/>
          <w:lang w:eastAsia="zh-CN"/>
        </w:rPr>
        <w:t>(Good): 0</w:t>
      </w:r>
    </w:p>
    <w:p w14:paraId="735A5318" w14:textId="41CFC86C" w:rsidR="0049116D" w:rsidRPr="006E7292" w:rsidRDefault="0049116D">
      <w:pPr>
        <w:widowControl w:val="0"/>
        <w:adjustRightInd w:val="0"/>
        <w:snapToGrid w:val="0"/>
        <w:spacing w:line="360" w:lineRule="auto"/>
        <w:jc w:val="both"/>
        <w:rPr>
          <w:rFonts w:ascii="Book Antiqua" w:hAnsi="Book Antiqua" w:cs="宋体"/>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r w:rsidRPr="006E7292">
        <w:rPr>
          <w:rFonts w:ascii="Book Antiqua" w:hAnsi="Book Antiqua" w:cs="宋体"/>
          <w:lang w:eastAsia="zh-CN"/>
        </w:rPr>
        <w:t>D</w:t>
      </w:r>
      <w:r w:rsidR="0067694C" w:rsidRPr="006E7292">
        <w:rPr>
          <w:rFonts w:ascii="Book Antiqua" w:hAnsi="Book Antiqua" w:cs="宋体"/>
          <w:lang w:eastAsia="zh-CN"/>
        </w:rPr>
        <w:t xml:space="preserve"> </w:t>
      </w:r>
      <w:r w:rsidRPr="006E7292">
        <w:rPr>
          <w:rFonts w:ascii="Book Antiqua" w:hAnsi="Book Antiqua" w:cs="宋体"/>
          <w:lang w:eastAsia="zh-CN"/>
        </w:rPr>
        <w:t>(Fair): 0</w:t>
      </w:r>
    </w:p>
    <w:p w14:paraId="6B32B042" w14:textId="0D930507" w:rsidR="0049116D" w:rsidRPr="006E7292" w:rsidRDefault="0049116D">
      <w:pPr>
        <w:widowControl w:val="0"/>
        <w:adjustRightInd w:val="0"/>
        <w:snapToGrid w:val="0"/>
        <w:spacing w:line="360" w:lineRule="auto"/>
        <w:jc w:val="both"/>
        <w:rPr>
          <w:rFonts w:ascii="Book Antiqua" w:eastAsia="等线" w:hAnsi="Book Antiqua"/>
          <w:kern w:val="2"/>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r w:rsidRPr="006E7292">
        <w:rPr>
          <w:rFonts w:ascii="Book Antiqua" w:hAnsi="Book Antiqua" w:cs="宋体"/>
          <w:lang w:eastAsia="zh-CN"/>
        </w:rPr>
        <w:t>E</w:t>
      </w:r>
      <w:r w:rsidR="0067694C" w:rsidRPr="006E7292">
        <w:rPr>
          <w:rFonts w:ascii="Book Antiqua" w:hAnsi="Book Antiqua" w:cs="宋体"/>
          <w:lang w:eastAsia="zh-CN"/>
        </w:rPr>
        <w:t xml:space="preserve"> </w:t>
      </w:r>
      <w:r w:rsidRPr="006E7292">
        <w:rPr>
          <w:rFonts w:ascii="Book Antiqua" w:hAnsi="Book Antiqua" w:cs="宋体"/>
          <w:lang w:eastAsia="zh-CN"/>
        </w:rPr>
        <w:t>(Poor): 0</w:t>
      </w:r>
    </w:p>
    <w:p w14:paraId="12A0CD97" w14:textId="77777777" w:rsidR="0049116D" w:rsidRPr="006E7292" w:rsidRDefault="0049116D">
      <w:pPr>
        <w:snapToGrid w:val="0"/>
        <w:spacing w:line="360" w:lineRule="auto"/>
        <w:jc w:val="both"/>
        <w:rPr>
          <w:rFonts w:ascii="Book Antiqua" w:eastAsia="宋体" w:hAnsi="Book Antiqua"/>
          <w:b/>
          <w:lang w:eastAsia="zh-CN"/>
        </w:rPr>
      </w:pPr>
    </w:p>
    <w:p w14:paraId="3DFBC5D7" w14:textId="0610A954" w:rsidR="0049116D" w:rsidRPr="006E7292" w:rsidRDefault="0049116D">
      <w:pPr>
        <w:snapToGrid w:val="0"/>
        <w:spacing w:line="360" w:lineRule="auto"/>
        <w:jc w:val="both"/>
        <w:rPr>
          <w:rFonts w:ascii="Book Antiqua" w:eastAsia="宋体" w:hAnsi="Book Antiqua"/>
          <w:b/>
          <w:lang w:eastAsia="zh-CN"/>
        </w:rPr>
      </w:pPr>
      <w:r w:rsidRPr="006E7292">
        <w:rPr>
          <w:rFonts w:ascii="Book Antiqua" w:hAnsi="Book Antiqua"/>
          <w:b/>
        </w:rPr>
        <w:t>P-Reviewer:</w:t>
      </w:r>
      <w:r w:rsidRPr="006E7292">
        <w:rPr>
          <w:rFonts w:ascii="Book Antiqua" w:eastAsia="宋体" w:hAnsi="Book Antiqua"/>
          <w:b/>
          <w:lang w:eastAsia="zh-CN"/>
        </w:rPr>
        <w:t xml:space="preserve"> </w:t>
      </w:r>
      <w:r w:rsidRPr="006E7292">
        <w:rPr>
          <w:rFonts w:ascii="Book Antiqua" w:hAnsi="Book Antiqua" w:cs="宋体"/>
          <w:color w:val="000000"/>
        </w:rPr>
        <w:t>Yao DF</w:t>
      </w:r>
      <w:r w:rsidRPr="006E7292">
        <w:rPr>
          <w:rFonts w:ascii="Book Antiqua" w:eastAsia="宋体" w:hAnsi="Book Antiqua" w:cs="宋体"/>
          <w:color w:val="000000"/>
          <w:lang w:eastAsia="zh-CN"/>
        </w:rPr>
        <w:t xml:space="preserve"> </w:t>
      </w:r>
      <w:r w:rsidRPr="006E7292">
        <w:rPr>
          <w:rFonts w:ascii="Book Antiqua" w:hAnsi="Book Antiqua"/>
          <w:b/>
        </w:rPr>
        <w:t>S-Editor:</w:t>
      </w:r>
      <w:r w:rsidRPr="006E7292">
        <w:rPr>
          <w:rFonts w:ascii="Book Antiqua" w:hAnsi="Book Antiqua"/>
        </w:rPr>
        <w:t xml:space="preserve"> Zhang L</w:t>
      </w:r>
      <w:r w:rsidRPr="006E7292">
        <w:rPr>
          <w:rFonts w:ascii="Book Antiqua" w:eastAsia="宋体" w:hAnsi="Book Antiqua"/>
          <w:lang w:eastAsia="zh-CN"/>
        </w:rPr>
        <w:t xml:space="preserve"> </w:t>
      </w:r>
      <w:r w:rsidRPr="006E7292">
        <w:rPr>
          <w:rFonts w:ascii="Book Antiqua" w:hAnsi="Book Antiqua"/>
          <w:b/>
        </w:rPr>
        <w:t>L-Editor:</w:t>
      </w:r>
      <w:r w:rsidRPr="006E7292">
        <w:rPr>
          <w:rFonts w:ascii="Book Antiqua" w:hAnsi="Book Antiqua"/>
        </w:rPr>
        <w:t xml:space="preserve"> </w:t>
      </w:r>
      <w:r w:rsidR="00464D3E" w:rsidRPr="006E7292">
        <w:rPr>
          <w:rFonts w:ascii="Book Antiqua" w:hAnsi="Book Antiqua"/>
        </w:rPr>
        <w:t xml:space="preserve">Filipodia </w:t>
      </w:r>
      <w:r w:rsidRPr="006E7292">
        <w:rPr>
          <w:rFonts w:ascii="Book Antiqua" w:hAnsi="Book Antiqua"/>
          <w:b/>
        </w:rPr>
        <w:t>E-Editor:</w:t>
      </w:r>
    </w:p>
    <w:p w14:paraId="7E145C5F" w14:textId="77777777" w:rsidR="0049116D" w:rsidRPr="006E7292" w:rsidRDefault="0049116D">
      <w:pPr>
        <w:snapToGrid w:val="0"/>
        <w:spacing w:line="360" w:lineRule="auto"/>
        <w:jc w:val="both"/>
        <w:rPr>
          <w:rFonts w:ascii="Book Antiqua" w:hAnsi="Book Antiqua" w:cs="Times New Roman"/>
        </w:rPr>
      </w:pPr>
      <w:r w:rsidRPr="006E7292">
        <w:rPr>
          <w:rFonts w:ascii="Book Antiqua" w:hAnsi="Book Antiqua" w:cs="Times New Roman"/>
        </w:rPr>
        <w:br w:type="page"/>
      </w:r>
    </w:p>
    <w:p w14:paraId="0746A085" w14:textId="77777777" w:rsidR="00C711FC" w:rsidRDefault="00C711FC">
      <w:pPr>
        <w:snapToGrid w:val="0"/>
        <w:spacing w:line="360" w:lineRule="auto"/>
        <w:jc w:val="both"/>
        <w:rPr>
          <w:rFonts w:ascii="Book Antiqua" w:hAnsi="Book Antiqua" w:cs="Times New Roman"/>
          <w:b/>
        </w:rPr>
        <w:sectPr w:rsidR="00C711FC" w:rsidSect="00261DBC">
          <w:footerReference w:type="even" r:id="rId9"/>
          <w:footerReference w:type="default" r:id="rId10"/>
          <w:pgSz w:w="11900" w:h="16840"/>
          <w:pgMar w:top="1440" w:right="1440" w:bottom="1440" w:left="1440" w:header="708" w:footer="708" w:gutter="0"/>
          <w:cols w:space="708"/>
          <w:docGrid w:linePitch="360"/>
        </w:sectPr>
      </w:pPr>
    </w:p>
    <w:p w14:paraId="53C18D6A" w14:textId="6B1E5F9B" w:rsidR="00400966" w:rsidRPr="006E7292" w:rsidRDefault="00B51CC2">
      <w:pPr>
        <w:snapToGrid w:val="0"/>
        <w:spacing w:line="360" w:lineRule="auto"/>
        <w:jc w:val="both"/>
        <w:rPr>
          <w:rFonts w:ascii="Book Antiqua" w:hAnsi="Book Antiqua" w:cs="Times New Roman"/>
          <w:b/>
        </w:rPr>
      </w:pPr>
      <w:r w:rsidRPr="006E7292">
        <w:rPr>
          <w:rFonts w:ascii="Book Antiqua" w:hAnsi="Book Antiqua" w:cs="Times New Roman"/>
          <w:b/>
        </w:rPr>
        <w:lastRenderedPageBreak/>
        <w:t>Table 1</w:t>
      </w:r>
      <w:r w:rsidR="00400966" w:rsidRPr="00EF7A13">
        <w:rPr>
          <w:rFonts w:ascii="Book Antiqua" w:hAnsi="Book Antiqua" w:cs="Times New Roman"/>
          <w:b/>
        </w:rPr>
        <w:t xml:space="preserve"> Diagnostic and prognostic methods and outcomes of studies investigating </w:t>
      </w:r>
      <w:r w:rsidR="00CD5FBA" w:rsidRPr="00EF7A13">
        <w:rPr>
          <w:rFonts w:ascii="Book Antiqua" w:hAnsi="Book Antiqua" w:cs="Times New Roman"/>
          <w:b/>
        </w:rPr>
        <w:t>cell-free tumor deoxyribonucleic acid</w:t>
      </w:r>
      <w:r w:rsidRPr="00EF7A13">
        <w:rPr>
          <w:rFonts w:ascii="Book Antiqua" w:hAnsi="Book Antiqua" w:cs="Times New Roman"/>
          <w:b/>
        </w:rPr>
        <w:t xml:space="preserve"> in </w:t>
      </w:r>
      <w:r w:rsidR="00CD5FBA" w:rsidRPr="006E7292">
        <w:rPr>
          <w:rFonts w:ascii="Book Antiqua" w:hAnsi="Book Antiqua" w:cs="Times New Roman"/>
          <w:b/>
        </w:rPr>
        <w:t>metastatic castrate-resistant prostate cancer</w:t>
      </w:r>
      <w:r w:rsidRPr="006E7292">
        <w:rPr>
          <w:rFonts w:ascii="Book Antiqua" w:hAnsi="Book Antiqua" w:cs="Times New Roman"/>
          <w:b/>
        </w:rPr>
        <w:t xml:space="preserve"> by liquid biopsy</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4625"/>
        <w:gridCol w:w="7035"/>
      </w:tblGrid>
      <w:tr w:rsidR="00E225B4" w:rsidRPr="006E7292" w14:paraId="0C8599A9" w14:textId="77777777" w:rsidTr="009F2021">
        <w:tc>
          <w:tcPr>
            <w:tcW w:w="0" w:type="auto"/>
            <w:tcBorders>
              <w:top w:val="single" w:sz="4" w:space="0" w:color="auto"/>
              <w:bottom w:val="single" w:sz="4" w:space="0" w:color="auto"/>
            </w:tcBorders>
          </w:tcPr>
          <w:p w14:paraId="435B0528" w14:textId="183DC5D6" w:rsidR="00E225B4" w:rsidRPr="006E7292" w:rsidRDefault="00E225B4">
            <w:pPr>
              <w:snapToGrid w:val="0"/>
              <w:spacing w:line="360" w:lineRule="auto"/>
              <w:rPr>
                <w:rFonts w:ascii="Book Antiqua" w:hAnsi="Book Antiqua" w:cs="Times New Roman"/>
                <w:b/>
              </w:rPr>
            </w:pPr>
            <w:r w:rsidRPr="006E7292">
              <w:rPr>
                <w:rFonts w:ascii="Book Antiqua" w:hAnsi="Book Antiqua" w:cs="Times New Roman"/>
                <w:b/>
              </w:rPr>
              <w:t>Ref.</w:t>
            </w:r>
          </w:p>
        </w:tc>
        <w:tc>
          <w:tcPr>
            <w:tcW w:w="0" w:type="auto"/>
            <w:tcBorders>
              <w:top w:val="single" w:sz="4" w:space="0" w:color="auto"/>
              <w:bottom w:val="single" w:sz="4" w:space="0" w:color="auto"/>
            </w:tcBorders>
          </w:tcPr>
          <w:p w14:paraId="15E1ADB8" w14:textId="5AC1ECBC" w:rsidR="00E225B4" w:rsidRPr="006E7292" w:rsidRDefault="00E225B4">
            <w:pPr>
              <w:snapToGrid w:val="0"/>
              <w:spacing w:line="360" w:lineRule="auto"/>
              <w:rPr>
                <w:rFonts w:ascii="Book Antiqua" w:hAnsi="Book Antiqua" w:cs="Times New Roman"/>
                <w:b/>
              </w:rPr>
            </w:pPr>
            <w:r w:rsidRPr="006E7292">
              <w:rPr>
                <w:rFonts w:ascii="Book Antiqua" w:hAnsi="Book Antiqua" w:cs="Times New Roman"/>
                <w:b/>
              </w:rPr>
              <w:t>Methods and patients</w:t>
            </w:r>
          </w:p>
        </w:tc>
        <w:tc>
          <w:tcPr>
            <w:tcW w:w="0" w:type="auto"/>
            <w:tcBorders>
              <w:top w:val="single" w:sz="4" w:space="0" w:color="auto"/>
              <w:bottom w:val="single" w:sz="4" w:space="0" w:color="auto"/>
            </w:tcBorders>
          </w:tcPr>
          <w:p w14:paraId="0DD22BB0" w14:textId="51DC0429" w:rsidR="00E225B4" w:rsidRPr="006E7292" w:rsidRDefault="00E225B4">
            <w:pPr>
              <w:snapToGrid w:val="0"/>
              <w:spacing w:line="360" w:lineRule="auto"/>
              <w:rPr>
                <w:rFonts w:ascii="Book Antiqua" w:hAnsi="Book Antiqua" w:cs="Times New Roman"/>
                <w:b/>
              </w:rPr>
            </w:pPr>
            <w:r w:rsidRPr="006E7292">
              <w:rPr>
                <w:rFonts w:ascii="Book Antiqua" w:hAnsi="Book Antiqua" w:cs="Times New Roman"/>
                <w:b/>
              </w:rPr>
              <w:t>Prognostic or predictive outcomes</w:t>
            </w:r>
          </w:p>
        </w:tc>
      </w:tr>
      <w:tr w:rsidR="00E225B4" w:rsidRPr="006E7292" w14:paraId="1B1D1F2E" w14:textId="77777777" w:rsidTr="009F2021">
        <w:tc>
          <w:tcPr>
            <w:tcW w:w="0" w:type="auto"/>
            <w:tcBorders>
              <w:top w:val="single" w:sz="4" w:space="0" w:color="auto"/>
            </w:tcBorders>
          </w:tcPr>
          <w:p w14:paraId="7C64AE86" w14:textId="26EF206E" w:rsidR="00E225B4" w:rsidRPr="006E7292" w:rsidRDefault="00E225B4" w:rsidP="006E7292">
            <w:pPr>
              <w:keepNext/>
              <w:keepLines/>
              <w:snapToGrid w:val="0"/>
              <w:spacing w:line="360" w:lineRule="auto"/>
              <w:outlineLvl w:val="3"/>
              <w:rPr>
                <w:rFonts w:ascii="Book Antiqua" w:hAnsi="Book Antiqua" w:cs="Times New Roman"/>
              </w:rPr>
            </w:pPr>
            <w:r w:rsidRPr="006E7292">
              <w:rPr>
                <w:rFonts w:ascii="Book Antiqua" w:hAnsi="Book Antiqua" w:cs="Times New Roman"/>
              </w:rPr>
              <w:t xml:space="preserve">Ritch </w:t>
            </w:r>
            <w:r w:rsidRPr="006E7292">
              <w:rPr>
                <w:rFonts w:ascii="Book Antiqua" w:hAnsi="Book Antiqua" w:cs="Times New Roman"/>
                <w:i/>
              </w:rPr>
              <w:t>et al</w:t>
            </w:r>
            <w:r w:rsidRPr="006E7292">
              <w:rPr>
                <w:rFonts w:ascii="Book Antiqua" w:hAnsi="Book Antiqua" w:cs="Times New Roman"/>
                <w:vertAlign w:val="superscript"/>
              </w:rPr>
              <w:t>[12]</w:t>
            </w:r>
            <w:r w:rsidRPr="006E7292">
              <w:rPr>
                <w:rFonts w:ascii="Book Antiqua" w:hAnsi="Book Antiqua" w:cs="Times New Roman"/>
              </w:rPr>
              <w:t>, 2019</w:t>
            </w:r>
          </w:p>
        </w:tc>
        <w:tc>
          <w:tcPr>
            <w:tcW w:w="0" w:type="auto"/>
            <w:tcBorders>
              <w:top w:val="single" w:sz="4" w:space="0" w:color="auto"/>
            </w:tcBorders>
          </w:tcPr>
          <w:p w14:paraId="684D6A6F" w14:textId="0C13061D" w:rsidR="00E225B4" w:rsidRPr="006E7292" w:rsidRDefault="00E225B4" w:rsidP="00EF7A13">
            <w:pPr>
              <w:keepNext/>
              <w:keepLines/>
              <w:snapToGrid w:val="0"/>
              <w:spacing w:line="360" w:lineRule="auto"/>
              <w:outlineLvl w:val="3"/>
              <w:rPr>
                <w:rFonts w:ascii="Book Antiqua" w:hAnsi="Book Antiqua" w:cs="Times New Roman"/>
              </w:rPr>
            </w:pPr>
            <w:r w:rsidRPr="006E7292">
              <w:rPr>
                <w:rFonts w:ascii="Book Antiqua" w:hAnsi="Book Antiqua" w:cs="Times New Roman"/>
              </w:rPr>
              <w:t>Plasma, whole exome sequencing. Intron and exon sequencing and copy numbers of selected genes. Mismatched repair deficiency, MMRd</w:t>
            </w:r>
            <w:r w:rsidRPr="006E7292">
              <w:rPr>
                <w:rFonts w:ascii="Book Antiqua" w:eastAsia="宋体" w:hAnsi="Book Antiqua" w:cs="Times New Roman"/>
                <w:lang w:eastAsia="zh-CN"/>
              </w:rPr>
              <w:t xml:space="preserve"> </w:t>
            </w:r>
            <w:r w:rsidRPr="006E7292">
              <w:rPr>
                <w:rFonts w:ascii="Book Antiqua" w:hAnsi="Book Antiqua" w:cs="Times New Roman"/>
              </w:rPr>
              <w:t>mPC</w:t>
            </w:r>
            <w:r w:rsidR="000F64C5" w:rsidRPr="006E7292">
              <w:rPr>
                <w:rFonts w:ascii="Book Antiqua" w:hAnsi="Book Antiqua" w:cs="Times New Roman"/>
              </w:rPr>
              <w:t>a</w:t>
            </w:r>
            <w:r w:rsidRPr="006E7292">
              <w:rPr>
                <w:rFonts w:ascii="Book Antiqua" w:hAnsi="Book Antiqua" w:cs="Times New Roman"/>
              </w:rPr>
              <w:t xml:space="preserve"> (mostly mCRPC) patients (</w:t>
            </w:r>
            <w:r w:rsidRPr="006E7292">
              <w:rPr>
                <w:rFonts w:ascii="Book Antiqua" w:hAnsi="Book Antiqua" w:cs="Times New Roman"/>
                <w:i/>
              </w:rPr>
              <w:t>n</w:t>
            </w:r>
            <w:r w:rsidRPr="006E7292">
              <w:rPr>
                <w:rFonts w:ascii="Book Antiqua" w:hAnsi="Book Antiqua" w:cs="Times New Roman"/>
              </w:rPr>
              <w:t xml:space="preserve"> = 433)</w:t>
            </w:r>
          </w:p>
        </w:tc>
        <w:tc>
          <w:tcPr>
            <w:tcW w:w="0" w:type="auto"/>
            <w:tcBorders>
              <w:top w:val="single" w:sz="4" w:space="0" w:color="auto"/>
            </w:tcBorders>
          </w:tcPr>
          <w:p w14:paraId="79B6A658" w14:textId="4DB2C4B7" w:rsidR="00E225B4" w:rsidRPr="006E7292" w:rsidRDefault="00E225B4">
            <w:pPr>
              <w:keepNext/>
              <w:keepLines/>
              <w:snapToGrid w:val="0"/>
              <w:spacing w:line="360" w:lineRule="auto"/>
              <w:outlineLvl w:val="3"/>
              <w:rPr>
                <w:rFonts w:ascii="Book Antiqua" w:hAnsi="Book Antiqua" w:cs="Times New Roman"/>
              </w:rPr>
            </w:pPr>
            <w:proofErr w:type="gramStart"/>
            <w:r w:rsidRPr="006E7292">
              <w:rPr>
                <w:rFonts w:ascii="Book Antiqua" w:hAnsi="Book Antiqua" w:cs="Times New Roman"/>
              </w:rPr>
              <w:t>cfDNA</w:t>
            </w:r>
            <w:proofErr w:type="gramEnd"/>
            <w:r w:rsidRPr="006E7292">
              <w:rPr>
                <w:rFonts w:ascii="Book Antiqua" w:hAnsi="Book Antiqua" w:cs="Times New Roman"/>
              </w:rPr>
              <w:t xml:space="preserve"> analysis of hypermutations and MMR gene alterations in MSH2, MSH6, MLH1 marked ctDNA and can identify aggressive disease. Mutations in ctDNA w</w:t>
            </w:r>
            <w:r w:rsidR="000F64C5" w:rsidRPr="006E7292">
              <w:rPr>
                <w:rFonts w:ascii="Book Antiqua" w:hAnsi="Book Antiqua" w:cs="Times New Roman"/>
              </w:rPr>
              <w:t>ere</w:t>
            </w:r>
            <w:r w:rsidRPr="006E7292">
              <w:rPr>
                <w:rFonts w:ascii="Book Antiqua" w:hAnsi="Book Antiqua" w:cs="Times New Roman"/>
              </w:rPr>
              <w:t xml:space="preserve"> found in PTEN, RB1, TP53 (and, interestingly, no copy number loss) and in AKT1, PI3KCA, CTNNB1, AR-LBD. Compared with a control cohort,</w:t>
            </w:r>
            <w:r w:rsidRPr="006E7292" w:rsidDel="00CC2A6F">
              <w:rPr>
                <w:rFonts w:ascii="Book Antiqua" w:hAnsi="Book Antiqua" w:cs="Times New Roman"/>
              </w:rPr>
              <w:t xml:space="preserve"> </w:t>
            </w:r>
            <w:r w:rsidRPr="006E7292">
              <w:rPr>
                <w:rFonts w:ascii="Book Antiqua" w:hAnsi="Book Antiqua" w:cs="Times New Roman"/>
              </w:rPr>
              <w:t>ctDNA hypermutation and MMRd correlated with a poor response to AR inhibition and to a shorter survival</w:t>
            </w:r>
          </w:p>
        </w:tc>
      </w:tr>
      <w:tr w:rsidR="00E225B4" w:rsidRPr="006E7292" w14:paraId="617AE1D0" w14:textId="77777777" w:rsidTr="009F2021">
        <w:tc>
          <w:tcPr>
            <w:tcW w:w="0" w:type="auto"/>
          </w:tcPr>
          <w:p w14:paraId="4741EB5F" w14:textId="31DA5428"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Chapman </w:t>
            </w:r>
            <w:r w:rsidRPr="006E7292">
              <w:rPr>
                <w:rFonts w:ascii="Book Antiqua" w:hAnsi="Book Antiqua" w:cs="Times New Roman"/>
                <w:i/>
              </w:rPr>
              <w:t>et al</w:t>
            </w:r>
            <w:r w:rsidRPr="006E7292">
              <w:rPr>
                <w:rFonts w:ascii="Book Antiqua" w:hAnsi="Book Antiqua" w:cs="Times New Roman"/>
                <w:vertAlign w:val="superscript"/>
              </w:rPr>
              <w:t>[13]</w:t>
            </w:r>
            <w:r w:rsidRPr="006E7292">
              <w:rPr>
                <w:rFonts w:ascii="Book Antiqua" w:hAnsi="Book Antiqua" w:cs="Times New Roman"/>
              </w:rPr>
              <w:t>, 2019</w:t>
            </w:r>
          </w:p>
        </w:tc>
        <w:tc>
          <w:tcPr>
            <w:tcW w:w="0" w:type="auto"/>
          </w:tcPr>
          <w:p w14:paraId="7333943B" w14:textId="4256CA2D" w:rsidR="00E225B4" w:rsidRPr="006E7292" w:rsidRDefault="00E225B4" w:rsidP="00EF7A13">
            <w:pPr>
              <w:pStyle w:val="Default"/>
              <w:keepNext/>
              <w:keepLines/>
              <w:snapToGrid w:val="0"/>
              <w:spacing w:line="360" w:lineRule="auto"/>
              <w:outlineLvl w:val="3"/>
              <w:rPr>
                <w:rFonts w:ascii="Book Antiqua" w:hAnsi="Book Antiqua"/>
                <w:color w:val="auto"/>
                <w:lang w:val="en-US"/>
              </w:rPr>
            </w:pPr>
            <w:r w:rsidRPr="006E7292">
              <w:rPr>
                <w:rFonts w:ascii="Book Antiqua" w:hAnsi="Book Antiqua"/>
                <w:color w:val="auto"/>
                <w:lang w:val="en-US"/>
              </w:rPr>
              <w:t>Plasma, whole-genome sequencing.</w:t>
            </w:r>
            <w:r w:rsidRPr="006E7292">
              <w:rPr>
                <w:rFonts w:ascii="Book Antiqua" w:eastAsia="宋体" w:hAnsi="Book Antiqua"/>
                <w:color w:val="auto"/>
                <w:lang w:val="en-US" w:eastAsia="zh-CN"/>
              </w:rPr>
              <w:t xml:space="preserve"> </w:t>
            </w:r>
            <w:r w:rsidRPr="006E7292">
              <w:rPr>
                <w:rFonts w:ascii="Book Antiqua" w:hAnsi="Book Antiqua"/>
                <w:color w:val="auto"/>
                <w:lang w:val="en-US"/>
              </w:rPr>
              <w:t xml:space="preserve">Somatic gain of function mutations of </w:t>
            </w:r>
            <w:r w:rsidRPr="006E7292">
              <w:rPr>
                <w:rFonts w:ascii="Book Antiqua" w:hAnsi="Book Antiqua"/>
                <w:i/>
                <w:color w:val="auto"/>
                <w:lang w:val="en-US"/>
              </w:rPr>
              <w:t>TP53.</w:t>
            </w:r>
            <w:r w:rsidRPr="006E7292">
              <w:rPr>
                <w:rFonts w:ascii="Book Antiqua" w:eastAsia="宋体" w:hAnsi="Book Antiqua"/>
                <w:color w:val="auto"/>
                <w:lang w:val="en-US" w:eastAsia="zh-CN"/>
              </w:rPr>
              <w:t xml:space="preserve"> </w:t>
            </w:r>
            <w:r w:rsidRPr="006E7292">
              <w:rPr>
                <w:rFonts w:ascii="Book Antiqua" w:hAnsi="Book Antiqua"/>
                <w:color w:val="auto"/>
                <w:lang w:val="en-US"/>
              </w:rPr>
              <w:t>mCRPC patients (</w:t>
            </w:r>
            <w:r w:rsidRPr="006E7292">
              <w:rPr>
                <w:rFonts w:ascii="Book Antiqua" w:hAnsi="Book Antiqua"/>
                <w:i/>
                <w:color w:val="auto"/>
                <w:lang w:val="en-US"/>
              </w:rPr>
              <w:t>n</w:t>
            </w:r>
            <w:r w:rsidRPr="006E7292">
              <w:rPr>
                <w:rFonts w:ascii="Book Antiqua" w:hAnsi="Book Antiqua"/>
                <w:color w:val="auto"/>
                <w:lang w:val="en-US"/>
              </w:rPr>
              <w:t xml:space="preserve"> = 143)</w:t>
            </w:r>
          </w:p>
        </w:tc>
        <w:tc>
          <w:tcPr>
            <w:tcW w:w="0" w:type="auto"/>
          </w:tcPr>
          <w:p w14:paraId="1CCA914C" w14:textId="5E318E8C"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In cfDNA somatic GOF mutations of </w:t>
            </w:r>
            <w:r w:rsidRPr="006E7292">
              <w:rPr>
                <w:rFonts w:ascii="Book Antiqua" w:hAnsi="Book Antiqua"/>
                <w:i/>
                <w:color w:val="auto"/>
                <w:lang w:val="en-US"/>
              </w:rPr>
              <w:t>TP53</w:t>
            </w:r>
            <w:r w:rsidRPr="006E7292">
              <w:rPr>
                <w:rFonts w:ascii="Book Antiqua" w:hAnsi="Book Antiqua"/>
                <w:color w:val="auto"/>
                <w:lang w:val="en-US"/>
              </w:rPr>
              <w:t xml:space="preserve"> at codons R175, R248, R273, R282 and G245 were positively and significantly associated with abiraterone and/or enzalutamide</w:t>
            </w:r>
            <w:r w:rsidRPr="006E7292" w:rsidDel="00C24512">
              <w:rPr>
                <w:rFonts w:ascii="Book Antiqua" w:hAnsi="Book Antiqua"/>
                <w:color w:val="auto"/>
                <w:lang w:val="en-US"/>
              </w:rPr>
              <w:t xml:space="preserve"> </w:t>
            </w:r>
            <w:r w:rsidRPr="006E7292">
              <w:rPr>
                <w:rFonts w:ascii="Book Antiqua" w:hAnsi="Book Antiqua"/>
                <w:color w:val="auto"/>
                <w:lang w:val="en-US"/>
              </w:rPr>
              <w:t>progression</w:t>
            </w:r>
          </w:p>
        </w:tc>
      </w:tr>
      <w:tr w:rsidR="00E225B4" w:rsidRPr="006E7292" w14:paraId="1E009138" w14:textId="77777777" w:rsidTr="009F2021">
        <w:tc>
          <w:tcPr>
            <w:tcW w:w="0" w:type="auto"/>
          </w:tcPr>
          <w:p w14:paraId="4235CBB1" w14:textId="5B1FF71C"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Gupta </w:t>
            </w:r>
            <w:r w:rsidRPr="006E7292">
              <w:rPr>
                <w:rFonts w:ascii="Book Antiqua" w:hAnsi="Book Antiqua" w:cs="Times New Roman"/>
                <w:i/>
              </w:rPr>
              <w:t>et al</w:t>
            </w:r>
            <w:r w:rsidRPr="006E7292">
              <w:rPr>
                <w:rFonts w:ascii="Book Antiqua" w:hAnsi="Book Antiqua" w:cs="Times New Roman"/>
                <w:vertAlign w:val="superscript"/>
              </w:rPr>
              <w:t>[14]</w:t>
            </w:r>
            <w:r w:rsidRPr="006E7292">
              <w:rPr>
                <w:rFonts w:ascii="Book Antiqua" w:hAnsi="Book Antiqua" w:cs="Times New Roman"/>
              </w:rPr>
              <w:t>, 2019</w:t>
            </w:r>
          </w:p>
        </w:tc>
        <w:tc>
          <w:tcPr>
            <w:tcW w:w="0" w:type="auto"/>
          </w:tcPr>
          <w:p w14:paraId="7E6EFAC1" w14:textId="1EA9B58A" w:rsidR="00E225B4" w:rsidRPr="006E7292" w:rsidRDefault="00E225B4" w:rsidP="00EF7A13">
            <w:pPr>
              <w:pStyle w:val="Default"/>
              <w:snapToGrid w:val="0"/>
              <w:spacing w:line="360" w:lineRule="auto"/>
              <w:rPr>
                <w:rFonts w:ascii="Book Antiqua" w:eastAsia="宋体" w:hAnsi="Book Antiqua"/>
                <w:color w:val="auto"/>
                <w:lang w:val="en-US" w:eastAsia="zh-CN"/>
              </w:rPr>
            </w:pPr>
            <w:r w:rsidRPr="006E7292">
              <w:rPr>
                <w:rFonts w:ascii="Book Antiqua" w:hAnsi="Book Antiqua"/>
                <w:color w:val="auto"/>
                <w:lang w:val="en-US"/>
              </w:rPr>
              <w:t>Plasma, low pass whole-genome sequencing ULP-WGS</w:t>
            </w:r>
            <w:r w:rsidRPr="006E7292">
              <w:rPr>
                <w:rFonts w:ascii="Book Antiqua" w:eastAsia="宋体" w:hAnsi="Book Antiqua"/>
                <w:color w:val="auto"/>
                <w:lang w:val="en-US" w:eastAsia="zh-CN"/>
              </w:rPr>
              <w:t xml:space="preserve">. </w:t>
            </w:r>
            <w:r w:rsidRPr="006E7292">
              <w:rPr>
                <w:rFonts w:ascii="Book Antiqua" w:hAnsi="Book Antiqua"/>
                <w:color w:val="auto"/>
                <w:lang w:val="en-US"/>
              </w:rPr>
              <w:t>Somatic copy number alteration,</w:t>
            </w:r>
            <w:r w:rsidRPr="006E7292">
              <w:rPr>
                <w:rFonts w:ascii="Book Antiqua" w:eastAsia="宋体" w:hAnsi="Book Antiqua"/>
                <w:color w:val="auto"/>
                <w:lang w:val="en-US" w:eastAsia="zh-CN"/>
              </w:rPr>
              <w:t xml:space="preserve"> </w:t>
            </w:r>
            <w:r w:rsidRPr="006E7292">
              <w:rPr>
                <w:rFonts w:ascii="Book Antiqua" w:hAnsi="Book Antiqua"/>
                <w:color w:val="auto"/>
                <w:lang w:val="en-US"/>
              </w:rPr>
              <w:t>mCRPC patients (</w:t>
            </w:r>
            <w:r w:rsidRPr="006E7292">
              <w:rPr>
                <w:rFonts w:ascii="Book Antiqua" w:hAnsi="Book Antiqua"/>
                <w:i/>
                <w:color w:val="auto"/>
                <w:lang w:val="en-US"/>
              </w:rPr>
              <w:t>n</w:t>
            </w:r>
            <w:r w:rsidRPr="006E7292">
              <w:rPr>
                <w:rFonts w:ascii="Book Antiqua" w:hAnsi="Book Antiqua"/>
                <w:color w:val="auto"/>
                <w:lang w:val="en-US"/>
              </w:rPr>
              <w:t xml:space="preserve"> = 93)</w:t>
            </w:r>
          </w:p>
        </w:tc>
        <w:tc>
          <w:tcPr>
            <w:tcW w:w="0" w:type="auto"/>
          </w:tcPr>
          <w:p w14:paraId="6D6EAB64" w14:textId="6F24E088"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bCs/>
                <w:color w:val="auto"/>
                <w:lang w:val="en-US"/>
              </w:rPr>
              <w:t>The SCNA in cfDNA and CTC were mostly concordant (</w:t>
            </w:r>
            <w:r w:rsidRPr="006E7292">
              <w:rPr>
                <w:rFonts w:ascii="Book Antiqua" w:hAnsi="Book Antiqua"/>
                <w:color w:val="auto"/>
                <w:lang w:val="en-US"/>
              </w:rPr>
              <w:t xml:space="preserve">gain in copy number of </w:t>
            </w:r>
            <w:r w:rsidRPr="006E7292">
              <w:rPr>
                <w:rFonts w:ascii="Book Antiqua" w:hAnsi="Book Antiqua"/>
                <w:i/>
                <w:iCs/>
                <w:color w:val="auto"/>
                <w:lang w:val="en-US"/>
              </w:rPr>
              <w:t>FOXA1</w:t>
            </w:r>
            <w:r w:rsidRPr="006E7292">
              <w:rPr>
                <w:rFonts w:ascii="Book Antiqua" w:hAnsi="Book Antiqua"/>
                <w:color w:val="auto"/>
                <w:lang w:val="en-US"/>
              </w:rPr>
              <w:t xml:space="preserve">, </w:t>
            </w:r>
            <w:r w:rsidRPr="006E7292">
              <w:rPr>
                <w:rFonts w:ascii="Book Antiqua" w:hAnsi="Book Antiqua"/>
                <w:i/>
                <w:iCs/>
                <w:color w:val="auto"/>
                <w:lang w:val="en-US"/>
              </w:rPr>
              <w:t>AR</w:t>
            </w:r>
            <w:r w:rsidRPr="006E7292">
              <w:rPr>
                <w:rFonts w:ascii="Book Antiqua" w:hAnsi="Book Antiqua"/>
                <w:color w:val="auto"/>
                <w:lang w:val="en-US"/>
              </w:rPr>
              <w:t xml:space="preserve">, and </w:t>
            </w:r>
            <w:r w:rsidRPr="006E7292">
              <w:rPr>
                <w:rFonts w:ascii="Book Antiqua" w:hAnsi="Book Antiqua"/>
                <w:i/>
                <w:iCs/>
                <w:color w:val="auto"/>
                <w:lang w:val="en-US"/>
              </w:rPr>
              <w:t>MYC</w:t>
            </w:r>
            <w:r w:rsidRPr="006E7292">
              <w:rPr>
                <w:rFonts w:ascii="Book Antiqua" w:hAnsi="Book Antiqua"/>
                <w:color w:val="auto"/>
                <w:lang w:val="en-US"/>
              </w:rPr>
              <w:t xml:space="preserve">, and loss in </w:t>
            </w:r>
            <w:r w:rsidRPr="006E7292">
              <w:rPr>
                <w:rFonts w:ascii="Book Antiqua" w:hAnsi="Book Antiqua"/>
                <w:i/>
                <w:iCs/>
                <w:color w:val="auto"/>
                <w:lang w:val="en-US"/>
              </w:rPr>
              <w:t>BRCA1</w:t>
            </w:r>
            <w:r w:rsidRPr="006E7292">
              <w:rPr>
                <w:rFonts w:ascii="Book Antiqua" w:hAnsi="Book Antiqua"/>
                <w:color w:val="auto"/>
                <w:lang w:val="en-US"/>
              </w:rPr>
              <w:t xml:space="preserve">, </w:t>
            </w:r>
            <w:r w:rsidRPr="006E7292">
              <w:rPr>
                <w:rFonts w:ascii="Book Antiqua" w:hAnsi="Book Antiqua"/>
                <w:i/>
                <w:iCs/>
                <w:color w:val="auto"/>
                <w:lang w:val="en-US"/>
              </w:rPr>
              <w:t>PTEN</w:t>
            </w:r>
            <w:r w:rsidRPr="006E7292">
              <w:rPr>
                <w:rFonts w:ascii="Book Antiqua" w:hAnsi="Book Antiqua"/>
                <w:color w:val="auto"/>
                <w:lang w:val="en-US"/>
              </w:rPr>
              <w:t xml:space="preserve">, and </w:t>
            </w:r>
            <w:r w:rsidRPr="006E7292">
              <w:rPr>
                <w:rFonts w:ascii="Book Antiqua" w:hAnsi="Book Antiqua"/>
                <w:i/>
                <w:iCs/>
                <w:color w:val="auto"/>
                <w:lang w:val="en-US"/>
              </w:rPr>
              <w:t>RB1).</w:t>
            </w:r>
            <w:r w:rsidRPr="006E7292">
              <w:rPr>
                <w:rFonts w:ascii="Book Antiqua" w:hAnsi="Book Antiqua"/>
                <w:iCs/>
                <w:color w:val="auto"/>
                <w:lang w:val="en-US"/>
              </w:rPr>
              <w:t xml:space="preserve"> Interestingly</w:t>
            </w:r>
            <w:r w:rsidRPr="006E7292">
              <w:rPr>
                <w:rFonts w:ascii="Book Antiqua" w:hAnsi="Book Antiqua"/>
                <w:i/>
                <w:iCs/>
                <w:color w:val="auto"/>
                <w:lang w:val="en-US"/>
              </w:rPr>
              <w:t xml:space="preserve">, </w:t>
            </w:r>
            <w:r w:rsidRPr="006E7292">
              <w:rPr>
                <w:rFonts w:ascii="Book Antiqua" w:hAnsi="Book Antiqua"/>
                <w:color w:val="auto"/>
                <w:lang w:val="en-US"/>
              </w:rPr>
              <w:t xml:space="preserve">some discordant genomic alterations rarely detected in cfDNA (gain in </w:t>
            </w:r>
            <w:r w:rsidRPr="006E7292">
              <w:rPr>
                <w:rFonts w:ascii="Book Antiqua" w:hAnsi="Book Antiqua"/>
                <w:i/>
                <w:color w:val="auto"/>
                <w:lang w:val="en-US"/>
              </w:rPr>
              <w:t>MYC</w:t>
            </w:r>
            <w:r w:rsidRPr="006E7292">
              <w:rPr>
                <w:rFonts w:ascii="Book Antiqua" w:hAnsi="Book Antiqua"/>
                <w:color w:val="auto"/>
                <w:lang w:val="en-US"/>
              </w:rPr>
              <w:t xml:space="preserve"> and </w:t>
            </w:r>
            <w:r w:rsidRPr="006E7292">
              <w:rPr>
                <w:rFonts w:ascii="Book Antiqua" w:hAnsi="Book Antiqua"/>
                <w:i/>
                <w:color w:val="auto"/>
                <w:lang w:val="en-US"/>
              </w:rPr>
              <w:t>BRCA2</w:t>
            </w:r>
            <w:r w:rsidRPr="006E7292">
              <w:rPr>
                <w:rFonts w:ascii="Book Antiqua" w:hAnsi="Book Antiqua"/>
                <w:color w:val="auto"/>
                <w:lang w:val="en-US"/>
              </w:rPr>
              <w:t xml:space="preserve">) were associated to </w:t>
            </w:r>
            <w:r w:rsidR="00897B4F" w:rsidRPr="006E7292">
              <w:rPr>
                <w:rFonts w:ascii="Book Antiqua" w:hAnsi="Book Antiqua"/>
                <w:color w:val="auto"/>
                <w:lang w:val="en-US"/>
              </w:rPr>
              <w:t xml:space="preserve">a </w:t>
            </w:r>
            <w:r w:rsidRPr="006E7292">
              <w:rPr>
                <w:rFonts w:ascii="Book Antiqua" w:hAnsi="Book Antiqua"/>
                <w:color w:val="auto"/>
                <w:lang w:val="en-US"/>
              </w:rPr>
              <w:t xml:space="preserve">worse outcome, </w:t>
            </w:r>
            <w:r w:rsidRPr="006E7292">
              <w:rPr>
                <w:rFonts w:ascii="Book Antiqua" w:hAnsi="Book Antiqua"/>
                <w:i/>
                <w:color w:val="auto"/>
                <w:lang w:val="en-US"/>
              </w:rPr>
              <w:t>i.e.</w:t>
            </w:r>
            <w:r w:rsidRPr="006E7292">
              <w:rPr>
                <w:rFonts w:ascii="Book Antiqua" w:hAnsi="Book Antiqua"/>
                <w:color w:val="auto"/>
                <w:lang w:val="en-US"/>
              </w:rPr>
              <w:t xml:space="preserve"> MYCN copy number gain correlated with a worse outcome in </w:t>
            </w:r>
            <w:r w:rsidRPr="006E7292">
              <w:rPr>
                <w:rFonts w:ascii="Book Antiqua" w:hAnsi="Book Antiqua"/>
                <w:i/>
                <w:color w:val="auto"/>
                <w:lang w:val="en-US"/>
              </w:rPr>
              <w:t>AR-V7</w:t>
            </w:r>
            <w:r w:rsidRPr="006E7292">
              <w:rPr>
                <w:rFonts w:ascii="Book Antiqua" w:hAnsi="Book Antiqua"/>
                <w:color w:val="auto"/>
                <w:lang w:val="en-US"/>
              </w:rPr>
              <w:t xml:space="preserve"> negative patients and </w:t>
            </w:r>
            <w:r w:rsidRPr="006E7292">
              <w:rPr>
                <w:rFonts w:ascii="Book Antiqua" w:hAnsi="Book Antiqua"/>
                <w:i/>
                <w:color w:val="auto"/>
                <w:lang w:val="en-US"/>
              </w:rPr>
              <w:t>BRCA2</w:t>
            </w:r>
            <w:r w:rsidRPr="006E7292">
              <w:rPr>
                <w:rFonts w:ascii="Book Antiqua" w:hAnsi="Book Antiqua"/>
                <w:color w:val="auto"/>
                <w:lang w:val="en-US"/>
              </w:rPr>
              <w:t xml:space="preserve"> copy number gain correlated with a worse </w:t>
            </w:r>
            <w:r w:rsidRPr="006E7292">
              <w:rPr>
                <w:rFonts w:ascii="Book Antiqua" w:hAnsi="Book Antiqua"/>
                <w:color w:val="auto"/>
                <w:lang w:val="en-US"/>
              </w:rPr>
              <w:lastRenderedPageBreak/>
              <w:t>outcome in AR-V7 negative patients treated with abiraterone/enzalutamide</w:t>
            </w:r>
          </w:p>
        </w:tc>
      </w:tr>
      <w:tr w:rsidR="00E225B4" w:rsidRPr="006E7292" w14:paraId="52ED2F48" w14:textId="77777777" w:rsidTr="009F2021">
        <w:tc>
          <w:tcPr>
            <w:tcW w:w="0" w:type="auto"/>
          </w:tcPr>
          <w:p w14:paraId="16CFC246" w14:textId="080604D4"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Patsch </w:t>
            </w:r>
            <w:r w:rsidRPr="006E7292">
              <w:rPr>
                <w:rFonts w:ascii="Book Antiqua" w:hAnsi="Book Antiqua" w:cs="Times New Roman"/>
                <w:i/>
              </w:rPr>
              <w:t>et al</w:t>
            </w:r>
            <w:r w:rsidRPr="006E7292">
              <w:rPr>
                <w:rFonts w:ascii="Book Antiqua" w:hAnsi="Book Antiqua" w:cs="Times New Roman"/>
                <w:vertAlign w:val="superscript"/>
              </w:rPr>
              <w:t>[15]</w:t>
            </w:r>
            <w:r w:rsidRPr="006E7292">
              <w:rPr>
                <w:rFonts w:ascii="Book Antiqua" w:hAnsi="Book Antiqua" w:cs="Times New Roman"/>
              </w:rPr>
              <w:t>, 2019</w:t>
            </w:r>
          </w:p>
        </w:tc>
        <w:tc>
          <w:tcPr>
            <w:tcW w:w="0" w:type="auto"/>
          </w:tcPr>
          <w:p w14:paraId="3AF37CCF" w14:textId="3C3221B3"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qPCR of </w:t>
            </w:r>
            <w:r w:rsidRPr="006E7292">
              <w:rPr>
                <w:rFonts w:ascii="Book Antiqua" w:hAnsi="Book Antiqua" w:cs="Times New Roman"/>
                <w:i/>
              </w:rPr>
              <w:t>LINE-1</w:t>
            </w:r>
            <w:r w:rsidRPr="006E7292">
              <w:rPr>
                <w:rFonts w:ascii="Book Antiqua" w:hAnsi="Book Antiqua" w:cs="Times New Roman"/>
              </w:rPr>
              <w:t xml:space="preserve"> 297 bp,</w:t>
            </w:r>
            <w:r w:rsidRPr="006E7292">
              <w:rPr>
                <w:rFonts w:ascii="Book Antiqua" w:eastAsia="宋体" w:hAnsi="Book Antiqua" w:cs="Times New Roman"/>
                <w:lang w:eastAsia="zh-CN"/>
              </w:rPr>
              <w:t xml:space="preserve"> </w:t>
            </w:r>
            <w:r w:rsidRPr="006E7292">
              <w:rPr>
                <w:rFonts w:ascii="Book Antiqua" w:hAnsi="Book Antiqua" w:cs="Times New Roman"/>
              </w:rPr>
              <w:t>mCRPC patients before and after docetaxel</w:t>
            </w:r>
            <w:r w:rsidR="00897B4F" w:rsidRPr="006E7292">
              <w:rPr>
                <w:rFonts w:ascii="Book Antiqua" w:hAnsi="Book Antiqua" w:cs="Times New Roman"/>
              </w:rPr>
              <w:t xml:space="preserve"> </w:t>
            </w:r>
            <w:r w:rsidRPr="006E7292">
              <w:rPr>
                <w:rFonts w:ascii="Book Antiqua" w:hAnsi="Book Antiqua" w:cs="Times New Roman"/>
              </w:rPr>
              <w:t>treatment (</w:t>
            </w:r>
            <w:r w:rsidRPr="006E7292">
              <w:rPr>
                <w:rFonts w:ascii="Book Antiqua" w:hAnsi="Book Antiqua" w:cs="Times New Roman"/>
                <w:i/>
              </w:rPr>
              <w:t>n</w:t>
            </w:r>
            <w:r w:rsidRPr="006E7292">
              <w:rPr>
                <w:rFonts w:ascii="Book Antiqua" w:hAnsi="Book Antiqua" w:cs="Times New Roman"/>
              </w:rPr>
              <w:t xml:space="preserve"> = 15)</w:t>
            </w:r>
          </w:p>
        </w:tc>
        <w:tc>
          <w:tcPr>
            <w:tcW w:w="0" w:type="auto"/>
          </w:tcPr>
          <w:p w14:paraId="2A07E1C0" w14:textId="12BE3BC4"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highlight w:val="yellow"/>
              </w:rPr>
            </w:pPr>
            <w:r w:rsidRPr="006E7292">
              <w:rPr>
                <w:rFonts w:ascii="Book Antiqua" w:hAnsi="Book Antiqua" w:cs="Times New Roman"/>
              </w:rPr>
              <w:t>In cfDNA, LINE-1 quantity decreased after chemotherapy but without statistical significance</w:t>
            </w:r>
          </w:p>
        </w:tc>
      </w:tr>
      <w:tr w:rsidR="00E225B4" w:rsidRPr="006E7292" w14:paraId="1317469D" w14:textId="77777777" w:rsidTr="009F2021">
        <w:tc>
          <w:tcPr>
            <w:tcW w:w="0" w:type="auto"/>
          </w:tcPr>
          <w:p w14:paraId="703BC9A6" w14:textId="16996D21"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Hahn </w:t>
            </w:r>
            <w:r w:rsidRPr="006E7292">
              <w:rPr>
                <w:rFonts w:ascii="Book Antiqua" w:hAnsi="Book Antiqua" w:cs="Times New Roman"/>
                <w:i/>
              </w:rPr>
              <w:t>et al</w:t>
            </w:r>
            <w:r w:rsidRPr="006E7292">
              <w:rPr>
                <w:rFonts w:ascii="Book Antiqua" w:hAnsi="Book Antiqua" w:cs="Times New Roman"/>
                <w:vertAlign w:val="superscript"/>
              </w:rPr>
              <w:t>[16]</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6FCD32A6" w14:textId="2BAF283C"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Serum, next generation sequencing, </w:t>
            </w:r>
            <w:r w:rsidRPr="006E7292">
              <w:rPr>
                <w:rFonts w:ascii="Book Antiqua" w:hAnsi="Book Antiqua"/>
              </w:rPr>
              <w:t>somatic copy number alteration of 69 targeted genes,</w:t>
            </w:r>
            <w:r w:rsidRPr="006E7292">
              <w:rPr>
                <w:rFonts w:ascii="Book Antiqua" w:hAnsi="Book Antiqua" w:cs="Times New Roman"/>
              </w:rPr>
              <w:t xml:space="preserve"> Metastatic PCa patients (</w:t>
            </w:r>
            <w:r w:rsidRPr="006E7292">
              <w:rPr>
                <w:rFonts w:ascii="Book Antiqua" w:hAnsi="Book Antiqua" w:cs="Times New Roman"/>
                <w:i/>
              </w:rPr>
              <w:t>n</w:t>
            </w:r>
            <w:r w:rsidRPr="006E7292">
              <w:rPr>
                <w:rFonts w:ascii="Book Antiqua" w:hAnsi="Book Antiqua" w:cs="Times New Roman"/>
              </w:rPr>
              <w:t xml:space="preserve"> = 101)</w:t>
            </w:r>
          </w:p>
        </w:tc>
        <w:tc>
          <w:tcPr>
            <w:tcW w:w="0" w:type="auto"/>
          </w:tcPr>
          <w:p w14:paraId="2E1D06FD" w14:textId="61D8C996"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In ctDNA, SCNA significantly correlated with the number of new treatments demonstrating changes of tumor genomic profile after therapies. Interestingly, SCNA did not correlate with time of progression</w:t>
            </w:r>
          </w:p>
        </w:tc>
      </w:tr>
      <w:tr w:rsidR="00E225B4" w:rsidRPr="006E7292" w14:paraId="54F2CA6C" w14:textId="77777777" w:rsidTr="009F2021">
        <w:tc>
          <w:tcPr>
            <w:tcW w:w="0" w:type="auto"/>
          </w:tcPr>
          <w:p w14:paraId="7EFCA67C" w14:textId="6FA369A9"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Qiu </w:t>
            </w:r>
            <w:r w:rsidRPr="006E7292">
              <w:rPr>
                <w:rFonts w:ascii="Book Antiqua" w:hAnsi="Book Antiqua" w:cs="Times New Roman"/>
                <w:i/>
              </w:rPr>
              <w:t>et al</w:t>
            </w:r>
            <w:r w:rsidRPr="006E7292">
              <w:rPr>
                <w:rFonts w:ascii="Book Antiqua" w:hAnsi="Book Antiqua" w:cs="Times New Roman"/>
                <w:vertAlign w:val="superscript"/>
              </w:rPr>
              <w:t>[17]</w:t>
            </w:r>
            <w:r w:rsidRPr="006E7292">
              <w:rPr>
                <w:rFonts w:ascii="Book Antiqua" w:hAnsi="Book Antiqua" w:cs="Times New Roman"/>
              </w:rPr>
              <w:t>, 2019</w:t>
            </w:r>
          </w:p>
        </w:tc>
        <w:tc>
          <w:tcPr>
            <w:tcW w:w="0" w:type="auto"/>
          </w:tcPr>
          <w:p w14:paraId="25916C03" w14:textId="085E254B"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Plasma, tissue tumor mutational burden by next generation sequencing, targeted gene panel,</w:t>
            </w:r>
            <w:r w:rsidRPr="006E7292">
              <w:rPr>
                <w:rFonts w:ascii="Book Antiqua" w:eastAsia="宋体" w:hAnsi="Book Antiqua" w:cs="Times New Roman"/>
                <w:lang w:eastAsia="zh-CN"/>
              </w:rPr>
              <w:t xml:space="preserve"> </w:t>
            </w:r>
            <w:r w:rsidRPr="006E7292">
              <w:rPr>
                <w:rFonts w:ascii="Book Antiqua" w:hAnsi="Book Antiqua" w:cs="Times New Roman"/>
              </w:rPr>
              <w:t>mCRPC (</w:t>
            </w:r>
            <w:r w:rsidRPr="006E7292">
              <w:rPr>
                <w:rFonts w:ascii="Book Antiqua" w:hAnsi="Book Antiqua" w:cs="Times New Roman"/>
                <w:i/>
              </w:rPr>
              <w:t>n</w:t>
            </w:r>
            <w:r w:rsidRPr="006E7292">
              <w:rPr>
                <w:rFonts w:ascii="Book Antiqua" w:hAnsi="Book Antiqua" w:cs="Times New Roman"/>
              </w:rPr>
              <w:t xml:space="preserve"> = 20)</w:t>
            </w:r>
          </w:p>
        </w:tc>
        <w:tc>
          <w:tcPr>
            <w:tcW w:w="0" w:type="auto"/>
          </w:tcPr>
          <w:p w14:paraId="56E9803C" w14:textId="5F9E70F3"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The ctDNA was identified by two TMB assays: guardant health and the foundation medicine. Between these two assays used to detect ctDNA the results of SNP, Indel, CNV and fusions were concordant. The study evinced a high correlation between cfDNA TMB</w:t>
            </w:r>
            <w:r w:rsidRPr="006E7292" w:rsidDel="00341164">
              <w:rPr>
                <w:rFonts w:ascii="Book Antiqua" w:hAnsi="Book Antiqua" w:cs="Times New Roman"/>
              </w:rPr>
              <w:t xml:space="preserve"> </w:t>
            </w:r>
            <w:r w:rsidRPr="006E7292">
              <w:rPr>
                <w:rFonts w:ascii="Book Antiqua" w:hAnsi="Book Antiqua" w:cs="Times New Roman"/>
              </w:rPr>
              <w:t>and the whole exome sequencing of the corresponding tumor tissues. Additionally, there was a good correlation between cfDNA TMB and tissue TMB having high TMB samples; however, the same was not observed for low/medium TMB samples</w:t>
            </w:r>
          </w:p>
        </w:tc>
      </w:tr>
      <w:tr w:rsidR="00E225B4" w:rsidRPr="006E7292" w14:paraId="55096EF1" w14:textId="77777777" w:rsidTr="009F2021">
        <w:tc>
          <w:tcPr>
            <w:tcW w:w="0" w:type="auto"/>
          </w:tcPr>
          <w:p w14:paraId="014C80BB" w14:textId="520442B1"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Torquato </w:t>
            </w:r>
            <w:r w:rsidRPr="006E7292">
              <w:rPr>
                <w:rFonts w:ascii="Book Antiqua" w:hAnsi="Book Antiqua" w:cs="Times New Roman"/>
                <w:i/>
              </w:rPr>
              <w:t>et al</w:t>
            </w:r>
            <w:r w:rsidRPr="006E7292">
              <w:rPr>
                <w:rFonts w:ascii="Book Antiqua" w:hAnsi="Book Antiqua" w:cs="Times New Roman"/>
                <w:vertAlign w:val="superscript"/>
              </w:rPr>
              <w:t>[18]</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5B7444DE" w14:textId="64E8121D"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AR alterations, whole genome sequencing, Somatic copy number </w:t>
            </w:r>
            <w:r w:rsidRPr="006E7292">
              <w:rPr>
                <w:rFonts w:ascii="Book Antiqua" w:hAnsi="Book Antiqua" w:cs="Times New Roman"/>
              </w:rPr>
              <w:lastRenderedPageBreak/>
              <w:t>alteration, mCRPC patients (</w:t>
            </w:r>
            <w:r w:rsidRPr="006E7292">
              <w:rPr>
                <w:rFonts w:ascii="Book Antiqua" w:hAnsi="Book Antiqua" w:cs="Times New Roman"/>
                <w:i/>
              </w:rPr>
              <w:t>n</w:t>
            </w:r>
            <w:r w:rsidRPr="006E7292">
              <w:rPr>
                <w:rFonts w:ascii="Book Antiqua" w:hAnsi="Book Antiqua" w:cs="Times New Roman"/>
              </w:rPr>
              <w:t xml:space="preserve"> = 62)</w:t>
            </w:r>
          </w:p>
        </w:tc>
        <w:tc>
          <w:tcPr>
            <w:tcW w:w="0" w:type="auto"/>
          </w:tcPr>
          <w:p w14:paraId="1682D8B6" w14:textId="6C4F6497"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lastRenderedPageBreak/>
              <w:t xml:space="preserve">In ctDNA the SCNA significantly associated with worse survival outcomes of mCRPC patients. At multivariable </w:t>
            </w:r>
            <w:r w:rsidRPr="006E7292">
              <w:rPr>
                <w:rFonts w:ascii="Book Antiqua" w:hAnsi="Book Antiqua" w:cs="Times New Roman"/>
              </w:rPr>
              <w:lastRenderedPageBreak/>
              <w:t xml:space="preserve">analysis, missense mutations in AR ligand-binding domain correlated with shorter PFS and </w:t>
            </w:r>
            <w:r w:rsidRPr="006E7292">
              <w:rPr>
                <w:rFonts w:ascii="Book Antiqua" w:hAnsi="Book Antiqua" w:cs="Times New Roman"/>
                <w:i/>
              </w:rPr>
              <w:t>TP53</w:t>
            </w:r>
            <w:r w:rsidRPr="006E7292">
              <w:rPr>
                <w:rFonts w:ascii="Book Antiqua" w:hAnsi="Book Antiqua" w:cs="Times New Roman"/>
              </w:rPr>
              <w:t xml:space="preserve"> loss. </w:t>
            </w:r>
            <w:r w:rsidRPr="006E7292">
              <w:rPr>
                <w:rFonts w:ascii="Book Antiqua" w:hAnsi="Book Antiqua" w:cs="Times New Roman"/>
                <w:i/>
              </w:rPr>
              <w:t>PI3KCA</w:t>
            </w:r>
            <w:r w:rsidRPr="006E7292">
              <w:rPr>
                <w:rFonts w:ascii="Book Antiqua" w:hAnsi="Book Antiqua" w:cs="Times New Roman"/>
              </w:rPr>
              <w:t xml:space="preserve"> copy number gain or pathogenic missense mutations correlated with shorter OS</w:t>
            </w:r>
          </w:p>
        </w:tc>
      </w:tr>
      <w:tr w:rsidR="00E225B4" w:rsidRPr="006E7292" w14:paraId="07BA4A1D" w14:textId="77777777" w:rsidTr="009F2021">
        <w:tc>
          <w:tcPr>
            <w:tcW w:w="0" w:type="auto"/>
          </w:tcPr>
          <w:p w14:paraId="65F200DF" w14:textId="61C45489" w:rsidR="00E225B4" w:rsidRPr="006E7292" w:rsidRDefault="00E225B4" w:rsidP="006E7292">
            <w:pPr>
              <w:snapToGrid w:val="0"/>
              <w:spacing w:line="360" w:lineRule="auto"/>
              <w:rPr>
                <w:rFonts w:ascii="Book Antiqua" w:hAnsi="Book Antiqua" w:cs="Times New Roman"/>
                <w:bCs/>
              </w:rPr>
            </w:pPr>
            <w:r w:rsidRPr="006E7292">
              <w:rPr>
                <w:rFonts w:ascii="Book Antiqua" w:hAnsi="Book Antiqua" w:cs="Times New Roman"/>
              </w:rPr>
              <w:lastRenderedPageBreak/>
              <w:t xml:space="preserve">De Laere </w:t>
            </w:r>
            <w:r w:rsidRPr="006E7292">
              <w:rPr>
                <w:rFonts w:ascii="Book Antiqua" w:hAnsi="Book Antiqua" w:cs="Times New Roman"/>
                <w:i/>
              </w:rPr>
              <w:t>et al</w:t>
            </w:r>
            <w:r w:rsidRPr="006E7292">
              <w:rPr>
                <w:rFonts w:ascii="Book Antiqua" w:hAnsi="Book Antiqua" w:cs="Times New Roman"/>
                <w:vertAlign w:val="superscript"/>
              </w:rPr>
              <w:t>[19]</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375B9F2C" w14:textId="19DA931F"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low pass whole-genome sequencing, and targeted gene-body sequencing. Somatic alterations in </w:t>
            </w:r>
            <w:r w:rsidRPr="006E7292">
              <w:rPr>
                <w:rFonts w:ascii="Book Antiqua" w:hAnsi="Book Antiqua"/>
                <w:i/>
                <w:color w:val="auto"/>
                <w:lang w:val="en-US"/>
              </w:rPr>
              <w:t>AR</w:t>
            </w:r>
            <w:r w:rsidRPr="006E7292">
              <w:rPr>
                <w:rFonts w:ascii="Book Antiqua" w:hAnsi="Book Antiqua"/>
                <w:color w:val="auto"/>
                <w:lang w:val="en-US"/>
              </w:rPr>
              <w:t xml:space="preserve"> and </w:t>
            </w:r>
            <w:r w:rsidRPr="006E7292">
              <w:rPr>
                <w:rFonts w:ascii="Book Antiqua" w:hAnsi="Book Antiqua"/>
                <w:i/>
                <w:color w:val="auto"/>
                <w:lang w:val="en-US"/>
              </w:rPr>
              <w:t>TP53</w:t>
            </w:r>
            <w:r w:rsidRPr="006E7292">
              <w:rPr>
                <w:rFonts w:ascii="Book Antiqua" w:hAnsi="Book Antiqua"/>
                <w:color w:val="auto"/>
                <w:lang w:val="en-US"/>
              </w:rPr>
              <w:t>.</w:t>
            </w:r>
            <w:r w:rsidRPr="006E7292">
              <w:rPr>
                <w:rFonts w:ascii="Book Antiqua" w:eastAsia="宋体" w:hAnsi="Book Antiqua"/>
                <w:color w:val="auto"/>
                <w:lang w:val="en-US" w:eastAsia="zh-CN"/>
              </w:rPr>
              <w:t xml:space="preserve"> </w:t>
            </w:r>
            <w:r w:rsidRPr="006E7292">
              <w:rPr>
                <w:rFonts w:ascii="Book Antiqua" w:hAnsi="Book Antiqua"/>
                <w:color w:val="auto"/>
                <w:lang w:val="en-US"/>
              </w:rPr>
              <w:t>mCRPC patients (</w:t>
            </w:r>
            <w:r w:rsidRPr="006E7292">
              <w:rPr>
                <w:rFonts w:ascii="Book Antiqua" w:hAnsi="Book Antiqua"/>
                <w:i/>
                <w:color w:val="auto"/>
                <w:lang w:val="en-US"/>
              </w:rPr>
              <w:t>n</w:t>
            </w:r>
            <w:r w:rsidRPr="006E7292">
              <w:rPr>
                <w:rFonts w:ascii="Book Antiqua" w:hAnsi="Book Antiqua"/>
                <w:color w:val="auto"/>
                <w:lang w:val="en-US"/>
              </w:rPr>
              <w:t xml:space="preserve"> = 168)</w:t>
            </w:r>
          </w:p>
        </w:tc>
        <w:tc>
          <w:tcPr>
            <w:tcW w:w="0" w:type="auto"/>
          </w:tcPr>
          <w:p w14:paraId="50F6229D" w14:textId="5AAD92B6" w:rsidR="00E225B4" w:rsidRPr="006E7292" w:rsidRDefault="00E225B4">
            <w:pPr>
              <w:widowControl w:val="0"/>
              <w:autoSpaceDE w:val="0"/>
              <w:autoSpaceDN w:val="0"/>
              <w:adjustRightInd w:val="0"/>
              <w:snapToGrid w:val="0"/>
              <w:spacing w:line="360" w:lineRule="auto"/>
              <w:rPr>
                <w:rFonts w:ascii="Book Antiqua" w:hAnsi="Book Antiqua" w:cs="Times New Roman"/>
                <w:bCs/>
              </w:rPr>
            </w:pPr>
            <w:r w:rsidRPr="006E7292">
              <w:rPr>
                <w:rFonts w:ascii="Book Antiqua" w:hAnsi="Book Antiqua" w:cs="Times New Roman"/>
              </w:rPr>
              <w:t xml:space="preserve">The presence of </w:t>
            </w:r>
            <w:r w:rsidRPr="006E7292">
              <w:rPr>
                <w:rFonts w:ascii="Book Antiqua" w:hAnsi="Book Antiqua" w:cs="Times New Roman"/>
                <w:i/>
              </w:rPr>
              <w:t>AR</w:t>
            </w:r>
            <w:r w:rsidRPr="006E7292">
              <w:rPr>
                <w:rFonts w:ascii="Book Antiqua" w:hAnsi="Book Antiqua" w:cs="Times New Roman"/>
              </w:rPr>
              <w:t xml:space="preserve"> and </w:t>
            </w:r>
            <w:r w:rsidRPr="006E7292">
              <w:rPr>
                <w:rFonts w:ascii="Book Antiqua" w:hAnsi="Book Antiqua" w:cs="Times New Roman"/>
                <w:i/>
              </w:rPr>
              <w:t>TP53</w:t>
            </w:r>
            <w:r w:rsidRPr="006E7292">
              <w:rPr>
                <w:rFonts w:ascii="Book Antiqua" w:hAnsi="Book Antiqua" w:cs="Times New Roman"/>
              </w:rPr>
              <w:t xml:space="preserve"> alterations in ctDNA was used to determine tumor burden. AR and TP53 alterations were associated with a worse PFS. </w:t>
            </w:r>
            <w:r w:rsidRPr="006E7292">
              <w:rPr>
                <w:rFonts w:ascii="Book Antiqua" w:hAnsi="Book Antiqua" w:cs="Times New Roman"/>
                <w:i/>
              </w:rPr>
              <w:t>TP53</w:t>
            </w:r>
            <w:r w:rsidRPr="006E7292">
              <w:rPr>
                <w:rFonts w:ascii="Book Antiqua" w:hAnsi="Book Antiqua" w:cs="Times New Roman"/>
              </w:rPr>
              <w:t xml:space="preserve"> inactivation was an independent prognostic factor outperforming </w:t>
            </w:r>
            <w:r w:rsidRPr="006E7292">
              <w:rPr>
                <w:rFonts w:ascii="Book Antiqua" w:hAnsi="Book Antiqua" w:cs="Times New Roman"/>
                <w:i/>
              </w:rPr>
              <w:t>AR</w:t>
            </w:r>
            <w:r w:rsidRPr="006E7292">
              <w:rPr>
                <w:rFonts w:ascii="Book Antiqua" w:hAnsi="Book Antiqua" w:cs="Times New Roman"/>
              </w:rPr>
              <w:t xml:space="preserve"> alterations and </w:t>
            </w:r>
            <w:r w:rsidRPr="006E7292">
              <w:rPr>
                <w:rFonts w:ascii="Book Antiqua" w:hAnsi="Book Antiqua" w:cs="Times New Roman"/>
                <w:i/>
              </w:rPr>
              <w:t>ARV7</w:t>
            </w:r>
            <w:r w:rsidRPr="006E7292">
              <w:rPr>
                <w:rFonts w:ascii="Book Antiqua" w:hAnsi="Book Antiqua" w:cs="Times New Roman"/>
              </w:rPr>
              <w:t xml:space="preserve"> expressions was found be useful to stratify patients’ risk</w:t>
            </w:r>
          </w:p>
        </w:tc>
      </w:tr>
      <w:tr w:rsidR="00E225B4" w:rsidRPr="006E7292" w14:paraId="3A61502E" w14:textId="77777777" w:rsidTr="009F2021">
        <w:tc>
          <w:tcPr>
            <w:tcW w:w="0" w:type="auto"/>
          </w:tcPr>
          <w:p w14:paraId="10B9FA74" w14:textId="6760A20B"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Sonpavde </w:t>
            </w:r>
            <w:r w:rsidRPr="006E7292">
              <w:rPr>
                <w:rFonts w:ascii="Book Antiqua" w:hAnsi="Book Antiqua" w:cs="Times New Roman"/>
                <w:i/>
              </w:rPr>
              <w:t>et al</w:t>
            </w:r>
            <w:r w:rsidRPr="006E7292">
              <w:rPr>
                <w:rFonts w:ascii="Book Antiqua" w:hAnsi="Book Antiqua" w:cs="Times New Roman"/>
                <w:vertAlign w:val="superscript"/>
              </w:rPr>
              <w:t>[20]</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5FB63B51" w14:textId="12151319" w:rsidR="00E225B4" w:rsidRPr="006E7292" w:rsidRDefault="00E225B4" w:rsidP="00EF7A13">
            <w:pPr>
              <w:snapToGrid w:val="0"/>
              <w:spacing w:line="360" w:lineRule="auto"/>
              <w:rPr>
                <w:rFonts w:ascii="Book Antiqua" w:hAnsi="Book Antiqua" w:cs="Times New Roman"/>
              </w:rPr>
            </w:pPr>
            <w:r w:rsidRPr="006E7292">
              <w:rPr>
                <w:rFonts w:ascii="Book Antiqua" w:hAnsi="Book Antiqua" w:cs="Times New Roman"/>
              </w:rPr>
              <w:t xml:space="preserve">Plasma, somatic mutations by NGS, </w:t>
            </w:r>
            <w:r w:rsidRPr="006E7292">
              <w:rPr>
                <w:rFonts w:ascii="Book Antiqua" w:hAnsi="Book Antiqua"/>
              </w:rPr>
              <w:t>mCRPC patients (</w:t>
            </w:r>
            <w:r w:rsidRPr="006E7292">
              <w:rPr>
                <w:rFonts w:ascii="Book Antiqua" w:hAnsi="Book Antiqua"/>
                <w:i/>
              </w:rPr>
              <w:t>n</w:t>
            </w:r>
            <w:r w:rsidRPr="006E7292">
              <w:rPr>
                <w:rFonts w:ascii="Book Antiqua" w:hAnsi="Book Antiqua"/>
              </w:rPr>
              <w:t xml:space="preserve"> = 514)</w:t>
            </w:r>
          </w:p>
        </w:tc>
        <w:tc>
          <w:tcPr>
            <w:tcW w:w="0" w:type="auto"/>
          </w:tcPr>
          <w:p w14:paraId="6D0E7B66" w14:textId="2307CE67" w:rsidR="00E225B4" w:rsidRPr="006E7292" w:rsidRDefault="00347391" w:rsidP="00EF7A13">
            <w:pPr>
              <w:snapToGrid w:val="0"/>
              <w:spacing w:line="360" w:lineRule="auto"/>
              <w:rPr>
                <w:rFonts w:ascii="Book Antiqua" w:hAnsi="Book Antiqua" w:cs="Times New Roman"/>
              </w:rPr>
            </w:pPr>
            <w:r w:rsidRPr="006E7292">
              <w:rPr>
                <w:rFonts w:ascii="Book Antiqua" w:hAnsi="Book Antiqua" w:cs="Times New Roman"/>
              </w:rPr>
              <w:t xml:space="preserve">One </w:t>
            </w:r>
            <w:r w:rsidR="00E225B4" w:rsidRPr="006E7292">
              <w:rPr>
                <w:rFonts w:ascii="Book Antiqua" w:hAnsi="Book Antiqua" w:cs="Times New Roman"/>
              </w:rPr>
              <w:t>or more alterations in ctDNA</w:t>
            </w:r>
            <w:r w:rsidRPr="006E7292">
              <w:rPr>
                <w:rFonts w:ascii="Book Antiqua" w:hAnsi="Book Antiqua" w:cs="Times New Roman"/>
              </w:rPr>
              <w:t xml:space="preserve"> were found in 94% of patients</w:t>
            </w:r>
            <w:r w:rsidR="00E225B4" w:rsidRPr="006E7292">
              <w:rPr>
                <w:rFonts w:ascii="Book Antiqua" w:hAnsi="Book Antiqua" w:cs="Times New Roman"/>
              </w:rPr>
              <w:t xml:space="preserve">. Mutations </w:t>
            </w:r>
            <w:r w:rsidRPr="006E7292">
              <w:rPr>
                <w:rFonts w:ascii="Book Antiqua" w:hAnsi="Book Antiqua" w:cs="Times New Roman"/>
              </w:rPr>
              <w:t>were</w:t>
            </w:r>
            <w:r w:rsidR="00E225B4" w:rsidRPr="006E7292">
              <w:rPr>
                <w:rFonts w:ascii="Book Antiqua" w:hAnsi="Book Antiqua" w:cs="Times New Roman"/>
              </w:rPr>
              <w:t xml:space="preserve"> detected in </w:t>
            </w:r>
            <w:r w:rsidR="00E225B4" w:rsidRPr="006E7292">
              <w:rPr>
                <w:rFonts w:ascii="Book Antiqua" w:hAnsi="Book Antiqua" w:cs="Times New Roman"/>
                <w:i/>
              </w:rPr>
              <w:t xml:space="preserve">TP53 </w:t>
            </w:r>
            <w:r w:rsidR="00E225B4" w:rsidRPr="006E7292">
              <w:rPr>
                <w:rFonts w:ascii="Book Antiqua" w:hAnsi="Book Antiqua" w:cs="Times New Roman"/>
              </w:rPr>
              <w:t xml:space="preserve">(36%), </w:t>
            </w:r>
            <w:r w:rsidR="00E225B4" w:rsidRPr="006E7292">
              <w:rPr>
                <w:rFonts w:ascii="Book Antiqua" w:hAnsi="Book Antiqua" w:cs="Times New Roman"/>
                <w:i/>
              </w:rPr>
              <w:t xml:space="preserve">AR </w:t>
            </w:r>
            <w:r w:rsidR="00E225B4" w:rsidRPr="006E7292">
              <w:rPr>
                <w:rFonts w:ascii="Book Antiqua" w:hAnsi="Book Antiqua" w:cs="Times New Roman"/>
              </w:rPr>
              <w:t xml:space="preserve">(22%), </w:t>
            </w:r>
            <w:r w:rsidR="00E225B4" w:rsidRPr="006E7292">
              <w:rPr>
                <w:rFonts w:ascii="Book Antiqua" w:hAnsi="Book Antiqua" w:cs="Times New Roman"/>
                <w:i/>
              </w:rPr>
              <w:t>APC</w:t>
            </w:r>
            <w:r w:rsidR="00E225B4" w:rsidRPr="006E7292">
              <w:rPr>
                <w:rFonts w:ascii="Book Antiqua" w:hAnsi="Book Antiqua" w:cs="Times New Roman"/>
              </w:rPr>
              <w:t xml:space="preserve"> (10%), </w:t>
            </w:r>
            <w:r w:rsidR="00E225B4" w:rsidRPr="006E7292">
              <w:rPr>
                <w:rFonts w:ascii="Book Antiqua" w:hAnsi="Book Antiqua" w:cs="Times New Roman"/>
                <w:i/>
              </w:rPr>
              <w:t xml:space="preserve">NF1 </w:t>
            </w:r>
            <w:r w:rsidR="00E225B4" w:rsidRPr="006E7292">
              <w:rPr>
                <w:rFonts w:ascii="Book Antiqua" w:hAnsi="Book Antiqua" w:cs="Times New Roman"/>
              </w:rPr>
              <w:t xml:space="preserve">(9%), </w:t>
            </w:r>
            <w:r w:rsidR="00E225B4" w:rsidRPr="006E7292">
              <w:rPr>
                <w:rFonts w:ascii="Book Antiqua" w:hAnsi="Book Antiqua" w:cs="Times New Roman"/>
                <w:i/>
              </w:rPr>
              <w:t>EGFR</w:t>
            </w:r>
            <w:r w:rsidR="00E225B4" w:rsidRPr="006E7292">
              <w:rPr>
                <w:rFonts w:ascii="Book Antiqua" w:hAnsi="Book Antiqua" w:cs="Times New Roman"/>
              </w:rPr>
              <w:t xml:space="preserve">, </w:t>
            </w:r>
            <w:r w:rsidR="00E225B4" w:rsidRPr="006E7292">
              <w:rPr>
                <w:rFonts w:ascii="Book Antiqua" w:hAnsi="Book Antiqua" w:cs="Times New Roman"/>
                <w:i/>
              </w:rPr>
              <w:t>CTNNB1</w:t>
            </w:r>
            <w:r w:rsidR="00E225B4" w:rsidRPr="006E7292">
              <w:rPr>
                <w:rFonts w:ascii="Book Antiqua" w:hAnsi="Book Antiqua" w:cs="Times New Roman"/>
              </w:rPr>
              <w:t xml:space="preserve"> and </w:t>
            </w:r>
            <w:r w:rsidR="00E225B4" w:rsidRPr="006E7292">
              <w:rPr>
                <w:rFonts w:ascii="Book Antiqua" w:hAnsi="Book Antiqua" w:cs="Times New Roman"/>
                <w:i/>
              </w:rPr>
              <w:t>ARID1A</w:t>
            </w:r>
            <w:r w:rsidR="00E225B4" w:rsidRPr="006E7292">
              <w:rPr>
                <w:rFonts w:ascii="Book Antiqua" w:hAnsi="Book Antiqua" w:cs="Times New Roman"/>
              </w:rPr>
              <w:t xml:space="preserve"> (6%), </w:t>
            </w:r>
            <w:r w:rsidR="00E225B4" w:rsidRPr="006E7292">
              <w:rPr>
                <w:rFonts w:ascii="Book Antiqua" w:hAnsi="Book Antiqua" w:cs="Times New Roman"/>
                <w:i/>
              </w:rPr>
              <w:t>BRCA1</w:t>
            </w:r>
            <w:r w:rsidR="00E225B4" w:rsidRPr="006E7292">
              <w:rPr>
                <w:rFonts w:ascii="Book Antiqua" w:hAnsi="Book Antiqua" w:cs="Times New Roman"/>
              </w:rPr>
              <w:t xml:space="preserve">, </w:t>
            </w:r>
            <w:r w:rsidR="00E225B4" w:rsidRPr="006E7292">
              <w:rPr>
                <w:rFonts w:ascii="Book Antiqua" w:hAnsi="Book Antiqua" w:cs="Times New Roman"/>
                <w:i/>
              </w:rPr>
              <w:t>BRCA2</w:t>
            </w:r>
            <w:r w:rsidR="00E225B4" w:rsidRPr="006E7292">
              <w:rPr>
                <w:rFonts w:ascii="Book Antiqua" w:hAnsi="Book Antiqua" w:cs="Times New Roman"/>
              </w:rPr>
              <w:t xml:space="preserve">, </w:t>
            </w:r>
            <w:r w:rsidR="00E225B4" w:rsidRPr="006E7292">
              <w:rPr>
                <w:rFonts w:ascii="Book Antiqua" w:hAnsi="Book Antiqua" w:cs="Times New Roman"/>
                <w:i/>
              </w:rPr>
              <w:t>PIK3CA</w:t>
            </w:r>
            <w:r w:rsidR="00E225B4" w:rsidRPr="006E7292">
              <w:rPr>
                <w:rFonts w:ascii="Book Antiqua" w:hAnsi="Book Antiqua" w:cs="Times New Roman"/>
              </w:rPr>
              <w:t xml:space="preserve"> (5%). The increase in copy number was found for </w:t>
            </w:r>
            <w:r w:rsidR="00E225B4" w:rsidRPr="006E7292">
              <w:rPr>
                <w:rFonts w:ascii="Book Antiqua" w:hAnsi="Book Antiqua" w:cs="Times New Roman"/>
                <w:i/>
              </w:rPr>
              <w:t>AR</w:t>
            </w:r>
            <w:r w:rsidR="00E225B4" w:rsidRPr="006E7292">
              <w:rPr>
                <w:rFonts w:ascii="Book Antiqua" w:hAnsi="Book Antiqua" w:cs="Times New Roman"/>
              </w:rPr>
              <w:t xml:space="preserve"> (30%), </w:t>
            </w:r>
            <w:r w:rsidR="00E225B4" w:rsidRPr="006E7292">
              <w:rPr>
                <w:rFonts w:ascii="Book Antiqua" w:hAnsi="Book Antiqua" w:cs="Times New Roman"/>
                <w:i/>
              </w:rPr>
              <w:t>MYC</w:t>
            </w:r>
            <w:r w:rsidR="00E225B4" w:rsidRPr="006E7292">
              <w:rPr>
                <w:rFonts w:ascii="Book Antiqua" w:hAnsi="Book Antiqua" w:cs="Times New Roman"/>
              </w:rPr>
              <w:t xml:space="preserve"> (20%), </w:t>
            </w:r>
            <w:proofErr w:type="gramStart"/>
            <w:r w:rsidR="00E225B4" w:rsidRPr="006E7292">
              <w:rPr>
                <w:rFonts w:ascii="Book Antiqua" w:hAnsi="Book Antiqua" w:cs="Times New Roman"/>
                <w:i/>
              </w:rPr>
              <w:t>BRAF</w:t>
            </w:r>
            <w:proofErr w:type="gramEnd"/>
            <w:r w:rsidR="00E225B4" w:rsidRPr="006E7292">
              <w:rPr>
                <w:rFonts w:ascii="Book Antiqua" w:hAnsi="Book Antiqua" w:cs="Times New Roman"/>
              </w:rPr>
              <w:t xml:space="preserve"> (18%). At multivariate analysis, increase in</w:t>
            </w:r>
            <w:r w:rsidR="00E225B4" w:rsidRPr="006E7292">
              <w:rPr>
                <w:rFonts w:ascii="Book Antiqua" w:hAnsi="Book Antiqua" w:cs="Times New Roman"/>
                <w:i/>
              </w:rPr>
              <w:t xml:space="preserve"> MYC</w:t>
            </w:r>
            <w:r w:rsidR="00E225B4" w:rsidRPr="006E7292">
              <w:rPr>
                <w:rFonts w:ascii="Book Antiqua" w:hAnsi="Book Antiqua" w:cs="Times New Roman"/>
              </w:rPr>
              <w:t xml:space="preserve"> copy number was associated with worse OS</w:t>
            </w:r>
          </w:p>
        </w:tc>
      </w:tr>
      <w:tr w:rsidR="00E225B4" w:rsidRPr="006E7292" w14:paraId="1B3959D7" w14:textId="77777777" w:rsidTr="009F2021">
        <w:tc>
          <w:tcPr>
            <w:tcW w:w="0" w:type="auto"/>
          </w:tcPr>
          <w:p w14:paraId="424DC1E3" w14:textId="140DE713"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Vandekerkhove </w:t>
            </w:r>
            <w:r w:rsidRPr="006E7292">
              <w:rPr>
                <w:rFonts w:ascii="Book Antiqua" w:hAnsi="Book Antiqua" w:cs="Times New Roman"/>
                <w:i/>
              </w:rPr>
              <w:t>et al</w:t>
            </w:r>
            <w:r w:rsidRPr="006E7292">
              <w:rPr>
                <w:rFonts w:ascii="Book Antiqua" w:hAnsi="Book Antiqua" w:cs="Times New Roman"/>
                <w:vertAlign w:val="superscript"/>
              </w:rPr>
              <w:t>[21]</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7FE67D72" w14:textId="19FE9F2A" w:rsidR="00E225B4" w:rsidRPr="006E7292" w:rsidRDefault="00E225B4" w:rsidP="00EF7A13">
            <w:pPr>
              <w:snapToGrid w:val="0"/>
              <w:spacing w:line="360" w:lineRule="auto"/>
              <w:rPr>
                <w:rFonts w:ascii="Book Antiqua" w:hAnsi="Book Antiqua" w:cs="Times New Roman"/>
              </w:rPr>
            </w:pPr>
            <w:r w:rsidRPr="006E7292">
              <w:rPr>
                <w:rFonts w:ascii="Book Antiqua" w:hAnsi="Book Antiqua" w:cs="Times New Roman"/>
              </w:rPr>
              <w:t>Plasma, targeted genome, sequencing,</w:t>
            </w:r>
            <w:r w:rsidRPr="006E7292">
              <w:rPr>
                <w:rFonts w:ascii="Book Antiqua" w:eastAsia="宋体" w:hAnsi="Book Antiqua" w:cs="Times New Roman"/>
                <w:lang w:eastAsia="zh-CN"/>
              </w:rPr>
              <w:t xml:space="preserve"> </w:t>
            </w:r>
            <w:r w:rsidRPr="006E7292">
              <w:rPr>
                <w:rFonts w:ascii="Book Antiqua" w:hAnsi="Book Antiqua" w:cs="Times New Roman"/>
              </w:rPr>
              <w:t>somatic copy number alteration, metastatic castrate-sensitive patients (</w:t>
            </w:r>
            <w:r w:rsidRPr="006E7292">
              <w:rPr>
                <w:rFonts w:ascii="Book Antiqua" w:hAnsi="Book Antiqua" w:cs="Times New Roman"/>
                <w:i/>
              </w:rPr>
              <w:t>n</w:t>
            </w:r>
            <w:r w:rsidRPr="006E7292">
              <w:rPr>
                <w:rFonts w:ascii="Book Antiqua" w:hAnsi="Book Antiqua" w:cs="Times New Roman"/>
              </w:rPr>
              <w:t xml:space="preserve"> = </w:t>
            </w:r>
            <w:r w:rsidRPr="006E7292">
              <w:rPr>
                <w:rFonts w:ascii="Book Antiqua" w:hAnsi="Book Antiqua" w:cs="Times New Roman"/>
              </w:rPr>
              <w:lastRenderedPageBreak/>
              <w:t>53)</w:t>
            </w:r>
          </w:p>
        </w:tc>
        <w:tc>
          <w:tcPr>
            <w:tcW w:w="0" w:type="auto"/>
          </w:tcPr>
          <w:p w14:paraId="48678E5A" w14:textId="02429B2E" w:rsidR="00E225B4" w:rsidRPr="006E7292" w:rsidRDefault="00E225B4">
            <w:pPr>
              <w:keepNext/>
              <w:keepLines/>
              <w:snapToGrid w:val="0"/>
              <w:spacing w:line="360" w:lineRule="auto"/>
              <w:outlineLvl w:val="3"/>
              <w:rPr>
                <w:rFonts w:ascii="Book Antiqua" w:hAnsi="Book Antiqua" w:cs="Times New Roman"/>
              </w:rPr>
            </w:pPr>
            <w:r w:rsidRPr="006E7292">
              <w:rPr>
                <w:rFonts w:ascii="Book Antiqua" w:hAnsi="Book Antiqua" w:cs="Times New Roman"/>
              </w:rPr>
              <w:lastRenderedPageBreak/>
              <w:t>The ctDNA and tissue biopsy showed 80% of concordance for somatic mutations. TP53</w:t>
            </w:r>
            <w:r w:rsidR="00347391" w:rsidRPr="006E7292">
              <w:rPr>
                <w:rFonts w:ascii="Book Antiqua" w:hAnsi="Book Antiqua" w:cs="Times New Roman"/>
              </w:rPr>
              <w:t xml:space="preserve"> was mutated in 50% of patients</w:t>
            </w:r>
            <w:r w:rsidRPr="006E7292">
              <w:rPr>
                <w:rFonts w:ascii="Book Antiqua" w:hAnsi="Book Antiqua" w:cs="Times New Roman"/>
              </w:rPr>
              <w:t xml:space="preserve"> and truncated mutations in DNA damage repair genes</w:t>
            </w:r>
            <w:r w:rsidR="00347391" w:rsidRPr="006E7292">
              <w:rPr>
                <w:rFonts w:ascii="Book Antiqua" w:hAnsi="Book Antiqua" w:cs="Times New Roman"/>
              </w:rPr>
              <w:t xml:space="preserve"> were found </w:t>
            </w:r>
            <w:r w:rsidR="00347391" w:rsidRPr="006E7292">
              <w:rPr>
                <w:rFonts w:ascii="Book Antiqua" w:hAnsi="Book Antiqua" w:cs="Times New Roman"/>
              </w:rPr>
              <w:lastRenderedPageBreak/>
              <w:t>in 21%</w:t>
            </w:r>
            <w:r w:rsidRPr="006E7292">
              <w:rPr>
                <w:rFonts w:ascii="Book Antiqua" w:hAnsi="Book Antiqua" w:cs="Times New Roman"/>
              </w:rPr>
              <w:t>. The cfDNA SCNA was higher in untreated patients than in patients treated with abiraterone acetate, enzalutamide or apalutamide</w:t>
            </w:r>
          </w:p>
        </w:tc>
      </w:tr>
      <w:tr w:rsidR="00E225B4" w:rsidRPr="006E7292" w14:paraId="59027B69" w14:textId="77777777" w:rsidTr="009F2021">
        <w:tc>
          <w:tcPr>
            <w:tcW w:w="0" w:type="auto"/>
          </w:tcPr>
          <w:p w14:paraId="02385929" w14:textId="214124B0"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Mayrhofer </w:t>
            </w:r>
            <w:r w:rsidRPr="006E7292">
              <w:rPr>
                <w:rFonts w:ascii="Book Antiqua" w:hAnsi="Book Antiqua" w:cs="Times New Roman"/>
                <w:i/>
              </w:rPr>
              <w:t>et al</w:t>
            </w:r>
            <w:r w:rsidRPr="006E7292">
              <w:rPr>
                <w:rFonts w:ascii="Book Antiqua" w:hAnsi="Book Antiqua" w:cs="Times New Roman"/>
                <w:vertAlign w:val="superscript"/>
              </w:rPr>
              <w:t>[22]</w:t>
            </w:r>
            <w:r w:rsidRPr="006E7292">
              <w:rPr>
                <w:rFonts w:ascii="Book Antiqua" w:hAnsi="Book Antiqua" w:cs="Times New Roman"/>
              </w:rPr>
              <w:t>, 2018</w:t>
            </w:r>
          </w:p>
        </w:tc>
        <w:tc>
          <w:tcPr>
            <w:tcW w:w="0" w:type="auto"/>
          </w:tcPr>
          <w:p w14:paraId="769CC08F" w14:textId="5047E743"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low pass whole-genome sequencing and hybridization-capture targeted sequencing. Somatic copy number alteration, </w:t>
            </w:r>
            <w:r w:rsidRPr="006E7292">
              <w:rPr>
                <w:rFonts w:ascii="Book Antiqua" w:hAnsi="Book Antiqua"/>
                <w:lang w:val="en-US"/>
              </w:rPr>
              <w:t>mPCa patients (</w:t>
            </w:r>
            <w:r w:rsidRPr="006E7292">
              <w:rPr>
                <w:rFonts w:ascii="Book Antiqua" w:hAnsi="Book Antiqua"/>
                <w:i/>
                <w:lang w:val="en-US"/>
              </w:rPr>
              <w:t>n</w:t>
            </w:r>
            <w:r w:rsidRPr="006E7292">
              <w:rPr>
                <w:rFonts w:ascii="Book Antiqua" w:hAnsi="Book Antiqua"/>
                <w:lang w:val="en-US"/>
              </w:rPr>
              <w:t xml:space="preserve"> = 217)</w:t>
            </w:r>
          </w:p>
        </w:tc>
        <w:tc>
          <w:tcPr>
            <w:tcW w:w="0" w:type="auto"/>
          </w:tcPr>
          <w:p w14:paraId="76943198" w14:textId="717FCDFB"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 xml:space="preserve">The SCNA found in ctDNA was used to determine tumor burden and to compare lines of therapies. AR variants, microsatellite instability and </w:t>
            </w:r>
            <w:r w:rsidRPr="006E7292">
              <w:rPr>
                <w:rFonts w:ascii="Book Antiqua" w:hAnsi="Book Antiqua" w:cs="Times New Roman"/>
                <w:i/>
              </w:rPr>
              <w:t>PTEN</w:t>
            </w:r>
            <w:r w:rsidRPr="006E7292">
              <w:rPr>
                <w:rFonts w:ascii="Book Antiqua" w:hAnsi="Book Antiqua" w:cs="Times New Roman"/>
              </w:rPr>
              <w:t xml:space="preserve">, </w:t>
            </w:r>
            <w:r w:rsidRPr="006E7292">
              <w:rPr>
                <w:rFonts w:ascii="Book Antiqua" w:hAnsi="Book Antiqua" w:cs="Times New Roman"/>
                <w:i/>
              </w:rPr>
              <w:t>RB1</w:t>
            </w:r>
            <w:r w:rsidRPr="006E7292">
              <w:rPr>
                <w:rFonts w:ascii="Book Antiqua" w:hAnsi="Book Antiqua" w:cs="Times New Roman"/>
              </w:rPr>
              <w:t xml:space="preserve"> and </w:t>
            </w:r>
            <w:r w:rsidRPr="006E7292">
              <w:rPr>
                <w:rFonts w:ascii="Book Antiqua" w:hAnsi="Book Antiqua" w:cs="Times New Roman"/>
                <w:i/>
              </w:rPr>
              <w:t>TP53</w:t>
            </w:r>
            <w:r w:rsidRPr="006E7292">
              <w:rPr>
                <w:rFonts w:ascii="Book Antiqua" w:hAnsi="Book Antiqua" w:cs="Times New Roman"/>
              </w:rPr>
              <w:t xml:space="preserve"> inactivation were found in ctDNA demonstrating mirroring of the genetic alterations that mark metastatic cancer</w:t>
            </w:r>
          </w:p>
        </w:tc>
      </w:tr>
      <w:tr w:rsidR="00E225B4" w:rsidRPr="006E7292" w14:paraId="2CB8564F" w14:textId="77777777" w:rsidTr="009F2021">
        <w:tc>
          <w:tcPr>
            <w:tcW w:w="0" w:type="auto"/>
          </w:tcPr>
          <w:p w14:paraId="4F454D73" w14:textId="0A939E83"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Choudhury </w:t>
            </w:r>
            <w:r w:rsidRPr="006E7292">
              <w:rPr>
                <w:rFonts w:ascii="Book Antiqua" w:hAnsi="Book Antiqua" w:cs="Times New Roman"/>
                <w:i/>
              </w:rPr>
              <w:t>et al</w:t>
            </w:r>
            <w:r w:rsidRPr="006E7292">
              <w:rPr>
                <w:rFonts w:ascii="Book Antiqua" w:hAnsi="Book Antiqua" w:cs="Times New Roman"/>
                <w:vertAlign w:val="superscript"/>
              </w:rPr>
              <w:t>[23]</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20CFDB70" w14:textId="0BEF8757"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ultra-low pass whole-genome sequencing. Tumor fractions, TFx, measured by computational tool ichorCNA, </w:t>
            </w:r>
            <w:r w:rsidRPr="006E7292">
              <w:rPr>
                <w:rFonts w:ascii="Book Antiqua" w:hAnsi="Book Antiqua"/>
                <w:lang w:val="en-US"/>
              </w:rPr>
              <w:t>CRPC patients (</w:t>
            </w:r>
            <w:r w:rsidRPr="006E7292">
              <w:rPr>
                <w:rFonts w:ascii="Book Antiqua" w:hAnsi="Book Antiqua"/>
                <w:i/>
                <w:lang w:val="en-US"/>
              </w:rPr>
              <w:t>n</w:t>
            </w:r>
            <w:r w:rsidRPr="006E7292">
              <w:rPr>
                <w:rFonts w:ascii="Book Antiqua" w:hAnsi="Book Antiqua"/>
                <w:lang w:val="en-US"/>
              </w:rPr>
              <w:t xml:space="preserve"> = 140)</w:t>
            </w:r>
          </w:p>
        </w:tc>
        <w:tc>
          <w:tcPr>
            <w:tcW w:w="0" w:type="auto"/>
          </w:tcPr>
          <w:p w14:paraId="61221521" w14:textId="0A152713"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TFx was determined in cfDNA. TFx positively correlated with PSA and alkaline phosphatase and significantly correlated with the presence and numbers of bone metastases</w:t>
            </w:r>
          </w:p>
        </w:tc>
      </w:tr>
      <w:tr w:rsidR="00E225B4" w:rsidRPr="006E7292" w14:paraId="25902C19" w14:textId="77777777" w:rsidTr="009F2021">
        <w:tc>
          <w:tcPr>
            <w:tcW w:w="0" w:type="auto"/>
          </w:tcPr>
          <w:p w14:paraId="36D3EE8A" w14:textId="4297BEDD"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Annala </w:t>
            </w:r>
            <w:r w:rsidRPr="006E7292">
              <w:rPr>
                <w:rFonts w:ascii="Book Antiqua" w:hAnsi="Book Antiqua" w:cs="Times New Roman"/>
                <w:i/>
              </w:rPr>
              <w:t>et al</w:t>
            </w:r>
            <w:r w:rsidRPr="006E7292">
              <w:rPr>
                <w:rFonts w:ascii="Book Antiqua" w:hAnsi="Book Antiqua" w:cs="Times New Roman"/>
                <w:vertAlign w:val="superscript"/>
              </w:rPr>
              <w:t>[24]</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0E6AB460" w14:textId="4F0E0274"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whole-exome sequencing and </w:t>
            </w:r>
            <w:r w:rsidRPr="006E7292" w:rsidDel="0060015A">
              <w:rPr>
                <w:rFonts w:ascii="Book Antiqua" w:hAnsi="Book Antiqua" w:cs="Times New Roman"/>
              </w:rPr>
              <w:t>target capture and sequencing</w:t>
            </w:r>
            <w:r w:rsidRPr="006E7292">
              <w:rPr>
                <w:rFonts w:ascii="Book Antiqua" w:hAnsi="Book Antiqua" w:cs="Times New Roman"/>
              </w:rPr>
              <w:t xml:space="preserve"> of selected genes. Variant allele fractions, mCRPC patients (</w:t>
            </w:r>
            <w:r w:rsidRPr="006E7292">
              <w:rPr>
                <w:rFonts w:ascii="Book Antiqua" w:hAnsi="Book Antiqua" w:cs="Times New Roman"/>
                <w:i/>
              </w:rPr>
              <w:t>n</w:t>
            </w:r>
            <w:r w:rsidRPr="006E7292">
              <w:rPr>
                <w:rFonts w:ascii="Book Antiqua" w:hAnsi="Book Antiqua" w:cs="Times New Roman"/>
              </w:rPr>
              <w:t xml:space="preserve"> = 202)</w:t>
            </w:r>
          </w:p>
        </w:tc>
        <w:tc>
          <w:tcPr>
            <w:tcW w:w="0" w:type="auto"/>
          </w:tcPr>
          <w:p w14:paraId="5CCF8CA7" w14:textId="225E8DE4"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The alterations in </w:t>
            </w:r>
            <w:r w:rsidRPr="006E7292">
              <w:rPr>
                <w:rFonts w:ascii="Book Antiqua" w:hAnsi="Book Antiqua"/>
                <w:i/>
                <w:color w:val="auto"/>
                <w:lang w:val="en-US"/>
              </w:rPr>
              <w:t>TP53</w:t>
            </w:r>
            <w:r w:rsidRPr="006E7292">
              <w:rPr>
                <w:rFonts w:ascii="Book Antiqua" w:hAnsi="Book Antiqua"/>
                <w:color w:val="auto"/>
                <w:lang w:val="en-US"/>
              </w:rPr>
              <w:t xml:space="preserve"> and </w:t>
            </w:r>
            <w:r w:rsidRPr="006E7292">
              <w:rPr>
                <w:rFonts w:ascii="Book Antiqua" w:hAnsi="Book Antiqua"/>
                <w:i/>
                <w:color w:val="auto"/>
                <w:lang w:val="en-US"/>
              </w:rPr>
              <w:t>AR</w:t>
            </w:r>
            <w:r w:rsidRPr="006E7292">
              <w:rPr>
                <w:rFonts w:ascii="Book Antiqua" w:hAnsi="Book Antiqua"/>
                <w:color w:val="auto"/>
                <w:lang w:val="en-US"/>
              </w:rPr>
              <w:t xml:space="preserve"> gene truncations measured in ctDNA correlated to resistance to abiraterone and enzalutamide. A p</w:t>
            </w:r>
            <w:r w:rsidRPr="006E7292" w:rsidDel="00C26164">
              <w:rPr>
                <w:rFonts w:ascii="Book Antiqua" w:hAnsi="Book Antiqua"/>
                <w:color w:val="auto"/>
                <w:lang w:val="en-US"/>
              </w:rPr>
              <w:t xml:space="preserve">oor clinical outcome was associated with </w:t>
            </w:r>
            <w:r w:rsidRPr="006E7292">
              <w:rPr>
                <w:rFonts w:ascii="Book Antiqua" w:hAnsi="Book Antiqua"/>
                <w:color w:val="auto"/>
                <w:lang w:val="en-US"/>
              </w:rPr>
              <w:t>alterations</w:t>
            </w:r>
            <w:r w:rsidRPr="006E7292" w:rsidDel="00C26164">
              <w:rPr>
                <w:rFonts w:ascii="Book Antiqua" w:hAnsi="Book Antiqua"/>
                <w:color w:val="auto"/>
                <w:lang w:val="en-US"/>
              </w:rPr>
              <w:t xml:space="preserve"> in </w:t>
            </w:r>
            <w:r w:rsidRPr="006E7292">
              <w:rPr>
                <w:rFonts w:ascii="Book Antiqua" w:hAnsi="Book Antiqua"/>
                <w:color w:val="auto"/>
                <w:lang w:val="en-US"/>
              </w:rPr>
              <w:t xml:space="preserve">ctDNA of </w:t>
            </w:r>
            <w:r w:rsidRPr="006E7292" w:rsidDel="00C26164">
              <w:rPr>
                <w:rFonts w:ascii="Book Antiqua" w:hAnsi="Book Antiqua"/>
                <w:i/>
                <w:color w:val="auto"/>
                <w:lang w:val="en-US"/>
              </w:rPr>
              <w:t>BRCA2</w:t>
            </w:r>
            <w:r w:rsidRPr="006E7292" w:rsidDel="00C26164">
              <w:rPr>
                <w:rFonts w:ascii="Book Antiqua" w:hAnsi="Book Antiqua"/>
                <w:color w:val="auto"/>
                <w:lang w:val="en-US"/>
              </w:rPr>
              <w:t xml:space="preserve"> and </w:t>
            </w:r>
            <w:r w:rsidRPr="006E7292" w:rsidDel="00C26164">
              <w:rPr>
                <w:rFonts w:ascii="Book Antiqua" w:hAnsi="Book Antiqua"/>
                <w:i/>
                <w:color w:val="auto"/>
                <w:lang w:val="en-US"/>
              </w:rPr>
              <w:t>ATM</w:t>
            </w:r>
            <w:r w:rsidRPr="006E7292">
              <w:rPr>
                <w:rFonts w:ascii="Book Antiqua" w:hAnsi="Book Antiqua"/>
                <w:color w:val="auto"/>
                <w:lang w:val="en-US"/>
              </w:rPr>
              <w:t xml:space="preserve"> genes</w:t>
            </w:r>
          </w:p>
        </w:tc>
      </w:tr>
      <w:tr w:rsidR="00E225B4" w:rsidRPr="006E7292" w14:paraId="3DE0E02B" w14:textId="77777777" w:rsidTr="009F2021">
        <w:tc>
          <w:tcPr>
            <w:tcW w:w="0" w:type="auto"/>
          </w:tcPr>
          <w:p w14:paraId="26F87C1F" w14:textId="31DC2A19"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Kohli </w:t>
            </w:r>
            <w:r w:rsidRPr="006E7292">
              <w:rPr>
                <w:rFonts w:ascii="Book Antiqua" w:hAnsi="Book Antiqua" w:cs="Times New Roman"/>
                <w:i/>
              </w:rPr>
              <w:t>et al</w:t>
            </w:r>
            <w:r w:rsidRPr="006E7292">
              <w:rPr>
                <w:rFonts w:ascii="Book Antiqua" w:hAnsi="Book Antiqua" w:cs="Times New Roman"/>
                <w:vertAlign w:val="superscript"/>
              </w:rPr>
              <w:t>[25]</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5838D118" w14:textId="1F02C648"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dPCR for copy number gain of </w:t>
            </w:r>
            <w:r w:rsidRPr="006E7292">
              <w:rPr>
                <w:rFonts w:ascii="Book Antiqua" w:hAnsi="Book Antiqua" w:cs="Times New Roman"/>
                <w:i/>
              </w:rPr>
              <w:t>AR,</w:t>
            </w:r>
            <w:r w:rsidRPr="006E7292">
              <w:rPr>
                <w:rFonts w:ascii="Book Antiqua" w:eastAsia="宋体" w:hAnsi="Book Antiqua" w:cs="Times New Roman"/>
                <w:lang w:eastAsia="zh-CN"/>
              </w:rPr>
              <w:t xml:space="preserve"> </w:t>
            </w:r>
            <w:r w:rsidRPr="006E7292">
              <w:rPr>
                <w:rFonts w:ascii="Book Antiqua" w:hAnsi="Book Antiqua" w:cs="Times New Roman"/>
              </w:rPr>
              <w:t>mCRPC patients (</w:t>
            </w:r>
            <w:r w:rsidRPr="006E7292">
              <w:rPr>
                <w:rFonts w:ascii="Book Antiqua" w:hAnsi="Book Antiqua" w:cs="Times New Roman"/>
                <w:i/>
              </w:rPr>
              <w:t>n</w:t>
            </w:r>
            <w:r w:rsidRPr="006E7292">
              <w:rPr>
                <w:rFonts w:ascii="Book Antiqua" w:hAnsi="Book Antiqua" w:cs="Times New Roman"/>
              </w:rPr>
              <w:t xml:space="preserve"> = 92)</w:t>
            </w:r>
          </w:p>
        </w:tc>
        <w:tc>
          <w:tcPr>
            <w:tcW w:w="0" w:type="auto"/>
          </w:tcPr>
          <w:p w14:paraId="16BA603C" w14:textId="0F37F049"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In pre chemotherapy patients, </w:t>
            </w:r>
            <w:r w:rsidRPr="006E7292">
              <w:rPr>
                <w:rFonts w:ascii="Book Antiqua" w:hAnsi="Book Antiqua"/>
                <w:iCs/>
                <w:color w:val="auto"/>
                <w:lang w:val="en-US"/>
              </w:rPr>
              <w:t>the</w:t>
            </w:r>
            <w:r w:rsidRPr="006E7292">
              <w:rPr>
                <w:rFonts w:ascii="Book Antiqua" w:hAnsi="Book Antiqua"/>
                <w:i/>
                <w:color w:val="auto"/>
                <w:lang w:val="en-US"/>
              </w:rPr>
              <w:t xml:space="preserve"> AR</w:t>
            </w:r>
            <w:r w:rsidRPr="006E7292">
              <w:rPr>
                <w:rFonts w:ascii="Book Antiqua" w:hAnsi="Book Antiqua"/>
                <w:color w:val="auto"/>
                <w:lang w:val="en-US"/>
              </w:rPr>
              <w:t xml:space="preserve"> copy number gain found in ctDNA was associated with a worse outcome</w:t>
            </w:r>
          </w:p>
        </w:tc>
      </w:tr>
      <w:tr w:rsidR="00E225B4" w:rsidRPr="006E7292" w14:paraId="6E7F5A8B" w14:textId="77777777" w:rsidTr="009F2021">
        <w:tc>
          <w:tcPr>
            <w:tcW w:w="0" w:type="auto"/>
          </w:tcPr>
          <w:p w14:paraId="7704A337" w14:textId="6EAAAEA0"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Mehra </w:t>
            </w:r>
            <w:r w:rsidRPr="006E7292">
              <w:rPr>
                <w:rFonts w:ascii="Book Antiqua" w:hAnsi="Book Antiqua" w:cs="Times New Roman"/>
                <w:i/>
              </w:rPr>
              <w:t>et al</w:t>
            </w:r>
            <w:r w:rsidRPr="006E7292">
              <w:rPr>
                <w:rFonts w:ascii="Book Antiqua" w:hAnsi="Book Antiqua" w:cs="Times New Roman"/>
                <w:vertAlign w:val="superscript"/>
              </w:rPr>
              <w:t>[26]</w:t>
            </w:r>
            <w:r w:rsidRPr="006E7292">
              <w:rPr>
                <w:rFonts w:ascii="Book Antiqua" w:hAnsi="Book Antiqua" w:cs="Times New Roman"/>
              </w:rPr>
              <w:t>, 2018</w:t>
            </w:r>
          </w:p>
        </w:tc>
        <w:tc>
          <w:tcPr>
            <w:tcW w:w="0" w:type="auto"/>
          </w:tcPr>
          <w:p w14:paraId="0CC43973" w14:textId="301AE5CD"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w:t>
            </w:r>
            <w:r w:rsidRPr="006E7292">
              <w:rPr>
                <w:rFonts w:ascii="Book Antiqua" w:hAnsi="Book Antiqua" w:cs="Times New Roman"/>
                <w:bCs/>
              </w:rPr>
              <w:t>cfDNA quantity</w:t>
            </w:r>
            <w:r w:rsidRPr="006E7292">
              <w:rPr>
                <w:rFonts w:ascii="Book Antiqua" w:eastAsia="宋体" w:hAnsi="Book Antiqua" w:cs="Times New Roman"/>
                <w:lang w:eastAsia="zh-CN"/>
              </w:rPr>
              <w:t xml:space="preserve"> </w:t>
            </w:r>
            <w:r w:rsidRPr="006E7292">
              <w:rPr>
                <w:rFonts w:ascii="Book Antiqua" w:hAnsi="Book Antiqua" w:cs="Times New Roman"/>
              </w:rPr>
              <w:t xml:space="preserve">quant-IT picogreen HS DNA kit and a BioTek </w:t>
            </w:r>
            <w:r w:rsidRPr="006E7292">
              <w:rPr>
                <w:rFonts w:ascii="Book Antiqua" w:hAnsi="Book Antiqua" w:cs="Times New Roman"/>
              </w:rPr>
              <w:lastRenderedPageBreak/>
              <w:t>microplate spectrophotometer (480ex/520em).</w:t>
            </w:r>
            <w:r w:rsidR="00BE18A2" w:rsidRPr="006E7292">
              <w:rPr>
                <w:rFonts w:ascii="Book Antiqua" w:hAnsi="Book Antiqua" w:cs="Times New Roman"/>
              </w:rPr>
              <w:t xml:space="preserve"> </w:t>
            </w:r>
            <w:r w:rsidRPr="006E7292">
              <w:rPr>
                <w:rFonts w:ascii="Book Antiqua" w:hAnsi="Book Antiqua" w:cs="Times New Roman"/>
              </w:rPr>
              <w:t>mCRPC patients (</w:t>
            </w:r>
            <w:r w:rsidRPr="006E7292">
              <w:rPr>
                <w:rFonts w:ascii="Book Antiqua" w:hAnsi="Book Antiqua" w:cs="Times New Roman"/>
                <w:i/>
              </w:rPr>
              <w:t>n</w:t>
            </w:r>
            <w:r w:rsidRPr="006E7292">
              <w:rPr>
                <w:rFonts w:ascii="Book Antiqua" w:hAnsi="Book Antiqua" w:cs="Times New Roman"/>
              </w:rPr>
              <w:t xml:space="preserve"> = 571)</w:t>
            </w:r>
          </w:p>
        </w:tc>
        <w:tc>
          <w:tcPr>
            <w:tcW w:w="0" w:type="auto"/>
          </w:tcPr>
          <w:p w14:paraId="5EDC9989" w14:textId="7DA82494" w:rsidR="00E225B4" w:rsidRPr="006E7292" w:rsidRDefault="00E225B4">
            <w:pPr>
              <w:autoSpaceDE w:val="0"/>
              <w:autoSpaceDN w:val="0"/>
              <w:adjustRightInd w:val="0"/>
              <w:snapToGrid w:val="0"/>
              <w:spacing w:line="360" w:lineRule="auto"/>
              <w:rPr>
                <w:rFonts w:ascii="Book Antiqua" w:eastAsiaTheme="majorEastAsia" w:hAnsi="Book Antiqua"/>
                <w:b/>
                <w:bCs/>
                <w:i/>
                <w:iCs/>
              </w:rPr>
            </w:pPr>
            <w:r w:rsidRPr="006E7292">
              <w:rPr>
                <w:rFonts w:ascii="Book Antiqua" w:hAnsi="Book Antiqua" w:cs="Times New Roman"/>
              </w:rPr>
              <w:lastRenderedPageBreak/>
              <w:t>In multivariable analyses, log</w:t>
            </w:r>
            <w:r w:rsidRPr="006E7292">
              <w:rPr>
                <w:rFonts w:ascii="Book Antiqua" w:hAnsi="Book Antiqua" w:cs="Times New Roman"/>
                <w:vertAlign w:val="subscript"/>
              </w:rPr>
              <w:t>10</w:t>
            </w:r>
            <w:r w:rsidRPr="006E7292">
              <w:rPr>
                <w:rFonts w:ascii="Book Antiqua" w:hAnsi="Book Antiqua" w:cs="Times New Roman"/>
              </w:rPr>
              <w:t xml:space="preserve"> cfDNA concentration was found to be an independent prognostic variable for rPFS and OS: </w:t>
            </w:r>
            <w:r w:rsidRPr="006E7292">
              <w:rPr>
                <w:rFonts w:ascii="Book Antiqua" w:hAnsi="Book Antiqua" w:cs="Times New Roman"/>
              </w:rPr>
              <w:lastRenderedPageBreak/>
              <w:t>higher baseline concentrations associated with shorter rPFS and OS following taxane therapy. On the contrary, a decrease in total cfDNA concentration during the first 9 wk of treatment was associated with taxane therapy responsiveness</w:t>
            </w:r>
          </w:p>
        </w:tc>
      </w:tr>
      <w:tr w:rsidR="00E225B4" w:rsidRPr="006E7292" w14:paraId="68D1953A" w14:textId="77777777" w:rsidTr="009F2021">
        <w:tc>
          <w:tcPr>
            <w:tcW w:w="0" w:type="auto"/>
          </w:tcPr>
          <w:p w14:paraId="26C16BE0" w14:textId="7EEA9C85"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Seyedolmohadessin </w:t>
            </w:r>
            <w:r w:rsidRPr="006E7292">
              <w:rPr>
                <w:rFonts w:ascii="Book Antiqua" w:hAnsi="Book Antiqua" w:cs="Times New Roman"/>
                <w:i/>
              </w:rPr>
              <w:t>et al</w:t>
            </w:r>
            <w:r w:rsidRPr="006E7292">
              <w:rPr>
                <w:rFonts w:ascii="Book Antiqua" w:hAnsi="Book Antiqua" w:cs="Times New Roman"/>
                <w:vertAlign w:val="superscript"/>
              </w:rPr>
              <w:t>[27]</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0447F667" w14:textId="7BDA9163"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w:t>
            </w:r>
            <w:r w:rsidRPr="006E7292">
              <w:rPr>
                <w:rFonts w:ascii="Book Antiqua" w:hAnsi="Book Antiqua" w:cs="Times New Roman"/>
                <w:bCs/>
              </w:rPr>
              <w:t>cfDNA quantity</w:t>
            </w:r>
            <w:r w:rsidRPr="006E7292">
              <w:rPr>
                <w:rFonts w:ascii="Book Antiqua" w:hAnsi="Book Antiqua" w:cs="Times New Roman"/>
              </w:rPr>
              <w:t xml:space="preserve"> NanoDrop, Localized PCa (</w:t>
            </w:r>
            <w:r w:rsidRPr="006E7292">
              <w:rPr>
                <w:rFonts w:ascii="Book Antiqua" w:hAnsi="Book Antiqua" w:cs="Times New Roman"/>
                <w:i/>
              </w:rPr>
              <w:t>n</w:t>
            </w:r>
            <w:r w:rsidRPr="006E7292">
              <w:rPr>
                <w:rFonts w:ascii="Book Antiqua" w:hAnsi="Book Antiqua" w:cs="Times New Roman"/>
              </w:rPr>
              <w:t xml:space="preserve"> = 50), metastatic PCa (</w:t>
            </w:r>
            <w:r w:rsidRPr="006E7292">
              <w:rPr>
                <w:rFonts w:ascii="Book Antiqua" w:hAnsi="Book Antiqua" w:cs="Times New Roman"/>
                <w:i/>
              </w:rPr>
              <w:t xml:space="preserve">n </w:t>
            </w:r>
            <w:r w:rsidRPr="006E7292">
              <w:rPr>
                <w:rFonts w:ascii="Book Antiqua" w:hAnsi="Book Antiqua" w:cs="Times New Roman"/>
              </w:rPr>
              <w:t>= 26) and healthy controls (</w:t>
            </w:r>
            <w:r w:rsidRPr="006E7292">
              <w:rPr>
                <w:rFonts w:ascii="Book Antiqua" w:hAnsi="Book Antiqua" w:cs="Times New Roman"/>
                <w:i/>
              </w:rPr>
              <w:t>n</w:t>
            </w:r>
            <w:r w:rsidRPr="006E7292">
              <w:rPr>
                <w:rFonts w:ascii="Book Antiqua" w:hAnsi="Book Antiqua" w:cs="Times New Roman"/>
              </w:rPr>
              <w:t xml:space="preserve"> = 10)</w:t>
            </w:r>
          </w:p>
        </w:tc>
        <w:tc>
          <w:tcPr>
            <w:tcW w:w="0" w:type="auto"/>
          </w:tcPr>
          <w:p w14:paraId="57C46E03" w14:textId="4D76E6AB"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bCs/>
              </w:rPr>
              <w:t>The cfDNA level was significantly higher in metastatic PCa patients (</w:t>
            </w:r>
            <w:r w:rsidRPr="006E7292">
              <w:rPr>
                <w:rFonts w:ascii="Book Antiqua" w:hAnsi="Book Antiqua" w:cs="Times New Roman"/>
              </w:rPr>
              <w:t>19.62 ng/μL</w:t>
            </w:r>
            <w:r w:rsidRPr="006E7292">
              <w:rPr>
                <w:rFonts w:ascii="Book Antiqua" w:hAnsi="Book Antiqua" w:cs="Times New Roman"/>
                <w:bCs/>
              </w:rPr>
              <w:t>) with respect to localized PCa (</w:t>
            </w:r>
            <w:r w:rsidRPr="006E7292">
              <w:rPr>
                <w:rFonts w:ascii="Book Antiqua" w:hAnsi="Book Antiqua" w:cs="Times New Roman"/>
              </w:rPr>
              <w:t>15.4 ng/μL</w:t>
            </w:r>
            <w:r w:rsidRPr="006E7292">
              <w:rPr>
                <w:rFonts w:ascii="Book Antiqua" w:hAnsi="Book Antiqua" w:cs="Times New Roman"/>
                <w:bCs/>
              </w:rPr>
              <w:t>) and BPH patients (</w:t>
            </w:r>
            <w:r w:rsidRPr="006E7292">
              <w:rPr>
                <w:rFonts w:ascii="Book Antiqua" w:hAnsi="Book Antiqua" w:cs="Times New Roman"/>
              </w:rPr>
              <w:t>9.5 ng/μL</w:t>
            </w:r>
            <w:r w:rsidRPr="006E7292">
              <w:rPr>
                <w:rFonts w:ascii="Book Antiqua" w:hAnsi="Book Antiqua" w:cs="Times New Roman"/>
                <w:bCs/>
              </w:rPr>
              <w:t>); healthy controls had the lowest value (8.</w:t>
            </w:r>
            <w:r w:rsidRPr="006E7292">
              <w:rPr>
                <w:rFonts w:ascii="Book Antiqua" w:hAnsi="Book Antiqua" w:cs="Times New Roman"/>
              </w:rPr>
              <w:t xml:space="preserve">7 </w:t>
            </w:r>
            <w:r w:rsidRPr="006E7292">
              <w:rPr>
                <w:rFonts w:ascii="Book Antiqua" w:hAnsi="Book Antiqua" w:cs="Times New Roman"/>
                <w:bCs/>
              </w:rPr>
              <w:t>ng/μL)</w:t>
            </w:r>
          </w:p>
        </w:tc>
      </w:tr>
      <w:tr w:rsidR="00E225B4" w:rsidRPr="006E7292" w14:paraId="0704CA2A" w14:textId="77777777" w:rsidTr="009F2021">
        <w:tc>
          <w:tcPr>
            <w:tcW w:w="0" w:type="auto"/>
          </w:tcPr>
          <w:p w14:paraId="4B56B4FA" w14:textId="67101700"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Belic </w:t>
            </w:r>
            <w:r w:rsidRPr="006E7292">
              <w:rPr>
                <w:rFonts w:ascii="Book Antiqua" w:hAnsi="Book Antiqua" w:cs="Times New Roman"/>
                <w:i/>
              </w:rPr>
              <w:t>et al</w:t>
            </w:r>
            <w:r w:rsidRPr="006E7292">
              <w:rPr>
                <w:rFonts w:ascii="Book Antiqua" w:hAnsi="Book Antiqua" w:cs="Times New Roman"/>
                <w:vertAlign w:val="superscript"/>
              </w:rPr>
              <w:t>[28]</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6CE73291" w14:textId="6781081C"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deep AR sequencing, Illumina MiSeq; whole genome sequencing and targeted sequencing. </w:t>
            </w:r>
            <w:r w:rsidRPr="006E7292">
              <w:rPr>
                <w:rFonts w:ascii="Book Antiqua" w:hAnsi="Book Antiqua"/>
              </w:rPr>
              <w:t>Somatic copy number alteration,</w:t>
            </w:r>
            <w:r w:rsidRPr="006E7292">
              <w:rPr>
                <w:rFonts w:ascii="Book Antiqua" w:eastAsia="宋体" w:hAnsi="Book Antiqua" w:cs="Times New Roman"/>
                <w:lang w:eastAsia="zh-CN"/>
              </w:rPr>
              <w:t xml:space="preserve"> </w:t>
            </w:r>
            <w:r w:rsidRPr="006E7292">
              <w:rPr>
                <w:rFonts w:ascii="Book Antiqua" w:hAnsi="Book Antiqua" w:cs="Times New Roman"/>
              </w:rPr>
              <w:t>mCRPC patients (</w:t>
            </w:r>
            <w:r w:rsidRPr="006E7292">
              <w:rPr>
                <w:rFonts w:ascii="Book Antiqua" w:hAnsi="Book Antiqua" w:cs="Times New Roman"/>
                <w:i/>
              </w:rPr>
              <w:t>n</w:t>
            </w:r>
            <w:r w:rsidRPr="006E7292">
              <w:rPr>
                <w:rFonts w:ascii="Book Antiqua" w:hAnsi="Book Antiqua" w:cs="Times New Roman"/>
              </w:rPr>
              <w:t xml:space="preserve"> = 65)</w:t>
            </w:r>
          </w:p>
        </w:tc>
        <w:tc>
          <w:tcPr>
            <w:tcW w:w="0" w:type="auto"/>
          </w:tcPr>
          <w:p w14:paraId="7C8BD763" w14:textId="70D35600" w:rsidR="00E225B4" w:rsidRPr="006E7292" w:rsidRDefault="00E225B4">
            <w:pPr>
              <w:widowControl w:val="0"/>
              <w:autoSpaceDE w:val="0"/>
              <w:autoSpaceDN w:val="0"/>
              <w:adjustRightInd w:val="0"/>
              <w:snapToGrid w:val="0"/>
              <w:spacing w:line="360" w:lineRule="auto"/>
              <w:rPr>
                <w:rFonts w:ascii="Book Antiqua" w:hAnsi="Book Antiqua" w:cs="Times New Roman"/>
                <w:bCs/>
              </w:rPr>
            </w:pPr>
            <w:r w:rsidRPr="006E7292">
              <w:rPr>
                <w:rFonts w:ascii="Book Antiqua" w:hAnsi="Book Antiqua" w:cs="Times New Roman"/>
                <w:iCs/>
              </w:rPr>
              <w:t>In ctDNA</w:t>
            </w:r>
            <w:r w:rsidRPr="006E7292">
              <w:rPr>
                <w:rFonts w:ascii="Book Antiqua" w:hAnsi="Book Antiqua" w:cs="Times New Roman"/>
                <w:i/>
              </w:rPr>
              <w:t>, AR</w:t>
            </w:r>
            <w:r w:rsidRPr="006E7292">
              <w:rPr>
                <w:rFonts w:ascii="Book Antiqua" w:hAnsi="Book Antiqua" w:cs="Times New Roman"/>
              </w:rPr>
              <w:t xml:space="preserve"> mutations and copy number alteration were found in most cases. </w:t>
            </w:r>
            <w:r w:rsidRPr="006E7292">
              <w:rPr>
                <w:rFonts w:ascii="Book Antiqua" w:hAnsi="Book Antiqua" w:cs="Times New Roman"/>
                <w:i/>
              </w:rPr>
              <w:t>AR</w:t>
            </w:r>
            <w:r w:rsidRPr="006E7292">
              <w:rPr>
                <w:rFonts w:ascii="Book Antiqua" w:hAnsi="Book Antiqua" w:cs="Times New Roman"/>
              </w:rPr>
              <w:t xml:space="preserve"> amplification and </w:t>
            </w:r>
            <w:r w:rsidRPr="006E7292">
              <w:rPr>
                <w:rFonts w:ascii="Book Antiqua" w:hAnsi="Book Antiqua" w:cs="Times New Roman"/>
                <w:i/>
              </w:rPr>
              <w:t>RB1</w:t>
            </w:r>
            <w:r w:rsidRPr="006E7292">
              <w:rPr>
                <w:rFonts w:ascii="Book Antiqua" w:hAnsi="Book Antiqua" w:cs="Times New Roman"/>
              </w:rPr>
              <w:t xml:space="preserve"> loss were associated with worse PFS. SCNA was therefore a biomarker for disease progression</w:t>
            </w:r>
          </w:p>
        </w:tc>
      </w:tr>
      <w:tr w:rsidR="00E225B4" w:rsidRPr="006E7292" w14:paraId="73B123A5" w14:textId="77777777" w:rsidTr="009F2021">
        <w:tc>
          <w:tcPr>
            <w:tcW w:w="0" w:type="auto"/>
          </w:tcPr>
          <w:p w14:paraId="5DCC6142" w14:textId="50ADBB3E"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Hendriks </w:t>
            </w:r>
            <w:r w:rsidRPr="006E7292">
              <w:rPr>
                <w:rFonts w:ascii="Book Antiqua" w:hAnsi="Book Antiqua" w:cs="Times New Roman"/>
                <w:i/>
              </w:rPr>
              <w:t>et al</w:t>
            </w:r>
            <w:r w:rsidRPr="006E7292">
              <w:rPr>
                <w:rFonts w:ascii="Book Antiqua" w:hAnsi="Book Antiqua" w:cs="Times New Roman"/>
                <w:vertAlign w:val="superscript"/>
              </w:rPr>
              <w:t>[29]</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3300CFC4" w14:textId="05384F4B" w:rsidR="00E225B4" w:rsidRPr="006E7292" w:rsidRDefault="00E225B4" w:rsidP="00EF7A13">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Plasma, Methylation-specific qPCR and copy number of GSTP1 and APC genes,</w:t>
            </w:r>
            <w:r w:rsidRPr="006E7292">
              <w:rPr>
                <w:rFonts w:ascii="Book Antiqua" w:eastAsia="宋体" w:hAnsi="Book Antiqua" w:cs="Times New Roman"/>
                <w:lang w:eastAsia="zh-CN"/>
              </w:rPr>
              <w:t xml:space="preserve"> </w:t>
            </w:r>
            <w:r w:rsidRPr="006E7292">
              <w:rPr>
                <w:rFonts w:ascii="Book Antiqua" w:hAnsi="Book Antiqua" w:cs="Times New Roman"/>
              </w:rPr>
              <w:t>CRPC patients (</w:t>
            </w:r>
            <w:r w:rsidRPr="006E7292">
              <w:rPr>
                <w:rFonts w:ascii="Book Antiqua" w:hAnsi="Book Antiqua" w:cs="Times New Roman"/>
                <w:i/>
              </w:rPr>
              <w:t>n</w:t>
            </w:r>
            <w:r w:rsidRPr="006E7292">
              <w:rPr>
                <w:rFonts w:ascii="Book Antiqua" w:hAnsi="Book Antiqua" w:cs="Times New Roman"/>
              </w:rPr>
              <w:t xml:space="preserve"> = 47), controls (</w:t>
            </w:r>
            <w:r w:rsidRPr="006E7292">
              <w:rPr>
                <w:rFonts w:ascii="Book Antiqua" w:hAnsi="Book Antiqua" w:cs="Times New Roman"/>
                <w:i/>
              </w:rPr>
              <w:t>n</w:t>
            </w:r>
            <w:r w:rsidRPr="006E7292">
              <w:rPr>
                <w:rFonts w:ascii="Book Antiqua" w:hAnsi="Book Antiqua" w:cs="Times New Roman"/>
              </w:rPr>
              <w:t xml:space="preserve"> = 30)</w:t>
            </w:r>
          </w:p>
        </w:tc>
        <w:tc>
          <w:tcPr>
            <w:tcW w:w="0" w:type="auto"/>
          </w:tcPr>
          <w:p w14:paraId="52A43B6D" w14:textId="3EF9D828"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In CRPC patients the cfDNA quantity was significantly hig</w:t>
            </w:r>
            <w:r w:rsidR="00142626" w:rsidRPr="006E7292">
              <w:rPr>
                <w:rFonts w:ascii="Book Antiqua" w:hAnsi="Book Antiqua" w:cs="Times New Roman"/>
              </w:rPr>
              <w:t xml:space="preserve">her than age-matched controls. </w:t>
            </w:r>
            <w:r w:rsidRPr="006E7292">
              <w:rPr>
                <w:rFonts w:ascii="Book Antiqua" w:hAnsi="Book Antiqua" w:cs="Times New Roman"/>
              </w:rPr>
              <w:t xml:space="preserve">At baseline, </w:t>
            </w:r>
            <w:r w:rsidRPr="006E7292">
              <w:rPr>
                <w:rFonts w:ascii="Book Antiqua" w:hAnsi="Book Antiqua" w:cs="Times New Roman"/>
                <w:i/>
              </w:rPr>
              <w:t xml:space="preserve">GSTP1 </w:t>
            </w:r>
            <w:r w:rsidRPr="006E7292">
              <w:rPr>
                <w:rFonts w:ascii="Book Antiqua" w:hAnsi="Book Antiqua" w:cs="Times New Roman"/>
              </w:rPr>
              <w:t>was hypermethyl</w:t>
            </w:r>
            <w:r w:rsidR="00437CFF" w:rsidRPr="006E7292">
              <w:rPr>
                <w:rFonts w:ascii="Book Antiqua" w:hAnsi="Book Antiqua" w:cs="Times New Roman"/>
              </w:rPr>
              <w:t>at</w:t>
            </w:r>
            <w:r w:rsidRPr="006E7292">
              <w:rPr>
                <w:rFonts w:ascii="Book Antiqua" w:hAnsi="Book Antiqua" w:cs="Times New Roman"/>
              </w:rPr>
              <w:t xml:space="preserve">ed in patients. Both the copy number of methylated GSTP1 and APC were higher in patients than healthy controls. The increase of cfDNA levels, either each one of the methylated gene copies individually or together (GSTP1 + APC) or together with PSA (GSTP1 + APV + PSA), all </w:t>
            </w:r>
            <w:r w:rsidRPr="006E7292">
              <w:rPr>
                <w:rFonts w:ascii="Book Antiqua" w:hAnsi="Book Antiqua" w:cs="Times New Roman"/>
              </w:rPr>
              <w:lastRenderedPageBreak/>
              <w:t>correlated with decreased OS</w:t>
            </w:r>
          </w:p>
        </w:tc>
      </w:tr>
      <w:tr w:rsidR="00E225B4" w:rsidRPr="006E7292" w14:paraId="3AAA3960" w14:textId="77777777" w:rsidTr="009F2021">
        <w:tc>
          <w:tcPr>
            <w:tcW w:w="0" w:type="auto"/>
          </w:tcPr>
          <w:p w14:paraId="6DB1768A" w14:textId="1763D235"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 Wyatt </w:t>
            </w:r>
            <w:r w:rsidRPr="006E7292">
              <w:rPr>
                <w:rFonts w:ascii="Book Antiqua" w:hAnsi="Book Antiqua" w:cs="Times New Roman"/>
                <w:i/>
              </w:rPr>
              <w:t>et al</w:t>
            </w:r>
            <w:r w:rsidRPr="006E7292">
              <w:rPr>
                <w:rFonts w:ascii="Book Antiqua" w:hAnsi="Book Antiqua" w:cs="Times New Roman"/>
                <w:vertAlign w:val="superscript"/>
              </w:rPr>
              <w:t>[30]</w:t>
            </w:r>
            <w:r w:rsidRPr="006E7292">
              <w:rPr>
                <w:rFonts w:ascii="Book Antiqua" w:hAnsi="Book Antiqua" w:cs="Times New Roman"/>
                <w:i/>
              </w:rPr>
              <w:t xml:space="preserve">, </w:t>
            </w:r>
            <w:r w:rsidRPr="006E7292">
              <w:rPr>
                <w:rFonts w:ascii="Book Antiqua" w:hAnsi="Book Antiqua" w:cs="Times New Roman"/>
              </w:rPr>
              <w:t>2017</w:t>
            </w:r>
          </w:p>
        </w:tc>
        <w:tc>
          <w:tcPr>
            <w:tcW w:w="0" w:type="auto"/>
          </w:tcPr>
          <w:p w14:paraId="695067EB" w14:textId="31945FCC" w:rsidR="00E225B4" w:rsidRPr="006E7292" w:rsidRDefault="00E225B4" w:rsidP="00EF7A13">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targeted sequencing</w:t>
            </w:r>
            <w:r w:rsidRPr="006E7292">
              <w:rPr>
                <w:rFonts w:ascii="Book Antiqua" w:eastAsia="宋体" w:hAnsi="Book Antiqua" w:cs="Times New Roman"/>
                <w:lang w:eastAsia="zh-CN"/>
              </w:rPr>
              <w:t xml:space="preserve">, </w:t>
            </w:r>
            <w:r w:rsidRPr="006E7292">
              <w:rPr>
                <w:rFonts w:ascii="Book Antiqua" w:hAnsi="Book Antiqua" w:cs="Times New Roman"/>
              </w:rPr>
              <w:t>Somatic copy number alteration, mCRPC (</w:t>
            </w:r>
            <w:r w:rsidRPr="006E7292">
              <w:rPr>
                <w:rFonts w:ascii="Book Antiqua" w:hAnsi="Book Antiqua" w:cs="Times New Roman"/>
                <w:i/>
              </w:rPr>
              <w:t>n</w:t>
            </w:r>
            <w:r w:rsidRPr="006E7292">
              <w:rPr>
                <w:rFonts w:ascii="Book Antiqua" w:hAnsi="Book Antiqua" w:cs="Times New Roman"/>
              </w:rPr>
              <w:t xml:space="preserve"> = 45)</w:t>
            </w:r>
          </w:p>
        </w:tc>
        <w:tc>
          <w:tcPr>
            <w:tcW w:w="0" w:type="auto"/>
          </w:tcPr>
          <w:p w14:paraId="4CAF89D9" w14:textId="5C21108F" w:rsidR="00E225B4" w:rsidRPr="006E7292" w:rsidRDefault="00E225B4" w:rsidP="00EF7A13">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The study proved a correspond</w:t>
            </w:r>
            <w:r w:rsidR="00437CFF" w:rsidRPr="006E7292">
              <w:rPr>
                <w:rFonts w:ascii="Book Antiqua" w:hAnsi="Book Antiqua" w:cs="Times New Roman"/>
              </w:rPr>
              <w:t>e</w:t>
            </w:r>
            <w:r w:rsidRPr="006E7292">
              <w:rPr>
                <w:rFonts w:ascii="Book Antiqua" w:hAnsi="Book Antiqua" w:cs="Times New Roman"/>
              </w:rPr>
              <w:t xml:space="preserve">nce between SCNA in ctDNA and matched tissues. Such SCNA genes included </w:t>
            </w:r>
            <w:r w:rsidRPr="006E7292">
              <w:rPr>
                <w:rFonts w:ascii="Book Antiqua" w:hAnsi="Book Antiqua" w:cs="Times New Roman"/>
                <w:i/>
              </w:rPr>
              <w:t xml:space="preserve">AR, BRCA2, ATM, PTEN, PIK3CA, PIK3CB, PIK3R1, TP53, </w:t>
            </w:r>
            <w:r w:rsidRPr="006E7292">
              <w:rPr>
                <w:rFonts w:ascii="Book Antiqua" w:hAnsi="Book Antiqua" w:cs="Times New Roman"/>
              </w:rPr>
              <w:t xml:space="preserve">and </w:t>
            </w:r>
            <w:r w:rsidRPr="006E7292">
              <w:rPr>
                <w:rFonts w:ascii="Book Antiqua" w:hAnsi="Book Antiqua" w:cs="Times New Roman"/>
                <w:i/>
              </w:rPr>
              <w:t>RB1</w:t>
            </w:r>
          </w:p>
        </w:tc>
      </w:tr>
      <w:tr w:rsidR="00E225B4" w:rsidRPr="006E7292" w14:paraId="0A5DB8E7" w14:textId="77777777" w:rsidTr="009F2021">
        <w:tc>
          <w:tcPr>
            <w:tcW w:w="0" w:type="auto"/>
          </w:tcPr>
          <w:p w14:paraId="2F67DD8F" w14:textId="183A8B5A"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Rathkopf </w:t>
            </w:r>
            <w:r w:rsidRPr="006E7292">
              <w:rPr>
                <w:rFonts w:ascii="Book Antiqua" w:hAnsi="Book Antiqua" w:cs="Times New Roman"/>
                <w:i/>
              </w:rPr>
              <w:t>et al</w:t>
            </w:r>
            <w:r w:rsidRPr="006E7292">
              <w:rPr>
                <w:rFonts w:ascii="Book Antiqua" w:hAnsi="Book Antiqua" w:cs="Times New Roman"/>
                <w:vertAlign w:val="superscript"/>
              </w:rPr>
              <w:t>[31]</w:t>
            </w:r>
            <w:r w:rsidRPr="006E7292">
              <w:rPr>
                <w:rFonts w:ascii="Book Antiqua" w:hAnsi="Book Antiqua" w:cs="Times New Roman"/>
              </w:rPr>
              <w:t>, 2017</w:t>
            </w:r>
          </w:p>
        </w:tc>
        <w:tc>
          <w:tcPr>
            <w:tcW w:w="0" w:type="auto"/>
          </w:tcPr>
          <w:p w14:paraId="4406D197" w14:textId="4AD5F27C"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Plasma, dPCR of 11 relevant AR-ligand binding domain mutations.</w:t>
            </w:r>
            <w:r w:rsidRPr="006E7292">
              <w:rPr>
                <w:rFonts w:ascii="Book Antiqua" w:eastAsia="宋体" w:hAnsi="Book Antiqua" w:cs="Times New Roman"/>
                <w:lang w:eastAsia="zh-CN"/>
              </w:rPr>
              <w:t xml:space="preserve"> </w:t>
            </w:r>
            <w:r w:rsidRPr="006E7292">
              <w:rPr>
                <w:rFonts w:ascii="Book Antiqua" w:hAnsi="Book Antiqua" w:cs="Times New Roman"/>
              </w:rPr>
              <w:t>Non-metastatic CRPC (</w:t>
            </w:r>
            <w:r w:rsidRPr="006E7292">
              <w:rPr>
                <w:rFonts w:ascii="Book Antiqua" w:hAnsi="Book Antiqua" w:cs="Times New Roman"/>
                <w:i/>
              </w:rPr>
              <w:t>n</w:t>
            </w:r>
            <w:r w:rsidRPr="006E7292">
              <w:rPr>
                <w:rFonts w:ascii="Book Antiqua" w:hAnsi="Book Antiqua" w:cs="Times New Roman"/>
              </w:rPr>
              <w:t xml:space="preserve"> = 51),</w:t>
            </w:r>
            <w:r w:rsidRPr="006E7292">
              <w:rPr>
                <w:rFonts w:ascii="Book Antiqua" w:eastAsia="宋体" w:hAnsi="Book Antiqua" w:cs="Times New Roman"/>
                <w:lang w:eastAsia="zh-CN"/>
              </w:rPr>
              <w:t xml:space="preserve"> </w:t>
            </w:r>
            <w:r w:rsidRPr="006E7292">
              <w:rPr>
                <w:rFonts w:ascii="Book Antiqua" w:hAnsi="Book Antiqua" w:cs="Times New Roman"/>
              </w:rPr>
              <w:t>AAP-näive mCRPC (</w:t>
            </w:r>
            <w:r w:rsidRPr="006E7292">
              <w:rPr>
                <w:rFonts w:ascii="Book Antiqua" w:hAnsi="Book Antiqua" w:cs="Times New Roman"/>
                <w:i/>
              </w:rPr>
              <w:t>n</w:t>
            </w:r>
            <w:r w:rsidRPr="006E7292">
              <w:rPr>
                <w:rFonts w:ascii="Book Antiqua" w:hAnsi="Book Antiqua" w:cs="Times New Roman"/>
              </w:rPr>
              <w:t xml:space="preserve"> = 25), post-AAP (</w:t>
            </w:r>
            <w:r w:rsidRPr="006E7292">
              <w:rPr>
                <w:rFonts w:ascii="Book Antiqua" w:hAnsi="Book Antiqua" w:cs="Times New Roman"/>
                <w:i/>
              </w:rPr>
              <w:t>n</w:t>
            </w:r>
            <w:r w:rsidRPr="006E7292">
              <w:rPr>
                <w:rFonts w:ascii="Book Antiqua" w:hAnsi="Book Antiqua" w:cs="Times New Roman"/>
              </w:rPr>
              <w:t xml:space="preserve"> = 21)</w:t>
            </w:r>
          </w:p>
        </w:tc>
        <w:tc>
          <w:tcPr>
            <w:tcW w:w="0" w:type="auto"/>
          </w:tcPr>
          <w:p w14:paraId="54A36991" w14:textId="631CF370"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In ctDNA, the </w:t>
            </w:r>
            <w:r w:rsidRPr="006E7292">
              <w:rPr>
                <w:rFonts w:ascii="Book Antiqua" w:hAnsi="Book Antiqua" w:cs="Times New Roman"/>
                <w:i/>
              </w:rPr>
              <w:t>AR-LBD</w:t>
            </w:r>
            <w:r w:rsidRPr="006E7292">
              <w:rPr>
                <w:rFonts w:ascii="Book Antiqua" w:hAnsi="Book Antiqua" w:cs="Times New Roman"/>
              </w:rPr>
              <w:t xml:space="preserve"> mutations were found to be low at baseline (7.5%) and progression (7.3%). The </w:t>
            </w:r>
            <w:r w:rsidRPr="006E7292">
              <w:rPr>
                <w:rFonts w:ascii="Book Antiqua" w:hAnsi="Book Antiqua" w:cs="Times New Roman"/>
                <w:i/>
              </w:rPr>
              <w:t>AR-LBD</w:t>
            </w:r>
            <w:r w:rsidRPr="006E7292">
              <w:rPr>
                <w:rFonts w:ascii="Book Antiqua" w:hAnsi="Book Antiqua" w:cs="Times New Roman"/>
              </w:rPr>
              <w:t xml:space="preserve"> mutations did not correlate with the </w:t>
            </w:r>
            <w:r w:rsidRPr="006E7292">
              <w:rPr>
                <w:rFonts w:ascii="Book Antiqua" w:hAnsi="Book Antiqua" w:cs="Times New Roman"/>
                <w:i/>
              </w:rPr>
              <w:t>de novo</w:t>
            </w:r>
            <w:r w:rsidRPr="006E7292">
              <w:rPr>
                <w:rFonts w:ascii="Book Antiqua" w:hAnsi="Book Antiqua" w:cs="Times New Roman"/>
              </w:rPr>
              <w:t xml:space="preserve"> resistance to apalutamide</w:t>
            </w:r>
          </w:p>
        </w:tc>
      </w:tr>
      <w:tr w:rsidR="00E225B4" w:rsidRPr="006E7292" w14:paraId="6E67E9E9" w14:textId="77777777" w:rsidTr="009F2021">
        <w:tc>
          <w:tcPr>
            <w:tcW w:w="0" w:type="auto"/>
          </w:tcPr>
          <w:p w14:paraId="488B2725" w14:textId="3E19F7B1"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Goodall </w:t>
            </w:r>
            <w:r w:rsidRPr="006E7292">
              <w:rPr>
                <w:rFonts w:ascii="Book Antiqua" w:hAnsi="Book Antiqua" w:cs="Times New Roman"/>
                <w:i/>
              </w:rPr>
              <w:t>et al</w:t>
            </w:r>
            <w:r w:rsidRPr="006E7292">
              <w:rPr>
                <w:rFonts w:ascii="Book Antiqua" w:hAnsi="Book Antiqua" w:cs="Times New Roman"/>
                <w:vertAlign w:val="superscript"/>
              </w:rPr>
              <w:t>[32]</w:t>
            </w:r>
            <w:r w:rsidRPr="006E7292">
              <w:rPr>
                <w:rFonts w:ascii="Book Antiqua" w:hAnsi="Book Antiqua" w:cs="Times New Roman"/>
              </w:rPr>
              <w:t>, 2017</w:t>
            </w:r>
          </w:p>
        </w:tc>
        <w:tc>
          <w:tcPr>
            <w:tcW w:w="0" w:type="auto"/>
          </w:tcPr>
          <w:p w14:paraId="04475C23" w14:textId="7B85177C" w:rsidR="00E225B4" w:rsidRPr="006E7292" w:rsidRDefault="00E225B4" w:rsidP="00EF7A13">
            <w:pPr>
              <w:snapToGrid w:val="0"/>
              <w:spacing w:line="360" w:lineRule="auto"/>
              <w:rPr>
                <w:rFonts w:ascii="Book Antiqua" w:eastAsia="Times New Roman" w:hAnsi="Book Antiqua" w:cs="Times New Roman"/>
              </w:rPr>
            </w:pPr>
            <w:r w:rsidRPr="006E7292">
              <w:rPr>
                <w:rFonts w:ascii="Book Antiqua" w:hAnsi="Book Antiqua" w:cs="Times New Roman"/>
              </w:rPr>
              <w:t xml:space="preserve">Plasma, Quant-iT, </w:t>
            </w:r>
            <w:r w:rsidRPr="006E7292">
              <w:rPr>
                <w:rFonts w:ascii="Book Antiqua" w:hAnsi="Book Antiqua"/>
              </w:rPr>
              <w:t>whole exome sequencing and targeted sequencing. Targeted genes, mCRPC patients (</w:t>
            </w:r>
            <w:r w:rsidRPr="006E7292">
              <w:rPr>
                <w:rFonts w:ascii="Book Antiqua" w:hAnsi="Book Antiqua"/>
                <w:i/>
              </w:rPr>
              <w:t>n</w:t>
            </w:r>
            <w:r w:rsidRPr="006E7292">
              <w:rPr>
                <w:rFonts w:ascii="Book Antiqua" w:hAnsi="Book Antiqua"/>
              </w:rPr>
              <w:t xml:space="preserve"> = 49)</w:t>
            </w:r>
          </w:p>
        </w:tc>
        <w:tc>
          <w:tcPr>
            <w:tcW w:w="0" w:type="auto"/>
          </w:tcPr>
          <w:p w14:paraId="47A9844B" w14:textId="563148EC" w:rsidR="00E225B4" w:rsidRPr="006E7292" w:rsidRDefault="00E225B4">
            <w:pPr>
              <w:keepNext/>
              <w:keepLines/>
              <w:snapToGrid w:val="0"/>
              <w:spacing w:line="360" w:lineRule="auto"/>
              <w:outlineLvl w:val="3"/>
              <w:rPr>
                <w:rFonts w:ascii="Book Antiqua" w:hAnsi="Book Antiqua" w:cs="Times New Roman"/>
              </w:rPr>
            </w:pPr>
            <w:r w:rsidRPr="006E7292">
              <w:rPr>
                <w:rFonts w:ascii="Book Antiqua" w:hAnsi="Book Antiqua" w:cs="Times New Roman"/>
              </w:rPr>
              <w:t xml:space="preserve">At multivariate analysis, the cfDNA concentration was an independent prognostic biomarker: ≥ 50% reduction in cfDNA levels related to longer rPFS and OS. The ctDNA germline and somatic alterations in </w:t>
            </w:r>
            <w:r w:rsidRPr="006E7292">
              <w:rPr>
                <w:rFonts w:ascii="Book Antiqua" w:hAnsi="Book Antiqua" w:cs="Times New Roman"/>
                <w:i/>
              </w:rPr>
              <w:t>BRCA2</w:t>
            </w:r>
            <w:r w:rsidRPr="006E7292">
              <w:rPr>
                <w:rFonts w:ascii="Book Antiqua" w:hAnsi="Book Antiqua" w:cs="Times New Roman"/>
              </w:rPr>
              <w:t xml:space="preserve"> and </w:t>
            </w:r>
            <w:r w:rsidRPr="006E7292">
              <w:rPr>
                <w:rFonts w:ascii="Book Antiqua" w:hAnsi="Book Antiqua" w:cs="Times New Roman"/>
                <w:i/>
              </w:rPr>
              <w:t>PALB2</w:t>
            </w:r>
            <w:r w:rsidRPr="006E7292">
              <w:rPr>
                <w:rFonts w:ascii="Book Antiqua" w:hAnsi="Book Antiqua" w:cs="Times New Roman"/>
              </w:rPr>
              <w:t xml:space="preserve"> repair genes were found in ctDNA. All mutations found in the tissue were also detectable in ctDNA</w:t>
            </w:r>
          </w:p>
        </w:tc>
      </w:tr>
      <w:tr w:rsidR="00E225B4" w:rsidRPr="006E7292" w14:paraId="30BF7C99" w14:textId="77777777" w:rsidTr="009F2021">
        <w:tc>
          <w:tcPr>
            <w:tcW w:w="0" w:type="auto"/>
          </w:tcPr>
          <w:p w14:paraId="2385794C" w14:textId="6DDC1089"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Conteduca </w:t>
            </w:r>
            <w:r w:rsidRPr="006E7292">
              <w:rPr>
                <w:rFonts w:ascii="Book Antiqua" w:hAnsi="Book Antiqua" w:cs="Times New Roman"/>
                <w:i/>
              </w:rPr>
              <w:t>et al</w:t>
            </w:r>
            <w:r w:rsidRPr="006E7292">
              <w:rPr>
                <w:rFonts w:ascii="Book Antiqua" w:hAnsi="Book Antiqua" w:cs="Times New Roman"/>
                <w:vertAlign w:val="superscript"/>
              </w:rPr>
              <w:t>[33]</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212880CD" w14:textId="2565BD45"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dPCR. Somatic copy number gain of </w:t>
            </w:r>
            <w:r w:rsidRPr="006E7292">
              <w:rPr>
                <w:rFonts w:ascii="Book Antiqua" w:hAnsi="Book Antiqua"/>
                <w:i/>
                <w:color w:val="auto"/>
                <w:lang w:val="en-US"/>
              </w:rPr>
              <w:t xml:space="preserve">AR, </w:t>
            </w:r>
            <w:r w:rsidRPr="006E7292">
              <w:rPr>
                <w:rFonts w:ascii="Book Antiqua" w:hAnsi="Book Antiqua"/>
                <w:lang w:val="en-US"/>
              </w:rPr>
              <w:t>mCRPC patients (</w:t>
            </w:r>
            <w:r w:rsidRPr="006E7292">
              <w:rPr>
                <w:rFonts w:ascii="Book Antiqua" w:hAnsi="Book Antiqua"/>
                <w:i/>
                <w:lang w:val="en-US"/>
              </w:rPr>
              <w:t>n</w:t>
            </w:r>
            <w:r w:rsidRPr="006E7292">
              <w:rPr>
                <w:rFonts w:ascii="Book Antiqua" w:hAnsi="Book Antiqua"/>
                <w:lang w:val="en-US"/>
              </w:rPr>
              <w:t xml:space="preserve"> = 80)</w:t>
            </w:r>
          </w:p>
        </w:tc>
        <w:tc>
          <w:tcPr>
            <w:tcW w:w="0" w:type="auto"/>
          </w:tcPr>
          <w:p w14:paraId="29E1FBC3" w14:textId="3BE2F293"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iCs/>
              </w:rPr>
              <w:t>In ctDNA, the</w:t>
            </w:r>
            <w:r w:rsidRPr="006E7292">
              <w:rPr>
                <w:rFonts w:ascii="Book Antiqua" w:hAnsi="Book Antiqua" w:cs="Times New Roman"/>
                <w:i/>
              </w:rPr>
              <w:t xml:space="preserve"> AR</w:t>
            </w:r>
            <w:r w:rsidRPr="006E7292">
              <w:rPr>
                <w:rFonts w:ascii="Book Antiqua" w:hAnsi="Book Antiqua" w:cs="Times New Roman"/>
              </w:rPr>
              <w:t xml:space="preserve"> copy number gain was associated with a worse outcome in patients treated with abiraterone and enzalutamide. </w:t>
            </w:r>
            <w:r w:rsidRPr="006E7292" w:rsidDel="00AE078B">
              <w:rPr>
                <w:rFonts w:ascii="Book Antiqua" w:hAnsi="Book Antiqua" w:cs="Times New Roman"/>
              </w:rPr>
              <w:t xml:space="preserve">Independently from the type of antiandrogen treatment, there was a meaningful correlation among </w:t>
            </w:r>
            <w:r w:rsidRPr="006E7292" w:rsidDel="00AE078B">
              <w:rPr>
                <w:rFonts w:ascii="Book Antiqua" w:hAnsi="Book Antiqua" w:cs="Times New Roman"/>
                <w:i/>
              </w:rPr>
              <w:t>AR</w:t>
            </w:r>
            <w:r w:rsidRPr="006E7292" w:rsidDel="00AE078B">
              <w:rPr>
                <w:rFonts w:ascii="Book Antiqua" w:hAnsi="Book Antiqua" w:cs="Times New Roman"/>
              </w:rPr>
              <w:t xml:space="preserve"> gain and </w:t>
            </w:r>
            <w:r w:rsidRPr="006E7292" w:rsidDel="00AE078B">
              <w:rPr>
                <w:rFonts w:ascii="Book Antiqua" w:hAnsi="Book Antiqua" w:cs="Times New Roman"/>
                <w:i/>
              </w:rPr>
              <w:t>TLA/MTV</w:t>
            </w:r>
            <w:r w:rsidRPr="006E7292" w:rsidDel="00AE078B">
              <w:rPr>
                <w:rFonts w:ascii="Book Antiqua" w:hAnsi="Book Antiqua" w:cs="Times New Roman"/>
              </w:rPr>
              <w:t xml:space="preserve"> compared to </w:t>
            </w:r>
            <w:r w:rsidRPr="006E7292" w:rsidDel="00AE078B">
              <w:rPr>
                <w:rFonts w:ascii="Book Antiqua" w:hAnsi="Book Antiqua" w:cs="Times New Roman"/>
                <w:i/>
              </w:rPr>
              <w:t>AR</w:t>
            </w:r>
            <w:r w:rsidRPr="006E7292" w:rsidDel="00AE078B">
              <w:rPr>
                <w:rFonts w:ascii="Book Antiqua" w:hAnsi="Book Antiqua" w:cs="Times New Roman"/>
              </w:rPr>
              <w:t xml:space="preserve"> non-gained cases (</w:t>
            </w:r>
            <w:r w:rsidRPr="006E7292" w:rsidDel="00AE078B">
              <w:rPr>
                <w:rFonts w:ascii="Book Antiqua" w:hAnsi="Book Antiqua" w:cs="Times New Roman"/>
                <w:i/>
              </w:rPr>
              <w:t>P</w:t>
            </w:r>
            <w:r w:rsidRPr="006E7292" w:rsidDel="00AE078B">
              <w:rPr>
                <w:rFonts w:ascii="Book Antiqua" w:hAnsi="Book Antiqua" w:cs="Times New Roman"/>
              </w:rPr>
              <w:t xml:space="preserve"> = 0.001 and </w:t>
            </w:r>
            <w:r w:rsidRPr="006E7292" w:rsidDel="00AE078B">
              <w:rPr>
                <w:rFonts w:ascii="Book Antiqua" w:hAnsi="Book Antiqua" w:cs="Times New Roman"/>
                <w:i/>
              </w:rPr>
              <w:t>P</w:t>
            </w:r>
            <w:r w:rsidRPr="006E7292" w:rsidDel="00AE078B">
              <w:rPr>
                <w:rFonts w:ascii="Book Antiqua" w:hAnsi="Book Antiqua" w:cs="Times New Roman"/>
              </w:rPr>
              <w:t xml:space="preserve"> = 0.004, respectively).</w:t>
            </w:r>
            <w:r w:rsidRPr="006E7292">
              <w:rPr>
                <w:rFonts w:ascii="Book Antiqua" w:hAnsi="Book Antiqua" w:cs="Times New Roman"/>
              </w:rPr>
              <w:t xml:space="preserve"> </w:t>
            </w:r>
            <w:r w:rsidRPr="006E7292">
              <w:rPr>
                <w:rFonts w:ascii="Book Antiqua" w:hAnsi="Book Antiqua" w:cs="Times New Roman"/>
                <w:i/>
              </w:rPr>
              <w:t>AR</w:t>
            </w:r>
            <w:r w:rsidRPr="006E7292">
              <w:rPr>
                <w:rFonts w:ascii="Book Antiqua" w:hAnsi="Book Antiqua" w:cs="Times New Roman"/>
              </w:rPr>
              <w:t xml:space="preserve"> copy number and </w:t>
            </w:r>
            <w:r w:rsidRPr="006E7292">
              <w:rPr>
                <w:rFonts w:ascii="Book Antiqua" w:hAnsi="Book Antiqua" w:cs="Times New Roman"/>
                <w:i/>
              </w:rPr>
              <w:t>TLA</w:t>
            </w:r>
            <w:r w:rsidRPr="006E7292">
              <w:rPr>
                <w:rFonts w:ascii="Book Antiqua" w:hAnsi="Book Antiqua" w:cs="Times New Roman"/>
              </w:rPr>
              <w:t xml:space="preserve"> were </w:t>
            </w:r>
            <w:r w:rsidRPr="006E7292">
              <w:rPr>
                <w:rFonts w:ascii="Book Antiqua" w:hAnsi="Book Antiqua" w:cs="Times New Roman"/>
              </w:rPr>
              <w:lastRenderedPageBreak/>
              <w:t>associated with a shorter PFS and OS</w:t>
            </w:r>
          </w:p>
        </w:tc>
      </w:tr>
      <w:tr w:rsidR="00E225B4" w:rsidRPr="006E7292" w14:paraId="0BADAAD9" w14:textId="77777777" w:rsidTr="009F2021">
        <w:tc>
          <w:tcPr>
            <w:tcW w:w="0" w:type="auto"/>
          </w:tcPr>
          <w:p w14:paraId="3D1BCA21" w14:textId="3E00185D"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Annala </w:t>
            </w:r>
            <w:r w:rsidRPr="006E7292">
              <w:rPr>
                <w:rFonts w:ascii="Book Antiqua" w:hAnsi="Book Antiqua" w:cs="Times New Roman"/>
                <w:i/>
              </w:rPr>
              <w:t>et al</w:t>
            </w:r>
            <w:r w:rsidRPr="006E7292">
              <w:rPr>
                <w:rFonts w:ascii="Book Antiqua" w:hAnsi="Book Antiqua" w:cs="Times New Roman"/>
                <w:vertAlign w:val="superscript"/>
              </w:rPr>
              <w:t>[34]</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7DF1E3A3" w14:textId="5C469170"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somatic mutations of </w:t>
            </w:r>
            <w:r w:rsidRPr="006E7292">
              <w:rPr>
                <w:rFonts w:ascii="Book Antiqua" w:hAnsi="Book Antiqua" w:cs="Times New Roman"/>
                <w:i/>
              </w:rPr>
              <w:t>BRCA2</w:t>
            </w:r>
            <w:r w:rsidRPr="006E7292">
              <w:rPr>
                <w:rFonts w:ascii="Book Antiqua" w:hAnsi="Book Antiqua" w:cs="Times New Roman"/>
              </w:rPr>
              <w:t xml:space="preserve"> gene by qPCR,</w:t>
            </w:r>
            <w:r w:rsidRPr="006E7292">
              <w:rPr>
                <w:rFonts w:ascii="Book Antiqua" w:eastAsia="宋体" w:hAnsi="Book Antiqua" w:cs="Times New Roman"/>
                <w:lang w:eastAsia="zh-CN"/>
              </w:rPr>
              <w:t xml:space="preserve"> </w:t>
            </w:r>
            <w:r w:rsidRPr="006E7292">
              <w:rPr>
                <w:rFonts w:ascii="Book Antiqua" w:hAnsi="Book Antiqua" w:cs="Times New Roman"/>
              </w:rPr>
              <w:t>mCRPC germline-mutated patients (</w:t>
            </w:r>
            <w:r w:rsidRPr="006E7292">
              <w:rPr>
                <w:rFonts w:ascii="Book Antiqua" w:hAnsi="Book Antiqua" w:cs="Times New Roman"/>
                <w:i/>
              </w:rPr>
              <w:t>n</w:t>
            </w:r>
            <w:r w:rsidRPr="006E7292">
              <w:rPr>
                <w:rFonts w:ascii="Book Antiqua" w:hAnsi="Book Antiqua" w:cs="Times New Roman"/>
              </w:rPr>
              <w:t xml:space="preserve"> = 11)</w:t>
            </w:r>
          </w:p>
        </w:tc>
        <w:tc>
          <w:tcPr>
            <w:tcW w:w="0" w:type="auto"/>
          </w:tcPr>
          <w:p w14:paraId="43B6EBFC" w14:textId="6A5B1681" w:rsidR="00E225B4" w:rsidRPr="006E7292" w:rsidRDefault="00E225B4">
            <w:pPr>
              <w:keepNext/>
              <w:keepLines/>
              <w:snapToGrid w:val="0"/>
              <w:spacing w:line="360" w:lineRule="auto"/>
              <w:outlineLvl w:val="6"/>
              <w:rPr>
                <w:rFonts w:ascii="Book Antiqua" w:hAnsi="Book Antiqua" w:cs="Times New Roman"/>
              </w:rPr>
            </w:pPr>
            <w:r w:rsidRPr="006E7292">
              <w:rPr>
                <w:rFonts w:ascii="Book Antiqua" w:hAnsi="Book Antiqua" w:cs="Times New Roman"/>
              </w:rPr>
              <w:t xml:space="preserve">In 10 out </w:t>
            </w:r>
            <w:r w:rsidR="00437CFF" w:rsidRPr="006E7292">
              <w:rPr>
                <w:rFonts w:ascii="Book Antiqua" w:hAnsi="Book Antiqua" w:cs="Times New Roman"/>
              </w:rPr>
              <w:t xml:space="preserve">of </w:t>
            </w:r>
            <w:r w:rsidRPr="006E7292">
              <w:rPr>
                <w:rFonts w:ascii="Book Antiqua" w:hAnsi="Book Antiqua" w:cs="Times New Roman"/>
              </w:rPr>
              <w:t xml:space="preserve">11 germline mutated patients, biallelic gene loss of </w:t>
            </w:r>
            <w:r w:rsidRPr="006E7292">
              <w:rPr>
                <w:rFonts w:ascii="Book Antiqua" w:hAnsi="Book Antiqua" w:cs="Times New Roman"/>
                <w:i/>
              </w:rPr>
              <w:t>BRCA2</w:t>
            </w:r>
            <w:r w:rsidRPr="006E7292">
              <w:rPr>
                <w:rFonts w:ascii="Book Antiqua" w:hAnsi="Book Antiqua" w:cs="Times New Roman"/>
              </w:rPr>
              <w:t xml:space="preserve"> was found in ctDNA. This information help to guide clinicians to the best therapeutic choice</w:t>
            </w:r>
          </w:p>
        </w:tc>
      </w:tr>
      <w:tr w:rsidR="00E225B4" w:rsidRPr="006E7292" w14:paraId="5142A958" w14:textId="77777777" w:rsidTr="009F2021">
        <w:tc>
          <w:tcPr>
            <w:tcW w:w="0" w:type="auto"/>
          </w:tcPr>
          <w:p w14:paraId="207FEE2C" w14:textId="7B61E40B"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Conteduca </w:t>
            </w:r>
            <w:r w:rsidRPr="006E7292">
              <w:rPr>
                <w:rFonts w:ascii="Book Antiqua" w:hAnsi="Book Antiqua" w:cs="Times New Roman"/>
                <w:i/>
              </w:rPr>
              <w:t>et al</w:t>
            </w:r>
            <w:r w:rsidRPr="006E7292">
              <w:rPr>
                <w:rFonts w:ascii="Book Antiqua" w:hAnsi="Book Antiqua" w:cs="Times New Roman"/>
                <w:vertAlign w:val="superscript"/>
              </w:rPr>
              <w:t>[35]</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610D164B" w14:textId="54BEEA1B"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dPCR. Copy number gain of AR, </w:t>
            </w:r>
            <w:r w:rsidRPr="006E7292">
              <w:rPr>
                <w:rFonts w:ascii="Book Antiqua" w:hAnsi="Book Antiqua"/>
                <w:lang w:val="en-US"/>
              </w:rPr>
              <w:t>CRPC patients (</w:t>
            </w:r>
            <w:r w:rsidRPr="006E7292">
              <w:rPr>
                <w:rFonts w:ascii="Book Antiqua" w:hAnsi="Book Antiqua"/>
                <w:i/>
                <w:lang w:val="en-US"/>
              </w:rPr>
              <w:t>n</w:t>
            </w:r>
            <w:r w:rsidRPr="006E7292">
              <w:rPr>
                <w:rFonts w:ascii="Book Antiqua" w:hAnsi="Book Antiqua"/>
                <w:lang w:val="en-US"/>
              </w:rPr>
              <w:t xml:space="preserve"> = 265)</w:t>
            </w:r>
          </w:p>
        </w:tc>
        <w:tc>
          <w:tcPr>
            <w:tcW w:w="0" w:type="auto"/>
          </w:tcPr>
          <w:p w14:paraId="4FA45D4C" w14:textId="0C80B4EB"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In ctDNA, the </w:t>
            </w:r>
            <w:r w:rsidRPr="006E7292">
              <w:rPr>
                <w:rFonts w:ascii="Book Antiqua" w:hAnsi="Book Antiqua"/>
                <w:i/>
                <w:color w:val="auto"/>
                <w:lang w:val="en-US"/>
              </w:rPr>
              <w:t>AR</w:t>
            </w:r>
            <w:r w:rsidRPr="006E7292">
              <w:rPr>
                <w:rFonts w:ascii="Book Antiqua" w:hAnsi="Book Antiqua"/>
                <w:color w:val="auto"/>
                <w:lang w:val="en-US"/>
              </w:rPr>
              <w:t xml:space="preserve"> copy number gain before starting </w:t>
            </w:r>
            <w:r w:rsidR="00291567" w:rsidRPr="006E7292">
              <w:rPr>
                <w:rFonts w:ascii="Book Antiqua" w:hAnsi="Book Antiqua"/>
                <w:color w:val="auto"/>
                <w:lang w:val="en-US"/>
              </w:rPr>
              <w:t>enzalutamide</w:t>
            </w:r>
            <w:r w:rsidRPr="006E7292">
              <w:rPr>
                <w:rFonts w:ascii="Book Antiqua" w:hAnsi="Book Antiqua"/>
                <w:color w:val="auto"/>
                <w:lang w:val="en-US"/>
              </w:rPr>
              <w:t xml:space="preserve"> or abiraterone was associated with a decrease in both PFS and OS</w:t>
            </w:r>
          </w:p>
        </w:tc>
      </w:tr>
      <w:tr w:rsidR="00E225B4" w:rsidRPr="006E7292" w14:paraId="303DD45E" w14:textId="77777777" w:rsidTr="009F2021">
        <w:tc>
          <w:tcPr>
            <w:tcW w:w="0" w:type="auto"/>
          </w:tcPr>
          <w:p w14:paraId="05676D03" w14:textId="11054827"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 Goldstein </w:t>
            </w:r>
            <w:r w:rsidRPr="006E7292">
              <w:rPr>
                <w:rFonts w:ascii="Book Antiqua" w:hAnsi="Book Antiqua" w:cs="Times New Roman"/>
                <w:i/>
              </w:rPr>
              <w:t>et al</w:t>
            </w:r>
            <w:r w:rsidRPr="006E7292">
              <w:rPr>
                <w:rFonts w:ascii="Book Antiqua" w:hAnsi="Book Antiqua" w:cs="Times New Roman"/>
                <w:vertAlign w:val="superscript"/>
              </w:rPr>
              <w:t>[36]</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57DFB2C7" w14:textId="6A6E0C59"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NGS AR sequencing and validation by dPCR, somatic alterations in </w:t>
            </w:r>
            <w:r w:rsidRPr="006E7292">
              <w:rPr>
                <w:rFonts w:ascii="Book Antiqua" w:hAnsi="Book Antiqua"/>
                <w:i/>
                <w:color w:val="auto"/>
                <w:lang w:val="en-US"/>
              </w:rPr>
              <w:t xml:space="preserve">AR, </w:t>
            </w:r>
            <w:r w:rsidRPr="006E7292">
              <w:rPr>
                <w:rFonts w:ascii="Book Antiqua" w:hAnsi="Book Antiqua"/>
                <w:color w:val="auto"/>
                <w:lang w:val="en-US"/>
              </w:rPr>
              <w:t>mCRPC patients (</w:t>
            </w:r>
            <w:r w:rsidRPr="006E7292">
              <w:rPr>
                <w:rFonts w:ascii="Book Antiqua" w:hAnsi="Book Antiqua"/>
                <w:i/>
                <w:color w:val="auto"/>
                <w:lang w:val="en-US"/>
              </w:rPr>
              <w:t>n</w:t>
            </w:r>
            <w:r w:rsidRPr="006E7292">
              <w:rPr>
                <w:rFonts w:ascii="Book Antiqua" w:hAnsi="Book Antiqua"/>
                <w:color w:val="auto"/>
                <w:lang w:val="en-US"/>
              </w:rPr>
              <w:t xml:space="preserve"> = 11)</w:t>
            </w:r>
          </w:p>
        </w:tc>
        <w:tc>
          <w:tcPr>
            <w:tcW w:w="0" w:type="auto"/>
          </w:tcPr>
          <w:p w14:paraId="3BDA56F5" w14:textId="14DB8E19"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In ctDNA, the </w:t>
            </w:r>
            <w:r w:rsidRPr="006E7292">
              <w:rPr>
                <w:rFonts w:ascii="Book Antiqua" w:hAnsi="Book Antiqua" w:cs="Times New Roman"/>
                <w:i/>
              </w:rPr>
              <w:t>AR</w:t>
            </w:r>
            <w:r w:rsidRPr="006E7292">
              <w:rPr>
                <w:rFonts w:ascii="Book Antiqua" w:hAnsi="Book Antiqua" w:cs="Times New Roman"/>
              </w:rPr>
              <w:t xml:space="preserve"> t (TC &gt; </w:t>
            </w:r>
            <w:r w:rsidRPr="006E7292">
              <w:rPr>
                <w:rFonts w:ascii="Book Antiqua" w:hAnsi="Book Antiqua" w:cs="Times New Roman"/>
                <w:caps/>
              </w:rPr>
              <w:t>c</w:t>
            </w:r>
            <w:r w:rsidRPr="006E7292">
              <w:rPr>
                <w:rFonts w:ascii="Book Antiqua" w:hAnsi="Book Antiqua" w:cs="Times New Roman"/>
              </w:rPr>
              <w:t>TC) F877L hotspot was prone to false positive mutations during NGS. Low-abundance mutations need to be verified by highly sensitive PCR, such as dPCR, but amplification conditions must be carefully optimized</w:t>
            </w:r>
          </w:p>
        </w:tc>
      </w:tr>
      <w:tr w:rsidR="00E225B4" w:rsidRPr="006E7292" w14:paraId="74465C81" w14:textId="77777777" w:rsidTr="009F2021">
        <w:tc>
          <w:tcPr>
            <w:tcW w:w="0" w:type="auto"/>
          </w:tcPr>
          <w:p w14:paraId="4F08EC7E" w14:textId="0DE60E7E"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Adalsteinsson </w:t>
            </w:r>
            <w:r w:rsidRPr="006E7292">
              <w:rPr>
                <w:rFonts w:ascii="Book Antiqua" w:hAnsi="Book Antiqua" w:cs="Times New Roman"/>
                <w:i/>
              </w:rPr>
              <w:t>et al</w:t>
            </w:r>
            <w:r w:rsidRPr="006E7292">
              <w:rPr>
                <w:rFonts w:ascii="Book Antiqua" w:hAnsi="Book Antiqua" w:cs="Times New Roman"/>
                <w:vertAlign w:val="superscript"/>
              </w:rPr>
              <w:t>[37]</w:t>
            </w:r>
            <w:r w:rsidRPr="006E7292">
              <w:rPr>
                <w:rFonts w:ascii="Book Antiqua" w:hAnsi="Book Antiqua" w:cs="Times New Roman"/>
              </w:rPr>
              <w:t>, 2017</w:t>
            </w:r>
          </w:p>
        </w:tc>
        <w:tc>
          <w:tcPr>
            <w:tcW w:w="0" w:type="auto"/>
          </w:tcPr>
          <w:p w14:paraId="0BAF5345" w14:textId="6AB02044" w:rsidR="00E225B4" w:rsidRPr="006E7292" w:rsidRDefault="00E225B4" w:rsidP="00EF7A13">
            <w:pPr>
              <w:keepNext/>
              <w:keepLines/>
              <w:widowControl w:val="0"/>
              <w:autoSpaceDE w:val="0"/>
              <w:autoSpaceDN w:val="0"/>
              <w:adjustRightInd w:val="0"/>
              <w:snapToGrid w:val="0"/>
              <w:spacing w:line="360" w:lineRule="auto"/>
              <w:outlineLvl w:val="6"/>
              <w:rPr>
                <w:rFonts w:ascii="Book Antiqua" w:hAnsi="Book Antiqua" w:cs="Times New Roman"/>
              </w:rPr>
            </w:pPr>
            <w:r w:rsidRPr="006E7292">
              <w:rPr>
                <w:rFonts w:ascii="Book Antiqua" w:hAnsi="Book Antiqua" w:cs="Times New Roman"/>
              </w:rPr>
              <w:t>Plasma WES,</w:t>
            </w:r>
            <w:r w:rsidRPr="006E7292">
              <w:rPr>
                <w:rFonts w:ascii="Book Antiqua" w:eastAsia="宋体" w:hAnsi="Book Antiqua" w:cs="Times New Roman"/>
                <w:lang w:eastAsia="zh-CN"/>
              </w:rPr>
              <w:t xml:space="preserve"> </w:t>
            </w:r>
            <w:r w:rsidRPr="006E7292">
              <w:rPr>
                <w:rFonts w:ascii="Book Antiqua" w:hAnsi="Book Antiqua" w:cs="Times New Roman"/>
              </w:rPr>
              <w:t xml:space="preserve">metastatic </w:t>
            </w:r>
            <w:r w:rsidRPr="006E7292" w:rsidDel="006467D4">
              <w:rPr>
                <w:rFonts w:ascii="Book Antiqua" w:hAnsi="Book Antiqua" w:cs="Times New Roman"/>
              </w:rPr>
              <w:t>PCA</w:t>
            </w:r>
            <w:r w:rsidRPr="006E7292">
              <w:rPr>
                <w:rFonts w:ascii="Book Antiqua" w:hAnsi="Book Antiqua" w:cs="Times New Roman"/>
              </w:rPr>
              <w:t xml:space="preserve"> PCa patients (</w:t>
            </w:r>
            <w:r w:rsidRPr="006E7292">
              <w:rPr>
                <w:rFonts w:ascii="Book Antiqua" w:hAnsi="Book Antiqua" w:cs="Times New Roman"/>
                <w:i/>
              </w:rPr>
              <w:t>n</w:t>
            </w:r>
            <w:r w:rsidRPr="006E7292">
              <w:rPr>
                <w:rFonts w:ascii="Book Antiqua" w:hAnsi="Book Antiqua" w:cs="Times New Roman"/>
              </w:rPr>
              <w:t xml:space="preserve"> = 520)</w:t>
            </w:r>
          </w:p>
        </w:tc>
        <w:tc>
          <w:tcPr>
            <w:tcW w:w="0" w:type="auto"/>
          </w:tcPr>
          <w:p w14:paraId="601A2A59" w14:textId="384BA323"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There is a concordance between clonal somatic mutations (88%), copy number alterations (80%), mutational signatures and neoantigens between tumor biopsies and cfDNA form 41 patients with ≥ 10% cfDNA</w:t>
            </w:r>
          </w:p>
        </w:tc>
      </w:tr>
      <w:tr w:rsidR="00E225B4" w:rsidRPr="006E7292" w14:paraId="721F5FE8" w14:textId="77777777" w:rsidTr="009F2021">
        <w:tc>
          <w:tcPr>
            <w:tcW w:w="0" w:type="auto"/>
          </w:tcPr>
          <w:p w14:paraId="4A57B7D9" w14:textId="2D14F99E"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Wyatt </w:t>
            </w:r>
            <w:r w:rsidRPr="006E7292">
              <w:rPr>
                <w:rFonts w:ascii="Book Antiqua" w:hAnsi="Book Antiqua" w:cs="Times New Roman"/>
                <w:i/>
              </w:rPr>
              <w:t>et al</w:t>
            </w:r>
            <w:r w:rsidRPr="006E7292">
              <w:rPr>
                <w:rFonts w:ascii="Book Antiqua" w:hAnsi="Book Antiqua" w:cs="Times New Roman"/>
                <w:vertAlign w:val="superscript"/>
              </w:rPr>
              <w:t>[38]</w:t>
            </w:r>
            <w:r w:rsidRPr="006E7292">
              <w:rPr>
                <w:rFonts w:ascii="Book Antiqua" w:hAnsi="Book Antiqua" w:cs="Times New Roman"/>
                <w:i/>
              </w:rPr>
              <w:t>,</w:t>
            </w:r>
            <w:r w:rsidRPr="006E7292">
              <w:rPr>
                <w:rFonts w:ascii="Book Antiqua" w:hAnsi="Book Antiqua" w:cs="Times New Roman"/>
              </w:rPr>
              <w:t xml:space="preserve"> 2016</w:t>
            </w:r>
          </w:p>
        </w:tc>
        <w:tc>
          <w:tcPr>
            <w:tcW w:w="0" w:type="auto"/>
          </w:tcPr>
          <w:p w14:paraId="3011BFFE" w14:textId="6D90051B"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AR copy number qPCR and </w:t>
            </w:r>
            <w:r w:rsidRPr="006E7292">
              <w:rPr>
                <w:rFonts w:ascii="Book Antiqua" w:hAnsi="Book Antiqua" w:cs="Times New Roman"/>
                <w:i/>
              </w:rPr>
              <w:t>AR</w:t>
            </w:r>
            <w:r w:rsidRPr="006E7292">
              <w:rPr>
                <w:rFonts w:ascii="Book Antiqua" w:hAnsi="Book Antiqua" w:cs="Times New Roman"/>
              </w:rPr>
              <w:t xml:space="preserve"> deep targeted sequencing</w:t>
            </w:r>
            <w:r w:rsidRPr="006E7292">
              <w:rPr>
                <w:rFonts w:ascii="Book Antiqua" w:eastAsia="宋体" w:hAnsi="Book Antiqua" w:cs="Times New Roman"/>
                <w:lang w:eastAsia="zh-CN"/>
              </w:rPr>
              <w:t xml:space="preserve">, </w:t>
            </w:r>
            <w:r w:rsidRPr="006E7292">
              <w:rPr>
                <w:rFonts w:ascii="Book Antiqua" w:hAnsi="Book Antiqua" w:cs="Times New Roman"/>
              </w:rPr>
              <w:t>mCRPC patients (</w:t>
            </w:r>
            <w:r w:rsidRPr="006E7292">
              <w:rPr>
                <w:rFonts w:ascii="Book Antiqua" w:hAnsi="Book Antiqua" w:cs="Times New Roman"/>
                <w:i/>
              </w:rPr>
              <w:t>n</w:t>
            </w:r>
            <w:r w:rsidRPr="006E7292">
              <w:rPr>
                <w:rFonts w:ascii="Book Antiqua" w:hAnsi="Book Antiqua" w:cs="Times New Roman"/>
              </w:rPr>
              <w:t xml:space="preserve"> = 65)</w:t>
            </w:r>
          </w:p>
        </w:tc>
        <w:tc>
          <w:tcPr>
            <w:tcW w:w="0" w:type="auto"/>
          </w:tcPr>
          <w:p w14:paraId="33FF4A31" w14:textId="48BE4763"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In ctDNA, the </w:t>
            </w:r>
            <w:r w:rsidRPr="006E7292">
              <w:rPr>
                <w:rFonts w:ascii="Book Antiqua" w:hAnsi="Book Antiqua"/>
                <w:i/>
                <w:color w:val="auto"/>
                <w:lang w:val="en-US"/>
              </w:rPr>
              <w:t>AR</w:t>
            </w:r>
            <w:r w:rsidRPr="006E7292">
              <w:rPr>
                <w:rFonts w:ascii="Book Antiqua" w:hAnsi="Book Antiqua"/>
                <w:color w:val="auto"/>
                <w:lang w:val="en-US"/>
              </w:rPr>
              <w:t xml:space="preserve"> mutation and copy number alterations were found in 48% of baseline patients and in 60% patients at disease progression. The </w:t>
            </w:r>
            <w:r w:rsidRPr="006E7292">
              <w:rPr>
                <w:rFonts w:ascii="Book Antiqua" w:hAnsi="Book Antiqua"/>
                <w:i/>
                <w:color w:val="auto"/>
                <w:lang w:val="en-US"/>
              </w:rPr>
              <w:t>AR</w:t>
            </w:r>
            <w:r w:rsidRPr="006E7292">
              <w:rPr>
                <w:rFonts w:ascii="Book Antiqua" w:hAnsi="Book Antiqua"/>
                <w:color w:val="auto"/>
                <w:lang w:val="en-US"/>
              </w:rPr>
              <w:t xml:space="preserve"> copy number gain (</w:t>
            </w:r>
            <w:r w:rsidR="008F2EB4" w:rsidRPr="006E7292">
              <w:rPr>
                <w:rFonts w:ascii="Book Antiqua" w:hAnsi="Book Antiqua"/>
                <w:color w:val="auto"/>
                <w:lang w:val="en-US"/>
              </w:rPr>
              <w:t>two</w:t>
            </w:r>
            <w:r w:rsidRPr="006E7292">
              <w:rPr>
                <w:rFonts w:ascii="Book Antiqua" w:hAnsi="Book Antiqua"/>
                <w:color w:val="auto"/>
                <w:lang w:val="en-US"/>
              </w:rPr>
              <w:t xml:space="preserve"> or more </w:t>
            </w:r>
            <w:r w:rsidRPr="006E7292">
              <w:rPr>
                <w:rFonts w:ascii="Book Antiqua" w:hAnsi="Book Antiqua"/>
                <w:i/>
                <w:color w:val="auto"/>
                <w:lang w:val="en-US"/>
              </w:rPr>
              <w:t>AR</w:t>
            </w:r>
            <w:r w:rsidRPr="006E7292">
              <w:rPr>
                <w:rFonts w:ascii="Book Antiqua" w:hAnsi="Book Antiqua"/>
                <w:color w:val="auto"/>
                <w:lang w:val="en-US"/>
              </w:rPr>
              <w:t xml:space="preserve"> mutations) and </w:t>
            </w:r>
            <w:r w:rsidRPr="006E7292">
              <w:rPr>
                <w:rFonts w:ascii="Book Antiqua" w:hAnsi="Book Antiqua"/>
                <w:i/>
                <w:color w:val="auto"/>
                <w:lang w:val="en-US"/>
              </w:rPr>
              <w:t>RB1</w:t>
            </w:r>
            <w:r w:rsidRPr="006E7292">
              <w:rPr>
                <w:rFonts w:ascii="Book Antiqua" w:hAnsi="Book Antiqua"/>
                <w:color w:val="auto"/>
                <w:lang w:val="en-US"/>
              </w:rPr>
              <w:t xml:space="preserve"> loss were associated with worse PFS</w:t>
            </w:r>
          </w:p>
        </w:tc>
      </w:tr>
      <w:tr w:rsidR="00E225B4" w:rsidRPr="006E7292" w14:paraId="14795034" w14:textId="77777777" w:rsidTr="009F2021">
        <w:tc>
          <w:tcPr>
            <w:tcW w:w="0" w:type="auto"/>
          </w:tcPr>
          <w:p w14:paraId="38AF2D42" w14:textId="5954D2F2"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Salvi </w:t>
            </w:r>
            <w:r w:rsidRPr="006E7292">
              <w:rPr>
                <w:rFonts w:ascii="Book Antiqua" w:hAnsi="Book Antiqua" w:cs="Times New Roman"/>
                <w:i/>
              </w:rPr>
              <w:t>et al</w:t>
            </w:r>
            <w:r w:rsidRPr="006E7292">
              <w:rPr>
                <w:rFonts w:ascii="Book Antiqua" w:hAnsi="Book Antiqua" w:cs="Times New Roman"/>
                <w:vertAlign w:val="superscript"/>
              </w:rPr>
              <w:t>[39]</w:t>
            </w:r>
            <w:r w:rsidRPr="006E7292">
              <w:rPr>
                <w:rFonts w:ascii="Book Antiqua" w:hAnsi="Book Antiqua" w:cs="Times New Roman"/>
                <w:i/>
              </w:rPr>
              <w:t>,</w:t>
            </w:r>
            <w:r w:rsidRPr="006E7292">
              <w:rPr>
                <w:rFonts w:ascii="Book Antiqua" w:hAnsi="Book Antiqua" w:cs="Times New Roman"/>
              </w:rPr>
              <w:t xml:space="preserve"> 2016</w:t>
            </w:r>
          </w:p>
        </w:tc>
        <w:tc>
          <w:tcPr>
            <w:tcW w:w="0" w:type="auto"/>
          </w:tcPr>
          <w:p w14:paraId="089743F3" w14:textId="7EF5746F"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qPCR. Copy number gain of </w:t>
            </w:r>
            <w:r w:rsidRPr="006E7292">
              <w:rPr>
                <w:rFonts w:ascii="Book Antiqua" w:hAnsi="Book Antiqua"/>
                <w:i/>
                <w:color w:val="auto"/>
                <w:lang w:val="en-US"/>
              </w:rPr>
              <w:t xml:space="preserve">AR, </w:t>
            </w:r>
            <w:r w:rsidRPr="006E7292">
              <w:rPr>
                <w:rFonts w:ascii="Book Antiqua" w:hAnsi="Book Antiqua"/>
                <w:lang w:val="en-US"/>
              </w:rPr>
              <w:lastRenderedPageBreak/>
              <w:t>CRPC patients</w:t>
            </w:r>
            <w:r w:rsidRPr="006E7292" w:rsidDel="009F2C2A">
              <w:rPr>
                <w:rFonts w:ascii="Book Antiqua" w:hAnsi="Book Antiqua"/>
                <w:lang w:val="en-US"/>
              </w:rPr>
              <w:t xml:space="preserve"> </w:t>
            </w:r>
            <w:r w:rsidRPr="006E7292">
              <w:rPr>
                <w:rFonts w:ascii="Book Antiqua" w:hAnsi="Book Antiqua"/>
                <w:lang w:val="en-US"/>
              </w:rPr>
              <w:t>(</w:t>
            </w:r>
            <w:r w:rsidRPr="006E7292">
              <w:rPr>
                <w:rFonts w:ascii="Book Antiqua" w:hAnsi="Book Antiqua"/>
                <w:i/>
                <w:lang w:val="en-US"/>
              </w:rPr>
              <w:t>n</w:t>
            </w:r>
            <w:r w:rsidRPr="006E7292">
              <w:rPr>
                <w:rFonts w:ascii="Book Antiqua" w:hAnsi="Book Antiqua"/>
                <w:lang w:val="en-US"/>
              </w:rPr>
              <w:t xml:space="preserve"> = 59)</w:t>
            </w:r>
          </w:p>
        </w:tc>
        <w:tc>
          <w:tcPr>
            <w:tcW w:w="0" w:type="auto"/>
          </w:tcPr>
          <w:p w14:paraId="2E166BFD" w14:textId="4044F2AE"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In ctDNA, the </w:t>
            </w:r>
            <w:r w:rsidRPr="006E7292">
              <w:rPr>
                <w:rFonts w:ascii="Book Antiqua" w:hAnsi="Book Antiqua" w:cs="Times New Roman"/>
                <w:i/>
              </w:rPr>
              <w:t>AR</w:t>
            </w:r>
            <w:r w:rsidRPr="006E7292">
              <w:rPr>
                <w:rFonts w:ascii="Book Antiqua" w:hAnsi="Book Antiqua" w:cs="Times New Roman"/>
              </w:rPr>
              <w:t xml:space="preserve"> copy number gain was found in 36% of </w:t>
            </w:r>
            <w:r w:rsidRPr="006E7292">
              <w:rPr>
                <w:rFonts w:ascii="Book Antiqua" w:hAnsi="Book Antiqua" w:cs="Times New Roman"/>
              </w:rPr>
              <w:lastRenderedPageBreak/>
              <w:t xml:space="preserve">patients. </w:t>
            </w:r>
            <w:r w:rsidRPr="006E7292">
              <w:rPr>
                <w:rFonts w:ascii="Book Antiqua" w:hAnsi="Book Antiqua" w:cs="Times New Roman"/>
                <w:i/>
              </w:rPr>
              <w:t>AR</w:t>
            </w:r>
            <w:r w:rsidRPr="006E7292">
              <w:rPr>
                <w:rFonts w:ascii="Book Antiqua" w:hAnsi="Book Antiqua" w:cs="Times New Roman"/>
              </w:rPr>
              <w:t xml:space="preserve"> copy number gain significantly associated with alkaline phosphatase and lactate dehydrogenase. At multivariate analysis, PSA decreasing ≥ 50% and </w:t>
            </w:r>
            <w:r w:rsidRPr="006E7292">
              <w:rPr>
                <w:rFonts w:ascii="Book Antiqua" w:hAnsi="Book Antiqua" w:cs="Times New Roman"/>
                <w:i/>
              </w:rPr>
              <w:t>AR</w:t>
            </w:r>
            <w:r w:rsidRPr="006E7292">
              <w:rPr>
                <w:rFonts w:ascii="Book Antiqua" w:hAnsi="Book Antiqua" w:cs="Times New Roman"/>
              </w:rPr>
              <w:t xml:space="preserve"> copy number gain were significantly associated with worse OS and PFS</w:t>
            </w:r>
          </w:p>
        </w:tc>
      </w:tr>
      <w:tr w:rsidR="00E225B4" w:rsidRPr="006E7292" w14:paraId="0F068C21" w14:textId="77777777" w:rsidTr="009F2021">
        <w:trPr>
          <w:trHeight w:val="1616"/>
        </w:trPr>
        <w:tc>
          <w:tcPr>
            <w:tcW w:w="0" w:type="auto"/>
          </w:tcPr>
          <w:p w14:paraId="52C0D917" w14:textId="6F1B050D"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Fawzy </w:t>
            </w:r>
            <w:r w:rsidRPr="006E7292">
              <w:rPr>
                <w:rFonts w:ascii="Book Antiqua" w:hAnsi="Book Antiqua" w:cs="Times New Roman"/>
                <w:i/>
              </w:rPr>
              <w:t>et al</w:t>
            </w:r>
            <w:r w:rsidRPr="006E7292">
              <w:rPr>
                <w:rFonts w:ascii="Book Antiqua" w:hAnsi="Book Antiqua" w:cs="Times New Roman"/>
                <w:vertAlign w:val="superscript"/>
              </w:rPr>
              <w:t>[40]</w:t>
            </w:r>
            <w:r w:rsidRPr="006E7292">
              <w:rPr>
                <w:rFonts w:ascii="Book Antiqua" w:hAnsi="Book Antiqua" w:cs="Times New Roman"/>
              </w:rPr>
              <w:t>, 2016</w:t>
            </w:r>
          </w:p>
        </w:tc>
        <w:tc>
          <w:tcPr>
            <w:tcW w:w="0" w:type="auto"/>
          </w:tcPr>
          <w:p w14:paraId="30510375" w14:textId="1A466170"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Plasma, qPCR of ALU 247bp and ALU115bp,</w:t>
            </w:r>
            <w:r w:rsidRPr="006E7292">
              <w:rPr>
                <w:rFonts w:ascii="Book Antiqua" w:eastAsia="宋体" w:hAnsi="Book Antiqua" w:cs="Times New Roman"/>
                <w:lang w:eastAsia="zh-CN"/>
              </w:rPr>
              <w:t xml:space="preserve"> </w:t>
            </w:r>
            <w:r w:rsidR="00B51CC2" w:rsidRPr="006E7292">
              <w:rPr>
                <w:rFonts w:ascii="Book Antiqua" w:hAnsi="Book Antiqua" w:cs="Times New Roman"/>
              </w:rPr>
              <w:t>cell</w:t>
            </w:r>
            <w:r w:rsidRPr="006E7292">
              <w:rPr>
                <w:rFonts w:ascii="Book Antiqua" w:hAnsi="Book Antiqua" w:cs="Times New Roman"/>
              </w:rPr>
              <w:t>-free DNA Integrity, cfDI, metastatic PCa (</w:t>
            </w:r>
            <w:r w:rsidRPr="006E7292">
              <w:rPr>
                <w:rFonts w:ascii="Book Antiqua" w:hAnsi="Book Antiqua" w:cs="Times New Roman"/>
                <w:i/>
              </w:rPr>
              <w:t>n</w:t>
            </w:r>
            <w:r w:rsidRPr="006E7292">
              <w:rPr>
                <w:rFonts w:ascii="Book Antiqua" w:hAnsi="Book Antiqua" w:cs="Times New Roman"/>
              </w:rPr>
              <w:t xml:space="preserve"> = 28), non-metastatic PCa (</w:t>
            </w:r>
            <w:r w:rsidRPr="006E7292">
              <w:rPr>
                <w:rFonts w:ascii="Book Antiqua" w:hAnsi="Book Antiqua" w:cs="Times New Roman"/>
                <w:i/>
              </w:rPr>
              <w:t>n</w:t>
            </w:r>
            <w:r w:rsidRPr="006E7292">
              <w:rPr>
                <w:rFonts w:ascii="Book Antiqua" w:hAnsi="Book Antiqua" w:cs="Times New Roman"/>
              </w:rPr>
              <w:t xml:space="preserve"> = 22), BPH (</w:t>
            </w:r>
            <w:r w:rsidRPr="006E7292">
              <w:rPr>
                <w:rFonts w:ascii="Book Antiqua" w:hAnsi="Book Antiqua" w:cs="Times New Roman"/>
                <w:i/>
              </w:rPr>
              <w:t>n</w:t>
            </w:r>
            <w:r w:rsidRPr="006E7292">
              <w:rPr>
                <w:rFonts w:ascii="Book Antiqua" w:hAnsi="Book Antiqua" w:cs="Times New Roman"/>
              </w:rPr>
              <w:t xml:space="preserve"> = 25), healthy controls (</w:t>
            </w:r>
            <w:r w:rsidRPr="006E7292">
              <w:rPr>
                <w:rFonts w:ascii="Book Antiqua" w:hAnsi="Book Antiqua" w:cs="Times New Roman"/>
                <w:i/>
              </w:rPr>
              <w:t>n</w:t>
            </w:r>
            <w:r w:rsidRPr="006E7292">
              <w:rPr>
                <w:rFonts w:ascii="Book Antiqua" w:hAnsi="Book Antiqua" w:cs="Times New Roman"/>
              </w:rPr>
              <w:t xml:space="preserve"> = 30)</w:t>
            </w:r>
          </w:p>
        </w:tc>
        <w:tc>
          <w:tcPr>
            <w:tcW w:w="0" w:type="auto"/>
          </w:tcPr>
          <w:p w14:paraId="2EFE7B4B" w14:textId="46C57A5B"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 xml:space="preserve">The cfDI levels, measured as ratio ALU247bp/ALU115bp, were significantly higher in metastatic PCa patients </w:t>
            </w:r>
            <w:r w:rsidRPr="006E7292">
              <w:rPr>
                <w:rFonts w:ascii="Book Antiqua" w:hAnsi="Book Antiqua" w:cs="Times New Roman"/>
                <w:i/>
              </w:rPr>
              <w:t>vs</w:t>
            </w:r>
            <w:r w:rsidRPr="006E7292">
              <w:rPr>
                <w:rFonts w:ascii="Book Antiqua" w:hAnsi="Book Antiqua" w:cs="Times New Roman"/>
              </w:rPr>
              <w:t xml:space="preserve"> non</w:t>
            </w:r>
            <w:r w:rsidR="008F2EB4" w:rsidRPr="006E7292">
              <w:rPr>
                <w:rFonts w:ascii="Book Antiqua" w:hAnsi="Book Antiqua" w:cs="Times New Roman"/>
              </w:rPr>
              <w:t>-</w:t>
            </w:r>
            <w:r w:rsidRPr="006E7292">
              <w:rPr>
                <w:rFonts w:ascii="Book Antiqua" w:hAnsi="Book Antiqua" w:cs="Times New Roman"/>
              </w:rPr>
              <w:t>metastatic PCa patients, BPH patients and healthy controls</w:t>
            </w:r>
          </w:p>
        </w:tc>
      </w:tr>
      <w:tr w:rsidR="00E225B4" w:rsidRPr="006E7292" w14:paraId="289B5929" w14:textId="77777777" w:rsidTr="009F2021">
        <w:trPr>
          <w:trHeight w:val="1616"/>
        </w:trPr>
        <w:tc>
          <w:tcPr>
            <w:tcW w:w="0" w:type="auto"/>
          </w:tcPr>
          <w:p w14:paraId="093A7FAB" w14:textId="33D9B154" w:rsidR="00E225B4" w:rsidRPr="006E7292" w:rsidRDefault="00E225B4" w:rsidP="006E7292">
            <w:pPr>
              <w:keepNext/>
              <w:keepLines/>
              <w:snapToGrid w:val="0"/>
              <w:spacing w:line="360" w:lineRule="auto"/>
              <w:outlineLvl w:val="3"/>
              <w:rPr>
                <w:rFonts w:ascii="Book Antiqua" w:hAnsi="Book Antiqua" w:cs="Times New Roman"/>
              </w:rPr>
            </w:pPr>
            <w:r w:rsidRPr="006E7292" w:rsidDel="001D1FCB">
              <w:rPr>
                <w:rFonts w:ascii="Book Antiqua" w:hAnsi="Book Antiqua" w:cs="Times New Roman"/>
              </w:rPr>
              <w:t xml:space="preserve">Azad </w:t>
            </w:r>
            <w:r w:rsidRPr="006E7292" w:rsidDel="001D1FCB">
              <w:rPr>
                <w:rFonts w:ascii="Book Antiqua" w:hAnsi="Book Antiqua" w:cs="Times New Roman"/>
                <w:i/>
              </w:rPr>
              <w:t>et al</w:t>
            </w:r>
            <w:r w:rsidRPr="006E7292">
              <w:rPr>
                <w:rFonts w:ascii="Book Antiqua" w:hAnsi="Book Antiqua" w:cs="Times New Roman"/>
                <w:vertAlign w:val="superscript"/>
              </w:rPr>
              <w:t>[41]</w:t>
            </w:r>
            <w:r w:rsidRPr="006E7292">
              <w:rPr>
                <w:rFonts w:ascii="Book Antiqua" w:hAnsi="Book Antiqua" w:cs="Times New Roman"/>
              </w:rPr>
              <w:t>,</w:t>
            </w:r>
            <w:r w:rsidRPr="006E7292" w:rsidDel="001D1FCB">
              <w:rPr>
                <w:rFonts w:ascii="Book Antiqua" w:hAnsi="Book Antiqua" w:cs="Times New Roman"/>
              </w:rPr>
              <w:t xml:space="preserve"> 2015</w:t>
            </w:r>
          </w:p>
        </w:tc>
        <w:tc>
          <w:tcPr>
            <w:tcW w:w="0" w:type="auto"/>
          </w:tcPr>
          <w:p w14:paraId="3364360F" w14:textId="404E3E31" w:rsidR="00E225B4" w:rsidRPr="006E7292" w:rsidRDefault="00E225B4" w:rsidP="00EF7A13">
            <w:pPr>
              <w:pStyle w:val="Default"/>
              <w:keepNext/>
              <w:keepLines/>
              <w:snapToGrid w:val="0"/>
              <w:spacing w:line="360" w:lineRule="auto"/>
              <w:outlineLvl w:val="4"/>
              <w:rPr>
                <w:rFonts w:ascii="Book Antiqua" w:hAnsi="Book Antiqua"/>
                <w:color w:val="auto"/>
                <w:lang w:val="en-US"/>
              </w:rPr>
            </w:pPr>
            <w:r w:rsidRPr="006E7292" w:rsidDel="001D1FCB">
              <w:rPr>
                <w:rFonts w:ascii="Book Antiqua" w:hAnsi="Book Antiqua"/>
                <w:color w:val="auto"/>
                <w:lang w:val="en-US"/>
              </w:rPr>
              <w:t xml:space="preserve">Plasma, </w:t>
            </w:r>
            <w:r w:rsidRPr="006E7292" w:rsidDel="0017325F">
              <w:rPr>
                <w:rFonts w:ascii="Book Antiqua" w:hAnsi="Book Antiqua"/>
                <w:i/>
                <w:color w:val="auto"/>
                <w:lang w:val="en-US"/>
              </w:rPr>
              <w:t>AR</w:t>
            </w:r>
            <w:r w:rsidRPr="006E7292" w:rsidDel="001D1FCB">
              <w:rPr>
                <w:rFonts w:ascii="Book Antiqua" w:hAnsi="Book Antiqua"/>
                <w:color w:val="auto"/>
                <w:lang w:val="en-US"/>
              </w:rPr>
              <w:t xml:space="preserve"> qPCR copy number and deep sequencing of </w:t>
            </w:r>
            <w:r w:rsidRPr="006E7292" w:rsidDel="001D1FCB">
              <w:rPr>
                <w:rFonts w:ascii="Book Antiqua" w:hAnsi="Book Antiqua"/>
                <w:i/>
                <w:color w:val="auto"/>
                <w:lang w:val="en-US"/>
              </w:rPr>
              <w:t>AR-LBD</w:t>
            </w:r>
            <w:r w:rsidRPr="006E7292">
              <w:rPr>
                <w:rFonts w:ascii="Book Antiqua" w:eastAsia="宋体" w:hAnsi="Book Antiqua"/>
                <w:color w:val="auto"/>
                <w:lang w:val="en-US" w:eastAsia="zh-CN"/>
              </w:rPr>
              <w:t xml:space="preserve">, </w:t>
            </w:r>
            <w:r w:rsidRPr="006E7292" w:rsidDel="001D1FCB">
              <w:rPr>
                <w:rFonts w:ascii="Book Antiqua" w:hAnsi="Book Antiqua"/>
                <w:color w:val="auto"/>
                <w:lang w:val="en-US"/>
              </w:rPr>
              <w:t>mCRPC (</w:t>
            </w:r>
            <w:r w:rsidRPr="006E7292" w:rsidDel="001D1FCB">
              <w:rPr>
                <w:rFonts w:ascii="Book Antiqua" w:hAnsi="Book Antiqua"/>
                <w:i/>
                <w:color w:val="auto"/>
                <w:lang w:val="en-US"/>
              </w:rPr>
              <w:t>n</w:t>
            </w:r>
            <w:r w:rsidRPr="006E7292">
              <w:rPr>
                <w:rFonts w:ascii="Book Antiqua" w:hAnsi="Book Antiqua"/>
                <w:color w:val="auto"/>
                <w:lang w:val="en-US"/>
              </w:rPr>
              <w:t xml:space="preserve"> </w:t>
            </w:r>
            <w:r w:rsidRPr="006E7292" w:rsidDel="001D1FCB">
              <w:rPr>
                <w:rFonts w:ascii="Book Antiqua" w:hAnsi="Book Antiqua"/>
                <w:color w:val="auto"/>
                <w:lang w:val="en-US"/>
              </w:rPr>
              <w:t>=</w:t>
            </w:r>
            <w:r w:rsidRPr="006E7292">
              <w:rPr>
                <w:rFonts w:ascii="Book Antiqua" w:hAnsi="Book Antiqua"/>
                <w:color w:val="auto"/>
                <w:lang w:val="en-US"/>
              </w:rPr>
              <w:t xml:space="preserve"> </w:t>
            </w:r>
            <w:r w:rsidRPr="006E7292" w:rsidDel="001D1FCB">
              <w:rPr>
                <w:rFonts w:ascii="Book Antiqua" w:hAnsi="Book Antiqua"/>
                <w:color w:val="auto"/>
                <w:lang w:val="en-US"/>
              </w:rPr>
              <w:t>62)</w:t>
            </w:r>
          </w:p>
        </w:tc>
        <w:tc>
          <w:tcPr>
            <w:tcW w:w="0" w:type="auto"/>
          </w:tcPr>
          <w:p w14:paraId="267AB0FF" w14:textId="20F3C349"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sidDel="001D1FCB">
              <w:rPr>
                <w:rFonts w:ascii="Book Antiqua" w:hAnsi="Book Antiqua" w:cs="Times New Roman"/>
              </w:rPr>
              <w:t xml:space="preserve">In cfDNA, </w:t>
            </w:r>
            <w:r w:rsidRPr="006E7292">
              <w:rPr>
                <w:rFonts w:ascii="Book Antiqua" w:hAnsi="Book Antiqua" w:cs="Times New Roman"/>
              </w:rPr>
              <w:t xml:space="preserve">the </w:t>
            </w:r>
            <w:r w:rsidRPr="006E7292">
              <w:rPr>
                <w:rFonts w:ascii="Book Antiqua" w:hAnsi="Book Antiqua" w:cs="Times New Roman"/>
                <w:i/>
              </w:rPr>
              <w:t>AR</w:t>
            </w:r>
            <w:r w:rsidRPr="006E7292">
              <w:rPr>
                <w:rFonts w:ascii="Book Antiqua" w:hAnsi="Book Antiqua" w:cs="Times New Roman"/>
              </w:rPr>
              <w:t xml:space="preserve"> copy number gain was associated with enzalutamide resistance; also abiraterone resistance was associated to AR mutations but to a lower extent</w:t>
            </w:r>
          </w:p>
        </w:tc>
      </w:tr>
      <w:tr w:rsidR="00E225B4" w:rsidRPr="006E7292" w14:paraId="741D8065" w14:textId="77777777" w:rsidTr="009F2021">
        <w:tc>
          <w:tcPr>
            <w:tcW w:w="0" w:type="auto"/>
          </w:tcPr>
          <w:p w14:paraId="3BBC0D1E" w14:textId="30890660" w:rsidR="00E225B4" w:rsidRPr="00EF7A13" w:rsidRDefault="00D82F36" w:rsidP="006E7292">
            <w:pPr>
              <w:snapToGrid w:val="0"/>
              <w:spacing w:line="360" w:lineRule="auto"/>
              <w:rPr>
                <w:rFonts w:ascii="Book Antiqua" w:eastAsia="Times New Roman" w:hAnsi="Book Antiqua" w:cs="Times New Roman"/>
              </w:rPr>
            </w:pPr>
            <w:hyperlink r:id="rId11" w:history="1">
              <w:r w:rsidR="00E225B4" w:rsidRPr="006E7292">
                <w:rPr>
                  <w:rFonts w:ascii="Book Antiqua" w:hAnsi="Book Antiqua" w:cs="Times New Roman"/>
                </w:rPr>
                <w:t>Deligezer</w:t>
              </w:r>
            </w:hyperlink>
            <w:r w:rsidR="00E225B4" w:rsidRPr="006E7292">
              <w:rPr>
                <w:rFonts w:ascii="Book Antiqua" w:hAnsi="Book Antiqua" w:cs="Times New Roman"/>
              </w:rPr>
              <w:t xml:space="preserve"> </w:t>
            </w:r>
            <w:r w:rsidR="00E225B4" w:rsidRPr="006E7292">
              <w:rPr>
                <w:rFonts w:ascii="Book Antiqua" w:eastAsia="Times New Roman" w:hAnsi="Book Antiqua" w:cs="Times New Roman"/>
                <w:i/>
              </w:rPr>
              <w:t>et al</w:t>
            </w:r>
            <w:r w:rsidR="00E225B4" w:rsidRPr="006E7292">
              <w:rPr>
                <w:rFonts w:ascii="Book Antiqua" w:eastAsia="Times New Roman" w:hAnsi="Book Antiqua" w:cs="Times New Roman"/>
                <w:vertAlign w:val="superscript"/>
              </w:rPr>
              <w:t>[42]</w:t>
            </w:r>
            <w:r w:rsidR="00E225B4" w:rsidRPr="006E7292">
              <w:rPr>
                <w:rFonts w:ascii="Book Antiqua" w:eastAsia="Times New Roman" w:hAnsi="Book Antiqua" w:cs="Times New Roman"/>
              </w:rPr>
              <w:t>, 2010</w:t>
            </w:r>
          </w:p>
        </w:tc>
        <w:tc>
          <w:tcPr>
            <w:tcW w:w="0" w:type="auto"/>
          </w:tcPr>
          <w:p w14:paraId="5C1D12F2" w14:textId="02761F02"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EF7A13">
              <w:rPr>
                <w:rFonts w:ascii="Book Antiqua" w:hAnsi="Book Antiqua" w:cs="Times New Roman"/>
              </w:rPr>
              <w:t xml:space="preserve">Plasma, qPCR for </w:t>
            </w:r>
            <w:r w:rsidRPr="00EF7A13">
              <w:rPr>
                <w:rFonts w:ascii="Book Antiqua" w:hAnsi="Book Antiqua" w:cs="Times New Roman"/>
                <w:i/>
              </w:rPr>
              <w:t>Sat-2</w:t>
            </w:r>
            <w:r w:rsidRPr="00EF7A13">
              <w:rPr>
                <w:rFonts w:ascii="Book Antiqua" w:hAnsi="Book Antiqua" w:cs="Times New Roman"/>
              </w:rPr>
              <w:t xml:space="preserve"> gene,</w:t>
            </w:r>
            <w:r w:rsidRPr="006E7292">
              <w:rPr>
                <w:rFonts w:ascii="Book Antiqua" w:eastAsia="宋体" w:hAnsi="Book Antiqua" w:cs="Times New Roman"/>
                <w:lang w:eastAsia="zh-CN"/>
              </w:rPr>
              <w:t xml:space="preserve"> </w:t>
            </w:r>
            <w:r w:rsidRPr="006E7292">
              <w:rPr>
                <w:rFonts w:ascii="Book Antiqua" w:hAnsi="Book Antiqua" w:cs="Times New Roman"/>
              </w:rPr>
              <w:t>PCa-localized (</w:t>
            </w:r>
            <w:r w:rsidRPr="006E7292">
              <w:rPr>
                <w:rFonts w:ascii="Book Antiqua" w:hAnsi="Book Antiqua" w:cs="Times New Roman"/>
                <w:i/>
              </w:rPr>
              <w:t>n</w:t>
            </w:r>
            <w:r w:rsidRPr="006E7292">
              <w:rPr>
                <w:rFonts w:ascii="Book Antiqua" w:hAnsi="Book Antiqua" w:cs="Times New Roman"/>
              </w:rPr>
              <w:t xml:space="preserve"> = 22),</w:t>
            </w:r>
            <w:r w:rsidRPr="006E7292">
              <w:rPr>
                <w:rFonts w:ascii="Book Antiqua" w:eastAsia="宋体" w:hAnsi="Book Antiqua" w:cs="Times New Roman"/>
                <w:lang w:eastAsia="zh-CN"/>
              </w:rPr>
              <w:t xml:space="preserve"> </w:t>
            </w:r>
            <w:r w:rsidRPr="006E7292">
              <w:rPr>
                <w:rFonts w:ascii="Book Antiqua" w:hAnsi="Book Antiqua" w:cs="Times New Roman"/>
              </w:rPr>
              <w:t>locally advanced (</w:t>
            </w:r>
            <w:r w:rsidRPr="006E7292">
              <w:rPr>
                <w:rFonts w:ascii="Book Antiqua" w:hAnsi="Book Antiqua" w:cs="Times New Roman"/>
                <w:i/>
              </w:rPr>
              <w:t>n</w:t>
            </w:r>
            <w:r w:rsidRPr="006E7292">
              <w:rPr>
                <w:rFonts w:ascii="Book Antiqua" w:hAnsi="Book Antiqua" w:cs="Times New Roman"/>
              </w:rPr>
              <w:t xml:space="preserve"> = </w:t>
            </w:r>
            <w:r w:rsidR="00142626" w:rsidRPr="006E7292">
              <w:rPr>
                <w:rFonts w:ascii="Book Antiqua" w:hAnsi="Book Antiqua" w:cs="Times New Roman"/>
              </w:rPr>
              <w:t xml:space="preserve">11), mCRPC </w:t>
            </w:r>
            <w:r w:rsidRPr="006E7292">
              <w:rPr>
                <w:rFonts w:ascii="Book Antiqua" w:hAnsi="Book Antiqua" w:cs="Times New Roman"/>
              </w:rPr>
              <w:t>(</w:t>
            </w:r>
            <w:r w:rsidRPr="006E7292">
              <w:rPr>
                <w:rFonts w:ascii="Book Antiqua" w:hAnsi="Book Antiqua" w:cs="Times New Roman"/>
                <w:i/>
              </w:rPr>
              <w:t>n</w:t>
            </w:r>
            <w:r w:rsidRPr="006E7292">
              <w:rPr>
                <w:rFonts w:ascii="Book Antiqua" w:hAnsi="Book Antiqua" w:cs="Times New Roman"/>
              </w:rPr>
              <w:t xml:space="preserve"> = 28)</w:t>
            </w:r>
          </w:p>
        </w:tc>
        <w:tc>
          <w:tcPr>
            <w:tcW w:w="0" w:type="auto"/>
          </w:tcPr>
          <w:p w14:paraId="626CABDF" w14:textId="42C65D36" w:rsidR="00E225B4" w:rsidRPr="006E7292" w:rsidRDefault="00E225B4">
            <w:pPr>
              <w:snapToGrid w:val="0"/>
              <w:spacing w:line="360" w:lineRule="auto"/>
              <w:rPr>
                <w:rFonts w:ascii="Book Antiqua" w:hAnsi="Book Antiqua" w:cs="Times New Roman"/>
              </w:rPr>
            </w:pPr>
            <w:r w:rsidRPr="006E7292">
              <w:rPr>
                <w:rFonts w:ascii="Book Antiqua" w:hAnsi="Book Antiqua" w:cs="Times New Roman"/>
                <w:bCs/>
              </w:rPr>
              <w:t xml:space="preserve">The average quantity of cfDNA measured by amplification of </w:t>
            </w:r>
            <w:r w:rsidRPr="006E7292">
              <w:rPr>
                <w:rFonts w:ascii="Book Antiqua" w:hAnsi="Book Antiqua" w:cs="Times New Roman"/>
                <w:bCs/>
                <w:i/>
              </w:rPr>
              <w:t>Sat2</w:t>
            </w:r>
            <w:r w:rsidRPr="006E7292">
              <w:rPr>
                <w:rFonts w:ascii="Book Antiqua" w:hAnsi="Book Antiqua" w:cs="Times New Roman"/>
                <w:bCs/>
              </w:rPr>
              <w:t xml:space="preserve"> gene was not significantly different between patients with localized, locally advanced and metastatic disease</w:t>
            </w:r>
          </w:p>
        </w:tc>
      </w:tr>
      <w:tr w:rsidR="00E225B4" w:rsidRPr="006E7292" w14:paraId="57252BA3" w14:textId="77777777" w:rsidTr="009F2021">
        <w:tc>
          <w:tcPr>
            <w:tcW w:w="0" w:type="auto"/>
          </w:tcPr>
          <w:p w14:paraId="0FB62FA3" w14:textId="616DF103" w:rsidR="00E225B4" w:rsidRPr="006E7292" w:rsidRDefault="00D82F36" w:rsidP="006E7292">
            <w:pPr>
              <w:snapToGrid w:val="0"/>
              <w:spacing w:line="360" w:lineRule="auto"/>
              <w:rPr>
                <w:rFonts w:ascii="Book Antiqua" w:hAnsi="Book Antiqua" w:cs="Times New Roman"/>
              </w:rPr>
            </w:pPr>
            <w:hyperlink r:id="rId12" w:history="1">
              <w:r w:rsidR="00E225B4" w:rsidRPr="006E7292">
                <w:rPr>
                  <w:rFonts w:ascii="Book Antiqua" w:hAnsi="Book Antiqua" w:cs="Times New Roman"/>
                </w:rPr>
                <w:t>Schwarzenbach</w:t>
              </w:r>
            </w:hyperlink>
            <w:r w:rsidR="00E225B4" w:rsidRPr="006E7292">
              <w:rPr>
                <w:rFonts w:ascii="Book Antiqua" w:hAnsi="Book Antiqua" w:cs="Times New Roman"/>
              </w:rPr>
              <w:t xml:space="preserve"> </w:t>
            </w:r>
            <w:r w:rsidR="00E225B4" w:rsidRPr="006E7292">
              <w:rPr>
                <w:rFonts w:ascii="Book Antiqua" w:hAnsi="Book Antiqua" w:cs="Times New Roman"/>
                <w:i/>
              </w:rPr>
              <w:t>et al</w:t>
            </w:r>
            <w:r w:rsidR="00E225B4" w:rsidRPr="00EF7A13">
              <w:rPr>
                <w:rFonts w:ascii="Book Antiqua" w:hAnsi="Book Antiqua" w:cs="Times New Roman"/>
                <w:vertAlign w:val="superscript"/>
              </w:rPr>
              <w:t>[43]</w:t>
            </w:r>
            <w:r w:rsidR="00E225B4" w:rsidRPr="00EF7A13">
              <w:rPr>
                <w:rFonts w:ascii="Book Antiqua" w:hAnsi="Book Antiqua" w:cs="Times New Roman"/>
                <w:i/>
              </w:rPr>
              <w:t>,</w:t>
            </w:r>
            <w:r w:rsidR="00E225B4" w:rsidRPr="00EF7A13">
              <w:rPr>
                <w:rFonts w:ascii="Book Antiqua" w:hAnsi="Book Antiqua" w:cs="Times New Roman"/>
              </w:rPr>
              <w:t xml:space="preserve"> 2009</w:t>
            </w:r>
          </w:p>
        </w:tc>
        <w:tc>
          <w:tcPr>
            <w:tcW w:w="0" w:type="auto"/>
          </w:tcPr>
          <w:p w14:paraId="63BCEC7A" w14:textId="1914C0CF"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somatic LOH for </w:t>
            </w:r>
            <w:r w:rsidRPr="006E7292">
              <w:rPr>
                <w:rFonts w:ascii="Book Antiqua" w:hAnsi="Book Antiqua" w:cs="Times New Roman"/>
                <w:i/>
              </w:rPr>
              <w:t>D6S1631</w:t>
            </w:r>
            <w:r w:rsidRPr="006E7292">
              <w:rPr>
                <w:rFonts w:ascii="Book Antiqua" w:hAnsi="Book Antiqua" w:cs="Times New Roman"/>
              </w:rPr>
              <w:t xml:space="preserve">, </w:t>
            </w:r>
            <w:r w:rsidRPr="006E7292">
              <w:rPr>
                <w:rFonts w:ascii="Book Antiqua" w:hAnsi="Book Antiqua" w:cs="Times New Roman"/>
                <w:i/>
              </w:rPr>
              <w:t>D8S286</w:t>
            </w:r>
            <w:r w:rsidRPr="006E7292">
              <w:rPr>
                <w:rFonts w:ascii="Book Antiqua" w:hAnsi="Book Antiqua" w:cs="Times New Roman"/>
              </w:rPr>
              <w:t xml:space="preserve"> and </w:t>
            </w:r>
            <w:r w:rsidRPr="006E7292">
              <w:rPr>
                <w:rFonts w:ascii="Book Antiqua" w:hAnsi="Book Antiqua" w:cs="Times New Roman"/>
                <w:i/>
              </w:rPr>
              <w:t>D9S171</w:t>
            </w:r>
            <w:r w:rsidRPr="006E7292">
              <w:rPr>
                <w:rFonts w:ascii="Book Antiqua" w:hAnsi="Book Antiqua" w:cs="Times New Roman"/>
              </w:rPr>
              <w:t xml:space="preserve"> genes by qPCR,</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69), metastatic PCa patients </w:t>
            </w:r>
            <w:r w:rsidRPr="006E7292">
              <w:rPr>
                <w:rFonts w:ascii="Book Antiqua" w:hAnsi="Book Antiqua" w:cs="Times New Roman"/>
              </w:rPr>
              <w:lastRenderedPageBreak/>
              <w:t>(</w:t>
            </w:r>
            <w:r w:rsidRPr="006E7292">
              <w:rPr>
                <w:rFonts w:ascii="Book Antiqua" w:hAnsi="Book Antiqua" w:cs="Times New Roman"/>
                <w:i/>
              </w:rPr>
              <w:t>n</w:t>
            </w:r>
            <w:r w:rsidRPr="006E7292">
              <w:rPr>
                <w:rFonts w:ascii="Book Antiqua" w:hAnsi="Book Antiqua" w:cs="Times New Roman"/>
              </w:rPr>
              <w:t xml:space="preserve"> = 12)</w:t>
            </w:r>
          </w:p>
        </w:tc>
        <w:tc>
          <w:tcPr>
            <w:tcW w:w="0" w:type="auto"/>
          </w:tcPr>
          <w:p w14:paraId="61C8F636" w14:textId="528A3ABC" w:rsidR="00E225B4" w:rsidRPr="006E7292" w:rsidRDefault="00E225B4">
            <w:pPr>
              <w:snapToGrid w:val="0"/>
              <w:spacing w:line="360" w:lineRule="auto"/>
              <w:rPr>
                <w:rFonts w:ascii="Book Antiqua" w:hAnsi="Book Antiqua" w:cs="Times New Roman"/>
              </w:rPr>
            </w:pPr>
            <w:r w:rsidRPr="006E7292">
              <w:rPr>
                <w:rFonts w:ascii="Book Antiqua" w:hAnsi="Book Antiqua" w:cs="Times New Roman"/>
              </w:rPr>
              <w:lastRenderedPageBreak/>
              <w:t xml:space="preserve">In ctDNA, the somatic LOH significantly correlated with the diagnosis of subgroups made of localized and metastasized prostate cancers. ctDNA LOH significantly associated also with </w:t>
            </w:r>
            <w:r w:rsidRPr="006E7292">
              <w:rPr>
                <w:rFonts w:ascii="Book Antiqua" w:hAnsi="Book Antiqua" w:cs="Times New Roman"/>
              </w:rPr>
              <w:lastRenderedPageBreak/>
              <w:t>the tumor stage</w:t>
            </w:r>
          </w:p>
        </w:tc>
      </w:tr>
      <w:tr w:rsidR="00E225B4" w:rsidRPr="006E7292" w14:paraId="5C538670" w14:textId="77777777" w:rsidTr="009F2021">
        <w:tc>
          <w:tcPr>
            <w:tcW w:w="0" w:type="auto"/>
          </w:tcPr>
          <w:p w14:paraId="4807FA5C" w14:textId="35FE34E6"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Bastian </w:t>
            </w:r>
            <w:r w:rsidRPr="006E7292">
              <w:rPr>
                <w:rFonts w:ascii="Book Antiqua" w:hAnsi="Book Antiqua" w:cs="Times New Roman"/>
                <w:i/>
              </w:rPr>
              <w:t>et al</w:t>
            </w:r>
            <w:r w:rsidRPr="006E7292">
              <w:rPr>
                <w:rFonts w:ascii="Book Antiqua" w:hAnsi="Book Antiqua" w:cs="Times New Roman"/>
                <w:vertAlign w:val="superscript"/>
              </w:rPr>
              <w:t>[44]</w:t>
            </w:r>
            <w:r w:rsidRPr="006E7292">
              <w:rPr>
                <w:rFonts w:ascii="Book Antiqua" w:hAnsi="Book Antiqua" w:cs="Times New Roman"/>
                <w:i/>
              </w:rPr>
              <w:t>,</w:t>
            </w:r>
            <w:r w:rsidRPr="006E7292">
              <w:rPr>
                <w:rFonts w:ascii="Book Antiqua" w:hAnsi="Book Antiqua" w:cs="Times New Roman"/>
              </w:rPr>
              <w:t xml:space="preserve"> 2007</w:t>
            </w:r>
          </w:p>
        </w:tc>
        <w:tc>
          <w:tcPr>
            <w:tcW w:w="0" w:type="auto"/>
          </w:tcPr>
          <w:p w14:paraId="69630B9C" w14:textId="21BF6FF2" w:rsidR="00E225B4" w:rsidRPr="006E7292" w:rsidRDefault="00E225B4" w:rsidP="00EF7A13">
            <w:pPr>
              <w:widowControl w:val="0"/>
              <w:autoSpaceDE w:val="0"/>
              <w:autoSpaceDN w:val="0"/>
              <w:adjustRightInd w:val="0"/>
              <w:snapToGrid w:val="0"/>
              <w:spacing w:line="360" w:lineRule="auto"/>
              <w:rPr>
                <w:rFonts w:ascii="Book Antiqua" w:hAnsi="Book Antiqua" w:cs="Times New Roman"/>
                <w:i/>
              </w:rPr>
            </w:pPr>
            <w:r w:rsidRPr="006E7292">
              <w:rPr>
                <w:rFonts w:ascii="Book Antiqua" w:hAnsi="Book Antiqua" w:cs="Times New Roman"/>
              </w:rPr>
              <w:t xml:space="preserve">Serum, qPCR for </w:t>
            </w:r>
            <w:r w:rsidRPr="006E7292">
              <w:rPr>
                <w:rFonts w:ascii="Book Antiqua" w:hAnsi="Book Antiqua" w:cs="Times New Roman"/>
                <w:i/>
              </w:rPr>
              <w:t>GSTP1</w:t>
            </w:r>
            <w:r w:rsidRPr="006E7292">
              <w:rPr>
                <w:rFonts w:ascii="Book Antiqua" w:hAnsi="Book Antiqua" w:cs="Times New Roman"/>
              </w:rPr>
              <w:t xml:space="preserve">, </w:t>
            </w:r>
            <w:r w:rsidRPr="006E7292">
              <w:rPr>
                <w:rFonts w:ascii="Book Antiqua" w:hAnsi="Book Antiqua" w:cs="Times New Roman"/>
                <w:i/>
              </w:rPr>
              <w:t>MDR1</w:t>
            </w:r>
            <w:r w:rsidRPr="006E7292">
              <w:rPr>
                <w:rFonts w:ascii="Book Antiqua" w:hAnsi="Book Antiqua" w:cs="Times New Roman"/>
              </w:rPr>
              <w:t xml:space="preserve"> and </w:t>
            </w:r>
            <w:r w:rsidRPr="006E7292">
              <w:rPr>
                <w:rFonts w:ascii="Book Antiqua" w:hAnsi="Book Antiqua" w:cs="Times New Roman"/>
                <w:i/>
              </w:rPr>
              <w:t xml:space="preserve">EBNRB </w:t>
            </w:r>
            <w:r w:rsidRPr="006E7292">
              <w:rPr>
                <w:rFonts w:ascii="Book Antiqua" w:hAnsi="Book Antiqua" w:cs="Times New Roman"/>
              </w:rPr>
              <w:t>genes,</w:t>
            </w:r>
            <w:r w:rsidRPr="006E7292">
              <w:rPr>
                <w:rFonts w:ascii="Book Antiqua" w:eastAsia="宋体" w:hAnsi="Book Antiqua" w:cs="Times New Roman"/>
                <w:i/>
                <w:lang w:eastAsia="zh-CN"/>
              </w:rPr>
              <w:t xml:space="preserve"> </w:t>
            </w:r>
            <w:r w:rsidR="00142626" w:rsidRPr="006E7292">
              <w:rPr>
                <w:rFonts w:ascii="Book Antiqua" w:hAnsi="Book Antiqua" w:cs="Times New Roman"/>
              </w:rPr>
              <w:t>PCa patients</w:t>
            </w:r>
            <w:r w:rsidRPr="006E7292">
              <w:rPr>
                <w:rFonts w:ascii="Book Antiqua" w:eastAsia="宋体" w:hAnsi="Book Antiqua" w:cs="Times New Roman"/>
                <w:i/>
                <w:lang w:eastAsia="zh-CN"/>
              </w:rPr>
              <w:t xml:space="preserve"> </w:t>
            </w:r>
            <w:r w:rsidRPr="006E7292">
              <w:rPr>
                <w:rFonts w:ascii="Book Antiqua" w:hAnsi="Book Antiqua" w:cs="Times New Roman"/>
              </w:rPr>
              <w:t>(</w:t>
            </w:r>
            <w:r w:rsidRPr="006E7292">
              <w:rPr>
                <w:rFonts w:ascii="Book Antiqua" w:hAnsi="Book Antiqua" w:cs="Times New Roman"/>
                <w:i/>
              </w:rPr>
              <w:t>n</w:t>
            </w:r>
            <w:r w:rsidRPr="006E7292">
              <w:rPr>
                <w:rFonts w:ascii="Book Antiqua" w:hAnsi="Book Antiqua" w:cs="Times New Roman"/>
              </w:rPr>
              <w:t xml:space="preserve"> = 192)</w:t>
            </w:r>
          </w:p>
        </w:tc>
        <w:tc>
          <w:tcPr>
            <w:tcW w:w="0" w:type="auto"/>
          </w:tcPr>
          <w:p w14:paraId="17C14979" w14:textId="7E03AA2F" w:rsidR="00E225B4" w:rsidRPr="006E7292" w:rsidRDefault="00E225B4">
            <w:pPr>
              <w:widowControl w:val="0"/>
              <w:autoSpaceDE w:val="0"/>
              <w:autoSpaceDN w:val="0"/>
              <w:adjustRightInd w:val="0"/>
              <w:snapToGrid w:val="0"/>
              <w:spacing w:line="360" w:lineRule="auto"/>
              <w:rPr>
                <w:rFonts w:ascii="Book Antiqua" w:hAnsi="Book Antiqua" w:cs="Times New Roman"/>
                <w:bCs/>
              </w:rPr>
            </w:pPr>
            <w:r w:rsidRPr="006E7292">
              <w:rPr>
                <w:rFonts w:ascii="Book Antiqua" w:hAnsi="Book Antiqua" w:cs="Times New Roman"/>
                <w:bCs/>
              </w:rPr>
              <w:t>The levels of cfDNA was found to increase from PCa without recurrence to PCa with recurrence and then to metastatic PCa for all GSTP</w:t>
            </w:r>
            <w:r w:rsidRPr="006E7292">
              <w:rPr>
                <w:rFonts w:ascii="Book Antiqua" w:hAnsi="Book Antiqua" w:cs="Times New Roman"/>
                <w:bCs/>
                <w:i/>
              </w:rPr>
              <w:t>1, MDR1 or EBNRB</w:t>
            </w:r>
            <w:r w:rsidRPr="006E7292">
              <w:rPr>
                <w:rFonts w:ascii="Book Antiqua" w:hAnsi="Book Antiqua" w:cs="Times New Roman"/>
                <w:bCs/>
              </w:rPr>
              <w:t xml:space="preserve"> genes</w:t>
            </w:r>
          </w:p>
        </w:tc>
      </w:tr>
    </w:tbl>
    <w:p w14:paraId="30579759" w14:textId="1B6CE570" w:rsidR="00400966" w:rsidRPr="006E7292" w:rsidRDefault="009F2021" w:rsidP="006E7292">
      <w:pPr>
        <w:snapToGrid w:val="0"/>
        <w:spacing w:line="360" w:lineRule="auto"/>
        <w:jc w:val="both"/>
        <w:rPr>
          <w:rFonts w:ascii="Book Antiqua" w:hAnsi="Book Antiqua" w:cs="Times New Roman"/>
        </w:rPr>
      </w:pPr>
      <w:r w:rsidRPr="006E7292">
        <w:rPr>
          <w:rFonts w:ascii="Book Antiqua" w:hAnsi="Book Antiqua" w:cs="Times New Roman"/>
        </w:rPr>
        <w:t xml:space="preserve">MMRd: Mismatch repair deficiency; </w:t>
      </w:r>
      <w:r w:rsidR="00B51CC2" w:rsidRPr="006E7292">
        <w:rPr>
          <w:rFonts w:ascii="Book Antiqua" w:hAnsi="Book Antiqua" w:cs="Times New Roman"/>
        </w:rPr>
        <w:t>AAP: Acetate and prednisone treatment; AR:</w:t>
      </w:r>
      <w:r w:rsidR="00400966" w:rsidRPr="006E7292">
        <w:rPr>
          <w:rFonts w:ascii="Book Antiqua" w:hAnsi="Book Antiqua" w:cs="Times New Roman"/>
        </w:rPr>
        <w:t xml:space="preserve"> Androgen </w:t>
      </w:r>
      <w:r w:rsidR="00B51CC2" w:rsidRPr="006E7292">
        <w:rPr>
          <w:rFonts w:ascii="Book Antiqua" w:hAnsi="Book Antiqua" w:cs="Times New Roman"/>
        </w:rPr>
        <w:t>receptor</w:t>
      </w:r>
      <w:r w:rsidR="00400966" w:rsidRPr="006E7292">
        <w:rPr>
          <w:rFonts w:ascii="Book Antiqua" w:hAnsi="Book Antiqua" w:cs="Times New Roman"/>
        </w:rPr>
        <w:t xml:space="preserve">; </w:t>
      </w:r>
      <w:r w:rsidR="00B51CC2" w:rsidRPr="006E7292">
        <w:rPr>
          <w:rFonts w:ascii="Book Antiqua" w:hAnsi="Book Antiqua" w:cs="Times New Roman"/>
        </w:rPr>
        <w:t>ARV7:</w:t>
      </w:r>
      <w:r w:rsidR="00400966" w:rsidRPr="006E7292">
        <w:rPr>
          <w:rFonts w:ascii="Book Antiqua" w:hAnsi="Book Antiqua" w:cs="Times New Roman"/>
        </w:rPr>
        <w:t xml:space="preserve"> Androgen </w:t>
      </w:r>
      <w:r w:rsidR="00B51CC2" w:rsidRPr="006E7292">
        <w:rPr>
          <w:rFonts w:ascii="Book Antiqua" w:hAnsi="Book Antiqua" w:cs="Times New Roman"/>
        </w:rPr>
        <w:t>receptor variant 7; BPH:</w:t>
      </w:r>
      <w:r w:rsidR="00400966" w:rsidRPr="006E7292">
        <w:rPr>
          <w:rFonts w:ascii="Book Antiqua" w:hAnsi="Book Antiqua" w:cs="Times New Roman"/>
        </w:rPr>
        <w:t xml:space="preserve"> </w:t>
      </w:r>
      <w:r w:rsidR="00B51CC2" w:rsidRPr="006E7292">
        <w:rPr>
          <w:rFonts w:ascii="Book Antiqua" w:hAnsi="Book Antiqua" w:cs="Times New Roman"/>
        </w:rPr>
        <w:t>Benign prostatic hyperplasia; cfDI:</w:t>
      </w:r>
      <w:r w:rsidR="00400966" w:rsidRPr="006E7292">
        <w:rPr>
          <w:rFonts w:ascii="Book Antiqua" w:hAnsi="Book Antiqua" w:cs="Times New Roman"/>
        </w:rPr>
        <w:t xml:space="preserve"> </w:t>
      </w:r>
      <w:r w:rsidR="00B51CC2" w:rsidRPr="006E7292">
        <w:rPr>
          <w:rFonts w:ascii="Book Antiqua" w:hAnsi="Book Antiqua" w:cs="Times New Roman"/>
        </w:rPr>
        <w:t>Cell</w:t>
      </w:r>
      <w:r w:rsidR="00400966" w:rsidRPr="006E7292">
        <w:rPr>
          <w:rFonts w:ascii="Book Antiqua" w:hAnsi="Book Antiqua" w:cs="Times New Roman"/>
        </w:rPr>
        <w:t>-free DNA integrity;</w:t>
      </w:r>
      <w:r w:rsidR="00B51CC2" w:rsidRPr="006E7292">
        <w:rPr>
          <w:rFonts w:ascii="Book Antiqua" w:hAnsi="Book Antiqua" w:cs="Times New Roman"/>
          <w:bCs/>
        </w:rPr>
        <w:t xml:space="preserve"> cfDNA:</w:t>
      </w:r>
      <w:r w:rsidR="00400966" w:rsidRPr="006E7292">
        <w:rPr>
          <w:rFonts w:ascii="Book Antiqua" w:hAnsi="Book Antiqua" w:cs="Times New Roman"/>
          <w:bCs/>
        </w:rPr>
        <w:t xml:space="preserve"> </w:t>
      </w:r>
      <w:r w:rsidR="00B51CC2" w:rsidRPr="006E7292">
        <w:rPr>
          <w:rFonts w:ascii="Book Antiqua" w:hAnsi="Book Antiqua" w:cs="Times New Roman"/>
          <w:bCs/>
        </w:rPr>
        <w:t>Cell</w:t>
      </w:r>
      <w:r w:rsidR="00400966" w:rsidRPr="006E7292">
        <w:rPr>
          <w:rFonts w:ascii="Book Antiqua" w:hAnsi="Book Antiqua" w:cs="Times New Roman"/>
          <w:bCs/>
        </w:rPr>
        <w:t>-free circulating DNA;</w:t>
      </w:r>
      <w:r w:rsidR="00B51CC2" w:rsidRPr="006E7292">
        <w:rPr>
          <w:rFonts w:ascii="Book Antiqua" w:hAnsi="Book Antiqua" w:cs="Times New Roman"/>
        </w:rPr>
        <w:t xml:space="preserve"> CRPC:</w:t>
      </w:r>
      <w:r w:rsidR="00400966" w:rsidRPr="006E7292">
        <w:rPr>
          <w:rFonts w:ascii="Book Antiqua" w:hAnsi="Book Antiqua" w:cs="Times New Roman"/>
        </w:rPr>
        <w:t xml:space="preserve"> Castrat</w:t>
      </w:r>
      <w:r w:rsidR="008F2EB4" w:rsidRPr="006E7292">
        <w:rPr>
          <w:rFonts w:ascii="Book Antiqua" w:hAnsi="Book Antiqua" w:cs="Times New Roman"/>
        </w:rPr>
        <w:t>e-</w:t>
      </w:r>
      <w:r w:rsidR="00B51CC2" w:rsidRPr="006E7292">
        <w:rPr>
          <w:rFonts w:ascii="Book Antiqua" w:hAnsi="Book Antiqua" w:cs="Times New Roman"/>
        </w:rPr>
        <w:t>resistant prostate cancer; CTC:</w:t>
      </w:r>
      <w:r w:rsidR="00400966" w:rsidRPr="006E7292">
        <w:rPr>
          <w:rFonts w:ascii="Book Antiqua" w:hAnsi="Book Antiqua" w:cs="Times New Roman"/>
        </w:rPr>
        <w:t xml:space="preserve"> Circulating </w:t>
      </w:r>
      <w:r w:rsidR="00B51CC2" w:rsidRPr="006E7292">
        <w:rPr>
          <w:rFonts w:ascii="Book Antiqua" w:hAnsi="Book Antiqua" w:cs="Times New Roman"/>
        </w:rPr>
        <w:t>tumor cells; ctDNA:</w:t>
      </w:r>
      <w:r w:rsidR="00400966" w:rsidRPr="006E7292">
        <w:rPr>
          <w:rFonts w:ascii="Book Antiqua" w:hAnsi="Book Antiqua" w:cs="Times New Roman"/>
        </w:rPr>
        <w:t xml:space="preserve"> Circulating </w:t>
      </w:r>
      <w:r w:rsidR="00B51CC2" w:rsidRPr="006E7292">
        <w:rPr>
          <w:rFonts w:ascii="Book Antiqua" w:hAnsi="Book Antiqua" w:cs="Times New Roman"/>
        </w:rPr>
        <w:t>tumor DNA; dPCR:</w:t>
      </w:r>
      <w:r w:rsidR="00400966" w:rsidRPr="006E7292">
        <w:rPr>
          <w:rFonts w:ascii="Book Antiqua" w:hAnsi="Book Antiqua" w:cs="Times New Roman"/>
        </w:rPr>
        <w:t xml:space="preserve"> </w:t>
      </w:r>
      <w:r w:rsidR="00B51CC2" w:rsidRPr="006E7292">
        <w:rPr>
          <w:rFonts w:ascii="Book Antiqua" w:hAnsi="Book Antiqua" w:cs="Times New Roman"/>
        </w:rPr>
        <w:t xml:space="preserve">Digital </w:t>
      </w:r>
      <w:r w:rsidR="00400966" w:rsidRPr="006E7292">
        <w:rPr>
          <w:rFonts w:ascii="Book Antiqua" w:hAnsi="Book Antiqua" w:cs="Times New Roman"/>
        </w:rPr>
        <w:t>PC</w:t>
      </w:r>
      <w:r w:rsidR="00B51CC2" w:rsidRPr="006E7292">
        <w:rPr>
          <w:rFonts w:ascii="Book Antiqua" w:hAnsi="Book Antiqua" w:cs="Times New Roman"/>
        </w:rPr>
        <w:t>R; GOF:</w:t>
      </w:r>
      <w:r w:rsidR="00400966" w:rsidRPr="006E7292">
        <w:rPr>
          <w:rFonts w:ascii="Book Antiqua" w:hAnsi="Book Antiqua" w:cs="Times New Roman"/>
        </w:rPr>
        <w:t xml:space="preserve"> Gain of </w:t>
      </w:r>
      <w:r w:rsidR="00B51CC2" w:rsidRPr="006E7292">
        <w:rPr>
          <w:rFonts w:ascii="Book Antiqua" w:hAnsi="Book Antiqua" w:cs="Times New Roman"/>
        </w:rPr>
        <w:t>function; NGS:</w:t>
      </w:r>
      <w:r w:rsidR="00400966" w:rsidRPr="006E7292">
        <w:rPr>
          <w:rFonts w:ascii="Book Antiqua" w:hAnsi="Book Antiqua" w:cs="Times New Roman"/>
        </w:rPr>
        <w:t xml:space="preserve"> Next </w:t>
      </w:r>
      <w:r w:rsidR="00B51CC2" w:rsidRPr="006E7292">
        <w:rPr>
          <w:rFonts w:ascii="Book Antiqua" w:hAnsi="Book Antiqua" w:cs="Times New Roman"/>
        </w:rPr>
        <w:t>generation sequencing; PFS:</w:t>
      </w:r>
      <w:r w:rsidR="00400966" w:rsidRPr="006E7292">
        <w:rPr>
          <w:rFonts w:ascii="Book Antiqua" w:hAnsi="Book Antiqua" w:cs="Times New Roman"/>
        </w:rPr>
        <w:t xml:space="preserve"> Progression</w:t>
      </w:r>
      <w:r w:rsidR="006E7292">
        <w:rPr>
          <w:rFonts w:ascii="Book Antiqua" w:hAnsi="Book Antiqua" w:cs="Times New Roman"/>
        </w:rPr>
        <w:t>-</w:t>
      </w:r>
      <w:r w:rsidR="00B51CC2" w:rsidRPr="006E7292">
        <w:rPr>
          <w:rFonts w:ascii="Book Antiqua" w:hAnsi="Book Antiqua" w:cs="Times New Roman"/>
        </w:rPr>
        <w:t>free survival; LP-WGS:</w:t>
      </w:r>
      <w:r w:rsidR="00400966" w:rsidRPr="006E7292">
        <w:rPr>
          <w:rFonts w:ascii="Book Antiqua" w:hAnsi="Book Antiqua" w:cs="Times New Roman"/>
        </w:rPr>
        <w:t xml:space="preserve"> </w:t>
      </w:r>
      <w:r w:rsidR="00B51CC2" w:rsidRPr="006E7292">
        <w:rPr>
          <w:rFonts w:ascii="Book Antiqua" w:hAnsi="Book Antiqua" w:cs="Times New Roman"/>
        </w:rPr>
        <w:t xml:space="preserve">Low </w:t>
      </w:r>
      <w:r w:rsidR="00400966" w:rsidRPr="006E7292">
        <w:rPr>
          <w:rFonts w:ascii="Book Antiqua" w:hAnsi="Book Antiqua" w:cs="Times New Roman"/>
        </w:rPr>
        <w:t>pa</w:t>
      </w:r>
      <w:r w:rsidR="00B51CC2" w:rsidRPr="006E7292">
        <w:rPr>
          <w:rFonts w:ascii="Book Antiqua" w:hAnsi="Book Antiqua" w:cs="Times New Roman"/>
        </w:rPr>
        <w:t>ss whole-genome sequencing; LOH:</w:t>
      </w:r>
      <w:r w:rsidR="00400966" w:rsidRPr="006E7292">
        <w:rPr>
          <w:rFonts w:ascii="Book Antiqua" w:hAnsi="Book Antiqua" w:cs="Times New Roman"/>
        </w:rPr>
        <w:t xml:space="preserve"> Loss of </w:t>
      </w:r>
      <w:r w:rsidR="00B51CC2" w:rsidRPr="006E7292">
        <w:rPr>
          <w:rFonts w:ascii="Book Antiqua" w:hAnsi="Book Antiqua" w:cs="Times New Roman"/>
        </w:rPr>
        <w:t>heterogeneity; OS:</w:t>
      </w:r>
      <w:r w:rsidR="00400966" w:rsidRPr="006E7292">
        <w:rPr>
          <w:rFonts w:ascii="Book Antiqua" w:hAnsi="Book Antiqua" w:cs="Times New Roman"/>
        </w:rPr>
        <w:t xml:space="preserve"> Overall </w:t>
      </w:r>
      <w:r w:rsidR="00B51CC2" w:rsidRPr="006E7292">
        <w:rPr>
          <w:rFonts w:ascii="Book Antiqua" w:hAnsi="Book Antiqua" w:cs="Times New Roman"/>
        </w:rPr>
        <w:t>survival; PCa:</w:t>
      </w:r>
      <w:r w:rsidR="00400966" w:rsidRPr="006E7292">
        <w:rPr>
          <w:rFonts w:ascii="Book Antiqua" w:hAnsi="Book Antiqua" w:cs="Times New Roman"/>
        </w:rPr>
        <w:t xml:space="preserve"> Prostate </w:t>
      </w:r>
      <w:r w:rsidR="00B51CC2" w:rsidRPr="006E7292">
        <w:rPr>
          <w:rFonts w:ascii="Book Antiqua" w:hAnsi="Book Antiqua" w:cs="Times New Roman"/>
        </w:rPr>
        <w:t>cancer; mCRPC:</w:t>
      </w:r>
      <w:r w:rsidR="00400966" w:rsidRPr="006E7292">
        <w:rPr>
          <w:rFonts w:ascii="Book Antiqua" w:hAnsi="Book Antiqua" w:cs="Times New Roman"/>
        </w:rPr>
        <w:t xml:space="preserve"> </w:t>
      </w:r>
      <w:r w:rsidR="00B51CC2" w:rsidRPr="006E7292">
        <w:rPr>
          <w:rFonts w:ascii="Book Antiqua" w:hAnsi="Book Antiqua" w:cs="Times New Roman"/>
        </w:rPr>
        <w:t>Metastatic castrat</w:t>
      </w:r>
      <w:r w:rsidR="008F2EB4" w:rsidRPr="006E7292">
        <w:rPr>
          <w:rFonts w:ascii="Book Antiqua" w:hAnsi="Book Antiqua" w:cs="Times New Roman"/>
        </w:rPr>
        <w:t>e</w:t>
      </w:r>
      <w:r w:rsidR="00400966" w:rsidRPr="006E7292">
        <w:rPr>
          <w:rFonts w:ascii="Book Antiqua" w:hAnsi="Book Antiqua" w:cs="Times New Roman"/>
        </w:rPr>
        <w:t>-</w:t>
      </w:r>
      <w:r w:rsidR="00B51CC2" w:rsidRPr="006E7292">
        <w:rPr>
          <w:rFonts w:ascii="Book Antiqua" w:hAnsi="Book Antiqua" w:cs="Times New Roman"/>
        </w:rPr>
        <w:t>resistant prostate cancer; mPCa:</w:t>
      </w:r>
      <w:r w:rsidR="00400966" w:rsidRPr="006E7292">
        <w:rPr>
          <w:rFonts w:ascii="Book Antiqua" w:hAnsi="Book Antiqua" w:cs="Times New Roman"/>
        </w:rPr>
        <w:t xml:space="preserve"> </w:t>
      </w:r>
      <w:r w:rsidR="00B51CC2" w:rsidRPr="006E7292">
        <w:rPr>
          <w:rFonts w:ascii="Book Antiqua" w:hAnsi="Book Antiqua" w:cs="Times New Roman"/>
        </w:rPr>
        <w:t>Metastatic prostate cancer; PSA:</w:t>
      </w:r>
      <w:r w:rsidR="00400966" w:rsidRPr="006E7292">
        <w:rPr>
          <w:rFonts w:ascii="Book Antiqua" w:hAnsi="Book Antiqua" w:cs="Times New Roman"/>
        </w:rPr>
        <w:t xml:space="preserve"> Prostate </w:t>
      </w:r>
      <w:r w:rsidR="00B51CC2" w:rsidRPr="006E7292">
        <w:rPr>
          <w:rFonts w:ascii="Book Antiqua" w:hAnsi="Book Antiqua" w:cs="Times New Roman"/>
        </w:rPr>
        <w:t>specific antigen</w:t>
      </w:r>
      <w:r w:rsidR="00142626" w:rsidRPr="006E7292">
        <w:rPr>
          <w:rFonts w:ascii="Book Antiqua" w:hAnsi="Book Antiqua" w:cs="Times New Roman"/>
        </w:rPr>
        <w:t>;</w:t>
      </w:r>
      <w:r w:rsidR="00B51CC2" w:rsidRPr="006E7292">
        <w:rPr>
          <w:rFonts w:ascii="Book Antiqua" w:hAnsi="Book Antiqua" w:cs="Times New Roman"/>
        </w:rPr>
        <w:t xml:space="preserve"> qPCR:</w:t>
      </w:r>
      <w:r w:rsidR="00400966" w:rsidRPr="006E7292">
        <w:rPr>
          <w:rFonts w:ascii="Book Antiqua" w:hAnsi="Book Antiqua" w:cs="Times New Roman"/>
        </w:rPr>
        <w:t xml:space="preserve"> </w:t>
      </w:r>
      <w:r w:rsidR="00B51CC2" w:rsidRPr="006E7292">
        <w:rPr>
          <w:rFonts w:ascii="Book Antiqua" w:hAnsi="Book Antiqua" w:cs="Times New Roman"/>
        </w:rPr>
        <w:t>Quantitative PCR; rPFS:</w:t>
      </w:r>
      <w:r w:rsidR="00400966" w:rsidRPr="006E7292">
        <w:rPr>
          <w:rFonts w:ascii="Book Antiqua" w:hAnsi="Book Antiqua" w:cs="Times New Roman"/>
        </w:rPr>
        <w:t xml:space="preserve"> </w:t>
      </w:r>
      <w:r w:rsidR="00B51CC2" w:rsidRPr="006E7292">
        <w:rPr>
          <w:rFonts w:ascii="Book Antiqua" w:hAnsi="Book Antiqua" w:cs="Times New Roman"/>
        </w:rPr>
        <w:t>Radiographic progression</w:t>
      </w:r>
      <w:r w:rsidR="00400966" w:rsidRPr="006E7292">
        <w:rPr>
          <w:rFonts w:ascii="Book Antiqua" w:hAnsi="Book Antiqua" w:cs="Times New Roman"/>
        </w:rPr>
        <w:t>-</w:t>
      </w:r>
      <w:r w:rsidR="00B51CC2" w:rsidRPr="006E7292">
        <w:rPr>
          <w:rFonts w:ascii="Book Antiqua" w:hAnsi="Book Antiqua" w:cs="Times New Roman"/>
        </w:rPr>
        <w:t>free survival; SCNA:</w:t>
      </w:r>
      <w:r w:rsidR="00400966" w:rsidRPr="006E7292">
        <w:rPr>
          <w:rFonts w:ascii="Book Antiqua" w:hAnsi="Book Antiqua" w:cs="Times New Roman"/>
        </w:rPr>
        <w:t xml:space="preserve"> Somatic </w:t>
      </w:r>
      <w:r w:rsidR="00B51CC2" w:rsidRPr="006E7292">
        <w:rPr>
          <w:rFonts w:ascii="Book Antiqua" w:hAnsi="Book Antiqua" w:cs="Times New Roman"/>
        </w:rPr>
        <w:t>copy number alteration</w:t>
      </w:r>
      <w:r w:rsidR="00400966" w:rsidRPr="006E7292">
        <w:rPr>
          <w:rFonts w:ascii="Book Antiqua" w:hAnsi="Book Antiqua" w:cs="Times New Roman"/>
        </w:rPr>
        <w:t xml:space="preserve">; </w:t>
      </w:r>
      <w:r w:rsidR="00B51CC2" w:rsidRPr="006E7292">
        <w:rPr>
          <w:rFonts w:ascii="Book Antiqua" w:hAnsi="Book Antiqua" w:cs="Times New Roman"/>
        </w:rPr>
        <w:t>scfDNA:</w:t>
      </w:r>
      <w:r w:rsidR="00400966" w:rsidRPr="006E7292">
        <w:rPr>
          <w:rFonts w:ascii="Book Antiqua" w:hAnsi="Book Antiqua" w:cs="Times New Roman"/>
        </w:rPr>
        <w:t xml:space="preserve"> Seminal plasma cfDNA; </w:t>
      </w:r>
      <w:r w:rsidR="00B51CC2" w:rsidRPr="006E7292">
        <w:rPr>
          <w:rFonts w:ascii="Book Antiqua" w:hAnsi="Book Antiqua" w:cs="Times New Roman"/>
        </w:rPr>
        <w:t>TGS:</w:t>
      </w:r>
      <w:r w:rsidR="00400966" w:rsidRPr="006E7292">
        <w:rPr>
          <w:rFonts w:ascii="Book Antiqua" w:hAnsi="Book Antiqua" w:cs="Times New Roman"/>
        </w:rPr>
        <w:t xml:space="preserve"> </w:t>
      </w:r>
      <w:r w:rsidR="00B51CC2" w:rsidRPr="006E7292">
        <w:rPr>
          <w:rFonts w:ascii="Book Antiqua" w:hAnsi="Book Antiqua" w:cs="Times New Roman"/>
        </w:rPr>
        <w:t>Deep targeted sequencing; TFx:</w:t>
      </w:r>
      <w:r w:rsidR="00400966" w:rsidRPr="006E7292">
        <w:rPr>
          <w:rFonts w:ascii="Book Antiqua" w:hAnsi="Book Antiqua" w:cs="Times New Roman"/>
        </w:rPr>
        <w:t xml:space="preserve"> Tumor </w:t>
      </w:r>
      <w:r w:rsidR="00B51CC2" w:rsidRPr="006E7292">
        <w:rPr>
          <w:rFonts w:ascii="Book Antiqua" w:hAnsi="Book Antiqua" w:cs="Times New Roman"/>
        </w:rPr>
        <w:t>fractions; TMB:</w:t>
      </w:r>
      <w:r w:rsidR="00400966" w:rsidRPr="006E7292">
        <w:rPr>
          <w:rFonts w:ascii="Book Antiqua" w:hAnsi="Book Antiqua" w:cs="Times New Roman"/>
        </w:rPr>
        <w:t xml:space="preserve"> Tumor </w:t>
      </w:r>
      <w:r w:rsidR="00B51CC2" w:rsidRPr="006E7292">
        <w:rPr>
          <w:rFonts w:ascii="Book Antiqua" w:hAnsi="Book Antiqua" w:cs="Times New Roman"/>
        </w:rPr>
        <w:t>mutation burden; ULP-WGS:</w:t>
      </w:r>
      <w:r w:rsidR="00400966" w:rsidRPr="006E7292">
        <w:rPr>
          <w:rFonts w:ascii="Book Antiqua" w:hAnsi="Book Antiqua" w:cs="Times New Roman"/>
        </w:rPr>
        <w:t xml:space="preserve"> </w:t>
      </w:r>
      <w:r w:rsidR="00B51CC2" w:rsidRPr="006E7292">
        <w:rPr>
          <w:rFonts w:ascii="Book Antiqua" w:hAnsi="Book Antiqua" w:cs="Times New Roman"/>
        </w:rPr>
        <w:t xml:space="preserve">Ultra </w:t>
      </w:r>
      <w:r w:rsidR="00400966" w:rsidRPr="006E7292">
        <w:rPr>
          <w:rFonts w:ascii="Book Antiqua" w:hAnsi="Book Antiqua" w:cs="Times New Roman"/>
        </w:rPr>
        <w:t>low pa</w:t>
      </w:r>
      <w:r w:rsidR="00B51CC2" w:rsidRPr="006E7292">
        <w:rPr>
          <w:rFonts w:ascii="Book Antiqua" w:hAnsi="Book Antiqua" w:cs="Times New Roman"/>
        </w:rPr>
        <w:t>ss whole-genome sequencing; WES:</w:t>
      </w:r>
      <w:r w:rsidR="00400966" w:rsidRPr="006E7292">
        <w:rPr>
          <w:rFonts w:ascii="Book Antiqua" w:hAnsi="Book Antiqua" w:cs="Times New Roman"/>
        </w:rPr>
        <w:t xml:space="preserve"> Whole </w:t>
      </w:r>
      <w:r w:rsidR="00B51CC2" w:rsidRPr="006E7292">
        <w:rPr>
          <w:rFonts w:ascii="Book Antiqua" w:hAnsi="Book Antiqua" w:cs="Times New Roman"/>
        </w:rPr>
        <w:t>exome sequencing</w:t>
      </w:r>
      <w:r w:rsidR="001B3466" w:rsidRPr="006E7292">
        <w:rPr>
          <w:rFonts w:ascii="Book Antiqua" w:hAnsi="Book Antiqua" w:cs="Times New Roman"/>
        </w:rPr>
        <w:t>: LBD: Ligand binding domain</w:t>
      </w:r>
      <w:r w:rsidR="00B51CC2" w:rsidRPr="006E7292">
        <w:rPr>
          <w:rFonts w:ascii="Book Antiqua" w:hAnsi="Book Antiqua" w:cs="Times New Roman"/>
        </w:rPr>
        <w:t>.</w:t>
      </w:r>
    </w:p>
    <w:p w14:paraId="78003EC3" w14:textId="32C1516E" w:rsidR="00400966" w:rsidRPr="006E7292" w:rsidRDefault="00400966" w:rsidP="00EF7A13">
      <w:pPr>
        <w:snapToGrid w:val="0"/>
        <w:spacing w:line="360" w:lineRule="auto"/>
        <w:jc w:val="both"/>
        <w:rPr>
          <w:rFonts w:ascii="Book Antiqua" w:hAnsi="Book Antiqua"/>
        </w:rPr>
      </w:pPr>
      <w:r w:rsidRPr="006E7292">
        <w:rPr>
          <w:rFonts w:ascii="Book Antiqua" w:hAnsi="Book Antiqua"/>
        </w:rPr>
        <w:br w:type="page"/>
      </w:r>
    </w:p>
    <w:p w14:paraId="62A4F5C1" w14:textId="1FD03EDD" w:rsidR="00400966" w:rsidRPr="006E7292" w:rsidRDefault="00B51CC2" w:rsidP="00EF7A13">
      <w:pPr>
        <w:snapToGrid w:val="0"/>
        <w:spacing w:line="360" w:lineRule="auto"/>
        <w:jc w:val="both"/>
        <w:rPr>
          <w:rFonts w:ascii="Book Antiqua" w:hAnsi="Book Antiqua" w:cs="Times New Roman"/>
          <w:b/>
        </w:rPr>
      </w:pPr>
      <w:r w:rsidRPr="006E7292">
        <w:rPr>
          <w:rFonts w:ascii="Book Antiqua" w:hAnsi="Book Antiqua" w:cs="Times New Roman"/>
          <w:b/>
        </w:rPr>
        <w:lastRenderedPageBreak/>
        <w:t>Table 2</w:t>
      </w:r>
      <w:r w:rsidR="00400966" w:rsidRPr="006E7292">
        <w:rPr>
          <w:rFonts w:ascii="Book Antiqua" w:hAnsi="Book Antiqua" w:cs="Times New Roman"/>
          <w:b/>
        </w:rPr>
        <w:t xml:space="preserve"> Diagnostic and prognostic outcomes methods of studies investigating </w:t>
      </w:r>
      <w:r w:rsidRPr="006E7292">
        <w:rPr>
          <w:rFonts w:ascii="Book Antiqua" w:hAnsi="Book Antiqua"/>
          <w:b/>
        </w:rPr>
        <w:t>circulating tumor ribonucleic acid</w:t>
      </w:r>
      <w:r w:rsidRPr="006E7292">
        <w:rPr>
          <w:rFonts w:ascii="Book Antiqua" w:hAnsi="Book Antiqua" w:cs="Times New Roman"/>
          <w:b/>
        </w:rPr>
        <w:t xml:space="preserve"> </w:t>
      </w:r>
      <w:r w:rsidR="00400966" w:rsidRPr="006E7292">
        <w:rPr>
          <w:rFonts w:ascii="Book Antiqua" w:hAnsi="Book Antiqua" w:cs="Times New Roman"/>
          <w:b/>
        </w:rPr>
        <w:t>in p</w:t>
      </w:r>
      <w:r w:rsidRPr="006E7292">
        <w:rPr>
          <w:rFonts w:ascii="Book Antiqua" w:hAnsi="Book Antiqua" w:cs="Times New Roman"/>
          <w:b/>
        </w:rPr>
        <w:t>rostate cancer by liquid biopsy</w:t>
      </w:r>
    </w:p>
    <w:tbl>
      <w:tblPr>
        <w:tblStyle w:val="a7"/>
        <w:tblpPr w:leftFromText="141" w:rightFromText="141"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4158"/>
        <w:gridCol w:w="7841"/>
      </w:tblGrid>
      <w:tr w:rsidR="00A01E1C" w:rsidRPr="006E7292" w14:paraId="32555FBC" w14:textId="77777777" w:rsidTr="00644326">
        <w:tc>
          <w:tcPr>
            <w:tcW w:w="0" w:type="auto"/>
            <w:tcBorders>
              <w:top w:val="single" w:sz="4" w:space="0" w:color="auto"/>
              <w:bottom w:val="single" w:sz="4" w:space="0" w:color="auto"/>
            </w:tcBorders>
          </w:tcPr>
          <w:p w14:paraId="6D74E871" w14:textId="3FEAB867" w:rsidR="00A01E1C" w:rsidRPr="006E7292" w:rsidRDefault="00A01E1C">
            <w:pPr>
              <w:snapToGrid w:val="0"/>
              <w:spacing w:line="360" w:lineRule="auto"/>
              <w:rPr>
                <w:rFonts w:ascii="Book Antiqua" w:hAnsi="Book Antiqua"/>
                <w:b/>
              </w:rPr>
            </w:pPr>
            <w:r w:rsidRPr="006E7292">
              <w:rPr>
                <w:rFonts w:ascii="Book Antiqua" w:hAnsi="Book Antiqua"/>
                <w:b/>
              </w:rPr>
              <w:t>Ref.</w:t>
            </w:r>
          </w:p>
        </w:tc>
        <w:tc>
          <w:tcPr>
            <w:tcW w:w="0" w:type="auto"/>
            <w:tcBorders>
              <w:top w:val="single" w:sz="4" w:space="0" w:color="auto"/>
              <w:bottom w:val="single" w:sz="4" w:space="0" w:color="auto"/>
            </w:tcBorders>
          </w:tcPr>
          <w:p w14:paraId="39063681" w14:textId="6A2D1D70" w:rsidR="00A01E1C" w:rsidRPr="006E7292" w:rsidRDefault="00A01E1C">
            <w:pPr>
              <w:snapToGrid w:val="0"/>
              <w:spacing w:line="360" w:lineRule="auto"/>
              <w:rPr>
                <w:rFonts w:ascii="Book Antiqua" w:hAnsi="Book Antiqua"/>
                <w:b/>
              </w:rPr>
            </w:pPr>
            <w:r w:rsidRPr="006E7292">
              <w:rPr>
                <w:rFonts w:ascii="Book Antiqua" w:hAnsi="Book Antiqua"/>
                <w:b/>
              </w:rPr>
              <w:t>Methods and patients</w:t>
            </w:r>
          </w:p>
        </w:tc>
        <w:tc>
          <w:tcPr>
            <w:tcW w:w="0" w:type="auto"/>
            <w:tcBorders>
              <w:top w:val="single" w:sz="4" w:space="0" w:color="auto"/>
              <w:bottom w:val="single" w:sz="4" w:space="0" w:color="auto"/>
            </w:tcBorders>
          </w:tcPr>
          <w:p w14:paraId="3E65CBA7" w14:textId="3FB2A624" w:rsidR="00A01E1C" w:rsidRPr="006E7292" w:rsidRDefault="00A01E1C">
            <w:pPr>
              <w:snapToGrid w:val="0"/>
              <w:spacing w:line="360" w:lineRule="auto"/>
              <w:rPr>
                <w:rFonts w:ascii="Book Antiqua" w:hAnsi="Book Antiqua"/>
                <w:b/>
              </w:rPr>
            </w:pPr>
            <w:r w:rsidRPr="006E7292">
              <w:rPr>
                <w:rFonts w:ascii="Book Antiqua" w:hAnsi="Book Antiqua"/>
                <w:b/>
              </w:rPr>
              <w:t>Prognostic or predictive outcomes</w:t>
            </w:r>
          </w:p>
        </w:tc>
      </w:tr>
      <w:tr w:rsidR="00A01E1C" w:rsidRPr="006E7292" w14:paraId="234798EF" w14:textId="77777777" w:rsidTr="00644326">
        <w:tc>
          <w:tcPr>
            <w:tcW w:w="0" w:type="auto"/>
            <w:tcBorders>
              <w:top w:val="single" w:sz="4" w:space="0" w:color="auto"/>
            </w:tcBorders>
          </w:tcPr>
          <w:p w14:paraId="44AEFEF5" w14:textId="2E231337" w:rsidR="00A01E1C" w:rsidRPr="006E7292" w:rsidRDefault="00A01E1C">
            <w:pPr>
              <w:snapToGrid w:val="0"/>
              <w:spacing w:line="360" w:lineRule="auto"/>
              <w:rPr>
                <w:rFonts w:ascii="Book Antiqua" w:hAnsi="Book Antiqua" w:cs="Times New Roman"/>
              </w:rPr>
            </w:pPr>
            <w:r w:rsidRPr="006E7292">
              <w:rPr>
                <w:rFonts w:ascii="Book Antiqua" w:hAnsi="Book Antiqua" w:cs="Times New Roman"/>
              </w:rPr>
              <w:t xml:space="preserve">Joncas </w:t>
            </w:r>
            <w:r w:rsidRPr="006E7292">
              <w:rPr>
                <w:rFonts w:ascii="Book Antiqua" w:hAnsi="Book Antiqua" w:cs="Times New Roman"/>
                <w:i/>
              </w:rPr>
              <w:t>et al</w:t>
            </w:r>
            <w:r w:rsidRPr="006E7292">
              <w:rPr>
                <w:rFonts w:ascii="Book Antiqua" w:hAnsi="Book Antiqua" w:cs="Times New Roman"/>
                <w:vertAlign w:val="superscript"/>
              </w:rPr>
              <w:t>[48]</w:t>
            </w:r>
            <w:r w:rsidRPr="006E7292">
              <w:rPr>
                <w:rFonts w:ascii="Book Antiqua" w:hAnsi="Book Antiqua" w:cs="Times New Roman"/>
              </w:rPr>
              <w:t>, 2019</w:t>
            </w:r>
          </w:p>
        </w:tc>
        <w:tc>
          <w:tcPr>
            <w:tcW w:w="0" w:type="auto"/>
            <w:tcBorders>
              <w:top w:val="single" w:sz="4" w:space="0" w:color="auto"/>
            </w:tcBorders>
          </w:tcPr>
          <w:p w14:paraId="1CE7FCD1" w14:textId="3DDBA29D"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dPCR,</w:t>
            </w:r>
            <w:r w:rsidRPr="006E7292">
              <w:rPr>
                <w:rFonts w:ascii="Book Antiqua" w:eastAsia="宋体" w:hAnsi="Book Antiqua" w:cs="Times New Roman"/>
                <w:lang w:eastAsia="zh-CN"/>
              </w:rPr>
              <w:t xml:space="preserve"> </w:t>
            </w:r>
            <w:r w:rsidRPr="006E7292">
              <w:rPr>
                <w:rFonts w:ascii="Book Antiqua" w:hAnsi="Book Antiqua" w:cs="Times New Roman"/>
                <w:i/>
              </w:rPr>
              <w:t>AR-7</w:t>
            </w:r>
            <w:r w:rsidRPr="006E7292">
              <w:rPr>
                <w:rFonts w:ascii="Book Antiqua" w:hAnsi="Book Antiqua" w:cs="Times New Roman"/>
              </w:rPr>
              <w:t xml:space="preserve"> mRNA</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35)</w:t>
            </w:r>
          </w:p>
        </w:tc>
        <w:tc>
          <w:tcPr>
            <w:tcW w:w="0" w:type="auto"/>
            <w:tcBorders>
              <w:top w:val="single" w:sz="4" w:space="0" w:color="auto"/>
            </w:tcBorders>
          </w:tcPr>
          <w:p w14:paraId="0ADAAC01" w14:textId="214E4D11"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i/>
              </w:rPr>
              <w:t>AR-V7</w:t>
            </w:r>
            <w:r w:rsidRPr="006E7292">
              <w:rPr>
                <w:rFonts w:ascii="Book Antiqua" w:hAnsi="Book Antiqua" w:cs="Times New Roman"/>
              </w:rPr>
              <w:t xml:space="preserve"> mRNA expression w</w:t>
            </w:r>
            <w:r w:rsidR="008F2EB4" w:rsidRPr="006E7292">
              <w:rPr>
                <w:rFonts w:ascii="Book Antiqua" w:hAnsi="Book Antiqua" w:cs="Times New Roman"/>
              </w:rPr>
              <w:t>as</w:t>
            </w:r>
            <w:r w:rsidRPr="006E7292">
              <w:rPr>
                <w:rFonts w:ascii="Book Antiqua" w:hAnsi="Book Antiqua" w:cs="Times New Roman"/>
              </w:rPr>
              <w:t xml:space="preserve"> associated with shorter time to progression (median, 16.0 </w:t>
            </w:r>
            <w:r w:rsidRPr="006E7292">
              <w:rPr>
                <w:rFonts w:ascii="Book Antiqua" w:hAnsi="Book Antiqua" w:cs="Times New Roman"/>
                <w:i/>
              </w:rPr>
              <w:t>vs</w:t>
            </w:r>
            <w:r w:rsidRPr="006E7292">
              <w:rPr>
                <w:rFonts w:ascii="Book Antiqua" w:hAnsi="Book Antiqua" w:cs="Times New Roman"/>
              </w:rPr>
              <w:t xml:space="preserve"> 28.0 mo; </w:t>
            </w:r>
            <w:r w:rsidRPr="006E7292">
              <w:rPr>
                <w:rFonts w:ascii="Book Antiqua" w:hAnsi="Book Antiqua" w:cs="Times New Roman"/>
                <w:i/>
              </w:rPr>
              <w:t>P</w:t>
            </w:r>
            <w:r w:rsidRPr="006E7292">
              <w:rPr>
                <w:rFonts w:ascii="Book Antiqua" w:hAnsi="Book Antiqua" w:cs="Times New Roman"/>
              </w:rPr>
              <w:t xml:space="preserve"> = 0.0499)</w:t>
            </w:r>
          </w:p>
        </w:tc>
      </w:tr>
      <w:tr w:rsidR="00A01E1C" w:rsidRPr="006E7292" w14:paraId="31542F89" w14:textId="77777777" w:rsidTr="00644326">
        <w:tc>
          <w:tcPr>
            <w:tcW w:w="0" w:type="auto"/>
          </w:tcPr>
          <w:p w14:paraId="0CC2C29A" w14:textId="73E531A0"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Mohammadi Torbati </w:t>
            </w:r>
            <w:r w:rsidRPr="006E7292">
              <w:rPr>
                <w:rFonts w:ascii="Book Antiqua" w:hAnsi="Book Antiqua" w:cs="Times New Roman"/>
                <w:i/>
              </w:rPr>
              <w:t>et al</w:t>
            </w:r>
            <w:r w:rsidRPr="006E7292">
              <w:rPr>
                <w:rFonts w:ascii="Book Antiqua" w:hAnsi="Book Antiqua" w:cs="Times New Roman"/>
                <w:vertAlign w:val="superscript"/>
              </w:rPr>
              <w:t>[49]</w:t>
            </w:r>
            <w:r w:rsidRPr="006E7292">
              <w:rPr>
                <w:rFonts w:ascii="Book Antiqua" w:hAnsi="Book Antiqua" w:cs="Times New Roman"/>
              </w:rPr>
              <w:t>, 2019</w:t>
            </w:r>
          </w:p>
        </w:tc>
        <w:tc>
          <w:tcPr>
            <w:tcW w:w="0" w:type="auto"/>
          </w:tcPr>
          <w:p w14:paraId="6DB30EB6" w14:textId="08C23781"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Serum qPCR</w:t>
            </w:r>
            <w:r w:rsidRPr="006E7292">
              <w:rPr>
                <w:rFonts w:ascii="Book Antiqua" w:eastAsia="宋体" w:hAnsi="Book Antiqua" w:cs="Times New Roman"/>
                <w:lang w:eastAsia="zh-CN"/>
              </w:rPr>
              <w:t xml:space="preserve">, </w:t>
            </w:r>
            <w:r w:rsidRPr="006E7292">
              <w:rPr>
                <w:rFonts w:ascii="Book Antiqua" w:hAnsi="Book Antiqua" w:cs="Times New Roman"/>
              </w:rPr>
              <w:t>miR-20A, miR-26A,</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40), healthy controls (</w:t>
            </w:r>
            <w:r w:rsidRPr="006E7292">
              <w:rPr>
                <w:rFonts w:ascii="Book Antiqua" w:hAnsi="Book Antiqua" w:cs="Times New Roman"/>
                <w:i/>
              </w:rPr>
              <w:t>n</w:t>
            </w:r>
            <w:r w:rsidRPr="006E7292">
              <w:rPr>
                <w:rFonts w:ascii="Book Antiqua" w:hAnsi="Book Antiqua" w:cs="Times New Roman"/>
              </w:rPr>
              <w:t xml:space="preserve"> = 40)</w:t>
            </w:r>
          </w:p>
        </w:tc>
        <w:tc>
          <w:tcPr>
            <w:tcW w:w="0" w:type="auto"/>
          </w:tcPr>
          <w:p w14:paraId="7DBA3905" w14:textId="64E1CDA4"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In PCa samples miR-20A was significantly upregulated compared to healthy controls. On the other hand, there was no significant difference in the levels of pre- and post-operation miR-26A compared to controls</w:t>
            </w:r>
          </w:p>
        </w:tc>
      </w:tr>
      <w:tr w:rsidR="00A01E1C" w:rsidRPr="006E7292" w14:paraId="6AB2E869" w14:textId="77777777" w:rsidTr="00644326">
        <w:tc>
          <w:tcPr>
            <w:tcW w:w="0" w:type="auto"/>
          </w:tcPr>
          <w:p w14:paraId="05B0573E" w14:textId="5C5F585B"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Ishiba </w:t>
            </w:r>
            <w:r w:rsidRPr="006E7292">
              <w:rPr>
                <w:rFonts w:ascii="Book Antiqua" w:hAnsi="Book Antiqua" w:cs="Times New Roman"/>
                <w:i/>
              </w:rPr>
              <w:t>et al</w:t>
            </w:r>
            <w:r w:rsidRPr="006E7292">
              <w:rPr>
                <w:rFonts w:ascii="Book Antiqua" w:hAnsi="Book Antiqua" w:cs="Times New Roman"/>
                <w:vertAlign w:val="superscript"/>
              </w:rPr>
              <w:t>[50]</w:t>
            </w:r>
            <w:r w:rsidRPr="006E7292">
              <w:rPr>
                <w:rFonts w:ascii="Book Antiqua" w:hAnsi="Book Antiqua" w:cs="Times New Roman"/>
              </w:rPr>
              <w:t>, 2018</w:t>
            </w:r>
          </w:p>
        </w:tc>
        <w:tc>
          <w:tcPr>
            <w:tcW w:w="0" w:type="auto"/>
          </w:tcPr>
          <w:p w14:paraId="38CC061A" w14:textId="339B4C52" w:rsidR="00A01E1C" w:rsidRPr="00644326" w:rsidRDefault="00A01E1C">
            <w:pPr>
              <w:widowControl w:val="0"/>
              <w:autoSpaceDE w:val="0"/>
              <w:autoSpaceDN w:val="0"/>
              <w:adjustRightInd w:val="0"/>
              <w:snapToGrid w:val="0"/>
              <w:spacing w:line="360" w:lineRule="auto"/>
              <w:rPr>
                <w:rFonts w:ascii="Book Antiqua" w:eastAsia="宋体" w:hAnsi="Book Antiqua" w:cs="Times New Roman"/>
                <w:lang w:val="it-IT" w:eastAsia="zh-CN"/>
              </w:rPr>
            </w:pPr>
            <w:r w:rsidRPr="00644326">
              <w:rPr>
                <w:rFonts w:ascii="Book Antiqua" w:hAnsi="Book Antiqua" w:cs="Times New Roman"/>
                <w:lang w:val="it-IT"/>
              </w:rPr>
              <w:t>Plasma dPCR</w:t>
            </w:r>
            <w:r w:rsidRPr="00644326">
              <w:rPr>
                <w:rFonts w:ascii="Book Antiqua" w:eastAsia="宋体" w:hAnsi="Book Antiqua" w:cs="Times New Roman"/>
                <w:lang w:val="it-IT" w:eastAsia="zh-CN"/>
              </w:rPr>
              <w:t xml:space="preserve">, </w:t>
            </w:r>
            <w:r w:rsidRPr="00644326">
              <w:rPr>
                <w:rFonts w:ascii="Book Antiqua" w:hAnsi="Book Antiqua" w:cs="Times New Roman"/>
                <w:i/>
                <w:lang w:val="it-IT"/>
              </w:rPr>
              <w:t>PDL-1</w:t>
            </w:r>
            <w:r w:rsidRPr="00644326">
              <w:rPr>
                <w:rFonts w:ascii="Book Antiqua" w:hAnsi="Book Antiqua" w:cs="Times New Roman"/>
                <w:lang w:val="it-IT"/>
              </w:rPr>
              <w:t xml:space="preserve"> mRNA</w:t>
            </w:r>
            <w:r w:rsidRPr="00644326">
              <w:rPr>
                <w:rFonts w:ascii="Book Antiqua" w:eastAsia="宋体" w:hAnsi="Book Antiqua" w:cs="Times New Roman"/>
                <w:lang w:val="it-IT" w:eastAsia="zh-CN"/>
              </w:rPr>
              <w:t xml:space="preserve">, </w:t>
            </w:r>
            <w:r w:rsidRPr="00644326">
              <w:rPr>
                <w:rFonts w:ascii="Book Antiqua" w:hAnsi="Book Antiqua" w:cs="Times New Roman"/>
                <w:lang w:val="it-IT"/>
              </w:rPr>
              <w:t>PCa patients (</w:t>
            </w:r>
            <w:r w:rsidRPr="00644326">
              <w:rPr>
                <w:rFonts w:ascii="Book Antiqua" w:hAnsi="Book Antiqua" w:cs="Times New Roman"/>
                <w:i/>
                <w:lang w:val="it-IT"/>
              </w:rPr>
              <w:t>n</w:t>
            </w:r>
            <w:r w:rsidRPr="00644326">
              <w:rPr>
                <w:rFonts w:ascii="Book Antiqua" w:hAnsi="Book Antiqua" w:cs="Times New Roman"/>
                <w:lang w:val="it-IT"/>
              </w:rPr>
              <w:t xml:space="preserve"> = 88)</w:t>
            </w:r>
          </w:p>
        </w:tc>
        <w:tc>
          <w:tcPr>
            <w:tcW w:w="0" w:type="auto"/>
          </w:tcPr>
          <w:p w14:paraId="0463D9CA" w14:textId="53EF3A4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i/>
              </w:rPr>
              <w:t>PD-L1</w:t>
            </w:r>
            <w:r w:rsidRPr="006E7292">
              <w:rPr>
                <w:rFonts w:ascii="Book Antiqua" w:hAnsi="Book Antiqua" w:cs="Times New Roman"/>
              </w:rPr>
              <w:t xml:space="preserve"> mRNA was detected and quantified in ctRNA of cancer patients. Interestingly, there was a comparison between expression of PD-L1 protein in tumor tissues and PD-L1 gene expression in plasma of cancer patients</w:t>
            </w:r>
          </w:p>
        </w:tc>
      </w:tr>
      <w:tr w:rsidR="00A01E1C" w:rsidRPr="006E7292" w14:paraId="18E1CF9C" w14:textId="77777777" w:rsidTr="00644326">
        <w:tc>
          <w:tcPr>
            <w:tcW w:w="0" w:type="auto"/>
          </w:tcPr>
          <w:p w14:paraId="6C8AFD87" w14:textId="77B82B20" w:rsidR="00A01E1C" w:rsidRPr="006E7292" w:rsidRDefault="00A01E1C">
            <w:pPr>
              <w:snapToGrid w:val="0"/>
              <w:spacing w:line="360" w:lineRule="auto"/>
              <w:rPr>
                <w:rFonts w:ascii="Book Antiqua" w:hAnsi="Book Antiqua" w:cs="Times New Roman"/>
              </w:rPr>
            </w:pPr>
            <w:r w:rsidRPr="006E7292">
              <w:rPr>
                <w:rFonts w:ascii="Book Antiqua" w:hAnsi="Book Antiqua" w:cs="Times New Roman"/>
              </w:rPr>
              <w:t xml:space="preserve">Wang </w:t>
            </w:r>
            <w:r w:rsidRPr="006E7292">
              <w:rPr>
                <w:rFonts w:ascii="Book Antiqua" w:hAnsi="Book Antiqua" w:cs="Times New Roman"/>
                <w:i/>
              </w:rPr>
              <w:t>et al</w:t>
            </w:r>
            <w:r w:rsidRPr="006E7292">
              <w:rPr>
                <w:rFonts w:ascii="Book Antiqua" w:hAnsi="Book Antiqua" w:cs="Times New Roman"/>
                <w:vertAlign w:val="superscript"/>
              </w:rPr>
              <w:t>[51]</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09F92209" w14:textId="383EBD85"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SAP30L-AS1 and SChLAP1 lncRNAs</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 xml:space="preserve">n </w:t>
            </w:r>
            <w:r w:rsidRPr="006E7292">
              <w:rPr>
                <w:rFonts w:ascii="Book Antiqua" w:hAnsi="Book Antiqua" w:cs="Times New Roman"/>
              </w:rPr>
              <w:t>= 34), BPH patients (</w:t>
            </w:r>
            <w:r w:rsidRPr="006E7292">
              <w:rPr>
                <w:rFonts w:ascii="Book Antiqua" w:hAnsi="Book Antiqua" w:cs="Times New Roman"/>
                <w:i/>
              </w:rPr>
              <w:t>n</w:t>
            </w:r>
            <w:r w:rsidRPr="006E7292">
              <w:rPr>
                <w:rFonts w:ascii="Book Antiqua" w:hAnsi="Book Antiqua" w:cs="Times New Roman"/>
              </w:rPr>
              <w:t xml:space="preserve"> = 46),</w:t>
            </w:r>
            <w:r w:rsidRPr="006E7292">
              <w:rPr>
                <w:rFonts w:ascii="Book Antiqua" w:eastAsia="宋体" w:hAnsi="Book Antiqua" w:cs="Times New Roman"/>
                <w:lang w:eastAsia="zh-CN"/>
              </w:rPr>
              <w:t xml:space="preserve"> </w:t>
            </w:r>
            <w:r w:rsidRPr="006E7292">
              <w:rPr>
                <w:rFonts w:ascii="Book Antiqua" w:hAnsi="Book Antiqua" w:cs="Times New Roman"/>
              </w:rPr>
              <w:t>Healthy controls (</w:t>
            </w:r>
            <w:r w:rsidRPr="006E7292">
              <w:rPr>
                <w:rFonts w:ascii="Book Antiqua" w:hAnsi="Book Antiqua" w:cs="Times New Roman"/>
                <w:i/>
              </w:rPr>
              <w:t>n</w:t>
            </w:r>
            <w:r w:rsidRPr="006E7292">
              <w:rPr>
                <w:rFonts w:ascii="Book Antiqua" w:hAnsi="Book Antiqua" w:cs="Times New Roman"/>
              </w:rPr>
              <w:t xml:space="preserve"> = 30)</w:t>
            </w:r>
          </w:p>
        </w:tc>
        <w:tc>
          <w:tcPr>
            <w:tcW w:w="0" w:type="auto"/>
          </w:tcPr>
          <w:p w14:paraId="359B6B04" w14:textId="2C4FB353"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SAP30L-AS1</w:t>
            </w:r>
            <w:r w:rsidRPr="006E7292">
              <w:rPr>
                <w:rFonts w:ascii="Book Antiqua" w:hAnsi="Book Antiqua"/>
              </w:rPr>
              <w:t xml:space="preserve"> </w:t>
            </w:r>
            <w:r w:rsidRPr="006E7292">
              <w:rPr>
                <w:rFonts w:ascii="Book Antiqua" w:hAnsi="Book Antiqua" w:cs="Times New Roman"/>
              </w:rPr>
              <w:t>lncRNAs levels were upreg</w:t>
            </w:r>
            <w:r w:rsidR="00C84DC5" w:rsidRPr="006E7292">
              <w:rPr>
                <w:rFonts w:ascii="Book Antiqua" w:hAnsi="Book Antiqua" w:cs="Times New Roman"/>
              </w:rPr>
              <w:t>u</w:t>
            </w:r>
            <w:r w:rsidRPr="006E7292">
              <w:rPr>
                <w:rFonts w:ascii="Book Antiqua" w:hAnsi="Book Antiqua" w:cs="Times New Roman"/>
              </w:rPr>
              <w:t xml:space="preserve">lated in BPH and SChLAP1 </w:t>
            </w:r>
            <w:r w:rsidR="00C84DC5" w:rsidRPr="006E7292">
              <w:rPr>
                <w:rFonts w:ascii="Book Antiqua" w:hAnsi="Book Antiqua" w:cs="Times New Roman"/>
              </w:rPr>
              <w:t>l</w:t>
            </w:r>
            <w:r w:rsidRPr="006E7292">
              <w:rPr>
                <w:rFonts w:ascii="Book Antiqua" w:hAnsi="Book Antiqua" w:cs="Times New Roman"/>
              </w:rPr>
              <w:t xml:space="preserve">ncRNAs levels were significantly higher in PCa than in BPH and healthy controls. The area under the ROC curve indicated that SAP30L-AS1 and SChLAP1 </w:t>
            </w:r>
            <w:r w:rsidR="00C84DC5" w:rsidRPr="006E7292">
              <w:rPr>
                <w:rFonts w:ascii="Book Antiqua" w:hAnsi="Book Antiqua" w:cs="Times New Roman"/>
              </w:rPr>
              <w:t>l</w:t>
            </w:r>
            <w:r w:rsidRPr="006E7292">
              <w:rPr>
                <w:rFonts w:ascii="Book Antiqua" w:hAnsi="Book Antiqua" w:cs="Times New Roman"/>
              </w:rPr>
              <w:t>ncRNA had an adequate diagnostic value different from PCa and controls</w:t>
            </w:r>
          </w:p>
        </w:tc>
      </w:tr>
      <w:tr w:rsidR="00A01E1C" w:rsidRPr="006E7292" w14:paraId="5AD16C9C" w14:textId="77777777" w:rsidTr="00644326">
        <w:tc>
          <w:tcPr>
            <w:tcW w:w="0" w:type="auto"/>
          </w:tcPr>
          <w:p w14:paraId="29E650E4" w14:textId="6AECF77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Zedan </w:t>
            </w:r>
            <w:r w:rsidRPr="006E7292">
              <w:rPr>
                <w:rFonts w:ascii="Book Antiqua" w:hAnsi="Book Antiqua" w:cs="Times New Roman"/>
                <w:i/>
              </w:rPr>
              <w:t>et al</w:t>
            </w:r>
            <w:r w:rsidRPr="006E7292">
              <w:rPr>
                <w:rFonts w:ascii="Book Antiqua" w:hAnsi="Book Antiqua" w:cs="Times New Roman"/>
                <w:vertAlign w:val="superscript"/>
              </w:rPr>
              <w:t>[52]</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098DB506" w14:textId="20E4126B"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miR-93, miR-221, miR-125b, miR-93</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149)</w:t>
            </w:r>
          </w:p>
        </w:tc>
        <w:tc>
          <w:tcPr>
            <w:tcW w:w="0" w:type="auto"/>
          </w:tcPr>
          <w:p w14:paraId="7242BE38" w14:textId="60B9CB8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Significantly lower levels of miRNA-93 and miRNA-221 in the follow-up of patients </w:t>
            </w:r>
            <w:r w:rsidRPr="006E7292">
              <w:rPr>
                <w:rFonts w:ascii="Book Antiqua" w:hAnsi="Book Antiqua" w:cs="Times New Roman"/>
                <w:i/>
              </w:rPr>
              <w:t>vs</w:t>
            </w:r>
            <w:r w:rsidRPr="006E7292">
              <w:rPr>
                <w:rFonts w:ascii="Book Antiqua" w:hAnsi="Book Antiqua" w:cs="Times New Roman"/>
              </w:rPr>
              <w:t xml:space="preserve"> baseline </w:t>
            </w:r>
            <w:r w:rsidRPr="006E7292">
              <w:rPr>
                <w:rFonts w:ascii="Book Antiqua" w:hAnsi="Book Antiqua" w:cs="Times New Roman"/>
                <w:i/>
              </w:rPr>
              <w:t>z</w:t>
            </w:r>
            <w:r w:rsidRPr="006E7292">
              <w:rPr>
                <w:rFonts w:ascii="Book Antiqua" w:hAnsi="Book Antiqua" w:cs="Times New Roman"/>
              </w:rPr>
              <w:t xml:space="preserve"> = −2.738, </w:t>
            </w:r>
            <w:r w:rsidRPr="006E7292">
              <w:rPr>
                <w:rFonts w:ascii="Book Antiqua" w:hAnsi="Book Antiqua" w:cs="Times New Roman"/>
                <w:i/>
              </w:rPr>
              <w:t>P</w:t>
            </w:r>
            <w:r w:rsidRPr="006E7292">
              <w:rPr>
                <w:rFonts w:ascii="Book Antiqua" w:hAnsi="Book Antiqua" w:cs="Times New Roman"/>
              </w:rPr>
              <w:t xml:space="preserve"> = 0.006, and </w:t>
            </w:r>
            <w:r w:rsidRPr="006E7292">
              <w:rPr>
                <w:rFonts w:ascii="Book Antiqua" w:hAnsi="Book Antiqua" w:cs="Times New Roman"/>
                <w:i/>
              </w:rPr>
              <w:t>z</w:t>
            </w:r>
            <w:r w:rsidRPr="006E7292">
              <w:rPr>
                <w:rFonts w:ascii="Book Antiqua" w:hAnsi="Book Antiqua" w:cs="Times New Roman"/>
              </w:rPr>
              <w:t xml:space="preserve"> = −4.498, </w:t>
            </w:r>
            <w:r w:rsidRPr="006E7292">
              <w:rPr>
                <w:rFonts w:ascii="Book Antiqua" w:hAnsi="Book Antiqua" w:cs="Times New Roman"/>
                <w:i/>
              </w:rPr>
              <w:t>P</w:t>
            </w:r>
            <w:r w:rsidRPr="006E7292">
              <w:rPr>
                <w:rFonts w:ascii="Book Antiqua" w:hAnsi="Book Antiqua" w:cs="Times New Roman"/>
              </w:rPr>
              <w:t xml:space="preserve"> &lt; 0.001, respectively</w:t>
            </w:r>
            <w:r w:rsidR="00C84DC5" w:rsidRPr="006E7292">
              <w:rPr>
                <w:rFonts w:ascii="Book Antiqua" w:hAnsi="Book Antiqua" w:cs="Times New Roman"/>
              </w:rPr>
              <w:t>.</w:t>
            </w:r>
            <w:r w:rsidRPr="006E7292">
              <w:rPr>
                <w:rFonts w:ascii="Book Antiqua" w:hAnsi="Book Antiqua" w:cs="Times New Roman"/>
              </w:rPr>
              <w:t xml:space="preserve"> Similarly, miRNA-125b was significantly lower in </w:t>
            </w:r>
            <w:r w:rsidRPr="006E7292">
              <w:rPr>
                <w:rFonts w:ascii="Book Antiqua" w:hAnsi="Book Antiqua" w:cs="Times New Roman"/>
              </w:rPr>
              <w:lastRenderedPageBreak/>
              <w:t>the observational cohort (</w:t>
            </w:r>
            <w:r w:rsidRPr="006E7292">
              <w:rPr>
                <w:rFonts w:ascii="Book Antiqua" w:hAnsi="Book Antiqua" w:cs="Times New Roman"/>
                <w:i/>
              </w:rPr>
              <w:t>z</w:t>
            </w:r>
            <w:r w:rsidRPr="006E7292">
              <w:rPr>
                <w:rFonts w:ascii="Book Antiqua" w:hAnsi="Book Antiqua" w:cs="Times New Roman"/>
              </w:rPr>
              <w:t xml:space="preserve"> = −2.656, </w:t>
            </w:r>
            <w:r w:rsidRPr="006E7292">
              <w:rPr>
                <w:rFonts w:ascii="Book Antiqua" w:hAnsi="Book Antiqua" w:cs="Times New Roman"/>
                <w:i/>
              </w:rPr>
              <w:t>P</w:t>
            </w:r>
            <w:r w:rsidRPr="006E7292">
              <w:rPr>
                <w:rFonts w:ascii="Book Antiqua" w:hAnsi="Book Antiqua" w:cs="Times New Roman"/>
              </w:rPr>
              <w:t xml:space="preserve"> = 0.008). There was </w:t>
            </w:r>
            <w:r w:rsidR="00C84DC5" w:rsidRPr="006E7292">
              <w:rPr>
                <w:rFonts w:ascii="Book Antiqua" w:hAnsi="Book Antiqua" w:cs="Times New Roman"/>
              </w:rPr>
              <w:t xml:space="preserve">a </w:t>
            </w:r>
            <w:r w:rsidRPr="006E7292">
              <w:rPr>
                <w:rFonts w:ascii="Book Antiqua" w:hAnsi="Book Antiqua" w:cs="Times New Roman"/>
              </w:rPr>
              <w:t xml:space="preserve">correlation between both miRNA-125b and miRNA-221 with risk assessment </w:t>
            </w:r>
            <w:r w:rsidRPr="006E7292">
              <w:rPr>
                <w:rFonts w:ascii="Book Antiqua" w:hAnsi="Book Antiqua" w:cs="Times New Roman"/>
                <w:i/>
              </w:rPr>
              <w:t>r</w:t>
            </w:r>
            <w:r w:rsidRPr="006E7292">
              <w:rPr>
                <w:rFonts w:ascii="Book Antiqua" w:hAnsi="Book Antiqua" w:cs="Times New Roman"/>
              </w:rPr>
              <w:t xml:space="preserve"> = 0.23, </w:t>
            </w:r>
            <w:r w:rsidRPr="006E7292">
              <w:rPr>
                <w:rFonts w:ascii="Book Antiqua" w:hAnsi="Book Antiqua" w:cs="Times New Roman"/>
                <w:i/>
              </w:rPr>
              <w:t>P</w:t>
            </w:r>
            <w:r w:rsidRPr="006E7292">
              <w:rPr>
                <w:rFonts w:ascii="Book Antiqua" w:hAnsi="Book Antiqua" w:cs="Times New Roman"/>
              </w:rPr>
              <w:t xml:space="preserve"> = 0.015 and </w:t>
            </w:r>
            <w:r w:rsidRPr="006E7292">
              <w:rPr>
                <w:rFonts w:ascii="Book Antiqua" w:hAnsi="Book Antiqua" w:cs="Times New Roman"/>
                <w:i/>
              </w:rPr>
              <w:t>r</w:t>
            </w:r>
            <w:r w:rsidRPr="006E7292">
              <w:rPr>
                <w:rFonts w:ascii="Book Antiqua" w:hAnsi="Book Antiqua" w:cs="Times New Roman"/>
              </w:rPr>
              <w:t xml:space="preserve"> = 0.203, </w:t>
            </w:r>
            <w:r w:rsidRPr="006E7292">
              <w:rPr>
                <w:rFonts w:ascii="Book Antiqua" w:hAnsi="Book Antiqua" w:cs="Times New Roman"/>
                <w:i/>
              </w:rPr>
              <w:t>P</w:t>
            </w:r>
            <w:r w:rsidRPr="006E7292">
              <w:rPr>
                <w:rFonts w:ascii="Book Antiqua" w:hAnsi="Book Antiqua" w:cs="Times New Roman"/>
              </w:rPr>
              <w:t xml:space="preserve"> = 0.016</w:t>
            </w:r>
            <w:r w:rsidR="00C84DC5" w:rsidRPr="006E7292">
              <w:rPr>
                <w:rFonts w:ascii="Book Antiqua" w:hAnsi="Book Antiqua" w:cs="Times New Roman"/>
              </w:rPr>
              <w:t>,</w:t>
            </w:r>
            <w:r w:rsidRPr="006E7292">
              <w:rPr>
                <w:rFonts w:ascii="Book Antiqua" w:hAnsi="Book Antiqua" w:cs="Times New Roman"/>
              </w:rPr>
              <w:t xml:space="preserve"> respectively. However, miRNA-93 was significantly correlated with prostatectomy Gleason score (</w:t>
            </w:r>
            <w:r w:rsidRPr="006E7292">
              <w:rPr>
                <w:rFonts w:ascii="Book Antiqua" w:hAnsi="Book Antiqua" w:cs="Times New Roman"/>
                <w:i/>
              </w:rPr>
              <w:t>r</w:t>
            </w:r>
            <w:r w:rsidRPr="006E7292">
              <w:rPr>
                <w:rFonts w:ascii="Book Antiqua" w:hAnsi="Book Antiqua" w:cs="Times New Roman"/>
              </w:rPr>
              <w:t xml:space="preserve"> = 0.276, </w:t>
            </w:r>
            <w:r w:rsidRPr="006E7292">
              <w:rPr>
                <w:rFonts w:ascii="Book Antiqua" w:hAnsi="Book Antiqua" w:cs="Times New Roman"/>
                <w:i/>
              </w:rPr>
              <w:t>P</w:t>
            </w:r>
            <w:r w:rsidRPr="006E7292">
              <w:rPr>
                <w:rFonts w:ascii="Book Antiqua" w:hAnsi="Book Antiqua" w:cs="Times New Roman"/>
              </w:rPr>
              <w:t xml:space="preserve"> = 0.0576)</w:t>
            </w:r>
          </w:p>
        </w:tc>
      </w:tr>
      <w:tr w:rsidR="00A01E1C" w:rsidRPr="006E7292" w14:paraId="132D0550" w14:textId="77777777" w:rsidTr="00644326">
        <w:tc>
          <w:tcPr>
            <w:tcW w:w="0" w:type="auto"/>
          </w:tcPr>
          <w:p w14:paraId="2F407A09" w14:textId="34B4E5E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Farran </w:t>
            </w:r>
            <w:r w:rsidRPr="006E7292">
              <w:rPr>
                <w:rFonts w:ascii="Book Antiqua" w:hAnsi="Book Antiqua" w:cs="Times New Roman"/>
                <w:i/>
              </w:rPr>
              <w:t>et al</w:t>
            </w:r>
            <w:r w:rsidRPr="006E7292">
              <w:rPr>
                <w:rFonts w:ascii="Book Antiqua" w:hAnsi="Book Antiqua" w:cs="Times New Roman"/>
                <w:vertAlign w:val="superscript"/>
              </w:rPr>
              <w:t>[53]</w:t>
            </w:r>
            <w:r w:rsidRPr="006E7292">
              <w:rPr>
                <w:rFonts w:ascii="Book Antiqua" w:hAnsi="Book Antiqua" w:cs="Times New Roman"/>
              </w:rPr>
              <w:t>, 2018</w:t>
            </w:r>
          </w:p>
        </w:tc>
        <w:tc>
          <w:tcPr>
            <w:tcW w:w="0" w:type="auto"/>
          </w:tcPr>
          <w:p w14:paraId="0DE228E3" w14:textId="719DADE3" w:rsidR="00A01E1C" w:rsidRPr="00644326" w:rsidRDefault="00A01E1C">
            <w:pPr>
              <w:widowControl w:val="0"/>
              <w:autoSpaceDE w:val="0"/>
              <w:autoSpaceDN w:val="0"/>
              <w:adjustRightInd w:val="0"/>
              <w:snapToGrid w:val="0"/>
              <w:spacing w:line="360" w:lineRule="auto"/>
              <w:rPr>
                <w:rFonts w:ascii="Book Antiqua" w:eastAsia="宋体" w:hAnsi="Book Antiqua" w:cs="Times New Roman"/>
                <w:lang w:val="it-IT" w:eastAsia="zh-CN"/>
              </w:rPr>
            </w:pPr>
            <w:r w:rsidRPr="00644326">
              <w:rPr>
                <w:rFonts w:ascii="Book Antiqua" w:hAnsi="Book Antiqua" w:cs="Times New Roman"/>
                <w:lang w:val="it-IT"/>
              </w:rPr>
              <w:t>Plasma qPCR</w:t>
            </w:r>
            <w:r w:rsidRPr="00644326">
              <w:rPr>
                <w:rFonts w:ascii="Book Antiqua" w:eastAsia="宋体" w:hAnsi="Book Antiqua" w:cs="Times New Roman"/>
                <w:lang w:val="it-IT" w:eastAsia="zh-CN"/>
              </w:rPr>
              <w:t xml:space="preserve">, </w:t>
            </w:r>
            <w:r w:rsidRPr="00644326">
              <w:rPr>
                <w:rFonts w:ascii="Book Antiqua" w:hAnsi="Book Antiqua" w:cs="Times New Roman"/>
                <w:lang w:val="it-IT"/>
              </w:rPr>
              <w:t>miRNA signature</w:t>
            </w:r>
            <w:r w:rsidRPr="00644326">
              <w:rPr>
                <w:rFonts w:ascii="Book Antiqua" w:eastAsia="宋体" w:hAnsi="Book Antiqua" w:cs="Times New Roman"/>
                <w:lang w:val="it-IT" w:eastAsia="zh-CN"/>
              </w:rPr>
              <w:t xml:space="preserve">, </w:t>
            </w:r>
            <w:r w:rsidRPr="00644326">
              <w:rPr>
                <w:rFonts w:ascii="Book Antiqua" w:hAnsi="Book Antiqua" w:cs="Times New Roman"/>
                <w:lang w:val="it-IT"/>
              </w:rPr>
              <w:t>PCa patients (</w:t>
            </w:r>
            <w:r w:rsidRPr="00644326">
              <w:rPr>
                <w:rFonts w:ascii="Book Antiqua" w:hAnsi="Book Antiqua" w:cs="Times New Roman"/>
                <w:i/>
                <w:lang w:val="it-IT"/>
              </w:rPr>
              <w:t>n</w:t>
            </w:r>
            <w:r w:rsidRPr="00644326">
              <w:rPr>
                <w:rFonts w:ascii="Book Antiqua" w:hAnsi="Book Antiqua" w:cs="Times New Roman"/>
                <w:lang w:val="it-IT"/>
              </w:rPr>
              <w:t xml:space="preserve"> = 114)</w:t>
            </w:r>
          </w:p>
        </w:tc>
        <w:tc>
          <w:tcPr>
            <w:tcW w:w="0" w:type="auto"/>
          </w:tcPr>
          <w:p w14:paraId="3847524C" w14:textId="224829B0"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Aggressiveness of PCa could be segregated based on circulating miRNA signature consisting of an interaction between a combination of two miRNAs (miR-17/miR-192) and an independent miRNA (miR-181a)</w:t>
            </w:r>
          </w:p>
        </w:tc>
      </w:tr>
      <w:tr w:rsidR="00A01E1C" w:rsidRPr="006E7292" w14:paraId="5324F6EA" w14:textId="77777777" w:rsidTr="00644326">
        <w:tc>
          <w:tcPr>
            <w:tcW w:w="0" w:type="auto"/>
          </w:tcPr>
          <w:p w14:paraId="413184FC" w14:textId="26682F27"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Liu </w:t>
            </w:r>
            <w:r w:rsidRPr="006E7292">
              <w:rPr>
                <w:rFonts w:ascii="Book Antiqua" w:hAnsi="Book Antiqua" w:cs="Times New Roman"/>
                <w:i/>
              </w:rPr>
              <w:t>et al</w:t>
            </w:r>
            <w:r w:rsidRPr="006E7292">
              <w:rPr>
                <w:rFonts w:ascii="Book Antiqua" w:hAnsi="Book Antiqua" w:cs="Times New Roman"/>
                <w:vertAlign w:val="superscript"/>
              </w:rPr>
              <w:t>[54]</w:t>
            </w:r>
            <w:r w:rsidRPr="006E7292">
              <w:rPr>
                <w:rFonts w:ascii="Book Antiqua" w:hAnsi="Book Antiqua" w:cs="Times New Roman"/>
              </w:rPr>
              <w:t>, 2018</w:t>
            </w:r>
          </w:p>
        </w:tc>
        <w:tc>
          <w:tcPr>
            <w:tcW w:w="0" w:type="auto"/>
          </w:tcPr>
          <w:p w14:paraId="2B7E3F76" w14:textId="763E6085"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miR-223, miR-24, miR-375,</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 xml:space="preserve">n </w:t>
            </w:r>
            <w:r w:rsidRPr="006E7292">
              <w:rPr>
                <w:rFonts w:ascii="Book Antiqua" w:hAnsi="Book Antiqua" w:cs="Times New Roman"/>
              </w:rPr>
              <w:t>= 329)</w:t>
            </w:r>
          </w:p>
        </w:tc>
        <w:tc>
          <w:tcPr>
            <w:tcW w:w="0" w:type="auto"/>
          </w:tcPr>
          <w:p w14:paraId="255555D4" w14:textId="14E4386B"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Patients could be significantly reclassified using a 3-miR (miRNA-223, miRNA-24 and miRNA-375) score (training OR 2.72, 95%CI 1.50e 4.94 and validation OR 3.70, </w:t>
            </w:r>
            <w:bookmarkStart w:id="18" w:name="OLE_LINK13"/>
            <w:r w:rsidRPr="006E7292">
              <w:rPr>
                <w:rFonts w:ascii="Book Antiqua" w:hAnsi="Book Antiqua" w:cs="Times New Roman"/>
              </w:rPr>
              <w:t>95%CI 1.29e 10.6</w:t>
            </w:r>
            <w:bookmarkEnd w:id="18"/>
            <w:r w:rsidRPr="006E7292">
              <w:rPr>
                <w:rFonts w:ascii="Book Antiqua" w:hAnsi="Book Antiqua" w:cs="Times New Roman"/>
              </w:rPr>
              <w:t>)</w:t>
            </w:r>
          </w:p>
        </w:tc>
      </w:tr>
      <w:tr w:rsidR="00A01E1C" w:rsidRPr="006E7292" w14:paraId="61D2A127" w14:textId="77777777" w:rsidTr="00644326">
        <w:tc>
          <w:tcPr>
            <w:tcW w:w="0" w:type="auto"/>
          </w:tcPr>
          <w:p w14:paraId="4C2142ED" w14:textId="0809676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Adalsteinsson </w:t>
            </w:r>
            <w:r w:rsidRPr="006E7292">
              <w:rPr>
                <w:rFonts w:ascii="Book Antiqua" w:hAnsi="Book Antiqua" w:cs="Times New Roman"/>
                <w:i/>
              </w:rPr>
              <w:t>et al</w:t>
            </w:r>
            <w:r w:rsidRPr="006E7292">
              <w:rPr>
                <w:rFonts w:ascii="Book Antiqua" w:hAnsi="Book Antiqua" w:cs="Times New Roman"/>
                <w:vertAlign w:val="superscript"/>
              </w:rPr>
              <w:t>[37]</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7FCDA0B4" w14:textId="319156A5"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WES</w:t>
            </w:r>
            <w:r w:rsidRPr="006E7292">
              <w:rPr>
                <w:rFonts w:ascii="Book Antiqua" w:eastAsia="宋体" w:hAnsi="Book Antiqua" w:cs="Times New Roman"/>
                <w:lang w:eastAsia="zh-CN"/>
              </w:rPr>
              <w:t xml:space="preserve">, </w:t>
            </w:r>
            <w:r w:rsidRPr="006E7292">
              <w:rPr>
                <w:rFonts w:ascii="Book Antiqua" w:hAnsi="Book Antiqua" w:cs="Times New Roman"/>
              </w:rPr>
              <w:t>Metastatic PCa patients (</w:t>
            </w:r>
            <w:r w:rsidRPr="006E7292">
              <w:rPr>
                <w:rFonts w:ascii="Book Antiqua" w:hAnsi="Book Antiqua" w:cs="Times New Roman"/>
                <w:i/>
              </w:rPr>
              <w:t>n</w:t>
            </w:r>
            <w:r w:rsidRPr="006E7292">
              <w:rPr>
                <w:rFonts w:ascii="Book Antiqua" w:hAnsi="Book Antiqua" w:cs="Times New Roman"/>
              </w:rPr>
              <w:t xml:space="preserve"> = 520)</w:t>
            </w:r>
          </w:p>
        </w:tc>
        <w:tc>
          <w:tcPr>
            <w:tcW w:w="0" w:type="auto"/>
          </w:tcPr>
          <w:p w14:paraId="0E9B1C4B" w14:textId="63E0B8A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There is a concordance between clonal somatic mutations (88%), copy number alterations (80%), mutational signatures and neoantigens between tumor biopsies and cfDNA form 41 patients with ≥ 10% cfDNA</w:t>
            </w:r>
          </w:p>
        </w:tc>
      </w:tr>
      <w:tr w:rsidR="00A01E1C" w:rsidRPr="006E7292" w14:paraId="2FF7E258" w14:textId="77777777" w:rsidTr="00644326">
        <w:tc>
          <w:tcPr>
            <w:tcW w:w="0" w:type="auto"/>
          </w:tcPr>
          <w:p w14:paraId="687D2CE8" w14:textId="3C5A289B"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Albitar </w:t>
            </w:r>
            <w:r w:rsidRPr="006E7292">
              <w:rPr>
                <w:rFonts w:ascii="Book Antiqua" w:hAnsi="Book Antiqua" w:cs="Times New Roman"/>
                <w:i/>
              </w:rPr>
              <w:t>et al</w:t>
            </w:r>
            <w:r w:rsidRPr="006E7292">
              <w:rPr>
                <w:rFonts w:ascii="Book Antiqua" w:hAnsi="Book Antiqua" w:cs="Times New Roman"/>
                <w:vertAlign w:val="superscript"/>
              </w:rPr>
              <w:t>[55]</w:t>
            </w:r>
            <w:r w:rsidRPr="006E7292">
              <w:rPr>
                <w:rFonts w:ascii="Book Antiqua" w:hAnsi="Book Antiqua" w:cs="Times New Roman"/>
              </w:rPr>
              <w:t>, 2017</w:t>
            </w:r>
          </w:p>
        </w:tc>
        <w:tc>
          <w:tcPr>
            <w:tcW w:w="0" w:type="auto"/>
          </w:tcPr>
          <w:p w14:paraId="11F2A07B" w14:textId="5AF07B62"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Urine and plasma qPCR</w:t>
            </w:r>
            <w:r w:rsidRPr="006E7292">
              <w:rPr>
                <w:rFonts w:ascii="Book Antiqua" w:eastAsia="宋体" w:hAnsi="Book Antiqua" w:cs="Times New Roman"/>
                <w:lang w:eastAsia="zh-CN"/>
              </w:rPr>
              <w:t xml:space="preserve">, </w:t>
            </w:r>
            <w:r w:rsidRPr="006E7292">
              <w:rPr>
                <w:rFonts w:ascii="Book Antiqua" w:hAnsi="Book Antiqua" w:cs="Times New Roman"/>
              </w:rPr>
              <w:t>mRNAs panel,</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306)</w:t>
            </w:r>
          </w:p>
        </w:tc>
        <w:tc>
          <w:tcPr>
            <w:tcW w:w="0" w:type="auto"/>
          </w:tcPr>
          <w:p w14:paraId="24033B1E" w14:textId="3F19B278"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The urine/plasma biomarker test, evaluating the mRNA levels of PCa-specific gene such as </w:t>
            </w:r>
            <w:r w:rsidRPr="006E7292">
              <w:rPr>
                <w:rFonts w:ascii="Book Antiqua" w:hAnsi="Book Antiqua" w:cs="Times New Roman"/>
                <w:i/>
              </w:rPr>
              <w:t>PDLIM5, HSPD1, PSA, IMPDH2, PCA3,TMPRSS2, ERG, UAP1, PTEN, AR,</w:t>
            </w:r>
            <w:r w:rsidRPr="006E7292">
              <w:rPr>
                <w:rFonts w:ascii="Book Antiqua" w:hAnsi="Book Antiqua" w:cs="Times New Roman"/>
              </w:rPr>
              <w:t xml:space="preserve"> the housekeeping </w:t>
            </w:r>
            <w:r w:rsidRPr="006E7292">
              <w:rPr>
                <w:rFonts w:ascii="Book Antiqua" w:hAnsi="Book Antiqua" w:cs="Times New Roman"/>
                <w:i/>
              </w:rPr>
              <w:t xml:space="preserve">B2M </w:t>
            </w:r>
            <w:r w:rsidRPr="006E7292">
              <w:rPr>
                <w:rFonts w:ascii="Book Antiqua" w:hAnsi="Book Antiqua" w:cs="Times New Roman"/>
              </w:rPr>
              <w:t xml:space="preserve">and </w:t>
            </w:r>
            <w:r w:rsidRPr="006E7292">
              <w:rPr>
                <w:rFonts w:ascii="Book Antiqua" w:hAnsi="Book Antiqua" w:cs="Times New Roman"/>
                <w:i/>
              </w:rPr>
              <w:t>GAPDH</w:t>
            </w:r>
            <w:r w:rsidRPr="006E7292">
              <w:rPr>
                <w:rFonts w:ascii="Book Antiqua" w:hAnsi="Book Antiqua" w:cs="Times New Roman"/>
              </w:rPr>
              <w:t xml:space="preserve"> genes, accurately predicted high-grade cancer with sensitivity at 92%-97%, </w:t>
            </w:r>
            <w:r w:rsidRPr="006E7292">
              <w:rPr>
                <w:rFonts w:ascii="Book Antiqua" w:hAnsi="Book Antiqua" w:cs="Times New Roman"/>
              </w:rPr>
              <w:lastRenderedPageBreak/>
              <w:t>while core-biops</w:t>
            </w:r>
            <w:r w:rsidR="003777B2" w:rsidRPr="006E7292">
              <w:rPr>
                <w:rFonts w:ascii="Book Antiqua" w:hAnsi="Book Antiqua" w:cs="Times New Roman"/>
              </w:rPr>
              <w:t>y</w:t>
            </w:r>
            <w:r w:rsidRPr="006E7292">
              <w:rPr>
                <w:rFonts w:ascii="Book Antiqua" w:hAnsi="Book Antiqua" w:cs="Times New Roman"/>
              </w:rPr>
              <w:t xml:space="preserve"> sensitivity was 78%</w:t>
            </w:r>
          </w:p>
        </w:tc>
      </w:tr>
      <w:tr w:rsidR="00A01E1C" w:rsidRPr="006E7292" w14:paraId="11F9772F" w14:textId="77777777" w:rsidTr="00644326">
        <w:tc>
          <w:tcPr>
            <w:tcW w:w="0" w:type="auto"/>
          </w:tcPr>
          <w:p w14:paraId="53B31B57" w14:textId="3DC81A33"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Endzeliņš </w:t>
            </w:r>
            <w:r w:rsidRPr="006E7292">
              <w:rPr>
                <w:rFonts w:ascii="Book Antiqua" w:hAnsi="Book Antiqua" w:cs="Times New Roman"/>
                <w:i/>
              </w:rPr>
              <w:t>et al</w:t>
            </w:r>
            <w:r w:rsidRPr="006E7292">
              <w:rPr>
                <w:rFonts w:ascii="Book Antiqua" w:hAnsi="Book Antiqua" w:cs="Times New Roman"/>
                <w:vertAlign w:val="superscript"/>
              </w:rPr>
              <w:t>[56]</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590E9736" w14:textId="645D30B3"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miR-375, miR-200-3p, miR-21-5p, miRNA Let-7a-5p,</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50), BPH patients (</w:t>
            </w:r>
            <w:r w:rsidRPr="006E7292">
              <w:rPr>
                <w:rFonts w:ascii="Book Antiqua" w:hAnsi="Book Antiqua" w:cs="Times New Roman"/>
                <w:i/>
              </w:rPr>
              <w:t>n</w:t>
            </w:r>
            <w:r w:rsidRPr="006E7292">
              <w:rPr>
                <w:rFonts w:ascii="Book Antiqua" w:hAnsi="Book Antiqua" w:cs="Times New Roman"/>
              </w:rPr>
              <w:t xml:space="preserve"> = 22)</w:t>
            </w:r>
          </w:p>
        </w:tc>
        <w:tc>
          <w:tcPr>
            <w:tcW w:w="0" w:type="auto"/>
          </w:tcPr>
          <w:p w14:paraId="1FCBE602" w14:textId="57E07577" w:rsidR="00A01E1C" w:rsidRPr="006E7292" w:rsidRDefault="003777B2">
            <w:pPr>
              <w:widowControl w:val="0"/>
              <w:autoSpaceDE w:val="0"/>
              <w:autoSpaceDN w:val="0"/>
              <w:adjustRightInd w:val="0"/>
              <w:snapToGrid w:val="0"/>
              <w:spacing w:line="360" w:lineRule="auto"/>
              <w:rPr>
                <w:rFonts w:ascii="Book Antiqua" w:hAnsi="Book Antiqua" w:cs="Times New Roman"/>
              </w:rPr>
            </w:pPr>
            <w:proofErr w:type="gramStart"/>
            <w:r w:rsidRPr="006E7292">
              <w:rPr>
                <w:rFonts w:ascii="Book Antiqua" w:hAnsi="Book Antiqua" w:cs="Times New Roman"/>
              </w:rPr>
              <w:t>m</w:t>
            </w:r>
            <w:r w:rsidR="00A01E1C" w:rsidRPr="006E7292">
              <w:rPr>
                <w:rFonts w:ascii="Book Antiqua" w:hAnsi="Book Antiqua" w:cs="Times New Roman"/>
              </w:rPr>
              <w:t>iR-375</w:t>
            </w:r>
            <w:proofErr w:type="gramEnd"/>
            <w:r w:rsidR="00A01E1C" w:rsidRPr="006E7292">
              <w:rPr>
                <w:rFonts w:ascii="Book Antiqua" w:hAnsi="Book Antiqua" w:cs="Times New Roman"/>
              </w:rPr>
              <w:t xml:space="preserve"> could be used to differentiate between PCa and BPH patients when analyzed in whole plasma, while miR-200-3p and miR-21-5p performed better in EVs.</w:t>
            </w:r>
          </w:p>
          <w:p w14:paraId="6C43AA13" w14:textId="53E0FC81"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Let-7a-5p could be used to differentiate PCa patients, with Gleason score ≥ 8 </w:t>
            </w:r>
            <w:r w:rsidRPr="006E7292">
              <w:rPr>
                <w:rFonts w:ascii="Book Antiqua" w:hAnsi="Book Antiqua" w:cs="Times New Roman"/>
                <w:i/>
              </w:rPr>
              <w:t>vs</w:t>
            </w:r>
            <w:r w:rsidRPr="006E7292">
              <w:rPr>
                <w:rFonts w:ascii="Book Antiqua" w:hAnsi="Book Antiqua" w:cs="Times New Roman"/>
              </w:rPr>
              <w:t xml:space="preserve"> ≤ 6</w:t>
            </w:r>
          </w:p>
        </w:tc>
      </w:tr>
      <w:tr w:rsidR="00A01E1C" w:rsidRPr="006E7292" w14:paraId="2282E88C" w14:textId="77777777" w:rsidTr="00644326">
        <w:tc>
          <w:tcPr>
            <w:tcW w:w="0" w:type="auto"/>
          </w:tcPr>
          <w:p w14:paraId="2A5DEDDD" w14:textId="63C66280"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McDonald </w:t>
            </w:r>
            <w:r w:rsidRPr="006E7292">
              <w:rPr>
                <w:rFonts w:ascii="Book Antiqua" w:hAnsi="Book Antiqua" w:cs="Times New Roman"/>
                <w:i/>
              </w:rPr>
              <w:t>et al</w:t>
            </w:r>
            <w:r w:rsidRPr="006E7292">
              <w:rPr>
                <w:rFonts w:ascii="Book Antiqua" w:hAnsi="Book Antiqua" w:cs="Times New Roman"/>
                <w:vertAlign w:val="superscript"/>
              </w:rPr>
              <w:t>[57]</w:t>
            </w:r>
            <w:r w:rsidRPr="006E7292">
              <w:rPr>
                <w:rFonts w:ascii="Book Antiqua" w:hAnsi="Book Antiqua" w:cs="Times New Roman"/>
              </w:rPr>
              <w:t>, 2017</w:t>
            </w:r>
          </w:p>
        </w:tc>
        <w:tc>
          <w:tcPr>
            <w:tcW w:w="0" w:type="auto"/>
          </w:tcPr>
          <w:p w14:paraId="546B2D06" w14:textId="03527316"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miRNA panel</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134)</w:t>
            </w:r>
          </w:p>
        </w:tc>
        <w:tc>
          <w:tcPr>
            <w:tcW w:w="0" w:type="auto"/>
          </w:tcPr>
          <w:p w14:paraId="2EAB2F20" w14:textId="59074832" w:rsidR="00A01E1C" w:rsidRPr="006E7292" w:rsidRDefault="003777B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m</w:t>
            </w:r>
            <w:r w:rsidR="00A01E1C" w:rsidRPr="006E7292">
              <w:rPr>
                <w:rFonts w:ascii="Book Antiqua" w:hAnsi="Book Antiqua" w:cs="Times New Roman"/>
              </w:rPr>
              <w:t>iR-381, miR-34a, miR-523, miR-365, miR-122, miR-375, miR-1255b, miR-34b, miR-450b-5p, and miR-639 were the most statistically significant miRNA after adjusting for age (</w:t>
            </w:r>
            <w:r w:rsidR="00A01E1C" w:rsidRPr="006E7292">
              <w:rPr>
                <w:rFonts w:ascii="Book Antiqua" w:hAnsi="Book Antiqua" w:cs="Times New Roman"/>
                <w:i/>
              </w:rPr>
              <w:t>P</w:t>
            </w:r>
            <w:r w:rsidR="00A01E1C" w:rsidRPr="006E7292">
              <w:rPr>
                <w:rFonts w:ascii="Book Antiqua" w:hAnsi="Book Antiqua" w:cs="Times New Roman"/>
              </w:rPr>
              <w:t xml:space="preserve"> values ≤ 0.05)</w:t>
            </w:r>
          </w:p>
        </w:tc>
      </w:tr>
      <w:tr w:rsidR="00A01E1C" w:rsidRPr="006E7292" w14:paraId="0EF875C5" w14:textId="77777777" w:rsidTr="00644326">
        <w:tc>
          <w:tcPr>
            <w:tcW w:w="0" w:type="auto"/>
          </w:tcPr>
          <w:p w14:paraId="13200C84" w14:textId="08ABD27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Alhasan </w:t>
            </w:r>
            <w:r w:rsidRPr="006E7292">
              <w:rPr>
                <w:rFonts w:ascii="Book Antiqua" w:hAnsi="Book Antiqua" w:cs="Times New Roman"/>
                <w:i/>
              </w:rPr>
              <w:t>et al</w:t>
            </w:r>
            <w:r w:rsidRPr="006E7292">
              <w:rPr>
                <w:rFonts w:ascii="Book Antiqua" w:hAnsi="Book Antiqua" w:cs="Times New Roman"/>
                <w:vertAlign w:val="superscript"/>
              </w:rPr>
              <w:t>[58]</w:t>
            </w:r>
            <w:r w:rsidRPr="006E7292">
              <w:rPr>
                <w:rFonts w:ascii="Book Antiqua" w:hAnsi="Book Antiqua" w:cs="Times New Roman"/>
              </w:rPr>
              <w:t>, 2016</w:t>
            </w:r>
          </w:p>
        </w:tc>
        <w:tc>
          <w:tcPr>
            <w:tcW w:w="0" w:type="auto"/>
          </w:tcPr>
          <w:p w14:paraId="54C4245D" w14:textId="2C467413"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Scano-miR,</w:t>
            </w:r>
            <w:r w:rsidRPr="006E7292">
              <w:rPr>
                <w:rFonts w:ascii="Book Antiqua" w:eastAsia="宋体" w:hAnsi="Book Antiqua" w:cs="Times New Roman"/>
                <w:lang w:eastAsia="zh-CN"/>
              </w:rPr>
              <w:t xml:space="preserve"> </w:t>
            </w:r>
            <w:r w:rsidRPr="006E7292">
              <w:rPr>
                <w:rFonts w:ascii="Book Antiqua" w:hAnsi="Book Antiqua" w:cs="Times New Roman"/>
              </w:rPr>
              <w:t>miRNA panel</w:t>
            </w:r>
            <w:r w:rsidRPr="006E7292">
              <w:rPr>
                <w:rFonts w:ascii="Book Antiqua" w:eastAsia="宋体" w:hAnsi="Book Antiqua" w:cs="Times New Roman"/>
                <w:lang w:eastAsia="zh-CN"/>
              </w:rPr>
              <w:t xml:space="preserve">, </w:t>
            </w:r>
            <w:r w:rsidRPr="006E7292">
              <w:rPr>
                <w:rFonts w:ascii="Book Antiqua" w:hAnsi="Book Antiqua" w:cs="Times New Roman"/>
              </w:rPr>
              <w:t>very high risk, PCa patients (</w:t>
            </w:r>
            <w:r w:rsidRPr="006E7292">
              <w:rPr>
                <w:rFonts w:ascii="Book Antiqua" w:hAnsi="Book Antiqua" w:cs="Times New Roman"/>
                <w:i/>
              </w:rPr>
              <w:t>n</w:t>
            </w:r>
            <w:r w:rsidRPr="006E7292">
              <w:rPr>
                <w:rFonts w:ascii="Book Antiqua" w:hAnsi="Book Antiqua" w:cs="Times New Roman"/>
              </w:rPr>
              <w:t xml:space="preserve"> = 9),</w:t>
            </w:r>
            <w:r w:rsidRPr="006E7292">
              <w:rPr>
                <w:rFonts w:ascii="Book Antiqua" w:eastAsia="宋体" w:hAnsi="Book Antiqua" w:cs="Times New Roman"/>
                <w:lang w:eastAsia="zh-CN"/>
              </w:rPr>
              <w:t xml:space="preserve"> </w:t>
            </w:r>
            <w:r w:rsidRPr="006E7292">
              <w:rPr>
                <w:rFonts w:ascii="Book Antiqua" w:hAnsi="Book Antiqua" w:cs="Times New Roman"/>
              </w:rPr>
              <w:t>Low risk, PCa patients (</w:t>
            </w:r>
            <w:r w:rsidRPr="006E7292">
              <w:rPr>
                <w:rFonts w:ascii="Book Antiqua" w:hAnsi="Book Antiqua" w:cs="Times New Roman"/>
                <w:i/>
              </w:rPr>
              <w:t>n</w:t>
            </w:r>
            <w:r w:rsidRPr="006E7292">
              <w:rPr>
                <w:rFonts w:ascii="Book Antiqua" w:hAnsi="Book Antiqua" w:cs="Times New Roman"/>
              </w:rPr>
              <w:t xml:space="preserve"> = 9), and healthy controls (</w:t>
            </w:r>
            <w:r w:rsidRPr="006E7292">
              <w:rPr>
                <w:rFonts w:ascii="Book Antiqua" w:hAnsi="Book Antiqua" w:cs="Times New Roman"/>
                <w:i/>
              </w:rPr>
              <w:t>n</w:t>
            </w:r>
            <w:r w:rsidRPr="006E7292">
              <w:rPr>
                <w:rFonts w:ascii="Book Antiqua" w:hAnsi="Book Antiqua" w:cs="Times New Roman"/>
              </w:rPr>
              <w:t xml:space="preserve"> = 10)</w:t>
            </w:r>
          </w:p>
        </w:tc>
        <w:tc>
          <w:tcPr>
            <w:tcW w:w="0" w:type="auto"/>
          </w:tcPr>
          <w:p w14:paraId="71531963" w14:textId="7D8AF6C3"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miR-200c, miR-605, miR-135a, miR-433,</w:t>
            </w:r>
            <w:r w:rsidRPr="006E7292">
              <w:rPr>
                <w:rFonts w:ascii="Book Antiqua" w:eastAsia="宋体" w:hAnsi="Book Antiqua" w:cs="Times New Roman"/>
                <w:lang w:eastAsia="zh-CN"/>
              </w:rPr>
              <w:t xml:space="preserve"> </w:t>
            </w:r>
            <w:r w:rsidRPr="006E7292">
              <w:rPr>
                <w:rFonts w:ascii="Book Antiqua" w:hAnsi="Book Antiqua" w:cs="Times New Roman"/>
              </w:rPr>
              <w:t>and miR-106a were identified as useful for differentiating indolent</w:t>
            </w:r>
            <w:r w:rsidRPr="006E7292">
              <w:rPr>
                <w:rFonts w:ascii="Book Antiqua" w:eastAsia="宋体" w:hAnsi="Book Antiqua" w:cs="Times New Roman"/>
                <w:lang w:eastAsia="zh-CN"/>
              </w:rPr>
              <w:t xml:space="preserve"> </w:t>
            </w:r>
            <w:r w:rsidRPr="006E7292">
              <w:rPr>
                <w:rFonts w:ascii="Book Antiqua" w:hAnsi="Book Antiqua" w:cs="Times New Roman"/>
              </w:rPr>
              <w:t>and aggressive forms of PCa</w:t>
            </w:r>
          </w:p>
        </w:tc>
      </w:tr>
      <w:tr w:rsidR="00A01E1C" w:rsidRPr="006E7292" w14:paraId="18D1E166" w14:textId="77777777" w:rsidTr="00644326">
        <w:tc>
          <w:tcPr>
            <w:tcW w:w="0" w:type="auto"/>
          </w:tcPr>
          <w:p w14:paraId="6CCAC4E8" w14:textId="47822201"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Yan </w:t>
            </w:r>
            <w:r w:rsidRPr="006E7292">
              <w:rPr>
                <w:rFonts w:ascii="Book Antiqua" w:hAnsi="Book Antiqua" w:cs="Times New Roman"/>
                <w:i/>
              </w:rPr>
              <w:t>et al</w:t>
            </w:r>
            <w:r w:rsidRPr="006E7292">
              <w:rPr>
                <w:rFonts w:ascii="Book Antiqua" w:hAnsi="Book Antiqua" w:cs="Times New Roman"/>
                <w:vertAlign w:val="superscript"/>
              </w:rPr>
              <w:t>[59]</w:t>
            </w:r>
            <w:r w:rsidRPr="006E7292">
              <w:rPr>
                <w:rFonts w:ascii="Book Antiqua" w:hAnsi="Book Antiqua" w:cs="Times New Roman"/>
                <w:i/>
              </w:rPr>
              <w:t>,</w:t>
            </w:r>
            <w:r w:rsidRPr="006E7292">
              <w:rPr>
                <w:rFonts w:ascii="Book Antiqua" w:hAnsi="Book Antiqua" w:cs="Times New Roman"/>
              </w:rPr>
              <w:t xml:space="preserve"> 2015</w:t>
            </w:r>
          </w:p>
        </w:tc>
        <w:tc>
          <w:tcPr>
            <w:tcW w:w="0" w:type="auto"/>
          </w:tcPr>
          <w:p w14:paraId="6AC21587" w14:textId="2D0252A4"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Urinary qPCR</w:t>
            </w:r>
            <w:r w:rsidRPr="006E7292">
              <w:rPr>
                <w:rFonts w:ascii="Book Antiqua" w:eastAsia="宋体" w:hAnsi="Book Antiqua" w:cs="Times New Roman"/>
                <w:lang w:eastAsia="zh-CN"/>
              </w:rPr>
              <w:t xml:space="preserve">, </w:t>
            </w:r>
            <w:r w:rsidRPr="006E7292">
              <w:rPr>
                <w:rFonts w:ascii="Book Antiqua" w:hAnsi="Book Antiqua" w:cs="Times New Roman"/>
              </w:rPr>
              <w:t>TSPAN13 and S100A9 mRNAs,</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129),</w:t>
            </w:r>
            <w:r w:rsidRPr="006E7292">
              <w:rPr>
                <w:rFonts w:ascii="Book Antiqua" w:eastAsia="宋体" w:hAnsi="Book Antiqua" w:cs="Times New Roman"/>
                <w:lang w:eastAsia="zh-CN"/>
              </w:rPr>
              <w:t xml:space="preserve"> </w:t>
            </w:r>
            <w:r w:rsidRPr="006E7292">
              <w:rPr>
                <w:rFonts w:ascii="Book Antiqua" w:hAnsi="Book Antiqua" w:cs="Times New Roman"/>
              </w:rPr>
              <w:t>BPH patients (</w:t>
            </w:r>
            <w:r w:rsidRPr="006E7292">
              <w:rPr>
                <w:rFonts w:ascii="Book Antiqua" w:hAnsi="Book Antiqua" w:cs="Times New Roman"/>
                <w:i/>
              </w:rPr>
              <w:t>n</w:t>
            </w:r>
            <w:r w:rsidRPr="006E7292">
              <w:rPr>
                <w:rFonts w:ascii="Book Antiqua" w:hAnsi="Book Antiqua" w:cs="Times New Roman"/>
              </w:rPr>
              <w:t xml:space="preserve"> = 105)</w:t>
            </w:r>
          </w:p>
        </w:tc>
        <w:tc>
          <w:tcPr>
            <w:tcW w:w="0" w:type="auto"/>
          </w:tcPr>
          <w:p w14:paraId="490338D4" w14:textId="5CE960B3" w:rsidR="00A01E1C" w:rsidRPr="006E7292" w:rsidRDefault="00A01E1C">
            <w:pPr>
              <w:widowControl w:val="0"/>
              <w:autoSpaceDE w:val="0"/>
              <w:autoSpaceDN w:val="0"/>
              <w:adjustRightInd w:val="0"/>
              <w:snapToGrid w:val="0"/>
              <w:spacing w:line="360" w:lineRule="auto"/>
              <w:rPr>
                <w:rFonts w:ascii="Book Antiqua" w:hAnsi="Book Antiqua" w:cs="Times New Roman"/>
              </w:rPr>
            </w:pPr>
            <w:proofErr w:type="gramStart"/>
            <w:r w:rsidRPr="006E7292">
              <w:rPr>
                <w:rFonts w:ascii="Book Antiqua" w:hAnsi="Book Antiqua" w:cs="Times New Roman"/>
              </w:rPr>
              <w:t>qPCR</w:t>
            </w:r>
            <w:proofErr w:type="gramEnd"/>
            <w:r w:rsidRPr="006E7292">
              <w:rPr>
                <w:rFonts w:ascii="Book Antiqua" w:hAnsi="Book Antiqua" w:cs="Times New Roman"/>
              </w:rPr>
              <w:t xml:space="preserve"> was used to measure urinary nucleic acid levels and</w:t>
            </w:r>
            <w:r w:rsidRPr="006E7292">
              <w:rPr>
                <w:rFonts w:ascii="Book Antiqua" w:eastAsia="宋体" w:hAnsi="Book Antiqua" w:cs="Times New Roman"/>
                <w:lang w:eastAsia="zh-CN"/>
              </w:rPr>
              <w:t xml:space="preserve"> </w:t>
            </w:r>
            <w:r w:rsidRPr="006E7292">
              <w:rPr>
                <w:rFonts w:ascii="Book Antiqua" w:hAnsi="Book Antiqua" w:cs="Times New Roman"/>
              </w:rPr>
              <w:t>tissue mRNA expression.</w:t>
            </w:r>
            <w:r w:rsidRPr="006E7292">
              <w:rPr>
                <w:rFonts w:ascii="Book Antiqua" w:eastAsia="宋体" w:hAnsi="Book Antiqua" w:cs="Times New Roman"/>
                <w:lang w:eastAsia="zh-CN"/>
              </w:rPr>
              <w:t xml:space="preserve"> </w:t>
            </w:r>
            <w:r w:rsidRPr="006E7292">
              <w:rPr>
                <w:rFonts w:ascii="Book Antiqua" w:hAnsi="Book Antiqua" w:cs="Times New Roman"/>
              </w:rPr>
              <w:t>The TSPAN13 and S100A9 mRNA ratio was selected to determine the diagnostic value of urinary nucleic acids in PCa (</w:t>
            </w:r>
            <w:r w:rsidRPr="006E7292">
              <w:rPr>
                <w:rFonts w:ascii="Book Antiqua" w:hAnsi="Book Antiqua" w:cs="Times New Roman"/>
                <w:i/>
              </w:rPr>
              <w:t>P</w:t>
            </w:r>
            <w:r w:rsidRPr="006E7292">
              <w:rPr>
                <w:rFonts w:ascii="Book Antiqua" w:hAnsi="Book Antiqua" w:cs="Times New Roman"/>
              </w:rPr>
              <w:t xml:space="preserve"> = 0.037). It was significantly higher in PCA than in BPH in the mRNA and nucleic acid cohort analyses (</w:t>
            </w:r>
            <w:r w:rsidRPr="006E7292">
              <w:rPr>
                <w:rFonts w:ascii="Book Antiqua" w:hAnsi="Book Antiqua" w:cs="Times New Roman"/>
                <w:i/>
              </w:rPr>
              <w:t>P</w:t>
            </w:r>
            <w:r w:rsidRPr="006E7292">
              <w:rPr>
                <w:rFonts w:ascii="Book Antiqua" w:hAnsi="Book Antiqua" w:cs="Times New Roman"/>
              </w:rPr>
              <w:t xml:space="preserve"> &lt; 0.001 and </w:t>
            </w:r>
            <w:r w:rsidRPr="006E7292">
              <w:rPr>
                <w:rFonts w:ascii="Book Antiqua" w:hAnsi="Book Antiqua" w:cs="Times New Roman"/>
                <w:i/>
              </w:rPr>
              <w:t>P</w:t>
            </w:r>
            <w:r w:rsidRPr="006E7292">
              <w:rPr>
                <w:rFonts w:ascii="Book Antiqua" w:hAnsi="Book Antiqua" w:cs="Times New Roman"/>
              </w:rPr>
              <w:t xml:space="preserve"> = 0.013, respectively). ROC analysis showed that the area under the ROC curve was 0.898 and 0.676 in tissue mRNA cohort and urinary nucleic acid </w:t>
            </w:r>
            <w:r w:rsidRPr="006E7292">
              <w:rPr>
                <w:rFonts w:ascii="Book Antiqua" w:hAnsi="Book Antiqua" w:cs="Times New Roman"/>
              </w:rPr>
              <w:lastRenderedPageBreak/>
              <w:t>cohort, respectively. This ratio could have a strong potential as a diagnostic PCa marker</w:t>
            </w:r>
          </w:p>
        </w:tc>
      </w:tr>
      <w:tr w:rsidR="00A01E1C" w:rsidRPr="006E7292" w14:paraId="2A228E12" w14:textId="77777777" w:rsidTr="00644326">
        <w:tc>
          <w:tcPr>
            <w:tcW w:w="0" w:type="auto"/>
          </w:tcPr>
          <w:p w14:paraId="46C0C059" w14:textId="203D8F42"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Antonarakis </w:t>
            </w:r>
            <w:r w:rsidRPr="006E7292">
              <w:rPr>
                <w:rFonts w:ascii="Book Antiqua" w:hAnsi="Book Antiqua" w:cs="Times New Roman"/>
                <w:i/>
              </w:rPr>
              <w:t>et al</w:t>
            </w:r>
            <w:r w:rsidRPr="006E7292">
              <w:rPr>
                <w:rFonts w:ascii="Book Antiqua" w:hAnsi="Book Antiqua" w:cs="Times New Roman"/>
                <w:vertAlign w:val="superscript"/>
              </w:rPr>
              <w:t>[60]</w:t>
            </w:r>
            <w:r w:rsidRPr="006E7292">
              <w:rPr>
                <w:rFonts w:ascii="Book Antiqua" w:hAnsi="Book Antiqua" w:cs="Times New Roman"/>
                <w:i/>
              </w:rPr>
              <w:t>,</w:t>
            </w:r>
            <w:r w:rsidRPr="006E7292">
              <w:rPr>
                <w:rFonts w:ascii="Book Antiqua" w:hAnsi="Book Antiqua" w:cs="Times New Roman"/>
              </w:rPr>
              <w:t xml:space="preserve"> 2014</w:t>
            </w:r>
          </w:p>
        </w:tc>
        <w:tc>
          <w:tcPr>
            <w:tcW w:w="0" w:type="auto"/>
          </w:tcPr>
          <w:p w14:paraId="44D44045" w14:textId="57266EB3"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Serum qPCR</w:t>
            </w:r>
            <w:r w:rsidRPr="006E7292">
              <w:rPr>
                <w:rFonts w:ascii="Book Antiqua" w:eastAsia="宋体" w:hAnsi="Book Antiqua" w:cs="Times New Roman"/>
                <w:lang w:eastAsia="zh-CN"/>
              </w:rPr>
              <w:t xml:space="preserve">, </w:t>
            </w:r>
            <w:r w:rsidRPr="006E7292">
              <w:rPr>
                <w:rFonts w:ascii="Book Antiqua" w:hAnsi="Book Antiqua" w:cs="Times New Roman"/>
              </w:rPr>
              <w:t>AR-V7 mRNA</w:t>
            </w:r>
            <w:r w:rsidRPr="006E7292">
              <w:rPr>
                <w:rFonts w:ascii="Book Antiqua" w:eastAsia="宋体" w:hAnsi="Book Antiqua" w:cs="Times New Roman"/>
                <w:lang w:eastAsia="zh-CN"/>
              </w:rPr>
              <w:t xml:space="preserve">, </w:t>
            </w:r>
            <w:r w:rsidRPr="006E7292">
              <w:rPr>
                <w:rFonts w:ascii="Book Antiqua" w:hAnsi="Book Antiqua" w:cs="Times New Roman"/>
              </w:rPr>
              <w:t>PCa enzalutamide-treated patients (</w:t>
            </w:r>
            <w:r w:rsidRPr="006E7292">
              <w:rPr>
                <w:rFonts w:ascii="Book Antiqua" w:hAnsi="Book Antiqua" w:cs="Times New Roman"/>
                <w:i/>
              </w:rPr>
              <w:t>n</w:t>
            </w:r>
            <w:r w:rsidRPr="006E7292">
              <w:rPr>
                <w:rFonts w:ascii="Book Antiqua" w:hAnsi="Book Antiqua" w:cs="Times New Roman"/>
              </w:rPr>
              <w:t xml:space="preserve"> = 31), PCa abiraterone-treated patients (</w:t>
            </w:r>
            <w:r w:rsidRPr="006E7292">
              <w:rPr>
                <w:rFonts w:ascii="Book Antiqua" w:hAnsi="Book Antiqua" w:cs="Times New Roman"/>
                <w:i/>
              </w:rPr>
              <w:t>n</w:t>
            </w:r>
            <w:r w:rsidRPr="006E7292">
              <w:rPr>
                <w:rFonts w:ascii="Book Antiqua" w:hAnsi="Book Antiqua" w:cs="Times New Roman"/>
              </w:rPr>
              <w:t xml:space="preserve"> = 31)</w:t>
            </w:r>
          </w:p>
        </w:tc>
        <w:tc>
          <w:tcPr>
            <w:tcW w:w="0" w:type="auto"/>
          </w:tcPr>
          <w:p w14:paraId="0E458DB6" w14:textId="2C810F7E"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AR-V7 mRNA detectable (positive) patients receiving enzalutamide had lower PSA response rates compared to AR-V7 mRNA not detectable (negative) patients (0% </w:t>
            </w:r>
            <w:r w:rsidRPr="006E7292">
              <w:rPr>
                <w:rFonts w:ascii="Book Antiqua" w:hAnsi="Book Antiqua" w:cs="Times New Roman"/>
                <w:i/>
              </w:rPr>
              <w:t>vs</w:t>
            </w:r>
            <w:r w:rsidRPr="006E7292">
              <w:rPr>
                <w:rFonts w:ascii="Book Antiqua" w:hAnsi="Book Antiqua" w:cs="Times New Roman"/>
              </w:rPr>
              <w:t xml:space="preserve"> 53%, </w:t>
            </w:r>
            <w:r w:rsidRPr="006E7292">
              <w:rPr>
                <w:rFonts w:ascii="Book Antiqua" w:hAnsi="Book Antiqua" w:cs="Times New Roman"/>
                <w:i/>
              </w:rPr>
              <w:t>P</w:t>
            </w:r>
            <w:r w:rsidRPr="006E7292">
              <w:rPr>
                <w:rFonts w:ascii="Book Antiqua" w:hAnsi="Book Antiqua" w:cs="Times New Roman"/>
              </w:rPr>
              <w:t xml:space="preserve"> = 0.004) and shorter PSA PFS (median, 1.4 mo </w:t>
            </w:r>
            <w:r w:rsidRPr="006E7292">
              <w:rPr>
                <w:rFonts w:ascii="Book Antiqua" w:hAnsi="Book Antiqua" w:cs="Times New Roman"/>
                <w:i/>
              </w:rPr>
              <w:t>vs</w:t>
            </w:r>
            <w:r w:rsidRPr="006E7292">
              <w:rPr>
                <w:rFonts w:ascii="Book Antiqua" w:hAnsi="Book Antiqua" w:cs="Times New Roman"/>
              </w:rPr>
              <w:t xml:space="preserve"> 6.0 mo; </w:t>
            </w:r>
            <w:r w:rsidRPr="006E7292">
              <w:rPr>
                <w:rFonts w:ascii="Book Antiqua" w:hAnsi="Book Antiqua" w:cs="Times New Roman"/>
                <w:i/>
                <w:caps/>
              </w:rPr>
              <w:t>p</w:t>
            </w:r>
            <w:r w:rsidRPr="006E7292">
              <w:rPr>
                <w:rFonts w:ascii="Book Antiqua" w:hAnsi="Book Antiqua" w:cs="Times New Roman"/>
              </w:rPr>
              <w:t xml:space="preserve"> &lt; 0.001), clinical or radiological PFS (median, 2.1 mo </w:t>
            </w:r>
            <w:r w:rsidRPr="006E7292">
              <w:rPr>
                <w:rFonts w:ascii="Book Antiqua" w:hAnsi="Book Antiqua" w:cs="Times New Roman"/>
                <w:i/>
              </w:rPr>
              <w:t>vs</w:t>
            </w:r>
            <w:r w:rsidRPr="006E7292">
              <w:rPr>
                <w:rFonts w:ascii="Book Antiqua" w:hAnsi="Book Antiqua" w:cs="Times New Roman"/>
              </w:rPr>
              <w:t xml:space="preserve"> 6.1 mo; </w:t>
            </w:r>
            <w:r w:rsidRPr="006E7292">
              <w:rPr>
                <w:rFonts w:ascii="Book Antiqua" w:hAnsi="Book Antiqua" w:cs="Times New Roman"/>
                <w:i/>
                <w:caps/>
              </w:rPr>
              <w:t>p</w:t>
            </w:r>
            <w:r w:rsidRPr="006E7292">
              <w:rPr>
                <w:rFonts w:ascii="Book Antiqua" w:hAnsi="Book Antiqua" w:cs="Times New Roman"/>
              </w:rPr>
              <w:t xml:space="preserve"> &lt; 0.001), and OS (median, 5.5 mo </w:t>
            </w:r>
            <w:r w:rsidRPr="006E7292">
              <w:rPr>
                <w:rFonts w:ascii="Book Antiqua" w:hAnsi="Book Antiqua" w:cs="Times New Roman"/>
                <w:i/>
              </w:rPr>
              <w:t>vs</w:t>
            </w:r>
            <w:r w:rsidRPr="006E7292">
              <w:rPr>
                <w:rFonts w:ascii="Book Antiqua" w:hAnsi="Book Antiqua" w:cs="Times New Roman"/>
              </w:rPr>
              <w:t xml:space="preserve"> not reached; </w:t>
            </w:r>
            <w:r w:rsidRPr="006E7292">
              <w:rPr>
                <w:rFonts w:ascii="Book Antiqua" w:hAnsi="Book Antiqua" w:cs="Times New Roman"/>
                <w:i/>
                <w:caps/>
              </w:rPr>
              <w:t>p</w:t>
            </w:r>
            <w:r w:rsidRPr="006E7292">
              <w:rPr>
                <w:rFonts w:ascii="Book Antiqua" w:hAnsi="Book Antiqua" w:cs="Times New Roman"/>
              </w:rPr>
              <w:t xml:space="preserve"> = 0.002). Similarly, AR-V7 mRNA positive patients, receiving abiraterone had lower PSA response rates compared to AR-V7 mRNA negative patients (0% </w:t>
            </w:r>
            <w:r w:rsidRPr="006E7292">
              <w:rPr>
                <w:rFonts w:ascii="Book Antiqua" w:hAnsi="Book Antiqua" w:cs="Times New Roman"/>
                <w:i/>
              </w:rPr>
              <w:t>vs</w:t>
            </w:r>
            <w:r w:rsidRPr="006E7292">
              <w:rPr>
                <w:rFonts w:ascii="Book Antiqua" w:hAnsi="Book Antiqua" w:cs="Times New Roman"/>
              </w:rPr>
              <w:t xml:space="preserve"> 68%, </w:t>
            </w:r>
            <w:r w:rsidRPr="006E7292">
              <w:rPr>
                <w:rFonts w:ascii="Book Antiqua" w:hAnsi="Book Antiqua" w:cs="Times New Roman"/>
                <w:i/>
              </w:rPr>
              <w:t>P</w:t>
            </w:r>
            <w:r w:rsidRPr="006E7292">
              <w:rPr>
                <w:rFonts w:ascii="Book Antiqua" w:hAnsi="Book Antiqua" w:cs="Times New Roman"/>
              </w:rPr>
              <w:t xml:space="preserve"> = 0.004) and shorter PSA PFS (median, 1.3 mo </w:t>
            </w:r>
            <w:r w:rsidRPr="006E7292">
              <w:rPr>
                <w:rFonts w:ascii="Book Antiqua" w:hAnsi="Book Antiqua" w:cs="Times New Roman"/>
                <w:i/>
              </w:rPr>
              <w:t>vs</w:t>
            </w:r>
            <w:r w:rsidRPr="006E7292">
              <w:rPr>
                <w:rFonts w:ascii="Book Antiqua" w:hAnsi="Book Antiqua" w:cs="Times New Roman"/>
              </w:rPr>
              <w:t xml:space="preserve"> not reached; </w:t>
            </w:r>
            <w:r w:rsidRPr="006E7292">
              <w:rPr>
                <w:rFonts w:ascii="Book Antiqua" w:hAnsi="Book Antiqua" w:cs="Times New Roman"/>
                <w:i/>
              </w:rPr>
              <w:t>P</w:t>
            </w:r>
            <w:r w:rsidRPr="006E7292">
              <w:rPr>
                <w:rFonts w:ascii="Book Antiqua" w:hAnsi="Book Antiqua" w:cs="Times New Roman"/>
              </w:rPr>
              <w:t xml:space="preserve"> &lt; 0.001), clinical or radiological PFS (median, 2.3 mo </w:t>
            </w:r>
            <w:r w:rsidRPr="006E7292">
              <w:rPr>
                <w:rFonts w:ascii="Book Antiqua" w:hAnsi="Book Antiqua" w:cs="Times New Roman"/>
                <w:i/>
              </w:rPr>
              <w:t>vs</w:t>
            </w:r>
            <w:r w:rsidRPr="006E7292">
              <w:rPr>
                <w:rFonts w:ascii="Book Antiqua" w:hAnsi="Book Antiqua" w:cs="Times New Roman"/>
              </w:rPr>
              <w:t xml:space="preserve"> not reached; </w:t>
            </w:r>
            <w:r w:rsidRPr="006E7292">
              <w:rPr>
                <w:rFonts w:ascii="Book Antiqua" w:hAnsi="Book Antiqua" w:cs="Times New Roman"/>
                <w:i/>
              </w:rPr>
              <w:t>P</w:t>
            </w:r>
            <w:r w:rsidRPr="006E7292">
              <w:rPr>
                <w:rFonts w:ascii="Book Antiqua" w:hAnsi="Book Antiqua" w:cs="Times New Roman"/>
              </w:rPr>
              <w:t xml:space="preserve"> &lt; 0.001), and OS (median, 10.6 mo </w:t>
            </w:r>
            <w:r w:rsidRPr="006E7292">
              <w:rPr>
                <w:rFonts w:ascii="Book Antiqua" w:hAnsi="Book Antiqua" w:cs="Times New Roman"/>
                <w:i/>
              </w:rPr>
              <w:t>vs</w:t>
            </w:r>
            <w:r w:rsidRPr="006E7292">
              <w:rPr>
                <w:rFonts w:ascii="Book Antiqua" w:hAnsi="Book Antiqua" w:cs="Times New Roman"/>
              </w:rPr>
              <w:t xml:space="preserve"> not reached, </w:t>
            </w:r>
            <w:r w:rsidRPr="006E7292">
              <w:rPr>
                <w:rFonts w:ascii="Book Antiqua" w:hAnsi="Book Antiqua" w:cs="Times New Roman"/>
                <w:i/>
              </w:rPr>
              <w:t>P</w:t>
            </w:r>
            <w:r w:rsidRPr="006E7292">
              <w:rPr>
                <w:rFonts w:ascii="Book Antiqua" w:hAnsi="Book Antiqua" w:cs="Times New Roman"/>
              </w:rPr>
              <w:t xml:space="preserve"> = 0.006)</w:t>
            </w:r>
          </w:p>
        </w:tc>
      </w:tr>
      <w:tr w:rsidR="00A01E1C" w:rsidRPr="006E7292" w14:paraId="64D70468" w14:textId="77777777" w:rsidTr="00644326">
        <w:tc>
          <w:tcPr>
            <w:tcW w:w="0" w:type="auto"/>
          </w:tcPr>
          <w:p w14:paraId="0AB1169E" w14:textId="177B7009"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Korzeniewski </w:t>
            </w:r>
            <w:r w:rsidRPr="006E7292">
              <w:rPr>
                <w:rFonts w:ascii="Book Antiqua" w:hAnsi="Book Antiqua" w:cs="Times New Roman"/>
                <w:i/>
              </w:rPr>
              <w:t>et al</w:t>
            </w:r>
            <w:r w:rsidRPr="006E7292">
              <w:rPr>
                <w:rFonts w:ascii="Book Antiqua" w:hAnsi="Book Antiqua" w:cs="Times New Roman"/>
                <w:vertAlign w:val="superscript"/>
              </w:rPr>
              <w:t>[61]</w:t>
            </w:r>
            <w:r w:rsidRPr="006E7292">
              <w:rPr>
                <w:rFonts w:ascii="Book Antiqua" w:hAnsi="Book Antiqua" w:cs="Times New Roman"/>
              </w:rPr>
              <w:t>, 2014</w:t>
            </w:r>
          </w:p>
        </w:tc>
        <w:tc>
          <w:tcPr>
            <w:tcW w:w="0" w:type="auto"/>
          </w:tcPr>
          <w:p w14:paraId="70D1DC5D" w14:textId="4D1F39E4"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Urine qPCR</w:t>
            </w:r>
            <w:r w:rsidRPr="006E7292">
              <w:rPr>
                <w:rFonts w:ascii="Book Antiqua" w:eastAsia="宋体" w:hAnsi="Book Antiqua" w:cs="Times New Roman"/>
                <w:lang w:eastAsia="zh-CN"/>
              </w:rPr>
              <w:t xml:space="preserve">, </w:t>
            </w:r>
            <w:r w:rsidRPr="006E7292">
              <w:rPr>
                <w:rFonts w:ascii="Book Antiqua" w:hAnsi="Book Antiqua" w:cs="Times New Roman"/>
              </w:rPr>
              <w:t>miR-483-5p</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71), healthy controls (</w:t>
            </w:r>
            <w:r w:rsidRPr="006E7292">
              <w:rPr>
                <w:rFonts w:ascii="Book Antiqua" w:hAnsi="Book Antiqua" w:cs="Times New Roman"/>
                <w:i/>
              </w:rPr>
              <w:t>n</w:t>
            </w:r>
            <w:r w:rsidRPr="006E7292">
              <w:rPr>
                <w:rFonts w:ascii="Book Antiqua" w:hAnsi="Book Antiqua" w:cs="Times New Roman"/>
              </w:rPr>
              <w:t xml:space="preserve"> = 18)</w:t>
            </w:r>
          </w:p>
        </w:tc>
        <w:tc>
          <w:tcPr>
            <w:tcW w:w="0" w:type="auto"/>
          </w:tcPr>
          <w:p w14:paraId="3DFFC55C" w14:textId="7DC4D980"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miR-483-5p was expressed at higher levels in PCa than in control</w:t>
            </w:r>
          </w:p>
        </w:tc>
      </w:tr>
      <w:tr w:rsidR="00A01E1C" w:rsidRPr="006E7292" w14:paraId="52C8610E" w14:textId="77777777" w:rsidTr="00644326">
        <w:tc>
          <w:tcPr>
            <w:tcW w:w="0" w:type="auto"/>
          </w:tcPr>
          <w:p w14:paraId="27D0FC33" w14:textId="5D544BA5"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Deligezer </w:t>
            </w:r>
            <w:r w:rsidRPr="006E7292">
              <w:rPr>
                <w:rFonts w:ascii="Book Antiqua" w:hAnsi="Book Antiqua" w:cs="Times New Roman"/>
                <w:i/>
              </w:rPr>
              <w:t>et al</w:t>
            </w:r>
            <w:r w:rsidRPr="006E7292">
              <w:rPr>
                <w:rFonts w:ascii="Book Antiqua" w:hAnsi="Book Antiqua" w:cs="Times New Roman"/>
                <w:vertAlign w:val="superscript"/>
              </w:rPr>
              <w:t>[42]</w:t>
            </w:r>
            <w:r w:rsidRPr="006E7292">
              <w:rPr>
                <w:rFonts w:ascii="Book Antiqua" w:hAnsi="Book Antiqua" w:cs="Times New Roman"/>
                <w:i/>
              </w:rPr>
              <w:t>,</w:t>
            </w:r>
            <w:r w:rsidRPr="006E7292">
              <w:rPr>
                <w:rFonts w:ascii="Book Antiqua" w:hAnsi="Book Antiqua" w:cs="Times New Roman"/>
              </w:rPr>
              <w:t xml:space="preserve"> 2010</w:t>
            </w:r>
          </w:p>
        </w:tc>
        <w:tc>
          <w:tcPr>
            <w:tcW w:w="0" w:type="auto"/>
          </w:tcPr>
          <w:p w14:paraId="78FF2C83" w14:textId="211F927C"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cBMP6 mRNA,</w:t>
            </w:r>
            <w:r w:rsidRPr="006E7292">
              <w:rPr>
                <w:rFonts w:ascii="Book Antiqua" w:eastAsia="宋体" w:hAnsi="Book Antiqua" w:cs="Times New Roman"/>
                <w:lang w:eastAsia="zh-CN"/>
              </w:rPr>
              <w:t xml:space="preserve"> </w:t>
            </w:r>
            <w:r w:rsidRPr="006E7292">
              <w:rPr>
                <w:rFonts w:ascii="Book Antiqua" w:hAnsi="Book Antiqua" w:cs="Times New Roman"/>
              </w:rPr>
              <w:t>Local PCa patients (</w:t>
            </w:r>
            <w:r w:rsidRPr="006E7292">
              <w:rPr>
                <w:rFonts w:ascii="Book Antiqua" w:hAnsi="Book Antiqua" w:cs="Times New Roman"/>
                <w:i/>
              </w:rPr>
              <w:t>n</w:t>
            </w:r>
            <w:r w:rsidRPr="006E7292">
              <w:rPr>
                <w:rFonts w:ascii="Book Antiqua" w:hAnsi="Book Antiqua" w:cs="Times New Roman"/>
              </w:rPr>
              <w:t xml:space="preserve"> = 22), local advanced PCa patients (</w:t>
            </w:r>
            <w:r w:rsidRPr="006E7292">
              <w:rPr>
                <w:rFonts w:ascii="Book Antiqua" w:hAnsi="Book Antiqua" w:cs="Times New Roman"/>
                <w:i/>
              </w:rPr>
              <w:t xml:space="preserve">n </w:t>
            </w:r>
            <w:r w:rsidRPr="006E7292">
              <w:rPr>
                <w:rFonts w:ascii="Book Antiqua" w:hAnsi="Book Antiqua" w:cs="Times New Roman"/>
              </w:rPr>
              <w:t>= 11) or mCRPC patients (</w:t>
            </w:r>
            <w:r w:rsidRPr="006E7292">
              <w:rPr>
                <w:rFonts w:ascii="Book Antiqua" w:hAnsi="Book Antiqua" w:cs="Times New Roman"/>
                <w:i/>
              </w:rPr>
              <w:t>n</w:t>
            </w:r>
            <w:r w:rsidRPr="006E7292">
              <w:rPr>
                <w:rFonts w:ascii="Book Antiqua" w:hAnsi="Book Antiqua" w:cs="Times New Roman"/>
              </w:rPr>
              <w:t xml:space="preserve"> = 28)</w:t>
            </w:r>
          </w:p>
        </w:tc>
        <w:tc>
          <w:tcPr>
            <w:tcW w:w="0" w:type="auto"/>
          </w:tcPr>
          <w:p w14:paraId="705BA56F" w14:textId="35AF3019"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The levels of cBMP6 mRNA in patients with metastatic disease were higher than those in patients with localized disease (</w:t>
            </w:r>
            <w:r w:rsidRPr="006E7292">
              <w:rPr>
                <w:rFonts w:ascii="Book Antiqua" w:hAnsi="Book Antiqua" w:cs="Times New Roman"/>
                <w:i/>
                <w:caps/>
              </w:rPr>
              <w:t>p</w:t>
            </w:r>
            <w:r w:rsidRPr="006E7292">
              <w:rPr>
                <w:rFonts w:ascii="Book Antiqua" w:hAnsi="Book Antiqua" w:cs="Times New Roman"/>
              </w:rPr>
              <w:t xml:space="preserve"> = 0.001) or in patients with local advanced disease (</w:t>
            </w:r>
            <w:r w:rsidRPr="006E7292">
              <w:rPr>
                <w:rFonts w:ascii="Book Antiqua" w:hAnsi="Book Antiqua" w:cs="Times New Roman"/>
                <w:i/>
                <w:caps/>
              </w:rPr>
              <w:t>p</w:t>
            </w:r>
            <w:r w:rsidRPr="006E7292">
              <w:rPr>
                <w:rFonts w:ascii="Book Antiqua" w:hAnsi="Book Antiqua" w:cs="Times New Roman"/>
              </w:rPr>
              <w:t xml:space="preserve"> = 0.05)</w:t>
            </w:r>
          </w:p>
        </w:tc>
      </w:tr>
      <w:tr w:rsidR="00A01E1C" w:rsidRPr="006E7292" w14:paraId="500D14DC" w14:textId="77777777" w:rsidTr="00644326">
        <w:tc>
          <w:tcPr>
            <w:tcW w:w="0" w:type="auto"/>
          </w:tcPr>
          <w:p w14:paraId="6C402702" w14:textId="5D072455"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Papadopoulou </w:t>
            </w:r>
            <w:r w:rsidRPr="006E7292">
              <w:rPr>
                <w:rFonts w:ascii="Book Antiqua" w:hAnsi="Book Antiqua" w:cs="Times New Roman"/>
                <w:i/>
              </w:rPr>
              <w:t>et al</w:t>
            </w:r>
            <w:r w:rsidRPr="006E7292">
              <w:rPr>
                <w:rFonts w:ascii="Book Antiqua" w:hAnsi="Book Antiqua" w:cs="Times New Roman"/>
                <w:vertAlign w:val="superscript"/>
              </w:rPr>
              <w:t>[62]</w:t>
            </w:r>
            <w:r w:rsidRPr="006E7292">
              <w:rPr>
                <w:rFonts w:ascii="Book Antiqua" w:hAnsi="Book Antiqua" w:cs="Times New Roman"/>
              </w:rPr>
              <w:t>, 2006</w:t>
            </w:r>
          </w:p>
        </w:tc>
        <w:tc>
          <w:tcPr>
            <w:tcW w:w="0" w:type="auto"/>
          </w:tcPr>
          <w:p w14:paraId="4219FFA4" w14:textId="6C1CAC72"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PBMC and plasma qPCR,</w:t>
            </w:r>
            <w:r w:rsidRPr="006E7292">
              <w:rPr>
                <w:rFonts w:ascii="Book Antiqua" w:eastAsia="宋体" w:hAnsi="Book Antiqua" w:cs="Times New Roman"/>
                <w:lang w:eastAsia="zh-CN"/>
              </w:rPr>
              <w:t xml:space="preserve"> </w:t>
            </w:r>
            <w:r w:rsidRPr="006E7292">
              <w:rPr>
                <w:rFonts w:ascii="Book Antiqua" w:hAnsi="Book Antiqua" w:cs="Times New Roman"/>
              </w:rPr>
              <w:t>PSMA mRNA</w:t>
            </w:r>
            <w:r w:rsidRPr="006E7292">
              <w:rPr>
                <w:rFonts w:ascii="Book Antiqua" w:eastAsia="宋体" w:hAnsi="Book Antiqua" w:cs="Times New Roman"/>
                <w:lang w:eastAsia="zh-CN"/>
              </w:rPr>
              <w:t xml:space="preserve">, </w:t>
            </w:r>
            <w:r w:rsidRPr="006E7292">
              <w:rPr>
                <w:rFonts w:ascii="Book Antiqua" w:hAnsi="Book Antiqua" w:cs="Times New Roman"/>
              </w:rPr>
              <w:t>newly diagnosed PCa patients (</w:t>
            </w:r>
            <w:r w:rsidRPr="006E7292">
              <w:rPr>
                <w:rFonts w:ascii="Book Antiqua" w:hAnsi="Book Antiqua" w:cs="Times New Roman"/>
                <w:i/>
              </w:rPr>
              <w:t>n</w:t>
            </w:r>
            <w:r w:rsidRPr="006E7292">
              <w:rPr>
                <w:rFonts w:ascii="Book Antiqua" w:hAnsi="Book Antiqua" w:cs="Times New Roman"/>
              </w:rPr>
              <w:t xml:space="preserve"> = 12), under therapy PCa patients (</w:t>
            </w:r>
            <w:r w:rsidRPr="006E7292">
              <w:rPr>
                <w:rFonts w:ascii="Book Antiqua" w:hAnsi="Book Antiqua" w:cs="Times New Roman"/>
                <w:i/>
              </w:rPr>
              <w:t>n</w:t>
            </w:r>
            <w:r w:rsidRPr="006E7292">
              <w:rPr>
                <w:rFonts w:ascii="Book Antiqua" w:hAnsi="Book Antiqua" w:cs="Times New Roman"/>
              </w:rPr>
              <w:t xml:space="preserve"> = 4)</w:t>
            </w:r>
          </w:p>
        </w:tc>
        <w:tc>
          <w:tcPr>
            <w:tcW w:w="0" w:type="auto"/>
          </w:tcPr>
          <w:p w14:paraId="29018713" w14:textId="53F962C7"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Among the newly diagnosed patients 4/12 (33.3%) had positive mRNA for PSMA in plasma, whereas only 2/12 (16.7%) had positive PSMA mRNA in PBMC. Among under therapy PCa patients, three (15.8%) were positive for PSMA mRNA in plasma, while only one (5.3%) was positive in PBMC.</w:t>
            </w:r>
            <w:r w:rsidRPr="006E7292">
              <w:rPr>
                <w:rFonts w:ascii="Book Antiqua" w:eastAsia="宋体" w:hAnsi="Book Antiqua" w:cs="Times New Roman"/>
                <w:lang w:eastAsia="zh-CN"/>
              </w:rPr>
              <w:t xml:space="preserve"> </w:t>
            </w:r>
            <w:r w:rsidRPr="006E7292">
              <w:rPr>
                <w:rFonts w:ascii="Book Antiqua" w:hAnsi="Book Antiqua" w:cs="Times New Roman"/>
              </w:rPr>
              <w:t>Furthermore, &gt; 60% of PCa had elevated levels of cfDNA</w:t>
            </w:r>
          </w:p>
        </w:tc>
      </w:tr>
    </w:tbl>
    <w:p w14:paraId="3D5DB9D9" w14:textId="5F2CD58B" w:rsidR="006D110B" w:rsidRPr="006E7292" w:rsidRDefault="00376497">
      <w:pPr>
        <w:snapToGrid w:val="0"/>
        <w:spacing w:line="360" w:lineRule="auto"/>
        <w:jc w:val="both"/>
        <w:rPr>
          <w:rFonts w:ascii="Book Antiqua" w:hAnsi="Book Antiqua" w:cs="Times New Roman"/>
        </w:rPr>
      </w:pPr>
      <w:r w:rsidRPr="006E7292">
        <w:rPr>
          <w:rFonts w:ascii="Book Antiqua" w:hAnsi="Book Antiqua" w:cs="Times New Roman"/>
        </w:rPr>
        <w:t>AR:</w:t>
      </w:r>
      <w:r w:rsidR="00400966" w:rsidRPr="006E7292">
        <w:rPr>
          <w:rFonts w:ascii="Book Antiqua" w:hAnsi="Book Antiqua" w:cs="Times New Roman"/>
        </w:rPr>
        <w:t xml:space="preserve"> Androgen </w:t>
      </w:r>
      <w:r w:rsidRPr="006E7292">
        <w:rPr>
          <w:rFonts w:ascii="Book Antiqua" w:hAnsi="Book Antiqua" w:cs="Times New Roman"/>
        </w:rPr>
        <w:t>receptor; AR-V7:</w:t>
      </w:r>
      <w:r w:rsidR="00400966" w:rsidRPr="006E7292">
        <w:rPr>
          <w:rFonts w:ascii="Book Antiqua" w:hAnsi="Book Antiqua" w:cs="Times New Roman"/>
        </w:rPr>
        <w:t xml:space="preserve"> </w:t>
      </w:r>
      <w:r w:rsidRPr="006E7292">
        <w:rPr>
          <w:rFonts w:ascii="Book Antiqua" w:hAnsi="Book Antiqua" w:cs="Times New Roman"/>
        </w:rPr>
        <w:t>Androgen</w:t>
      </w:r>
      <w:r w:rsidR="00400966" w:rsidRPr="006E7292">
        <w:rPr>
          <w:rFonts w:ascii="Book Antiqua" w:hAnsi="Book Antiqua" w:cs="Times New Roman"/>
        </w:rPr>
        <w:t>-receptor splice variant 7;</w:t>
      </w:r>
      <w:r w:rsidR="00400966" w:rsidRPr="006E7292" w:rsidDel="006467D4">
        <w:rPr>
          <w:rFonts w:ascii="Book Antiqua" w:hAnsi="Book Antiqua" w:cs="Times New Roman"/>
        </w:rPr>
        <w:t xml:space="preserve"> </w:t>
      </w:r>
      <w:r w:rsidRPr="006E7292">
        <w:rPr>
          <w:rFonts w:ascii="Book Antiqua" w:hAnsi="Book Antiqua" w:cs="Times New Roman"/>
        </w:rPr>
        <w:t>BPH:</w:t>
      </w:r>
      <w:r w:rsidR="00400966" w:rsidRPr="006E7292">
        <w:rPr>
          <w:rFonts w:ascii="Book Antiqua" w:hAnsi="Book Antiqua" w:cs="Times New Roman"/>
        </w:rPr>
        <w:t xml:space="preserve"> Beni</w:t>
      </w:r>
      <w:r w:rsidRPr="006E7292">
        <w:rPr>
          <w:rFonts w:ascii="Book Antiqua" w:hAnsi="Book Antiqua" w:cs="Times New Roman"/>
        </w:rPr>
        <w:t>gn prostatic hyperplasia; cfDNA: Cell free DNA; dPCR:</w:t>
      </w:r>
      <w:r w:rsidR="00400966" w:rsidRPr="006E7292">
        <w:rPr>
          <w:rFonts w:ascii="Book Antiqua" w:hAnsi="Book Antiqua" w:cs="Times New Roman"/>
        </w:rPr>
        <w:t xml:space="preserve"> Digital polymerase chain reaction; </w:t>
      </w:r>
      <w:r w:rsidR="00291567" w:rsidRPr="006E7292">
        <w:rPr>
          <w:rFonts w:ascii="Book Antiqua" w:hAnsi="Book Antiqua" w:cs="Times New Roman"/>
        </w:rPr>
        <w:t>l</w:t>
      </w:r>
      <w:r w:rsidR="00400966" w:rsidRPr="006E7292">
        <w:rPr>
          <w:rFonts w:ascii="Book Antiqua" w:hAnsi="Book Antiqua" w:cs="Times New Roman"/>
        </w:rPr>
        <w:t>ncRNAs</w:t>
      </w:r>
      <w:r w:rsidR="00EF7A13">
        <w:rPr>
          <w:rFonts w:ascii="Book Antiqua" w:hAnsi="Book Antiqua" w:cs="Times New Roman"/>
        </w:rPr>
        <w:t>:</w:t>
      </w:r>
      <w:r w:rsidR="00400966" w:rsidRPr="006E7292">
        <w:rPr>
          <w:rFonts w:ascii="Book Antiqua" w:hAnsi="Book Antiqua" w:cs="Times New Roman"/>
        </w:rPr>
        <w:t xml:space="preserve"> Exosomal circulating long non-coding RNAs;</w:t>
      </w:r>
      <w:r w:rsidRPr="006E7292">
        <w:rPr>
          <w:rFonts w:ascii="Book Antiqua" w:hAnsi="Book Antiqua" w:cs="Times New Roman"/>
        </w:rPr>
        <w:t xml:space="preserve"> mCRPC:</w:t>
      </w:r>
      <w:r w:rsidR="00400966" w:rsidRPr="006E7292">
        <w:rPr>
          <w:rFonts w:ascii="Book Antiqua" w:hAnsi="Book Antiqua" w:cs="Times New Roman"/>
        </w:rPr>
        <w:t xml:space="preserve"> </w:t>
      </w:r>
      <w:r w:rsidRPr="006E7292">
        <w:rPr>
          <w:rFonts w:ascii="Book Antiqua" w:hAnsi="Book Antiqua" w:cs="Times New Roman"/>
        </w:rPr>
        <w:t>Metastatic castrat</w:t>
      </w:r>
      <w:r w:rsidR="008F2EB4" w:rsidRPr="006E7292">
        <w:rPr>
          <w:rFonts w:ascii="Book Antiqua" w:hAnsi="Book Antiqua" w:cs="Times New Roman"/>
        </w:rPr>
        <w:t>e</w:t>
      </w:r>
      <w:r w:rsidR="00400966" w:rsidRPr="006E7292">
        <w:rPr>
          <w:rFonts w:ascii="Book Antiqua" w:hAnsi="Book Antiqua" w:cs="Times New Roman"/>
        </w:rPr>
        <w:t>-</w:t>
      </w:r>
      <w:r w:rsidRPr="006E7292">
        <w:rPr>
          <w:rFonts w:ascii="Book Antiqua" w:hAnsi="Book Antiqua" w:cs="Times New Roman"/>
        </w:rPr>
        <w:t>resistant prostate cancer; PSA:</w:t>
      </w:r>
      <w:r w:rsidR="00400966" w:rsidRPr="006E7292">
        <w:rPr>
          <w:rFonts w:ascii="Book Antiqua" w:hAnsi="Book Antiqua" w:cs="Times New Roman"/>
        </w:rPr>
        <w:t xml:space="preserve"> Prostate </w:t>
      </w:r>
      <w:r w:rsidRPr="006E7292">
        <w:rPr>
          <w:rFonts w:ascii="Book Antiqua" w:hAnsi="Book Antiqua" w:cs="Times New Roman"/>
        </w:rPr>
        <w:t>specific antigen; WES:</w:t>
      </w:r>
      <w:r w:rsidR="00400966" w:rsidRPr="006E7292">
        <w:rPr>
          <w:rFonts w:ascii="Book Antiqua" w:hAnsi="Book Antiqua" w:cs="Times New Roman"/>
        </w:rPr>
        <w:t xml:space="preserve"> Whole </w:t>
      </w:r>
      <w:r w:rsidRPr="006E7292">
        <w:rPr>
          <w:rFonts w:ascii="Book Antiqua" w:hAnsi="Book Antiqua" w:cs="Times New Roman"/>
        </w:rPr>
        <w:t>exome sequencing; PFS:</w:t>
      </w:r>
      <w:r w:rsidR="00400966" w:rsidRPr="006E7292">
        <w:rPr>
          <w:rFonts w:ascii="Book Antiqua" w:hAnsi="Book Antiqua" w:cs="Times New Roman"/>
        </w:rPr>
        <w:t xml:space="preserve"> Progression</w:t>
      </w:r>
      <w:r w:rsidR="006E7292">
        <w:rPr>
          <w:rFonts w:ascii="Book Antiqua" w:hAnsi="Book Antiqua" w:cs="Times New Roman"/>
        </w:rPr>
        <w:t>-</w:t>
      </w:r>
      <w:r w:rsidRPr="006E7292">
        <w:rPr>
          <w:rFonts w:ascii="Book Antiqua" w:hAnsi="Book Antiqua" w:cs="Times New Roman"/>
        </w:rPr>
        <w:t>free survival; OS:</w:t>
      </w:r>
      <w:r w:rsidR="00400966" w:rsidRPr="006E7292">
        <w:rPr>
          <w:rFonts w:ascii="Book Antiqua" w:hAnsi="Book Antiqua" w:cs="Times New Roman"/>
        </w:rPr>
        <w:t xml:space="preserve"> Overall </w:t>
      </w:r>
      <w:r w:rsidRPr="006E7292">
        <w:rPr>
          <w:rFonts w:ascii="Book Antiqua" w:hAnsi="Book Antiqua" w:cs="Times New Roman"/>
        </w:rPr>
        <w:t>survival; PBMC:</w:t>
      </w:r>
      <w:r w:rsidR="00400966" w:rsidRPr="006E7292">
        <w:rPr>
          <w:rFonts w:ascii="Book Antiqua" w:hAnsi="Book Antiqua" w:cs="Times New Roman"/>
        </w:rPr>
        <w:t xml:space="preserve"> </w:t>
      </w:r>
      <w:r w:rsidR="00291567" w:rsidRPr="006E7292">
        <w:rPr>
          <w:rFonts w:ascii="Book Antiqua" w:hAnsi="Book Antiqua" w:cs="Times New Roman"/>
        </w:rPr>
        <w:t>Peripheral</w:t>
      </w:r>
      <w:r w:rsidR="00400966" w:rsidRPr="006E7292">
        <w:rPr>
          <w:rFonts w:ascii="Book Antiqua" w:hAnsi="Book Antiqua" w:cs="Times New Roman"/>
        </w:rPr>
        <w:t xml:space="preserve"> </w:t>
      </w:r>
      <w:r w:rsidR="00142626" w:rsidRPr="006E7292">
        <w:rPr>
          <w:rFonts w:ascii="Book Antiqua" w:hAnsi="Book Antiqua" w:cs="Times New Roman"/>
        </w:rPr>
        <w:t xml:space="preserve">blood </w:t>
      </w:r>
      <w:r w:rsidR="00400966" w:rsidRPr="006E7292">
        <w:rPr>
          <w:rFonts w:ascii="Book Antiqua" w:hAnsi="Book Antiqua" w:cs="Times New Roman"/>
        </w:rPr>
        <w:t>mononuclear cells;</w:t>
      </w:r>
      <w:r w:rsidR="00400966" w:rsidRPr="006E7292" w:rsidDel="006467D4">
        <w:rPr>
          <w:rFonts w:ascii="Book Antiqua" w:hAnsi="Book Antiqua" w:cs="Times New Roman"/>
        </w:rPr>
        <w:t xml:space="preserve"> </w:t>
      </w:r>
      <w:r w:rsidRPr="006E7292">
        <w:rPr>
          <w:rFonts w:ascii="Book Antiqua" w:hAnsi="Book Antiqua" w:cs="Times New Roman"/>
        </w:rPr>
        <w:t xml:space="preserve">PCa: </w:t>
      </w:r>
      <w:r w:rsidR="00400966" w:rsidRPr="006E7292">
        <w:rPr>
          <w:rFonts w:ascii="Book Antiqua" w:hAnsi="Book Antiqua" w:cs="Times New Roman"/>
        </w:rPr>
        <w:t xml:space="preserve">Prostate </w:t>
      </w:r>
      <w:r w:rsidRPr="006E7292">
        <w:rPr>
          <w:rFonts w:ascii="Book Antiqua" w:hAnsi="Book Antiqua" w:cs="Times New Roman"/>
        </w:rPr>
        <w:t>cancer; qPCR:</w:t>
      </w:r>
      <w:r w:rsidR="00400966" w:rsidRPr="006E7292">
        <w:rPr>
          <w:rFonts w:ascii="Book Antiqua" w:hAnsi="Book Antiqua" w:cs="Times New Roman"/>
        </w:rPr>
        <w:t xml:space="preserve"> </w:t>
      </w:r>
      <w:r w:rsidRPr="006E7292">
        <w:rPr>
          <w:rFonts w:ascii="Book Antiqua" w:hAnsi="Book Antiqua" w:cs="Times New Roman"/>
        </w:rPr>
        <w:t>Quantitative polymerase chain reaction</w:t>
      </w:r>
      <w:r w:rsidR="00D71200" w:rsidRPr="006E7292">
        <w:rPr>
          <w:rFonts w:ascii="Book Antiqua" w:hAnsi="Book Antiqua" w:cs="Times New Roman"/>
        </w:rPr>
        <w:t xml:space="preserve">; </w:t>
      </w:r>
      <w:r w:rsidR="00D71200" w:rsidRPr="006E7292">
        <w:rPr>
          <w:rFonts w:ascii="Book Antiqua" w:hAnsi="Book Antiqua"/>
        </w:rPr>
        <w:t>lncRNA: long non-coding RNA</w:t>
      </w:r>
      <w:r w:rsidR="005F5AFA" w:rsidRPr="006E7292">
        <w:rPr>
          <w:rFonts w:ascii="Book Antiqua" w:hAnsi="Book Antiqua"/>
        </w:rPr>
        <w:t>; PSMA: Prostate specific membrane antigen</w:t>
      </w:r>
      <w:r w:rsidR="00DA251C" w:rsidRPr="006E7292">
        <w:rPr>
          <w:rFonts w:ascii="Book Antiqua" w:hAnsi="Book Antiqua"/>
        </w:rPr>
        <w:t>; BMP-</w:t>
      </w:r>
      <w:r w:rsidRPr="006E7292">
        <w:rPr>
          <w:rFonts w:ascii="Book Antiqua" w:hAnsi="Book Antiqua"/>
        </w:rPr>
        <w:t>6: Bone morphogenetic protein-6.</w:t>
      </w:r>
    </w:p>
    <w:sectPr w:rsidR="006D110B" w:rsidRPr="006E7292" w:rsidSect="009F2021">
      <w:pgSz w:w="1684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5D7E3" w14:textId="77777777" w:rsidR="005F5E72" w:rsidRDefault="005F5E72" w:rsidP="002B73CB">
      <w:r>
        <w:separator/>
      </w:r>
    </w:p>
  </w:endnote>
  <w:endnote w:type="continuationSeparator" w:id="0">
    <w:p w14:paraId="197411F7" w14:textId="77777777" w:rsidR="005F5E72" w:rsidRDefault="005F5E72" w:rsidP="002B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2014650121"/>
      <w:docPartObj>
        <w:docPartGallery w:val="Page Numbers (Bottom of Page)"/>
        <w:docPartUnique/>
      </w:docPartObj>
    </w:sdtPr>
    <w:sdtEndPr>
      <w:rPr>
        <w:rStyle w:val="ae"/>
      </w:rPr>
    </w:sdtEndPr>
    <w:sdtContent>
      <w:p w14:paraId="01B59DDB" w14:textId="498986F4" w:rsidR="00D93752" w:rsidRDefault="00D93752" w:rsidP="0067694C">
        <w:pPr>
          <w:pStyle w:val="a9"/>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2947364" w14:textId="77777777" w:rsidR="00D93752" w:rsidRDefault="00D937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695684481"/>
      <w:docPartObj>
        <w:docPartGallery w:val="Page Numbers (Bottom of Page)"/>
        <w:docPartUnique/>
      </w:docPartObj>
    </w:sdtPr>
    <w:sdtEndPr>
      <w:rPr>
        <w:rStyle w:val="ae"/>
        <w:rFonts w:ascii="Book Antiqua" w:hAnsi="Book Antiqua"/>
      </w:rPr>
    </w:sdtEndPr>
    <w:sdtContent>
      <w:p w14:paraId="0BC8241C" w14:textId="63F089B9" w:rsidR="00D93752" w:rsidRPr="00644326" w:rsidRDefault="00D93752" w:rsidP="0067694C">
        <w:pPr>
          <w:pStyle w:val="a9"/>
          <w:framePr w:wrap="none" w:vAnchor="text" w:hAnchor="margin" w:xAlign="center" w:y="1"/>
          <w:rPr>
            <w:rStyle w:val="ae"/>
            <w:rFonts w:ascii="Book Antiqua" w:hAnsi="Book Antiqua"/>
          </w:rPr>
        </w:pPr>
        <w:r w:rsidRPr="00644326">
          <w:rPr>
            <w:rStyle w:val="ae"/>
            <w:rFonts w:ascii="Book Antiqua" w:hAnsi="Book Antiqua"/>
          </w:rPr>
          <w:fldChar w:fldCharType="begin"/>
        </w:r>
        <w:r w:rsidRPr="00644326">
          <w:rPr>
            <w:rStyle w:val="ae"/>
            <w:rFonts w:ascii="Book Antiqua" w:hAnsi="Book Antiqua"/>
          </w:rPr>
          <w:instrText xml:space="preserve"> PAGE </w:instrText>
        </w:r>
        <w:r w:rsidRPr="00644326">
          <w:rPr>
            <w:rStyle w:val="ae"/>
            <w:rFonts w:ascii="Book Antiqua" w:hAnsi="Book Antiqua"/>
          </w:rPr>
          <w:fldChar w:fldCharType="separate"/>
        </w:r>
        <w:r w:rsidR="00644326">
          <w:rPr>
            <w:rStyle w:val="ae"/>
            <w:rFonts w:ascii="Book Antiqua" w:hAnsi="Book Antiqua"/>
            <w:noProof/>
          </w:rPr>
          <w:t>2</w:t>
        </w:r>
        <w:r w:rsidRPr="00644326">
          <w:rPr>
            <w:rStyle w:val="ae"/>
            <w:rFonts w:ascii="Book Antiqua" w:hAnsi="Book Antiqua"/>
          </w:rPr>
          <w:fldChar w:fldCharType="end"/>
        </w:r>
      </w:p>
    </w:sdtContent>
  </w:sdt>
  <w:sdt>
    <w:sdtPr>
      <w:rPr>
        <w:rFonts w:ascii="Book Antiqua" w:hAnsi="Book Antiqua"/>
      </w:rPr>
      <w:id w:val="-1185585576"/>
      <w:docPartObj>
        <w:docPartGallery w:val="Page Numbers (Bottom of Page)"/>
        <w:docPartUnique/>
      </w:docPartObj>
    </w:sdtPr>
    <w:sdtEndPr/>
    <w:sdtContent>
      <w:sdt>
        <w:sdtPr>
          <w:rPr>
            <w:rFonts w:ascii="Book Antiqua" w:hAnsi="Book Antiqua"/>
          </w:rPr>
          <w:id w:val="1728636285"/>
          <w:docPartObj>
            <w:docPartGallery w:val="Page Numbers (Top of Page)"/>
            <w:docPartUnique/>
          </w:docPartObj>
        </w:sdtPr>
        <w:sdtEndPr/>
        <w:sdtContent>
          <w:p w14:paraId="4722C461" w14:textId="27A18ADA" w:rsidR="00D93752" w:rsidRPr="00644326" w:rsidRDefault="00D93752">
            <w:pPr>
              <w:pStyle w:val="a9"/>
              <w:jc w:val="center"/>
              <w:rPr>
                <w:rFonts w:ascii="Book Antiqua" w:hAnsi="Book Antiqua"/>
              </w:rPr>
            </w:pPr>
            <w:r w:rsidRPr="00644326">
              <w:rPr>
                <w:rFonts w:ascii="Book Antiqua" w:hAnsi="Book Antiqua"/>
                <w:lang w:val="zh-CN" w:eastAsia="zh-CN"/>
              </w:rPr>
              <w:t xml:space="preserve"> </w:t>
            </w:r>
          </w:p>
        </w:sdtContent>
      </w:sdt>
    </w:sdtContent>
  </w:sdt>
  <w:p w14:paraId="629485E5" w14:textId="77777777" w:rsidR="00D93752" w:rsidRDefault="00D937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4E5B4" w14:textId="77777777" w:rsidR="005F5E72" w:rsidRDefault="005F5E72" w:rsidP="002B73CB">
      <w:r>
        <w:separator/>
      </w:r>
    </w:p>
  </w:footnote>
  <w:footnote w:type="continuationSeparator" w:id="0">
    <w:p w14:paraId="0AD26C06" w14:textId="77777777" w:rsidR="005F5E72" w:rsidRDefault="005F5E72" w:rsidP="002B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2A7"/>
    <w:multiLevelType w:val="hybridMultilevel"/>
    <w:tmpl w:val="6CD8F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4F747A"/>
    <w:multiLevelType w:val="hybridMultilevel"/>
    <w:tmpl w:val="6CD8F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CA" w:vendorID="64" w:dllVersion="0" w:nlCheck="1" w:checkStyle="0"/>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en-US" w:vendorID="64" w:dllVersion="131078" w:nlCheck="1" w:checkStyle="1"/>
  <w:proofState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E2"/>
    <w:rsid w:val="00000698"/>
    <w:rsid w:val="00002F61"/>
    <w:rsid w:val="00003E46"/>
    <w:rsid w:val="00006A07"/>
    <w:rsid w:val="00006E72"/>
    <w:rsid w:val="000070B6"/>
    <w:rsid w:val="0000710F"/>
    <w:rsid w:val="0000779A"/>
    <w:rsid w:val="00007DDD"/>
    <w:rsid w:val="00013048"/>
    <w:rsid w:val="00014A24"/>
    <w:rsid w:val="00014E4F"/>
    <w:rsid w:val="00015BD5"/>
    <w:rsid w:val="00020414"/>
    <w:rsid w:val="000206BB"/>
    <w:rsid w:val="00020DFF"/>
    <w:rsid w:val="00021FBF"/>
    <w:rsid w:val="00022DCE"/>
    <w:rsid w:val="000242E2"/>
    <w:rsid w:val="000250D1"/>
    <w:rsid w:val="0002660E"/>
    <w:rsid w:val="00031210"/>
    <w:rsid w:val="00033AFF"/>
    <w:rsid w:val="00044D26"/>
    <w:rsid w:val="00051236"/>
    <w:rsid w:val="0006092C"/>
    <w:rsid w:val="00062CBD"/>
    <w:rsid w:val="0006311C"/>
    <w:rsid w:val="00064800"/>
    <w:rsid w:val="00067FE2"/>
    <w:rsid w:val="00071459"/>
    <w:rsid w:val="000752D2"/>
    <w:rsid w:val="0007672F"/>
    <w:rsid w:val="00080827"/>
    <w:rsid w:val="00083B5C"/>
    <w:rsid w:val="00084AC3"/>
    <w:rsid w:val="00084F92"/>
    <w:rsid w:val="00086495"/>
    <w:rsid w:val="00090EB8"/>
    <w:rsid w:val="000918A1"/>
    <w:rsid w:val="00091C3D"/>
    <w:rsid w:val="00091D8D"/>
    <w:rsid w:val="000938E6"/>
    <w:rsid w:val="0009479C"/>
    <w:rsid w:val="00096CB6"/>
    <w:rsid w:val="00096CE6"/>
    <w:rsid w:val="00096DB3"/>
    <w:rsid w:val="000A012F"/>
    <w:rsid w:val="000A0E83"/>
    <w:rsid w:val="000A2027"/>
    <w:rsid w:val="000A3BC6"/>
    <w:rsid w:val="000A7DFE"/>
    <w:rsid w:val="000B13F6"/>
    <w:rsid w:val="000B4334"/>
    <w:rsid w:val="000C1C4D"/>
    <w:rsid w:val="000C2BAA"/>
    <w:rsid w:val="000C3E30"/>
    <w:rsid w:val="000C7798"/>
    <w:rsid w:val="000D1288"/>
    <w:rsid w:val="000D1763"/>
    <w:rsid w:val="000D5A32"/>
    <w:rsid w:val="000D645F"/>
    <w:rsid w:val="000E2B58"/>
    <w:rsid w:val="000E30A4"/>
    <w:rsid w:val="000E3485"/>
    <w:rsid w:val="000E44F1"/>
    <w:rsid w:val="000E561C"/>
    <w:rsid w:val="000F1E7B"/>
    <w:rsid w:val="000F21F9"/>
    <w:rsid w:val="000F64C5"/>
    <w:rsid w:val="000F6D6F"/>
    <w:rsid w:val="00100AC0"/>
    <w:rsid w:val="00101C58"/>
    <w:rsid w:val="001052E8"/>
    <w:rsid w:val="00105BA4"/>
    <w:rsid w:val="00110B65"/>
    <w:rsid w:val="00111D4A"/>
    <w:rsid w:val="001127B3"/>
    <w:rsid w:val="00113FC9"/>
    <w:rsid w:val="00115A85"/>
    <w:rsid w:val="001172A7"/>
    <w:rsid w:val="00122FC1"/>
    <w:rsid w:val="00126288"/>
    <w:rsid w:val="00126BF5"/>
    <w:rsid w:val="0013039B"/>
    <w:rsid w:val="001315C6"/>
    <w:rsid w:val="00133018"/>
    <w:rsid w:val="0013544A"/>
    <w:rsid w:val="00137128"/>
    <w:rsid w:val="00141350"/>
    <w:rsid w:val="00142626"/>
    <w:rsid w:val="0014263F"/>
    <w:rsid w:val="001448E3"/>
    <w:rsid w:val="00144BF3"/>
    <w:rsid w:val="0014509E"/>
    <w:rsid w:val="00151705"/>
    <w:rsid w:val="00152651"/>
    <w:rsid w:val="00154EE4"/>
    <w:rsid w:val="00156137"/>
    <w:rsid w:val="00160000"/>
    <w:rsid w:val="001603E7"/>
    <w:rsid w:val="00160BF4"/>
    <w:rsid w:val="00160EBD"/>
    <w:rsid w:val="00161FFC"/>
    <w:rsid w:val="00166540"/>
    <w:rsid w:val="00166A39"/>
    <w:rsid w:val="001702BA"/>
    <w:rsid w:val="00171780"/>
    <w:rsid w:val="00172495"/>
    <w:rsid w:val="00172BDE"/>
    <w:rsid w:val="001750AA"/>
    <w:rsid w:val="00176976"/>
    <w:rsid w:val="001807DA"/>
    <w:rsid w:val="001809FD"/>
    <w:rsid w:val="00181CC6"/>
    <w:rsid w:val="001824EE"/>
    <w:rsid w:val="00183500"/>
    <w:rsid w:val="001845B8"/>
    <w:rsid w:val="00184686"/>
    <w:rsid w:val="001929E2"/>
    <w:rsid w:val="00195F26"/>
    <w:rsid w:val="001976AC"/>
    <w:rsid w:val="001A10F9"/>
    <w:rsid w:val="001A2E07"/>
    <w:rsid w:val="001A2E87"/>
    <w:rsid w:val="001A33ED"/>
    <w:rsid w:val="001B032D"/>
    <w:rsid w:val="001B0767"/>
    <w:rsid w:val="001B3466"/>
    <w:rsid w:val="001B5343"/>
    <w:rsid w:val="001B5C5E"/>
    <w:rsid w:val="001C1408"/>
    <w:rsid w:val="001C65C6"/>
    <w:rsid w:val="001C66DA"/>
    <w:rsid w:val="001C788A"/>
    <w:rsid w:val="001D0384"/>
    <w:rsid w:val="001D08D0"/>
    <w:rsid w:val="001D0F4F"/>
    <w:rsid w:val="001D1CB6"/>
    <w:rsid w:val="001D1E68"/>
    <w:rsid w:val="001E0D8B"/>
    <w:rsid w:val="001E1D31"/>
    <w:rsid w:val="001E4CBE"/>
    <w:rsid w:val="001F3568"/>
    <w:rsid w:val="001F47F1"/>
    <w:rsid w:val="001F5BFE"/>
    <w:rsid w:val="001F69AD"/>
    <w:rsid w:val="001F6E48"/>
    <w:rsid w:val="001F720B"/>
    <w:rsid w:val="00200B21"/>
    <w:rsid w:val="00202380"/>
    <w:rsid w:val="002046E1"/>
    <w:rsid w:val="00204C59"/>
    <w:rsid w:val="00216219"/>
    <w:rsid w:val="002171DB"/>
    <w:rsid w:val="002207E0"/>
    <w:rsid w:val="00220FDF"/>
    <w:rsid w:val="00221C00"/>
    <w:rsid w:val="00223871"/>
    <w:rsid w:val="00224345"/>
    <w:rsid w:val="002259C8"/>
    <w:rsid w:val="00226DB5"/>
    <w:rsid w:val="00230270"/>
    <w:rsid w:val="00230318"/>
    <w:rsid w:val="002321E5"/>
    <w:rsid w:val="0023235A"/>
    <w:rsid w:val="00233D23"/>
    <w:rsid w:val="00236353"/>
    <w:rsid w:val="00237760"/>
    <w:rsid w:val="00240AB6"/>
    <w:rsid w:val="00241620"/>
    <w:rsid w:val="00241670"/>
    <w:rsid w:val="002429D8"/>
    <w:rsid w:val="00247EEA"/>
    <w:rsid w:val="00253DEA"/>
    <w:rsid w:val="002541C5"/>
    <w:rsid w:val="002558DD"/>
    <w:rsid w:val="00261A53"/>
    <w:rsid w:val="00261DBC"/>
    <w:rsid w:val="002625F8"/>
    <w:rsid w:val="00262928"/>
    <w:rsid w:val="00266142"/>
    <w:rsid w:val="0026697A"/>
    <w:rsid w:val="0026726B"/>
    <w:rsid w:val="00274458"/>
    <w:rsid w:val="00274B3D"/>
    <w:rsid w:val="00274F20"/>
    <w:rsid w:val="0027529E"/>
    <w:rsid w:val="002846A4"/>
    <w:rsid w:val="00284F7B"/>
    <w:rsid w:val="00291567"/>
    <w:rsid w:val="0029570A"/>
    <w:rsid w:val="00296540"/>
    <w:rsid w:val="00296684"/>
    <w:rsid w:val="002A221D"/>
    <w:rsid w:val="002A34D6"/>
    <w:rsid w:val="002A69AD"/>
    <w:rsid w:val="002A773D"/>
    <w:rsid w:val="002B4796"/>
    <w:rsid w:val="002B7339"/>
    <w:rsid w:val="002B73CB"/>
    <w:rsid w:val="002B783C"/>
    <w:rsid w:val="002C0117"/>
    <w:rsid w:val="002C2949"/>
    <w:rsid w:val="002D2847"/>
    <w:rsid w:val="002D4F90"/>
    <w:rsid w:val="002D7B8E"/>
    <w:rsid w:val="002E2DBD"/>
    <w:rsid w:val="002F55A3"/>
    <w:rsid w:val="003010D3"/>
    <w:rsid w:val="0030148C"/>
    <w:rsid w:val="0030283C"/>
    <w:rsid w:val="00302C37"/>
    <w:rsid w:val="003038D9"/>
    <w:rsid w:val="00306AEC"/>
    <w:rsid w:val="0030718E"/>
    <w:rsid w:val="00307432"/>
    <w:rsid w:val="00307462"/>
    <w:rsid w:val="0031025E"/>
    <w:rsid w:val="00310543"/>
    <w:rsid w:val="00311D07"/>
    <w:rsid w:val="003145BA"/>
    <w:rsid w:val="003147A2"/>
    <w:rsid w:val="00316D18"/>
    <w:rsid w:val="00322CC0"/>
    <w:rsid w:val="00324B34"/>
    <w:rsid w:val="003274CD"/>
    <w:rsid w:val="003313DC"/>
    <w:rsid w:val="00332568"/>
    <w:rsid w:val="00333408"/>
    <w:rsid w:val="00346893"/>
    <w:rsid w:val="00346ADE"/>
    <w:rsid w:val="00347391"/>
    <w:rsid w:val="00350975"/>
    <w:rsid w:val="00353673"/>
    <w:rsid w:val="00353875"/>
    <w:rsid w:val="00353F7E"/>
    <w:rsid w:val="003544BE"/>
    <w:rsid w:val="00354640"/>
    <w:rsid w:val="0035694B"/>
    <w:rsid w:val="00357FF8"/>
    <w:rsid w:val="00360AFB"/>
    <w:rsid w:val="00361402"/>
    <w:rsid w:val="0036470B"/>
    <w:rsid w:val="00370B47"/>
    <w:rsid w:val="00373AD2"/>
    <w:rsid w:val="00376497"/>
    <w:rsid w:val="003767D5"/>
    <w:rsid w:val="003777B2"/>
    <w:rsid w:val="0038571C"/>
    <w:rsid w:val="003858B0"/>
    <w:rsid w:val="00386BB9"/>
    <w:rsid w:val="00387160"/>
    <w:rsid w:val="00387CA9"/>
    <w:rsid w:val="00392481"/>
    <w:rsid w:val="003966D1"/>
    <w:rsid w:val="00397606"/>
    <w:rsid w:val="003A0A61"/>
    <w:rsid w:val="003A40A2"/>
    <w:rsid w:val="003A654F"/>
    <w:rsid w:val="003A65E7"/>
    <w:rsid w:val="003A71DA"/>
    <w:rsid w:val="003B0A88"/>
    <w:rsid w:val="003B56E4"/>
    <w:rsid w:val="003B665C"/>
    <w:rsid w:val="003C08D4"/>
    <w:rsid w:val="003C091D"/>
    <w:rsid w:val="003C0C57"/>
    <w:rsid w:val="003C1C7E"/>
    <w:rsid w:val="003C1DA2"/>
    <w:rsid w:val="003D0D10"/>
    <w:rsid w:val="003D16D3"/>
    <w:rsid w:val="003D203D"/>
    <w:rsid w:val="003D267D"/>
    <w:rsid w:val="003D2D69"/>
    <w:rsid w:val="003D6291"/>
    <w:rsid w:val="003D7FD8"/>
    <w:rsid w:val="003E364A"/>
    <w:rsid w:val="003E476D"/>
    <w:rsid w:val="003E7C47"/>
    <w:rsid w:val="003F2E3F"/>
    <w:rsid w:val="003F4CFF"/>
    <w:rsid w:val="003F59E8"/>
    <w:rsid w:val="00400775"/>
    <w:rsid w:val="00400966"/>
    <w:rsid w:val="00401D0E"/>
    <w:rsid w:val="0040537A"/>
    <w:rsid w:val="00405C9C"/>
    <w:rsid w:val="00412E93"/>
    <w:rsid w:val="004133C9"/>
    <w:rsid w:val="00415407"/>
    <w:rsid w:val="0041600F"/>
    <w:rsid w:val="00424A9A"/>
    <w:rsid w:val="00426452"/>
    <w:rsid w:val="00427444"/>
    <w:rsid w:val="004319E8"/>
    <w:rsid w:val="00434EC7"/>
    <w:rsid w:val="00437995"/>
    <w:rsid w:val="00437CFF"/>
    <w:rsid w:val="00442496"/>
    <w:rsid w:val="00443624"/>
    <w:rsid w:val="00443A1A"/>
    <w:rsid w:val="00443FCD"/>
    <w:rsid w:val="0044440D"/>
    <w:rsid w:val="00444519"/>
    <w:rsid w:val="00444A4E"/>
    <w:rsid w:val="00450322"/>
    <w:rsid w:val="00452D1E"/>
    <w:rsid w:val="00453FF8"/>
    <w:rsid w:val="004564D8"/>
    <w:rsid w:val="00457199"/>
    <w:rsid w:val="004633D0"/>
    <w:rsid w:val="004639B0"/>
    <w:rsid w:val="00464D3E"/>
    <w:rsid w:val="0046711A"/>
    <w:rsid w:val="00467351"/>
    <w:rsid w:val="00467CDC"/>
    <w:rsid w:val="00467F5C"/>
    <w:rsid w:val="00471081"/>
    <w:rsid w:val="0047376C"/>
    <w:rsid w:val="004766C7"/>
    <w:rsid w:val="004767C0"/>
    <w:rsid w:val="00480002"/>
    <w:rsid w:val="00481927"/>
    <w:rsid w:val="004829A5"/>
    <w:rsid w:val="00484ADC"/>
    <w:rsid w:val="004851AC"/>
    <w:rsid w:val="0048623E"/>
    <w:rsid w:val="00486EC2"/>
    <w:rsid w:val="00490B03"/>
    <w:rsid w:val="0049116D"/>
    <w:rsid w:val="00491CEF"/>
    <w:rsid w:val="00491D42"/>
    <w:rsid w:val="00493EE5"/>
    <w:rsid w:val="00497315"/>
    <w:rsid w:val="004A7411"/>
    <w:rsid w:val="004B1F82"/>
    <w:rsid w:val="004B463C"/>
    <w:rsid w:val="004B6D8C"/>
    <w:rsid w:val="004B7022"/>
    <w:rsid w:val="004C09A9"/>
    <w:rsid w:val="004C18E0"/>
    <w:rsid w:val="004D1A3A"/>
    <w:rsid w:val="004D38A0"/>
    <w:rsid w:val="004D42E2"/>
    <w:rsid w:val="004D5FD4"/>
    <w:rsid w:val="004D7921"/>
    <w:rsid w:val="004D7E16"/>
    <w:rsid w:val="004E2DF9"/>
    <w:rsid w:val="004E4513"/>
    <w:rsid w:val="004E6585"/>
    <w:rsid w:val="004E6F7E"/>
    <w:rsid w:val="004F19F3"/>
    <w:rsid w:val="004F4517"/>
    <w:rsid w:val="004F6AF7"/>
    <w:rsid w:val="004F7291"/>
    <w:rsid w:val="00500A21"/>
    <w:rsid w:val="0050134A"/>
    <w:rsid w:val="00502850"/>
    <w:rsid w:val="0050693C"/>
    <w:rsid w:val="00506D95"/>
    <w:rsid w:val="00507C90"/>
    <w:rsid w:val="00510FBD"/>
    <w:rsid w:val="00511E63"/>
    <w:rsid w:val="00513051"/>
    <w:rsid w:val="00513B32"/>
    <w:rsid w:val="00514BEC"/>
    <w:rsid w:val="00514DDD"/>
    <w:rsid w:val="00515EEF"/>
    <w:rsid w:val="005211E2"/>
    <w:rsid w:val="00522BC2"/>
    <w:rsid w:val="00524530"/>
    <w:rsid w:val="00525D4C"/>
    <w:rsid w:val="00531477"/>
    <w:rsid w:val="00532997"/>
    <w:rsid w:val="00532D26"/>
    <w:rsid w:val="00536072"/>
    <w:rsid w:val="00541906"/>
    <w:rsid w:val="00545A83"/>
    <w:rsid w:val="00545E16"/>
    <w:rsid w:val="00551479"/>
    <w:rsid w:val="00552563"/>
    <w:rsid w:val="005535FC"/>
    <w:rsid w:val="00555487"/>
    <w:rsid w:val="00556ADA"/>
    <w:rsid w:val="0055767F"/>
    <w:rsid w:val="00560760"/>
    <w:rsid w:val="0056511A"/>
    <w:rsid w:val="00567C80"/>
    <w:rsid w:val="00574438"/>
    <w:rsid w:val="00576A4B"/>
    <w:rsid w:val="00577580"/>
    <w:rsid w:val="005778E7"/>
    <w:rsid w:val="005818D6"/>
    <w:rsid w:val="00581E59"/>
    <w:rsid w:val="00583AEB"/>
    <w:rsid w:val="0058433A"/>
    <w:rsid w:val="005956F3"/>
    <w:rsid w:val="00595827"/>
    <w:rsid w:val="005A0E30"/>
    <w:rsid w:val="005A1AE7"/>
    <w:rsid w:val="005A254C"/>
    <w:rsid w:val="005A59D7"/>
    <w:rsid w:val="005A6064"/>
    <w:rsid w:val="005A7F36"/>
    <w:rsid w:val="005B18ED"/>
    <w:rsid w:val="005B1B81"/>
    <w:rsid w:val="005B274E"/>
    <w:rsid w:val="005B2F4A"/>
    <w:rsid w:val="005B39FE"/>
    <w:rsid w:val="005B4730"/>
    <w:rsid w:val="005B647D"/>
    <w:rsid w:val="005B7035"/>
    <w:rsid w:val="005C1507"/>
    <w:rsid w:val="005C20B9"/>
    <w:rsid w:val="005C2DC8"/>
    <w:rsid w:val="005C472F"/>
    <w:rsid w:val="005C5CE3"/>
    <w:rsid w:val="005C7172"/>
    <w:rsid w:val="005D1D0A"/>
    <w:rsid w:val="005D222A"/>
    <w:rsid w:val="005D30B0"/>
    <w:rsid w:val="005D3394"/>
    <w:rsid w:val="005D4110"/>
    <w:rsid w:val="005D666E"/>
    <w:rsid w:val="005E0858"/>
    <w:rsid w:val="005E4747"/>
    <w:rsid w:val="005F0E10"/>
    <w:rsid w:val="005F2679"/>
    <w:rsid w:val="005F2D1E"/>
    <w:rsid w:val="005F2D9A"/>
    <w:rsid w:val="005F47FA"/>
    <w:rsid w:val="005F5A0E"/>
    <w:rsid w:val="005F5AFA"/>
    <w:rsid w:val="005F5E72"/>
    <w:rsid w:val="0060015A"/>
    <w:rsid w:val="00600D97"/>
    <w:rsid w:val="0060501B"/>
    <w:rsid w:val="0060599E"/>
    <w:rsid w:val="0060744D"/>
    <w:rsid w:val="00614CA7"/>
    <w:rsid w:val="006161AC"/>
    <w:rsid w:val="00616851"/>
    <w:rsid w:val="00616A01"/>
    <w:rsid w:val="006170E2"/>
    <w:rsid w:val="006266E3"/>
    <w:rsid w:val="00630A76"/>
    <w:rsid w:val="00630C8C"/>
    <w:rsid w:val="006334EE"/>
    <w:rsid w:val="00635296"/>
    <w:rsid w:val="006366A9"/>
    <w:rsid w:val="006379D8"/>
    <w:rsid w:val="00637C5F"/>
    <w:rsid w:val="00637D17"/>
    <w:rsid w:val="006416CF"/>
    <w:rsid w:val="00644326"/>
    <w:rsid w:val="0064525E"/>
    <w:rsid w:val="006465DD"/>
    <w:rsid w:val="00647AFD"/>
    <w:rsid w:val="00651B4A"/>
    <w:rsid w:val="0065430E"/>
    <w:rsid w:val="00654CAF"/>
    <w:rsid w:val="00655CBF"/>
    <w:rsid w:val="006600E4"/>
    <w:rsid w:val="00660139"/>
    <w:rsid w:val="00660449"/>
    <w:rsid w:val="006636F2"/>
    <w:rsid w:val="00663868"/>
    <w:rsid w:val="00663B1F"/>
    <w:rsid w:val="0066663F"/>
    <w:rsid w:val="0067694C"/>
    <w:rsid w:val="00677579"/>
    <w:rsid w:val="00682088"/>
    <w:rsid w:val="00682C49"/>
    <w:rsid w:val="00683FBD"/>
    <w:rsid w:val="00685A14"/>
    <w:rsid w:val="0068770A"/>
    <w:rsid w:val="0068793A"/>
    <w:rsid w:val="00687DB2"/>
    <w:rsid w:val="00691562"/>
    <w:rsid w:val="00692176"/>
    <w:rsid w:val="006922F2"/>
    <w:rsid w:val="00694042"/>
    <w:rsid w:val="00694920"/>
    <w:rsid w:val="0069510D"/>
    <w:rsid w:val="00695A86"/>
    <w:rsid w:val="00696E50"/>
    <w:rsid w:val="006A3291"/>
    <w:rsid w:val="006A4E9A"/>
    <w:rsid w:val="006A524B"/>
    <w:rsid w:val="006A7ECD"/>
    <w:rsid w:val="006B0636"/>
    <w:rsid w:val="006B0FCC"/>
    <w:rsid w:val="006C5C2E"/>
    <w:rsid w:val="006D110B"/>
    <w:rsid w:val="006D2329"/>
    <w:rsid w:val="006D59C0"/>
    <w:rsid w:val="006D6015"/>
    <w:rsid w:val="006E0E1F"/>
    <w:rsid w:val="006E1634"/>
    <w:rsid w:val="006E1AC6"/>
    <w:rsid w:val="006E2EB9"/>
    <w:rsid w:val="006E5D06"/>
    <w:rsid w:val="006E7292"/>
    <w:rsid w:val="006F491B"/>
    <w:rsid w:val="006F50E0"/>
    <w:rsid w:val="006F5AD9"/>
    <w:rsid w:val="006F5C77"/>
    <w:rsid w:val="00700291"/>
    <w:rsid w:val="0070100F"/>
    <w:rsid w:val="007018D2"/>
    <w:rsid w:val="00701C18"/>
    <w:rsid w:val="00702F94"/>
    <w:rsid w:val="00703951"/>
    <w:rsid w:val="00704F1D"/>
    <w:rsid w:val="0071120F"/>
    <w:rsid w:val="007121E6"/>
    <w:rsid w:val="00712B44"/>
    <w:rsid w:val="00714A0E"/>
    <w:rsid w:val="00715721"/>
    <w:rsid w:val="007162DF"/>
    <w:rsid w:val="007167F7"/>
    <w:rsid w:val="00717F64"/>
    <w:rsid w:val="00722942"/>
    <w:rsid w:val="00725663"/>
    <w:rsid w:val="00727177"/>
    <w:rsid w:val="0073051A"/>
    <w:rsid w:val="00731B8F"/>
    <w:rsid w:val="00734EE1"/>
    <w:rsid w:val="007407EE"/>
    <w:rsid w:val="00742D2E"/>
    <w:rsid w:val="00743A85"/>
    <w:rsid w:val="007473F2"/>
    <w:rsid w:val="007527F0"/>
    <w:rsid w:val="00753F38"/>
    <w:rsid w:val="0075470A"/>
    <w:rsid w:val="00756907"/>
    <w:rsid w:val="00760EB2"/>
    <w:rsid w:val="00767D41"/>
    <w:rsid w:val="007702B8"/>
    <w:rsid w:val="00772288"/>
    <w:rsid w:val="00773217"/>
    <w:rsid w:val="00775AA7"/>
    <w:rsid w:val="007807A2"/>
    <w:rsid w:val="00781906"/>
    <w:rsid w:val="00782579"/>
    <w:rsid w:val="00782861"/>
    <w:rsid w:val="007856B9"/>
    <w:rsid w:val="0078707D"/>
    <w:rsid w:val="00790097"/>
    <w:rsid w:val="00791809"/>
    <w:rsid w:val="00794EB2"/>
    <w:rsid w:val="007966DF"/>
    <w:rsid w:val="00796B0D"/>
    <w:rsid w:val="007A24EB"/>
    <w:rsid w:val="007A474C"/>
    <w:rsid w:val="007B1FCE"/>
    <w:rsid w:val="007C2F8F"/>
    <w:rsid w:val="007C48FC"/>
    <w:rsid w:val="007C6C8F"/>
    <w:rsid w:val="007C6E15"/>
    <w:rsid w:val="007C6FEB"/>
    <w:rsid w:val="007D1D10"/>
    <w:rsid w:val="007D4E6C"/>
    <w:rsid w:val="007D7531"/>
    <w:rsid w:val="007E3966"/>
    <w:rsid w:val="007E452B"/>
    <w:rsid w:val="007E4E9F"/>
    <w:rsid w:val="007E62AE"/>
    <w:rsid w:val="007F13E4"/>
    <w:rsid w:val="007F1558"/>
    <w:rsid w:val="007F160F"/>
    <w:rsid w:val="007F16B3"/>
    <w:rsid w:val="007F198E"/>
    <w:rsid w:val="007F7859"/>
    <w:rsid w:val="00800AE7"/>
    <w:rsid w:val="00802A97"/>
    <w:rsid w:val="00803432"/>
    <w:rsid w:val="00804135"/>
    <w:rsid w:val="00813B04"/>
    <w:rsid w:val="00817CE9"/>
    <w:rsid w:val="0082101D"/>
    <w:rsid w:val="008251E7"/>
    <w:rsid w:val="00825675"/>
    <w:rsid w:val="00825D43"/>
    <w:rsid w:val="008263E0"/>
    <w:rsid w:val="00826B88"/>
    <w:rsid w:val="0082709D"/>
    <w:rsid w:val="00830446"/>
    <w:rsid w:val="00830F40"/>
    <w:rsid w:val="0083414C"/>
    <w:rsid w:val="00835E29"/>
    <w:rsid w:val="0083613B"/>
    <w:rsid w:val="00836C9C"/>
    <w:rsid w:val="0083748F"/>
    <w:rsid w:val="00840123"/>
    <w:rsid w:val="008447D5"/>
    <w:rsid w:val="0084488B"/>
    <w:rsid w:val="0084588D"/>
    <w:rsid w:val="00852DE1"/>
    <w:rsid w:val="00853398"/>
    <w:rsid w:val="00853919"/>
    <w:rsid w:val="008544CD"/>
    <w:rsid w:val="00855F16"/>
    <w:rsid w:val="008567DA"/>
    <w:rsid w:val="00856822"/>
    <w:rsid w:val="00866C4F"/>
    <w:rsid w:val="00867B00"/>
    <w:rsid w:val="0087165F"/>
    <w:rsid w:val="0087263E"/>
    <w:rsid w:val="00874A6C"/>
    <w:rsid w:val="00876FC6"/>
    <w:rsid w:val="00883CB9"/>
    <w:rsid w:val="00885392"/>
    <w:rsid w:val="008864F4"/>
    <w:rsid w:val="008914A8"/>
    <w:rsid w:val="00891F7D"/>
    <w:rsid w:val="00893C00"/>
    <w:rsid w:val="008967EF"/>
    <w:rsid w:val="00897B4F"/>
    <w:rsid w:val="008A2479"/>
    <w:rsid w:val="008A2B25"/>
    <w:rsid w:val="008A404D"/>
    <w:rsid w:val="008A5CB3"/>
    <w:rsid w:val="008A6A11"/>
    <w:rsid w:val="008A6BE2"/>
    <w:rsid w:val="008A7E58"/>
    <w:rsid w:val="008B4D2D"/>
    <w:rsid w:val="008B5516"/>
    <w:rsid w:val="008B64AE"/>
    <w:rsid w:val="008C026F"/>
    <w:rsid w:val="008C26B5"/>
    <w:rsid w:val="008C27C3"/>
    <w:rsid w:val="008C27F1"/>
    <w:rsid w:val="008C3A53"/>
    <w:rsid w:val="008C5076"/>
    <w:rsid w:val="008C656D"/>
    <w:rsid w:val="008C6B32"/>
    <w:rsid w:val="008C6B5B"/>
    <w:rsid w:val="008C7FB8"/>
    <w:rsid w:val="008D0CF8"/>
    <w:rsid w:val="008D1557"/>
    <w:rsid w:val="008D4C34"/>
    <w:rsid w:val="008D6503"/>
    <w:rsid w:val="008D6D43"/>
    <w:rsid w:val="008D7E32"/>
    <w:rsid w:val="008D7F9A"/>
    <w:rsid w:val="008E0519"/>
    <w:rsid w:val="008E0955"/>
    <w:rsid w:val="008E09B5"/>
    <w:rsid w:val="008E436C"/>
    <w:rsid w:val="008E7421"/>
    <w:rsid w:val="008E7FA1"/>
    <w:rsid w:val="008F2EB4"/>
    <w:rsid w:val="008F4332"/>
    <w:rsid w:val="008F483F"/>
    <w:rsid w:val="008F7B27"/>
    <w:rsid w:val="00903D0E"/>
    <w:rsid w:val="00905C98"/>
    <w:rsid w:val="00910E12"/>
    <w:rsid w:val="0091177D"/>
    <w:rsid w:val="00912C1D"/>
    <w:rsid w:val="0091379C"/>
    <w:rsid w:val="00913A32"/>
    <w:rsid w:val="00915323"/>
    <w:rsid w:val="009160CB"/>
    <w:rsid w:val="00917E06"/>
    <w:rsid w:val="00921654"/>
    <w:rsid w:val="009234EA"/>
    <w:rsid w:val="0092447C"/>
    <w:rsid w:val="00924B27"/>
    <w:rsid w:val="009315AA"/>
    <w:rsid w:val="00934945"/>
    <w:rsid w:val="00935159"/>
    <w:rsid w:val="00937C99"/>
    <w:rsid w:val="009412E0"/>
    <w:rsid w:val="00941A53"/>
    <w:rsid w:val="0094239B"/>
    <w:rsid w:val="009454FC"/>
    <w:rsid w:val="00946A9E"/>
    <w:rsid w:val="00947B1E"/>
    <w:rsid w:val="00947F81"/>
    <w:rsid w:val="00950980"/>
    <w:rsid w:val="009510A5"/>
    <w:rsid w:val="0095162B"/>
    <w:rsid w:val="00952B82"/>
    <w:rsid w:val="00952FC3"/>
    <w:rsid w:val="0095516E"/>
    <w:rsid w:val="009563CA"/>
    <w:rsid w:val="00961C7C"/>
    <w:rsid w:val="00961EF6"/>
    <w:rsid w:val="00967188"/>
    <w:rsid w:val="00972556"/>
    <w:rsid w:val="00982922"/>
    <w:rsid w:val="00983947"/>
    <w:rsid w:val="00984830"/>
    <w:rsid w:val="00990DC4"/>
    <w:rsid w:val="009922AF"/>
    <w:rsid w:val="009944F4"/>
    <w:rsid w:val="00994522"/>
    <w:rsid w:val="009A448E"/>
    <w:rsid w:val="009A764C"/>
    <w:rsid w:val="009B1D68"/>
    <w:rsid w:val="009B2123"/>
    <w:rsid w:val="009B7207"/>
    <w:rsid w:val="009C232D"/>
    <w:rsid w:val="009C59C1"/>
    <w:rsid w:val="009C7CE0"/>
    <w:rsid w:val="009D1F9E"/>
    <w:rsid w:val="009D58F9"/>
    <w:rsid w:val="009D65F2"/>
    <w:rsid w:val="009D6CF0"/>
    <w:rsid w:val="009D7C5E"/>
    <w:rsid w:val="009E13AF"/>
    <w:rsid w:val="009E1B47"/>
    <w:rsid w:val="009E2DBB"/>
    <w:rsid w:val="009E3FD4"/>
    <w:rsid w:val="009E77D9"/>
    <w:rsid w:val="009F2021"/>
    <w:rsid w:val="009F2C2A"/>
    <w:rsid w:val="009F2F0E"/>
    <w:rsid w:val="00A01E1C"/>
    <w:rsid w:val="00A043AB"/>
    <w:rsid w:val="00A04725"/>
    <w:rsid w:val="00A11840"/>
    <w:rsid w:val="00A133E7"/>
    <w:rsid w:val="00A1340D"/>
    <w:rsid w:val="00A16FBC"/>
    <w:rsid w:val="00A17837"/>
    <w:rsid w:val="00A207CA"/>
    <w:rsid w:val="00A25D25"/>
    <w:rsid w:val="00A2764E"/>
    <w:rsid w:val="00A27BB5"/>
    <w:rsid w:val="00A31CD0"/>
    <w:rsid w:val="00A326DA"/>
    <w:rsid w:val="00A34AFF"/>
    <w:rsid w:val="00A376CA"/>
    <w:rsid w:val="00A41D34"/>
    <w:rsid w:val="00A43089"/>
    <w:rsid w:val="00A44758"/>
    <w:rsid w:val="00A455B9"/>
    <w:rsid w:val="00A4635A"/>
    <w:rsid w:val="00A4725D"/>
    <w:rsid w:val="00A51760"/>
    <w:rsid w:val="00A529A8"/>
    <w:rsid w:val="00A55011"/>
    <w:rsid w:val="00A5536E"/>
    <w:rsid w:val="00A55BC3"/>
    <w:rsid w:val="00A561FE"/>
    <w:rsid w:val="00A56C10"/>
    <w:rsid w:val="00A60479"/>
    <w:rsid w:val="00A60510"/>
    <w:rsid w:val="00A627CE"/>
    <w:rsid w:val="00A63095"/>
    <w:rsid w:val="00A63594"/>
    <w:rsid w:val="00A65DF7"/>
    <w:rsid w:val="00A668E4"/>
    <w:rsid w:val="00A705AB"/>
    <w:rsid w:val="00A71551"/>
    <w:rsid w:val="00A716ED"/>
    <w:rsid w:val="00A71DEA"/>
    <w:rsid w:val="00A740C6"/>
    <w:rsid w:val="00A74CFA"/>
    <w:rsid w:val="00A75B51"/>
    <w:rsid w:val="00A7658B"/>
    <w:rsid w:val="00A81B0A"/>
    <w:rsid w:val="00A83559"/>
    <w:rsid w:val="00A86B20"/>
    <w:rsid w:val="00A87399"/>
    <w:rsid w:val="00A901D6"/>
    <w:rsid w:val="00A903DB"/>
    <w:rsid w:val="00A93BA6"/>
    <w:rsid w:val="00A93CF3"/>
    <w:rsid w:val="00AA0BE8"/>
    <w:rsid w:val="00AA3814"/>
    <w:rsid w:val="00AA4823"/>
    <w:rsid w:val="00AB0DA1"/>
    <w:rsid w:val="00AB15E2"/>
    <w:rsid w:val="00AB2849"/>
    <w:rsid w:val="00AB2909"/>
    <w:rsid w:val="00AB5A3E"/>
    <w:rsid w:val="00AB62E4"/>
    <w:rsid w:val="00AC1C35"/>
    <w:rsid w:val="00AC1F0A"/>
    <w:rsid w:val="00AD00AF"/>
    <w:rsid w:val="00AD1E45"/>
    <w:rsid w:val="00AD2D22"/>
    <w:rsid w:val="00AD4AAC"/>
    <w:rsid w:val="00AD4DDE"/>
    <w:rsid w:val="00AD5085"/>
    <w:rsid w:val="00AD5D88"/>
    <w:rsid w:val="00AD67FA"/>
    <w:rsid w:val="00AE078B"/>
    <w:rsid w:val="00AE1AE4"/>
    <w:rsid w:val="00AE383A"/>
    <w:rsid w:val="00AE3CB3"/>
    <w:rsid w:val="00AE3D52"/>
    <w:rsid w:val="00AE5A42"/>
    <w:rsid w:val="00AE5F3C"/>
    <w:rsid w:val="00AE6B76"/>
    <w:rsid w:val="00AF0254"/>
    <w:rsid w:val="00AF1DC6"/>
    <w:rsid w:val="00AF2768"/>
    <w:rsid w:val="00AF2897"/>
    <w:rsid w:val="00AF528F"/>
    <w:rsid w:val="00B00CB7"/>
    <w:rsid w:val="00B00EB2"/>
    <w:rsid w:val="00B024DF"/>
    <w:rsid w:val="00B02ADE"/>
    <w:rsid w:val="00B05911"/>
    <w:rsid w:val="00B06F3E"/>
    <w:rsid w:val="00B077AA"/>
    <w:rsid w:val="00B130F1"/>
    <w:rsid w:val="00B13C76"/>
    <w:rsid w:val="00B1437E"/>
    <w:rsid w:val="00B16593"/>
    <w:rsid w:val="00B16687"/>
    <w:rsid w:val="00B177AC"/>
    <w:rsid w:val="00B21B8E"/>
    <w:rsid w:val="00B225DE"/>
    <w:rsid w:val="00B24808"/>
    <w:rsid w:val="00B248A4"/>
    <w:rsid w:val="00B24D30"/>
    <w:rsid w:val="00B25162"/>
    <w:rsid w:val="00B25501"/>
    <w:rsid w:val="00B327DE"/>
    <w:rsid w:val="00B45743"/>
    <w:rsid w:val="00B46EAA"/>
    <w:rsid w:val="00B5063C"/>
    <w:rsid w:val="00B5188A"/>
    <w:rsid w:val="00B51CC2"/>
    <w:rsid w:val="00B61F0D"/>
    <w:rsid w:val="00B63E91"/>
    <w:rsid w:val="00B700AF"/>
    <w:rsid w:val="00B740C7"/>
    <w:rsid w:val="00B75583"/>
    <w:rsid w:val="00B757BD"/>
    <w:rsid w:val="00B83B0A"/>
    <w:rsid w:val="00B85A9B"/>
    <w:rsid w:val="00B85B24"/>
    <w:rsid w:val="00B85B5E"/>
    <w:rsid w:val="00B85B79"/>
    <w:rsid w:val="00B947B7"/>
    <w:rsid w:val="00BA221B"/>
    <w:rsid w:val="00BA23E1"/>
    <w:rsid w:val="00BA2EC4"/>
    <w:rsid w:val="00BA2EF7"/>
    <w:rsid w:val="00BA406A"/>
    <w:rsid w:val="00BB0ED0"/>
    <w:rsid w:val="00BB1CE5"/>
    <w:rsid w:val="00BB248B"/>
    <w:rsid w:val="00BB41CE"/>
    <w:rsid w:val="00BB6DED"/>
    <w:rsid w:val="00BC2832"/>
    <w:rsid w:val="00BC31E1"/>
    <w:rsid w:val="00BC579E"/>
    <w:rsid w:val="00BC57B8"/>
    <w:rsid w:val="00BC5A9D"/>
    <w:rsid w:val="00BD7AA7"/>
    <w:rsid w:val="00BE18A2"/>
    <w:rsid w:val="00BE1E2F"/>
    <w:rsid w:val="00BE1F0A"/>
    <w:rsid w:val="00BE46DC"/>
    <w:rsid w:val="00BE4BA4"/>
    <w:rsid w:val="00BE6CAD"/>
    <w:rsid w:val="00BE6CAF"/>
    <w:rsid w:val="00BE7F8A"/>
    <w:rsid w:val="00BF27DB"/>
    <w:rsid w:val="00BF49C7"/>
    <w:rsid w:val="00BF4A13"/>
    <w:rsid w:val="00BF4E4E"/>
    <w:rsid w:val="00BF77C9"/>
    <w:rsid w:val="00BF7939"/>
    <w:rsid w:val="00C01CB4"/>
    <w:rsid w:val="00C0371C"/>
    <w:rsid w:val="00C03A65"/>
    <w:rsid w:val="00C04274"/>
    <w:rsid w:val="00C07268"/>
    <w:rsid w:val="00C124B6"/>
    <w:rsid w:val="00C12DDF"/>
    <w:rsid w:val="00C137A0"/>
    <w:rsid w:val="00C26164"/>
    <w:rsid w:val="00C322F8"/>
    <w:rsid w:val="00C32D81"/>
    <w:rsid w:val="00C337D0"/>
    <w:rsid w:val="00C34B8F"/>
    <w:rsid w:val="00C4571F"/>
    <w:rsid w:val="00C460B7"/>
    <w:rsid w:val="00C50B69"/>
    <w:rsid w:val="00C573EE"/>
    <w:rsid w:val="00C57653"/>
    <w:rsid w:val="00C67821"/>
    <w:rsid w:val="00C67A00"/>
    <w:rsid w:val="00C70551"/>
    <w:rsid w:val="00C711FC"/>
    <w:rsid w:val="00C7586F"/>
    <w:rsid w:val="00C77E3F"/>
    <w:rsid w:val="00C80AAB"/>
    <w:rsid w:val="00C84DC5"/>
    <w:rsid w:val="00C85D4D"/>
    <w:rsid w:val="00C910B7"/>
    <w:rsid w:val="00C91BCF"/>
    <w:rsid w:val="00C91DF6"/>
    <w:rsid w:val="00C93EF2"/>
    <w:rsid w:val="00C95058"/>
    <w:rsid w:val="00C956CB"/>
    <w:rsid w:val="00C958FA"/>
    <w:rsid w:val="00C968A5"/>
    <w:rsid w:val="00CA076C"/>
    <w:rsid w:val="00CA0F1B"/>
    <w:rsid w:val="00CA1641"/>
    <w:rsid w:val="00CA542F"/>
    <w:rsid w:val="00CA5556"/>
    <w:rsid w:val="00CA7026"/>
    <w:rsid w:val="00CB1421"/>
    <w:rsid w:val="00CB3C4E"/>
    <w:rsid w:val="00CB547C"/>
    <w:rsid w:val="00CB5BE4"/>
    <w:rsid w:val="00CC07ED"/>
    <w:rsid w:val="00CC1332"/>
    <w:rsid w:val="00CC6895"/>
    <w:rsid w:val="00CC7A3A"/>
    <w:rsid w:val="00CD26EC"/>
    <w:rsid w:val="00CD39E1"/>
    <w:rsid w:val="00CD5FBA"/>
    <w:rsid w:val="00CD6740"/>
    <w:rsid w:val="00CE17E0"/>
    <w:rsid w:val="00CE3C25"/>
    <w:rsid w:val="00D0272E"/>
    <w:rsid w:val="00D02DBB"/>
    <w:rsid w:val="00D06F25"/>
    <w:rsid w:val="00D07A78"/>
    <w:rsid w:val="00D1047E"/>
    <w:rsid w:val="00D14BFB"/>
    <w:rsid w:val="00D150E1"/>
    <w:rsid w:val="00D158E9"/>
    <w:rsid w:val="00D17415"/>
    <w:rsid w:val="00D21089"/>
    <w:rsid w:val="00D2440A"/>
    <w:rsid w:val="00D26A95"/>
    <w:rsid w:val="00D32123"/>
    <w:rsid w:val="00D3290F"/>
    <w:rsid w:val="00D33003"/>
    <w:rsid w:val="00D34160"/>
    <w:rsid w:val="00D34481"/>
    <w:rsid w:val="00D347E0"/>
    <w:rsid w:val="00D34A76"/>
    <w:rsid w:val="00D34DF4"/>
    <w:rsid w:val="00D35E8A"/>
    <w:rsid w:val="00D36300"/>
    <w:rsid w:val="00D43D93"/>
    <w:rsid w:val="00D441B8"/>
    <w:rsid w:val="00D44F38"/>
    <w:rsid w:val="00D45C3B"/>
    <w:rsid w:val="00D47FE6"/>
    <w:rsid w:val="00D53130"/>
    <w:rsid w:val="00D550A3"/>
    <w:rsid w:val="00D552BA"/>
    <w:rsid w:val="00D621D9"/>
    <w:rsid w:val="00D6299D"/>
    <w:rsid w:val="00D7042C"/>
    <w:rsid w:val="00D70F58"/>
    <w:rsid w:val="00D71200"/>
    <w:rsid w:val="00D72972"/>
    <w:rsid w:val="00D741D2"/>
    <w:rsid w:val="00D758C5"/>
    <w:rsid w:val="00D77001"/>
    <w:rsid w:val="00D77433"/>
    <w:rsid w:val="00D779D1"/>
    <w:rsid w:val="00D8072F"/>
    <w:rsid w:val="00D82F36"/>
    <w:rsid w:val="00D83780"/>
    <w:rsid w:val="00D87BD2"/>
    <w:rsid w:val="00D91305"/>
    <w:rsid w:val="00D93752"/>
    <w:rsid w:val="00D944C5"/>
    <w:rsid w:val="00DA1793"/>
    <w:rsid w:val="00DA251C"/>
    <w:rsid w:val="00DA2869"/>
    <w:rsid w:val="00DA5783"/>
    <w:rsid w:val="00DA780E"/>
    <w:rsid w:val="00DB01C4"/>
    <w:rsid w:val="00DB07DC"/>
    <w:rsid w:val="00DB0882"/>
    <w:rsid w:val="00DB300B"/>
    <w:rsid w:val="00DB3832"/>
    <w:rsid w:val="00DB65D4"/>
    <w:rsid w:val="00DC0A13"/>
    <w:rsid w:val="00DC0F32"/>
    <w:rsid w:val="00DC1EC9"/>
    <w:rsid w:val="00DC24B0"/>
    <w:rsid w:val="00DC3D52"/>
    <w:rsid w:val="00DC6EDB"/>
    <w:rsid w:val="00DD007F"/>
    <w:rsid w:val="00DD02A0"/>
    <w:rsid w:val="00DD51F1"/>
    <w:rsid w:val="00DE0493"/>
    <w:rsid w:val="00DE3CAE"/>
    <w:rsid w:val="00DE77E0"/>
    <w:rsid w:val="00DF1B53"/>
    <w:rsid w:val="00DF1D6F"/>
    <w:rsid w:val="00DF2301"/>
    <w:rsid w:val="00DF4429"/>
    <w:rsid w:val="00DF69CE"/>
    <w:rsid w:val="00DF6E4D"/>
    <w:rsid w:val="00DF7F99"/>
    <w:rsid w:val="00E00F8A"/>
    <w:rsid w:val="00E011A6"/>
    <w:rsid w:val="00E0191F"/>
    <w:rsid w:val="00E01EBF"/>
    <w:rsid w:val="00E02BAB"/>
    <w:rsid w:val="00E02F9D"/>
    <w:rsid w:val="00E1480D"/>
    <w:rsid w:val="00E16B6B"/>
    <w:rsid w:val="00E17824"/>
    <w:rsid w:val="00E225B4"/>
    <w:rsid w:val="00E236F3"/>
    <w:rsid w:val="00E24138"/>
    <w:rsid w:val="00E2658D"/>
    <w:rsid w:val="00E30950"/>
    <w:rsid w:val="00E32FEA"/>
    <w:rsid w:val="00E33D2D"/>
    <w:rsid w:val="00E340C6"/>
    <w:rsid w:val="00E357D2"/>
    <w:rsid w:val="00E36C34"/>
    <w:rsid w:val="00E409F7"/>
    <w:rsid w:val="00E4221E"/>
    <w:rsid w:val="00E43EED"/>
    <w:rsid w:val="00E46B1A"/>
    <w:rsid w:val="00E51ABF"/>
    <w:rsid w:val="00E577DD"/>
    <w:rsid w:val="00E609B4"/>
    <w:rsid w:val="00E62887"/>
    <w:rsid w:val="00E65B73"/>
    <w:rsid w:val="00E65F4C"/>
    <w:rsid w:val="00E71009"/>
    <w:rsid w:val="00E732DE"/>
    <w:rsid w:val="00E73C8A"/>
    <w:rsid w:val="00E74360"/>
    <w:rsid w:val="00E7519C"/>
    <w:rsid w:val="00E80B92"/>
    <w:rsid w:val="00E82840"/>
    <w:rsid w:val="00E83CE9"/>
    <w:rsid w:val="00E8412D"/>
    <w:rsid w:val="00E901DD"/>
    <w:rsid w:val="00E92BA1"/>
    <w:rsid w:val="00E93B73"/>
    <w:rsid w:val="00E94793"/>
    <w:rsid w:val="00E94D77"/>
    <w:rsid w:val="00E9652C"/>
    <w:rsid w:val="00E96E71"/>
    <w:rsid w:val="00E97E80"/>
    <w:rsid w:val="00EA4C5E"/>
    <w:rsid w:val="00EA5F90"/>
    <w:rsid w:val="00EA7DE0"/>
    <w:rsid w:val="00EB0DDB"/>
    <w:rsid w:val="00EB1A48"/>
    <w:rsid w:val="00EC160C"/>
    <w:rsid w:val="00EC22A5"/>
    <w:rsid w:val="00EC6716"/>
    <w:rsid w:val="00EC723D"/>
    <w:rsid w:val="00EC74EF"/>
    <w:rsid w:val="00ED5837"/>
    <w:rsid w:val="00ED6CE0"/>
    <w:rsid w:val="00EE2157"/>
    <w:rsid w:val="00EE2B08"/>
    <w:rsid w:val="00EE4E14"/>
    <w:rsid w:val="00EF022D"/>
    <w:rsid w:val="00EF036C"/>
    <w:rsid w:val="00EF165B"/>
    <w:rsid w:val="00EF2C20"/>
    <w:rsid w:val="00EF347D"/>
    <w:rsid w:val="00EF4E94"/>
    <w:rsid w:val="00EF5698"/>
    <w:rsid w:val="00EF7A13"/>
    <w:rsid w:val="00EF7BE2"/>
    <w:rsid w:val="00F01F05"/>
    <w:rsid w:val="00F0204E"/>
    <w:rsid w:val="00F0468B"/>
    <w:rsid w:val="00F04958"/>
    <w:rsid w:val="00F079B8"/>
    <w:rsid w:val="00F10FA1"/>
    <w:rsid w:val="00F12280"/>
    <w:rsid w:val="00F17C89"/>
    <w:rsid w:val="00F20FB7"/>
    <w:rsid w:val="00F2303E"/>
    <w:rsid w:val="00F23073"/>
    <w:rsid w:val="00F2307B"/>
    <w:rsid w:val="00F23515"/>
    <w:rsid w:val="00F24B76"/>
    <w:rsid w:val="00F259E8"/>
    <w:rsid w:val="00F260B3"/>
    <w:rsid w:val="00F310C5"/>
    <w:rsid w:val="00F31E4B"/>
    <w:rsid w:val="00F368BB"/>
    <w:rsid w:val="00F441C3"/>
    <w:rsid w:val="00F4484E"/>
    <w:rsid w:val="00F468F4"/>
    <w:rsid w:val="00F46BB5"/>
    <w:rsid w:val="00F47A98"/>
    <w:rsid w:val="00F52352"/>
    <w:rsid w:val="00F531A8"/>
    <w:rsid w:val="00F560A6"/>
    <w:rsid w:val="00F571A3"/>
    <w:rsid w:val="00F65E0C"/>
    <w:rsid w:val="00F67970"/>
    <w:rsid w:val="00F707A6"/>
    <w:rsid w:val="00F719A5"/>
    <w:rsid w:val="00F74834"/>
    <w:rsid w:val="00F7579A"/>
    <w:rsid w:val="00F77F37"/>
    <w:rsid w:val="00F80D31"/>
    <w:rsid w:val="00F81112"/>
    <w:rsid w:val="00F82335"/>
    <w:rsid w:val="00F83B6C"/>
    <w:rsid w:val="00F85E87"/>
    <w:rsid w:val="00F9007E"/>
    <w:rsid w:val="00FA22B7"/>
    <w:rsid w:val="00FA52B0"/>
    <w:rsid w:val="00FA5D1C"/>
    <w:rsid w:val="00FB1F86"/>
    <w:rsid w:val="00FB3253"/>
    <w:rsid w:val="00FC16E3"/>
    <w:rsid w:val="00FC273A"/>
    <w:rsid w:val="00FD04E7"/>
    <w:rsid w:val="00FD1437"/>
    <w:rsid w:val="00FD233C"/>
    <w:rsid w:val="00FD318D"/>
    <w:rsid w:val="00FE2762"/>
    <w:rsid w:val="00FE3911"/>
    <w:rsid w:val="00FE4BED"/>
    <w:rsid w:val="00FE5175"/>
    <w:rsid w:val="00FE5EAB"/>
    <w:rsid w:val="00FE65AB"/>
    <w:rsid w:val="00FE6938"/>
    <w:rsid w:val="00FF0F24"/>
    <w:rsid w:val="00FF1610"/>
    <w:rsid w:val="00FF1899"/>
    <w:rsid w:val="00FF1A9F"/>
    <w:rsid w:val="00FF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AE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7DB2"/>
    <w:rPr>
      <w:sz w:val="18"/>
      <w:szCs w:val="18"/>
    </w:rPr>
  </w:style>
  <w:style w:type="paragraph" w:styleId="a4">
    <w:name w:val="annotation text"/>
    <w:basedOn w:val="a"/>
    <w:link w:val="Char"/>
    <w:semiHidden/>
    <w:unhideWhenUsed/>
    <w:rsid w:val="00687DB2"/>
  </w:style>
  <w:style w:type="character" w:customStyle="1" w:styleId="Char">
    <w:name w:val="批注文字 Char"/>
    <w:basedOn w:val="a0"/>
    <w:link w:val="a4"/>
    <w:semiHidden/>
    <w:rsid w:val="00687DB2"/>
  </w:style>
  <w:style w:type="paragraph" w:styleId="a5">
    <w:name w:val="annotation subject"/>
    <w:basedOn w:val="a4"/>
    <w:next w:val="a4"/>
    <w:link w:val="Char0"/>
    <w:uiPriority w:val="99"/>
    <w:semiHidden/>
    <w:unhideWhenUsed/>
    <w:rsid w:val="00687DB2"/>
    <w:rPr>
      <w:b/>
      <w:bCs/>
      <w:sz w:val="20"/>
      <w:szCs w:val="20"/>
    </w:rPr>
  </w:style>
  <w:style w:type="character" w:customStyle="1" w:styleId="Char0">
    <w:name w:val="批注主题 Char"/>
    <w:basedOn w:val="Char"/>
    <w:link w:val="a5"/>
    <w:uiPriority w:val="99"/>
    <w:semiHidden/>
    <w:rsid w:val="00687DB2"/>
    <w:rPr>
      <w:b/>
      <w:bCs/>
      <w:sz w:val="20"/>
      <w:szCs w:val="20"/>
    </w:rPr>
  </w:style>
  <w:style w:type="paragraph" w:styleId="a6">
    <w:name w:val="Balloon Text"/>
    <w:basedOn w:val="a"/>
    <w:link w:val="Char1"/>
    <w:uiPriority w:val="99"/>
    <w:semiHidden/>
    <w:unhideWhenUsed/>
    <w:rsid w:val="00687DB2"/>
    <w:rPr>
      <w:rFonts w:ascii="Lucida Grande" w:hAnsi="Lucida Grande" w:cs="Lucida Grande"/>
      <w:sz w:val="18"/>
      <w:szCs w:val="18"/>
    </w:rPr>
  </w:style>
  <w:style w:type="character" w:customStyle="1" w:styleId="Char1">
    <w:name w:val="批注框文本 Char"/>
    <w:basedOn w:val="a0"/>
    <w:link w:val="a6"/>
    <w:uiPriority w:val="99"/>
    <w:semiHidden/>
    <w:rsid w:val="00687DB2"/>
    <w:rPr>
      <w:rFonts w:ascii="Lucida Grande" w:hAnsi="Lucida Grande" w:cs="Lucida Grande"/>
      <w:sz w:val="18"/>
      <w:szCs w:val="18"/>
    </w:rPr>
  </w:style>
  <w:style w:type="table" w:styleId="a7">
    <w:name w:val="Table Grid"/>
    <w:basedOn w:val="a1"/>
    <w:uiPriority w:val="59"/>
    <w:rsid w:val="002B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3CB"/>
    <w:pPr>
      <w:widowControl w:val="0"/>
      <w:autoSpaceDE w:val="0"/>
      <w:autoSpaceDN w:val="0"/>
      <w:adjustRightInd w:val="0"/>
    </w:pPr>
    <w:rPr>
      <w:rFonts w:ascii="Times New Roman" w:hAnsi="Times New Roman" w:cs="Times New Roman"/>
      <w:color w:val="000000"/>
      <w:lang w:val="it-IT"/>
    </w:rPr>
  </w:style>
  <w:style w:type="paragraph" w:styleId="a8">
    <w:name w:val="header"/>
    <w:basedOn w:val="a"/>
    <w:link w:val="Char2"/>
    <w:uiPriority w:val="99"/>
    <w:unhideWhenUsed/>
    <w:rsid w:val="002B73CB"/>
    <w:pPr>
      <w:tabs>
        <w:tab w:val="center" w:pos="4986"/>
        <w:tab w:val="right" w:pos="9972"/>
      </w:tabs>
    </w:pPr>
  </w:style>
  <w:style w:type="character" w:customStyle="1" w:styleId="Char2">
    <w:name w:val="页眉 Char"/>
    <w:basedOn w:val="a0"/>
    <w:link w:val="a8"/>
    <w:uiPriority w:val="99"/>
    <w:rsid w:val="002B73CB"/>
  </w:style>
  <w:style w:type="paragraph" w:styleId="a9">
    <w:name w:val="footer"/>
    <w:basedOn w:val="a"/>
    <w:link w:val="Char3"/>
    <w:uiPriority w:val="99"/>
    <w:unhideWhenUsed/>
    <w:rsid w:val="002B73CB"/>
    <w:pPr>
      <w:tabs>
        <w:tab w:val="center" w:pos="4986"/>
        <w:tab w:val="right" w:pos="9972"/>
      </w:tabs>
    </w:pPr>
  </w:style>
  <w:style w:type="character" w:customStyle="1" w:styleId="Char3">
    <w:name w:val="页脚 Char"/>
    <w:basedOn w:val="a0"/>
    <w:link w:val="a9"/>
    <w:uiPriority w:val="99"/>
    <w:rsid w:val="002B73CB"/>
  </w:style>
  <w:style w:type="paragraph" w:customStyle="1" w:styleId="Normal1">
    <w:name w:val="Normal1"/>
    <w:rsid w:val="000F6D6F"/>
    <w:pPr>
      <w:pBdr>
        <w:top w:val="nil"/>
        <w:left w:val="nil"/>
        <w:bottom w:val="nil"/>
        <w:right w:val="nil"/>
        <w:between w:val="nil"/>
      </w:pBdr>
      <w:spacing w:after="160" w:line="259" w:lineRule="auto"/>
    </w:pPr>
    <w:rPr>
      <w:rFonts w:ascii="Calibri" w:eastAsia="Calibri" w:hAnsi="Calibri" w:cs="Calibri"/>
      <w:color w:val="000000"/>
      <w:sz w:val="22"/>
      <w:szCs w:val="22"/>
      <w:lang w:val="en-GB"/>
    </w:rPr>
  </w:style>
  <w:style w:type="character" w:customStyle="1" w:styleId="apple-converted-space">
    <w:name w:val="apple-converted-space"/>
    <w:basedOn w:val="a0"/>
    <w:rsid w:val="000F6D6F"/>
  </w:style>
  <w:style w:type="paragraph" w:styleId="aa">
    <w:name w:val="Revision"/>
    <w:hidden/>
    <w:uiPriority w:val="99"/>
    <w:semiHidden/>
    <w:rsid w:val="007F198E"/>
  </w:style>
  <w:style w:type="character" w:styleId="ab">
    <w:name w:val="Hyperlink"/>
    <w:basedOn w:val="a0"/>
    <w:uiPriority w:val="99"/>
    <w:unhideWhenUsed/>
    <w:rsid w:val="00852DE1"/>
    <w:rPr>
      <w:color w:val="0000FF"/>
      <w:u w:val="single"/>
    </w:rPr>
  </w:style>
  <w:style w:type="paragraph" w:styleId="HTML">
    <w:name w:val="HTML Preformatted"/>
    <w:basedOn w:val="a"/>
    <w:link w:val="HTMLChar"/>
    <w:uiPriority w:val="99"/>
    <w:unhideWhenUsed/>
    <w:rsid w:val="00444A4E"/>
    <w:rPr>
      <w:rFonts w:ascii="Consolas" w:hAnsi="Consolas"/>
      <w:sz w:val="20"/>
      <w:szCs w:val="20"/>
    </w:rPr>
  </w:style>
  <w:style w:type="character" w:customStyle="1" w:styleId="HTMLChar">
    <w:name w:val="HTML 预设格式 Char"/>
    <w:basedOn w:val="a0"/>
    <w:link w:val="HTML"/>
    <w:uiPriority w:val="99"/>
    <w:rsid w:val="00444A4E"/>
    <w:rPr>
      <w:rFonts w:ascii="Consolas" w:hAnsi="Consolas"/>
      <w:sz w:val="20"/>
      <w:szCs w:val="20"/>
    </w:rPr>
  </w:style>
  <w:style w:type="paragraph" w:styleId="ac">
    <w:name w:val="List Paragraph"/>
    <w:basedOn w:val="a"/>
    <w:uiPriority w:val="34"/>
    <w:qFormat/>
    <w:rsid w:val="00160000"/>
    <w:pPr>
      <w:ind w:left="720"/>
      <w:contextualSpacing/>
    </w:pPr>
  </w:style>
  <w:style w:type="character" w:styleId="ad">
    <w:name w:val="FollowedHyperlink"/>
    <w:basedOn w:val="a0"/>
    <w:uiPriority w:val="99"/>
    <w:semiHidden/>
    <w:unhideWhenUsed/>
    <w:rsid w:val="00BF27DB"/>
    <w:rPr>
      <w:color w:val="800080" w:themeColor="followedHyperlink"/>
      <w:u w:val="single"/>
    </w:rPr>
  </w:style>
  <w:style w:type="character" w:customStyle="1" w:styleId="h3">
    <w:name w:val="h3"/>
    <w:rsid w:val="00A93BA6"/>
  </w:style>
  <w:style w:type="character" w:customStyle="1" w:styleId="normaltextrun">
    <w:name w:val="normaltextrun"/>
    <w:rsid w:val="00A93BA6"/>
  </w:style>
  <w:style w:type="paragraph" w:customStyle="1" w:styleId="paragraph">
    <w:name w:val="paragraph"/>
    <w:basedOn w:val="a"/>
    <w:rsid w:val="00A93BA6"/>
    <w:pPr>
      <w:spacing w:before="100" w:beforeAutospacing="1" w:after="100" w:afterAutospacing="1"/>
    </w:pPr>
    <w:rPr>
      <w:rFonts w:ascii="Times New Roman" w:eastAsia="宋体" w:hAnsi="Times New Roman" w:cs="Times New Roman"/>
      <w:lang w:eastAsia="en-US"/>
    </w:rPr>
  </w:style>
  <w:style w:type="character" w:styleId="ae">
    <w:name w:val="page number"/>
    <w:basedOn w:val="a0"/>
    <w:uiPriority w:val="99"/>
    <w:semiHidden/>
    <w:unhideWhenUsed/>
    <w:rsid w:val="00261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7DB2"/>
    <w:rPr>
      <w:sz w:val="18"/>
      <w:szCs w:val="18"/>
    </w:rPr>
  </w:style>
  <w:style w:type="paragraph" w:styleId="a4">
    <w:name w:val="annotation text"/>
    <w:basedOn w:val="a"/>
    <w:link w:val="Char"/>
    <w:semiHidden/>
    <w:unhideWhenUsed/>
    <w:rsid w:val="00687DB2"/>
  </w:style>
  <w:style w:type="character" w:customStyle="1" w:styleId="Char">
    <w:name w:val="批注文字 Char"/>
    <w:basedOn w:val="a0"/>
    <w:link w:val="a4"/>
    <w:semiHidden/>
    <w:rsid w:val="00687DB2"/>
  </w:style>
  <w:style w:type="paragraph" w:styleId="a5">
    <w:name w:val="annotation subject"/>
    <w:basedOn w:val="a4"/>
    <w:next w:val="a4"/>
    <w:link w:val="Char0"/>
    <w:uiPriority w:val="99"/>
    <w:semiHidden/>
    <w:unhideWhenUsed/>
    <w:rsid w:val="00687DB2"/>
    <w:rPr>
      <w:b/>
      <w:bCs/>
      <w:sz w:val="20"/>
      <w:szCs w:val="20"/>
    </w:rPr>
  </w:style>
  <w:style w:type="character" w:customStyle="1" w:styleId="Char0">
    <w:name w:val="批注主题 Char"/>
    <w:basedOn w:val="Char"/>
    <w:link w:val="a5"/>
    <w:uiPriority w:val="99"/>
    <w:semiHidden/>
    <w:rsid w:val="00687DB2"/>
    <w:rPr>
      <w:b/>
      <w:bCs/>
      <w:sz w:val="20"/>
      <w:szCs w:val="20"/>
    </w:rPr>
  </w:style>
  <w:style w:type="paragraph" w:styleId="a6">
    <w:name w:val="Balloon Text"/>
    <w:basedOn w:val="a"/>
    <w:link w:val="Char1"/>
    <w:uiPriority w:val="99"/>
    <w:semiHidden/>
    <w:unhideWhenUsed/>
    <w:rsid w:val="00687DB2"/>
    <w:rPr>
      <w:rFonts w:ascii="Lucida Grande" w:hAnsi="Lucida Grande" w:cs="Lucida Grande"/>
      <w:sz w:val="18"/>
      <w:szCs w:val="18"/>
    </w:rPr>
  </w:style>
  <w:style w:type="character" w:customStyle="1" w:styleId="Char1">
    <w:name w:val="批注框文本 Char"/>
    <w:basedOn w:val="a0"/>
    <w:link w:val="a6"/>
    <w:uiPriority w:val="99"/>
    <w:semiHidden/>
    <w:rsid w:val="00687DB2"/>
    <w:rPr>
      <w:rFonts w:ascii="Lucida Grande" w:hAnsi="Lucida Grande" w:cs="Lucida Grande"/>
      <w:sz w:val="18"/>
      <w:szCs w:val="18"/>
    </w:rPr>
  </w:style>
  <w:style w:type="table" w:styleId="a7">
    <w:name w:val="Table Grid"/>
    <w:basedOn w:val="a1"/>
    <w:uiPriority w:val="59"/>
    <w:rsid w:val="002B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3CB"/>
    <w:pPr>
      <w:widowControl w:val="0"/>
      <w:autoSpaceDE w:val="0"/>
      <w:autoSpaceDN w:val="0"/>
      <w:adjustRightInd w:val="0"/>
    </w:pPr>
    <w:rPr>
      <w:rFonts w:ascii="Times New Roman" w:hAnsi="Times New Roman" w:cs="Times New Roman"/>
      <w:color w:val="000000"/>
      <w:lang w:val="it-IT"/>
    </w:rPr>
  </w:style>
  <w:style w:type="paragraph" w:styleId="a8">
    <w:name w:val="header"/>
    <w:basedOn w:val="a"/>
    <w:link w:val="Char2"/>
    <w:uiPriority w:val="99"/>
    <w:unhideWhenUsed/>
    <w:rsid w:val="002B73CB"/>
    <w:pPr>
      <w:tabs>
        <w:tab w:val="center" w:pos="4986"/>
        <w:tab w:val="right" w:pos="9972"/>
      </w:tabs>
    </w:pPr>
  </w:style>
  <w:style w:type="character" w:customStyle="1" w:styleId="Char2">
    <w:name w:val="页眉 Char"/>
    <w:basedOn w:val="a0"/>
    <w:link w:val="a8"/>
    <w:uiPriority w:val="99"/>
    <w:rsid w:val="002B73CB"/>
  </w:style>
  <w:style w:type="paragraph" w:styleId="a9">
    <w:name w:val="footer"/>
    <w:basedOn w:val="a"/>
    <w:link w:val="Char3"/>
    <w:uiPriority w:val="99"/>
    <w:unhideWhenUsed/>
    <w:rsid w:val="002B73CB"/>
    <w:pPr>
      <w:tabs>
        <w:tab w:val="center" w:pos="4986"/>
        <w:tab w:val="right" w:pos="9972"/>
      </w:tabs>
    </w:pPr>
  </w:style>
  <w:style w:type="character" w:customStyle="1" w:styleId="Char3">
    <w:name w:val="页脚 Char"/>
    <w:basedOn w:val="a0"/>
    <w:link w:val="a9"/>
    <w:uiPriority w:val="99"/>
    <w:rsid w:val="002B73CB"/>
  </w:style>
  <w:style w:type="paragraph" w:customStyle="1" w:styleId="Normal1">
    <w:name w:val="Normal1"/>
    <w:rsid w:val="000F6D6F"/>
    <w:pPr>
      <w:pBdr>
        <w:top w:val="nil"/>
        <w:left w:val="nil"/>
        <w:bottom w:val="nil"/>
        <w:right w:val="nil"/>
        <w:between w:val="nil"/>
      </w:pBdr>
      <w:spacing w:after="160" w:line="259" w:lineRule="auto"/>
    </w:pPr>
    <w:rPr>
      <w:rFonts w:ascii="Calibri" w:eastAsia="Calibri" w:hAnsi="Calibri" w:cs="Calibri"/>
      <w:color w:val="000000"/>
      <w:sz w:val="22"/>
      <w:szCs w:val="22"/>
      <w:lang w:val="en-GB"/>
    </w:rPr>
  </w:style>
  <w:style w:type="character" w:customStyle="1" w:styleId="apple-converted-space">
    <w:name w:val="apple-converted-space"/>
    <w:basedOn w:val="a0"/>
    <w:rsid w:val="000F6D6F"/>
  </w:style>
  <w:style w:type="paragraph" w:styleId="aa">
    <w:name w:val="Revision"/>
    <w:hidden/>
    <w:uiPriority w:val="99"/>
    <w:semiHidden/>
    <w:rsid w:val="007F198E"/>
  </w:style>
  <w:style w:type="character" w:styleId="ab">
    <w:name w:val="Hyperlink"/>
    <w:basedOn w:val="a0"/>
    <w:uiPriority w:val="99"/>
    <w:unhideWhenUsed/>
    <w:rsid w:val="00852DE1"/>
    <w:rPr>
      <w:color w:val="0000FF"/>
      <w:u w:val="single"/>
    </w:rPr>
  </w:style>
  <w:style w:type="paragraph" w:styleId="HTML">
    <w:name w:val="HTML Preformatted"/>
    <w:basedOn w:val="a"/>
    <w:link w:val="HTMLChar"/>
    <w:uiPriority w:val="99"/>
    <w:unhideWhenUsed/>
    <w:rsid w:val="00444A4E"/>
    <w:rPr>
      <w:rFonts w:ascii="Consolas" w:hAnsi="Consolas"/>
      <w:sz w:val="20"/>
      <w:szCs w:val="20"/>
    </w:rPr>
  </w:style>
  <w:style w:type="character" w:customStyle="1" w:styleId="HTMLChar">
    <w:name w:val="HTML 预设格式 Char"/>
    <w:basedOn w:val="a0"/>
    <w:link w:val="HTML"/>
    <w:uiPriority w:val="99"/>
    <w:rsid w:val="00444A4E"/>
    <w:rPr>
      <w:rFonts w:ascii="Consolas" w:hAnsi="Consolas"/>
      <w:sz w:val="20"/>
      <w:szCs w:val="20"/>
    </w:rPr>
  </w:style>
  <w:style w:type="paragraph" w:styleId="ac">
    <w:name w:val="List Paragraph"/>
    <w:basedOn w:val="a"/>
    <w:uiPriority w:val="34"/>
    <w:qFormat/>
    <w:rsid w:val="00160000"/>
    <w:pPr>
      <w:ind w:left="720"/>
      <w:contextualSpacing/>
    </w:pPr>
  </w:style>
  <w:style w:type="character" w:styleId="ad">
    <w:name w:val="FollowedHyperlink"/>
    <w:basedOn w:val="a0"/>
    <w:uiPriority w:val="99"/>
    <w:semiHidden/>
    <w:unhideWhenUsed/>
    <w:rsid w:val="00BF27DB"/>
    <w:rPr>
      <w:color w:val="800080" w:themeColor="followedHyperlink"/>
      <w:u w:val="single"/>
    </w:rPr>
  </w:style>
  <w:style w:type="character" w:customStyle="1" w:styleId="h3">
    <w:name w:val="h3"/>
    <w:rsid w:val="00A93BA6"/>
  </w:style>
  <w:style w:type="character" w:customStyle="1" w:styleId="normaltextrun">
    <w:name w:val="normaltextrun"/>
    <w:rsid w:val="00A93BA6"/>
  </w:style>
  <w:style w:type="paragraph" w:customStyle="1" w:styleId="paragraph">
    <w:name w:val="paragraph"/>
    <w:basedOn w:val="a"/>
    <w:rsid w:val="00A93BA6"/>
    <w:pPr>
      <w:spacing w:before="100" w:beforeAutospacing="1" w:after="100" w:afterAutospacing="1"/>
    </w:pPr>
    <w:rPr>
      <w:rFonts w:ascii="Times New Roman" w:eastAsia="宋体" w:hAnsi="Times New Roman" w:cs="Times New Roman"/>
      <w:lang w:eastAsia="en-US"/>
    </w:rPr>
  </w:style>
  <w:style w:type="character" w:styleId="ae">
    <w:name w:val="page number"/>
    <w:basedOn w:val="a0"/>
    <w:uiPriority w:val="99"/>
    <w:semiHidden/>
    <w:unhideWhenUsed/>
    <w:rsid w:val="0026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88">
      <w:bodyDiv w:val="1"/>
      <w:marLeft w:val="0"/>
      <w:marRight w:val="0"/>
      <w:marTop w:val="0"/>
      <w:marBottom w:val="0"/>
      <w:divBdr>
        <w:top w:val="none" w:sz="0" w:space="0" w:color="auto"/>
        <w:left w:val="none" w:sz="0" w:space="0" w:color="auto"/>
        <w:bottom w:val="none" w:sz="0" w:space="0" w:color="auto"/>
        <w:right w:val="none" w:sz="0" w:space="0" w:color="auto"/>
      </w:divBdr>
    </w:div>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52851635">
      <w:bodyDiv w:val="1"/>
      <w:marLeft w:val="0"/>
      <w:marRight w:val="0"/>
      <w:marTop w:val="0"/>
      <w:marBottom w:val="0"/>
      <w:divBdr>
        <w:top w:val="none" w:sz="0" w:space="0" w:color="auto"/>
        <w:left w:val="none" w:sz="0" w:space="0" w:color="auto"/>
        <w:bottom w:val="none" w:sz="0" w:space="0" w:color="auto"/>
        <w:right w:val="none" w:sz="0" w:space="0" w:color="auto"/>
      </w:divBdr>
    </w:div>
    <w:div w:id="65029447">
      <w:bodyDiv w:val="1"/>
      <w:marLeft w:val="0"/>
      <w:marRight w:val="0"/>
      <w:marTop w:val="0"/>
      <w:marBottom w:val="0"/>
      <w:divBdr>
        <w:top w:val="none" w:sz="0" w:space="0" w:color="auto"/>
        <w:left w:val="none" w:sz="0" w:space="0" w:color="auto"/>
        <w:bottom w:val="none" w:sz="0" w:space="0" w:color="auto"/>
        <w:right w:val="none" w:sz="0" w:space="0" w:color="auto"/>
      </w:divBdr>
    </w:div>
    <w:div w:id="71396249">
      <w:bodyDiv w:val="1"/>
      <w:marLeft w:val="0"/>
      <w:marRight w:val="0"/>
      <w:marTop w:val="0"/>
      <w:marBottom w:val="0"/>
      <w:divBdr>
        <w:top w:val="none" w:sz="0" w:space="0" w:color="auto"/>
        <w:left w:val="none" w:sz="0" w:space="0" w:color="auto"/>
        <w:bottom w:val="none" w:sz="0" w:space="0" w:color="auto"/>
        <w:right w:val="none" w:sz="0" w:space="0" w:color="auto"/>
      </w:divBdr>
    </w:div>
    <w:div w:id="90244958">
      <w:bodyDiv w:val="1"/>
      <w:marLeft w:val="0"/>
      <w:marRight w:val="0"/>
      <w:marTop w:val="0"/>
      <w:marBottom w:val="0"/>
      <w:divBdr>
        <w:top w:val="none" w:sz="0" w:space="0" w:color="auto"/>
        <w:left w:val="none" w:sz="0" w:space="0" w:color="auto"/>
        <w:bottom w:val="none" w:sz="0" w:space="0" w:color="auto"/>
        <w:right w:val="none" w:sz="0" w:space="0" w:color="auto"/>
      </w:divBdr>
    </w:div>
    <w:div w:id="123736234">
      <w:bodyDiv w:val="1"/>
      <w:marLeft w:val="0"/>
      <w:marRight w:val="0"/>
      <w:marTop w:val="0"/>
      <w:marBottom w:val="0"/>
      <w:divBdr>
        <w:top w:val="none" w:sz="0" w:space="0" w:color="auto"/>
        <w:left w:val="none" w:sz="0" w:space="0" w:color="auto"/>
        <w:bottom w:val="none" w:sz="0" w:space="0" w:color="auto"/>
        <w:right w:val="none" w:sz="0" w:space="0" w:color="auto"/>
      </w:divBdr>
    </w:div>
    <w:div w:id="125318374">
      <w:bodyDiv w:val="1"/>
      <w:marLeft w:val="0"/>
      <w:marRight w:val="0"/>
      <w:marTop w:val="0"/>
      <w:marBottom w:val="0"/>
      <w:divBdr>
        <w:top w:val="none" w:sz="0" w:space="0" w:color="auto"/>
        <w:left w:val="none" w:sz="0" w:space="0" w:color="auto"/>
        <w:bottom w:val="none" w:sz="0" w:space="0" w:color="auto"/>
        <w:right w:val="none" w:sz="0" w:space="0" w:color="auto"/>
      </w:divBdr>
    </w:div>
    <w:div w:id="149686426">
      <w:bodyDiv w:val="1"/>
      <w:marLeft w:val="0"/>
      <w:marRight w:val="0"/>
      <w:marTop w:val="0"/>
      <w:marBottom w:val="0"/>
      <w:divBdr>
        <w:top w:val="none" w:sz="0" w:space="0" w:color="auto"/>
        <w:left w:val="none" w:sz="0" w:space="0" w:color="auto"/>
        <w:bottom w:val="none" w:sz="0" w:space="0" w:color="auto"/>
        <w:right w:val="none" w:sz="0" w:space="0" w:color="auto"/>
      </w:divBdr>
    </w:div>
    <w:div w:id="214589552">
      <w:bodyDiv w:val="1"/>
      <w:marLeft w:val="0"/>
      <w:marRight w:val="0"/>
      <w:marTop w:val="0"/>
      <w:marBottom w:val="0"/>
      <w:divBdr>
        <w:top w:val="none" w:sz="0" w:space="0" w:color="auto"/>
        <w:left w:val="none" w:sz="0" w:space="0" w:color="auto"/>
        <w:bottom w:val="none" w:sz="0" w:space="0" w:color="auto"/>
        <w:right w:val="none" w:sz="0" w:space="0" w:color="auto"/>
      </w:divBdr>
    </w:div>
    <w:div w:id="223757965">
      <w:bodyDiv w:val="1"/>
      <w:marLeft w:val="0"/>
      <w:marRight w:val="0"/>
      <w:marTop w:val="0"/>
      <w:marBottom w:val="0"/>
      <w:divBdr>
        <w:top w:val="none" w:sz="0" w:space="0" w:color="auto"/>
        <w:left w:val="none" w:sz="0" w:space="0" w:color="auto"/>
        <w:bottom w:val="none" w:sz="0" w:space="0" w:color="auto"/>
        <w:right w:val="none" w:sz="0" w:space="0" w:color="auto"/>
      </w:divBdr>
    </w:div>
    <w:div w:id="223833784">
      <w:bodyDiv w:val="1"/>
      <w:marLeft w:val="0"/>
      <w:marRight w:val="0"/>
      <w:marTop w:val="0"/>
      <w:marBottom w:val="0"/>
      <w:divBdr>
        <w:top w:val="none" w:sz="0" w:space="0" w:color="auto"/>
        <w:left w:val="none" w:sz="0" w:space="0" w:color="auto"/>
        <w:bottom w:val="none" w:sz="0" w:space="0" w:color="auto"/>
        <w:right w:val="none" w:sz="0" w:space="0" w:color="auto"/>
      </w:divBdr>
    </w:div>
    <w:div w:id="245917501">
      <w:bodyDiv w:val="1"/>
      <w:marLeft w:val="0"/>
      <w:marRight w:val="0"/>
      <w:marTop w:val="0"/>
      <w:marBottom w:val="0"/>
      <w:divBdr>
        <w:top w:val="none" w:sz="0" w:space="0" w:color="auto"/>
        <w:left w:val="none" w:sz="0" w:space="0" w:color="auto"/>
        <w:bottom w:val="none" w:sz="0" w:space="0" w:color="auto"/>
        <w:right w:val="none" w:sz="0" w:space="0" w:color="auto"/>
      </w:divBdr>
    </w:div>
    <w:div w:id="279918562">
      <w:bodyDiv w:val="1"/>
      <w:marLeft w:val="0"/>
      <w:marRight w:val="0"/>
      <w:marTop w:val="0"/>
      <w:marBottom w:val="0"/>
      <w:divBdr>
        <w:top w:val="none" w:sz="0" w:space="0" w:color="auto"/>
        <w:left w:val="none" w:sz="0" w:space="0" w:color="auto"/>
        <w:bottom w:val="none" w:sz="0" w:space="0" w:color="auto"/>
        <w:right w:val="none" w:sz="0" w:space="0" w:color="auto"/>
      </w:divBdr>
    </w:div>
    <w:div w:id="298655291">
      <w:bodyDiv w:val="1"/>
      <w:marLeft w:val="0"/>
      <w:marRight w:val="0"/>
      <w:marTop w:val="0"/>
      <w:marBottom w:val="0"/>
      <w:divBdr>
        <w:top w:val="none" w:sz="0" w:space="0" w:color="auto"/>
        <w:left w:val="none" w:sz="0" w:space="0" w:color="auto"/>
        <w:bottom w:val="none" w:sz="0" w:space="0" w:color="auto"/>
        <w:right w:val="none" w:sz="0" w:space="0" w:color="auto"/>
      </w:divBdr>
    </w:div>
    <w:div w:id="309136235">
      <w:bodyDiv w:val="1"/>
      <w:marLeft w:val="0"/>
      <w:marRight w:val="0"/>
      <w:marTop w:val="0"/>
      <w:marBottom w:val="0"/>
      <w:divBdr>
        <w:top w:val="none" w:sz="0" w:space="0" w:color="auto"/>
        <w:left w:val="none" w:sz="0" w:space="0" w:color="auto"/>
        <w:bottom w:val="none" w:sz="0" w:space="0" w:color="auto"/>
        <w:right w:val="none" w:sz="0" w:space="0" w:color="auto"/>
      </w:divBdr>
    </w:div>
    <w:div w:id="317613221">
      <w:bodyDiv w:val="1"/>
      <w:marLeft w:val="0"/>
      <w:marRight w:val="0"/>
      <w:marTop w:val="0"/>
      <w:marBottom w:val="0"/>
      <w:divBdr>
        <w:top w:val="none" w:sz="0" w:space="0" w:color="auto"/>
        <w:left w:val="none" w:sz="0" w:space="0" w:color="auto"/>
        <w:bottom w:val="none" w:sz="0" w:space="0" w:color="auto"/>
        <w:right w:val="none" w:sz="0" w:space="0" w:color="auto"/>
      </w:divBdr>
    </w:div>
    <w:div w:id="403257533">
      <w:bodyDiv w:val="1"/>
      <w:marLeft w:val="0"/>
      <w:marRight w:val="0"/>
      <w:marTop w:val="0"/>
      <w:marBottom w:val="0"/>
      <w:divBdr>
        <w:top w:val="none" w:sz="0" w:space="0" w:color="auto"/>
        <w:left w:val="none" w:sz="0" w:space="0" w:color="auto"/>
        <w:bottom w:val="none" w:sz="0" w:space="0" w:color="auto"/>
        <w:right w:val="none" w:sz="0" w:space="0" w:color="auto"/>
      </w:divBdr>
    </w:div>
    <w:div w:id="404227653">
      <w:bodyDiv w:val="1"/>
      <w:marLeft w:val="0"/>
      <w:marRight w:val="0"/>
      <w:marTop w:val="0"/>
      <w:marBottom w:val="0"/>
      <w:divBdr>
        <w:top w:val="none" w:sz="0" w:space="0" w:color="auto"/>
        <w:left w:val="none" w:sz="0" w:space="0" w:color="auto"/>
        <w:bottom w:val="none" w:sz="0" w:space="0" w:color="auto"/>
        <w:right w:val="none" w:sz="0" w:space="0" w:color="auto"/>
      </w:divBdr>
    </w:div>
    <w:div w:id="467287409">
      <w:bodyDiv w:val="1"/>
      <w:marLeft w:val="0"/>
      <w:marRight w:val="0"/>
      <w:marTop w:val="0"/>
      <w:marBottom w:val="0"/>
      <w:divBdr>
        <w:top w:val="none" w:sz="0" w:space="0" w:color="auto"/>
        <w:left w:val="none" w:sz="0" w:space="0" w:color="auto"/>
        <w:bottom w:val="none" w:sz="0" w:space="0" w:color="auto"/>
        <w:right w:val="none" w:sz="0" w:space="0" w:color="auto"/>
      </w:divBdr>
    </w:div>
    <w:div w:id="477455451">
      <w:bodyDiv w:val="1"/>
      <w:marLeft w:val="0"/>
      <w:marRight w:val="0"/>
      <w:marTop w:val="0"/>
      <w:marBottom w:val="0"/>
      <w:divBdr>
        <w:top w:val="none" w:sz="0" w:space="0" w:color="auto"/>
        <w:left w:val="none" w:sz="0" w:space="0" w:color="auto"/>
        <w:bottom w:val="none" w:sz="0" w:space="0" w:color="auto"/>
        <w:right w:val="none" w:sz="0" w:space="0" w:color="auto"/>
      </w:divBdr>
    </w:div>
    <w:div w:id="515196053">
      <w:bodyDiv w:val="1"/>
      <w:marLeft w:val="0"/>
      <w:marRight w:val="0"/>
      <w:marTop w:val="0"/>
      <w:marBottom w:val="0"/>
      <w:divBdr>
        <w:top w:val="none" w:sz="0" w:space="0" w:color="auto"/>
        <w:left w:val="none" w:sz="0" w:space="0" w:color="auto"/>
        <w:bottom w:val="none" w:sz="0" w:space="0" w:color="auto"/>
        <w:right w:val="none" w:sz="0" w:space="0" w:color="auto"/>
      </w:divBdr>
    </w:div>
    <w:div w:id="515733005">
      <w:bodyDiv w:val="1"/>
      <w:marLeft w:val="0"/>
      <w:marRight w:val="0"/>
      <w:marTop w:val="0"/>
      <w:marBottom w:val="0"/>
      <w:divBdr>
        <w:top w:val="none" w:sz="0" w:space="0" w:color="auto"/>
        <w:left w:val="none" w:sz="0" w:space="0" w:color="auto"/>
        <w:bottom w:val="none" w:sz="0" w:space="0" w:color="auto"/>
        <w:right w:val="none" w:sz="0" w:space="0" w:color="auto"/>
      </w:divBdr>
    </w:div>
    <w:div w:id="522324543">
      <w:bodyDiv w:val="1"/>
      <w:marLeft w:val="0"/>
      <w:marRight w:val="0"/>
      <w:marTop w:val="0"/>
      <w:marBottom w:val="0"/>
      <w:divBdr>
        <w:top w:val="none" w:sz="0" w:space="0" w:color="auto"/>
        <w:left w:val="none" w:sz="0" w:space="0" w:color="auto"/>
        <w:bottom w:val="none" w:sz="0" w:space="0" w:color="auto"/>
        <w:right w:val="none" w:sz="0" w:space="0" w:color="auto"/>
      </w:divBdr>
    </w:div>
    <w:div w:id="547496755">
      <w:bodyDiv w:val="1"/>
      <w:marLeft w:val="0"/>
      <w:marRight w:val="0"/>
      <w:marTop w:val="0"/>
      <w:marBottom w:val="0"/>
      <w:divBdr>
        <w:top w:val="none" w:sz="0" w:space="0" w:color="auto"/>
        <w:left w:val="none" w:sz="0" w:space="0" w:color="auto"/>
        <w:bottom w:val="none" w:sz="0" w:space="0" w:color="auto"/>
        <w:right w:val="none" w:sz="0" w:space="0" w:color="auto"/>
      </w:divBdr>
    </w:div>
    <w:div w:id="555823983">
      <w:bodyDiv w:val="1"/>
      <w:marLeft w:val="0"/>
      <w:marRight w:val="0"/>
      <w:marTop w:val="0"/>
      <w:marBottom w:val="0"/>
      <w:divBdr>
        <w:top w:val="none" w:sz="0" w:space="0" w:color="auto"/>
        <w:left w:val="none" w:sz="0" w:space="0" w:color="auto"/>
        <w:bottom w:val="none" w:sz="0" w:space="0" w:color="auto"/>
        <w:right w:val="none" w:sz="0" w:space="0" w:color="auto"/>
      </w:divBdr>
    </w:div>
    <w:div w:id="560142780">
      <w:bodyDiv w:val="1"/>
      <w:marLeft w:val="0"/>
      <w:marRight w:val="0"/>
      <w:marTop w:val="0"/>
      <w:marBottom w:val="0"/>
      <w:divBdr>
        <w:top w:val="none" w:sz="0" w:space="0" w:color="auto"/>
        <w:left w:val="none" w:sz="0" w:space="0" w:color="auto"/>
        <w:bottom w:val="none" w:sz="0" w:space="0" w:color="auto"/>
        <w:right w:val="none" w:sz="0" w:space="0" w:color="auto"/>
      </w:divBdr>
    </w:div>
    <w:div w:id="614143474">
      <w:bodyDiv w:val="1"/>
      <w:marLeft w:val="0"/>
      <w:marRight w:val="0"/>
      <w:marTop w:val="0"/>
      <w:marBottom w:val="0"/>
      <w:divBdr>
        <w:top w:val="none" w:sz="0" w:space="0" w:color="auto"/>
        <w:left w:val="none" w:sz="0" w:space="0" w:color="auto"/>
        <w:bottom w:val="none" w:sz="0" w:space="0" w:color="auto"/>
        <w:right w:val="none" w:sz="0" w:space="0" w:color="auto"/>
      </w:divBdr>
    </w:div>
    <w:div w:id="648831336">
      <w:bodyDiv w:val="1"/>
      <w:marLeft w:val="0"/>
      <w:marRight w:val="0"/>
      <w:marTop w:val="0"/>
      <w:marBottom w:val="0"/>
      <w:divBdr>
        <w:top w:val="none" w:sz="0" w:space="0" w:color="auto"/>
        <w:left w:val="none" w:sz="0" w:space="0" w:color="auto"/>
        <w:bottom w:val="none" w:sz="0" w:space="0" w:color="auto"/>
        <w:right w:val="none" w:sz="0" w:space="0" w:color="auto"/>
      </w:divBdr>
    </w:div>
    <w:div w:id="654532304">
      <w:bodyDiv w:val="1"/>
      <w:marLeft w:val="0"/>
      <w:marRight w:val="0"/>
      <w:marTop w:val="0"/>
      <w:marBottom w:val="0"/>
      <w:divBdr>
        <w:top w:val="none" w:sz="0" w:space="0" w:color="auto"/>
        <w:left w:val="none" w:sz="0" w:space="0" w:color="auto"/>
        <w:bottom w:val="none" w:sz="0" w:space="0" w:color="auto"/>
        <w:right w:val="none" w:sz="0" w:space="0" w:color="auto"/>
      </w:divBdr>
    </w:div>
    <w:div w:id="659775541">
      <w:bodyDiv w:val="1"/>
      <w:marLeft w:val="0"/>
      <w:marRight w:val="0"/>
      <w:marTop w:val="0"/>
      <w:marBottom w:val="0"/>
      <w:divBdr>
        <w:top w:val="none" w:sz="0" w:space="0" w:color="auto"/>
        <w:left w:val="none" w:sz="0" w:space="0" w:color="auto"/>
        <w:bottom w:val="none" w:sz="0" w:space="0" w:color="auto"/>
        <w:right w:val="none" w:sz="0" w:space="0" w:color="auto"/>
      </w:divBdr>
    </w:div>
    <w:div w:id="716053633">
      <w:bodyDiv w:val="1"/>
      <w:marLeft w:val="0"/>
      <w:marRight w:val="0"/>
      <w:marTop w:val="0"/>
      <w:marBottom w:val="0"/>
      <w:divBdr>
        <w:top w:val="none" w:sz="0" w:space="0" w:color="auto"/>
        <w:left w:val="none" w:sz="0" w:space="0" w:color="auto"/>
        <w:bottom w:val="none" w:sz="0" w:space="0" w:color="auto"/>
        <w:right w:val="none" w:sz="0" w:space="0" w:color="auto"/>
      </w:divBdr>
    </w:div>
    <w:div w:id="726028282">
      <w:bodyDiv w:val="1"/>
      <w:marLeft w:val="0"/>
      <w:marRight w:val="0"/>
      <w:marTop w:val="0"/>
      <w:marBottom w:val="0"/>
      <w:divBdr>
        <w:top w:val="none" w:sz="0" w:space="0" w:color="auto"/>
        <w:left w:val="none" w:sz="0" w:space="0" w:color="auto"/>
        <w:bottom w:val="none" w:sz="0" w:space="0" w:color="auto"/>
        <w:right w:val="none" w:sz="0" w:space="0" w:color="auto"/>
      </w:divBdr>
    </w:div>
    <w:div w:id="728923305">
      <w:bodyDiv w:val="1"/>
      <w:marLeft w:val="0"/>
      <w:marRight w:val="0"/>
      <w:marTop w:val="0"/>
      <w:marBottom w:val="0"/>
      <w:divBdr>
        <w:top w:val="none" w:sz="0" w:space="0" w:color="auto"/>
        <w:left w:val="none" w:sz="0" w:space="0" w:color="auto"/>
        <w:bottom w:val="none" w:sz="0" w:space="0" w:color="auto"/>
        <w:right w:val="none" w:sz="0" w:space="0" w:color="auto"/>
      </w:divBdr>
    </w:div>
    <w:div w:id="740253856">
      <w:bodyDiv w:val="1"/>
      <w:marLeft w:val="0"/>
      <w:marRight w:val="0"/>
      <w:marTop w:val="0"/>
      <w:marBottom w:val="0"/>
      <w:divBdr>
        <w:top w:val="none" w:sz="0" w:space="0" w:color="auto"/>
        <w:left w:val="none" w:sz="0" w:space="0" w:color="auto"/>
        <w:bottom w:val="none" w:sz="0" w:space="0" w:color="auto"/>
        <w:right w:val="none" w:sz="0" w:space="0" w:color="auto"/>
      </w:divBdr>
    </w:div>
    <w:div w:id="787044007">
      <w:bodyDiv w:val="1"/>
      <w:marLeft w:val="0"/>
      <w:marRight w:val="0"/>
      <w:marTop w:val="0"/>
      <w:marBottom w:val="0"/>
      <w:divBdr>
        <w:top w:val="none" w:sz="0" w:space="0" w:color="auto"/>
        <w:left w:val="none" w:sz="0" w:space="0" w:color="auto"/>
        <w:bottom w:val="none" w:sz="0" w:space="0" w:color="auto"/>
        <w:right w:val="none" w:sz="0" w:space="0" w:color="auto"/>
      </w:divBdr>
    </w:div>
    <w:div w:id="801922199">
      <w:bodyDiv w:val="1"/>
      <w:marLeft w:val="0"/>
      <w:marRight w:val="0"/>
      <w:marTop w:val="0"/>
      <w:marBottom w:val="0"/>
      <w:divBdr>
        <w:top w:val="none" w:sz="0" w:space="0" w:color="auto"/>
        <w:left w:val="none" w:sz="0" w:space="0" w:color="auto"/>
        <w:bottom w:val="none" w:sz="0" w:space="0" w:color="auto"/>
        <w:right w:val="none" w:sz="0" w:space="0" w:color="auto"/>
      </w:divBdr>
    </w:div>
    <w:div w:id="837579538">
      <w:bodyDiv w:val="1"/>
      <w:marLeft w:val="0"/>
      <w:marRight w:val="0"/>
      <w:marTop w:val="0"/>
      <w:marBottom w:val="0"/>
      <w:divBdr>
        <w:top w:val="none" w:sz="0" w:space="0" w:color="auto"/>
        <w:left w:val="none" w:sz="0" w:space="0" w:color="auto"/>
        <w:bottom w:val="none" w:sz="0" w:space="0" w:color="auto"/>
        <w:right w:val="none" w:sz="0" w:space="0" w:color="auto"/>
      </w:divBdr>
    </w:div>
    <w:div w:id="857428012">
      <w:bodyDiv w:val="1"/>
      <w:marLeft w:val="0"/>
      <w:marRight w:val="0"/>
      <w:marTop w:val="0"/>
      <w:marBottom w:val="0"/>
      <w:divBdr>
        <w:top w:val="none" w:sz="0" w:space="0" w:color="auto"/>
        <w:left w:val="none" w:sz="0" w:space="0" w:color="auto"/>
        <w:bottom w:val="none" w:sz="0" w:space="0" w:color="auto"/>
        <w:right w:val="none" w:sz="0" w:space="0" w:color="auto"/>
      </w:divBdr>
    </w:div>
    <w:div w:id="875893924">
      <w:bodyDiv w:val="1"/>
      <w:marLeft w:val="0"/>
      <w:marRight w:val="0"/>
      <w:marTop w:val="0"/>
      <w:marBottom w:val="0"/>
      <w:divBdr>
        <w:top w:val="none" w:sz="0" w:space="0" w:color="auto"/>
        <w:left w:val="none" w:sz="0" w:space="0" w:color="auto"/>
        <w:bottom w:val="none" w:sz="0" w:space="0" w:color="auto"/>
        <w:right w:val="none" w:sz="0" w:space="0" w:color="auto"/>
      </w:divBdr>
    </w:div>
    <w:div w:id="884682291">
      <w:bodyDiv w:val="1"/>
      <w:marLeft w:val="0"/>
      <w:marRight w:val="0"/>
      <w:marTop w:val="0"/>
      <w:marBottom w:val="0"/>
      <w:divBdr>
        <w:top w:val="none" w:sz="0" w:space="0" w:color="auto"/>
        <w:left w:val="none" w:sz="0" w:space="0" w:color="auto"/>
        <w:bottom w:val="none" w:sz="0" w:space="0" w:color="auto"/>
        <w:right w:val="none" w:sz="0" w:space="0" w:color="auto"/>
      </w:divBdr>
    </w:div>
    <w:div w:id="890382078">
      <w:bodyDiv w:val="1"/>
      <w:marLeft w:val="0"/>
      <w:marRight w:val="0"/>
      <w:marTop w:val="0"/>
      <w:marBottom w:val="0"/>
      <w:divBdr>
        <w:top w:val="none" w:sz="0" w:space="0" w:color="auto"/>
        <w:left w:val="none" w:sz="0" w:space="0" w:color="auto"/>
        <w:bottom w:val="none" w:sz="0" w:space="0" w:color="auto"/>
        <w:right w:val="none" w:sz="0" w:space="0" w:color="auto"/>
      </w:divBdr>
    </w:div>
    <w:div w:id="925504336">
      <w:bodyDiv w:val="1"/>
      <w:marLeft w:val="0"/>
      <w:marRight w:val="0"/>
      <w:marTop w:val="0"/>
      <w:marBottom w:val="0"/>
      <w:divBdr>
        <w:top w:val="none" w:sz="0" w:space="0" w:color="auto"/>
        <w:left w:val="none" w:sz="0" w:space="0" w:color="auto"/>
        <w:bottom w:val="none" w:sz="0" w:space="0" w:color="auto"/>
        <w:right w:val="none" w:sz="0" w:space="0" w:color="auto"/>
      </w:divBdr>
    </w:div>
    <w:div w:id="938828004">
      <w:bodyDiv w:val="1"/>
      <w:marLeft w:val="0"/>
      <w:marRight w:val="0"/>
      <w:marTop w:val="0"/>
      <w:marBottom w:val="0"/>
      <w:divBdr>
        <w:top w:val="none" w:sz="0" w:space="0" w:color="auto"/>
        <w:left w:val="none" w:sz="0" w:space="0" w:color="auto"/>
        <w:bottom w:val="none" w:sz="0" w:space="0" w:color="auto"/>
        <w:right w:val="none" w:sz="0" w:space="0" w:color="auto"/>
      </w:divBdr>
    </w:div>
    <w:div w:id="945422766">
      <w:bodyDiv w:val="1"/>
      <w:marLeft w:val="0"/>
      <w:marRight w:val="0"/>
      <w:marTop w:val="0"/>
      <w:marBottom w:val="0"/>
      <w:divBdr>
        <w:top w:val="none" w:sz="0" w:space="0" w:color="auto"/>
        <w:left w:val="none" w:sz="0" w:space="0" w:color="auto"/>
        <w:bottom w:val="none" w:sz="0" w:space="0" w:color="auto"/>
        <w:right w:val="none" w:sz="0" w:space="0" w:color="auto"/>
      </w:divBdr>
    </w:div>
    <w:div w:id="979962122">
      <w:bodyDiv w:val="1"/>
      <w:marLeft w:val="0"/>
      <w:marRight w:val="0"/>
      <w:marTop w:val="0"/>
      <w:marBottom w:val="0"/>
      <w:divBdr>
        <w:top w:val="none" w:sz="0" w:space="0" w:color="auto"/>
        <w:left w:val="none" w:sz="0" w:space="0" w:color="auto"/>
        <w:bottom w:val="none" w:sz="0" w:space="0" w:color="auto"/>
        <w:right w:val="none" w:sz="0" w:space="0" w:color="auto"/>
      </w:divBdr>
    </w:div>
    <w:div w:id="1021980234">
      <w:bodyDiv w:val="1"/>
      <w:marLeft w:val="0"/>
      <w:marRight w:val="0"/>
      <w:marTop w:val="0"/>
      <w:marBottom w:val="0"/>
      <w:divBdr>
        <w:top w:val="none" w:sz="0" w:space="0" w:color="auto"/>
        <w:left w:val="none" w:sz="0" w:space="0" w:color="auto"/>
        <w:bottom w:val="none" w:sz="0" w:space="0" w:color="auto"/>
        <w:right w:val="none" w:sz="0" w:space="0" w:color="auto"/>
      </w:divBdr>
    </w:div>
    <w:div w:id="1028994973">
      <w:bodyDiv w:val="1"/>
      <w:marLeft w:val="0"/>
      <w:marRight w:val="0"/>
      <w:marTop w:val="0"/>
      <w:marBottom w:val="0"/>
      <w:divBdr>
        <w:top w:val="none" w:sz="0" w:space="0" w:color="auto"/>
        <w:left w:val="none" w:sz="0" w:space="0" w:color="auto"/>
        <w:bottom w:val="none" w:sz="0" w:space="0" w:color="auto"/>
        <w:right w:val="none" w:sz="0" w:space="0" w:color="auto"/>
      </w:divBdr>
    </w:div>
    <w:div w:id="1051462587">
      <w:bodyDiv w:val="1"/>
      <w:marLeft w:val="0"/>
      <w:marRight w:val="0"/>
      <w:marTop w:val="0"/>
      <w:marBottom w:val="0"/>
      <w:divBdr>
        <w:top w:val="none" w:sz="0" w:space="0" w:color="auto"/>
        <w:left w:val="none" w:sz="0" w:space="0" w:color="auto"/>
        <w:bottom w:val="none" w:sz="0" w:space="0" w:color="auto"/>
        <w:right w:val="none" w:sz="0" w:space="0" w:color="auto"/>
      </w:divBdr>
    </w:div>
    <w:div w:id="1052073287">
      <w:bodyDiv w:val="1"/>
      <w:marLeft w:val="0"/>
      <w:marRight w:val="0"/>
      <w:marTop w:val="0"/>
      <w:marBottom w:val="0"/>
      <w:divBdr>
        <w:top w:val="none" w:sz="0" w:space="0" w:color="auto"/>
        <w:left w:val="none" w:sz="0" w:space="0" w:color="auto"/>
        <w:bottom w:val="none" w:sz="0" w:space="0" w:color="auto"/>
        <w:right w:val="none" w:sz="0" w:space="0" w:color="auto"/>
      </w:divBdr>
    </w:div>
    <w:div w:id="1111901357">
      <w:bodyDiv w:val="1"/>
      <w:marLeft w:val="0"/>
      <w:marRight w:val="0"/>
      <w:marTop w:val="0"/>
      <w:marBottom w:val="0"/>
      <w:divBdr>
        <w:top w:val="none" w:sz="0" w:space="0" w:color="auto"/>
        <w:left w:val="none" w:sz="0" w:space="0" w:color="auto"/>
        <w:bottom w:val="none" w:sz="0" w:space="0" w:color="auto"/>
        <w:right w:val="none" w:sz="0" w:space="0" w:color="auto"/>
      </w:divBdr>
    </w:div>
    <w:div w:id="1114247905">
      <w:bodyDiv w:val="1"/>
      <w:marLeft w:val="0"/>
      <w:marRight w:val="0"/>
      <w:marTop w:val="0"/>
      <w:marBottom w:val="0"/>
      <w:divBdr>
        <w:top w:val="none" w:sz="0" w:space="0" w:color="auto"/>
        <w:left w:val="none" w:sz="0" w:space="0" w:color="auto"/>
        <w:bottom w:val="none" w:sz="0" w:space="0" w:color="auto"/>
        <w:right w:val="none" w:sz="0" w:space="0" w:color="auto"/>
      </w:divBdr>
    </w:div>
    <w:div w:id="1146236503">
      <w:bodyDiv w:val="1"/>
      <w:marLeft w:val="0"/>
      <w:marRight w:val="0"/>
      <w:marTop w:val="0"/>
      <w:marBottom w:val="0"/>
      <w:divBdr>
        <w:top w:val="none" w:sz="0" w:space="0" w:color="auto"/>
        <w:left w:val="none" w:sz="0" w:space="0" w:color="auto"/>
        <w:bottom w:val="none" w:sz="0" w:space="0" w:color="auto"/>
        <w:right w:val="none" w:sz="0" w:space="0" w:color="auto"/>
      </w:divBdr>
    </w:div>
    <w:div w:id="1146704769">
      <w:bodyDiv w:val="1"/>
      <w:marLeft w:val="0"/>
      <w:marRight w:val="0"/>
      <w:marTop w:val="0"/>
      <w:marBottom w:val="0"/>
      <w:divBdr>
        <w:top w:val="none" w:sz="0" w:space="0" w:color="auto"/>
        <w:left w:val="none" w:sz="0" w:space="0" w:color="auto"/>
        <w:bottom w:val="none" w:sz="0" w:space="0" w:color="auto"/>
        <w:right w:val="none" w:sz="0" w:space="0" w:color="auto"/>
      </w:divBdr>
    </w:div>
    <w:div w:id="1227490871">
      <w:bodyDiv w:val="1"/>
      <w:marLeft w:val="0"/>
      <w:marRight w:val="0"/>
      <w:marTop w:val="0"/>
      <w:marBottom w:val="0"/>
      <w:divBdr>
        <w:top w:val="none" w:sz="0" w:space="0" w:color="auto"/>
        <w:left w:val="none" w:sz="0" w:space="0" w:color="auto"/>
        <w:bottom w:val="none" w:sz="0" w:space="0" w:color="auto"/>
        <w:right w:val="none" w:sz="0" w:space="0" w:color="auto"/>
      </w:divBdr>
    </w:div>
    <w:div w:id="1267613759">
      <w:bodyDiv w:val="1"/>
      <w:marLeft w:val="0"/>
      <w:marRight w:val="0"/>
      <w:marTop w:val="0"/>
      <w:marBottom w:val="0"/>
      <w:divBdr>
        <w:top w:val="none" w:sz="0" w:space="0" w:color="auto"/>
        <w:left w:val="none" w:sz="0" w:space="0" w:color="auto"/>
        <w:bottom w:val="none" w:sz="0" w:space="0" w:color="auto"/>
        <w:right w:val="none" w:sz="0" w:space="0" w:color="auto"/>
      </w:divBdr>
    </w:div>
    <w:div w:id="1340279304">
      <w:bodyDiv w:val="1"/>
      <w:marLeft w:val="0"/>
      <w:marRight w:val="0"/>
      <w:marTop w:val="0"/>
      <w:marBottom w:val="0"/>
      <w:divBdr>
        <w:top w:val="none" w:sz="0" w:space="0" w:color="auto"/>
        <w:left w:val="none" w:sz="0" w:space="0" w:color="auto"/>
        <w:bottom w:val="none" w:sz="0" w:space="0" w:color="auto"/>
        <w:right w:val="none" w:sz="0" w:space="0" w:color="auto"/>
      </w:divBdr>
    </w:div>
    <w:div w:id="1372803779">
      <w:bodyDiv w:val="1"/>
      <w:marLeft w:val="0"/>
      <w:marRight w:val="0"/>
      <w:marTop w:val="0"/>
      <w:marBottom w:val="0"/>
      <w:divBdr>
        <w:top w:val="none" w:sz="0" w:space="0" w:color="auto"/>
        <w:left w:val="none" w:sz="0" w:space="0" w:color="auto"/>
        <w:bottom w:val="none" w:sz="0" w:space="0" w:color="auto"/>
        <w:right w:val="none" w:sz="0" w:space="0" w:color="auto"/>
      </w:divBdr>
    </w:div>
    <w:div w:id="1497499479">
      <w:bodyDiv w:val="1"/>
      <w:marLeft w:val="0"/>
      <w:marRight w:val="0"/>
      <w:marTop w:val="0"/>
      <w:marBottom w:val="0"/>
      <w:divBdr>
        <w:top w:val="none" w:sz="0" w:space="0" w:color="auto"/>
        <w:left w:val="none" w:sz="0" w:space="0" w:color="auto"/>
        <w:bottom w:val="none" w:sz="0" w:space="0" w:color="auto"/>
        <w:right w:val="none" w:sz="0" w:space="0" w:color="auto"/>
      </w:divBdr>
    </w:div>
    <w:div w:id="1499731033">
      <w:bodyDiv w:val="1"/>
      <w:marLeft w:val="0"/>
      <w:marRight w:val="0"/>
      <w:marTop w:val="0"/>
      <w:marBottom w:val="0"/>
      <w:divBdr>
        <w:top w:val="none" w:sz="0" w:space="0" w:color="auto"/>
        <w:left w:val="none" w:sz="0" w:space="0" w:color="auto"/>
        <w:bottom w:val="none" w:sz="0" w:space="0" w:color="auto"/>
        <w:right w:val="none" w:sz="0" w:space="0" w:color="auto"/>
      </w:divBdr>
    </w:div>
    <w:div w:id="1502504306">
      <w:bodyDiv w:val="1"/>
      <w:marLeft w:val="0"/>
      <w:marRight w:val="0"/>
      <w:marTop w:val="0"/>
      <w:marBottom w:val="0"/>
      <w:divBdr>
        <w:top w:val="none" w:sz="0" w:space="0" w:color="auto"/>
        <w:left w:val="none" w:sz="0" w:space="0" w:color="auto"/>
        <w:bottom w:val="none" w:sz="0" w:space="0" w:color="auto"/>
        <w:right w:val="none" w:sz="0" w:space="0" w:color="auto"/>
      </w:divBdr>
    </w:div>
    <w:div w:id="1656492241">
      <w:bodyDiv w:val="1"/>
      <w:marLeft w:val="0"/>
      <w:marRight w:val="0"/>
      <w:marTop w:val="0"/>
      <w:marBottom w:val="0"/>
      <w:divBdr>
        <w:top w:val="none" w:sz="0" w:space="0" w:color="auto"/>
        <w:left w:val="none" w:sz="0" w:space="0" w:color="auto"/>
        <w:bottom w:val="none" w:sz="0" w:space="0" w:color="auto"/>
        <w:right w:val="none" w:sz="0" w:space="0" w:color="auto"/>
      </w:divBdr>
    </w:div>
    <w:div w:id="1656497012">
      <w:bodyDiv w:val="1"/>
      <w:marLeft w:val="0"/>
      <w:marRight w:val="0"/>
      <w:marTop w:val="0"/>
      <w:marBottom w:val="0"/>
      <w:divBdr>
        <w:top w:val="none" w:sz="0" w:space="0" w:color="auto"/>
        <w:left w:val="none" w:sz="0" w:space="0" w:color="auto"/>
        <w:bottom w:val="none" w:sz="0" w:space="0" w:color="auto"/>
        <w:right w:val="none" w:sz="0" w:space="0" w:color="auto"/>
      </w:divBdr>
    </w:div>
    <w:div w:id="1673292464">
      <w:bodyDiv w:val="1"/>
      <w:marLeft w:val="0"/>
      <w:marRight w:val="0"/>
      <w:marTop w:val="0"/>
      <w:marBottom w:val="0"/>
      <w:divBdr>
        <w:top w:val="none" w:sz="0" w:space="0" w:color="auto"/>
        <w:left w:val="none" w:sz="0" w:space="0" w:color="auto"/>
        <w:bottom w:val="none" w:sz="0" w:space="0" w:color="auto"/>
        <w:right w:val="none" w:sz="0" w:space="0" w:color="auto"/>
      </w:divBdr>
    </w:div>
    <w:div w:id="1705668558">
      <w:bodyDiv w:val="1"/>
      <w:marLeft w:val="0"/>
      <w:marRight w:val="0"/>
      <w:marTop w:val="0"/>
      <w:marBottom w:val="0"/>
      <w:divBdr>
        <w:top w:val="none" w:sz="0" w:space="0" w:color="auto"/>
        <w:left w:val="none" w:sz="0" w:space="0" w:color="auto"/>
        <w:bottom w:val="none" w:sz="0" w:space="0" w:color="auto"/>
        <w:right w:val="none" w:sz="0" w:space="0" w:color="auto"/>
      </w:divBdr>
    </w:div>
    <w:div w:id="1712263307">
      <w:bodyDiv w:val="1"/>
      <w:marLeft w:val="0"/>
      <w:marRight w:val="0"/>
      <w:marTop w:val="0"/>
      <w:marBottom w:val="0"/>
      <w:divBdr>
        <w:top w:val="none" w:sz="0" w:space="0" w:color="auto"/>
        <w:left w:val="none" w:sz="0" w:space="0" w:color="auto"/>
        <w:bottom w:val="none" w:sz="0" w:space="0" w:color="auto"/>
        <w:right w:val="none" w:sz="0" w:space="0" w:color="auto"/>
      </w:divBdr>
    </w:div>
    <w:div w:id="1732382396">
      <w:bodyDiv w:val="1"/>
      <w:marLeft w:val="0"/>
      <w:marRight w:val="0"/>
      <w:marTop w:val="0"/>
      <w:marBottom w:val="0"/>
      <w:divBdr>
        <w:top w:val="none" w:sz="0" w:space="0" w:color="auto"/>
        <w:left w:val="none" w:sz="0" w:space="0" w:color="auto"/>
        <w:bottom w:val="none" w:sz="0" w:space="0" w:color="auto"/>
        <w:right w:val="none" w:sz="0" w:space="0" w:color="auto"/>
      </w:divBdr>
    </w:div>
    <w:div w:id="1735739082">
      <w:bodyDiv w:val="1"/>
      <w:marLeft w:val="0"/>
      <w:marRight w:val="0"/>
      <w:marTop w:val="0"/>
      <w:marBottom w:val="0"/>
      <w:divBdr>
        <w:top w:val="none" w:sz="0" w:space="0" w:color="auto"/>
        <w:left w:val="none" w:sz="0" w:space="0" w:color="auto"/>
        <w:bottom w:val="none" w:sz="0" w:space="0" w:color="auto"/>
        <w:right w:val="none" w:sz="0" w:space="0" w:color="auto"/>
      </w:divBdr>
    </w:div>
    <w:div w:id="1746489856">
      <w:bodyDiv w:val="1"/>
      <w:marLeft w:val="0"/>
      <w:marRight w:val="0"/>
      <w:marTop w:val="0"/>
      <w:marBottom w:val="0"/>
      <w:divBdr>
        <w:top w:val="none" w:sz="0" w:space="0" w:color="auto"/>
        <w:left w:val="none" w:sz="0" w:space="0" w:color="auto"/>
        <w:bottom w:val="none" w:sz="0" w:space="0" w:color="auto"/>
        <w:right w:val="none" w:sz="0" w:space="0" w:color="auto"/>
      </w:divBdr>
    </w:div>
    <w:div w:id="1757441366">
      <w:bodyDiv w:val="1"/>
      <w:marLeft w:val="0"/>
      <w:marRight w:val="0"/>
      <w:marTop w:val="0"/>
      <w:marBottom w:val="0"/>
      <w:divBdr>
        <w:top w:val="none" w:sz="0" w:space="0" w:color="auto"/>
        <w:left w:val="none" w:sz="0" w:space="0" w:color="auto"/>
        <w:bottom w:val="none" w:sz="0" w:space="0" w:color="auto"/>
        <w:right w:val="none" w:sz="0" w:space="0" w:color="auto"/>
      </w:divBdr>
    </w:div>
    <w:div w:id="1783264959">
      <w:bodyDiv w:val="1"/>
      <w:marLeft w:val="0"/>
      <w:marRight w:val="0"/>
      <w:marTop w:val="0"/>
      <w:marBottom w:val="0"/>
      <w:divBdr>
        <w:top w:val="none" w:sz="0" w:space="0" w:color="auto"/>
        <w:left w:val="none" w:sz="0" w:space="0" w:color="auto"/>
        <w:bottom w:val="none" w:sz="0" w:space="0" w:color="auto"/>
        <w:right w:val="none" w:sz="0" w:space="0" w:color="auto"/>
      </w:divBdr>
    </w:div>
    <w:div w:id="1831947324">
      <w:bodyDiv w:val="1"/>
      <w:marLeft w:val="0"/>
      <w:marRight w:val="0"/>
      <w:marTop w:val="0"/>
      <w:marBottom w:val="0"/>
      <w:divBdr>
        <w:top w:val="none" w:sz="0" w:space="0" w:color="auto"/>
        <w:left w:val="none" w:sz="0" w:space="0" w:color="auto"/>
        <w:bottom w:val="none" w:sz="0" w:space="0" w:color="auto"/>
        <w:right w:val="none" w:sz="0" w:space="0" w:color="auto"/>
      </w:divBdr>
      <w:divsChild>
        <w:div w:id="1331908279">
          <w:marLeft w:val="0"/>
          <w:marRight w:val="0"/>
          <w:marTop w:val="34"/>
          <w:marBottom w:val="34"/>
          <w:divBdr>
            <w:top w:val="none" w:sz="0" w:space="0" w:color="auto"/>
            <w:left w:val="none" w:sz="0" w:space="0" w:color="auto"/>
            <w:bottom w:val="none" w:sz="0" w:space="0" w:color="auto"/>
            <w:right w:val="none" w:sz="0" w:space="0" w:color="auto"/>
          </w:divBdr>
        </w:div>
      </w:divsChild>
    </w:div>
    <w:div w:id="1834492274">
      <w:bodyDiv w:val="1"/>
      <w:marLeft w:val="0"/>
      <w:marRight w:val="0"/>
      <w:marTop w:val="0"/>
      <w:marBottom w:val="0"/>
      <w:divBdr>
        <w:top w:val="none" w:sz="0" w:space="0" w:color="auto"/>
        <w:left w:val="none" w:sz="0" w:space="0" w:color="auto"/>
        <w:bottom w:val="none" w:sz="0" w:space="0" w:color="auto"/>
        <w:right w:val="none" w:sz="0" w:space="0" w:color="auto"/>
      </w:divBdr>
    </w:div>
    <w:div w:id="1838226690">
      <w:bodyDiv w:val="1"/>
      <w:marLeft w:val="0"/>
      <w:marRight w:val="0"/>
      <w:marTop w:val="0"/>
      <w:marBottom w:val="0"/>
      <w:divBdr>
        <w:top w:val="none" w:sz="0" w:space="0" w:color="auto"/>
        <w:left w:val="none" w:sz="0" w:space="0" w:color="auto"/>
        <w:bottom w:val="none" w:sz="0" w:space="0" w:color="auto"/>
        <w:right w:val="none" w:sz="0" w:space="0" w:color="auto"/>
      </w:divBdr>
    </w:div>
    <w:div w:id="1848136210">
      <w:bodyDiv w:val="1"/>
      <w:marLeft w:val="0"/>
      <w:marRight w:val="0"/>
      <w:marTop w:val="0"/>
      <w:marBottom w:val="0"/>
      <w:divBdr>
        <w:top w:val="none" w:sz="0" w:space="0" w:color="auto"/>
        <w:left w:val="none" w:sz="0" w:space="0" w:color="auto"/>
        <w:bottom w:val="none" w:sz="0" w:space="0" w:color="auto"/>
        <w:right w:val="none" w:sz="0" w:space="0" w:color="auto"/>
      </w:divBdr>
    </w:div>
    <w:div w:id="1852838853">
      <w:bodyDiv w:val="1"/>
      <w:marLeft w:val="0"/>
      <w:marRight w:val="0"/>
      <w:marTop w:val="0"/>
      <w:marBottom w:val="0"/>
      <w:divBdr>
        <w:top w:val="none" w:sz="0" w:space="0" w:color="auto"/>
        <w:left w:val="none" w:sz="0" w:space="0" w:color="auto"/>
        <w:bottom w:val="none" w:sz="0" w:space="0" w:color="auto"/>
        <w:right w:val="none" w:sz="0" w:space="0" w:color="auto"/>
      </w:divBdr>
    </w:div>
    <w:div w:id="1868325478">
      <w:bodyDiv w:val="1"/>
      <w:marLeft w:val="0"/>
      <w:marRight w:val="0"/>
      <w:marTop w:val="0"/>
      <w:marBottom w:val="0"/>
      <w:divBdr>
        <w:top w:val="none" w:sz="0" w:space="0" w:color="auto"/>
        <w:left w:val="none" w:sz="0" w:space="0" w:color="auto"/>
        <w:bottom w:val="none" w:sz="0" w:space="0" w:color="auto"/>
        <w:right w:val="none" w:sz="0" w:space="0" w:color="auto"/>
      </w:divBdr>
    </w:div>
    <w:div w:id="1871066863">
      <w:bodyDiv w:val="1"/>
      <w:marLeft w:val="0"/>
      <w:marRight w:val="0"/>
      <w:marTop w:val="0"/>
      <w:marBottom w:val="0"/>
      <w:divBdr>
        <w:top w:val="none" w:sz="0" w:space="0" w:color="auto"/>
        <w:left w:val="none" w:sz="0" w:space="0" w:color="auto"/>
        <w:bottom w:val="none" w:sz="0" w:space="0" w:color="auto"/>
        <w:right w:val="none" w:sz="0" w:space="0" w:color="auto"/>
      </w:divBdr>
    </w:div>
    <w:div w:id="1872760844">
      <w:bodyDiv w:val="1"/>
      <w:marLeft w:val="0"/>
      <w:marRight w:val="0"/>
      <w:marTop w:val="0"/>
      <w:marBottom w:val="0"/>
      <w:divBdr>
        <w:top w:val="none" w:sz="0" w:space="0" w:color="auto"/>
        <w:left w:val="none" w:sz="0" w:space="0" w:color="auto"/>
        <w:bottom w:val="none" w:sz="0" w:space="0" w:color="auto"/>
        <w:right w:val="none" w:sz="0" w:space="0" w:color="auto"/>
      </w:divBdr>
    </w:div>
    <w:div w:id="1878658701">
      <w:bodyDiv w:val="1"/>
      <w:marLeft w:val="0"/>
      <w:marRight w:val="0"/>
      <w:marTop w:val="0"/>
      <w:marBottom w:val="0"/>
      <w:divBdr>
        <w:top w:val="none" w:sz="0" w:space="0" w:color="auto"/>
        <w:left w:val="none" w:sz="0" w:space="0" w:color="auto"/>
        <w:bottom w:val="none" w:sz="0" w:space="0" w:color="auto"/>
        <w:right w:val="none" w:sz="0" w:space="0" w:color="auto"/>
      </w:divBdr>
    </w:div>
    <w:div w:id="1927691216">
      <w:bodyDiv w:val="1"/>
      <w:marLeft w:val="0"/>
      <w:marRight w:val="0"/>
      <w:marTop w:val="0"/>
      <w:marBottom w:val="0"/>
      <w:divBdr>
        <w:top w:val="none" w:sz="0" w:space="0" w:color="auto"/>
        <w:left w:val="none" w:sz="0" w:space="0" w:color="auto"/>
        <w:bottom w:val="none" w:sz="0" w:space="0" w:color="auto"/>
        <w:right w:val="none" w:sz="0" w:space="0" w:color="auto"/>
      </w:divBdr>
    </w:div>
    <w:div w:id="1931769003">
      <w:bodyDiv w:val="1"/>
      <w:marLeft w:val="0"/>
      <w:marRight w:val="0"/>
      <w:marTop w:val="0"/>
      <w:marBottom w:val="0"/>
      <w:divBdr>
        <w:top w:val="none" w:sz="0" w:space="0" w:color="auto"/>
        <w:left w:val="none" w:sz="0" w:space="0" w:color="auto"/>
        <w:bottom w:val="none" w:sz="0" w:space="0" w:color="auto"/>
        <w:right w:val="none" w:sz="0" w:space="0" w:color="auto"/>
      </w:divBdr>
    </w:div>
    <w:div w:id="2049792651">
      <w:bodyDiv w:val="1"/>
      <w:marLeft w:val="0"/>
      <w:marRight w:val="0"/>
      <w:marTop w:val="0"/>
      <w:marBottom w:val="0"/>
      <w:divBdr>
        <w:top w:val="none" w:sz="0" w:space="0" w:color="auto"/>
        <w:left w:val="none" w:sz="0" w:space="0" w:color="auto"/>
        <w:bottom w:val="none" w:sz="0" w:space="0" w:color="auto"/>
        <w:right w:val="none" w:sz="0" w:space="0" w:color="auto"/>
      </w:divBdr>
    </w:div>
    <w:div w:id="2059359714">
      <w:bodyDiv w:val="1"/>
      <w:marLeft w:val="0"/>
      <w:marRight w:val="0"/>
      <w:marTop w:val="0"/>
      <w:marBottom w:val="0"/>
      <w:divBdr>
        <w:top w:val="none" w:sz="0" w:space="0" w:color="auto"/>
        <w:left w:val="none" w:sz="0" w:space="0" w:color="auto"/>
        <w:bottom w:val="none" w:sz="0" w:space="0" w:color="auto"/>
        <w:right w:val="none" w:sz="0" w:space="0" w:color="auto"/>
      </w:divBdr>
    </w:div>
    <w:div w:id="211674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term=Schwarzenbach%20H%5BAuthor%5D&amp;cauthor=true&amp;cauthor_uid=19188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Deligezer%20U%5BAuthor%5D&amp;cauthor=true&amp;cauthor_uid=20573596"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A808F-7886-4E7F-898C-4073FCED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17397</Words>
  <Characters>99165</Characters>
  <Application>Microsoft Office Word</Application>
  <DocSecurity>0</DocSecurity>
  <Lines>826</Lines>
  <Paragraphs>232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2020-03-04T16:01:00Z</cp:lastPrinted>
  <dcterms:created xsi:type="dcterms:W3CDTF">2020-06-04T08:25:00Z</dcterms:created>
  <dcterms:modified xsi:type="dcterms:W3CDTF">2020-06-08T10:44:00Z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4b695b3a-a365-366e-9a3a-6e61670bdb60</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http://www.zotero.org/styles/annals-of-oncology</vt:lpwstr>
  </property>
  <property fmtid="{D5CDD505-2E9C-101B-9397-08002B2CF9AE}" pid="12" name="Mendeley Recent Style Name 3_1">
    <vt:lpwstr>Annals of Oncology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