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418" w:rsidRDefault="008E666C">
      <w:pPr>
        <w:snapToGrid w:val="0"/>
        <w:spacing w:line="360" w:lineRule="auto"/>
        <w:rPr>
          <w:rStyle w:val="NormalCharacter"/>
          <w:rFonts w:ascii="Book Antiqua" w:eastAsia="Times New Roman" w:hAnsi="Book Antiqua"/>
          <w:b/>
          <w:i/>
          <w:sz w:val="24"/>
        </w:rPr>
      </w:pPr>
      <w:r>
        <w:rPr>
          <w:rStyle w:val="NormalCharacter"/>
          <w:rFonts w:ascii="Book Antiqua" w:eastAsia="Times New Roman" w:hAnsi="Book Antiqua"/>
          <w:b/>
          <w:sz w:val="24"/>
        </w:rPr>
        <w:t xml:space="preserve">Name of Journal: </w:t>
      </w:r>
      <w:r>
        <w:rPr>
          <w:rStyle w:val="NormalCharacter"/>
          <w:rFonts w:ascii="Book Antiqua" w:eastAsia="Times New Roman" w:hAnsi="Book Antiqua"/>
          <w:i/>
          <w:sz w:val="24"/>
        </w:rPr>
        <w:t>World Journal of Clinical Cases</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eastAsia="Times New Roman" w:hAnsi="Book Antiqua" w:cs="Times New Roman"/>
          <w:b/>
          <w:bCs/>
          <w:sz w:val="24"/>
        </w:rPr>
        <w:t>Manuscript NO</w:t>
      </w:r>
      <w:r>
        <w:rPr>
          <w:rStyle w:val="NormalCharacter"/>
          <w:rFonts w:ascii="Book Antiqua" w:hAnsi="Book Antiqua"/>
          <w:b/>
          <w:sz w:val="24"/>
        </w:rPr>
        <w:t xml:space="preserve">: </w:t>
      </w:r>
      <w:r>
        <w:rPr>
          <w:rStyle w:val="NormalCharacter"/>
          <w:rFonts w:ascii="Book Antiqua" w:hAnsi="Book Antiqua" w:cs="Arial"/>
          <w:bCs/>
          <w:sz w:val="24"/>
        </w:rPr>
        <w:t>55285</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Manuscript Type: </w:t>
      </w:r>
      <w:r>
        <w:rPr>
          <w:rStyle w:val="NormalCharacter"/>
          <w:rFonts w:ascii="Book Antiqua" w:hAnsi="Book Antiqua"/>
          <w:sz w:val="24"/>
        </w:rPr>
        <w:t>CASE REPORT</w:t>
      </w:r>
    </w:p>
    <w:p w:rsidR="00CF1418" w:rsidRDefault="00CF1418">
      <w:pPr>
        <w:snapToGrid w:val="0"/>
        <w:spacing w:line="360" w:lineRule="auto"/>
        <w:rPr>
          <w:rStyle w:val="NormalCharacter"/>
          <w:rFonts w:ascii="Book Antiqua" w:hAnsi="Book Antiqua"/>
          <w:b/>
          <w:sz w:val="24"/>
        </w:rPr>
      </w:pP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t>Laparoscopic repair of uterine rupture following successful second vaginal birth after caesarean delivery: A case report</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proofErr w:type="spellStart"/>
      <w:r>
        <w:rPr>
          <w:rStyle w:val="NormalCharacter"/>
          <w:rFonts w:ascii="Book Antiqua" w:hAnsi="Book Antiqua"/>
          <w:color w:val="000000"/>
          <w:sz w:val="24"/>
          <w:lang w:val="en-GB"/>
        </w:rPr>
        <w:t>Cai</w:t>
      </w:r>
      <w:proofErr w:type="spellEnd"/>
      <w:r>
        <w:rPr>
          <w:rStyle w:val="NormalCharacter"/>
          <w:rFonts w:ascii="Book Antiqua" w:hAnsi="Book Antiqua"/>
          <w:color w:val="000000"/>
          <w:sz w:val="24"/>
          <w:lang w:val="en-GB"/>
        </w:rPr>
        <w:t xml:space="preserve"> YQ </w:t>
      </w:r>
      <w:r>
        <w:rPr>
          <w:rStyle w:val="NormalCharacter"/>
          <w:rFonts w:ascii="Book Antiqua" w:hAnsi="Book Antiqua"/>
          <w:i/>
          <w:iCs/>
          <w:color w:val="000000"/>
          <w:sz w:val="24"/>
          <w:lang w:val="en-GB"/>
        </w:rPr>
        <w:t>et al</w:t>
      </w:r>
      <w:r>
        <w:rPr>
          <w:rStyle w:val="NormalCharacter"/>
          <w:rFonts w:ascii="Book Antiqua" w:hAnsi="Book Antiqua"/>
          <w:color w:val="000000"/>
          <w:sz w:val="24"/>
          <w:lang w:val="en-GB"/>
        </w:rPr>
        <w:t>. Laparoscopic repair of uterine rupture</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Yan-</w:t>
      </w:r>
      <w:r>
        <w:rPr>
          <w:rStyle w:val="NormalCharacter"/>
          <w:rFonts w:ascii="Book Antiqua" w:hAnsi="Book Antiqua"/>
          <w:color w:val="000000"/>
          <w:sz w:val="24"/>
        </w:rPr>
        <w:t>Q</w:t>
      </w:r>
      <w:proofErr w:type="spellStart"/>
      <w:r>
        <w:rPr>
          <w:rStyle w:val="NormalCharacter"/>
          <w:rFonts w:ascii="Book Antiqua" w:hAnsi="Book Antiqua"/>
          <w:color w:val="000000"/>
          <w:sz w:val="24"/>
          <w:lang w:val="en-GB"/>
        </w:rPr>
        <w:t>ing</w:t>
      </w:r>
      <w:proofErr w:type="spellEnd"/>
      <w:r>
        <w:rPr>
          <w:rStyle w:val="NormalCharacter"/>
          <w:rFonts w:ascii="Book Antiqua" w:hAnsi="Book Antiqua"/>
          <w:color w:val="000000"/>
          <w:sz w:val="24"/>
          <w:lang w:val="en-GB"/>
        </w:rPr>
        <w:t xml:space="preserve"> </w:t>
      </w:r>
      <w:proofErr w:type="spellStart"/>
      <w:proofErr w:type="gramStart"/>
      <w:r>
        <w:rPr>
          <w:rStyle w:val="NormalCharacter"/>
          <w:rFonts w:ascii="Book Antiqua" w:hAnsi="Book Antiqua"/>
          <w:color w:val="000000"/>
          <w:sz w:val="24"/>
          <w:lang w:val="en-GB"/>
        </w:rPr>
        <w:t>Cai</w:t>
      </w:r>
      <w:proofErr w:type="spellEnd"/>
      <w:proofErr w:type="gramEnd"/>
      <w:r>
        <w:rPr>
          <w:rStyle w:val="NormalCharacter"/>
          <w:rFonts w:ascii="Book Antiqua" w:hAnsi="Book Antiqua"/>
          <w:color w:val="000000"/>
          <w:sz w:val="24"/>
          <w:lang w:val="en-GB"/>
        </w:rPr>
        <w:t>, Wei Liu, Hong Zhang, Xiao-Qing He, Jian Zhang</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r>
        <w:rPr>
          <w:rStyle w:val="NormalCharacter"/>
          <w:rFonts w:ascii="Book Antiqua" w:hAnsi="Book Antiqua" w:cs="Times New Roman"/>
          <w:b/>
          <w:bCs/>
          <w:color w:val="000000"/>
          <w:sz w:val="24"/>
          <w:lang w:val="en-GB"/>
        </w:rPr>
        <w:t>Cai</w:t>
      </w:r>
      <w:proofErr w:type="spell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Department of Obstetrics and </w:t>
      </w:r>
      <w:proofErr w:type="spellStart"/>
      <w:r>
        <w:rPr>
          <w:rStyle w:val="NormalCharacter"/>
          <w:rFonts w:ascii="Book Antiqua" w:hAnsi="Book Antiqua"/>
          <w:color w:val="000000"/>
          <w:sz w:val="24"/>
          <w:lang w:val="en-GB"/>
        </w:rPr>
        <w:t>Gynecology</w:t>
      </w:r>
      <w:proofErr w:type="spellEnd"/>
      <w:r>
        <w:rPr>
          <w:rStyle w:val="NormalCharacter"/>
          <w:rFonts w:ascii="Book Antiqua" w:hAnsi="Book Antiqua"/>
          <w:color w:val="000000"/>
          <w:sz w:val="24"/>
          <w:lang w:val="en-GB"/>
        </w:rPr>
        <w:t>, International Peace Maternity and Child Health Hospital, School of Medicine, Shanghai Jiao Tong University,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proofErr w:type="gramStart"/>
      <w:r>
        <w:rPr>
          <w:rStyle w:val="NormalCharacter"/>
          <w:rFonts w:ascii="Book Antiqua" w:hAnsi="Book Antiqua" w:cs="Times New Roman"/>
          <w:b/>
          <w:bCs/>
          <w:color w:val="000000"/>
          <w:sz w:val="24"/>
          <w:lang w:val="en-GB"/>
        </w:rPr>
        <w:t>Cai</w:t>
      </w:r>
      <w:proofErr w:type="spellEnd"/>
      <w:proofErr w:type="gram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Shanghai Key Laboratory of Embryo Original Diseases,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proofErr w:type="gramStart"/>
      <w:r>
        <w:rPr>
          <w:rStyle w:val="NormalCharacter"/>
          <w:rFonts w:ascii="Book Antiqua" w:hAnsi="Book Antiqua" w:cs="Times New Roman"/>
          <w:b/>
          <w:bCs/>
          <w:color w:val="000000"/>
          <w:sz w:val="24"/>
          <w:lang w:val="en-GB"/>
        </w:rPr>
        <w:t>Cai</w:t>
      </w:r>
      <w:proofErr w:type="spellEnd"/>
      <w:proofErr w:type="gram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Shanghai Municipal Key Clinical Specialty,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b/>
          <w:sz w:val="24"/>
          <w:lang w:val="en-GB"/>
        </w:rPr>
        <w:t xml:space="preserve">Author contributions: </w:t>
      </w:r>
      <w:r>
        <w:rPr>
          <w:rStyle w:val="NormalCharacter"/>
          <w:rFonts w:ascii="Book Antiqua" w:hAnsi="Book Antiqua"/>
          <w:color w:val="000000"/>
          <w:sz w:val="24"/>
          <w:lang w:val="en-GB"/>
        </w:rPr>
        <w:t xml:space="preserve">Zhang J conceived of the study, participated in the surgery, supervised the study, and critically revised the manuscript; </w:t>
      </w:r>
      <w:proofErr w:type="spellStart"/>
      <w:r>
        <w:rPr>
          <w:rStyle w:val="NormalCharacter"/>
          <w:rFonts w:ascii="Book Antiqua" w:hAnsi="Book Antiqua"/>
          <w:color w:val="000000"/>
          <w:sz w:val="24"/>
          <w:lang w:val="en-GB"/>
        </w:rPr>
        <w:t>Cai</w:t>
      </w:r>
      <w:proofErr w:type="spellEnd"/>
      <w:r>
        <w:rPr>
          <w:rStyle w:val="NormalCharacter"/>
          <w:rFonts w:ascii="Book Antiqua" w:hAnsi="Book Antiqua"/>
          <w:color w:val="000000"/>
          <w:sz w:val="24"/>
          <w:lang w:val="en-GB"/>
        </w:rPr>
        <w:t xml:space="preserve"> YQ participated in the statistical analysis and wrote the manuscript; Liu W, He XQ, and Zhang H contributed to data and image collection; all authors read and approved the final version of the manuscript.</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pStyle w:val="HtmlNormal"/>
        <w:shd w:val="clear" w:color="auto" w:fill="FCFCFE"/>
        <w:snapToGrid w:val="0"/>
        <w:spacing w:before="0" w:after="0" w:line="360" w:lineRule="auto"/>
        <w:jc w:val="both"/>
        <w:rPr>
          <w:rStyle w:val="NormalCharacter"/>
          <w:rFonts w:ascii="Book Antiqua" w:hAnsi="Book Antiqua"/>
          <w:color w:val="000000"/>
          <w:kern w:val="2"/>
          <w:lang w:val="en-GB"/>
        </w:rPr>
      </w:pPr>
      <w:proofErr w:type="gramStart"/>
      <w:r>
        <w:rPr>
          <w:rStyle w:val="NormalCharacter"/>
          <w:rFonts w:ascii="Book Antiqua" w:hAnsi="Book Antiqua"/>
          <w:b/>
        </w:rPr>
        <w:t>Supported by</w:t>
      </w:r>
      <w:r>
        <w:rPr>
          <w:rStyle w:val="NormalCharacter"/>
          <w:rFonts w:ascii="Book Antiqua" w:hAnsi="Book Antiqua"/>
          <w:color w:val="000000"/>
          <w:kern w:val="2"/>
          <w:lang w:val="en-GB"/>
        </w:rPr>
        <w:t xml:space="preserve"> International Peace Maternal and Child Health Institute Clinical Research Program, No.</w:t>
      </w:r>
      <w:proofErr w:type="gramEnd"/>
      <w:r>
        <w:rPr>
          <w:rStyle w:val="NormalCharacter"/>
          <w:rFonts w:ascii="Book Antiqua" w:hAnsi="Book Antiqua"/>
          <w:color w:val="000000"/>
          <w:kern w:val="2"/>
          <w:lang w:val="en-GB"/>
        </w:rPr>
        <w:t xml:space="preserve"> YN201910; and Translational Medicine Cross Fund from Shanghai Jiao Tong University, No. YG2017QN38.</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lang w:val="hu-HU"/>
        </w:rPr>
        <w:t xml:space="preserve">Corresponding author: </w:t>
      </w:r>
      <w:r>
        <w:rPr>
          <w:rStyle w:val="NormalCharacter"/>
          <w:rFonts w:ascii="Book Antiqua" w:hAnsi="Book Antiqua" w:cs="Times New Roman"/>
          <w:b/>
          <w:bCs/>
          <w:color w:val="000000"/>
          <w:sz w:val="24"/>
          <w:lang w:val="en-GB"/>
        </w:rPr>
        <w:t xml:space="preserve">Jian Zhang, MD, Chief Doctor, Professor, </w:t>
      </w:r>
      <w:r>
        <w:rPr>
          <w:rStyle w:val="NormalCharacter"/>
          <w:rFonts w:ascii="Book Antiqua" w:hAnsi="Book Antiqua"/>
          <w:color w:val="000000"/>
          <w:sz w:val="24"/>
          <w:lang w:val="en-GB"/>
        </w:rPr>
        <w:t xml:space="preserve">Department of Obstetrics and </w:t>
      </w:r>
      <w:proofErr w:type="spellStart"/>
      <w:r>
        <w:rPr>
          <w:rStyle w:val="NormalCharacter"/>
          <w:rFonts w:ascii="Book Antiqua" w:hAnsi="Book Antiqua"/>
          <w:color w:val="000000"/>
          <w:sz w:val="24"/>
          <w:lang w:val="en-GB"/>
        </w:rPr>
        <w:t>Gynecology</w:t>
      </w:r>
      <w:proofErr w:type="spellEnd"/>
      <w:r>
        <w:rPr>
          <w:rStyle w:val="NormalCharacter"/>
          <w:rFonts w:ascii="Book Antiqua" w:hAnsi="Book Antiqua"/>
          <w:color w:val="000000"/>
          <w:sz w:val="24"/>
          <w:lang w:val="en-GB"/>
        </w:rPr>
        <w:t xml:space="preserve">, International Peace Maternity and Child Health Hospital, School of Medicine, Shanghai </w:t>
      </w:r>
      <w:proofErr w:type="spellStart"/>
      <w:r>
        <w:rPr>
          <w:rStyle w:val="NormalCharacter"/>
          <w:rFonts w:ascii="Book Antiqua" w:hAnsi="Book Antiqua"/>
          <w:color w:val="000000"/>
          <w:sz w:val="24"/>
          <w:lang w:val="en-GB"/>
        </w:rPr>
        <w:t>Jiaotong</w:t>
      </w:r>
      <w:proofErr w:type="spellEnd"/>
      <w:r>
        <w:rPr>
          <w:rStyle w:val="NormalCharacter"/>
          <w:rFonts w:ascii="Book Antiqua" w:hAnsi="Book Antiqua"/>
          <w:color w:val="000000"/>
          <w:sz w:val="24"/>
          <w:lang w:val="en-GB"/>
        </w:rPr>
        <w:t xml:space="preserve"> University, No. 910, </w:t>
      </w:r>
      <w:proofErr w:type="spellStart"/>
      <w:r>
        <w:rPr>
          <w:rStyle w:val="NormalCharacter"/>
          <w:rFonts w:ascii="Book Antiqua" w:hAnsi="Book Antiqua"/>
          <w:color w:val="000000"/>
          <w:sz w:val="24"/>
          <w:lang w:val="en-GB"/>
        </w:rPr>
        <w:t>Hengshan</w:t>
      </w:r>
      <w:proofErr w:type="spellEnd"/>
      <w:r>
        <w:rPr>
          <w:rStyle w:val="NormalCharacter"/>
          <w:rFonts w:ascii="Book Antiqua" w:hAnsi="Book Antiqua"/>
          <w:color w:val="000000"/>
          <w:sz w:val="24"/>
          <w:lang w:val="en-GB"/>
        </w:rPr>
        <w:t xml:space="preserve"> Road, </w:t>
      </w:r>
      <w:proofErr w:type="spellStart"/>
      <w:r>
        <w:rPr>
          <w:rStyle w:val="NormalCharacter"/>
          <w:rFonts w:ascii="Book Antiqua" w:hAnsi="Book Antiqua"/>
          <w:color w:val="000000"/>
          <w:sz w:val="24"/>
          <w:lang w:val="en-GB"/>
        </w:rPr>
        <w:t>Xuhui</w:t>
      </w:r>
      <w:proofErr w:type="spellEnd"/>
      <w:r>
        <w:rPr>
          <w:rStyle w:val="NormalCharacter"/>
          <w:rFonts w:ascii="Book Antiqua" w:hAnsi="Book Antiqua"/>
          <w:color w:val="000000"/>
          <w:sz w:val="24"/>
          <w:lang w:val="en-GB"/>
        </w:rPr>
        <w:t xml:space="preserve"> District, Shanghai 200030, China. </w:t>
      </w:r>
      <w:r>
        <w:rPr>
          <w:rStyle w:val="NormalCharacter"/>
          <w:rFonts w:ascii="Book Antiqua" w:hAnsi="Book Antiqua"/>
          <w:color w:val="000000"/>
          <w:sz w:val="24"/>
          <w:u w:val="single"/>
          <w:lang w:val="en-GB"/>
        </w:rPr>
        <w:t>zhangjian_sjtu@126.com</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Received: </w:t>
      </w:r>
      <w:r>
        <w:rPr>
          <w:rStyle w:val="NormalCharacter"/>
          <w:rFonts w:ascii="Book Antiqua" w:hAnsi="Book Antiqua" w:cs="Times New Roman"/>
          <w:bCs/>
          <w:sz w:val="24"/>
          <w:lang w:val="en-GB"/>
        </w:rPr>
        <w:t>March</w:t>
      </w:r>
      <w:r>
        <w:rPr>
          <w:rStyle w:val="NormalCharacter"/>
          <w:rFonts w:ascii="Book Antiqua" w:hAnsi="Book Antiqua"/>
          <w:b/>
          <w:sz w:val="24"/>
          <w:lang w:val="en-GB"/>
        </w:rPr>
        <w:t xml:space="preserve"> </w:t>
      </w:r>
      <w:r>
        <w:rPr>
          <w:rStyle w:val="NormalCharacter"/>
          <w:rFonts w:ascii="Book Antiqua" w:hAnsi="Book Antiqua"/>
          <w:sz w:val="24"/>
          <w:lang w:val="en-GB"/>
        </w:rPr>
        <w:t>12, 2020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Revised: </w:t>
      </w:r>
      <w:r>
        <w:rPr>
          <w:rStyle w:val="NormalCharacter"/>
          <w:rFonts w:ascii="Book Antiqua" w:hAnsi="Book Antiqua" w:cs="Times New Roman"/>
          <w:bCs/>
          <w:sz w:val="24"/>
          <w:lang w:val="en-GB"/>
        </w:rPr>
        <w:t>May</w:t>
      </w:r>
      <w:r>
        <w:rPr>
          <w:rStyle w:val="NormalCharacter"/>
          <w:rFonts w:ascii="Book Antiqua" w:hAnsi="Book Antiqua"/>
          <w:b/>
          <w:sz w:val="24"/>
          <w:lang w:val="en-GB"/>
        </w:rPr>
        <w:t xml:space="preserve"> </w:t>
      </w:r>
      <w:r>
        <w:rPr>
          <w:rStyle w:val="NormalCharacter"/>
          <w:rFonts w:ascii="Book Antiqua" w:hAnsi="Book Antiqua"/>
          <w:sz w:val="24"/>
          <w:lang w:val="en-GB"/>
        </w:rPr>
        <w:t>1, 2020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Accepted:</w:t>
      </w:r>
      <w:r>
        <w:rPr>
          <w:rStyle w:val="NormalCharacter"/>
        </w:rPr>
        <w:t xml:space="preserve"> </w:t>
      </w:r>
      <w:r>
        <w:rPr>
          <w:rStyle w:val="NormalCharacter"/>
          <w:rFonts w:ascii="Book Antiqua" w:hAnsi="Book Antiqua" w:cs="Times New Roman"/>
          <w:bCs/>
          <w:sz w:val="24"/>
          <w:lang w:val="en-GB"/>
        </w:rPr>
        <w:t>June 18,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Published online: </w:t>
      </w:r>
      <w:r w:rsidR="009C7CF6" w:rsidRPr="009C7CF6">
        <w:rPr>
          <w:rStyle w:val="NormalCharacter"/>
          <w:rFonts w:ascii="Book Antiqua" w:hAnsi="Book Antiqua"/>
          <w:sz w:val="24"/>
          <w:lang w:val="en-GB"/>
        </w:rPr>
        <w:t>July 6, 2020</w:t>
      </w: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Abstract</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BACKGROUND</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With the increasing trend of vaginal birth after caesarean delivery (VBAC),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Intrapartum uterine rupture is diagnosed in approximately one-fifth of all VBAC cases following successful vaginal delivery. To our knowledge, no report is available on the application of laparoscopy to repair postpartum uterine rupture after a successful second VBAC in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CASE SUMMARY</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 31-year-old woman (gravida 5, para 2) at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was admitted to the hospital in labour. After a successful VBAC and observation for approximately 13 h, the patient complained of progressive abdominal pain. Given the symptoms, signs, and auxiliary examination results, intraperitoneal bleeding was considered. Because the patient was stable and ultrasound imaging was the only method available to assess the possibility of rupture, we recommended laparoscopy to clarify the diagnosis and for prompt laparoscopic uterine repair or exploratory laparotomy if necessary. Operative findings included transverse uterine scar rupture at the lower uterine segment of approximately 5.0 cm in length and 800 mL of intraoperative pelvic </w:t>
      </w:r>
      <w:proofErr w:type="spellStart"/>
      <w:r>
        <w:rPr>
          <w:rStyle w:val="NormalCharacter"/>
          <w:rFonts w:ascii="Book Antiqua" w:hAnsi="Book Antiqua"/>
          <w:color w:val="000000"/>
          <w:sz w:val="24"/>
          <w:lang w:val="en-GB"/>
        </w:rPr>
        <w:t>haemoperitoneum</w:t>
      </w:r>
      <w:proofErr w:type="spellEnd"/>
      <w:r>
        <w:rPr>
          <w:rStyle w:val="NormalCharacter"/>
          <w:rFonts w:ascii="Book Antiqua" w:hAnsi="Book Antiqua"/>
          <w:color w:val="000000"/>
          <w:sz w:val="24"/>
          <w:lang w:val="en-GB"/>
        </w:rPr>
        <w:t>. Finally, she successfully underwent laparoscopic repair of uterine rupture and recovered very well according to three-dimensional magnetic resonance imaging at 42 d postpartum.</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CONCLUSION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Routine postpartum intrauterine exploration is not beneficial to the mother and may even increase the risk of rupture. This case highlights a laparoscopic approach for repairing uterine rupture in the immediate postpartum period.</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rPr>
        <w:t xml:space="preserve">Key words: </w:t>
      </w:r>
      <w:r>
        <w:rPr>
          <w:rStyle w:val="NormalCharacter"/>
          <w:rFonts w:ascii="Book Antiqua" w:hAnsi="Book Antiqua"/>
          <w:color w:val="000000"/>
          <w:sz w:val="24"/>
          <w:lang w:val="en-GB"/>
        </w:rPr>
        <w:t xml:space="preserve">Uterine rupture; Laparoscopic repair; </w:t>
      </w:r>
      <w:proofErr w:type="gramStart"/>
      <w:r>
        <w:rPr>
          <w:rStyle w:val="NormalCharacter"/>
          <w:rFonts w:ascii="Book Antiqua" w:hAnsi="Book Antiqua"/>
          <w:color w:val="000000"/>
          <w:sz w:val="24"/>
          <w:lang w:val="en-GB"/>
        </w:rPr>
        <w:t>Vaginal</w:t>
      </w:r>
      <w:proofErr w:type="gramEnd"/>
      <w:r>
        <w:rPr>
          <w:rStyle w:val="NormalCharacter"/>
          <w:rFonts w:ascii="Book Antiqua" w:hAnsi="Book Antiqua"/>
          <w:color w:val="000000"/>
          <w:sz w:val="24"/>
          <w:lang w:val="en-GB"/>
        </w:rPr>
        <w:t xml:space="preserve"> birth after caesarean section; Postpartum period;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Case report</w:t>
      </w:r>
    </w:p>
    <w:p w:rsidR="00CF1418" w:rsidRDefault="00CF1418">
      <w:pPr>
        <w:snapToGrid w:val="0"/>
        <w:spacing w:line="360" w:lineRule="auto"/>
        <w:rPr>
          <w:rStyle w:val="NormalCharacter"/>
          <w:rFonts w:ascii="Book Antiqua" w:hAnsi="Book Antiqua" w:cs="Times New Roman"/>
          <w:b/>
          <w:bCs/>
          <w:color w:val="000000"/>
          <w:sz w:val="24"/>
          <w:lang w:val="en-GB"/>
        </w:rPr>
      </w:pPr>
    </w:p>
    <w:p w:rsidR="00771423" w:rsidRDefault="008E666C" w:rsidP="00771423">
      <w:pPr>
        <w:snapToGrid w:val="0"/>
        <w:spacing w:line="360" w:lineRule="auto"/>
        <w:rPr>
          <w:rStyle w:val="NormalCharacter"/>
          <w:rFonts w:ascii="Book Antiqua" w:hAnsi="Book Antiqua"/>
          <w:sz w:val="24"/>
        </w:rPr>
      </w:pPr>
      <w:proofErr w:type="spellStart"/>
      <w:r>
        <w:rPr>
          <w:rStyle w:val="NormalCharacter"/>
          <w:rFonts w:ascii="Book Antiqua" w:hAnsi="Book Antiqua"/>
          <w:color w:val="000000"/>
          <w:sz w:val="24"/>
          <w:lang w:val="en-GB"/>
        </w:rPr>
        <w:lastRenderedPageBreak/>
        <w:t>Cai</w:t>
      </w:r>
      <w:proofErr w:type="spellEnd"/>
      <w:r>
        <w:rPr>
          <w:rStyle w:val="NormalCharacter"/>
          <w:rFonts w:ascii="Book Antiqua" w:hAnsi="Book Antiqua"/>
          <w:color w:val="000000"/>
          <w:sz w:val="24"/>
          <w:lang w:val="en-GB"/>
        </w:rPr>
        <w:t xml:space="preserve"> YQ, Liu W, Zhang H, He XQ, Zhang J. Laparoscopic repair of uterine rupture following successful second vaginal birth after caesarean delivery: A case report. </w:t>
      </w:r>
      <w:r>
        <w:rPr>
          <w:rStyle w:val="NormalCharacter"/>
          <w:rFonts w:ascii="Book Antiqua" w:hAnsi="Book Antiqua"/>
          <w:i/>
          <w:iCs/>
          <w:sz w:val="24"/>
        </w:rPr>
        <w:t xml:space="preserve">World J </w:t>
      </w:r>
      <w:proofErr w:type="spellStart"/>
      <w:r>
        <w:rPr>
          <w:rStyle w:val="NormalCharacter"/>
          <w:rFonts w:ascii="Book Antiqua" w:hAnsi="Book Antiqua"/>
          <w:i/>
          <w:iCs/>
          <w:sz w:val="24"/>
        </w:rPr>
        <w:t>Clin</w:t>
      </w:r>
      <w:proofErr w:type="spellEnd"/>
      <w:r>
        <w:rPr>
          <w:rStyle w:val="NormalCharacter"/>
          <w:rFonts w:ascii="Book Antiqua" w:hAnsi="Book Antiqua"/>
          <w:i/>
          <w:iCs/>
          <w:sz w:val="24"/>
        </w:rPr>
        <w:t xml:space="preserve"> Cases </w:t>
      </w:r>
      <w:r>
        <w:rPr>
          <w:rStyle w:val="NormalCharacter"/>
          <w:rFonts w:ascii="Book Antiqua" w:hAnsi="Book Antiqua"/>
          <w:iCs/>
          <w:sz w:val="24"/>
        </w:rPr>
        <w:t>2020</w:t>
      </w:r>
      <w:r>
        <w:rPr>
          <w:rStyle w:val="NormalCharacter"/>
          <w:rFonts w:ascii="Book Antiqua" w:hAnsi="Book Antiqua"/>
          <w:sz w:val="24"/>
        </w:rPr>
        <w:t xml:space="preserve">; </w:t>
      </w:r>
      <w:r w:rsidR="009C7CF6" w:rsidRPr="009C7CF6">
        <w:rPr>
          <w:rStyle w:val="NormalCharacter"/>
          <w:rFonts w:ascii="Book Antiqua" w:hAnsi="Book Antiqua"/>
          <w:sz w:val="24"/>
        </w:rPr>
        <w:t xml:space="preserve">8(13): </w:t>
      </w:r>
      <w:r w:rsidR="00771423">
        <w:rPr>
          <w:rStyle w:val="NormalCharacter"/>
          <w:rFonts w:ascii="Book Antiqua" w:hAnsi="Book Antiqua" w:hint="eastAsia"/>
          <w:sz w:val="24"/>
        </w:rPr>
        <w:t>2855-2861</w:t>
      </w:r>
      <w:r w:rsidR="00771423" w:rsidRPr="009C7CF6">
        <w:rPr>
          <w:rStyle w:val="NormalCharacter"/>
          <w:rFonts w:ascii="Book Antiqua" w:hAnsi="Book Antiqua"/>
          <w:sz w:val="24"/>
        </w:rPr>
        <w:t xml:space="preserve"> URL: </w:t>
      </w:r>
      <w:bookmarkStart w:id="0" w:name="_GoBack"/>
      <w:r w:rsidR="00771423" w:rsidRPr="009C7CF6">
        <w:rPr>
          <w:rStyle w:val="NormalCharacter"/>
          <w:rFonts w:ascii="Book Antiqua" w:hAnsi="Book Antiqua"/>
          <w:sz w:val="24"/>
        </w:rPr>
        <w:t>https://www.wjgnet.com/2307-8960/full/v8/i13/</w:t>
      </w:r>
      <w:r w:rsidR="00771423">
        <w:rPr>
          <w:rStyle w:val="NormalCharacter"/>
          <w:rFonts w:ascii="Book Antiqua" w:hAnsi="Book Antiqua" w:hint="eastAsia"/>
          <w:sz w:val="24"/>
        </w:rPr>
        <w:t>2855</w:t>
      </w:r>
      <w:r w:rsidR="00771423" w:rsidRPr="009C7CF6">
        <w:rPr>
          <w:rStyle w:val="NormalCharacter"/>
          <w:rFonts w:ascii="Book Antiqua" w:hAnsi="Book Antiqua"/>
          <w:sz w:val="24"/>
        </w:rPr>
        <w:t>.htm</w:t>
      </w:r>
      <w:bookmarkEnd w:id="0"/>
      <w:r w:rsidR="00771423" w:rsidRPr="009C7CF6">
        <w:rPr>
          <w:rStyle w:val="NormalCharacter"/>
          <w:rFonts w:ascii="Book Antiqua" w:hAnsi="Book Antiqua"/>
          <w:sz w:val="24"/>
        </w:rPr>
        <w:t xml:space="preserve"> DOI: https://dx.doi.org/10.12998/wjcc.v8.i13.</w:t>
      </w:r>
      <w:r w:rsidR="00771423">
        <w:rPr>
          <w:rStyle w:val="NormalCharacter"/>
          <w:rFonts w:ascii="Book Antiqua" w:hAnsi="Book Antiqua" w:hint="eastAsia"/>
          <w:sz w:val="24"/>
        </w:rPr>
        <w:t>2855</w:t>
      </w:r>
    </w:p>
    <w:p w:rsidR="00CF1418" w:rsidRPr="00771423" w:rsidRDefault="00CF1418">
      <w:pPr>
        <w:snapToGrid w:val="0"/>
        <w:spacing w:line="360" w:lineRule="auto"/>
        <w:rPr>
          <w:rStyle w:val="NormalCharacter"/>
          <w:rFonts w:ascii="Book Antiqua" w:hAnsi="Book Antiqua"/>
          <w:sz w:val="24"/>
        </w:rPr>
      </w:pP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rPr>
        <w:t xml:space="preserve">Core tip: </w:t>
      </w:r>
      <w:r>
        <w:rPr>
          <w:rStyle w:val="NormalCharacter"/>
          <w:rFonts w:ascii="Book Antiqua" w:hAnsi="Book Antiqua"/>
          <w:color w:val="000000"/>
          <w:sz w:val="24"/>
          <w:lang w:val="en-GB"/>
        </w:rPr>
        <w:t xml:space="preserve">With the advent of the two-child policy, the number of vaginal birth after caesarean delivery (VBAC) cases has markedly increased in China.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In addition, if uterine rupture is identified after successful vaginal delivery but vital signs are stable, minimally invasive methods can be used to diagnose and repair uterine rupture. This case highlights a laparoscopic approach for repairing uterine rupture in the immediate postpartum period, and we hope that this technique will have an important clinical role in effectively reducing misdiagnoses of maternal injury and facilitating a quick recovery.</w:t>
      </w: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br w:type="page"/>
      </w: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lastRenderedPageBreak/>
        <w:t>INTRODUCTION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Uterine rupture is a serious complication of pregnancy and directly threatens the lives and safety of pregnant women and their </w:t>
      </w:r>
      <w:proofErr w:type="gramStart"/>
      <w:r>
        <w:rPr>
          <w:rStyle w:val="NormalCharacter"/>
          <w:rFonts w:ascii="Book Antiqua" w:hAnsi="Book Antiqua"/>
          <w:color w:val="000000"/>
          <w:sz w:val="24"/>
          <w:lang w:val="en-GB"/>
        </w:rPr>
        <w:t>foetuses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1-3]</w:t>
      </w:r>
      <w:r>
        <w:rPr>
          <w:rStyle w:val="NormalCharacter"/>
          <w:rFonts w:ascii="Book Antiqua" w:hAnsi="Book Antiqua"/>
          <w:color w:val="000000"/>
          <w:sz w:val="24"/>
          <w:lang w:val="en-GB"/>
        </w:rPr>
        <w:t xml:space="preserve">. The primary causes of scar rupture include caesarean section, myomectomy, and </w:t>
      </w:r>
      <w:proofErr w:type="gramStart"/>
      <w:r>
        <w:rPr>
          <w:rStyle w:val="NormalCharacter"/>
          <w:rFonts w:ascii="Book Antiqua" w:hAnsi="Book Antiqua"/>
          <w:color w:val="000000"/>
          <w:sz w:val="24"/>
          <w:lang w:val="en-GB"/>
        </w:rPr>
        <w:t>hysterectomy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4]</w:t>
      </w:r>
      <w:r>
        <w:rPr>
          <w:rStyle w:val="NormalCharacter"/>
          <w:rFonts w:ascii="Book Antiqua" w:hAnsi="Book Antiqua"/>
          <w:color w:val="000000"/>
          <w:sz w:val="24"/>
          <w:lang w:val="en-GB"/>
        </w:rPr>
        <w:t xml:space="preserve">. According to prospective studies by Singh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5]</w:t>
      </w:r>
      <w:r>
        <w:rPr>
          <w:rStyle w:val="NormalCharacter"/>
          <w:rFonts w:ascii="Book Antiqua" w:hAnsi="Book Antiqua"/>
          <w:color w:val="000000"/>
          <w:sz w:val="24"/>
          <w:lang w:val="en-GB"/>
        </w:rPr>
        <w:t>, the incidence of uterine rupture among women with a history of caesarean section is 1.69%, which is 11 times higher than that among women without a history of caesarean section. Because of the effects of China's family planning and two-child policies, the rate of vaginal birth after caesarean delivery (VBAC) in China increased by 14% between 2012 and 2016</w:t>
      </w:r>
      <w:r>
        <w:rPr>
          <w:rStyle w:val="NormalCharacter"/>
          <w:rFonts w:ascii="Book Antiqua" w:hAnsi="Book Antiqua"/>
          <w:color w:val="000000"/>
          <w:sz w:val="24"/>
          <w:vertAlign w:val="superscript"/>
          <w:lang w:val="en-GB"/>
        </w:rPr>
        <w:t>[6]</w:t>
      </w:r>
      <w:r>
        <w:rPr>
          <w:rStyle w:val="NormalCharacter"/>
          <w:rFonts w:ascii="Book Antiqua" w:hAnsi="Book Antiqua"/>
          <w:color w:val="000000"/>
          <w:sz w:val="24"/>
          <w:lang w:val="en-GB"/>
        </w:rPr>
        <w:t xml:space="preserve">. However, with the increasing trend of VBAC,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but also challenging in terms of clinical treatment.</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At present, many reports are available on risk factors and assessment methods for uterine rupture and the outcomes of the mother and </w:t>
      </w:r>
      <w:proofErr w:type="gramStart"/>
      <w:r>
        <w:rPr>
          <w:rStyle w:val="NormalCharacter"/>
          <w:rFonts w:ascii="Book Antiqua" w:hAnsi="Book Antiqua"/>
          <w:color w:val="000000"/>
          <w:sz w:val="24"/>
          <w:lang w:val="en-GB"/>
        </w:rPr>
        <w:t>child</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7,8]</w:t>
      </w:r>
      <w:r>
        <w:rPr>
          <w:rStyle w:val="NormalCharacter"/>
          <w:rFonts w:ascii="Book Antiqua" w:hAnsi="Book Antiqua"/>
          <w:color w:val="000000"/>
          <w:sz w:val="24"/>
          <w:lang w:val="en-GB"/>
        </w:rPr>
        <w:t xml:space="preserve">. Many studies have explored the risk of intrauterine rupture as predicted by ultrasound measurements of scar thickness from previous intrauterine dissection, including the remaining myometrium thickness of the uterine scar, the continuity of the myometrium, the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surface, and even the changes in the myometrium during </w:t>
      </w:r>
      <w:proofErr w:type="gramStart"/>
      <w:r>
        <w:rPr>
          <w:rStyle w:val="NormalCharacter"/>
          <w:rFonts w:ascii="Book Antiqua" w:hAnsi="Book Antiqua"/>
          <w:color w:val="000000"/>
          <w:sz w:val="24"/>
          <w:lang w:val="en-GB"/>
        </w:rPr>
        <w:t>pregnancy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9,10]</w:t>
      </w:r>
      <w:r>
        <w:rPr>
          <w:rStyle w:val="NormalCharacter"/>
          <w:rFonts w:ascii="Book Antiqua" w:hAnsi="Book Antiqua"/>
          <w:color w:val="000000"/>
          <w:sz w:val="24"/>
          <w:lang w:val="en-GB"/>
        </w:rPr>
        <w:t xml:space="preserve">. However, scar thickness measurements in the lower uterine segment are affected by a variety of factors, including the measurement location, gestational age, and bladder filling degree. Therefore, no ideal scar thickness as a predictor of uterine rupture exists. Notably, women with caesarean scar diverticulum (CSD) have a weaker myometrium and a higher risk of uterine rupture in the third trimester than women without CSD, which has been widely accepted by </w:t>
      </w:r>
      <w:proofErr w:type="gramStart"/>
      <w:r>
        <w:rPr>
          <w:rStyle w:val="NormalCharacter"/>
          <w:rFonts w:ascii="Book Antiqua" w:hAnsi="Book Antiqua"/>
          <w:color w:val="000000"/>
          <w:sz w:val="24"/>
          <w:lang w:val="en-GB"/>
        </w:rPr>
        <w:t>researchers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11]</w:t>
      </w:r>
      <w:r>
        <w:rPr>
          <w:rStyle w:val="NormalCharacter"/>
          <w:rFonts w:ascii="Book Antiqua" w:hAnsi="Book Antiqua"/>
          <w:color w:val="000000"/>
          <w:sz w:val="24"/>
          <w:lang w:val="en-GB"/>
        </w:rPr>
        <w:t xml:space="preserve">. Uterine scar in CSD women pursuing another pregnancy should be assessed and managed. In a random population of women with a history of caesarean section, the prevalence of CSD ranged from 56% to 84% and 24% to 70% when assessed by transvaginal ultrasound (TVU) with and without contrast enhancement, </w:t>
      </w:r>
      <w:proofErr w:type="gramStart"/>
      <w:r>
        <w:rPr>
          <w:rStyle w:val="NormalCharacter"/>
          <w:rFonts w:ascii="Book Antiqua" w:hAnsi="Book Antiqua"/>
          <w:color w:val="000000"/>
          <w:sz w:val="24"/>
          <w:lang w:val="en-GB"/>
        </w:rPr>
        <w:t>respectively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12]</w:t>
      </w:r>
      <w:r>
        <w:rPr>
          <w:rStyle w:val="NormalCharacter"/>
          <w:rFonts w:ascii="Book Antiqua" w:hAnsi="Book Antiqua"/>
          <w:color w:val="000000"/>
          <w:sz w:val="24"/>
          <w:lang w:val="en-GB"/>
        </w:rPr>
        <w:t xml:space="preserve">. Thus, saline infusion </w:t>
      </w:r>
      <w:proofErr w:type="spellStart"/>
      <w:r>
        <w:rPr>
          <w:rStyle w:val="NormalCharacter"/>
          <w:rFonts w:ascii="Book Antiqua" w:hAnsi="Book Antiqua"/>
          <w:color w:val="000000"/>
          <w:sz w:val="24"/>
          <w:lang w:val="en-GB"/>
        </w:rPr>
        <w:t>sonohysterography</w:t>
      </w:r>
      <w:proofErr w:type="spellEnd"/>
      <w:r>
        <w:rPr>
          <w:rStyle w:val="NormalCharacter"/>
          <w:rFonts w:ascii="Book Antiqua" w:hAnsi="Book Antiqua"/>
          <w:color w:val="000000"/>
          <w:sz w:val="24"/>
          <w:lang w:val="en-GB"/>
        </w:rPr>
        <w:t xml:space="preserve"> and hysteroscopy are superior to conventional </w:t>
      </w:r>
      <w:r>
        <w:rPr>
          <w:rStyle w:val="NormalCharacter"/>
          <w:rFonts w:ascii="Book Antiqua" w:hAnsi="Book Antiqua"/>
          <w:color w:val="000000"/>
          <w:sz w:val="24"/>
        </w:rPr>
        <w:t>TVU</w:t>
      </w:r>
      <w:r>
        <w:rPr>
          <w:rStyle w:val="NormalCharacter"/>
          <w:rFonts w:ascii="Book Antiqua" w:hAnsi="Book Antiqua"/>
          <w:color w:val="000000"/>
          <w:sz w:val="24"/>
          <w:lang w:val="en-GB"/>
        </w:rPr>
        <w:t xml:space="preserve"> for the assessment of uterine scar before pregnancy. If obvious menstrual abnormalities exist, the uterine diverticulum should be promptly repaired. </w:t>
      </w:r>
      <w:proofErr w:type="spellStart"/>
      <w:r>
        <w:rPr>
          <w:rStyle w:val="NormalCharacter"/>
          <w:rFonts w:ascii="Book Antiqua" w:hAnsi="Book Antiqua"/>
          <w:color w:val="000000"/>
          <w:sz w:val="24"/>
          <w:lang w:val="en-GB"/>
        </w:rPr>
        <w:t>Donnez</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13]</w:t>
      </w:r>
      <w:r>
        <w:rPr>
          <w:rStyle w:val="NormalCharacter"/>
          <w:rFonts w:ascii="Book Antiqua" w:hAnsi="Book Antiqua"/>
          <w:color w:val="000000"/>
          <w:sz w:val="24"/>
          <w:lang w:val="en-GB"/>
        </w:rPr>
        <w:t xml:space="preserve"> reported that </w:t>
      </w:r>
      <w:r>
        <w:rPr>
          <w:rStyle w:val="NormalCharacter"/>
          <w:rFonts w:ascii="Book Antiqua" w:hAnsi="Book Antiqua"/>
          <w:color w:val="000000"/>
          <w:sz w:val="24"/>
          <w:lang w:val="en-GB"/>
        </w:rPr>
        <w:lastRenderedPageBreak/>
        <w:t>if imaging examination indicates that the anterior wall muscle layer of the lower uterine segment is less than 3 mm, laparoscopic repair of the diverticulum should be performed to increase the thickness of the lower uterine segment.</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Intrapartum uterine rupture is diagnosed in approximately one-fifth of all VBAC cases following successful vaginal </w:t>
      </w:r>
      <w:proofErr w:type="gramStart"/>
      <w:r>
        <w:rPr>
          <w:rStyle w:val="NormalCharacter"/>
          <w:rFonts w:ascii="Book Antiqua" w:hAnsi="Book Antiqua"/>
          <w:color w:val="000000"/>
          <w:sz w:val="24"/>
          <w:lang w:val="en-GB"/>
        </w:rPr>
        <w:t>delivery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14]</w:t>
      </w:r>
      <w:r>
        <w:rPr>
          <w:rStyle w:val="NormalCharacter"/>
          <w:rFonts w:ascii="Book Antiqua" w:hAnsi="Book Antiqua"/>
          <w:color w:val="000000"/>
          <w:sz w:val="24"/>
          <w:lang w:val="en-GB"/>
        </w:rPr>
        <w:t>. For the diagnosis and repair of uterine rupture, primary repair methods are performed by exploratory laparotomy, which undoubtedly increases maternal complications due to secondary trauma. Minimally invasive surgical methods are widely reported to be used to repair caesarean scar defects in women with abnormal menstrual manifestations. To our knowledge, no reports are available on the application of laparoscopy to repair postpartum uterine rupture after a successful second VBAC in China.</w:t>
      </w:r>
    </w:p>
    <w:p w:rsidR="00CF1418" w:rsidRDefault="00CF1418">
      <w:pPr>
        <w:snapToGrid w:val="0"/>
        <w:spacing w:line="360" w:lineRule="auto"/>
        <w:rPr>
          <w:rStyle w:val="NormalCharacter"/>
          <w:rFonts w:ascii="Book Antiqua" w:hAnsi="Book Antiqua"/>
          <w:color w:val="000000"/>
          <w:sz w:val="24"/>
          <w:shd w:val="clear" w:color="auto" w:fill="FCFCFE"/>
          <w:lang w:val="en-GB"/>
        </w:rPr>
      </w:pPr>
    </w:p>
    <w:p w:rsidR="00CF1418" w:rsidRDefault="008E666C">
      <w:pPr>
        <w:snapToGrid w:val="0"/>
        <w:spacing w:line="360" w:lineRule="auto"/>
        <w:rPr>
          <w:rStyle w:val="NormalCharacter"/>
          <w:rFonts w:ascii="Book Antiqua" w:hAnsi="Book Antiqua"/>
          <w:b/>
          <w:sz w:val="24"/>
          <w:u w:val="single"/>
        </w:rPr>
      </w:pPr>
      <w:r>
        <w:rPr>
          <w:rStyle w:val="NormalCharacter"/>
          <w:rFonts w:ascii="Book Antiqua" w:hAnsi="Book Antiqua"/>
          <w:b/>
          <w:sz w:val="24"/>
          <w:u w:val="single"/>
        </w:rPr>
        <w:t>CASE PRESENTATION</w:t>
      </w: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Chief complaints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 experienced irregular uterine contractions for half a day.</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History of present illness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 31-year-old woman (gravida 5, para 2) at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presented to the labour and delivery unit with spontaneous rupture of membranes. From 34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of pregnancy to regular prenatal examination in our hospital, the pregnancy was smooth. Measured in the third trimester, the thickness of the lower uterine muscle layer was 2.1 mm. Because the pregnant woman and her family insisted on vaginal delivery, we closely consulted vaginal delivery trials after informing the patient of her risk. Her labour was natural with epidural analgesia and without induction with Pitocin. The first and second stages of labour lasted 404 and 9 min, respectively, and the weight of the foetus was 3290 grams at birth. No classic signs of uterine rupture were noted at the time of delivery. The placenta was delivered spontaneously and intact. The level of postpartum haemorrhage totalled 140 mL, and no concern for uterine rupture or a retained placenta arose after routine postpartum intrauterine exploration. After observation for approximately 13 h, the patient complained of progressive abdominal pain.</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History of past illness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 had a history of term caesarean delivery 6 years ago (2013) and successful VBAC 2 years ago (2017). The pregnancy was conceived naturally. No change in postpartum menstruation between the first and second deliveries was reported.</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Physical examination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Physical examination showed total abdominal tenderness, positive rebound pain, migration dullness, and notably, tenderness in the lower segment of the uterus. The height of the uterus was one finger breadth under the navel, with a clear outline. All the other vital signs such as heart rate, blood pressure, respiratory rate, and temperature were stable.</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Laboratory examinations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Routine blood tests showed a 3-g/L decrease in haemoglobin (120 g/L) compared to that before delivery.</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Imaging examinations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Detailed ultrasound imaging showed that the size of the uterus was 125 cm × 95 cm × 90 mm. A mixed-echoic region of 31 cm × 44 cm × 36 mm in size with an unclear boundary and no blood flow signals inside was observed in the lower uterine segment. However, the pelvic and abdominal cavities showed a large among of effusion, the </w:t>
      </w:r>
      <w:proofErr w:type="spellStart"/>
      <w:r>
        <w:rPr>
          <w:rStyle w:val="NormalCharacter"/>
          <w:rFonts w:ascii="Book Antiqua" w:hAnsi="Book Antiqua"/>
          <w:color w:val="000000"/>
          <w:sz w:val="24"/>
          <w:lang w:val="en-GB"/>
        </w:rPr>
        <w:t>hepatorenal</w:t>
      </w:r>
      <w:proofErr w:type="spellEnd"/>
      <w:r>
        <w:rPr>
          <w:rStyle w:val="NormalCharacter"/>
          <w:rFonts w:ascii="Book Antiqua" w:hAnsi="Book Antiqua"/>
          <w:color w:val="000000"/>
          <w:sz w:val="24"/>
          <w:lang w:val="en-GB"/>
        </w:rPr>
        <w:t xml:space="preserve"> fossae were 37 mm in length, and the left upper quadrant was 53 mm in length.</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t>FINAL DIAGNOSIS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final diagnosis of the case was “G5P3,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previous caesarean delivery, VBAC, and uterine rupture.”</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t>TREATMENT</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lastRenderedPageBreak/>
        <w:t>Given the symptoms, signs, and auxiliary examination results, intraperitoneal bleeding was considered. Because the patient was stable and ultrasound imaging was the only method available to assess the possibility of rupture, we recommended laparoscopy to clarify the diagnosis and for prompt laparoscopic uterine repair or exploratory laparotomy if necessary. The surgery was performed approximately 15 h after delivery.</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Operative findings included transverse uterine scar rupture in the lower uterine segment of approximately 5.0 cm in length and 800 mL of intraoperative pelvic </w:t>
      </w:r>
      <w:proofErr w:type="spellStart"/>
      <w:r>
        <w:rPr>
          <w:rStyle w:val="NormalCharacter"/>
          <w:rFonts w:ascii="Book Antiqua" w:hAnsi="Book Antiqua"/>
          <w:color w:val="000000"/>
          <w:sz w:val="24"/>
          <w:lang w:val="en-GB"/>
        </w:rPr>
        <w:t>haemoperitoneum</w:t>
      </w:r>
      <w:proofErr w:type="spellEnd"/>
      <w:r>
        <w:rPr>
          <w:rStyle w:val="NormalCharacter"/>
          <w:rFonts w:ascii="Book Antiqua" w:hAnsi="Book Antiqua"/>
          <w:color w:val="000000"/>
          <w:sz w:val="24"/>
          <w:lang w:val="en-GB"/>
        </w:rPr>
        <w:t xml:space="preserve">. The ruptured tissue was fresh, and the incised edge was neatly aligned with the boundary of the bladder. The uterine defect was closed using a two-layer technique. The myometrium was completely closed with intermittent 1-0 intestinal sutures. The myometrium and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layers were closed with 2-0 </w:t>
      </w:r>
      <w:proofErr w:type="spellStart"/>
      <w:r>
        <w:rPr>
          <w:rStyle w:val="NormalCharacter"/>
          <w:rFonts w:ascii="Book Antiqua" w:hAnsi="Book Antiqua"/>
          <w:color w:val="000000"/>
          <w:sz w:val="24"/>
          <w:lang w:val="en-GB"/>
        </w:rPr>
        <w:t>Vicryl</w:t>
      </w:r>
      <w:proofErr w:type="spellEnd"/>
      <w:r>
        <w:rPr>
          <w:rStyle w:val="NormalCharacter"/>
          <w:rFonts w:ascii="Book Antiqua" w:hAnsi="Book Antiqua"/>
          <w:color w:val="000000"/>
          <w:sz w:val="24"/>
          <w:lang w:val="en-GB"/>
        </w:rPr>
        <w:t xml:space="preserve"> in a running fashion using an </w:t>
      </w:r>
      <w:proofErr w:type="spellStart"/>
      <w:r>
        <w:rPr>
          <w:rStyle w:val="NormalCharacter"/>
          <w:rFonts w:ascii="Book Antiqua" w:hAnsi="Book Antiqua"/>
          <w:color w:val="000000"/>
          <w:sz w:val="24"/>
          <w:lang w:val="en-GB"/>
        </w:rPr>
        <w:t>intracorporeal</w:t>
      </w:r>
      <w:proofErr w:type="spellEnd"/>
      <w:r>
        <w:rPr>
          <w:rStyle w:val="NormalCharacter"/>
          <w:rFonts w:ascii="Book Antiqua" w:hAnsi="Book Antiqua"/>
          <w:color w:val="000000"/>
          <w:sz w:val="24"/>
          <w:lang w:val="en-GB"/>
        </w:rPr>
        <w:t xml:space="preserve"> knot-tying technique. Finally, 1-0 </w:t>
      </w:r>
      <w:proofErr w:type="spellStart"/>
      <w:r>
        <w:rPr>
          <w:rStyle w:val="NormalCharacter"/>
          <w:rFonts w:ascii="Book Antiqua" w:hAnsi="Book Antiqua"/>
          <w:color w:val="000000"/>
          <w:sz w:val="24"/>
          <w:lang w:val="en-GB"/>
        </w:rPr>
        <w:t>Vicryl</w:t>
      </w:r>
      <w:proofErr w:type="spellEnd"/>
      <w:r>
        <w:rPr>
          <w:rStyle w:val="NormalCharacter"/>
          <w:rFonts w:ascii="Book Antiqua" w:hAnsi="Book Antiqua"/>
          <w:color w:val="000000"/>
          <w:sz w:val="24"/>
          <w:lang w:val="en-GB"/>
        </w:rPr>
        <w:t xml:space="preserve"> was used in a running fashion to close the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layers again and to interrupt the defect of the bladder peritoneum (Figure 1). The surgery was completed in 2 h, one indwelling abdominal drainage tube was in place postoperatively, and the estimated total blood loss was 1100 </w:t>
      </w:r>
      <w:proofErr w:type="spellStart"/>
      <w:r>
        <w:rPr>
          <w:rStyle w:val="NormalCharacter"/>
          <w:rFonts w:ascii="Book Antiqua" w:hAnsi="Book Antiqua"/>
          <w:color w:val="000000"/>
          <w:sz w:val="24"/>
          <w:lang w:val="en-GB"/>
        </w:rPr>
        <w:t>mL.</w:t>
      </w:r>
      <w:proofErr w:type="spellEnd"/>
      <w:r>
        <w:rPr>
          <w:rStyle w:val="NormalCharacter"/>
          <w:rFonts w:ascii="Book Antiqua" w:hAnsi="Book Antiqua"/>
          <w:color w:val="000000"/>
          <w:sz w:val="24"/>
          <w:lang w:val="en-GB"/>
        </w:rPr>
        <w:t xml:space="preserve"> </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pPr>
        <w:pStyle w:val="UserStyle10"/>
        <w:snapToGrid w:val="0"/>
        <w:spacing w:after="0" w:line="360" w:lineRule="auto"/>
        <w:jc w:val="both"/>
        <w:rPr>
          <w:rStyle w:val="NormalCharacter"/>
          <w:rFonts w:ascii="Book Antiqua" w:hAnsi="Book Antiqua"/>
          <w:b/>
          <w:sz w:val="24"/>
          <w:szCs w:val="24"/>
          <w:u w:val="single"/>
        </w:rPr>
      </w:pPr>
      <w:r>
        <w:rPr>
          <w:rStyle w:val="NormalCharacter"/>
          <w:rFonts w:ascii="Book Antiqua" w:hAnsi="Book Antiqua"/>
          <w:b/>
          <w:sz w:val="24"/>
          <w:szCs w:val="24"/>
          <w:u w:val="single"/>
        </w:rPr>
        <w:t xml:space="preserve">OUTCOME AND FOLLOW-UP </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patient’s postoperative body temperature was stable, the abdominal wound healed well, and she was cured and discharged on the sixth day after the operation.</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Postpartum follow-up showed that the lochia volume of the patient had decreased, and that postpartum bleeding lasted 25 d. Her routine examination at 42 d postpartum was normal. To understand the recovery of the lower uterine segment, we performed three-dimensional magnetic resonance imaging at 42 d postpartum. In the images, the signal of the muscle layer of the anterior wall of the uterus was uneven, and the high signal shadow penetrated into the muscle layer of the anterior wall of the uterus. The height, length, width, and remaining myometrial thickness of the diverticulum were 3 mm, 12.4 mm, 5.8 mm, and 4 mm, respectively (Figure 2).</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pStyle w:val="UserStyle10"/>
        <w:snapToGrid w:val="0"/>
        <w:spacing w:after="0" w:line="360" w:lineRule="auto"/>
        <w:jc w:val="both"/>
        <w:rPr>
          <w:rStyle w:val="NormalCharacter"/>
          <w:rFonts w:ascii="Book Antiqua" w:hAnsi="Book Antiqua"/>
          <w:sz w:val="24"/>
          <w:szCs w:val="24"/>
          <w:u w:val="single"/>
        </w:rPr>
      </w:pPr>
      <w:r>
        <w:rPr>
          <w:rStyle w:val="NormalCharacter"/>
          <w:rFonts w:ascii="Book Antiqua" w:hAnsi="Book Antiqua"/>
          <w:b/>
          <w:sz w:val="24"/>
          <w:szCs w:val="24"/>
          <w:u w:val="single"/>
        </w:rPr>
        <w:t>DISCUSSION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lastRenderedPageBreak/>
        <w:t xml:space="preserve">Two of the most important factors influencing the success of VBAC are a previous vaginal delivery history and natural labour. According to the report by </w:t>
      </w:r>
      <w:proofErr w:type="spellStart"/>
      <w:r>
        <w:rPr>
          <w:rStyle w:val="NormalCharacter"/>
          <w:rFonts w:ascii="Book Antiqua" w:hAnsi="Book Antiqua"/>
          <w:color w:val="000000"/>
          <w:sz w:val="24"/>
          <w:lang w:val="en-GB"/>
        </w:rPr>
        <w:t>Guo</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15]</w:t>
      </w:r>
      <w:r>
        <w:rPr>
          <w:rStyle w:val="NormalCharacter"/>
          <w:rFonts w:ascii="Book Antiqua" w:hAnsi="Book Antiqua"/>
          <w:color w:val="000000"/>
          <w:sz w:val="24"/>
          <w:lang w:val="en-GB"/>
        </w:rPr>
        <w:t xml:space="preserve">, the success rate of VBAC was higher among women with no vaginal delivery history. However, multiple studies have also shown that among the risk factors for uterine rupture, grand multiparty is notably related to an increased risk of uterine rupture after </w:t>
      </w:r>
      <w:proofErr w:type="gramStart"/>
      <w:r>
        <w:rPr>
          <w:rStyle w:val="NormalCharacter"/>
          <w:rFonts w:ascii="Book Antiqua" w:hAnsi="Book Antiqua"/>
          <w:color w:val="000000"/>
          <w:sz w:val="24"/>
          <w:lang w:val="en-GB"/>
        </w:rPr>
        <w:t>VBAC</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16]</w:t>
      </w:r>
      <w:r>
        <w:rPr>
          <w:rStyle w:val="NormalCharacter"/>
          <w:rFonts w:ascii="Book Antiqua" w:hAnsi="Book Antiqua"/>
          <w:color w:val="000000"/>
          <w:sz w:val="24"/>
          <w:lang w:val="en-GB"/>
        </w:rPr>
        <w:t xml:space="preserve">. Marie </w:t>
      </w:r>
      <w:proofErr w:type="spellStart"/>
      <w:r>
        <w:rPr>
          <w:rStyle w:val="NormalCharacter"/>
          <w:rFonts w:ascii="Book Antiqua" w:hAnsi="Book Antiqua"/>
          <w:color w:val="000000"/>
          <w:sz w:val="24"/>
          <w:lang w:val="en-GB"/>
        </w:rPr>
        <w:t>Bereka</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17]</w:t>
      </w:r>
      <w:r>
        <w:rPr>
          <w:rStyle w:val="NormalCharacter"/>
          <w:rFonts w:ascii="Book Antiqua" w:hAnsi="Book Antiqua"/>
          <w:color w:val="000000"/>
          <w:sz w:val="24"/>
          <w:lang w:val="en-GB"/>
        </w:rPr>
        <w:t xml:space="preserve"> demonstrated that uterine rupture was associated with obstructed labour, prolonged labour, </w:t>
      </w:r>
      <w:proofErr w:type="spellStart"/>
      <w:r>
        <w:rPr>
          <w:rStyle w:val="NormalCharacter"/>
          <w:rFonts w:ascii="Book Antiqua" w:hAnsi="Book Antiqua"/>
          <w:color w:val="000000"/>
          <w:sz w:val="24"/>
          <w:lang w:val="en-GB"/>
        </w:rPr>
        <w:t>malpresentation</w:t>
      </w:r>
      <w:proofErr w:type="spellEnd"/>
      <w:r>
        <w:rPr>
          <w:rStyle w:val="NormalCharacter"/>
          <w:rFonts w:ascii="Book Antiqua" w:hAnsi="Book Antiqua"/>
          <w:color w:val="000000"/>
          <w:sz w:val="24"/>
          <w:lang w:val="en-GB"/>
        </w:rPr>
        <w:t xml:space="preserve">, and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The research by </w:t>
      </w:r>
      <w:proofErr w:type="spellStart"/>
      <w:r>
        <w:rPr>
          <w:rStyle w:val="NormalCharacter"/>
          <w:rFonts w:ascii="Book Antiqua" w:hAnsi="Book Antiqua"/>
          <w:color w:val="000000"/>
          <w:sz w:val="24"/>
          <w:lang w:val="en-GB"/>
        </w:rPr>
        <w:t>Ronel</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18]</w:t>
      </w:r>
      <w:r>
        <w:rPr>
          <w:rStyle w:val="NormalCharacter"/>
          <w:rFonts w:ascii="Book Antiqua" w:hAnsi="Book Antiqua"/>
          <w:color w:val="000000"/>
          <w:sz w:val="24"/>
          <w:lang w:val="en-GB"/>
        </w:rPr>
        <w:t xml:space="preserve"> showed that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an independent risk factor for uterine rupture (odds ratio</w:t>
      </w:r>
      <w:r w:rsidR="00791D20">
        <w:rPr>
          <w:rStyle w:val="NormalCharacter"/>
          <w:rFonts w:ascii="Book Antiqua" w:hAnsi="Book Antiqua"/>
          <w:color w:val="000000"/>
          <w:sz w:val="24"/>
          <w:lang w:val="en-GB"/>
        </w:rPr>
        <w:t xml:space="preserve"> </w:t>
      </w:r>
      <w:r>
        <w:rPr>
          <w:rStyle w:val="NormalCharacter"/>
          <w:rFonts w:ascii="Book Antiqua" w:hAnsi="Book Antiqua"/>
          <w:color w:val="000000"/>
          <w:sz w:val="24"/>
          <w:lang w:val="en-GB"/>
        </w:rPr>
        <w:t>[OR] = 1.2, 95% confidence interval [CI]: 1.1-1.3). In addition, Al-</w:t>
      </w:r>
      <w:proofErr w:type="spellStart"/>
      <w:r>
        <w:rPr>
          <w:rStyle w:val="NormalCharacter"/>
          <w:rFonts w:ascii="Book Antiqua" w:hAnsi="Book Antiqua"/>
          <w:color w:val="000000"/>
          <w:sz w:val="24"/>
          <w:lang w:val="en-GB"/>
        </w:rPr>
        <w:t>Zirqi</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et al</w:t>
      </w:r>
      <w:r>
        <w:rPr>
          <w:rStyle w:val="NormalCharacter"/>
          <w:rFonts w:ascii="Book Antiqua" w:hAnsi="Book Antiqua"/>
          <w:color w:val="000000"/>
          <w:sz w:val="24"/>
          <w:vertAlign w:val="superscript"/>
          <w:lang w:val="en-GB"/>
        </w:rPr>
        <w:t>[19]</w:t>
      </w:r>
      <w:r>
        <w:rPr>
          <w:rStyle w:val="NormalCharacter"/>
          <w:rFonts w:ascii="Book Antiqua" w:hAnsi="Book Antiqua"/>
          <w:color w:val="000000"/>
          <w:sz w:val="24"/>
          <w:lang w:val="en-GB"/>
        </w:rPr>
        <w:t xml:space="preserve"> noted that compared to a parity of 1-2, parity ≥ 3 (adjusted OR = 2.8, 95%CI: 1.2-6.7) increased the risk of </w:t>
      </w:r>
      <w:proofErr w:type="spellStart"/>
      <w:r>
        <w:rPr>
          <w:rStyle w:val="NormalCharacter"/>
          <w:rFonts w:ascii="Book Antiqua" w:hAnsi="Book Antiqua"/>
          <w:color w:val="000000"/>
          <w:sz w:val="24"/>
          <w:lang w:val="en-GB"/>
        </w:rPr>
        <w:t>peripartum</w:t>
      </w:r>
      <w:proofErr w:type="spellEnd"/>
      <w:r>
        <w:rPr>
          <w:rStyle w:val="NormalCharacter"/>
          <w:rFonts w:ascii="Book Antiqua" w:hAnsi="Book Antiqua"/>
          <w:color w:val="000000"/>
          <w:sz w:val="24"/>
          <w:lang w:val="en-GB"/>
        </w:rPr>
        <w:t xml:space="preserve"> hysterectomy; that is, higher parity corresponds to lower muscle layer thickness in the lower uterine segment and a higher risk of rupture. Based on 5 years of VBAC case data collected at our hospital, we found that the percentage of successful VBAC cases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pregnancies (parity ≥ 3) was 6%, and 7/16 cases were second VBAC cases. The incidence rates of uterine rupture associated with the first VBAC and the second VBAC were 5.8% and 28.5%, respectively. Therefore, we speculate that the risk of uterine rupture with a second VBAC is definitively higher than that with the first VBAC. The reason may be weakness of the muscle layer of the inferior segment of the uterus after caesarean section and retraction of the myometrium with tissue oedema during vaginal birth for a second pregnancy. The feasibility and safety of a second VBAC require additional large-sample and multicentre studies for validation. Additionally, the patient should be fully informed of the increased risk of rupture during pregnancy and labour. Close monitoring and timely detection of uterine rupture are needed during the intrapartum and postpartum periods.</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diagnosis of uterine rupture is mainly based on clinical manifestations, foetal heart abnormalities, or imaging examinations. Some factors have been identified as independent risk factors for a delayed diagnosis, such as an unscarred uterus (OR = 27.0, 95%CI: 6.58-111.1), epidural analgesia during labour (OR = 7.9, 95%CI: 2.32-27.05), and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(OR = 4.6, 95%CI: 1.40-14.99</w:t>
      </w:r>
      <w:proofErr w:type="gramStart"/>
      <w:r>
        <w:rPr>
          <w:rStyle w:val="NormalCharacter"/>
          <w:rFonts w:ascii="Book Antiqua" w:hAnsi="Book Antiqua"/>
          <w:color w:val="000000"/>
          <w:sz w:val="24"/>
          <w:lang w:val="en-GB"/>
        </w:rPr>
        <w:t>)</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14]</w:t>
      </w:r>
      <w:r>
        <w:rPr>
          <w:rStyle w:val="NormalCharacter"/>
          <w:rFonts w:ascii="Book Antiqua" w:hAnsi="Book Antiqua"/>
          <w:color w:val="000000"/>
          <w:sz w:val="24"/>
          <w:lang w:val="en-GB"/>
        </w:rPr>
        <w:t xml:space="preserve">. The patient in our case </w:t>
      </w:r>
      <w:r>
        <w:rPr>
          <w:rStyle w:val="NormalCharacter"/>
          <w:rFonts w:ascii="Book Antiqua" w:hAnsi="Book Antiqua"/>
          <w:color w:val="000000"/>
          <w:sz w:val="24"/>
          <w:lang w:val="en-GB"/>
        </w:rPr>
        <w:lastRenderedPageBreak/>
        <w:t xml:space="preserve">report likely received epidural analgesia in her history of grand multiparty, which delayed the detection and diagnosis of uterine rupture. A previous study also showed that a delayed diagnosis was independently associated with hysterectomy and significantly higher rates of blood transfusions and puerperal fever. Clinically, manual exploration of the uterine cavity is commonly carried out after delivery to assess whether a laceration is present in the scar of the lower uterine segment and to observe urine volume and vaginal bleeding. However, the </w:t>
      </w:r>
      <w:r>
        <w:rPr>
          <w:rStyle w:val="NormalCharacter"/>
          <w:rFonts w:ascii="Book Antiqua" w:hAnsi="Book Antiqua"/>
          <w:sz w:val="24"/>
        </w:rPr>
        <w:t>French College of Gynecologists and Obstetricians</w:t>
      </w:r>
      <w:r>
        <w:rPr>
          <w:rStyle w:val="NormalCharacter"/>
          <w:rFonts w:ascii="Book Antiqua" w:hAnsi="Book Antiqua"/>
          <w:color w:val="000000"/>
          <w:sz w:val="24"/>
          <w:lang w:val="en-GB"/>
        </w:rPr>
        <w:t xml:space="preserve"> guidelines recommend that a simple uterine scar is not an indication for routine postpartum uterine cavity exploration, and that only symptomatic rupture requires surgical repair due to the low accuracy of postpartum exploration for diagnosing uterine </w:t>
      </w:r>
      <w:proofErr w:type="gramStart"/>
      <w:r>
        <w:rPr>
          <w:rStyle w:val="NormalCharacter"/>
          <w:rFonts w:ascii="Book Antiqua" w:hAnsi="Book Antiqua"/>
          <w:color w:val="000000"/>
          <w:sz w:val="24"/>
          <w:lang w:val="en-GB"/>
        </w:rPr>
        <w:t>rupture</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20]</w:t>
      </w:r>
      <w:r>
        <w:rPr>
          <w:rStyle w:val="NormalCharacter"/>
          <w:rFonts w:ascii="Book Antiqua" w:hAnsi="Book Antiqua"/>
          <w:color w:val="000000"/>
          <w:sz w:val="24"/>
          <w:lang w:val="en-GB"/>
        </w:rPr>
        <w:t xml:space="preserve">. In contrast, no surgical treatment is required even if symptoms of suspected uterine rupture are noted on exploration. Additionally, according to Silberstein’s report, the detection rate of scar defects or scars detected by palpation after delivery is only 0.23%, and trauma can easily increase during the intrauterine exploration </w:t>
      </w:r>
      <w:proofErr w:type="gramStart"/>
      <w:r>
        <w:rPr>
          <w:rStyle w:val="NormalCharacter"/>
          <w:rFonts w:ascii="Book Antiqua" w:hAnsi="Book Antiqua"/>
          <w:color w:val="000000"/>
          <w:sz w:val="24"/>
          <w:lang w:val="en-GB"/>
        </w:rPr>
        <w:t>process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21]</w:t>
      </w:r>
      <w:r>
        <w:rPr>
          <w:rStyle w:val="NormalCharacter"/>
          <w:rFonts w:ascii="Book Antiqua" w:hAnsi="Book Antiqua"/>
          <w:color w:val="000000"/>
          <w:sz w:val="24"/>
          <w:lang w:val="en-GB"/>
        </w:rPr>
        <w:t xml:space="preserve">. Moreover, some case reports have described uterine rupture caused by postpartum uterine </w:t>
      </w:r>
      <w:proofErr w:type="gramStart"/>
      <w:r>
        <w:rPr>
          <w:rStyle w:val="NormalCharacter"/>
          <w:rFonts w:ascii="Book Antiqua" w:hAnsi="Book Antiqua"/>
          <w:color w:val="000000"/>
          <w:sz w:val="24"/>
          <w:lang w:val="en-GB"/>
        </w:rPr>
        <w:t>massage</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22]</w:t>
      </w:r>
      <w:r>
        <w:rPr>
          <w:rStyle w:val="NormalCharacter"/>
          <w:rFonts w:ascii="Book Antiqua" w:hAnsi="Book Antiqua"/>
          <w:color w:val="000000"/>
          <w:sz w:val="24"/>
          <w:lang w:val="en-GB"/>
        </w:rPr>
        <w:t>. Therefore, routine postpartum intrauterine exploration is not beneficial to the mother and may even increase the risk of rupture. In this case, the patient underwent routine intrauterine exploration after delivery, and no obvious signs of rupture were detected. However, the typical symptom of abdominal pain in the patient appeared 13 h after delivery; therefore, the possibility of rupture caused by missed intrauterine exploration or improper postpartum massage cannot be excluded.</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treatment of uterine rupture mainly depends on the location of the rupture, the degree of involvement of the </w:t>
      </w:r>
      <w:proofErr w:type="spellStart"/>
      <w:r>
        <w:rPr>
          <w:rStyle w:val="NormalCharacter"/>
          <w:rFonts w:ascii="Book Antiqua" w:hAnsi="Book Antiqua"/>
          <w:color w:val="000000"/>
          <w:sz w:val="24"/>
          <w:lang w:val="en-GB"/>
        </w:rPr>
        <w:t>parauterine</w:t>
      </w:r>
      <w:proofErr w:type="spellEnd"/>
      <w:r>
        <w:rPr>
          <w:rStyle w:val="NormalCharacter"/>
          <w:rFonts w:ascii="Book Antiqua" w:hAnsi="Book Antiqua"/>
          <w:color w:val="000000"/>
          <w:sz w:val="24"/>
          <w:lang w:val="en-GB"/>
        </w:rPr>
        <w:t xml:space="preserve"> tissue, the desire for a subsequent pregnancy, and the willingness of patients and their families to make decisions. The treatment methods include uterine repair and hysterectomy. Exploratory laparotomy is the most commonly used method to confirm uterine rupture in clinical practice; however, laparoscopic uterine repair is rarely reported abroad. A case of postpartum uterine rupture and laparoscopic repair was reported by </w:t>
      </w:r>
      <w:proofErr w:type="spellStart"/>
      <w:r>
        <w:rPr>
          <w:rStyle w:val="NormalCharacter"/>
          <w:rFonts w:ascii="Book Antiqua" w:hAnsi="Book Antiqua"/>
          <w:color w:val="000000"/>
          <w:sz w:val="24"/>
          <w:lang w:val="en-GB"/>
        </w:rPr>
        <w:t>Rottenstreich</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23]</w:t>
      </w:r>
      <w:r>
        <w:rPr>
          <w:rStyle w:val="NormalCharacter"/>
          <w:rFonts w:ascii="Book Antiqua" w:hAnsi="Book Antiqua"/>
          <w:color w:val="000000"/>
          <w:sz w:val="24"/>
          <w:lang w:val="en-GB"/>
        </w:rPr>
        <w:t xml:space="preserve">. Additionally, a special case of uterine and bladder rupture after VBAC and laparoscopic repair was reported by </w:t>
      </w:r>
      <w:proofErr w:type="spellStart"/>
      <w:r>
        <w:rPr>
          <w:rStyle w:val="NormalCharacter"/>
          <w:rFonts w:ascii="Book Antiqua" w:hAnsi="Book Antiqua"/>
          <w:color w:val="000000"/>
          <w:sz w:val="24"/>
          <w:lang w:val="en-GB"/>
        </w:rPr>
        <w:t>Lua</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24]</w:t>
      </w:r>
      <w:r>
        <w:rPr>
          <w:rStyle w:val="NormalCharacter"/>
          <w:rFonts w:ascii="Book Antiqua" w:hAnsi="Book Antiqua"/>
          <w:color w:val="000000"/>
          <w:sz w:val="24"/>
          <w:lang w:val="en-GB"/>
        </w:rPr>
        <w:t xml:space="preserve">. With the continuous development of </w:t>
      </w:r>
      <w:r>
        <w:rPr>
          <w:rStyle w:val="NormalCharacter"/>
          <w:rFonts w:ascii="Book Antiqua" w:hAnsi="Book Antiqua"/>
          <w:color w:val="000000"/>
          <w:sz w:val="24"/>
          <w:lang w:val="en-GB"/>
        </w:rPr>
        <w:lastRenderedPageBreak/>
        <w:t>laparoscopic technology in recent years, its application has become increasingly extensive. The present case report shows that successful repair of uterine rupture can be achieved with a minimally invasive technique in the stable postpartum period. Since the patient had successfully delivered vaginally, no fresh scar was present on the abdomen, and her vital signs were stable. To determine the diagnosis, laparoscopy can be performed first, and then laparoscopic uterine repair can be carried out once the diagnosis is clear. The advantages of this approach include a small surgical wound and quick recovery, a clear diagnosis, fewer misdiagnoses of maternal injury, and the use of well-developed laparoscopic surgical technology. Thus, this approach should be applied more often in clinical practice.</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rsidP="00791D20">
      <w:pPr>
        <w:pStyle w:val="179"/>
        <w:snapToGrid w:val="0"/>
        <w:spacing w:line="360" w:lineRule="auto"/>
        <w:ind w:firstLineChars="0" w:firstLine="0"/>
        <w:rPr>
          <w:rStyle w:val="NormalCharacter"/>
          <w:rFonts w:ascii="Book Antiqua" w:eastAsia="Calibri" w:hAnsi="Book Antiqua"/>
          <w:b/>
          <w:sz w:val="24"/>
          <w:u w:val="single"/>
        </w:rPr>
      </w:pPr>
      <w:r>
        <w:rPr>
          <w:rStyle w:val="NormalCharacter"/>
          <w:rFonts w:ascii="Book Antiqua" w:eastAsia="Calibri" w:hAnsi="Book Antiqua"/>
          <w:b/>
          <w:sz w:val="24"/>
          <w:u w:val="single"/>
        </w:rPr>
        <w:t>CONCLUSION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require detailed clinical evaluations and additional study. Routine postpartum intrauterine exploration is not beneficial to the mother and may even increase the risk of rupture. This case highlights a laparoscopic approach for repairing uterine rupture in the immediate postpartum period.</w:t>
      </w:r>
    </w:p>
    <w:p w:rsidR="00CF1418" w:rsidRDefault="00CF1418">
      <w:pPr>
        <w:snapToGrid w:val="0"/>
        <w:spacing w:line="360" w:lineRule="auto"/>
        <w:rPr>
          <w:rStyle w:val="NormalCharacter"/>
          <w:rFonts w:ascii="Book Antiqua" w:hAnsi="Book Antiqua" w:cs="Times New Roman"/>
          <w:b/>
          <w:bCs/>
          <w:color w:val="000000"/>
          <w:sz w:val="24"/>
          <w:lang w:val="en-GB"/>
        </w:rPr>
      </w:pPr>
    </w:p>
    <w:p w:rsidR="009C7CF6" w:rsidRDefault="008E666C" w:rsidP="009C7CF6">
      <w:pPr>
        <w:pStyle w:val="UserStyle12"/>
        <w:snapToGrid w:val="0"/>
        <w:spacing w:before="0" w:after="0" w:line="360" w:lineRule="auto"/>
        <w:jc w:val="both"/>
        <w:rPr>
          <w:rStyle w:val="UserStyle11"/>
          <w:rFonts w:ascii="Book Antiqua" w:hAnsi="Book Antiqua" w:cs="等线"/>
          <w:b/>
          <w:bCs/>
          <w:u w:val="single"/>
          <w:lang w:eastAsia="zh-CN"/>
        </w:rPr>
      </w:pPr>
      <w:r>
        <w:rPr>
          <w:rStyle w:val="UserStyle11"/>
          <w:rFonts w:ascii="Book Antiqua" w:hAnsi="Book Antiqua" w:cs="等线"/>
          <w:b/>
          <w:bCs/>
          <w:u w:val="single"/>
        </w:rPr>
        <w:t>ACKNOWLEDGEMENTS</w:t>
      </w:r>
    </w:p>
    <w:p w:rsidR="00CF1418" w:rsidRPr="009C7CF6" w:rsidRDefault="008E666C" w:rsidP="009C7CF6">
      <w:pPr>
        <w:pStyle w:val="UserStyle12"/>
        <w:snapToGrid w:val="0"/>
        <w:spacing w:before="0" w:after="0" w:line="360" w:lineRule="auto"/>
        <w:jc w:val="both"/>
        <w:rPr>
          <w:rStyle w:val="NormalCharacter"/>
          <w:rFonts w:ascii="Book Antiqua" w:hAnsi="Book Antiqua"/>
          <w:u w:val="single"/>
        </w:rPr>
      </w:pPr>
      <w:r>
        <w:rPr>
          <w:rStyle w:val="NormalCharacter"/>
          <w:rFonts w:ascii="Book Antiqua" w:hAnsi="Book Antiqua"/>
          <w:color w:val="000000"/>
          <w:kern w:val="2"/>
          <w:lang w:val="en-GB"/>
        </w:rPr>
        <w:t>We thank the woman who participated in the study.</w:t>
      </w:r>
      <w:r>
        <w:rPr>
          <w:rStyle w:val="NormalCharacter"/>
          <w:rFonts w:ascii="Book Antiqua" w:hAnsi="Book Antiqua"/>
          <w:color w:val="000000"/>
          <w:kern w:val="2"/>
        </w:rPr>
        <w:t xml:space="preserve"> </w:t>
      </w:r>
      <w:r>
        <w:rPr>
          <w:rStyle w:val="NormalCharacter"/>
          <w:rFonts w:ascii="Book Antiqua" w:hAnsi="Book Antiqua"/>
          <w:color w:val="000000"/>
          <w:kern w:val="2"/>
          <w:lang w:val="en-GB"/>
        </w:rPr>
        <w:t>The authors thank Hong-</w:t>
      </w:r>
      <w:proofErr w:type="spellStart"/>
      <w:r>
        <w:rPr>
          <w:rStyle w:val="NormalCharacter"/>
          <w:rFonts w:ascii="Book Antiqua" w:hAnsi="Book Antiqua"/>
          <w:color w:val="000000"/>
          <w:kern w:val="2"/>
          <w:lang w:val="en-GB"/>
        </w:rPr>
        <w:t>Jie</w:t>
      </w:r>
      <w:proofErr w:type="spellEnd"/>
      <w:r>
        <w:rPr>
          <w:rStyle w:val="NormalCharacter"/>
          <w:rFonts w:ascii="Book Antiqua" w:hAnsi="Book Antiqua"/>
          <w:color w:val="000000"/>
          <w:kern w:val="2"/>
          <w:lang w:val="en-GB"/>
        </w:rPr>
        <w:t xml:space="preserve"> Pan for assistance with postpartum magnetic resonance imaging measurement and image acquisition</w:t>
      </w:r>
      <w:r>
        <w:rPr>
          <w:rStyle w:val="NormalCharacter"/>
          <w:rFonts w:ascii="Book Antiqua" w:hAnsi="Book Antiqua"/>
          <w:color w:val="000000"/>
          <w:kern w:val="2"/>
        </w:rPr>
        <w:t>.</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rsidP="009C7CF6">
      <w:pPr>
        <w:pStyle w:val="179"/>
        <w:snapToGrid w:val="0"/>
        <w:spacing w:line="360" w:lineRule="auto"/>
        <w:ind w:firstLineChars="0" w:firstLine="0"/>
        <w:rPr>
          <w:rStyle w:val="NormalCharacter"/>
          <w:rFonts w:ascii="Book Antiqua" w:hAnsi="Book Antiqua"/>
          <w:sz w:val="24"/>
        </w:rPr>
      </w:pPr>
      <w:r>
        <w:rPr>
          <w:rStyle w:val="NormalCharacter"/>
          <w:rFonts w:ascii="Book Antiqua" w:hAnsi="Book Antiqua"/>
          <w:b/>
          <w:sz w:val="24"/>
        </w:rPr>
        <w:t>REFERENCES</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 </w:t>
      </w:r>
      <w:r>
        <w:rPr>
          <w:rStyle w:val="NormalCharacter"/>
          <w:rFonts w:ascii="Book Antiqua" w:hAnsi="Book Antiqua"/>
          <w:b/>
          <w:sz w:val="24"/>
        </w:rPr>
        <w:t>Barger MK</w:t>
      </w:r>
      <w:r>
        <w:rPr>
          <w:rStyle w:val="NormalCharacter"/>
          <w:rFonts w:ascii="Book Antiqua" w:hAnsi="Book Antiqua"/>
          <w:sz w:val="24"/>
        </w:rPr>
        <w:t xml:space="preserve">, </w:t>
      </w:r>
      <w:proofErr w:type="spellStart"/>
      <w:r>
        <w:rPr>
          <w:rStyle w:val="NormalCharacter"/>
          <w:rFonts w:ascii="Book Antiqua" w:hAnsi="Book Antiqua"/>
          <w:sz w:val="24"/>
        </w:rPr>
        <w:t>Nannini</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DeJoy</w:t>
      </w:r>
      <w:proofErr w:type="spellEnd"/>
      <w:r>
        <w:rPr>
          <w:rStyle w:val="NormalCharacter"/>
          <w:rFonts w:ascii="Book Antiqua" w:hAnsi="Book Antiqua"/>
          <w:sz w:val="24"/>
        </w:rPr>
        <w:t xml:space="preserve"> S, Wisner K, </w:t>
      </w:r>
      <w:proofErr w:type="spellStart"/>
      <w:r>
        <w:rPr>
          <w:rStyle w:val="NormalCharacter"/>
          <w:rFonts w:ascii="Book Antiqua" w:hAnsi="Book Antiqua"/>
          <w:sz w:val="24"/>
        </w:rPr>
        <w:t>Markenson</w:t>
      </w:r>
      <w:proofErr w:type="spellEnd"/>
      <w:r>
        <w:rPr>
          <w:rStyle w:val="NormalCharacter"/>
          <w:rFonts w:ascii="Book Antiqua" w:hAnsi="Book Antiqua"/>
          <w:sz w:val="24"/>
        </w:rPr>
        <w:t xml:space="preserve"> G. Maternal and newborn outcomes following uterine rupture among women without versus those with a prior cesarean. </w:t>
      </w:r>
      <w:r>
        <w:rPr>
          <w:rStyle w:val="NormalCharacter"/>
          <w:rFonts w:ascii="Book Antiqua" w:hAnsi="Book Antiqua"/>
          <w:i/>
          <w:sz w:val="24"/>
        </w:rPr>
        <w:t xml:space="preserve">J </w:t>
      </w:r>
      <w:proofErr w:type="spellStart"/>
      <w:r>
        <w:rPr>
          <w:rStyle w:val="NormalCharacter"/>
          <w:rFonts w:ascii="Book Antiqua" w:hAnsi="Book Antiqua"/>
          <w:i/>
          <w:sz w:val="24"/>
        </w:rPr>
        <w:t>Matern</w:t>
      </w:r>
      <w:proofErr w:type="spellEnd"/>
      <w:r>
        <w:rPr>
          <w:rStyle w:val="NormalCharacter"/>
          <w:rFonts w:ascii="Book Antiqua" w:hAnsi="Book Antiqua"/>
          <w:i/>
          <w:sz w:val="24"/>
        </w:rPr>
        <w:t xml:space="preserve"> Fetal Neonatal Med</w:t>
      </w:r>
      <w:r>
        <w:rPr>
          <w:rStyle w:val="NormalCharacter"/>
          <w:rFonts w:ascii="Book Antiqua" w:hAnsi="Book Antiqua"/>
          <w:sz w:val="24"/>
        </w:rPr>
        <w:t xml:space="preserve"> 2013; </w:t>
      </w:r>
      <w:r>
        <w:rPr>
          <w:rStyle w:val="NormalCharacter"/>
          <w:rFonts w:ascii="Book Antiqua" w:hAnsi="Book Antiqua"/>
          <w:b/>
          <w:sz w:val="24"/>
        </w:rPr>
        <w:t>26</w:t>
      </w:r>
      <w:r>
        <w:rPr>
          <w:rStyle w:val="NormalCharacter"/>
          <w:rFonts w:ascii="Book Antiqua" w:hAnsi="Book Antiqua"/>
          <w:sz w:val="24"/>
        </w:rPr>
        <w:t>: 183-187 [PMID: 22954425 DOI: 10.3109/14767058.2012.725790]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2 </w:t>
      </w:r>
      <w:r>
        <w:rPr>
          <w:rStyle w:val="NormalCharacter"/>
          <w:rFonts w:ascii="Book Antiqua" w:hAnsi="Book Antiqua"/>
          <w:b/>
          <w:sz w:val="24"/>
        </w:rPr>
        <w:t>Gibbins KJ</w:t>
      </w:r>
      <w:r>
        <w:rPr>
          <w:rStyle w:val="NormalCharacter"/>
          <w:rFonts w:ascii="Book Antiqua" w:hAnsi="Book Antiqua"/>
          <w:sz w:val="24"/>
        </w:rPr>
        <w:t xml:space="preserve">, Weber T, Holmgren CM, Porter TF, Varner MW, </w:t>
      </w:r>
      <w:proofErr w:type="spellStart"/>
      <w:r>
        <w:rPr>
          <w:rStyle w:val="NormalCharacter"/>
          <w:rFonts w:ascii="Book Antiqua" w:hAnsi="Book Antiqua"/>
          <w:sz w:val="24"/>
        </w:rPr>
        <w:t>Manuck</w:t>
      </w:r>
      <w:proofErr w:type="spellEnd"/>
      <w:r>
        <w:rPr>
          <w:rStyle w:val="NormalCharacter"/>
          <w:rFonts w:ascii="Book Antiqua" w:hAnsi="Book Antiqua"/>
          <w:sz w:val="24"/>
        </w:rPr>
        <w:t xml:space="preserve"> TA. Maternal and fetal morbidity associated with uterine rupture of the unscarred uterus. </w:t>
      </w:r>
      <w:r>
        <w:rPr>
          <w:rStyle w:val="NormalCharacter"/>
          <w:rFonts w:ascii="Book Antiqua" w:hAnsi="Book Antiqua"/>
          <w:i/>
          <w:sz w:val="24"/>
        </w:rPr>
        <w:t xml:space="preserve">Am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2015; </w:t>
      </w:r>
      <w:r>
        <w:rPr>
          <w:rStyle w:val="NormalCharacter"/>
          <w:rFonts w:ascii="Book Antiqua" w:hAnsi="Book Antiqua"/>
          <w:b/>
          <w:sz w:val="24"/>
        </w:rPr>
        <w:t>213</w:t>
      </w:r>
      <w:r>
        <w:rPr>
          <w:rStyle w:val="NormalCharacter"/>
          <w:rFonts w:ascii="Book Antiqua" w:hAnsi="Book Antiqua"/>
          <w:sz w:val="24"/>
        </w:rPr>
        <w:t>: 382.e1-382.e6 [PMID: 26026917 DOI: 10.1016/j.ajog.2015.05.048]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3 </w:t>
      </w:r>
      <w:r>
        <w:rPr>
          <w:rStyle w:val="NormalCharacter"/>
          <w:rFonts w:ascii="Book Antiqua" w:hAnsi="Book Antiqua"/>
          <w:b/>
          <w:sz w:val="24"/>
        </w:rPr>
        <w:t>Al-</w:t>
      </w:r>
      <w:proofErr w:type="spellStart"/>
      <w:r>
        <w:rPr>
          <w:rStyle w:val="NormalCharacter"/>
          <w:rFonts w:ascii="Book Antiqua" w:hAnsi="Book Antiqua"/>
          <w:b/>
          <w:sz w:val="24"/>
        </w:rPr>
        <w:t>Zirqi</w:t>
      </w:r>
      <w:proofErr w:type="spellEnd"/>
      <w:r>
        <w:rPr>
          <w:rStyle w:val="NormalCharacter"/>
          <w:rFonts w:ascii="Book Antiqua" w:hAnsi="Book Antiqua"/>
          <w:b/>
          <w:sz w:val="24"/>
        </w:rPr>
        <w:t xml:space="preserve"> I</w:t>
      </w:r>
      <w:r>
        <w:rPr>
          <w:rStyle w:val="NormalCharacter"/>
          <w:rFonts w:ascii="Book Antiqua" w:hAnsi="Book Antiqua"/>
          <w:sz w:val="24"/>
        </w:rPr>
        <w:t xml:space="preserve">, </w:t>
      </w:r>
      <w:proofErr w:type="spellStart"/>
      <w:r>
        <w:rPr>
          <w:rStyle w:val="NormalCharacter"/>
          <w:rFonts w:ascii="Book Antiqua" w:hAnsi="Book Antiqua"/>
          <w:sz w:val="24"/>
        </w:rPr>
        <w:t>Daltveit</w:t>
      </w:r>
      <w:proofErr w:type="spellEnd"/>
      <w:r>
        <w:rPr>
          <w:rStyle w:val="NormalCharacter"/>
          <w:rFonts w:ascii="Book Antiqua" w:hAnsi="Book Antiqua"/>
          <w:sz w:val="24"/>
        </w:rPr>
        <w:t xml:space="preserve"> AK, </w:t>
      </w:r>
      <w:proofErr w:type="spellStart"/>
      <w:r>
        <w:rPr>
          <w:rStyle w:val="NormalCharacter"/>
          <w:rFonts w:ascii="Book Antiqua" w:hAnsi="Book Antiqua"/>
          <w:sz w:val="24"/>
        </w:rPr>
        <w:t>Vangen</w:t>
      </w:r>
      <w:proofErr w:type="spellEnd"/>
      <w:r>
        <w:rPr>
          <w:rStyle w:val="NormalCharacter"/>
          <w:rFonts w:ascii="Book Antiqua" w:hAnsi="Book Antiqua"/>
          <w:sz w:val="24"/>
        </w:rPr>
        <w:t xml:space="preserve"> S. Infant outcome after complete uterine rupture. </w:t>
      </w:r>
      <w:r>
        <w:rPr>
          <w:rStyle w:val="NormalCharacter"/>
          <w:rFonts w:ascii="Book Antiqua" w:hAnsi="Book Antiqua"/>
          <w:i/>
          <w:sz w:val="24"/>
        </w:rPr>
        <w:t xml:space="preserve">Am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2018; </w:t>
      </w:r>
      <w:r>
        <w:rPr>
          <w:rStyle w:val="NormalCharacter"/>
          <w:rFonts w:ascii="Book Antiqua" w:hAnsi="Book Antiqua"/>
          <w:b/>
          <w:sz w:val="24"/>
        </w:rPr>
        <w:t>219</w:t>
      </w:r>
      <w:r>
        <w:rPr>
          <w:rStyle w:val="NormalCharacter"/>
          <w:rFonts w:ascii="Book Antiqua" w:hAnsi="Book Antiqua"/>
          <w:sz w:val="24"/>
        </w:rPr>
        <w:t>: 109.e1-109.e8 [PMID: 29655964 DOI: 10.1016/j.ajog.2018.04.010]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4 </w:t>
      </w:r>
      <w:r>
        <w:rPr>
          <w:rStyle w:val="NormalCharacter"/>
          <w:rFonts w:ascii="Book Antiqua" w:hAnsi="Book Antiqua"/>
          <w:b/>
          <w:sz w:val="24"/>
        </w:rPr>
        <w:t>Smith JG</w:t>
      </w:r>
      <w:r>
        <w:rPr>
          <w:rStyle w:val="NormalCharacter"/>
          <w:rFonts w:ascii="Book Antiqua" w:hAnsi="Book Antiqua"/>
          <w:sz w:val="24"/>
        </w:rPr>
        <w:t xml:space="preserve">, Mertz HL, Merrill DC. Identifying risk factors for uterine rupture. </w:t>
      </w:r>
      <w:proofErr w:type="spellStart"/>
      <w:r>
        <w:rPr>
          <w:rStyle w:val="NormalCharacter"/>
          <w:rFonts w:ascii="Book Antiqua" w:hAnsi="Book Antiqua"/>
          <w:i/>
          <w:sz w:val="24"/>
        </w:rPr>
        <w:t>Clin</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Perinatol</w:t>
      </w:r>
      <w:proofErr w:type="spellEnd"/>
      <w:r>
        <w:rPr>
          <w:rStyle w:val="NormalCharacter"/>
          <w:rFonts w:ascii="Book Antiqua" w:hAnsi="Book Antiqua"/>
          <w:sz w:val="24"/>
        </w:rPr>
        <w:t xml:space="preserve"> 2008; </w:t>
      </w:r>
      <w:r>
        <w:rPr>
          <w:rStyle w:val="NormalCharacter"/>
          <w:rFonts w:ascii="Book Antiqua" w:hAnsi="Book Antiqua"/>
          <w:b/>
          <w:sz w:val="24"/>
        </w:rPr>
        <w:t>35</w:t>
      </w:r>
      <w:r>
        <w:rPr>
          <w:rStyle w:val="NormalCharacter"/>
          <w:rFonts w:ascii="Book Antiqua" w:hAnsi="Book Antiqua"/>
          <w:sz w:val="24"/>
        </w:rPr>
        <w:t>: 85-99, viii [PMID: 18280877 DOI: 10.1016/j.clp.2007.11.008]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5 </w:t>
      </w:r>
      <w:r>
        <w:rPr>
          <w:rStyle w:val="NormalCharacter"/>
          <w:rFonts w:ascii="Book Antiqua" w:hAnsi="Book Antiqua"/>
          <w:b/>
          <w:sz w:val="24"/>
        </w:rPr>
        <w:t>Singh A</w:t>
      </w:r>
      <w:r>
        <w:rPr>
          <w:rStyle w:val="NormalCharacter"/>
          <w:rFonts w:ascii="Book Antiqua" w:hAnsi="Book Antiqua"/>
          <w:sz w:val="24"/>
        </w:rPr>
        <w:t xml:space="preserve">, </w:t>
      </w:r>
      <w:proofErr w:type="spellStart"/>
      <w:r>
        <w:rPr>
          <w:rStyle w:val="NormalCharacter"/>
          <w:rFonts w:ascii="Book Antiqua" w:hAnsi="Book Antiqua"/>
          <w:sz w:val="24"/>
        </w:rPr>
        <w:t>Shrivastava</w:t>
      </w:r>
      <w:proofErr w:type="spellEnd"/>
      <w:r>
        <w:rPr>
          <w:rStyle w:val="NormalCharacter"/>
          <w:rFonts w:ascii="Book Antiqua" w:hAnsi="Book Antiqua"/>
          <w:sz w:val="24"/>
        </w:rPr>
        <w:t xml:space="preserve"> C. Uterine Rupture: Still a Harsh Reality! </w:t>
      </w:r>
      <w:r>
        <w:rPr>
          <w:rStyle w:val="NormalCharacter"/>
          <w:rFonts w:ascii="Book Antiqua" w:hAnsi="Book Antiqua"/>
          <w:i/>
          <w:sz w:val="24"/>
        </w:rPr>
        <w:t xml:space="preserve">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Gynaecol</w:t>
      </w:r>
      <w:proofErr w:type="spellEnd"/>
      <w:r>
        <w:rPr>
          <w:rStyle w:val="NormalCharacter"/>
          <w:rFonts w:ascii="Book Antiqua" w:hAnsi="Book Antiqua"/>
          <w:i/>
          <w:sz w:val="24"/>
        </w:rPr>
        <w:t xml:space="preserve"> India</w:t>
      </w:r>
      <w:r>
        <w:rPr>
          <w:rStyle w:val="NormalCharacter"/>
          <w:rFonts w:ascii="Book Antiqua" w:hAnsi="Book Antiqua"/>
          <w:sz w:val="24"/>
        </w:rPr>
        <w:t xml:space="preserve"> 2015; </w:t>
      </w:r>
      <w:r>
        <w:rPr>
          <w:rStyle w:val="NormalCharacter"/>
          <w:rFonts w:ascii="Book Antiqua" w:hAnsi="Book Antiqua"/>
          <w:b/>
          <w:sz w:val="24"/>
        </w:rPr>
        <w:t>65</w:t>
      </w:r>
      <w:r>
        <w:rPr>
          <w:rStyle w:val="NormalCharacter"/>
          <w:rFonts w:ascii="Book Antiqua" w:hAnsi="Book Antiqua"/>
          <w:sz w:val="24"/>
        </w:rPr>
        <w:t>: 158-161 [PMID: 26085735 DOI: 10.1007/s13224-014-0551-2]</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6 </w:t>
      </w:r>
      <w:r>
        <w:rPr>
          <w:rStyle w:val="NormalCharacter"/>
          <w:rFonts w:ascii="Book Antiqua" w:hAnsi="Book Antiqua"/>
          <w:b/>
          <w:sz w:val="24"/>
        </w:rPr>
        <w:t>Mu Y</w:t>
      </w:r>
      <w:r>
        <w:rPr>
          <w:rStyle w:val="NormalCharacter"/>
          <w:rFonts w:ascii="Book Antiqua" w:hAnsi="Book Antiqua"/>
          <w:sz w:val="24"/>
        </w:rPr>
        <w:t xml:space="preserve">, Li X, Zhu J, Liu Z, Li M, Deng K, Deng C, Li Q, Kang L, Wang Y, Liang J. Prior caesarean section and likelihood of vaginal birth, 2012-2016, China. </w:t>
      </w:r>
      <w:r>
        <w:rPr>
          <w:rStyle w:val="NormalCharacter"/>
          <w:rFonts w:ascii="Book Antiqua" w:hAnsi="Book Antiqua"/>
          <w:i/>
          <w:sz w:val="24"/>
        </w:rPr>
        <w:t>Bull World Health Organ</w:t>
      </w:r>
      <w:r>
        <w:rPr>
          <w:rStyle w:val="NormalCharacter"/>
          <w:rFonts w:ascii="Book Antiqua" w:hAnsi="Book Antiqua"/>
          <w:sz w:val="24"/>
        </w:rPr>
        <w:t xml:space="preserve"> 2018; </w:t>
      </w:r>
      <w:r>
        <w:rPr>
          <w:rStyle w:val="NormalCharacter"/>
          <w:rFonts w:ascii="Book Antiqua" w:hAnsi="Book Antiqua"/>
          <w:b/>
          <w:sz w:val="24"/>
        </w:rPr>
        <w:t>96</w:t>
      </w:r>
      <w:r>
        <w:rPr>
          <w:rStyle w:val="NormalCharacter"/>
          <w:rFonts w:ascii="Book Antiqua" w:hAnsi="Book Antiqua"/>
          <w:sz w:val="24"/>
        </w:rPr>
        <w:t>: 548-557 [PMID: 30104795 DOI: 10.2471/BLT.17.206433]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7 </w:t>
      </w:r>
      <w:r>
        <w:rPr>
          <w:rStyle w:val="NormalCharacter"/>
          <w:rFonts w:ascii="Book Antiqua" w:hAnsi="Book Antiqua"/>
          <w:b/>
          <w:sz w:val="24"/>
        </w:rPr>
        <w:t>Hidalgo-</w:t>
      </w:r>
      <w:proofErr w:type="spellStart"/>
      <w:r>
        <w:rPr>
          <w:rStyle w:val="NormalCharacter"/>
          <w:rFonts w:ascii="Book Antiqua" w:hAnsi="Book Antiqua"/>
          <w:b/>
          <w:sz w:val="24"/>
        </w:rPr>
        <w:t>Lopezosa</w:t>
      </w:r>
      <w:proofErr w:type="spellEnd"/>
      <w:r>
        <w:rPr>
          <w:rStyle w:val="NormalCharacter"/>
          <w:rFonts w:ascii="Book Antiqua" w:hAnsi="Book Antiqua"/>
          <w:b/>
          <w:sz w:val="24"/>
        </w:rPr>
        <w:t xml:space="preserve"> P</w:t>
      </w:r>
      <w:r>
        <w:rPr>
          <w:rStyle w:val="NormalCharacter"/>
          <w:rFonts w:ascii="Book Antiqua" w:hAnsi="Book Antiqua"/>
          <w:sz w:val="24"/>
        </w:rPr>
        <w:t>, Hidalgo-</w:t>
      </w:r>
      <w:proofErr w:type="spellStart"/>
      <w:r>
        <w:rPr>
          <w:rStyle w:val="NormalCharacter"/>
          <w:rFonts w:ascii="Book Antiqua" w:hAnsi="Book Antiqua"/>
          <w:sz w:val="24"/>
        </w:rPr>
        <w:t>Maestre</w:t>
      </w:r>
      <w:proofErr w:type="spellEnd"/>
      <w:r>
        <w:rPr>
          <w:rStyle w:val="NormalCharacter"/>
          <w:rFonts w:ascii="Book Antiqua" w:hAnsi="Book Antiqua"/>
          <w:sz w:val="24"/>
        </w:rPr>
        <w:t xml:space="preserve"> M. [Risk of uterine rupture in vaginal birth after cesarean: Systematic review]. </w:t>
      </w:r>
      <w:proofErr w:type="spellStart"/>
      <w:r>
        <w:rPr>
          <w:rStyle w:val="NormalCharacter"/>
          <w:rFonts w:ascii="Book Antiqua" w:hAnsi="Book Antiqua"/>
          <w:i/>
          <w:sz w:val="24"/>
        </w:rPr>
        <w:t>Enferm</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Clin</w:t>
      </w:r>
      <w:proofErr w:type="spellEnd"/>
      <w:r>
        <w:rPr>
          <w:rStyle w:val="NormalCharacter"/>
          <w:rFonts w:ascii="Book Antiqua" w:hAnsi="Book Antiqua"/>
          <w:sz w:val="24"/>
        </w:rPr>
        <w:t xml:space="preserve"> 2017; </w:t>
      </w:r>
      <w:r>
        <w:rPr>
          <w:rStyle w:val="NormalCharacter"/>
          <w:rFonts w:ascii="Book Antiqua" w:hAnsi="Book Antiqua"/>
          <w:b/>
          <w:sz w:val="24"/>
        </w:rPr>
        <w:t>27</w:t>
      </w:r>
      <w:r>
        <w:rPr>
          <w:rStyle w:val="NormalCharacter"/>
          <w:rFonts w:ascii="Book Antiqua" w:hAnsi="Book Antiqua"/>
          <w:sz w:val="24"/>
        </w:rPr>
        <w:t>: 28-39 [PMID: 27726928 DOI: 10.1016/j.enfcli.2016.08.006]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8 </w:t>
      </w:r>
      <w:r>
        <w:rPr>
          <w:rStyle w:val="NormalCharacter"/>
          <w:rFonts w:ascii="Book Antiqua" w:hAnsi="Book Antiqua"/>
          <w:b/>
          <w:sz w:val="24"/>
        </w:rPr>
        <w:t>Qu ZQ</w:t>
      </w:r>
      <w:r>
        <w:rPr>
          <w:rStyle w:val="NormalCharacter"/>
          <w:rFonts w:ascii="Book Antiqua" w:hAnsi="Book Antiqua"/>
          <w:sz w:val="24"/>
        </w:rPr>
        <w:t xml:space="preserve">, Ma RM, Xiao H, Tian YQ, Li BL, Liang K, Du MY, Chen Z, </w:t>
      </w:r>
      <w:proofErr w:type="spellStart"/>
      <w:r>
        <w:rPr>
          <w:rStyle w:val="NormalCharacter"/>
          <w:rFonts w:ascii="Book Antiqua" w:hAnsi="Book Antiqua"/>
          <w:sz w:val="24"/>
        </w:rPr>
        <w:t>Geng</w:t>
      </w:r>
      <w:proofErr w:type="spellEnd"/>
      <w:r>
        <w:rPr>
          <w:rStyle w:val="NormalCharacter"/>
          <w:rFonts w:ascii="Book Antiqua" w:hAnsi="Book Antiqua"/>
          <w:sz w:val="24"/>
        </w:rPr>
        <w:t xml:space="preserve"> L, Yang MH, Tao YP, Zhu B. [The outcome of trial of labor after cesarean section]. </w:t>
      </w:r>
      <w:proofErr w:type="spellStart"/>
      <w:r>
        <w:rPr>
          <w:rStyle w:val="NormalCharacter"/>
          <w:rFonts w:ascii="Book Antiqua" w:hAnsi="Book Antiqua"/>
          <w:i/>
          <w:sz w:val="24"/>
        </w:rPr>
        <w:t>Zhonghua</w:t>
      </w:r>
      <w:proofErr w:type="spellEnd"/>
      <w:r>
        <w:rPr>
          <w:rStyle w:val="NormalCharacter"/>
          <w:rFonts w:ascii="Book Antiqua" w:hAnsi="Book Antiqua"/>
          <w:i/>
          <w:sz w:val="24"/>
        </w:rPr>
        <w:t xml:space="preserve"> Fu Chan </w:t>
      </w:r>
      <w:proofErr w:type="spellStart"/>
      <w:r>
        <w:rPr>
          <w:rStyle w:val="NormalCharacter"/>
          <w:rFonts w:ascii="Book Antiqua" w:hAnsi="Book Antiqua"/>
          <w:i/>
          <w:sz w:val="24"/>
        </w:rPr>
        <w:t>Ke</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Zhi</w:t>
      </w:r>
      <w:proofErr w:type="spellEnd"/>
      <w:r>
        <w:rPr>
          <w:rStyle w:val="NormalCharacter"/>
          <w:rFonts w:ascii="Book Antiqua" w:hAnsi="Book Antiqua"/>
          <w:sz w:val="24"/>
        </w:rPr>
        <w:t xml:space="preserve"> 2016; </w:t>
      </w:r>
      <w:r>
        <w:rPr>
          <w:rStyle w:val="NormalCharacter"/>
          <w:rFonts w:ascii="Book Antiqua" w:hAnsi="Book Antiqua"/>
          <w:b/>
          <w:sz w:val="24"/>
        </w:rPr>
        <w:t>51</w:t>
      </w:r>
      <w:r>
        <w:rPr>
          <w:rStyle w:val="NormalCharacter"/>
          <w:rFonts w:ascii="Book Antiqua" w:hAnsi="Book Antiqua"/>
          <w:sz w:val="24"/>
        </w:rPr>
        <w:t>: 748-753 [PMID: 27788742 DOI: 10.3760/cma.j.issn.0529-567X.2016.10.008]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9 </w:t>
      </w:r>
      <w:proofErr w:type="spellStart"/>
      <w:r>
        <w:rPr>
          <w:rStyle w:val="NormalCharacter"/>
          <w:rFonts w:ascii="Book Antiqua" w:hAnsi="Book Antiqua"/>
          <w:b/>
          <w:sz w:val="24"/>
        </w:rPr>
        <w:t>Naji</w:t>
      </w:r>
      <w:proofErr w:type="spellEnd"/>
      <w:r>
        <w:rPr>
          <w:rStyle w:val="NormalCharacter"/>
          <w:rFonts w:ascii="Book Antiqua" w:hAnsi="Book Antiqua"/>
          <w:b/>
          <w:sz w:val="24"/>
        </w:rPr>
        <w:t xml:space="preserve"> O</w:t>
      </w:r>
      <w:r>
        <w:rPr>
          <w:rStyle w:val="NormalCharacter"/>
          <w:rFonts w:ascii="Book Antiqua" w:hAnsi="Book Antiqua"/>
          <w:sz w:val="24"/>
        </w:rPr>
        <w:t xml:space="preserve">, </w:t>
      </w:r>
      <w:proofErr w:type="spellStart"/>
      <w:r>
        <w:rPr>
          <w:rStyle w:val="NormalCharacter"/>
          <w:rFonts w:ascii="Book Antiqua" w:hAnsi="Book Antiqua"/>
          <w:sz w:val="24"/>
        </w:rPr>
        <w:t>Wynants</w:t>
      </w:r>
      <w:proofErr w:type="spellEnd"/>
      <w:r>
        <w:rPr>
          <w:rStyle w:val="NormalCharacter"/>
          <w:rFonts w:ascii="Book Antiqua" w:hAnsi="Book Antiqua"/>
          <w:sz w:val="24"/>
        </w:rPr>
        <w:t xml:space="preserve"> L, Smith A, Abdallah Y, </w:t>
      </w:r>
      <w:proofErr w:type="spellStart"/>
      <w:r>
        <w:rPr>
          <w:rStyle w:val="NormalCharacter"/>
          <w:rFonts w:ascii="Book Antiqua" w:hAnsi="Book Antiqua"/>
          <w:sz w:val="24"/>
        </w:rPr>
        <w:t>Stalder</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Sayasneh</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McIndoe</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Ghaem-Maghami</w:t>
      </w:r>
      <w:proofErr w:type="spellEnd"/>
      <w:r>
        <w:rPr>
          <w:rStyle w:val="NormalCharacter"/>
          <w:rFonts w:ascii="Book Antiqua" w:hAnsi="Book Antiqua"/>
          <w:sz w:val="24"/>
        </w:rPr>
        <w:t xml:space="preserve"> S, Van </w:t>
      </w:r>
      <w:proofErr w:type="spellStart"/>
      <w:r>
        <w:rPr>
          <w:rStyle w:val="NormalCharacter"/>
          <w:rFonts w:ascii="Book Antiqua" w:hAnsi="Book Antiqua"/>
          <w:sz w:val="24"/>
        </w:rPr>
        <w:t>Huffel</w:t>
      </w:r>
      <w:proofErr w:type="spellEnd"/>
      <w:r>
        <w:rPr>
          <w:rStyle w:val="NormalCharacter"/>
          <w:rFonts w:ascii="Book Antiqua" w:hAnsi="Book Antiqua"/>
          <w:sz w:val="24"/>
        </w:rPr>
        <w:t xml:space="preserve"> S, Van </w:t>
      </w:r>
      <w:proofErr w:type="spellStart"/>
      <w:r>
        <w:rPr>
          <w:rStyle w:val="NormalCharacter"/>
          <w:rFonts w:ascii="Book Antiqua" w:hAnsi="Book Antiqua"/>
          <w:sz w:val="24"/>
        </w:rPr>
        <w:t>Calster</w:t>
      </w:r>
      <w:proofErr w:type="spellEnd"/>
      <w:r>
        <w:rPr>
          <w:rStyle w:val="NormalCharacter"/>
          <w:rFonts w:ascii="Book Antiqua" w:hAnsi="Book Antiqua"/>
          <w:sz w:val="24"/>
        </w:rPr>
        <w:t xml:space="preserve"> B, Timmerman D, Bourne T. Predicting successful vaginal birth after Cesarean section using a model based on Cesarean scar features examined by transvaginal sonography. </w:t>
      </w:r>
      <w:r>
        <w:rPr>
          <w:rStyle w:val="NormalCharacter"/>
          <w:rFonts w:ascii="Book Antiqua" w:hAnsi="Book Antiqua"/>
          <w:i/>
          <w:sz w:val="24"/>
        </w:rPr>
        <w:t xml:space="preserve">Ultrasound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2013; </w:t>
      </w:r>
      <w:r>
        <w:rPr>
          <w:rStyle w:val="NormalCharacter"/>
          <w:rFonts w:ascii="Book Antiqua" w:hAnsi="Book Antiqua"/>
          <w:b/>
          <w:sz w:val="24"/>
        </w:rPr>
        <w:t>41</w:t>
      </w:r>
      <w:r>
        <w:rPr>
          <w:rStyle w:val="NormalCharacter"/>
          <w:rFonts w:ascii="Book Antiqua" w:hAnsi="Book Antiqua"/>
          <w:sz w:val="24"/>
        </w:rPr>
        <w:t>: 672-678 [PMID: 23371440 DOI: 10.1002/uog.12423]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10 </w:t>
      </w:r>
      <w:proofErr w:type="spellStart"/>
      <w:r>
        <w:rPr>
          <w:rStyle w:val="NormalCharacter"/>
          <w:rFonts w:ascii="Book Antiqua" w:hAnsi="Book Antiqua"/>
          <w:b/>
          <w:sz w:val="24"/>
        </w:rPr>
        <w:t>Thapsamuthdechakorn</w:t>
      </w:r>
      <w:proofErr w:type="spellEnd"/>
      <w:r>
        <w:rPr>
          <w:rStyle w:val="NormalCharacter"/>
          <w:rFonts w:ascii="Book Antiqua" w:hAnsi="Book Antiqua"/>
          <w:b/>
          <w:sz w:val="24"/>
        </w:rPr>
        <w:t xml:space="preserve"> A</w:t>
      </w:r>
      <w:r>
        <w:rPr>
          <w:rStyle w:val="NormalCharacter"/>
          <w:rFonts w:ascii="Book Antiqua" w:hAnsi="Book Antiqua"/>
          <w:sz w:val="24"/>
        </w:rPr>
        <w:t xml:space="preserve">, </w:t>
      </w:r>
      <w:proofErr w:type="spellStart"/>
      <w:r>
        <w:rPr>
          <w:rStyle w:val="NormalCharacter"/>
          <w:rFonts w:ascii="Book Antiqua" w:hAnsi="Book Antiqua"/>
          <w:sz w:val="24"/>
        </w:rPr>
        <w:t>Sekararithi</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Tongsong</w:t>
      </w:r>
      <w:proofErr w:type="spellEnd"/>
      <w:r>
        <w:rPr>
          <w:rStyle w:val="NormalCharacter"/>
          <w:rFonts w:ascii="Book Antiqua" w:hAnsi="Book Antiqua"/>
          <w:sz w:val="24"/>
        </w:rPr>
        <w:t xml:space="preserve"> T. Factors Associated with Successful Trial of Labor after Cesarean Section: A Retrospective Cohort Study. </w:t>
      </w:r>
      <w:r>
        <w:rPr>
          <w:rStyle w:val="NormalCharacter"/>
          <w:rFonts w:ascii="Book Antiqua" w:hAnsi="Book Antiqua"/>
          <w:i/>
          <w:sz w:val="24"/>
        </w:rPr>
        <w:t>J Pregnancy</w:t>
      </w:r>
      <w:r>
        <w:rPr>
          <w:rStyle w:val="NormalCharacter"/>
          <w:rFonts w:ascii="Book Antiqua" w:hAnsi="Book Antiqua"/>
          <w:sz w:val="24"/>
        </w:rPr>
        <w:t xml:space="preserve"> 2018; </w:t>
      </w:r>
      <w:r>
        <w:rPr>
          <w:rStyle w:val="NormalCharacter"/>
          <w:rFonts w:ascii="Book Antiqua" w:hAnsi="Book Antiqua"/>
          <w:b/>
          <w:sz w:val="24"/>
        </w:rPr>
        <w:t>2018</w:t>
      </w:r>
      <w:r>
        <w:rPr>
          <w:rStyle w:val="NormalCharacter"/>
          <w:rFonts w:ascii="Book Antiqua" w:hAnsi="Book Antiqua"/>
          <w:sz w:val="24"/>
        </w:rPr>
        <w:t>: 6140982 [PMID: 29967697 DOI: 10.1155/2018/6140982]</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11 </w:t>
      </w:r>
      <w:r>
        <w:rPr>
          <w:rStyle w:val="NormalCharacter"/>
          <w:rFonts w:ascii="Book Antiqua" w:hAnsi="Book Antiqua"/>
          <w:b/>
          <w:sz w:val="24"/>
        </w:rPr>
        <w:t>Fukuda M</w:t>
      </w:r>
      <w:r>
        <w:rPr>
          <w:rStyle w:val="NormalCharacter"/>
          <w:rFonts w:ascii="Book Antiqua" w:hAnsi="Book Antiqua"/>
          <w:sz w:val="24"/>
        </w:rPr>
        <w:t xml:space="preserve">, Fukuda K, Shimizu T, </w:t>
      </w:r>
      <w:proofErr w:type="spellStart"/>
      <w:r>
        <w:rPr>
          <w:rStyle w:val="NormalCharacter"/>
          <w:rFonts w:ascii="Book Antiqua" w:hAnsi="Book Antiqua"/>
          <w:sz w:val="24"/>
        </w:rPr>
        <w:t>Bujold</w:t>
      </w:r>
      <w:proofErr w:type="spellEnd"/>
      <w:r>
        <w:rPr>
          <w:rStyle w:val="NormalCharacter"/>
          <w:rFonts w:ascii="Book Antiqua" w:hAnsi="Book Antiqua"/>
          <w:sz w:val="24"/>
        </w:rPr>
        <w:t xml:space="preserve"> E. Ultrasound Assessment of Lower Uterine Segment Thickness </w:t>
      </w:r>
      <w:proofErr w:type="gramStart"/>
      <w:r>
        <w:rPr>
          <w:rStyle w:val="NormalCharacter"/>
          <w:rFonts w:ascii="Book Antiqua" w:hAnsi="Book Antiqua"/>
          <w:sz w:val="24"/>
        </w:rPr>
        <w:t>During</w:t>
      </w:r>
      <w:proofErr w:type="gramEnd"/>
      <w:r>
        <w:rPr>
          <w:rStyle w:val="NormalCharacter"/>
          <w:rFonts w:ascii="Book Antiqua" w:hAnsi="Book Antiqua"/>
          <w:sz w:val="24"/>
        </w:rPr>
        <w:t xml:space="preserve"> Pregnancy, </w:t>
      </w:r>
      <w:proofErr w:type="spellStart"/>
      <w:r>
        <w:rPr>
          <w:rStyle w:val="NormalCharacter"/>
          <w:rFonts w:ascii="Book Antiqua" w:hAnsi="Book Antiqua"/>
          <w:sz w:val="24"/>
        </w:rPr>
        <w:t>Labour</w:t>
      </w:r>
      <w:proofErr w:type="spellEnd"/>
      <w:r>
        <w:rPr>
          <w:rStyle w:val="NormalCharacter"/>
          <w:rFonts w:ascii="Book Antiqua" w:hAnsi="Book Antiqua"/>
          <w:sz w:val="24"/>
        </w:rPr>
        <w:t xml:space="preserve">, and the Postpartum Period. </w:t>
      </w:r>
      <w:r>
        <w:rPr>
          <w:rStyle w:val="NormalCharacter"/>
          <w:rFonts w:ascii="Book Antiqua" w:hAnsi="Book Antiqua"/>
          <w:i/>
          <w:sz w:val="24"/>
        </w:rPr>
        <w:t xml:space="preserve">J </w:t>
      </w:r>
      <w:proofErr w:type="spellStart"/>
      <w:r>
        <w:rPr>
          <w:rStyle w:val="NormalCharacter"/>
          <w:rFonts w:ascii="Book Antiqua" w:hAnsi="Book Antiqua"/>
          <w:i/>
          <w:sz w:val="24"/>
        </w:rPr>
        <w:lastRenderedPageBreak/>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Gynaecol</w:t>
      </w:r>
      <w:proofErr w:type="spellEnd"/>
      <w:r>
        <w:rPr>
          <w:rStyle w:val="NormalCharacter"/>
          <w:rFonts w:ascii="Book Antiqua" w:hAnsi="Book Antiqua"/>
          <w:i/>
          <w:sz w:val="24"/>
        </w:rPr>
        <w:t xml:space="preserve"> Can</w:t>
      </w:r>
      <w:r>
        <w:rPr>
          <w:rStyle w:val="NormalCharacter"/>
          <w:rFonts w:ascii="Book Antiqua" w:hAnsi="Book Antiqua"/>
          <w:sz w:val="24"/>
        </w:rPr>
        <w:t xml:space="preserve"> 2016; </w:t>
      </w:r>
      <w:r>
        <w:rPr>
          <w:rStyle w:val="NormalCharacter"/>
          <w:rFonts w:ascii="Book Antiqua" w:hAnsi="Book Antiqua"/>
          <w:b/>
          <w:sz w:val="24"/>
        </w:rPr>
        <w:t>38</w:t>
      </w:r>
      <w:r>
        <w:rPr>
          <w:rStyle w:val="NormalCharacter"/>
          <w:rFonts w:ascii="Book Antiqua" w:hAnsi="Book Antiqua"/>
          <w:sz w:val="24"/>
        </w:rPr>
        <w:t>: 134-140 [PMID: 27032737 DOI: 10.1016/j.jogc.2015.12.009]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12 </w:t>
      </w:r>
      <w:proofErr w:type="spellStart"/>
      <w:r>
        <w:rPr>
          <w:rStyle w:val="NormalCharacter"/>
          <w:rFonts w:ascii="Book Antiqua" w:hAnsi="Book Antiqua"/>
          <w:b/>
          <w:sz w:val="24"/>
        </w:rPr>
        <w:t>Bij</w:t>
      </w:r>
      <w:proofErr w:type="spellEnd"/>
      <w:r>
        <w:rPr>
          <w:rStyle w:val="NormalCharacter"/>
          <w:rFonts w:ascii="Book Antiqua" w:hAnsi="Book Antiqua"/>
          <w:b/>
          <w:sz w:val="24"/>
        </w:rPr>
        <w:t xml:space="preserve"> de </w:t>
      </w:r>
      <w:proofErr w:type="spellStart"/>
      <w:r>
        <w:rPr>
          <w:rStyle w:val="NormalCharacter"/>
          <w:rFonts w:ascii="Book Antiqua" w:hAnsi="Book Antiqua"/>
          <w:b/>
          <w:sz w:val="24"/>
        </w:rPr>
        <w:t>Vaate</w:t>
      </w:r>
      <w:proofErr w:type="spellEnd"/>
      <w:r>
        <w:rPr>
          <w:rStyle w:val="NormalCharacter"/>
          <w:rFonts w:ascii="Book Antiqua" w:hAnsi="Book Antiqua"/>
          <w:b/>
          <w:sz w:val="24"/>
        </w:rPr>
        <w:t xml:space="preserve"> AJ</w:t>
      </w:r>
      <w:r>
        <w:rPr>
          <w:rStyle w:val="NormalCharacter"/>
          <w:rFonts w:ascii="Book Antiqua" w:hAnsi="Book Antiqua"/>
          <w:sz w:val="24"/>
        </w:rPr>
        <w:t xml:space="preserve">, van der </w:t>
      </w:r>
      <w:proofErr w:type="spellStart"/>
      <w:r>
        <w:rPr>
          <w:rStyle w:val="NormalCharacter"/>
          <w:rFonts w:ascii="Book Antiqua" w:hAnsi="Book Antiqua"/>
          <w:sz w:val="24"/>
        </w:rPr>
        <w:t>Voet</w:t>
      </w:r>
      <w:proofErr w:type="spellEnd"/>
      <w:r>
        <w:rPr>
          <w:rStyle w:val="NormalCharacter"/>
          <w:rFonts w:ascii="Book Antiqua" w:hAnsi="Book Antiqua"/>
          <w:sz w:val="24"/>
        </w:rPr>
        <w:t xml:space="preserve"> LF, </w:t>
      </w:r>
      <w:proofErr w:type="spellStart"/>
      <w:r>
        <w:rPr>
          <w:rStyle w:val="NormalCharacter"/>
          <w:rFonts w:ascii="Book Antiqua" w:hAnsi="Book Antiqua"/>
          <w:sz w:val="24"/>
        </w:rPr>
        <w:t>Naji</w:t>
      </w:r>
      <w:proofErr w:type="spellEnd"/>
      <w:r>
        <w:rPr>
          <w:rStyle w:val="NormalCharacter"/>
          <w:rFonts w:ascii="Book Antiqua" w:hAnsi="Book Antiqua"/>
          <w:sz w:val="24"/>
        </w:rPr>
        <w:t xml:space="preserve"> O, </w:t>
      </w:r>
      <w:proofErr w:type="spellStart"/>
      <w:r>
        <w:rPr>
          <w:rStyle w:val="NormalCharacter"/>
          <w:rFonts w:ascii="Book Antiqua" w:hAnsi="Book Antiqua"/>
          <w:sz w:val="24"/>
        </w:rPr>
        <w:t>Witmer</w:t>
      </w:r>
      <w:proofErr w:type="spellEnd"/>
      <w:r>
        <w:rPr>
          <w:rStyle w:val="NormalCharacter"/>
          <w:rFonts w:ascii="Book Antiqua" w:hAnsi="Book Antiqua"/>
          <w:sz w:val="24"/>
        </w:rPr>
        <w:t xml:space="preserve"> M, </w:t>
      </w:r>
      <w:proofErr w:type="spellStart"/>
      <w:r>
        <w:rPr>
          <w:rStyle w:val="NormalCharacter"/>
          <w:rFonts w:ascii="Book Antiqua" w:hAnsi="Book Antiqua"/>
          <w:sz w:val="24"/>
        </w:rPr>
        <w:t>Veersema</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Brölmann</w:t>
      </w:r>
      <w:proofErr w:type="spellEnd"/>
      <w:r>
        <w:rPr>
          <w:rStyle w:val="NormalCharacter"/>
          <w:rFonts w:ascii="Book Antiqua" w:hAnsi="Book Antiqua"/>
          <w:sz w:val="24"/>
        </w:rPr>
        <w:t xml:space="preserve"> HA, Bourne T, </w:t>
      </w:r>
      <w:proofErr w:type="spellStart"/>
      <w:r>
        <w:rPr>
          <w:rStyle w:val="NormalCharacter"/>
          <w:rFonts w:ascii="Book Antiqua" w:hAnsi="Book Antiqua"/>
          <w:sz w:val="24"/>
        </w:rPr>
        <w:t>Huirne</w:t>
      </w:r>
      <w:proofErr w:type="spellEnd"/>
      <w:r>
        <w:rPr>
          <w:rStyle w:val="NormalCharacter"/>
          <w:rFonts w:ascii="Book Antiqua" w:hAnsi="Book Antiqua"/>
          <w:sz w:val="24"/>
        </w:rPr>
        <w:t xml:space="preserve"> JA. Prevalence, potential risk factors for development and symptoms related to the presence of uterine niches following Cesarean section: systematic review. </w:t>
      </w:r>
      <w:r>
        <w:rPr>
          <w:rStyle w:val="NormalCharacter"/>
          <w:rFonts w:ascii="Book Antiqua" w:hAnsi="Book Antiqua"/>
          <w:i/>
          <w:sz w:val="24"/>
        </w:rPr>
        <w:t xml:space="preserve">Ultrasound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2014; </w:t>
      </w:r>
      <w:r>
        <w:rPr>
          <w:rStyle w:val="NormalCharacter"/>
          <w:rFonts w:ascii="Book Antiqua" w:hAnsi="Book Antiqua"/>
          <w:b/>
          <w:sz w:val="24"/>
        </w:rPr>
        <w:t>43</w:t>
      </w:r>
      <w:r>
        <w:rPr>
          <w:rStyle w:val="NormalCharacter"/>
          <w:rFonts w:ascii="Book Antiqua" w:hAnsi="Book Antiqua"/>
          <w:sz w:val="24"/>
        </w:rPr>
        <w:t>: 372-382 [PMID: 23996650 DOI: 10.1002/uog.13199]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13 </w:t>
      </w:r>
      <w:proofErr w:type="spellStart"/>
      <w:r>
        <w:rPr>
          <w:rStyle w:val="NormalCharacter"/>
          <w:rFonts w:ascii="Book Antiqua" w:hAnsi="Book Antiqua"/>
          <w:b/>
          <w:sz w:val="24"/>
        </w:rPr>
        <w:t>Donnez</w:t>
      </w:r>
      <w:proofErr w:type="spellEnd"/>
      <w:r>
        <w:rPr>
          <w:rStyle w:val="NormalCharacter"/>
          <w:rFonts w:ascii="Book Antiqua" w:hAnsi="Book Antiqua"/>
          <w:b/>
          <w:sz w:val="24"/>
        </w:rPr>
        <w:t xml:space="preserve"> O</w:t>
      </w:r>
      <w:r>
        <w:rPr>
          <w:rStyle w:val="NormalCharacter"/>
          <w:rFonts w:ascii="Book Antiqua" w:hAnsi="Book Antiqua"/>
          <w:sz w:val="24"/>
        </w:rPr>
        <w:t xml:space="preserve">, </w:t>
      </w:r>
      <w:proofErr w:type="spellStart"/>
      <w:r>
        <w:rPr>
          <w:rStyle w:val="NormalCharacter"/>
          <w:rFonts w:ascii="Book Antiqua" w:hAnsi="Book Antiqua"/>
          <w:sz w:val="24"/>
        </w:rPr>
        <w:t>Donnez</w:t>
      </w:r>
      <w:proofErr w:type="spellEnd"/>
      <w:r>
        <w:rPr>
          <w:rStyle w:val="NormalCharacter"/>
          <w:rFonts w:ascii="Book Antiqua" w:hAnsi="Book Antiqua"/>
          <w:sz w:val="24"/>
        </w:rPr>
        <w:t xml:space="preserve"> J, Orellana R, Dolmans MM. Gynecological and obstetrical outcomes after laparoscopic repair of a cesarean scar defect in a series of 38 women. </w:t>
      </w:r>
      <w:proofErr w:type="spellStart"/>
      <w:r>
        <w:rPr>
          <w:rStyle w:val="NormalCharacter"/>
          <w:rFonts w:ascii="Book Antiqua" w:hAnsi="Book Antiqua"/>
          <w:i/>
          <w:sz w:val="24"/>
        </w:rPr>
        <w:t>Fertil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Steril</w:t>
      </w:r>
      <w:proofErr w:type="spellEnd"/>
      <w:r>
        <w:rPr>
          <w:rStyle w:val="NormalCharacter"/>
          <w:rFonts w:ascii="Book Antiqua" w:hAnsi="Book Antiqua"/>
          <w:sz w:val="24"/>
        </w:rPr>
        <w:t xml:space="preserve"> 2017; </w:t>
      </w:r>
      <w:r>
        <w:rPr>
          <w:rStyle w:val="NormalCharacter"/>
          <w:rFonts w:ascii="Book Antiqua" w:hAnsi="Book Antiqua"/>
          <w:b/>
          <w:sz w:val="24"/>
        </w:rPr>
        <w:t>107</w:t>
      </w:r>
      <w:r>
        <w:rPr>
          <w:rStyle w:val="NormalCharacter"/>
          <w:rFonts w:ascii="Book Antiqua" w:hAnsi="Book Antiqua"/>
          <w:sz w:val="24"/>
        </w:rPr>
        <w:t>: 289-296.e2 [PMID: 27816234 DOI: 10.1016/j.fertnstert.2016.09.033]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14 </w:t>
      </w:r>
      <w:proofErr w:type="spellStart"/>
      <w:r>
        <w:rPr>
          <w:rStyle w:val="NormalCharacter"/>
          <w:rFonts w:ascii="Book Antiqua" w:hAnsi="Book Antiqua"/>
          <w:b/>
          <w:sz w:val="24"/>
        </w:rPr>
        <w:t>Rottenstreich</w:t>
      </w:r>
      <w:proofErr w:type="spellEnd"/>
      <w:r>
        <w:rPr>
          <w:rStyle w:val="NormalCharacter"/>
          <w:rFonts w:ascii="Book Antiqua" w:hAnsi="Book Antiqua"/>
          <w:b/>
          <w:sz w:val="24"/>
        </w:rPr>
        <w:t xml:space="preserve"> M</w:t>
      </w:r>
      <w:r>
        <w:rPr>
          <w:rStyle w:val="NormalCharacter"/>
          <w:rFonts w:ascii="Book Antiqua" w:hAnsi="Book Antiqua"/>
          <w:sz w:val="24"/>
        </w:rPr>
        <w:t xml:space="preserve">, </w:t>
      </w:r>
      <w:proofErr w:type="spellStart"/>
      <w:r>
        <w:rPr>
          <w:rStyle w:val="NormalCharacter"/>
          <w:rFonts w:ascii="Book Antiqua" w:hAnsi="Book Antiqua"/>
          <w:sz w:val="24"/>
        </w:rPr>
        <w:t>Rotem</w:t>
      </w:r>
      <w:proofErr w:type="spellEnd"/>
      <w:r>
        <w:rPr>
          <w:rStyle w:val="NormalCharacter"/>
          <w:rFonts w:ascii="Book Antiqua" w:hAnsi="Book Antiqua"/>
          <w:sz w:val="24"/>
        </w:rPr>
        <w:t xml:space="preserve"> R, Hirsch A, </w:t>
      </w:r>
      <w:proofErr w:type="spellStart"/>
      <w:r>
        <w:rPr>
          <w:rStyle w:val="NormalCharacter"/>
          <w:rFonts w:ascii="Book Antiqua" w:hAnsi="Book Antiqua"/>
          <w:sz w:val="24"/>
        </w:rPr>
        <w:t>Farkash</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Rottenstreich</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Samueloff</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Sela</w:t>
      </w:r>
      <w:proofErr w:type="spellEnd"/>
      <w:r>
        <w:rPr>
          <w:rStyle w:val="NormalCharacter"/>
          <w:rFonts w:ascii="Book Antiqua" w:hAnsi="Book Antiqua"/>
          <w:sz w:val="24"/>
        </w:rPr>
        <w:t xml:space="preserve"> HY. Delayed diagnosis of intrapartum uterine rupture - maternal and neonatal consequences. </w:t>
      </w:r>
      <w:r>
        <w:rPr>
          <w:rStyle w:val="NormalCharacter"/>
          <w:rFonts w:ascii="Book Antiqua" w:hAnsi="Book Antiqua"/>
          <w:i/>
          <w:sz w:val="24"/>
        </w:rPr>
        <w:t xml:space="preserve">J </w:t>
      </w:r>
      <w:proofErr w:type="spellStart"/>
      <w:r>
        <w:rPr>
          <w:rStyle w:val="NormalCharacter"/>
          <w:rFonts w:ascii="Book Antiqua" w:hAnsi="Book Antiqua"/>
          <w:i/>
          <w:sz w:val="24"/>
        </w:rPr>
        <w:t>Matern</w:t>
      </w:r>
      <w:proofErr w:type="spellEnd"/>
      <w:r>
        <w:rPr>
          <w:rStyle w:val="NormalCharacter"/>
          <w:rFonts w:ascii="Book Antiqua" w:hAnsi="Book Antiqua"/>
          <w:i/>
          <w:sz w:val="24"/>
        </w:rPr>
        <w:t xml:space="preserve"> Fetal Neonatal Med</w:t>
      </w:r>
      <w:r>
        <w:rPr>
          <w:rStyle w:val="NormalCharacter"/>
          <w:rFonts w:ascii="Book Antiqua" w:hAnsi="Book Antiqua"/>
          <w:sz w:val="24"/>
        </w:rPr>
        <w:t xml:space="preserve"> 2019</w:t>
      </w:r>
      <w:proofErr w:type="gramStart"/>
      <w:r>
        <w:rPr>
          <w:rStyle w:val="NormalCharacter"/>
          <w:rFonts w:ascii="Book Antiqua" w:hAnsi="Book Antiqua"/>
          <w:sz w:val="24"/>
        </w:rPr>
        <w:t>; :</w:t>
      </w:r>
      <w:proofErr w:type="gramEnd"/>
      <w:r>
        <w:rPr>
          <w:rStyle w:val="NormalCharacter"/>
          <w:rFonts w:ascii="Book Antiqua" w:hAnsi="Book Antiqua"/>
          <w:sz w:val="24"/>
        </w:rPr>
        <w:t xml:space="preserve"> 1-6 [PMID: 31032683 DOI: 10.1080/14767058.2019.1613366]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15 </w:t>
      </w:r>
      <w:proofErr w:type="spellStart"/>
      <w:r>
        <w:rPr>
          <w:rStyle w:val="NormalCharacter"/>
          <w:rFonts w:ascii="Book Antiqua" w:hAnsi="Book Antiqua"/>
          <w:b/>
          <w:sz w:val="24"/>
        </w:rPr>
        <w:t>Guo</w:t>
      </w:r>
      <w:proofErr w:type="spellEnd"/>
      <w:r>
        <w:rPr>
          <w:rStyle w:val="NormalCharacter"/>
          <w:rFonts w:ascii="Book Antiqua" w:hAnsi="Book Antiqua"/>
          <w:b/>
          <w:sz w:val="24"/>
        </w:rPr>
        <w:t xml:space="preserve"> N</w:t>
      </w:r>
      <w:r>
        <w:rPr>
          <w:rStyle w:val="NormalCharacter"/>
          <w:rFonts w:ascii="Book Antiqua" w:hAnsi="Book Antiqua"/>
          <w:sz w:val="24"/>
        </w:rPr>
        <w:t xml:space="preserve">, Bai RM, Qu PF, Huang P, He YP, Wang CL, </w:t>
      </w:r>
      <w:proofErr w:type="spellStart"/>
      <w:r>
        <w:rPr>
          <w:rStyle w:val="NormalCharacter"/>
          <w:rFonts w:ascii="Book Antiqua" w:hAnsi="Book Antiqua"/>
          <w:sz w:val="24"/>
        </w:rPr>
        <w:t>Mi</w:t>
      </w:r>
      <w:proofErr w:type="spellEnd"/>
      <w:r>
        <w:rPr>
          <w:rStyle w:val="NormalCharacter"/>
          <w:rFonts w:ascii="Book Antiqua" w:hAnsi="Book Antiqua"/>
          <w:sz w:val="24"/>
        </w:rPr>
        <w:t xml:space="preserve"> Y. [Influencing factors and antenatal assessment of the vaginal birth after cesarean section]. </w:t>
      </w:r>
      <w:proofErr w:type="spellStart"/>
      <w:r>
        <w:rPr>
          <w:rStyle w:val="NormalCharacter"/>
          <w:rFonts w:ascii="Book Antiqua" w:hAnsi="Book Antiqua"/>
          <w:i/>
          <w:sz w:val="24"/>
        </w:rPr>
        <w:t>Zhonghua</w:t>
      </w:r>
      <w:proofErr w:type="spellEnd"/>
      <w:r>
        <w:rPr>
          <w:rStyle w:val="NormalCharacter"/>
          <w:rFonts w:ascii="Book Antiqua" w:hAnsi="Book Antiqua"/>
          <w:i/>
          <w:sz w:val="24"/>
        </w:rPr>
        <w:t xml:space="preserve"> Fu Chan </w:t>
      </w:r>
      <w:proofErr w:type="spellStart"/>
      <w:r>
        <w:rPr>
          <w:rStyle w:val="NormalCharacter"/>
          <w:rFonts w:ascii="Book Antiqua" w:hAnsi="Book Antiqua"/>
          <w:i/>
          <w:sz w:val="24"/>
        </w:rPr>
        <w:t>Ke</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Zhi</w:t>
      </w:r>
      <w:proofErr w:type="spellEnd"/>
      <w:r>
        <w:rPr>
          <w:rStyle w:val="NormalCharacter"/>
          <w:rFonts w:ascii="Book Antiqua" w:hAnsi="Book Antiqua"/>
          <w:sz w:val="24"/>
        </w:rPr>
        <w:t xml:space="preserve"> 2019; </w:t>
      </w:r>
      <w:r>
        <w:rPr>
          <w:rStyle w:val="NormalCharacter"/>
          <w:rFonts w:ascii="Book Antiqua" w:hAnsi="Book Antiqua"/>
          <w:b/>
          <w:sz w:val="24"/>
        </w:rPr>
        <w:t>54</w:t>
      </w:r>
      <w:r>
        <w:rPr>
          <w:rStyle w:val="NormalCharacter"/>
          <w:rFonts w:ascii="Book Antiqua" w:hAnsi="Book Antiqua"/>
          <w:sz w:val="24"/>
        </w:rPr>
        <w:t>: 369-374 [PMID: 31262120 DOI: 10.3760/cma.j.issn.0529-567x.2019.06.003]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16 </w:t>
      </w:r>
      <w:r>
        <w:rPr>
          <w:rStyle w:val="NormalCharacter"/>
          <w:rFonts w:ascii="Book Antiqua" w:hAnsi="Book Antiqua"/>
          <w:b/>
          <w:sz w:val="24"/>
        </w:rPr>
        <w:t>Wu Y</w:t>
      </w:r>
      <w:r>
        <w:rPr>
          <w:rStyle w:val="NormalCharacter"/>
          <w:rFonts w:ascii="Book Antiqua" w:hAnsi="Book Antiqua"/>
          <w:sz w:val="24"/>
        </w:rPr>
        <w:t xml:space="preserve">, </w:t>
      </w:r>
      <w:proofErr w:type="spellStart"/>
      <w:r>
        <w:rPr>
          <w:rStyle w:val="NormalCharacter"/>
          <w:rFonts w:ascii="Book Antiqua" w:hAnsi="Book Antiqua"/>
          <w:sz w:val="24"/>
        </w:rPr>
        <w:t>Kataria</w:t>
      </w:r>
      <w:proofErr w:type="spellEnd"/>
      <w:r>
        <w:rPr>
          <w:rStyle w:val="NormalCharacter"/>
          <w:rFonts w:ascii="Book Antiqua" w:hAnsi="Book Antiqua"/>
          <w:sz w:val="24"/>
        </w:rPr>
        <w:t xml:space="preserve"> Y, Wang Z, Ming WK, </w:t>
      </w:r>
      <w:proofErr w:type="spellStart"/>
      <w:r>
        <w:rPr>
          <w:rStyle w:val="NormalCharacter"/>
          <w:rFonts w:ascii="Book Antiqua" w:hAnsi="Book Antiqua"/>
          <w:sz w:val="24"/>
        </w:rPr>
        <w:t>Ellervik</w:t>
      </w:r>
      <w:proofErr w:type="spellEnd"/>
      <w:r>
        <w:rPr>
          <w:rStyle w:val="NormalCharacter"/>
          <w:rFonts w:ascii="Book Antiqua" w:hAnsi="Book Antiqua"/>
          <w:sz w:val="24"/>
        </w:rPr>
        <w:t xml:space="preserve"> C. Factors associated with successful vaginal birth after a cesarean section: a systematic review and meta-analysis. </w:t>
      </w:r>
      <w:r>
        <w:rPr>
          <w:rStyle w:val="NormalCharacter"/>
          <w:rFonts w:ascii="Book Antiqua" w:hAnsi="Book Antiqua"/>
          <w:i/>
          <w:sz w:val="24"/>
        </w:rPr>
        <w:t>BMC Pregnancy Childbirth</w:t>
      </w:r>
      <w:r>
        <w:rPr>
          <w:rStyle w:val="NormalCharacter"/>
          <w:rFonts w:ascii="Book Antiqua" w:hAnsi="Book Antiqua"/>
          <w:sz w:val="24"/>
        </w:rPr>
        <w:t xml:space="preserve"> 2019; </w:t>
      </w:r>
      <w:r>
        <w:rPr>
          <w:rStyle w:val="NormalCharacter"/>
          <w:rFonts w:ascii="Book Antiqua" w:hAnsi="Book Antiqua"/>
          <w:b/>
          <w:sz w:val="24"/>
        </w:rPr>
        <w:t>19</w:t>
      </w:r>
      <w:r>
        <w:rPr>
          <w:rStyle w:val="NormalCharacter"/>
          <w:rFonts w:ascii="Book Antiqua" w:hAnsi="Book Antiqua"/>
          <w:sz w:val="24"/>
        </w:rPr>
        <w:t>: 360 [PMID: 31623587 DOI: 10.1186/s12884-019-2517-y]</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17 </w:t>
      </w:r>
      <w:r>
        <w:rPr>
          <w:rStyle w:val="NormalCharacter"/>
          <w:rFonts w:ascii="Book Antiqua" w:hAnsi="Book Antiqua"/>
          <w:b/>
          <w:sz w:val="24"/>
        </w:rPr>
        <w:t xml:space="preserve">Marie </w:t>
      </w:r>
      <w:proofErr w:type="spellStart"/>
      <w:r>
        <w:rPr>
          <w:rStyle w:val="NormalCharacter"/>
          <w:rFonts w:ascii="Book Antiqua" w:hAnsi="Book Antiqua"/>
          <w:b/>
          <w:sz w:val="24"/>
        </w:rPr>
        <w:t>Bereka</w:t>
      </w:r>
      <w:proofErr w:type="spellEnd"/>
      <w:r>
        <w:rPr>
          <w:rStyle w:val="NormalCharacter"/>
          <w:rFonts w:ascii="Book Antiqua" w:hAnsi="Book Antiqua"/>
          <w:b/>
          <w:sz w:val="24"/>
        </w:rPr>
        <w:t xml:space="preserve"> T</w:t>
      </w:r>
      <w:r>
        <w:rPr>
          <w:rStyle w:val="NormalCharacter"/>
          <w:rFonts w:ascii="Book Antiqua" w:hAnsi="Book Antiqua"/>
          <w:sz w:val="24"/>
        </w:rPr>
        <w:t xml:space="preserve">, </w:t>
      </w:r>
      <w:proofErr w:type="spellStart"/>
      <w:r>
        <w:rPr>
          <w:rStyle w:val="NormalCharacter"/>
          <w:rFonts w:ascii="Book Antiqua" w:hAnsi="Book Antiqua"/>
          <w:sz w:val="24"/>
        </w:rPr>
        <w:t>Mulat</w:t>
      </w:r>
      <w:proofErr w:type="spellEnd"/>
      <w:r>
        <w:rPr>
          <w:rStyle w:val="NormalCharacter"/>
          <w:rFonts w:ascii="Book Antiqua" w:hAnsi="Book Antiqua"/>
          <w:sz w:val="24"/>
        </w:rPr>
        <w:t xml:space="preserve"> </w:t>
      </w:r>
      <w:proofErr w:type="spellStart"/>
      <w:r>
        <w:rPr>
          <w:rStyle w:val="NormalCharacter"/>
          <w:rFonts w:ascii="Book Antiqua" w:hAnsi="Book Antiqua"/>
          <w:sz w:val="24"/>
        </w:rPr>
        <w:t>Aweke</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Eshetie</w:t>
      </w:r>
      <w:proofErr w:type="spellEnd"/>
      <w:r>
        <w:rPr>
          <w:rStyle w:val="NormalCharacter"/>
          <w:rFonts w:ascii="Book Antiqua" w:hAnsi="Book Antiqua"/>
          <w:sz w:val="24"/>
        </w:rPr>
        <w:t xml:space="preserve"> </w:t>
      </w:r>
      <w:proofErr w:type="spellStart"/>
      <w:r>
        <w:rPr>
          <w:rStyle w:val="NormalCharacter"/>
          <w:rFonts w:ascii="Book Antiqua" w:hAnsi="Book Antiqua"/>
          <w:sz w:val="24"/>
        </w:rPr>
        <w:t>Wondie</w:t>
      </w:r>
      <w:proofErr w:type="spellEnd"/>
      <w:r>
        <w:rPr>
          <w:rStyle w:val="NormalCharacter"/>
          <w:rFonts w:ascii="Book Antiqua" w:hAnsi="Book Antiqua"/>
          <w:sz w:val="24"/>
        </w:rPr>
        <w:t xml:space="preserve"> T. Associated Factors and Outcome of Uterine Rupture at </w:t>
      </w:r>
      <w:proofErr w:type="spellStart"/>
      <w:r>
        <w:rPr>
          <w:rStyle w:val="NormalCharacter"/>
          <w:rFonts w:ascii="Book Antiqua" w:hAnsi="Book Antiqua"/>
          <w:sz w:val="24"/>
        </w:rPr>
        <w:t>Suhul</w:t>
      </w:r>
      <w:proofErr w:type="spellEnd"/>
      <w:r>
        <w:rPr>
          <w:rStyle w:val="NormalCharacter"/>
          <w:rFonts w:ascii="Book Antiqua" w:hAnsi="Book Antiqua"/>
          <w:sz w:val="24"/>
        </w:rPr>
        <w:t xml:space="preserve"> General Hospital, Shire Town, North West Tigray, Ethiopia 2016: A Case-Control Study.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Int</w:t>
      </w:r>
      <w:proofErr w:type="spellEnd"/>
      <w:r>
        <w:rPr>
          <w:rStyle w:val="NormalCharacter"/>
          <w:rFonts w:ascii="Book Antiqua" w:hAnsi="Book Antiqua"/>
          <w:sz w:val="24"/>
        </w:rPr>
        <w:t xml:space="preserve"> 2017; </w:t>
      </w:r>
      <w:r>
        <w:rPr>
          <w:rStyle w:val="NormalCharacter"/>
          <w:rFonts w:ascii="Book Antiqua" w:hAnsi="Book Antiqua"/>
          <w:b/>
          <w:sz w:val="24"/>
        </w:rPr>
        <w:t>2017</w:t>
      </w:r>
      <w:r>
        <w:rPr>
          <w:rStyle w:val="NormalCharacter"/>
          <w:rFonts w:ascii="Book Antiqua" w:hAnsi="Book Antiqua"/>
          <w:sz w:val="24"/>
        </w:rPr>
        <w:t>: 8272786 [PMID: 29403533 DOI: 10.1155/2017/8272786]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18 </w:t>
      </w:r>
      <w:proofErr w:type="spellStart"/>
      <w:r>
        <w:rPr>
          <w:rStyle w:val="NormalCharacter"/>
          <w:rFonts w:ascii="Book Antiqua" w:hAnsi="Book Antiqua"/>
          <w:b/>
          <w:sz w:val="24"/>
        </w:rPr>
        <w:t>Ronel</w:t>
      </w:r>
      <w:proofErr w:type="spellEnd"/>
      <w:r>
        <w:rPr>
          <w:rStyle w:val="NormalCharacter"/>
          <w:rFonts w:ascii="Book Antiqua" w:hAnsi="Book Antiqua"/>
          <w:b/>
          <w:sz w:val="24"/>
        </w:rPr>
        <w:t xml:space="preserve"> D</w:t>
      </w:r>
      <w:r>
        <w:rPr>
          <w:rStyle w:val="NormalCharacter"/>
          <w:rFonts w:ascii="Book Antiqua" w:hAnsi="Book Antiqua"/>
          <w:sz w:val="24"/>
        </w:rPr>
        <w:t xml:space="preserve">, </w:t>
      </w:r>
      <w:proofErr w:type="spellStart"/>
      <w:r>
        <w:rPr>
          <w:rStyle w:val="NormalCharacter"/>
          <w:rFonts w:ascii="Book Antiqua" w:hAnsi="Book Antiqua"/>
          <w:sz w:val="24"/>
        </w:rPr>
        <w:t>Wiznitzer</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Sergienko</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Zlotnik</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Sheiner</w:t>
      </w:r>
      <w:proofErr w:type="spellEnd"/>
      <w:r>
        <w:rPr>
          <w:rStyle w:val="NormalCharacter"/>
          <w:rFonts w:ascii="Book Antiqua" w:hAnsi="Book Antiqua"/>
          <w:sz w:val="24"/>
        </w:rPr>
        <w:t xml:space="preserve"> E. Trends, risk factors and pregnancy outcome in women with uterine rupture. </w:t>
      </w:r>
      <w:r>
        <w:rPr>
          <w:rStyle w:val="NormalCharacter"/>
          <w:rFonts w:ascii="Book Antiqua" w:hAnsi="Book Antiqua"/>
          <w:i/>
          <w:sz w:val="24"/>
        </w:rPr>
        <w:t xml:space="preserve">Arch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Obstet</w:t>
      </w:r>
      <w:proofErr w:type="spellEnd"/>
      <w:r>
        <w:rPr>
          <w:rStyle w:val="NormalCharacter"/>
          <w:rFonts w:ascii="Book Antiqua" w:hAnsi="Book Antiqua"/>
          <w:sz w:val="24"/>
        </w:rPr>
        <w:t xml:space="preserve"> 2012; </w:t>
      </w:r>
      <w:r>
        <w:rPr>
          <w:rStyle w:val="NormalCharacter"/>
          <w:rFonts w:ascii="Book Antiqua" w:hAnsi="Book Antiqua"/>
          <w:b/>
          <w:sz w:val="24"/>
        </w:rPr>
        <w:t>285</w:t>
      </w:r>
      <w:r>
        <w:rPr>
          <w:rStyle w:val="NormalCharacter"/>
          <w:rFonts w:ascii="Book Antiqua" w:hAnsi="Book Antiqua"/>
          <w:sz w:val="24"/>
        </w:rPr>
        <w:t>: 317-321 [PMID: 21735183 DOI: 10.1007/s00404-011-1977-8]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19 </w:t>
      </w:r>
      <w:r>
        <w:rPr>
          <w:rStyle w:val="NormalCharacter"/>
          <w:rFonts w:ascii="Book Antiqua" w:hAnsi="Book Antiqua"/>
          <w:b/>
          <w:sz w:val="24"/>
        </w:rPr>
        <w:t>Al-</w:t>
      </w:r>
      <w:proofErr w:type="spellStart"/>
      <w:r>
        <w:rPr>
          <w:rStyle w:val="NormalCharacter"/>
          <w:rFonts w:ascii="Book Antiqua" w:hAnsi="Book Antiqua"/>
          <w:b/>
          <w:sz w:val="24"/>
        </w:rPr>
        <w:t>Zirqi</w:t>
      </w:r>
      <w:proofErr w:type="spellEnd"/>
      <w:r>
        <w:rPr>
          <w:rStyle w:val="NormalCharacter"/>
          <w:rFonts w:ascii="Book Antiqua" w:hAnsi="Book Antiqua"/>
          <w:b/>
          <w:sz w:val="24"/>
        </w:rPr>
        <w:t xml:space="preserve"> I</w:t>
      </w:r>
      <w:r>
        <w:rPr>
          <w:rStyle w:val="NormalCharacter"/>
          <w:rFonts w:ascii="Book Antiqua" w:hAnsi="Book Antiqua"/>
          <w:sz w:val="24"/>
        </w:rPr>
        <w:t xml:space="preserve">, </w:t>
      </w:r>
      <w:proofErr w:type="spellStart"/>
      <w:r>
        <w:rPr>
          <w:rStyle w:val="NormalCharacter"/>
          <w:rFonts w:ascii="Book Antiqua" w:hAnsi="Book Antiqua"/>
          <w:sz w:val="24"/>
        </w:rPr>
        <w:t>Daltveit</w:t>
      </w:r>
      <w:proofErr w:type="spellEnd"/>
      <w:r>
        <w:rPr>
          <w:rStyle w:val="NormalCharacter"/>
          <w:rFonts w:ascii="Book Antiqua" w:hAnsi="Book Antiqua"/>
          <w:sz w:val="24"/>
        </w:rPr>
        <w:t xml:space="preserve"> AK, </w:t>
      </w:r>
      <w:proofErr w:type="spellStart"/>
      <w:r>
        <w:rPr>
          <w:rStyle w:val="NormalCharacter"/>
          <w:rFonts w:ascii="Book Antiqua" w:hAnsi="Book Antiqua"/>
          <w:sz w:val="24"/>
        </w:rPr>
        <w:t>Vangen</w:t>
      </w:r>
      <w:proofErr w:type="spellEnd"/>
      <w:r>
        <w:rPr>
          <w:rStyle w:val="NormalCharacter"/>
          <w:rFonts w:ascii="Book Antiqua" w:hAnsi="Book Antiqua"/>
          <w:sz w:val="24"/>
        </w:rPr>
        <w:t xml:space="preserve"> S. Maternal outcome after complete uterine rupture. </w:t>
      </w:r>
      <w:proofErr w:type="spellStart"/>
      <w:r>
        <w:rPr>
          <w:rStyle w:val="NormalCharacter"/>
          <w:rFonts w:ascii="Book Antiqua" w:hAnsi="Book Antiqua"/>
          <w:i/>
          <w:sz w:val="24"/>
        </w:rPr>
        <w:t>Acta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Scand</w:t>
      </w:r>
      <w:proofErr w:type="spellEnd"/>
      <w:r>
        <w:rPr>
          <w:rStyle w:val="NormalCharacter"/>
          <w:rFonts w:ascii="Book Antiqua" w:hAnsi="Book Antiqua"/>
          <w:sz w:val="24"/>
        </w:rPr>
        <w:t xml:space="preserve"> 2019; </w:t>
      </w:r>
      <w:r>
        <w:rPr>
          <w:rStyle w:val="NormalCharacter"/>
          <w:rFonts w:ascii="Book Antiqua" w:hAnsi="Book Antiqua"/>
          <w:b/>
          <w:sz w:val="24"/>
        </w:rPr>
        <w:t>98</w:t>
      </w:r>
      <w:r>
        <w:rPr>
          <w:rStyle w:val="NormalCharacter"/>
          <w:rFonts w:ascii="Book Antiqua" w:hAnsi="Book Antiqua"/>
          <w:sz w:val="24"/>
        </w:rPr>
        <w:t>: 1024-1031 [PMID: 30762871 DOI: 10.1111/aogs.13579]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20 </w:t>
      </w:r>
      <w:proofErr w:type="spellStart"/>
      <w:r>
        <w:rPr>
          <w:rStyle w:val="NormalCharacter"/>
          <w:rFonts w:ascii="Book Antiqua" w:hAnsi="Book Antiqua"/>
          <w:b/>
          <w:sz w:val="24"/>
        </w:rPr>
        <w:t>Sentilhes</w:t>
      </w:r>
      <w:proofErr w:type="spellEnd"/>
      <w:r>
        <w:rPr>
          <w:rStyle w:val="NormalCharacter"/>
          <w:rFonts w:ascii="Book Antiqua" w:hAnsi="Book Antiqua"/>
          <w:b/>
          <w:sz w:val="24"/>
        </w:rPr>
        <w:t xml:space="preserve"> L</w:t>
      </w:r>
      <w:r>
        <w:rPr>
          <w:rStyle w:val="NormalCharacter"/>
          <w:rFonts w:ascii="Book Antiqua" w:hAnsi="Book Antiqua"/>
          <w:sz w:val="24"/>
        </w:rPr>
        <w:t xml:space="preserve">, </w:t>
      </w:r>
      <w:proofErr w:type="spellStart"/>
      <w:r>
        <w:rPr>
          <w:rStyle w:val="NormalCharacter"/>
          <w:rFonts w:ascii="Book Antiqua" w:hAnsi="Book Antiqua"/>
          <w:sz w:val="24"/>
        </w:rPr>
        <w:t>Vayssière</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Beucher</w:t>
      </w:r>
      <w:proofErr w:type="spellEnd"/>
      <w:r>
        <w:rPr>
          <w:rStyle w:val="NormalCharacter"/>
          <w:rFonts w:ascii="Book Antiqua" w:hAnsi="Book Antiqua"/>
          <w:sz w:val="24"/>
        </w:rPr>
        <w:t xml:space="preserve"> G, </w:t>
      </w:r>
      <w:proofErr w:type="spellStart"/>
      <w:r>
        <w:rPr>
          <w:rStyle w:val="NormalCharacter"/>
          <w:rFonts w:ascii="Book Antiqua" w:hAnsi="Book Antiqua"/>
          <w:sz w:val="24"/>
        </w:rPr>
        <w:t>Deneux-Tharaux</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Deruelle</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Diemunsch</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Gallot</w:t>
      </w:r>
      <w:proofErr w:type="spellEnd"/>
      <w:r>
        <w:rPr>
          <w:rStyle w:val="NormalCharacter"/>
          <w:rFonts w:ascii="Book Antiqua" w:hAnsi="Book Antiqua"/>
          <w:sz w:val="24"/>
        </w:rPr>
        <w:t xml:space="preserve"> D, </w:t>
      </w:r>
      <w:proofErr w:type="spellStart"/>
      <w:r>
        <w:rPr>
          <w:rStyle w:val="NormalCharacter"/>
          <w:rFonts w:ascii="Book Antiqua" w:hAnsi="Book Antiqua"/>
          <w:sz w:val="24"/>
        </w:rPr>
        <w:t>Haumonté</w:t>
      </w:r>
      <w:proofErr w:type="spellEnd"/>
      <w:r>
        <w:rPr>
          <w:rStyle w:val="NormalCharacter"/>
          <w:rFonts w:ascii="Book Antiqua" w:hAnsi="Book Antiqua"/>
          <w:sz w:val="24"/>
        </w:rPr>
        <w:t xml:space="preserve"> JB, </w:t>
      </w:r>
      <w:proofErr w:type="spellStart"/>
      <w:r>
        <w:rPr>
          <w:rStyle w:val="NormalCharacter"/>
          <w:rFonts w:ascii="Book Antiqua" w:hAnsi="Book Antiqua"/>
          <w:sz w:val="24"/>
        </w:rPr>
        <w:t>Heimann</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Kayem</w:t>
      </w:r>
      <w:proofErr w:type="spellEnd"/>
      <w:r>
        <w:rPr>
          <w:rStyle w:val="NormalCharacter"/>
          <w:rFonts w:ascii="Book Antiqua" w:hAnsi="Book Antiqua"/>
          <w:sz w:val="24"/>
        </w:rPr>
        <w:t xml:space="preserve"> G, Lopez E, </w:t>
      </w:r>
      <w:proofErr w:type="spellStart"/>
      <w:r>
        <w:rPr>
          <w:rStyle w:val="NormalCharacter"/>
          <w:rFonts w:ascii="Book Antiqua" w:hAnsi="Book Antiqua"/>
          <w:sz w:val="24"/>
        </w:rPr>
        <w:t>Parant</w:t>
      </w:r>
      <w:proofErr w:type="spellEnd"/>
      <w:r>
        <w:rPr>
          <w:rStyle w:val="NormalCharacter"/>
          <w:rFonts w:ascii="Book Antiqua" w:hAnsi="Book Antiqua"/>
          <w:sz w:val="24"/>
        </w:rPr>
        <w:t xml:space="preserve"> O, Schmitz T, </w:t>
      </w:r>
      <w:proofErr w:type="spellStart"/>
      <w:r>
        <w:rPr>
          <w:rStyle w:val="NormalCharacter"/>
          <w:rFonts w:ascii="Book Antiqua" w:hAnsi="Book Antiqua"/>
          <w:sz w:val="24"/>
        </w:rPr>
        <w:t>Sellier</w:t>
      </w:r>
      <w:proofErr w:type="spellEnd"/>
      <w:r>
        <w:rPr>
          <w:rStyle w:val="NormalCharacter"/>
          <w:rFonts w:ascii="Book Antiqua" w:hAnsi="Book Antiqua"/>
          <w:sz w:val="24"/>
        </w:rPr>
        <w:t xml:space="preserve"> Y, </w:t>
      </w:r>
      <w:proofErr w:type="spellStart"/>
      <w:r>
        <w:rPr>
          <w:rStyle w:val="NormalCharacter"/>
          <w:rFonts w:ascii="Book Antiqua" w:hAnsi="Book Antiqua"/>
          <w:sz w:val="24"/>
        </w:rPr>
        <w:t>Rozenberg</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d'Ercole</w:t>
      </w:r>
      <w:proofErr w:type="spellEnd"/>
      <w:r>
        <w:rPr>
          <w:rStyle w:val="NormalCharacter"/>
          <w:rFonts w:ascii="Book Antiqua" w:hAnsi="Book Antiqua"/>
          <w:sz w:val="24"/>
        </w:rPr>
        <w:t xml:space="preserve"> C. Delivery for women with a previous cesarean: guidelines for clinical practice from the French College of Gynecologists and Obstetricians (CNGOF).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2013; </w:t>
      </w:r>
      <w:r>
        <w:rPr>
          <w:rStyle w:val="NormalCharacter"/>
          <w:rFonts w:ascii="Book Antiqua" w:hAnsi="Book Antiqua"/>
          <w:b/>
          <w:sz w:val="24"/>
        </w:rPr>
        <w:t>170</w:t>
      </w:r>
      <w:r>
        <w:rPr>
          <w:rStyle w:val="NormalCharacter"/>
          <w:rFonts w:ascii="Book Antiqua" w:hAnsi="Book Antiqua"/>
          <w:sz w:val="24"/>
        </w:rPr>
        <w:t>: 25-32 [PMID: 23810846 DOI: 10.1016/j.ejogrb.2013.05.015]</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21 </w:t>
      </w:r>
      <w:r>
        <w:rPr>
          <w:rStyle w:val="NormalCharacter"/>
          <w:rFonts w:ascii="Book Antiqua" w:hAnsi="Book Antiqua"/>
          <w:b/>
          <w:sz w:val="24"/>
        </w:rPr>
        <w:t>Silberstein T</w:t>
      </w:r>
      <w:r>
        <w:rPr>
          <w:rStyle w:val="NormalCharacter"/>
          <w:rFonts w:ascii="Book Antiqua" w:hAnsi="Book Antiqua"/>
          <w:sz w:val="24"/>
        </w:rPr>
        <w:t xml:space="preserve">, </w:t>
      </w:r>
      <w:proofErr w:type="spellStart"/>
      <w:r>
        <w:rPr>
          <w:rStyle w:val="NormalCharacter"/>
          <w:rFonts w:ascii="Book Antiqua" w:hAnsi="Book Antiqua"/>
          <w:sz w:val="24"/>
        </w:rPr>
        <w:t>Wiznitzer</w:t>
      </w:r>
      <w:proofErr w:type="spellEnd"/>
      <w:r>
        <w:rPr>
          <w:rStyle w:val="NormalCharacter"/>
          <w:rFonts w:ascii="Book Antiqua" w:hAnsi="Book Antiqua"/>
          <w:sz w:val="24"/>
        </w:rPr>
        <w:t xml:space="preserve"> A, Katz M, </w:t>
      </w:r>
      <w:proofErr w:type="spellStart"/>
      <w:r>
        <w:rPr>
          <w:rStyle w:val="NormalCharacter"/>
          <w:rFonts w:ascii="Book Antiqua" w:hAnsi="Book Antiqua"/>
          <w:sz w:val="24"/>
        </w:rPr>
        <w:t>Friger</w:t>
      </w:r>
      <w:proofErr w:type="spellEnd"/>
      <w:r>
        <w:rPr>
          <w:rStyle w:val="NormalCharacter"/>
          <w:rFonts w:ascii="Book Antiqua" w:hAnsi="Book Antiqua"/>
          <w:sz w:val="24"/>
        </w:rPr>
        <w:t xml:space="preserve"> M, </w:t>
      </w:r>
      <w:proofErr w:type="spellStart"/>
      <w:r>
        <w:rPr>
          <w:rStyle w:val="NormalCharacter"/>
          <w:rFonts w:ascii="Book Antiqua" w:hAnsi="Book Antiqua"/>
          <w:sz w:val="24"/>
        </w:rPr>
        <w:t>Mazor</w:t>
      </w:r>
      <w:proofErr w:type="spellEnd"/>
      <w:r>
        <w:rPr>
          <w:rStyle w:val="NormalCharacter"/>
          <w:rFonts w:ascii="Book Antiqua" w:hAnsi="Book Antiqua"/>
          <w:sz w:val="24"/>
        </w:rPr>
        <w:t xml:space="preserve"> M. Routine revision of uterine scar after cesarean section: has it ever been necessary?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1998; </w:t>
      </w:r>
      <w:r>
        <w:rPr>
          <w:rStyle w:val="NormalCharacter"/>
          <w:rFonts w:ascii="Book Antiqua" w:hAnsi="Book Antiqua"/>
          <w:b/>
          <w:sz w:val="24"/>
        </w:rPr>
        <w:t>78</w:t>
      </w:r>
      <w:r>
        <w:rPr>
          <w:rStyle w:val="NormalCharacter"/>
          <w:rFonts w:ascii="Book Antiqua" w:hAnsi="Book Antiqua"/>
          <w:sz w:val="24"/>
        </w:rPr>
        <w:t>: 29-32 [PMID: 9605445 DOI: 10.1016/s0301-2115(98)00005-0]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22 </w:t>
      </w:r>
      <w:proofErr w:type="spellStart"/>
      <w:r>
        <w:rPr>
          <w:rStyle w:val="NormalCharacter"/>
          <w:rFonts w:ascii="Book Antiqua" w:hAnsi="Book Antiqua"/>
          <w:b/>
          <w:sz w:val="24"/>
        </w:rPr>
        <w:t>Ugboma</w:t>
      </w:r>
      <w:proofErr w:type="spellEnd"/>
      <w:r>
        <w:rPr>
          <w:rStyle w:val="NormalCharacter"/>
          <w:rFonts w:ascii="Book Antiqua" w:hAnsi="Book Antiqua"/>
          <w:b/>
          <w:sz w:val="24"/>
        </w:rPr>
        <w:t xml:space="preserve"> HA</w:t>
      </w:r>
      <w:r>
        <w:rPr>
          <w:rStyle w:val="NormalCharacter"/>
          <w:rFonts w:ascii="Book Antiqua" w:hAnsi="Book Antiqua"/>
          <w:sz w:val="24"/>
        </w:rPr>
        <w:t xml:space="preserve">, </w:t>
      </w:r>
      <w:proofErr w:type="spellStart"/>
      <w:r>
        <w:rPr>
          <w:rStyle w:val="NormalCharacter"/>
          <w:rFonts w:ascii="Book Antiqua" w:hAnsi="Book Antiqua"/>
          <w:sz w:val="24"/>
        </w:rPr>
        <w:t>Akani</w:t>
      </w:r>
      <w:proofErr w:type="spellEnd"/>
      <w:r>
        <w:rPr>
          <w:rStyle w:val="NormalCharacter"/>
          <w:rFonts w:ascii="Book Antiqua" w:hAnsi="Book Antiqua"/>
          <w:sz w:val="24"/>
        </w:rPr>
        <w:t xml:space="preserve"> CI. Abdominal massage: another cause of maternal mortality. </w:t>
      </w:r>
      <w:r>
        <w:rPr>
          <w:rStyle w:val="NormalCharacter"/>
          <w:rFonts w:ascii="Book Antiqua" w:hAnsi="Book Antiqua"/>
          <w:i/>
          <w:sz w:val="24"/>
        </w:rPr>
        <w:t>Niger J Med</w:t>
      </w:r>
      <w:r>
        <w:rPr>
          <w:rStyle w:val="NormalCharacter"/>
          <w:rFonts w:ascii="Book Antiqua" w:hAnsi="Book Antiqua"/>
          <w:sz w:val="24"/>
        </w:rPr>
        <w:t xml:space="preserve"> 2004; </w:t>
      </w:r>
      <w:r>
        <w:rPr>
          <w:rStyle w:val="NormalCharacter"/>
          <w:rFonts w:ascii="Book Antiqua" w:hAnsi="Book Antiqua"/>
          <w:b/>
          <w:sz w:val="24"/>
        </w:rPr>
        <w:t>13</w:t>
      </w:r>
      <w:r>
        <w:rPr>
          <w:rStyle w:val="NormalCharacter"/>
          <w:rFonts w:ascii="Book Antiqua" w:hAnsi="Book Antiqua"/>
          <w:sz w:val="24"/>
        </w:rPr>
        <w:t>: 259-262 [PMID: 15532228]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23 </w:t>
      </w:r>
      <w:proofErr w:type="spellStart"/>
      <w:r>
        <w:rPr>
          <w:rStyle w:val="NormalCharacter"/>
          <w:rFonts w:ascii="Book Antiqua" w:hAnsi="Book Antiqua"/>
          <w:b/>
          <w:sz w:val="24"/>
        </w:rPr>
        <w:t>Rottenstreich</w:t>
      </w:r>
      <w:proofErr w:type="spellEnd"/>
      <w:r>
        <w:rPr>
          <w:rStyle w:val="NormalCharacter"/>
          <w:rFonts w:ascii="Book Antiqua" w:hAnsi="Book Antiqua"/>
          <w:b/>
          <w:sz w:val="24"/>
        </w:rPr>
        <w:t xml:space="preserve"> M</w:t>
      </w:r>
      <w:r>
        <w:rPr>
          <w:rStyle w:val="NormalCharacter"/>
          <w:rFonts w:ascii="Book Antiqua" w:hAnsi="Book Antiqua"/>
          <w:sz w:val="24"/>
        </w:rPr>
        <w:t xml:space="preserve">, </w:t>
      </w:r>
      <w:proofErr w:type="spellStart"/>
      <w:r>
        <w:rPr>
          <w:rStyle w:val="NormalCharacter"/>
          <w:rFonts w:ascii="Book Antiqua" w:hAnsi="Book Antiqua"/>
          <w:sz w:val="24"/>
        </w:rPr>
        <w:t>Khatib</w:t>
      </w:r>
      <w:proofErr w:type="spellEnd"/>
      <w:r>
        <w:rPr>
          <w:rStyle w:val="NormalCharacter"/>
          <w:rFonts w:ascii="Book Antiqua" w:hAnsi="Book Antiqua"/>
          <w:sz w:val="24"/>
        </w:rPr>
        <w:t xml:space="preserve"> F, </w:t>
      </w:r>
      <w:proofErr w:type="spellStart"/>
      <w:r>
        <w:rPr>
          <w:rStyle w:val="NormalCharacter"/>
          <w:rFonts w:ascii="Book Antiqua" w:hAnsi="Book Antiqua"/>
          <w:sz w:val="24"/>
        </w:rPr>
        <w:t>Sela</w:t>
      </w:r>
      <w:proofErr w:type="spellEnd"/>
      <w:r>
        <w:rPr>
          <w:rStyle w:val="NormalCharacter"/>
          <w:rFonts w:ascii="Book Antiqua" w:hAnsi="Book Antiqua"/>
          <w:sz w:val="24"/>
        </w:rPr>
        <w:t xml:space="preserve"> HY, </w:t>
      </w:r>
      <w:proofErr w:type="spellStart"/>
      <w:r>
        <w:rPr>
          <w:rStyle w:val="NormalCharacter"/>
          <w:rFonts w:ascii="Book Antiqua" w:hAnsi="Book Antiqua"/>
          <w:sz w:val="24"/>
        </w:rPr>
        <w:t>Grisaru-Granovsky</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Armon</w:t>
      </w:r>
      <w:proofErr w:type="spellEnd"/>
      <w:r>
        <w:rPr>
          <w:rStyle w:val="NormalCharacter"/>
          <w:rFonts w:ascii="Book Antiqua" w:hAnsi="Book Antiqua"/>
          <w:sz w:val="24"/>
        </w:rPr>
        <w:t xml:space="preserve"> S. Laparoscopic repair of uterine rupture diagnosed in the early postpartum period.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2019; </w:t>
      </w:r>
      <w:r>
        <w:rPr>
          <w:rStyle w:val="NormalCharacter"/>
          <w:rFonts w:ascii="Book Antiqua" w:hAnsi="Book Antiqua"/>
          <w:b/>
          <w:sz w:val="24"/>
        </w:rPr>
        <w:t>240</w:t>
      </w:r>
      <w:r>
        <w:rPr>
          <w:rStyle w:val="NormalCharacter"/>
          <w:rFonts w:ascii="Book Antiqua" w:hAnsi="Book Antiqua"/>
          <w:sz w:val="24"/>
        </w:rPr>
        <w:t>: 379-380 [PMID: 31235273 DOI: 10.1016/j.ejogrb.2019.06.023]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24 </w:t>
      </w:r>
      <w:proofErr w:type="spellStart"/>
      <w:r>
        <w:rPr>
          <w:rStyle w:val="NormalCharacter"/>
          <w:rFonts w:ascii="Book Antiqua" w:hAnsi="Book Antiqua"/>
          <w:b/>
          <w:sz w:val="24"/>
        </w:rPr>
        <w:t>Lua</w:t>
      </w:r>
      <w:proofErr w:type="spellEnd"/>
      <w:r>
        <w:rPr>
          <w:rStyle w:val="NormalCharacter"/>
          <w:rFonts w:ascii="Book Antiqua" w:hAnsi="Book Antiqua"/>
          <w:b/>
          <w:sz w:val="24"/>
        </w:rPr>
        <w:t xml:space="preserve"> LL</w:t>
      </w:r>
      <w:r>
        <w:rPr>
          <w:rStyle w:val="NormalCharacter"/>
          <w:rFonts w:ascii="Book Antiqua" w:hAnsi="Book Antiqua"/>
          <w:sz w:val="24"/>
        </w:rPr>
        <w:t xml:space="preserve">, Evans T, </w:t>
      </w:r>
      <w:proofErr w:type="gramStart"/>
      <w:r>
        <w:rPr>
          <w:rStyle w:val="NormalCharacter"/>
          <w:rFonts w:ascii="Book Antiqua" w:hAnsi="Book Antiqua"/>
          <w:sz w:val="24"/>
        </w:rPr>
        <w:t>Gomez</w:t>
      </w:r>
      <w:proofErr w:type="gramEnd"/>
      <w:r>
        <w:rPr>
          <w:rStyle w:val="NormalCharacter"/>
          <w:rFonts w:ascii="Book Antiqua" w:hAnsi="Book Antiqua"/>
          <w:sz w:val="24"/>
        </w:rPr>
        <w:t xml:space="preserve"> N. Simultaneous Uterine and Bladder Rupture Following Successful Vaginal Birth After Cesarean Delivery: Laparoscopic Repair of Defect. </w:t>
      </w:r>
      <w:r>
        <w:rPr>
          <w:rStyle w:val="NormalCharacter"/>
          <w:rFonts w:ascii="Book Antiqua" w:hAnsi="Book Antiqua"/>
          <w:i/>
          <w:sz w:val="24"/>
        </w:rPr>
        <w:t xml:space="preserve">J Minim Invasive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2017; </w:t>
      </w:r>
      <w:r>
        <w:rPr>
          <w:rStyle w:val="NormalCharacter"/>
          <w:rFonts w:ascii="Book Antiqua" w:hAnsi="Book Antiqua"/>
          <w:b/>
          <w:sz w:val="24"/>
        </w:rPr>
        <w:t>24</w:t>
      </w:r>
      <w:r>
        <w:rPr>
          <w:rStyle w:val="NormalCharacter"/>
          <w:rFonts w:ascii="Book Antiqua" w:hAnsi="Book Antiqua"/>
          <w:sz w:val="24"/>
        </w:rPr>
        <w:t>: 329-332 [PMID: 27780775 DOI: 10.1016/j.jmig.2016.10.002]</w:t>
      </w:r>
    </w:p>
    <w:p w:rsidR="00CF1418" w:rsidRDefault="008E666C">
      <w:pPr>
        <w:snapToGrid w:val="0"/>
        <w:spacing w:line="360" w:lineRule="auto"/>
        <w:rPr>
          <w:rStyle w:val="NormalCharacter"/>
          <w:rFonts w:ascii="Book Antiqua" w:hAnsi="Book Antiqua" w:cs="Arial"/>
          <w:b/>
          <w:bCs/>
          <w:color w:val="000000"/>
          <w:shd w:val="clear" w:color="auto" w:fill="FCFCFE"/>
          <w:lang w:val="en-GB"/>
        </w:rPr>
      </w:pPr>
      <w:r>
        <w:rPr>
          <w:rStyle w:val="NormalCharacter"/>
          <w:rFonts w:ascii="Book Antiqua" w:hAnsi="Book Antiqua" w:cs="Arial"/>
          <w:b/>
          <w:bCs/>
          <w:color w:val="000000"/>
          <w:shd w:val="clear" w:color="auto" w:fill="FCFCFE"/>
          <w:lang w:val="en-GB"/>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Footnotes</w:t>
      </w: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Informed consent statement:</w:t>
      </w:r>
      <w:r>
        <w:rPr>
          <w:rStyle w:val="NormalCharacter"/>
          <w:rFonts w:ascii="Book Antiqua" w:hAnsi="Book Antiqua"/>
          <w:sz w:val="24"/>
          <w:lang w:val="en-GB"/>
        </w:rPr>
        <w:t xml:space="preserve"> Informed written consent was obtained from the patient for publication of this report and any accompanying images.</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Conflict-of-interest statement:</w:t>
      </w:r>
      <w:r>
        <w:rPr>
          <w:rStyle w:val="NormalCharacter"/>
          <w:rFonts w:ascii="Book Antiqua" w:hAnsi="Book Antiqua"/>
          <w:sz w:val="24"/>
          <w:lang w:val="en-GB"/>
        </w:rPr>
        <w:t xml:space="preserve"> The authors declare that they have no conflict of interest.</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b/>
          <w:sz w:val="24"/>
          <w:lang w:val="en-GB"/>
        </w:rPr>
        <w:t>CARE Checklist (2016) statement:</w:t>
      </w:r>
      <w:r>
        <w:rPr>
          <w:rStyle w:val="NormalCharacter"/>
          <w:rFonts w:ascii="Book Antiqua" w:hAnsi="Book Antiqua"/>
          <w:sz w:val="24"/>
          <w:lang w:val="en-GB"/>
        </w:rPr>
        <w:t xml:space="preserve"> The authors have read the CARE Checklist (2016), and the manuscript was prepared and revised according to the CARE Checklist (2016).</w:t>
      </w:r>
    </w:p>
    <w:p w:rsidR="00CF1418" w:rsidRDefault="00CF1418">
      <w:pPr>
        <w:snapToGrid w:val="0"/>
        <w:spacing w:line="360" w:lineRule="auto"/>
        <w:rPr>
          <w:rStyle w:val="NormalCharacter"/>
          <w:rFonts w:ascii="Book Antiqua" w:hAnsi="Book Antiqua" w:cs="等线"/>
          <w:b/>
          <w:bCs/>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color w:val="000000"/>
          <w:sz w:val="24"/>
        </w:rPr>
        <w:t>Open-Access:</w:t>
      </w:r>
      <w:r>
        <w:rPr>
          <w:rStyle w:val="NormalCharacter"/>
          <w:rFonts w:ascii="Book Antiqua" w:hAnsi="Book Antiqua"/>
          <w:color w:val="000000"/>
          <w:sz w:val="24"/>
        </w:rPr>
        <w:t xml:space="preserve"> This article is an open-access </w:t>
      </w:r>
      <w:r>
        <w:rPr>
          <w:rStyle w:val="NormalCharacter"/>
          <w:rFonts w:ascii="Book Antiqua" w:hAnsi="Book Antiqua"/>
          <w:sz w:val="24"/>
        </w:rPr>
        <w:t xml:space="preserve">article that was selected </w:t>
      </w:r>
      <w:r>
        <w:rPr>
          <w:rStyle w:val="NormalCharacter"/>
          <w:rFonts w:ascii="Book Antiqua" w:hAnsi="Book Antiqua"/>
          <w:color w:val="000000"/>
          <w:sz w:val="24"/>
        </w:rPr>
        <w:t xml:space="preserve">by an in-house editor and fully peer-reviewed by external reviewers. It is distributed in accordance with the Creative Commons Attribution </w:t>
      </w:r>
      <w:proofErr w:type="spellStart"/>
      <w:r>
        <w:rPr>
          <w:rStyle w:val="NormalCharacter"/>
          <w:rFonts w:ascii="Book Antiqua" w:hAnsi="Book Antiqua"/>
          <w:color w:val="000000"/>
          <w:sz w:val="24"/>
        </w:rPr>
        <w:t>NonCommercial</w:t>
      </w:r>
      <w:proofErr w:type="spellEnd"/>
      <w:r>
        <w:rPr>
          <w:rStyle w:val="NormalCharacte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F1418" w:rsidRDefault="00CF1418">
      <w:pPr>
        <w:snapToGrid w:val="0"/>
        <w:spacing w:line="360" w:lineRule="auto"/>
        <w:rPr>
          <w:rStyle w:val="NormalCharacter"/>
          <w:rFonts w:ascii="Book Antiqua" w:hAnsi="Book Antiqua" w:cs="等线"/>
          <w:b/>
          <w:bCs/>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Manuscript source:</w:t>
      </w:r>
      <w:r>
        <w:rPr>
          <w:rStyle w:val="NormalCharacter"/>
          <w:rFonts w:ascii="Book Antiqua" w:hAnsi="Book Antiqua"/>
          <w:sz w:val="24"/>
          <w:lang w:val="en-GB"/>
        </w:rPr>
        <w:t> Unsolicited manuscript</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Peer-review started:</w:t>
      </w:r>
      <w:r>
        <w:rPr>
          <w:rStyle w:val="NormalCharacter"/>
          <w:rFonts w:ascii="Book Antiqua" w:hAnsi="Book Antiqua"/>
          <w:sz w:val="24"/>
          <w:lang w:val="en-GB"/>
        </w:rPr>
        <w:t xml:space="preserve"> March 12,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First decision:</w:t>
      </w:r>
      <w:r>
        <w:rPr>
          <w:rStyle w:val="NormalCharacter"/>
          <w:rFonts w:ascii="Book Antiqua" w:hAnsi="Book Antiqua"/>
          <w:sz w:val="24"/>
          <w:lang w:val="en-GB"/>
        </w:rPr>
        <w:t xml:space="preserve"> April 22, 2020</w:t>
      </w: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Article in press:</w:t>
      </w:r>
      <w:r>
        <w:rPr>
          <w:rStyle w:val="NormalCharacter"/>
          <w:rFonts w:ascii="Book Antiqua" w:hAnsi="Book Antiqua"/>
          <w:sz w:val="24"/>
          <w:lang w:val="en-GB"/>
        </w:rPr>
        <w:t xml:space="preserve"> </w:t>
      </w:r>
      <w:r w:rsidR="009C7CF6">
        <w:rPr>
          <w:rStyle w:val="NormalCharacter"/>
          <w:rFonts w:ascii="Book Antiqua" w:hAnsi="Book Antiqua" w:cs="Times New Roman"/>
          <w:bCs/>
          <w:sz w:val="24"/>
          <w:lang w:val="en-GB"/>
        </w:rPr>
        <w:t>June 18, 2020</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Specialty type: </w:t>
      </w:r>
      <w:r>
        <w:rPr>
          <w:rStyle w:val="NormalCharacter"/>
          <w:rFonts w:ascii="Book Antiqua" w:eastAsia="微软雅黑" w:hAnsi="Book Antiqua"/>
          <w:sz w:val="24"/>
        </w:rPr>
        <w:t>Medicine, research and experimental</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Country/Territory of origin: </w:t>
      </w:r>
      <w:r>
        <w:rPr>
          <w:rStyle w:val="NormalCharacter"/>
          <w:rFonts w:ascii="Book Antiqua" w:hAnsi="Book Antiqua"/>
          <w:sz w:val="24"/>
        </w:rPr>
        <w:t>China</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Peer-review report’s scientific quality classification</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Grade </w:t>
      </w:r>
      <w:proofErr w:type="gramStart"/>
      <w:r>
        <w:rPr>
          <w:rStyle w:val="NormalCharacter"/>
          <w:rFonts w:ascii="Book Antiqua" w:hAnsi="Book Antiqua"/>
          <w:sz w:val="24"/>
        </w:rPr>
        <w:t>A</w:t>
      </w:r>
      <w:proofErr w:type="gramEnd"/>
      <w:r>
        <w:rPr>
          <w:rStyle w:val="NormalCharacter"/>
          <w:rFonts w:ascii="Book Antiqua" w:hAnsi="Book Antiqua"/>
          <w:sz w:val="24"/>
        </w:rPr>
        <w:t xml:space="preserve"> (Excellent): 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B (Very good): 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C (Good): C</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Grade D (Fair): 0 </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E (Poor): 0</w:t>
      </w:r>
    </w:p>
    <w:p w:rsidR="00CF1418" w:rsidRDefault="00CF1418">
      <w:pPr>
        <w:pStyle w:val="179"/>
        <w:snapToGrid w:val="0"/>
        <w:spacing w:line="360" w:lineRule="auto"/>
        <w:ind w:firstLine="480"/>
        <w:rPr>
          <w:rStyle w:val="NormalCharacter"/>
          <w:rFonts w:ascii="Book Antiqua" w:hAnsi="Book Antiqua"/>
          <w:sz w:val="24"/>
          <w:lang w:val="en-GB"/>
        </w:rPr>
      </w:pPr>
    </w:p>
    <w:p w:rsidR="00CF1418" w:rsidRPr="009C7CF6" w:rsidRDefault="008E666C">
      <w:pPr>
        <w:pStyle w:val="PlainText"/>
        <w:snapToGrid w:val="0"/>
        <w:spacing w:line="360" w:lineRule="auto"/>
        <w:ind w:right="120"/>
        <w:jc w:val="left"/>
        <w:rPr>
          <w:rStyle w:val="NormalCharacter"/>
          <w:rFonts w:ascii="Book Antiqua" w:hAnsi="Book Antiqua"/>
          <w:sz w:val="24"/>
          <w:szCs w:val="24"/>
        </w:rPr>
      </w:pPr>
      <w:r>
        <w:rPr>
          <w:rStyle w:val="NormalCharacter"/>
          <w:rFonts w:ascii="Book Antiqua" w:hAnsi="Book Antiqua"/>
          <w:b/>
          <w:sz w:val="24"/>
          <w:szCs w:val="24"/>
        </w:rPr>
        <w:t xml:space="preserve">P-Reviewer: </w:t>
      </w:r>
      <w:proofErr w:type="spellStart"/>
      <w:r>
        <w:rPr>
          <w:rStyle w:val="NormalCharacter"/>
          <w:rFonts w:ascii="Book Antiqua" w:hAnsi="Book Antiqua"/>
          <w:color w:val="000000"/>
          <w:sz w:val="24"/>
          <w:szCs w:val="24"/>
        </w:rPr>
        <w:t>Laganà</w:t>
      </w:r>
      <w:proofErr w:type="spellEnd"/>
      <w:r>
        <w:rPr>
          <w:rStyle w:val="NormalCharacter"/>
          <w:rFonts w:ascii="Book Antiqua" w:hAnsi="Book Antiqua"/>
          <w:color w:val="000000"/>
          <w:sz w:val="24"/>
          <w:szCs w:val="24"/>
        </w:rPr>
        <w:t xml:space="preserve"> AS </w:t>
      </w:r>
      <w:r>
        <w:rPr>
          <w:rStyle w:val="NormalCharacter"/>
          <w:rFonts w:ascii="Book Antiqua" w:hAnsi="Book Antiqua"/>
          <w:b/>
          <w:sz w:val="24"/>
          <w:szCs w:val="24"/>
        </w:rPr>
        <w:t xml:space="preserve">S-Editor: </w:t>
      </w:r>
      <w:r>
        <w:rPr>
          <w:rStyle w:val="NormalCharacter"/>
          <w:rFonts w:ascii="Book Antiqua" w:hAnsi="Book Antiqua" w:cs="Courier New"/>
          <w:bCs/>
          <w:sz w:val="24"/>
          <w:szCs w:val="24"/>
        </w:rPr>
        <w:t>Dou Y</w:t>
      </w:r>
      <w:r>
        <w:rPr>
          <w:rStyle w:val="NormalCharacter"/>
          <w:rFonts w:ascii="Book Antiqua" w:hAnsi="Book Antiqua"/>
          <w:b/>
          <w:sz w:val="24"/>
          <w:szCs w:val="24"/>
        </w:rPr>
        <w:t xml:space="preserve"> L-Editor: </w:t>
      </w:r>
      <w:r>
        <w:rPr>
          <w:rStyle w:val="NormalCharacter"/>
          <w:rFonts w:ascii="Book Antiqua" w:hAnsi="Book Antiqua"/>
          <w:sz w:val="24"/>
          <w:szCs w:val="24"/>
        </w:rPr>
        <w:t>Wang TQ</w:t>
      </w:r>
      <w:r>
        <w:rPr>
          <w:rStyle w:val="NormalCharacter"/>
          <w:rFonts w:ascii="Book Antiqua" w:hAnsi="Book Antiqua"/>
          <w:b/>
          <w:sz w:val="24"/>
          <w:szCs w:val="24"/>
        </w:rPr>
        <w:t xml:space="preserve"> E-Editor: </w:t>
      </w:r>
      <w:r w:rsidR="009C7CF6" w:rsidRPr="009C7CF6">
        <w:rPr>
          <w:rStyle w:val="NormalCharacter"/>
          <w:rFonts w:ascii="Book Antiqua" w:hAnsi="Book Antiqua"/>
          <w:sz w:val="24"/>
          <w:szCs w:val="24"/>
        </w:rPr>
        <w:t>Xing YX</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Figure Legends</w:t>
      </w:r>
    </w:p>
    <w:p w:rsidR="00CF1418" w:rsidRDefault="008E666C">
      <w:pPr>
        <w:pStyle w:val="HtmlNormal"/>
        <w:shd w:val="clear" w:color="auto" w:fill="FCFCFE"/>
        <w:snapToGrid w:val="0"/>
        <w:spacing w:before="0" w:after="0" w:line="360" w:lineRule="auto"/>
        <w:jc w:val="both"/>
        <w:rPr>
          <w:rStyle w:val="NormalCharacter"/>
          <w:rFonts w:ascii="Book Antiqua" w:hAnsi="Book Antiqua"/>
          <w:color w:val="000000"/>
          <w:lang w:val="en-GB"/>
        </w:rPr>
      </w:pPr>
      <w:r>
        <w:rPr>
          <w:rStyle w:val="NormalCharacter"/>
          <w:rFonts w:ascii="Book Antiqua" w:hAnsi="Book Antiqua"/>
          <w:b/>
          <w:noProof/>
          <w:color w:val="000000"/>
          <w:shd w:val="clear" w:color="auto" w:fill="FCFCFE"/>
        </w:rPr>
        <w:drawing>
          <wp:inline distT="0" distB="0" distL="114300" distR="114300" wp14:anchorId="3C6BD74C" wp14:editId="102F53E2">
            <wp:extent cx="5761990" cy="3328670"/>
            <wp:effectExtent l="0" t="0" r="139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61990" cy="3328670"/>
                    </a:xfrm>
                    <a:prstGeom prst="rect">
                      <a:avLst/>
                    </a:prstGeom>
                    <a:noFill/>
                    <a:ln>
                      <a:noFill/>
                    </a:ln>
                  </pic:spPr>
                </pic:pic>
              </a:graphicData>
            </a:graphic>
          </wp:inline>
        </w:drawing>
      </w:r>
      <w:r>
        <w:rPr>
          <w:rStyle w:val="NormalCharacter"/>
          <w:rFonts w:ascii="Book Antiqua" w:hAnsi="Book Antiqua" w:cs="Times New Roman"/>
          <w:b/>
          <w:bCs/>
          <w:color w:val="000000"/>
          <w:lang w:val="en-GB"/>
        </w:rPr>
        <w:t>Figure 1 Images of laparoscopic surgery.</w:t>
      </w:r>
      <w:r>
        <w:rPr>
          <w:rStyle w:val="NormalCharacter"/>
          <w:rFonts w:ascii="Book Antiqua" w:hAnsi="Book Antiqua"/>
          <w:color w:val="000000"/>
          <w:lang w:val="en-GB"/>
        </w:rPr>
        <w:t xml:space="preserve"> A: Image of laparoscopic exploration; B: Uterine defect observed laparoscopically; C: Repair of the myometrium and </w:t>
      </w:r>
      <w:proofErr w:type="spellStart"/>
      <w:r>
        <w:rPr>
          <w:rStyle w:val="NormalCharacter"/>
          <w:rFonts w:ascii="Book Antiqua" w:hAnsi="Book Antiqua"/>
          <w:color w:val="000000"/>
          <w:lang w:val="en-GB"/>
        </w:rPr>
        <w:t>serosal</w:t>
      </w:r>
      <w:proofErr w:type="spellEnd"/>
      <w:r>
        <w:rPr>
          <w:rStyle w:val="NormalCharacter"/>
          <w:rFonts w:ascii="Book Antiqua" w:hAnsi="Book Antiqua"/>
          <w:color w:val="000000"/>
          <w:lang w:val="en-GB"/>
        </w:rPr>
        <w:t xml:space="preserve"> layers using PDS; D: Repair of the bladder peritoneum.</w:t>
      </w:r>
    </w:p>
    <w:p w:rsidR="00CF1418" w:rsidRDefault="008E666C">
      <w:pPr>
        <w:pStyle w:val="HtmlNormal"/>
        <w:shd w:val="clear" w:color="auto" w:fill="FCFCFE"/>
        <w:snapToGrid w:val="0"/>
        <w:spacing w:before="0" w:after="0" w:line="360" w:lineRule="auto"/>
        <w:jc w:val="both"/>
        <w:rPr>
          <w:rStyle w:val="NormalCharacter"/>
          <w:rFonts w:ascii="Book Antiqua" w:hAnsi="Book Antiqua" w:cs="Arial"/>
          <w:b/>
          <w:bCs/>
          <w:color w:val="000000"/>
          <w:shd w:val="clear" w:color="auto" w:fill="FCFCFE"/>
          <w:lang w:val="en-GB"/>
        </w:rPr>
      </w:pPr>
      <w:r>
        <w:rPr>
          <w:rStyle w:val="NormalCharacter"/>
          <w:rFonts w:ascii="Book Antiqua" w:hAnsi="Book Antiqua"/>
          <w:noProof/>
          <w:color w:val="000000"/>
        </w:rPr>
        <w:lastRenderedPageBreak/>
        <w:drawing>
          <wp:inline distT="0" distB="0" distL="114300" distR="114300" wp14:anchorId="02B1AD58" wp14:editId="7553AAD5">
            <wp:extent cx="5763260" cy="4509770"/>
            <wp:effectExtent l="0" t="0" r="1270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63260" cy="4509770"/>
                    </a:xfrm>
                    <a:prstGeom prst="rect">
                      <a:avLst/>
                    </a:prstGeom>
                    <a:noFill/>
                    <a:ln>
                      <a:noFill/>
                    </a:ln>
                  </pic:spPr>
                </pic:pic>
              </a:graphicData>
            </a:graphic>
          </wp:inline>
        </w:drawing>
      </w:r>
      <w:proofErr w:type="gramStart"/>
      <w:r>
        <w:rPr>
          <w:rStyle w:val="NormalCharacter"/>
          <w:rFonts w:ascii="Book Antiqua" w:hAnsi="Book Antiqua" w:cs="Times New Roman"/>
          <w:b/>
          <w:bCs/>
          <w:color w:val="000000"/>
          <w:lang w:val="en-GB"/>
        </w:rPr>
        <w:t>Figure 2 Three-dimensional model based on magnetic resonance images of a caesarean scar defect at 42 d postpartum.</w:t>
      </w:r>
      <w:proofErr w:type="gramEnd"/>
      <w:r>
        <w:rPr>
          <w:rStyle w:val="NormalCharacter"/>
          <w:rFonts w:ascii="Book Antiqua" w:hAnsi="Book Antiqua" w:cs="Times New Roman"/>
          <w:b/>
          <w:bCs/>
          <w:color w:val="000000"/>
          <w:lang w:val="en-GB"/>
        </w:rPr>
        <w:t xml:space="preserve"> </w:t>
      </w:r>
      <w:r>
        <w:rPr>
          <w:rStyle w:val="NormalCharacter"/>
          <w:rFonts w:ascii="Book Antiqua" w:hAnsi="Book Antiqua"/>
          <w:color w:val="000000"/>
          <w:lang w:val="en-GB"/>
        </w:rPr>
        <w:t>A: Axial plane; B: Three-dimensional model; C: Sagittal plane; D: Coronal plane.</w:t>
      </w:r>
    </w:p>
    <w:sectPr w:rsidR="00CF1418">
      <w:pgSz w:w="11906" w:h="16838"/>
      <w:pgMar w:top="1417" w:right="1417" w:bottom="1417"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7B2" w:rsidRDefault="005237B2">
      <w:r>
        <w:separator/>
      </w:r>
    </w:p>
  </w:endnote>
  <w:endnote w:type="continuationSeparator" w:id="0">
    <w:p w:rsidR="005237B2" w:rsidRDefault="00523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7B2" w:rsidRDefault="005237B2">
      <w:r>
        <w:separator/>
      </w:r>
    </w:p>
  </w:footnote>
  <w:footnote w:type="continuationSeparator" w:id="0">
    <w:p w:rsidR="005237B2" w:rsidRDefault="005237B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None" w15:userId="Wang Tianqi"/>
  </w15:person>
  <w15:person w15:author="[b2x: could not retrieve author]">
    <w15:presenceInfo w15:providerId="None" w15:userId="[b2x: could not retrieve 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defaultTabStop w:val="420"/>
  <w:displayHorizontalDrawingGridEvery w:val="2"/>
  <w:displayVerticalDrawingGridEvery w:val="2"/>
  <w:doNotUseMarginsForDrawingGridOrigin/>
  <w:drawingGridHorizontalOrigin w:val="1800"/>
  <w:drawingGridVerticalOrigin w:val="1440"/>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18"/>
    <w:rsid w:val="00002F66"/>
    <w:rsid w:val="00007BBA"/>
    <w:rsid w:val="000716C1"/>
    <w:rsid w:val="002D27DE"/>
    <w:rsid w:val="003F0CB8"/>
    <w:rsid w:val="00460FCA"/>
    <w:rsid w:val="004E5122"/>
    <w:rsid w:val="004F2E6B"/>
    <w:rsid w:val="005237B2"/>
    <w:rsid w:val="00595D3E"/>
    <w:rsid w:val="00622476"/>
    <w:rsid w:val="006A7185"/>
    <w:rsid w:val="006B18F2"/>
    <w:rsid w:val="00771423"/>
    <w:rsid w:val="00791D20"/>
    <w:rsid w:val="007B61AA"/>
    <w:rsid w:val="007D51E5"/>
    <w:rsid w:val="008D43DD"/>
    <w:rsid w:val="008E666C"/>
    <w:rsid w:val="009038FB"/>
    <w:rsid w:val="00951239"/>
    <w:rsid w:val="00971136"/>
    <w:rsid w:val="009C7CF6"/>
    <w:rsid w:val="00A022F5"/>
    <w:rsid w:val="00AB426C"/>
    <w:rsid w:val="00B72D4A"/>
    <w:rsid w:val="00B83326"/>
    <w:rsid w:val="00C15166"/>
    <w:rsid w:val="00C810E2"/>
    <w:rsid w:val="00CA777F"/>
    <w:rsid w:val="00CF1418"/>
    <w:rsid w:val="00D7497C"/>
    <w:rsid w:val="00E70091"/>
    <w:rsid w:val="00EA4E93"/>
    <w:rsid w:val="00F80BA6"/>
    <w:rsid w:val="43896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UserStyle11"/>
    <w:pPr>
      <w:jc w:val="both"/>
      <w:textAlignment w:val="baseline"/>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000000"/>
      </w:pBdr>
      <w:tabs>
        <w:tab w:val="center" w:pos="4153"/>
        <w:tab w:val="right" w:pos="8306"/>
      </w:tabs>
      <w:snapToGrid w:val="0"/>
      <w:jc w:val="center"/>
    </w:pPr>
    <w:rPr>
      <w:sz w:val="18"/>
      <w:szCs w:val="18"/>
    </w:rPr>
  </w:style>
  <w:style w:type="character" w:styleId="a6">
    <w:name w:val="Hyperlink"/>
    <w:rPr>
      <w:color w:val="0000FF"/>
      <w:u w:val="single"/>
    </w:rPr>
  </w:style>
  <w:style w:type="paragraph" w:customStyle="1" w:styleId="Heading1">
    <w:name w:val="Heading1"/>
    <w:basedOn w:val="a"/>
    <w:next w:val="a"/>
    <w:qFormat/>
    <w:pPr>
      <w:spacing w:before="100" w:beforeAutospacing="1" w:after="100" w:afterAutospacing="1"/>
      <w:jc w:val="left"/>
    </w:pPr>
    <w:rPr>
      <w:rFonts w:ascii="宋体" w:hAnsi="宋体"/>
      <w:b/>
      <w:kern w:val="44"/>
      <w:sz w:val="48"/>
      <w:szCs w:val="48"/>
    </w:rPr>
  </w:style>
  <w:style w:type="character" w:customStyle="1" w:styleId="NormalCharacter">
    <w:name w:val="NormalCharacter"/>
    <w:qFormat/>
  </w:style>
  <w:style w:type="table" w:customStyle="1" w:styleId="TableNormal">
    <w:name w:val="TableNormal"/>
    <w:qFormat/>
    <w:tblPr>
      <w:tblCellMar>
        <w:top w:w="0" w:type="dxa"/>
        <w:left w:w="0" w:type="dxa"/>
        <w:bottom w:w="0" w:type="dxa"/>
        <w:right w:w="0" w:type="dxa"/>
      </w:tblCellMar>
    </w:tblPr>
  </w:style>
  <w:style w:type="character" w:customStyle="1" w:styleId="LineNumber">
    <w:name w:val="LineNumber"/>
    <w:basedOn w:val="NormalCharacter"/>
  </w:style>
  <w:style w:type="character" w:customStyle="1" w:styleId="UserStyle0">
    <w:name w:val="UserStyle_0"/>
    <w:link w:val="AnnotationText"/>
    <w:qFormat/>
    <w:rPr>
      <w:rFonts w:ascii="Tahoma" w:hAnsi="Tahoma"/>
      <w:kern w:val="2"/>
      <w:sz w:val="16"/>
    </w:rPr>
  </w:style>
  <w:style w:type="paragraph" w:customStyle="1" w:styleId="AnnotationText">
    <w:name w:val="AnnotationText"/>
    <w:basedOn w:val="a"/>
    <w:link w:val="UserStyle0"/>
    <w:rPr>
      <w:rFonts w:ascii="Tahoma" w:hAnsi="Tahoma"/>
      <w:sz w:val="16"/>
      <w:szCs w:val="20"/>
    </w:rPr>
  </w:style>
  <w:style w:type="character" w:customStyle="1" w:styleId="AnnotationReference">
    <w:name w:val="AnnotationReference"/>
    <w:qFormat/>
    <w:rPr>
      <w:rFonts w:ascii="Tahoma" w:hAnsi="Tahoma"/>
      <w:sz w:val="16"/>
      <w:szCs w:val="16"/>
    </w:rPr>
  </w:style>
  <w:style w:type="character" w:customStyle="1" w:styleId="Char">
    <w:name w:val="页脚 Char"/>
    <w:link w:val="a4"/>
    <w:rPr>
      <w:rFonts w:ascii="Calibri" w:hAnsi="Calibri"/>
      <w:kern w:val="2"/>
      <w:sz w:val="18"/>
      <w:szCs w:val="18"/>
    </w:rPr>
  </w:style>
  <w:style w:type="character" w:customStyle="1" w:styleId="UserStyle2">
    <w:name w:val="UserStyle_2"/>
    <w:link w:val="Acetate"/>
    <w:qFormat/>
    <w:rPr>
      <w:rFonts w:ascii="Segoe UI" w:hAnsi="Segoe UI"/>
      <w:kern w:val="2"/>
      <w:sz w:val="18"/>
      <w:szCs w:val="18"/>
    </w:rPr>
  </w:style>
  <w:style w:type="paragraph" w:customStyle="1" w:styleId="Acetate">
    <w:name w:val="Acetate"/>
    <w:basedOn w:val="a"/>
    <w:link w:val="UserStyle2"/>
    <w:qFormat/>
    <w:rPr>
      <w:rFonts w:ascii="Segoe UI" w:hAnsi="Segoe UI"/>
      <w:sz w:val="18"/>
      <w:szCs w:val="18"/>
    </w:rPr>
  </w:style>
  <w:style w:type="character" w:customStyle="1" w:styleId="UserStyle3">
    <w:name w:val="UserStyle_3"/>
    <w:link w:val="AnnotationSubject"/>
    <w:qFormat/>
    <w:rPr>
      <w:rFonts w:ascii="Tahoma" w:hAnsi="Tahoma" w:cs="Tahoma"/>
      <w:b/>
      <w:bCs/>
      <w:kern w:val="2"/>
      <w:sz w:val="16"/>
    </w:rPr>
  </w:style>
  <w:style w:type="paragraph" w:customStyle="1" w:styleId="AnnotationSubject">
    <w:name w:val="AnnotationSubject"/>
    <w:basedOn w:val="AnnotationText"/>
    <w:next w:val="AnnotationText"/>
    <w:link w:val="UserStyle3"/>
    <w:rPr>
      <w:rFonts w:cs="Tahoma"/>
      <w:b/>
      <w:bCs/>
    </w:rPr>
  </w:style>
  <w:style w:type="character" w:customStyle="1" w:styleId="UserStyle4">
    <w:name w:val="UserStyle_4"/>
    <w:link w:val="UserStyle5"/>
    <w:qFormat/>
    <w:rPr>
      <w:rFonts w:ascii="Calibri" w:hAnsi="Calibri"/>
      <w:kern w:val="2"/>
      <w:szCs w:val="24"/>
    </w:rPr>
  </w:style>
  <w:style w:type="paragraph" w:customStyle="1" w:styleId="UserStyle5">
    <w:name w:val="UserStyle_5"/>
    <w:basedOn w:val="a"/>
    <w:link w:val="UserStyle4"/>
    <w:pPr>
      <w:jc w:val="center"/>
    </w:pPr>
    <w:rPr>
      <w:sz w:val="20"/>
    </w:rPr>
  </w:style>
  <w:style w:type="character" w:customStyle="1" w:styleId="UserStyle6">
    <w:name w:val="UserStyle_6"/>
    <w:link w:val="UserStyle7"/>
    <w:rPr>
      <w:rFonts w:ascii="Calibri" w:hAnsi="Calibri"/>
      <w:kern w:val="2"/>
      <w:szCs w:val="24"/>
    </w:rPr>
  </w:style>
  <w:style w:type="paragraph" w:customStyle="1" w:styleId="UserStyle7">
    <w:name w:val="UserStyle_7"/>
    <w:basedOn w:val="a"/>
    <w:link w:val="UserStyle6"/>
    <w:rPr>
      <w:sz w:val="20"/>
    </w:rPr>
  </w:style>
  <w:style w:type="character" w:customStyle="1" w:styleId="Char0">
    <w:name w:val="页眉 Char"/>
    <w:link w:val="a5"/>
    <w:qFormat/>
    <w:rPr>
      <w:rFonts w:ascii="Calibri" w:hAnsi="Calibri"/>
      <w:kern w:val="2"/>
      <w:sz w:val="18"/>
      <w:szCs w:val="18"/>
    </w:rPr>
  </w:style>
  <w:style w:type="paragraph" w:customStyle="1" w:styleId="HtmlNormal">
    <w:name w:val="HtmlNormal"/>
    <w:basedOn w:val="a"/>
    <w:qFormat/>
    <w:pPr>
      <w:spacing w:before="100" w:beforeAutospacing="1" w:after="100" w:afterAutospacing="1"/>
      <w:jc w:val="left"/>
    </w:pPr>
    <w:rPr>
      <w:kern w:val="0"/>
      <w:sz w:val="24"/>
    </w:rPr>
  </w:style>
  <w:style w:type="paragraph" w:customStyle="1" w:styleId="178">
    <w:name w:val="178"/>
    <w:pPr>
      <w:textAlignment w:val="baseline"/>
    </w:pPr>
    <w:rPr>
      <w:rFonts w:ascii="Calibri" w:hAnsi="Calibri"/>
      <w:kern w:val="2"/>
      <w:sz w:val="21"/>
      <w:szCs w:val="24"/>
    </w:rPr>
  </w:style>
  <w:style w:type="paragraph" w:customStyle="1" w:styleId="179">
    <w:name w:val="179"/>
    <w:basedOn w:val="a"/>
    <w:pPr>
      <w:ind w:firstLineChars="200" w:firstLine="420"/>
    </w:pPr>
  </w:style>
  <w:style w:type="paragraph" w:customStyle="1" w:styleId="UserStyle9">
    <w:name w:val="UserStyle_9"/>
    <w:semiHidden/>
    <w:pPr>
      <w:textAlignment w:val="baseline"/>
    </w:pPr>
    <w:rPr>
      <w:rFonts w:ascii="Calibri" w:hAnsi="Calibri"/>
      <w:kern w:val="2"/>
      <w:sz w:val="21"/>
      <w:szCs w:val="24"/>
    </w:rPr>
  </w:style>
  <w:style w:type="paragraph" w:customStyle="1" w:styleId="UserStyle10">
    <w:name w:val="UserStyle_10"/>
    <w:qFormat/>
    <w:pPr>
      <w:spacing w:after="200" w:line="276" w:lineRule="auto"/>
      <w:textAlignment w:val="baseline"/>
    </w:pPr>
    <w:rPr>
      <w:rFonts w:ascii="Calibri" w:eastAsia="Calibri" w:hAnsi="Calibri"/>
      <w:sz w:val="22"/>
      <w:szCs w:val="22"/>
      <w:lang w:eastAsia="en-US"/>
    </w:rPr>
  </w:style>
  <w:style w:type="character" w:customStyle="1" w:styleId="UserStyle11">
    <w:name w:val="UserStyle_11"/>
  </w:style>
  <w:style w:type="paragraph" w:customStyle="1" w:styleId="UserStyle12">
    <w:name w:val="UserStyle_12"/>
    <w:basedOn w:val="a"/>
    <w:pPr>
      <w:spacing w:before="100" w:beforeAutospacing="1" w:after="100" w:afterAutospacing="1"/>
      <w:jc w:val="left"/>
    </w:pPr>
    <w:rPr>
      <w:rFonts w:ascii="Times New Roman" w:hAnsi="Times New Roman"/>
      <w:kern w:val="0"/>
      <w:sz w:val="24"/>
      <w:lang w:eastAsia="en-US"/>
    </w:rPr>
  </w:style>
  <w:style w:type="paragraph" w:customStyle="1" w:styleId="PlainText">
    <w:name w:val="PlainText"/>
    <w:basedOn w:val="a"/>
    <w:link w:val="UserStyle13"/>
    <w:qFormat/>
    <w:rPr>
      <w:rFonts w:ascii="宋体" w:hAnsi="Courier New"/>
      <w:szCs w:val="21"/>
    </w:rPr>
  </w:style>
  <w:style w:type="character" w:customStyle="1" w:styleId="UserStyle13">
    <w:name w:val="UserStyle_13"/>
    <w:link w:val="PlainText"/>
    <w:rPr>
      <w:rFonts w:ascii="宋体" w:hAnsi="Courier New"/>
      <w:kern w:val="2"/>
      <w:sz w:val="21"/>
      <w:szCs w:val="21"/>
    </w:rPr>
  </w:style>
  <w:style w:type="paragraph" w:styleId="a7">
    <w:name w:val="Balloon Text"/>
    <w:basedOn w:val="a"/>
    <w:link w:val="Char1"/>
    <w:rsid w:val="00CA777F"/>
    <w:rPr>
      <w:sz w:val="18"/>
      <w:szCs w:val="18"/>
    </w:rPr>
  </w:style>
  <w:style w:type="character" w:customStyle="1" w:styleId="Char1">
    <w:name w:val="批注框文本 Char"/>
    <w:basedOn w:val="a0"/>
    <w:link w:val="a7"/>
    <w:rsid w:val="00CA777F"/>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UserStyle11"/>
    <w:pPr>
      <w:jc w:val="both"/>
      <w:textAlignment w:val="baseline"/>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000000"/>
      </w:pBdr>
      <w:tabs>
        <w:tab w:val="center" w:pos="4153"/>
        <w:tab w:val="right" w:pos="8306"/>
      </w:tabs>
      <w:snapToGrid w:val="0"/>
      <w:jc w:val="center"/>
    </w:pPr>
    <w:rPr>
      <w:sz w:val="18"/>
      <w:szCs w:val="18"/>
    </w:rPr>
  </w:style>
  <w:style w:type="character" w:styleId="a6">
    <w:name w:val="Hyperlink"/>
    <w:rPr>
      <w:color w:val="0000FF"/>
      <w:u w:val="single"/>
    </w:rPr>
  </w:style>
  <w:style w:type="paragraph" w:customStyle="1" w:styleId="Heading1">
    <w:name w:val="Heading1"/>
    <w:basedOn w:val="a"/>
    <w:next w:val="a"/>
    <w:qFormat/>
    <w:pPr>
      <w:spacing w:before="100" w:beforeAutospacing="1" w:after="100" w:afterAutospacing="1"/>
      <w:jc w:val="left"/>
    </w:pPr>
    <w:rPr>
      <w:rFonts w:ascii="宋体" w:hAnsi="宋体"/>
      <w:b/>
      <w:kern w:val="44"/>
      <w:sz w:val="48"/>
      <w:szCs w:val="48"/>
    </w:rPr>
  </w:style>
  <w:style w:type="character" w:customStyle="1" w:styleId="NormalCharacter">
    <w:name w:val="NormalCharacter"/>
    <w:qFormat/>
  </w:style>
  <w:style w:type="table" w:customStyle="1" w:styleId="TableNormal">
    <w:name w:val="TableNormal"/>
    <w:qFormat/>
    <w:tblPr>
      <w:tblCellMar>
        <w:top w:w="0" w:type="dxa"/>
        <w:left w:w="0" w:type="dxa"/>
        <w:bottom w:w="0" w:type="dxa"/>
        <w:right w:w="0" w:type="dxa"/>
      </w:tblCellMar>
    </w:tblPr>
  </w:style>
  <w:style w:type="character" w:customStyle="1" w:styleId="LineNumber">
    <w:name w:val="LineNumber"/>
    <w:basedOn w:val="NormalCharacter"/>
  </w:style>
  <w:style w:type="character" w:customStyle="1" w:styleId="UserStyle0">
    <w:name w:val="UserStyle_0"/>
    <w:link w:val="AnnotationText"/>
    <w:qFormat/>
    <w:rPr>
      <w:rFonts w:ascii="Tahoma" w:hAnsi="Tahoma"/>
      <w:kern w:val="2"/>
      <w:sz w:val="16"/>
    </w:rPr>
  </w:style>
  <w:style w:type="paragraph" w:customStyle="1" w:styleId="AnnotationText">
    <w:name w:val="AnnotationText"/>
    <w:basedOn w:val="a"/>
    <w:link w:val="UserStyle0"/>
    <w:rPr>
      <w:rFonts w:ascii="Tahoma" w:hAnsi="Tahoma"/>
      <w:sz w:val="16"/>
      <w:szCs w:val="20"/>
    </w:rPr>
  </w:style>
  <w:style w:type="character" w:customStyle="1" w:styleId="AnnotationReference">
    <w:name w:val="AnnotationReference"/>
    <w:qFormat/>
    <w:rPr>
      <w:rFonts w:ascii="Tahoma" w:hAnsi="Tahoma"/>
      <w:sz w:val="16"/>
      <w:szCs w:val="16"/>
    </w:rPr>
  </w:style>
  <w:style w:type="character" w:customStyle="1" w:styleId="Char">
    <w:name w:val="页脚 Char"/>
    <w:link w:val="a4"/>
    <w:rPr>
      <w:rFonts w:ascii="Calibri" w:hAnsi="Calibri"/>
      <w:kern w:val="2"/>
      <w:sz w:val="18"/>
      <w:szCs w:val="18"/>
    </w:rPr>
  </w:style>
  <w:style w:type="character" w:customStyle="1" w:styleId="UserStyle2">
    <w:name w:val="UserStyle_2"/>
    <w:link w:val="Acetate"/>
    <w:qFormat/>
    <w:rPr>
      <w:rFonts w:ascii="Segoe UI" w:hAnsi="Segoe UI"/>
      <w:kern w:val="2"/>
      <w:sz w:val="18"/>
      <w:szCs w:val="18"/>
    </w:rPr>
  </w:style>
  <w:style w:type="paragraph" w:customStyle="1" w:styleId="Acetate">
    <w:name w:val="Acetate"/>
    <w:basedOn w:val="a"/>
    <w:link w:val="UserStyle2"/>
    <w:qFormat/>
    <w:rPr>
      <w:rFonts w:ascii="Segoe UI" w:hAnsi="Segoe UI"/>
      <w:sz w:val="18"/>
      <w:szCs w:val="18"/>
    </w:rPr>
  </w:style>
  <w:style w:type="character" w:customStyle="1" w:styleId="UserStyle3">
    <w:name w:val="UserStyle_3"/>
    <w:link w:val="AnnotationSubject"/>
    <w:qFormat/>
    <w:rPr>
      <w:rFonts w:ascii="Tahoma" w:hAnsi="Tahoma" w:cs="Tahoma"/>
      <w:b/>
      <w:bCs/>
      <w:kern w:val="2"/>
      <w:sz w:val="16"/>
    </w:rPr>
  </w:style>
  <w:style w:type="paragraph" w:customStyle="1" w:styleId="AnnotationSubject">
    <w:name w:val="AnnotationSubject"/>
    <w:basedOn w:val="AnnotationText"/>
    <w:next w:val="AnnotationText"/>
    <w:link w:val="UserStyle3"/>
    <w:rPr>
      <w:rFonts w:cs="Tahoma"/>
      <w:b/>
      <w:bCs/>
    </w:rPr>
  </w:style>
  <w:style w:type="character" w:customStyle="1" w:styleId="UserStyle4">
    <w:name w:val="UserStyle_4"/>
    <w:link w:val="UserStyle5"/>
    <w:qFormat/>
    <w:rPr>
      <w:rFonts w:ascii="Calibri" w:hAnsi="Calibri"/>
      <w:kern w:val="2"/>
      <w:szCs w:val="24"/>
    </w:rPr>
  </w:style>
  <w:style w:type="paragraph" w:customStyle="1" w:styleId="UserStyle5">
    <w:name w:val="UserStyle_5"/>
    <w:basedOn w:val="a"/>
    <w:link w:val="UserStyle4"/>
    <w:pPr>
      <w:jc w:val="center"/>
    </w:pPr>
    <w:rPr>
      <w:sz w:val="20"/>
    </w:rPr>
  </w:style>
  <w:style w:type="character" w:customStyle="1" w:styleId="UserStyle6">
    <w:name w:val="UserStyle_6"/>
    <w:link w:val="UserStyle7"/>
    <w:rPr>
      <w:rFonts w:ascii="Calibri" w:hAnsi="Calibri"/>
      <w:kern w:val="2"/>
      <w:szCs w:val="24"/>
    </w:rPr>
  </w:style>
  <w:style w:type="paragraph" w:customStyle="1" w:styleId="UserStyle7">
    <w:name w:val="UserStyle_7"/>
    <w:basedOn w:val="a"/>
    <w:link w:val="UserStyle6"/>
    <w:rPr>
      <w:sz w:val="20"/>
    </w:rPr>
  </w:style>
  <w:style w:type="character" w:customStyle="1" w:styleId="Char0">
    <w:name w:val="页眉 Char"/>
    <w:link w:val="a5"/>
    <w:qFormat/>
    <w:rPr>
      <w:rFonts w:ascii="Calibri" w:hAnsi="Calibri"/>
      <w:kern w:val="2"/>
      <w:sz w:val="18"/>
      <w:szCs w:val="18"/>
    </w:rPr>
  </w:style>
  <w:style w:type="paragraph" w:customStyle="1" w:styleId="HtmlNormal">
    <w:name w:val="HtmlNormal"/>
    <w:basedOn w:val="a"/>
    <w:qFormat/>
    <w:pPr>
      <w:spacing w:before="100" w:beforeAutospacing="1" w:after="100" w:afterAutospacing="1"/>
      <w:jc w:val="left"/>
    </w:pPr>
    <w:rPr>
      <w:kern w:val="0"/>
      <w:sz w:val="24"/>
    </w:rPr>
  </w:style>
  <w:style w:type="paragraph" w:customStyle="1" w:styleId="178">
    <w:name w:val="178"/>
    <w:pPr>
      <w:textAlignment w:val="baseline"/>
    </w:pPr>
    <w:rPr>
      <w:rFonts w:ascii="Calibri" w:hAnsi="Calibri"/>
      <w:kern w:val="2"/>
      <w:sz w:val="21"/>
      <w:szCs w:val="24"/>
    </w:rPr>
  </w:style>
  <w:style w:type="paragraph" w:customStyle="1" w:styleId="179">
    <w:name w:val="179"/>
    <w:basedOn w:val="a"/>
    <w:pPr>
      <w:ind w:firstLineChars="200" w:firstLine="420"/>
    </w:pPr>
  </w:style>
  <w:style w:type="paragraph" w:customStyle="1" w:styleId="UserStyle9">
    <w:name w:val="UserStyle_9"/>
    <w:semiHidden/>
    <w:pPr>
      <w:textAlignment w:val="baseline"/>
    </w:pPr>
    <w:rPr>
      <w:rFonts w:ascii="Calibri" w:hAnsi="Calibri"/>
      <w:kern w:val="2"/>
      <w:sz w:val="21"/>
      <w:szCs w:val="24"/>
    </w:rPr>
  </w:style>
  <w:style w:type="paragraph" w:customStyle="1" w:styleId="UserStyle10">
    <w:name w:val="UserStyle_10"/>
    <w:qFormat/>
    <w:pPr>
      <w:spacing w:after="200" w:line="276" w:lineRule="auto"/>
      <w:textAlignment w:val="baseline"/>
    </w:pPr>
    <w:rPr>
      <w:rFonts w:ascii="Calibri" w:eastAsia="Calibri" w:hAnsi="Calibri"/>
      <w:sz w:val="22"/>
      <w:szCs w:val="22"/>
      <w:lang w:eastAsia="en-US"/>
    </w:rPr>
  </w:style>
  <w:style w:type="character" w:customStyle="1" w:styleId="UserStyle11">
    <w:name w:val="UserStyle_11"/>
  </w:style>
  <w:style w:type="paragraph" w:customStyle="1" w:styleId="UserStyle12">
    <w:name w:val="UserStyle_12"/>
    <w:basedOn w:val="a"/>
    <w:pPr>
      <w:spacing w:before="100" w:beforeAutospacing="1" w:after="100" w:afterAutospacing="1"/>
      <w:jc w:val="left"/>
    </w:pPr>
    <w:rPr>
      <w:rFonts w:ascii="Times New Roman" w:hAnsi="Times New Roman"/>
      <w:kern w:val="0"/>
      <w:sz w:val="24"/>
      <w:lang w:eastAsia="en-US"/>
    </w:rPr>
  </w:style>
  <w:style w:type="paragraph" w:customStyle="1" w:styleId="PlainText">
    <w:name w:val="PlainText"/>
    <w:basedOn w:val="a"/>
    <w:link w:val="UserStyle13"/>
    <w:qFormat/>
    <w:rPr>
      <w:rFonts w:ascii="宋体" w:hAnsi="Courier New"/>
      <w:szCs w:val="21"/>
    </w:rPr>
  </w:style>
  <w:style w:type="character" w:customStyle="1" w:styleId="UserStyle13">
    <w:name w:val="UserStyle_13"/>
    <w:link w:val="PlainText"/>
    <w:rPr>
      <w:rFonts w:ascii="宋体" w:hAnsi="Courier New"/>
      <w:kern w:val="2"/>
      <w:sz w:val="21"/>
      <w:szCs w:val="21"/>
    </w:rPr>
  </w:style>
  <w:style w:type="paragraph" w:styleId="a7">
    <w:name w:val="Balloon Text"/>
    <w:basedOn w:val="a"/>
    <w:link w:val="Char1"/>
    <w:rsid w:val="00CA777F"/>
    <w:rPr>
      <w:sz w:val="18"/>
      <w:szCs w:val="18"/>
    </w:rPr>
  </w:style>
  <w:style w:type="character" w:customStyle="1" w:styleId="Char1">
    <w:name w:val="批注框文本 Char"/>
    <w:basedOn w:val="a0"/>
    <w:link w:val="a7"/>
    <w:rsid w:val="00CA777F"/>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3996</Words>
  <Characters>22778</Characters>
  <Application>Microsoft Office Word</Application>
  <DocSecurity>0</DocSecurity>
  <Lines>189</Lines>
  <Paragraphs>53</Paragraphs>
  <ScaleCrop>false</ScaleCrop>
  <Company/>
  <LinksUpToDate>false</LinksUpToDate>
  <CharactersWithSpaces>26721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vane8</dc:creator>
  <cp:lastModifiedBy>邢燕霞</cp:lastModifiedBy>
  <cp:revision>7</cp:revision>
  <dcterms:created xsi:type="dcterms:W3CDTF">2020-06-22T09:04:00Z</dcterms:created>
  <dcterms:modified xsi:type="dcterms:W3CDTF">2020-07-04T10:30:00Z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