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A06F38" w14:textId="77777777" w:rsidR="00A77B3E" w:rsidRDefault="00066CF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56D7B453" w14:textId="77777777" w:rsidR="00A77B3E" w:rsidRDefault="00066CF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55301</w:t>
      </w:r>
    </w:p>
    <w:p w14:paraId="2C2DAD18" w14:textId="77777777" w:rsidR="00A77B3E" w:rsidRDefault="00066CF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F563C7F" w14:textId="77777777" w:rsidR="00A77B3E" w:rsidRDefault="00A77B3E">
      <w:pPr>
        <w:spacing w:line="360" w:lineRule="auto"/>
        <w:jc w:val="both"/>
      </w:pPr>
    </w:p>
    <w:p w14:paraId="5A5BB89D" w14:textId="77777777" w:rsidR="00A77B3E" w:rsidRDefault="00066CF0">
      <w:pPr>
        <w:spacing w:line="360" w:lineRule="auto"/>
        <w:jc w:val="both"/>
      </w:pPr>
      <w:r>
        <w:rPr>
          <w:rFonts w:ascii="Book Antiqua" w:eastAsia="Book Antiqua" w:hAnsi="Book Antiqua" w:cs="Book Antiqua"/>
          <w:b/>
          <w:bCs/>
          <w:color w:val="000000"/>
        </w:rPr>
        <w:t>Achievement of complete response to nivolumab in a patient with advanced sarcomatoid hepatocellular carcinoma: A case report</w:t>
      </w:r>
    </w:p>
    <w:p w14:paraId="0BC64F35" w14:textId="77777777" w:rsidR="00A77B3E" w:rsidRDefault="00A77B3E">
      <w:pPr>
        <w:spacing w:line="360" w:lineRule="auto"/>
        <w:jc w:val="both"/>
      </w:pPr>
    </w:p>
    <w:p w14:paraId="51D95482" w14:textId="5FEC4C66" w:rsidR="00A77B3E" w:rsidRDefault="00066CF0">
      <w:pPr>
        <w:spacing w:line="360" w:lineRule="auto"/>
        <w:jc w:val="both"/>
      </w:pPr>
      <w:r>
        <w:rPr>
          <w:rFonts w:ascii="Book Antiqua" w:eastAsia="Book Antiqua" w:hAnsi="Book Antiqua" w:cs="Book Antiqua"/>
          <w:color w:val="000000"/>
        </w:rPr>
        <w:t xml:space="preserve">Zhu SG </w:t>
      </w:r>
      <w:r>
        <w:rPr>
          <w:rFonts w:ascii="Book Antiqua" w:eastAsia="Book Antiqua" w:hAnsi="Book Antiqua" w:cs="Book Antiqua"/>
          <w:i/>
          <w:iCs/>
          <w:color w:val="000000"/>
        </w:rPr>
        <w:t>et al.</w:t>
      </w:r>
      <w:r>
        <w:rPr>
          <w:rFonts w:ascii="Book Antiqua" w:eastAsia="Book Antiqua" w:hAnsi="Book Antiqua" w:cs="Book Antiqua"/>
          <w:color w:val="000000"/>
        </w:rPr>
        <w:t xml:space="preserve"> Nivolumab</w:t>
      </w:r>
      <w:r w:rsidR="000F14E3">
        <w:rPr>
          <w:rFonts w:ascii="Book Antiqua" w:eastAsia="Book Antiqua" w:hAnsi="Book Antiqua" w:cs="Book Antiqua"/>
          <w:color w:val="000000"/>
        </w:rPr>
        <w:t xml:space="preserve"> </w:t>
      </w:r>
      <w:r>
        <w:rPr>
          <w:rFonts w:ascii="Book Antiqua" w:eastAsia="Book Antiqua" w:hAnsi="Book Antiqua" w:cs="Book Antiqua"/>
          <w:color w:val="000000"/>
        </w:rPr>
        <w:t xml:space="preserve">for </w:t>
      </w:r>
      <w:r w:rsidR="000F14E3">
        <w:rPr>
          <w:rFonts w:ascii="Book Antiqua" w:eastAsia="Book Antiqua" w:hAnsi="Book Antiqua" w:cs="Book Antiqua"/>
          <w:color w:val="000000"/>
        </w:rPr>
        <w:t xml:space="preserve">treatment of </w:t>
      </w:r>
      <w:r>
        <w:rPr>
          <w:rFonts w:ascii="Book Antiqua" w:eastAsia="Book Antiqua" w:hAnsi="Book Antiqua" w:cs="Book Antiqua"/>
          <w:color w:val="000000"/>
        </w:rPr>
        <w:t>advanced SHC</w:t>
      </w:r>
    </w:p>
    <w:p w14:paraId="198BD82B" w14:textId="77777777" w:rsidR="00A77B3E" w:rsidRDefault="00A77B3E">
      <w:pPr>
        <w:spacing w:line="360" w:lineRule="auto"/>
        <w:jc w:val="both"/>
      </w:pPr>
    </w:p>
    <w:p w14:paraId="24F0B467" w14:textId="77777777" w:rsidR="00A77B3E" w:rsidRDefault="00066CF0">
      <w:pPr>
        <w:spacing w:line="360" w:lineRule="auto"/>
        <w:jc w:val="both"/>
      </w:pPr>
      <w:r>
        <w:rPr>
          <w:rFonts w:ascii="Book Antiqua" w:eastAsia="Book Antiqua" w:hAnsi="Book Antiqua" w:cs="Book Antiqua"/>
          <w:color w:val="000000"/>
        </w:rPr>
        <w:t>Shu-Guang Zhu, Hai-Bo Li, Ze-Nan Yuan, Wei Liu, Qing Yang, Ying Cheng, Wen-Jing Wang, Guo-Ying Wang, Hua Li</w:t>
      </w:r>
    </w:p>
    <w:p w14:paraId="41459189" w14:textId="77777777" w:rsidR="00A77B3E" w:rsidRDefault="00A77B3E">
      <w:pPr>
        <w:spacing w:line="360" w:lineRule="auto"/>
        <w:jc w:val="both"/>
      </w:pPr>
    </w:p>
    <w:p w14:paraId="24ECFE80" w14:textId="77777777" w:rsidR="00A77B3E" w:rsidRDefault="00066CF0">
      <w:pPr>
        <w:spacing w:line="360" w:lineRule="auto"/>
        <w:jc w:val="both"/>
      </w:pPr>
      <w:r>
        <w:rPr>
          <w:rFonts w:ascii="Book Antiqua" w:eastAsia="Book Antiqua" w:hAnsi="Book Antiqua" w:cs="Book Antiqua"/>
          <w:b/>
          <w:bCs/>
          <w:color w:val="000000"/>
        </w:rPr>
        <w:t xml:space="preserve">Shu-Guang Zhu, Hai-Bo Li, Ze-Nan Yuan, Qing Yang, Guo-Ying Wang, Hua Li, </w:t>
      </w:r>
      <w:r>
        <w:rPr>
          <w:rFonts w:ascii="Book Antiqua" w:eastAsia="Book Antiqua" w:hAnsi="Book Antiqua" w:cs="Book Antiqua"/>
          <w:color w:val="000000"/>
        </w:rPr>
        <w:t>Department of Hepatic Surgery and Liver Transplantation, The Third Affiliated Hospital of Sun Yat-Sen University, Guangzhou 510000, Guangdong Province, China</w:t>
      </w:r>
    </w:p>
    <w:p w14:paraId="32EC4426" w14:textId="77777777" w:rsidR="00A77B3E" w:rsidRDefault="00A77B3E">
      <w:pPr>
        <w:spacing w:line="360" w:lineRule="auto"/>
        <w:jc w:val="both"/>
      </w:pPr>
    </w:p>
    <w:p w14:paraId="2CFF42DE" w14:textId="60B69EF2" w:rsidR="00A77B3E" w:rsidRDefault="00066CF0">
      <w:pPr>
        <w:spacing w:line="360" w:lineRule="auto"/>
        <w:jc w:val="both"/>
      </w:pPr>
      <w:r>
        <w:rPr>
          <w:rFonts w:ascii="Book Antiqua" w:eastAsia="Book Antiqua" w:hAnsi="Book Antiqua" w:cs="Book Antiqua"/>
          <w:b/>
          <w:bCs/>
          <w:color w:val="000000"/>
        </w:rPr>
        <w:t xml:space="preserve">Hai-Bo Li, Hua Li, </w:t>
      </w:r>
      <w:r w:rsidR="002E1916" w:rsidRPr="00CC6AE3">
        <w:rPr>
          <w:rFonts w:ascii="Book Antiqua" w:eastAsia="Book Antiqua" w:hAnsi="Book Antiqua" w:cs="Book Antiqua"/>
          <w:color w:val="000000"/>
        </w:rPr>
        <w:t>Liver Transplant Branch of Organ Transplant Center</w:t>
      </w:r>
      <w:r>
        <w:rPr>
          <w:rFonts w:ascii="Book Antiqua" w:eastAsia="Book Antiqua" w:hAnsi="Book Antiqua" w:cs="Book Antiqua"/>
          <w:color w:val="000000"/>
        </w:rPr>
        <w:t>, Organ Transplantation Institute of Sun Yat-Sen University, Guangzhou 510000, Guangdong Province, China</w:t>
      </w:r>
    </w:p>
    <w:p w14:paraId="57B5090D" w14:textId="77777777" w:rsidR="00A77B3E" w:rsidRDefault="00A77B3E">
      <w:pPr>
        <w:spacing w:line="360" w:lineRule="auto"/>
        <w:jc w:val="both"/>
      </w:pPr>
    </w:p>
    <w:p w14:paraId="57291FB9" w14:textId="77777777" w:rsidR="00A77B3E" w:rsidRDefault="00066CF0">
      <w:pPr>
        <w:spacing w:line="360" w:lineRule="auto"/>
        <w:jc w:val="both"/>
      </w:pPr>
      <w:r>
        <w:rPr>
          <w:rFonts w:ascii="Book Antiqua" w:eastAsia="Book Antiqua" w:hAnsi="Book Antiqua" w:cs="Book Antiqua"/>
          <w:b/>
          <w:bCs/>
          <w:color w:val="000000"/>
        </w:rPr>
        <w:t xml:space="preserve">Ze-Nan Yuan, Wei Liu, Guo-Ying Wang, </w:t>
      </w:r>
      <w:r>
        <w:rPr>
          <w:rFonts w:ascii="Book Antiqua" w:eastAsia="Book Antiqua" w:hAnsi="Book Antiqua" w:cs="Book Antiqua"/>
          <w:color w:val="000000"/>
        </w:rPr>
        <w:t>Guangdong Key Laboratory of Liver Disease Research, The Third Affiliated Hospital of Sun Yat-Sen University, Guangzhou 510000, Guangdong Province, China</w:t>
      </w:r>
    </w:p>
    <w:p w14:paraId="5FB2DA8A" w14:textId="77777777" w:rsidR="00A77B3E" w:rsidRDefault="00A77B3E">
      <w:pPr>
        <w:spacing w:line="360" w:lineRule="auto"/>
        <w:jc w:val="both"/>
      </w:pPr>
    </w:p>
    <w:p w14:paraId="6B76D445" w14:textId="77777777" w:rsidR="00A77B3E" w:rsidRDefault="00066CF0">
      <w:pPr>
        <w:spacing w:line="360" w:lineRule="auto"/>
        <w:jc w:val="both"/>
      </w:pPr>
      <w:r>
        <w:rPr>
          <w:rFonts w:ascii="Book Antiqua" w:eastAsia="Book Antiqua" w:hAnsi="Book Antiqua" w:cs="Book Antiqua"/>
          <w:b/>
          <w:bCs/>
          <w:color w:val="000000"/>
        </w:rPr>
        <w:t xml:space="preserve">Ying Cheng, Wen-Jing Wang, </w:t>
      </w:r>
      <w:r>
        <w:rPr>
          <w:rFonts w:ascii="Book Antiqua" w:eastAsia="Book Antiqua" w:hAnsi="Book Antiqua" w:cs="Book Antiqua"/>
          <w:color w:val="000000"/>
        </w:rPr>
        <w:t>Department of Medicine, OrigiMed Inc., Shanghai 201100, China</w:t>
      </w:r>
    </w:p>
    <w:p w14:paraId="48BA49BC" w14:textId="77777777" w:rsidR="00A77B3E" w:rsidRDefault="00A77B3E">
      <w:pPr>
        <w:spacing w:line="360" w:lineRule="auto"/>
        <w:jc w:val="both"/>
      </w:pPr>
    </w:p>
    <w:p w14:paraId="2DAB9614" w14:textId="5EF64F8C" w:rsidR="00A77B3E" w:rsidRDefault="00066CF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All authors contributed to the writing of the manuscript; W</w:t>
      </w:r>
      <w:r w:rsidR="00AE44ED">
        <w:rPr>
          <w:rFonts w:ascii="Book Antiqua" w:eastAsia="Book Antiqua" w:hAnsi="Book Antiqua" w:cs="Book Antiqua"/>
          <w:color w:val="000000"/>
        </w:rPr>
        <w:t xml:space="preserve">ang </w:t>
      </w:r>
      <w:r>
        <w:rPr>
          <w:rFonts w:ascii="Book Antiqua" w:eastAsia="Book Antiqua" w:hAnsi="Book Antiqua" w:cs="Book Antiqua"/>
          <w:color w:val="000000"/>
        </w:rPr>
        <w:t>GY conceived the study; L</w:t>
      </w:r>
      <w:r w:rsidR="00AE44ED">
        <w:rPr>
          <w:rFonts w:ascii="Book Antiqua" w:eastAsia="Book Antiqua" w:hAnsi="Book Antiqua" w:cs="Book Antiqua"/>
          <w:color w:val="000000"/>
        </w:rPr>
        <w:t>i</w:t>
      </w:r>
      <w:r>
        <w:rPr>
          <w:rFonts w:ascii="Book Antiqua" w:eastAsia="Book Antiqua" w:hAnsi="Book Antiqua" w:cs="Book Antiqua"/>
          <w:color w:val="000000"/>
        </w:rPr>
        <w:t xml:space="preserve"> H provided clinical expertise; L</w:t>
      </w:r>
      <w:r w:rsidR="00AE44ED">
        <w:rPr>
          <w:rFonts w:ascii="Book Antiqua" w:eastAsia="Book Antiqua" w:hAnsi="Book Antiqua" w:cs="Book Antiqua"/>
          <w:color w:val="000000"/>
        </w:rPr>
        <w:t>iu</w:t>
      </w:r>
      <w:r>
        <w:rPr>
          <w:rFonts w:ascii="Book Antiqua" w:eastAsia="Book Antiqua" w:hAnsi="Book Antiqua" w:cs="Book Antiqua"/>
          <w:color w:val="000000"/>
        </w:rPr>
        <w:t xml:space="preserve"> W and Yang Q assisted in data collection; Cheng Y and Wang WJ analyzed the data and participated in revising </w:t>
      </w:r>
      <w:r>
        <w:rPr>
          <w:rFonts w:ascii="Book Antiqua" w:eastAsia="Book Antiqua" w:hAnsi="Book Antiqua" w:cs="Book Antiqua"/>
          <w:color w:val="000000"/>
        </w:rPr>
        <w:lastRenderedPageBreak/>
        <w:t>and critically assessing the report; Zhu SG, LI H, Yuan ZN</w:t>
      </w:r>
      <w:r w:rsidR="000F14E3">
        <w:rPr>
          <w:rFonts w:ascii="Book Antiqua" w:eastAsia="Book Antiqua" w:hAnsi="Book Antiqua" w:cs="Book Antiqua"/>
          <w:color w:val="000000"/>
        </w:rPr>
        <w:t>,</w:t>
      </w:r>
      <w:r>
        <w:rPr>
          <w:rFonts w:ascii="Book Antiqua" w:eastAsia="Book Antiqua" w:hAnsi="Book Antiqua" w:cs="Book Antiqua"/>
          <w:color w:val="000000"/>
        </w:rPr>
        <w:t xml:space="preserve"> and W</w:t>
      </w:r>
      <w:r w:rsidR="00E4094F">
        <w:rPr>
          <w:rFonts w:ascii="Book Antiqua" w:eastAsia="Book Antiqua" w:hAnsi="Book Antiqua" w:cs="Book Antiqua"/>
          <w:color w:val="000000"/>
        </w:rPr>
        <w:t>ang</w:t>
      </w:r>
      <w:r>
        <w:rPr>
          <w:rFonts w:ascii="Book Antiqua" w:eastAsia="Book Antiqua" w:hAnsi="Book Antiqua" w:cs="Book Antiqua"/>
          <w:color w:val="000000"/>
        </w:rPr>
        <w:t xml:space="preserve"> GY provided expertise in molecular and targeted therapy; </w:t>
      </w:r>
      <w:r w:rsidR="000F14E3">
        <w:rPr>
          <w:rFonts w:ascii="Book Antiqua" w:eastAsia="Book Antiqua" w:hAnsi="Book Antiqua" w:cs="Book Antiqua"/>
          <w:color w:val="000000"/>
        </w:rPr>
        <w:t xml:space="preserve">all </w:t>
      </w:r>
      <w:r>
        <w:rPr>
          <w:rFonts w:ascii="Book Antiqua" w:eastAsia="Book Antiqua" w:hAnsi="Book Antiqua" w:cs="Book Antiqua"/>
          <w:color w:val="000000"/>
        </w:rPr>
        <w:t>the authors read and approved the final version of the manuscript.</w:t>
      </w:r>
    </w:p>
    <w:p w14:paraId="2AA93C82" w14:textId="77777777" w:rsidR="00A77B3E" w:rsidRDefault="00A77B3E">
      <w:pPr>
        <w:spacing w:line="360" w:lineRule="auto"/>
        <w:jc w:val="both"/>
      </w:pPr>
    </w:p>
    <w:p w14:paraId="39830664" w14:textId="380F919E" w:rsidR="00A77B3E" w:rsidRDefault="00066CF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National 13</w:t>
      </w:r>
      <w:r w:rsidRPr="00E4094F">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Five-Year Science and Technology Plan Major Projects of China, No. 2017ZX10203205-006-001.</w:t>
      </w:r>
    </w:p>
    <w:p w14:paraId="729908E3" w14:textId="77777777" w:rsidR="00A77B3E" w:rsidRDefault="00A77B3E">
      <w:pPr>
        <w:spacing w:line="360" w:lineRule="auto"/>
        <w:jc w:val="both"/>
      </w:pPr>
    </w:p>
    <w:p w14:paraId="73F6CF24" w14:textId="20A46D00" w:rsidR="00A77B3E" w:rsidRDefault="00066CF0">
      <w:pPr>
        <w:spacing w:line="360" w:lineRule="auto"/>
        <w:jc w:val="both"/>
      </w:pPr>
      <w:r>
        <w:rPr>
          <w:rFonts w:ascii="Book Antiqua" w:eastAsia="Book Antiqua" w:hAnsi="Book Antiqua" w:cs="Book Antiqua"/>
          <w:b/>
          <w:bCs/>
          <w:color w:val="000000"/>
        </w:rPr>
        <w:t xml:space="preserve">Corresponding author: Guo-Ying Wang, MD, PhD, Doctor, Surgeon, </w:t>
      </w:r>
      <w:r>
        <w:rPr>
          <w:rFonts w:ascii="Book Antiqua" w:eastAsia="Book Antiqua" w:hAnsi="Book Antiqua" w:cs="Book Antiqua"/>
          <w:color w:val="000000"/>
        </w:rPr>
        <w:t>Department of Hepatic Surgery and Liver Transplantation, The Third Affiliated Hospital of Sun Yat-Sen University, No. 600 Tianhe Road, Tianhe District, Guangzhou 510000, Guangdong Province, China. wanggy3@126.com</w:t>
      </w:r>
    </w:p>
    <w:p w14:paraId="5E75A0D2" w14:textId="77777777" w:rsidR="00A77B3E" w:rsidRDefault="00A77B3E">
      <w:pPr>
        <w:spacing w:line="360" w:lineRule="auto"/>
        <w:jc w:val="both"/>
      </w:pPr>
    </w:p>
    <w:p w14:paraId="61A78528" w14:textId="77777777" w:rsidR="00A77B3E" w:rsidRDefault="00066CF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18, 2020</w:t>
      </w:r>
    </w:p>
    <w:p w14:paraId="72AC4CCF" w14:textId="77777777" w:rsidR="00A77B3E" w:rsidRDefault="00066CF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6, 2020</w:t>
      </w:r>
    </w:p>
    <w:p w14:paraId="570B9603" w14:textId="4922940B" w:rsidR="00A77B3E" w:rsidRDefault="00066CF0">
      <w:pPr>
        <w:spacing w:line="360" w:lineRule="auto"/>
        <w:jc w:val="both"/>
      </w:pPr>
      <w:r>
        <w:rPr>
          <w:rFonts w:ascii="Book Antiqua" w:eastAsia="Book Antiqua" w:hAnsi="Book Antiqua" w:cs="Book Antiqua"/>
          <w:b/>
          <w:bCs/>
          <w:color w:val="000000"/>
        </w:rPr>
        <w:t xml:space="preserve">Accepted: </w:t>
      </w:r>
      <w:r w:rsidR="008F6AB2" w:rsidRPr="008F6AB2">
        <w:rPr>
          <w:rFonts w:ascii="Book Antiqua" w:eastAsia="Book Antiqua" w:hAnsi="Book Antiqua" w:cs="Book Antiqua"/>
          <w:bCs/>
          <w:color w:val="000000"/>
        </w:rPr>
        <w:t>September 8, 2020</w:t>
      </w:r>
    </w:p>
    <w:p w14:paraId="7286D1D2" w14:textId="77777777" w:rsidR="00A77B3E" w:rsidRDefault="00066CF0">
      <w:pPr>
        <w:spacing w:line="360" w:lineRule="auto"/>
        <w:jc w:val="both"/>
      </w:pPr>
      <w:r>
        <w:rPr>
          <w:rFonts w:ascii="Book Antiqua" w:eastAsia="Book Antiqua" w:hAnsi="Book Antiqua" w:cs="Book Antiqua"/>
          <w:b/>
          <w:bCs/>
          <w:color w:val="000000"/>
        </w:rPr>
        <w:t xml:space="preserve">Published online: </w:t>
      </w:r>
    </w:p>
    <w:p w14:paraId="392C523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45BA5D4" w14:textId="77777777" w:rsidR="00A77B3E" w:rsidRDefault="00066CF0">
      <w:pPr>
        <w:spacing w:line="360" w:lineRule="auto"/>
        <w:jc w:val="both"/>
      </w:pPr>
      <w:r>
        <w:rPr>
          <w:rFonts w:ascii="Book Antiqua" w:eastAsia="Book Antiqua" w:hAnsi="Book Antiqua" w:cs="Book Antiqua"/>
          <w:b/>
          <w:color w:val="000000"/>
        </w:rPr>
        <w:lastRenderedPageBreak/>
        <w:t>Abstract</w:t>
      </w:r>
    </w:p>
    <w:p w14:paraId="7AF5B4A4" w14:textId="77777777" w:rsidR="00A77B3E" w:rsidRDefault="00066CF0">
      <w:pPr>
        <w:spacing w:line="360" w:lineRule="auto"/>
        <w:jc w:val="both"/>
      </w:pPr>
      <w:r>
        <w:rPr>
          <w:rFonts w:ascii="Book Antiqua" w:eastAsia="Book Antiqua" w:hAnsi="Book Antiqua" w:cs="Book Antiqua"/>
          <w:color w:val="000000"/>
        </w:rPr>
        <w:t>BACKGROUND</w:t>
      </w:r>
    </w:p>
    <w:p w14:paraId="3F1FF6E2" w14:textId="5930EE5F" w:rsidR="00A77B3E" w:rsidRDefault="00066CF0">
      <w:pPr>
        <w:spacing w:line="360" w:lineRule="auto"/>
        <w:jc w:val="both"/>
      </w:pPr>
      <w:r>
        <w:rPr>
          <w:rFonts w:ascii="Book Antiqua" w:eastAsia="Book Antiqua" w:hAnsi="Book Antiqua" w:cs="Book Antiqua"/>
          <w:color w:val="000000"/>
        </w:rPr>
        <w:t xml:space="preserve">Sarcomatoid hepatocellular carcinoma (SHC) is a rare subtype of hepatocellular carcinoma (HCC), with a high recurrence rate after surgery. In addition to limited effective treatment for the advanced stage of SHC, </w:t>
      </w:r>
      <w:r w:rsidR="000F14E3">
        <w:rPr>
          <w:rFonts w:ascii="Book Antiqua" w:eastAsia="Book Antiqua" w:hAnsi="Book Antiqua" w:cs="Book Antiqua"/>
          <w:color w:val="000000"/>
        </w:rPr>
        <w:t xml:space="preserve">the </w:t>
      </w:r>
      <w:r>
        <w:rPr>
          <w:rFonts w:ascii="Book Antiqua" w:eastAsia="Book Antiqua" w:hAnsi="Book Antiqua" w:cs="Book Antiqua"/>
          <w:color w:val="000000"/>
        </w:rPr>
        <w:t>prognosis of patients with this malignancy is worse than that of patients with conventional HCC.</w:t>
      </w:r>
    </w:p>
    <w:p w14:paraId="484F06F4" w14:textId="77777777" w:rsidR="00A77B3E" w:rsidRDefault="00A77B3E">
      <w:pPr>
        <w:spacing w:line="360" w:lineRule="auto"/>
        <w:jc w:val="both"/>
      </w:pPr>
    </w:p>
    <w:p w14:paraId="1ACAAA17" w14:textId="77777777" w:rsidR="00A77B3E" w:rsidRDefault="00066CF0">
      <w:pPr>
        <w:spacing w:line="360" w:lineRule="auto"/>
        <w:jc w:val="both"/>
      </w:pPr>
      <w:r>
        <w:rPr>
          <w:rFonts w:ascii="Book Antiqua" w:eastAsia="Book Antiqua" w:hAnsi="Book Antiqua" w:cs="Book Antiqua"/>
          <w:color w:val="000000"/>
        </w:rPr>
        <w:t>CASE SUMMARY</w:t>
      </w:r>
    </w:p>
    <w:p w14:paraId="6BEBF9F6" w14:textId="77777777" w:rsidR="00A77B3E" w:rsidRDefault="00066CF0">
      <w:pPr>
        <w:spacing w:line="360" w:lineRule="auto"/>
        <w:jc w:val="both"/>
      </w:pPr>
      <w:r>
        <w:rPr>
          <w:rFonts w:ascii="Book Antiqua" w:eastAsia="Book Antiqua" w:hAnsi="Book Antiqua" w:cs="Book Antiqua"/>
          <w:color w:val="000000"/>
        </w:rPr>
        <w:t>We present the case of a 54-year-old man with SHC who underwent radical segmental hepatectomy, which relapsed 4 mo after surgery due to lymphatic metastasis in the porta hepatis. Although a second surgery was performed, new metastasis developed in the mediastinal lymph nodes. Therefore, sorafenib and lenvatinib were sequentially administered as first- and second-line systemic therapies, respectively. However, progressive disease was confirmed based on a recurrent hepatic lesion and new metastatic lesion in the abdominal cavity. Percutaneous transhepatic cholangial drainage was performed to alleviate the biliary obstruction. Because the tumor was strongly positive for programmed death-ligand 1, the patient was started on nivolumab. Imaging studies revealed that after two cycles of immunotherapy, the metastatic lesions decreased to undetectable levels.</w:t>
      </w:r>
    </w:p>
    <w:p w14:paraId="56E148C1" w14:textId="77777777" w:rsidR="00A77B3E" w:rsidRDefault="00A77B3E">
      <w:pPr>
        <w:spacing w:line="360" w:lineRule="auto"/>
        <w:jc w:val="both"/>
      </w:pPr>
    </w:p>
    <w:p w14:paraId="1BB0EDA8" w14:textId="77777777" w:rsidR="00A77B3E" w:rsidRDefault="00066CF0">
      <w:pPr>
        <w:spacing w:line="360" w:lineRule="auto"/>
        <w:jc w:val="both"/>
      </w:pPr>
      <w:r>
        <w:rPr>
          <w:rFonts w:ascii="Book Antiqua" w:eastAsia="Book Antiqua" w:hAnsi="Book Antiqua" w:cs="Book Antiqua"/>
          <w:color w:val="000000"/>
        </w:rPr>
        <w:t>CONCLUSION</w:t>
      </w:r>
    </w:p>
    <w:p w14:paraId="6D99FBD4" w14:textId="77777777" w:rsidR="00A77B3E" w:rsidRDefault="00066CF0">
      <w:pPr>
        <w:spacing w:line="360" w:lineRule="auto"/>
        <w:jc w:val="both"/>
      </w:pPr>
      <w:r>
        <w:rPr>
          <w:rFonts w:ascii="Book Antiqua" w:eastAsia="Book Antiqua" w:hAnsi="Book Antiqua" w:cs="Book Antiqua"/>
          <w:color w:val="000000"/>
        </w:rPr>
        <w:t>The patient experienced continuous complete remission for 8 mo. Immune checkpoint inhibitors are useful for the treatment of advanced SHC.</w:t>
      </w:r>
    </w:p>
    <w:p w14:paraId="475EDDE4" w14:textId="77777777" w:rsidR="00A77B3E" w:rsidRDefault="00A77B3E">
      <w:pPr>
        <w:spacing w:line="360" w:lineRule="auto"/>
        <w:jc w:val="both"/>
      </w:pPr>
    </w:p>
    <w:p w14:paraId="1D7340A2" w14:textId="531DC47B" w:rsidR="00A77B3E" w:rsidRDefault="00066CF0">
      <w:pPr>
        <w:spacing w:line="360" w:lineRule="auto"/>
        <w:jc w:val="both"/>
      </w:pPr>
      <w:r>
        <w:rPr>
          <w:rFonts w:ascii="Book Antiqua" w:eastAsia="Book Antiqua" w:hAnsi="Book Antiqua" w:cs="Book Antiqua"/>
          <w:b/>
          <w:bCs/>
          <w:color w:val="000000"/>
          <w:szCs w:val="21"/>
        </w:rPr>
        <w:t xml:space="preserve">Key </w:t>
      </w:r>
      <w:r w:rsidR="00CC6AE3">
        <w:rPr>
          <w:rFonts w:ascii="Book Antiqua" w:eastAsia="Book Antiqua" w:hAnsi="Book Antiqua" w:cs="Book Antiqua"/>
          <w:b/>
          <w:bCs/>
          <w:color w:val="000000"/>
          <w:szCs w:val="21"/>
        </w:rPr>
        <w:t>W</w:t>
      </w:r>
      <w:r>
        <w:rPr>
          <w:rFonts w:ascii="Book Antiqua" w:eastAsia="Book Antiqua" w:hAnsi="Book Antiqua" w:cs="Book Antiqua"/>
          <w:b/>
          <w:bCs/>
          <w:color w:val="000000"/>
          <w:szCs w:val="21"/>
        </w:rPr>
        <w:t xml:space="preserve">ords: </w:t>
      </w:r>
      <w:r>
        <w:rPr>
          <w:rFonts w:ascii="Book Antiqua" w:eastAsia="Book Antiqua" w:hAnsi="Book Antiqua" w:cs="Book Antiqua"/>
          <w:color w:val="000000"/>
        </w:rPr>
        <w:t>Sarcomatoid hepatocellular carcinoma; Hepatocellular carcinoma; Programmed death-ligand 1; Immunotherapy; Nivolumab; Case report</w:t>
      </w:r>
    </w:p>
    <w:p w14:paraId="6983414B" w14:textId="77777777" w:rsidR="00A77B3E" w:rsidRDefault="00A77B3E">
      <w:pPr>
        <w:spacing w:line="360" w:lineRule="auto"/>
        <w:jc w:val="both"/>
      </w:pPr>
    </w:p>
    <w:p w14:paraId="6B6CCE28" w14:textId="77777777" w:rsidR="00A77B3E" w:rsidRDefault="00066CF0">
      <w:pPr>
        <w:spacing w:line="360" w:lineRule="auto"/>
        <w:jc w:val="both"/>
      </w:pPr>
      <w:r>
        <w:rPr>
          <w:rFonts w:ascii="Book Antiqua" w:eastAsia="Book Antiqua" w:hAnsi="Book Antiqua" w:cs="Book Antiqua"/>
          <w:color w:val="000000"/>
        </w:rPr>
        <w:lastRenderedPageBreak/>
        <w:t xml:space="preserve">Zhu SG, Li HB, Yuan ZN, Liu W, Yang Q, Cheng Y, Wang WJ, Wang GY, Li H. Achievement of complete response to nivolumab in a patient with advanced sarcomatoid hepatocellular carcinoma: A case report. </w:t>
      </w:r>
      <w:r>
        <w:rPr>
          <w:rFonts w:ascii="Book Antiqua" w:eastAsia="Book Antiqua" w:hAnsi="Book Antiqua" w:cs="Book Antiqua"/>
          <w:i/>
          <w:iCs/>
          <w:color w:val="000000"/>
        </w:rPr>
        <w:t>World J Gastrointest Oncol</w:t>
      </w:r>
      <w:r>
        <w:rPr>
          <w:rFonts w:ascii="Book Antiqua" w:eastAsia="Book Antiqua" w:hAnsi="Book Antiqua" w:cs="Book Antiqua"/>
          <w:color w:val="000000"/>
        </w:rPr>
        <w:t xml:space="preserve"> 2020; In press</w:t>
      </w:r>
    </w:p>
    <w:p w14:paraId="482DD4A9" w14:textId="77777777" w:rsidR="00A77B3E" w:rsidRDefault="00A77B3E">
      <w:pPr>
        <w:spacing w:line="360" w:lineRule="auto"/>
        <w:jc w:val="both"/>
      </w:pPr>
    </w:p>
    <w:p w14:paraId="21442240" w14:textId="11B6F890" w:rsidR="00A77B3E" w:rsidRDefault="00066CF0">
      <w:pPr>
        <w:spacing w:line="360" w:lineRule="auto"/>
        <w:jc w:val="both"/>
      </w:pPr>
      <w:r>
        <w:rPr>
          <w:rFonts w:ascii="Book Antiqua" w:eastAsia="Book Antiqua" w:hAnsi="Book Antiqua" w:cs="Book Antiqua"/>
          <w:b/>
          <w:bCs/>
          <w:color w:val="000000"/>
        </w:rPr>
        <w:t xml:space="preserve">Core </w:t>
      </w:r>
      <w:r w:rsidR="00CC6AE3">
        <w:rPr>
          <w:rFonts w:ascii="Book Antiqua" w:eastAsia="Book Antiqua" w:hAnsi="Book Antiqua" w:cs="Book Antiqua"/>
          <w:b/>
          <w:bCs/>
          <w:color w:val="000000"/>
        </w:rPr>
        <w:t>T</w:t>
      </w:r>
      <w:r>
        <w:rPr>
          <w:rFonts w:ascii="Book Antiqua" w:eastAsia="Book Antiqua" w:hAnsi="Book Antiqua" w:cs="Book Antiqua"/>
          <w:b/>
          <w:bCs/>
          <w:color w:val="000000"/>
        </w:rPr>
        <w:t xml:space="preserve">ip: </w:t>
      </w:r>
      <w:r>
        <w:rPr>
          <w:rFonts w:ascii="Book Antiqua" w:eastAsia="Book Antiqua" w:hAnsi="Book Antiqua" w:cs="Book Antiqua"/>
          <w:color w:val="000000"/>
        </w:rPr>
        <w:t> Here, we report a rare case of advanced sarcomatoid hepatocellular carcinoma (SHC), which was successfully treated with the anti-programmed cell death 1 antibody. To the best of our knowledge, this is the first case report on the successful treatment of advanced SHC using immunotherapy.</w:t>
      </w:r>
    </w:p>
    <w:p w14:paraId="4DE2B655" w14:textId="77777777" w:rsidR="00A77B3E" w:rsidRDefault="00A77B3E">
      <w:pPr>
        <w:spacing w:line="360" w:lineRule="auto"/>
        <w:jc w:val="both"/>
      </w:pPr>
    </w:p>
    <w:p w14:paraId="0D79C6DB" w14:textId="77777777" w:rsidR="00A77B3E" w:rsidRDefault="00066CF0">
      <w:pPr>
        <w:spacing w:line="360" w:lineRule="auto"/>
        <w:jc w:val="both"/>
      </w:pPr>
      <w:r>
        <w:rPr>
          <w:rFonts w:ascii="Book Antiqua" w:eastAsia="Book Antiqua" w:hAnsi="Book Antiqua" w:cs="Book Antiqua"/>
          <w:b/>
          <w:caps/>
          <w:color w:val="000000"/>
          <w:u w:val="single"/>
        </w:rPr>
        <w:t>INTRODUCTION</w:t>
      </w:r>
    </w:p>
    <w:p w14:paraId="13CE6939" w14:textId="77777777" w:rsidR="00A77B3E" w:rsidRDefault="00066CF0">
      <w:pPr>
        <w:spacing w:line="360" w:lineRule="auto"/>
        <w:jc w:val="both"/>
      </w:pPr>
      <w:r>
        <w:rPr>
          <w:rFonts w:ascii="Book Antiqua" w:eastAsia="Book Antiqua" w:hAnsi="Book Antiqua" w:cs="Book Antiqua"/>
          <w:color w:val="000000"/>
        </w:rPr>
        <w:t>Sarcomatoid hepatocellular carcinoma (SHC) is a rare subtype of hepatocellular carcinoma (HCC) characterized by features of mixed epithelial and mesenchymal tumors</w:t>
      </w:r>
      <w:r>
        <w:rPr>
          <w:rFonts w:ascii="Book Antiqua" w:eastAsia="Book Antiqua" w:hAnsi="Book Antiqua" w:cs="Book Antiqua"/>
          <w:color w:val="000000"/>
          <w:vertAlign w:val="superscript"/>
        </w:rPr>
        <w:t>[1]</w:t>
      </w:r>
      <w:r>
        <w:rPr>
          <w:rFonts w:ascii="Book Antiqua" w:eastAsia="Book Antiqua" w:hAnsi="Book Antiqua" w:cs="Book Antiqua"/>
          <w:color w:val="000000"/>
        </w:rPr>
        <w:t>. Surgical resection is the primary treatment for SHC; however, this malignancy has a high recurrence rate. Unfortunately, an effective treatment for advanced-stage SHC is very limited. In addition, the prognosis for SHC is worse than that of conventional HCC</w:t>
      </w:r>
      <w:r>
        <w:rPr>
          <w:rFonts w:ascii="Book Antiqua" w:eastAsia="Book Antiqua" w:hAnsi="Book Antiqua" w:cs="Book Antiqua"/>
          <w:color w:val="000000"/>
          <w:vertAlign w:val="superscript"/>
        </w:rPr>
        <w:t>[2,3]</w:t>
      </w:r>
      <w:r>
        <w:rPr>
          <w:rFonts w:ascii="Book Antiqua" w:eastAsia="Book Antiqua" w:hAnsi="Book Antiqua" w:cs="Book Antiqua"/>
          <w:color w:val="000000"/>
        </w:rPr>
        <w:t>. Immune checkpoint inhibitors (ICIs) that target programmed cell death 1 (PD-1)/programmed death-ligand 1 (PD-L1) have resulted in a significant breakthrough in the treatment of multiple solid cancers, such as melanoma, lymphoma, and lung cancer. However, their effectiveness in treating SHC has not been sufficiently demonstrated. Here, we report the case of a patient with advanced SHC, which was successfully treated with an anti-PD-1 antibody.</w:t>
      </w:r>
    </w:p>
    <w:p w14:paraId="70A762E1" w14:textId="77777777" w:rsidR="00A77B3E" w:rsidRDefault="00A77B3E">
      <w:pPr>
        <w:spacing w:line="360" w:lineRule="auto"/>
        <w:jc w:val="both"/>
      </w:pPr>
    </w:p>
    <w:p w14:paraId="60895443" w14:textId="77777777" w:rsidR="00A77B3E" w:rsidRDefault="00066CF0">
      <w:pPr>
        <w:spacing w:line="360" w:lineRule="auto"/>
        <w:jc w:val="both"/>
      </w:pPr>
      <w:r>
        <w:rPr>
          <w:rFonts w:ascii="Book Antiqua" w:eastAsia="Book Antiqua" w:hAnsi="Book Antiqua" w:cs="Book Antiqua"/>
          <w:b/>
          <w:caps/>
          <w:color w:val="000000"/>
          <w:u w:val="single"/>
        </w:rPr>
        <w:t>CASE PRESENTATION</w:t>
      </w:r>
    </w:p>
    <w:p w14:paraId="0F72785E" w14:textId="77777777" w:rsidR="00A77B3E" w:rsidRDefault="00066CF0">
      <w:pPr>
        <w:spacing w:line="360" w:lineRule="auto"/>
        <w:jc w:val="both"/>
      </w:pPr>
      <w:r>
        <w:rPr>
          <w:rFonts w:ascii="Book Antiqua" w:eastAsia="Book Antiqua" w:hAnsi="Book Antiqua" w:cs="Book Antiqua"/>
          <w:b/>
          <w:i/>
          <w:color w:val="000000"/>
        </w:rPr>
        <w:t>Chief complaints</w:t>
      </w:r>
    </w:p>
    <w:p w14:paraId="35806273" w14:textId="55F9A02E" w:rsidR="00A77B3E" w:rsidRDefault="00066CF0">
      <w:pPr>
        <w:spacing w:line="360" w:lineRule="auto"/>
        <w:jc w:val="both"/>
      </w:pPr>
      <w:r>
        <w:rPr>
          <w:rFonts w:ascii="Book Antiqua" w:eastAsia="Book Antiqua" w:hAnsi="Book Antiqua" w:cs="Book Antiqua"/>
          <w:color w:val="000000"/>
        </w:rPr>
        <w:t>A 54-year-old man was referred to our hospital because of</w:t>
      </w:r>
      <w:r w:rsidR="000F14E3">
        <w:rPr>
          <w:rFonts w:ascii="Book Antiqua" w:eastAsia="Book Antiqua" w:hAnsi="Book Antiqua" w:cs="Book Antiqua"/>
          <w:color w:val="000000"/>
        </w:rPr>
        <w:t xml:space="preserve"> </w:t>
      </w:r>
      <w:r>
        <w:rPr>
          <w:rFonts w:ascii="Book Antiqua" w:eastAsia="Book Antiqua" w:hAnsi="Book Antiqua" w:cs="Book Antiqua"/>
          <w:color w:val="000000"/>
        </w:rPr>
        <w:t>10-d discomfort in the hepatic region.</w:t>
      </w:r>
    </w:p>
    <w:p w14:paraId="194DA760" w14:textId="77777777" w:rsidR="00A77B3E" w:rsidRDefault="00A77B3E">
      <w:pPr>
        <w:spacing w:line="360" w:lineRule="auto"/>
        <w:jc w:val="both"/>
      </w:pPr>
    </w:p>
    <w:p w14:paraId="531AE04C" w14:textId="77777777" w:rsidR="00A77B3E" w:rsidRDefault="00066CF0">
      <w:pPr>
        <w:spacing w:line="360" w:lineRule="auto"/>
        <w:jc w:val="both"/>
      </w:pPr>
      <w:r>
        <w:rPr>
          <w:rFonts w:ascii="Book Antiqua" w:eastAsia="Book Antiqua" w:hAnsi="Book Antiqua" w:cs="Book Antiqua"/>
          <w:b/>
          <w:i/>
          <w:color w:val="000000"/>
        </w:rPr>
        <w:t>History of present illness</w:t>
      </w:r>
    </w:p>
    <w:p w14:paraId="491B95F5" w14:textId="0C30526F" w:rsidR="00A77B3E" w:rsidRDefault="00066CF0">
      <w:pPr>
        <w:spacing w:line="360" w:lineRule="auto"/>
        <w:jc w:val="both"/>
      </w:pPr>
      <w:r>
        <w:rPr>
          <w:rFonts w:ascii="Book Antiqua" w:eastAsia="Book Antiqua" w:hAnsi="Book Antiqua" w:cs="Book Antiqua"/>
          <w:color w:val="000000"/>
        </w:rPr>
        <w:lastRenderedPageBreak/>
        <w:t xml:space="preserve">The patient had a tumor in the </w:t>
      </w:r>
      <w:r w:rsidR="000F14E3">
        <w:rPr>
          <w:rFonts w:ascii="Book Antiqua" w:eastAsia="Book Antiqua" w:hAnsi="Book Antiqua" w:cs="Book Antiqua"/>
          <w:color w:val="000000"/>
        </w:rPr>
        <w:t>segments</w:t>
      </w:r>
      <w:r w:rsidR="000F14E3" w:rsidDel="000F14E3">
        <w:rPr>
          <w:rFonts w:ascii="Book Antiqua" w:eastAsia="Book Antiqua" w:hAnsi="Book Antiqua" w:cs="Book Antiqua"/>
          <w:color w:val="000000"/>
        </w:rPr>
        <w:t xml:space="preserve"> </w:t>
      </w:r>
      <w:r>
        <w:rPr>
          <w:rFonts w:ascii="Book Antiqua" w:eastAsia="Book Antiqua" w:hAnsi="Book Antiqua" w:cs="Book Antiqua"/>
          <w:color w:val="000000"/>
        </w:rPr>
        <w:t>4/8</w:t>
      </w:r>
      <w:r w:rsidR="000F14E3">
        <w:rPr>
          <w:rFonts w:ascii="Book Antiqua" w:eastAsia="Book Antiqua" w:hAnsi="Book Antiqua" w:cs="Book Antiqua"/>
          <w:color w:val="000000"/>
        </w:rPr>
        <w:t xml:space="preserve"> </w:t>
      </w:r>
      <w:r>
        <w:rPr>
          <w:rFonts w:ascii="Book Antiqua" w:eastAsia="Book Antiqua" w:hAnsi="Book Antiqua" w:cs="Book Antiqua"/>
          <w:color w:val="000000"/>
        </w:rPr>
        <w:t>of the liver, along with hepatitis B cirrhosis, portal hypertension, and type 2 diabetes.</w:t>
      </w:r>
    </w:p>
    <w:p w14:paraId="4254A362" w14:textId="77777777" w:rsidR="00A77B3E" w:rsidRDefault="00A77B3E">
      <w:pPr>
        <w:spacing w:line="360" w:lineRule="auto"/>
        <w:jc w:val="both"/>
      </w:pPr>
    </w:p>
    <w:p w14:paraId="440CB61A" w14:textId="77777777" w:rsidR="00A77B3E" w:rsidRDefault="00066CF0">
      <w:pPr>
        <w:spacing w:line="360" w:lineRule="auto"/>
        <w:jc w:val="both"/>
      </w:pPr>
      <w:r>
        <w:rPr>
          <w:rFonts w:ascii="Book Antiqua" w:eastAsia="Book Antiqua" w:hAnsi="Book Antiqua" w:cs="Book Antiqua"/>
          <w:b/>
          <w:i/>
          <w:color w:val="000000"/>
        </w:rPr>
        <w:t>History of past illness</w:t>
      </w:r>
    </w:p>
    <w:p w14:paraId="36B2D292" w14:textId="2D9867BC" w:rsidR="00A77B3E" w:rsidRDefault="00066CF0">
      <w:pPr>
        <w:spacing w:line="360" w:lineRule="auto"/>
        <w:jc w:val="both"/>
      </w:pPr>
      <w:r>
        <w:rPr>
          <w:rFonts w:ascii="Book Antiqua" w:eastAsia="Book Antiqua" w:hAnsi="Book Antiqua" w:cs="Book Antiqua"/>
          <w:color w:val="000000"/>
        </w:rPr>
        <w:t>Approximately 15 years earlier, he was diagnosed with hepatitis B, and has since suffered from recurrent anorexia and jaundice. Five years earlier, he began treatment with entecavir. In the past 9 mo, he experienced unexplained weight loss (</w:t>
      </w:r>
      <w:r w:rsidR="00E4094F" w:rsidRPr="00E4094F">
        <w:rPr>
          <w:rFonts w:ascii="Book Antiqua" w:eastAsia="Book Antiqua" w:hAnsi="Book Antiqua" w:cs="Book Antiqua"/>
          <w:color w:val="000000"/>
        </w:rPr>
        <w:t>approximately</w:t>
      </w:r>
      <w:r w:rsidR="0093094A">
        <w:rPr>
          <w:rFonts w:ascii="Book Antiqua" w:eastAsia="Book Antiqua" w:hAnsi="Book Antiqua" w:cs="Book Antiqua"/>
          <w:color w:val="000000"/>
        </w:rPr>
        <w:t xml:space="preserve"> </w:t>
      </w:r>
      <w:r>
        <w:rPr>
          <w:rFonts w:ascii="Book Antiqua" w:eastAsia="Book Antiqua" w:hAnsi="Book Antiqua" w:cs="Book Antiqua"/>
          <w:color w:val="000000"/>
        </w:rPr>
        <w:t>10 kg).</w:t>
      </w:r>
    </w:p>
    <w:p w14:paraId="0544FDB0" w14:textId="77777777" w:rsidR="00A77B3E" w:rsidRDefault="00A77B3E">
      <w:pPr>
        <w:spacing w:line="360" w:lineRule="auto"/>
        <w:jc w:val="both"/>
      </w:pPr>
    </w:p>
    <w:p w14:paraId="42C509D3" w14:textId="77777777" w:rsidR="00A77B3E" w:rsidRDefault="00066CF0">
      <w:pPr>
        <w:spacing w:line="360" w:lineRule="auto"/>
        <w:jc w:val="both"/>
      </w:pPr>
      <w:r>
        <w:rPr>
          <w:rFonts w:ascii="Book Antiqua" w:eastAsia="Book Antiqua" w:hAnsi="Book Antiqua" w:cs="Book Antiqua"/>
          <w:b/>
          <w:i/>
          <w:color w:val="000000"/>
        </w:rPr>
        <w:t>Physical examination</w:t>
      </w:r>
    </w:p>
    <w:p w14:paraId="1C16C908" w14:textId="77777777" w:rsidR="00A77B3E" w:rsidRDefault="00066CF0">
      <w:pPr>
        <w:spacing w:line="360" w:lineRule="auto"/>
        <w:jc w:val="both"/>
      </w:pPr>
      <w:r>
        <w:rPr>
          <w:rFonts w:ascii="Book Antiqua" w:eastAsia="Book Antiqua" w:hAnsi="Book Antiqua" w:cs="Book Antiqua"/>
          <w:color w:val="000000"/>
        </w:rPr>
        <w:t>His physical examination did not reveal any abnormalities, except for liver palmar and spider nevus.</w:t>
      </w:r>
    </w:p>
    <w:p w14:paraId="312B0888" w14:textId="77777777" w:rsidR="00A77B3E" w:rsidRDefault="00A77B3E">
      <w:pPr>
        <w:spacing w:line="360" w:lineRule="auto"/>
        <w:jc w:val="both"/>
      </w:pPr>
    </w:p>
    <w:p w14:paraId="5AF30DF7" w14:textId="77777777" w:rsidR="00A77B3E" w:rsidRDefault="00066CF0">
      <w:pPr>
        <w:spacing w:line="360" w:lineRule="auto"/>
        <w:jc w:val="both"/>
      </w:pPr>
      <w:r>
        <w:rPr>
          <w:rFonts w:ascii="Book Antiqua" w:eastAsia="Book Antiqua" w:hAnsi="Book Antiqua" w:cs="Book Antiqua"/>
          <w:b/>
          <w:i/>
          <w:color w:val="000000"/>
        </w:rPr>
        <w:t>Laboratory examinations</w:t>
      </w:r>
    </w:p>
    <w:p w14:paraId="396B9E4A" w14:textId="77777777" w:rsidR="00A77B3E" w:rsidRDefault="00066CF0">
      <w:pPr>
        <w:spacing w:line="360" w:lineRule="auto"/>
        <w:jc w:val="both"/>
      </w:pPr>
      <w:r>
        <w:rPr>
          <w:rFonts w:ascii="Book Antiqua" w:eastAsia="Book Antiqua" w:hAnsi="Book Antiqua" w:cs="Book Antiqua"/>
          <w:color w:val="000000"/>
        </w:rPr>
        <w:t>Plasma tumor marker levels, including alpha-fetoprotein (AFP), and liver function appeared normal.</w:t>
      </w:r>
    </w:p>
    <w:p w14:paraId="70A44363" w14:textId="77777777" w:rsidR="00A77B3E" w:rsidRDefault="00A77B3E">
      <w:pPr>
        <w:spacing w:line="360" w:lineRule="auto"/>
        <w:jc w:val="both"/>
      </w:pPr>
    </w:p>
    <w:p w14:paraId="68BA2A3E" w14:textId="77777777" w:rsidR="00A77B3E" w:rsidRDefault="00066CF0">
      <w:pPr>
        <w:spacing w:line="360" w:lineRule="auto"/>
        <w:jc w:val="both"/>
      </w:pPr>
      <w:r>
        <w:rPr>
          <w:rFonts w:ascii="Book Antiqua" w:eastAsia="Book Antiqua" w:hAnsi="Book Antiqua" w:cs="Book Antiqua"/>
          <w:b/>
          <w:i/>
          <w:color w:val="000000"/>
        </w:rPr>
        <w:t>Imaging examinations</w:t>
      </w:r>
    </w:p>
    <w:p w14:paraId="48F38156" w14:textId="3AC29ADD" w:rsidR="00A77B3E" w:rsidRDefault="00066CF0">
      <w:pPr>
        <w:spacing w:line="360" w:lineRule="auto"/>
        <w:jc w:val="both"/>
      </w:pPr>
      <w:r>
        <w:rPr>
          <w:rFonts w:ascii="Book Antiqua" w:eastAsia="Book Antiqua" w:hAnsi="Book Antiqua" w:cs="Book Antiqua"/>
          <w:color w:val="000000"/>
        </w:rPr>
        <w:t xml:space="preserve">Abdominal ultrasound revealed a solid tumor, which was considered to be </w:t>
      </w:r>
      <w:r w:rsidR="000F14E3">
        <w:rPr>
          <w:rFonts w:ascii="Book Antiqua" w:eastAsia="Book Antiqua" w:hAnsi="Book Antiqua" w:cs="Book Antiqua"/>
          <w:color w:val="000000"/>
        </w:rPr>
        <w:t xml:space="preserve">an </w:t>
      </w:r>
      <w:r>
        <w:rPr>
          <w:rFonts w:ascii="Book Antiqua" w:eastAsia="Book Antiqua" w:hAnsi="Book Antiqua" w:cs="Book Antiqua"/>
          <w:color w:val="000000"/>
        </w:rPr>
        <w:t>HCC (38</w:t>
      </w:r>
      <w:r w:rsidR="00EF62C1">
        <w:rPr>
          <w:rFonts w:ascii="Book Antiqua" w:eastAsia="Book Antiqua" w:hAnsi="Book Antiqua" w:cs="Book Antiqua"/>
          <w:color w:val="000000"/>
        </w:rPr>
        <w:t xml:space="preserve"> mm </w:t>
      </w:r>
      <w:r>
        <w:rPr>
          <w:rFonts w:ascii="Book Antiqua" w:eastAsia="Book Antiqua" w:hAnsi="Book Antiqua" w:cs="Book Antiqua"/>
          <w:color w:val="000000"/>
        </w:rPr>
        <w:t>×</w:t>
      </w:r>
      <w:r w:rsidR="00EF62C1">
        <w:rPr>
          <w:rFonts w:ascii="Book Antiqua" w:eastAsia="Book Antiqua" w:hAnsi="Book Antiqua" w:cs="Book Antiqua"/>
          <w:color w:val="000000"/>
        </w:rPr>
        <w:t xml:space="preserve"> </w:t>
      </w:r>
      <w:r>
        <w:rPr>
          <w:rFonts w:ascii="Book Antiqua" w:eastAsia="Book Antiqua" w:hAnsi="Book Antiqua" w:cs="Book Antiqua"/>
          <w:color w:val="000000"/>
        </w:rPr>
        <w:t xml:space="preserve">35 mm), occupying the </w:t>
      </w:r>
      <w:r w:rsidR="000F14E3">
        <w:rPr>
          <w:rFonts w:ascii="Book Antiqua" w:eastAsia="Book Antiqua" w:hAnsi="Book Antiqua" w:cs="Book Antiqua"/>
          <w:color w:val="000000"/>
        </w:rPr>
        <w:t>segments</w:t>
      </w:r>
      <w:r w:rsidR="000F14E3" w:rsidDel="000F14E3">
        <w:rPr>
          <w:rFonts w:ascii="Book Antiqua" w:eastAsia="Book Antiqua" w:hAnsi="Book Antiqua" w:cs="Book Antiqua"/>
          <w:color w:val="000000"/>
        </w:rPr>
        <w:t xml:space="preserve"> </w:t>
      </w:r>
      <w:r>
        <w:rPr>
          <w:rFonts w:ascii="Book Antiqua" w:eastAsia="Book Antiqua" w:hAnsi="Book Antiqua" w:cs="Book Antiqua"/>
          <w:color w:val="000000"/>
        </w:rPr>
        <w:t>4/8</w:t>
      </w:r>
      <w:r w:rsidR="000F14E3">
        <w:rPr>
          <w:rFonts w:ascii="Book Antiqua" w:eastAsia="Book Antiqua" w:hAnsi="Book Antiqua" w:cs="Book Antiqua"/>
          <w:color w:val="000000"/>
        </w:rPr>
        <w:t xml:space="preserve"> </w:t>
      </w:r>
      <w:r>
        <w:rPr>
          <w:rFonts w:ascii="Book Antiqua" w:eastAsia="Book Antiqua" w:hAnsi="Book Antiqua" w:cs="Book Antiqua"/>
          <w:color w:val="000000"/>
        </w:rPr>
        <w:t xml:space="preserve">of the liver. Abdominal dynamic contrast-enhanced magnetic resonance imaging (MRI) revealed a lesion in the </w:t>
      </w:r>
      <w:r w:rsidR="000F14E3">
        <w:rPr>
          <w:rFonts w:ascii="Book Antiqua" w:eastAsia="Book Antiqua" w:hAnsi="Book Antiqua" w:cs="Book Antiqua"/>
          <w:color w:val="000000"/>
        </w:rPr>
        <w:t>segments</w:t>
      </w:r>
      <w:r w:rsidR="000F14E3" w:rsidDel="000F14E3">
        <w:rPr>
          <w:rFonts w:ascii="Book Antiqua" w:eastAsia="Book Antiqua" w:hAnsi="Book Antiqua" w:cs="Book Antiqua"/>
          <w:color w:val="000000"/>
        </w:rPr>
        <w:t xml:space="preserve"> </w:t>
      </w:r>
      <w:r>
        <w:rPr>
          <w:rFonts w:ascii="Book Antiqua" w:eastAsia="Book Antiqua" w:hAnsi="Book Antiqua" w:cs="Book Antiqua"/>
          <w:color w:val="000000"/>
        </w:rPr>
        <w:t>4/5/8 (45</w:t>
      </w:r>
      <w:r w:rsidR="00EF62C1">
        <w:rPr>
          <w:rFonts w:ascii="Book Antiqua" w:eastAsia="Book Antiqua" w:hAnsi="Book Antiqua" w:cs="Book Antiqua"/>
          <w:color w:val="000000"/>
        </w:rPr>
        <w:t xml:space="preserve"> mm </w:t>
      </w:r>
      <w:r>
        <w:rPr>
          <w:rFonts w:ascii="Book Antiqua" w:eastAsia="Book Antiqua" w:hAnsi="Book Antiqua" w:cs="Book Antiqua"/>
          <w:color w:val="000000"/>
        </w:rPr>
        <w:t>×</w:t>
      </w:r>
      <w:r w:rsidR="00EF62C1">
        <w:rPr>
          <w:rFonts w:ascii="Book Antiqua" w:eastAsia="Book Antiqua" w:hAnsi="Book Antiqua" w:cs="Book Antiqua"/>
          <w:color w:val="000000"/>
        </w:rPr>
        <w:t xml:space="preserve"> </w:t>
      </w:r>
      <w:r>
        <w:rPr>
          <w:rFonts w:ascii="Book Antiqua" w:eastAsia="Book Antiqua" w:hAnsi="Book Antiqua" w:cs="Book Antiqua"/>
          <w:color w:val="000000"/>
        </w:rPr>
        <w:t>41 mm) of the liver, with multiple satellite nodules. The lesions invaded the middle hepatic vein (Figure 1A). MRI also revealed liver cirrhosis and portal hypertension. No extrahepatic metastasis was observed on positron emission tomography-computed tomography (PET-CT).</w:t>
      </w:r>
    </w:p>
    <w:p w14:paraId="40B5A0E6" w14:textId="77777777" w:rsidR="00A77B3E" w:rsidRDefault="00A77B3E">
      <w:pPr>
        <w:spacing w:line="360" w:lineRule="auto"/>
        <w:jc w:val="both"/>
      </w:pPr>
    </w:p>
    <w:p w14:paraId="12EA7D89" w14:textId="77777777" w:rsidR="00A77B3E" w:rsidRDefault="00066CF0">
      <w:pPr>
        <w:spacing w:line="360" w:lineRule="auto"/>
        <w:jc w:val="both"/>
      </w:pPr>
      <w:r>
        <w:rPr>
          <w:rFonts w:ascii="Book Antiqua" w:eastAsia="Book Antiqua" w:hAnsi="Book Antiqua" w:cs="Book Antiqua"/>
          <w:b/>
          <w:bCs/>
          <w:i/>
          <w:iCs/>
          <w:color w:val="000000"/>
        </w:rPr>
        <w:t>Personal and family history</w:t>
      </w:r>
    </w:p>
    <w:p w14:paraId="48DEAC6A" w14:textId="77777777" w:rsidR="00A77B3E" w:rsidRDefault="00066CF0">
      <w:pPr>
        <w:spacing w:line="360" w:lineRule="auto"/>
        <w:jc w:val="both"/>
      </w:pPr>
      <w:r>
        <w:rPr>
          <w:rFonts w:ascii="Book Antiqua" w:eastAsia="Book Antiqua" w:hAnsi="Book Antiqua" w:cs="Book Antiqua"/>
          <w:color w:val="000000"/>
        </w:rPr>
        <w:t>The patient had a history of smoking for over 20 years.</w:t>
      </w:r>
    </w:p>
    <w:p w14:paraId="21892877" w14:textId="77777777" w:rsidR="00A77B3E" w:rsidRDefault="00A77B3E">
      <w:pPr>
        <w:spacing w:line="360" w:lineRule="auto"/>
        <w:jc w:val="both"/>
      </w:pPr>
    </w:p>
    <w:p w14:paraId="25E21B6C" w14:textId="77777777" w:rsidR="00A77B3E" w:rsidRDefault="00066CF0">
      <w:pPr>
        <w:spacing w:line="360" w:lineRule="auto"/>
        <w:jc w:val="both"/>
      </w:pPr>
      <w:r>
        <w:rPr>
          <w:rFonts w:ascii="Book Antiqua" w:eastAsia="Book Antiqua" w:hAnsi="Book Antiqua" w:cs="Book Antiqua"/>
          <w:b/>
          <w:bCs/>
          <w:i/>
          <w:iCs/>
          <w:color w:val="000000"/>
        </w:rPr>
        <w:lastRenderedPageBreak/>
        <w:t>Further diagnostic work-up</w:t>
      </w:r>
      <w:r>
        <w:rPr>
          <w:rFonts w:ascii="Book Antiqua" w:eastAsia="Book Antiqua" w:hAnsi="Book Antiqua" w:cs="Book Antiqua"/>
          <w:b/>
          <w:i/>
          <w:color w:val="000000"/>
        </w:rPr>
        <w:t xml:space="preserve"> </w:t>
      </w:r>
    </w:p>
    <w:p w14:paraId="6E42CEEE" w14:textId="6652ABD8" w:rsidR="00A77B3E" w:rsidRDefault="00066CF0">
      <w:pPr>
        <w:spacing w:line="360" w:lineRule="auto"/>
        <w:jc w:val="both"/>
      </w:pPr>
      <w:r>
        <w:rPr>
          <w:rFonts w:ascii="Book Antiqua" w:eastAsia="Book Antiqua" w:hAnsi="Book Antiqua" w:cs="Book Antiqua"/>
          <w:color w:val="000000"/>
        </w:rPr>
        <w:t xml:space="preserve">Following a preoperative examination, the patient underwent </w:t>
      </w:r>
      <w:r w:rsidR="000F14E3">
        <w:rPr>
          <w:rFonts w:ascii="Book Antiqua" w:eastAsia="Book Antiqua" w:hAnsi="Book Antiqua" w:cs="Book Antiqua"/>
          <w:color w:val="000000"/>
        </w:rPr>
        <w:t xml:space="preserve">resection </w:t>
      </w:r>
      <w:r>
        <w:rPr>
          <w:rFonts w:ascii="Book Antiqua" w:eastAsia="Book Antiqua" w:hAnsi="Book Antiqua" w:cs="Book Antiqua"/>
          <w:color w:val="000000"/>
        </w:rPr>
        <w:t xml:space="preserve">of the liver segments 4/5/8. Postoperative pathological results revealed an SHC with satellite nodules, neurologic invasion, and no definite intravascular thrombus formation (Figure 1B). Immunohistochemical (IHC) results revealed the following: Cytokeratin (CK, +), Vimentin (+), Hepatocyte antigen (-), Arginase-1 (-), Cytokeratin 7 (+), Cytokeratin19 (CK19, partial +), Cytokeratin18 (CK18, +), Cytokeratin 8 (CK8, +), Glypican-3 (-), CD34 (vascular +), </w:t>
      </w:r>
      <w:r w:rsidR="000F14E3">
        <w:rPr>
          <w:rFonts w:ascii="Book Antiqua" w:eastAsia="Book Antiqua" w:hAnsi="Book Antiqua" w:cs="Book Antiqua"/>
          <w:color w:val="000000"/>
        </w:rPr>
        <w:t xml:space="preserve">hepatitis </w:t>
      </w:r>
      <w:r>
        <w:rPr>
          <w:rFonts w:ascii="Book Antiqua" w:eastAsia="Book Antiqua" w:hAnsi="Book Antiqua" w:cs="Book Antiqua"/>
          <w:color w:val="000000"/>
        </w:rPr>
        <w:t xml:space="preserve">B surface antigen (-), </w:t>
      </w:r>
      <w:r w:rsidR="000F14E3">
        <w:rPr>
          <w:rFonts w:ascii="Book Antiqua" w:eastAsia="Book Antiqua" w:hAnsi="Book Antiqua" w:cs="Book Antiqua"/>
          <w:color w:val="000000"/>
        </w:rPr>
        <w:t xml:space="preserve">polyclone </w:t>
      </w:r>
      <w:r>
        <w:rPr>
          <w:rFonts w:ascii="Book Antiqua" w:eastAsia="Book Antiqua" w:hAnsi="Book Antiqua" w:cs="Book Antiqua"/>
          <w:color w:val="000000"/>
        </w:rPr>
        <w:t xml:space="preserve">carcinoembryonic antigen (-), </w:t>
      </w:r>
      <w:r w:rsidR="000F14E3">
        <w:rPr>
          <w:rFonts w:ascii="Book Antiqua" w:eastAsia="Book Antiqua" w:hAnsi="Book Antiqua" w:cs="Book Antiqua"/>
          <w:color w:val="000000"/>
        </w:rPr>
        <w:t xml:space="preserve">glutamine </w:t>
      </w:r>
      <w:r>
        <w:rPr>
          <w:rFonts w:ascii="Book Antiqua" w:eastAsia="Book Antiqua" w:hAnsi="Book Antiqua" w:cs="Book Antiqua"/>
          <w:color w:val="000000"/>
        </w:rPr>
        <w:t>synthetase</w:t>
      </w:r>
      <w:r w:rsidR="00ED15A0">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ED15A0">
        <w:rPr>
          <w:rFonts w:ascii="Book Antiqua" w:eastAsia="Book Antiqua" w:hAnsi="Book Antiqua" w:cs="Book Antiqua"/>
          <w:color w:val="000000"/>
        </w:rPr>
        <w:t>ly</w:t>
      </w:r>
      <w:r>
        <w:rPr>
          <w:rFonts w:ascii="Book Antiqua" w:eastAsia="Book Antiqua" w:hAnsi="Book Antiqua" w:cs="Book Antiqua"/>
          <w:color w:val="000000"/>
        </w:rPr>
        <w:t xml:space="preserve"> +), and Ki-67 (30%). The patient recovered well after surgery. </w:t>
      </w:r>
    </w:p>
    <w:p w14:paraId="40F952FA" w14:textId="77777777" w:rsidR="00066CF0" w:rsidRDefault="00066CF0">
      <w:pPr>
        <w:spacing w:line="360" w:lineRule="auto"/>
        <w:jc w:val="both"/>
        <w:rPr>
          <w:rFonts w:ascii="Book Antiqua" w:eastAsia="Book Antiqua" w:hAnsi="Book Antiqua" w:cs="Book Antiqua"/>
          <w:b/>
          <w:caps/>
          <w:color w:val="000000"/>
          <w:u w:val="single"/>
        </w:rPr>
      </w:pPr>
    </w:p>
    <w:p w14:paraId="350FB831" w14:textId="179B6EE0" w:rsidR="00A77B3E" w:rsidRDefault="00066CF0">
      <w:pPr>
        <w:spacing w:line="360" w:lineRule="auto"/>
        <w:jc w:val="both"/>
      </w:pPr>
      <w:r>
        <w:rPr>
          <w:rFonts w:ascii="Book Antiqua" w:eastAsia="Book Antiqua" w:hAnsi="Book Antiqua" w:cs="Book Antiqua"/>
          <w:b/>
          <w:caps/>
          <w:color w:val="000000"/>
          <w:u w:val="single"/>
        </w:rPr>
        <w:t>FINAL DIAGNOSIS</w:t>
      </w:r>
    </w:p>
    <w:p w14:paraId="371A1002" w14:textId="0C97707D" w:rsidR="00A77B3E" w:rsidRDefault="00066CF0">
      <w:pPr>
        <w:spacing w:line="360" w:lineRule="auto"/>
        <w:jc w:val="both"/>
      </w:pPr>
      <w:r>
        <w:rPr>
          <w:rFonts w:ascii="Book Antiqua" w:eastAsia="Book Antiqua" w:hAnsi="Book Antiqua" w:cs="Book Antiqua"/>
          <w:color w:val="000000"/>
        </w:rPr>
        <w:t xml:space="preserve">Four months after the surgery, </w:t>
      </w:r>
      <w:r w:rsidR="000F14E3">
        <w:rPr>
          <w:rFonts w:ascii="Book Antiqua" w:eastAsia="Book Antiqua" w:hAnsi="Book Antiqua" w:cs="Book Antiqua"/>
          <w:color w:val="000000"/>
        </w:rPr>
        <w:t xml:space="preserve">a </w:t>
      </w:r>
      <w:r>
        <w:rPr>
          <w:rFonts w:ascii="Book Antiqua" w:eastAsia="Book Antiqua" w:hAnsi="Book Antiqua" w:cs="Book Antiqua"/>
          <w:color w:val="000000"/>
        </w:rPr>
        <w:t xml:space="preserve">follow-up CT scan revealed tumor recurrence at the hilar lymph nodes. A lymph node dissection was performed to resect the enlarged hilar lymph nodes, and the pathology revealed SHC metastasis (Supplementary Figure 1). </w:t>
      </w:r>
    </w:p>
    <w:p w14:paraId="7DE4FF41" w14:textId="787E0B2C" w:rsidR="00A77B3E" w:rsidRDefault="00066CF0">
      <w:pPr>
        <w:spacing w:line="360" w:lineRule="auto"/>
        <w:ind w:firstLine="480"/>
        <w:jc w:val="both"/>
      </w:pPr>
      <w:r>
        <w:rPr>
          <w:rFonts w:ascii="Book Antiqua" w:eastAsia="Book Antiqua" w:hAnsi="Book Antiqua" w:cs="Book Antiqua"/>
          <w:color w:val="000000"/>
        </w:rPr>
        <w:t xml:space="preserve">One month after the second surgery, </w:t>
      </w:r>
      <w:r w:rsidR="000F14E3">
        <w:rPr>
          <w:rFonts w:ascii="Book Antiqua" w:eastAsia="Book Antiqua" w:hAnsi="Book Antiqua" w:cs="Book Antiqua"/>
          <w:color w:val="000000"/>
        </w:rPr>
        <w:t xml:space="preserve">a </w:t>
      </w:r>
      <w:r>
        <w:rPr>
          <w:rFonts w:ascii="Book Antiqua" w:eastAsia="Book Antiqua" w:hAnsi="Book Antiqua" w:cs="Book Antiqua"/>
          <w:color w:val="000000"/>
        </w:rPr>
        <w:t xml:space="preserve">CT scan revealed new metastasis in the mediastinal lymph nodes (Supplementary Figure 1). Because the patient was diagnosed with an advanced disease, oral targeted treatment with sorafenib (0.4 g, bid) was initiated. Metastasis in the mediastinal lymph nodes slowly enlarged. In addition, the patient developed obvious chest distress owing to the compression of the enlarged mediastinal lymph nodes 12 mo after the second surgery (Figure 2). The patient was subsequently switched to lenvatinib as second-line treatment. However, after 2 mo, the patient developed severe jaundice, and the CT scan revealed recurrence of a hepatic lesion, which compressed the bile duct (Figure 2). New metastasis in the abdominal cavity was also found. Laboratory blood tests revealed increased </w:t>
      </w:r>
      <w:r w:rsidR="000F14E3">
        <w:rPr>
          <w:rFonts w:ascii="Book Antiqua" w:eastAsia="Book Antiqua" w:hAnsi="Book Antiqua" w:cs="Book Antiqua"/>
          <w:color w:val="000000"/>
        </w:rPr>
        <w:t xml:space="preserve">serum </w:t>
      </w:r>
      <w:r>
        <w:rPr>
          <w:rFonts w:ascii="Book Antiqua" w:eastAsia="Book Antiqua" w:hAnsi="Book Antiqua" w:cs="Book Antiqua"/>
          <w:color w:val="000000"/>
        </w:rPr>
        <w:t>levels of alanine aminotransferase (ALT</w:t>
      </w:r>
      <w:r w:rsidR="000F14E3">
        <w:rPr>
          <w:rFonts w:ascii="Book Antiqua" w:eastAsia="Book Antiqua" w:hAnsi="Book Antiqua" w:cs="Book Antiqua"/>
          <w:color w:val="000000"/>
        </w:rPr>
        <w:t xml:space="preserve">; </w:t>
      </w:r>
      <w:r>
        <w:rPr>
          <w:rFonts w:ascii="Book Antiqua" w:eastAsia="Book Antiqua" w:hAnsi="Book Antiqua" w:cs="Book Antiqua"/>
          <w:color w:val="000000"/>
        </w:rPr>
        <w:t>126 U/L, normal range 0-40 U/L), aspartate aminotransferase (AST</w:t>
      </w:r>
      <w:r w:rsidR="000F14E3">
        <w:rPr>
          <w:rFonts w:ascii="Book Antiqua" w:eastAsia="Book Antiqua" w:hAnsi="Book Antiqua" w:cs="Book Antiqua"/>
          <w:color w:val="000000"/>
        </w:rPr>
        <w:t xml:space="preserve">; </w:t>
      </w:r>
      <w:r>
        <w:rPr>
          <w:rFonts w:ascii="Book Antiqua" w:eastAsia="Book Antiqua" w:hAnsi="Book Antiqua" w:cs="Book Antiqua"/>
          <w:color w:val="000000"/>
        </w:rPr>
        <w:t>89 U/L, normal range 0-40 U/L), and</w:t>
      </w:r>
      <w:r w:rsidR="000F14E3">
        <w:rPr>
          <w:rFonts w:ascii="Book Antiqua" w:eastAsia="Book Antiqua" w:hAnsi="Book Antiqua" w:cs="Book Antiqua"/>
          <w:color w:val="000000"/>
        </w:rPr>
        <w:t xml:space="preserve"> </w:t>
      </w:r>
      <w:r>
        <w:rPr>
          <w:rFonts w:ascii="Book Antiqua" w:eastAsia="Book Antiqua" w:hAnsi="Book Antiqua" w:cs="Book Antiqua"/>
          <w:color w:val="000000"/>
        </w:rPr>
        <w:t>total bilirubin (142.8 µmol/L, normal range 0-17.1 µmol/L). Percutaneous transhepatic cholangial drainage was performed to treat jaundice. The patient had an Eastern Cooperation Oncology Group (ECOG) score of 2.</w:t>
      </w:r>
    </w:p>
    <w:p w14:paraId="55215B58" w14:textId="77777777" w:rsidR="00A77B3E" w:rsidRDefault="00A77B3E" w:rsidP="006C054C">
      <w:pPr>
        <w:spacing w:line="360" w:lineRule="auto"/>
        <w:jc w:val="both"/>
      </w:pPr>
    </w:p>
    <w:p w14:paraId="7BBA2D2F" w14:textId="77777777" w:rsidR="00A77B3E" w:rsidRDefault="00066CF0">
      <w:pPr>
        <w:spacing w:line="360" w:lineRule="auto"/>
        <w:jc w:val="both"/>
      </w:pPr>
      <w:r>
        <w:rPr>
          <w:rFonts w:ascii="Book Antiqua" w:eastAsia="Book Antiqua" w:hAnsi="Book Antiqua" w:cs="Book Antiqua"/>
          <w:b/>
          <w:caps/>
          <w:color w:val="000000"/>
          <w:u w:val="single"/>
        </w:rPr>
        <w:t>TREATMENT</w:t>
      </w:r>
    </w:p>
    <w:p w14:paraId="30646BB2" w14:textId="0ABC6E57" w:rsidR="00A77B3E" w:rsidRDefault="00066CF0">
      <w:pPr>
        <w:spacing w:line="360" w:lineRule="auto"/>
        <w:jc w:val="both"/>
      </w:pPr>
      <w:r>
        <w:rPr>
          <w:rFonts w:ascii="Book Antiqua" w:eastAsia="Book Antiqua" w:hAnsi="Book Antiqua" w:cs="Book Antiqua"/>
          <w:color w:val="000000"/>
        </w:rPr>
        <w:t xml:space="preserve">The tissue sample collected during surgery was submitted for next-generation sequencing on a 450-gene panel to determine whether precision therapy was an option for SHC treatment. Genomic testing revealed </w:t>
      </w:r>
      <w:r w:rsidR="000F14E3">
        <w:rPr>
          <w:rFonts w:ascii="Book Antiqua" w:eastAsia="Book Antiqua" w:hAnsi="Book Antiqua" w:cs="Book Antiqua"/>
          <w:color w:val="000000"/>
        </w:rPr>
        <w:t>a</w:t>
      </w:r>
      <w:r w:rsidR="000F14E3" w:rsidRPr="000147CC">
        <w:rPr>
          <w:rFonts w:ascii="Book Antiqua" w:eastAsia="Book Antiqua" w:hAnsi="Book Antiqua" w:cs="Book Antiqua"/>
          <w:color w:val="000000"/>
        </w:rPr>
        <w:t xml:space="preserve">denomatous </w:t>
      </w:r>
      <w:r w:rsidR="000F14E3">
        <w:rPr>
          <w:rFonts w:ascii="Book Antiqua" w:eastAsia="Book Antiqua" w:hAnsi="Book Antiqua" w:cs="Book Antiqua"/>
          <w:color w:val="000000"/>
        </w:rPr>
        <w:t>p</w:t>
      </w:r>
      <w:r w:rsidR="000F14E3" w:rsidRPr="000147CC">
        <w:rPr>
          <w:rFonts w:ascii="Book Antiqua" w:eastAsia="Book Antiqua" w:hAnsi="Book Antiqua" w:cs="Book Antiqua"/>
          <w:color w:val="000000"/>
        </w:rPr>
        <w:t xml:space="preserve">olyposis </w:t>
      </w:r>
      <w:r w:rsidR="000F14E3">
        <w:rPr>
          <w:rFonts w:ascii="Book Antiqua" w:eastAsia="Book Antiqua" w:hAnsi="Book Antiqua" w:cs="Book Antiqua"/>
          <w:color w:val="000000"/>
        </w:rPr>
        <w:t>c</w:t>
      </w:r>
      <w:r w:rsidR="000F14E3" w:rsidRPr="000147CC">
        <w:rPr>
          <w:rFonts w:ascii="Book Antiqua" w:eastAsia="Book Antiqua" w:hAnsi="Book Antiqua" w:cs="Book Antiqua"/>
          <w:color w:val="000000"/>
        </w:rPr>
        <w:t>oli</w:t>
      </w:r>
      <w:r>
        <w:rPr>
          <w:rFonts w:ascii="Book Antiqua" w:eastAsia="Book Antiqua" w:hAnsi="Book Antiqua" w:cs="Book Antiqua"/>
          <w:color w:val="000000"/>
        </w:rPr>
        <w:t xml:space="preserve">, </w:t>
      </w:r>
      <w:r w:rsidR="000147CC">
        <w:rPr>
          <w:rFonts w:ascii="Book Antiqua" w:eastAsia="Book Antiqua" w:hAnsi="Book Antiqua" w:cs="Book Antiqua"/>
          <w:color w:val="000000"/>
        </w:rPr>
        <w:t>P</w:t>
      </w:r>
      <w:r w:rsidR="000147CC" w:rsidRPr="000147CC">
        <w:rPr>
          <w:rFonts w:ascii="Book Antiqua" w:eastAsia="Book Antiqua" w:hAnsi="Book Antiqua" w:cs="Book Antiqua"/>
          <w:color w:val="000000"/>
        </w:rPr>
        <w:t>53</w:t>
      </w:r>
      <w:r>
        <w:rPr>
          <w:rFonts w:ascii="Book Antiqua" w:eastAsia="Book Antiqua" w:hAnsi="Book Antiqua" w:cs="Book Antiqua"/>
          <w:color w:val="000000"/>
        </w:rPr>
        <w:t xml:space="preserve">, </w:t>
      </w:r>
      <w:r w:rsidR="003F1983" w:rsidRPr="003F1983">
        <w:rPr>
          <w:rFonts w:ascii="Book Antiqua" w:eastAsia="Book Antiqua" w:hAnsi="Book Antiqua" w:cs="Book Antiqua"/>
          <w:color w:val="000000"/>
        </w:rPr>
        <w:t xml:space="preserve">RNA </w:t>
      </w:r>
      <w:r w:rsidR="000F14E3">
        <w:rPr>
          <w:rFonts w:ascii="Book Antiqua" w:eastAsia="Book Antiqua" w:hAnsi="Book Antiqua" w:cs="Book Antiqua"/>
          <w:color w:val="000000"/>
        </w:rPr>
        <w:t>b</w:t>
      </w:r>
      <w:r w:rsidR="000F14E3" w:rsidRPr="003F1983">
        <w:rPr>
          <w:rFonts w:ascii="Book Antiqua" w:eastAsia="Book Antiqua" w:hAnsi="Book Antiqua" w:cs="Book Antiqua"/>
          <w:color w:val="000000"/>
        </w:rPr>
        <w:t xml:space="preserve">inding </w:t>
      </w:r>
      <w:r w:rsidR="000F14E3">
        <w:rPr>
          <w:rFonts w:ascii="Book Antiqua" w:eastAsia="Book Antiqua" w:hAnsi="Book Antiqua" w:cs="Book Antiqua"/>
          <w:color w:val="000000"/>
        </w:rPr>
        <w:t>m</w:t>
      </w:r>
      <w:r w:rsidR="000F14E3" w:rsidRPr="003F1983">
        <w:rPr>
          <w:rFonts w:ascii="Book Antiqua" w:eastAsia="Book Antiqua" w:hAnsi="Book Antiqua" w:cs="Book Antiqua"/>
          <w:color w:val="000000"/>
        </w:rPr>
        <w:t xml:space="preserve">otif </w:t>
      </w:r>
      <w:r w:rsidR="000F14E3">
        <w:rPr>
          <w:rFonts w:ascii="Book Antiqua" w:eastAsia="Book Antiqua" w:hAnsi="Book Antiqua" w:cs="Book Antiqua"/>
          <w:color w:val="000000"/>
        </w:rPr>
        <w:t>p</w:t>
      </w:r>
      <w:r w:rsidR="000F14E3" w:rsidRPr="003F1983">
        <w:rPr>
          <w:rFonts w:ascii="Book Antiqua" w:eastAsia="Book Antiqua" w:hAnsi="Book Antiqua" w:cs="Book Antiqua"/>
          <w:color w:val="000000"/>
        </w:rPr>
        <w:t xml:space="preserve">rotein </w:t>
      </w:r>
      <w:r w:rsidR="003F1983" w:rsidRPr="003F1983">
        <w:rPr>
          <w:rFonts w:ascii="Book Antiqua" w:eastAsia="Book Antiqua" w:hAnsi="Book Antiqua" w:cs="Book Antiqua"/>
          <w:color w:val="000000"/>
        </w:rPr>
        <w:t>10</w:t>
      </w:r>
      <w:r>
        <w:rPr>
          <w:rFonts w:ascii="Book Antiqua" w:eastAsia="Book Antiqua" w:hAnsi="Book Antiqua" w:cs="Book Antiqua"/>
          <w:color w:val="000000"/>
        </w:rPr>
        <w:t xml:space="preserve">, </w:t>
      </w:r>
      <w:r w:rsidR="003F1983" w:rsidRPr="003F1983">
        <w:rPr>
          <w:rFonts w:ascii="Book Antiqua" w:eastAsia="Book Antiqua" w:hAnsi="Book Antiqua" w:cs="Book Antiqua"/>
          <w:color w:val="000000"/>
        </w:rPr>
        <w:t>RELB proto-oncogene/NF-kB subunit</w:t>
      </w:r>
      <w:r>
        <w:rPr>
          <w:rFonts w:ascii="Book Antiqua" w:eastAsia="Book Antiqua" w:hAnsi="Book Antiqua" w:cs="Book Antiqua"/>
          <w:color w:val="000000"/>
        </w:rPr>
        <w:t xml:space="preserve">, and </w:t>
      </w:r>
      <w:r w:rsidR="000F14E3">
        <w:rPr>
          <w:rFonts w:ascii="Book Antiqua" w:eastAsia="Book Antiqua" w:hAnsi="Book Antiqua" w:cs="Book Antiqua"/>
          <w:color w:val="000000"/>
        </w:rPr>
        <w:t>s</w:t>
      </w:r>
      <w:r w:rsidR="000F14E3" w:rsidRPr="003F1983">
        <w:rPr>
          <w:rFonts w:ascii="Book Antiqua" w:eastAsia="Book Antiqua" w:hAnsi="Book Antiqua" w:cs="Book Antiqua"/>
          <w:color w:val="000000"/>
        </w:rPr>
        <w:t xml:space="preserve">uccinate </w:t>
      </w:r>
      <w:r w:rsidR="000F14E3">
        <w:rPr>
          <w:rFonts w:ascii="Book Antiqua" w:eastAsia="Book Antiqua" w:hAnsi="Book Antiqua" w:cs="Book Antiqua"/>
          <w:color w:val="000000"/>
        </w:rPr>
        <w:t>d</w:t>
      </w:r>
      <w:r w:rsidR="000F14E3" w:rsidRPr="003F1983">
        <w:rPr>
          <w:rFonts w:ascii="Book Antiqua" w:eastAsia="Book Antiqua" w:hAnsi="Book Antiqua" w:cs="Book Antiqua"/>
          <w:color w:val="000000"/>
        </w:rPr>
        <w:t xml:space="preserve">ehydrogenase </w:t>
      </w:r>
      <w:r w:rsidR="000F14E3">
        <w:rPr>
          <w:rFonts w:ascii="Book Antiqua" w:eastAsia="Book Antiqua" w:hAnsi="Book Antiqua" w:cs="Book Antiqua"/>
          <w:color w:val="000000"/>
        </w:rPr>
        <w:t>c</w:t>
      </w:r>
      <w:r w:rsidR="000F14E3" w:rsidRPr="003F1983">
        <w:rPr>
          <w:rFonts w:ascii="Book Antiqua" w:eastAsia="Book Antiqua" w:hAnsi="Book Antiqua" w:cs="Book Antiqua"/>
          <w:color w:val="000000"/>
        </w:rPr>
        <w:t xml:space="preserve">omplex </w:t>
      </w:r>
      <w:r w:rsidR="000F14E3">
        <w:rPr>
          <w:rFonts w:ascii="Book Antiqua" w:eastAsia="Book Antiqua" w:hAnsi="Book Antiqua" w:cs="Book Antiqua"/>
          <w:color w:val="000000"/>
        </w:rPr>
        <w:t>f</w:t>
      </w:r>
      <w:r w:rsidR="000F14E3" w:rsidRPr="003F1983">
        <w:rPr>
          <w:rFonts w:ascii="Book Antiqua" w:eastAsia="Book Antiqua" w:hAnsi="Book Antiqua" w:cs="Book Antiqua"/>
          <w:color w:val="000000"/>
        </w:rPr>
        <w:t xml:space="preserve">lavoprotein </w:t>
      </w:r>
      <w:r w:rsidR="000F14E3">
        <w:rPr>
          <w:rFonts w:ascii="Book Antiqua" w:eastAsia="Book Antiqua" w:hAnsi="Book Antiqua" w:cs="Book Antiqua"/>
          <w:color w:val="000000"/>
        </w:rPr>
        <w:t>s</w:t>
      </w:r>
      <w:r w:rsidR="000F14E3" w:rsidRPr="003F1983">
        <w:rPr>
          <w:rFonts w:ascii="Book Antiqua" w:eastAsia="Book Antiqua" w:hAnsi="Book Antiqua" w:cs="Book Antiqua"/>
          <w:color w:val="000000"/>
        </w:rPr>
        <w:t xml:space="preserve">ubunit </w:t>
      </w:r>
      <w:r w:rsidR="003F1983" w:rsidRPr="003F1983">
        <w:rPr>
          <w:rFonts w:ascii="Book Antiqua" w:eastAsia="Book Antiqua" w:hAnsi="Book Antiqua" w:cs="Book Antiqua"/>
          <w:color w:val="000000"/>
        </w:rPr>
        <w:t>A</w:t>
      </w:r>
      <w:r>
        <w:rPr>
          <w:rFonts w:ascii="Book Antiqua" w:eastAsia="Book Antiqua" w:hAnsi="Book Antiqua" w:cs="Book Antiqua"/>
          <w:color w:val="000000"/>
        </w:rPr>
        <w:t xml:space="preserve"> mutations and </w:t>
      </w:r>
      <w:r w:rsidR="003F1983" w:rsidRPr="003F1983">
        <w:rPr>
          <w:rFonts w:ascii="Book Antiqua" w:eastAsia="Book Antiqua" w:hAnsi="Book Antiqua" w:cs="Book Antiqua"/>
          <w:color w:val="000000"/>
        </w:rPr>
        <w:t xml:space="preserve">DNA </w:t>
      </w:r>
      <w:r w:rsidR="000F14E3">
        <w:rPr>
          <w:rFonts w:ascii="Book Antiqua" w:eastAsia="Book Antiqua" w:hAnsi="Book Antiqua" w:cs="Book Antiqua"/>
          <w:color w:val="000000"/>
        </w:rPr>
        <w:t>p</w:t>
      </w:r>
      <w:r w:rsidR="000F14E3" w:rsidRPr="003F1983">
        <w:rPr>
          <w:rFonts w:ascii="Book Antiqua" w:eastAsia="Book Antiqua" w:hAnsi="Book Antiqua" w:cs="Book Antiqua"/>
          <w:color w:val="000000"/>
        </w:rPr>
        <w:t xml:space="preserve">olymerase </w:t>
      </w:r>
      <w:r w:rsidR="000F14E3">
        <w:rPr>
          <w:rFonts w:ascii="Book Antiqua" w:eastAsia="Book Antiqua" w:hAnsi="Book Antiqua" w:cs="Book Antiqua"/>
          <w:color w:val="000000"/>
        </w:rPr>
        <w:t>b</w:t>
      </w:r>
      <w:r w:rsidR="000F14E3" w:rsidRPr="003F1983">
        <w:rPr>
          <w:rFonts w:ascii="Book Antiqua" w:eastAsia="Book Antiqua" w:hAnsi="Book Antiqua" w:cs="Book Antiqua"/>
          <w:color w:val="000000"/>
        </w:rPr>
        <w:t>eta</w:t>
      </w:r>
      <w:r w:rsidR="000F14E3">
        <w:rPr>
          <w:rFonts w:ascii="Book Antiqua" w:eastAsia="Book Antiqua" w:hAnsi="Book Antiqua" w:cs="Book Antiqua"/>
          <w:color w:val="000000"/>
        </w:rPr>
        <w:t xml:space="preserve"> </w:t>
      </w:r>
      <w:r>
        <w:rPr>
          <w:rFonts w:ascii="Book Antiqua" w:eastAsia="Book Antiqua" w:hAnsi="Book Antiqua" w:cs="Book Antiqua"/>
          <w:color w:val="000000"/>
        </w:rPr>
        <w:t>amplification. Tumor mutational burden was 2.3 Muts/Mb, and the microsatellite state was stable. The IHC results revealed that the PD-L1 tumor proportion score (TPS) of the tissue sample was 60%, indicating high expression of PD-L1 (Figure 3). Based on these findings, immunotherapy was administered with the patient’s consent. First, the patient received nivolumab (3 mg/kg, Q3W). After two cycles of immunotherapy, a follow-up CT scan was performed, which revealed a recurrent lesion in the liver, metastasis in the abdominal cavity, and shrinkage of the mediastinal lymph node</w:t>
      </w:r>
      <w:r w:rsidR="000F14E3">
        <w:rPr>
          <w:rFonts w:ascii="Book Antiqua" w:eastAsia="Book Antiqua" w:hAnsi="Book Antiqua" w:cs="Book Antiqua"/>
          <w:color w:val="000000"/>
        </w:rPr>
        <w:t>s</w:t>
      </w:r>
      <w:r>
        <w:rPr>
          <w:rFonts w:ascii="Book Antiqua" w:eastAsia="Book Antiqua" w:hAnsi="Book Antiqua" w:cs="Book Antiqua"/>
          <w:color w:val="000000"/>
        </w:rPr>
        <w:t xml:space="preserve"> to undetectable levels (Figure 2). After the 6</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cycle of nivolumab treatment, the patient was again referred to the hospital due to severe cough. A CT scan confirmed that the patient had developed interstitial pneumonia owing to the immunotherapy (Figure 4).</w:t>
      </w:r>
    </w:p>
    <w:p w14:paraId="17845CD0" w14:textId="77777777" w:rsidR="00A77B3E" w:rsidRDefault="00A77B3E">
      <w:pPr>
        <w:spacing w:line="360" w:lineRule="auto"/>
        <w:jc w:val="both"/>
      </w:pPr>
    </w:p>
    <w:p w14:paraId="4BE96689" w14:textId="77777777" w:rsidR="00A77B3E" w:rsidRDefault="00066CF0">
      <w:pPr>
        <w:spacing w:line="360" w:lineRule="auto"/>
        <w:jc w:val="both"/>
      </w:pPr>
      <w:r>
        <w:rPr>
          <w:rFonts w:ascii="Book Antiqua" w:eastAsia="Book Antiqua" w:hAnsi="Book Antiqua" w:cs="Book Antiqua"/>
          <w:b/>
          <w:caps/>
          <w:color w:val="000000"/>
          <w:u w:val="single"/>
        </w:rPr>
        <w:t>OUTCOME AND FOLLOW-UP</w:t>
      </w:r>
    </w:p>
    <w:p w14:paraId="540F80D7" w14:textId="77777777" w:rsidR="00A77B3E" w:rsidRDefault="00066CF0">
      <w:pPr>
        <w:spacing w:line="360" w:lineRule="auto"/>
        <w:jc w:val="both"/>
      </w:pPr>
      <w:r>
        <w:rPr>
          <w:rFonts w:ascii="Book Antiqua" w:eastAsia="Book Antiqua" w:hAnsi="Book Antiqua" w:cs="Book Antiqua"/>
          <w:color w:val="000000"/>
        </w:rPr>
        <w:t>Owing to the development of interstitial pneumonia, nivolumab treatment was discontinued, and the patient achieved relief after treatment with corticosteroids (pulsed methylprednisolone). The patient showed continuous complete remission for 8 mo up until the latest follow-up.</w:t>
      </w:r>
    </w:p>
    <w:p w14:paraId="71CEA799" w14:textId="77777777" w:rsidR="00A77B3E" w:rsidRDefault="00A77B3E">
      <w:pPr>
        <w:spacing w:line="360" w:lineRule="auto"/>
        <w:jc w:val="both"/>
      </w:pPr>
    </w:p>
    <w:p w14:paraId="20007D37" w14:textId="77777777" w:rsidR="00A77B3E" w:rsidRDefault="00066CF0">
      <w:pPr>
        <w:spacing w:line="360" w:lineRule="auto"/>
        <w:jc w:val="both"/>
      </w:pPr>
      <w:r>
        <w:rPr>
          <w:rFonts w:ascii="Book Antiqua" w:eastAsia="Book Antiqua" w:hAnsi="Book Antiqua" w:cs="Book Antiqua"/>
          <w:b/>
          <w:caps/>
          <w:color w:val="000000"/>
          <w:u w:val="single"/>
        </w:rPr>
        <w:t>DISCUSSION</w:t>
      </w:r>
    </w:p>
    <w:p w14:paraId="4DD0585C" w14:textId="79E1A990" w:rsidR="00A77B3E" w:rsidRDefault="00066CF0">
      <w:pPr>
        <w:spacing w:line="360" w:lineRule="auto"/>
        <w:jc w:val="both"/>
      </w:pPr>
      <w:r>
        <w:rPr>
          <w:rFonts w:ascii="Book Antiqua" w:eastAsia="Book Antiqua" w:hAnsi="Book Antiqua" w:cs="Book Antiqua"/>
          <w:color w:val="000000"/>
        </w:rPr>
        <w:t>SHC is a rare malignant tumor that accounts for 2%–5% of all HCC cases</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SHC is characterized by a high degree of malignancy, rapid progression, and poor prognosis. The 5-year overall survival (OS) of patients with SHC was found to be worse than that of patients with conventional HCC (5.7% </w:t>
      </w:r>
      <w:r>
        <w:rPr>
          <w:rFonts w:ascii="Book Antiqua" w:eastAsia="Book Antiqua" w:hAnsi="Book Antiqua" w:cs="Book Antiqua"/>
          <w:i/>
          <w:iCs/>
          <w:color w:val="000000"/>
        </w:rPr>
        <w:t>vs</w:t>
      </w:r>
      <w:r>
        <w:rPr>
          <w:rFonts w:ascii="Book Antiqua" w:eastAsia="Book Antiqua" w:hAnsi="Book Antiqua" w:cs="Book Antiqua"/>
          <w:color w:val="000000"/>
        </w:rPr>
        <w:t xml:space="preserve"> 30.1%)</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 lack of specificity is associated with </w:t>
      </w:r>
      <w:r>
        <w:rPr>
          <w:rFonts w:ascii="Book Antiqua" w:eastAsia="Book Antiqua" w:hAnsi="Book Antiqua" w:cs="Book Antiqua"/>
          <w:color w:val="000000"/>
        </w:rPr>
        <w:lastRenderedPageBreak/>
        <w:t>clinical manifestation and etiology of SHC</w:t>
      </w:r>
      <w:r>
        <w:rPr>
          <w:rFonts w:ascii="Book Antiqua" w:eastAsia="Book Antiqua" w:hAnsi="Book Antiqua" w:cs="Book Antiqua"/>
          <w:color w:val="000000"/>
          <w:vertAlign w:val="superscript"/>
        </w:rPr>
        <w:t>[3]</w:t>
      </w:r>
      <w:r>
        <w:rPr>
          <w:rFonts w:ascii="Book Antiqua" w:eastAsia="Book Antiqua" w:hAnsi="Book Antiqua" w:cs="Book Antiqua"/>
          <w:color w:val="000000"/>
        </w:rPr>
        <w:t>. Pathological and IHC staining are the gold standards for diagnosing this malignancy</w:t>
      </w:r>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The main pathological features of SCH include the following: (1) </w:t>
      </w:r>
      <w:r w:rsidR="000F14E3">
        <w:rPr>
          <w:rFonts w:ascii="Book Antiqua" w:eastAsia="Book Antiqua" w:hAnsi="Book Antiqua" w:cs="Book Antiqua"/>
          <w:color w:val="000000"/>
        </w:rPr>
        <w:t xml:space="preserve">Coexistence </w:t>
      </w:r>
      <w:r>
        <w:rPr>
          <w:rFonts w:ascii="Book Antiqua" w:eastAsia="Book Antiqua" w:hAnsi="Book Antiqua" w:cs="Book Antiqua"/>
          <w:color w:val="000000"/>
        </w:rPr>
        <w:t>of cancer and sarcoma with a certain migration existing between them</w:t>
      </w:r>
      <w:r w:rsidR="000F14E3">
        <w:rPr>
          <w:rFonts w:ascii="Book Antiqua" w:eastAsia="Book Antiqua" w:hAnsi="Book Antiqua" w:cs="Book Antiqua"/>
          <w:color w:val="000000"/>
        </w:rPr>
        <w:t>;</w:t>
      </w:r>
      <w:r>
        <w:rPr>
          <w:rFonts w:ascii="Book Antiqua" w:eastAsia="Book Antiqua" w:hAnsi="Book Antiqua" w:cs="Book Antiqua"/>
          <w:color w:val="000000"/>
        </w:rPr>
        <w:t xml:space="preserve"> and (2) positive epithelial and mesenchymal tumor markers on IHC staining. Intercytokeratin</w:t>
      </w:r>
      <w:r w:rsidR="000F14E3">
        <w:rPr>
          <w:rFonts w:ascii="Book Antiqua" w:eastAsia="Book Antiqua" w:hAnsi="Book Antiqua" w:cs="Book Antiqua"/>
          <w:color w:val="000000"/>
        </w:rPr>
        <w:t>s</w:t>
      </w:r>
      <w:r>
        <w:rPr>
          <w:rFonts w:ascii="Book Antiqua" w:eastAsia="Book Antiqua" w:hAnsi="Book Antiqua" w:cs="Book Antiqua"/>
          <w:color w:val="000000"/>
        </w:rPr>
        <w:t xml:space="preserve"> CAM5.2, CK8, CK18, and CK19 could be positively expressed in SHC</w:t>
      </w:r>
      <w:r>
        <w:rPr>
          <w:rFonts w:ascii="Book Antiqua" w:eastAsia="Book Antiqua" w:hAnsi="Book Antiqua" w:cs="Book Antiqua"/>
          <w:color w:val="000000"/>
          <w:vertAlign w:val="superscript"/>
        </w:rPr>
        <w:t>[7]</w:t>
      </w:r>
      <w:r>
        <w:rPr>
          <w:rFonts w:ascii="Book Antiqua" w:eastAsia="Book Antiqua" w:hAnsi="Book Antiqua" w:cs="Book Antiqua"/>
          <w:color w:val="000000"/>
        </w:rPr>
        <w:t>. The imaging manifestations of SHC must be differentiated from those of typical cholangiocarcinoma, inflammatory mass, and HCC</w:t>
      </w:r>
      <w:r>
        <w:rPr>
          <w:rFonts w:ascii="Book Antiqua" w:eastAsia="Book Antiqua" w:hAnsi="Book Antiqua" w:cs="Book Antiqua"/>
          <w:color w:val="000000"/>
          <w:vertAlign w:val="superscript"/>
        </w:rPr>
        <w:t>[8]</w:t>
      </w:r>
      <w:r>
        <w:rPr>
          <w:rFonts w:ascii="Book Antiqua" w:eastAsia="Book Antiqua" w:hAnsi="Book Antiqua" w:cs="Book Antiqua"/>
          <w:color w:val="000000"/>
        </w:rPr>
        <w:t>. Currently, preoperative diagnosis is difficult, and final diagnosis still requires pathological confirmation for this tumor. Early surgical excision is the first choice for radical treatment but recurrence easily occurs following the surgery. Currently, there is no effective treatment for recurrence</w:t>
      </w:r>
      <w:r>
        <w:rPr>
          <w:rFonts w:ascii="Book Antiqua" w:eastAsia="Book Antiqua" w:hAnsi="Book Antiqua" w:cs="Book Antiqua"/>
          <w:color w:val="000000"/>
          <w:vertAlign w:val="superscript"/>
        </w:rPr>
        <w:t>[9]</w:t>
      </w:r>
      <w:r>
        <w:rPr>
          <w:rFonts w:ascii="Book Antiqua" w:eastAsia="Book Antiqua" w:hAnsi="Book Antiqua" w:cs="Book Antiqua"/>
          <w:color w:val="000000"/>
        </w:rPr>
        <w:t>, and the efficacy of other therapies such as radiotherapy, chemotherapy, and targeted therapy has been rarely reported for SHC.</w:t>
      </w:r>
    </w:p>
    <w:p w14:paraId="4CDA8FCC" w14:textId="79FD2152" w:rsidR="00A77B3E" w:rsidRDefault="00066CF0">
      <w:pPr>
        <w:spacing w:line="360" w:lineRule="auto"/>
        <w:ind w:firstLine="480"/>
        <w:jc w:val="both"/>
      </w:pPr>
      <w:r>
        <w:rPr>
          <w:rFonts w:ascii="Book Antiqua" w:eastAsia="Book Antiqua" w:hAnsi="Book Antiqua" w:cs="Book Antiqua"/>
          <w:color w:val="000000"/>
        </w:rPr>
        <w:t>Use of ICIs is a rapidly developing immunotherapy method in recent years</w:t>
      </w:r>
      <w:r>
        <w:rPr>
          <w:rFonts w:ascii="Book Antiqua" w:eastAsia="Book Antiqua" w:hAnsi="Book Antiqua" w:cs="Book Antiqua"/>
          <w:color w:val="000000"/>
          <w:vertAlign w:val="superscript"/>
        </w:rPr>
        <w:t>[10]</w:t>
      </w:r>
      <w:r>
        <w:rPr>
          <w:rFonts w:ascii="Book Antiqua" w:eastAsia="Book Antiqua" w:hAnsi="Book Antiqua" w:cs="Book Antiqua"/>
          <w:color w:val="000000"/>
        </w:rPr>
        <w:t>. ICIs can kill tumors by primarily restoring the suppressed immune function of the body. Tumor</w:t>
      </w:r>
      <w:r w:rsidR="000F14E3">
        <w:rPr>
          <w:rFonts w:ascii="Book Antiqua" w:eastAsia="Book Antiqua" w:hAnsi="Book Antiqua" w:cs="Book Antiqua"/>
          <w:color w:val="000000"/>
        </w:rPr>
        <w:t>s</w:t>
      </w:r>
      <w:r>
        <w:rPr>
          <w:rFonts w:ascii="Book Antiqua" w:eastAsia="Book Antiqua" w:hAnsi="Book Antiqua" w:cs="Book Antiqua"/>
          <w:color w:val="000000"/>
        </w:rPr>
        <w:t xml:space="preserve"> that have high expression of PD-L1 on the surface of T cells can be mistaken for autologous cells by binding to PD-1 on the surface of T cells. Ultimately, this would inhibit the killing effect of the immune system on tumor cells</w:t>
      </w:r>
      <w:r>
        <w:rPr>
          <w:rFonts w:ascii="Book Antiqua" w:eastAsia="Book Antiqua" w:hAnsi="Book Antiqua" w:cs="Book Antiqua"/>
          <w:color w:val="000000"/>
          <w:vertAlign w:val="superscript"/>
        </w:rPr>
        <w:t>[11]</w:t>
      </w:r>
      <w:r>
        <w:rPr>
          <w:rFonts w:ascii="Book Antiqua" w:eastAsia="Book Antiqua" w:hAnsi="Book Antiqua" w:cs="Book Antiqua"/>
          <w:color w:val="000000"/>
        </w:rPr>
        <w:t>. ICIs are effective for solid tumors. In China, melanoma, lung cancer, Hodgkin's lymphoma, and head and neck squamous cell carcinomas are considered for immunotherapy. A previous study revealed that the objective response rate (ORR) of PD-1 inhibitor monotherapy is approximately 20% for advanced HCC</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As a first-line treatment for advanced HCC, compared with sorafenib, nivolumab caused clinically meaningful improvements in ORR and OS. In addition, patients with positive PD-L1 expression showed an increased response rate in the nivolumab arm, suggesting that PD-L1 expression could be a potential predictive biomarker </w:t>
      </w:r>
      <w:r w:rsidR="000F14E3">
        <w:rPr>
          <w:rFonts w:ascii="Book Antiqua" w:eastAsia="Book Antiqua" w:hAnsi="Book Antiqua" w:cs="Book Antiqua"/>
          <w:color w:val="000000"/>
        </w:rPr>
        <w:t xml:space="preserve">for </w:t>
      </w:r>
      <w:r>
        <w:rPr>
          <w:rFonts w:ascii="Book Antiqua" w:eastAsia="Book Antiqua" w:hAnsi="Book Antiqua" w:cs="Book Antiqua"/>
          <w:color w:val="000000"/>
        </w:rPr>
        <w:t>HCC.</w:t>
      </w:r>
    </w:p>
    <w:p w14:paraId="77CB5ECC" w14:textId="18AF0A5A" w:rsidR="00A77B3E" w:rsidRDefault="00066CF0">
      <w:pPr>
        <w:spacing w:line="360" w:lineRule="auto"/>
        <w:ind w:firstLine="480"/>
        <w:jc w:val="both"/>
      </w:pPr>
      <w:r>
        <w:rPr>
          <w:rFonts w:ascii="Book Antiqua" w:eastAsia="Book Antiqua" w:hAnsi="Book Antiqua" w:cs="Book Antiqua"/>
          <w:color w:val="000000"/>
        </w:rPr>
        <w:t xml:space="preserve">In the current report, we have presented the case of a patient with advanced and heavily treated SHC. Following treatment, we found that the tumor tissue had positive PD-L1 expression (antibody 28-8, TPS = 60%). These findings suggest that immunotherapy with PD-1/PD-L1 inhibitors may be effective in treating SHC patients. </w:t>
      </w:r>
      <w:r>
        <w:rPr>
          <w:rFonts w:ascii="Book Antiqua" w:eastAsia="Book Antiqua" w:hAnsi="Book Antiqua" w:cs="Book Antiqua"/>
          <w:color w:val="000000"/>
        </w:rPr>
        <w:lastRenderedPageBreak/>
        <w:t xml:space="preserve">Furthermore, the patient achieved </w:t>
      </w:r>
      <w:r w:rsidR="000F14E3">
        <w:rPr>
          <w:rFonts w:ascii="Book Antiqua" w:eastAsia="Book Antiqua" w:hAnsi="Book Antiqua" w:cs="Book Antiqua"/>
          <w:color w:val="000000"/>
        </w:rPr>
        <w:t xml:space="preserve">a </w:t>
      </w:r>
      <w:r>
        <w:rPr>
          <w:rFonts w:ascii="Book Antiqua" w:eastAsia="Book Antiqua" w:hAnsi="Book Antiqua" w:cs="Book Antiqua"/>
          <w:color w:val="000000"/>
        </w:rPr>
        <w:t>complete response to nivolumab and was followed</w:t>
      </w:r>
      <w:r w:rsidR="000F14E3">
        <w:rPr>
          <w:rFonts w:ascii="Book Antiqua" w:eastAsia="Book Antiqua" w:hAnsi="Book Antiqua" w:cs="Book Antiqua"/>
          <w:color w:val="000000"/>
        </w:rPr>
        <w:t xml:space="preserve"> </w:t>
      </w:r>
      <w:r>
        <w:rPr>
          <w:rFonts w:ascii="Book Antiqua" w:eastAsia="Book Antiqua" w:hAnsi="Book Antiqua" w:cs="Book Antiqua"/>
          <w:color w:val="000000"/>
        </w:rPr>
        <w:t xml:space="preserve">for 8 mo. Although the use of nivolumab as the first-line treatment for HCC was demonstrated to significantly prolong patient survival, its efficacy against the SHC subtype has never been reported, in the form of case reports or cohort studies. Thus, to our knowledge, this is the first case report of advanced SHC, which was successfully treated </w:t>
      </w:r>
      <w:r w:rsidRPr="004F67C0">
        <w:rPr>
          <w:rFonts w:ascii="Book Antiqua" w:eastAsia="Book Antiqua" w:hAnsi="Book Antiqua" w:cs="Book Antiqua"/>
          <w:i/>
          <w:color w:val="000000"/>
        </w:rPr>
        <w:t>via</w:t>
      </w:r>
      <w:r>
        <w:rPr>
          <w:rFonts w:ascii="Book Antiqua" w:eastAsia="Book Antiqua" w:hAnsi="Book Antiqua" w:cs="Book Antiqua"/>
          <w:color w:val="000000"/>
        </w:rPr>
        <w:t xml:space="preserve"> immunotherapy. We speculated that the effectiveness of immunotherapy in this patient may be related to the high expression of PD-L1. Furthermore, a recent study suggested that patients who respond to an anti-PD-1/L1 antibody are more likely to report immune-mediated adverse events</w:t>
      </w:r>
      <w:r>
        <w:rPr>
          <w:rFonts w:ascii="Book Antiqua" w:eastAsia="Book Antiqua" w:hAnsi="Book Antiqua" w:cs="Book Antiqua"/>
          <w:color w:val="000000"/>
          <w:vertAlign w:val="superscript"/>
        </w:rPr>
        <w:t>[13]</w:t>
      </w:r>
      <w:r>
        <w:rPr>
          <w:rFonts w:ascii="Book Antiqua" w:eastAsia="Book Antiqua" w:hAnsi="Book Antiqua" w:cs="Book Antiqua"/>
          <w:color w:val="000000"/>
        </w:rPr>
        <w:t>. In the present case, the patient developed interstitial pneumonia after the sixth cycle of immunotherapy. Therefore, systemic corticosteroid treatment was required. This result may serve as an important sign of good response to immunotherapy. Hyper-progression, which refers to a paradoxical acceleration in tumor progression after PD-1/PD-L1 inhibitor monotherapy, has been commonly reported</w:t>
      </w:r>
      <w:r>
        <w:rPr>
          <w:rFonts w:ascii="Book Antiqua" w:eastAsia="Book Antiqua" w:hAnsi="Book Antiqua" w:cs="Book Antiqua"/>
          <w:color w:val="000000"/>
          <w:vertAlign w:val="superscript"/>
        </w:rPr>
        <w:t>[14]</w:t>
      </w:r>
      <w:r>
        <w:rPr>
          <w:rFonts w:ascii="Book Antiqua" w:eastAsia="Book Antiqua" w:hAnsi="Book Antiqua" w:cs="Book Antiqua"/>
          <w:color w:val="000000"/>
        </w:rPr>
        <w:t>. Several biomarkers, such as MDM2/MDM4 amplification, EGFR alteration, and 11q13 amplification, are suggested to be related to hyper-progression</w:t>
      </w:r>
      <w:r>
        <w:rPr>
          <w:rFonts w:ascii="Book Antiqua" w:eastAsia="Book Antiqua" w:hAnsi="Book Antiqua" w:cs="Book Antiqua"/>
          <w:color w:val="000000"/>
          <w:vertAlign w:val="superscript"/>
        </w:rPr>
        <w:t>[15]</w:t>
      </w:r>
      <w:r>
        <w:rPr>
          <w:rFonts w:ascii="Book Antiqua" w:eastAsia="Book Antiqua" w:hAnsi="Book Antiqua" w:cs="Book Antiqua"/>
          <w:color w:val="000000"/>
        </w:rPr>
        <w:t>. In the present case, the patient did not harbor any hyper-progression biomarkers related to immunotherapy.</w:t>
      </w:r>
    </w:p>
    <w:p w14:paraId="5000A235" w14:textId="77777777" w:rsidR="00A77B3E" w:rsidRDefault="00A77B3E" w:rsidP="006C054C">
      <w:pPr>
        <w:spacing w:line="360" w:lineRule="auto"/>
        <w:jc w:val="both"/>
      </w:pPr>
    </w:p>
    <w:p w14:paraId="435BACE3" w14:textId="77777777" w:rsidR="00A77B3E" w:rsidRDefault="00066CF0">
      <w:pPr>
        <w:spacing w:line="360" w:lineRule="auto"/>
        <w:jc w:val="both"/>
      </w:pPr>
      <w:r>
        <w:rPr>
          <w:rFonts w:ascii="Book Antiqua" w:eastAsia="Book Antiqua" w:hAnsi="Book Antiqua" w:cs="Book Antiqua"/>
          <w:b/>
          <w:caps/>
          <w:color w:val="000000"/>
          <w:u w:val="single"/>
        </w:rPr>
        <w:t>CONCLUSION</w:t>
      </w:r>
    </w:p>
    <w:p w14:paraId="2F044DF1" w14:textId="77777777" w:rsidR="00A77B3E" w:rsidRDefault="00066CF0">
      <w:pPr>
        <w:spacing w:line="360" w:lineRule="auto"/>
        <w:jc w:val="both"/>
      </w:pPr>
      <w:r>
        <w:rPr>
          <w:rFonts w:ascii="Book Antiqua" w:eastAsia="Book Antiqua" w:hAnsi="Book Antiqua" w:cs="Book Antiqua"/>
          <w:color w:val="000000"/>
        </w:rPr>
        <w:t>In this study, anti-PD-1 antibody was used for the treatment of advanced SHC, with the patient experiencing continuous complete remission for 8 mo until the recent follow-up. Effective and predictive biomarkers should thus be confirmed through further clinical studies. We propose that immunotherapy should be considered as a viable treatment option for advanced SHC.</w:t>
      </w:r>
    </w:p>
    <w:p w14:paraId="532EE958" w14:textId="77777777" w:rsidR="00A77B3E" w:rsidRDefault="00A77B3E">
      <w:pPr>
        <w:spacing w:line="360" w:lineRule="auto"/>
        <w:jc w:val="both"/>
      </w:pPr>
    </w:p>
    <w:p w14:paraId="49BACA28" w14:textId="77777777" w:rsidR="00A77B3E" w:rsidRDefault="00066CF0">
      <w:pPr>
        <w:spacing w:line="360" w:lineRule="auto"/>
        <w:jc w:val="both"/>
      </w:pPr>
      <w:r>
        <w:rPr>
          <w:rFonts w:ascii="Book Antiqua" w:eastAsia="Book Antiqua" w:hAnsi="Book Antiqua" w:cs="Book Antiqua"/>
          <w:b/>
          <w:color w:val="000000"/>
        </w:rPr>
        <w:t>REFERENCES</w:t>
      </w:r>
    </w:p>
    <w:p w14:paraId="1DEA3DAB" w14:textId="77777777" w:rsidR="00A77B3E" w:rsidRDefault="00066CF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Seo N</w:t>
      </w:r>
      <w:r>
        <w:rPr>
          <w:rFonts w:ascii="Book Antiqua" w:eastAsia="Book Antiqua" w:hAnsi="Book Antiqua" w:cs="Book Antiqua"/>
          <w:color w:val="000000"/>
        </w:rPr>
        <w:t xml:space="preserve">, Kim MJ, Rhee H. Hepatic sarcomatoid carcinoma: magnetic resonance imaging evaluation by using the liver imaging reporting and data system.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3761-3771 [PMID: 30859282 DOI: 10.1007/s00330-019-06052-8]</w:t>
      </w:r>
    </w:p>
    <w:p w14:paraId="3E4C9A7E" w14:textId="77777777" w:rsidR="00A77B3E" w:rsidRDefault="00066CF0">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Zhu CC</w:t>
      </w:r>
      <w:r>
        <w:rPr>
          <w:rFonts w:ascii="Book Antiqua" w:eastAsia="Book Antiqua" w:hAnsi="Book Antiqua" w:cs="Book Antiqua"/>
          <w:color w:val="000000"/>
        </w:rPr>
        <w:t xml:space="preserve">, Li MR, Lin TL, Zhao G. Sarcomatoid carcinoma of the stomach: A case report and literature review.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1385-1389 [PMID: 26622678 DOI: 10.3892/ol.2015.3460]</w:t>
      </w:r>
    </w:p>
    <w:p w14:paraId="1BCFB7A8" w14:textId="77777777" w:rsidR="00A77B3E" w:rsidRDefault="00066CF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Liao SH</w:t>
      </w:r>
      <w:r>
        <w:rPr>
          <w:rFonts w:ascii="Book Antiqua" w:eastAsia="Book Antiqua" w:hAnsi="Book Antiqua" w:cs="Book Antiqua"/>
          <w:color w:val="000000"/>
        </w:rPr>
        <w:t xml:space="preserve">, Su TH, Jeng YM, Liang PC, Chen DS, Chen CH, Kao JH. Clinical Manifestations and Outcomes of Patients with Sarcomatoid Hepatocellular Carcinoma.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209-221 [PMID: 30014620 DOI: 10.1002/hep.30162]</w:t>
      </w:r>
    </w:p>
    <w:p w14:paraId="0AC56062" w14:textId="77777777" w:rsidR="00A77B3E" w:rsidRDefault="00066CF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Shafizadeh N</w:t>
      </w:r>
      <w:r>
        <w:rPr>
          <w:rFonts w:ascii="Book Antiqua" w:eastAsia="Book Antiqua" w:hAnsi="Book Antiqua" w:cs="Book Antiqua"/>
          <w:color w:val="000000"/>
        </w:rPr>
        <w:t xml:space="preserve">, Kakar S. Hepatocellular Carcinoma: Histologic Subtypes. </w:t>
      </w:r>
      <w:r>
        <w:rPr>
          <w:rFonts w:ascii="Book Antiqua" w:eastAsia="Book Antiqua" w:hAnsi="Book Antiqua" w:cs="Book Antiqua"/>
          <w:i/>
          <w:iCs/>
          <w:color w:val="000000"/>
        </w:rPr>
        <w:t>Surg Pathol Clin</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367-384 [PMID: 26838979 DOI: 10.1016/j.path.2013.03.007]</w:t>
      </w:r>
    </w:p>
    <w:p w14:paraId="510F337E" w14:textId="77777777" w:rsidR="00A77B3E" w:rsidRDefault="00066CF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Wu L</w:t>
      </w:r>
      <w:r>
        <w:rPr>
          <w:rFonts w:ascii="Book Antiqua" w:eastAsia="Book Antiqua" w:hAnsi="Book Antiqua" w:cs="Book Antiqua"/>
          <w:color w:val="000000"/>
        </w:rPr>
        <w:t xml:space="preserve">, Tsilimigras DI, Farooq A, Hyer JM, Merath K, Paredes AZ, Mehta R, Sahara K, Shen F, Pawlik TM. Management and outcomes among patients with sarcomatoid hepatocellular carcinoma: A population-based analysis.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125</w:t>
      </w:r>
      <w:r>
        <w:rPr>
          <w:rFonts w:ascii="Book Antiqua" w:eastAsia="Book Antiqua" w:hAnsi="Book Antiqua" w:cs="Book Antiqua"/>
          <w:color w:val="000000"/>
        </w:rPr>
        <w:t>: 3767-3775 [PMID: 31299092 DOI: 10.1002/cncr.32396]</w:t>
      </w:r>
    </w:p>
    <w:p w14:paraId="4F3742D6" w14:textId="77777777" w:rsidR="00A77B3E" w:rsidRDefault="00066CF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Gu Q</w:t>
      </w:r>
      <w:r>
        <w:rPr>
          <w:rFonts w:ascii="Book Antiqua" w:eastAsia="Book Antiqua" w:hAnsi="Book Antiqua" w:cs="Book Antiqua"/>
          <w:color w:val="000000"/>
        </w:rPr>
        <w:t xml:space="preserve">, Yu X, Chen H, Chen G. Clinicopathological features of combined hepatocellular-cholangiocarcinoma with sarcomatous change: Case report and literature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e9640 [PMID: 29504997 DOI: 10.1097/md.0000000000009640]</w:t>
      </w:r>
    </w:p>
    <w:p w14:paraId="160BF252" w14:textId="77777777" w:rsidR="00A77B3E" w:rsidRDefault="00066CF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Cho MS</w:t>
      </w:r>
      <w:r>
        <w:rPr>
          <w:rFonts w:ascii="Book Antiqua" w:eastAsia="Book Antiqua" w:hAnsi="Book Antiqua" w:cs="Book Antiqua"/>
          <w:color w:val="000000"/>
        </w:rPr>
        <w:t xml:space="preserve">, Lee SN, Sung SH, Han WS. Sarcomatoid hepatocellular carcinoma with hepatoblastoma-like features in an adult. </w:t>
      </w:r>
      <w:r>
        <w:rPr>
          <w:rFonts w:ascii="Book Antiqua" w:eastAsia="Book Antiqua" w:hAnsi="Book Antiqua" w:cs="Book Antiqua"/>
          <w:i/>
          <w:iCs/>
          <w:color w:val="000000"/>
        </w:rPr>
        <w:t>Pathol Int</w:t>
      </w:r>
      <w:r>
        <w:rPr>
          <w:rFonts w:ascii="Book Antiqua" w:eastAsia="Book Antiqua" w:hAnsi="Book Antiqua" w:cs="Book Antiqua"/>
          <w:color w:val="000000"/>
        </w:rPr>
        <w:t xml:space="preserve"> 2004; </w:t>
      </w:r>
      <w:r>
        <w:rPr>
          <w:rFonts w:ascii="Book Antiqua" w:eastAsia="Book Antiqua" w:hAnsi="Book Antiqua" w:cs="Book Antiqua"/>
          <w:b/>
          <w:bCs/>
          <w:color w:val="000000"/>
        </w:rPr>
        <w:t>54</w:t>
      </w:r>
      <w:r>
        <w:rPr>
          <w:rFonts w:ascii="Book Antiqua" w:eastAsia="Book Antiqua" w:hAnsi="Book Antiqua" w:cs="Book Antiqua"/>
          <w:color w:val="000000"/>
        </w:rPr>
        <w:t>: 446-450 [PMID: 15144405 DOI: 10.1111/j.1440-1827.2004.01640.x]</w:t>
      </w:r>
    </w:p>
    <w:p w14:paraId="635C00D0" w14:textId="77777777" w:rsidR="00A77B3E" w:rsidRDefault="00066CF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Torbenson MS</w:t>
      </w:r>
      <w:r>
        <w:rPr>
          <w:rFonts w:ascii="Book Antiqua" w:eastAsia="Book Antiqua" w:hAnsi="Book Antiqua" w:cs="Book Antiqua"/>
          <w:color w:val="000000"/>
        </w:rPr>
        <w:t xml:space="preserve">. Morphologic Subtypes of Hepatocellular Carcinoma. </w:t>
      </w:r>
      <w:r>
        <w:rPr>
          <w:rFonts w:ascii="Book Antiqua" w:eastAsia="Book Antiqua" w:hAnsi="Book Antiqua" w:cs="Book Antiqua"/>
          <w:i/>
          <w:iCs/>
          <w:color w:val="000000"/>
        </w:rPr>
        <w:t>Gastroenterol Clin North Am</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365-391 [PMID: 28506370 DOI: 10.1016/j.gtc.2017.01.009]</w:t>
      </w:r>
    </w:p>
    <w:p w14:paraId="5B982146" w14:textId="77777777" w:rsidR="00A77B3E" w:rsidRDefault="00066CF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Yoshida N</w:t>
      </w:r>
      <w:r>
        <w:rPr>
          <w:rFonts w:ascii="Book Antiqua" w:eastAsia="Book Antiqua" w:hAnsi="Book Antiqua" w:cs="Book Antiqua"/>
          <w:color w:val="000000"/>
        </w:rPr>
        <w:t xml:space="preserve">, Midorikawa Y, Kajiwara T, Yoshida N, Nakayama H, Sugitani M, Takayama T. Hepatocellular Carcinoma with Sarcomatoid Change without Anticancer Therapies. </w:t>
      </w:r>
      <w:r>
        <w:rPr>
          <w:rFonts w:ascii="Book Antiqua" w:eastAsia="Book Antiqua" w:hAnsi="Book Antiqua" w:cs="Book Antiqua"/>
          <w:i/>
          <w:iCs/>
          <w:color w:val="000000"/>
        </w:rPr>
        <w:t>Case Rep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169-174 [PMID: 23626518 DOI: 10.1159/000350558]</w:t>
      </w:r>
    </w:p>
    <w:p w14:paraId="764161FA" w14:textId="77777777" w:rsidR="00A77B3E" w:rsidRDefault="00066CF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Greally M</w:t>
      </w:r>
      <w:r>
        <w:rPr>
          <w:rFonts w:ascii="Book Antiqua" w:eastAsia="Book Antiqua" w:hAnsi="Book Antiqua" w:cs="Book Antiqua"/>
          <w:color w:val="000000"/>
        </w:rPr>
        <w:t xml:space="preserve">, Chou JF, Chatila WK, Margolis M, Capanu M, Hechtman JF, Tuvy Y, Kundra R, Daian F, Ladanyi M, Kelsen DP, Ilson DH, Berger MF, Tang LH, Solit DB, Diaz LA Jr, Schultz N, Janjigian YY, Ku GY. Clinical and Molecular Predictors of Response to Immune Checkpoint Inhibitors in Patients with Advanced Esophagogastric Cancer.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6160-6169 [PMID: 31337644 DOI: 10.1158/1078-0432.ccr-18-3603]</w:t>
      </w:r>
    </w:p>
    <w:p w14:paraId="4558B512" w14:textId="77777777" w:rsidR="00A77B3E" w:rsidRDefault="00066CF0">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Berraondo P</w:t>
      </w:r>
      <w:r>
        <w:rPr>
          <w:rFonts w:ascii="Book Antiqua" w:eastAsia="Book Antiqua" w:hAnsi="Book Antiqua" w:cs="Book Antiqua"/>
          <w:color w:val="000000"/>
        </w:rPr>
        <w:t xml:space="preserve">, Ochoa MC, Olivera I, Melero I. Immune Desertic Landscapes in Hepatocellular Carcinoma Shaped by β-Catenin Activation. </w:t>
      </w:r>
      <w:r>
        <w:rPr>
          <w:rFonts w:ascii="Book Antiqua" w:eastAsia="Book Antiqua" w:hAnsi="Book Antiqua" w:cs="Book Antiqua"/>
          <w:i/>
          <w:iCs/>
          <w:color w:val="000000"/>
        </w:rPr>
        <w:t>Cancer Discov</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1003-1005 [PMID: 31371324 DOI: 10.1158/2159-8290.cd-19-0696]</w:t>
      </w:r>
    </w:p>
    <w:p w14:paraId="77275A1D" w14:textId="77777777" w:rsidR="00A77B3E" w:rsidRDefault="00066CF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El-Khoueiry AB</w:t>
      </w:r>
      <w:r>
        <w:rPr>
          <w:rFonts w:ascii="Book Antiqua" w:eastAsia="Book Antiqua" w:hAnsi="Book Antiqua" w:cs="Book Antiqua"/>
          <w:color w:val="000000"/>
        </w:rPr>
        <w:t xml:space="preserve">, Sangro B, Yau T, Crocenzi TS, Kudo M, Hsu C, Kim TY, Choo SP, Trojan J, Welling TH Rd, Meyer T, Kang YK, Yeo W, Chopra A, Anderson J, Dela Cruz C, Lang L, Neely J, Tang H, Dastani HB, Melero I. Nivolumab in patients with advanced hepatocellular carcinoma (CheckMate 040): an open-label, non-comparative, phase 1/2 dose escalation and expansion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389</w:t>
      </w:r>
      <w:r>
        <w:rPr>
          <w:rFonts w:ascii="Book Antiqua" w:eastAsia="Book Antiqua" w:hAnsi="Book Antiqua" w:cs="Book Antiqua"/>
          <w:color w:val="000000"/>
        </w:rPr>
        <w:t>: 2492-2502 [PMID: 28434648 DOI: 10.1016/s0140-6736(17)31046-2]</w:t>
      </w:r>
    </w:p>
    <w:p w14:paraId="3BB8FDED" w14:textId="77777777" w:rsidR="00A77B3E" w:rsidRDefault="00066CF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Maher VE</w:t>
      </w:r>
      <w:r>
        <w:rPr>
          <w:rFonts w:ascii="Book Antiqua" w:eastAsia="Book Antiqua" w:hAnsi="Book Antiqua" w:cs="Book Antiqua"/>
          <w:color w:val="000000"/>
        </w:rPr>
        <w:t xml:space="preserve">, Fernandes LL, Weinstock C, Tang S, Agarwal S, Brave M, Ning YM, Singh H, Suzman D, Xu J, Goldberg KB, Sridhara R, Ibrahim A, Theoret M, Beaver JA, Pazdur R. Analysis of the Association Between Adverse Events and Outcome in Patients Receiving a Programmed Death Protein 1 or Programmed Death Ligand 1 Antibody.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2730-2737 [PMID: 31116675 DOI: 10.1200/jco.19.00318]</w:t>
      </w:r>
    </w:p>
    <w:p w14:paraId="42F23C72" w14:textId="77777777" w:rsidR="00A77B3E" w:rsidRDefault="00066CF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Champiat S</w:t>
      </w:r>
      <w:r>
        <w:rPr>
          <w:rFonts w:ascii="Book Antiqua" w:eastAsia="Book Antiqua" w:hAnsi="Book Antiqua" w:cs="Book Antiqua"/>
          <w:color w:val="000000"/>
        </w:rPr>
        <w:t xml:space="preserve">, Ferrara R, Massard C, Besse B, Marabelle A, Soria JC, Ferté C. Hyperprogressive disease: recognizing a novel pattern to improve patient management.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748-762 [PMID: 30361681 DOI: 10.1038/s41571-018-0111-2]</w:t>
      </w:r>
    </w:p>
    <w:p w14:paraId="6205C8F7" w14:textId="77777777" w:rsidR="00A77B3E" w:rsidRDefault="00066CF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Fuentes-Antrás J</w:t>
      </w:r>
      <w:r>
        <w:rPr>
          <w:rFonts w:ascii="Book Antiqua" w:eastAsia="Book Antiqua" w:hAnsi="Book Antiqua" w:cs="Book Antiqua"/>
          <w:color w:val="000000"/>
        </w:rPr>
        <w:t xml:space="preserve">, Provencio M, Díaz-Rubio E. Hyperprogression as a distinct outcome after immunotherapy.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2018; </w:t>
      </w:r>
      <w:r>
        <w:rPr>
          <w:rFonts w:ascii="Book Antiqua" w:eastAsia="Book Antiqua" w:hAnsi="Book Antiqua" w:cs="Book Antiqua"/>
          <w:b/>
          <w:bCs/>
          <w:color w:val="000000"/>
        </w:rPr>
        <w:t>70</w:t>
      </w:r>
      <w:r>
        <w:rPr>
          <w:rFonts w:ascii="Book Antiqua" w:eastAsia="Book Antiqua" w:hAnsi="Book Antiqua" w:cs="Book Antiqua"/>
          <w:color w:val="000000"/>
        </w:rPr>
        <w:t>: 16-21 [PMID: 30053725 DOI: 10.1016/j.ctrv.2018.07.006.]</w:t>
      </w:r>
    </w:p>
    <w:p w14:paraId="12FB869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66841E6" w14:textId="77777777" w:rsidR="00A77B3E" w:rsidRDefault="00066CF0">
      <w:pPr>
        <w:spacing w:line="360" w:lineRule="auto"/>
        <w:jc w:val="both"/>
      </w:pPr>
      <w:r>
        <w:rPr>
          <w:rFonts w:ascii="Book Antiqua" w:eastAsia="Book Antiqua" w:hAnsi="Book Antiqua" w:cs="Book Antiqua"/>
          <w:b/>
          <w:color w:val="000000"/>
        </w:rPr>
        <w:lastRenderedPageBreak/>
        <w:t>Footnotes</w:t>
      </w:r>
    </w:p>
    <w:p w14:paraId="78B500F9" w14:textId="77777777" w:rsidR="00A77B3E" w:rsidRDefault="00066CF0">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r>
        <w:rPr>
          <w:rFonts w:ascii="Book Antiqua" w:eastAsia="Book Antiqua" w:hAnsi="Book Antiqua" w:cs="Book Antiqua"/>
          <w:b/>
          <w:bCs/>
          <w:color w:val="000000"/>
        </w:rPr>
        <w:t>.</w:t>
      </w:r>
    </w:p>
    <w:p w14:paraId="52F34A4A" w14:textId="77777777" w:rsidR="00A77B3E" w:rsidRDefault="00A77B3E">
      <w:pPr>
        <w:spacing w:line="360" w:lineRule="auto"/>
        <w:jc w:val="both"/>
      </w:pPr>
    </w:p>
    <w:p w14:paraId="5A75E035" w14:textId="77777777" w:rsidR="00A77B3E" w:rsidRDefault="00066CF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Ying Cheng and Wen-Jing Wang are employees of OrigiMed Co., Ltd. No other potential conflicts of interest exist.</w:t>
      </w:r>
    </w:p>
    <w:p w14:paraId="77273D99" w14:textId="77777777" w:rsidR="00A77B3E" w:rsidRDefault="00A77B3E">
      <w:pPr>
        <w:spacing w:line="360" w:lineRule="auto"/>
        <w:jc w:val="both"/>
      </w:pPr>
    </w:p>
    <w:p w14:paraId="37730973" w14:textId="77777777" w:rsidR="00A77B3E" w:rsidRDefault="00066CF0">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33E45C9" w14:textId="77777777" w:rsidR="00A77B3E" w:rsidRDefault="00A77B3E">
      <w:pPr>
        <w:spacing w:line="360" w:lineRule="auto"/>
        <w:jc w:val="both"/>
      </w:pPr>
    </w:p>
    <w:p w14:paraId="17081507" w14:textId="77777777" w:rsidR="00A77B3E" w:rsidRDefault="00066CF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C1B5B53" w14:textId="77777777" w:rsidR="00A77B3E" w:rsidRDefault="00A77B3E">
      <w:pPr>
        <w:spacing w:line="360" w:lineRule="auto"/>
        <w:jc w:val="both"/>
      </w:pPr>
    </w:p>
    <w:p w14:paraId="308B5851" w14:textId="2C913C3C" w:rsidR="00A77B3E" w:rsidRDefault="00066CF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6C054C">
        <w:rPr>
          <w:rFonts w:ascii="Book Antiqua" w:eastAsia="Book Antiqua" w:hAnsi="Book Antiqua" w:cs="Book Antiqua"/>
          <w:color w:val="000000"/>
        </w:rPr>
        <w:t>m</w:t>
      </w:r>
      <w:r>
        <w:rPr>
          <w:rFonts w:ascii="Book Antiqua" w:eastAsia="Book Antiqua" w:hAnsi="Book Antiqua" w:cs="Book Antiqua"/>
          <w:color w:val="000000"/>
        </w:rPr>
        <w:t>anuscript</w:t>
      </w:r>
    </w:p>
    <w:p w14:paraId="6CC7FB1B" w14:textId="77777777" w:rsidR="00A77B3E" w:rsidRDefault="00A77B3E">
      <w:pPr>
        <w:spacing w:line="360" w:lineRule="auto"/>
        <w:jc w:val="both"/>
      </w:pPr>
    </w:p>
    <w:p w14:paraId="4EF93949" w14:textId="77777777" w:rsidR="00A77B3E" w:rsidRDefault="00066CF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18, 2020</w:t>
      </w:r>
    </w:p>
    <w:p w14:paraId="4A1796BC" w14:textId="77777777" w:rsidR="00A77B3E" w:rsidRDefault="00066CF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28, 2020</w:t>
      </w:r>
    </w:p>
    <w:p w14:paraId="05FE95BF" w14:textId="77777777" w:rsidR="00A77B3E" w:rsidRDefault="00066CF0">
      <w:pPr>
        <w:spacing w:line="360" w:lineRule="auto"/>
        <w:jc w:val="both"/>
      </w:pPr>
      <w:r>
        <w:rPr>
          <w:rFonts w:ascii="Book Antiqua" w:eastAsia="Book Antiqua" w:hAnsi="Book Antiqua" w:cs="Book Antiqua"/>
          <w:b/>
          <w:color w:val="000000"/>
        </w:rPr>
        <w:t xml:space="preserve">Article in press: </w:t>
      </w:r>
    </w:p>
    <w:p w14:paraId="12C38600" w14:textId="77777777" w:rsidR="00A77B3E" w:rsidRDefault="00A77B3E">
      <w:pPr>
        <w:spacing w:line="360" w:lineRule="auto"/>
        <w:jc w:val="both"/>
      </w:pPr>
    </w:p>
    <w:p w14:paraId="71F857A8" w14:textId="77777777" w:rsidR="00A77B3E" w:rsidRDefault="00066CF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5F47C7EF" w14:textId="77777777" w:rsidR="00A77B3E" w:rsidRDefault="00066CF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FCDF80F" w14:textId="77777777" w:rsidR="00A77B3E" w:rsidRDefault="00066CF0">
      <w:pPr>
        <w:spacing w:line="360" w:lineRule="auto"/>
        <w:jc w:val="both"/>
      </w:pPr>
      <w:r>
        <w:rPr>
          <w:rFonts w:ascii="Book Antiqua" w:eastAsia="Book Antiqua" w:hAnsi="Book Antiqua" w:cs="Book Antiqua"/>
          <w:b/>
          <w:color w:val="000000"/>
        </w:rPr>
        <w:t>Peer-review report’s scientific quality classification</w:t>
      </w:r>
    </w:p>
    <w:p w14:paraId="7BB2484A" w14:textId="77777777" w:rsidR="00A77B3E" w:rsidRDefault="00066CF0">
      <w:pPr>
        <w:spacing w:line="360" w:lineRule="auto"/>
        <w:jc w:val="both"/>
      </w:pPr>
      <w:r>
        <w:rPr>
          <w:rFonts w:ascii="Book Antiqua" w:eastAsia="Book Antiqua" w:hAnsi="Book Antiqua" w:cs="Book Antiqua"/>
          <w:color w:val="000000"/>
        </w:rPr>
        <w:t>Grade A (Excellent): A</w:t>
      </w:r>
    </w:p>
    <w:p w14:paraId="018C2DDB" w14:textId="77777777" w:rsidR="00A77B3E" w:rsidRDefault="00066CF0">
      <w:pPr>
        <w:spacing w:line="360" w:lineRule="auto"/>
        <w:jc w:val="both"/>
      </w:pPr>
      <w:r>
        <w:rPr>
          <w:rFonts w:ascii="Book Antiqua" w:eastAsia="Book Antiqua" w:hAnsi="Book Antiqua" w:cs="Book Antiqua"/>
          <w:color w:val="000000"/>
        </w:rPr>
        <w:t>Grade B (Very good): B, B</w:t>
      </w:r>
    </w:p>
    <w:p w14:paraId="79C7DE7B" w14:textId="77777777" w:rsidR="00A77B3E" w:rsidRDefault="00066CF0">
      <w:pPr>
        <w:spacing w:line="360" w:lineRule="auto"/>
        <w:jc w:val="both"/>
      </w:pPr>
      <w:r>
        <w:rPr>
          <w:rFonts w:ascii="Book Antiqua" w:eastAsia="Book Antiqua" w:hAnsi="Book Antiqua" w:cs="Book Antiqua"/>
          <w:color w:val="000000"/>
        </w:rPr>
        <w:t>Grade C (Good): 0</w:t>
      </w:r>
    </w:p>
    <w:p w14:paraId="03AF102C" w14:textId="77777777" w:rsidR="00A77B3E" w:rsidRDefault="00066CF0">
      <w:pPr>
        <w:spacing w:line="360" w:lineRule="auto"/>
        <w:jc w:val="both"/>
      </w:pPr>
      <w:r>
        <w:rPr>
          <w:rFonts w:ascii="Book Antiqua" w:eastAsia="Book Antiqua" w:hAnsi="Book Antiqua" w:cs="Book Antiqua"/>
          <w:color w:val="000000"/>
        </w:rPr>
        <w:lastRenderedPageBreak/>
        <w:t>Grade D (Fair): 0</w:t>
      </w:r>
    </w:p>
    <w:p w14:paraId="6E0C0DD2" w14:textId="77777777" w:rsidR="00A77B3E" w:rsidRDefault="00066CF0">
      <w:pPr>
        <w:spacing w:line="360" w:lineRule="auto"/>
        <w:jc w:val="both"/>
      </w:pPr>
      <w:r>
        <w:rPr>
          <w:rFonts w:ascii="Book Antiqua" w:eastAsia="Book Antiqua" w:hAnsi="Book Antiqua" w:cs="Book Antiqua"/>
          <w:color w:val="000000"/>
        </w:rPr>
        <w:t>Grade E (Poor): 0</w:t>
      </w:r>
    </w:p>
    <w:p w14:paraId="5F7B2713" w14:textId="77777777" w:rsidR="00A77B3E" w:rsidRDefault="00A77B3E">
      <w:pPr>
        <w:spacing w:line="360" w:lineRule="auto"/>
        <w:jc w:val="both"/>
      </w:pPr>
    </w:p>
    <w:p w14:paraId="1296F26D" w14:textId="09D1C68C" w:rsidR="00A77B3E" w:rsidRDefault="00066CF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Dourakis SP, Hann HW, Kai K</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DM</w:t>
      </w:r>
      <w:r>
        <w:rPr>
          <w:rFonts w:ascii="Book Antiqua" w:eastAsia="Book Antiqua" w:hAnsi="Book Antiqua" w:cs="Book Antiqua"/>
          <w:b/>
          <w:color w:val="000000"/>
        </w:rPr>
        <w:t xml:space="preserve"> L-Editor:  </w:t>
      </w:r>
      <w:r w:rsidR="000F14E3" w:rsidRPr="00ED15A0">
        <w:rPr>
          <w:rFonts w:ascii="Book Antiqua" w:eastAsia="Book Antiqua" w:hAnsi="Book Antiqua" w:cs="Book Antiqua"/>
          <w:color w:val="000000"/>
        </w:rPr>
        <w:t>Wang TQ</w:t>
      </w:r>
      <w:r w:rsidR="000F14E3">
        <w:rPr>
          <w:rFonts w:ascii="Book Antiqua" w:eastAsia="Book Antiqua" w:hAnsi="Book Antiqua" w:cs="Book Antiqua"/>
          <w:b/>
          <w:color w:val="000000"/>
        </w:rPr>
        <w:t xml:space="preserve"> </w:t>
      </w:r>
      <w:r w:rsidR="006C054C">
        <w:rPr>
          <w:rFonts w:ascii="Book Antiqua" w:eastAsia="Book Antiqua" w:hAnsi="Book Antiqua" w:cs="Book Antiqua"/>
          <w:b/>
          <w:color w:val="000000"/>
        </w:rPr>
        <w:t>P</w:t>
      </w:r>
      <w:r>
        <w:rPr>
          <w:rFonts w:ascii="Book Antiqua" w:eastAsia="Book Antiqua" w:hAnsi="Book Antiqua" w:cs="Book Antiqua"/>
          <w:b/>
          <w:color w:val="000000"/>
        </w:rPr>
        <w:t xml:space="preserve">-Editor: </w:t>
      </w:r>
    </w:p>
    <w:p w14:paraId="43DEF000" w14:textId="2BCE7E44" w:rsidR="00A77B3E" w:rsidRDefault="00066CF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BCEC455" w14:textId="587506F2" w:rsidR="00174E06" w:rsidRDefault="00174E06">
      <w:pPr>
        <w:spacing w:line="360" w:lineRule="auto"/>
        <w:jc w:val="both"/>
      </w:pPr>
      <w:r>
        <w:rPr>
          <w:noProof/>
          <w:lang w:eastAsia="zh-CN"/>
        </w:rPr>
        <w:drawing>
          <wp:inline distT="0" distB="0" distL="0" distR="0" wp14:anchorId="1C985BF1" wp14:editId="1C0BE0DA">
            <wp:extent cx="5685013" cy="22557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85013" cy="2255715"/>
                    </a:xfrm>
                    <a:prstGeom prst="rect">
                      <a:avLst/>
                    </a:prstGeom>
                  </pic:spPr>
                </pic:pic>
              </a:graphicData>
            </a:graphic>
          </wp:inline>
        </w:drawing>
      </w:r>
    </w:p>
    <w:p w14:paraId="5AAA16E0" w14:textId="7E0D27DB" w:rsidR="00A77B3E" w:rsidRDefault="00066CF0">
      <w:pPr>
        <w:spacing w:line="360" w:lineRule="auto"/>
        <w:jc w:val="both"/>
      </w:pPr>
      <w:r>
        <w:rPr>
          <w:rFonts w:ascii="Book Antiqua" w:eastAsia="Book Antiqua" w:hAnsi="Book Antiqua" w:cs="Book Antiqua"/>
          <w:b/>
          <w:bCs/>
          <w:color w:val="000000"/>
        </w:rPr>
        <w:t xml:space="preserve">Figure 1 Magnetic resonance imaging and histology. </w:t>
      </w:r>
      <w:r>
        <w:rPr>
          <w:rFonts w:ascii="Book Antiqua" w:eastAsia="Book Antiqua" w:hAnsi="Book Antiqua" w:cs="Book Antiqua"/>
          <w:color w:val="000000"/>
        </w:rPr>
        <w:t>A: MRI showing the location of</w:t>
      </w:r>
      <w:r w:rsidR="000F14E3">
        <w:rPr>
          <w:rFonts w:ascii="Book Antiqua" w:eastAsia="Book Antiqua" w:hAnsi="Book Antiqua" w:cs="Book Antiqua"/>
          <w:color w:val="000000"/>
        </w:rPr>
        <w:t xml:space="preserve"> the </w:t>
      </w:r>
      <w:r>
        <w:rPr>
          <w:rFonts w:ascii="Book Antiqua" w:eastAsia="Book Antiqua" w:hAnsi="Book Antiqua" w:cs="Book Antiqua"/>
          <w:color w:val="000000"/>
        </w:rPr>
        <w:t>tumor in the liver segment</w:t>
      </w:r>
      <w:r w:rsidR="000F14E3">
        <w:rPr>
          <w:rFonts w:ascii="Book Antiqua" w:eastAsia="Book Antiqua" w:hAnsi="Book Antiqua" w:cs="Book Antiqua"/>
          <w:color w:val="000000"/>
        </w:rPr>
        <w:t>s</w:t>
      </w:r>
      <w:r>
        <w:rPr>
          <w:rFonts w:ascii="Book Antiqua" w:eastAsia="Book Antiqua" w:hAnsi="Book Antiqua" w:cs="Book Antiqua"/>
          <w:color w:val="000000"/>
        </w:rPr>
        <w:t xml:space="preserve"> 4/8; B: Histology of the tumor tissue (40</w:t>
      </w:r>
      <w:r w:rsidR="00C309DC">
        <w:rPr>
          <w:rFonts w:ascii="Book Antiqua" w:eastAsia="Book Antiqua" w:hAnsi="Book Antiqua" w:cs="Book Antiqua"/>
          <w:color w:val="000000"/>
        </w:rPr>
        <w:t xml:space="preserve"> </w:t>
      </w:r>
      <w:r w:rsidR="00C309DC" w:rsidRPr="00C309DC">
        <w:rPr>
          <w:rFonts w:ascii="Book Antiqua" w:hAnsi="Book Antiqua" w:cs="宋体"/>
        </w:rPr>
        <w:t>×</w:t>
      </w:r>
      <w:r>
        <w:rPr>
          <w:rFonts w:ascii="Book Antiqua" w:eastAsia="Book Antiqua" w:hAnsi="Book Antiqua" w:cs="Book Antiqua"/>
          <w:color w:val="000000"/>
        </w:rPr>
        <w:t xml:space="preserve">). The tumor displayed fish-like changes throughout, </w:t>
      </w:r>
      <w:r w:rsidR="002E6C6E">
        <w:rPr>
          <w:rFonts w:ascii="Book Antiqua" w:eastAsia="Book Antiqua" w:hAnsi="Book Antiqua" w:cs="Book Antiqua"/>
          <w:color w:val="000000"/>
        </w:rPr>
        <w:t xml:space="preserve">with </w:t>
      </w:r>
      <w:r>
        <w:rPr>
          <w:rFonts w:ascii="Book Antiqua" w:eastAsia="Book Antiqua" w:hAnsi="Book Antiqua" w:cs="Book Antiqua"/>
          <w:color w:val="000000"/>
        </w:rPr>
        <w:t xml:space="preserve">atypical cells and lymphocyte infiltration observed. </w:t>
      </w:r>
    </w:p>
    <w:p w14:paraId="6DAAFB3C" w14:textId="77777777" w:rsidR="00AB4042" w:rsidRDefault="00AB4042">
      <w:pPr>
        <w:spacing w:line="360" w:lineRule="auto"/>
        <w:jc w:val="both"/>
        <w:rPr>
          <w:rFonts w:ascii="Book Antiqua" w:eastAsia="Book Antiqua" w:hAnsi="Book Antiqua" w:cs="Book Antiqua"/>
          <w:color w:val="000000"/>
        </w:rPr>
      </w:pPr>
    </w:p>
    <w:p w14:paraId="5088DAA1" w14:textId="732D03F4" w:rsidR="00174E06" w:rsidRDefault="00174E06">
      <w:pPr>
        <w:spacing w:line="360" w:lineRule="auto"/>
        <w:jc w:val="both"/>
      </w:pPr>
      <w:r>
        <w:rPr>
          <w:noProof/>
          <w:lang w:eastAsia="zh-CN"/>
        </w:rPr>
        <w:drawing>
          <wp:inline distT="0" distB="0" distL="0" distR="0" wp14:anchorId="20FD8E5F" wp14:editId="271A00B4">
            <wp:extent cx="5943600" cy="30651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065145"/>
                    </a:xfrm>
                    <a:prstGeom prst="rect">
                      <a:avLst/>
                    </a:prstGeom>
                  </pic:spPr>
                </pic:pic>
              </a:graphicData>
            </a:graphic>
          </wp:inline>
        </w:drawing>
      </w:r>
    </w:p>
    <w:p w14:paraId="0CDEFAA9" w14:textId="1058068E" w:rsidR="00A77B3E" w:rsidRDefault="00066CF0">
      <w:pPr>
        <w:spacing w:line="360" w:lineRule="auto"/>
        <w:jc w:val="both"/>
      </w:pPr>
      <w:r>
        <w:rPr>
          <w:rFonts w:ascii="Book Antiqua" w:eastAsia="Book Antiqua" w:hAnsi="Book Antiqua" w:cs="Book Antiqua"/>
          <w:b/>
          <w:bCs/>
          <w:color w:val="000000"/>
        </w:rPr>
        <w:t xml:space="preserve">Figure 2 Computed tomography scans before and after immunotherapy. </w:t>
      </w:r>
      <w:r>
        <w:rPr>
          <w:rFonts w:ascii="Book Antiqua" w:eastAsia="Book Antiqua" w:hAnsi="Book Antiqua" w:cs="Book Antiqua"/>
          <w:color w:val="000000"/>
        </w:rPr>
        <w:t xml:space="preserve">A-C: </w:t>
      </w:r>
      <w:r w:rsidR="00AB4042">
        <w:rPr>
          <w:rFonts w:ascii="Book Antiqua" w:eastAsia="Book Antiqua" w:hAnsi="Book Antiqua" w:cs="Book Antiqua"/>
          <w:color w:val="000000"/>
        </w:rPr>
        <w:t xml:space="preserve">Computed tomography </w:t>
      </w:r>
      <w:r>
        <w:rPr>
          <w:rFonts w:ascii="Book Antiqua" w:eastAsia="Book Antiqua" w:hAnsi="Book Antiqua" w:cs="Book Antiqua"/>
          <w:color w:val="000000"/>
        </w:rPr>
        <w:t xml:space="preserve">scan showing metastasis of the mediastinal lymph nodes, recurrent hepatic lesions that led to compression of the bile duct, and a new metastatic </w:t>
      </w:r>
      <w:r>
        <w:rPr>
          <w:rFonts w:ascii="Book Antiqua" w:eastAsia="Book Antiqua" w:hAnsi="Book Antiqua" w:cs="Book Antiqua"/>
          <w:color w:val="000000"/>
        </w:rPr>
        <w:lastRenderedPageBreak/>
        <w:t>lesion in the abdominal cavity; D-F: Metastatic lesions showing achievement of complete response</w:t>
      </w:r>
      <w:r w:rsidR="002E6C6E">
        <w:rPr>
          <w:rFonts w:ascii="Book Antiqua" w:eastAsia="Book Antiqua" w:hAnsi="Book Antiqua" w:cs="Book Antiqua"/>
          <w:color w:val="000000"/>
        </w:rPr>
        <w:t>2</w:t>
      </w:r>
      <w:r>
        <w:rPr>
          <w:rFonts w:ascii="Book Antiqua" w:eastAsia="Book Antiqua" w:hAnsi="Book Antiqua" w:cs="Book Antiqua"/>
          <w:color w:val="000000"/>
        </w:rPr>
        <w:t xml:space="preserve"> </w:t>
      </w:r>
      <w:r w:rsidR="002E6C6E">
        <w:rPr>
          <w:rFonts w:ascii="Book Antiqua" w:eastAsia="Book Antiqua" w:hAnsi="Book Antiqua" w:cs="Book Antiqua"/>
          <w:color w:val="000000"/>
        </w:rPr>
        <w:t xml:space="preserve">mo </w:t>
      </w:r>
      <w:r>
        <w:rPr>
          <w:rFonts w:ascii="Book Antiqua" w:eastAsia="Book Antiqua" w:hAnsi="Book Antiqua" w:cs="Book Antiqua"/>
          <w:color w:val="000000"/>
        </w:rPr>
        <w:t xml:space="preserve">after receiving nivolumab. In addition, compression of the bile duct was relieved. </w:t>
      </w:r>
    </w:p>
    <w:p w14:paraId="3C07CFED" w14:textId="77777777" w:rsidR="00CD044D" w:rsidRDefault="00CD044D">
      <w:pPr>
        <w:spacing w:line="360" w:lineRule="auto"/>
        <w:jc w:val="both"/>
        <w:rPr>
          <w:rFonts w:ascii="Book Antiqua" w:eastAsia="Book Antiqua" w:hAnsi="Book Antiqua" w:cs="Book Antiqua"/>
          <w:color w:val="000000"/>
        </w:rPr>
      </w:pPr>
    </w:p>
    <w:p w14:paraId="45078A1A" w14:textId="05DB6110" w:rsidR="00174E06" w:rsidRDefault="00174E06">
      <w:pPr>
        <w:spacing w:line="360" w:lineRule="auto"/>
        <w:jc w:val="both"/>
      </w:pPr>
      <w:r>
        <w:rPr>
          <w:noProof/>
          <w:lang w:eastAsia="zh-CN"/>
        </w:rPr>
        <w:drawing>
          <wp:inline distT="0" distB="0" distL="0" distR="0" wp14:anchorId="4C274521" wp14:editId="1993E42C">
            <wp:extent cx="5738357" cy="221761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8357" cy="2217612"/>
                    </a:xfrm>
                    <a:prstGeom prst="rect">
                      <a:avLst/>
                    </a:prstGeom>
                  </pic:spPr>
                </pic:pic>
              </a:graphicData>
            </a:graphic>
          </wp:inline>
        </w:drawing>
      </w:r>
    </w:p>
    <w:p w14:paraId="5ECE3A6E" w14:textId="1C00234B" w:rsidR="00A77B3E" w:rsidRDefault="00066CF0">
      <w:pPr>
        <w:spacing w:line="360" w:lineRule="auto"/>
        <w:jc w:val="both"/>
      </w:pPr>
      <w:r>
        <w:rPr>
          <w:rFonts w:ascii="Book Antiqua" w:eastAsia="Book Antiqua" w:hAnsi="Book Antiqua" w:cs="Book Antiqua"/>
          <w:b/>
          <w:bCs/>
          <w:color w:val="000000"/>
        </w:rPr>
        <w:t>Figure 3 Immunohistochemical staining for programmed death-ligand 1</w:t>
      </w:r>
      <w:r w:rsidR="002E6C6E">
        <w:rPr>
          <w:rFonts w:ascii="Book Antiqua" w:eastAsia="Book Antiqua" w:hAnsi="Book Antiqua" w:cs="Book Antiqua"/>
          <w:b/>
          <w:bCs/>
          <w:color w:val="000000"/>
        </w:rPr>
        <w:t xml:space="preserve"> </w:t>
      </w:r>
      <w:r>
        <w:rPr>
          <w:rFonts w:ascii="Book Antiqua" w:eastAsia="Book Antiqua" w:hAnsi="Book Antiqua" w:cs="Book Antiqua"/>
          <w:b/>
          <w:bCs/>
          <w:color w:val="000000"/>
        </w:rPr>
        <w:t>(40</w:t>
      </w:r>
      <w:r w:rsidR="00C309DC">
        <w:rPr>
          <w:rFonts w:ascii="Book Antiqua" w:eastAsia="Book Antiqua" w:hAnsi="Book Antiqua" w:cs="Book Antiqua"/>
          <w:b/>
          <w:bCs/>
          <w:color w:val="000000"/>
        </w:rPr>
        <w:t xml:space="preserve"> </w:t>
      </w:r>
      <w:r w:rsidR="00C309DC" w:rsidRPr="00C309DC">
        <w:rPr>
          <w:rFonts w:ascii="Book Antiqua" w:hAnsi="Book Antiqua" w:cs="宋体"/>
          <w:b/>
        </w:rPr>
        <w:t>×</w:t>
      </w:r>
      <w:r>
        <w:rPr>
          <w:rFonts w:ascii="Book Antiqua" w:eastAsia="Book Antiqua" w:hAnsi="Book Antiqua" w:cs="Book Antiqua"/>
          <w:b/>
          <w:bCs/>
          <w:color w:val="000000"/>
        </w:rPr>
        <w:t>).</w:t>
      </w:r>
      <w:r>
        <w:rPr>
          <w:rFonts w:ascii="Book Antiqua" w:eastAsia="Book Antiqua" w:hAnsi="Book Antiqua" w:cs="Book Antiqua"/>
          <w:color w:val="000000"/>
        </w:rPr>
        <w:t xml:space="preserve"> A: Positive control (Ab 28-8); B: Tumor (Ab 28-8). </w:t>
      </w:r>
    </w:p>
    <w:p w14:paraId="12C0912A" w14:textId="77777777" w:rsidR="00CD044D" w:rsidRDefault="00CD044D">
      <w:pPr>
        <w:spacing w:line="360" w:lineRule="auto"/>
        <w:jc w:val="both"/>
        <w:rPr>
          <w:rFonts w:ascii="Book Antiqua" w:eastAsia="Book Antiqua" w:hAnsi="Book Antiqua" w:cs="Book Antiqua"/>
          <w:color w:val="000000"/>
        </w:rPr>
      </w:pPr>
    </w:p>
    <w:p w14:paraId="6DF755EF" w14:textId="7846A95D" w:rsidR="00174E06" w:rsidRDefault="00174E06">
      <w:pPr>
        <w:spacing w:line="360" w:lineRule="auto"/>
        <w:jc w:val="both"/>
      </w:pPr>
      <w:r>
        <w:rPr>
          <w:noProof/>
          <w:lang w:eastAsia="zh-CN"/>
        </w:rPr>
        <w:drawing>
          <wp:inline distT="0" distB="0" distL="0" distR="0" wp14:anchorId="49DC54FD" wp14:editId="24B53FA9">
            <wp:extent cx="5273497" cy="1943268"/>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3497" cy="1943268"/>
                    </a:xfrm>
                    <a:prstGeom prst="rect">
                      <a:avLst/>
                    </a:prstGeom>
                  </pic:spPr>
                </pic:pic>
              </a:graphicData>
            </a:graphic>
          </wp:inline>
        </w:drawing>
      </w:r>
    </w:p>
    <w:p w14:paraId="473A491E" w14:textId="661AB415" w:rsidR="00A77B3E" w:rsidRDefault="00066CF0">
      <w:pPr>
        <w:spacing w:line="360" w:lineRule="auto"/>
        <w:jc w:val="both"/>
      </w:pPr>
      <w:r>
        <w:rPr>
          <w:rFonts w:ascii="Book Antiqua" w:eastAsia="Book Antiqua" w:hAnsi="Book Antiqua" w:cs="Book Antiqua"/>
          <w:b/>
          <w:bCs/>
          <w:color w:val="000000"/>
        </w:rPr>
        <w:t xml:space="preserve">Figure 4 Computed tomography scans before and after corticosteroid treatment for interstitial pneumonia. </w:t>
      </w:r>
      <w:r>
        <w:rPr>
          <w:rFonts w:ascii="Book Antiqua" w:eastAsia="Book Antiqua" w:hAnsi="Book Antiqua" w:cs="Book Antiqua"/>
          <w:color w:val="000000"/>
        </w:rPr>
        <w:t xml:space="preserve">A: </w:t>
      </w:r>
      <w:r w:rsidR="00CD044D">
        <w:rPr>
          <w:rFonts w:ascii="Book Antiqua" w:eastAsia="Book Antiqua" w:hAnsi="Book Antiqua" w:cs="Book Antiqua"/>
          <w:color w:val="000000"/>
        </w:rPr>
        <w:t>Computed tomography (</w:t>
      </w:r>
      <w:r>
        <w:rPr>
          <w:rFonts w:ascii="Book Antiqua" w:eastAsia="Book Antiqua" w:hAnsi="Book Antiqua" w:cs="Book Antiqua"/>
          <w:color w:val="000000"/>
        </w:rPr>
        <w:t>CT</w:t>
      </w:r>
      <w:r w:rsidR="00CD044D">
        <w:rPr>
          <w:rFonts w:ascii="Book Antiqua" w:eastAsia="Book Antiqua" w:hAnsi="Book Antiqua" w:cs="Book Antiqua"/>
          <w:color w:val="000000"/>
        </w:rPr>
        <w:t>)</w:t>
      </w:r>
      <w:r>
        <w:rPr>
          <w:rFonts w:ascii="Book Antiqua" w:eastAsia="Book Antiqua" w:hAnsi="Book Antiqua" w:cs="Book Antiqua"/>
          <w:color w:val="000000"/>
        </w:rPr>
        <w:t xml:space="preserve"> scan showing bilateral interstitial pneumonia caused by the PD-1 inhibitor; B: CT scan showing that pneumonia was alleviated by corticosteroid treatment.</w:t>
      </w:r>
    </w:p>
    <w:p w14:paraId="2213DDAA" w14:textId="57B5C17C"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8C287E" w14:textId="77777777" w:rsidR="00A97D34" w:rsidRDefault="00A97D34" w:rsidP="002E1916">
      <w:r>
        <w:separator/>
      </w:r>
    </w:p>
  </w:endnote>
  <w:endnote w:type="continuationSeparator" w:id="0">
    <w:p w14:paraId="398AD503" w14:textId="77777777" w:rsidR="00A97D34" w:rsidRDefault="00A97D34" w:rsidP="002E1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971700306"/>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260D7BE6" w14:textId="6B1D2F14" w:rsidR="00174E06" w:rsidRPr="00174E06" w:rsidRDefault="00174E06">
            <w:pPr>
              <w:pStyle w:val="ac"/>
              <w:jc w:val="right"/>
              <w:rPr>
                <w:rFonts w:ascii="Book Antiqua" w:hAnsi="Book Antiqua"/>
                <w:sz w:val="24"/>
                <w:szCs w:val="24"/>
              </w:rPr>
            </w:pPr>
            <w:r w:rsidRPr="00174E06">
              <w:rPr>
                <w:rFonts w:ascii="Book Antiqua" w:hAnsi="Book Antiqua"/>
                <w:sz w:val="24"/>
                <w:szCs w:val="24"/>
              </w:rPr>
              <w:fldChar w:fldCharType="begin"/>
            </w:r>
            <w:r w:rsidRPr="00174E06">
              <w:rPr>
                <w:rFonts w:ascii="Book Antiqua" w:hAnsi="Book Antiqua"/>
                <w:sz w:val="24"/>
                <w:szCs w:val="24"/>
              </w:rPr>
              <w:instrText>PAGE</w:instrText>
            </w:r>
            <w:r w:rsidRPr="00174E06">
              <w:rPr>
                <w:rFonts w:ascii="Book Antiqua" w:hAnsi="Book Antiqua"/>
                <w:sz w:val="24"/>
                <w:szCs w:val="24"/>
              </w:rPr>
              <w:fldChar w:fldCharType="separate"/>
            </w:r>
            <w:r w:rsidR="00ED15A0">
              <w:rPr>
                <w:rFonts w:ascii="Book Antiqua" w:hAnsi="Book Antiqua"/>
                <w:noProof/>
                <w:sz w:val="24"/>
                <w:szCs w:val="24"/>
              </w:rPr>
              <w:t>15</w:t>
            </w:r>
            <w:r w:rsidRPr="00174E06">
              <w:rPr>
                <w:rFonts w:ascii="Book Antiqua" w:hAnsi="Book Antiqua"/>
                <w:sz w:val="24"/>
                <w:szCs w:val="24"/>
              </w:rPr>
              <w:fldChar w:fldCharType="end"/>
            </w:r>
            <w:r w:rsidRPr="00174E06">
              <w:rPr>
                <w:rFonts w:ascii="Book Antiqua" w:hAnsi="Book Antiqua"/>
                <w:sz w:val="24"/>
                <w:szCs w:val="24"/>
                <w:lang w:val="zh-CN" w:eastAsia="zh-CN"/>
              </w:rPr>
              <w:t>/</w:t>
            </w:r>
            <w:r w:rsidRPr="00174E06">
              <w:rPr>
                <w:rFonts w:ascii="Book Antiqua" w:hAnsi="Book Antiqua"/>
                <w:sz w:val="24"/>
                <w:szCs w:val="24"/>
              </w:rPr>
              <w:fldChar w:fldCharType="begin"/>
            </w:r>
            <w:r w:rsidRPr="00174E06">
              <w:rPr>
                <w:rFonts w:ascii="Book Antiqua" w:hAnsi="Book Antiqua"/>
                <w:sz w:val="24"/>
                <w:szCs w:val="24"/>
              </w:rPr>
              <w:instrText>NUMPAGES</w:instrText>
            </w:r>
            <w:r w:rsidRPr="00174E06">
              <w:rPr>
                <w:rFonts w:ascii="Book Antiqua" w:hAnsi="Book Antiqua"/>
                <w:sz w:val="24"/>
                <w:szCs w:val="24"/>
              </w:rPr>
              <w:fldChar w:fldCharType="separate"/>
            </w:r>
            <w:r w:rsidR="00ED15A0">
              <w:rPr>
                <w:rFonts w:ascii="Book Antiqua" w:hAnsi="Book Antiqua"/>
                <w:noProof/>
                <w:sz w:val="24"/>
                <w:szCs w:val="24"/>
              </w:rPr>
              <w:t>15</w:t>
            </w:r>
            <w:r w:rsidRPr="00174E06">
              <w:rPr>
                <w:rFonts w:ascii="Book Antiqua" w:hAnsi="Book Antiqua"/>
                <w:sz w:val="24"/>
                <w:szCs w:val="24"/>
              </w:rPr>
              <w:fldChar w:fldCharType="end"/>
            </w:r>
          </w:p>
        </w:sdtContent>
      </w:sdt>
    </w:sdtContent>
  </w:sdt>
  <w:p w14:paraId="2F9E1175" w14:textId="77777777" w:rsidR="00174E06" w:rsidRPr="00174E06" w:rsidRDefault="00174E06">
    <w:pPr>
      <w:pStyle w:val="ac"/>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19E8C1" w14:textId="77777777" w:rsidR="00A97D34" w:rsidRDefault="00A97D34" w:rsidP="002E1916">
      <w:r>
        <w:separator/>
      </w:r>
    </w:p>
  </w:footnote>
  <w:footnote w:type="continuationSeparator" w:id="0">
    <w:p w14:paraId="0F9F3456" w14:textId="77777777" w:rsidR="00A97D34" w:rsidRDefault="00A97D34" w:rsidP="002E19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47CC"/>
    <w:rsid w:val="00066CF0"/>
    <w:rsid w:val="000C782D"/>
    <w:rsid w:val="000F14E3"/>
    <w:rsid w:val="001475BB"/>
    <w:rsid w:val="00162F15"/>
    <w:rsid w:val="00166468"/>
    <w:rsid w:val="00174E06"/>
    <w:rsid w:val="00247F91"/>
    <w:rsid w:val="002E1916"/>
    <w:rsid w:val="002E6C6E"/>
    <w:rsid w:val="00321C82"/>
    <w:rsid w:val="003F1983"/>
    <w:rsid w:val="004C5B55"/>
    <w:rsid w:val="004F67C0"/>
    <w:rsid w:val="00605D60"/>
    <w:rsid w:val="006C054C"/>
    <w:rsid w:val="0072554E"/>
    <w:rsid w:val="00876286"/>
    <w:rsid w:val="008F6AB2"/>
    <w:rsid w:val="0093094A"/>
    <w:rsid w:val="009C6677"/>
    <w:rsid w:val="00A5210D"/>
    <w:rsid w:val="00A77B3E"/>
    <w:rsid w:val="00A97D34"/>
    <w:rsid w:val="00AB4042"/>
    <w:rsid w:val="00AE44ED"/>
    <w:rsid w:val="00C309DC"/>
    <w:rsid w:val="00C5177D"/>
    <w:rsid w:val="00C830A8"/>
    <w:rsid w:val="00CA2A55"/>
    <w:rsid w:val="00CC6AE3"/>
    <w:rsid w:val="00CD044D"/>
    <w:rsid w:val="00D83B41"/>
    <w:rsid w:val="00DF77E3"/>
    <w:rsid w:val="00E4094F"/>
    <w:rsid w:val="00ED15A0"/>
    <w:rsid w:val="00EF62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EC560"/>
  <w15:docId w15:val="{9F62C4BA-5D7E-493E-8497-EAE6B9878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66CF0"/>
    <w:rPr>
      <w:sz w:val="21"/>
      <w:szCs w:val="21"/>
    </w:rPr>
  </w:style>
  <w:style w:type="paragraph" w:styleId="a4">
    <w:name w:val="annotation text"/>
    <w:basedOn w:val="a"/>
    <w:link w:val="a5"/>
    <w:semiHidden/>
    <w:unhideWhenUsed/>
    <w:rsid w:val="00066CF0"/>
  </w:style>
  <w:style w:type="character" w:customStyle="1" w:styleId="a5">
    <w:name w:val="批注文字 字符"/>
    <w:basedOn w:val="a0"/>
    <w:link w:val="a4"/>
    <w:semiHidden/>
    <w:rsid w:val="00066CF0"/>
    <w:rPr>
      <w:sz w:val="24"/>
      <w:szCs w:val="24"/>
    </w:rPr>
  </w:style>
  <w:style w:type="paragraph" w:styleId="a6">
    <w:name w:val="annotation subject"/>
    <w:basedOn w:val="a4"/>
    <w:next w:val="a4"/>
    <w:link w:val="a7"/>
    <w:semiHidden/>
    <w:unhideWhenUsed/>
    <w:rsid w:val="00066CF0"/>
    <w:rPr>
      <w:b/>
      <w:bCs/>
    </w:rPr>
  </w:style>
  <w:style w:type="character" w:customStyle="1" w:styleId="a7">
    <w:name w:val="批注主题 字符"/>
    <w:basedOn w:val="a5"/>
    <w:link w:val="a6"/>
    <w:semiHidden/>
    <w:rsid w:val="00066CF0"/>
    <w:rPr>
      <w:b/>
      <w:bCs/>
      <w:sz w:val="24"/>
      <w:szCs w:val="24"/>
    </w:rPr>
  </w:style>
  <w:style w:type="paragraph" w:styleId="a8">
    <w:name w:val="Balloon Text"/>
    <w:basedOn w:val="a"/>
    <w:link w:val="a9"/>
    <w:rsid w:val="00066CF0"/>
    <w:rPr>
      <w:sz w:val="18"/>
      <w:szCs w:val="18"/>
    </w:rPr>
  </w:style>
  <w:style w:type="character" w:customStyle="1" w:styleId="a9">
    <w:name w:val="批注框文本 字符"/>
    <w:basedOn w:val="a0"/>
    <w:link w:val="a8"/>
    <w:rsid w:val="00066CF0"/>
    <w:rPr>
      <w:sz w:val="18"/>
      <w:szCs w:val="18"/>
    </w:rPr>
  </w:style>
  <w:style w:type="paragraph" w:styleId="aa">
    <w:name w:val="header"/>
    <w:basedOn w:val="a"/>
    <w:link w:val="ab"/>
    <w:unhideWhenUsed/>
    <w:rsid w:val="002E1916"/>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2E1916"/>
    <w:rPr>
      <w:sz w:val="18"/>
      <w:szCs w:val="18"/>
    </w:rPr>
  </w:style>
  <w:style w:type="paragraph" w:styleId="ac">
    <w:name w:val="footer"/>
    <w:basedOn w:val="a"/>
    <w:link w:val="ad"/>
    <w:uiPriority w:val="99"/>
    <w:unhideWhenUsed/>
    <w:rsid w:val="002E1916"/>
    <w:pPr>
      <w:tabs>
        <w:tab w:val="center" w:pos="4153"/>
        <w:tab w:val="right" w:pos="8306"/>
      </w:tabs>
      <w:snapToGrid w:val="0"/>
    </w:pPr>
    <w:rPr>
      <w:sz w:val="18"/>
      <w:szCs w:val="18"/>
    </w:rPr>
  </w:style>
  <w:style w:type="character" w:customStyle="1" w:styleId="ad">
    <w:name w:val="页脚 字符"/>
    <w:basedOn w:val="a0"/>
    <w:link w:val="ac"/>
    <w:uiPriority w:val="99"/>
    <w:rsid w:val="002E191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517895">
      <w:bodyDiv w:val="1"/>
      <w:marLeft w:val="0"/>
      <w:marRight w:val="0"/>
      <w:marTop w:val="0"/>
      <w:marBottom w:val="0"/>
      <w:divBdr>
        <w:top w:val="none" w:sz="0" w:space="0" w:color="auto"/>
        <w:left w:val="none" w:sz="0" w:space="0" w:color="auto"/>
        <w:bottom w:val="none" w:sz="0" w:space="0" w:color="auto"/>
        <w:right w:val="none" w:sz="0" w:space="0" w:color="auto"/>
      </w:divBdr>
    </w:div>
    <w:div w:id="106824360">
      <w:bodyDiv w:val="1"/>
      <w:marLeft w:val="0"/>
      <w:marRight w:val="0"/>
      <w:marTop w:val="0"/>
      <w:marBottom w:val="0"/>
      <w:divBdr>
        <w:top w:val="none" w:sz="0" w:space="0" w:color="auto"/>
        <w:left w:val="none" w:sz="0" w:space="0" w:color="auto"/>
        <w:bottom w:val="none" w:sz="0" w:space="0" w:color="auto"/>
        <w:right w:val="none" w:sz="0" w:space="0" w:color="auto"/>
      </w:divBdr>
    </w:div>
    <w:div w:id="932055705">
      <w:bodyDiv w:val="1"/>
      <w:marLeft w:val="0"/>
      <w:marRight w:val="0"/>
      <w:marTop w:val="0"/>
      <w:marBottom w:val="0"/>
      <w:divBdr>
        <w:top w:val="none" w:sz="0" w:space="0" w:color="auto"/>
        <w:left w:val="none" w:sz="0" w:space="0" w:color="auto"/>
        <w:bottom w:val="none" w:sz="0" w:space="0" w:color="auto"/>
        <w:right w:val="none" w:sz="0" w:space="0" w:color="auto"/>
      </w:divBdr>
    </w:div>
    <w:div w:id="1190727062">
      <w:bodyDiv w:val="1"/>
      <w:marLeft w:val="0"/>
      <w:marRight w:val="0"/>
      <w:marTop w:val="0"/>
      <w:marBottom w:val="0"/>
      <w:divBdr>
        <w:top w:val="none" w:sz="0" w:space="0" w:color="auto"/>
        <w:left w:val="none" w:sz="0" w:space="0" w:color="auto"/>
        <w:bottom w:val="none" w:sz="0" w:space="0" w:color="auto"/>
        <w:right w:val="none" w:sz="0" w:space="0" w:color="auto"/>
      </w:divBdr>
    </w:div>
    <w:div w:id="2126924063">
      <w:bodyDiv w:val="1"/>
      <w:marLeft w:val="0"/>
      <w:marRight w:val="0"/>
      <w:marTop w:val="0"/>
      <w:marBottom w:val="0"/>
      <w:divBdr>
        <w:top w:val="none" w:sz="0" w:space="0" w:color="auto"/>
        <w:left w:val="none" w:sz="0" w:space="0" w:color="auto"/>
        <w:bottom w:val="none" w:sz="0" w:space="0" w:color="auto"/>
        <w:right w:val="none" w:sz="0" w:space="0" w:color="auto"/>
      </w:divBdr>
    </w:div>
    <w:div w:id="21294217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3145</Words>
  <Characters>17928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wdm</cp:lastModifiedBy>
  <cp:revision>4</cp:revision>
  <dcterms:created xsi:type="dcterms:W3CDTF">2020-09-23T22:42:00Z</dcterms:created>
  <dcterms:modified xsi:type="dcterms:W3CDTF">2020-09-24T09:17:00Z</dcterms:modified>
</cp:coreProperties>
</file>