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35BDB"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Name of Journal:</w:t>
      </w:r>
      <w:r w:rsidRPr="00CD6193">
        <w:rPr>
          <w:rFonts w:ascii="Book Antiqua" w:hAnsi="Book Antiqua" w:cs="Times New Roman"/>
          <w:sz w:val="24"/>
          <w:szCs w:val="24"/>
        </w:rPr>
        <w:t xml:space="preserve"> </w:t>
      </w:r>
      <w:r w:rsidRPr="00CD6193">
        <w:rPr>
          <w:rFonts w:ascii="Book Antiqua" w:hAnsi="Book Antiqua" w:cs="Times New Roman"/>
          <w:i/>
          <w:iCs/>
          <w:sz w:val="24"/>
          <w:szCs w:val="24"/>
        </w:rPr>
        <w:t>World Journal of Clinical Cases</w:t>
      </w:r>
    </w:p>
    <w:p w14:paraId="2647BEF8"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Manuscript NO: </w:t>
      </w:r>
      <w:r w:rsidRPr="00CD6193">
        <w:rPr>
          <w:rFonts w:ascii="Book Antiqua" w:hAnsi="Book Antiqua" w:cs="Times New Roman"/>
          <w:sz w:val="24"/>
          <w:szCs w:val="24"/>
        </w:rPr>
        <w:t>55338</w:t>
      </w:r>
    </w:p>
    <w:p w14:paraId="297604D7" w14:textId="50FABCB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Manuscript Type:</w:t>
      </w:r>
      <w:r w:rsidRPr="00CD6193">
        <w:rPr>
          <w:rFonts w:ascii="Book Antiqua" w:hAnsi="Book Antiqua" w:cs="Times New Roman"/>
          <w:sz w:val="24"/>
          <w:szCs w:val="24"/>
        </w:rPr>
        <w:t xml:space="preserve"> REVIEW</w:t>
      </w:r>
    </w:p>
    <w:p w14:paraId="2FA4704B"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5274ABF6" w14:textId="1AE8BF09" w:rsidR="00E1331B" w:rsidRPr="00CD6193" w:rsidRDefault="00E1331B" w:rsidP="00CD6193">
      <w:pPr>
        <w:adjustRightInd w:val="0"/>
        <w:snapToGrid w:val="0"/>
        <w:spacing w:line="360" w:lineRule="auto"/>
        <w:rPr>
          <w:rFonts w:ascii="Book Antiqua" w:hAnsi="Book Antiqua" w:cs="Times New Roman"/>
          <w:b/>
          <w:bCs/>
          <w:sz w:val="24"/>
          <w:szCs w:val="24"/>
        </w:rPr>
      </w:pPr>
      <w:bookmarkStart w:id="0" w:name="OLE_LINK212"/>
      <w:bookmarkStart w:id="1" w:name="OLE_LINK213"/>
      <w:r w:rsidRPr="00CD6193">
        <w:rPr>
          <w:rFonts w:ascii="Book Antiqua" w:hAnsi="Book Antiqua" w:cs="Times New Roman"/>
          <w:b/>
          <w:bCs/>
          <w:sz w:val="24"/>
          <w:szCs w:val="24"/>
        </w:rPr>
        <w:t xml:space="preserve">Balloon pulmonary angioplasty for chronic thromboembolic pulmonary hypertension: </w:t>
      </w:r>
      <w:r w:rsidR="009E6AE6">
        <w:rPr>
          <w:rFonts w:ascii="Book Antiqua" w:hAnsi="Book Antiqua" w:cs="Times New Roman"/>
          <w:b/>
          <w:bCs/>
          <w:sz w:val="24"/>
          <w:szCs w:val="24"/>
        </w:rPr>
        <w:t>S</w:t>
      </w:r>
      <w:r w:rsidRPr="00CD6193">
        <w:rPr>
          <w:rFonts w:ascii="Book Antiqua" w:hAnsi="Book Antiqua" w:cs="Times New Roman"/>
          <w:b/>
          <w:bCs/>
          <w:sz w:val="24"/>
          <w:szCs w:val="24"/>
        </w:rPr>
        <w:t>tate of the art</w:t>
      </w:r>
    </w:p>
    <w:bookmarkEnd w:id="0"/>
    <w:bookmarkEnd w:id="1"/>
    <w:p w14:paraId="60F5D77A" w14:textId="77777777" w:rsidR="00E1331B" w:rsidRPr="00CD6193" w:rsidRDefault="00E1331B" w:rsidP="00CD6193">
      <w:pPr>
        <w:adjustRightInd w:val="0"/>
        <w:snapToGrid w:val="0"/>
        <w:spacing w:line="360" w:lineRule="auto"/>
        <w:rPr>
          <w:rFonts w:ascii="Book Antiqua" w:hAnsi="Book Antiqua" w:cs="Times New Roman"/>
          <w:b/>
          <w:bCs/>
          <w:sz w:val="24"/>
          <w:szCs w:val="24"/>
        </w:rPr>
      </w:pPr>
    </w:p>
    <w:p w14:paraId="52585EBA" w14:textId="77777777" w:rsidR="00E1331B" w:rsidRPr="00CD6193" w:rsidRDefault="00E1331B" w:rsidP="00CD6193">
      <w:pPr>
        <w:adjustRightInd w:val="0"/>
        <w:snapToGrid w:val="0"/>
        <w:spacing w:line="360" w:lineRule="auto"/>
        <w:rPr>
          <w:rFonts w:ascii="Book Antiqua" w:hAnsi="Book Antiqua" w:cs="Times New Roman"/>
          <w:sz w:val="24"/>
          <w:szCs w:val="24"/>
        </w:rPr>
      </w:pP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Q</w:t>
      </w:r>
      <w:r w:rsidRPr="00CD6193">
        <w:rPr>
          <w:rFonts w:ascii="Book Antiqua" w:hAnsi="Book Antiqua" w:cs="Times New Roman"/>
          <w:i/>
          <w:iCs/>
          <w:sz w:val="24"/>
          <w:szCs w:val="24"/>
        </w:rPr>
        <w:t xml:space="preserve"> et al</w:t>
      </w:r>
      <w:r w:rsidRPr="00CD6193">
        <w:rPr>
          <w:rFonts w:ascii="Book Antiqua" w:hAnsi="Book Antiqua" w:cs="Times New Roman"/>
          <w:sz w:val="24"/>
          <w:szCs w:val="24"/>
        </w:rPr>
        <w:t xml:space="preserve">. </w:t>
      </w:r>
      <w:bookmarkStart w:id="2" w:name="OLE_LINK214"/>
      <w:bookmarkStart w:id="3" w:name="OLE_LINK215"/>
      <w:r w:rsidRPr="00CD6193">
        <w:rPr>
          <w:rFonts w:ascii="Book Antiqua" w:hAnsi="Book Antiqua" w:cs="Times New Roman"/>
          <w:sz w:val="24"/>
          <w:szCs w:val="24"/>
        </w:rPr>
        <w:t>BPA for CTEPH</w:t>
      </w:r>
      <w:bookmarkEnd w:id="2"/>
      <w:bookmarkEnd w:id="3"/>
    </w:p>
    <w:p w14:paraId="2336E5A1"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0C142616" w14:textId="27DE34B8" w:rsidR="00E1331B" w:rsidRPr="00CD6193" w:rsidRDefault="00E1331B" w:rsidP="00CD6193">
      <w:pPr>
        <w:adjustRightInd w:val="0"/>
        <w:snapToGrid w:val="0"/>
        <w:spacing w:line="360" w:lineRule="auto"/>
        <w:rPr>
          <w:rFonts w:ascii="Book Antiqua" w:hAnsi="Book Antiqua" w:cs="Times New Roman"/>
          <w:sz w:val="24"/>
          <w:szCs w:val="24"/>
          <w:vertAlign w:val="superscript"/>
        </w:rPr>
      </w:pPr>
      <w:r w:rsidRPr="00CD6193">
        <w:rPr>
          <w:rFonts w:ascii="Book Antiqua" w:hAnsi="Book Antiqua" w:cs="Times New Roman"/>
          <w:sz w:val="24"/>
          <w:szCs w:val="24"/>
        </w:rPr>
        <w:t xml:space="preserve">Qi </w:t>
      </w: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w:t>
      </w:r>
      <w:bookmarkStart w:id="4" w:name="OLE_LINK166"/>
      <w:bookmarkStart w:id="5" w:name="OLE_LINK167"/>
      <w:proofErr w:type="spellStart"/>
      <w:r w:rsidRPr="00CD6193">
        <w:rPr>
          <w:rFonts w:ascii="Book Antiqua" w:hAnsi="Book Antiqua" w:cs="Times New Roman"/>
          <w:sz w:val="24"/>
          <w:szCs w:val="24"/>
        </w:rPr>
        <w:t>Zhi</w:t>
      </w:r>
      <w:proofErr w:type="spellEnd"/>
      <w:r w:rsidR="009E6AE6">
        <w:rPr>
          <w:rFonts w:ascii="Book Antiqua" w:hAnsi="Book Antiqua" w:cs="Times New Roman"/>
          <w:sz w:val="24"/>
          <w:szCs w:val="24"/>
        </w:rPr>
        <w:t>-H</w:t>
      </w:r>
      <w:r w:rsidRPr="00CD6193">
        <w:rPr>
          <w:rFonts w:ascii="Book Antiqua" w:hAnsi="Book Antiqua" w:cs="Times New Roman"/>
          <w:sz w:val="24"/>
          <w:szCs w:val="24"/>
        </w:rPr>
        <w:t>ui Zhao</w:t>
      </w:r>
      <w:bookmarkEnd w:id="4"/>
      <w:bookmarkEnd w:id="5"/>
      <w:r w:rsidRPr="00CD6193">
        <w:rPr>
          <w:rFonts w:ascii="Book Antiqua" w:hAnsi="Book Antiqua" w:cs="Times New Roman"/>
          <w:sz w:val="24"/>
          <w:szCs w:val="24"/>
        </w:rPr>
        <w:t>, Qin Luo, Qing Zhao, Lu Yan, Yi Zhang, Xin Li, Tao Yang, Qi</w:t>
      </w:r>
      <w:r w:rsidR="002865FD">
        <w:rPr>
          <w:rFonts w:ascii="Book Antiqua" w:hAnsi="Book Antiqua" w:cs="Times New Roman"/>
          <w:sz w:val="24"/>
          <w:szCs w:val="24"/>
        </w:rPr>
        <w:t>-X</w:t>
      </w:r>
      <w:r w:rsidRPr="00CD6193">
        <w:rPr>
          <w:rFonts w:ascii="Book Antiqua" w:hAnsi="Book Antiqua" w:cs="Times New Roman"/>
          <w:sz w:val="24"/>
          <w:szCs w:val="24"/>
        </w:rPr>
        <w:t>ian Zeng, Chang</w:t>
      </w:r>
      <w:r w:rsidR="002865FD">
        <w:rPr>
          <w:rFonts w:ascii="Book Antiqua" w:hAnsi="Book Antiqua" w:cs="Times New Roman"/>
          <w:sz w:val="24"/>
          <w:szCs w:val="24"/>
        </w:rPr>
        <w:t>-M</w:t>
      </w:r>
      <w:r w:rsidRPr="00CD6193">
        <w:rPr>
          <w:rFonts w:ascii="Book Antiqua" w:hAnsi="Book Antiqua" w:cs="Times New Roman"/>
          <w:sz w:val="24"/>
          <w:szCs w:val="24"/>
        </w:rPr>
        <w:t xml:space="preserve">ing </w:t>
      </w:r>
      <w:proofErr w:type="spellStart"/>
      <w:r w:rsidRPr="00CD6193">
        <w:rPr>
          <w:rFonts w:ascii="Book Antiqua" w:hAnsi="Book Antiqua" w:cs="Times New Roman"/>
          <w:sz w:val="24"/>
          <w:szCs w:val="24"/>
        </w:rPr>
        <w:t>Xiong</w:t>
      </w:r>
      <w:proofErr w:type="spellEnd"/>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Zhi</w:t>
      </w:r>
      <w:proofErr w:type="spellEnd"/>
      <w:r w:rsidR="002865FD">
        <w:rPr>
          <w:rFonts w:ascii="Book Antiqua" w:hAnsi="Book Antiqua" w:cs="Times New Roman"/>
          <w:sz w:val="24"/>
          <w:szCs w:val="24"/>
        </w:rPr>
        <w:t>-H</w:t>
      </w:r>
      <w:r w:rsidRPr="00CD6193">
        <w:rPr>
          <w:rFonts w:ascii="Book Antiqua" w:hAnsi="Book Antiqua" w:cs="Times New Roman"/>
          <w:sz w:val="24"/>
          <w:szCs w:val="24"/>
        </w:rPr>
        <w:t>ong Liu</w:t>
      </w:r>
    </w:p>
    <w:p w14:paraId="7C05D03D"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0612A17C" w14:textId="199F46A5"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Qi </w:t>
      </w:r>
      <w:proofErr w:type="spellStart"/>
      <w:r w:rsidRPr="00CD6193">
        <w:rPr>
          <w:rFonts w:ascii="Book Antiqua" w:hAnsi="Book Antiqua" w:cs="Times New Roman"/>
          <w:b/>
          <w:bCs/>
          <w:sz w:val="24"/>
          <w:szCs w:val="24"/>
        </w:rPr>
        <w:t>Jin</w:t>
      </w:r>
      <w:proofErr w:type="spellEnd"/>
      <w:r w:rsidRPr="00CD6193">
        <w:rPr>
          <w:rFonts w:ascii="Book Antiqua" w:hAnsi="Book Antiqua" w:cs="Times New Roman"/>
          <w:b/>
          <w:bCs/>
          <w:sz w:val="24"/>
          <w:szCs w:val="24"/>
        </w:rPr>
        <w:t xml:space="preserve">, </w:t>
      </w:r>
      <w:proofErr w:type="spellStart"/>
      <w:r w:rsidR="002865FD">
        <w:rPr>
          <w:rFonts w:ascii="Book Antiqua" w:hAnsi="Book Antiqua" w:cs="Times New Roman"/>
          <w:b/>
          <w:bCs/>
          <w:sz w:val="24"/>
          <w:szCs w:val="24"/>
        </w:rPr>
        <w:t>Zhi</w:t>
      </w:r>
      <w:proofErr w:type="spellEnd"/>
      <w:r w:rsidR="002865FD">
        <w:rPr>
          <w:rFonts w:ascii="Book Antiqua" w:hAnsi="Book Antiqua" w:cs="Times New Roman"/>
          <w:b/>
          <w:bCs/>
          <w:sz w:val="24"/>
          <w:szCs w:val="24"/>
        </w:rPr>
        <w:t>-Hui Zhao</w:t>
      </w:r>
      <w:r w:rsidRPr="00CD6193">
        <w:rPr>
          <w:rFonts w:ascii="Book Antiqua" w:hAnsi="Book Antiqua" w:cs="Times New Roman"/>
          <w:b/>
          <w:bCs/>
          <w:sz w:val="24"/>
          <w:szCs w:val="24"/>
        </w:rPr>
        <w:t>, Qin Luo, Qing Zhao, Lu Yan, Yi Zhang, Xin Li, Tao Yang, Qi</w:t>
      </w:r>
      <w:r w:rsidR="002865FD">
        <w:rPr>
          <w:rFonts w:ascii="Book Antiqua" w:hAnsi="Book Antiqua" w:cs="Times New Roman"/>
          <w:b/>
          <w:bCs/>
          <w:sz w:val="24"/>
          <w:szCs w:val="24"/>
        </w:rPr>
        <w:t>-X</w:t>
      </w:r>
      <w:r w:rsidRPr="00CD6193">
        <w:rPr>
          <w:rFonts w:ascii="Book Antiqua" w:hAnsi="Book Antiqua" w:cs="Times New Roman"/>
          <w:b/>
          <w:bCs/>
          <w:sz w:val="24"/>
          <w:szCs w:val="24"/>
        </w:rPr>
        <w:t>ian Zeng, Chang</w:t>
      </w:r>
      <w:r w:rsidR="002865FD">
        <w:rPr>
          <w:rFonts w:ascii="Book Antiqua" w:hAnsi="Book Antiqua" w:cs="Times New Roman"/>
          <w:b/>
          <w:bCs/>
          <w:sz w:val="24"/>
          <w:szCs w:val="24"/>
        </w:rPr>
        <w:t>-M</w:t>
      </w:r>
      <w:r w:rsidRPr="00CD6193">
        <w:rPr>
          <w:rFonts w:ascii="Book Antiqua" w:hAnsi="Book Antiqua" w:cs="Times New Roman"/>
          <w:b/>
          <w:bCs/>
          <w:sz w:val="24"/>
          <w:szCs w:val="24"/>
        </w:rPr>
        <w:t xml:space="preserve">ing </w:t>
      </w:r>
      <w:proofErr w:type="spellStart"/>
      <w:r w:rsidRPr="00CD6193">
        <w:rPr>
          <w:rFonts w:ascii="Book Antiqua" w:hAnsi="Book Antiqua" w:cs="Times New Roman"/>
          <w:b/>
          <w:bCs/>
          <w:sz w:val="24"/>
          <w:szCs w:val="24"/>
        </w:rPr>
        <w:t>Xiong</w:t>
      </w:r>
      <w:proofErr w:type="spellEnd"/>
      <w:r w:rsidRPr="00CD6193">
        <w:rPr>
          <w:rFonts w:ascii="Book Antiqua" w:hAnsi="Book Antiqua" w:cs="Times New Roman"/>
          <w:b/>
          <w:bCs/>
          <w:sz w:val="24"/>
          <w:szCs w:val="24"/>
        </w:rPr>
        <w:t>,</w:t>
      </w:r>
      <w:r w:rsidRPr="00CD6193">
        <w:rPr>
          <w:rFonts w:ascii="Book Antiqua" w:hAnsi="Book Antiqua" w:cs="Times New Roman"/>
          <w:sz w:val="24"/>
          <w:szCs w:val="24"/>
        </w:rPr>
        <w:t xml:space="preserve"> </w:t>
      </w:r>
      <w:proofErr w:type="spellStart"/>
      <w:r w:rsidRPr="00CD6193">
        <w:rPr>
          <w:rFonts w:ascii="Book Antiqua" w:hAnsi="Book Antiqua" w:cs="Times New Roman"/>
          <w:b/>
          <w:bCs/>
          <w:sz w:val="24"/>
          <w:szCs w:val="24"/>
        </w:rPr>
        <w:t>Zhi</w:t>
      </w:r>
      <w:proofErr w:type="spellEnd"/>
      <w:r w:rsidR="002865FD">
        <w:rPr>
          <w:rFonts w:ascii="Book Antiqua" w:hAnsi="Book Antiqua" w:cs="Times New Roman"/>
          <w:b/>
          <w:bCs/>
          <w:sz w:val="24"/>
          <w:szCs w:val="24"/>
        </w:rPr>
        <w:t>-H</w:t>
      </w:r>
      <w:r w:rsidRPr="00CD6193">
        <w:rPr>
          <w:rFonts w:ascii="Book Antiqua" w:hAnsi="Book Antiqua" w:cs="Times New Roman"/>
          <w:b/>
          <w:bCs/>
          <w:sz w:val="24"/>
          <w:szCs w:val="24"/>
        </w:rPr>
        <w:t>ong Liu</w:t>
      </w:r>
      <w:r w:rsidRPr="00AE1000">
        <w:rPr>
          <w:rFonts w:ascii="Book Antiqua" w:hAnsi="Book Antiqua" w:cs="Times New Roman"/>
          <w:b/>
          <w:bCs/>
          <w:sz w:val="24"/>
          <w:szCs w:val="24"/>
        </w:rPr>
        <w:t>,</w:t>
      </w:r>
      <w:r w:rsidRPr="00CD6193">
        <w:rPr>
          <w:rFonts w:ascii="Book Antiqua" w:hAnsi="Book Antiqua" w:cs="Times New Roman"/>
          <w:sz w:val="24"/>
          <w:szCs w:val="24"/>
        </w:rPr>
        <w:t xml:space="preserve"> </w:t>
      </w:r>
      <w:bookmarkStart w:id="6" w:name="OLE_LINK168"/>
      <w:bookmarkStart w:id="7" w:name="OLE_LINK169"/>
      <w:r w:rsidRPr="00CD6193">
        <w:rPr>
          <w:rFonts w:ascii="Book Antiqua" w:hAnsi="Book Antiqua" w:cs="Times New Roman"/>
          <w:sz w:val="24"/>
          <w:szCs w:val="24"/>
        </w:rPr>
        <w:t xml:space="preserve">State Key Laboratory of Cardiovascular Disease, Center for Pulmonary Vascular Diseases, </w:t>
      </w:r>
      <w:proofErr w:type="spellStart"/>
      <w:r w:rsidRPr="00CD6193">
        <w:rPr>
          <w:rFonts w:ascii="Book Antiqua" w:hAnsi="Book Antiqua" w:cs="Times New Roman"/>
          <w:sz w:val="24"/>
          <w:szCs w:val="24"/>
        </w:rPr>
        <w:t>Fuwai</w:t>
      </w:r>
      <w:proofErr w:type="spellEnd"/>
      <w:r w:rsidRPr="00CD6193">
        <w:rPr>
          <w:rFonts w:ascii="Book Antiqua" w:hAnsi="Book Antiqua" w:cs="Times New Roman"/>
          <w:sz w:val="24"/>
          <w:szCs w:val="24"/>
        </w:rPr>
        <w:t xml:space="preserve"> Hospital, National Center for Cardiovascular Diseases, Chinese Academy of Medical Sciences and Peking Union Medical College</w:t>
      </w:r>
      <w:bookmarkEnd w:id="6"/>
      <w:bookmarkEnd w:id="7"/>
      <w:r w:rsidRPr="00CD6193">
        <w:rPr>
          <w:rFonts w:ascii="Book Antiqua" w:hAnsi="Book Antiqua" w:cs="Times New Roman"/>
          <w:sz w:val="24"/>
          <w:szCs w:val="24"/>
        </w:rPr>
        <w:t>, Beijing</w:t>
      </w:r>
      <w:r w:rsidR="00AF784B">
        <w:rPr>
          <w:rFonts w:ascii="Book Antiqua" w:hAnsi="Book Antiqua" w:cs="Times New Roman"/>
          <w:sz w:val="24"/>
          <w:szCs w:val="24"/>
        </w:rPr>
        <w:t xml:space="preserve"> 100037</w:t>
      </w:r>
      <w:r w:rsidRPr="00CD6193">
        <w:rPr>
          <w:rFonts w:ascii="Book Antiqua" w:hAnsi="Book Antiqua" w:cs="Times New Roman"/>
          <w:sz w:val="24"/>
          <w:szCs w:val="24"/>
        </w:rPr>
        <w:t>, China</w:t>
      </w:r>
    </w:p>
    <w:p w14:paraId="13C9C620"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3EC27651"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Author contributions:</w:t>
      </w:r>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Jin</w:t>
      </w:r>
      <w:proofErr w:type="spellEnd"/>
      <w:r w:rsidRPr="00CD6193">
        <w:rPr>
          <w:rFonts w:ascii="Book Antiqua" w:hAnsi="Book Antiqua" w:cs="Times New Roman"/>
          <w:sz w:val="24"/>
          <w:szCs w:val="24"/>
        </w:rPr>
        <w:t xml:space="preserve"> Q, Zhao ZH and Luo Q contributed equally to the conception, literature review and manuscript drafting, and should be considered as co-first authors; Zhao Q, Yan L, Zhang Y, Li X, Yang T, Zeng QX and </w:t>
      </w:r>
      <w:proofErr w:type="spellStart"/>
      <w:r w:rsidRPr="00CD6193">
        <w:rPr>
          <w:rFonts w:ascii="Book Antiqua" w:hAnsi="Book Antiqua" w:cs="Times New Roman"/>
          <w:sz w:val="24"/>
          <w:szCs w:val="24"/>
        </w:rPr>
        <w:t>Xiong</w:t>
      </w:r>
      <w:proofErr w:type="spellEnd"/>
      <w:r w:rsidRPr="00CD6193">
        <w:rPr>
          <w:rFonts w:ascii="Book Antiqua" w:hAnsi="Book Antiqua" w:cs="Times New Roman"/>
          <w:sz w:val="24"/>
          <w:szCs w:val="24"/>
        </w:rPr>
        <w:t xml:space="preserve"> CM collected the data and revised the literature, and Liu ZH conceived and revised the paper. All authors read and approved the final manuscript.</w:t>
      </w:r>
    </w:p>
    <w:p w14:paraId="4541E036"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2F4E360D" w14:textId="2526C00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Supported by </w:t>
      </w:r>
      <w:r w:rsidR="005E111A" w:rsidRPr="00CD6193">
        <w:rPr>
          <w:rFonts w:ascii="Book Antiqua" w:hAnsi="Book Antiqua" w:cs="Times New Roman"/>
          <w:sz w:val="24"/>
          <w:szCs w:val="24"/>
        </w:rPr>
        <w:t>t</w:t>
      </w:r>
      <w:r w:rsidRPr="00CD6193">
        <w:rPr>
          <w:rFonts w:ascii="Book Antiqua" w:hAnsi="Book Antiqua" w:cs="Times New Roman"/>
          <w:sz w:val="24"/>
          <w:szCs w:val="24"/>
        </w:rPr>
        <w:t>he National Precision Medical Research Program of China</w:t>
      </w:r>
      <w:r w:rsidR="005644DD">
        <w:rPr>
          <w:rFonts w:ascii="Book Antiqua" w:hAnsi="Book Antiqua" w:cs="Times New Roman"/>
          <w:sz w:val="24"/>
          <w:szCs w:val="24"/>
        </w:rPr>
        <w:t xml:space="preserve">, No. </w:t>
      </w:r>
      <w:r w:rsidRPr="00CD6193">
        <w:rPr>
          <w:rFonts w:ascii="Book Antiqua" w:hAnsi="Book Antiqua" w:cs="Times New Roman"/>
          <w:sz w:val="24"/>
          <w:szCs w:val="24"/>
        </w:rPr>
        <w:t>2016YFC0905602.</w:t>
      </w:r>
    </w:p>
    <w:p w14:paraId="667C514F"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4A483391" w14:textId="581B0A2A" w:rsidR="00E1331B" w:rsidRPr="00CD6193" w:rsidRDefault="000E764D"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C</w:t>
      </w:r>
      <w:r w:rsidR="00E1331B" w:rsidRPr="00CD6193">
        <w:rPr>
          <w:rFonts w:ascii="Book Antiqua" w:hAnsi="Book Antiqua" w:cs="Times New Roman"/>
          <w:b/>
          <w:bCs/>
          <w:color w:val="000000" w:themeColor="text1"/>
          <w:sz w:val="24"/>
          <w:szCs w:val="24"/>
        </w:rPr>
        <w:t>orresponding author:</w:t>
      </w:r>
      <w:r w:rsidR="00E1331B" w:rsidRPr="00CD6193">
        <w:rPr>
          <w:rFonts w:ascii="Book Antiqua" w:hAnsi="Book Antiqua" w:cs="Times New Roman"/>
          <w:color w:val="000000" w:themeColor="text1"/>
          <w:sz w:val="24"/>
          <w:szCs w:val="24"/>
        </w:rPr>
        <w:t xml:space="preserve"> </w:t>
      </w:r>
      <w:proofErr w:type="spellStart"/>
      <w:r w:rsidR="00E1331B" w:rsidRPr="00CD6193">
        <w:rPr>
          <w:rFonts w:ascii="Book Antiqua" w:hAnsi="Book Antiqua" w:cs="Times New Roman"/>
          <w:b/>
          <w:bCs/>
          <w:color w:val="000000" w:themeColor="text1"/>
          <w:sz w:val="24"/>
          <w:szCs w:val="24"/>
        </w:rPr>
        <w:t>Zhi</w:t>
      </w:r>
      <w:proofErr w:type="spellEnd"/>
      <w:r w:rsidR="00D869C0">
        <w:rPr>
          <w:rFonts w:ascii="Book Antiqua" w:hAnsi="Book Antiqua" w:cs="Times New Roman"/>
          <w:b/>
          <w:bCs/>
          <w:color w:val="000000" w:themeColor="text1"/>
          <w:sz w:val="24"/>
          <w:szCs w:val="24"/>
        </w:rPr>
        <w:t>-H</w:t>
      </w:r>
      <w:r w:rsidR="00E1331B" w:rsidRPr="00CD6193">
        <w:rPr>
          <w:rFonts w:ascii="Book Antiqua" w:hAnsi="Book Antiqua" w:cs="Times New Roman"/>
          <w:b/>
          <w:bCs/>
          <w:color w:val="000000" w:themeColor="text1"/>
          <w:sz w:val="24"/>
          <w:szCs w:val="24"/>
        </w:rPr>
        <w:t>ong Liu, MD, PhD</w:t>
      </w:r>
      <w:r w:rsidR="00E1331B" w:rsidRPr="00D869C0">
        <w:rPr>
          <w:rFonts w:ascii="Book Antiqua" w:hAnsi="Book Antiqua" w:cs="Times New Roman"/>
          <w:b/>
          <w:bCs/>
          <w:color w:val="000000" w:themeColor="text1"/>
          <w:sz w:val="24"/>
          <w:szCs w:val="24"/>
        </w:rPr>
        <w:t xml:space="preserve">, </w:t>
      </w:r>
      <w:r w:rsidR="00D869C0" w:rsidRPr="00D869C0">
        <w:rPr>
          <w:rFonts w:ascii="Book Antiqua" w:hAnsi="Book Antiqua" w:cs="Times New Roman"/>
          <w:b/>
          <w:bCs/>
          <w:color w:val="000000" w:themeColor="text1"/>
          <w:sz w:val="24"/>
          <w:szCs w:val="24"/>
        </w:rPr>
        <w:t xml:space="preserve">Doctor, Professor, </w:t>
      </w:r>
      <w:bookmarkStart w:id="8" w:name="OLE_LINK216"/>
      <w:bookmarkStart w:id="9" w:name="OLE_LINK217"/>
      <w:r w:rsidR="00AE1000" w:rsidRPr="00CD6193">
        <w:rPr>
          <w:rFonts w:ascii="Book Antiqua" w:hAnsi="Book Antiqua" w:cs="Times New Roman"/>
          <w:sz w:val="24"/>
          <w:szCs w:val="24"/>
        </w:rPr>
        <w:t>State Key Laboratory of Cardiovascular Disease, Center for Pulmonary Vascular Diseases</w:t>
      </w:r>
      <w:bookmarkEnd w:id="8"/>
      <w:bookmarkEnd w:id="9"/>
      <w:r w:rsidR="00AE1000" w:rsidRPr="00CD6193">
        <w:rPr>
          <w:rFonts w:ascii="Book Antiqua" w:hAnsi="Book Antiqua" w:cs="Times New Roman"/>
          <w:sz w:val="24"/>
          <w:szCs w:val="24"/>
        </w:rPr>
        <w:t xml:space="preserve">, </w:t>
      </w:r>
      <w:bookmarkStart w:id="10" w:name="OLE_LINK218"/>
      <w:bookmarkStart w:id="11" w:name="OLE_LINK219"/>
      <w:proofErr w:type="spellStart"/>
      <w:r w:rsidR="00AE1000" w:rsidRPr="00CD6193">
        <w:rPr>
          <w:rFonts w:ascii="Book Antiqua" w:hAnsi="Book Antiqua" w:cs="Times New Roman"/>
          <w:sz w:val="24"/>
          <w:szCs w:val="24"/>
        </w:rPr>
        <w:t>Fuwai</w:t>
      </w:r>
      <w:proofErr w:type="spellEnd"/>
      <w:r w:rsidR="00AE1000" w:rsidRPr="00CD6193">
        <w:rPr>
          <w:rFonts w:ascii="Book Antiqua" w:hAnsi="Book Antiqua" w:cs="Times New Roman"/>
          <w:sz w:val="24"/>
          <w:szCs w:val="24"/>
        </w:rPr>
        <w:t xml:space="preserve"> Hospital, National Center for Cardiovascular Diseases, Chinese Academy of Medical Sciences and Peking Union Medical College</w:t>
      </w:r>
      <w:bookmarkEnd w:id="10"/>
      <w:bookmarkEnd w:id="11"/>
      <w:r w:rsidR="00E1331B" w:rsidRPr="00CD6193">
        <w:rPr>
          <w:rFonts w:ascii="Book Antiqua" w:hAnsi="Book Antiqua" w:cs="Times New Roman"/>
          <w:color w:val="000000" w:themeColor="text1"/>
          <w:sz w:val="24"/>
          <w:szCs w:val="24"/>
        </w:rPr>
        <w:t xml:space="preserve">, </w:t>
      </w:r>
      <w:bookmarkStart w:id="12" w:name="OLE_LINK220"/>
      <w:bookmarkStart w:id="13" w:name="OLE_LINK221"/>
      <w:r w:rsidR="00E1331B" w:rsidRPr="00CD6193">
        <w:rPr>
          <w:rFonts w:ascii="Book Antiqua" w:hAnsi="Book Antiqua" w:cs="Times New Roman"/>
          <w:color w:val="000000" w:themeColor="text1"/>
          <w:sz w:val="24"/>
          <w:szCs w:val="24"/>
        </w:rPr>
        <w:t xml:space="preserve">167 </w:t>
      </w:r>
      <w:proofErr w:type="spellStart"/>
      <w:r w:rsidR="00E1331B" w:rsidRPr="00CD6193">
        <w:rPr>
          <w:rFonts w:ascii="Book Antiqua" w:hAnsi="Book Antiqua" w:cs="Times New Roman"/>
          <w:color w:val="000000" w:themeColor="text1"/>
          <w:sz w:val="24"/>
          <w:szCs w:val="24"/>
        </w:rPr>
        <w:t>Beilishi</w:t>
      </w:r>
      <w:proofErr w:type="spellEnd"/>
      <w:r w:rsidR="00E1331B" w:rsidRPr="00CD6193">
        <w:rPr>
          <w:rFonts w:ascii="Book Antiqua" w:hAnsi="Book Antiqua" w:cs="Times New Roman"/>
          <w:color w:val="000000" w:themeColor="text1"/>
          <w:sz w:val="24"/>
          <w:szCs w:val="24"/>
        </w:rPr>
        <w:t xml:space="preserve"> Road, </w:t>
      </w:r>
      <w:proofErr w:type="spellStart"/>
      <w:r w:rsidR="00E1331B" w:rsidRPr="00CD6193">
        <w:rPr>
          <w:rFonts w:ascii="Book Antiqua" w:hAnsi="Book Antiqua" w:cs="Times New Roman"/>
          <w:color w:val="000000" w:themeColor="text1"/>
          <w:sz w:val="24"/>
          <w:szCs w:val="24"/>
        </w:rPr>
        <w:t>Xicheng</w:t>
      </w:r>
      <w:proofErr w:type="spellEnd"/>
      <w:r w:rsidR="00E1331B" w:rsidRPr="00CD6193">
        <w:rPr>
          <w:rFonts w:ascii="Book Antiqua" w:hAnsi="Book Antiqua" w:cs="Times New Roman"/>
          <w:color w:val="000000" w:themeColor="text1"/>
          <w:sz w:val="24"/>
          <w:szCs w:val="24"/>
        </w:rPr>
        <w:t xml:space="preserve"> District</w:t>
      </w:r>
      <w:bookmarkEnd w:id="12"/>
      <w:bookmarkEnd w:id="13"/>
      <w:r w:rsidR="00E1331B" w:rsidRPr="00CD6193">
        <w:rPr>
          <w:rFonts w:ascii="Book Antiqua" w:hAnsi="Book Antiqua" w:cs="Times New Roman"/>
          <w:color w:val="000000" w:themeColor="text1"/>
          <w:sz w:val="24"/>
          <w:szCs w:val="24"/>
        </w:rPr>
        <w:t xml:space="preserve">, Beijing 100037, China. </w:t>
      </w:r>
      <w:r w:rsidR="00E1331B" w:rsidRPr="00CD6193">
        <w:rPr>
          <w:rFonts w:ascii="Book Antiqua" w:hAnsi="Book Antiqua" w:cs="Times New Roman"/>
          <w:color w:val="000000" w:themeColor="text1"/>
          <w:sz w:val="24"/>
          <w:szCs w:val="24"/>
        </w:rPr>
        <w:lastRenderedPageBreak/>
        <w:t>zhihongliufuwai@163.com</w:t>
      </w:r>
    </w:p>
    <w:p w14:paraId="4EEF22C8"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7163C15" w14:textId="61F0DD32"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Received:</w:t>
      </w:r>
      <w:r w:rsidR="007E3B95" w:rsidRPr="00CD6193">
        <w:rPr>
          <w:rFonts w:ascii="Book Antiqua" w:hAnsi="Book Antiqua"/>
          <w:sz w:val="24"/>
          <w:szCs w:val="24"/>
        </w:rPr>
        <w:t xml:space="preserve"> </w:t>
      </w:r>
      <w:r w:rsidR="007E3B95" w:rsidRPr="00CD6193">
        <w:rPr>
          <w:rFonts w:ascii="Book Antiqua" w:hAnsi="Book Antiqua" w:cs="Times New Roman"/>
          <w:color w:val="000000" w:themeColor="text1"/>
          <w:sz w:val="24"/>
          <w:szCs w:val="24"/>
        </w:rPr>
        <w:t>March 22, 2020</w:t>
      </w:r>
    </w:p>
    <w:p w14:paraId="3B0BBAE9" w14:textId="783549FD" w:rsidR="00E1331B" w:rsidRPr="008F07F0"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Revised:</w:t>
      </w:r>
      <w:r w:rsidR="008F07F0">
        <w:rPr>
          <w:rFonts w:ascii="Book Antiqua" w:hAnsi="Book Antiqua" w:cs="Times New Roman"/>
          <w:b/>
          <w:bCs/>
          <w:color w:val="000000" w:themeColor="text1"/>
          <w:sz w:val="24"/>
          <w:szCs w:val="24"/>
        </w:rPr>
        <w:t xml:space="preserve"> </w:t>
      </w:r>
      <w:r w:rsidR="008F07F0" w:rsidRPr="008F07F0">
        <w:rPr>
          <w:rFonts w:ascii="Book Antiqua" w:hAnsi="Book Antiqua" w:cs="Times New Roman"/>
          <w:color w:val="000000" w:themeColor="text1"/>
          <w:sz w:val="24"/>
          <w:szCs w:val="24"/>
        </w:rPr>
        <w:t>May 28, 2020</w:t>
      </w:r>
    </w:p>
    <w:p w14:paraId="4C0E48D9" w14:textId="2DFAFCF6"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Accepted:</w:t>
      </w:r>
      <w:r w:rsidR="00BE2B54" w:rsidRPr="00BE2B54">
        <w:t xml:space="preserve"> </w:t>
      </w:r>
      <w:r w:rsidR="00BE2B54" w:rsidRPr="00BE2B54">
        <w:rPr>
          <w:rFonts w:ascii="Book Antiqua" w:hAnsi="Book Antiqua" w:cs="Times New Roman"/>
          <w:color w:val="000000" w:themeColor="text1"/>
          <w:sz w:val="24"/>
          <w:szCs w:val="24"/>
        </w:rPr>
        <w:t>June 10, 2020</w:t>
      </w:r>
    </w:p>
    <w:p w14:paraId="5B0D7C41" w14:textId="6AE1159E"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t>Published online:</w:t>
      </w:r>
      <w:r w:rsidR="00A63E45">
        <w:rPr>
          <w:rFonts w:hint="eastAsia"/>
        </w:rPr>
        <w:t xml:space="preserve"> </w:t>
      </w:r>
      <w:r w:rsidR="00A63E45" w:rsidRPr="00A63E45">
        <w:rPr>
          <w:rFonts w:ascii="Book Antiqua" w:hAnsi="Book Antiqua" w:cs="Times New Roman"/>
          <w:bCs/>
          <w:color w:val="000000" w:themeColor="text1"/>
          <w:sz w:val="24"/>
          <w:szCs w:val="24"/>
        </w:rPr>
        <w:t>July 6, 2020</w:t>
      </w:r>
    </w:p>
    <w:p w14:paraId="2F64B822"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footerReference w:type="default" r:id="rId8"/>
          <w:pgSz w:w="11906" w:h="16838"/>
          <w:pgMar w:top="1440" w:right="1080" w:bottom="1440" w:left="1080" w:header="851" w:footer="992" w:gutter="0"/>
          <w:cols w:space="425"/>
          <w:docGrid w:type="lines" w:linePitch="312"/>
        </w:sectPr>
      </w:pPr>
    </w:p>
    <w:p w14:paraId="45F8C71E"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r w:rsidRPr="00CD6193">
        <w:rPr>
          <w:rFonts w:ascii="Book Antiqua" w:hAnsi="Book Antiqua" w:cs="Times New Roman"/>
          <w:b/>
          <w:bCs/>
          <w:color w:val="000000" w:themeColor="text1"/>
          <w:sz w:val="24"/>
          <w:szCs w:val="24"/>
        </w:rPr>
        <w:lastRenderedPageBreak/>
        <w:t>Abstract</w:t>
      </w:r>
    </w:p>
    <w:p w14:paraId="73FBB0C6" w14:textId="3F6383DD"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Chronic thromboembolic pulmonary hypertension (CTEPH) is a complex chronic disease in which pulmonary artery stenosis or obstruction caused by organized thrombus can lead to increased pulmonary artery pressure and pulmonary </w:t>
      </w:r>
      <w:r w:rsidR="00AB282D" w:rsidRPr="00CD6193">
        <w:rPr>
          <w:rFonts w:ascii="Book Antiqua" w:hAnsi="Book Antiqua" w:cs="Times New Roman"/>
          <w:color w:val="000000" w:themeColor="text1"/>
          <w:sz w:val="24"/>
          <w:szCs w:val="24"/>
        </w:rPr>
        <w:t>vascular</w:t>
      </w:r>
      <w:r w:rsidRPr="00CD6193">
        <w:rPr>
          <w:rFonts w:ascii="Book Antiqua" w:hAnsi="Book Antiqua" w:cs="Times New Roman"/>
          <w:color w:val="000000" w:themeColor="text1"/>
          <w:sz w:val="24"/>
          <w:szCs w:val="24"/>
        </w:rPr>
        <w:t xml:space="preserve"> resistance, ultimately triggering progressive right heart failure and death. Currently, its exact mechanism </w:t>
      </w:r>
      <w:r w:rsidR="001A2757">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not fully understood. </w:t>
      </w:r>
      <w:bookmarkStart w:id="14" w:name="OLE_LINK170"/>
      <w:bookmarkStart w:id="15" w:name="OLE_LINK171"/>
      <w:r w:rsidRPr="00CD6193">
        <w:rPr>
          <w:rFonts w:ascii="Book Antiqua" w:hAnsi="Book Antiqua" w:cs="Times New Roman"/>
          <w:color w:val="000000" w:themeColor="text1"/>
          <w:sz w:val="24"/>
          <w:szCs w:val="24"/>
        </w:rPr>
        <w:t>Pulmonary endarterectomy</w:t>
      </w:r>
      <w:bookmarkEnd w:id="14"/>
      <w:bookmarkEnd w:id="15"/>
      <w:r w:rsidRPr="00CD6193">
        <w:rPr>
          <w:rFonts w:ascii="Book Antiqua" w:hAnsi="Book Antiqua" w:cs="Times New Roman"/>
          <w:color w:val="000000" w:themeColor="text1"/>
          <w:sz w:val="24"/>
          <w:szCs w:val="24"/>
        </w:rPr>
        <w:t xml:space="preserve"> (PEA) has immediate effects with low perioperative mortality and satisfactory prognosis in experienced expert centers for CTEPH patients with proximal lesions. Nevertheless, 37% of patients are deemed unsuitable for PEA surgery due to comorbidities and other factors, and nearly half of the operated patients have residual or recurrent pulmonary hypertension.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is the only approved drug </w:t>
      </w:r>
      <w:r w:rsidR="001A2757">
        <w:rPr>
          <w:rFonts w:ascii="Book Antiqua" w:hAnsi="Book Antiqua" w:cs="Times New Roman"/>
          <w:color w:val="000000" w:themeColor="text1"/>
          <w:sz w:val="24"/>
          <w:szCs w:val="24"/>
        </w:rPr>
        <w:t>for CTEPH</w:t>
      </w:r>
      <w:r w:rsidR="00CD56A6">
        <w:rPr>
          <w:rFonts w:ascii="Book Antiqua" w:hAnsi="Book Antiqua" w:cs="Times New Roman"/>
          <w:color w:val="000000" w:themeColor="text1"/>
          <w:sz w:val="24"/>
          <w:szCs w:val="24"/>
        </w:rPr>
        <w:t>,</w:t>
      </w:r>
      <w:r w:rsidR="001A2757">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although </w:t>
      </w:r>
      <w:r w:rsidR="00CD56A6">
        <w:rPr>
          <w:rFonts w:ascii="Book Antiqua" w:hAnsi="Book Antiqua" w:cs="Times New Roman"/>
          <w:color w:val="000000" w:themeColor="text1"/>
          <w:sz w:val="24"/>
          <w:szCs w:val="24"/>
        </w:rPr>
        <w:t xml:space="preserve">its </w:t>
      </w:r>
      <w:r w:rsidRPr="00CD6193">
        <w:rPr>
          <w:rFonts w:ascii="Book Antiqua" w:hAnsi="Book Antiqua" w:cs="Times New Roman"/>
          <w:color w:val="000000" w:themeColor="text1"/>
          <w:sz w:val="24"/>
          <w:szCs w:val="24"/>
        </w:rPr>
        <w:t xml:space="preserve">effect </w:t>
      </w:r>
      <w:r w:rsidR="001A2757">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limited. Balloon pulmonary angioplasty (BPA) is a promising alternative treatment for patients with CTEPH. After more than 30 years of development and refinements, emerging evidence ha</w:t>
      </w:r>
      <w:r w:rsidR="001A2757">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confirmed its role in patients with inoperable CTEPH or residual/recurrent pulmonary hypertension, with acceptable complications and comparable long-term prognosis to PEA. This review summarizes the pathophysiology of CTEPH, BPA history and development, therapeutic principles, indications and contraindications, interventional procedures, imaging modalities, efficacy and prognosis, complications and management, bridging and hybrid therapies, ongoing clinical trials and future prospects.</w:t>
      </w:r>
    </w:p>
    <w:p w14:paraId="19B984D5"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D299E3E"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b/>
          <w:bCs/>
          <w:color w:val="000000" w:themeColor="text1"/>
          <w:sz w:val="24"/>
          <w:szCs w:val="24"/>
        </w:rPr>
        <w:t>Key words:</w:t>
      </w:r>
      <w:r w:rsidRPr="00CD6193">
        <w:rPr>
          <w:rFonts w:ascii="Book Antiqua" w:hAnsi="Book Antiqua" w:cs="Times New Roman"/>
          <w:color w:val="000000" w:themeColor="text1"/>
          <w:sz w:val="24"/>
          <w:szCs w:val="24"/>
        </w:rPr>
        <w:t xml:space="preserve"> </w:t>
      </w:r>
      <w:bookmarkStart w:id="16" w:name="OLE_LINK222"/>
      <w:bookmarkStart w:id="17" w:name="OLE_LINK223"/>
      <w:r w:rsidRPr="00CD6193">
        <w:rPr>
          <w:rFonts w:ascii="Book Antiqua" w:hAnsi="Book Antiqua" w:cs="Times New Roman"/>
          <w:color w:val="000000" w:themeColor="text1"/>
          <w:sz w:val="24"/>
          <w:szCs w:val="24"/>
        </w:rPr>
        <w:t>Chronic thromboembolic pulmonary hypertension</w:t>
      </w:r>
      <w:bookmarkEnd w:id="16"/>
      <w:bookmarkEnd w:id="17"/>
      <w:r w:rsidRPr="00CD6193">
        <w:rPr>
          <w:rFonts w:ascii="Book Antiqua" w:hAnsi="Book Antiqua" w:cs="Times New Roman"/>
          <w:color w:val="000000" w:themeColor="text1"/>
          <w:sz w:val="24"/>
          <w:szCs w:val="24"/>
        </w:rPr>
        <w:t xml:space="preserve">; </w:t>
      </w:r>
      <w:bookmarkStart w:id="18" w:name="OLE_LINK224"/>
      <w:bookmarkStart w:id="19" w:name="OLE_LINK225"/>
      <w:r w:rsidRPr="00CD6193">
        <w:rPr>
          <w:rFonts w:ascii="Book Antiqua" w:hAnsi="Book Antiqua" w:cs="Times New Roman"/>
          <w:color w:val="000000" w:themeColor="text1"/>
          <w:sz w:val="24"/>
          <w:szCs w:val="24"/>
        </w:rPr>
        <w:t>Pulmonary endarterectomy</w:t>
      </w:r>
      <w:bookmarkEnd w:id="18"/>
      <w:bookmarkEnd w:id="19"/>
      <w:r w:rsidRPr="00CD6193">
        <w:rPr>
          <w:rFonts w:ascii="Book Antiqua" w:hAnsi="Book Antiqua" w:cs="Times New Roman"/>
          <w:color w:val="000000" w:themeColor="text1"/>
          <w:sz w:val="24"/>
          <w:szCs w:val="24"/>
        </w:rPr>
        <w:t xml:space="preserve">; Balloon pulmonary angioplasty; </w:t>
      </w:r>
      <w:bookmarkStart w:id="20" w:name="OLE_LINK226"/>
      <w:bookmarkStart w:id="21" w:name="OLE_LINK227"/>
      <w:r w:rsidRPr="00CD6193">
        <w:rPr>
          <w:rFonts w:ascii="Book Antiqua" w:hAnsi="Book Antiqua" w:cs="Times New Roman"/>
          <w:color w:val="000000" w:themeColor="text1"/>
          <w:sz w:val="24"/>
          <w:szCs w:val="24"/>
        </w:rPr>
        <w:t>Targeted therapy</w:t>
      </w:r>
      <w:bookmarkEnd w:id="20"/>
      <w:bookmarkEnd w:id="21"/>
    </w:p>
    <w:p w14:paraId="40A89993" w14:textId="77777777" w:rsidR="00B011F9" w:rsidRPr="00CD6193" w:rsidRDefault="00B011F9" w:rsidP="00CD6193">
      <w:pPr>
        <w:adjustRightInd w:val="0"/>
        <w:snapToGrid w:val="0"/>
        <w:spacing w:line="360" w:lineRule="auto"/>
        <w:rPr>
          <w:rFonts w:ascii="Book Antiqua" w:hAnsi="Book Antiqua" w:cs="Times New Roman"/>
          <w:color w:val="000000" w:themeColor="text1"/>
          <w:sz w:val="24"/>
          <w:szCs w:val="24"/>
        </w:rPr>
      </w:pPr>
    </w:p>
    <w:p w14:paraId="2DF270BD" w14:textId="77777777" w:rsidR="00206C0F" w:rsidRDefault="00E1331B" w:rsidP="00206C0F">
      <w:pPr>
        <w:adjustRightInd w:val="0"/>
        <w:snapToGrid w:val="0"/>
        <w:spacing w:line="360" w:lineRule="auto"/>
        <w:rPr>
          <w:rFonts w:ascii="Book Antiqua" w:hAnsi="Book Antiqua" w:cs="Times New Roman"/>
          <w:color w:val="000000" w:themeColor="text1"/>
          <w:sz w:val="24"/>
          <w:szCs w:val="24"/>
        </w:rPr>
      </w:pPr>
      <w:bookmarkStart w:id="22" w:name="OLE_LINK230"/>
      <w:bookmarkStart w:id="23" w:name="OLE_LINK231"/>
      <w:proofErr w:type="spellStart"/>
      <w:r w:rsidRPr="00CD6193">
        <w:rPr>
          <w:rFonts w:ascii="Book Antiqua" w:hAnsi="Book Antiqua" w:cs="Times New Roman"/>
          <w:color w:val="000000" w:themeColor="text1"/>
          <w:sz w:val="24"/>
          <w:szCs w:val="24"/>
        </w:rPr>
        <w:t>Jin</w:t>
      </w:r>
      <w:proofErr w:type="spellEnd"/>
      <w:r w:rsidRPr="00CD6193">
        <w:rPr>
          <w:rFonts w:ascii="Book Antiqua" w:hAnsi="Book Antiqua" w:cs="Times New Roman"/>
          <w:color w:val="000000" w:themeColor="text1"/>
          <w:sz w:val="24"/>
          <w:szCs w:val="24"/>
        </w:rPr>
        <w:t xml:space="preserve"> Q, </w:t>
      </w:r>
      <w:r w:rsidR="00B011F9" w:rsidRPr="00CD6193">
        <w:rPr>
          <w:rFonts w:ascii="Book Antiqua" w:hAnsi="Book Antiqua" w:cs="Times New Roman"/>
          <w:color w:val="000000" w:themeColor="text1"/>
          <w:sz w:val="24"/>
          <w:szCs w:val="24"/>
        </w:rPr>
        <w:t xml:space="preserve">Zhao ZH, Luo Q, Zhao Q, </w:t>
      </w:r>
      <w:r w:rsidRPr="00CD6193">
        <w:rPr>
          <w:rFonts w:ascii="Book Antiqua" w:hAnsi="Book Antiqua" w:cs="Times New Roman"/>
          <w:color w:val="000000" w:themeColor="text1"/>
          <w:sz w:val="24"/>
          <w:szCs w:val="24"/>
        </w:rPr>
        <w:t xml:space="preserve">Yan L, Zhang Y, Li X, </w:t>
      </w:r>
      <w:r w:rsidR="00B011F9" w:rsidRPr="00CD6193">
        <w:rPr>
          <w:rFonts w:ascii="Book Antiqua" w:hAnsi="Book Antiqua" w:cs="Times New Roman"/>
          <w:color w:val="000000" w:themeColor="text1"/>
          <w:sz w:val="24"/>
          <w:szCs w:val="24"/>
        </w:rPr>
        <w:t xml:space="preserve">Yang T, Zeng QX, </w:t>
      </w:r>
      <w:proofErr w:type="spellStart"/>
      <w:r w:rsidR="00B011F9" w:rsidRPr="00CD6193">
        <w:rPr>
          <w:rFonts w:ascii="Book Antiqua" w:hAnsi="Book Antiqua" w:cs="Times New Roman"/>
          <w:color w:val="000000" w:themeColor="text1"/>
          <w:sz w:val="24"/>
          <w:szCs w:val="24"/>
        </w:rPr>
        <w:t>Xiong</w:t>
      </w:r>
      <w:proofErr w:type="spellEnd"/>
      <w:r w:rsidR="00B011F9" w:rsidRPr="00CD6193">
        <w:rPr>
          <w:rFonts w:ascii="Book Antiqua" w:hAnsi="Book Antiqua" w:cs="Times New Roman"/>
          <w:color w:val="000000" w:themeColor="text1"/>
          <w:sz w:val="24"/>
          <w:szCs w:val="24"/>
        </w:rPr>
        <w:t xml:space="preserve"> CM</w:t>
      </w:r>
      <w:r w:rsidRPr="00CD6193">
        <w:rPr>
          <w:rFonts w:ascii="Book Antiqua" w:hAnsi="Book Antiqua" w:cs="Times New Roman"/>
          <w:color w:val="000000" w:themeColor="text1"/>
          <w:sz w:val="24"/>
          <w:szCs w:val="24"/>
        </w:rPr>
        <w:t xml:space="preserve">, Liu ZH. Balloon pulmonary angioplasty for chronic thromboembolic pulmonary hypertension: </w:t>
      </w:r>
      <w:r w:rsidR="004670FA">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tate of the art</w:t>
      </w:r>
      <w:r w:rsidR="00750221" w:rsidRPr="00CD6193">
        <w:rPr>
          <w:rFonts w:ascii="Book Antiqua" w:hAnsi="Book Antiqua" w:cs="Times New Roman"/>
          <w:color w:val="000000" w:themeColor="text1"/>
          <w:sz w:val="24"/>
          <w:szCs w:val="24"/>
        </w:rPr>
        <w:t xml:space="preserve">. </w:t>
      </w:r>
      <w:r w:rsidR="00750221" w:rsidRPr="00CD6193">
        <w:rPr>
          <w:rFonts w:ascii="Book Antiqua" w:hAnsi="Book Antiqua" w:cs="Times New Roman"/>
          <w:i/>
          <w:iCs/>
          <w:color w:val="000000" w:themeColor="text1"/>
          <w:sz w:val="24"/>
          <w:szCs w:val="24"/>
        </w:rPr>
        <w:t xml:space="preserve">World J </w:t>
      </w:r>
      <w:proofErr w:type="spellStart"/>
      <w:r w:rsidR="00750221" w:rsidRPr="00CD6193">
        <w:rPr>
          <w:rFonts w:ascii="Book Antiqua" w:hAnsi="Book Antiqua" w:cs="Times New Roman"/>
          <w:i/>
          <w:iCs/>
          <w:color w:val="000000" w:themeColor="text1"/>
          <w:sz w:val="24"/>
          <w:szCs w:val="24"/>
        </w:rPr>
        <w:t>Clin</w:t>
      </w:r>
      <w:proofErr w:type="spellEnd"/>
      <w:r w:rsidR="00750221" w:rsidRPr="00CD6193">
        <w:rPr>
          <w:rFonts w:ascii="Book Antiqua" w:hAnsi="Book Antiqua" w:cs="Times New Roman"/>
          <w:i/>
          <w:iCs/>
          <w:color w:val="000000" w:themeColor="text1"/>
          <w:sz w:val="24"/>
          <w:szCs w:val="24"/>
        </w:rPr>
        <w:t xml:space="preserve"> Cases</w:t>
      </w:r>
      <w:r w:rsidR="00750221" w:rsidRPr="00CD6193">
        <w:rPr>
          <w:rFonts w:ascii="Book Antiqua" w:hAnsi="Book Antiqua" w:cs="Times New Roman"/>
          <w:color w:val="000000" w:themeColor="text1"/>
          <w:sz w:val="24"/>
          <w:szCs w:val="24"/>
        </w:rPr>
        <w:t xml:space="preserve"> 2020</w:t>
      </w:r>
      <w:r w:rsidR="00A63E45">
        <w:rPr>
          <w:rFonts w:ascii="Book Antiqua" w:hAnsi="Book Antiqua" w:cs="Times New Roman"/>
          <w:color w:val="000000" w:themeColor="text1"/>
          <w:sz w:val="24"/>
          <w:szCs w:val="24"/>
        </w:rPr>
        <w:t>;</w:t>
      </w:r>
      <w:r w:rsidR="00A63E45">
        <w:rPr>
          <w:rFonts w:ascii="Book Antiqua" w:hAnsi="Book Antiqua" w:cs="Times New Roman" w:hint="eastAsia"/>
          <w:color w:val="000000" w:themeColor="text1"/>
          <w:sz w:val="24"/>
          <w:szCs w:val="24"/>
        </w:rPr>
        <w:t xml:space="preserve"> </w:t>
      </w:r>
      <w:r w:rsidR="00A63E45" w:rsidRPr="00A63E45">
        <w:rPr>
          <w:rFonts w:ascii="Book Antiqua" w:hAnsi="Book Antiqua" w:cs="Times New Roman"/>
          <w:color w:val="000000" w:themeColor="text1"/>
          <w:sz w:val="24"/>
          <w:szCs w:val="24"/>
        </w:rPr>
        <w:t xml:space="preserve">8(13): </w:t>
      </w:r>
      <w:bookmarkEnd w:id="22"/>
      <w:bookmarkEnd w:id="23"/>
      <w:r w:rsidR="00206C0F">
        <w:rPr>
          <w:rFonts w:ascii="Book Antiqua" w:hAnsi="Book Antiqua" w:cs="Times New Roman" w:hint="eastAsia"/>
          <w:color w:val="000000" w:themeColor="text1"/>
          <w:sz w:val="24"/>
          <w:szCs w:val="24"/>
        </w:rPr>
        <w:t>2679-2702</w:t>
      </w:r>
      <w:r w:rsidR="00206C0F" w:rsidRPr="00243E89">
        <w:rPr>
          <w:rFonts w:ascii="Book Antiqua" w:hAnsi="Book Antiqua" w:cs="Times New Roman"/>
          <w:color w:val="000000" w:themeColor="text1"/>
          <w:sz w:val="24"/>
          <w:szCs w:val="24"/>
        </w:rPr>
        <w:t xml:space="preserve"> URL: https://www.wjgnet.com/2307-8960/full/v8/i13/</w:t>
      </w:r>
      <w:r w:rsidR="00206C0F">
        <w:rPr>
          <w:rFonts w:ascii="Book Antiqua" w:hAnsi="Book Antiqua" w:cs="Times New Roman" w:hint="eastAsia"/>
          <w:color w:val="000000" w:themeColor="text1"/>
          <w:sz w:val="24"/>
          <w:szCs w:val="24"/>
        </w:rPr>
        <w:t>2679.</w:t>
      </w:r>
      <w:r w:rsidR="00206C0F" w:rsidRPr="00243E89">
        <w:rPr>
          <w:rFonts w:ascii="Book Antiqua" w:hAnsi="Book Antiqua" w:cs="Times New Roman"/>
          <w:color w:val="000000" w:themeColor="text1"/>
          <w:sz w:val="24"/>
          <w:szCs w:val="24"/>
        </w:rPr>
        <w:t xml:space="preserve">htm DOI: </w:t>
      </w:r>
      <w:bookmarkStart w:id="24" w:name="_GoBack"/>
      <w:r w:rsidR="00206C0F" w:rsidRPr="00243E89">
        <w:rPr>
          <w:rFonts w:ascii="Book Antiqua" w:hAnsi="Book Antiqua" w:cs="Times New Roman"/>
          <w:color w:val="000000" w:themeColor="text1"/>
          <w:sz w:val="24"/>
          <w:szCs w:val="24"/>
        </w:rPr>
        <w:t>https://dx.doi.org/10.12998/wjcc.v8.i13.</w:t>
      </w:r>
      <w:r w:rsidR="00206C0F">
        <w:rPr>
          <w:rFonts w:ascii="Book Antiqua" w:hAnsi="Book Antiqua" w:cs="Times New Roman" w:hint="eastAsia"/>
          <w:color w:val="000000" w:themeColor="text1"/>
          <w:sz w:val="24"/>
          <w:szCs w:val="24"/>
        </w:rPr>
        <w:t>2679</w:t>
      </w:r>
      <w:bookmarkEnd w:id="24"/>
    </w:p>
    <w:p w14:paraId="73D1F7D4" w14:textId="135E9122" w:rsidR="004670FA" w:rsidRPr="00206C0F" w:rsidRDefault="004670FA" w:rsidP="00CD6193">
      <w:pPr>
        <w:adjustRightInd w:val="0"/>
        <w:snapToGrid w:val="0"/>
        <w:spacing w:line="360" w:lineRule="auto"/>
        <w:rPr>
          <w:rFonts w:ascii="Book Antiqua" w:hAnsi="Book Antiqua" w:cs="Times New Roman"/>
          <w:color w:val="000000" w:themeColor="text1"/>
          <w:sz w:val="24"/>
          <w:szCs w:val="24"/>
        </w:rPr>
      </w:pPr>
    </w:p>
    <w:p w14:paraId="2648045D" w14:textId="2B13FA35"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color w:val="000000" w:themeColor="text1"/>
          <w:sz w:val="24"/>
          <w:szCs w:val="24"/>
        </w:rPr>
        <w:t>Core tip:</w:t>
      </w:r>
      <w:r w:rsidRPr="00CD6193">
        <w:rPr>
          <w:rFonts w:ascii="Book Antiqua" w:hAnsi="Book Antiqua" w:cs="Times New Roman"/>
          <w:color w:val="000000" w:themeColor="text1"/>
          <w:sz w:val="24"/>
          <w:szCs w:val="24"/>
        </w:rPr>
        <w:t xml:space="preserve"> </w:t>
      </w:r>
      <w:bookmarkStart w:id="25" w:name="OLE_LINK228"/>
      <w:bookmarkStart w:id="26" w:name="OLE_LINK229"/>
      <w:r w:rsidRPr="00CD6193">
        <w:rPr>
          <w:rFonts w:ascii="Book Antiqua" w:hAnsi="Book Antiqua" w:cs="Times New Roman"/>
          <w:color w:val="000000" w:themeColor="text1"/>
          <w:sz w:val="24"/>
          <w:szCs w:val="24"/>
        </w:rPr>
        <w:t xml:space="preserve">Chronic thromboembolic pulmonary hypertension (CTEPH) is a serious chronic disease with a poor prognosis if left untreated. Pulmonary endarterectomy (PEA) is the </w:t>
      </w:r>
      <w:r w:rsidRPr="00CD6193">
        <w:rPr>
          <w:rFonts w:ascii="Book Antiqua" w:hAnsi="Book Antiqua" w:cs="Times New Roman"/>
          <w:color w:val="000000" w:themeColor="text1"/>
          <w:sz w:val="24"/>
          <w:szCs w:val="24"/>
        </w:rPr>
        <w:lastRenderedPageBreak/>
        <w:t xml:space="preserve">only curable treatment of choice for certain CTEPH patients with proximal vessel lesions. Balloon pulmonary angioplasty (BPA) is a promising alternative interventional option for patients with CTEPH, especially those with distal lesions or residual/recurrent pulmonary hypertension after PEA. Herein, we summarize the pathophysiology of CTEPH, the history and development of BPA, therapeutic principles, indications and contraindications, interventional procedures, imaging modalities, efficacy and prognosis, complications and management, bridging and hybrid therapies, ongoing clinical trials and future prospects. </w:t>
      </w:r>
      <w:bookmarkEnd w:id="25"/>
      <w:bookmarkEnd w:id="26"/>
    </w:p>
    <w:p w14:paraId="33DC17F0" w14:textId="527E165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lastRenderedPageBreak/>
        <w:t>INTRODUCTION</w:t>
      </w:r>
    </w:p>
    <w:p w14:paraId="1D8F15DA" w14:textId="1E9183F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Chronic thromboembolic pulmonary hypertension (CTEPH) is characterized by precapillary pulmonary hypertension (PH) hemodynamically defined as mean pulmonary arterial pressure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 25 mmHg and a normal pulmonary artery wedge pressure ≤ 15 mmHg</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during resting right heart catheterization (RHC), with thromboembolic evidence showing mismatched perfusion defects in pulmonary arteries on computed tomographic pulmonary angiography (CTPA), lung perfusion scintigraphy or pulmonary angiography despite effective anticoagulation therapy for at least three months. If left untreated, CTEPH will rapidly progress and seriously threaten people’s lives</w:t>
      </w:r>
      <w:r w:rsidRPr="00CD6193">
        <w:rPr>
          <w:rFonts w:ascii="Book Antiqua" w:hAnsi="Book Antiqua" w:cs="Times New Roman"/>
          <w:noProof/>
          <w:color w:val="000000" w:themeColor="text1"/>
          <w:sz w:val="24"/>
          <w:szCs w:val="24"/>
          <w:vertAlign w:val="superscript"/>
        </w:rPr>
        <w:t>[1]</w:t>
      </w:r>
      <w:r w:rsidRPr="00CD6193">
        <w:rPr>
          <w:rFonts w:ascii="Book Antiqua" w:hAnsi="Book Antiqua" w:cs="Times New Roman"/>
          <w:color w:val="000000" w:themeColor="text1"/>
          <w:sz w:val="24"/>
          <w:szCs w:val="24"/>
        </w:rPr>
        <w:t xml:space="preserve">, and CTEPH patients with </w:t>
      </w:r>
      <w:proofErr w:type="spellStart"/>
      <w:r w:rsidRPr="00CD6193">
        <w:rPr>
          <w:rFonts w:ascii="Book Antiqua" w:hAnsi="Book Antiqua" w:cs="Times New Roman"/>
          <w:color w:val="000000" w:themeColor="text1"/>
          <w:sz w:val="24"/>
          <w:szCs w:val="24"/>
        </w:rPr>
        <w:t>mPAP</w:t>
      </w:r>
      <w:proofErr w:type="spellEnd"/>
      <w:r w:rsidR="007934E2" w:rsidRPr="00CD6193">
        <w:rPr>
          <w:rFonts w:ascii="Book Antiqua" w:hAnsi="Book Antiqua" w:cs="Times New Roman"/>
          <w:color w:val="000000" w:themeColor="text1"/>
          <w:sz w:val="24"/>
          <w:szCs w:val="24"/>
        </w:rPr>
        <w:t xml:space="preserve"> &gt; </w:t>
      </w:r>
      <w:r w:rsidRPr="00CD6193">
        <w:rPr>
          <w:rFonts w:ascii="Book Antiqua" w:hAnsi="Book Antiqua" w:cs="Times New Roman"/>
          <w:color w:val="000000" w:themeColor="text1"/>
          <w:sz w:val="24"/>
          <w:szCs w:val="24"/>
        </w:rPr>
        <w:t>30 mmHg ha</w:t>
      </w:r>
      <w:r w:rsidR="00BC3892">
        <w:rPr>
          <w:rFonts w:ascii="Book Antiqua" w:hAnsi="Book Antiqua" w:cs="Times New Roman"/>
          <w:color w:val="000000" w:themeColor="text1"/>
          <w:sz w:val="24"/>
          <w:szCs w:val="24"/>
        </w:rPr>
        <w:t>ve</w:t>
      </w:r>
      <w:r w:rsidRPr="00CD6193">
        <w:rPr>
          <w:rFonts w:ascii="Book Antiqua" w:hAnsi="Book Antiqua" w:cs="Times New Roman"/>
          <w:color w:val="000000" w:themeColor="text1"/>
          <w:sz w:val="24"/>
          <w:szCs w:val="24"/>
        </w:rPr>
        <w:t xml:space="preserve"> a relatively poor prognosis</w:t>
      </w:r>
      <w:r w:rsidRPr="00CD6193">
        <w:rPr>
          <w:rFonts w:ascii="Book Antiqua" w:hAnsi="Book Antiqua" w:cs="Times New Roman"/>
          <w:noProof/>
          <w:color w:val="000000" w:themeColor="text1"/>
          <w:sz w:val="24"/>
          <w:szCs w:val="24"/>
          <w:vertAlign w:val="superscript"/>
        </w:rPr>
        <w:t>[2]</w:t>
      </w:r>
      <w:r w:rsidRPr="00CD6193">
        <w:rPr>
          <w:rFonts w:ascii="Book Antiqua" w:hAnsi="Book Antiqua" w:cs="Times New Roman"/>
          <w:color w:val="000000" w:themeColor="text1"/>
          <w:sz w:val="24"/>
          <w:szCs w:val="24"/>
        </w:rPr>
        <w:t xml:space="preserve">, with a 5-year survival rate of 30% for those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&gt; 40 mmHg and 10% for those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&gt; 50 mmHg</w:t>
      </w:r>
      <w:r w:rsidRPr="00CD6193">
        <w:rPr>
          <w:rFonts w:ascii="Book Antiqua" w:hAnsi="Book Antiqua" w:cs="Times New Roman"/>
          <w:noProof/>
          <w:color w:val="000000" w:themeColor="text1"/>
          <w:sz w:val="24"/>
          <w:szCs w:val="24"/>
          <w:vertAlign w:val="superscript"/>
        </w:rPr>
        <w:t>[3,4]</w:t>
      </w:r>
      <w:r w:rsidRPr="00CD6193">
        <w:rPr>
          <w:rFonts w:ascii="Book Antiqua" w:hAnsi="Book Antiqua" w:cs="Times New Roman"/>
          <w:color w:val="000000" w:themeColor="text1"/>
          <w:sz w:val="24"/>
          <w:szCs w:val="24"/>
        </w:rPr>
        <w:t xml:space="preserve">. </w:t>
      </w:r>
    </w:p>
    <w:p w14:paraId="15460080" w14:textId="76039045" w:rsidR="00E1331B" w:rsidRPr="00CD6193" w:rsidRDefault="00E1331B" w:rsidP="00087621">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Pulmonary endarterectomy (PEA) remains the potentially curative treatment of choice with an in-hospital mortality rate of 2.2% for all eligible CTEPH patients at experienced centers and should be considered whenever possible</w:t>
      </w:r>
      <w:r w:rsidRPr="00CD6193">
        <w:rPr>
          <w:rFonts w:ascii="Book Antiqua" w:hAnsi="Book Antiqua" w:cs="Times New Roman"/>
          <w:noProof/>
          <w:color w:val="000000" w:themeColor="text1"/>
          <w:sz w:val="24"/>
          <w:szCs w:val="24"/>
          <w:vertAlign w:val="superscript"/>
        </w:rPr>
        <w:t>[5]</w:t>
      </w:r>
      <w:r w:rsidRPr="00CD6193">
        <w:rPr>
          <w:rFonts w:ascii="Book Antiqua" w:hAnsi="Book Antiqua" w:cs="Times New Roman"/>
          <w:color w:val="000000" w:themeColor="text1"/>
          <w:sz w:val="24"/>
          <w:szCs w:val="24"/>
        </w:rPr>
        <w:t xml:space="preserve">. </w:t>
      </w:r>
      <w:r w:rsidR="00BC3892">
        <w:rPr>
          <w:rFonts w:ascii="Book Antiqua" w:hAnsi="Book Antiqua" w:cs="Times New Roman"/>
          <w:color w:val="000000" w:themeColor="text1"/>
          <w:sz w:val="24"/>
          <w:szCs w:val="24"/>
        </w:rPr>
        <w:t>In m</w:t>
      </w:r>
      <w:r w:rsidRPr="00CD6193">
        <w:rPr>
          <w:rFonts w:ascii="Book Antiqua" w:hAnsi="Book Antiqua" w:cs="Times New Roman"/>
          <w:color w:val="000000" w:themeColor="text1"/>
          <w:sz w:val="24"/>
          <w:szCs w:val="24"/>
        </w:rPr>
        <w:t>ost CTEPH patients</w:t>
      </w:r>
      <w:r w:rsidR="00BC3892">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their postoperative hemodynamics return to normal or near normal, yet due to surgical inaccessibility and severe comorbidities, only </w:t>
      </w:r>
      <w:r w:rsidR="00BC3892">
        <w:rPr>
          <w:rFonts w:ascii="Book Antiqua" w:hAnsi="Book Antiqua" w:cs="Times New Roman"/>
          <w:color w:val="000000" w:themeColor="text1"/>
          <w:sz w:val="24"/>
          <w:szCs w:val="24"/>
        </w:rPr>
        <w:t>around</w:t>
      </w:r>
      <w:r w:rsidRPr="00CD6193">
        <w:rPr>
          <w:rFonts w:ascii="Book Antiqua" w:hAnsi="Book Antiqua" w:cs="Times New Roman"/>
          <w:color w:val="000000" w:themeColor="text1"/>
          <w:sz w:val="24"/>
          <w:szCs w:val="24"/>
        </w:rPr>
        <w:t xml:space="preserve"> 63% are eligible for PEA, and 17</w:t>
      </w:r>
      <w:r w:rsidR="00700B5E">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31% of CTEPH patients experience persistent or recurrent PH after surgery</w:t>
      </w:r>
      <w:r w:rsidRPr="00CD6193">
        <w:rPr>
          <w:rFonts w:ascii="Book Antiqua" w:hAnsi="Book Antiqua" w:cs="Times New Roman"/>
          <w:noProof/>
          <w:color w:val="000000" w:themeColor="text1"/>
          <w:sz w:val="24"/>
          <w:szCs w:val="24"/>
          <w:vertAlign w:val="superscript"/>
        </w:rPr>
        <w:t>[6-8]</w:t>
      </w:r>
      <w:r w:rsidRPr="00CD6193">
        <w:rPr>
          <w:rFonts w:ascii="Book Antiqua" w:hAnsi="Book Antiqua" w:cs="Times New Roman"/>
          <w:color w:val="000000" w:themeColor="text1"/>
          <w:sz w:val="24"/>
          <w:szCs w:val="24"/>
        </w:rPr>
        <w:t>, likely as a result of residual thrombi, concomitant pulmonary micro-vasculopathy, and recurrent thrombotic lesions</w:t>
      </w:r>
      <w:r w:rsidRPr="00CD6193">
        <w:rPr>
          <w:rFonts w:ascii="Book Antiqua" w:hAnsi="Book Antiqua" w:cs="Times New Roman"/>
          <w:noProof/>
          <w:color w:val="000000" w:themeColor="text1"/>
          <w:sz w:val="24"/>
          <w:szCs w:val="24"/>
          <w:vertAlign w:val="superscript"/>
        </w:rPr>
        <w:t>[9,10]</w:t>
      </w:r>
      <w:r w:rsidRPr="00CD6193">
        <w:rPr>
          <w:rFonts w:ascii="Book Antiqua" w:hAnsi="Book Antiqua" w:cs="Times New Roman"/>
          <w:color w:val="000000" w:themeColor="text1"/>
          <w:sz w:val="24"/>
          <w:szCs w:val="24"/>
        </w:rPr>
        <w:t xml:space="preserve">. In addition, some patients do decline invasive thoracotomy, which requires </w:t>
      </w:r>
      <w:r w:rsidR="00BC3892">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meticulous technique and can only be performed by an interdisciplinary team at limited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expert centers worldwide. </w:t>
      </w:r>
    </w:p>
    <w:p w14:paraId="398DD9BC" w14:textId="24444C0E" w:rsidR="00E1331B" w:rsidRPr="00CD6193" w:rsidRDefault="00E1331B" w:rsidP="00700B5E">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Currently, inoperable candidates have more options to receive medical and/or interventional therapies at specialized centers. With the great advances </w:t>
      </w:r>
      <w:r w:rsidR="00BC3892">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pulmonary arterial hypertension (PAH) targeted drugs, including endothelin receptor antagonists, phosphodiesterase type 5 inhibitors, soluble guanylate cyclase stimulators, prostacyclin and its analogues, and selective prostacyclin receptor agonists, the clinical condition and hemodynamic status among symptomatic PAH patients have been dramatically improved in recent years</w:t>
      </w:r>
      <w:r w:rsidRPr="00CD6193">
        <w:rPr>
          <w:rFonts w:ascii="Book Antiqua" w:hAnsi="Book Antiqua" w:cs="Times New Roman"/>
          <w:noProof/>
          <w:color w:val="000000" w:themeColor="text1"/>
          <w:sz w:val="24"/>
          <w:szCs w:val="24"/>
          <w:vertAlign w:val="superscript"/>
        </w:rPr>
        <w:t>[11]</w:t>
      </w:r>
      <w:r w:rsidRPr="00CD6193">
        <w:rPr>
          <w:rFonts w:ascii="Book Antiqua" w:hAnsi="Book Antiqua" w:cs="Times New Roman"/>
          <w:color w:val="000000" w:themeColor="text1"/>
          <w:sz w:val="24"/>
          <w:szCs w:val="24"/>
        </w:rPr>
        <w:t>; however, high-level evidence on the efficacy and safety of PAH targeted therapy for CTEPH patients remain</w:t>
      </w:r>
      <w:r w:rsidR="00BC3892">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far from enough worldwide</w:t>
      </w:r>
      <w:r w:rsidRPr="00CD6193">
        <w:rPr>
          <w:rFonts w:ascii="Book Antiqua" w:hAnsi="Book Antiqua" w:cs="Times New Roman"/>
          <w:noProof/>
          <w:color w:val="000000" w:themeColor="text1"/>
          <w:sz w:val="24"/>
          <w:szCs w:val="24"/>
          <w:vertAlign w:val="superscript"/>
        </w:rPr>
        <w:t>[12-16]</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a stimulator of soluble guanylate cyclase, is the first and only officially approved drug with an indication for inoperable or persistent/recurrent CTEPH. Nevertheless, it has limited </w:t>
      </w:r>
      <w:r w:rsidRPr="00CD6193">
        <w:rPr>
          <w:rFonts w:ascii="Book Antiqua" w:hAnsi="Book Antiqua" w:cs="Times New Roman"/>
          <w:color w:val="000000" w:themeColor="text1"/>
          <w:sz w:val="24"/>
          <w:szCs w:val="24"/>
        </w:rPr>
        <w:lastRenderedPageBreak/>
        <w:t xml:space="preserve">effects on reducing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despite improvements in pulmonary vascular resistance (PVR) and exercise </w:t>
      </w:r>
      <w:proofErr w:type="gramStart"/>
      <w:r w:rsidRPr="00CD6193">
        <w:rPr>
          <w:rFonts w:ascii="Book Antiqua" w:hAnsi="Book Antiqua" w:cs="Times New Roman"/>
          <w:color w:val="000000" w:themeColor="text1"/>
          <w:sz w:val="24"/>
          <w:szCs w:val="24"/>
        </w:rPr>
        <w:t>tolerance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was marketed in China in June 2018 and was partially covered by the national health insurance in November 2019. Even so, most PH patients cannot benefit from this promising drug due to high costs.</w:t>
      </w:r>
    </w:p>
    <w:p w14:paraId="11E6D3B9" w14:textId="7B9C2127" w:rsidR="00E1331B" w:rsidRPr="00CD6193" w:rsidRDefault="00E1331B" w:rsidP="00700B5E">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Balloon pulmonary angioplasty (BPA), also known as percutaneous transluminal pulmonary angioplasty, is a catheter-based interventional technique which uses appropriately sized balloons to dilate and open up stenotic or occluded pulmonary vessels under angiography</w:t>
      </w:r>
      <w:r w:rsidRPr="00CD6193">
        <w:rPr>
          <w:rFonts w:ascii="Book Antiqua" w:hAnsi="Book Antiqua"/>
          <w:sz w:val="24"/>
          <w:szCs w:val="24"/>
        </w:rPr>
        <w:t xml:space="preserve"> </w:t>
      </w:r>
      <w:r w:rsidRPr="00CD6193">
        <w:rPr>
          <w:rFonts w:ascii="Book Antiqua" w:hAnsi="Book Antiqua" w:cs="Times New Roman"/>
          <w:color w:val="000000" w:themeColor="text1"/>
          <w:sz w:val="24"/>
          <w:szCs w:val="24"/>
        </w:rPr>
        <w:t xml:space="preserve">guidance. Accumulating evidence suggests that it can strikingly improve hemodynamics, cardiac function and exercise tolerance with </w:t>
      </w:r>
      <w:r w:rsidR="00BC3892">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 xml:space="preserve">acceptable incidence of complications, and the long-term prognosis is encouragingly comparable to PEA </w:t>
      </w:r>
      <w:proofErr w:type="gramStart"/>
      <w:r w:rsidRPr="00CD6193">
        <w:rPr>
          <w:rFonts w:ascii="Book Antiqua" w:hAnsi="Book Antiqua" w:cs="Times New Roman"/>
          <w:color w:val="000000" w:themeColor="text1"/>
          <w:sz w:val="24"/>
          <w:szCs w:val="24"/>
        </w:rPr>
        <w:t>surgery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17,18]</w:t>
      </w:r>
      <w:r w:rsidRPr="00CD6193">
        <w:rPr>
          <w:rFonts w:ascii="Book Antiqua" w:hAnsi="Book Antiqua" w:cs="Times New Roman"/>
          <w:color w:val="000000" w:themeColor="text1"/>
          <w:sz w:val="24"/>
          <w:szCs w:val="24"/>
        </w:rPr>
        <w:t xml:space="preserve">. After more than 30 years of development and refinements (Figure 1), BPA is emerging as a promising alternative treatment option for CTEPH patients. However, there are still many issues worth exploring for BPA, such as the selection of patients, the establishment of </w:t>
      </w:r>
      <w:r w:rsidR="00BC3892">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standardized operation process and the reduction of complications, and this review aims to elaborate the latest progress of BPA from multiple perspectives.</w:t>
      </w:r>
    </w:p>
    <w:p w14:paraId="5F550C3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CC17F2D"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CTEPH PATHOPHYSIOLOGY</w:t>
      </w:r>
    </w:p>
    <w:p w14:paraId="0638D737" w14:textId="2FB0CC3B"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Pathologic examinations disclosed massive hypertensive lesions in small pulmonary arteries characterized by microvascular remodeling, irregular intimal thickening and fibromuscular hyperplasia, eccentric intimal fibrosis, and plexiform lesions that shared some similarities to those seen in idiopathic PAH</w:t>
      </w:r>
      <w:r w:rsidRPr="00CD6193">
        <w:rPr>
          <w:rFonts w:ascii="Book Antiqua" w:hAnsi="Book Antiqua" w:cs="Times New Roman"/>
          <w:noProof/>
          <w:color w:val="000000" w:themeColor="text1"/>
          <w:sz w:val="24"/>
          <w:szCs w:val="24"/>
          <w:vertAlign w:val="superscript"/>
        </w:rPr>
        <w:t>[19-21]</w:t>
      </w:r>
      <w:r w:rsidRPr="00CD6193">
        <w:rPr>
          <w:rFonts w:ascii="Book Antiqua" w:hAnsi="Book Antiqua" w:cs="Times New Roman"/>
          <w:color w:val="000000" w:themeColor="text1"/>
          <w:sz w:val="24"/>
          <w:szCs w:val="24"/>
        </w:rPr>
        <w:t>, likely as a result of endothelial cell proliferation/apoptosis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dysregulation, endothelial to mesenchymal transition, abnormal proliferation and migration of fibroblasts and smooth muscle cells, and inflammatory cells infiltration</w:t>
      </w:r>
      <w:r w:rsidRPr="00CD6193">
        <w:rPr>
          <w:rFonts w:ascii="Book Antiqua" w:hAnsi="Book Antiqua" w:cs="Times New Roman"/>
          <w:noProof/>
          <w:color w:val="000000" w:themeColor="text1"/>
          <w:sz w:val="24"/>
          <w:szCs w:val="24"/>
          <w:vertAlign w:val="superscript"/>
        </w:rPr>
        <w:t>[22,23]</w:t>
      </w:r>
      <w:r w:rsidRPr="00CD6193">
        <w:rPr>
          <w:rFonts w:ascii="Book Antiqua" w:hAnsi="Book Antiqua" w:cs="Times New Roman"/>
          <w:color w:val="000000" w:themeColor="text1"/>
          <w:sz w:val="24"/>
          <w:szCs w:val="24"/>
        </w:rPr>
        <w:t xml:space="preserve">. Our previous proteomic analyses of endarterectomized tissues from CTEPH patients revealed that the detected proteins were mainly involved in immune and defense responses, inflammatory responses, and </w:t>
      </w:r>
      <w:r w:rsidR="00BC389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complement and coagulation </w:t>
      </w:r>
      <w:proofErr w:type="gramStart"/>
      <w:r w:rsidRPr="00CD6193">
        <w:rPr>
          <w:rFonts w:ascii="Book Antiqua" w:hAnsi="Book Antiqua" w:cs="Times New Roman"/>
          <w:color w:val="000000" w:themeColor="text1"/>
          <w:sz w:val="24"/>
          <w:szCs w:val="24"/>
        </w:rPr>
        <w:t>cascade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24]</w:t>
      </w:r>
      <w:r w:rsidRPr="00CD6193">
        <w:rPr>
          <w:rFonts w:ascii="Book Antiqua" w:hAnsi="Book Antiqua" w:cs="Times New Roman"/>
          <w:color w:val="000000" w:themeColor="text1"/>
          <w:sz w:val="24"/>
          <w:szCs w:val="24"/>
        </w:rPr>
        <w:t xml:space="preserve">. The exact mechanisms of CTEPH remain poorly understood, genetic susceptibility and epigenetic modification, risk factors for thrombosis, imbalanced coagulation and fibrinolysis, inflammation and immune dysfunction, impaired angiogenesis, and vascular remodeling might collectively contribute to the onset and progression of </w:t>
      </w:r>
      <w:proofErr w:type="gramStart"/>
      <w:r w:rsidRPr="00CD6193">
        <w:rPr>
          <w:rFonts w:ascii="Book Antiqua" w:hAnsi="Book Antiqua" w:cs="Times New Roman"/>
          <w:color w:val="000000" w:themeColor="text1"/>
          <w:sz w:val="24"/>
          <w:szCs w:val="24"/>
        </w:rPr>
        <w:t>CTEPH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19,20,25,26]</w:t>
      </w:r>
      <w:r w:rsidRPr="00CD6193">
        <w:rPr>
          <w:rFonts w:ascii="Book Antiqua" w:hAnsi="Book Antiqua" w:cs="Times New Roman"/>
          <w:color w:val="000000" w:themeColor="text1"/>
          <w:sz w:val="24"/>
          <w:szCs w:val="24"/>
        </w:rPr>
        <w:t>.</w:t>
      </w:r>
    </w:p>
    <w:p w14:paraId="4DA501BE" w14:textId="6B26845C"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 xml:space="preserve">Unresolved organized thromboembolic material triggers narrowing or obliteration of pulmonary arteries, resulting in secondary redistribution of pulmonary blood flow between occluded and non-occluded vessels. Hemodynamic changes such as increased intravascular pressures and endothelial shear stress trigger microvascular endothelial dysfunction and vascular remodeling of pulmonary </w:t>
      </w:r>
      <w:proofErr w:type="gramStart"/>
      <w:r w:rsidRPr="00CD6193">
        <w:rPr>
          <w:rFonts w:ascii="Book Antiqua" w:hAnsi="Book Antiqua" w:cs="Times New Roman"/>
          <w:color w:val="000000" w:themeColor="text1"/>
          <w:sz w:val="24"/>
          <w:szCs w:val="24"/>
        </w:rPr>
        <w:t>vasculature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w:t>
      </w:r>
      <w:r w:rsidRPr="00CD6193">
        <w:rPr>
          <w:rFonts w:ascii="Book Antiqua" w:hAnsi="Book Antiqua" w:cs="Times New Roman"/>
          <w:color w:val="000000" w:themeColor="text1"/>
          <w:sz w:val="24"/>
          <w:szCs w:val="24"/>
        </w:rPr>
        <w:t xml:space="preserve">. Increased vascular resistance causes </w:t>
      </w:r>
      <w:r w:rsidR="0025181D" w:rsidRPr="00CD6193">
        <w:rPr>
          <w:rFonts w:ascii="Book Antiqua" w:hAnsi="Book Antiqua" w:cs="Times New Roman"/>
          <w:color w:val="000000" w:themeColor="text1"/>
          <w:sz w:val="24"/>
          <w:szCs w:val="24"/>
        </w:rPr>
        <w:t>elevated</w:t>
      </w:r>
      <w:r w:rsidR="0025181D" w:rsidRPr="00CD6193" w:rsidDel="0025181D">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pulmonary arterial pressure, which ultimately leads to increased right heart afterload and even right heart failure. As the tension of the right ventricular </w:t>
      </w:r>
      <w:r w:rsidR="00861552" w:rsidRPr="00CD6193">
        <w:rPr>
          <w:rFonts w:ascii="Book Antiqua" w:hAnsi="Book Antiqua" w:cs="Times New Roman"/>
          <w:color w:val="000000" w:themeColor="text1"/>
          <w:sz w:val="24"/>
          <w:szCs w:val="24"/>
        </w:rPr>
        <w:t xml:space="preserve">(RV) </w:t>
      </w:r>
      <w:r w:rsidRPr="00CD6193">
        <w:rPr>
          <w:rFonts w:ascii="Book Antiqua" w:hAnsi="Book Antiqua" w:cs="Times New Roman"/>
          <w:color w:val="000000" w:themeColor="text1"/>
          <w:sz w:val="24"/>
          <w:szCs w:val="24"/>
        </w:rPr>
        <w:t xml:space="preserve">wall increases, the interventricular septum shifts to the left, affecting left ventricle filling and cardiac output. In addition, organized thrombi block the blood flow path through the lungs, resulting in less blood entering the lungs for oxygenation and a severe mismatch of ventilation and perfusion, which in turn </w:t>
      </w:r>
      <w:r w:rsidR="00650529">
        <w:rPr>
          <w:rFonts w:ascii="Book Antiqua" w:hAnsi="Book Antiqua" w:cs="Times New Roman"/>
          <w:color w:val="000000" w:themeColor="text1"/>
          <w:sz w:val="24"/>
          <w:szCs w:val="24"/>
        </w:rPr>
        <w:t>results in</w:t>
      </w:r>
      <w:r w:rsidRPr="00CD6193">
        <w:rPr>
          <w:rFonts w:ascii="Book Antiqua" w:hAnsi="Book Antiqua" w:cs="Times New Roman"/>
          <w:color w:val="000000" w:themeColor="text1"/>
          <w:sz w:val="24"/>
          <w:szCs w:val="24"/>
        </w:rPr>
        <w:t xml:space="preserve"> </w:t>
      </w:r>
      <w:proofErr w:type="gramStart"/>
      <w:r w:rsidRPr="00CD6193">
        <w:rPr>
          <w:rFonts w:ascii="Book Antiqua" w:hAnsi="Book Antiqua" w:cs="Times New Roman"/>
          <w:color w:val="000000" w:themeColor="text1"/>
          <w:sz w:val="24"/>
          <w:szCs w:val="24"/>
        </w:rPr>
        <w:t>hypoxemia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27]</w:t>
      </w:r>
      <w:r w:rsidRPr="00CD6193">
        <w:rPr>
          <w:rFonts w:ascii="Book Antiqua" w:hAnsi="Book Antiqua" w:cs="Times New Roman"/>
          <w:color w:val="000000" w:themeColor="text1"/>
          <w:sz w:val="24"/>
          <w:szCs w:val="24"/>
        </w:rPr>
        <w:t>.</w:t>
      </w:r>
    </w:p>
    <w:p w14:paraId="4E40A8AB"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1938F60"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BPA HISTORY AND DEVELOPMENT</w:t>
      </w:r>
    </w:p>
    <w:p w14:paraId="34F014E4" w14:textId="12223D50"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Balloon angioplasty was firstly described to treat peripheral pulmonary artery stenosis in 1980</w:t>
      </w:r>
      <w:r w:rsidRPr="00CD6193">
        <w:rPr>
          <w:rFonts w:ascii="Book Antiqua" w:hAnsi="Book Antiqua" w:cs="Times New Roman"/>
          <w:noProof/>
          <w:color w:val="000000" w:themeColor="text1"/>
          <w:sz w:val="24"/>
          <w:szCs w:val="24"/>
          <w:vertAlign w:val="superscript"/>
        </w:rPr>
        <w:t>[28]</w:t>
      </w:r>
      <w:r w:rsidRPr="00CD6193">
        <w:rPr>
          <w:rFonts w:ascii="Book Antiqua" w:hAnsi="Book Antiqua" w:cs="Times New Roman"/>
          <w:color w:val="000000" w:themeColor="text1"/>
          <w:sz w:val="24"/>
          <w:szCs w:val="24"/>
        </w:rPr>
        <w:t xml:space="preserve">. Soon afterwards, Lock </w:t>
      </w:r>
      <w:r w:rsidR="00416A91" w:rsidRPr="00CD6193">
        <w:rPr>
          <w:rFonts w:ascii="Book Antiqua" w:hAnsi="Book Antiqua" w:cs="Times New Roman"/>
          <w:i/>
          <w:iCs/>
          <w:color w:val="000000" w:themeColor="text1"/>
          <w:sz w:val="24"/>
          <w:szCs w:val="24"/>
        </w:rPr>
        <w:t xml:space="preserve">et </w:t>
      </w:r>
      <w:proofErr w:type="gramStart"/>
      <w:r w:rsidR="00416A91" w:rsidRPr="00CD6193">
        <w:rPr>
          <w:rFonts w:ascii="Book Antiqua" w:hAnsi="Book Antiqua" w:cs="Times New Roman"/>
          <w:i/>
          <w:iCs/>
          <w:color w:val="000000" w:themeColor="text1"/>
          <w:sz w:val="24"/>
          <w:szCs w:val="24"/>
        </w:rPr>
        <w:t>al</w:t>
      </w:r>
      <w:r w:rsidR="00ED7938" w:rsidRPr="00CD6193">
        <w:rPr>
          <w:rFonts w:ascii="Book Antiqua" w:hAnsi="Book Antiqua" w:cs="Times New Roman"/>
          <w:noProof/>
          <w:color w:val="000000" w:themeColor="text1"/>
          <w:sz w:val="24"/>
          <w:szCs w:val="24"/>
          <w:vertAlign w:val="superscript"/>
        </w:rPr>
        <w:t>[</w:t>
      </w:r>
      <w:proofErr w:type="gramEnd"/>
      <w:r w:rsidR="00ED7938" w:rsidRPr="00CD6193">
        <w:rPr>
          <w:rFonts w:ascii="Book Antiqua" w:hAnsi="Book Antiqua" w:cs="Times New Roman"/>
          <w:noProof/>
          <w:color w:val="000000" w:themeColor="text1"/>
          <w:sz w:val="24"/>
          <w:szCs w:val="24"/>
          <w:vertAlign w:val="superscript"/>
        </w:rPr>
        <w:t>29]</w:t>
      </w:r>
      <w:r w:rsidRPr="00CD6193">
        <w:rPr>
          <w:rFonts w:ascii="Book Antiqua" w:hAnsi="Book Antiqua" w:cs="Times New Roman"/>
          <w:color w:val="000000" w:themeColor="text1"/>
          <w:sz w:val="24"/>
          <w:szCs w:val="24"/>
        </w:rPr>
        <w:t xml:space="preserve"> surgically created experimental bilateral branch pulmonary artery stenosis in newborn lambs, and validated the feasibility of balloon dilation in relieving acquired pulmonary artery narrowing, which directly impelled their initial clinical extension of balloon dilation angioplasty to similar lesions. Later in 1983, they demonstrated balloon dilation angioplasty could substantially decrease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pressure and gradient across the lesion, and increase pulmonary blood flow among children with either hypoplastic or stenotic pulmonary </w:t>
      </w:r>
      <w:proofErr w:type="gramStart"/>
      <w:r w:rsidRPr="00CD6193">
        <w:rPr>
          <w:rFonts w:ascii="Book Antiqua" w:hAnsi="Book Antiqua" w:cs="Times New Roman"/>
          <w:color w:val="000000" w:themeColor="text1"/>
          <w:sz w:val="24"/>
          <w:szCs w:val="24"/>
        </w:rPr>
        <w:t>arteries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30]</w:t>
      </w:r>
      <w:r w:rsidRPr="00CD6193">
        <w:rPr>
          <w:rFonts w:ascii="Book Antiqua" w:hAnsi="Book Antiqua" w:cs="Times New Roman"/>
          <w:color w:val="000000" w:themeColor="text1"/>
          <w:sz w:val="24"/>
          <w:szCs w:val="24"/>
        </w:rPr>
        <w:t>. Since then, several studies focusing on the successful use of balloon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angioplasty in peripheral pulmonary stenosis were </w:t>
      </w:r>
      <w:proofErr w:type="gramStart"/>
      <w:r w:rsidRPr="00CD6193">
        <w:rPr>
          <w:rFonts w:ascii="Book Antiqua" w:hAnsi="Book Antiqua" w:cs="Times New Roman"/>
          <w:color w:val="000000" w:themeColor="text1"/>
          <w:sz w:val="24"/>
          <w:szCs w:val="24"/>
        </w:rPr>
        <w:t>reported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31-38]</w:t>
      </w:r>
      <w:r w:rsidRPr="00CD6193">
        <w:rPr>
          <w:rFonts w:ascii="Book Antiqua" w:hAnsi="Book Antiqua" w:cs="Times New Roman"/>
          <w:color w:val="000000" w:themeColor="text1"/>
          <w:sz w:val="24"/>
          <w:szCs w:val="24"/>
        </w:rPr>
        <w:t>, indicating the highly reasonable therapeutic possibility in pulmonary vascular diseases.</w:t>
      </w:r>
    </w:p>
    <w:p w14:paraId="795E3F73" w14:textId="3FB0B502"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Balloon angioplasty was initially attempted in 1988 to treat acute pulmonary thromboembolism in the right descending branch of </w:t>
      </w:r>
      <w:r w:rsidR="00650529">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pulmonary artery in a patient who had poor response to anticoagulant and thrombolytic therapy</w:t>
      </w:r>
      <w:r w:rsidRPr="00CD6193">
        <w:rPr>
          <w:rFonts w:ascii="Book Antiqua" w:hAnsi="Book Antiqua" w:cs="Times New Roman"/>
          <w:noProof/>
          <w:color w:val="000000" w:themeColor="text1"/>
          <w:sz w:val="24"/>
          <w:szCs w:val="24"/>
          <w:vertAlign w:val="superscript"/>
        </w:rPr>
        <w:t>[39]</w:t>
      </w:r>
      <w:r w:rsidRPr="00CD6193">
        <w:rPr>
          <w:rFonts w:ascii="Book Antiqua" w:hAnsi="Book Antiqua" w:cs="Times New Roman"/>
          <w:color w:val="000000" w:themeColor="text1"/>
          <w:sz w:val="24"/>
          <w:szCs w:val="24"/>
        </w:rPr>
        <w:t>,</w:t>
      </w:r>
      <w:r w:rsidRPr="00CD6193">
        <w:rPr>
          <w:rFonts w:ascii="Book Antiqua" w:hAnsi="Book Antiqua" w:cs="Times New Roman"/>
          <w:sz w:val="24"/>
          <w:szCs w:val="24"/>
        </w:rPr>
        <w:t xml:space="preserve"> but </w:t>
      </w:r>
      <w:r w:rsidRPr="00CD6193">
        <w:rPr>
          <w:rFonts w:ascii="Book Antiqua" w:hAnsi="Book Antiqua" w:cs="Times New Roman"/>
          <w:color w:val="000000" w:themeColor="text1"/>
          <w:sz w:val="24"/>
          <w:szCs w:val="24"/>
        </w:rPr>
        <w:t xml:space="preserve">for CTEPH patients, the first BPA case was published in the same year by </w:t>
      </w:r>
      <w:proofErr w:type="spellStart"/>
      <w:r w:rsidRPr="00CD6193">
        <w:rPr>
          <w:rFonts w:ascii="Book Antiqua" w:hAnsi="Book Antiqua" w:cs="Times New Roman"/>
          <w:color w:val="000000" w:themeColor="text1"/>
          <w:sz w:val="24"/>
          <w:szCs w:val="24"/>
        </w:rPr>
        <w:t>Voorburg</w:t>
      </w:r>
      <w:proofErr w:type="spellEnd"/>
      <w:r w:rsidR="00416A91" w:rsidRPr="00CD6193">
        <w:rPr>
          <w:rFonts w:ascii="Book Antiqua" w:hAnsi="Book Antiqua" w:cs="Times New Roman"/>
          <w:color w:val="000000" w:themeColor="text1"/>
          <w:sz w:val="24"/>
          <w:szCs w:val="24"/>
        </w:rPr>
        <w:t xml:space="preserve"> </w:t>
      </w:r>
      <w:r w:rsidR="00416A91" w:rsidRPr="00CD6193">
        <w:rPr>
          <w:rFonts w:ascii="Book Antiqua" w:hAnsi="Book Antiqua" w:cs="Times New Roman"/>
          <w:i/>
          <w:iCs/>
          <w:color w:val="000000" w:themeColor="text1"/>
          <w:sz w:val="24"/>
          <w:szCs w:val="24"/>
        </w:rPr>
        <w:t>et al</w:t>
      </w:r>
      <w:r w:rsidRPr="00CD6193">
        <w:rPr>
          <w:rFonts w:ascii="Book Antiqua" w:hAnsi="Book Antiqua" w:cs="Times New Roman"/>
          <w:noProof/>
          <w:color w:val="000000" w:themeColor="text1"/>
          <w:sz w:val="24"/>
          <w:szCs w:val="24"/>
          <w:vertAlign w:val="superscript"/>
        </w:rPr>
        <w:t>[40]</w:t>
      </w:r>
      <w:r w:rsidRPr="00CD6193">
        <w:rPr>
          <w:rFonts w:ascii="Book Antiqua" w:hAnsi="Book Antiqua" w:cs="Times New Roman"/>
          <w:color w:val="000000" w:themeColor="text1"/>
          <w:sz w:val="24"/>
          <w:szCs w:val="24"/>
        </w:rPr>
        <w:t xml:space="preserve">. In 2001, Feinstein </w:t>
      </w:r>
      <w:r w:rsidRPr="00CD6193">
        <w:rPr>
          <w:rFonts w:ascii="Book Antiqua" w:hAnsi="Book Antiqua" w:cs="Times New Roman"/>
          <w:i/>
          <w:iCs/>
          <w:color w:val="000000" w:themeColor="text1"/>
          <w:sz w:val="24"/>
          <w:szCs w:val="24"/>
        </w:rPr>
        <w:t xml:space="preserve">et </w:t>
      </w:r>
      <w:proofErr w:type="gramStart"/>
      <w:r w:rsidRPr="00CD6193">
        <w:rPr>
          <w:rFonts w:ascii="Book Antiqua" w:hAnsi="Book Antiqua" w:cs="Times New Roman"/>
          <w:i/>
          <w:iCs/>
          <w:color w:val="000000" w:themeColor="text1"/>
          <w:sz w:val="24"/>
          <w:szCs w:val="24"/>
        </w:rPr>
        <w:t>al</w:t>
      </w:r>
      <w:r w:rsidR="00ED7938" w:rsidRPr="00CD6193">
        <w:rPr>
          <w:rFonts w:ascii="Book Antiqua" w:hAnsi="Book Antiqua" w:cs="Times New Roman"/>
          <w:noProof/>
          <w:color w:val="000000" w:themeColor="text1"/>
          <w:sz w:val="24"/>
          <w:szCs w:val="24"/>
          <w:vertAlign w:val="superscript"/>
        </w:rPr>
        <w:t>[</w:t>
      </w:r>
      <w:proofErr w:type="gramEnd"/>
      <w:r w:rsidR="00ED7938" w:rsidRPr="00CD6193">
        <w:rPr>
          <w:rFonts w:ascii="Book Antiqua" w:hAnsi="Book Antiqua" w:cs="Times New Roman"/>
          <w:noProof/>
          <w:color w:val="000000" w:themeColor="text1"/>
          <w:sz w:val="24"/>
          <w:szCs w:val="24"/>
          <w:vertAlign w:val="superscript"/>
        </w:rPr>
        <w:t>41]</w:t>
      </w:r>
      <w:r w:rsidRPr="00CD6193">
        <w:rPr>
          <w:rFonts w:ascii="Book Antiqua" w:hAnsi="Book Antiqua" w:cs="Times New Roman"/>
          <w:color w:val="000000" w:themeColor="text1"/>
          <w:sz w:val="24"/>
          <w:szCs w:val="24"/>
        </w:rPr>
        <w:t xml:space="preserve"> described the first case series certifying remarkable improvements in pulmonary hemodynamics, cardiac function and exercise tolerance in eighteen CTEPH patients treated with BPA. However, eleven patients developed postsurgical reperfusion pulmonary edema (RPE), three patients required mechanical ventilation, one died of right heart failure 1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lastRenderedPageBreak/>
        <w:t xml:space="preserve">after BPA, and one died of aspiration pneumonia after 16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of follow-up. Due to potentially lethal complications, high mortality rates and non-superiority to PEA, BPA was not widely adopted and used for CTEPH patients. The progress of this interventional technique </w:t>
      </w:r>
      <w:r w:rsidR="00650529">
        <w:rPr>
          <w:rFonts w:ascii="Book Antiqua" w:hAnsi="Book Antiqua" w:cs="Times New Roman"/>
          <w:color w:val="000000" w:themeColor="text1"/>
          <w:sz w:val="24"/>
          <w:szCs w:val="24"/>
        </w:rPr>
        <w:t>was</w:t>
      </w:r>
      <w:r w:rsidRPr="00CD6193">
        <w:rPr>
          <w:rFonts w:ascii="Book Antiqua" w:hAnsi="Book Antiqua" w:cs="Times New Roman"/>
          <w:color w:val="000000" w:themeColor="text1"/>
          <w:sz w:val="24"/>
          <w:szCs w:val="24"/>
        </w:rPr>
        <w:t xml:space="preserve"> almost stagnant for more than a decade, with only sporadic cases reported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during this </w:t>
      </w:r>
      <w:proofErr w:type="gramStart"/>
      <w:r w:rsidRPr="00CD6193">
        <w:rPr>
          <w:rFonts w:ascii="Book Antiqua" w:hAnsi="Book Antiqua" w:cs="Times New Roman"/>
          <w:color w:val="000000" w:themeColor="text1"/>
          <w:sz w:val="24"/>
          <w:szCs w:val="24"/>
        </w:rPr>
        <w:t>period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42-44]</w:t>
      </w:r>
      <w:r w:rsidRPr="00CD6193">
        <w:rPr>
          <w:rFonts w:ascii="Book Antiqua" w:hAnsi="Book Antiqua" w:cs="Times New Roman"/>
          <w:color w:val="000000" w:themeColor="text1"/>
          <w:sz w:val="24"/>
          <w:szCs w:val="24"/>
        </w:rPr>
        <w:t xml:space="preserve">. </w:t>
      </w:r>
    </w:p>
    <w:p w14:paraId="2FB509B4" w14:textId="791CE3AB" w:rsidR="00E1331B" w:rsidRPr="00CD6193" w:rsidRDefault="00650529" w:rsidP="00ED7938">
      <w:pPr>
        <w:adjustRightInd w:val="0"/>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In</w:t>
      </w:r>
      <w:r w:rsidR="00E1331B" w:rsidRPr="00CD6193">
        <w:rPr>
          <w:rFonts w:ascii="Book Antiqua" w:hAnsi="Book Antiqua" w:cs="Times New Roman"/>
          <w:color w:val="000000" w:themeColor="text1"/>
          <w:sz w:val="24"/>
          <w:szCs w:val="24"/>
        </w:rPr>
        <w:t xml:space="preserve"> 2012, three reports from Japanese centers reignited the spark for the booming development of </w:t>
      </w:r>
      <w:proofErr w:type="gramStart"/>
      <w:r w:rsidR="00E1331B" w:rsidRPr="00CD6193">
        <w:rPr>
          <w:rFonts w:ascii="Book Antiqua" w:hAnsi="Book Antiqua" w:cs="Times New Roman"/>
          <w:color w:val="000000" w:themeColor="text1"/>
          <w:sz w:val="24"/>
          <w:szCs w:val="24"/>
        </w:rPr>
        <w:t>BPA</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45-47]</w:t>
      </w:r>
      <w:r w:rsidR="00E1331B" w:rsidRPr="00CD6193">
        <w:rPr>
          <w:rFonts w:ascii="Book Antiqua" w:hAnsi="Book Antiqua" w:cs="Times New Roman"/>
          <w:color w:val="000000" w:themeColor="text1"/>
          <w:sz w:val="24"/>
          <w:szCs w:val="24"/>
        </w:rPr>
        <w:t xml:space="preserve">, Japanese investigators have refined </w:t>
      </w: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BPA technique and established safer and more effective strategies by using smaller balloons and intravascular imaging, and by limiting the number of vessel segments per session. Compared to the initial report from 2001, BPA has been reported to provide encouraging improvements in hemodynamics, </w:t>
      </w:r>
      <w:r w:rsidR="00861552" w:rsidRPr="00CD6193">
        <w:rPr>
          <w:rFonts w:ascii="Book Antiqua" w:hAnsi="Book Antiqua" w:cs="Times New Roman"/>
          <w:color w:val="000000" w:themeColor="text1"/>
          <w:sz w:val="24"/>
          <w:szCs w:val="24"/>
        </w:rPr>
        <w:t>RV</w:t>
      </w:r>
      <w:r w:rsidR="00E1331B" w:rsidRPr="00CD6193">
        <w:rPr>
          <w:rFonts w:ascii="Book Antiqua" w:hAnsi="Book Antiqua" w:cs="Times New Roman"/>
          <w:color w:val="000000" w:themeColor="text1"/>
          <w:sz w:val="24"/>
          <w:szCs w:val="24"/>
        </w:rPr>
        <w:t xml:space="preserve"> function and exercise capacity, with lower rates of fatal complications. After years of unremitting efforts, </w:t>
      </w: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2015 European Society of Cardiology/European Respiratory Society (ESC/ERS) guidelines recommended </w:t>
      </w:r>
      <w:r>
        <w:rPr>
          <w:rFonts w:ascii="Book Antiqua" w:hAnsi="Book Antiqua" w:cs="Times New Roman"/>
          <w:color w:val="000000" w:themeColor="text1"/>
          <w:sz w:val="24"/>
          <w:szCs w:val="24"/>
        </w:rPr>
        <w:t xml:space="preserve">that </w:t>
      </w:r>
      <w:r w:rsidR="00E1331B" w:rsidRPr="00CD6193">
        <w:rPr>
          <w:rFonts w:ascii="Book Antiqua" w:hAnsi="Book Antiqua" w:cs="Times New Roman"/>
          <w:color w:val="000000" w:themeColor="text1"/>
          <w:sz w:val="24"/>
          <w:szCs w:val="24"/>
        </w:rPr>
        <w:t>BPA only be performed in experienced CTEPH expert center where medical therapy could be concurrently initiated</w:t>
      </w:r>
      <w:r w:rsidR="00E1331B" w:rsidRPr="00CD6193">
        <w:rPr>
          <w:rFonts w:ascii="Book Antiqua" w:hAnsi="Book Antiqua" w:cs="Times New Roman"/>
          <w:noProof/>
          <w:color w:val="000000" w:themeColor="text1"/>
          <w:sz w:val="24"/>
          <w:szCs w:val="24"/>
          <w:vertAlign w:val="superscript"/>
        </w:rPr>
        <w:t>[48,49]</w:t>
      </w:r>
      <w:r w:rsidR="00E1331B" w:rsidRPr="00CD6193">
        <w:rPr>
          <w:rFonts w:ascii="Book Antiqua" w:hAnsi="Book Antiqua" w:cs="Times New Roman"/>
          <w:color w:val="000000" w:themeColor="text1"/>
          <w:sz w:val="24"/>
          <w:szCs w:val="24"/>
        </w:rPr>
        <w:t xml:space="preserve">. PAH targeted therapy with or without BPA has been proposed in the newly updated treatment algorithm for inoperable CTEPH </w:t>
      </w:r>
      <w:proofErr w:type="gramStart"/>
      <w:r w:rsidR="00E1331B" w:rsidRPr="00CD6193">
        <w:rPr>
          <w:rFonts w:ascii="Book Antiqua" w:hAnsi="Book Antiqua" w:cs="Times New Roman"/>
          <w:color w:val="000000" w:themeColor="text1"/>
          <w:sz w:val="24"/>
          <w:szCs w:val="24"/>
        </w:rPr>
        <w:t>patients</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50]</w:t>
      </w:r>
      <w:r w:rsidR="00E1331B" w:rsidRPr="00CD6193">
        <w:rPr>
          <w:rFonts w:ascii="Book Antiqua" w:hAnsi="Book Antiqua" w:cs="Times New Roman"/>
          <w:color w:val="000000" w:themeColor="text1"/>
          <w:sz w:val="24"/>
          <w:szCs w:val="24"/>
        </w:rPr>
        <w:t>, and BPA is now</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enthusiastically pursued by</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numerous hospitals and institutions around the world.</w:t>
      </w:r>
    </w:p>
    <w:p w14:paraId="4F41F9A9"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311395DF"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BPA PRINCIPLE</w:t>
      </w:r>
    </w:p>
    <w:p w14:paraId="57695ECE" w14:textId="7537D8B6"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PEA immediately lowers and even normalizes pulmonary vascular hemodynamics by removing the accessible organized thrombus in culprit pulmonary arteries within one procedure (Figure 2). Nevertheless, BPA cannot handle most of the lesions at once due to </w:t>
      </w:r>
      <w:r w:rsidR="00650529">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highly possible occurrence of lethal complications such as RPE and vascular injuries. Staged BPA ameliorated hemodynamics by eliminating stenosis and obstruction in the peripheral pulmonary arteries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without physically removing intravascular organized thrombi. However, how stenotic or occlusive pulmonary arteries are enlarged and how hemodynamics are improved by BPA remain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poorly </w:t>
      </w:r>
      <w:proofErr w:type="gramStart"/>
      <w:r w:rsidRPr="00CD6193">
        <w:rPr>
          <w:rFonts w:ascii="Book Antiqua" w:hAnsi="Book Antiqua" w:cs="Times New Roman"/>
          <w:color w:val="000000" w:themeColor="text1"/>
          <w:sz w:val="24"/>
          <w:szCs w:val="24"/>
        </w:rPr>
        <w:t>explored</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51-53]</w:t>
      </w:r>
      <w:r w:rsidRPr="00CD6193">
        <w:rPr>
          <w:rFonts w:ascii="Book Antiqua" w:hAnsi="Book Antiqua" w:cs="Times New Roman"/>
          <w:color w:val="000000" w:themeColor="text1"/>
          <w:sz w:val="24"/>
          <w:szCs w:val="24"/>
        </w:rPr>
        <w:t xml:space="preserve">. </w:t>
      </w:r>
    </w:p>
    <w:p w14:paraId="0066FA07" w14:textId="7899C7D1"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Pathological findings of the dilated lesions revealed that dissections occurred in the medial vessel wall near the internal lamina </w:t>
      </w:r>
      <w:proofErr w:type="spellStart"/>
      <w:r w:rsidRPr="00CD6193">
        <w:rPr>
          <w:rFonts w:ascii="Book Antiqua" w:hAnsi="Book Antiqua" w:cs="Times New Roman"/>
          <w:color w:val="000000" w:themeColor="text1"/>
          <w:sz w:val="24"/>
          <w:szCs w:val="24"/>
        </w:rPr>
        <w:t>elastica</w:t>
      </w:r>
      <w:proofErr w:type="spellEnd"/>
      <w:r w:rsidRPr="00CD6193">
        <w:rPr>
          <w:rFonts w:ascii="Book Antiqua" w:hAnsi="Book Antiqua" w:cs="Times New Roman"/>
          <w:color w:val="000000" w:themeColor="text1"/>
          <w:sz w:val="24"/>
          <w:szCs w:val="24"/>
        </w:rPr>
        <w:t xml:space="preserve"> after BPA which exactly resembled what the expert surgeons </w:t>
      </w:r>
      <w:r w:rsidR="00650529">
        <w:rPr>
          <w:rFonts w:ascii="Book Antiqua" w:hAnsi="Book Antiqua" w:cs="Times New Roman"/>
          <w:color w:val="000000" w:themeColor="text1"/>
          <w:sz w:val="24"/>
          <w:szCs w:val="24"/>
        </w:rPr>
        <w:t>performed</w:t>
      </w:r>
      <w:r w:rsidRPr="00CD6193">
        <w:rPr>
          <w:rFonts w:ascii="Book Antiqua" w:hAnsi="Book Antiqua" w:cs="Times New Roman"/>
          <w:color w:val="000000" w:themeColor="text1"/>
          <w:sz w:val="24"/>
          <w:szCs w:val="24"/>
        </w:rPr>
        <w:t xml:space="preserve"> during PEA, and the organized clots were compressed toward one side, shaping an enlarged pseudo-vascular space on the inner surface of which </w:t>
      </w:r>
      <w:r w:rsidRPr="00CD6193">
        <w:rPr>
          <w:rFonts w:ascii="Book Antiqua" w:hAnsi="Book Antiqua" w:cs="Times New Roman"/>
          <w:color w:val="000000" w:themeColor="text1"/>
          <w:sz w:val="24"/>
          <w:szCs w:val="24"/>
        </w:rPr>
        <w:lastRenderedPageBreak/>
        <w:t>new intima was formed. It was speculated that web lesions were treated by dissection in the media and compression of existed microchannels, while band lesions were dilated through enlargement of a preexist</w:t>
      </w:r>
      <w:r w:rsidR="00650529">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lumen without dissection. Dissection and compression of organized thrombi enlarged the vessel lumen, increased blood flow, and eventually improved pulmonary vascular </w:t>
      </w:r>
      <w:proofErr w:type="gramStart"/>
      <w:r w:rsidRPr="00CD6193">
        <w:rPr>
          <w:rFonts w:ascii="Book Antiqua" w:hAnsi="Book Antiqua" w:cs="Times New Roman"/>
          <w:color w:val="000000" w:themeColor="text1"/>
          <w:sz w:val="24"/>
          <w:szCs w:val="24"/>
        </w:rPr>
        <w:t>hemodynamics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51,52]</w:t>
      </w:r>
      <w:r w:rsidRPr="00CD6193">
        <w:rPr>
          <w:rFonts w:ascii="Book Antiqua" w:hAnsi="Book Antiqua" w:cs="Times New Roman"/>
          <w:color w:val="000000" w:themeColor="text1"/>
          <w:sz w:val="24"/>
          <w:szCs w:val="24"/>
        </w:rPr>
        <w:t xml:space="preserve">. Optical coherence tomography (OCT) also confirmed that the obstructive material was destroyed and eccentrically compressed to vessel walls immediately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47,54,55]</w:t>
      </w:r>
      <w:r w:rsidRPr="00CD6193">
        <w:rPr>
          <w:rFonts w:ascii="Book Antiqua" w:hAnsi="Book Antiqua" w:cs="Times New Roman"/>
          <w:color w:val="000000" w:themeColor="text1"/>
          <w:sz w:val="24"/>
          <w:szCs w:val="24"/>
        </w:rPr>
        <w:t xml:space="preserve">. Intravenous ultrasound (IVUS) images indicated the immediate enlargement of the vessel lumen after BPA was mainly due to overall vessel stretching and slight compression of fibrous thrombus. The amount of fibrous tissue varied among different vessel lesion types, with the least fibrous tissue in band lesions, the most in subtotal occlusion lesions and intermediate in web lesions. The enlarged lumen area of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band-shaped lesion was caused by arterial wall stretching</w:t>
      </w:r>
      <w:r w:rsidR="00075CED">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however, in addition to vascular stretching,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web lesion was also compressed to one side of the vascular lumen, forming new microchannels. </w:t>
      </w:r>
      <w:bookmarkStart w:id="27" w:name="_Hlk38730466"/>
      <w:r w:rsidRPr="00CD6193">
        <w:rPr>
          <w:rFonts w:ascii="Book Antiqua" w:hAnsi="Book Antiqua" w:cs="Times New Roman"/>
          <w:color w:val="000000" w:themeColor="text1"/>
          <w:sz w:val="24"/>
          <w:szCs w:val="24"/>
        </w:rPr>
        <w:t xml:space="preserve">The mechanism of </w:t>
      </w:r>
      <w:r w:rsidR="00C304E1" w:rsidRPr="00CD6193">
        <w:rPr>
          <w:rFonts w:ascii="Book Antiqua" w:hAnsi="Book Antiqua" w:cs="Times New Roman"/>
          <w:color w:val="000000" w:themeColor="text1"/>
          <w:sz w:val="24"/>
          <w:szCs w:val="24"/>
        </w:rPr>
        <w:t>lumen</w:t>
      </w:r>
      <w:r w:rsidRPr="00CD6193">
        <w:rPr>
          <w:rFonts w:ascii="Book Antiqua" w:hAnsi="Book Antiqua" w:cs="Times New Roman"/>
          <w:color w:val="000000" w:themeColor="text1"/>
          <w:sz w:val="24"/>
          <w:szCs w:val="24"/>
        </w:rPr>
        <w:t xml:space="preserve"> enlargement at the</w:t>
      </w:r>
      <w:r w:rsidR="00C304E1" w:rsidRPr="00CD6193">
        <w:rPr>
          <w:rFonts w:ascii="Book Antiqua" w:hAnsi="Book Antiqua" w:cs="Times New Roman"/>
          <w:color w:val="000000" w:themeColor="text1"/>
          <w:sz w:val="24"/>
          <w:szCs w:val="24"/>
        </w:rPr>
        <w:t xml:space="preserve"> site of</w:t>
      </w:r>
      <w:r w:rsidRPr="00CD6193">
        <w:rPr>
          <w:rFonts w:ascii="Book Antiqua" w:hAnsi="Book Antiqua" w:cs="Times New Roman"/>
          <w:color w:val="000000" w:themeColor="text1"/>
          <w:sz w:val="24"/>
          <w:szCs w:val="24"/>
        </w:rPr>
        <w:t xml:space="preserve"> subtotal occlusion was similar to that of </w:t>
      </w:r>
      <w:r w:rsidR="00D61E1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web lesion, but the organized thrombus was only mildly compressed owing to </w:t>
      </w:r>
      <w:r w:rsidR="00D61E13">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large amount of fibrous tissues</w:t>
      </w:r>
      <w:bookmarkStart w:id="28" w:name="_Hlk38730645"/>
      <w:bookmarkEnd w:id="27"/>
      <w:r w:rsidR="008C006A" w:rsidRPr="00CD6193">
        <w:rPr>
          <w:rFonts w:ascii="Book Antiqua" w:hAnsi="Book Antiqua" w:cs="Times New Roman"/>
          <w:color w:val="000000" w:themeColor="text1"/>
          <w:sz w:val="24"/>
          <w:szCs w:val="24"/>
        </w:rPr>
        <w:t xml:space="preserve">, </w:t>
      </w:r>
      <w:bookmarkStart w:id="29" w:name="_Hlk38731489"/>
      <w:r w:rsidR="008C006A" w:rsidRPr="00CD6193">
        <w:rPr>
          <w:rFonts w:ascii="Book Antiqua" w:hAnsi="Book Antiqua" w:cs="Times New Roman"/>
          <w:color w:val="000000" w:themeColor="text1"/>
          <w:sz w:val="24"/>
          <w:szCs w:val="24"/>
        </w:rPr>
        <w:t xml:space="preserve">indicating </w:t>
      </w:r>
      <w:r w:rsidR="00B730E5" w:rsidRPr="00CD6193">
        <w:rPr>
          <w:rFonts w:ascii="Book Antiqua" w:hAnsi="Book Antiqua" w:cs="Times New Roman"/>
          <w:color w:val="000000" w:themeColor="text1"/>
          <w:sz w:val="24"/>
          <w:szCs w:val="24"/>
        </w:rPr>
        <w:t>limited</w:t>
      </w:r>
      <w:r w:rsidR="008C006A" w:rsidRPr="00CD6193">
        <w:rPr>
          <w:rFonts w:ascii="Book Antiqua" w:hAnsi="Book Antiqua" w:cs="Times New Roman"/>
          <w:color w:val="000000" w:themeColor="text1"/>
          <w:sz w:val="24"/>
          <w:szCs w:val="24"/>
        </w:rPr>
        <w:t xml:space="preserve"> </w:t>
      </w:r>
      <w:r w:rsidR="003D0BD2" w:rsidRPr="00CD6193">
        <w:rPr>
          <w:rFonts w:ascii="Book Antiqua" w:hAnsi="Book Antiqua" w:cs="Times New Roman"/>
          <w:color w:val="000000" w:themeColor="text1"/>
          <w:sz w:val="24"/>
          <w:szCs w:val="24"/>
        </w:rPr>
        <w:t xml:space="preserve">efficacy might be achieved </w:t>
      </w:r>
      <w:bookmarkEnd w:id="28"/>
      <w:r w:rsidR="00B730E5" w:rsidRPr="00CD6193">
        <w:rPr>
          <w:rFonts w:ascii="Book Antiqua" w:hAnsi="Book Antiqua" w:cs="Times New Roman"/>
          <w:color w:val="000000" w:themeColor="text1"/>
          <w:sz w:val="24"/>
          <w:szCs w:val="24"/>
        </w:rPr>
        <w:t xml:space="preserve">in lesions rich in fibrous </w:t>
      </w:r>
      <w:proofErr w:type="gramStart"/>
      <w:r w:rsidR="00B730E5" w:rsidRPr="00CD6193">
        <w:rPr>
          <w:rFonts w:ascii="Book Antiqua" w:hAnsi="Book Antiqua" w:cs="Times New Roman"/>
          <w:color w:val="000000" w:themeColor="text1"/>
          <w:sz w:val="24"/>
          <w:szCs w:val="24"/>
        </w:rPr>
        <w:t>tissue</w:t>
      </w:r>
      <w:bookmarkEnd w:id="29"/>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53,56]</w:t>
      </w:r>
      <w:r w:rsidRPr="00CD6193">
        <w:rPr>
          <w:rFonts w:ascii="Book Antiqua" w:hAnsi="Book Antiqua" w:cs="Times New Roman"/>
          <w:color w:val="000000" w:themeColor="text1"/>
          <w:sz w:val="24"/>
          <w:szCs w:val="24"/>
        </w:rPr>
        <w:t xml:space="preserve">. </w:t>
      </w:r>
    </w:p>
    <w:p w14:paraId="09929552"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rPr>
      </w:pPr>
    </w:p>
    <w:p w14:paraId="577715CC"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INDICATIONS AND CONTRAINDICATIONS</w:t>
      </w:r>
    </w:p>
    <w:p w14:paraId="0E8C255E" w14:textId="2EA31CE5" w:rsidR="00E1331B" w:rsidRPr="00CD6193" w:rsidRDefault="00D61E13" w:rsidP="00CD6193">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The </w:t>
      </w:r>
      <w:r w:rsidR="00E1331B" w:rsidRPr="00CD6193">
        <w:rPr>
          <w:rFonts w:ascii="Book Antiqua" w:hAnsi="Book Antiqua" w:cs="Times New Roman"/>
          <w:color w:val="000000" w:themeColor="text1"/>
          <w:sz w:val="24"/>
          <w:szCs w:val="24"/>
        </w:rPr>
        <w:t xml:space="preserve">Conventional </w:t>
      </w:r>
      <w:r w:rsidR="00C61660" w:rsidRPr="00CD6193">
        <w:rPr>
          <w:rFonts w:ascii="Book Antiqua" w:hAnsi="Book Antiqua" w:cs="Times New Roman"/>
          <w:color w:val="000000" w:themeColor="text1"/>
          <w:sz w:val="24"/>
          <w:szCs w:val="24"/>
        </w:rPr>
        <w:t>University of California, San Diego</w:t>
      </w:r>
      <w:r w:rsidR="00E1331B" w:rsidRPr="00CD6193">
        <w:rPr>
          <w:rFonts w:ascii="Book Antiqua" w:hAnsi="Book Antiqua" w:cs="Times New Roman"/>
          <w:color w:val="000000" w:themeColor="text1"/>
          <w:sz w:val="24"/>
          <w:szCs w:val="24"/>
        </w:rPr>
        <w:t xml:space="preserve"> selection criteria for PEA include: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1) World Health Organization functional class (WHO-FC) III or IV;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2) </w:t>
      </w:r>
      <w:proofErr w:type="spellStart"/>
      <w:r w:rsidR="00E1331B" w:rsidRPr="00CD6193">
        <w:rPr>
          <w:rFonts w:ascii="Book Antiqua" w:hAnsi="Book Antiqua" w:cs="Times New Roman"/>
          <w:color w:val="000000" w:themeColor="text1"/>
          <w:sz w:val="24"/>
          <w:szCs w:val="24"/>
        </w:rPr>
        <w:t>mPAP</w:t>
      </w:r>
      <w:proofErr w:type="spellEnd"/>
      <w:r w:rsidR="007934E2" w:rsidRPr="00CD6193">
        <w:rPr>
          <w:rFonts w:ascii="Book Antiqua" w:hAnsi="Book Antiqua" w:cs="Times New Roman"/>
          <w:color w:val="000000" w:themeColor="text1"/>
          <w:sz w:val="24"/>
          <w:szCs w:val="24"/>
        </w:rPr>
        <w:t xml:space="preserve"> </w:t>
      </w:r>
      <w:r w:rsidR="00E1331B" w:rsidRPr="00CD6193">
        <w:rPr>
          <w:rFonts w:ascii="Book Antiqua" w:hAnsi="Book Antiqua" w:cs="Times New Roman"/>
          <w:color w:val="000000" w:themeColor="text1"/>
          <w:sz w:val="24"/>
          <w:szCs w:val="24"/>
        </w:rPr>
        <w:t>≥ 30 mmHg and PVR</w:t>
      </w:r>
      <w:r w:rsidR="007934E2" w:rsidRPr="00CD6193">
        <w:rPr>
          <w:rFonts w:ascii="Book Antiqua" w:hAnsi="Book Antiqua" w:cs="Times New Roman"/>
          <w:color w:val="000000" w:themeColor="text1"/>
          <w:sz w:val="24"/>
          <w:szCs w:val="24"/>
        </w:rPr>
        <w:t xml:space="preserve"> </w:t>
      </w:r>
      <w:r w:rsidR="00E1331B" w:rsidRPr="00CD6193">
        <w:rPr>
          <w:rFonts w:ascii="Book Antiqua" w:hAnsi="Book Antiqua" w:cs="Times New Roman"/>
          <w:color w:val="000000" w:themeColor="text1"/>
          <w:sz w:val="24"/>
          <w:szCs w:val="24"/>
        </w:rPr>
        <w:t xml:space="preserve">≥ 3.75 Wood units;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3) surgically accessible thrombus in the main, lobar or proximal segmental pulmonary arteries;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4) no severe comorbidities; and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5) patients who understand possible risks</w:t>
      </w:r>
      <w:r w:rsidR="00E1331B" w:rsidRPr="00CD6193">
        <w:rPr>
          <w:rFonts w:ascii="Book Antiqua" w:hAnsi="Book Antiqua" w:cs="Times New Roman"/>
          <w:sz w:val="24"/>
          <w:szCs w:val="24"/>
        </w:rPr>
        <w:t xml:space="preserve"> </w:t>
      </w:r>
      <w:r w:rsidR="00E1331B" w:rsidRPr="00CD6193">
        <w:rPr>
          <w:rFonts w:ascii="Book Antiqua" w:hAnsi="Book Antiqua" w:cs="Times New Roman"/>
          <w:color w:val="000000" w:themeColor="text1"/>
          <w:sz w:val="24"/>
          <w:szCs w:val="24"/>
        </w:rPr>
        <w:t>or complications, and sign</w:t>
      </w:r>
      <w:r>
        <w:rPr>
          <w:rFonts w:ascii="Book Antiqua" w:hAnsi="Book Antiqua" w:cs="Times New Roman"/>
          <w:color w:val="000000" w:themeColor="text1"/>
          <w:sz w:val="24"/>
          <w:szCs w:val="24"/>
        </w:rPr>
        <w:t>ed</w:t>
      </w:r>
      <w:r w:rsidR="00E1331B" w:rsidRPr="00CD6193">
        <w:rPr>
          <w:rFonts w:ascii="Book Antiqua" w:hAnsi="Book Antiqua" w:cs="Times New Roman"/>
          <w:color w:val="000000" w:themeColor="text1"/>
          <w:sz w:val="24"/>
          <w:szCs w:val="24"/>
        </w:rPr>
        <w:t xml:space="preserve"> written informed consent before procedures</w:t>
      </w:r>
      <w:r w:rsidR="00E1331B" w:rsidRPr="00CD6193">
        <w:rPr>
          <w:rFonts w:ascii="Book Antiqua" w:hAnsi="Book Antiqua" w:cs="Times New Roman"/>
          <w:noProof/>
          <w:color w:val="000000" w:themeColor="text1"/>
          <w:sz w:val="24"/>
          <w:szCs w:val="24"/>
          <w:vertAlign w:val="superscript"/>
        </w:rPr>
        <w:t>[57,58]</w:t>
      </w:r>
      <w:r w:rsidR="00E1331B" w:rsidRPr="00CD6193">
        <w:rPr>
          <w:rFonts w:ascii="Book Antiqua" w:hAnsi="Book Antiqua" w:cs="Times New Roman"/>
          <w:color w:val="000000" w:themeColor="text1"/>
          <w:sz w:val="24"/>
          <w:szCs w:val="24"/>
        </w:rPr>
        <w:t xml:space="preserve">. PEA indications have been gradually broadened during these years, and the 2015 ESC/ERS general criteria include: </w:t>
      </w:r>
      <w:r w:rsidR="00ED7938">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1) preoperative WHO-FC II</w:t>
      </w:r>
      <w:r w:rsidR="00087621">
        <w:rPr>
          <w:rFonts w:ascii="Book Antiqua" w:hAnsi="Book Antiqua" w:cs="Times New Roman"/>
          <w:color w:val="000000" w:themeColor="text1"/>
          <w:sz w:val="24"/>
          <w:szCs w:val="24"/>
        </w:rPr>
        <w:t>-</w:t>
      </w:r>
      <w:r w:rsidR="00E1331B" w:rsidRPr="00CD6193">
        <w:rPr>
          <w:rFonts w:ascii="Book Antiqua" w:hAnsi="Book Antiqua" w:cs="Times New Roman"/>
          <w:color w:val="000000" w:themeColor="text1"/>
          <w:sz w:val="24"/>
          <w:szCs w:val="24"/>
        </w:rPr>
        <w:t xml:space="preserve">IV; </w:t>
      </w:r>
      <w:r w:rsidR="00ED7938">
        <w:rPr>
          <w:rFonts w:ascii="Book Antiqua" w:hAnsi="Book Antiqua" w:cs="Times New Roman"/>
          <w:color w:val="000000" w:themeColor="text1"/>
          <w:sz w:val="24"/>
          <w:szCs w:val="24"/>
        </w:rPr>
        <w:t>and (</w:t>
      </w:r>
      <w:r w:rsidR="00E1331B" w:rsidRPr="00CD6193">
        <w:rPr>
          <w:rFonts w:ascii="Book Antiqua" w:hAnsi="Book Antiqua" w:cs="Times New Roman"/>
          <w:color w:val="000000" w:themeColor="text1"/>
          <w:sz w:val="24"/>
          <w:szCs w:val="24"/>
        </w:rPr>
        <w:t xml:space="preserve">2) surgically accessible lesions located in the main, lobar or segmental pulmonary </w:t>
      </w:r>
      <w:proofErr w:type="gramStart"/>
      <w:r w:rsidR="00E1331B" w:rsidRPr="00CD6193">
        <w:rPr>
          <w:rFonts w:ascii="Book Antiqua" w:hAnsi="Book Antiqua" w:cs="Times New Roman"/>
          <w:color w:val="000000" w:themeColor="text1"/>
          <w:sz w:val="24"/>
          <w:szCs w:val="24"/>
        </w:rPr>
        <w:t>arteries</w:t>
      </w:r>
      <w:r w:rsidR="00E1331B" w:rsidRPr="00CD6193">
        <w:rPr>
          <w:rFonts w:ascii="Book Antiqua" w:hAnsi="Book Antiqua" w:cs="Times New Roman"/>
          <w:noProof/>
          <w:color w:val="000000" w:themeColor="text1"/>
          <w:sz w:val="24"/>
          <w:szCs w:val="24"/>
          <w:vertAlign w:val="superscript"/>
        </w:rPr>
        <w:t>[</w:t>
      </w:r>
      <w:proofErr w:type="gramEnd"/>
      <w:r w:rsidR="00E1331B" w:rsidRPr="00CD6193">
        <w:rPr>
          <w:rFonts w:ascii="Book Antiqua" w:hAnsi="Book Antiqua" w:cs="Times New Roman"/>
          <w:noProof/>
          <w:color w:val="000000" w:themeColor="text1"/>
          <w:sz w:val="24"/>
          <w:szCs w:val="24"/>
          <w:vertAlign w:val="superscript"/>
        </w:rPr>
        <w:t>48]</w:t>
      </w:r>
      <w:r w:rsidR="00E1331B" w:rsidRPr="00CD6193">
        <w:rPr>
          <w:rFonts w:ascii="Book Antiqua" w:hAnsi="Book Antiqua" w:cs="Times New Roman"/>
          <w:color w:val="000000" w:themeColor="text1"/>
          <w:sz w:val="24"/>
          <w:szCs w:val="24"/>
        </w:rPr>
        <w:t>.</w:t>
      </w:r>
    </w:p>
    <w:p w14:paraId="318251C7" w14:textId="3FB7F00B" w:rsidR="00E1331B" w:rsidRPr="00CD6193" w:rsidRDefault="00E1331B" w:rsidP="00ED7938">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indications include: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ineligible for PEA (surgically accessible but inoperable CTEPH </w:t>
      </w:r>
      <w:r w:rsidR="00D61E13">
        <w:rPr>
          <w:rFonts w:ascii="Book Antiqua" w:hAnsi="Book Antiqua" w:cs="Times New Roman"/>
          <w:color w:val="000000" w:themeColor="text1"/>
          <w:sz w:val="24"/>
          <w:szCs w:val="24"/>
        </w:rPr>
        <w:t>due to</w:t>
      </w:r>
      <w:r w:rsidRPr="00CD6193">
        <w:rPr>
          <w:rFonts w:ascii="Book Antiqua" w:hAnsi="Book Antiqua" w:cs="Times New Roman"/>
          <w:color w:val="000000" w:themeColor="text1"/>
          <w:sz w:val="24"/>
          <w:szCs w:val="24"/>
        </w:rPr>
        <w:t xml:space="preserve"> comorbidities, inoperable CTEPH with inaccessible lesions, residual or recurrent PH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after PEA);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symptomatic CTEPH with WHO-FC III-IV despite optimal </w:t>
      </w:r>
      <w:r w:rsidRPr="00CD6193">
        <w:rPr>
          <w:rFonts w:ascii="Book Antiqua" w:hAnsi="Book Antiqua" w:cs="Times New Roman"/>
          <w:color w:val="000000" w:themeColor="text1"/>
          <w:sz w:val="24"/>
          <w:szCs w:val="24"/>
        </w:rPr>
        <w:lastRenderedPageBreak/>
        <w:t xml:space="preserve">medication;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 without serious complications, multi-organ failure, or iodine allergy; and </w:t>
      </w:r>
      <w:r w:rsidR="00ED7938">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4) individuals who understand the purpose, process, risks and benefits, alternative options and voluntarily give informed consent</w:t>
      </w:r>
      <w:r w:rsidRPr="00CD6193">
        <w:rPr>
          <w:rFonts w:ascii="Book Antiqua" w:hAnsi="Book Antiqua" w:cs="Times New Roman"/>
          <w:noProof/>
          <w:color w:val="000000" w:themeColor="text1"/>
          <w:sz w:val="24"/>
          <w:szCs w:val="24"/>
          <w:vertAlign w:val="superscript"/>
        </w:rPr>
        <w:t>[59,60]</w:t>
      </w:r>
      <w:r w:rsidRPr="00CD6193">
        <w:rPr>
          <w:rFonts w:ascii="Book Antiqua" w:hAnsi="Book Antiqua" w:cs="Times New Roman"/>
          <w:color w:val="000000" w:themeColor="text1"/>
          <w:sz w:val="24"/>
          <w:szCs w:val="24"/>
        </w:rPr>
        <w:t xml:space="preserve">. Theoretically, BPA treatment can be considered as long as </w:t>
      </w:r>
      <w:proofErr w:type="spellStart"/>
      <w:r w:rsidR="00E03148" w:rsidRPr="00CD6193">
        <w:rPr>
          <w:rFonts w:ascii="Book Antiqua" w:hAnsi="Book Antiqua" w:cs="Times New Roman"/>
          <w:color w:val="000000" w:themeColor="text1"/>
          <w:sz w:val="24"/>
          <w:szCs w:val="24"/>
        </w:rPr>
        <w:t>m</w:t>
      </w:r>
      <w:r w:rsidRPr="00CD6193">
        <w:rPr>
          <w:rFonts w:ascii="Book Antiqua" w:hAnsi="Book Antiqua" w:cs="Times New Roman"/>
          <w:color w:val="000000" w:themeColor="text1"/>
          <w:sz w:val="24"/>
          <w:szCs w:val="24"/>
        </w:rPr>
        <w:t>PAP</w:t>
      </w:r>
      <w:proofErr w:type="spellEnd"/>
      <w:r w:rsidRPr="00CD6193">
        <w:rPr>
          <w:rFonts w:ascii="Book Antiqua" w:hAnsi="Book Antiqua" w:cs="Times New Roman"/>
          <w:color w:val="000000" w:themeColor="text1"/>
          <w:sz w:val="24"/>
          <w:szCs w:val="24"/>
        </w:rPr>
        <w:t xml:space="preserve"> &gt;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25 mmHg with angiographically accessible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The effects of BPA on inoperable CTEPH with surgically inaccessible lesions and residual/recurrent PH after PEA have been well documented</w:t>
      </w:r>
      <w:r w:rsidRPr="00CD6193">
        <w:rPr>
          <w:rFonts w:ascii="Book Antiqua" w:hAnsi="Book Antiqua" w:cs="Times New Roman"/>
          <w:noProof/>
          <w:color w:val="000000" w:themeColor="text1"/>
          <w:sz w:val="24"/>
          <w:szCs w:val="24"/>
          <w:vertAlign w:val="superscript"/>
        </w:rPr>
        <w:t>[62,63]</w:t>
      </w:r>
      <w:r w:rsidRPr="00CD6193">
        <w:rPr>
          <w:rFonts w:ascii="Book Antiqua" w:hAnsi="Book Antiqua" w:cs="Times New Roman"/>
          <w:color w:val="000000" w:themeColor="text1"/>
          <w:sz w:val="24"/>
          <w:szCs w:val="24"/>
        </w:rPr>
        <w:t>, yet the roles of BPA for operable CTEPH with technically accessible lesions but deemed unsuitable for surgery (due to comorbidities, subjective self-determination or informed refusal) and chronic thromboembolic disease (CTED) have not been well established and need further exploration and observation</w:t>
      </w:r>
      <w:r w:rsidRPr="00CD6193">
        <w:rPr>
          <w:rFonts w:ascii="Book Antiqua" w:hAnsi="Book Antiqua" w:cs="Times New Roman"/>
          <w:noProof/>
          <w:color w:val="000000" w:themeColor="text1"/>
          <w:sz w:val="24"/>
          <w:szCs w:val="24"/>
          <w:vertAlign w:val="superscript"/>
        </w:rPr>
        <w:t>[64-66]</w:t>
      </w:r>
      <w:r w:rsidRPr="00CD6193">
        <w:rPr>
          <w:rFonts w:ascii="Book Antiqua" w:hAnsi="Book Antiqua" w:cs="Times New Roman"/>
          <w:color w:val="000000" w:themeColor="text1"/>
          <w:sz w:val="24"/>
          <w:szCs w:val="24"/>
        </w:rPr>
        <w:t>. If surgical PEA is not possible for central-type lesions, BPA may be alternatively considered but</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not recommended because proximal thrombi cannot be perfectly removed as in PEA. Cases with proximal thrombi were reported to be successfully treated with staged BPA sessions, with rapid increases in pulmonary blood flow indicating perfect </w:t>
      </w:r>
      <w:proofErr w:type="gramStart"/>
      <w:r w:rsidRPr="00CD6193">
        <w:rPr>
          <w:rFonts w:ascii="Book Antiqua" w:hAnsi="Book Antiqua" w:cs="Times New Roman"/>
          <w:color w:val="000000" w:themeColor="text1"/>
          <w:sz w:val="24"/>
          <w:szCs w:val="24"/>
        </w:rPr>
        <w:t>revascularization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66,67]</w:t>
      </w:r>
      <w:r w:rsidRPr="00CD6193">
        <w:rPr>
          <w:rFonts w:ascii="Book Antiqua" w:hAnsi="Book Antiqua" w:cs="Times New Roman"/>
          <w:color w:val="000000" w:themeColor="text1"/>
          <w:sz w:val="24"/>
          <w:szCs w:val="24"/>
        </w:rPr>
        <w:t xml:space="preserve">. </w:t>
      </w:r>
    </w:p>
    <w:p w14:paraId="6F8815D5" w14:textId="7A1D13F4" w:rsidR="00E1331B" w:rsidRPr="00CD6193" w:rsidRDefault="00E1331B" w:rsidP="005A68A0">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contraindications include iodine allergy because of inevitable use of contrast </w:t>
      </w:r>
      <w:proofErr w:type="gramStart"/>
      <w:r w:rsidRPr="00CD6193">
        <w:rPr>
          <w:rFonts w:ascii="Book Antiqua" w:hAnsi="Book Antiqua" w:cs="Times New Roman"/>
          <w:color w:val="000000" w:themeColor="text1"/>
          <w:sz w:val="24"/>
          <w:szCs w:val="24"/>
        </w:rPr>
        <w:t>agents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and gadolinium contrast media may be considered as an alternative</w:t>
      </w:r>
      <w:r w:rsidRPr="00CD6193">
        <w:rPr>
          <w:rFonts w:ascii="Book Antiqua" w:hAnsi="Book Antiqua" w:cs="Times New Roman"/>
          <w:noProof/>
          <w:color w:val="000000" w:themeColor="text1"/>
          <w:sz w:val="24"/>
          <w:szCs w:val="24"/>
          <w:vertAlign w:val="superscript"/>
        </w:rPr>
        <w:t>[68]</w:t>
      </w:r>
      <w:r w:rsidRPr="00CD6193">
        <w:rPr>
          <w:rFonts w:ascii="Book Antiqua" w:hAnsi="Book Antiqua" w:cs="Times New Roman"/>
          <w:color w:val="000000" w:themeColor="text1"/>
          <w:sz w:val="24"/>
          <w:szCs w:val="24"/>
        </w:rPr>
        <w:t xml:space="preserve">. Additionally, patients who are unable to undergo RHC should </w:t>
      </w:r>
      <w:r w:rsidR="004E2B94" w:rsidRPr="00CD6193">
        <w:rPr>
          <w:rFonts w:ascii="Book Antiqua" w:hAnsi="Book Antiqua" w:cs="Times New Roman"/>
          <w:color w:val="000000" w:themeColor="text1"/>
          <w:sz w:val="24"/>
          <w:szCs w:val="24"/>
        </w:rPr>
        <w:t xml:space="preserve">always </w:t>
      </w:r>
      <w:r w:rsidRPr="00CD6193">
        <w:rPr>
          <w:rFonts w:ascii="Book Antiqua" w:hAnsi="Book Antiqua" w:cs="Times New Roman"/>
          <w:color w:val="000000" w:themeColor="text1"/>
          <w:sz w:val="24"/>
          <w:szCs w:val="24"/>
        </w:rPr>
        <w:t xml:space="preserve">be excluded. Relative contraindications for BPA procedures were </w:t>
      </w:r>
      <w:r w:rsidR="00D61E13">
        <w:rPr>
          <w:rFonts w:ascii="Book Antiqua" w:hAnsi="Book Antiqua" w:cs="Times New Roman"/>
          <w:color w:val="000000" w:themeColor="text1"/>
          <w:sz w:val="24"/>
          <w:szCs w:val="24"/>
        </w:rPr>
        <w:t>ol</w:t>
      </w:r>
      <w:r w:rsidR="00D61E13" w:rsidRPr="00CD6193">
        <w:rPr>
          <w:rFonts w:ascii="Book Antiqua" w:hAnsi="Book Antiqua" w:cs="Times New Roman"/>
          <w:color w:val="000000" w:themeColor="text1"/>
          <w:sz w:val="24"/>
          <w:szCs w:val="24"/>
        </w:rPr>
        <w:t xml:space="preserve">der </w:t>
      </w:r>
      <w:r w:rsidRPr="00CD6193">
        <w:rPr>
          <w:rFonts w:ascii="Book Antiqua" w:hAnsi="Book Antiqua" w:cs="Times New Roman"/>
          <w:color w:val="000000" w:themeColor="text1"/>
          <w:sz w:val="24"/>
          <w:szCs w:val="24"/>
        </w:rPr>
        <w:t>age, and serious comorbidities such as active infectious diseases</w:t>
      </w:r>
      <w:r w:rsidRPr="00CD6193">
        <w:rPr>
          <w:rFonts w:ascii="Book Antiqua" w:hAnsi="Book Antiqua" w:cs="Times New Roman"/>
          <w:noProof/>
          <w:color w:val="000000" w:themeColor="text1"/>
          <w:sz w:val="24"/>
          <w:szCs w:val="24"/>
          <w:vertAlign w:val="superscript"/>
        </w:rPr>
        <w:t>[69]</w:t>
      </w:r>
      <w:r w:rsidRPr="00CD6193">
        <w:rPr>
          <w:rFonts w:ascii="Book Antiqua" w:hAnsi="Book Antiqua" w:cs="Times New Roman"/>
          <w:color w:val="000000" w:themeColor="text1"/>
          <w:sz w:val="24"/>
          <w:szCs w:val="24"/>
        </w:rPr>
        <w:t>, severe hepatic or renal dysfunction</w:t>
      </w:r>
      <w:r w:rsidRPr="00CD6193">
        <w:rPr>
          <w:rFonts w:ascii="Book Antiqua" w:hAnsi="Book Antiqua" w:cs="Times New Roman"/>
          <w:noProof/>
          <w:color w:val="000000" w:themeColor="text1"/>
          <w:sz w:val="24"/>
          <w:szCs w:val="24"/>
          <w:vertAlign w:val="superscript"/>
        </w:rPr>
        <w:t>[69,70]</w:t>
      </w:r>
      <w:r w:rsidRPr="00CD6193">
        <w:rPr>
          <w:rFonts w:ascii="Book Antiqua" w:hAnsi="Book Antiqua" w:cs="Times New Roman"/>
          <w:color w:val="000000" w:themeColor="text1"/>
          <w:sz w:val="24"/>
          <w:szCs w:val="24"/>
        </w:rPr>
        <w:t>, severe chronic obstructive pulmonary disease, bleeding 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clotting tendency</w:t>
      </w:r>
      <w:r w:rsidRPr="00CD6193">
        <w:rPr>
          <w:rFonts w:ascii="Book Antiqua" w:hAnsi="Book Antiqua" w:cs="Times New Roman"/>
          <w:noProof/>
          <w:color w:val="000000" w:themeColor="text1"/>
          <w:sz w:val="24"/>
          <w:szCs w:val="24"/>
          <w:vertAlign w:val="superscript"/>
        </w:rPr>
        <w:t>[71]</w:t>
      </w:r>
      <w:r w:rsidRPr="00CD6193">
        <w:rPr>
          <w:rFonts w:ascii="Book Antiqua" w:hAnsi="Book Antiqua" w:cs="Times New Roman"/>
          <w:color w:val="000000" w:themeColor="text1"/>
          <w:sz w:val="24"/>
          <w:szCs w:val="24"/>
        </w:rPr>
        <w:t>, poorly controlled or uncontrolled diabetes and hypertension</w:t>
      </w:r>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xml:space="preserve">, careful consideration </w:t>
      </w:r>
      <w:r w:rsidR="00475E13" w:rsidRPr="00CD6193">
        <w:rPr>
          <w:rFonts w:ascii="Book Antiqua" w:hAnsi="Book Antiqua" w:cs="Times New Roman"/>
          <w:color w:val="000000" w:themeColor="text1"/>
          <w:sz w:val="24"/>
          <w:szCs w:val="24"/>
        </w:rPr>
        <w:t xml:space="preserve">and caution </w:t>
      </w:r>
      <w:r w:rsidRPr="00CD6193">
        <w:rPr>
          <w:rFonts w:ascii="Book Antiqua" w:hAnsi="Book Antiqua" w:cs="Times New Roman"/>
          <w:color w:val="000000" w:themeColor="text1"/>
          <w:sz w:val="24"/>
          <w:szCs w:val="24"/>
        </w:rPr>
        <w:t>must be taken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when the above conditions exist. In-hospital mortality and overall survival rates after PEA were comparable in patients </w:t>
      </w:r>
      <w:r w:rsidR="008D0F50" w:rsidRPr="00CD6193">
        <w:rPr>
          <w:rFonts w:ascii="Book Antiqua" w:hAnsi="Book Antiqua" w:cs="Times New Roman"/>
          <w:color w:val="000000" w:themeColor="text1"/>
          <w:sz w:val="24"/>
          <w:szCs w:val="24"/>
        </w:rPr>
        <w:t xml:space="preserve">aged </w:t>
      </w:r>
      <w:r w:rsidRPr="00CD6193">
        <w:rPr>
          <w:rFonts w:ascii="Book Antiqua" w:hAnsi="Book Antiqua" w:cs="Times New Roman"/>
          <w:color w:val="000000" w:themeColor="text1"/>
          <w:sz w:val="24"/>
          <w:szCs w:val="24"/>
        </w:rPr>
        <w: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70 years and &lt;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70 </w:t>
      </w:r>
      <w:proofErr w:type="gramStart"/>
      <w:r w:rsidRPr="00CD6193">
        <w:rPr>
          <w:rFonts w:ascii="Book Antiqua" w:hAnsi="Book Antiqua" w:cs="Times New Roman"/>
          <w:color w:val="000000" w:themeColor="text1"/>
          <w:sz w:val="24"/>
          <w:szCs w:val="24"/>
        </w:rPr>
        <w:t>years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72]</w:t>
      </w:r>
      <w:r w:rsidR="00B435E5" w:rsidRPr="00CD6193">
        <w:rPr>
          <w:rFonts w:ascii="Book Antiqua" w:hAnsi="Book Antiqua" w:cs="Times New Roman"/>
          <w:color w:val="000000" w:themeColor="text1"/>
          <w:sz w:val="24"/>
          <w:szCs w:val="24"/>
        </w:rPr>
        <w:t>. Similarly, h</w:t>
      </w:r>
      <w:r w:rsidRPr="00CD6193">
        <w:rPr>
          <w:rFonts w:ascii="Book Antiqua" w:hAnsi="Book Antiqua" w:cs="Times New Roman"/>
          <w:color w:val="000000" w:themeColor="text1"/>
          <w:sz w:val="24"/>
          <w:szCs w:val="24"/>
        </w:rPr>
        <w:t xml:space="preserve">emodynamic improvements, length of </w:t>
      </w:r>
      <w:r w:rsidR="006647D6" w:rsidRPr="00CD6193">
        <w:rPr>
          <w:rFonts w:ascii="Book Antiqua" w:hAnsi="Book Antiqua" w:cs="Times New Roman"/>
          <w:color w:val="000000" w:themeColor="text1"/>
          <w:sz w:val="24"/>
          <w:szCs w:val="24"/>
        </w:rPr>
        <w:t>intensive care unit</w:t>
      </w:r>
      <w:r w:rsidR="00B435E5" w:rsidRPr="00CD6193">
        <w:rPr>
          <w:rFonts w:ascii="Book Antiqua" w:hAnsi="Book Antiqua" w:cs="Times New Roman"/>
          <w:color w:val="000000" w:themeColor="text1"/>
          <w:sz w:val="24"/>
          <w:szCs w:val="24"/>
        </w:rPr>
        <w:t xml:space="preserve"> and hospital </w:t>
      </w:r>
      <w:r w:rsidRPr="00CD6193">
        <w:rPr>
          <w:rFonts w:ascii="Book Antiqua" w:hAnsi="Book Antiqua" w:cs="Times New Roman"/>
          <w:color w:val="000000" w:themeColor="text1"/>
          <w:sz w:val="24"/>
          <w:szCs w:val="24"/>
        </w:rPr>
        <w:t>stay, BPA-associated complications, and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all-cause mortality were all comparable between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younger and elderly patients</w:t>
      </w:r>
      <w:r w:rsidR="00B4235D" w:rsidRPr="00CD6193">
        <w:rPr>
          <w:rFonts w:ascii="Book Antiqua" w:hAnsi="Book Antiqua" w:cs="Times New Roman"/>
          <w:color w:val="000000" w:themeColor="text1"/>
          <w:sz w:val="24"/>
          <w:szCs w:val="24"/>
        </w:rPr>
        <w:t xml:space="preserve"> receiving BPA</w:t>
      </w:r>
      <w:r w:rsidR="00B4235D" w:rsidRPr="00CD6193">
        <w:rPr>
          <w:rFonts w:ascii="Book Antiqua" w:hAnsi="Book Antiqua" w:cs="Times New Roman"/>
          <w:noProof/>
          <w:color w:val="000000" w:themeColor="text1"/>
          <w:sz w:val="24"/>
          <w:szCs w:val="24"/>
          <w:vertAlign w:val="superscript"/>
        </w:rPr>
        <w:t>[58,73,74]</w:t>
      </w:r>
      <w:r w:rsidR="00B435E5" w:rsidRPr="00CD6193">
        <w:rPr>
          <w:rFonts w:ascii="Book Antiqua" w:hAnsi="Book Antiqua" w:cs="Times New Roman"/>
          <w:color w:val="000000" w:themeColor="text1"/>
          <w:sz w:val="24"/>
          <w:szCs w:val="24"/>
        </w:rPr>
        <w:t xml:space="preserve">, suggesting </w:t>
      </w:r>
      <w:r w:rsidR="00D61E13">
        <w:rPr>
          <w:rFonts w:ascii="Book Antiqua" w:hAnsi="Book Antiqua" w:cs="Times New Roman"/>
          <w:color w:val="000000" w:themeColor="text1"/>
          <w:sz w:val="24"/>
          <w:szCs w:val="24"/>
        </w:rPr>
        <w:t>o</w:t>
      </w:r>
      <w:r w:rsidR="00B435E5" w:rsidRPr="00CD6193">
        <w:rPr>
          <w:rFonts w:ascii="Book Antiqua" w:hAnsi="Book Antiqua" w:cs="Times New Roman"/>
          <w:noProof/>
          <w:color w:val="000000" w:themeColor="text1"/>
          <w:sz w:val="24"/>
          <w:szCs w:val="24"/>
        </w:rPr>
        <w:t>lder age is actually not a contraindication for PEA or BPA</w:t>
      </w:r>
      <w:r w:rsidRPr="00CD6193">
        <w:rPr>
          <w:rFonts w:ascii="Book Antiqua" w:hAnsi="Book Antiqua" w:cs="Times New Roman"/>
          <w:color w:val="000000" w:themeColor="text1"/>
          <w:sz w:val="24"/>
          <w:szCs w:val="24"/>
        </w:rPr>
        <w:t>.</w:t>
      </w:r>
    </w:p>
    <w:p w14:paraId="52BA84B7"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8822F87"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LESION SELECTION AND INTERVENTIONAL PROCEDURE</w:t>
      </w:r>
    </w:p>
    <w:p w14:paraId="15664016" w14:textId="3D0C9D5C"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Thromboembolic lesions are classified into five types based on lesion location and angiographic morphology: ring-like stenosis lesion (band lesion), web lesion, subtotal </w:t>
      </w:r>
      <w:r w:rsidRPr="00CD6193">
        <w:rPr>
          <w:rFonts w:ascii="Book Antiqua" w:hAnsi="Book Antiqua" w:cs="Times New Roman"/>
          <w:color w:val="000000" w:themeColor="text1"/>
          <w:sz w:val="24"/>
          <w:szCs w:val="24"/>
        </w:rPr>
        <w:lastRenderedPageBreak/>
        <w:t>occlusion lesion, total occlusion lesion (pouch defect), and tortuous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lesion (Figure 3</w:t>
      </w:r>
      <w:proofErr w:type="gramStart"/>
      <w:r w:rsidRPr="00CD6193">
        <w:rPr>
          <w:rFonts w:ascii="Book Antiqua" w:hAnsi="Book Antiqua" w:cs="Times New Roman"/>
          <w:color w:val="000000" w:themeColor="text1"/>
          <w:sz w:val="24"/>
          <w:szCs w:val="24"/>
        </w:rPr>
        <w: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75,76]</w:t>
      </w:r>
      <w:r w:rsidRPr="00CD6193">
        <w:rPr>
          <w:rFonts w:ascii="Book Antiqua" w:hAnsi="Book Antiqua" w:cs="Times New Roman"/>
          <w:color w:val="000000" w:themeColor="text1"/>
          <w:sz w:val="24"/>
          <w:szCs w:val="24"/>
        </w:rPr>
        <w:t xml:space="preserve">. Priority selection of target lesions is as follows: right lung &gt; left lung, inferior lobe &gt; superior or middle lobes, webs or bands &gt; subtotal occlusion &gt; chronic total occlusion &gt; tortuous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76]</w:t>
      </w:r>
      <w:r w:rsidRPr="00CD6193">
        <w:rPr>
          <w:rFonts w:ascii="Book Antiqua" w:hAnsi="Book Antiqua" w:cs="Times New Roman"/>
          <w:color w:val="000000" w:themeColor="text1"/>
          <w:sz w:val="24"/>
          <w:szCs w:val="24"/>
        </w:rPr>
        <w:t xml:space="preserve">. Compared to the left, the right lung is given priority owing to easier manipulation, and more blood flow and lesion </w:t>
      </w:r>
      <w:proofErr w:type="gramStart"/>
      <w:r w:rsidRPr="00CD6193">
        <w:rPr>
          <w:rFonts w:ascii="Book Antiqua" w:hAnsi="Book Antiqua" w:cs="Times New Roman"/>
          <w:color w:val="000000" w:themeColor="text1"/>
          <w:sz w:val="24"/>
          <w:szCs w:val="24"/>
        </w:rPr>
        <w:t>distribution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53,75,77]</w:t>
      </w:r>
      <w:r w:rsidRPr="00CD6193">
        <w:rPr>
          <w:rFonts w:ascii="Book Antiqua" w:hAnsi="Book Antiqua" w:cs="Times New Roman"/>
          <w:color w:val="000000" w:themeColor="text1"/>
          <w:sz w:val="24"/>
          <w:szCs w:val="24"/>
        </w:rPr>
        <w:t xml:space="preserve">. Due to the effect of gravity, the blood flow in the inferior </w:t>
      </w:r>
      <w:r w:rsidR="00D61E13">
        <w:rPr>
          <w:rFonts w:ascii="Book Antiqua" w:hAnsi="Book Antiqua" w:cs="Times New Roman"/>
          <w:color w:val="000000" w:themeColor="text1"/>
          <w:sz w:val="24"/>
          <w:szCs w:val="24"/>
        </w:rPr>
        <w:t xml:space="preserve">lobe </w:t>
      </w:r>
      <w:r w:rsidRPr="00CD6193">
        <w:rPr>
          <w:rFonts w:ascii="Book Antiqua" w:hAnsi="Book Antiqua" w:cs="Times New Roman"/>
          <w:color w:val="000000" w:themeColor="text1"/>
          <w:sz w:val="24"/>
          <w:szCs w:val="24"/>
        </w:rPr>
        <w:t xml:space="preserve">is physiologically larger than in the superior and middle lungs, thus targeting lesions in the lower lobes may enable more prevalent improvements in pulmonary </w:t>
      </w:r>
      <w:proofErr w:type="gramStart"/>
      <w:r w:rsidRPr="00CD6193">
        <w:rPr>
          <w:rFonts w:ascii="Book Antiqua" w:hAnsi="Book Antiqua" w:cs="Times New Roman"/>
          <w:color w:val="000000" w:themeColor="text1"/>
          <w:sz w:val="24"/>
          <w:szCs w:val="24"/>
        </w:rPr>
        <w:t>hemodynamics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78]</w:t>
      </w:r>
      <w:r w:rsidRPr="00CD6193">
        <w:rPr>
          <w:rFonts w:ascii="Book Antiqua" w:hAnsi="Book Antiqua" w:cs="Times New Roman"/>
          <w:color w:val="000000" w:themeColor="text1"/>
          <w:sz w:val="24"/>
          <w:szCs w:val="24"/>
        </w:rPr>
        <w:t>. Chronic subtotal/total occlusion and tortuous lesions have high complication rates (nearly 2% for webs or bands; 15.5% for subtotal occlusion, 6% for total occlusion, and 43.2% for tortuous lesions) and low success rates (nearly 100% for webs or bands, 86.5% for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subtotal occlusion, and 52.2% for total occlusion, and 63.6% for tortuous lesions)</w:t>
      </w:r>
      <w:r w:rsidRPr="00CD6193">
        <w:rPr>
          <w:rFonts w:ascii="Book Antiqua" w:hAnsi="Book Antiqua" w:cs="Times New Roman"/>
          <w:noProof/>
          <w:color w:val="000000" w:themeColor="text1"/>
          <w:sz w:val="24"/>
          <w:szCs w:val="24"/>
          <w:vertAlign w:val="superscript"/>
        </w:rPr>
        <w:t>[59,75]</w:t>
      </w:r>
      <w:r w:rsidRPr="00CD6193">
        <w:rPr>
          <w:rFonts w:ascii="Book Antiqua" w:hAnsi="Book Antiqua" w:cs="Times New Roman"/>
          <w:color w:val="000000" w:themeColor="text1"/>
          <w:sz w:val="24"/>
          <w:szCs w:val="24"/>
        </w:rPr>
        <w:t>, and therefore should be eluded during initial session or when the patient is generally unstable with poor pulmonary hemodynamics (</w:t>
      </w:r>
      <w:r w:rsidRPr="00E81675">
        <w:rPr>
          <w:rFonts w:ascii="Book Antiqua" w:hAnsi="Book Antiqua" w:cs="Times New Roman"/>
          <w:i/>
          <w:color w:val="000000" w:themeColor="text1"/>
          <w:sz w:val="24"/>
          <w:szCs w:val="24"/>
        </w:rPr>
        <w:t>e.g</w:t>
      </w:r>
      <w:r w:rsidRPr="00CD6193">
        <w:rPr>
          <w:rFonts w:ascii="Book Antiqua" w:hAnsi="Book Antiqua" w:cs="Times New Roman"/>
          <w:color w:val="000000" w:themeColor="text1"/>
          <w:sz w:val="24"/>
          <w:szCs w:val="24"/>
        </w:rPr>
        <w:t xml:space="preserve">., high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or low cardiac output)</w:t>
      </w:r>
      <w:r w:rsidRPr="00CD6193">
        <w:rPr>
          <w:rFonts w:ascii="Book Antiqua" w:hAnsi="Book Antiqua" w:cs="Times New Roman"/>
          <w:noProof/>
          <w:color w:val="000000" w:themeColor="text1"/>
          <w:sz w:val="24"/>
          <w:szCs w:val="24"/>
          <w:vertAlign w:val="superscript"/>
        </w:rPr>
        <w:t>[77]</w:t>
      </w:r>
      <w:r w:rsidRPr="00CD6193">
        <w:rPr>
          <w:rFonts w:ascii="Book Antiqua" w:hAnsi="Book Antiqua" w:cs="Times New Roman"/>
          <w:color w:val="000000" w:themeColor="text1"/>
          <w:sz w:val="24"/>
          <w:szCs w:val="24"/>
        </w:rPr>
        <w:t xml:space="preserve">. Furthermore, high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before BPA is an independent predictor of the need for mechanical ventilation once lung injury occurs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w:t>
      </w:r>
    </w:p>
    <w:p w14:paraId="0EB55101" w14:textId="5C1BCEA2"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In our center, warfarin is stopped on admission and replaced by low molecular weight heparin to maintain activated clotting time at 250</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300 s prior to the procedure. Before RHC and BPA, comprehensive management to stabilize and maintain cardiovascular hemodynamics, right heart function, and nutrition status with necessary pulmonary vasodilators, diuretics and inotropic agents are of great significance for inoperable CTEPH patients. RHC is routinely and preferably approached through the right femoral vein which allows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easy manipulation and relatively low radiation exposure. In a few cases, the right jugular vein is an alternative option for those with local infection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at the femoral puncture site, inferior vena cava thrombosis or filter implantation. For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unilateral pulmonary angiography, 25</w:t>
      </w:r>
      <w:r w:rsidR="00374E57" w:rsidRPr="00CD6193">
        <w:rPr>
          <w:rFonts w:ascii="Book Antiqua" w:hAnsi="Book Antiqua" w:cs="Times New Roman"/>
          <w:color w:val="000000" w:themeColor="text1"/>
          <w:sz w:val="24"/>
          <w:szCs w:val="24"/>
        </w:rPr>
        <w:t xml:space="preserve"> </w:t>
      </w:r>
      <w:r w:rsidR="00802E9F" w:rsidRPr="00CD6193">
        <w:rPr>
          <w:rFonts w:ascii="Book Antiqua" w:hAnsi="Book Antiqua" w:cs="Times New Roman"/>
          <w:color w:val="000000" w:themeColor="text1"/>
          <w:sz w:val="24"/>
          <w:szCs w:val="24"/>
        </w:rPr>
        <w:t xml:space="preserve">mL </w:t>
      </w:r>
      <w:r w:rsidRPr="00CD6193">
        <w:rPr>
          <w:rFonts w:ascii="Book Antiqua" w:hAnsi="Book Antiqua" w:cs="Times New Roman"/>
          <w:color w:val="000000" w:themeColor="text1"/>
          <w:sz w:val="24"/>
          <w:szCs w:val="24"/>
        </w:rPr>
        <w:t>iodinated contrast media is automatically administered using a power injector through a 6 Fr pigtail angiographic catheter at a rate of 12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w:t>
      </w:r>
      <w:r w:rsidR="00AE4A48" w:rsidRPr="00CD6193">
        <w:rPr>
          <w:rFonts w:ascii="Book Antiqua" w:hAnsi="Book Antiqua" w:cs="Times New Roman"/>
          <w:color w:val="000000" w:themeColor="text1"/>
          <w:sz w:val="24"/>
          <w:szCs w:val="24"/>
        </w:rPr>
        <w:t xml:space="preserve">s </w:t>
      </w:r>
      <w:r w:rsidRPr="00CD6193">
        <w:rPr>
          <w:rFonts w:ascii="Book Antiqua" w:hAnsi="Book Antiqua" w:cs="Times New Roman"/>
          <w:color w:val="000000" w:themeColor="text1"/>
          <w:sz w:val="24"/>
          <w:szCs w:val="24"/>
        </w:rPr>
        <w:t>in anterior-posterior and 45-60</w:t>
      </w:r>
      <w:r w:rsidRPr="00543D3F">
        <w:rPr>
          <w:rFonts w:ascii="Cambria Math" w:eastAsia="宋体" w:hAnsi="Cambria Math" w:cs="Cambria Math"/>
          <w:color w:val="000000" w:themeColor="text1"/>
          <w:sz w:val="24"/>
          <w:szCs w:val="24"/>
        </w:rPr>
        <w:t>℃</w:t>
      </w:r>
      <w:r w:rsidRPr="00543D3F">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lateral projections (Figure 4), in combination with previous lung perfusion scintigraphy and CTPA to obtain a comprehensive view of the targeted vessel location, lesion types and stenosis degree (Figure 5).</w:t>
      </w:r>
    </w:p>
    <w:p w14:paraId="5CF15200" w14:textId="31D2F26C"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above pigtail catheter is then replaced by 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260 cm stiff guidewire before insertion of </w:t>
      </w:r>
      <w:r w:rsidRPr="00CD6193">
        <w:rPr>
          <w:rFonts w:ascii="Book Antiqua" w:hAnsi="Book Antiqua" w:cs="Times New Roman"/>
          <w:color w:val="000000" w:themeColor="text1"/>
          <w:sz w:val="24"/>
          <w:szCs w:val="24"/>
        </w:rPr>
        <w:lastRenderedPageBreak/>
        <w:t xml:space="preserve">a 70 cm (80 cm for tall or </w:t>
      </w:r>
      <w:r w:rsidR="006F4142">
        <w:rPr>
          <w:rFonts w:ascii="Book Antiqua" w:hAnsi="Book Antiqua" w:cs="Times New Roman"/>
          <w:color w:val="000000" w:themeColor="text1"/>
          <w:sz w:val="24"/>
          <w:szCs w:val="24"/>
        </w:rPr>
        <w:t>overweight</w:t>
      </w:r>
      <w:r w:rsidRPr="00CD6193">
        <w:rPr>
          <w:rFonts w:ascii="Book Antiqua" w:hAnsi="Book Antiqua" w:cs="Times New Roman"/>
          <w:color w:val="000000" w:themeColor="text1"/>
          <w:sz w:val="24"/>
          <w:szCs w:val="24"/>
        </w:rPr>
        <w:t xml:space="preserve"> patients) 7 Fr long sheath into the main pulmonary artery tract. A 6 Fr guiding catheter (Multipurpose, </w:t>
      </w:r>
      <w:proofErr w:type="spellStart"/>
      <w:r w:rsidRPr="00CD6193">
        <w:rPr>
          <w:rFonts w:ascii="Book Antiqua" w:hAnsi="Book Antiqua" w:cs="Times New Roman"/>
          <w:color w:val="000000" w:themeColor="text1"/>
          <w:sz w:val="24"/>
          <w:szCs w:val="24"/>
        </w:rPr>
        <w:t>Amplatz</w:t>
      </w:r>
      <w:proofErr w:type="spellEnd"/>
      <w:r w:rsidRPr="00CD6193">
        <w:rPr>
          <w:rFonts w:ascii="Book Antiqua" w:hAnsi="Book Antiqua" w:cs="Times New Roman"/>
          <w:color w:val="000000" w:themeColor="text1"/>
          <w:sz w:val="24"/>
          <w:szCs w:val="24"/>
        </w:rPr>
        <w:t xml:space="preserve"> Left or </w:t>
      </w:r>
      <w:proofErr w:type="spellStart"/>
      <w:r w:rsidRPr="00CD6193">
        <w:rPr>
          <w:rFonts w:ascii="Book Antiqua" w:hAnsi="Book Antiqua" w:cs="Times New Roman"/>
          <w:color w:val="000000" w:themeColor="text1"/>
          <w:sz w:val="24"/>
          <w:szCs w:val="24"/>
        </w:rPr>
        <w:t>Judkins</w:t>
      </w:r>
      <w:proofErr w:type="spellEnd"/>
      <w:r w:rsidRPr="00CD6193">
        <w:rPr>
          <w:rFonts w:ascii="Book Antiqua" w:hAnsi="Book Antiqua" w:cs="Times New Roman"/>
          <w:color w:val="000000" w:themeColor="text1"/>
          <w:sz w:val="24"/>
          <w:szCs w:val="24"/>
        </w:rPr>
        <w:t xml:space="preserve"> Right) is advanced to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lobar pulmonary artery along with the long sheath. Unfractionated heparin (2000 U) is administered after introducing the guiding catheter, with an additional supply (500 U) per hour to maintain an activated clotting time of 200 to 300 s. During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mask oxygen inhalation is given at a flow rate of 5-10 L/min. </w:t>
      </w:r>
    </w:p>
    <w:p w14:paraId="30E3C482" w14:textId="03EB7981"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A 0.014-inch wire is crossed to the target lesion, then </w:t>
      </w:r>
      <w:r w:rsidR="006F4142">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appropriate balloon catheter (1.2-6.0 mm) is passed over the selected lesion and inflated with a 1:1 mixture of saline and iodinated contrast agents to 2</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14 atmospheres by hand for 5</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30 </w:t>
      </w:r>
      <w:r w:rsidR="00AE4A48" w:rsidRPr="00CD6193">
        <w:rPr>
          <w:rFonts w:ascii="Book Antiqua" w:hAnsi="Book Antiqua" w:cs="Times New Roman"/>
          <w:color w:val="000000" w:themeColor="text1"/>
          <w:sz w:val="24"/>
          <w:szCs w:val="24"/>
        </w:rPr>
        <w:t>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until fully expanded. To avoid severe complications, a 2.0</w:t>
      </w:r>
      <w:r w:rsidR="00610C2B"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 xml:space="preserve">mm </w:t>
      </w:r>
      <w:r w:rsidR="00610C2B"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20 mm balloon is positioned over the targeted lesions at initial dilation, and even smaller balloons may be </w:t>
      </w:r>
      <w:r w:rsidR="006F4142">
        <w:rPr>
          <w:rFonts w:ascii="Book Antiqua" w:hAnsi="Book Antiqua" w:cs="Times New Roman"/>
          <w:color w:val="000000" w:themeColor="text1"/>
          <w:sz w:val="24"/>
          <w:szCs w:val="24"/>
        </w:rPr>
        <w:t>chosen</w:t>
      </w:r>
      <w:r w:rsidRPr="00CD6193">
        <w:rPr>
          <w:rFonts w:ascii="Book Antiqua" w:hAnsi="Book Antiqua" w:cs="Times New Roman"/>
          <w:color w:val="000000" w:themeColor="text1"/>
          <w:sz w:val="24"/>
          <w:szCs w:val="24"/>
        </w:rPr>
        <w:t xml:space="preserve"> to cross subtotal or total occluded lesions. Inflation pressures are dynamically altered according to balloon and vessel size, and selective angiography with contrast agents is performed with deep breath holds in real time to confirm the effect and to visualize possible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vascular perforation or dissection manifested as extravasation or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retention of contrast media. Repeated dilations with unchanged or stepwise increased balloon size are performed in case of unresponsive or poorly responsive targeted angiographic vessel (&lt; 50% increase in vessel size). It is worth noting that a single vessel should not be dilated too aggressively to avoid any complications, the effect of dilatation may not be immediately apparent, and the targeted vessel will be spontaneously dilated as blood flows (Figure 6)</w:t>
      </w:r>
      <w:r w:rsidRPr="00CD6193">
        <w:rPr>
          <w:rFonts w:ascii="Book Antiqua" w:hAnsi="Book Antiqua" w:cs="Times New Roman"/>
          <w:noProof/>
          <w:color w:val="000000" w:themeColor="text1"/>
          <w:sz w:val="24"/>
          <w:szCs w:val="24"/>
          <w:vertAlign w:val="superscript"/>
        </w:rPr>
        <w:t>[80,81]</w:t>
      </w:r>
      <w:r w:rsidRPr="00CD6193">
        <w:rPr>
          <w:rFonts w:ascii="Book Antiqua" w:hAnsi="Book Antiqua" w:cs="Times New Roman"/>
          <w:color w:val="000000" w:themeColor="text1"/>
          <w:sz w:val="24"/>
          <w:szCs w:val="24"/>
        </w:rPr>
        <w:t xml:space="preserve">. When to terminate dilatation can be roundly judged from the following points: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increased angiographic diameter of </w:t>
      </w:r>
      <w:r w:rsidR="006F4142">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targeted vessel to near normal size</w:t>
      </w:r>
      <w:r w:rsidRPr="00CD6193">
        <w:rPr>
          <w:rFonts w:ascii="Book Antiqua" w:hAnsi="Book Antiqua" w:cs="Times New Roman"/>
          <w:noProof/>
          <w:color w:val="000000" w:themeColor="text1"/>
          <w:sz w:val="24"/>
          <w:szCs w:val="24"/>
          <w:vertAlign w:val="superscript"/>
        </w:rPr>
        <w:t>[30]</w:t>
      </w:r>
      <w:r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2) a grade three angiographic pulmonary flow or visible venous return</w:t>
      </w:r>
      <w:r w:rsidRPr="00CD6193">
        <w:rPr>
          <w:rFonts w:ascii="Book Antiqua" w:hAnsi="Book Antiqua" w:cs="Times New Roman"/>
          <w:noProof/>
          <w:color w:val="000000" w:themeColor="text1"/>
          <w:sz w:val="24"/>
          <w:szCs w:val="24"/>
          <w:vertAlign w:val="superscript"/>
        </w:rPr>
        <w:t>[61,77,82]</w:t>
      </w:r>
      <w:r w:rsidRPr="00CD6193">
        <w:rPr>
          <w:rFonts w:ascii="Book Antiqua" w:hAnsi="Book Antiqua" w:cs="Times New Roman"/>
          <w:color w:val="000000" w:themeColor="text1"/>
          <w:sz w:val="24"/>
          <w:szCs w:val="24"/>
        </w:rPr>
        <w:t xml:space="preserve">;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 marked lumen enlargement indicated by OCT or IVUS</w:t>
      </w:r>
      <w:r w:rsidRPr="00CD6193">
        <w:rPr>
          <w:rFonts w:ascii="Book Antiqua" w:hAnsi="Book Antiqua" w:cs="Times New Roman"/>
          <w:noProof/>
          <w:color w:val="000000" w:themeColor="text1"/>
          <w:sz w:val="24"/>
          <w:szCs w:val="24"/>
          <w:vertAlign w:val="superscript"/>
        </w:rPr>
        <w:t>[83]</w:t>
      </w:r>
      <w:r w:rsidRPr="00CD6193">
        <w:rPr>
          <w:rFonts w:ascii="Book Antiqua" w:hAnsi="Book Antiqua" w:cs="Times New Roman"/>
          <w:color w:val="000000" w:themeColor="text1"/>
          <w:sz w:val="24"/>
          <w:szCs w:val="24"/>
        </w:rPr>
        <w:t xml:space="preserve">; or </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4) the distal to proximal pressure ratio across the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targeted lesion</w:t>
      </w:r>
      <w:r w:rsidR="001C00C4"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0.8</w:t>
      </w:r>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Catheterization hemodynamics ought to be measured again at the end of each BPA session, but pulmonary angiography is not necessarily performed for the sake of possible impairment of renal function caused by contrast agents. A typical BPA session lasts for 1</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h, and should never exceed 2000 </w:t>
      </w:r>
      <w:proofErr w:type="spellStart"/>
      <w:r w:rsidRPr="00CD6193">
        <w:rPr>
          <w:rFonts w:ascii="Book Antiqua" w:hAnsi="Book Antiqua" w:cs="Times New Roman"/>
          <w:color w:val="000000" w:themeColor="text1"/>
          <w:sz w:val="24"/>
          <w:szCs w:val="24"/>
        </w:rPr>
        <w:t>mGy</w:t>
      </w:r>
      <w:proofErr w:type="spellEnd"/>
      <w:r w:rsidRPr="00CD6193">
        <w:rPr>
          <w:rFonts w:ascii="Book Antiqua" w:hAnsi="Book Antiqua" w:cs="Times New Roman"/>
          <w:color w:val="000000" w:themeColor="text1"/>
          <w:sz w:val="24"/>
          <w:szCs w:val="24"/>
        </w:rPr>
        <w:t xml:space="preserve"> X-</w:t>
      </w:r>
      <w:r w:rsidR="006F4142">
        <w:rPr>
          <w:rFonts w:ascii="Book Antiqua" w:hAnsi="Book Antiqua" w:cs="Times New Roman"/>
          <w:color w:val="000000" w:themeColor="text1"/>
          <w:sz w:val="24"/>
          <w:szCs w:val="24"/>
        </w:rPr>
        <w:t>r</w:t>
      </w:r>
      <w:r w:rsidRPr="00CD6193">
        <w:rPr>
          <w:rFonts w:ascii="Book Antiqua" w:hAnsi="Book Antiqua" w:cs="Times New Roman"/>
          <w:color w:val="000000" w:themeColor="text1"/>
          <w:sz w:val="24"/>
          <w:szCs w:val="24"/>
        </w:rPr>
        <w:t>ay exposure, 60 min fluoroscopy time, and 300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 xml:space="preserve"> contrast agents. Complications such as RPE, wire perforation and hemoptysis adjudicated by two or more interventional cardiologists should be well recorded. Low molecular weight heparin is restarted 6 h after BPA and replaced on the second day. </w:t>
      </w:r>
    </w:p>
    <w:p w14:paraId="2CF68865" w14:textId="70635980"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After BPA, the patients should be intensively cared for 48</w:t>
      </w:r>
      <w:r w:rsidR="0025136E"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h in case of possible complication</w:t>
      </w:r>
      <w:r w:rsidR="006F4142">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or deterioration. Additional BPA with appropriate balloon size depending on vessel diameters is repeated until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 25 mmHg. The </w:t>
      </w:r>
      <w:r w:rsidRPr="00CD6193">
        <w:rPr>
          <w:rFonts w:ascii="Book Antiqua" w:hAnsi="Book Antiqua" w:cs="Times New Roman"/>
          <w:sz w:val="24"/>
          <w:szCs w:val="24"/>
        </w:rPr>
        <w:t xml:space="preserve">BPA procedure interval varies from one week to several months in different </w:t>
      </w:r>
      <w:proofErr w:type="gramStart"/>
      <w:r w:rsidRPr="00CD6193">
        <w:rPr>
          <w:rFonts w:ascii="Book Antiqua" w:hAnsi="Book Antiqua" w:cs="Times New Roman"/>
          <w:sz w:val="24"/>
          <w:szCs w:val="24"/>
        </w:rPr>
        <w:t>centers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46,58,82,84]</w:t>
      </w:r>
      <w:r w:rsidRPr="00CD6193">
        <w:rPr>
          <w:rFonts w:ascii="Book Antiqua" w:hAnsi="Book Antiqua" w:cs="Times New Roman"/>
          <w:sz w:val="24"/>
          <w:szCs w:val="24"/>
        </w:rPr>
        <w:t xml:space="preserve">, we tend to perform 1-2 </w:t>
      </w:r>
      <w:proofErr w:type="spellStart"/>
      <w:r w:rsidRPr="00CD6193">
        <w:rPr>
          <w:rFonts w:ascii="Book Antiqua" w:hAnsi="Book Antiqua" w:cs="Times New Roman"/>
          <w:sz w:val="24"/>
          <w:szCs w:val="24"/>
        </w:rPr>
        <w:t>mo</w:t>
      </w:r>
      <w:proofErr w:type="spellEnd"/>
      <w:r w:rsidRPr="00CD6193">
        <w:rPr>
          <w:rFonts w:ascii="Book Antiqua" w:hAnsi="Book Antiqua" w:cs="Times New Roman"/>
          <w:sz w:val="24"/>
          <w:szCs w:val="24"/>
        </w:rPr>
        <w:t xml:space="preserve"> later to avoid possible pulmonary edema due to acute revascularization, and excessive X-ray and contrast media exposure. </w:t>
      </w:r>
      <w:r w:rsidR="0008619E" w:rsidRPr="00CD6193">
        <w:rPr>
          <w:rFonts w:ascii="Book Antiqua" w:hAnsi="Book Antiqua" w:cs="Times New Roman"/>
          <w:sz w:val="24"/>
          <w:szCs w:val="24"/>
        </w:rPr>
        <w:t xml:space="preserve">Although controversies exist, </w:t>
      </w:r>
      <w:r w:rsidR="006F4142">
        <w:rPr>
          <w:rFonts w:ascii="Book Antiqua" w:hAnsi="Book Antiqua" w:cs="Times New Roman"/>
          <w:sz w:val="24"/>
          <w:szCs w:val="24"/>
        </w:rPr>
        <w:t xml:space="preserve">the </w:t>
      </w:r>
      <w:r w:rsidR="0008619E" w:rsidRPr="00CD6193">
        <w:rPr>
          <w:rFonts w:ascii="Book Antiqua" w:hAnsi="Book Antiqua" w:cs="Times New Roman"/>
          <w:sz w:val="24"/>
          <w:szCs w:val="24"/>
        </w:rPr>
        <w:t>c</w:t>
      </w:r>
      <w:r w:rsidRPr="00CD6193">
        <w:rPr>
          <w:rFonts w:ascii="Book Antiqua" w:hAnsi="Book Antiqua" w:cs="Times New Roman"/>
          <w:sz w:val="24"/>
          <w:szCs w:val="24"/>
        </w:rPr>
        <w:t xml:space="preserve">urrent therapeutic goal of </w:t>
      </w:r>
      <w:r w:rsidR="006F4142">
        <w:rPr>
          <w:rFonts w:ascii="Book Antiqua" w:hAnsi="Book Antiqua" w:cs="Times New Roman"/>
          <w:sz w:val="24"/>
          <w:szCs w:val="24"/>
        </w:rPr>
        <w:t xml:space="preserve">the </w:t>
      </w:r>
      <w:r w:rsidRPr="00CD6193">
        <w:rPr>
          <w:rFonts w:ascii="Book Antiqua" w:hAnsi="Book Antiqua" w:cs="Times New Roman"/>
          <w:sz w:val="24"/>
          <w:szCs w:val="24"/>
        </w:rPr>
        <w:t>BPA procedure is to achieve normalization of hemodynamics (</w:t>
      </w:r>
      <w:proofErr w:type="spellStart"/>
      <w:r w:rsidRPr="00CD6193">
        <w:rPr>
          <w:rFonts w:ascii="Book Antiqua" w:hAnsi="Book Antiqua" w:cs="Times New Roman"/>
          <w:sz w:val="24"/>
          <w:szCs w:val="24"/>
        </w:rPr>
        <w:t>mPAP</w:t>
      </w:r>
      <w:proofErr w:type="spellEnd"/>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&lt;</w:t>
      </w:r>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25 mmHg) and oxygen saturation &gt;</w:t>
      </w:r>
      <w:r w:rsidR="007934E2" w:rsidRPr="00CD6193">
        <w:rPr>
          <w:rFonts w:ascii="Book Antiqua" w:hAnsi="Book Antiqua" w:cs="Times New Roman"/>
          <w:sz w:val="24"/>
          <w:szCs w:val="24"/>
        </w:rPr>
        <w:t xml:space="preserve"> </w:t>
      </w:r>
      <w:r w:rsidRPr="00CD6193">
        <w:rPr>
          <w:rFonts w:ascii="Book Antiqua" w:hAnsi="Book Antiqua" w:cs="Times New Roman"/>
          <w:sz w:val="24"/>
          <w:szCs w:val="24"/>
        </w:rPr>
        <w:t>95% without using any vasodilators or oxygen supplementation</w:t>
      </w:r>
      <w:r w:rsidR="0008619E" w:rsidRPr="00CD6193">
        <w:rPr>
          <w:rFonts w:ascii="Book Antiqua" w:hAnsi="Book Antiqua" w:cs="Times New Roman"/>
          <w:sz w:val="24"/>
          <w:szCs w:val="24"/>
        </w:rPr>
        <w:t xml:space="preserve">, at least in our center and Okayama Medical Center, the world largest BPA </w:t>
      </w:r>
      <w:proofErr w:type="gramStart"/>
      <w:r w:rsidR="0008619E" w:rsidRPr="00CD6193">
        <w:rPr>
          <w:rFonts w:ascii="Book Antiqua" w:hAnsi="Book Antiqua" w:cs="Times New Roman"/>
          <w:sz w:val="24"/>
          <w:szCs w:val="24"/>
        </w:rPr>
        <w:t>center</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85-87]</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With staged BPA therapy, it is expected to reduce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PVR and improve oxygen saturation, thereby improving exercise tolerance, quality of life, and long-term prognosis of CTEPH patients.</w:t>
      </w:r>
    </w:p>
    <w:p w14:paraId="08DB4404"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ECCFF34"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PROMISING IMAGING MODALITIES</w:t>
      </w:r>
    </w:p>
    <w:p w14:paraId="79675F1B" w14:textId="442EB424"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In addition to conventional pulmonary angiography, there are many potential imaging methods that can assist us to accurately assess the lesion location, shape and type, provide real-time dynamic images and videos, and also help </w:t>
      </w:r>
      <w:r w:rsidR="007478DA" w:rsidRPr="00CD6193">
        <w:rPr>
          <w:rFonts w:ascii="Book Antiqua" w:hAnsi="Book Antiqua" w:cs="Times New Roman"/>
          <w:color w:val="000000" w:themeColor="text1"/>
          <w:sz w:val="24"/>
          <w:szCs w:val="24"/>
        </w:rPr>
        <w:t>guide</w:t>
      </w:r>
      <w:r w:rsidRPr="00CD6193">
        <w:rPr>
          <w:rFonts w:ascii="Book Antiqua" w:hAnsi="Book Antiqua" w:cs="Times New Roman"/>
          <w:color w:val="000000" w:themeColor="text1"/>
          <w:sz w:val="24"/>
          <w:szCs w:val="24"/>
        </w:rPr>
        <w:t xml:space="preserve"> BPA </w:t>
      </w:r>
      <w:r w:rsidR="007478DA" w:rsidRPr="00CD6193">
        <w:rPr>
          <w:rFonts w:ascii="Book Antiqua" w:hAnsi="Book Antiqua" w:cs="Times New Roman"/>
          <w:color w:val="000000" w:themeColor="text1"/>
          <w:sz w:val="24"/>
          <w:szCs w:val="24"/>
        </w:rPr>
        <w:t>procedures</w:t>
      </w:r>
      <w:r w:rsidRPr="00CD6193">
        <w:rPr>
          <w:rFonts w:ascii="Book Antiqua" w:hAnsi="Book Antiqua" w:cs="Times New Roman"/>
          <w:color w:val="000000" w:themeColor="text1"/>
          <w:sz w:val="24"/>
          <w:szCs w:val="24"/>
        </w:rPr>
        <w:t>. However, the cost and time consumed as well as their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feasibility, utility, and safety must be considered when using these imaging methods. </w:t>
      </w:r>
    </w:p>
    <w:p w14:paraId="0DB87A42" w14:textId="77FD8127" w:rsidR="00E1331B" w:rsidRPr="00CD6193" w:rsidRDefault="00E1331B" w:rsidP="00543D3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OCT is a new imaging modality, which produces optically scattered </w:t>
      </w:r>
      <w:r w:rsidR="0025136E" w:rsidRPr="00CD6193">
        <w:rPr>
          <w:rFonts w:ascii="Book Antiqua" w:hAnsi="Book Antiqua" w:cs="Times New Roman"/>
          <w:color w:val="000000" w:themeColor="text1"/>
          <w:sz w:val="24"/>
          <w:szCs w:val="24"/>
        </w:rPr>
        <w:t>2-dimensional (</w:t>
      </w:r>
      <w:r w:rsidRPr="00CD6193">
        <w:rPr>
          <w:rFonts w:ascii="Book Antiqua" w:hAnsi="Book Antiqua" w:cs="Times New Roman"/>
          <w:color w:val="000000" w:themeColor="text1"/>
          <w:sz w:val="24"/>
          <w:szCs w:val="24"/>
        </w:rPr>
        <w:t>2-D</w:t>
      </w:r>
      <w:r w:rsidR="0025136E" w:rsidRPr="00CD6193">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images showing high-resolution internal tissue </w:t>
      </w:r>
      <w:proofErr w:type="gramStart"/>
      <w:r w:rsidRPr="00CD6193">
        <w:rPr>
          <w:rFonts w:ascii="Book Antiqua" w:hAnsi="Book Antiqua" w:cs="Times New Roman"/>
          <w:color w:val="000000" w:themeColor="text1"/>
          <w:sz w:val="24"/>
          <w:szCs w:val="24"/>
        </w:rPr>
        <w:t>microstructure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47]</w:t>
      </w:r>
      <w:r w:rsidRPr="00CD6193">
        <w:rPr>
          <w:rFonts w:ascii="Book Antiqua" w:hAnsi="Book Antiqua" w:cs="Times New Roman"/>
          <w:color w:val="000000" w:themeColor="text1"/>
          <w:sz w:val="24"/>
          <w:szCs w:val="24"/>
        </w:rPr>
        <w:t>. OCT-guided BPA allows us to precisely assess lesion type and vessel diameter, and facilitate the selection of appropriate balloon size and length, and can also be utilized to evaluate the effectiveness of BPA</w:t>
      </w:r>
      <w:r w:rsidR="00DA4FFB">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however, it may result in potential volume overload and right heart </w:t>
      </w:r>
      <w:proofErr w:type="gramStart"/>
      <w:r w:rsidRPr="00CD6193">
        <w:rPr>
          <w:rFonts w:ascii="Book Antiqua" w:hAnsi="Book Antiqua" w:cs="Times New Roman"/>
          <w:color w:val="000000" w:themeColor="text1"/>
          <w:sz w:val="24"/>
          <w:szCs w:val="24"/>
        </w:rPr>
        <w:t>failure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82,88]</w:t>
      </w:r>
      <w:r w:rsidRPr="00CD6193">
        <w:rPr>
          <w:rFonts w:ascii="Book Antiqua" w:hAnsi="Book Antiqua" w:cs="Times New Roman"/>
          <w:color w:val="000000" w:themeColor="text1"/>
          <w:sz w:val="24"/>
          <w:szCs w:val="24"/>
        </w:rPr>
        <w:t>. Based on morphological features detected by OCT, vessel lesions are categorized into septum, multi-hole with thin wall, multi-hole with thick wall, and mono-hole (Table 1),</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most of the septum and multi-hole with thin wall types can be easily dilated to achieve </w:t>
      </w:r>
      <w:r w:rsidR="00DA4FFB">
        <w:rPr>
          <w:rFonts w:ascii="Book Antiqua" w:hAnsi="Book Antiqua" w:cs="Times New Roman"/>
          <w:color w:val="000000" w:themeColor="text1"/>
          <w:sz w:val="24"/>
          <w:szCs w:val="24"/>
        </w:rPr>
        <w:t>a</w:t>
      </w:r>
      <w:r w:rsidR="00FE0700" w:rsidRPr="00CD6193">
        <w:rPr>
          <w:rFonts w:ascii="Book Antiqua" w:hAnsi="Book Antiqua" w:cs="Times New Roman"/>
          <w:color w:val="000000" w:themeColor="text1"/>
          <w:sz w:val="24"/>
          <w:szCs w:val="24"/>
        </w:rPr>
        <w:t xml:space="preserve"> distal to proximal pressure ratio</w:t>
      </w:r>
      <w:r w:rsidRPr="00CD6193">
        <w:rPr>
          <w:rFonts w:ascii="Book Antiqua" w:hAnsi="Book Antiqua" w:cs="Times New Roman"/>
          <w:color w:val="000000" w:themeColor="text1"/>
          <w:sz w:val="24"/>
          <w:szCs w:val="24"/>
        </w:rPr>
        <w:t xml:space="preserve"> value &gt; 0.8; however, it is quite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hard to reach that goal when handling multi-hole with thick wall and mono-hole</w:t>
      </w:r>
      <w:r w:rsidR="00DA4FFB">
        <w:rPr>
          <w:rFonts w:ascii="Book Antiqua" w:hAnsi="Book Antiqua" w:cs="Times New Roman"/>
          <w:color w:val="000000" w:themeColor="text1"/>
          <w:sz w:val="24"/>
          <w:szCs w:val="24"/>
        </w:rPr>
        <w:t xml:space="preserve"> types</w:t>
      </w:r>
      <w:r w:rsidRPr="00CD6193">
        <w:rPr>
          <w:rFonts w:ascii="Book Antiqua" w:hAnsi="Book Antiqua" w:cs="Times New Roman"/>
          <w:color w:val="000000" w:themeColor="text1"/>
          <w:sz w:val="24"/>
          <w:szCs w:val="24"/>
        </w:rPr>
        <w:t xml:space="preserve">, which account for 70% of band lesions. This OCT-based morphological classification helps to differ lesions with good therapeutic responses to BPA and guide a safe and efficient BPA </w:t>
      </w:r>
      <w:proofErr w:type="gramStart"/>
      <w:r w:rsidRPr="00CD6193">
        <w:rPr>
          <w:rFonts w:ascii="Book Antiqua" w:hAnsi="Book Antiqua" w:cs="Times New Roman"/>
          <w:color w:val="000000" w:themeColor="text1"/>
          <w:sz w:val="24"/>
          <w:szCs w:val="24"/>
        </w:rPr>
        <w:t>procedure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89]</w:t>
      </w:r>
      <w:r w:rsidRPr="00CD6193">
        <w:rPr>
          <w:rFonts w:ascii="Book Antiqua" w:hAnsi="Book Antiqua" w:cs="Times New Roman"/>
          <w:color w:val="000000" w:themeColor="text1"/>
          <w:sz w:val="24"/>
          <w:szCs w:val="24"/>
        </w:rPr>
        <w:t xml:space="preserve">. IVUS is an </w:t>
      </w:r>
      <w:r w:rsidRPr="00CD6193">
        <w:rPr>
          <w:rFonts w:ascii="Book Antiqua" w:hAnsi="Book Antiqua" w:cs="Times New Roman"/>
          <w:color w:val="000000" w:themeColor="text1"/>
          <w:sz w:val="24"/>
          <w:szCs w:val="24"/>
        </w:rPr>
        <w:lastRenderedPageBreak/>
        <w:t>endovascular imaging technique that uses a miniaturized ultrasound probe to generate sound waves and produce real-time intravascular images</w:t>
      </w:r>
      <w:r w:rsidR="00FE0700" w:rsidRPr="00CD6193">
        <w:rPr>
          <w:rFonts w:ascii="Book Antiqua" w:hAnsi="Book Antiqua" w:cs="Times New Roman"/>
          <w:color w:val="000000" w:themeColor="text1"/>
          <w:sz w:val="24"/>
          <w:szCs w:val="24"/>
        </w:rPr>
        <w:t xml:space="preserve">, </w:t>
      </w:r>
      <w:r w:rsidR="00473F7F" w:rsidRPr="00CD6193">
        <w:rPr>
          <w:rFonts w:ascii="Book Antiqua" w:hAnsi="Book Antiqua" w:cs="Times New Roman"/>
          <w:color w:val="000000" w:themeColor="text1"/>
          <w:sz w:val="24"/>
          <w:szCs w:val="24"/>
        </w:rPr>
        <w:t xml:space="preserve">and </w:t>
      </w:r>
      <w:r w:rsidR="00FE0700" w:rsidRPr="00CD6193">
        <w:rPr>
          <w:rFonts w:ascii="Book Antiqua" w:hAnsi="Book Antiqua" w:cs="Times New Roman"/>
          <w:color w:val="000000" w:themeColor="text1"/>
          <w:sz w:val="24"/>
          <w:szCs w:val="24"/>
        </w:rPr>
        <w:t xml:space="preserve">due to relatively </w:t>
      </w:r>
      <w:r w:rsidR="002A5166" w:rsidRPr="00CD6193">
        <w:rPr>
          <w:rFonts w:ascii="Book Antiqua" w:hAnsi="Book Antiqua" w:cs="Times New Roman"/>
          <w:color w:val="000000" w:themeColor="text1"/>
          <w:sz w:val="24"/>
          <w:szCs w:val="24"/>
        </w:rPr>
        <w:t xml:space="preserve">lower resolution compared </w:t>
      </w:r>
      <w:r w:rsidR="00473F7F" w:rsidRPr="00CD6193">
        <w:rPr>
          <w:rFonts w:ascii="Book Antiqua" w:hAnsi="Book Antiqua" w:cs="Times New Roman"/>
          <w:color w:val="000000" w:themeColor="text1"/>
          <w:sz w:val="24"/>
          <w:szCs w:val="24"/>
        </w:rPr>
        <w:t>with</w:t>
      </w:r>
      <w:r w:rsidR="002A5166" w:rsidRPr="00CD6193">
        <w:rPr>
          <w:rFonts w:ascii="Book Antiqua" w:hAnsi="Book Antiqua" w:cs="Times New Roman"/>
          <w:color w:val="000000" w:themeColor="text1"/>
          <w:sz w:val="24"/>
          <w:szCs w:val="24"/>
        </w:rPr>
        <w:t xml:space="preserve"> OCT, IVUS has limited ability to assess thin organized thrombi, and is mainly </w:t>
      </w:r>
      <w:r w:rsidR="00922CF2" w:rsidRPr="00CD6193">
        <w:rPr>
          <w:rFonts w:ascii="Book Antiqua" w:hAnsi="Book Antiqua" w:cs="Times New Roman"/>
          <w:color w:val="000000" w:themeColor="text1"/>
          <w:sz w:val="24"/>
          <w:szCs w:val="24"/>
        </w:rPr>
        <w:t xml:space="preserve">applied </w:t>
      </w:r>
      <w:r w:rsidRPr="00CD6193">
        <w:rPr>
          <w:rFonts w:ascii="Book Antiqua" w:hAnsi="Book Antiqua" w:cs="Times New Roman"/>
          <w:color w:val="000000" w:themeColor="text1"/>
          <w:sz w:val="24"/>
          <w:szCs w:val="24"/>
        </w:rPr>
        <w:t xml:space="preserve">to determine </w:t>
      </w:r>
      <w:r w:rsidR="002A5166" w:rsidRPr="00CD6193">
        <w:rPr>
          <w:rFonts w:ascii="Book Antiqua" w:hAnsi="Book Antiqua" w:cs="Times New Roman"/>
          <w:color w:val="000000" w:themeColor="text1"/>
          <w:sz w:val="24"/>
          <w:szCs w:val="24"/>
        </w:rPr>
        <w:t>vessel</w:t>
      </w:r>
      <w:r w:rsidR="002A5166" w:rsidRPr="00CD6193" w:rsidDel="002A5166">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diameter</w:t>
      </w:r>
      <w:r w:rsidR="002A5166" w:rsidRPr="00CD6193">
        <w:rPr>
          <w:rFonts w:ascii="Book Antiqua" w:hAnsi="Book Antiqua" w:cs="Times New Roman"/>
          <w:color w:val="000000" w:themeColor="text1"/>
          <w:sz w:val="24"/>
          <w:szCs w:val="24"/>
        </w:rPr>
        <w:t xml:space="preserve"> so as to </w:t>
      </w:r>
      <w:r w:rsidRPr="00CD6193">
        <w:rPr>
          <w:rFonts w:ascii="Book Antiqua" w:hAnsi="Book Antiqua" w:cs="Times New Roman"/>
          <w:color w:val="000000" w:themeColor="text1"/>
          <w:sz w:val="24"/>
          <w:szCs w:val="24"/>
        </w:rPr>
        <w:t xml:space="preserve">select the appropriate balloon. In addition, virtual histology IVUS is capable </w:t>
      </w:r>
      <w:r w:rsidR="00DA4FFB">
        <w:rPr>
          <w:rFonts w:ascii="Book Antiqua" w:hAnsi="Book Antiqua" w:cs="Times New Roman"/>
          <w:color w:val="000000" w:themeColor="text1"/>
          <w:sz w:val="24"/>
          <w:szCs w:val="24"/>
        </w:rPr>
        <w:t>of</w:t>
      </w:r>
      <w:r w:rsidRPr="00CD6193">
        <w:rPr>
          <w:rFonts w:ascii="Book Antiqua" w:hAnsi="Book Antiqua" w:cs="Times New Roman"/>
          <w:color w:val="000000" w:themeColor="text1"/>
          <w:sz w:val="24"/>
          <w:szCs w:val="24"/>
        </w:rPr>
        <w:t xml:space="preserve"> identify</w:t>
      </w:r>
      <w:r w:rsidR="00DA4FFB">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vascular lesions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vulnerable to balloon compression and decide which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organized thrombus can be treated to avoid potential pulmonary artery </w:t>
      </w:r>
      <w:proofErr w:type="gramStart"/>
      <w:r w:rsidRPr="00CD6193">
        <w:rPr>
          <w:rFonts w:ascii="Book Antiqua" w:hAnsi="Book Antiqua" w:cs="Times New Roman"/>
          <w:color w:val="000000" w:themeColor="text1"/>
          <w:sz w:val="24"/>
          <w:szCs w:val="24"/>
        </w:rPr>
        <w:t>rupture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56]</w:t>
      </w:r>
      <w:r w:rsidRPr="00CD6193">
        <w:rPr>
          <w:rFonts w:ascii="Book Antiqua" w:hAnsi="Book Antiqua" w:cs="Times New Roman"/>
          <w:color w:val="000000" w:themeColor="text1"/>
          <w:sz w:val="24"/>
          <w:szCs w:val="24"/>
        </w:rPr>
        <w:t xml:space="preserve">. Angioscopy is a useful modality to visually evaluate various forms of organized thrombus such as white and red thrombus, and may facilitate treatment decision-making and interventional device </w:t>
      </w:r>
      <w:proofErr w:type="gramStart"/>
      <w:r w:rsidRPr="00CD6193">
        <w:rPr>
          <w:rFonts w:ascii="Book Antiqua" w:hAnsi="Book Antiqua" w:cs="Times New Roman"/>
          <w:color w:val="000000" w:themeColor="text1"/>
          <w:sz w:val="24"/>
          <w:szCs w:val="24"/>
        </w:rPr>
        <w:t>selection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90-92]</w:t>
      </w:r>
      <w:r w:rsidRPr="00CD6193">
        <w:rPr>
          <w:rFonts w:ascii="Book Antiqua" w:hAnsi="Book Antiqua" w:cs="Times New Roman"/>
          <w:color w:val="000000" w:themeColor="text1"/>
          <w:sz w:val="24"/>
          <w:szCs w:val="24"/>
        </w:rPr>
        <w:t xml:space="preserve">. Cone beam computed tomography (CBCT) can provide high-resolution </w:t>
      </w:r>
      <w:r w:rsidR="0025136E" w:rsidRPr="00CD6193">
        <w:rPr>
          <w:rFonts w:ascii="Book Antiqua" w:hAnsi="Book Antiqua" w:cs="Times New Roman"/>
          <w:color w:val="000000" w:themeColor="text1"/>
          <w:sz w:val="24"/>
          <w:szCs w:val="24"/>
        </w:rPr>
        <w:t>3</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views of intraluminal organized thrombus in segmental or subsegmental </w:t>
      </w:r>
      <w:proofErr w:type="gramStart"/>
      <w:r w:rsidRPr="00CD6193">
        <w:rPr>
          <w:rFonts w:ascii="Book Antiqua" w:hAnsi="Book Antiqua" w:cs="Times New Roman"/>
          <w:color w:val="000000" w:themeColor="text1"/>
          <w:sz w:val="24"/>
          <w:szCs w:val="24"/>
        </w:rPr>
        <w:t>vessels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93]</w:t>
      </w:r>
      <w:r w:rsidRPr="00CD6193">
        <w:rPr>
          <w:rFonts w:ascii="Book Antiqua" w:hAnsi="Book Antiqua" w:cs="Times New Roman"/>
          <w:color w:val="000000" w:themeColor="text1"/>
          <w:sz w:val="24"/>
          <w:szCs w:val="24"/>
        </w:rPr>
        <w:t xml:space="preserve">. Representative forms of organized thrombus can be classified into four types according to reconstructed images of CBCT during pulmonary angiography, i.e., type 1: webs, type 2: web and slits, type 3: slits, and type 4: narrowing or complete occlusion (Table 1). Slit lesions in type 2 and 3 may be easily pushed laterally with dilated balloons, while webs in type 1 and 2 are composed of fibroelastic tissues which are hard to treat with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94,95]</w:t>
      </w:r>
      <w:r w:rsidRPr="00CD6193">
        <w:rPr>
          <w:rFonts w:ascii="Book Antiqua" w:hAnsi="Book Antiqua" w:cs="Times New Roman"/>
          <w:color w:val="000000" w:themeColor="text1"/>
          <w:sz w:val="24"/>
          <w:szCs w:val="24"/>
        </w:rPr>
        <w:t xml:space="preserve">. Moreover, CBCT has been reported to be superior to CTPA in precisely detecting subsegmental webs and/or </w:t>
      </w:r>
      <w:proofErr w:type="gramStart"/>
      <w:r w:rsidRPr="00CD6193">
        <w:rPr>
          <w:rFonts w:ascii="Book Antiqua" w:hAnsi="Book Antiqua" w:cs="Times New Roman"/>
          <w:color w:val="000000" w:themeColor="text1"/>
          <w:sz w:val="24"/>
          <w:szCs w:val="24"/>
        </w:rPr>
        <w:t>slits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94]</w:t>
      </w:r>
      <w:r w:rsidRPr="00CD6193">
        <w:rPr>
          <w:rFonts w:ascii="Book Antiqua" w:hAnsi="Book Antiqua" w:cs="Times New Roman"/>
          <w:color w:val="000000" w:themeColor="text1"/>
          <w:sz w:val="24"/>
          <w:szCs w:val="24"/>
        </w:rPr>
        <w:t xml:space="preserve">. </w:t>
      </w:r>
      <w:r w:rsidR="0025136E" w:rsidRPr="00CD6193">
        <w:rPr>
          <w:rFonts w:ascii="Book Antiqua" w:hAnsi="Book Antiqua" w:cs="Times New Roman"/>
          <w:color w:val="000000" w:themeColor="text1"/>
          <w:sz w:val="24"/>
          <w:szCs w:val="24"/>
        </w:rPr>
        <w:t>2</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parametric parenchymal blood flow, 3-</w:t>
      </w:r>
      <w:r w:rsidR="0025136E" w:rsidRPr="00CD6193">
        <w:rPr>
          <w:rFonts w:ascii="Book Antiqua" w:hAnsi="Book Antiqua" w:cs="Times New Roman"/>
          <w:color w:val="000000" w:themeColor="text1"/>
          <w:sz w:val="24"/>
          <w:szCs w:val="24"/>
        </w:rPr>
        <w:t xml:space="preserve">D </w:t>
      </w:r>
      <w:r w:rsidR="00A96581" w:rsidRPr="00CD6193">
        <w:rPr>
          <w:rFonts w:ascii="Book Antiqua" w:hAnsi="Book Antiqua" w:cs="Times New Roman"/>
          <w:color w:val="000000" w:themeColor="text1"/>
          <w:sz w:val="24"/>
          <w:szCs w:val="24"/>
        </w:rPr>
        <w:t>single-photon emission</w:t>
      </w:r>
      <w:r w:rsidR="00A96581" w:rsidRPr="00CD6193" w:rsidDel="00A96581">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CT/CT fusion imaging and </w:t>
      </w:r>
      <w:r w:rsidR="0025136E" w:rsidRPr="00CD6193">
        <w:rPr>
          <w:rFonts w:ascii="Book Antiqua" w:hAnsi="Book Antiqua" w:cs="Times New Roman"/>
          <w:color w:val="000000" w:themeColor="text1"/>
          <w:sz w:val="24"/>
          <w:szCs w:val="24"/>
        </w:rPr>
        <w:t>4</w:t>
      </w:r>
      <w:r w:rsidRPr="00CD6193">
        <w:rPr>
          <w:rFonts w:ascii="Book Antiqua" w:hAnsi="Book Antiqua" w:cs="Times New Roman"/>
          <w:color w:val="000000" w:themeColor="text1"/>
          <w:sz w:val="24"/>
          <w:szCs w:val="24"/>
        </w:rPr>
        <w:t>-</w:t>
      </w:r>
      <w:r w:rsidR="0025136E"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flow </w:t>
      </w:r>
      <w:r w:rsidR="00A96581" w:rsidRPr="00CD6193">
        <w:rPr>
          <w:rFonts w:ascii="Book Antiqua" w:hAnsi="Book Antiqua" w:cs="Times New Roman"/>
          <w:color w:val="000000" w:themeColor="text1"/>
          <w:sz w:val="24"/>
          <w:szCs w:val="24"/>
        </w:rPr>
        <w:t>magnetic resonance imaging</w:t>
      </w:r>
      <w:r w:rsidRPr="00CD6193">
        <w:rPr>
          <w:rFonts w:ascii="Book Antiqua" w:hAnsi="Book Antiqua" w:cs="Times New Roman"/>
          <w:color w:val="000000" w:themeColor="text1"/>
          <w:sz w:val="24"/>
          <w:szCs w:val="24"/>
        </w:rPr>
        <w:t xml:space="preserve"> can help visualize the blood flow of pulmonary arteries, guide </w:t>
      </w:r>
      <w:r w:rsidR="00DA4FFB">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and assess the effects of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96-100]</w:t>
      </w:r>
      <w:r w:rsidRPr="00CD6193">
        <w:rPr>
          <w:rFonts w:ascii="Book Antiqua" w:hAnsi="Book Antiqua" w:cs="Times New Roman"/>
          <w:color w:val="000000" w:themeColor="text1"/>
          <w:sz w:val="24"/>
          <w:szCs w:val="24"/>
        </w:rPr>
        <w:t>.</w:t>
      </w:r>
    </w:p>
    <w:p w14:paraId="7936FBBB"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D643942"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EFFICACY AND PROGNOSIS EVALUATION</w:t>
      </w:r>
    </w:p>
    <w:p w14:paraId="18F56A6D" w14:textId="13945FA3"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The initial exploration of the BPA procedure faced key issues compared with PEA, and BPA was not widely accepted due to relatively </w:t>
      </w:r>
      <w:r w:rsidR="00DA4FFB">
        <w:rPr>
          <w:rFonts w:ascii="Book Antiqua" w:hAnsi="Book Antiqua" w:cs="Times New Roman"/>
          <w:color w:val="000000" w:themeColor="text1"/>
          <w:sz w:val="24"/>
          <w:szCs w:val="24"/>
        </w:rPr>
        <w:t>few</w:t>
      </w:r>
      <w:r w:rsidRPr="00CD6193">
        <w:rPr>
          <w:rFonts w:ascii="Book Antiqua" w:hAnsi="Book Antiqua" w:cs="Times New Roman"/>
          <w:color w:val="000000" w:themeColor="text1"/>
          <w:sz w:val="24"/>
          <w:szCs w:val="24"/>
        </w:rPr>
        <w:t xml:space="preserve"> improvements in hemodynamics and </w:t>
      </w:r>
      <w:r w:rsidR="00DA4FFB">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higher incidence of lethal complications and mortality </w:t>
      </w:r>
      <w:proofErr w:type="gramStart"/>
      <w:r w:rsidRPr="00CD6193">
        <w:rPr>
          <w:rFonts w:ascii="Book Antiqua" w:hAnsi="Book Antiqua" w:cs="Times New Roman"/>
          <w:color w:val="000000" w:themeColor="text1"/>
          <w:sz w:val="24"/>
          <w:szCs w:val="24"/>
        </w:rPr>
        <w:t>risks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w:t>
      </w:r>
      <w:r w:rsidRPr="00CD6193">
        <w:rPr>
          <w:rFonts w:ascii="Book Antiqua" w:hAnsi="Book Antiqua" w:cs="Times New Roman"/>
          <w:color w:val="000000" w:themeColor="text1"/>
          <w:sz w:val="24"/>
          <w:szCs w:val="24"/>
        </w:rPr>
        <w:t>. With continuous refinements in BPA techniques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by Japanese scholars since 2004</w:t>
      </w:r>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compelling evidence ha</w:t>
      </w:r>
      <w:r w:rsidR="00DA4FFB">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demonstrated the definitely beneficial roles of BPA in safely improving clinical symptoms and pulmonary hemodynamics among inoperable CTEPH patients, which have been comprehensively and excellently summarized in several meta</w:t>
      </w:r>
      <w:r w:rsidR="00DA4FFB">
        <w:rPr>
          <w:rFonts w:ascii="Book Antiqua" w:hAnsi="Book Antiqua" w:cs="Times New Roman"/>
          <w:color w:val="000000" w:themeColor="text1"/>
          <w:sz w:val="24"/>
          <w:szCs w:val="24"/>
        </w:rPr>
        <w:t>-</w:t>
      </w:r>
      <w:proofErr w:type="gramStart"/>
      <w:r w:rsidRPr="00CD6193">
        <w:rPr>
          <w:rFonts w:ascii="Book Antiqua" w:hAnsi="Book Antiqua" w:cs="Times New Roman"/>
          <w:color w:val="000000" w:themeColor="text1"/>
          <w:sz w:val="24"/>
          <w:szCs w:val="24"/>
        </w:rPr>
        <w:t>analyses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101-104]</w:t>
      </w:r>
      <w:r w:rsidRPr="00CD6193">
        <w:rPr>
          <w:rFonts w:ascii="Book Antiqua" w:hAnsi="Book Antiqua" w:cs="Times New Roman"/>
          <w:color w:val="000000" w:themeColor="text1"/>
          <w:sz w:val="24"/>
          <w:szCs w:val="24"/>
        </w:rPr>
        <w:t xml:space="preserve">. BPA may also be a new treatment option for selected inoperable symptomatic CTED patients, a group presenting with clinical and diagnostic features of CTEPH but without PH, </w:t>
      </w:r>
      <w:r w:rsidR="00BA36FA"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lastRenderedPageBreak/>
        <w:t>small-size observational studies have demonstrated a safe and feasible profile in reducing supplementary oxygen requirement and improving pulmonary hemodynamics, WHO-FC and exercise capacity, but further large studies are needed to confirm these results</w:t>
      </w:r>
      <w:r w:rsidRPr="00CD6193">
        <w:rPr>
          <w:rFonts w:ascii="Book Antiqua" w:hAnsi="Book Antiqua" w:cs="Times New Roman"/>
          <w:noProof/>
          <w:color w:val="000000" w:themeColor="text1"/>
          <w:sz w:val="24"/>
          <w:szCs w:val="24"/>
          <w:vertAlign w:val="superscript"/>
        </w:rPr>
        <w:t>[64,65]</w:t>
      </w:r>
      <w:r w:rsidRPr="00CD6193">
        <w:rPr>
          <w:rFonts w:ascii="Book Antiqua" w:hAnsi="Book Antiqua" w:cs="Times New Roman"/>
          <w:color w:val="000000" w:themeColor="text1"/>
          <w:sz w:val="24"/>
          <w:szCs w:val="24"/>
        </w:rPr>
        <w:t>.</w:t>
      </w:r>
    </w:p>
    <w:p w14:paraId="1A009C16"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470AC38"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Hemodynamic effects and exercise tolerability</w:t>
      </w:r>
    </w:p>
    <w:p w14:paraId="118BAAFA" w14:textId="63E99723"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first and largest multicenter registry included 308 CTEPH patients who underwent 1408 BPA procedures between Nov</w:t>
      </w:r>
      <w:r w:rsidR="00DA4FFB">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2004 and Mar</w:t>
      </w:r>
      <w:r w:rsidR="00DA4FFB">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2013 at 7 institutions in Japan</w:t>
      </w:r>
      <w:r w:rsidR="00DA4FFB">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conferred favorable effects on hemodynamics </w:t>
      </w:r>
      <w:r w:rsidR="0068569F">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43.2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11.0 </w:t>
      </w:r>
      <w:r w:rsidR="00543D3F" w:rsidRPr="00CD6193">
        <w:rPr>
          <w:rFonts w:ascii="Book Antiqua" w:hAnsi="Book Antiqua" w:cs="Times New Roman"/>
          <w:color w:val="000000" w:themeColor="text1"/>
          <w:sz w:val="24"/>
          <w:szCs w:val="24"/>
        </w:rPr>
        <w:t>mmHg</w:t>
      </w:r>
      <w:r w:rsidR="00543D3F"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24.3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6.4 </w:t>
      </w:r>
      <w:bookmarkStart w:id="30" w:name="OLE_LINK174"/>
      <w:r w:rsidRPr="00CD6193">
        <w:rPr>
          <w:rFonts w:ascii="Book Antiqua" w:hAnsi="Book Antiqua" w:cs="Times New Roman"/>
          <w:color w:val="000000" w:themeColor="text1"/>
          <w:sz w:val="24"/>
          <w:szCs w:val="24"/>
        </w:rPr>
        <w:t>mmHg</w:t>
      </w:r>
      <w:bookmarkEnd w:id="30"/>
      <w:r w:rsidRPr="00CD6193">
        <w:rPr>
          <w:rFonts w:ascii="Book Antiqua" w:hAnsi="Book Antiqua" w:cs="Times New Roman"/>
          <w:color w:val="000000" w:themeColor="text1"/>
          <w:sz w:val="24"/>
          <w:szCs w:val="24"/>
        </w:rPr>
        <w:t>; PVR: 853.7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450.7 </w:t>
      </w:r>
      <w:r w:rsidR="00543D3F" w:rsidRPr="00CD6193">
        <w:rPr>
          <w:rFonts w:ascii="Book Antiqua" w:hAnsi="Book Antiqua" w:cs="Times New Roman"/>
          <w:color w:val="000000" w:themeColor="text1"/>
          <w:sz w:val="24"/>
          <w:szCs w:val="24"/>
        </w:rPr>
        <w:t>dyne·s·cm</w:t>
      </w:r>
      <w:r w:rsidR="00543D3F" w:rsidRPr="00CD6193">
        <w:rPr>
          <w:rFonts w:ascii="Book Antiqua" w:hAnsi="Book Antiqua" w:cs="Times New Roman"/>
          <w:color w:val="000000" w:themeColor="text1"/>
          <w:sz w:val="24"/>
          <w:szCs w:val="24"/>
          <w:vertAlign w:val="superscript"/>
        </w:rPr>
        <w:t>−5</w:t>
      </w:r>
      <w:r w:rsidR="00543D3F">
        <w:rPr>
          <w:rFonts w:ascii="Book Antiqua" w:hAnsi="Book Antiqua" w:cs="Times New Roman"/>
          <w:color w:val="000000" w:themeColor="text1"/>
          <w:sz w:val="24"/>
          <w:szCs w:val="24"/>
          <w:vertAlign w:val="superscript"/>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359.5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222.6 </w:t>
      </w:r>
      <w:bookmarkStart w:id="31" w:name="OLE_LINK175"/>
      <w:bookmarkStart w:id="32" w:name="OLE_LINK176"/>
      <w:r w:rsidRPr="00CD6193">
        <w:rPr>
          <w:rFonts w:ascii="Book Antiqua" w:hAnsi="Book Antiqua" w:cs="Times New Roman"/>
          <w:color w:val="000000" w:themeColor="text1"/>
          <w:sz w:val="24"/>
          <w:szCs w:val="24"/>
        </w:rPr>
        <w:t>dyne·s·cm</w:t>
      </w:r>
      <w:r w:rsidRPr="00CD6193">
        <w:rPr>
          <w:rFonts w:ascii="Book Antiqua" w:hAnsi="Book Antiqua" w:cs="Times New Roman"/>
          <w:color w:val="000000" w:themeColor="text1"/>
          <w:sz w:val="24"/>
          <w:szCs w:val="24"/>
          <w:vertAlign w:val="superscript"/>
        </w:rPr>
        <w:t>−5</w:t>
      </w:r>
      <w:bookmarkEnd w:id="31"/>
      <w:bookmarkEnd w:id="32"/>
      <w:r w:rsidRPr="00CD6193">
        <w:rPr>
          <w:rFonts w:ascii="Book Antiqua" w:hAnsi="Book Antiqua" w:cs="Times New Roman"/>
          <w:color w:val="000000" w:themeColor="text1"/>
          <w:sz w:val="24"/>
          <w:szCs w:val="24"/>
        </w:rPr>
        <w:t xml:space="preserve">; </w:t>
      </w:r>
      <w:r w:rsidR="00860739" w:rsidRPr="00CD6193">
        <w:rPr>
          <w:rFonts w:ascii="Book Antiqua" w:hAnsi="Book Antiqua" w:cs="Times New Roman"/>
          <w:color w:val="000000" w:themeColor="text1"/>
          <w:sz w:val="24"/>
          <w:szCs w:val="24"/>
        </w:rPr>
        <w:t>cardiac index</w:t>
      </w:r>
      <w:r w:rsidRPr="00CD6193">
        <w:rPr>
          <w:rFonts w:ascii="Book Antiqua" w:hAnsi="Book Antiqua" w:cs="Times New Roman"/>
          <w:color w:val="000000" w:themeColor="text1"/>
          <w:sz w:val="24"/>
          <w:szCs w:val="24"/>
        </w:rPr>
        <w:t>: 2.6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0.8 </w:t>
      </w:r>
      <w:r w:rsidR="00543D3F" w:rsidRPr="00CD6193">
        <w:rPr>
          <w:rFonts w:ascii="Book Antiqua" w:hAnsi="Book Antiqua" w:cs="Times New Roman"/>
          <w:color w:val="000000" w:themeColor="text1"/>
          <w:sz w:val="24"/>
          <w:szCs w:val="24"/>
        </w:rPr>
        <w:t>L/</w:t>
      </w:r>
      <w:r w:rsidR="00543D3F">
        <w:rPr>
          <w:rFonts w:ascii="Book Antiqua" w:hAnsi="Book Antiqua" w:cs="Times New Roman"/>
          <w:color w:val="000000" w:themeColor="text1"/>
          <w:sz w:val="24"/>
          <w:szCs w:val="24"/>
        </w:rPr>
        <w:t>(</w:t>
      </w:r>
      <w:r w:rsidR="00543D3F" w:rsidRPr="00CD6193">
        <w:rPr>
          <w:rFonts w:ascii="Book Antiqua" w:hAnsi="Book Antiqua" w:cs="Times New Roman"/>
          <w:color w:val="000000" w:themeColor="text1"/>
          <w:sz w:val="24"/>
          <w:szCs w:val="24"/>
        </w:rPr>
        <w:t>min</w:t>
      </w:r>
      <w:r w:rsidR="00543D3F">
        <w:rPr>
          <w:rFonts w:ascii="Book Antiqua" w:hAnsi="Book Antiqua" w:cs="Times New Roman"/>
          <w:color w:val="000000" w:themeColor="text1"/>
          <w:sz w:val="24"/>
          <w:szCs w:val="24"/>
        </w:rPr>
        <w:t>∙</w:t>
      </w:r>
      <w:r w:rsidR="00543D3F" w:rsidRPr="00CD6193">
        <w:rPr>
          <w:rFonts w:ascii="Book Antiqua" w:hAnsi="Book Antiqua" w:cs="Times New Roman"/>
          <w:color w:val="000000" w:themeColor="text1"/>
          <w:sz w:val="24"/>
          <w:szCs w:val="24"/>
        </w:rPr>
        <w:t>m</w:t>
      </w:r>
      <w:r w:rsidR="00543D3F" w:rsidRPr="00CD6193">
        <w:rPr>
          <w:rFonts w:ascii="Book Antiqua" w:hAnsi="Book Antiqua" w:cs="Times New Roman"/>
          <w:color w:val="000000" w:themeColor="text1"/>
          <w:sz w:val="24"/>
          <w:szCs w:val="24"/>
          <w:vertAlign w:val="superscript"/>
        </w:rPr>
        <w:t>2</w:t>
      </w:r>
      <w:r w:rsidR="00543D3F" w:rsidRPr="00543D3F">
        <w:rPr>
          <w:rFonts w:ascii="Book Antiqua" w:hAnsi="Book Antiqua" w:cs="Times New Roman"/>
          <w:color w:val="000000" w:themeColor="text1"/>
          <w:sz w:val="24"/>
          <w:szCs w:val="24"/>
        </w:rPr>
        <w:t>)</w:t>
      </w:r>
      <w:r w:rsidR="00543D3F">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007934E2" w:rsidRPr="00CD6193" w:rsidDel="007934E2">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0.7</w:t>
      </w:r>
      <w:r w:rsidRPr="00CD6193">
        <w:rPr>
          <w:rFonts w:ascii="Book Antiqua" w:hAnsi="Book Antiqua" w:cs="Times New Roman"/>
          <w:sz w:val="24"/>
          <w:szCs w:val="24"/>
        </w:rPr>
        <w:t xml:space="preserve"> </w:t>
      </w:r>
      <w:bookmarkStart w:id="33" w:name="OLE_LINK177"/>
      <w:bookmarkStart w:id="34" w:name="OLE_LINK178"/>
      <w:bookmarkStart w:id="35" w:name="OLE_LINK185"/>
      <w:r w:rsidRPr="00CD6193">
        <w:rPr>
          <w:rFonts w:ascii="Book Antiqua" w:hAnsi="Book Antiqua" w:cs="Times New Roman"/>
          <w:color w:val="000000" w:themeColor="text1"/>
          <w:sz w:val="24"/>
          <w:szCs w:val="24"/>
        </w:rPr>
        <w:t>L/</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r w:rsid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w:t>
      </w:r>
      <w:r w:rsidRPr="00CD6193">
        <w:rPr>
          <w:rFonts w:ascii="Book Antiqua" w:hAnsi="Book Antiqua" w:cs="Times New Roman"/>
          <w:color w:val="000000" w:themeColor="text1"/>
          <w:sz w:val="24"/>
          <w:szCs w:val="24"/>
          <w:vertAlign w:val="superscript"/>
        </w:rPr>
        <w:t>2</w:t>
      </w:r>
      <w:r w:rsidR="00543D3F" w:rsidRPr="00543D3F">
        <w:rPr>
          <w:rFonts w:ascii="Book Antiqua" w:hAnsi="Book Antiqua" w:cs="Times New Roman"/>
          <w:color w:val="000000" w:themeColor="text1"/>
          <w:sz w:val="24"/>
          <w:szCs w:val="24"/>
        </w:rPr>
        <w:t>)</w:t>
      </w:r>
      <w:bookmarkEnd w:id="33"/>
      <w:bookmarkEnd w:id="34"/>
      <w:bookmarkEnd w:id="35"/>
      <w:r w:rsidRPr="00CD6193">
        <w:rPr>
          <w:rFonts w:ascii="Book Antiqua" w:hAnsi="Book Antiqua" w:cs="Times New Roman"/>
          <w:color w:val="000000" w:themeColor="text1"/>
          <w:sz w:val="24"/>
          <w:szCs w:val="24"/>
        </w:rPr>
        <w:t xml:space="preserve">, all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w:t>
      </w:r>
      <w:r w:rsidR="0068569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B-type natriuretic peptide (</w:t>
      </w:r>
      <w:r w:rsidR="0041373C" w:rsidRPr="00CD6193">
        <w:rPr>
          <w:rFonts w:ascii="Book Antiqua" w:hAnsi="Book Antiqua" w:cs="Times New Roman"/>
          <w:color w:val="000000" w:themeColor="text1"/>
          <w:sz w:val="24"/>
          <w:szCs w:val="24"/>
        </w:rPr>
        <w:t xml:space="preserve">BNP: </w:t>
      </w:r>
      <w:r w:rsidRPr="00CD6193">
        <w:rPr>
          <w:rFonts w:ascii="Book Antiqua" w:hAnsi="Book Antiqua" w:cs="Times New Roman"/>
          <w:color w:val="000000" w:themeColor="text1"/>
          <w:sz w:val="24"/>
          <w:szCs w:val="24"/>
        </w:rPr>
        <w:t>239.5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334.2 </w:t>
      </w:r>
      <w:proofErr w:type="spellStart"/>
      <w:r w:rsidR="00543D3F" w:rsidRPr="00CD6193">
        <w:rPr>
          <w:rFonts w:ascii="Book Antiqua" w:hAnsi="Book Antiqua" w:cs="Times New Roman"/>
          <w:color w:val="000000" w:themeColor="text1"/>
          <w:sz w:val="24"/>
          <w:szCs w:val="24"/>
        </w:rPr>
        <w:t>pg</w:t>
      </w:r>
      <w:proofErr w:type="spellEnd"/>
      <w:r w:rsidR="00543D3F" w:rsidRPr="00CD6193">
        <w:rPr>
          <w:rFonts w:ascii="Book Antiqua" w:hAnsi="Book Antiqua" w:cs="Times New Roman"/>
          <w:color w:val="000000" w:themeColor="text1"/>
          <w:sz w:val="24"/>
          <w:szCs w:val="24"/>
        </w:rPr>
        <w:t>/mL</w:t>
      </w:r>
      <w:r w:rsidR="00543D3F"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43.3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76.4 </w:t>
      </w:r>
      <w:bookmarkStart w:id="36" w:name="OLE_LINK179"/>
      <w:bookmarkStart w:id="37" w:name="OLE_LINK180"/>
      <w:proofErr w:type="spellStart"/>
      <w:r w:rsidRPr="00CD6193">
        <w:rPr>
          <w:rFonts w:ascii="Book Antiqua" w:hAnsi="Book Antiqua" w:cs="Times New Roman"/>
          <w:color w:val="000000" w:themeColor="text1"/>
          <w:sz w:val="24"/>
          <w:szCs w:val="24"/>
        </w:rPr>
        <w:t>pg</w:t>
      </w:r>
      <w:proofErr w:type="spellEnd"/>
      <w:r w:rsidRPr="00CD6193">
        <w:rPr>
          <w:rFonts w:ascii="Book Antiqua" w:hAnsi="Book Antiqua" w:cs="Times New Roman"/>
          <w:color w:val="000000" w:themeColor="text1"/>
          <w:sz w:val="24"/>
          <w:szCs w:val="24"/>
        </w:rPr>
        <w:t>/mL</w:t>
      </w:r>
      <w:bookmarkEnd w:id="36"/>
      <w:bookmarkEnd w:id="37"/>
      <w:r w:rsidRPr="00CD6193">
        <w:rPr>
          <w:rFonts w:ascii="Book Antiqua" w:hAnsi="Book Antiqua" w:cs="Times New Roman"/>
          <w:color w:val="000000" w:themeColor="text1"/>
          <w:sz w:val="24"/>
          <w:szCs w:val="24"/>
        </w:rPr>
        <w:t xml:space="preserve">,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 and exercise tolerance</w:t>
      </w:r>
      <w:r w:rsidR="00BF4B78" w:rsidRPr="00CD6193">
        <w:rPr>
          <w:rFonts w:ascii="Book Antiqua" w:hAnsi="Book Antiqua" w:cs="Times New Roman"/>
          <w:color w:val="000000" w:themeColor="text1"/>
          <w:sz w:val="24"/>
          <w:szCs w:val="24"/>
        </w:rPr>
        <w:t xml:space="preserve"> assessed by </w:t>
      </w:r>
      <w:r w:rsidR="00DA4FFB">
        <w:rPr>
          <w:rFonts w:ascii="Book Antiqua" w:hAnsi="Book Antiqua" w:cs="Times New Roman"/>
          <w:color w:val="000000" w:themeColor="text1"/>
          <w:sz w:val="24"/>
          <w:szCs w:val="24"/>
        </w:rPr>
        <w:t xml:space="preserve">the </w:t>
      </w:r>
      <w:r w:rsidR="00BF4B78" w:rsidRPr="00CD6193">
        <w:rPr>
          <w:rFonts w:ascii="Book Antiqua" w:hAnsi="Book Antiqua" w:cs="Times New Roman"/>
          <w:color w:val="000000" w:themeColor="text1"/>
          <w:sz w:val="24"/>
          <w:szCs w:val="24"/>
        </w:rPr>
        <w:t>6-min walk distance</w:t>
      </w:r>
      <w:r w:rsidRPr="00CD6193">
        <w:rPr>
          <w:rFonts w:ascii="Book Antiqua" w:hAnsi="Book Antiqua" w:cs="Times New Roman"/>
          <w:color w:val="000000" w:themeColor="text1"/>
          <w:sz w:val="24"/>
          <w:szCs w:val="24"/>
        </w:rPr>
        <w:t xml:space="preserve"> (6MWD: 318.1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122.1 </w:t>
      </w:r>
      <w:r w:rsidR="00543D3F">
        <w:rPr>
          <w:rFonts w:ascii="Book Antiqua" w:hAnsi="Book Antiqua" w:cs="Times New Roman"/>
          <w:color w:val="000000" w:themeColor="text1"/>
          <w:sz w:val="24"/>
          <w:szCs w:val="24"/>
        </w:rPr>
        <w:t xml:space="preserve">m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401.3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104.8 m,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 with maintained efficacy at follow-up and less requirements for PAH-targeted therapy and oxygen supplementation</w:t>
      </w:r>
      <w:r w:rsidR="00151B5D" w:rsidRPr="00CD6193">
        <w:rPr>
          <w:rFonts w:ascii="Book Antiqua" w:hAnsi="Book Antiqua" w:cs="Times New Roman"/>
          <w:color w:val="000000" w:themeColor="text1"/>
          <w:sz w:val="24"/>
          <w:szCs w:val="24"/>
          <w:vertAlign w:val="superscript"/>
        </w:rPr>
        <w:t>[17]</w:t>
      </w:r>
      <w:r w:rsidRPr="00CD6193">
        <w:rPr>
          <w:rFonts w:ascii="Book Antiqua" w:hAnsi="Book Antiqua" w:cs="Times New Roman"/>
          <w:color w:val="000000" w:themeColor="text1"/>
          <w:sz w:val="24"/>
          <w:szCs w:val="24"/>
        </w:rPr>
        <w:t>. A mo</w:t>
      </w:r>
      <w:r w:rsidR="00DA4FFB">
        <w:rPr>
          <w:rFonts w:ascii="Book Antiqua" w:hAnsi="Book Antiqua" w:cs="Times New Roman"/>
          <w:color w:val="000000" w:themeColor="text1"/>
          <w:sz w:val="24"/>
          <w:szCs w:val="24"/>
        </w:rPr>
        <w:t>re</w:t>
      </w:r>
      <w:r w:rsidRPr="00CD6193">
        <w:rPr>
          <w:rFonts w:ascii="Book Antiqua" w:hAnsi="Book Antiqua" w:cs="Times New Roman"/>
          <w:color w:val="000000" w:themeColor="text1"/>
          <w:sz w:val="24"/>
          <w:szCs w:val="24"/>
        </w:rPr>
        <w:t xml:space="preserve"> recent study reported the largest monocentric experience of BPA outside Japan, a total of 184 inoperable CTEPH patients underwent 1006 BPA sessions from Feb</w:t>
      </w:r>
      <w:r w:rsidR="00543D3F">
        <w:rPr>
          <w:rFonts w:ascii="Book Antiqua" w:hAnsi="Book Antiqua" w:cs="Times New Roman"/>
          <w:color w:val="000000" w:themeColor="text1"/>
          <w:sz w:val="24"/>
          <w:szCs w:val="24"/>
        </w:rPr>
        <w:t>ruary</w:t>
      </w:r>
      <w:r w:rsidRPr="00CD6193">
        <w:rPr>
          <w:rFonts w:ascii="Book Antiqua" w:hAnsi="Book Antiqua" w:cs="Times New Roman"/>
          <w:color w:val="000000" w:themeColor="text1"/>
          <w:sz w:val="24"/>
          <w:szCs w:val="24"/>
        </w:rPr>
        <w:t xml:space="preserve"> 2014 to Jul</w:t>
      </w:r>
      <w:r w:rsidR="00543D3F">
        <w:rPr>
          <w:rFonts w:ascii="Book Antiqua" w:hAnsi="Book Antiqua" w:cs="Times New Roman"/>
          <w:color w:val="000000" w:themeColor="text1"/>
          <w:sz w:val="24"/>
          <w:szCs w:val="24"/>
        </w:rPr>
        <w:t>y</w:t>
      </w:r>
      <w:r w:rsidRPr="00CD6193">
        <w:rPr>
          <w:rFonts w:ascii="Book Antiqua" w:hAnsi="Book Antiqua" w:cs="Times New Roman"/>
          <w:color w:val="000000" w:themeColor="text1"/>
          <w:sz w:val="24"/>
          <w:szCs w:val="24"/>
        </w:rPr>
        <w:t xml:space="preserve"> 2017, </w:t>
      </w:r>
      <w:r w:rsidR="00DA4FFB">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short-term exercise capacity (6MWD: 396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120 </w:t>
      </w:r>
      <w:r w:rsidR="0068569F">
        <w:rPr>
          <w:rFonts w:ascii="Book Antiqua" w:hAnsi="Book Antiqua" w:cs="Times New Roman"/>
          <w:color w:val="000000" w:themeColor="text1"/>
          <w:sz w:val="24"/>
          <w:szCs w:val="24"/>
        </w:rPr>
        <w:t xml:space="preserve">m </w:t>
      </w:r>
      <w:r w:rsidR="007934E2" w:rsidRPr="00CD6193">
        <w:rPr>
          <w:rFonts w:ascii="Book Antiqua" w:hAnsi="Book Antiqua" w:cs="Times New Roman"/>
          <w:i/>
          <w:iCs/>
          <w:color w:val="000000" w:themeColor="text1"/>
          <w:sz w:val="24"/>
          <w:szCs w:val="24"/>
        </w:rPr>
        <w:t>vs</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441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104 m,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 xml:space="preserve">&lt; 0.001) and hemodynamics </w:t>
      </w:r>
      <w:r w:rsidR="0068569F">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43.9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9.5 </w:t>
      </w:r>
      <w:r w:rsidR="004723AE" w:rsidRPr="00CD6193">
        <w:rPr>
          <w:rFonts w:ascii="Book Antiqua" w:hAnsi="Book Antiqua" w:cs="Times New Roman"/>
          <w:color w:val="000000" w:themeColor="text1"/>
          <w:sz w:val="24"/>
          <w:szCs w:val="24"/>
        </w:rPr>
        <w:t>mmHg</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31.6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9.0 </w:t>
      </w:r>
      <w:bookmarkStart w:id="38" w:name="OLE_LINK181"/>
      <w:bookmarkStart w:id="39" w:name="OLE_LINK182"/>
      <w:r w:rsidRPr="00CD6193">
        <w:rPr>
          <w:rFonts w:ascii="Book Antiqua" w:hAnsi="Book Antiqua" w:cs="Times New Roman"/>
          <w:color w:val="000000" w:themeColor="text1"/>
          <w:sz w:val="24"/>
          <w:szCs w:val="24"/>
        </w:rPr>
        <w:t>mmHg</w:t>
      </w:r>
      <w:bookmarkEnd w:id="38"/>
      <w:bookmarkEnd w:id="39"/>
      <w:r w:rsidRPr="00CD6193">
        <w:rPr>
          <w:rFonts w:ascii="Book Antiqua" w:hAnsi="Book Antiqua" w:cs="Times New Roman"/>
          <w:color w:val="000000" w:themeColor="text1"/>
          <w:sz w:val="24"/>
          <w:szCs w:val="24"/>
        </w:rPr>
        <w:t>; PVR: 604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226 </w:t>
      </w:r>
      <w:r w:rsidR="004723AE" w:rsidRPr="00CD6193">
        <w:rPr>
          <w:rFonts w:ascii="Book Antiqua" w:hAnsi="Book Antiqua" w:cs="Times New Roman"/>
          <w:color w:val="000000" w:themeColor="text1"/>
          <w:sz w:val="24"/>
          <w:szCs w:val="24"/>
        </w:rPr>
        <w:t>dyne·s·cm</w:t>
      </w:r>
      <w:r w:rsidR="004723AE" w:rsidRPr="00CD6193">
        <w:rPr>
          <w:rFonts w:ascii="Book Antiqua" w:hAnsi="Book Antiqua" w:cs="Times New Roman"/>
          <w:color w:val="000000" w:themeColor="text1"/>
          <w:sz w:val="24"/>
          <w:szCs w:val="24"/>
          <w:vertAlign w:val="superscript"/>
        </w:rPr>
        <w:t>−5</w:t>
      </w:r>
      <w:r w:rsidR="004723AE">
        <w:rPr>
          <w:rFonts w:ascii="Book Antiqua" w:hAnsi="Book Antiqua" w:cs="Times New Roman"/>
          <w:color w:val="000000" w:themeColor="text1"/>
          <w:sz w:val="24"/>
          <w:szCs w:val="24"/>
          <w:vertAlign w:val="superscript"/>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177 </w:t>
      </w:r>
      <w:bookmarkStart w:id="40" w:name="OLE_LINK183"/>
      <w:bookmarkStart w:id="41" w:name="OLE_LINK184"/>
      <w:r w:rsidRPr="00CD6193">
        <w:rPr>
          <w:rFonts w:ascii="Book Antiqua" w:hAnsi="Book Antiqua" w:cs="Times New Roman"/>
          <w:color w:val="000000" w:themeColor="text1"/>
          <w:sz w:val="24"/>
          <w:szCs w:val="24"/>
        </w:rPr>
        <w:t>dyne·s·cm</w:t>
      </w:r>
      <w:r w:rsidRPr="00CD6193">
        <w:rPr>
          <w:rFonts w:ascii="Book Antiqua" w:hAnsi="Book Antiqua" w:cs="Times New Roman"/>
          <w:color w:val="000000" w:themeColor="text1"/>
          <w:sz w:val="24"/>
          <w:szCs w:val="24"/>
          <w:vertAlign w:val="superscript"/>
        </w:rPr>
        <w:t>−5</w:t>
      </w:r>
      <w:bookmarkEnd w:id="40"/>
      <w:bookmarkEnd w:id="41"/>
      <w:r w:rsidRPr="00CD6193">
        <w:rPr>
          <w:rFonts w:ascii="Book Antiqua" w:hAnsi="Book Antiqua" w:cs="Times New Roman"/>
          <w:color w:val="000000" w:themeColor="text1"/>
          <w:sz w:val="24"/>
          <w:szCs w:val="24"/>
        </w:rPr>
        <w:t xml:space="preserve">; </w:t>
      </w:r>
      <w:r w:rsidR="00860739" w:rsidRPr="00CD6193">
        <w:rPr>
          <w:rFonts w:ascii="Book Antiqua" w:hAnsi="Book Antiqua" w:cs="Times New Roman"/>
          <w:color w:val="000000" w:themeColor="text1"/>
          <w:sz w:val="24"/>
          <w:szCs w:val="24"/>
        </w:rPr>
        <w:t>cardiac index</w:t>
      </w:r>
      <w:r w:rsidRPr="00CD6193">
        <w:rPr>
          <w:rFonts w:ascii="Book Antiqua" w:hAnsi="Book Antiqua" w:cs="Times New Roman"/>
          <w:color w:val="000000" w:themeColor="text1"/>
          <w:sz w:val="24"/>
          <w:szCs w:val="24"/>
        </w:rPr>
        <w:t>: 2.68</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0.6</w:t>
      </w:r>
      <w:r w:rsidR="004723AE">
        <w:rPr>
          <w:rFonts w:ascii="Book Antiqua" w:hAnsi="Book Antiqua" w:cs="Times New Roman"/>
          <w:color w:val="000000" w:themeColor="text1"/>
          <w:sz w:val="24"/>
          <w:szCs w:val="24"/>
        </w:rPr>
        <w:t xml:space="preserve"> </w:t>
      </w:r>
      <w:r w:rsidR="004723AE" w:rsidRPr="00CD6193">
        <w:rPr>
          <w:rFonts w:ascii="Book Antiqua" w:hAnsi="Book Antiqua" w:cs="Times New Roman"/>
          <w:color w:val="000000" w:themeColor="text1"/>
          <w:sz w:val="24"/>
          <w:szCs w:val="24"/>
        </w:rPr>
        <w:t>L/</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min</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w:t>
      </w:r>
      <w:r w:rsidR="004723AE" w:rsidRPr="00CD6193">
        <w:rPr>
          <w:rFonts w:ascii="Book Antiqua" w:hAnsi="Book Antiqua" w:cs="Times New Roman"/>
          <w:color w:val="000000" w:themeColor="text1"/>
          <w:sz w:val="24"/>
          <w:szCs w:val="24"/>
          <w:vertAlign w:val="superscript"/>
        </w:rPr>
        <w:t>2</w:t>
      </w:r>
      <w:r w:rsidR="004723AE" w:rsidRP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3.07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0.75</w:t>
      </w:r>
      <w:r w:rsidRPr="00CD6193">
        <w:rPr>
          <w:rFonts w:ascii="Book Antiqua" w:hAnsi="Book Antiqua" w:cs="Times New Roman"/>
          <w:sz w:val="24"/>
          <w:szCs w:val="24"/>
        </w:rPr>
        <w:t xml:space="preserve"> </w:t>
      </w:r>
      <w:r w:rsidR="004723AE" w:rsidRPr="00CD6193">
        <w:rPr>
          <w:rFonts w:ascii="Book Antiqua" w:hAnsi="Book Antiqua" w:cs="Times New Roman"/>
          <w:color w:val="000000" w:themeColor="text1"/>
          <w:sz w:val="24"/>
          <w:szCs w:val="24"/>
        </w:rPr>
        <w:t>L/</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min</w:t>
      </w:r>
      <w:r w:rsidR="004723AE">
        <w:rPr>
          <w:rFonts w:ascii="Book Antiqua" w:hAnsi="Book Antiqua" w:cs="Times New Roman"/>
          <w:color w:val="000000" w:themeColor="text1"/>
          <w:sz w:val="24"/>
          <w:szCs w:val="24"/>
        </w:rPr>
        <w:t>∙</w:t>
      </w:r>
      <w:r w:rsidR="004723AE" w:rsidRPr="00CD6193">
        <w:rPr>
          <w:rFonts w:ascii="Book Antiqua" w:hAnsi="Book Antiqua" w:cs="Times New Roman"/>
          <w:color w:val="000000" w:themeColor="text1"/>
          <w:sz w:val="24"/>
          <w:szCs w:val="24"/>
        </w:rPr>
        <w:t>m</w:t>
      </w:r>
      <w:r w:rsidR="004723AE" w:rsidRPr="00CD6193">
        <w:rPr>
          <w:rFonts w:ascii="Book Antiqua" w:hAnsi="Book Antiqua" w:cs="Times New Roman"/>
          <w:color w:val="000000" w:themeColor="text1"/>
          <w:sz w:val="24"/>
          <w:szCs w:val="24"/>
          <w:vertAlign w:val="superscript"/>
        </w:rPr>
        <w:t>2</w:t>
      </w:r>
      <w:r w:rsidR="004723AE" w:rsidRPr="00543D3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all </w:t>
      </w:r>
      <w:r w:rsidR="00AD7C80" w:rsidRPr="00CD6193">
        <w:rPr>
          <w:rFonts w:ascii="Book Antiqua" w:hAnsi="Book Antiqua" w:cs="Times New Roman"/>
          <w:i/>
          <w:iCs/>
          <w:color w:val="000000" w:themeColor="text1"/>
          <w:sz w:val="24"/>
          <w:szCs w:val="24"/>
        </w:rPr>
        <w:t xml:space="preserve">P </w:t>
      </w:r>
      <w:r w:rsidRPr="00CD6193">
        <w:rPr>
          <w:rFonts w:ascii="Book Antiqua" w:hAnsi="Book Antiqua" w:cs="Times New Roman"/>
          <w:color w:val="000000" w:themeColor="text1"/>
          <w:sz w:val="24"/>
          <w:szCs w:val="24"/>
        </w:rPr>
        <w:t>&lt; 0.001</w:t>
      </w:r>
      <w:r w:rsidR="0068569F">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were all significantly improved by refined BPA, and the safety and efficacy of BPA improved over time, indicating an inevitable learning curve for this complex technique</w:t>
      </w:r>
      <w:r w:rsidR="00151B5D" w:rsidRPr="00CD6193">
        <w:rPr>
          <w:rFonts w:ascii="Book Antiqua" w:hAnsi="Book Antiqua" w:cs="Times New Roman"/>
          <w:color w:val="000000" w:themeColor="text1"/>
          <w:sz w:val="24"/>
          <w:szCs w:val="24"/>
          <w:vertAlign w:val="superscript"/>
        </w:rPr>
        <w:t>[18]</w:t>
      </w:r>
      <w:r w:rsidRPr="00CD6193">
        <w:rPr>
          <w:rFonts w:ascii="Book Antiqua" w:hAnsi="Book Antiqua" w:cs="Times New Roman"/>
          <w:color w:val="000000" w:themeColor="text1"/>
          <w:sz w:val="24"/>
          <w:szCs w:val="24"/>
        </w:rPr>
        <w:t xml:space="preserve">. </w:t>
      </w:r>
      <w:bookmarkStart w:id="42" w:name="OLE_LINK186"/>
      <w:bookmarkStart w:id="43" w:name="OLE_LINK187"/>
      <w:r w:rsidRPr="00CD6193">
        <w:rPr>
          <w:rFonts w:ascii="Book Antiqua" w:hAnsi="Book Antiqua" w:cs="Times New Roman"/>
          <w:color w:val="000000" w:themeColor="text1"/>
          <w:sz w:val="24"/>
          <w:szCs w:val="24"/>
        </w:rPr>
        <w:t xml:space="preserve">Taniguchi </w:t>
      </w:r>
      <w:bookmarkEnd w:id="42"/>
      <w:bookmarkEnd w:id="43"/>
      <w:r w:rsidR="00416A91" w:rsidRPr="00CD6193">
        <w:rPr>
          <w:rFonts w:ascii="Book Antiqua" w:hAnsi="Book Antiqua" w:cs="Times New Roman"/>
          <w:i/>
          <w:iCs/>
          <w:color w:val="000000" w:themeColor="text1"/>
          <w:sz w:val="24"/>
          <w:szCs w:val="24"/>
        </w:rPr>
        <w:t>et al</w:t>
      </w:r>
      <w:r w:rsidR="004723AE" w:rsidRPr="00CD6193">
        <w:rPr>
          <w:rFonts w:ascii="Book Antiqua" w:hAnsi="Book Antiqua" w:cs="Times New Roman"/>
          <w:noProof/>
          <w:color w:val="000000" w:themeColor="text1"/>
          <w:sz w:val="24"/>
          <w:szCs w:val="24"/>
          <w:vertAlign w:val="superscript"/>
        </w:rPr>
        <w:t>[105]</w:t>
      </w:r>
      <w:r w:rsidR="00416A91"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retrospectively evaluated the efficacy and safety of BPA and PEA, and found </w:t>
      </w:r>
      <w:r w:rsidR="00495C63">
        <w:rPr>
          <w:rFonts w:ascii="Book Antiqua" w:hAnsi="Book Antiqua" w:cs="Times New Roman"/>
          <w:color w:val="000000" w:themeColor="text1"/>
          <w:sz w:val="24"/>
          <w:szCs w:val="24"/>
        </w:rPr>
        <w:t xml:space="preserve">that </w:t>
      </w:r>
      <w:r w:rsidRPr="00CD6193">
        <w:rPr>
          <w:rFonts w:ascii="Book Antiqua" w:hAnsi="Book Antiqua" w:cs="Times New Roman"/>
          <w:color w:val="000000" w:themeColor="text1"/>
          <w:sz w:val="24"/>
          <w:szCs w:val="24"/>
        </w:rPr>
        <w:t xml:space="preserve">29 inoperable patients </w:t>
      </w:r>
      <w:r w:rsidR="00495C63">
        <w:rPr>
          <w:rFonts w:ascii="Book Antiqua" w:hAnsi="Book Antiqua" w:cs="Times New Roman"/>
          <w:color w:val="000000" w:themeColor="text1"/>
          <w:sz w:val="24"/>
          <w:szCs w:val="24"/>
        </w:rPr>
        <w:t xml:space="preserve">who </w:t>
      </w:r>
      <w:r w:rsidRPr="00CD6193">
        <w:rPr>
          <w:rFonts w:ascii="Book Antiqua" w:hAnsi="Book Antiqua" w:cs="Times New Roman"/>
          <w:color w:val="000000" w:themeColor="text1"/>
          <w:sz w:val="24"/>
          <w:szCs w:val="24"/>
        </w:rPr>
        <w:t>receiv</w:t>
      </w:r>
      <w:r w:rsidR="00495C63">
        <w:rPr>
          <w:rFonts w:ascii="Book Antiqua" w:hAnsi="Book Antiqua" w:cs="Times New Roman"/>
          <w:color w:val="000000" w:themeColor="text1"/>
          <w:sz w:val="24"/>
          <w:szCs w:val="24"/>
        </w:rPr>
        <w:t>ed</w:t>
      </w:r>
      <w:r w:rsidRPr="00CD6193">
        <w:rPr>
          <w:rFonts w:ascii="Book Antiqua" w:hAnsi="Book Antiqua" w:cs="Times New Roman"/>
          <w:color w:val="000000" w:themeColor="text1"/>
          <w:sz w:val="24"/>
          <w:szCs w:val="24"/>
        </w:rPr>
        <w:t xml:space="preserve"> BPA had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improved from 39.4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6.9 </w:t>
      </w:r>
      <w:r w:rsidR="004723AE" w:rsidRPr="00CD6193">
        <w:rPr>
          <w:rFonts w:ascii="Book Antiqua" w:hAnsi="Book Antiqua" w:cs="Times New Roman"/>
          <w:color w:val="000000" w:themeColor="text1"/>
          <w:sz w:val="24"/>
          <w:szCs w:val="24"/>
        </w:rPr>
        <w:t xml:space="preserve">mmHg </w:t>
      </w:r>
      <w:r w:rsidRPr="00CD6193">
        <w:rPr>
          <w:rFonts w:ascii="Book Antiqua" w:hAnsi="Book Antiqua" w:cs="Times New Roman"/>
          <w:color w:val="000000" w:themeColor="text1"/>
          <w:sz w:val="24"/>
          <w:szCs w:val="24"/>
        </w:rPr>
        <w:t>to 21.3</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5.6 mmHg</w:t>
      </w:r>
      <w:r w:rsidR="007934E2" w:rsidRPr="00CD6193">
        <w:rPr>
          <w:rFonts w:ascii="Book Antiqua" w:hAnsi="Book Antiqua" w:cs="Times New Roman"/>
          <w:color w:val="000000" w:themeColor="text1"/>
          <w:sz w:val="24"/>
          <w:szCs w:val="24"/>
        </w:rPr>
        <w:t xml:space="preserve"> (</w:t>
      </w:r>
      <w:r w:rsidR="007934E2" w:rsidRPr="00CD6193">
        <w:rPr>
          <w:rFonts w:ascii="Book Antiqua" w:hAnsi="Book Antiqua" w:cs="Times New Roman"/>
          <w:i/>
          <w:iCs/>
          <w:color w:val="000000" w:themeColor="text1"/>
          <w:sz w:val="24"/>
          <w:szCs w:val="24"/>
        </w:rPr>
        <w:t xml:space="preserve">P </w:t>
      </w:r>
      <w:r w:rsidR="007934E2"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PVR from 9.54 to 3.55 Wood units</w:t>
      </w:r>
      <w:r w:rsidR="00C571AB" w:rsidRPr="00CD6193">
        <w:rPr>
          <w:rFonts w:ascii="Book Antiqua" w:hAnsi="Book Antiqua" w:cs="Times New Roman"/>
          <w:color w:val="000000" w:themeColor="text1"/>
          <w:sz w:val="24"/>
          <w:szCs w:val="24"/>
        </w:rPr>
        <w:t xml:space="preserve"> (</w:t>
      </w:r>
      <w:r w:rsidR="00C571AB" w:rsidRPr="00CD6193">
        <w:rPr>
          <w:rFonts w:ascii="Book Antiqua" w:hAnsi="Book Antiqua" w:cs="Times New Roman"/>
          <w:i/>
          <w:iCs/>
          <w:color w:val="000000" w:themeColor="text1"/>
          <w:sz w:val="24"/>
          <w:szCs w:val="24"/>
        </w:rPr>
        <w:t xml:space="preserve">P </w:t>
      </w:r>
      <w:r w:rsidR="00C571AB"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xml:space="preserve">, and </w:t>
      </w:r>
      <w:r w:rsidR="00860739" w:rsidRPr="00CD6193">
        <w:rPr>
          <w:rFonts w:ascii="Book Antiqua" w:hAnsi="Book Antiqua" w:cs="Times New Roman"/>
          <w:color w:val="000000" w:themeColor="text1"/>
          <w:sz w:val="24"/>
          <w:szCs w:val="24"/>
        </w:rPr>
        <w:t>cardiac output</w:t>
      </w:r>
      <w:r w:rsidRPr="00CD6193">
        <w:rPr>
          <w:rFonts w:ascii="Book Antiqua" w:hAnsi="Book Antiqua" w:cs="Times New Roman"/>
          <w:color w:val="000000" w:themeColor="text1"/>
          <w:sz w:val="24"/>
          <w:szCs w:val="24"/>
        </w:rPr>
        <w:t xml:space="preserve"> from 3.47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0.80 to 4.26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1.15 L/min</w:t>
      </w:r>
      <w:r w:rsidR="00C571AB" w:rsidRPr="00CD6193">
        <w:rPr>
          <w:rFonts w:ascii="Book Antiqua" w:hAnsi="Book Antiqua" w:cs="Times New Roman"/>
          <w:color w:val="000000" w:themeColor="text1"/>
          <w:sz w:val="24"/>
          <w:szCs w:val="24"/>
        </w:rPr>
        <w:t xml:space="preserve"> (</w:t>
      </w:r>
      <w:r w:rsidR="00C571AB" w:rsidRPr="00CD6193">
        <w:rPr>
          <w:rFonts w:ascii="Book Antiqua" w:hAnsi="Book Antiqua" w:cs="Times New Roman"/>
          <w:i/>
          <w:iCs/>
          <w:color w:val="000000" w:themeColor="text1"/>
          <w:sz w:val="24"/>
          <w:szCs w:val="24"/>
        </w:rPr>
        <w:t xml:space="preserve">P </w:t>
      </w:r>
      <w:r w:rsidR="00C571AB" w:rsidRPr="00CD6193">
        <w:rPr>
          <w:rFonts w:ascii="Book Antiqua" w:hAnsi="Book Antiqua" w:cs="Times New Roman"/>
          <w:color w:val="000000" w:themeColor="text1"/>
          <w:sz w:val="24"/>
          <w:szCs w:val="24"/>
        </w:rPr>
        <w:t>&lt; 0.001)</w:t>
      </w:r>
      <w:r w:rsidRPr="00CD6193">
        <w:rPr>
          <w:rFonts w:ascii="Book Antiqua" w:hAnsi="Book Antiqua" w:cs="Times New Roman"/>
          <w:color w:val="000000" w:themeColor="text1"/>
          <w:sz w:val="24"/>
          <w:szCs w:val="24"/>
        </w:rPr>
        <w:t xml:space="preserve">, while 24 operable cases who underwent PEA had similar effects with decreased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(44.4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11.0 </w:t>
      </w:r>
      <w:r w:rsidR="004723AE" w:rsidRPr="00CD6193">
        <w:rPr>
          <w:rFonts w:ascii="Book Antiqua" w:hAnsi="Book Antiqua" w:cs="Times New Roman"/>
          <w:color w:val="000000" w:themeColor="text1"/>
          <w:sz w:val="24"/>
          <w:szCs w:val="24"/>
        </w:rPr>
        <w:t>mmHg</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21.6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6.7 mmHg</w:t>
      </w:r>
      <w:r w:rsidR="007934E2" w:rsidRPr="00CD6193">
        <w:rPr>
          <w:rFonts w:ascii="Book Antiqua" w:hAnsi="Book Antiqua" w:cs="Times New Roman"/>
          <w:color w:val="000000" w:themeColor="text1"/>
          <w:sz w:val="24"/>
          <w:szCs w:val="24"/>
        </w:rPr>
        <w:t>,</w:t>
      </w:r>
      <w:r w:rsidR="007934E2" w:rsidRPr="00CD6193">
        <w:rPr>
          <w:rFonts w:ascii="Book Antiqua" w:hAnsi="Book Antiqua"/>
          <w:sz w:val="24"/>
          <w:szCs w:val="24"/>
        </w:rPr>
        <w:t xml:space="preserve"> </w:t>
      </w:r>
      <w:r w:rsidR="007934E2" w:rsidRPr="00CD6193">
        <w:rPr>
          <w:rFonts w:ascii="Book Antiqua" w:hAnsi="Book Antiqua" w:cs="Times New Roman"/>
          <w:i/>
          <w:iCs/>
          <w:color w:val="000000" w:themeColor="text1"/>
          <w:sz w:val="24"/>
          <w:szCs w:val="24"/>
        </w:rPr>
        <w:t>P</w:t>
      </w:r>
      <w:r w:rsidR="007934E2" w:rsidRPr="00CD6193">
        <w:rPr>
          <w:rFonts w:ascii="Book Antiqua" w:hAnsi="Book Antiqua" w:cs="Times New Roman"/>
          <w:color w:val="000000" w:themeColor="text1"/>
          <w:sz w:val="24"/>
          <w:szCs w:val="24"/>
        </w:rPr>
        <w:t xml:space="preserve"> &lt; 0.001</w:t>
      </w:r>
      <w:r w:rsidRPr="00CD6193">
        <w:rPr>
          <w:rFonts w:ascii="Book Antiqua" w:hAnsi="Book Antiqua" w:cs="Times New Roman"/>
          <w:color w:val="000000" w:themeColor="text1"/>
          <w:sz w:val="24"/>
          <w:szCs w:val="24"/>
        </w:rPr>
        <w:t xml:space="preserve">), reduced PVR (9.76 </w:t>
      </w:r>
      <w:r w:rsidR="004723AE" w:rsidRPr="00CD6193">
        <w:rPr>
          <w:rFonts w:ascii="Book Antiqua" w:hAnsi="Book Antiqua" w:cs="Times New Roman"/>
          <w:color w:val="000000" w:themeColor="text1"/>
          <w:sz w:val="24"/>
          <w:szCs w:val="24"/>
        </w:rPr>
        <w:t>Wood units</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3.23 </w:t>
      </w:r>
      <w:bookmarkStart w:id="44" w:name="OLE_LINK188"/>
      <w:bookmarkStart w:id="45" w:name="OLE_LINK189"/>
      <w:r w:rsidRPr="00CD6193">
        <w:rPr>
          <w:rFonts w:ascii="Book Antiqua" w:hAnsi="Book Antiqua" w:cs="Times New Roman"/>
          <w:color w:val="000000" w:themeColor="text1"/>
          <w:sz w:val="24"/>
          <w:szCs w:val="24"/>
        </w:rPr>
        <w:t>Wood units</w:t>
      </w:r>
      <w:bookmarkEnd w:id="44"/>
      <w:bookmarkEnd w:id="45"/>
      <w:r w:rsidR="007934E2" w:rsidRPr="00CD6193">
        <w:rPr>
          <w:rFonts w:ascii="Book Antiqua" w:hAnsi="Book Antiqua" w:cs="Times New Roman"/>
          <w:color w:val="000000" w:themeColor="text1"/>
          <w:sz w:val="24"/>
          <w:szCs w:val="24"/>
        </w:rPr>
        <w:t>,</w:t>
      </w:r>
      <w:r w:rsidR="007934E2" w:rsidRPr="00CD6193">
        <w:rPr>
          <w:rFonts w:ascii="Book Antiqua" w:hAnsi="Book Antiqua"/>
          <w:sz w:val="24"/>
          <w:szCs w:val="24"/>
        </w:rPr>
        <w:t xml:space="preserve"> </w:t>
      </w:r>
      <w:r w:rsidR="007934E2" w:rsidRPr="00CD6193">
        <w:rPr>
          <w:rFonts w:ascii="Book Antiqua" w:hAnsi="Book Antiqua" w:cs="Times New Roman"/>
          <w:i/>
          <w:iCs/>
          <w:color w:val="000000" w:themeColor="text1"/>
          <w:sz w:val="24"/>
          <w:szCs w:val="24"/>
        </w:rPr>
        <w:t>P</w:t>
      </w:r>
      <w:r w:rsidR="007934E2" w:rsidRPr="00CD6193">
        <w:rPr>
          <w:rFonts w:ascii="Book Antiqua" w:hAnsi="Book Antiqua" w:cs="Times New Roman"/>
          <w:color w:val="000000" w:themeColor="text1"/>
          <w:sz w:val="24"/>
          <w:szCs w:val="24"/>
        </w:rPr>
        <w:t xml:space="preserve"> &lt; 0.001</w:t>
      </w:r>
      <w:r w:rsidRPr="00CD6193">
        <w:rPr>
          <w:rFonts w:ascii="Book Antiqua" w:hAnsi="Book Antiqua" w:cs="Times New Roman"/>
          <w:color w:val="000000" w:themeColor="text1"/>
          <w:sz w:val="24"/>
          <w:szCs w:val="24"/>
        </w:rPr>
        <w:t xml:space="preserve">), and elevated </w:t>
      </w:r>
      <w:r w:rsidR="00860739" w:rsidRPr="00CD6193">
        <w:rPr>
          <w:rFonts w:ascii="Book Antiqua" w:hAnsi="Book Antiqua" w:cs="Times New Roman"/>
          <w:color w:val="000000" w:themeColor="text1"/>
          <w:sz w:val="24"/>
          <w:szCs w:val="24"/>
        </w:rPr>
        <w:t>cardiac output</w:t>
      </w:r>
      <w:r w:rsidRPr="00CD6193">
        <w:rPr>
          <w:rFonts w:ascii="Book Antiqua" w:hAnsi="Book Antiqua" w:cs="Times New Roman"/>
          <w:color w:val="000000" w:themeColor="text1"/>
          <w:sz w:val="24"/>
          <w:szCs w:val="24"/>
        </w:rPr>
        <w:t xml:space="preserve"> (3.35</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1.11</w:t>
      </w:r>
      <w:r w:rsidR="007934E2" w:rsidRPr="00CD6193">
        <w:rPr>
          <w:rFonts w:ascii="Book Antiqua" w:hAnsi="Book Antiqua" w:cs="Times New Roman"/>
          <w:i/>
          <w:iCs/>
          <w:color w:val="000000" w:themeColor="text1"/>
          <w:sz w:val="24"/>
          <w:szCs w:val="24"/>
        </w:rPr>
        <w:t xml:space="preserve"> </w:t>
      </w:r>
      <w:r w:rsidR="004723AE" w:rsidRPr="00CD6193">
        <w:rPr>
          <w:rFonts w:ascii="Book Antiqua" w:hAnsi="Book Antiqua" w:cs="Times New Roman"/>
          <w:color w:val="000000" w:themeColor="text1"/>
          <w:sz w:val="24"/>
          <w:szCs w:val="24"/>
        </w:rPr>
        <w:t>L/min</w:t>
      </w:r>
      <w:r w:rsidR="004723AE" w:rsidRPr="00CD6193">
        <w:rPr>
          <w:rFonts w:ascii="Book Antiqua" w:hAnsi="Book Antiqua" w:cs="Times New Roman"/>
          <w:i/>
          <w:iCs/>
          <w:color w:val="000000" w:themeColor="text1"/>
          <w:sz w:val="24"/>
          <w:szCs w:val="24"/>
        </w:rPr>
        <w:t xml:space="preserve"> </w:t>
      </w:r>
      <w:r w:rsidR="007934E2"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4.44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1.58 </w:t>
      </w:r>
      <w:bookmarkStart w:id="46" w:name="OLE_LINK190"/>
      <w:bookmarkStart w:id="47" w:name="OLE_LINK191"/>
      <w:r w:rsidRPr="00CD6193">
        <w:rPr>
          <w:rFonts w:ascii="Book Antiqua" w:hAnsi="Book Antiqua" w:cs="Times New Roman"/>
          <w:color w:val="000000" w:themeColor="text1"/>
          <w:sz w:val="24"/>
          <w:szCs w:val="24"/>
        </w:rPr>
        <w:t>L/min</w:t>
      </w:r>
      <w:bookmarkEnd w:id="46"/>
      <w:bookmarkEnd w:id="47"/>
      <w:r w:rsidR="00C571AB" w:rsidRPr="00CD6193">
        <w:rPr>
          <w:rFonts w:ascii="Book Antiqua" w:hAnsi="Book Antiqua" w:cs="Times New Roman"/>
          <w:color w:val="000000" w:themeColor="text1"/>
          <w:sz w:val="24"/>
          <w:szCs w:val="24"/>
        </w:rPr>
        <w:t>,</w:t>
      </w:r>
      <w:r w:rsidR="00C571AB" w:rsidRPr="00CD6193">
        <w:rPr>
          <w:rFonts w:ascii="Book Antiqua" w:hAnsi="Book Antiqua"/>
          <w:sz w:val="24"/>
          <w:szCs w:val="24"/>
        </w:rPr>
        <w:t xml:space="preserve"> </w:t>
      </w:r>
      <w:r w:rsidR="00C571AB" w:rsidRPr="00CD6193">
        <w:rPr>
          <w:rFonts w:ascii="Book Antiqua" w:hAnsi="Book Antiqua" w:cs="Times New Roman"/>
          <w:i/>
          <w:iCs/>
          <w:color w:val="000000" w:themeColor="text1"/>
          <w:sz w:val="24"/>
          <w:szCs w:val="24"/>
        </w:rPr>
        <w:t>P</w:t>
      </w:r>
      <w:r w:rsidR="00C571AB" w:rsidRPr="00CD6193">
        <w:rPr>
          <w:rFonts w:ascii="Book Antiqua" w:hAnsi="Book Antiqua" w:cs="Times New Roman"/>
          <w:color w:val="000000" w:themeColor="text1"/>
          <w:sz w:val="24"/>
          <w:szCs w:val="24"/>
        </w:rPr>
        <w:t xml:space="preserve"> = 0.007</w:t>
      </w:r>
      <w:r w:rsidRPr="00CD6193">
        <w:rPr>
          <w:rFonts w:ascii="Book Antiqua" w:hAnsi="Book Antiqua" w:cs="Times New Roman"/>
          <w:color w:val="000000" w:themeColor="text1"/>
          <w:sz w:val="24"/>
          <w:szCs w:val="24"/>
        </w:rPr>
        <w:t>). BPA significantly improved hemodynamics and clinical status to a similar extent as PEA.</w:t>
      </w:r>
    </w:p>
    <w:p w14:paraId="362AE90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273976F9"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Cardiac function and myocardial injury</w:t>
      </w:r>
    </w:p>
    <w:p w14:paraId="6295FD5B" w14:textId="3523A6D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lastRenderedPageBreak/>
        <w:t xml:space="preserve">Non-invasive biomarker </w:t>
      </w:r>
      <w:r w:rsidR="00932BB8" w:rsidRPr="00CD6193">
        <w:rPr>
          <w:rFonts w:ascii="Book Antiqua" w:hAnsi="Book Antiqua" w:cs="Times New Roman"/>
          <w:color w:val="000000" w:themeColor="text1"/>
          <w:sz w:val="24"/>
          <w:szCs w:val="24"/>
        </w:rPr>
        <w:t>N-terminal pro-brain natriuretic peptide (</w:t>
      </w:r>
      <w:r w:rsidRPr="00CD6193">
        <w:rPr>
          <w:rFonts w:ascii="Book Antiqua" w:hAnsi="Book Antiqua" w:cs="Times New Roman"/>
          <w:color w:val="000000" w:themeColor="text1"/>
          <w:sz w:val="24"/>
          <w:szCs w:val="24"/>
        </w:rPr>
        <w:t>NT-</w:t>
      </w:r>
      <w:proofErr w:type="spellStart"/>
      <w:r w:rsidRPr="00CD6193">
        <w:rPr>
          <w:rFonts w:ascii="Book Antiqua" w:hAnsi="Book Antiqua" w:cs="Times New Roman"/>
          <w:color w:val="000000" w:themeColor="text1"/>
          <w:sz w:val="24"/>
          <w:szCs w:val="24"/>
        </w:rPr>
        <w:t>proBNP</w:t>
      </w:r>
      <w:proofErr w:type="spellEnd"/>
      <w:r w:rsidR="00932BB8" w:rsidRPr="00CD6193">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and troponin T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are independent predictors of survival in precapillary </w:t>
      </w:r>
      <w:proofErr w:type="gramStart"/>
      <w:r w:rsidRPr="00CD6193">
        <w:rPr>
          <w:rFonts w:ascii="Book Antiqua" w:hAnsi="Book Antiqua" w:cs="Times New Roman"/>
          <w:color w:val="000000" w:themeColor="text1"/>
          <w:sz w:val="24"/>
          <w:szCs w:val="24"/>
        </w:rPr>
        <w:t>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106,107]</w:t>
      </w:r>
      <w:r w:rsidRPr="00CD6193">
        <w:rPr>
          <w:rFonts w:ascii="Book Antiqua" w:hAnsi="Book Antiqua" w:cs="Times New Roman"/>
          <w:color w:val="000000" w:themeColor="text1"/>
          <w:sz w:val="24"/>
          <w:szCs w:val="24"/>
        </w:rPr>
        <w:t>. Previous studies observed a significant reduction in plasma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and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several months after the last BPA among patients with inoperable or persistent CTEPH, suggesting improved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strain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108-110]</w:t>
      </w:r>
      <w:r w:rsidRPr="00CD6193">
        <w:rPr>
          <w:rFonts w:ascii="Book Antiqua" w:hAnsi="Book Antiqua" w:cs="Times New Roman"/>
          <w:color w:val="000000" w:themeColor="text1"/>
          <w:sz w:val="24"/>
          <w:szCs w:val="24"/>
        </w:rPr>
        <w:t>. Moreover,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reduction was significantly associated with </w:t>
      </w:r>
      <w:r w:rsidR="00495C63">
        <w:rPr>
          <w:rFonts w:ascii="Book Antiqua" w:hAnsi="Book Antiqua" w:cs="Times New Roman"/>
          <w:color w:val="000000" w:themeColor="text1"/>
          <w:sz w:val="24"/>
          <w:szCs w:val="24"/>
        </w:rPr>
        <w:t>a</w:t>
      </w:r>
      <w:r w:rsidRPr="00CD6193">
        <w:rPr>
          <w:rFonts w:ascii="Book Antiqua" w:hAnsi="Book Antiqua" w:cs="Times New Roman"/>
          <w:color w:val="000000" w:themeColor="text1"/>
          <w:sz w:val="24"/>
          <w:szCs w:val="24"/>
        </w:rPr>
        <w:t xml:space="preserve"> decline </w:t>
      </w:r>
      <w:r w:rsidR="00495C63">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PVR, and dynamic monitoring might facilitate </w:t>
      </w:r>
      <w:r w:rsidR="00DF6F8B" w:rsidRPr="00CD619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identification of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non-</w:t>
      </w:r>
      <w:proofErr w:type="gramStart"/>
      <w:r w:rsidRPr="00CD6193">
        <w:rPr>
          <w:rFonts w:ascii="Book Antiqua" w:hAnsi="Book Antiqua" w:cs="Times New Roman"/>
          <w:color w:val="000000" w:themeColor="text1"/>
          <w:sz w:val="24"/>
          <w:szCs w:val="24"/>
        </w:rPr>
        <w:t>responders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111]</w:t>
      </w:r>
      <w:r w:rsidRPr="00CD6193">
        <w:rPr>
          <w:rFonts w:ascii="Book Antiqua" w:hAnsi="Book Antiqua" w:cs="Times New Roman"/>
          <w:color w:val="000000" w:themeColor="text1"/>
          <w:sz w:val="24"/>
          <w:szCs w:val="24"/>
        </w:rPr>
        <w:t xml:space="preserve">. High-sensitivity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significantly and steadily decreased</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after each BPA session, and baseline </w:t>
      </w:r>
      <w:proofErr w:type="spellStart"/>
      <w:r w:rsidRPr="00CD6193">
        <w:rPr>
          <w:rFonts w:ascii="Book Antiqua" w:hAnsi="Book Antiqua" w:cs="Times New Roman"/>
          <w:color w:val="000000" w:themeColor="text1"/>
          <w:sz w:val="24"/>
          <w:szCs w:val="24"/>
        </w:rPr>
        <w:t>cTnT</w:t>
      </w:r>
      <w:proofErr w:type="spellEnd"/>
      <w:r w:rsidRPr="00CD6193">
        <w:rPr>
          <w:rFonts w:ascii="Book Antiqua" w:hAnsi="Book Antiqua" w:cs="Times New Roman"/>
          <w:color w:val="000000" w:themeColor="text1"/>
          <w:sz w:val="24"/>
          <w:szCs w:val="24"/>
        </w:rPr>
        <w:t xml:space="preserve"> markedly correlated with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PVR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which presumably reflected the alleviation of myocardial injury induced by improved </w:t>
      </w:r>
      <w:r w:rsidR="00861552" w:rsidRPr="00CD6193">
        <w:rPr>
          <w:rFonts w:ascii="Book Antiqua" w:hAnsi="Book Antiqua" w:cs="Times New Roman"/>
          <w:color w:val="000000" w:themeColor="text1"/>
          <w:sz w:val="24"/>
          <w:szCs w:val="24"/>
        </w:rPr>
        <w:t>RV</w:t>
      </w:r>
      <w:r w:rsidRPr="00CD6193">
        <w:rPr>
          <w:rFonts w:ascii="Book Antiqua" w:hAnsi="Book Antiqua" w:cs="Times New Roman"/>
          <w:color w:val="000000" w:themeColor="text1"/>
          <w:sz w:val="24"/>
          <w:szCs w:val="24"/>
        </w:rPr>
        <w:t xml:space="preserve"> afterload after BPA </w:t>
      </w:r>
      <w:proofErr w:type="gramStart"/>
      <w:r w:rsidRPr="00CD6193">
        <w:rPr>
          <w:rFonts w:ascii="Book Antiqua" w:hAnsi="Book Antiqua" w:cs="Times New Roman"/>
          <w:color w:val="000000" w:themeColor="text1"/>
          <w:sz w:val="24"/>
          <w:szCs w:val="24"/>
        </w:rPr>
        <w:t>intervention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112]</w:t>
      </w:r>
      <w:r w:rsidRPr="00CD6193">
        <w:rPr>
          <w:rFonts w:ascii="Book Antiqua" w:hAnsi="Book Antiqua" w:cs="Times New Roman"/>
          <w:color w:val="000000" w:themeColor="text1"/>
          <w:sz w:val="24"/>
          <w:szCs w:val="24"/>
        </w:rPr>
        <w:t xml:space="preserve">. </w:t>
      </w:r>
    </w:p>
    <w:p w14:paraId="2F25702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4A4CC882"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 xml:space="preserve">Cardiopulmonary function </w:t>
      </w:r>
    </w:p>
    <w:p w14:paraId="7EB5077A" w14:textId="33C444D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Cardiopulmonary exercise testing is a reliable pathophysiological tool that can be used to objectively and safely evaluate comprehensive cardiopulmonary function. Impaired exercise capacity and ventilatory efficiency are important poor prognostic factors for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113]</w:t>
      </w:r>
      <w:r w:rsidRPr="00CD6193">
        <w:rPr>
          <w:rFonts w:ascii="Book Antiqua" w:hAnsi="Book Antiqua" w:cs="Times New Roman"/>
          <w:color w:val="000000" w:themeColor="text1"/>
          <w:sz w:val="24"/>
          <w:szCs w:val="24"/>
        </w:rPr>
        <w:t xml:space="preserve">. It was shown that peak oxygen consumption decreased and </w:t>
      </w:r>
      <w:r w:rsidR="00932BB8" w:rsidRPr="00CD6193">
        <w:rPr>
          <w:rFonts w:ascii="Book Antiqua" w:hAnsi="Book Antiqua" w:cs="Times New Roman"/>
          <w:color w:val="000000" w:themeColor="text1"/>
          <w:sz w:val="24"/>
          <w:szCs w:val="24"/>
        </w:rPr>
        <w:t>the minute ventilation/carbon dioxide production slope (</w:t>
      </w:r>
      <w:r w:rsidRPr="00CD6193">
        <w:rPr>
          <w:rFonts w:ascii="Book Antiqua" w:hAnsi="Book Antiqua" w:cs="Times New Roman"/>
          <w:color w:val="000000" w:themeColor="text1"/>
          <w:sz w:val="24"/>
          <w:szCs w:val="24"/>
        </w:rPr>
        <w:t>VE/VCO</w:t>
      </w:r>
      <w:r w:rsidRPr="00CD6193">
        <w:rPr>
          <w:rFonts w:ascii="Book Antiqua" w:hAnsi="Book Antiqua" w:cs="Times New Roman"/>
          <w:color w:val="000000" w:themeColor="text1"/>
          <w:sz w:val="24"/>
          <w:szCs w:val="24"/>
          <w:vertAlign w:val="subscript"/>
        </w:rPr>
        <w:t>2</w:t>
      </w:r>
      <w:r w:rsidR="00932BB8" w:rsidRPr="00CD6193">
        <w:rPr>
          <w:rFonts w:ascii="Book Antiqua" w:hAnsi="Book Antiqua" w:cs="Times New Roman"/>
          <w:color w:val="000000" w:themeColor="text1"/>
          <w:sz w:val="24"/>
          <w:szCs w:val="24"/>
          <w:vertAlign w:val="subscript"/>
        </w:rPr>
        <w:t xml:space="preserve"> </w:t>
      </w:r>
      <w:r w:rsidR="00932BB8" w:rsidRPr="00CD6193">
        <w:rPr>
          <w:rFonts w:ascii="Book Antiqua" w:hAnsi="Book Antiqua" w:cs="Times New Roman"/>
          <w:color w:val="000000" w:themeColor="text1"/>
          <w:sz w:val="24"/>
          <w:szCs w:val="24"/>
        </w:rPr>
        <w:t>slope)</w:t>
      </w:r>
      <w:r w:rsidRPr="00CD6193">
        <w:rPr>
          <w:rFonts w:ascii="Book Antiqua" w:hAnsi="Book Antiqua" w:cs="Times New Roman"/>
          <w:color w:val="000000" w:themeColor="text1"/>
          <w:sz w:val="24"/>
          <w:szCs w:val="24"/>
        </w:rPr>
        <w:t xml:space="preserve"> enhanced as baseline PVR increased.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VE/VCO</w:t>
      </w:r>
      <w:r w:rsidRPr="00CD6193">
        <w:rPr>
          <w:rFonts w:ascii="Book Antiqua" w:hAnsi="Book Antiqua" w:cs="Times New Roman"/>
          <w:color w:val="000000" w:themeColor="text1"/>
          <w:sz w:val="24"/>
          <w:szCs w:val="24"/>
          <w:vertAlign w:val="subscript"/>
        </w:rPr>
        <w:t>2</w:t>
      </w:r>
      <w:r w:rsidRPr="00CD6193">
        <w:rPr>
          <w:rFonts w:ascii="Book Antiqua" w:hAnsi="Book Antiqua" w:cs="Times New Roman"/>
          <w:color w:val="000000" w:themeColor="text1"/>
          <w:sz w:val="24"/>
          <w:szCs w:val="24"/>
        </w:rPr>
        <w:t xml:space="preserve"> slope diminished significantly early after PEA surgery and was significantly associated with the reduction in </w:t>
      </w:r>
      <w:proofErr w:type="gramStart"/>
      <w:r w:rsidRPr="00CD6193">
        <w:rPr>
          <w:rFonts w:ascii="Book Antiqua" w:hAnsi="Book Antiqua" w:cs="Times New Roman"/>
          <w:color w:val="000000" w:themeColor="text1"/>
          <w:sz w:val="24"/>
          <w:szCs w:val="24"/>
        </w:rPr>
        <w:t>PVR</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114]</w:t>
      </w:r>
      <w:r w:rsidRPr="00CD6193">
        <w:rPr>
          <w:rFonts w:ascii="Book Antiqua" w:hAnsi="Book Antiqua" w:cs="Times New Roman"/>
          <w:color w:val="000000" w:themeColor="text1"/>
          <w:sz w:val="24"/>
          <w:szCs w:val="24"/>
        </w:rPr>
        <w:t xml:space="preserve">. </w:t>
      </w:r>
      <w:bookmarkStart w:id="48" w:name="OLE_LINK192"/>
      <w:bookmarkStart w:id="49" w:name="OLE_LINK193"/>
      <w:proofErr w:type="spellStart"/>
      <w:r w:rsidRPr="00CD6193">
        <w:rPr>
          <w:rFonts w:ascii="Book Antiqua" w:hAnsi="Book Antiqua" w:cs="Times New Roman"/>
          <w:color w:val="000000" w:themeColor="text1"/>
          <w:sz w:val="24"/>
          <w:szCs w:val="24"/>
        </w:rPr>
        <w:t>Andreassen</w:t>
      </w:r>
      <w:bookmarkEnd w:id="48"/>
      <w:bookmarkEnd w:id="49"/>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et al</w:t>
      </w:r>
      <w:r w:rsidR="001E1139">
        <w:rPr>
          <w:rFonts w:ascii="Book Antiqua" w:hAnsi="Book Antiqua" w:cs="Times New Roman"/>
          <w:color w:val="000000" w:themeColor="text1"/>
          <w:sz w:val="24"/>
          <w:szCs w:val="24"/>
          <w:vertAlign w:val="superscript"/>
        </w:rPr>
        <w:t>[107,108]</w:t>
      </w:r>
      <w:r w:rsidRPr="00CD6193">
        <w:rPr>
          <w:rFonts w:ascii="Book Antiqua" w:hAnsi="Book Antiqua" w:cs="Times New Roman"/>
          <w:color w:val="000000" w:themeColor="text1"/>
          <w:sz w:val="24"/>
          <w:szCs w:val="24"/>
        </w:rPr>
        <w:t xml:space="preserve"> evaluated cardiopulmonary function before and 3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BPA in patients with inoperable or persistent CTEPH and found remarkable improvements in cardiopulmonary exercise testing parameters such as peak </w:t>
      </w:r>
      <w:r w:rsidR="00AD7C80" w:rsidRPr="00CD6193">
        <w:rPr>
          <w:rFonts w:ascii="Book Antiqua" w:hAnsi="Book Antiqua" w:cs="Times New Roman"/>
          <w:color w:val="000000" w:themeColor="text1"/>
          <w:sz w:val="24"/>
          <w:szCs w:val="24"/>
        </w:rPr>
        <w:t>oxygen consumption</w:t>
      </w:r>
      <w:r w:rsidRPr="00CD6193">
        <w:rPr>
          <w:rFonts w:ascii="Book Antiqua" w:hAnsi="Book Antiqua" w:cs="Times New Roman"/>
          <w:color w:val="000000" w:themeColor="text1"/>
          <w:sz w:val="24"/>
          <w:szCs w:val="24"/>
        </w:rPr>
        <w:t xml:space="preserve"> (13.6</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5.6</w:t>
      </w:r>
      <w:r w:rsidR="001E1139">
        <w:rPr>
          <w:rFonts w:ascii="Book Antiqua" w:hAnsi="Book Antiqua" w:cs="Times New Roman"/>
          <w:color w:val="000000" w:themeColor="text1"/>
          <w:sz w:val="24"/>
          <w:szCs w:val="24"/>
        </w:rPr>
        <w:t xml:space="preserve"> </w:t>
      </w:r>
      <w:r w:rsidR="001E1139" w:rsidRPr="00CD6193">
        <w:rPr>
          <w:rFonts w:ascii="Book Antiqua" w:hAnsi="Book Antiqua" w:cs="Times New Roman"/>
          <w:color w:val="000000" w:themeColor="text1"/>
          <w:sz w:val="24"/>
          <w:szCs w:val="24"/>
        </w:rPr>
        <w:t>mL/</w:t>
      </w:r>
      <w:r w:rsidR="001E1139">
        <w:rPr>
          <w:rFonts w:ascii="Book Antiqua" w:hAnsi="Book Antiqua" w:cs="Times New Roman"/>
          <w:color w:val="000000" w:themeColor="text1"/>
          <w:sz w:val="24"/>
          <w:szCs w:val="24"/>
        </w:rPr>
        <w:t>(</w:t>
      </w:r>
      <w:proofErr w:type="spellStart"/>
      <w:r w:rsidR="001E1139" w:rsidRPr="00CD6193">
        <w:rPr>
          <w:rFonts w:ascii="Book Antiqua" w:hAnsi="Book Antiqua" w:cs="Times New Roman"/>
          <w:color w:val="000000" w:themeColor="text1"/>
          <w:sz w:val="24"/>
          <w:szCs w:val="24"/>
        </w:rPr>
        <w:t>kg</w:t>
      </w:r>
      <w:r w:rsidR="001E1139">
        <w:rPr>
          <w:rFonts w:ascii="Book Antiqua" w:hAnsi="Book Antiqua" w:cs="Times New Roman"/>
          <w:color w:val="000000" w:themeColor="text1"/>
          <w:sz w:val="24"/>
          <w:szCs w:val="24"/>
        </w:rPr>
        <w:t>∙</w:t>
      </w:r>
      <w:r w:rsidR="001E1139" w:rsidRPr="00CD6193">
        <w:rPr>
          <w:rFonts w:ascii="Book Antiqua" w:hAnsi="Book Antiqua" w:cs="Times New Roman"/>
          <w:color w:val="000000" w:themeColor="text1"/>
          <w:sz w:val="24"/>
          <w:szCs w:val="24"/>
        </w:rPr>
        <w:t>min</w:t>
      </w:r>
      <w:proofErr w:type="spellEnd"/>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17.0</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6.5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w:t>
      </w:r>
      <w:r w:rsidR="001E1139">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kg</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proofErr w:type="spellEnd"/>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&lt;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0.001) and VE/VCO</w:t>
      </w:r>
      <w:r w:rsidRPr="00CD6193">
        <w:rPr>
          <w:rFonts w:ascii="Book Antiqua" w:hAnsi="Book Antiqua" w:cs="Times New Roman"/>
          <w:color w:val="000000" w:themeColor="text1"/>
          <w:sz w:val="24"/>
          <w:szCs w:val="24"/>
          <w:vertAlign w:val="subscript"/>
        </w:rPr>
        <w:t>2</w:t>
      </w:r>
      <w:r w:rsidRPr="00CD6193">
        <w:rPr>
          <w:rFonts w:ascii="Book Antiqua" w:hAnsi="Book Antiqua" w:cs="Times New Roman"/>
          <w:color w:val="000000" w:themeColor="text1"/>
          <w:sz w:val="24"/>
          <w:szCs w:val="24"/>
        </w:rPr>
        <w:t xml:space="preserve"> slope (41</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9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34</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8,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0.002) after BPA. Importantly, rapid recovery from exercise intolerance and ventilatory inefficiency can be observed as early as one week after </w:t>
      </w:r>
      <w:proofErr w:type="gramStart"/>
      <w:r w:rsidRPr="00CD6193">
        <w:rPr>
          <w:rFonts w:ascii="Book Antiqua" w:hAnsi="Book Antiqua" w:cs="Times New Roman"/>
          <w:color w:val="000000" w:themeColor="text1"/>
          <w:sz w:val="24"/>
          <w:szCs w:val="24"/>
        </w:rPr>
        <w:t>BPA</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115,116]</w:t>
      </w:r>
      <w:r w:rsidRPr="00CD6193">
        <w:rPr>
          <w:rFonts w:ascii="Book Antiqua" w:hAnsi="Book Antiqua" w:cs="Times New Roman"/>
          <w:color w:val="000000" w:themeColor="text1"/>
          <w:sz w:val="24"/>
          <w:szCs w:val="24"/>
        </w:rPr>
        <w:t xml:space="preserve">, and CTEPH patients even feel much better, and breathe more deeper and easier during BPA procedures. Supervised home-based pulmonary rehabilitation was reported to substantially improve exercise capacity, leg muscle strength, general physical activity and health-related quality of life with a favorable safety profile, and may be considered to accelerate the recovery </w:t>
      </w:r>
      <w:r w:rsidR="00495C63">
        <w:rPr>
          <w:rFonts w:ascii="Book Antiqua" w:hAnsi="Book Antiqua" w:cs="Times New Roman"/>
          <w:color w:val="000000" w:themeColor="text1"/>
          <w:sz w:val="24"/>
          <w:szCs w:val="24"/>
        </w:rPr>
        <w:t>of</w:t>
      </w:r>
      <w:r w:rsidRPr="00CD6193">
        <w:rPr>
          <w:rFonts w:ascii="Book Antiqua" w:hAnsi="Book Antiqua" w:cs="Times New Roman"/>
          <w:color w:val="000000" w:themeColor="text1"/>
          <w:sz w:val="24"/>
          <w:szCs w:val="24"/>
        </w:rPr>
        <w:t xml:space="preserve"> patients with inoperable CTEPH or residual PH after PEA or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despite optimal medical </w:t>
      </w:r>
      <w:proofErr w:type="gramStart"/>
      <w:r w:rsidRPr="00CD6193">
        <w:rPr>
          <w:rFonts w:ascii="Book Antiqua" w:hAnsi="Book Antiqua" w:cs="Times New Roman"/>
          <w:color w:val="000000" w:themeColor="text1"/>
          <w:sz w:val="24"/>
          <w:szCs w:val="24"/>
        </w:rPr>
        <w:t>therapy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117]</w:t>
      </w:r>
      <w:r w:rsidRPr="00CD6193">
        <w:rPr>
          <w:rFonts w:ascii="Book Antiqua" w:hAnsi="Book Antiqua" w:cs="Times New Roman"/>
          <w:color w:val="000000" w:themeColor="text1"/>
          <w:sz w:val="24"/>
          <w:szCs w:val="24"/>
        </w:rPr>
        <w:t>.</w:t>
      </w:r>
    </w:p>
    <w:p w14:paraId="01ECD4E0"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5AF4B18"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lastRenderedPageBreak/>
        <w:t xml:space="preserve">Inflammatory markers </w:t>
      </w:r>
    </w:p>
    <w:p w14:paraId="60E0E0FD" w14:textId="0B910768"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Cytokines such as monocyte chemoattractant protein-1, macrophage inflammatory protein 1α, interleukin-6 (IL-6) and interferon-γ-induced protein-10 were all significantly upregulated in PEA specimens and serum sample</w:t>
      </w:r>
      <w:r w:rsidR="00495C63">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xml:space="preserve"> of CTEPH patients, moreover,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elevated circulating IL-6 and </w:t>
      </w:r>
      <w:r w:rsidR="00861552" w:rsidRPr="00CD6193">
        <w:rPr>
          <w:rFonts w:ascii="Book Antiqua" w:hAnsi="Book Antiqua" w:cs="Times New Roman"/>
          <w:color w:val="000000" w:themeColor="text1"/>
          <w:sz w:val="24"/>
          <w:szCs w:val="24"/>
        </w:rPr>
        <w:t>interferon-γ-induced protein-10</w:t>
      </w:r>
      <w:r w:rsidRPr="00CD6193">
        <w:rPr>
          <w:rFonts w:ascii="Book Antiqua" w:hAnsi="Book Antiqua" w:cs="Times New Roman"/>
          <w:color w:val="000000" w:themeColor="text1"/>
          <w:sz w:val="24"/>
          <w:szCs w:val="24"/>
        </w:rPr>
        <w:t xml:space="preserve"> correlated well with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poor catheter</w:t>
      </w:r>
      <w:r w:rsidRPr="00CD6193">
        <w:rPr>
          <w:rFonts w:ascii="Cambria Math" w:eastAsia="宋体" w:hAnsi="Cambria Math" w:cs="Cambria Math"/>
          <w:color w:val="000000" w:themeColor="text1"/>
          <w:sz w:val="24"/>
          <w:szCs w:val="24"/>
        </w:rPr>
        <w:t>‐</w:t>
      </w:r>
      <w:r w:rsidRPr="00CD6193">
        <w:rPr>
          <w:rFonts w:ascii="Book Antiqua" w:hAnsi="Book Antiqua" w:cs="Times New Roman"/>
          <w:color w:val="000000" w:themeColor="text1"/>
          <w:sz w:val="24"/>
          <w:szCs w:val="24"/>
        </w:rPr>
        <w:t>measured hemodynamics in CTEPH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[118]</w:t>
      </w:r>
      <w:r w:rsidRPr="00CD6193">
        <w:rPr>
          <w:rFonts w:ascii="Book Antiqua" w:hAnsi="Book Antiqua" w:cs="Times New Roman"/>
          <w:color w:val="000000" w:themeColor="text1"/>
          <w:sz w:val="24"/>
          <w:szCs w:val="24"/>
        </w:rPr>
        <w:t xml:space="preserve">. There was a short-term increase in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systemic inflammatory response 24 h after </w:t>
      </w:r>
      <w:r w:rsidR="00495C63">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single BPA session, as evidenced by increased serum levels of IL-6 and high sensitivity C-reactive protein, which significantly decreased 6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w:t>
      </w:r>
      <w:proofErr w:type="gramStart"/>
      <w:r w:rsidRPr="00CD6193">
        <w:rPr>
          <w:rFonts w:ascii="Book Antiqua" w:hAnsi="Book Antiqua" w:cs="Times New Roman"/>
          <w:color w:val="000000" w:themeColor="text1"/>
          <w:sz w:val="24"/>
          <w:szCs w:val="24"/>
        </w:rPr>
        <w:t>later</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119]</w:t>
      </w:r>
      <w:r w:rsidRPr="00CD6193">
        <w:rPr>
          <w:rFonts w:ascii="Book Antiqua" w:hAnsi="Book Antiqua" w:cs="Times New Roman"/>
          <w:color w:val="000000" w:themeColor="text1"/>
          <w:sz w:val="24"/>
          <w:szCs w:val="24"/>
        </w:rPr>
        <w:t>.</w:t>
      </w:r>
      <w:r w:rsidRPr="00CD6193">
        <w:rPr>
          <w:rFonts w:ascii="Book Antiqua" w:hAnsi="Book Antiqua" w:cs="Times New Roman"/>
          <w:sz w:val="24"/>
          <w:szCs w:val="24"/>
        </w:rPr>
        <w:t xml:space="preserve"> The </w:t>
      </w:r>
      <w:r w:rsidRPr="00CD6193">
        <w:rPr>
          <w:rFonts w:ascii="Book Antiqua" w:hAnsi="Book Antiqua" w:cs="Times New Roman"/>
          <w:color w:val="000000" w:themeColor="text1"/>
          <w:sz w:val="24"/>
          <w:szCs w:val="24"/>
        </w:rPr>
        <w:t xml:space="preserve">proinflammatory cytokine high-mobility group box 1 was involved in inflammatory diseases </w:t>
      </w:r>
      <w:r w:rsidRPr="00CD6193">
        <w:rPr>
          <w:rFonts w:ascii="Book Antiqua" w:hAnsi="Book Antiqua" w:cs="Times New Roman"/>
          <w:i/>
          <w:iCs/>
          <w:color w:val="000000" w:themeColor="text1"/>
          <w:sz w:val="24"/>
          <w:szCs w:val="24"/>
        </w:rPr>
        <w:t>via</w:t>
      </w:r>
      <w:r w:rsidRPr="00CD6193">
        <w:rPr>
          <w:rFonts w:ascii="Book Antiqua" w:hAnsi="Book Antiqua" w:cs="Times New Roman"/>
          <w:color w:val="000000" w:themeColor="text1"/>
          <w:sz w:val="24"/>
          <w:szCs w:val="24"/>
        </w:rPr>
        <w:t xml:space="preserve"> binding to the receptor for advanced glycation end products (RAGE) and toll-like receptors, plasma levels of soluble and endogenous secretory RAGE were significantly increased in CTEPH patients compared with controls, and soluble RAGE was positively correlated with </w:t>
      </w:r>
      <w:r w:rsidR="00495C63">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tricuspid valvular regurgitation pressure gradient evaluated by echocardiography and decreased immediately after BPA</w:t>
      </w:r>
      <w:r w:rsidRPr="00CD6193">
        <w:rPr>
          <w:rFonts w:ascii="Book Antiqua" w:hAnsi="Book Antiqua" w:cs="Times New Roman"/>
          <w:noProof/>
          <w:color w:val="000000" w:themeColor="text1"/>
          <w:sz w:val="24"/>
          <w:szCs w:val="24"/>
          <w:vertAlign w:val="superscript"/>
        </w:rPr>
        <w:t>[120,121]</w:t>
      </w:r>
      <w:r w:rsidRPr="00CD6193">
        <w:rPr>
          <w:rFonts w:ascii="Book Antiqua" w:hAnsi="Book Antiqua" w:cs="Times New Roman"/>
          <w:color w:val="000000" w:themeColor="text1"/>
          <w:sz w:val="24"/>
          <w:szCs w:val="24"/>
        </w:rPr>
        <w:t>.</w:t>
      </w:r>
    </w:p>
    <w:p w14:paraId="2E2431D6"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3D98B61C"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Right ventricular function</w:t>
      </w:r>
    </w:p>
    <w:p w14:paraId="268F2212" w14:textId="0684C1EE"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RV dysfunction </w:t>
      </w:r>
      <w:r w:rsidR="00495C63">
        <w:rPr>
          <w:rFonts w:ascii="Book Antiqua" w:hAnsi="Book Antiqua" w:cs="Times New Roman"/>
          <w:color w:val="000000" w:themeColor="text1"/>
          <w:sz w:val="24"/>
          <w:szCs w:val="24"/>
        </w:rPr>
        <w:t>is</w:t>
      </w:r>
      <w:r w:rsidRPr="00CD6193">
        <w:rPr>
          <w:rFonts w:ascii="Book Antiqua" w:hAnsi="Book Antiqua" w:cs="Times New Roman"/>
          <w:color w:val="000000" w:themeColor="text1"/>
          <w:sz w:val="24"/>
          <w:szCs w:val="24"/>
        </w:rPr>
        <w:t xml:space="preserve"> closely associated with the poor prognosis of </w:t>
      </w:r>
      <w:proofErr w:type="gramStart"/>
      <w:r w:rsidRPr="00CD6193">
        <w:rPr>
          <w:rFonts w:ascii="Book Antiqua" w:hAnsi="Book Antiqua" w:cs="Times New Roman"/>
          <w:color w:val="000000" w:themeColor="text1"/>
          <w:sz w:val="24"/>
          <w:szCs w:val="24"/>
        </w:rPr>
        <w:t>CTEPH</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122]</w:t>
      </w:r>
      <w:r w:rsidRPr="00CD6193">
        <w:rPr>
          <w:rFonts w:ascii="Book Antiqua" w:hAnsi="Book Antiqua" w:cs="Times New Roman"/>
          <w:color w:val="000000" w:themeColor="text1"/>
          <w:sz w:val="24"/>
          <w:szCs w:val="24"/>
        </w:rPr>
        <w:t>. BPA c</w:t>
      </w:r>
      <w:r w:rsidR="00495C63">
        <w:rPr>
          <w:rFonts w:ascii="Book Antiqua" w:hAnsi="Book Antiqua" w:cs="Times New Roman"/>
          <w:color w:val="000000" w:themeColor="text1"/>
          <w:sz w:val="24"/>
          <w:szCs w:val="24"/>
        </w:rPr>
        <w:t>an</w:t>
      </w:r>
      <w:r w:rsidRPr="00CD6193">
        <w:rPr>
          <w:rFonts w:ascii="Book Antiqua" w:hAnsi="Book Antiqua" w:cs="Times New Roman"/>
          <w:color w:val="000000" w:themeColor="text1"/>
          <w:sz w:val="24"/>
          <w:szCs w:val="24"/>
        </w:rPr>
        <w:t xml:space="preserve"> not only ameliorate hemodynamics but also effectively restore RV remodeling and systolic dysfunction as well as left ventricular (LV) function evaluated by cardiac magnetic resonance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in inoperable CTEPH patients, as evidenced by remarkable improvements in RV end-diastolic and end-systolic volume index, RV ejection fraction, RV hypertrophy mass and interventricular septal bowing, LV end-diastolic volume index, and LV stroke volume index with concomitant restoration of hemodynamics and exercise capacity</w:t>
      </w:r>
      <w:r w:rsidRPr="00CD6193">
        <w:rPr>
          <w:rFonts w:ascii="Book Antiqua" w:hAnsi="Book Antiqua" w:cs="Times New Roman"/>
          <w:noProof/>
          <w:color w:val="000000" w:themeColor="text1"/>
          <w:sz w:val="24"/>
          <w:szCs w:val="24"/>
          <w:vertAlign w:val="superscript"/>
        </w:rPr>
        <w:t>[84,123,124]</w:t>
      </w:r>
      <w:r w:rsidRPr="00CD6193">
        <w:rPr>
          <w:rFonts w:ascii="Book Antiqua" w:hAnsi="Book Antiqua" w:cs="Times New Roman"/>
          <w:color w:val="000000" w:themeColor="text1"/>
          <w:sz w:val="24"/>
          <w:szCs w:val="24"/>
        </w:rPr>
        <w:t>. Echocardiography assessment such as speckle-tracking echocardiography and 3-</w:t>
      </w:r>
      <w:r w:rsidR="00027248"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 xml:space="preserve">echocardiography indicated RV </w:t>
      </w:r>
      <w:proofErr w:type="spellStart"/>
      <w:r w:rsidRPr="00CD6193">
        <w:rPr>
          <w:rFonts w:ascii="Book Antiqua" w:hAnsi="Book Antiqua" w:cs="Times New Roman"/>
          <w:color w:val="000000" w:themeColor="text1"/>
          <w:sz w:val="24"/>
          <w:szCs w:val="24"/>
        </w:rPr>
        <w:t>dyssynchrony</w:t>
      </w:r>
      <w:proofErr w:type="spellEnd"/>
      <w:r w:rsidRPr="00CD6193">
        <w:rPr>
          <w:rFonts w:ascii="Book Antiqua" w:hAnsi="Book Antiqua" w:cs="Times New Roman"/>
          <w:color w:val="000000" w:themeColor="text1"/>
          <w:sz w:val="24"/>
          <w:szCs w:val="24"/>
        </w:rPr>
        <w:t>, 3-</w:t>
      </w:r>
      <w:r w:rsidR="00027248" w:rsidRPr="00CD6193">
        <w:rPr>
          <w:rFonts w:ascii="Book Antiqua" w:hAnsi="Book Antiqua" w:cs="Times New Roman"/>
          <w:color w:val="000000" w:themeColor="text1"/>
          <w:sz w:val="24"/>
          <w:szCs w:val="24"/>
        </w:rPr>
        <w:t xml:space="preserve">D </w:t>
      </w:r>
      <w:r w:rsidRPr="00CD6193">
        <w:rPr>
          <w:rFonts w:ascii="Book Antiqua" w:hAnsi="Book Antiqua" w:cs="Times New Roman"/>
          <w:color w:val="000000" w:themeColor="text1"/>
          <w:sz w:val="24"/>
          <w:szCs w:val="24"/>
        </w:rPr>
        <w:t>RV volume, RV ejection fraction, and RV systolic peak strain were all significantly improved, moreover, RV echocardiographic parameters were significantly correlated with clinical characteristics including but not limited to RHC hemodynamics, exercise capacity and BNP level</w:t>
      </w:r>
      <w:r w:rsidRPr="00CD6193">
        <w:rPr>
          <w:rFonts w:ascii="Book Antiqua" w:hAnsi="Book Antiqua" w:cs="Times New Roman"/>
          <w:noProof/>
          <w:color w:val="000000" w:themeColor="text1"/>
          <w:sz w:val="24"/>
          <w:szCs w:val="24"/>
          <w:vertAlign w:val="superscript"/>
        </w:rPr>
        <w:t>[83,122,125-127]</w:t>
      </w:r>
      <w:r w:rsidRPr="00CD6193">
        <w:rPr>
          <w:rFonts w:ascii="Book Antiqua" w:hAnsi="Book Antiqua" w:cs="Times New Roman"/>
          <w:color w:val="000000" w:themeColor="text1"/>
          <w:sz w:val="24"/>
          <w:szCs w:val="24"/>
        </w:rPr>
        <w:t xml:space="preserve">. </w:t>
      </w:r>
    </w:p>
    <w:p w14:paraId="5C1AD478"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C55E7D3" w14:textId="77777777"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Renal function</w:t>
      </w:r>
    </w:p>
    <w:p w14:paraId="56AB302A" w14:textId="6D574EF6"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Every attention must be paid to renal function when performing BPA procedures in </w:t>
      </w:r>
      <w:r w:rsidRPr="00CD6193">
        <w:rPr>
          <w:rFonts w:ascii="Book Antiqua" w:hAnsi="Book Antiqua" w:cs="Times New Roman"/>
          <w:color w:val="000000" w:themeColor="text1"/>
          <w:sz w:val="24"/>
          <w:szCs w:val="24"/>
        </w:rPr>
        <w:lastRenderedPageBreak/>
        <w:t>CTEPH patients, especially those with renal insufficiency, as the use of contrast agents may cause contrast-induced nephropathy. Interestingly, previous studies investigated the impact of BPA on renal function in CTEPH patients, assessed the changes in creatinine and estimated glomerular filtration rate (eGFR) before and after BPA in renally impaired patients with baseline eGFR &lt; 57 m</w:t>
      </w:r>
      <w:r w:rsidR="00802E9F" w:rsidRPr="00CD6193">
        <w:rPr>
          <w:rFonts w:ascii="Book Antiqua" w:hAnsi="Book Antiqua" w:cs="Times New Roman"/>
          <w:color w:val="000000" w:themeColor="text1"/>
          <w:sz w:val="24"/>
          <w:szCs w:val="24"/>
        </w:rPr>
        <w:t>L</w:t>
      </w:r>
      <w:r w:rsidRPr="00CD6193">
        <w:rPr>
          <w:rFonts w:ascii="Book Antiqua" w:hAnsi="Book Antiqua" w:cs="Times New Roman"/>
          <w:color w:val="000000" w:themeColor="text1"/>
          <w:sz w:val="24"/>
          <w:szCs w:val="24"/>
        </w:rPr>
        <w:t>/min</w:t>
      </w:r>
      <w:r w:rsidR="0068569F">
        <w:rPr>
          <w:rFonts w:ascii="Book Antiqua" w:hAnsi="Book Antiqua" w:cs="Times New Roman"/>
          <w:color w:val="000000" w:themeColor="text1"/>
          <w:sz w:val="24"/>
          <w:szCs w:val="24"/>
        </w:rPr>
        <w:t xml:space="preserve"> per </w:t>
      </w:r>
      <w:r w:rsidRPr="00CD6193">
        <w:rPr>
          <w:rFonts w:ascii="Book Antiqua" w:hAnsi="Book Antiqua" w:cs="Times New Roman"/>
          <w:color w:val="000000" w:themeColor="text1"/>
          <w:sz w:val="24"/>
          <w:szCs w:val="24"/>
        </w:rPr>
        <w:t>1.73 m</w:t>
      </w:r>
      <w:r w:rsidRPr="00CD6193">
        <w:rPr>
          <w:rFonts w:ascii="Book Antiqua" w:hAnsi="Book Antiqua" w:cs="Times New Roman"/>
          <w:color w:val="000000" w:themeColor="text1"/>
          <w:sz w:val="24"/>
          <w:szCs w:val="24"/>
          <w:vertAlign w:val="superscript"/>
        </w:rPr>
        <w:t>2</w:t>
      </w:r>
      <w:r w:rsidRPr="00CD6193">
        <w:rPr>
          <w:rFonts w:ascii="Book Antiqua" w:hAnsi="Book Antiqua" w:cs="Times New Roman"/>
          <w:color w:val="000000" w:themeColor="text1"/>
          <w:sz w:val="24"/>
          <w:szCs w:val="24"/>
        </w:rPr>
        <w:t xml:space="preserve">, and found that the improvement </w:t>
      </w:r>
      <w:r w:rsidR="00726A66">
        <w:rPr>
          <w:rFonts w:ascii="Book Antiqua" w:hAnsi="Book Antiqua" w:cs="Times New Roman"/>
          <w:color w:val="000000" w:themeColor="text1"/>
          <w:sz w:val="24"/>
          <w:szCs w:val="24"/>
        </w:rPr>
        <w:t>in</w:t>
      </w:r>
      <w:r w:rsidRPr="00CD6193">
        <w:rPr>
          <w:rFonts w:ascii="Book Antiqua" w:hAnsi="Book Antiqua" w:cs="Times New Roman"/>
          <w:color w:val="000000" w:themeColor="text1"/>
          <w:sz w:val="24"/>
          <w:szCs w:val="24"/>
        </w:rPr>
        <w:t xml:space="preserve"> plasma creatinine levels reached a borderline significance and eGFR was significantly increased, indicating that BPA could improve renal function in patients with impaired renal function despite the administration of contrast media</w:t>
      </w:r>
      <w:r w:rsidRPr="00CD6193">
        <w:rPr>
          <w:rFonts w:ascii="Book Antiqua" w:hAnsi="Book Antiqua" w:cs="Times New Roman"/>
          <w:noProof/>
          <w:color w:val="000000" w:themeColor="text1"/>
          <w:sz w:val="24"/>
          <w:szCs w:val="24"/>
          <w:vertAlign w:val="superscript"/>
        </w:rPr>
        <w:t>[128]</w:t>
      </w:r>
      <w:r w:rsidRPr="00CD6193">
        <w:rPr>
          <w:rFonts w:ascii="Book Antiqua" w:hAnsi="Book Antiqua" w:cs="Times New Roman"/>
          <w:color w:val="000000" w:themeColor="text1"/>
          <w:sz w:val="24"/>
          <w:szCs w:val="24"/>
        </w:rPr>
        <w:t xml:space="preserve">, and these results </w:t>
      </w:r>
      <w:r w:rsidR="00726A66">
        <w:rPr>
          <w:rFonts w:ascii="Book Antiqua" w:hAnsi="Book Antiqua" w:cs="Times New Roman"/>
          <w:color w:val="000000" w:themeColor="text1"/>
          <w:sz w:val="24"/>
          <w:szCs w:val="24"/>
        </w:rPr>
        <w:t>were</w:t>
      </w:r>
      <w:r w:rsidRPr="00CD6193">
        <w:rPr>
          <w:rFonts w:ascii="Book Antiqua" w:hAnsi="Book Antiqua" w:cs="Times New Roman"/>
          <w:color w:val="000000" w:themeColor="text1"/>
          <w:sz w:val="24"/>
          <w:szCs w:val="24"/>
        </w:rPr>
        <w:t xml:space="preserve"> validated by several recent studies</w:t>
      </w:r>
      <w:r w:rsidRPr="00CD6193">
        <w:rPr>
          <w:rFonts w:ascii="Book Antiqua" w:hAnsi="Book Antiqua" w:cs="Times New Roman"/>
          <w:noProof/>
          <w:color w:val="000000" w:themeColor="text1"/>
          <w:sz w:val="24"/>
          <w:szCs w:val="24"/>
          <w:vertAlign w:val="superscript"/>
        </w:rPr>
        <w:t>[129-131]</w:t>
      </w:r>
      <w:r w:rsidRPr="00CD6193">
        <w:rPr>
          <w:rFonts w:ascii="Book Antiqua" w:hAnsi="Book Antiqua" w:cs="Times New Roman"/>
          <w:color w:val="000000" w:themeColor="text1"/>
          <w:sz w:val="24"/>
          <w:szCs w:val="24"/>
        </w:rPr>
        <w:t>. BPA could even restore hemodynamics to normal and improve renal function in patients with severe right heart failure complicated with liver and renal failure</w:t>
      </w:r>
      <w:r w:rsidRPr="00CD6193">
        <w:rPr>
          <w:rFonts w:ascii="Book Antiqua" w:hAnsi="Book Antiqua" w:cs="Times New Roman"/>
          <w:noProof/>
          <w:color w:val="000000" w:themeColor="text1"/>
          <w:sz w:val="24"/>
          <w:szCs w:val="24"/>
          <w:vertAlign w:val="superscript"/>
        </w:rPr>
        <w:t>[70]</w:t>
      </w:r>
      <w:r w:rsidRPr="00CD6193">
        <w:rPr>
          <w:rFonts w:ascii="Book Antiqua" w:hAnsi="Book Antiqua" w:cs="Times New Roman"/>
          <w:color w:val="000000" w:themeColor="text1"/>
          <w:sz w:val="24"/>
          <w:szCs w:val="24"/>
        </w:rPr>
        <w:t>, suggesting that renal insufficiency is not a</w:t>
      </w:r>
      <w:r w:rsidR="00BD4A7B" w:rsidRPr="00CD6193">
        <w:rPr>
          <w:rFonts w:ascii="Book Antiqua" w:hAnsi="Book Antiqua" w:cs="Times New Roman"/>
          <w:color w:val="000000" w:themeColor="text1"/>
          <w:sz w:val="24"/>
          <w:szCs w:val="24"/>
        </w:rPr>
        <w:t>n</w:t>
      </w:r>
      <w:r w:rsidRPr="00CD6193">
        <w:rPr>
          <w:rFonts w:ascii="Book Antiqua" w:hAnsi="Book Antiqua" w:cs="Times New Roman"/>
          <w:color w:val="000000" w:themeColor="text1"/>
          <w:sz w:val="24"/>
          <w:szCs w:val="24"/>
        </w:rPr>
        <w:t xml:space="preserve"> </w:t>
      </w:r>
      <w:r w:rsidR="00BD4A7B" w:rsidRPr="00CD6193">
        <w:rPr>
          <w:rFonts w:ascii="Book Antiqua" w:hAnsi="Book Antiqua" w:cs="Times New Roman"/>
          <w:color w:val="000000" w:themeColor="text1"/>
          <w:sz w:val="24"/>
          <w:szCs w:val="24"/>
        </w:rPr>
        <w:t xml:space="preserve">absolute </w:t>
      </w:r>
      <w:r w:rsidRPr="00CD6193">
        <w:rPr>
          <w:rFonts w:ascii="Book Antiqua" w:hAnsi="Book Antiqua" w:cs="Times New Roman"/>
          <w:color w:val="000000" w:themeColor="text1"/>
          <w:sz w:val="24"/>
          <w:szCs w:val="24"/>
        </w:rPr>
        <w:t xml:space="preserve">contraindication for BPA. The mechanisms of such improved renal function may be attributed to remission of venous congestion secondary to </w:t>
      </w:r>
      <w:r w:rsidR="00726A66">
        <w:rPr>
          <w:rFonts w:ascii="Book Antiqua" w:hAnsi="Book Antiqua" w:cs="Times New Roman"/>
          <w:color w:val="000000" w:themeColor="text1"/>
          <w:sz w:val="24"/>
          <w:szCs w:val="24"/>
        </w:rPr>
        <w:t>reduced</w:t>
      </w:r>
      <w:r w:rsidRPr="00CD6193">
        <w:rPr>
          <w:rFonts w:ascii="Book Antiqua" w:hAnsi="Book Antiqua" w:cs="Times New Roman"/>
          <w:color w:val="000000" w:themeColor="text1"/>
          <w:sz w:val="24"/>
          <w:szCs w:val="24"/>
        </w:rPr>
        <w:t xml:space="preserve"> right heart failure or revived prerenal failure mediated by increased systemic </w:t>
      </w:r>
      <w:proofErr w:type="gramStart"/>
      <w:r w:rsidRPr="00CD6193">
        <w:rPr>
          <w:rFonts w:ascii="Book Antiqua" w:hAnsi="Book Antiqua" w:cs="Times New Roman"/>
          <w:color w:val="000000" w:themeColor="text1"/>
          <w:sz w:val="24"/>
          <w:szCs w:val="24"/>
        </w:rPr>
        <w:t>circulation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128]</w:t>
      </w:r>
      <w:r w:rsidRPr="00CD6193">
        <w:rPr>
          <w:rFonts w:ascii="Book Antiqua" w:hAnsi="Book Antiqua" w:cs="Times New Roman"/>
          <w:color w:val="000000" w:themeColor="text1"/>
          <w:sz w:val="24"/>
          <w:szCs w:val="24"/>
        </w:rPr>
        <w:t>.</w:t>
      </w:r>
    </w:p>
    <w:p w14:paraId="0063A30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97259B4" w14:textId="09AE2A08" w:rsidR="00E1331B" w:rsidRPr="00CD6193" w:rsidRDefault="00E1331B" w:rsidP="00CD6193">
      <w:pPr>
        <w:adjustRightInd w:val="0"/>
        <w:snapToGrid w:val="0"/>
        <w:spacing w:line="360" w:lineRule="auto"/>
        <w:rPr>
          <w:rFonts w:ascii="Book Antiqua" w:hAnsi="Book Antiqua" w:cs="Times New Roman"/>
          <w:b/>
          <w:bCs/>
          <w:i/>
          <w:iCs/>
          <w:color w:val="000000" w:themeColor="text1"/>
          <w:sz w:val="24"/>
          <w:szCs w:val="24"/>
        </w:rPr>
      </w:pPr>
      <w:r w:rsidRPr="00CD6193">
        <w:rPr>
          <w:rFonts w:ascii="Book Antiqua" w:hAnsi="Book Antiqua" w:cs="Times New Roman"/>
          <w:b/>
          <w:bCs/>
          <w:i/>
          <w:iCs/>
          <w:color w:val="000000" w:themeColor="text1"/>
          <w:sz w:val="24"/>
          <w:szCs w:val="24"/>
        </w:rPr>
        <w:t>Long-</w:t>
      </w:r>
      <w:r w:rsidR="005E111A" w:rsidRPr="00CD6193">
        <w:rPr>
          <w:rFonts w:ascii="Book Antiqua" w:hAnsi="Book Antiqua" w:cs="Times New Roman"/>
          <w:b/>
          <w:bCs/>
          <w:i/>
          <w:iCs/>
          <w:color w:val="000000" w:themeColor="text1"/>
          <w:sz w:val="24"/>
          <w:szCs w:val="24"/>
        </w:rPr>
        <w:t>term prognosis</w:t>
      </w:r>
    </w:p>
    <w:p w14:paraId="02E8022C" w14:textId="634458F4"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An early small-scale study including 12 distal-type CTEPH patients showed 100% survival at 2 years after BPA treatments. Another contemporaneous study at Okayama Medical Center reported a mortality rate of 1.49% in 68 inoperable CTEPH patients during 2.2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1.4 years of follow-up after the final BPA. A retrospective study compared the clinical outcomes of CTEPH patients treated with medical therapy, PEA and BPA, of which the 2-year survival rates were 82.0%, 97.4% and 98.5%</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respectively, and the 5-year survival rate after diagnosis was much better in the PEA and BPA interventional groups than in the medical therapy group (98%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64%)</w:t>
      </w:r>
      <w:r w:rsidRPr="00CD6193">
        <w:rPr>
          <w:rFonts w:ascii="Book Antiqua" w:hAnsi="Book Antiqua" w:cs="Times New Roman"/>
          <w:noProof/>
          <w:color w:val="000000" w:themeColor="text1"/>
          <w:sz w:val="24"/>
          <w:szCs w:val="24"/>
          <w:vertAlign w:val="superscript"/>
        </w:rPr>
        <w:t>[57]</w:t>
      </w:r>
      <w:r w:rsidRPr="00CD6193">
        <w:rPr>
          <w:rFonts w:ascii="Book Antiqua" w:hAnsi="Book Antiqua" w:cs="Times New Roman"/>
          <w:color w:val="000000" w:themeColor="text1"/>
          <w:sz w:val="24"/>
          <w:szCs w:val="24"/>
        </w:rPr>
        <w:t xml:space="preserve">. However, the small sample size is a common flaw in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above</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mentioned studies. Outside </w:t>
      </w:r>
      <w:r w:rsidR="00726A66">
        <w:rPr>
          <w:rFonts w:ascii="Book Antiqua" w:hAnsi="Book Antiqua" w:cs="Times New Roman"/>
          <w:color w:val="000000" w:themeColor="text1"/>
          <w:sz w:val="24"/>
          <w:szCs w:val="24"/>
        </w:rPr>
        <w:t>J</w:t>
      </w:r>
      <w:r w:rsidRPr="00CD6193">
        <w:rPr>
          <w:rFonts w:ascii="Book Antiqua" w:hAnsi="Book Antiqua" w:cs="Times New Roman"/>
          <w:color w:val="000000" w:themeColor="text1"/>
          <w:sz w:val="24"/>
          <w:szCs w:val="24"/>
        </w:rPr>
        <w:t xml:space="preserve">apan, the largest monocentric experience from France involved 1006 BPA sessions, and 7 (3.8) deaths occurred among 184 inoperable CTEPH patients, of which 4 (2.2) died </w:t>
      </w:r>
      <w:proofErr w:type="spellStart"/>
      <w:r w:rsidRPr="00CD6193">
        <w:rPr>
          <w:rFonts w:ascii="Book Antiqua" w:hAnsi="Book Antiqua" w:cs="Times New Roman"/>
          <w:color w:val="000000" w:themeColor="text1"/>
          <w:sz w:val="24"/>
          <w:szCs w:val="24"/>
        </w:rPr>
        <w:t>perioperatively</w:t>
      </w:r>
      <w:proofErr w:type="spellEnd"/>
      <w:r w:rsidRPr="00CD6193">
        <w:rPr>
          <w:rFonts w:ascii="Book Antiqua" w:hAnsi="Book Antiqua" w:cs="Times New Roman"/>
          <w:color w:val="000000" w:themeColor="text1"/>
          <w:sz w:val="24"/>
          <w:szCs w:val="24"/>
        </w:rPr>
        <w:t xml:space="preserve"> within 1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BPA, and the 1- and 3-year survival rate was 97.3% and 95.1%, respectively</w:t>
      </w:r>
      <w:r w:rsidRPr="00CD6193">
        <w:rPr>
          <w:rFonts w:ascii="Book Antiqua" w:hAnsi="Book Antiqua" w:cs="Times New Roman"/>
          <w:noProof/>
          <w:color w:val="000000" w:themeColor="text1"/>
          <w:sz w:val="24"/>
          <w:szCs w:val="24"/>
          <w:vertAlign w:val="superscript"/>
        </w:rPr>
        <w:t>[18]</w:t>
      </w:r>
      <w:r w:rsidRPr="00CD6193">
        <w:rPr>
          <w:rFonts w:ascii="Book Antiqua" w:hAnsi="Book Antiqua" w:cs="Times New Roman"/>
          <w:color w:val="000000" w:themeColor="text1"/>
          <w:sz w:val="24"/>
          <w:szCs w:val="24"/>
        </w:rPr>
        <w:t xml:space="preserve">. In 2017, Aoki </w:t>
      </w:r>
      <w:r w:rsidRPr="00CD6193">
        <w:rPr>
          <w:rFonts w:ascii="Book Antiqua" w:hAnsi="Book Antiqua" w:cs="Times New Roman"/>
          <w:i/>
          <w:iCs/>
          <w:color w:val="000000" w:themeColor="text1"/>
          <w:sz w:val="24"/>
          <w:szCs w:val="24"/>
        </w:rPr>
        <w:t xml:space="preserve">et </w:t>
      </w:r>
      <w:proofErr w:type="gramStart"/>
      <w:r w:rsidRPr="00CD6193">
        <w:rPr>
          <w:rFonts w:ascii="Book Antiqua" w:hAnsi="Book Antiqua" w:cs="Times New Roman"/>
          <w:i/>
          <w:iCs/>
          <w:color w:val="000000" w:themeColor="text1"/>
          <w:sz w:val="24"/>
          <w:szCs w:val="24"/>
        </w:rPr>
        <w:t>al</w:t>
      </w:r>
      <w:r w:rsidR="004803B9" w:rsidRPr="00CD6193">
        <w:rPr>
          <w:rFonts w:ascii="Book Antiqua" w:hAnsi="Book Antiqua" w:cs="Times New Roman"/>
          <w:noProof/>
          <w:color w:val="000000" w:themeColor="text1"/>
          <w:sz w:val="24"/>
          <w:szCs w:val="24"/>
          <w:vertAlign w:val="superscript"/>
        </w:rPr>
        <w:t>[</w:t>
      </w:r>
      <w:proofErr w:type="gramEnd"/>
      <w:r w:rsidR="004803B9" w:rsidRPr="00CD6193">
        <w:rPr>
          <w:rFonts w:ascii="Book Antiqua" w:hAnsi="Book Antiqua" w:cs="Times New Roman"/>
          <w:noProof/>
          <w:color w:val="000000" w:themeColor="text1"/>
          <w:sz w:val="24"/>
          <w:szCs w:val="24"/>
          <w:vertAlign w:val="superscript"/>
        </w:rPr>
        <w:t>132]</w:t>
      </w:r>
      <w:r w:rsidRPr="00CD6193">
        <w:rPr>
          <w:rFonts w:ascii="Book Antiqua" w:hAnsi="Book Antiqua" w:cs="Times New Roman"/>
          <w:color w:val="000000" w:themeColor="text1"/>
          <w:sz w:val="24"/>
          <w:szCs w:val="24"/>
        </w:rPr>
        <w:t xml:space="preserve"> outlined a single-center experience with</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424 BPA sessions from Jul 2009 to Oct 2016, with a 5-year survival rate of 98.4% without any periprocedural death, and only one case died of colon cancer at 13</w:t>
      </w:r>
      <w:r w:rsidR="00050FDB"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mo</w:t>
      </w:r>
      <w:proofErr w:type="spellEnd"/>
      <w:r w:rsidRPr="00CD6193">
        <w:rPr>
          <w:rFonts w:ascii="Book Antiqua" w:hAnsi="Book Antiqua" w:cs="Times New Roman"/>
          <w:color w:val="000000" w:themeColor="text1"/>
          <w:sz w:val="24"/>
          <w:szCs w:val="24"/>
        </w:rPr>
        <w:t xml:space="preserve"> after last BPA. Almost simultaneously, the first and largest </w:t>
      </w:r>
      <w:r w:rsidRPr="00CD6193">
        <w:rPr>
          <w:rFonts w:ascii="Book Antiqua" w:hAnsi="Book Antiqua" w:cs="Times New Roman"/>
          <w:color w:val="000000" w:themeColor="text1"/>
          <w:sz w:val="24"/>
          <w:szCs w:val="24"/>
        </w:rPr>
        <w:lastRenderedPageBreak/>
        <w:t>multicenter BPA registry results involving 308 patients and 1408 procedures showed overall 1-, 2-, and 3-year survival rates of 96.8%, 96.8%, and 94.5%, respectively</w:t>
      </w:r>
      <w:r w:rsidRPr="00CD6193">
        <w:rPr>
          <w:rFonts w:ascii="Book Antiqua" w:hAnsi="Book Antiqua" w:cs="Times New Roman"/>
          <w:noProof/>
          <w:color w:val="000000" w:themeColor="text1"/>
          <w:sz w:val="24"/>
          <w:szCs w:val="24"/>
          <w:vertAlign w:val="superscript"/>
        </w:rPr>
        <w:t>[17]</w:t>
      </w:r>
      <w:r w:rsidRPr="00CD6193">
        <w:rPr>
          <w:rFonts w:ascii="Book Antiqua" w:hAnsi="Book Antiqua" w:cs="Times New Roman"/>
          <w:color w:val="000000" w:themeColor="text1"/>
          <w:sz w:val="24"/>
          <w:szCs w:val="24"/>
        </w:rPr>
        <w:t xml:space="preserve">. Most recently, an oral presentation by Prof. Hiromi Matsubara during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ESC Congress 2019 reported the latest outcomes of BPA at Okayama Medical Center, the world largest BPA center, from Nov</w:t>
      </w:r>
      <w:r w:rsidR="00726A66">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2014 to Mar</w:t>
      </w:r>
      <w:r w:rsidR="00726A66">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2019, and the overall survival rates at 1, 3, 5, </w:t>
      </w:r>
      <w:r w:rsidR="00726A66">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10 years among 418 CTEPH patients followed up for 6.2 </w:t>
      </w:r>
      <w:r w:rsidR="00994ECA" w:rsidRPr="00CD6193">
        <w:rPr>
          <w:rFonts w:ascii="Book Antiqua" w:hAnsi="Book Antiqua" w:cs="Times New Roman"/>
          <w:color w:val="000000" w:themeColor="text1"/>
          <w:sz w:val="24"/>
          <w:szCs w:val="24"/>
        </w:rPr>
        <w:t>±</w:t>
      </w:r>
      <w:r w:rsidR="007934E2"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2.3 years were 98.6%, 94.0%, 92.5% and 89.5%, respectively, which seemed superior to PEA with overall survival rates of 86%, 84%, 79%, and 72% at 1, 3, 5, and 10 years</w:t>
      </w:r>
      <w:r w:rsidR="00726A66">
        <w:rPr>
          <w:rFonts w:ascii="Book Antiqua" w:hAnsi="Book Antiqua" w:cs="Times New Roman"/>
          <w:color w:val="000000" w:themeColor="text1"/>
          <w:sz w:val="24"/>
          <w:szCs w:val="24"/>
        </w:rPr>
        <w:t>, respectively</w:t>
      </w:r>
      <w:r w:rsidRPr="00CD6193">
        <w:rPr>
          <w:rFonts w:ascii="Book Antiqua" w:hAnsi="Book Antiqua" w:cs="Times New Roman"/>
          <w:noProof/>
          <w:color w:val="000000" w:themeColor="text1"/>
          <w:sz w:val="24"/>
          <w:szCs w:val="24"/>
          <w:vertAlign w:val="superscript"/>
        </w:rPr>
        <w:t>[133]</w:t>
      </w:r>
      <w:r w:rsidRPr="00CD6193">
        <w:rPr>
          <w:rFonts w:ascii="Book Antiqua" w:hAnsi="Book Antiqua" w:cs="Times New Roman"/>
          <w:color w:val="000000" w:themeColor="text1"/>
          <w:sz w:val="24"/>
          <w:szCs w:val="24"/>
        </w:rPr>
        <w:t>.</w:t>
      </w:r>
    </w:p>
    <w:p w14:paraId="19A8012F"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5D421CED" w14:textId="5015797B"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COMPLICATIONS AND MANAGEMENT</w:t>
      </w:r>
    </w:p>
    <w:p w14:paraId="4C5CAA83" w14:textId="1F89AAE2"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RPE was once considered a major and fatal complication after BPA</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in the early </w:t>
      </w:r>
      <w:proofErr w:type="gramStart"/>
      <w:r w:rsidRPr="00CD6193">
        <w:rPr>
          <w:rFonts w:ascii="Book Antiqua" w:hAnsi="Book Antiqua" w:cs="Times New Roman"/>
          <w:color w:val="000000" w:themeColor="text1"/>
          <w:sz w:val="24"/>
          <w:szCs w:val="24"/>
        </w:rPr>
        <w:t>stage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41,45,46]</w:t>
      </w:r>
      <w:r w:rsidRPr="00CD6193">
        <w:rPr>
          <w:rFonts w:ascii="Book Antiqua" w:hAnsi="Book Antiqua" w:cs="Times New Roman"/>
          <w:color w:val="000000" w:themeColor="text1"/>
          <w:sz w:val="24"/>
          <w:szCs w:val="24"/>
        </w:rPr>
        <w:t>, indicating BPA should not be performed too aggressively. Therefore</w:t>
      </w:r>
      <w:r w:rsidR="00726A66">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pulmonary edema predictive scoring index (PEPSI), defined as total change of pulmonary flow grade (PFG) scores in all targeted lesions multiplied by baseline PVR</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(Wood units), was used to minimize the risk of RPE after BPA, and when using a PEPSI score of 35.4 as the cut-off value, the negative predictive value of RPE was 92.3%</w:t>
      </w:r>
      <w:r w:rsidRPr="00CD6193">
        <w:rPr>
          <w:rFonts w:ascii="Book Antiqua" w:hAnsi="Book Antiqua" w:cs="Times New Roman"/>
          <w:noProof/>
          <w:color w:val="000000" w:themeColor="text1"/>
          <w:sz w:val="24"/>
          <w:szCs w:val="24"/>
          <w:vertAlign w:val="superscript"/>
        </w:rPr>
        <w:t>[77]</w:t>
      </w:r>
      <w:r w:rsidRPr="00CD6193">
        <w:rPr>
          <w:rFonts w:ascii="Book Antiqua" w:hAnsi="Book Antiqua" w:cs="Times New Roman"/>
          <w:color w:val="000000" w:themeColor="text1"/>
          <w:sz w:val="24"/>
          <w:szCs w:val="24"/>
        </w:rPr>
        <w:t xml:space="preserve">. For instance, in cases with baseline PVR of 16 Wood units, </w:t>
      </w:r>
      <w:r w:rsidR="00726A66">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BPA procedure must be discontinued immediately to avoid RPE under the following conditions: </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1) the PFG changed from grade 0 to grade 2 after the procedure when treating only one vessel; or </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 angiographic PFG of each vessel improved by one grade when treating two vessels. Moreover, PEPSI with </w:t>
      </w:r>
      <w:r w:rsidR="00E37DF7" w:rsidRPr="00CD6193">
        <w:rPr>
          <w:rFonts w:ascii="Book Antiqua" w:hAnsi="Book Antiqua" w:cs="Times New Roman"/>
          <w:color w:val="000000" w:themeColor="text1"/>
          <w:sz w:val="24"/>
          <w:szCs w:val="24"/>
        </w:rPr>
        <w:t>pressure-wire</w:t>
      </w:r>
      <w:r w:rsidRPr="00CD6193">
        <w:rPr>
          <w:rFonts w:ascii="Book Antiqua" w:hAnsi="Book Antiqua" w:cs="Times New Roman"/>
          <w:color w:val="000000" w:themeColor="text1"/>
          <w:sz w:val="24"/>
          <w:szCs w:val="24"/>
        </w:rPr>
        <w:t xml:space="preserve"> guided BPA strategy could greatly reduce vessel complications and RPE, especially clinically critical RPE that required ventilation </w:t>
      </w:r>
      <w:proofErr w:type="gramStart"/>
      <w:r w:rsidRPr="00CD6193">
        <w:rPr>
          <w:rFonts w:ascii="Book Antiqua" w:hAnsi="Book Antiqua" w:cs="Times New Roman"/>
          <w:color w:val="000000" w:themeColor="text1"/>
          <w:sz w:val="24"/>
          <w:szCs w:val="24"/>
        </w:rPr>
        <w:t>therapy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61]</w:t>
      </w:r>
      <w:r w:rsidRPr="00CD6193">
        <w:rPr>
          <w:rFonts w:ascii="Book Antiqua" w:hAnsi="Book Antiqua" w:cs="Times New Roman"/>
          <w:color w:val="000000" w:themeColor="text1"/>
          <w:sz w:val="24"/>
          <w:szCs w:val="24"/>
        </w:rPr>
        <w:t xml:space="preserve">. These strategies have largely helped to reduce RPE occurrence, but seem too stringent </w:t>
      </w:r>
      <w:r w:rsidR="005A04BB" w:rsidRPr="00CD6193">
        <w:rPr>
          <w:rFonts w:ascii="Book Antiqua" w:hAnsi="Book Antiqua" w:cs="Times New Roman"/>
          <w:color w:val="000000" w:themeColor="text1"/>
          <w:sz w:val="24"/>
          <w:szCs w:val="24"/>
        </w:rPr>
        <w:t>and</w:t>
      </w:r>
      <w:r w:rsidR="005A04BB" w:rsidRPr="00CD6193">
        <w:rPr>
          <w:rFonts w:ascii="Book Antiqua" w:hAnsi="Book Antiqua"/>
          <w:sz w:val="24"/>
          <w:szCs w:val="24"/>
        </w:rPr>
        <w:t xml:space="preserve"> </w:t>
      </w:r>
      <w:r w:rsidR="005A04BB" w:rsidRPr="00CD6193">
        <w:rPr>
          <w:rFonts w:ascii="Book Antiqua" w:hAnsi="Book Antiqua" w:cs="Times New Roman"/>
          <w:color w:val="000000" w:themeColor="text1"/>
          <w:sz w:val="24"/>
          <w:szCs w:val="24"/>
        </w:rPr>
        <w:t xml:space="preserve">impractical </w:t>
      </w:r>
      <w:r w:rsidRPr="00CD6193">
        <w:rPr>
          <w:rFonts w:ascii="Book Antiqua" w:hAnsi="Book Antiqua" w:cs="Times New Roman"/>
          <w:color w:val="000000" w:themeColor="text1"/>
          <w:sz w:val="24"/>
          <w:szCs w:val="24"/>
        </w:rPr>
        <w:t xml:space="preserve">for specialized centers where vessel lesions from 4-10 sites are typically treated by experienced hands within one BPA </w:t>
      </w:r>
      <w:proofErr w:type="gramStart"/>
      <w:r w:rsidRPr="00CD6193">
        <w:rPr>
          <w:rFonts w:ascii="Book Antiqua" w:hAnsi="Book Antiqua" w:cs="Times New Roman"/>
          <w:color w:val="000000" w:themeColor="text1"/>
          <w:sz w:val="24"/>
          <w:szCs w:val="24"/>
        </w:rPr>
        <w:t>session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59]</w:t>
      </w:r>
      <w:r w:rsidRPr="00CD6193">
        <w:rPr>
          <w:rFonts w:ascii="Book Antiqua" w:hAnsi="Book Antiqua" w:cs="Times New Roman"/>
          <w:color w:val="000000" w:themeColor="text1"/>
          <w:sz w:val="24"/>
          <w:szCs w:val="24"/>
        </w:rPr>
        <w:t xml:space="preserve">. </w:t>
      </w:r>
      <w:r w:rsidR="00E37DF7" w:rsidRPr="00CD6193">
        <w:rPr>
          <w:rFonts w:ascii="Book Antiqua" w:hAnsi="Book Antiqua" w:cs="Times New Roman"/>
          <w:color w:val="000000" w:themeColor="text1"/>
          <w:sz w:val="24"/>
          <w:szCs w:val="24"/>
        </w:rPr>
        <w:t xml:space="preserve">Furthermore, </w:t>
      </w:r>
      <w:r w:rsidR="005A04BB" w:rsidRPr="00CD6193">
        <w:rPr>
          <w:rFonts w:ascii="Book Antiqua" w:hAnsi="Book Antiqua" w:cs="Times New Roman"/>
          <w:color w:val="000000" w:themeColor="text1"/>
          <w:sz w:val="24"/>
          <w:szCs w:val="24"/>
        </w:rPr>
        <w:t xml:space="preserve">PEPSI with pressure-wire guidance to achieve distal </w:t>
      </w:r>
      <w:proofErr w:type="spellStart"/>
      <w:r w:rsidR="005A04BB" w:rsidRPr="00CD6193">
        <w:rPr>
          <w:rFonts w:ascii="Book Antiqua" w:hAnsi="Book Antiqua" w:cs="Times New Roman"/>
          <w:color w:val="000000" w:themeColor="text1"/>
          <w:sz w:val="24"/>
          <w:szCs w:val="24"/>
        </w:rPr>
        <w:t>mPAP</w:t>
      </w:r>
      <w:proofErr w:type="spellEnd"/>
      <w:r w:rsidR="005A04BB" w:rsidRPr="00CD6193">
        <w:rPr>
          <w:rFonts w:ascii="Book Antiqua" w:hAnsi="Book Antiqua" w:cs="Times New Roman"/>
          <w:color w:val="000000" w:themeColor="text1"/>
          <w:sz w:val="24"/>
          <w:szCs w:val="24"/>
        </w:rPr>
        <w:t xml:space="preserve"> &lt;</w:t>
      </w:r>
      <w:r w:rsidR="000735E5" w:rsidRPr="00CD6193">
        <w:rPr>
          <w:rFonts w:ascii="Book Antiqua" w:hAnsi="Book Antiqua" w:cs="Times New Roman"/>
          <w:color w:val="000000" w:themeColor="text1"/>
          <w:sz w:val="24"/>
          <w:szCs w:val="24"/>
        </w:rPr>
        <w:t xml:space="preserve"> </w:t>
      </w:r>
      <w:r w:rsidR="005A04BB" w:rsidRPr="00CD6193">
        <w:rPr>
          <w:rFonts w:ascii="Book Antiqua" w:hAnsi="Book Antiqua" w:cs="Times New Roman"/>
          <w:color w:val="000000" w:themeColor="text1"/>
          <w:sz w:val="24"/>
          <w:szCs w:val="24"/>
        </w:rPr>
        <w:t>35 mmHg is too complex and requires extra time and money due to the use of pressure</w:t>
      </w:r>
      <w:r w:rsidR="00AA7710" w:rsidRPr="00CD6193">
        <w:rPr>
          <w:rFonts w:ascii="Book Antiqua" w:hAnsi="Book Antiqua" w:cs="Times New Roman"/>
          <w:color w:val="000000" w:themeColor="text1"/>
          <w:sz w:val="24"/>
          <w:szCs w:val="24"/>
        </w:rPr>
        <w:t xml:space="preserve"> </w:t>
      </w:r>
      <w:r w:rsidR="005A04BB" w:rsidRPr="00CD6193">
        <w:rPr>
          <w:rFonts w:ascii="Book Antiqua" w:hAnsi="Book Antiqua" w:cs="Times New Roman"/>
          <w:color w:val="000000" w:themeColor="text1"/>
          <w:sz w:val="24"/>
          <w:szCs w:val="24"/>
        </w:rPr>
        <w:t>wire</w:t>
      </w:r>
      <w:r w:rsidR="00AA7710" w:rsidRPr="00CD6193">
        <w:rPr>
          <w:rFonts w:ascii="Book Antiqua" w:hAnsi="Book Antiqua" w:cs="Times New Roman"/>
          <w:color w:val="000000" w:themeColor="text1"/>
          <w:sz w:val="24"/>
          <w:szCs w:val="24"/>
        </w:rPr>
        <w:t>s</w:t>
      </w:r>
      <w:r w:rsidR="005A04BB" w:rsidRPr="00CD6193">
        <w:rPr>
          <w:rFonts w:ascii="Book Antiqua" w:hAnsi="Book Antiqua" w:cs="Times New Roman"/>
          <w:color w:val="000000" w:themeColor="text1"/>
          <w:sz w:val="24"/>
          <w:szCs w:val="24"/>
        </w:rPr>
        <w:t>.</w:t>
      </w:r>
      <w:r w:rsidR="00AD4DE0"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Patients with low cardiac output and high PAP at baseline may harbor a higher RPE risk after BPA </w:t>
      </w:r>
      <w:proofErr w:type="gramStart"/>
      <w:r w:rsidRPr="00CD6193">
        <w:rPr>
          <w:rFonts w:ascii="Book Antiqua" w:hAnsi="Book Antiqua" w:cs="Times New Roman"/>
          <w:color w:val="000000" w:themeColor="text1"/>
          <w:sz w:val="24"/>
          <w:szCs w:val="24"/>
        </w:rPr>
        <w:t>treatment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45]</w:t>
      </w:r>
      <w:r w:rsidRPr="00CD6193">
        <w:rPr>
          <w:rFonts w:ascii="Book Antiqua" w:hAnsi="Book Antiqua" w:cs="Times New Roman"/>
          <w:color w:val="000000" w:themeColor="text1"/>
          <w:sz w:val="24"/>
          <w:szCs w:val="24"/>
        </w:rPr>
        <w:t xml:space="preserve">. Diuretics and oxygen therapy are common approaches to manage RPE, </w:t>
      </w:r>
      <w:r w:rsidR="00E9471D"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high-flow nasal cannula therapy up to 50 L/min was reported to relieve RPE after BPA in a patient with </w:t>
      </w:r>
      <w:r w:rsidR="00B3570D">
        <w:rPr>
          <w:rFonts w:ascii="Book Antiqua" w:hAnsi="Book Antiqua" w:cs="Times New Roman"/>
          <w:color w:val="000000" w:themeColor="text1"/>
          <w:sz w:val="24"/>
          <w:szCs w:val="24"/>
        </w:rPr>
        <w:t xml:space="preserve">a </w:t>
      </w:r>
      <w:r w:rsidRPr="00CD6193">
        <w:rPr>
          <w:rFonts w:ascii="Book Antiqua" w:hAnsi="Book Antiqua" w:cs="Times New Roman"/>
          <w:color w:val="000000" w:themeColor="text1"/>
          <w:sz w:val="24"/>
          <w:szCs w:val="24"/>
        </w:rPr>
        <w:t xml:space="preserve">central type </w:t>
      </w:r>
      <w:proofErr w:type="gramStart"/>
      <w:r w:rsidRPr="00CD6193">
        <w:rPr>
          <w:rFonts w:ascii="Book Antiqua" w:hAnsi="Book Antiqua" w:cs="Times New Roman"/>
          <w:color w:val="000000" w:themeColor="text1"/>
          <w:sz w:val="24"/>
          <w:szCs w:val="24"/>
        </w:rPr>
        <w:t>lesion</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134]</w:t>
      </w:r>
      <w:r w:rsidRPr="00CD6193">
        <w:rPr>
          <w:rFonts w:ascii="Book Antiqua" w:hAnsi="Book Antiqua" w:cs="Times New Roman"/>
          <w:color w:val="000000" w:themeColor="text1"/>
          <w:sz w:val="24"/>
          <w:szCs w:val="24"/>
        </w:rPr>
        <w:t xml:space="preserve">. </w:t>
      </w:r>
    </w:p>
    <w:p w14:paraId="1A063DA8" w14:textId="7F6D6E40" w:rsidR="00E1331B" w:rsidRPr="00CD6193" w:rsidRDefault="00E1331B" w:rsidP="001E113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BPA is now considered to rarely cause classical RPE, and the most common complication </w:t>
      </w:r>
      <w:r w:rsidRPr="00CD6193">
        <w:rPr>
          <w:rFonts w:ascii="Book Antiqua" w:hAnsi="Book Antiqua" w:cs="Times New Roman"/>
          <w:color w:val="000000" w:themeColor="text1"/>
          <w:sz w:val="24"/>
          <w:szCs w:val="24"/>
        </w:rPr>
        <w:lastRenderedPageBreak/>
        <w:t xml:space="preserve">is lung injury (46%) </w:t>
      </w:r>
      <w:r w:rsidR="00995D31" w:rsidRPr="00CD6193">
        <w:rPr>
          <w:rFonts w:ascii="Book Antiqua" w:hAnsi="Book Antiqua" w:cs="Times New Roman"/>
          <w:color w:val="000000" w:themeColor="text1"/>
          <w:sz w:val="24"/>
          <w:szCs w:val="24"/>
        </w:rPr>
        <w:t xml:space="preserve">after </w:t>
      </w:r>
      <w:r w:rsidRPr="00CD6193">
        <w:rPr>
          <w:rFonts w:ascii="Book Antiqua" w:hAnsi="Book Antiqua" w:cs="Times New Roman"/>
          <w:color w:val="000000" w:themeColor="text1"/>
          <w:sz w:val="24"/>
          <w:szCs w:val="24"/>
        </w:rPr>
        <w:t>BPA, possibly due to wire injury, balloon overdilation, or high-pressure injection of contrast medium</w:t>
      </w:r>
      <w:r w:rsidRPr="00CD6193">
        <w:rPr>
          <w:rFonts w:ascii="Book Antiqua" w:hAnsi="Book Antiqua" w:cs="Times New Roman"/>
          <w:noProof/>
          <w:color w:val="000000" w:themeColor="text1"/>
          <w:sz w:val="24"/>
          <w:szCs w:val="24"/>
          <w:vertAlign w:val="superscript"/>
        </w:rPr>
        <w:t>[50,75,79]</w:t>
      </w:r>
      <w:r w:rsidRPr="00CD6193">
        <w:rPr>
          <w:rFonts w:ascii="Book Antiqua" w:hAnsi="Book Antiqua" w:cs="Times New Roman"/>
          <w:color w:val="000000" w:themeColor="text1"/>
          <w:sz w:val="24"/>
          <w:szCs w:val="24"/>
        </w:rPr>
        <w:t>. The previously reported incidence of so-called reperfusion lung injury was as high as 60%, far exceeding the 16</w:t>
      </w:r>
      <w:r w:rsidR="001E113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-22% incidence of RPE after PEA </w:t>
      </w:r>
      <w:proofErr w:type="gramStart"/>
      <w:r w:rsidRPr="00CD6193">
        <w:rPr>
          <w:rFonts w:ascii="Book Antiqua" w:hAnsi="Book Antiqua" w:cs="Times New Roman"/>
          <w:color w:val="000000" w:themeColor="text1"/>
          <w:sz w:val="24"/>
          <w:szCs w:val="24"/>
        </w:rPr>
        <w:t>surgery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41,46,135,136]</w:t>
      </w:r>
      <w:r w:rsidRPr="00CD6193">
        <w:rPr>
          <w:rFonts w:ascii="Book Antiqua" w:hAnsi="Book Antiqua" w:cs="Times New Roman"/>
          <w:color w:val="000000" w:themeColor="text1"/>
          <w:sz w:val="24"/>
          <w:szCs w:val="24"/>
        </w:rPr>
        <w:t xml:space="preserve">. In addition, pulmonary edema is often diffusely distributed, while lung injury is often localized, and high-resolution multidetector CT confirmed that the so-called RPE during BPA was only a focal infiltration at the targeted </w:t>
      </w:r>
      <w:proofErr w:type="gramStart"/>
      <w:r w:rsidRPr="00CD6193">
        <w:rPr>
          <w:rFonts w:ascii="Book Antiqua" w:hAnsi="Book Antiqua" w:cs="Times New Roman"/>
          <w:color w:val="000000" w:themeColor="text1"/>
          <w:sz w:val="24"/>
          <w:szCs w:val="24"/>
        </w:rPr>
        <w:t>site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 xml:space="preserve">. Angiographic extravasation, increased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and newly developed clinical symptoms such as cough, bloody sputum or hemoptysis, tachycardia, and progressive hypoxia are likely to indicate the occurrence of lung injury manifesting as ground-glass opacity, consolidation, and pleural effusion on high-resolution </w:t>
      </w:r>
      <w:proofErr w:type="gramStart"/>
      <w:r w:rsidRPr="00CD6193">
        <w:rPr>
          <w:rFonts w:ascii="Book Antiqua" w:hAnsi="Book Antiqua" w:cs="Times New Roman"/>
          <w:color w:val="000000" w:themeColor="text1"/>
          <w:sz w:val="24"/>
          <w:szCs w:val="24"/>
        </w:rPr>
        <w:t>CT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79]</w:t>
      </w:r>
      <w:r w:rsidRPr="00CD6193">
        <w:rPr>
          <w:rFonts w:ascii="Book Antiqua" w:hAnsi="Book Antiqua" w:cs="Times New Roman"/>
          <w:color w:val="000000" w:themeColor="text1"/>
          <w:sz w:val="24"/>
          <w:szCs w:val="24"/>
        </w:rPr>
        <w:t>. Minor hemoptysis can resolve spontaneously, once moderate to massive hemoptysis or wire perforation occurs, the bleeding is usually well controlled by neutralizing heparin with protamine or blocking the proximal vessel with a balloon for about 15 min, and after close observation, it can be decided whether to select other vessel lesions for balloon dilatation according to the patient's condition.</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Preoperative </w:t>
      </w:r>
      <w:proofErr w:type="spellStart"/>
      <w:r w:rsidRPr="00CD6193">
        <w:rPr>
          <w:rFonts w:ascii="Book Antiqua" w:hAnsi="Book Antiqua" w:cs="Times New Roman"/>
          <w:color w:val="000000" w:themeColor="text1"/>
          <w:sz w:val="24"/>
          <w:szCs w:val="24"/>
        </w:rPr>
        <w:t>epoprostenol</w:t>
      </w:r>
      <w:proofErr w:type="spellEnd"/>
      <w:r w:rsidRPr="00CD6193">
        <w:rPr>
          <w:rFonts w:ascii="Book Antiqua" w:hAnsi="Book Antiqua" w:cs="Times New Roman"/>
          <w:color w:val="000000" w:themeColor="text1"/>
          <w:sz w:val="24"/>
          <w:szCs w:val="24"/>
        </w:rPr>
        <w:t xml:space="preserve"> and methylprednisolone, and prophylactic noninvasive positive-pressure ventilation (NPPV) were previously attempted to reduce lung injury occurrence but did not seem to </w:t>
      </w:r>
      <w:proofErr w:type="gramStart"/>
      <w:r w:rsidRPr="00CD6193">
        <w:rPr>
          <w:rFonts w:ascii="Book Antiqua" w:hAnsi="Book Antiqua" w:cs="Times New Roman"/>
          <w:color w:val="000000" w:themeColor="text1"/>
          <w:sz w:val="24"/>
          <w:szCs w:val="24"/>
        </w:rPr>
        <w:t>work</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46,79]</w:t>
      </w:r>
      <w:r w:rsidRPr="00CD6193">
        <w:rPr>
          <w:rFonts w:ascii="Book Antiqua" w:hAnsi="Book Antiqua" w:cs="Times New Roman"/>
          <w:color w:val="000000" w:themeColor="text1"/>
          <w:sz w:val="24"/>
          <w:szCs w:val="24"/>
        </w:rPr>
        <w:t xml:space="preserve">. Once lung injury occurs, severe cases may require NPPV, invasive mechanical ventilation and even extracorporeal membrane oxygenation </w:t>
      </w:r>
      <w:proofErr w:type="gramStart"/>
      <w:r w:rsidRPr="00CD6193">
        <w:rPr>
          <w:rFonts w:ascii="Book Antiqua" w:hAnsi="Book Antiqua" w:cs="Times New Roman"/>
          <w:color w:val="000000" w:themeColor="text1"/>
          <w:sz w:val="24"/>
          <w:szCs w:val="24"/>
        </w:rPr>
        <w:t>support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44,46,137,138]</w:t>
      </w:r>
      <w:r w:rsidRPr="00CD6193">
        <w:rPr>
          <w:rFonts w:ascii="Book Antiqua" w:hAnsi="Book Antiqua" w:cs="Times New Roman"/>
          <w:color w:val="000000" w:themeColor="text1"/>
          <w:sz w:val="24"/>
          <w:szCs w:val="24"/>
        </w:rPr>
        <w:t xml:space="preserve">. Vascular rupture caused by </w:t>
      </w:r>
      <w:r w:rsidR="00B3570D">
        <w:rPr>
          <w:rFonts w:ascii="Book Antiqua" w:hAnsi="Book Antiqua" w:cs="Times New Roman"/>
          <w:color w:val="000000" w:themeColor="text1"/>
          <w:sz w:val="24"/>
          <w:szCs w:val="24"/>
        </w:rPr>
        <w:t xml:space="preserve">an </w:t>
      </w:r>
      <w:r w:rsidRPr="00CD6193">
        <w:rPr>
          <w:rFonts w:ascii="Book Antiqua" w:hAnsi="Book Antiqua" w:cs="Times New Roman"/>
          <w:color w:val="000000" w:themeColor="text1"/>
          <w:sz w:val="24"/>
          <w:szCs w:val="24"/>
        </w:rPr>
        <w:t xml:space="preserve">overlarge balloon or forceful catheter insertion is a lethal complication during BPA, covered stent placement or coil embolization may be considered when it occurs, but the latter is accompanied </w:t>
      </w:r>
      <w:r w:rsidR="00B3570D">
        <w:rPr>
          <w:rFonts w:ascii="Book Antiqua" w:hAnsi="Book Antiqua" w:cs="Times New Roman"/>
          <w:color w:val="000000" w:themeColor="text1"/>
          <w:sz w:val="24"/>
          <w:szCs w:val="24"/>
        </w:rPr>
        <w:t>by</w:t>
      </w:r>
      <w:r w:rsidRPr="00CD6193">
        <w:rPr>
          <w:rFonts w:ascii="Book Antiqua" w:hAnsi="Book Antiqua" w:cs="Times New Roman"/>
          <w:color w:val="000000" w:themeColor="text1"/>
          <w:sz w:val="24"/>
          <w:szCs w:val="24"/>
        </w:rPr>
        <w:t xml:space="preserve"> blood flow loss in the embolized </w:t>
      </w:r>
      <w:proofErr w:type="gramStart"/>
      <w:r w:rsidRPr="00CD6193">
        <w:rPr>
          <w:rFonts w:ascii="Book Antiqua" w:hAnsi="Book Antiqua" w:cs="Times New Roman"/>
          <w:color w:val="000000" w:themeColor="text1"/>
          <w:sz w:val="24"/>
          <w:szCs w:val="24"/>
        </w:rPr>
        <w:t>vessel</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46,139,140]</w:t>
      </w:r>
      <w:r w:rsidRPr="00CD6193">
        <w:rPr>
          <w:rFonts w:ascii="Book Antiqua" w:hAnsi="Book Antiqua" w:cs="Times New Roman"/>
          <w:color w:val="000000" w:themeColor="text1"/>
          <w:sz w:val="24"/>
          <w:szCs w:val="24"/>
        </w:rPr>
        <w:t xml:space="preserve">. </w:t>
      </w:r>
    </w:p>
    <w:p w14:paraId="7C78163E" w14:textId="242B7866" w:rsidR="00E1331B" w:rsidRPr="00CD6193" w:rsidRDefault="00E1331B" w:rsidP="001E113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BPA complications should be clearly defined and uniformly reported, as complication rates are greatly influenced by the definition, thus a new guide to clearly classify complications has been proposed for BPA centers (Table 2</w:t>
      </w:r>
      <w:proofErr w:type="gramStart"/>
      <w:r w:rsidRPr="00CD6193">
        <w:rPr>
          <w:rFonts w:ascii="Book Antiqua" w:hAnsi="Book Antiqua" w:cs="Times New Roman"/>
          <w:color w:val="000000" w:themeColor="text1"/>
          <w:sz w:val="24"/>
          <w:szCs w:val="24"/>
        </w:rPr>
        <w:t>)</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50]</w:t>
      </w:r>
      <w:r w:rsidRPr="00CD6193">
        <w:rPr>
          <w:rFonts w:ascii="Book Antiqua" w:hAnsi="Book Antiqua" w:cs="Times New Roman"/>
          <w:color w:val="000000" w:themeColor="text1"/>
          <w:sz w:val="24"/>
          <w:szCs w:val="24"/>
        </w:rPr>
        <w:t>. A systematic review summarized that the early mortality rate of BPA ranged from 0% to 14.3%, the incidence rates of lung injury, hemoptysis and vascular perforation occurred in 7.0</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31.4%, 5.6</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19.6% and 0</w:t>
      </w:r>
      <w:r w:rsidR="004803B9">
        <w:rPr>
          <w:rFonts w:ascii="Book Antiqua" w:hAnsi="Book Antiqua" w:cs="Times New Roman"/>
          <w:color w:val="000000" w:themeColor="text1"/>
          <w:sz w:val="24"/>
          <w:szCs w:val="24"/>
        </w:rPr>
        <w:t>%</w:t>
      </w:r>
      <w:r w:rsidR="00087621">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8.0%, </w:t>
      </w:r>
      <w:proofErr w:type="gramStart"/>
      <w:r w:rsidRPr="00CD6193">
        <w:rPr>
          <w:rFonts w:ascii="Book Antiqua" w:hAnsi="Book Antiqua" w:cs="Times New Roman"/>
          <w:color w:val="000000" w:themeColor="text1"/>
          <w:sz w:val="24"/>
          <w:szCs w:val="24"/>
        </w:rPr>
        <w:t>respectively</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101]</w:t>
      </w:r>
      <w:r w:rsidRPr="00CD6193">
        <w:rPr>
          <w:rFonts w:ascii="Book Antiqua" w:hAnsi="Book Antiqua" w:cs="Times New Roman"/>
          <w:color w:val="000000" w:themeColor="text1"/>
          <w:sz w:val="24"/>
          <w:szCs w:val="24"/>
        </w:rPr>
        <w:t xml:space="preserve">. The world largest multicenter registry from Japan described pulmonary injury (17.8%) and hemoptysis (14.0%) </w:t>
      </w:r>
      <w:r w:rsidR="00B3570D">
        <w:rPr>
          <w:rFonts w:ascii="Book Antiqua" w:hAnsi="Book Antiqua" w:cs="Times New Roman"/>
          <w:color w:val="000000" w:themeColor="text1"/>
          <w:sz w:val="24"/>
          <w:szCs w:val="24"/>
        </w:rPr>
        <w:t>as</w:t>
      </w:r>
      <w:r w:rsidRPr="00CD6193">
        <w:rPr>
          <w:rFonts w:ascii="Book Antiqua" w:hAnsi="Book Antiqua" w:cs="Times New Roman"/>
          <w:color w:val="000000" w:themeColor="text1"/>
          <w:sz w:val="24"/>
          <w:szCs w:val="24"/>
        </w:rPr>
        <w:t xml:space="preserve"> the most frequent complication</w:t>
      </w:r>
      <w:r w:rsidR="00B3570D">
        <w:rPr>
          <w:rFonts w:ascii="Book Antiqua" w:hAnsi="Book Antiqua" w:cs="Times New Roman"/>
          <w:color w:val="000000" w:themeColor="text1"/>
          <w:sz w:val="24"/>
          <w:szCs w:val="24"/>
        </w:rPr>
        <w:t>s</w:t>
      </w:r>
      <w:r w:rsidRPr="00CD6193">
        <w:rPr>
          <w:rFonts w:ascii="Book Antiqua" w:hAnsi="Book Antiqua" w:cs="Times New Roman"/>
          <w:color w:val="000000" w:themeColor="text1"/>
          <w:sz w:val="24"/>
          <w:szCs w:val="24"/>
        </w:rPr>
        <w:t>, pulmonary artery perforation, dissection and rupture accounted for 2.9%, 0.4%, and 0.1%, respectively, and allergic reactions to contrast agents (0.1%) were rarely seen</w:t>
      </w:r>
      <w:r w:rsidRPr="00CD6193">
        <w:rPr>
          <w:rFonts w:ascii="Book Antiqua" w:hAnsi="Book Antiqua" w:cs="Times New Roman"/>
          <w:noProof/>
          <w:color w:val="000000" w:themeColor="text1"/>
          <w:sz w:val="24"/>
          <w:szCs w:val="24"/>
          <w:vertAlign w:val="superscript"/>
        </w:rPr>
        <w:t>[17]</w:t>
      </w:r>
      <w:r w:rsidRPr="00CD6193">
        <w:rPr>
          <w:rFonts w:ascii="Book Antiqua" w:hAnsi="Book Antiqua" w:cs="Times New Roman"/>
          <w:color w:val="000000" w:themeColor="text1"/>
          <w:sz w:val="24"/>
          <w:szCs w:val="24"/>
        </w:rPr>
        <w:t xml:space="preserve">. The recent </w:t>
      </w:r>
      <w:r w:rsidRPr="00CD6193">
        <w:rPr>
          <w:rFonts w:ascii="Book Antiqua" w:hAnsi="Book Antiqua" w:cs="Times New Roman"/>
          <w:color w:val="000000" w:themeColor="text1"/>
          <w:sz w:val="24"/>
          <w:szCs w:val="24"/>
        </w:rPr>
        <w:lastRenderedPageBreak/>
        <w:t>French BPA experience revealed that lung injury, hemoptysis, pulmonary artery perforation and dissection occurred in 9.1%, 7.1%, 2.8, and 1.9%, respectively, among 1006 BPA sessions, and the incidence of lung injury decreased over time from initial 13.3% to recent 5.9%, clearly indicating that the occurrence of BPA complications depends on center experience</w:t>
      </w:r>
      <w:r w:rsidRPr="00CD6193">
        <w:rPr>
          <w:rFonts w:ascii="Book Antiqua" w:hAnsi="Book Antiqua" w:cs="Times New Roman"/>
          <w:noProof/>
          <w:color w:val="000000" w:themeColor="text1"/>
          <w:sz w:val="24"/>
          <w:szCs w:val="24"/>
          <w:vertAlign w:val="superscript"/>
        </w:rPr>
        <w:t>[18]</w:t>
      </w:r>
      <w:r w:rsidRPr="00CD6193">
        <w:rPr>
          <w:rFonts w:ascii="Book Antiqua" w:hAnsi="Book Antiqua" w:cs="Times New Roman"/>
          <w:color w:val="000000" w:themeColor="text1"/>
          <w:sz w:val="24"/>
          <w:szCs w:val="24"/>
        </w:rPr>
        <w:t xml:space="preserve">. </w:t>
      </w:r>
    </w:p>
    <w:p w14:paraId="25FA3BEA"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BD94F5C"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MEDICAL TREATMENTS, BRIDGING AND HYBRID THERAPIES</w:t>
      </w:r>
    </w:p>
    <w:p w14:paraId="2AC63D9C" w14:textId="712B68CE"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Great advances in targeted agents have largely enriched therapeutic options for PAH patients and significantly improved their clinical </w:t>
      </w:r>
      <w:proofErr w:type="gramStart"/>
      <w:r w:rsidRPr="00CD6193">
        <w:rPr>
          <w:rFonts w:ascii="Book Antiqua" w:hAnsi="Book Antiqua" w:cs="Times New Roman"/>
          <w:color w:val="000000" w:themeColor="text1"/>
          <w:sz w:val="24"/>
          <w:szCs w:val="24"/>
        </w:rPr>
        <w:t>outcomes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141,142]</w:t>
      </w:r>
      <w:r w:rsidRPr="00CD6193">
        <w:rPr>
          <w:rFonts w:ascii="Book Antiqua" w:hAnsi="Book Antiqua" w:cs="Times New Roman"/>
          <w:color w:val="000000" w:themeColor="text1"/>
          <w:sz w:val="24"/>
          <w:szCs w:val="24"/>
        </w:rPr>
        <w:t xml:space="preserve">. CTEPH shares many similarities with PAH in clinical features, hemodynamic status, as well as micro-vasculopathy, thus PAH targeted therapies appear to be attractive for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15,143]</w:t>
      </w:r>
      <w:r w:rsidRPr="00CD6193">
        <w:rPr>
          <w:rFonts w:ascii="Book Antiqua" w:hAnsi="Book Antiqua" w:cs="Times New Roman"/>
          <w:color w:val="000000" w:themeColor="text1"/>
          <w:sz w:val="24"/>
          <w:szCs w:val="24"/>
        </w:rPr>
        <w:t xml:space="preserve">. The beneficial effects of PAH-targeted therapies in inoperable CTEPH have been widely demonstrated in many case series and uncontrolled </w:t>
      </w:r>
      <w:proofErr w:type="gramStart"/>
      <w:r w:rsidRPr="00CD6193">
        <w:rPr>
          <w:rFonts w:ascii="Book Antiqua" w:hAnsi="Book Antiqua" w:cs="Times New Roman"/>
          <w:color w:val="000000" w:themeColor="text1"/>
          <w:sz w:val="24"/>
          <w:szCs w:val="24"/>
        </w:rPr>
        <w:t>studies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144,145]</w:t>
      </w:r>
      <w:r w:rsidRPr="00CD6193">
        <w:rPr>
          <w:rFonts w:ascii="Book Antiqua" w:hAnsi="Book Antiqua" w:cs="Times New Roman"/>
          <w:color w:val="000000" w:themeColor="text1"/>
          <w:sz w:val="24"/>
          <w:szCs w:val="24"/>
        </w:rPr>
        <w:t>, but high-level randomized controlled trials (RCTs) are still lacking</w:t>
      </w:r>
      <w:r w:rsidRPr="00CD6193">
        <w:rPr>
          <w:rFonts w:ascii="Book Antiqua" w:hAnsi="Book Antiqua" w:cs="Times New Roman"/>
          <w:noProof/>
          <w:color w:val="000000" w:themeColor="text1"/>
          <w:sz w:val="24"/>
          <w:szCs w:val="24"/>
          <w:vertAlign w:val="superscript"/>
        </w:rPr>
        <w:t>[12-14,16]</w:t>
      </w:r>
      <w:r w:rsidRPr="00CD6193">
        <w:rPr>
          <w:rFonts w:ascii="Book Antiqua" w:hAnsi="Book Antiqua" w:cs="Times New Roman"/>
          <w:color w:val="000000" w:themeColor="text1"/>
          <w:sz w:val="24"/>
          <w:szCs w:val="24"/>
        </w:rPr>
        <w:t xml:space="preserve">. </w:t>
      </w:r>
    </w:p>
    <w:p w14:paraId="12366490" w14:textId="32B6B14E" w:rsidR="00E1331B" w:rsidRPr="00CD6193" w:rsidRDefault="00E1331B" w:rsidP="004803B9">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The BENEFIT trial (ClinicalTrials.gov Identifier: NCT00313222) was the first large, double-blind RCT to assess the safety and efficacy of oral dual endothelin receptor antagonist </w:t>
      </w:r>
      <w:proofErr w:type="spellStart"/>
      <w:r w:rsidRPr="00CD6193">
        <w:rPr>
          <w:rFonts w:ascii="Book Antiqua" w:hAnsi="Book Antiqua" w:cs="Times New Roman"/>
          <w:color w:val="000000" w:themeColor="text1"/>
          <w:sz w:val="24"/>
          <w:szCs w:val="24"/>
        </w:rPr>
        <w:t>bosentan</w:t>
      </w:r>
      <w:proofErr w:type="spellEnd"/>
      <w:r w:rsidRPr="00CD6193">
        <w:rPr>
          <w:rFonts w:ascii="Book Antiqua" w:hAnsi="Book Antiqua" w:cs="Times New Roman"/>
          <w:color w:val="000000" w:themeColor="text1"/>
          <w:sz w:val="24"/>
          <w:szCs w:val="24"/>
        </w:rPr>
        <w:t xml:space="preserve"> in either inoperable CTEPH or persistent/recurrent PH patients. Satisfactory tolerability was observed with a significant 24.1% improvement in PVR compared with placebo control, but a non-significant increase of only +2.2 m in 6MWD after a 16-wk </w:t>
      </w:r>
      <w:proofErr w:type="gramStart"/>
      <w:r w:rsidRPr="00CD6193">
        <w:rPr>
          <w:rFonts w:ascii="Book Antiqua" w:hAnsi="Book Antiqua" w:cs="Times New Roman"/>
          <w:color w:val="000000" w:themeColor="text1"/>
          <w:sz w:val="24"/>
          <w:szCs w:val="24"/>
        </w:rPr>
        <w:t>course</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13]</w:t>
      </w:r>
      <w:r w:rsidRPr="00CD6193">
        <w:rPr>
          <w:rFonts w:ascii="Book Antiqua" w:hAnsi="Book Antiqua" w:cs="Times New Roman"/>
          <w:color w:val="000000" w:themeColor="text1"/>
          <w:sz w:val="24"/>
          <w:szCs w:val="24"/>
        </w:rPr>
        <w:t xml:space="preserve">. Irrespective of background PAH-targeted therapy, the dual endothelin-receptor antagonist </w:t>
      </w:r>
      <w:proofErr w:type="spellStart"/>
      <w:r w:rsidRPr="00CD6193">
        <w:rPr>
          <w:rFonts w:ascii="Book Antiqua" w:hAnsi="Book Antiqua" w:cs="Times New Roman"/>
          <w:color w:val="000000" w:themeColor="text1"/>
          <w:sz w:val="24"/>
          <w:szCs w:val="24"/>
        </w:rPr>
        <w:t>macitentan</w:t>
      </w:r>
      <w:proofErr w:type="spellEnd"/>
      <w:r w:rsidRPr="00CD6193">
        <w:rPr>
          <w:rFonts w:ascii="Book Antiqua" w:hAnsi="Book Antiqua" w:cs="Times New Roman"/>
          <w:color w:val="000000" w:themeColor="text1"/>
          <w:sz w:val="24"/>
          <w:szCs w:val="24"/>
        </w:rPr>
        <w:t xml:space="preserve"> significantly improved PVR (-16%), 6MWD (+34 m), cardiac output and NT-</w:t>
      </w:r>
      <w:proofErr w:type="spellStart"/>
      <w:r w:rsidRPr="00CD6193">
        <w:rPr>
          <w:rFonts w:ascii="Book Antiqua" w:hAnsi="Book Antiqua" w:cs="Times New Roman"/>
          <w:color w:val="000000" w:themeColor="text1"/>
          <w:sz w:val="24"/>
          <w:szCs w:val="24"/>
        </w:rPr>
        <w:t>proBNP</w:t>
      </w:r>
      <w:proofErr w:type="spellEnd"/>
      <w:r w:rsidRPr="00CD6193">
        <w:rPr>
          <w:rFonts w:ascii="Book Antiqua" w:hAnsi="Book Antiqua" w:cs="Times New Roman"/>
          <w:color w:val="000000" w:themeColor="text1"/>
          <w:sz w:val="24"/>
          <w:szCs w:val="24"/>
        </w:rPr>
        <w:t xml:space="preserve"> at w</w:t>
      </w:r>
      <w:r w:rsidR="004803B9">
        <w:rPr>
          <w:rFonts w:ascii="Book Antiqua" w:hAnsi="Book Antiqua" w:cs="Times New Roman"/>
          <w:color w:val="000000" w:themeColor="text1"/>
          <w:sz w:val="24"/>
          <w:szCs w:val="24"/>
        </w:rPr>
        <w:t>ee</w:t>
      </w:r>
      <w:r w:rsidRPr="00CD6193">
        <w:rPr>
          <w:rFonts w:ascii="Book Antiqua" w:hAnsi="Book Antiqua" w:cs="Times New Roman"/>
          <w:color w:val="000000" w:themeColor="text1"/>
          <w:sz w:val="24"/>
          <w:szCs w:val="24"/>
        </w:rPr>
        <w:t xml:space="preserve">k 16 among inoperable CTEPH </w:t>
      </w:r>
      <w:proofErr w:type="gramStart"/>
      <w:r w:rsidRPr="00CD6193">
        <w:rPr>
          <w:rFonts w:ascii="Book Antiqua" w:hAnsi="Book Antiqua" w:cs="Times New Roman"/>
          <w:color w:val="000000" w:themeColor="text1"/>
          <w:sz w:val="24"/>
          <w:szCs w:val="24"/>
        </w:rPr>
        <w:t>patients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w:t>
      </w:r>
      <w:r w:rsidRPr="00CD6193">
        <w:rPr>
          <w:rFonts w:ascii="Book Antiqua" w:hAnsi="Book Antiqua" w:cs="Times New Roman"/>
          <w:color w:val="000000" w:themeColor="text1"/>
          <w:sz w:val="24"/>
          <w:szCs w:val="24"/>
        </w:rPr>
        <w:t xml:space="preserve">. The CHEST-1 trial (ClinicalTrials.gov Identifier: NCT00855465), a phase 3, multicenter, double-blind RCT in 261 inoperable CTEPH or persistent/recurrent PH, demonstrated a large benefit of the soluble guanylate cyclase stimulator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(titrated up to 2.5 mg </w:t>
      </w:r>
      <w:proofErr w:type="spellStart"/>
      <w:r w:rsidRPr="00CD6193">
        <w:rPr>
          <w:rFonts w:ascii="Book Antiqua" w:hAnsi="Book Antiqua" w:cs="Times New Roman"/>
          <w:color w:val="000000" w:themeColor="text1"/>
          <w:sz w:val="24"/>
          <w:szCs w:val="24"/>
        </w:rPr>
        <w:t>tid</w:t>
      </w:r>
      <w:proofErr w:type="spellEnd"/>
      <w:r w:rsidRPr="00CD6193">
        <w:rPr>
          <w:rFonts w:ascii="Book Antiqua" w:hAnsi="Book Antiqua" w:cs="Times New Roman"/>
          <w:color w:val="000000" w:themeColor="text1"/>
          <w:sz w:val="24"/>
          <w:szCs w:val="24"/>
        </w:rPr>
        <w:t>) in improving 6MWD (+46 m) and PVR (-31%) at the 16</w:t>
      </w:r>
      <w:r w:rsidRPr="00CD6193">
        <w:rPr>
          <w:rFonts w:ascii="Cambria Math" w:eastAsia="MS Gothic" w:hAnsi="Cambria Math" w:cs="Cambria Math"/>
          <w:color w:val="000000" w:themeColor="text1"/>
          <w:sz w:val="24"/>
          <w:szCs w:val="24"/>
        </w:rPr>
        <w:t>‑</w:t>
      </w:r>
      <w:r w:rsidRPr="00CD6193">
        <w:rPr>
          <w:rFonts w:ascii="Book Antiqua" w:hAnsi="Book Antiqua" w:cs="Times New Roman"/>
          <w:color w:val="000000" w:themeColor="text1"/>
          <w:sz w:val="24"/>
          <w:szCs w:val="24"/>
        </w:rPr>
        <w:t>wk follow-up</w:t>
      </w:r>
      <w:r w:rsidRPr="00CD6193">
        <w:rPr>
          <w:rFonts w:ascii="Book Antiqua" w:hAnsi="Book Antiqua" w:cs="Times New Roman"/>
          <w:noProof/>
          <w:color w:val="000000" w:themeColor="text1"/>
          <w:sz w:val="24"/>
          <w:szCs w:val="24"/>
          <w:vertAlign w:val="superscript"/>
        </w:rPr>
        <w:t>[12]</w:t>
      </w:r>
      <w:r w:rsidRPr="00CD6193">
        <w:rPr>
          <w:rFonts w:ascii="Book Antiqua" w:hAnsi="Book Antiqua" w:cs="Times New Roman"/>
          <w:color w:val="000000" w:themeColor="text1"/>
          <w:sz w:val="24"/>
          <w:szCs w:val="24"/>
        </w:rPr>
        <w:t xml:space="preserve">.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CTREPH trial (ClinicalTrials.gov Identifier: NCT01416636) was a multicenter, double-blind RCT aiming to evaluate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 xml:space="preserve">the efficacy and tolerability of subcutaneous administered </w:t>
      </w:r>
      <w:proofErr w:type="spellStart"/>
      <w:r w:rsidRPr="00CD6193">
        <w:rPr>
          <w:rFonts w:ascii="Book Antiqua" w:hAnsi="Book Antiqua" w:cs="Times New Roman"/>
          <w:color w:val="000000" w:themeColor="text1"/>
          <w:sz w:val="24"/>
          <w:szCs w:val="24"/>
        </w:rPr>
        <w:t>treprostinil</w:t>
      </w:r>
      <w:proofErr w:type="spellEnd"/>
      <w:r w:rsidRPr="00CD6193">
        <w:rPr>
          <w:rFonts w:ascii="Book Antiqua" w:hAnsi="Book Antiqua" w:cs="Times New Roman"/>
          <w:color w:val="000000" w:themeColor="text1"/>
          <w:sz w:val="24"/>
          <w:szCs w:val="24"/>
        </w:rPr>
        <w:t xml:space="preserve"> for severe non-operable or persistent/recurrent CTEPH over a treatment period of 24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105 patients were 1:1 randomly allocated to low-dose </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 </w:t>
      </w:r>
      <w:bookmarkStart w:id="50" w:name="OLE_LINK196"/>
      <w:bookmarkStart w:id="51" w:name="OLE_LINK197"/>
      <w:r w:rsidRPr="00CD6193">
        <w:rPr>
          <w:rFonts w:ascii="Book Antiqua" w:hAnsi="Book Antiqua" w:cs="Times New Roman"/>
          <w:color w:val="000000" w:themeColor="text1"/>
          <w:sz w:val="24"/>
          <w:szCs w:val="24"/>
        </w:rPr>
        <w:t>ng/</w:t>
      </w:r>
      <w:r w:rsidR="004803B9">
        <w:rPr>
          <w:rFonts w:ascii="Book Antiqua" w:hAnsi="Book Antiqua" w:cs="Times New Roman"/>
          <w:color w:val="000000" w:themeColor="text1"/>
          <w:sz w:val="24"/>
          <w:szCs w:val="24"/>
        </w:rPr>
        <w:t>(</w:t>
      </w:r>
      <w:proofErr w:type="spellStart"/>
      <w:r w:rsidRPr="00CD6193">
        <w:rPr>
          <w:rFonts w:ascii="Book Antiqua" w:hAnsi="Book Antiqua" w:cs="Times New Roman"/>
          <w:color w:val="000000" w:themeColor="text1"/>
          <w:sz w:val="24"/>
          <w:szCs w:val="24"/>
        </w:rPr>
        <w:t>kg</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min</w:t>
      </w:r>
      <w:proofErr w:type="spellEnd"/>
      <w:r w:rsidR="004803B9">
        <w:rPr>
          <w:rFonts w:ascii="Book Antiqua" w:hAnsi="Book Antiqua" w:cs="Times New Roman"/>
          <w:color w:val="000000" w:themeColor="text1"/>
          <w:sz w:val="24"/>
          <w:szCs w:val="24"/>
        </w:rPr>
        <w:t>)</w:t>
      </w:r>
      <w:bookmarkEnd w:id="50"/>
      <w:bookmarkEnd w:id="51"/>
      <w:r w:rsidRPr="00CD6193">
        <w:rPr>
          <w:rFonts w:ascii="Book Antiqua" w:hAnsi="Book Antiqua" w:cs="Times New Roman"/>
          <w:color w:val="000000" w:themeColor="text1"/>
          <w:sz w:val="24"/>
          <w:szCs w:val="24"/>
        </w:rPr>
        <w:t xml:space="preserve"> at w</w:t>
      </w:r>
      <w:r w:rsidR="004803B9">
        <w:rPr>
          <w:rFonts w:ascii="Book Antiqua" w:hAnsi="Book Antiqua" w:cs="Times New Roman"/>
          <w:color w:val="000000" w:themeColor="text1"/>
          <w:sz w:val="24"/>
          <w:szCs w:val="24"/>
        </w:rPr>
        <w:t>ee</w:t>
      </w:r>
      <w:r w:rsidRPr="00CD6193">
        <w:rPr>
          <w:rFonts w:ascii="Book Antiqua" w:hAnsi="Book Antiqua" w:cs="Times New Roman"/>
          <w:color w:val="000000" w:themeColor="text1"/>
          <w:sz w:val="24"/>
          <w:szCs w:val="24"/>
        </w:rPr>
        <w:t>k 12</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and high-dose </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30 </w:t>
      </w:r>
      <w:r w:rsidR="004803B9" w:rsidRPr="00CD6193">
        <w:rPr>
          <w:rFonts w:ascii="Book Antiqua" w:hAnsi="Book Antiqua" w:cs="Times New Roman"/>
          <w:color w:val="000000" w:themeColor="text1"/>
          <w:sz w:val="24"/>
          <w:szCs w:val="24"/>
        </w:rPr>
        <w:t>ng/</w:t>
      </w:r>
      <w:r w:rsidR="004803B9">
        <w:rPr>
          <w:rFonts w:ascii="Book Antiqua" w:hAnsi="Book Antiqua" w:cs="Times New Roman"/>
          <w:color w:val="000000" w:themeColor="text1"/>
          <w:sz w:val="24"/>
          <w:szCs w:val="24"/>
        </w:rPr>
        <w:t>(</w:t>
      </w:r>
      <w:proofErr w:type="spellStart"/>
      <w:r w:rsidR="004803B9" w:rsidRPr="00CD6193">
        <w:rPr>
          <w:rFonts w:ascii="Book Antiqua" w:hAnsi="Book Antiqua" w:cs="Times New Roman"/>
          <w:color w:val="000000" w:themeColor="text1"/>
          <w:sz w:val="24"/>
          <w:szCs w:val="24"/>
        </w:rPr>
        <w:t>kg</w:t>
      </w:r>
      <w:r w:rsidR="004803B9">
        <w:rPr>
          <w:rFonts w:ascii="Book Antiqua" w:hAnsi="Book Antiqua" w:cs="Times New Roman"/>
          <w:color w:val="000000" w:themeColor="text1"/>
          <w:sz w:val="24"/>
          <w:szCs w:val="24"/>
        </w:rPr>
        <w:t>∙</w:t>
      </w:r>
      <w:r w:rsidR="004803B9" w:rsidRPr="00CD6193">
        <w:rPr>
          <w:rFonts w:ascii="Book Antiqua" w:hAnsi="Book Antiqua" w:cs="Times New Roman"/>
          <w:color w:val="000000" w:themeColor="text1"/>
          <w:sz w:val="24"/>
          <w:szCs w:val="24"/>
        </w:rPr>
        <w:t>min</w:t>
      </w:r>
      <w:proofErr w:type="spellEnd"/>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at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12</w:t>
      </w:r>
      <w:r w:rsidR="004803B9">
        <w:rPr>
          <w:rFonts w:ascii="Book Antiqua" w:hAnsi="Book Antiqua" w:cs="Times New Roman"/>
          <w:color w:val="000000" w:themeColor="text1"/>
          <w:sz w:val="24"/>
          <w:szCs w:val="24"/>
        </w:rPr>
        <w:t>]</w:t>
      </w:r>
      <w:r w:rsidRPr="00CD6193">
        <w:rPr>
          <w:rFonts w:ascii="Book Antiqua" w:hAnsi="Book Antiqua" w:cs="Times New Roman"/>
          <w:color w:val="000000" w:themeColor="text1"/>
          <w:sz w:val="24"/>
          <w:szCs w:val="24"/>
        </w:rPr>
        <w:t xml:space="preserve"> groups, </w:t>
      </w:r>
      <w:r w:rsidR="000735E5" w:rsidRPr="00CD6193">
        <w:rPr>
          <w:rFonts w:ascii="Book Antiqua" w:hAnsi="Book Antiqua" w:cs="Times New Roman"/>
          <w:color w:val="000000" w:themeColor="text1"/>
          <w:sz w:val="24"/>
          <w:szCs w:val="24"/>
        </w:rPr>
        <w:t xml:space="preserve">and </w:t>
      </w:r>
      <w:r w:rsidRPr="00CD6193">
        <w:rPr>
          <w:rFonts w:ascii="Book Antiqua" w:hAnsi="Book Antiqua" w:cs="Times New Roman"/>
          <w:color w:val="000000" w:themeColor="text1"/>
          <w:sz w:val="24"/>
          <w:szCs w:val="24"/>
        </w:rPr>
        <w:t xml:space="preserve">subcutaneous </w:t>
      </w:r>
      <w:proofErr w:type="spellStart"/>
      <w:r w:rsidRPr="00CD6193">
        <w:rPr>
          <w:rFonts w:ascii="Book Antiqua" w:hAnsi="Book Antiqua" w:cs="Times New Roman"/>
          <w:color w:val="000000" w:themeColor="text1"/>
          <w:sz w:val="24"/>
          <w:szCs w:val="24"/>
        </w:rPr>
        <w:t>treprostinil</w:t>
      </w:r>
      <w:proofErr w:type="spellEnd"/>
      <w:r w:rsidRPr="00CD6193">
        <w:rPr>
          <w:rFonts w:ascii="Book Antiqua" w:hAnsi="Book Antiqua" w:cs="Times New Roman"/>
          <w:color w:val="000000" w:themeColor="text1"/>
          <w:sz w:val="24"/>
          <w:szCs w:val="24"/>
        </w:rPr>
        <w:t xml:space="preserve"> treatment improved exercise </w:t>
      </w:r>
      <w:r w:rsidRPr="00CD6193">
        <w:rPr>
          <w:rFonts w:ascii="Book Antiqua" w:hAnsi="Book Antiqua" w:cs="Times New Roman"/>
          <w:color w:val="000000" w:themeColor="text1"/>
          <w:sz w:val="24"/>
          <w:szCs w:val="24"/>
        </w:rPr>
        <w:lastRenderedPageBreak/>
        <w:t xml:space="preserve">capacity (6MWD: +44.98 m in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high-dose group </w:t>
      </w:r>
      <w:r w:rsidR="002512B4" w:rsidRPr="00CD6193">
        <w:rPr>
          <w:rFonts w:ascii="Book Antiqua" w:hAnsi="Book Antiqua" w:cs="Times New Roman"/>
          <w:i/>
          <w:iCs/>
          <w:color w:val="000000" w:themeColor="text1"/>
          <w:sz w:val="24"/>
          <w:szCs w:val="24"/>
        </w:rPr>
        <w:t>vs</w:t>
      </w:r>
      <w:r w:rsidR="002512B4"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+4.29</w:t>
      </w:r>
      <w:r w:rsidR="00FE4730"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m in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 xml:space="preserve">low-dose group), but serious adverse events were observed </w:t>
      </w:r>
      <w:r w:rsidR="004D6E8D">
        <w:rPr>
          <w:rFonts w:ascii="Book Antiqua" w:hAnsi="Book Antiqua" w:cs="Times New Roman"/>
          <w:color w:val="000000" w:themeColor="text1"/>
          <w:sz w:val="24"/>
          <w:szCs w:val="24"/>
        </w:rPr>
        <w:t xml:space="preserve">in </w:t>
      </w:r>
      <w:r w:rsidRPr="00CD6193">
        <w:rPr>
          <w:rFonts w:ascii="Book Antiqua" w:hAnsi="Book Antiqua" w:cs="Times New Roman"/>
          <w:color w:val="000000" w:themeColor="text1"/>
          <w:sz w:val="24"/>
          <w:szCs w:val="24"/>
        </w:rPr>
        <w:t xml:space="preserve">both </w:t>
      </w:r>
      <w:r w:rsidR="004D6E8D">
        <w:rPr>
          <w:rFonts w:ascii="Book Antiqua" w:hAnsi="Book Antiqua" w:cs="Times New Roman"/>
          <w:color w:val="000000" w:themeColor="text1"/>
          <w:sz w:val="24"/>
          <w:szCs w:val="24"/>
        </w:rPr>
        <w:t>the</w:t>
      </w:r>
      <w:r w:rsidRPr="00CD6193">
        <w:rPr>
          <w:rFonts w:ascii="Book Antiqua" w:hAnsi="Book Antiqua" w:cs="Times New Roman"/>
          <w:color w:val="000000" w:themeColor="text1"/>
          <w:sz w:val="24"/>
          <w:szCs w:val="24"/>
        </w:rPr>
        <w:t xml:space="preserve"> high-dose (17%) and low-dose (19%) groups</w:t>
      </w:r>
      <w:r w:rsidRPr="00CD6193">
        <w:rPr>
          <w:rFonts w:ascii="Book Antiqua" w:hAnsi="Book Antiqua" w:cs="Times New Roman"/>
          <w:noProof/>
          <w:color w:val="000000" w:themeColor="text1"/>
          <w:sz w:val="24"/>
          <w:szCs w:val="24"/>
          <w:vertAlign w:val="superscript"/>
        </w:rPr>
        <w:t>[16,146]</w:t>
      </w:r>
      <w:r w:rsidRPr="00CD6193">
        <w:rPr>
          <w:rFonts w:ascii="Book Antiqua" w:hAnsi="Book Antiqua" w:cs="Times New Roman"/>
          <w:color w:val="000000" w:themeColor="text1"/>
          <w:sz w:val="24"/>
          <w:szCs w:val="24"/>
        </w:rPr>
        <w:t xml:space="preserve">. To date,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remains the only U</w:t>
      </w:r>
      <w:r w:rsidR="0068569F">
        <w:rPr>
          <w:rFonts w:ascii="Book Antiqua" w:hAnsi="Book Antiqua" w:cs="Times New Roman"/>
          <w:color w:val="000000" w:themeColor="text1"/>
          <w:sz w:val="24"/>
          <w:szCs w:val="24"/>
        </w:rPr>
        <w:t>nited States</w:t>
      </w:r>
      <w:r w:rsidRPr="00CD6193">
        <w:rPr>
          <w:rFonts w:ascii="Book Antiqua" w:hAnsi="Book Antiqua" w:cs="Times New Roman"/>
          <w:color w:val="000000" w:themeColor="text1"/>
          <w:sz w:val="24"/>
          <w:szCs w:val="24"/>
        </w:rPr>
        <w:t xml:space="preserve"> Food and Drug Administration approved drug indicated for inoperable, persistent or recurrent CTEPH. </w:t>
      </w:r>
    </w:p>
    <w:p w14:paraId="4BBCA873" w14:textId="25BCC56B" w:rsidR="00E1331B" w:rsidRPr="00CD6193" w:rsidRDefault="00E1331B" w:rsidP="00CD6193">
      <w:pPr>
        <w:adjustRightInd w:val="0"/>
        <w:snapToGrid w:val="0"/>
        <w:spacing w:line="360" w:lineRule="auto"/>
        <w:ind w:firstLineChars="200" w:firstLine="48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 xml:space="preserve">Notably, the use of targeted therapy as a bridge to PEA is controversial and may delay timely surgical referral, </w:t>
      </w:r>
      <w:r w:rsidR="004D6E8D">
        <w:rPr>
          <w:rFonts w:ascii="Book Antiqua" w:hAnsi="Book Antiqua" w:cs="Times New Roman"/>
          <w:color w:val="000000" w:themeColor="text1"/>
          <w:sz w:val="24"/>
          <w:szCs w:val="24"/>
        </w:rPr>
        <w:t>as</w:t>
      </w:r>
      <w:r w:rsidRPr="00CD6193">
        <w:rPr>
          <w:rFonts w:ascii="Book Antiqua" w:hAnsi="Book Antiqua" w:cs="Times New Roman"/>
          <w:color w:val="000000" w:themeColor="text1"/>
          <w:sz w:val="24"/>
          <w:szCs w:val="24"/>
        </w:rPr>
        <w:t xml:space="preserve"> medical therapy cannot remove intraluminal thrombus in pulmonary arteries as PEA does and its therapeutic effect is limited</w:t>
      </w:r>
      <w:r w:rsidRPr="00CD6193">
        <w:rPr>
          <w:rFonts w:ascii="Book Antiqua" w:hAnsi="Book Antiqua" w:cs="Times New Roman"/>
          <w:noProof/>
          <w:color w:val="000000" w:themeColor="text1"/>
          <w:sz w:val="24"/>
          <w:szCs w:val="24"/>
          <w:vertAlign w:val="superscript"/>
        </w:rPr>
        <w:t>[50]</w:t>
      </w:r>
      <w:r w:rsidRPr="00CD6193">
        <w:rPr>
          <w:rFonts w:ascii="Book Antiqua" w:hAnsi="Book Antiqua" w:cs="Times New Roman"/>
          <w:color w:val="000000" w:themeColor="text1"/>
          <w:sz w:val="24"/>
          <w:szCs w:val="24"/>
        </w:rPr>
        <w:t xml:space="preserve">. Preoperative targeted therapy to maintain high-risk CTEPH patients in a stable state could reduce the risk of BPA and the occurrence of postoperative </w:t>
      </w:r>
      <w:proofErr w:type="gramStart"/>
      <w:r w:rsidRPr="00CD6193">
        <w:rPr>
          <w:rFonts w:ascii="Book Antiqua" w:hAnsi="Book Antiqua" w:cs="Times New Roman"/>
          <w:color w:val="000000" w:themeColor="text1"/>
          <w:sz w:val="24"/>
          <w:szCs w:val="24"/>
        </w:rPr>
        <w:t>complications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147,148]</w:t>
      </w:r>
      <w:r w:rsidRPr="00CD6193">
        <w:rPr>
          <w:rFonts w:ascii="Book Antiqua" w:hAnsi="Book Antiqua" w:cs="Times New Roman"/>
          <w:color w:val="000000" w:themeColor="text1"/>
          <w:sz w:val="24"/>
          <w:szCs w:val="24"/>
        </w:rPr>
        <w:t xml:space="preserve">. BPA has been reported to be safe and feasible as a bridging or one-stage procedure to PEA in high surgical risk patients who have both proximal and distal </w:t>
      </w:r>
      <w:proofErr w:type="gramStart"/>
      <w:r w:rsidRPr="00CD6193">
        <w:rPr>
          <w:rFonts w:ascii="Book Antiqua" w:hAnsi="Book Antiqua" w:cs="Times New Roman"/>
          <w:color w:val="000000" w:themeColor="text1"/>
          <w:sz w:val="24"/>
          <w:szCs w:val="24"/>
        </w:rPr>
        <w:t>lesions</w:t>
      </w:r>
      <w:r w:rsidRPr="00CD6193">
        <w:rPr>
          <w:rFonts w:ascii="Book Antiqua" w:hAnsi="Book Antiqua" w:cs="Times New Roman"/>
          <w:noProof/>
          <w:color w:val="000000" w:themeColor="text1"/>
          <w:sz w:val="24"/>
          <w:szCs w:val="24"/>
          <w:vertAlign w:val="superscript"/>
        </w:rPr>
        <w:t>[</w:t>
      </w:r>
      <w:proofErr w:type="gramEnd"/>
      <w:r w:rsidRPr="00CD6193">
        <w:rPr>
          <w:rFonts w:ascii="Book Antiqua" w:hAnsi="Book Antiqua" w:cs="Times New Roman"/>
          <w:noProof/>
          <w:color w:val="000000" w:themeColor="text1"/>
          <w:sz w:val="24"/>
          <w:szCs w:val="24"/>
          <w:vertAlign w:val="superscript"/>
        </w:rPr>
        <w:t>149-151]</w:t>
      </w:r>
      <w:r w:rsidRPr="00CD6193">
        <w:rPr>
          <w:rFonts w:ascii="Book Antiqua" w:hAnsi="Book Antiqua" w:cs="Times New Roman"/>
          <w:color w:val="000000" w:themeColor="text1"/>
          <w:sz w:val="24"/>
          <w:szCs w:val="24"/>
        </w:rPr>
        <w:t>. A hybrid approach of PEA with additional BPA is reasonably practical for patients with residual or recurrent PH after PEA, and sequential hybrid therapy safely and effectively lowered</w:t>
      </w:r>
      <w:r w:rsidRPr="00CD6193">
        <w:rPr>
          <w:rFonts w:ascii="Book Antiqua" w:hAnsi="Book Antiqua" w:cs="Times New Roman"/>
          <w:sz w:val="24"/>
          <w:szCs w:val="24"/>
        </w:rPr>
        <w:t xml:space="preserve">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(18.7</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1.7 </w:t>
      </w:r>
      <w:r w:rsidR="0068569F" w:rsidRPr="00CD6193">
        <w:rPr>
          <w:rFonts w:ascii="Book Antiqua" w:hAnsi="Book Antiqua" w:cs="Times New Roman"/>
          <w:color w:val="000000" w:themeColor="text1"/>
          <w:sz w:val="24"/>
          <w:szCs w:val="24"/>
        </w:rPr>
        <w:t>mmHg</w:t>
      </w:r>
      <w:r w:rsidR="0068569F" w:rsidRPr="00CD6193">
        <w:rPr>
          <w:rFonts w:ascii="Book Antiqua" w:hAnsi="Book Antiqua" w:cs="Times New Roman"/>
          <w:i/>
          <w:iCs/>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30.2</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3.2 mmHg,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0.008),</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improved residual symptoms and exercise capacity (429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38</w:t>
      </w:r>
      <w:r w:rsidR="0068569F">
        <w:rPr>
          <w:rFonts w:ascii="Book Antiqua" w:hAnsi="Book Antiqua" w:cs="Times New Roman"/>
          <w:color w:val="000000" w:themeColor="text1"/>
          <w:sz w:val="24"/>
          <w:szCs w:val="24"/>
        </w:rPr>
        <w:t xml:space="preserve"> m</w:t>
      </w:r>
      <w:r w:rsidRPr="00CD6193">
        <w:rPr>
          <w:rFonts w:ascii="Book Antiqua" w:hAnsi="Book Antiqua" w:cs="Times New Roman"/>
          <w:color w:val="000000" w:themeColor="text1"/>
          <w:sz w:val="24"/>
          <w:szCs w:val="24"/>
        </w:rPr>
        <w:t xml:space="preserve">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319</w:t>
      </w:r>
      <w:r w:rsidR="00994ECA" w:rsidRPr="00CD6193">
        <w:rPr>
          <w:rFonts w:ascii="Book Antiqua" w:hAnsi="Book Antiqua" w:cs="Times New Roman"/>
          <w:color w:val="000000" w:themeColor="text1"/>
          <w:sz w:val="24"/>
          <w:szCs w:val="24"/>
        </w:rPr>
        <w:t xml:space="preserve"> ± </w:t>
      </w:r>
      <w:r w:rsidRPr="00CD6193">
        <w:rPr>
          <w:rFonts w:ascii="Book Antiqua" w:hAnsi="Book Antiqua" w:cs="Times New Roman"/>
          <w:color w:val="000000" w:themeColor="text1"/>
          <w:sz w:val="24"/>
          <w:szCs w:val="24"/>
        </w:rPr>
        <w:t xml:space="preserve">22 m,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0.028) compared with PEA surgery alone, and further large and prospective studies are needed to confirm the long-term safety and efficacy of additional BPA and determine the optimal timing of additional BPA after PEA</w:t>
      </w:r>
      <w:r w:rsidRPr="00CD6193">
        <w:rPr>
          <w:rFonts w:ascii="Book Antiqua" w:hAnsi="Book Antiqua" w:cs="Times New Roman"/>
          <w:noProof/>
          <w:color w:val="000000" w:themeColor="text1"/>
          <w:sz w:val="24"/>
          <w:szCs w:val="24"/>
          <w:vertAlign w:val="superscript"/>
        </w:rPr>
        <w:t>[62,152,153]</w:t>
      </w:r>
      <w:r w:rsidRPr="00CD6193">
        <w:rPr>
          <w:rFonts w:ascii="Book Antiqua" w:hAnsi="Book Antiqua" w:cs="Times New Roman"/>
          <w:color w:val="000000" w:themeColor="text1"/>
          <w:sz w:val="24"/>
          <w:szCs w:val="24"/>
        </w:rPr>
        <w:t>.</w:t>
      </w:r>
    </w:p>
    <w:p w14:paraId="1F973033"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0620E800" w14:textId="77777777" w:rsidR="00E1331B" w:rsidRPr="00CD6193" w:rsidRDefault="00E1331B" w:rsidP="00CD6193">
      <w:pPr>
        <w:adjustRightInd w:val="0"/>
        <w:snapToGrid w:val="0"/>
        <w:spacing w:line="360" w:lineRule="auto"/>
        <w:rPr>
          <w:rFonts w:ascii="Book Antiqua" w:hAnsi="Book Antiqua" w:cs="Times New Roman"/>
          <w:b/>
          <w:bCs/>
          <w:color w:val="000000" w:themeColor="text1"/>
          <w:sz w:val="24"/>
          <w:szCs w:val="24"/>
          <w:u w:val="single"/>
        </w:rPr>
      </w:pPr>
      <w:r w:rsidRPr="00CD6193">
        <w:rPr>
          <w:rFonts w:ascii="Book Antiqua" w:hAnsi="Book Antiqua" w:cs="Times New Roman"/>
          <w:b/>
          <w:bCs/>
          <w:color w:val="000000" w:themeColor="text1"/>
          <w:sz w:val="24"/>
          <w:szCs w:val="24"/>
          <w:u w:val="single"/>
        </w:rPr>
        <w:t>ONGOING CLINICAL TRIALS</w:t>
      </w:r>
    </w:p>
    <w:p w14:paraId="377108D0" w14:textId="3658B01F"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MR BPA study (UMIN Clinical Trials Registry ID: UMIN000019549) is a Japanese multicenter, prospective, open-label RCT compar</w:t>
      </w:r>
      <w:r w:rsidR="004D6E8D">
        <w:rPr>
          <w:rFonts w:ascii="Book Antiqua" w:hAnsi="Book Antiqua" w:cs="Times New Roman"/>
          <w:color w:val="000000" w:themeColor="text1"/>
          <w:sz w:val="24"/>
          <w:szCs w:val="24"/>
        </w:rPr>
        <w:t>ing</w:t>
      </w:r>
      <w:r w:rsidRPr="00CD6193">
        <w:rPr>
          <w:rFonts w:ascii="Book Antiqua" w:hAnsi="Book Antiqua" w:cs="Times New Roman"/>
          <w:color w:val="000000" w:themeColor="text1"/>
          <w:sz w:val="24"/>
          <w:szCs w:val="24"/>
        </w:rPr>
        <w:t xml:space="preserve"> the efficacy and safety of BPA and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for inoperable CTEPH patients enrolled from Jan</w:t>
      </w:r>
      <w:r w:rsidR="0068569F">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2016 to Oct</w:t>
      </w:r>
      <w:r w:rsidR="0068569F">
        <w:rPr>
          <w:rFonts w:ascii="Book Antiqua" w:hAnsi="Book Antiqua" w:cs="Times New Roman"/>
          <w:color w:val="000000" w:themeColor="text1"/>
          <w:sz w:val="24"/>
          <w:szCs w:val="24"/>
        </w:rPr>
        <w:t>ober</w:t>
      </w:r>
      <w:r w:rsidRPr="00CD6193">
        <w:rPr>
          <w:rFonts w:ascii="Book Antiqua" w:hAnsi="Book Antiqua" w:cs="Times New Roman"/>
          <w:color w:val="000000" w:themeColor="text1"/>
          <w:sz w:val="24"/>
          <w:szCs w:val="24"/>
        </w:rPr>
        <w:t xml:space="preserve"> 2019 whose primary endpoint is the change from baseline in </w:t>
      </w:r>
      <w:proofErr w:type="spellStart"/>
      <w:r w:rsidRPr="00CD6193">
        <w:rPr>
          <w:rFonts w:ascii="Book Antiqua" w:hAnsi="Book Antiqua" w:cs="Times New Roman"/>
          <w:color w:val="000000" w:themeColor="text1"/>
          <w:sz w:val="24"/>
          <w:szCs w:val="24"/>
        </w:rPr>
        <w:t>mPAP</w:t>
      </w:r>
      <w:proofErr w:type="spellEnd"/>
      <w:r w:rsidRPr="00CD6193">
        <w:rPr>
          <w:rFonts w:ascii="Book Antiqua" w:hAnsi="Book Antiqua" w:cs="Times New Roman"/>
          <w:color w:val="000000" w:themeColor="text1"/>
          <w:sz w:val="24"/>
          <w:szCs w:val="24"/>
        </w:rPr>
        <w:t xml:space="preserve"> over a 12-mo treatment course, several clinical parameters such as 6MWD, PVR, pulmonary function, and quality of life assessment are included as secondary endpoints, furthermore, the costs of health insurance resource between the two groups</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will also be discussed, the results of the study are expected to be available in the coming months</w:t>
      </w:r>
      <w:r w:rsidRPr="00CD6193">
        <w:rPr>
          <w:rFonts w:ascii="Book Antiqua" w:hAnsi="Book Antiqua" w:cs="Times New Roman"/>
          <w:noProof/>
          <w:color w:val="000000" w:themeColor="text1"/>
          <w:sz w:val="24"/>
          <w:szCs w:val="24"/>
          <w:vertAlign w:val="superscript"/>
        </w:rPr>
        <w:t>[154]</w:t>
      </w:r>
      <w:r w:rsidRPr="00CD6193">
        <w:rPr>
          <w:rFonts w:ascii="Book Antiqua" w:hAnsi="Book Antiqua" w:cs="Times New Roman"/>
          <w:color w:val="000000" w:themeColor="text1"/>
          <w:sz w:val="24"/>
          <w:szCs w:val="24"/>
        </w:rPr>
        <w:t xml:space="preserve">. A similar RCT named </w:t>
      </w:r>
      <w:r w:rsidR="004D6E8D">
        <w:rPr>
          <w:rFonts w:ascii="Book Antiqua" w:hAnsi="Book Antiqua" w:cs="Times New Roman"/>
          <w:color w:val="000000" w:themeColor="text1"/>
          <w:sz w:val="24"/>
          <w:szCs w:val="24"/>
        </w:rPr>
        <w:t xml:space="preserve">the </w:t>
      </w:r>
      <w:r w:rsidRPr="00CD6193">
        <w:rPr>
          <w:rFonts w:ascii="Book Antiqua" w:hAnsi="Book Antiqua" w:cs="Times New Roman"/>
          <w:color w:val="000000" w:themeColor="text1"/>
          <w:sz w:val="24"/>
          <w:szCs w:val="24"/>
        </w:rPr>
        <w:t>RACE study (ClinicalTrials.gov Identifier: NCT02634203) was initiated synchronously in France in January 2016, and 105 inoperable CTEPH patients with baseline PVR</w:t>
      </w:r>
      <w:r w:rsidR="000735E5"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&gt; 4 Wood units were randomized (52 to BPA and 53 to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to 26 </w:t>
      </w:r>
      <w:proofErr w:type="spellStart"/>
      <w:r w:rsidRPr="00CD6193">
        <w:rPr>
          <w:rFonts w:ascii="Book Antiqua" w:hAnsi="Book Antiqua" w:cs="Times New Roman"/>
          <w:color w:val="000000" w:themeColor="text1"/>
          <w:sz w:val="24"/>
          <w:szCs w:val="24"/>
        </w:rPr>
        <w:t>wk</w:t>
      </w:r>
      <w:proofErr w:type="spellEnd"/>
      <w:r w:rsidRPr="00CD6193">
        <w:rPr>
          <w:rFonts w:ascii="Book Antiqua" w:hAnsi="Book Antiqua" w:cs="Times New Roman"/>
          <w:color w:val="000000" w:themeColor="text1"/>
          <w:sz w:val="24"/>
          <w:szCs w:val="24"/>
        </w:rPr>
        <w:t xml:space="preserve"> of intervention in 14 French centers </w:t>
      </w:r>
      <w:r w:rsidRPr="00CD6193">
        <w:rPr>
          <w:rFonts w:ascii="Book Antiqua" w:hAnsi="Book Antiqua" w:cs="Times New Roman"/>
          <w:color w:val="000000" w:themeColor="text1"/>
          <w:sz w:val="24"/>
          <w:szCs w:val="24"/>
        </w:rPr>
        <w:lastRenderedPageBreak/>
        <w:t>between Jan</w:t>
      </w:r>
      <w:r w:rsidR="004D6E8D">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2016 and Jan</w:t>
      </w:r>
      <w:r w:rsidR="004D6E8D">
        <w:rPr>
          <w:rFonts w:ascii="Book Antiqua" w:hAnsi="Book Antiqua" w:cs="Times New Roman"/>
          <w:color w:val="000000" w:themeColor="text1"/>
          <w:sz w:val="24"/>
          <w:szCs w:val="24"/>
        </w:rPr>
        <w:t>uary</w:t>
      </w:r>
      <w:r w:rsidRPr="00CD6193">
        <w:rPr>
          <w:rFonts w:ascii="Book Antiqua" w:hAnsi="Book Antiqua" w:cs="Times New Roman"/>
          <w:color w:val="000000" w:themeColor="text1"/>
          <w:sz w:val="24"/>
          <w:szCs w:val="24"/>
        </w:rPr>
        <w:t xml:space="preserve"> 2019, with the primary endpoint being relative change from baseline in PVR</w:t>
      </w:r>
      <w:r w:rsidRPr="00CD6193">
        <w:rPr>
          <w:rFonts w:ascii="Book Antiqua" w:hAnsi="Book Antiqua" w:cs="Times New Roman"/>
          <w:noProof/>
          <w:color w:val="000000" w:themeColor="text1"/>
          <w:sz w:val="24"/>
          <w:szCs w:val="24"/>
          <w:vertAlign w:val="superscript"/>
        </w:rPr>
        <w:t>[155]</w:t>
      </w:r>
      <w:r w:rsidRPr="00CD6193">
        <w:rPr>
          <w:rFonts w:ascii="Book Antiqua" w:hAnsi="Book Antiqua" w:cs="Times New Roman"/>
          <w:color w:val="000000" w:themeColor="text1"/>
          <w:sz w:val="24"/>
          <w:szCs w:val="24"/>
        </w:rPr>
        <w:t xml:space="preserve">. A preliminary report from ERS 2019 showed </w:t>
      </w:r>
      <w:r w:rsidR="004D6E8D">
        <w:rPr>
          <w:rFonts w:ascii="Book Antiqua" w:hAnsi="Book Antiqua" w:cs="Times New Roman"/>
          <w:color w:val="000000" w:themeColor="text1"/>
          <w:sz w:val="24"/>
          <w:szCs w:val="24"/>
        </w:rPr>
        <w:t xml:space="preserve">that </w:t>
      </w:r>
      <w:r w:rsidRPr="00CD6193">
        <w:rPr>
          <w:rFonts w:ascii="Book Antiqua" w:hAnsi="Book Antiqua" w:cs="Times New Roman"/>
          <w:color w:val="000000" w:themeColor="text1"/>
          <w:sz w:val="24"/>
          <w:szCs w:val="24"/>
        </w:rPr>
        <w:t xml:space="preserve">BPA was superior to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in reducing PVR (59%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32%, </w:t>
      </w:r>
      <w:r w:rsidR="00802E9F" w:rsidRPr="00CD6193">
        <w:rPr>
          <w:rFonts w:ascii="Book Antiqua" w:hAnsi="Book Antiqua" w:cs="Times New Roman"/>
          <w:i/>
          <w:iCs/>
          <w:color w:val="000000" w:themeColor="text1"/>
          <w:sz w:val="24"/>
          <w:szCs w:val="24"/>
        </w:rPr>
        <w:t>P</w:t>
      </w:r>
      <w:r w:rsidR="00802E9F"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&lt; 0.0001) and BNP (BPA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67% reduction), however, the change in 6MWD was not significant (BPA 50 m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44 m, </w:t>
      </w:r>
      <w:r w:rsidR="00E03DBD" w:rsidRPr="00CD6193">
        <w:rPr>
          <w:rFonts w:ascii="Book Antiqua" w:hAnsi="Book Antiqua" w:cs="Times New Roman"/>
          <w:i/>
          <w:iCs/>
          <w:color w:val="000000" w:themeColor="text1"/>
          <w:sz w:val="24"/>
          <w:szCs w:val="24"/>
        </w:rPr>
        <w:t>P</w:t>
      </w:r>
      <w:r w:rsidR="00E03DBD" w:rsidRPr="00CD6193">
        <w:rPr>
          <w:rFonts w:ascii="Book Antiqua" w:hAnsi="Book Antiqua" w:cs="Times New Roman"/>
          <w:color w:val="000000" w:themeColor="text1"/>
          <w:sz w:val="24"/>
          <w:szCs w:val="24"/>
        </w:rPr>
        <w:t xml:space="preserve"> </w:t>
      </w:r>
      <w:r w:rsidRPr="00CD6193">
        <w:rPr>
          <w:rFonts w:ascii="Book Antiqua" w:hAnsi="Book Antiqua" w:cs="Times New Roman"/>
          <w:color w:val="000000" w:themeColor="text1"/>
          <w:sz w:val="24"/>
          <w:szCs w:val="24"/>
        </w:rPr>
        <w:t xml:space="preserve">= 0.62), and the proportion of patients with treatment-related adverse events was higher in the BPA group than in the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group (42% </w:t>
      </w:r>
      <w:r w:rsidRPr="00CD6193">
        <w:rPr>
          <w:rFonts w:ascii="Book Antiqua" w:hAnsi="Book Antiqua" w:cs="Times New Roman"/>
          <w:i/>
          <w:iCs/>
          <w:color w:val="000000" w:themeColor="text1"/>
          <w:sz w:val="24"/>
          <w:szCs w:val="24"/>
        </w:rPr>
        <w:t>vs</w:t>
      </w:r>
      <w:r w:rsidRPr="00CD6193">
        <w:rPr>
          <w:rFonts w:ascii="Book Antiqua" w:hAnsi="Book Antiqua" w:cs="Times New Roman"/>
          <w:color w:val="000000" w:themeColor="text1"/>
          <w:sz w:val="24"/>
          <w:szCs w:val="24"/>
        </w:rPr>
        <w:t xml:space="preserve"> 9%), the formal results are soon to be published</w:t>
      </w:r>
      <w:r w:rsidRPr="00CD6193">
        <w:rPr>
          <w:rFonts w:ascii="Book Antiqua" w:hAnsi="Book Antiqua" w:cs="Times New Roman"/>
          <w:noProof/>
          <w:color w:val="000000" w:themeColor="text1"/>
          <w:sz w:val="24"/>
          <w:szCs w:val="24"/>
          <w:vertAlign w:val="superscript"/>
        </w:rPr>
        <w:t>[156]</w:t>
      </w:r>
      <w:r w:rsidRPr="00CD6193">
        <w:rPr>
          <w:rFonts w:ascii="Book Antiqua" w:hAnsi="Book Antiqua" w:cs="Times New Roman"/>
          <w:color w:val="000000" w:themeColor="text1"/>
          <w:sz w:val="24"/>
          <w:szCs w:val="24"/>
        </w:rPr>
        <w:t>.</w:t>
      </w:r>
    </w:p>
    <w:p w14:paraId="066BF1FA" w14:textId="0369576D" w:rsidR="00E1331B" w:rsidRPr="00CD6193" w:rsidRDefault="00E1331B" w:rsidP="0068569F">
      <w:pPr>
        <w:adjustRightInd w:val="0"/>
        <w:snapToGrid w:val="0"/>
        <w:spacing w:line="360" w:lineRule="auto"/>
        <w:ind w:firstLineChars="100" w:firstLine="240"/>
        <w:rPr>
          <w:rFonts w:ascii="Book Antiqua" w:hAnsi="Book Antiqua" w:cs="Times New Roman"/>
          <w:color w:val="000000" w:themeColor="text1"/>
          <w:sz w:val="24"/>
          <w:szCs w:val="24"/>
        </w:rPr>
      </w:pPr>
      <w:r w:rsidRPr="00CD6193">
        <w:rPr>
          <w:rFonts w:ascii="Book Antiqua" w:hAnsi="Book Antiqua" w:cs="Times New Roman"/>
          <w:color w:val="000000" w:themeColor="text1"/>
          <w:sz w:val="24"/>
          <w:szCs w:val="24"/>
        </w:rPr>
        <w:t>The International BPA Registry (ClinicalTrials.gov Identifier: NCT03245268) is a prospective, multicenter and observational study led by Prof</w:t>
      </w:r>
      <w:r w:rsidR="004D6E8D">
        <w:rPr>
          <w:rFonts w:ascii="Book Antiqua" w:hAnsi="Book Antiqua" w:cs="Times New Roman"/>
          <w:color w:val="000000" w:themeColor="text1"/>
          <w:sz w:val="24"/>
          <w:szCs w:val="24"/>
        </w:rPr>
        <w:t>essor</w:t>
      </w:r>
      <w:r w:rsidRPr="00CD6193">
        <w:rPr>
          <w:rFonts w:ascii="Book Antiqua" w:hAnsi="Book Antiqua" w:cs="Times New Roman"/>
          <w:color w:val="000000" w:themeColor="text1"/>
          <w:sz w:val="24"/>
          <w:szCs w:val="24"/>
        </w:rPr>
        <w:t xml:space="preserve"> Nick Kim to assess the efficacy and safety of BPA intervention in CTEPH patients deemed ineligible for PEA, which will last approximately 4 years from Mar</w:t>
      </w:r>
      <w:r w:rsidR="0068569F">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2018 with each patient followed for a minimum of 2 years, and is expected to end by Mar</w:t>
      </w:r>
      <w:r w:rsidR="0068569F">
        <w:rPr>
          <w:rFonts w:ascii="Book Antiqua" w:hAnsi="Book Antiqua" w:cs="Times New Roman"/>
          <w:color w:val="000000" w:themeColor="text1"/>
          <w:sz w:val="24"/>
          <w:szCs w:val="24"/>
        </w:rPr>
        <w:t>ch</w:t>
      </w:r>
      <w:r w:rsidRPr="00CD6193">
        <w:rPr>
          <w:rFonts w:ascii="Book Antiqua" w:hAnsi="Book Antiqua" w:cs="Times New Roman"/>
          <w:color w:val="000000" w:themeColor="text1"/>
          <w:sz w:val="24"/>
          <w:szCs w:val="24"/>
        </w:rPr>
        <w:t xml:space="preserve"> 2022. The</w:t>
      </w:r>
      <w:r w:rsidRPr="00CD6193">
        <w:rPr>
          <w:rFonts w:ascii="Book Antiqua" w:hAnsi="Book Antiqua" w:cs="Times New Roman"/>
          <w:sz w:val="24"/>
          <w:szCs w:val="24"/>
        </w:rPr>
        <w:t xml:space="preserve"> </w:t>
      </w:r>
      <w:r w:rsidRPr="00CD6193">
        <w:rPr>
          <w:rFonts w:ascii="Book Antiqua" w:hAnsi="Book Antiqua" w:cs="Times New Roman"/>
          <w:color w:val="000000" w:themeColor="text1"/>
          <w:sz w:val="24"/>
          <w:szCs w:val="24"/>
        </w:rPr>
        <w:t>Japan Multicenter Registry for CTEPH (CTEPH AC Registry, https://cteph-registry.jp/en/), beginning in Nov</w:t>
      </w:r>
      <w:r w:rsidR="004D6E8D">
        <w:rPr>
          <w:rFonts w:ascii="Book Antiqua" w:hAnsi="Book Antiqua" w:cs="Times New Roman"/>
          <w:color w:val="000000" w:themeColor="text1"/>
          <w:sz w:val="24"/>
          <w:szCs w:val="24"/>
        </w:rPr>
        <w:t>ember</w:t>
      </w:r>
      <w:r w:rsidRPr="00CD6193">
        <w:rPr>
          <w:rFonts w:ascii="Book Antiqua" w:hAnsi="Book Antiqua" w:cs="Times New Roman"/>
          <w:color w:val="000000" w:themeColor="text1"/>
          <w:sz w:val="24"/>
          <w:szCs w:val="24"/>
        </w:rPr>
        <w:t xml:space="preserve"> 2018, is in progress to create solid real-world evidence for pulmonary vasodilators, PEA and BPA, with over </w:t>
      </w:r>
      <w:r w:rsidR="008F06CA" w:rsidRPr="00CD6193">
        <w:rPr>
          <w:rFonts w:ascii="Book Antiqua" w:hAnsi="Book Antiqua" w:cs="Times New Roman"/>
          <w:color w:val="000000" w:themeColor="text1"/>
          <w:sz w:val="24"/>
          <w:szCs w:val="24"/>
        </w:rPr>
        <w:t xml:space="preserve">715 </w:t>
      </w:r>
      <w:r w:rsidRPr="00CD6193">
        <w:rPr>
          <w:rFonts w:ascii="Book Antiqua" w:hAnsi="Book Antiqua" w:cs="Times New Roman"/>
          <w:color w:val="000000" w:themeColor="text1"/>
          <w:sz w:val="24"/>
          <w:szCs w:val="24"/>
        </w:rPr>
        <w:t xml:space="preserve">patients from 36 institutions registered as of </w:t>
      </w:r>
      <w:r w:rsidR="008F06CA" w:rsidRPr="00CD6193">
        <w:rPr>
          <w:rFonts w:ascii="Book Antiqua" w:hAnsi="Book Antiqua" w:cs="Times New Roman"/>
          <w:color w:val="000000" w:themeColor="text1"/>
          <w:sz w:val="24"/>
          <w:szCs w:val="24"/>
        </w:rPr>
        <w:t>Apr</w:t>
      </w:r>
      <w:r w:rsidR="003B07FB">
        <w:rPr>
          <w:rFonts w:ascii="Book Antiqua" w:hAnsi="Book Antiqua" w:cs="Times New Roman"/>
          <w:color w:val="000000" w:themeColor="text1"/>
          <w:sz w:val="24"/>
          <w:szCs w:val="24"/>
        </w:rPr>
        <w:t>il</w:t>
      </w:r>
      <w:r w:rsidR="008F06CA" w:rsidRPr="00CD6193">
        <w:rPr>
          <w:rFonts w:ascii="Book Antiqua" w:hAnsi="Book Antiqua" w:cs="Times New Roman"/>
          <w:color w:val="000000" w:themeColor="text1"/>
          <w:sz w:val="24"/>
          <w:szCs w:val="24"/>
        </w:rPr>
        <w:t xml:space="preserve"> 20</w:t>
      </w:r>
      <w:r w:rsidRPr="00CD6193">
        <w:rPr>
          <w:rFonts w:ascii="Book Antiqua" w:hAnsi="Book Antiqua" w:cs="Times New Roman"/>
          <w:color w:val="000000" w:themeColor="text1"/>
          <w:sz w:val="24"/>
          <w:szCs w:val="24"/>
        </w:rPr>
        <w:t xml:space="preserve">, 2020. The hemodynamic effects of BPA at rest and during exercise (EXPERT-BPA, ClinicalTrials.gov Identifier: NCT04052243) and its impact on sleep disordered breathing (ClinicalTrials.gov Identifier: NCT03074539) are also being investigated. Our center, with more than 2000 referrals of patients with pulmonary vascular diseases and over 100 BPA sessions performed per year, launched the first prospective, multicenter, long-term observational study in May 2018, and aimed to evaluate the safety and efficacy of BPA in patients with inoperable CTEPH and persistent/recurrent PH after PEA in China (ClinicalTrials.gov Identifier: NCT04206852). </w:t>
      </w:r>
    </w:p>
    <w:p w14:paraId="762EB233"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p>
    <w:p w14:paraId="78773913" w14:textId="0D256DA4" w:rsidR="00E1331B" w:rsidRPr="00CD6193" w:rsidRDefault="0068569F" w:rsidP="00CD6193">
      <w:pPr>
        <w:adjustRightInd w:val="0"/>
        <w:snapToGrid w:val="0"/>
        <w:spacing w:line="360" w:lineRule="auto"/>
        <w:rPr>
          <w:rFonts w:ascii="Book Antiqua" w:hAnsi="Book Antiqua" w:cs="Times New Roman"/>
          <w:b/>
          <w:bCs/>
          <w:color w:val="000000" w:themeColor="text1"/>
          <w:sz w:val="24"/>
          <w:szCs w:val="24"/>
          <w:u w:val="single"/>
        </w:rPr>
      </w:pPr>
      <w:r>
        <w:rPr>
          <w:rFonts w:ascii="Book Antiqua" w:hAnsi="Book Antiqua" w:cs="Times New Roman"/>
          <w:b/>
          <w:bCs/>
          <w:color w:val="000000" w:themeColor="text1"/>
          <w:sz w:val="24"/>
          <w:szCs w:val="24"/>
          <w:u w:val="single"/>
        </w:rPr>
        <w:t>CONCLUSION</w:t>
      </w:r>
    </w:p>
    <w:p w14:paraId="10D57322" w14:textId="33F54C04"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The true incidence of CTEPH remains unclear, with approximately 1</w:t>
      </w:r>
      <w:r w:rsidR="0068569F">
        <w:rPr>
          <w:rFonts w:ascii="Book Antiqua" w:hAnsi="Book Antiqua" w:cs="Times New Roman"/>
          <w:sz w:val="24"/>
          <w:szCs w:val="24"/>
        </w:rPr>
        <w:t>%</w:t>
      </w:r>
      <w:r w:rsidRPr="00CD6193">
        <w:rPr>
          <w:rFonts w:ascii="Book Antiqua" w:hAnsi="Book Antiqua" w:cs="Times New Roman"/>
          <w:sz w:val="24"/>
          <w:szCs w:val="24"/>
        </w:rPr>
        <w:t xml:space="preserve">-5% of patients progressing to CTEPH after acute pulmonary </w:t>
      </w:r>
      <w:proofErr w:type="gramStart"/>
      <w:r w:rsidRPr="00CD6193">
        <w:rPr>
          <w:rFonts w:ascii="Book Antiqua" w:hAnsi="Book Antiqua" w:cs="Times New Roman"/>
          <w:sz w:val="24"/>
          <w:szCs w:val="24"/>
        </w:rPr>
        <w:t>embolism</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157,158]</w:t>
      </w:r>
      <w:r w:rsidRPr="00CD6193">
        <w:rPr>
          <w:rFonts w:ascii="Book Antiqua" w:hAnsi="Book Antiqua" w:cs="Times New Roman"/>
          <w:sz w:val="24"/>
          <w:szCs w:val="24"/>
        </w:rPr>
        <w:t>. The pathophysiology of CTEPH is not yet fully understood, and the lack of appropriate experimental animal models is a major challenge, and in-depth exploration of the evolution of fresh thrombi into organized thrombi and the development of pulmonary microangiopathy may help to fundamentally prevent the occurrence and deterioration of CTEPH.</w:t>
      </w:r>
    </w:p>
    <w:p w14:paraId="67AEA21C" w14:textId="7B4BB2FB"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lastRenderedPageBreak/>
        <w:t>There are limited multicenter, prospective, randomized controlled studies on the application of PAH-targeted agents in CTEPH. Numerous observational studies have shown that targeted therapy is effective for CTEPH, but the effect of current approved drug</w:t>
      </w:r>
      <w:r w:rsidRPr="00CD6193">
        <w:rPr>
          <w:rFonts w:ascii="Book Antiqua" w:hAnsi="Book Antiqua" w:cs="Times New Roman"/>
          <w:color w:val="000000" w:themeColor="text1"/>
          <w:sz w:val="24"/>
          <w:szCs w:val="24"/>
        </w:rPr>
        <w:t xml:space="preserve">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sz w:val="24"/>
          <w:szCs w:val="24"/>
        </w:rPr>
        <w:t xml:space="preserve"> is extremely limited and non-curative with </w:t>
      </w:r>
      <w:r w:rsidR="003B07FB">
        <w:rPr>
          <w:rFonts w:ascii="Book Antiqua" w:hAnsi="Book Antiqua" w:cs="Times New Roman"/>
          <w:sz w:val="24"/>
          <w:szCs w:val="24"/>
        </w:rPr>
        <w:t xml:space="preserve">an </w:t>
      </w:r>
      <w:r w:rsidRPr="00CD6193">
        <w:rPr>
          <w:rFonts w:ascii="Book Antiqua" w:hAnsi="Book Antiqua" w:cs="Times New Roman"/>
          <w:sz w:val="24"/>
          <w:szCs w:val="24"/>
        </w:rPr>
        <w:t xml:space="preserve">extremely high price, at least in China. Despite the lack of sufficient evidence, targeted therapies have been routinely prescribed and commonly seen among CTEPH patients treated with PEA or BPA. Intensive targeted therapy before and after BPA or PEA may contribute to safety and efficacy implementation, as these treatments are not mutually exclusive and can be used in combination or sequentially, but their timing and cost-effectiveness are important factors to be considered and should be further analyzed. A multicenter, prospective RCT (ClinicalTrials.gov Identifier: NCT03273257) assessing the efficacy of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color w:val="000000" w:themeColor="text1"/>
          <w:sz w:val="24"/>
          <w:szCs w:val="24"/>
        </w:rPr>
        <w:t xml:space="preserve"> </w:t>
      </w:r>
      <w:r w:rsidRPr="00CD6193">
        <w:rPr>
          <w:rFonts w:ascii="Book Antiqua" w:hAnsi="Book Antiqua" w:cs="Times New Roman"/>
          <w:sz w:val="24"/>
          <w:szCs w:val="24"/>
        </w:rPr>
        <w:t xml:space="preserve">as PEA bridging therapy compared to placebo in operable CTEPH patients with high PVR is ongoing. The latest results from the RACE study suggested an encouraging superiority of BPA over </w:t>
      </w:r>
      <w:proofErr w:type="spellStart"/>
      <w:r w:rsidRPr="00CD6193">
        <w:rPr>
          <w:rFonts w:ascii="Book Antiqua" w:hAnsi="Book Antiqua" w:cs="Times New Roman"/>
          <w:color w:val="000000" w:themeColor="text1"/>
          <w:sz w:val="24"/>
          <w:szCs w:val="24"/>
        </w:rPr>
        <w:t>riociguat</w:t>
      </w:r>
      <w:proofErr w:type="spellEnd"/>
      <w:r w:rsidRPr="00CD6193">
        <w:rPr>
          <w:rFonts w:ascii="Book Antiqua" w:hAnsi="Book Antiqua" w:cs="Times New Roman"/>
          <w:sz w:val="24"/>
          <w:szCs w:val="24"/>
        </w:rPr>
        <w:t xml:space="preserve">, yet the effects of </w:t>
      </w:r>
      <w:r w:rsidR="007E33F6" w:rsidRPr="00CD6193">
        <w:rPr>
          <w:rFonts w:ascii="Book Antiqua" w:hAnsi="Book Antiqua" w:cs="Times New Roman"/>
          <w:sz w:val="24"/>
          <w:szCs w:val="24"/>
        </w:rPr>
        <w:t>prostacyclin</w:t>
      </w:r>
      <w:r w:rsidRPr="00CD6193">
        <w:rPr>
          <w:rFonts w:ascii="Book Antiqua" w:hAnsi="Book Antiqua" w:cs="Times New Roman"/>
          <w:sz w:val="24"/>
          <w:szCs w:val="24"/>
        </w:rPr>
        <w:t xml:space="preserve"> receptor agonists such as </w:t>
      </w:r>
      <w:proofErr w:type="spellStart"/>
      <w:r w:rsidRPr="00CD6193">
        <w:rPr>
          <w:rFonts w:ascii="Book Antiqua" w:hAnsi="Book Antiqua" w:cs="Times New Roman"/>
          <w:sz w:val="24"/>
          <w:szCs w:val="24"/>
        </w:rPr>
        <w:t>selexipag</w:t>
      </w:r>
      <w:proofErr w:type="spellEnd"/>
      <w:r w:rsidRPr="00CD6193">
        <w:rPr>
          <w:rFonts w:ascii="Book Antiqua" w:hAnsi="Book Antiqua" w:cs="Times New Roman"/>
          <w:sz w:val="24"/>
          <w:szCs w:val="24"/>
        </w:rPr>
        <w:t xml:space="preserve"> (ClinicalTrials.gov Identifier: NCT03689244) and </w:t>
      </w:r>
      <w:proofErr w:type="spellStart"/>
      <w:r w:rsidRPr="00CD6193">
        <w:rPr>
          <w:rFonts w:ascii="Book Antiqua" w:hAnsi="Book Antiqua" w:cs="Times New Roman"/>
          <w:sz w:val="24"/>
          <w:szCs w:val="24"/>
        </w:rPr>
        <w:t>ralinepag</w:t>
      </w:r>
      <w:proofErr w:type="spellEnd"/>
      <w:r w:rsidRPr="00CD6193">
        <w:rPr>
          <w:rFonts w:ascii="Book Antiqua" w:hAnsi="Book Antiqua" w:cs="Times New Roman"/>
          <w:sz w:val="24"/>
          <w:szCs w:val="24"/>
        </w:rPr>
        <w:t xml:space="preserve"> in CTEPH patients remain unknown.</w:t>
      </w:r>
    </w:p>
    <w:p w14:paraId="318E064E" w14:textId="77777777"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PEA remains the first choice for patients with accessible lesions, and all patients should be managed in specialized centers due to the extremely high demands on surgical skills and teams. For high-risk patients, preoperative intensive targeted therapy or BPA bridging may stabilize the patient's overall condition at an optimal level, which helps to reduce the risk of PEA surgery. Additional BPA as hybrid therapy is a new option for patients with residual/recurrent PH after surgery. Indeed, the order and optimal timing of BPA in relation to PEA are not clearly conclusive to date.</w:t>
      </w:r>
    </w:p>
    <w:p w14:paraId="3094BB06" w14:textId="06D48032"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 xml:space="preserve">There is an encouraging body of evidence demonstrating the efficacy and safety of BPA, which can significantly improve hemodynamics, oxygen saturation, and exercise capacity. BPA shows absolute advantages over PEA for distal lesions and residual/recurrent PH, however, its efficacy in patients with proximal lesions and CTED still needs further investigation. Therapeutic strategies, efficacy, and safety of BPA vary greatly among institutions, and interventionist experience, technical skills, and interventional instruments all greatly affect the short- and long-term effects of BPA as well as the occurrence of complications, and there is an urgent need for standardized BPA procedures and a unified </w:t>
      </w:r>
      <w:r w:rsidRPr="00CD6193">
        <w:rPr>
          <w:rFonts w:ascii="Book Antiqua" w:hAnsi="Book Antiqua" w:cs="Times New Roman"/>
          <w:sz w:val="24"/>
          <w:szCs w:val="24"/>
        </w:rPr>
        <w:lastRenderedPageBreak/>
        <w:t xml:space="preserve">definition of complications. Gentle manipulation of </w:t>
      </w:r>
      <w:r w:rsidR="003B07FB">
        <w:rPr>
          <w:rFonts w:ascii="Book Antiqua" w:hAnsi="Book Antiqua" w:cs="Times New Roman"/>
          <w:sz w:val="24"/>
          <w:szCs w:val="24"/>
        </w:rPr>
        <w:t xml:space="preserve">the </w:t>
      </w:r>
      <w:r w:rsidRPr="00CD6193">
        <w:rPr>
          <w:rFonts w:ascii="Book Antiqua" w:hAnsi="Book Antiqua" w:cs="Times New Roman"/>
          <w:sz w:val="24"/>
          <w:szCs w:val="24"/>
        </w:rPr>
        <w:t xml:space="preserve">guiding wire and catheter and appropriate pressure of balloon dilation are particularly vital to reduce the occurrence of complications. The safety and efficacy of measures such as stent implantation, coils and NPPV need to be addressed. Imaging techniques such as OCT and IVUS facilitate the selection of vessel lesions and the evaluation of BPA effects and help to reduce complications, but time and cost must be considered. The exact restenosis rate as well as disease progression after BPA is unknown, although current evidence suggests that restenosis rarely </w:t>
      </w:r>
      <w:proofErr w:type="gramStart"/>
      <w:r w:rsidR="003B07FB">
        <w:rPr>
          <w:rFonts w:ascii="Book Antiqua" w:hAnsi="Book Antiqua" w:cs="Times New Roman"/>
          <w:sz w:val="24"/>
          <w:szCs w:val="24"/>
        </w:rPr>
        <w:t>occurs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46]</w:t>
      </w:r>
      <w:r w:rsidRPr="00CD6193">
        <w:rPr>
          <w:rFonts w:ascii="Book Antiqua" w:hAnsi="Book Antiqua" w:cs="Times New Roman"/>
          <w:sz w:val="24"/>
          <w:szCs w:val="24"/>
        </w:rPr>
        <w:t xml:space="preserve">. BPA is performed in a staged manner, but the optimal BPA interval is unclear. After BPA, it is </w:t>
      </w:r>
      <w:r w:rsidR="003B07FB" w:rsidRPr="00CD6193">
        <w:rPr>
          <w:rFonts w:ascii="Book Antiqua" w:hAnsi="Book Antiqua" w:cs="Times New Roman"/>
          <w:sz w:val="24"/>
          <w:szCs w:val="24"/>
        </w:rPr>
        <w:t>undecided</w:t>
      </w:r>
      <w:r w:rsidRPr="00CD6193">
        <w:rPr>
          <w:rFonts w:ascii="Book Antiqua" w:hAnsi="Book Antiqua" w:cs="Times New Roman"/>
          <w:sz w:val="24"/>
          <w:szCs w:val="24"/>
        </w:rPr>
        <w:t xml:space="preserve"> whether CTEPH patients need to continue targeted therapy while achieving normal hemodynamics. Although PEA and BPA have different requirements for lesion accessibility</w:t>
      </w:r>
      <w:r w:rsidR="004B2564" w:rsidRPr="00CD6193">
        <w:rPr>
          <w:rFonts w:ascii="Book Antiqua" w:hAnsi="Book Antiqua" w:cs="Times New Roman"/>
          <w:sz w:val="24"/>
          <w:szCs w:val="24"/>
        </w:rPr>
        <w:t>,</w:t>
      </w:r>
      <w:r w:rsidRPr="00CD6193">
        <w:rPr>
          <w:rFonts w:ascii="Book Antiqua" w:hAnsi="Book Antiqua" w:cs="Times New Roman"/>
          <w:sz w:val="24"/>
          <w:szCs w:val="24"/>
        </w:rPr>
        <w:t xml:space="preserve"> there is no head-to-head comparison, </w:t>
      </w:r>
      <w:r w:rsidR="004B2564" w:rsidRPr="00CD6193">
        <w:rPr>
          <w:rFonts w:ascii="Book Antiqua" w:hAnsi="Book Antiqua" w:cs="Times New Roman"/>
          <w:sz w:val="24"/>
          <w:szCs w:val="24"/>
        </w:rPr>
        <w:t xml:space="preserve">and </w:t>
      </w:r>
      <w:r w:rsidR="003B07FB">
        <w:rPr>
          <w:rFonts w:ascii="Book Antiqua" w:hAnsi="Book Antiqua" w:cs="Times New Roman"/>
          <w:sz w:val="24"/>
          <w:szCs w:val="24"/>
        </w:rPr>
        <w:t xml:space="preserve">a </w:t>
      </w:r>
      <w:r w:rsidRPr="00CD6193">
        <w:rPr>
          <w:rFonts w:ascii="Book Antiqua" w:hAnsi="Book Antiqua" w:cs="Times New Roman"/>
          <w:sz w:val="24"/>
          <w:szCs w:val="24"/>
        </w:rPr>
        <w:t>recent single-center experience from Okayama Medical Center suggests that BPA has comparable long-term prognosis to PEA.</w:t>
      </w:r>
    </w:p>
    <w:p w14:paraId="54D7A31B" w14:textId="2146BB88" w:rsidR="00E1331B" w:rsidRPr="00CD6193" w:rsidRDefault="00E1331B" w:rsidP="0068569F">
      <w:pPr>
        <w:adjustRightInd w:val="0"/>
        <w:snapToGrid w:val="0"/>
        <w:spacing w:line="360" w:lineRule="auto"/>
        <w:ind w:firstLineChars="100" w:firstLine="240"/>
        <w:rPr>
          <w:rFonts w:ascii="Book Antiqua" w:hAnsi="Book Antiqua" w:cs="Times New Roman"/>
          <w:sz w:val="24"/>
          <w:szCs w:val="24"/>
        </w:rPr>
      </w:pPr>
      <w:r w:rsidRPr="00CD6193">
        <w:rPr>
          <w:rFonts w:ascii="Book Antiqua" w:hAnsi="Book Antiqua" w:cs="Times New Roman"/>
          <w:sz w:val="24"/>
          <w:szCs w:val="24"/>
        </w:rPr>
        <w:t xml:space="preserve">A multidisciplinary team involving radiologists, anesthesiologists, PEA surgeons, BPA interventionists, and PH experts can provide precise individualized treatment strategies for CTEPH </w:t>
      </w:r>
      <w:proofErr w:type="gramStart"/>
      <w:r w:rsidRPr="00CD6193">
        <w:rPr>
          <w:rFonts w:ascii="Book Antiqua" w:hAnsi="Book Antiqua" w:cs="Times New Roman"/>
          <w:sz w:val="24"/>
          <w:szCs w:val="24"/>
        </w:rPr>
        <w:t>patients</w:t>
      </w:r>
      <w:r w:rsidRPr="00CD6193">
        <w:rPr>
          <w:rFonts w:ascii="Book Antiqua" w:hAnsi="Book Antiqua" w:cs="Times New Roman"/>
          <w:noProof/>
          <w:sz w:val="24"/>
          <w:szCs w:val="24"/>
          <w:vertAlign w:val="superscript"/>
        </w:rPr>
        <w:t>[</w:t>
      </w:r>
      <w:proofErr w:type="gramEnd"/>
      <w:r w:rsidRPr="00CD6193">
        <w:rPr>
          <w:rFonts w:ascii="Book Antiqua" w:hAnsi="Book Antiqua" w:cs="Times New Roman"/>
          <w:noProof/>
          <w:sz w:val="24"/>
          <w:szCs w:val="24"/>
          <w:vertAlign w:val="superscript"/>
        </w:rPr>
        <w:t>159,160]</w:t>
      </w:r>
      <w:r w:rsidRPr="00CD6193">
        <w:rPr>
          <w:rFonts w:ascii="Book Antiqua" w:hAnsi="Book Antiqua" w:cs="Times New Roman"/>
          <w:sz w:val="24"/>
          <w:szCs w:val="24"/>
        </w:rPr>
        <w:t>. PEA remains the preferred therapeutic approach that should be offered to all eligible operable patients. After over 30 years of rapid development and refinements, BPA has shown excellent efficacy with greatly reduced incidence of complications, and has been widely accepted as a promising treatment strategy for patients with inoperable CTEPH and residual/recurrent PH, but further large-scale, prospective, multicenter, randomized controlled studies are needed to further clarify the optimal selection of patients and lesions, therapeutic strategies, management of complications and long-term prognosis.</w:t>
      </w:r>
    </w:p>
    <w:p w14:paraId="6F99190C"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5F62E42F" w14:textId="77777777" w:rsidR="00E1331B" w:rsidRPr="00CD6193" w:rsidRDefault="00E1331B" w:rsidP="00CD6193">
      <w:pPr>
        <w:adjustRightInd w:val="0"/>
        <w:snapToGrid w:val="0"/>
        <w:spacing w:line="360" w:lineRule="auto"/>
        <w:rPr>
          <w:rFonts w:ascii="Book Antiqua" w:hAnsi="Book Antiqua" w:cs="Times New Roman"/>
          <w:b/>
          <w:bCs/>
          <w:sz w:val="24"/>
          <w:szCs w:val="24"/>
          <w:u w:val="single"/>
        </w:rPr>
      </w:pPr>
      <w:r w:rsidRPr="00CD6193">
        <w:rPr>
          <w:rFonts w:ascii="Book Antiqua" w:hAnsi="Book Antiqua" w:cs="Times New Roman"/>
          <w:b/>
          <w:bCs/>
          <w:sz w:val="24"/>
          <w:szCs w:val="24"/>
          <w:u w:val="single"/>
        </w:rPr>
        <w:t>ACKNOWLEDGEMENTS</w:t>
      </w:r>
    </w:p>
    <w:p w14:paraId="6FD8BE9B"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 xml:space="preserve">We thank Professor Hiromi Matsubara and </w:t>
      </w:r>
      <w:proofErr w:type="spellStart"/>
      <w:r w:rsidRPr="00CD6193">
        <w:rPr>
          <w:rFonts w:ascii="Book Antiqua" w:hAnsi="Book Antiqua" w:cs="Times New Roman"/>
          <w:sz w:val="24"/>
          <w:szCs w:val="24"/>
        </w:rPr>
        <w:t>Hiroto</w:t>
      </w:r>
      <w:proofErr w:type="spellEnd"/>
      <w:r w:rsidRPr="00CD6193">
        <w:rPr>
          <w:rFonts w:ascii="Book Antiqua" w:hAnsi="Book Antiqua" w:cs="Times New Roman"/>
          <w:sz w:val="24"/>
          <w:szCs w:val="24"/>
        </w:rPr>
        <w:t xml:space="preserve"> </w:t>
      </w:r>
      <w:proofErr w:type="spellStart"/>
      <w:r w:rsidRPr="00CD6193">
        <w:rPr>
          <w:rFonts w:ascii="Book Antiqua" w:hAnsi="Book Antiqua" w:cs="Times New Roman"/>
          <w:sz w:val="24"/>
          <w:szCs w:val="24"/>
        </w:rPr>
        <w:t>Shimokawahara</w:t>
      </w:r>
      <w:proofErr w:type="spellEnd"/>
      <w:r w:rsidRPr="00CD6193">
        <w:rPr>
          <w:rFonts w:ascii="Book Antiqua" w:hAnsi="Book Antiqua" w:cs="Times New Roman"/>
          <w:sz w:val="24"/>
          <w:szCs w:val="24"/>
        </w:rPr>
        <w:t>, Department of Clinical Science, National Hospital Organization Okayama Medical Center, Okayama, Japan, for their directions in BPA procedures.</w:t>
      </w:r>
    </w:p>
    <w:p w14:paraId="691530D9"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6CFFEE70" w14:textId="77777777" w:rsidR="00E1331B" w:rsidRPr="00CD6193" w:rsidRDefault="00E1331B"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REFERENCES</w:t>
      </w:r>
    </w:p>
    <w:p w14:paraId="4CADA98E" w14:textId="2BF90E3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1 </w:t>
      </w:r>
      <w:r w:rsidRPr="008D4CA6">
        <w:rPr>
          <w:rFonts w:ascii="Book Antiqua" w:hAnsi="Book Antiqua"/>
          <w:b/>
          <w:bCs/>
          <w:sz w:val="24"/>
          <w:szCs w:val="24"/>
        </w:rPr>
        <w:t>Madani M</w:t>
      </w:r>
      <w:r w:rsidRPr="008D4CA6">
        <w:rPr>
          <w:rFonts w:ascii="Book Antiqua" w:hAnsi="Book Antiqua"/>
          <w:sz w:val="24"/>
          <w:szCs w:val="24"/>
        </w:rPr>
        <w:t xml:space="preserve">, Ogo T, Simonneau G. The changing landscape of chronic thromboembolic </w:t>
      </w:r>
      <w:r w:rsidRPr="008D4CA6">
        <w:rPr>
          <w:rFonts w:ascii="Book Antiqua" w:hAnsi="Book Antiqua"/>
          <w:sz w:val="24"/>
          <w:szCs w:val="24"/>
        </w:rPr>
        <w:lastRenderedPageBreak/>
        <w:t>pulmonary hypertension management.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00CD56A6" w:rsidRPr="009830A3">
        <w:rPr>
          <w:rFonts w:ascii="Book Antiqua" w:hAnsi="Book Antiqua"/>
          <w:sz w:val="24"/>
          <w:szCs w:val="24"/>
        </w:rPr>
        <w:t>:</w:t>
      </w:r>
      <w:r w:rsidRPr="008D4CA6">
        <w:rPr>
          <w:rFonts w:ascii="Book Antiqua" w:hAnsi="Book Antiqua"/>
          <w:sz w:val="24"/>
          <w:szCs w:val="24"/>
        </w:rPr>
        <w:t xml:space="preserve"> </w:t>
      </w:r>
      <w:r w:rsidR="00CD56A6" w:rsidRPr="00CD56A6">
        <w:rPr>
          <w:rFonts w:ascii="Book Antiqua" w:hAnsi="Book Antiqua"/>
          <w:sz w:val="24"/>
          <w:szCs w:val="24"/>
        </w:rPr>
        <w:t xml:space="preserve">170105 </w:t>
      </w:r>
      <w:r w:rsidRPr="008D4CA6">
        <w:rPr>
          <w:rFonts w:ascii="Book Antiqua" w:hAnsi="Book Antiqua"/>
          <w:sz w:val="24"/>
          <w:szCs w:val="24"/>
        </w:rPr>
        <w:t>[PMID: 29263176 DOI: 10.1183/16000617.0105-2017]</w:t>
      </w:r>
    </w:p>
    <w:p w14:paraId="3D4E8F5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2 </w:t>
      </w:r>
      <w:r w:rsidRPr="008D4CA6">
        <w:rPr>
          <w:rFonts w:ascii="Book Antiqua" w:hAnsi="Book Antiqua"/>
          <w:b/>
          <w:bCs/>
          <w:sz w:val="24"/>
          <w:szCs w:val="24"/>
        </w:rPr>
        <w:t>Lewczuk J</w:t>
      </w:r>
      <w:r w:rsidRPr="008D4CA6">
        <w:rPr>
          <w:rFonts w:ascii="Book Antiqua" w:hAnsi="Book Antiqua"/>
          <w:sz w:val="24"/>
          <w:szCs w:val="24"/>
        </w:rPr>
        <w:t>, Piszko P, Jagas J, Porada A, Wójciak S, Sobkowicz B, Wrabec K. Prognostic factors in medically treated patients with chronic pulmonary embolism. </w:t>
      </w:r>
      <w:r w:rsidRPr="008D4CA6">
        <w:rPr>
          <w:rFonts w:ascii="Book Antiqua" w:hAnsi="Book Antiqua"/>
          <w:i/>
          <w:iCs/>
          <w:sz w:val="24"/>
          <w:szCs w:val="24"/>
        </w:rPr>
        <w:t>Chest</w:t>
      </w:r>
      <w:r w:rsidRPr="008D4CA6">
        <w:rPr>
          <w:rFonts w:ascii="Book Antiqua" w:hAnsi="Book Antiqua"/>
          <w:sz w:val="24"/>
          <w:szCs w:val="24"/>
        </w:rPr>
        <w:t> 2001; </w:t>
      </w:r>
      <w:r w:rsidRPr="008D4CA6">
        <w:rPr>
          <w:rFonts w:ascii="Book Antiqua" w:hAnsi="Book Antiqua"/>
          <w:b/>
          <w:bCs/>
          <w:sz w:val="24"/>
          <w:szCs w:val="24"/>
        </w:rPr>
        <w:t>119</w:t>
      </w:r>
      <w:r w:rsidRPr="008D4CA6">
        <w:rPr>
          <w:rFonts w:ascii="Book Antiqua" w:hAnsi="Book Antiqua"/>
          <w:sz w:val="24"/>
          <w:szCs w:val="24"/>
        </w:rPr>
        <w:t>: 818-823 [PMID: 11243963 DOI: 10.1378/chest.119.3.818]</w:t>
      </w:r>
    </w:p>
    <w:p w14:paraId="09DDE5E2" w14:textId="55CCF22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3 </w:t>
      </w:r>
      <w:r w:rsidRPr="008D4CA6">
        <w:rPr>
          <w:rFonts w:ascii="Book Antiqua" w:hAnsi="Book Antiqua"/>
          <w:b/>
          <w:bCs/>
          <w:sz w:val="24"/>
          <w:szCs w:val="24"/>
        </w:rPr>
        <w:t>Riedel M</w:t>
      </w:r>
      <w:r w:rsidRPr="008D4CA6">
        <w:rPr>
          <w:rFonts w:ascii="Book Antiqua" w:hAnsi="Book Antiqua"/>
          <w:sz w:val="24"/>
          <w:szCs w:val="24"/>
        </w:rPr>
        <w:t>, Stanek V, Widimsky J, Prerovsky I. Longterm follow-up of patients with pulmonary thromboembolism. Late prognosis and evolution of hemodynamic and respiratory data. </w:t>
      </w:r>
      <w:r w:rsidRPr="008D4CA6">
        <w:rPr>
          <w:rFonts w:ascii="Book Antiqua" w:hAnsi="Book Antiqua"/>
          <w:i/>
          <w:iCs/>
          <w:sz w:val="24"/>
          <w:szCs w:val="24"/>
        </w:rPr>
        <w:t>Chest</w:t>
      </w:r>
      <w:r w:rsidR="004F31F0">
        <w:rPr>
          <w:rFonts w:ascii="Book Antiqua" w:hAnsi="Book Antiqua"/>
          <w:i/>
          <w:iCs/>
          <w:sz w:val="24"/>
          <w:szCs w:val="24"/>
        </w:rPr>
        <w:t xml:space="preserve"> </w:t>
      </w:r>
      <w:r w:rsidRPr="008D4CA6">
        <w:rPr>
          <w:rFonts w:ascii="Book Antiqua" w:hAnsi="Book Antiqua"/>
          <w:sz w:val="24"/>
          <w:szCs w:val="24"/>
        </w:rPr>
        <w:t>1982; </w:t>
      </w:r>
      <w:r w:rsidRPr="008D4CA6">
        <w:rPr>
          <w:rFonts w:ascii="Book Antiqua" w:hAnsi="Book Antiqua"/>
          <w:b/>
          <w:bCs/>
          <w:sz w:val="24"/>
          <w:szCs w:val="24"/>
        </w:rPr>
        <w:t>81</w:t>
      </w:r>
      <w:r w:rsidRPr="008D4CA6">
        <w:rPr>
          <w:rFonts w:ascii="Book Antiqua" w:hAnsi="Book Antiqua"/>
          <w:sz w:val="24"/>
          <w:szCs w:val="24"/>
        </w:rPr>
        <w:t>: 151-158 [PMID: 7056079 DOI: 10.1378/chest.81.2.151]</w:t>
      </w:r>
    </w:p>
    <w:p w14:paraId="20C8CA7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4 </w:t>
      </w:r>
      <w:r w:rsidRPr="008D4CA6">
        <w:rPr>
          <w:rFonts w:ascii="Book Antiqua" w:hAnsi="Book Antiqua"/>
          <w:b/>
          <w:bCs/>
          <w:sz w:val="24"/>
          <w:szCs w:val="24"/>
        </w:rPr>
        <w:t>Fedullo P</w:t>
      </w:r>
      <w:r w:rsidRPr="008D4CA6">
        <w:rPr>
          <w:rFonts w:ascii="Book Antiqua" w:hAnsi="Book Antiqua"/>
          <w:sz w:val="24"/>
          <w:szCs w:val="24"/>
        </w:rPr>
        <w:t>, Kerr KM, Kim NH, Auger WR. Chronic thromboembolic pulmonary hypertension. </w:t>
      </w:r>
      <w:r w:rsidRPr="008D4CA6">
        <w:rPr>
          <w:rFonts w:ascii="Book Antiqua" w:hAnsi="Book Antiqua"/>
          <w:i/>
          <w:iCs/>
          <w:sz w:val="24"/>
          <w:szCs w:val="24"/>
        </w:rPr>
        <w:t>Am J Respir Crit Care Med</w:t>
      </w:r>
      <w:r w:rsidRPr="008D4CA6">
        <w:rPr>
          <w:rFonts w:ascii="Book Antiqua" w:hAnsi="Book Antiqua"/>
          <w:sz w:val="24"/>
          <w:szCs w:val="24"/>
        </w:rPr>
        <w:t> 2011; </w:t>
      </w:r>
      <w:r w:rsidRPr="008D4CA6">
        <w:rPr>
          <w:rFonts w:ascii="Book Antiqua" w:hAnsi="Book Antiqua"/>
          <w:b/>
          <w:bCs/>
          <w:sz w:val="24"/>
          <w:szCs w:val="24"/>
        </w:rPr>
        <w:t>183</w:t>
      </w:r>
      <w:r w:rsidRPr="008D4CA6">
        <w:rPr>
          <w:rFonts w:ascii="Book Antiqua" w:hAnsi="Book Antiqua"/>
          <w:sz w:val="24"/>
          <w:szCs w:val="24"/>
        </w:rPr>
        <w:t>: 1605-1613 [PMID: 21330453 DOI: 10.1164/rccm.201011-1854CI]</w:t>
      </w:r>
    </w:p>
    <w:p w14:paraId="520B4BD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5 </w:t>
      </w:r>
      <w:r w:rsidRPr="008D4CA6">
        <w:rPr>
          <w:rFonts w:ascii="Book Antiqua" w:hAnsi="Book Antiqua"/>
          <w:b/>
          <w:bCs/>
          <w:sz w:val="24"/>
          <w:szCs w:val="24"/>
        </w:rPr>
        <w:t>Madani MM</w:t>
      </w:r>
      <w:r w:rsidRPr="008D4CA6">
        <w:rPr>
          <w:rFonts w:ascii="Book Antiqua" w:hAnsi="Book Antiqua"/>
          <w:sz w:val="24"/>
          <w:szCs w:val="24"/>
        </w:rPr>
        <w:t>, Auger WR, Pretorius V, Sakakibara N, Kerr KM, Kim NH, Fedullo PF, Jamieson SW. Pulmonary endarterectomy: recent changes in a single institution's experience of more than 2,700 patients. </w:t>
      </w:r>
      <w:r w:rsidRPr="008D4CA6">
        <w:rPr>
          <w:rFonts w:ascii="Book Antiqua" w:hAnsi="Book Antiqua"/>
          <w:i/>
          <w:iCs/>
          <w:sz w:val="24"/>
          <w:szCs w:val="24"/>
        </w:rPr>
        <w:t>Ann Thorac Surg</w:t>
      </w:r>
      <w:r w:rsidRPr="008D4CA6">
        <w:rPr>
          <w:rFonts w:ascii="Book Antiqua" w:hAnsi="Book Antiqua"/>
          <w:sz w:val="24"/>
          <w:szCs w:val="24"/>
        </w:rPr>
        <w:t> 2012; </w:t>
      </w:r>
      <w:r w:rsidRPr="008D4CA6">
        <w:rPr>
          <w:rFonts w:ascii="Book Antiqua" w:hAnsi="Book Antiqua"/>
          <w:b/>
          <w:bCs/>
          <w:sz w:val="24"/>
          <w:szCs w:val="24"/>
        </w:rPr>
        <w:t>94</w:t>
      </w:r>
      <w:r w:rsidRPr="008D4CA6">
        <w:rPr>
          <w:rFonts w:ascii="Book Antiqua" w:hAnsi="Book Antiqua"/>
          <w:sz w:val="24"/>
          <w:szCs w:val="24"/>
        </w:rPr>
        <w:t>: 97-103; discussion 103 [PMID: 22626752 DOI: 10.1016/j.athoracsur.2012.04.004]</w:t>
      </w:r>
    </w:p>
    <w:p w14:paraId="166A059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6 </w:t>
      </w:r>
      <w:r w:rsidRPr="008D4CA6">
        <w:rPr>
          <w:rFonts w:ascii="Book Antiqua" w:hAnsi="Book Antiqua"/>
          <w:b/>
          <w:bCs/>
          <w:sz w:val="24"/>
          <w:szCs w:val="24"/>
        </w:rPr>
        <w:t>Mayer E</w:t>
      </w:r>
      <w:r w:rsidRPr="008D4CA6">
        <w:rPr>
          <w:rFonts w:ascii="Book Antiqua" w:hAnsi="Book Antiqua"/>
          <w:sz w:val="24"/>
          <w:szCs w:val="24"/>
        </w:rPr>
        <w:t>, Jenkins D, Lindner J, D'Armini A, Kloek J, Meyns B, Ilkjaer LB, Klepetko W, Delcroix M, Lang I, Pepke-Zaba J, Simonneau G, Dartevelle P. Surgical management and outcome of patients with chronic thromboembolic pulmonary hypertension: results from an international prospective registry. </w:t>
      </w:r>
      <w:r w:rsidRPr="008D4CA6">
        <w:rPr>
          <w:rFonts w:ascii="Book Antiqua" w:hAnsi="Book Antiqua"/>
          <w:i/>
          <w:iCs/>
          <w:sz w:val="24"/>
          <w:szCs w:val="24"/>
        </w:rPr>
        <w:t>J Thorac Cardiovasc Surg</w:t>
      </w:r>
      <w:r w:rsidRPr="008D4CA6">
        <w:rPr>
          <w:rFonts w:ascii="Book Antiqua" w:hAnsi="Book Antiqua"/>
          <w:sz w:val="24"/>
          <w:szCs w:val="24"/>
        </w:rPr>
        <w:t> 2011; </w:t>
      </w:r>
      <w:r w:rsidRPr="008D4CA6">
        <w:rPr>
          <w:rFonts w:ascii="Book Antiqua" w:hAnsi="Book Antiqua"/>
          <w:b/>
          <w:bCs/>
          <w:sz w:val="24"/>
          <w:szCs w:val="24"/>
        </w:rPr>
        <w:t>141</w:t>
      </w:r>
      <w:r w:rsidRPr="008D4CA6">
        <w:rPr>
          <w:rFonts w:ascii="Book Antiqua" w:hAnsi="Book Antiqua"/>
          <w:sz w:val="24"/>
          <w:szCs w:val="24"/>
        </w:rPr>
        <w:t>: 702-710 [PMID: 21335128 DOI: 10.1016/j.jtcvs.2010.11.024]</w:t>
      </w:r>
    </w:p>
    <w:p w14:paraId="7C658DC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7 </w:t>
      </w:r>
      <w:r w:rsidRPr="008D4CA6">
        <w:rPr>
          <w:rFonts w:ascii="Book Antiqua" w:hAnsi="Book Antiqua"/>
          <w:b/>
          <w:bCs/>
          <w:sz w:val="24"/>
          <w:szCs w:val="24"/>
        </w:rPr>
        <w:t>Freed DH</w:t>
      </w:r>
      <w:r w:rsidRPr="008D4CA6">
        <w:rPr>
          <w:rFonts w:ascii="Book Antiqua" w:hAnsi="Book Antiqua"/>
          <w:sz w:val="24"/>
          <w:szCs w:val="24"/>
        </w:rPr>
        <w:t>, Thomson BM, Berman M, Tsui SS, Dunning J, Sheares KK, Pepke-Zaba J, Jenkins DP. Survival after pulmonary thromboendarterectomy: effect of residual pulmonary hypertension. </w:t>
      </w:r>
      <w:r w:rsidRPr="008D4CA6">
        <w:rPr>
          <w:rFonts w:ascii="Book Antiqua" w:hAnsi="Book Antiqua"/>
          <w:i/>
          <w:iCs/>
          <w:sz w:val="24"/>
          <w:szCs w:val="24"/>
        </w:rPr>
        <w:t>J Thorac Cardiovasc Surg</w:t>
      </w:r>
      <w:r w:rsidRPr="008D4CA6">
        <w:rPr>
          <w:rFonts w:ascii="Book Antiqua" w:hAnsi="Book Antiqua"/>
          <w:sz w:val="24"/>
          <w:szCs w:val="24"/>
        </w:rPr>
        <w:t> 2011; </w:t>
      </w:r>
      <w:r w:rsidRPr="008D4CA6">
        <w:rPr>
          <w:rFonts w:ascii="Book Antiqua" w:hAnsi="Book Antiqua"/>
          <w:b/>
          <w:bCs/>
          <w:sz w:val="24"/>
          <w:szCs w:val="24"/>
        </w:rPr>
        <w:t>141</w:t>
      </w:r>
      <w:r w:rsidRPr="008D4CA6">
        <w:rPr>
          <w:rFonts w:ascii="Book Antiqua" w:hAnsi="Book Antiqua"/>
          <w:sz w:val="24"/>
          <w:szCs w:val="24"/>
        </w:rPr>
        <w:t>: 383-387 [PMID: 20471039 DOI: 10.1016/j.jtcvs.2009.12.056]</w:t>
      </w:r>
    </w:p>
    <w:p w14:paraId="5EFD0B4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8 </w:t>
      </w:r>
      <w:r w:rsidRPr="008D4CA6">
        <w:rPr>
          <w:rFonts w:ascii="Book Antiqua" w:hAnsi="Book Antiqua"/>
          <w:b/>
          <w:bCs/>
          <w:sz w:val="24"/>
          <w:szCs w:val="24"/>
        </w:rPr>
        <w:t>Hoeper MM</w:t>
      </w:r>
      <w:r w:rsidRPr="008D4CA6">
        <w:rPr>
          <w:rFonts w:ascii="Book Antiqua" w:hAnsi="Book Antiqua"/>
          <w:sz w:val="24"/>
          <w:szCs w:val="24"/>
        </w:rPr>
        <w:t>, Madani MM, Nakanishi N, Meyer B, Cebotari S, Rubin LJ. Chronic thromboembolic pulmonary hypertension. </w:t>
      </w:r>
      <w:r w:rsidRPr="008D4CA6">
        <w:rPr>
          <w:rFonts w:ascii="Book Antiqua" w:hAnsi="Book Antiqua"/>
          <w:i/>
          <w:iCs/>
          <w:sz w:val="24"/>
          <w:szCs w:val="24"/>
        </w:rPr>
        <w:t>Lancet Respir Med</w:t>
      </w:r>
      <w:r w:rsidRPr="008D4CA6">
        <w:rPr>
          <w:rFonts w:ascii="Book Antiqua" w:hAnsi="Book Antiqua"/>
          <w:sz w:val="24"/>
          <w:szCs w:val="24"/>
        </w:rPr>
        <w:t> 2014; </w:t>
      </w:r>
      <w:r w:rsidRPr="008D4CA6">
        <w:rPr>
          <w:rFonts w:ascii="Book Antiqua" w:hAnsi="Book Antiqua"/>
          <w:b/>
          <w:bCs/>
          <w:sz w:val="24"/>
          <w:szCs w:val="24"/>
        </w:rPr>
        <w:t>2</w:t>
      </w:r>
      <w:r w:rsidRPr="008D4CA6">
        <w:rPr>
          <w:rFonts w:ascii="Book Antiqua" w:hAnsi="Book Antiqua"/>
          <w:sz w:val="24"/>
          <w:szCs w:val="24"/>
        </w:rPr>
        <w:t>: 573-582 [PMID: 24898750 DOI: 10.1016/S2213-2600(14)70089-X]</w:t>
      </w:r>
    </w:p>
    <w:p w14:paraId="2CA63933" w14:textId="374FF076"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9 </w:t>
      </w:r>
      <w:r w:rsidRPr="008D4CA6">
        <w:rPr>
          <w:rFonts w:ascii="Book Antiqua" w:hAnsi="Book Antiqua"/>
          <w:b/>
          <w:bCs/>
          <w:sz w:val="24"/>
          <w:szCs w:val="24"/>
        </w:rPr>
        <w:t>Jenkins D</w:t>
      </w:r>
      <w:r w:rsidRPr="008D4CA6">
        <w:rPr>
          <w:rFonts w:ascii="Book Antiqua" w:hAnsi="Book Antiqua"/>
          <w:sz w:val="24"/>
          <w:szCs w:val="24"/>
        </w:rPr>
        <w:t>, Madani M, Fadel E, D'Armini AM, Mayer E. Pulmonary endarterectomy in the management of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Pr="008D4CA6">
        <w:rPr>
          <w:rFonts w:ascii="Book Antiqua" w:hAnsi="Book Antiqua"/>
          <w:sz w:val="24"/>
          <w:szCs w:val="24"/>
        </w:rPr>
        <w:t>:</w:t>
      </w:r>
      <w:r w:rsidR="00CD56A6" w:rsidRPr="00FC6293">
        <w:t xml:space="preserve"> </w:t>
      </w:r>
      <w:r w:rsidR="00CD56A6" w:rsidRPr="00FC6293">
        <w:rPr>
          <w:rFonts w:ascii="Book Antiqua" w:hAnsi="Book Antiqua"/>
          <w:sz w:val="24"/>
          <w:szCs w:val="24"/>
        </w:rPr>
        <w:t>160111</w:t>
      </w:r>
      <w:r w:rsidRPr="008D4CA6">
        <w:rPr>
          <w:rFonts w:ascii="Book Antiqua" w:hAnsi="Book Antiqua"/>
          <w:sz w:val="24"/>
          <w:szCs w:val="24"/>
        </w:rPr>
        <w:t xml:space="preserve"> [PMID: 28298388 DOI: 10.1183/16000617.0111-2016]</w:t>
      </w:r>
    </w:p>
    <w:p w14:paraId="7FED18E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10 </w:t>
      </w:r>
      <w:r w:rsidRPr="008D4CA6">
        <w:rPr>
          <w:rFonts w:ascii="Book Antiqua" w:hAnsi="Book Antiqua"/>
          <w:b/>
          <w:bCs/>
          <w:sz w:val="24"/>
          <w:szCs w:val="24"/>
        </w:rPr>
        <w:t>Ruigrok D,</w:t>
      </w:r>
      <w:r w:rsidRPr="008D4CA6">
        <w:rPr>
          <w:rFonts w:ascii="Book Antiqua" w:hAnsi="Book Antiqua"/>
          <w:sz w:val="24"/>
          <w:szCs w:val="24"/>
        </w:rPr>
        <w:t xml:space="preserve"> Braams NJ, Nossent EJ, Bonta PI, Boonstra A, Lely RJ, Klok E, </w:t>
      </w:r>
      <w:r w:rsidRPr="008D4CA6">
        <w:rPr>
          <w:rFonts w:ascii="Book Antiqua" w:hAnsi="Book Antiqua"/>
          <w:sz w:val="24"/>
          <w:szCs w:val="24"/>
        </w:rPr>
        <w:lastRenderedPageBreak/>
        <w:t xml:space="preserve">Vonk-Noordegraaf A, Symersky P, Jan Bogaard H, Meijboom LJ. EXPRESS: Dynamic vascular changes in CTEPH after pulmonary endarterectomy. </w:t>
      </w:r>
      <w:r w:rsidRPr="008D4CA6">
        <w:rPr>
          <w:rFonts w:ascii="Book Antiqua" w:hAnsi="Book Antiqua"/>
          <w:i/>
          <w:iCs/>
          <w:sz w:val="24"/>
          <w:szCs w:val="24"/>
        </w:rPr>
        <w:t>Pulm Circ</w:t>
      </w:r>
      <w:r w:rsidRPr="008D4CA6">
        <w:rPr>
          <w:rFonts w:ascii="Book Antiqua" w:hAnsi="Book Antiqua"/>
          <w:sz w:val="24"/>
          <w:szCs w:val="24"/>
        </w:rPr>
        <w:t xml:space="preserve"> 2020; 2045894020907883 [DOI: 10.1177/2045894020907883]</w:t>
      </w:r>
    </w:p>
    <w:p w14:paraId="45E1BC7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11 </w:t>
      </w:r>
      <w:r w:rsidRPr="008D4CA6">
        <w:rPr>
          <w:rFonts w:ascii="Book Antiqua" w:hAnsi="Book Antiqua"/>
          <w:b/>
          <w:bCs/>
          <w:sz w:val="24"/>
          <w:szCs w:val="24"/>
        </w:rPr>
        <w:t>Montani D</w:t>
      </w:r>
      <w:r w:rsidRPr="008D4CA6">
        <w:rPr>
          <w:rFonts w:ascii="Book Antiqua" w:hAnsi="Book Antiqua"/>
          <w:sz w:val="24"/>
          <w:szCs w:val="24"/>
        </w:rPr>
        <w:t>, Chaumais MC, Guignabert C, Günther S, Girerd B, Jaïs X, Algalarrondo V, Price LC, Savale L, Sitbon O, Simonneau G, Humbert M. Targeted therapies in pulmonary arterial hypertension. </w:t>
      </w:r>
      <w:r w:rsidRPr="008D4CA6">
        <w:rPr>
          <w:rFonts w:ascii="Book Antiqua" w:hAnsi="Book Antiqua"/>
          <w:i/>
          <w:iCs/>
          <w:sz w:val="24"/>
          <w:szCs w:val="24"/>
        </w:rPr>
        <w:t>Pharmacol Ther</w:t>
      </w:r>
      <w:r w:rsidRPr="008D4CA6">
        <w:rPr>
          <w:rFonts w:ascii="Book Antiqua" w:hAnsi="Book Antiqua"/>
          <w:sz w:val="24"/>
          <w:szCs w:val="24"/>
        </w:rPr>
        <w:t> 2014; </w:t>
      </w:r>
      <w:r w:rsidRPr="008D4CA6">
        <w:rPr>
          <w:rFonts w:ascii="Book Antiqua" w:hAnsi="Book Antiqua"/>
          <w:b/>
          <w:bCs/>
          <w:sz w:val="24"/>
          <w:szCs w:val="24"/>
        </w:rPr>
        <w:t>141</w:t>
      </w:r>
      <w:r w:rsidRPr="008D4CA6">
        <w:rPr>
          <w:rFonts w:ascii="Book Antiqua" w:hAnsi="Book Antiqua"/>
          <w:sz w:val="24"/>
          <w:szCs w:val="24"/>
        </w:rPr>
        <w:t>: 172-191 [PMID: 24134901 DOI: 10.1016/j.pharmthera.2013.10.002]</w:t>
      </w:r>
    </w:p>
    <w:p w14:paraId="0008445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12 </w:t>
      </w:r>
      <w:r w:rsidRPr="008D4CA6">
        <w:rPr>
          <w:rFonts w:ascii="Book Antiqua" w:hAnsi="Book Antiqua"/>
          <w:b/>
          <w:bCs/>
          <w:sz w:val="24"/>
          <w:szCs w:val="24"/>
        </w:rPr>
        <w:t>Ghofrani HA</w:t>
      </w:r>
      <w:r w:rsidRPr="008D4CA6">
        <w:rPr>
          <w:rFonts w:ascii="Book Antiqua" w:hAnsi="Book Antiqua"/>
          <w:sz w:val="24"/>
          <w:szCs w:val="24"/>
        </w:rPr>
        <w:t>, D'Armini AM, Grimminger F, Hoeper MM, Jansa P, Kim NH, Mayer E, Simonneau G, Wilkins MR, Fritsch A, Neuser D, Weimann G, Wang C; CHEST-1 Study Group. Riociguat for the treatment of chronic thromboembolic pulmonary hypertension. </w:t>
      </w:r>
      <w:r w:rsidRPr="008D4CA6">
        <w:rPr>
          <w:rFonts w:ascii="Book Antiqua" w:hAnsi="Book Antiqua"/>
          <w:i/>
          <w:iCs/>
          <w:sz w:val="24"/>
          <w:szCs w:val="24"/>
        </w:rPr>
        <w:t>N Engl J Med</w:t>
      </w:r>
      <w:r w:rsidRPr="008D4CA6">
        <w:rPr>
          <w:rFonts w:ascii="Book Antiqua" w:hAnsi="Book Antiqua"/>
          <w:sz w:val="24"/>
          <w:szCs w:val="24"/>
        </w:rPr>
        <w:t> 2013; </w:t>
      </w:r>
      <w:r w:rsidRPr="008D4CA6">
        <w:rPr>
          <w:rFonts w:ascii="Book Antiqua" w:hAnsi="Book Antiqua"/>
          <w:b/>
          <w:bCs/>
          <w:sz w:val="24"/>
          <w:szCs w:val="24"/>
        </w:rPr>
        <w:t>369</w:t>
      </w:r>
      <w:r w:rsidRPr="008D4CA6">
        <w:rPr>
          <w:rFonts w:ascii="Book Antiqua" w:hAnsi="Book Antiqua"/>
          <w:sz w:val="24"/>
          <w:szCs w:val="24"/>
        </w:rPr>
        <w:t>: 319-329 [PMID: 23883377 DOI: 10.1056/NEJMoa1209657]</w:t>
      </w:r>
    </w:p>
    <w:p w14:paraId="5832F4B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13 </w:t>
      </w:r>
      <w:r w:rsidRPr="008D4CA6">
        <w:rPr>
          <w:rFonts w:ascii="Book Antiqua" w:hAnsi="Book Antiqua"/>
          <w:b/>
          <w:bCs/>
          <w:sz w:val="24"/>
          <w:szCs w:val="24"/>
        </w:rPr>
        <w:t>Jaïs X</w:t>
      </w:r>
      <w:r w:rsidRPr="008D4CA6">
        <w:rPr>
          <w:rFonts w:ascii="Book Antiqua" w:hAnsi="Book Antiqua"/>
          <w:sz w:val="24"/>
          <w:szCs w:val="24"/>
        </w:rPr>
        <w:t>, D'Armini AM, Jansa P, Torbicki A, Delcroix M, Ghofrani HA, Hoeper MM, Lang IM, Mayer E, Pepke-Zaba J, Perchenet L, Morganti A, Simonneau G, Rubin LJ; Bosentan Effects in iNopErable Forms of chronIc Thromboembolic pulmonary hypertension Study Group. Bosentan for treatment of inoperable chronic thromboembolic pulmonary hypertension: BENEFiT (Bosentan Effects in iNopErable Forms of chronIc Thromboembolic pulmonary hypertension), a randomized, placebo-controlled trial. </w:t>
      </w:r>
      <w:r w:rsidRPr="008D4CA6">
        <w:rPr>
          <w:rFonts w:ascii="Book Antiqua" w:hAnsi="Book Antiqua"/>
          <w:i/>
          <w:iCs/>
          <w:sz w:val="24"/>
          <w:szCs w:val="24"/>
        </w:rPr>
        <w:t>J Am Coll Cardiol</w:t>
      </w:r>
      <w:r w:rsidRPr="008D4CA6">
        <w:rPr>
          <w:rFonts w:ascii="Book Antiqua" w:hAnsi="Book Antiqua"/>
          <w:sz w:val="24"/>
          <w:szCs w:val="24"/>
        </w:rPr>
        <w:t> 2008; </w:t>
      </w:r>
      <w:r w:rsidRPr="008D4CA6">
        <w:rPr>
          <w:rFonts w:ascii="Book Antiqua" w:hAnsi="Book Antiqua"/>
          <w:b/>
          <w:bCs/>
          <w:sz w:val="24"/>
          <w:szCs w:val="24"/>
        </w:rPr>
        <w:t>52</w:t>
      </w:r>
      <w:r w:rsidRPr="008D4CA6">
        <w:rPr>
          <w:rFonts w:ascii="Book Antiqua" w:hAnsi="Book Antiqua"/>
          <w:sz w:val="24"/>
          <w:szCs w:val="24"/>
        </w:rPr>
        <w:t>: 2127-2134 [PMID: 19095129 DOI: 10.1016/j.jacc.2008.08.059]</w:t>
      </w:r>
    </w:p>
    <w:p w14:paraId="35E3811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14 </w:t>
      </w:r>
      <w:r w:rsidRPr="008D4CA6">
        <w:rPr>
          <w:rFonts w:ascii="Book Antiqua" w:hAnsi="Book Antiqua"/>
          <w:b/>
          <w:bCs/>
          <w:sz w:val="24"/>
          <w:szCs w:val="24"/>
        </w:rPr>
        <w:t>Ghofrani HA</w:t>
      </w:r>
      <w:r w:rsidRPr="008D4CA6">
        <w:rPr>
          <w:rFonts w:ascii="Book Antiqua" w:hAnsi="Book Antiqua"/>
          <w:sz w:val="24"/>
          <w:szCs w:val="24"/>
        </w:rPr>
        <w:t>, Simonneau G, D'Armini AM, Fedullo P, Howard LS, Jaïs X, Jenkins DP, Jing ZC, Madani MM, Martin N, Mayer E, Papadakis K, Richard D, Kim NH; MERIT study investigators. Macitentan for the treatment of inoperable chronic thromboembolic pulmonary hypertension (MERIT-1): results from the multicentre, phase 2, randomised, double-blind, placebo-controlled study. </w:t>
      </w:r>
      <w:r w:rsidRPr="008D4CA6">
        <w:rPr>
          <w:rFonts w:ascii="Book Antiqua" w:hAnsi="Book Antiqua"/>
          <w:i/>
          <w:iCs/>
          <w:sz w:val="24"/>
          <w:szCs w:val="24"/>
        </w:rPr>
        <w:t>Lancet Respir Med</w:t>
      </w:r>
      <w:r w:rsidRPr="008D4CA6">
        <w:rPr>
          <w:rFonts w:ascii="Book Antiqua" w:hAnsi="Book Antiqua"/>
          <w:sz w:val="24"/>
          <w:szCs w:val="24"/>
        </w:rPr>
        <w:t> 2017; </w:t>
      </w:r>
      <w:r w:rsidRPr="008D4CA6">
        <w:rPr>
          <w:rFonts w:ascii="Book Antiqua" w:hAnsi="Book Antiqua"/>
          <w:b/>
          <w:bCs/>
          <w:sz w:val="24"/>
          <w:szCs w:val="24"/>
        </w:rPr>
        <w:t>5</w:t>
      </w:r>
      <w:r w:rsidRPr="008D4CA6">
        <w:rPr>
          <w:rFonts w:ascii="Book Antiqua" w:hAnsi="Book Antiqua"/>
          <w:sz w:val="24"/>
          <w:szCs w:val="24"/>
        </w:rPr>
        <w:t>: 785-794 [PMID: 28919201 DOI: 10.1016/S2213-2600(17)30305-3]</w:t>
      </w:r>
    </w:p>
    <w:p w14:paraId="73DBA6E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15 </w:t>
      </w:r>
      <w:r w:rsidRPr="008D4CA6">
        <w:rPr>
          <w:rFonts w:ascii="Book Antiqua" w:hAnsi="Book Antiqua"/>
          <w:b/>
          <w:bCs/>
          <w:sz w:val="24"/>
          <w:szCs w:val="24"/>
        </w:rPr>
        <w:t>Zhang Y</w:t>
      </w:r>
      <w:r w:rsidRPr="008D4CA6">
        <w:rPr>
          <w:rFonts w:ascii="Book Antiqua" w:hAnsi="Book Antiqua"/>
          <w:sz w:val="24"/>
          <w:szCs w:val="24"/>
        </w:rPr>
        <w:t>, Yu X, Jin Q, Luo Q, Zhao Z, Zhao Q, Yan L, Liu Z. Advances in targeted therapy for chronic thromboembolic pulmonary hypertension. </w:t>
      </w:r>
      <w:r w:rsidRPr="008D4CA6">
        <w:rPr>
          <w:rFonts w:ascii="Book Antiqua" w:hAnsi="Book Antiqua"/>
          <w:i/>
          <w:iCs/>
          <w:sz w:val="24"/>
          <w:szCs w:val="24"/>
        </w:rPr>
        <w:t>Heart Fail Rev</w:t>
      </w:r>
      <w:r w:rsidRPr="008D4CA6">
        <w:rPr>
          <w:rFonts w:ascii="Book Antiqua" w:hAnsi="Book Antiqua"/>
          <w:sz w:val="24"/>
          <w:szCs w:val="24"/>
        </w:rPr>
        <w:t> 2019; </w:t>
      </w:r>
      <w:r w:rsidRPr="008D4CA6">
        <w:rPr>
          <w:rFonts w:ascii="Book Antiqua" w:hAnsi="Book Antiqua"/>
          <w:b/>
          <w:bCs/>
          <w:sz w:val="24"/>
          <w:szCs w:val="24"/>
        </w:rPr>
        <w:t>24</w:t>
      </w:r>
      <w:r w:rsidRPr="008D4CA6">
        <w:rPr>
          <w:rFonts w:ascii="Book Antiqua" w:hAnsi="Book Antiqua"/>
          <w:sz w:val="24"/>
          <w:szCs w:val="24"/>
        </w:rPr>
        <w:t>: 949-965 [PMID: 31044326 DOI: 10.1007/s10741-019-09798-x]</w:t>
      </w:r>
    </w:p>
    <w:p w14:paraId="4C9E75B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16 </w:t>
      </w:r>
      <w:r w:rsidRPr="008D4CA6">
        <w:rPr>
          <w:rFonts w:ascii="Book Antiqua" w:hAnsi="Book Antiqua"/>
          <w:b/>
          <w:bCs/>
          <w:sz w:val="24"/>
          <w:szCs w:val="24"/>
        </w:rPr>
        <w:t>Sadushi-Kolici R</w:t>
      </w:r>
      <w:r w:rsidRPr="008D4CA6">
        <w:rPr>
          <w:rFonts w:ascii="Book Antiqua" w:hAnsi="Book Antiqua"/>
          <w:sz w:val="24"/>
          <w:szCs w:val="24"/>
        </w:rPr>
        <w:t xml:space="preserve">, Jansa P, Kopec G, Torbicki A, Skoro-Sajer N, Campean IA, Halank M, Simkova I, Karlocai K, Steringer-Mascherbauer R, Samarzija M, Salobir B, Klepetko W, Lindner J, Lang IM. Subcutaneous treprostinil for the treatment of severe non-operable chronic thromboembolic pulmonary hypertension (CTREPH): a double-blind, phase 3, </w:t>
      </w:r>
      <w:r w:rsidRPr="008D4CA6">
        <w:rPr>
          <w:rFonts w:ascii="Book Antiqua" w:hAnsi="Book Antiqua"/>
          <w:sz w:val="24"/>
          <w:szCs w:val="24"/>
        </w:rPr>
        <w:lastRenderedPageBreak/>
        <w:t>randomised controlled trial. </w:t>
      </w:r>
      <w:r w:rsidRPr="008D4CA6">
        <w:rPr>
          <w:rFonts w:ascii="Book Antiqua" w:hAnsi="Book Antiqua"/>
          <w:i/>
          <w:iCs/>
          <w:sz w:val="24"/>
          <w:szCs w:val="24"/>
        </w:rPr>
        <w:t>Lancet Respir Med</w:t>
      </w:r>
      <w:r w:rsidRPr="008D4CA6">
        <w:rPr>
          <w:rFonts w:ascii="Book Antiqua" w:hAnsi="Book Antiqua"/>
          <w:sz w:val="24"/>
          <w:szCs w:val="24"/>
        </w:rPr>
        <w:t> 2019; </w:t>
      </w:r>
      <w:r w:rsidRPr="008D4CA6">
        <w:rPr>
          <w:rFonts w:ascii="Book Antiqua" w:hAnsi="Book Antiqua"/>
          <w:b/>
          <w:bCs/>
          <w:sz w:val="24"/>
          <w:szCs w:val="24"/>
        </w:rPr>
        <w:t>7</w:t>
      </w:r>
      <w:r w:rsidRPr="008D4CA6">
        <w:rPr>
          <w:rFonts w:ascii="Book Antiqua" w:hAnsi="Book Antiqua"/>
          <w:sz w:val="24"/>
          <w:szCs w:val="24"/>
        </w:rPr>
        <w:t>: 239-248 [PMID: 30477763 DOI: 10.1016/S2213-2600(18)30367-9]</w:t>
      </w:r>
    </w:p>
    <w:p w14:paraId="76177F57" w14:textId="6E0E16BA"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17 </w:t>
      </w:r>
      <w:r w:rsidRPr="008D4CA6">
        <w:rPr>
          <w:rFonts w:ascii="Book Antiqua" w:hAnsi="Book Antiqua"/>
          <w:b/>
          <w:bCs/>
          <w:sz w:val="24"/>
          <w:szCs w:val="24"/>
        </w:rPr>
        <w:t>Ogawa A</w:t>
      </w:r>
      <w:r w:rsidRPr="008D4CA6">
        <w:rPr>
          <w:rFonts w:ascii="Book Antiqua" w:hAnsi="Book Antiqua"/>
          <w:sz w:val="24"/>
          <w:szCs w:val="24"/>
        </w:rPr>
        <w:t>, Satoh T, Fukuda T, Sugimura K, Fukumoto Y, Emoto N, Yamada N, Yao A, Ando M, Ogino H, Tanabe N, Tsujino I, Hanaoka M, Minatoya K, Ito H, Matsubara H. Balloon Pulmonary Angioplasty for Chronic Thromboembolic Pulmonary Hypertension: Results of a Multicenter Registry. </w:t>
      </w:r>
      <w:r w:rsidRPr="008D4CA6">
        <w:rPr>
          <w:rFonts w:ascii="Book Antiqua" w:hAnsi="Book Antiqua"/>
          <w:i/>
          <w:iCs/>
          <w:sz w:val="24"/>
          <w:szCs w:val="24"/>
        </w:rPr>
        <w:t>Circ Cardiovasc Qual Outcomes</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xml:space="preserve">: </w:t>
      </w:r>
      <w:r w:rsidR="00CD56A6" w:rsidRPr="00FC6293">
        <w:rPr>
          <w:rFonts w:ascii="Book Antiqua" w:hAnsi="Book Antiqua"/>
          <w:sz w:val="24"/>
          <w:szCs w:val="24"/>
        </w:rPr>
        <w:t>e004029</w:t>
      </w:r>
      <w:r w:rsidR="00CD56A6" w:rsidRPr="008D4CA6">
        <w:rPr>
          <w:rFonts w:ascii="Book Antiqua" w:hAnsi="Book Antiqua"/>
          <w:sz w:val="24"/>
          <w:szCs w:val="24"/>
        </w:rPr>
        <w:t xml:space="preserve"> </w:t>
      </w:r>
      <w:r w:rsidRPr="008D4CA6">
        <w:rPr>
          <w:rFonts w:ascii="Book Antiqua" w:hAnsi="Book Antiqua"/>
          <w:sz w:val="24"/>
          <w:szCs w:val="24"/>
        </w:rPr>
        <w:t>[PMID: 29101270 DOI: 10.1161/circoutcomes.117.004029]</w:t>
      </w:r>
    </w:p>
    <w:p w14:paraId="7E7D28D5" w14:textId="79DCB83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18 </w:t>
      </w:r>
      <w:r w:rsidRPr="008D4CA6">
        <w:rPr>
          <w:rFonts w:ascii="Book Antiqua" w:hAnsi="Book Antiqua"/>
          <w:b/>
          <w:bCs/>
          <w:sz w:val="24"/>
          <w:szCs w:val="24"/>
        </w:rPr>
        <w:t>Brenot P</w:t>
      </w:r>
      <w:r w:rsidRPr="008D4CA6">
        <w:rPr>
          <w:rFonts w:ascii="Book Antiqua" w:hAnsi="Book Antiqua"/>
          <w:sz w:val="24"/>
          <w:szCs w:val="24"/>
        </w:rPr>
        <w:t>, Jaïs X, Taniguchi Y, Garcia Alonso C, Gerardin B, Mussot S, Mercier O, Fabre D, Parent F, Jevnikar M, Montani D, Savale L, Sitbon O, Fadel E, Humbert M, Simonneau G. French experience of balloon pulmonary angioplasty for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2019; </w:t>
      </w:r>
      <w:r w:rsidRPr="008D4CA6">
        <w:rPr>
          <w:rFonts w:ascii="Book Antiqua" w:hAnsi="Book Antiqua"/>
          <w:b/>
          <w:bCs/>
          <w:sz w:val="24"/>
          <w:szCs w:val="24"/>
        </w:rPr>
        <w:t>53</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1802095</w:t>
      </w:r>
      <w:r w:rsidRPr="008D4CA6">
        <w:rPr>
          <w:rFonts w:ascii="Book Antiqua" w:hAnsi="Book Antiqua"/>
          <w:sz w:val="24"/>
          <w:szCs w:val="24"/>
        </w:rPr>
        <w:t xml:space="preserve"> [PMID: 31023842 DOI: 10.1183/13993003.02095-2018]</w:t>
      </w:r>
    </w:p>
    <w:p w14:paraId="229479E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19 </w:t>
      </w:r>
      <w:r w:rsidRPr="008D4CA6">
        <w:rPr>
          <w:rFonts w:ascii="Book Antiqua" w:hAnsi="Book Antiqua"/>
          <w:b/>
          <w:bCs/>
          <w:sz w:val="24"/>
          <w:szCs w:val="24"/>
        </w:rPr>
        <w:t>Lang IM</w:t>
      </w:r>
      <w:r w:rsidRPr="008D4CA6">
        <w:rPr>
          <w:rFonts w:ascii="Book Antiqua" w:hAnsi="Book Antiqua"/>
          <w:sz w:val="24"/>
          <w:szCs w:val="24"/>
        </w:rPr>
        <w:t>, Dorfmüller P, Vonk Noordegraaf A. The Pathobiology of Chronic Thromboembolic Pulmonary Hypertension. </w:t>
      </w:r>
      <w:r w:rsidRPr="008D4CA6">
        <w:rPr>
          <w:rFonts w:ascii="Book Antiqua" w:hAnsi="Book Antiqua"/>
          <w:i/>
          <w:iCs/>
          <w:sz w:val="24"/>
          <w:szCs w:val="24"/>
        </w:rPr>
        <w:t>Ann Am Thorac Soc</w:t>
      </w:r>
      <w:r w:rsidRPr="008D4CA6">
        <w:rPr>
          <w:rFonts w:ascii="Book Antiqua" w:hAnsi="Book Antiqua"/>
          <w:sz w:val="24"/>
          <w:szCs w:val="24"/>
        </w:rPr>
        <w:t> 2016; </w:t>
      </w:r>
      <w:r w:rsidRPr="008D4CA6">
        <w:rPr>
          <w:rFonts w:ascii="Book Antiqua" w:hAnsi="Book Antiqua"/>
          <w:b/>
          <w:bCs/>
          <w:sz w:val="24"/>
          <w:szCs w:val="24"/>
        </w:rPr>
        <w:t>13 Suppl 3</w:t>
      </w:r>
      <w:r w:rsidRPr="008D4CA6">
        <w:rPr>
          <w:rFonts w:ascii="Book Antiqua" w:hAnsi="Book Antiqua"/>
          <w:sz w:val="24"/>
          <w:szCs w:val="24"/>
        </w:rPr>
        <w:t>: S215-S221 [PMID: 27571003 DOI: 10.1513/AnnalsATS.201509-620AS]</w:t>
      </w:r>
    </w:p>
    <w:p w14:paraId="35146203" w14:textId="6DCA008F"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20 </w:t>
      </w:r>
      <w:r w:rsidRPr="008D4CA6">
        <w:rPr>
          <w:rFonts w:ascii="Book Antiqua" w:hAnsi="Book Antiqua"/>
          <w:b/>
          <w:bCs/>
          <w:sz w:val="24"/>
          <w:szCs w:val="24"/>
        </w:rPr>
        <w:t>Simonneau G</w:t>
      </w:r>
      <w:r w:rsidRPr="008D4CA6">
        <w:rPr>
          <w:rFonts w:ascii="Book Antiqua" w:hAnsi="Book Antiqua"/>
          <w:sz w:val="24"/>
          <w:szCs w:val="24"/>
        </w:rPr>
        <w:t>, Torbicki A, Dorfmüller P, Kim N. The pathophysiology of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2017; </w:t>
      </w:r>
      <w:r w:rsidRPr="008D4CA6">
        <w:rPr>
          <w:rFonts w:ascii="Book Antiqua" w:hAnsi="Book Antiqua"/>
          <w:b/>
          <w:bCs/>
          <w:sz w:val="24"/>
          <w:szCs w:val="24"/>
        </w:rPr>
        <w:t>26</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160112</w:t>
      </w:r>
      <w:r w:rsidRPr="008D4CA6">
        <w:rPr>
          <w:rFonts w:ascii="Book Antiqua" w:hAnsi="Book Antiqua"/>
          <w:sz w:val="24"/>
          <w:szCs w:val="24"/>
        </w:rPr>
        <w:t xml:space="preserve"> [PMID: 28356405 DOI: 10.1183/16000617.0112-2016]</w:t>
      </w:r>
    </w:p>
    <w:p w14:paraId="6A00EC8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21 </w:t>
      </w:r>
      <w:r w:rsidRPr="008D4CA6">
        <w:rPr>
          <w:rFonts w:ascii="Book Antiqua" w:hAnsi="Book Antiqua"/>
          <w:b/>
          <w:bCs/>
          <w:sz w:val="24"/>
          <w:szCs w:val="24"/>
        </w:rPr>
        <w:t>Ackermann M</w:t>
      </w:r>
      <w:r w:rsidRPr="008D4CA6">
        <w:rPr>
          <w:rFonts w:ascii="Book Antiqua" w:hAnsi="Book Antiqua"/>
          <w:sz w:val="24"/>
          <w:szCs w:val="24"/>
        </w:rPr>
        <w:t>, Gaumann A, Mentzer SJ, Hinrichs JB, Warnecke G, Hoeper MM, Braubach P, Kuehnel M, Maegel L, Jonigk D. Plexiform Vasculopathy in Chronic Thromboembolic Pulmonary Hypertension. </w:t>
      </w:r>
      <w:r w:rsidRPr="008D4CA6">
        <w:rPr>
          <w:rFonts w:ascii="Book Antiqua" w:hAnsi="Book Antiqua"/>
          <w:i/>
          <w:iCs/>
          <w:sz w:val="24"/>
          <w:szCs w:val="24"/>
        </w:rPr>
        <w:t>Am J Respir Crit Care Med</w:t>
      </w:r>
      <w:r w:rsidRPr="008D4CA6">
        <w:rPr>
          <w:rFonts w:ascii="Book Antiqua" w:hAnsi="Book Antiqua"/>
          <w:sz w:val="24"/>
          <w:szCs w:val="24"/>
        </w:rPr>
        <w:t> 2017; </w:t>
      </w:r>
      <w:r w:rsidRPr="008D4CA6">
        <w:rPr>
          <w:rFonts w:ascii="Book Antiqua" w:hAnsi="Book Antiqua"/>
          <w:b/>
          <w:bCs/>
          <w:sz w:val="24"/>
          <w:szCs w:val="24"/>
        </w:rPr>
        <w:t>196</w:t>
      </w:r>
      <w:r w:rsidRPr="008D4CA6">
        <w:rPr>
          <w:rFonts w:ascii="Book Antiqua" w:hAnsi="Book Antiqua"/>
          <w:sz w:val="24"/>
          <w:szCs w:val="24"/>
        </w:rPr>
        <w:t>: e48-e51 [PMID: 28892403 DOI: 10.1164/rccm.201703-0591IM]</w:t>
      </w:r>
    </w:p>
    <w:p w14:paraId="407FA06F" w14:textId="4BB31E4E"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22 </w:t>
      </w:r>
      <w:r w:rsidRPr="008D4CA6">
        <w:rPr>
          <w:rFonts w:ascii="Book Antiqua" w:hAnsi="Book Antiqua"/>
          <w:b/>
          <w:bCs/>
          <w:sz w:val="24"/>
          <w:szCs w:val="24"/>
        </w:rPr>
        <w:t>Sakao S</w:t>
      </w:r>
      <w:r w:rsidRPr="008D4CA6">
        <w:rPr>
          <w:rFonts w:ascii="Book Antiqua" w:hAnsi="Book Antiqua"/>
          <w:sz w:val="24"/>
          <w:szCs w:val="24"/>
        </w:rPr>
        <w:t>, Hao H, Tanabe N, Kasahara Y, Kurosu K, Tatsumi K. Endothelial-like cells in chronic thromboembolic pulmonary hypertension: crosstalk with myofibroblast-like cells. </w:t>
      </w:r>
      <w:r w:rsidRPr="008D4CA6">
        <w:rPr>
          <w:rFonts w:ascii="Book Antiqua" w:hAnsi="Book Antiqua"/>
          <w:i/>
          <w:iCs/>
          <w:sz w:val="24"/>
          <w:szCs w:val="24"/>
        </w:rPr>
        <w:t>Respir Res</w:t>
      </w:r>
      <w:r w:rsidR="004A30C3">
        <w:rPr>
          <w:rFonts w:ascii="Book Antiqua" w:hAnsi="Book Antiqua"/>
          <w:i/>
          <w:iCs/>
          <w:sz w:val="24"/>
          <w:szCs w:val="24"/>
        </w:rPr>
        <w:t xml:space="preserve"> </w:t>
      </w:r>
      <w:r w:rsidRPr="008D4CA6">
        <w:rPr>
          <w:rFonts w:ascii="Book Antiqua" w:hAnsi="Book Antiqua"/>
          <w:sz w:val="24"/>
          <w:szCs w:val="24"/>
        </w:rPr>
        <w:t>2011; </w:t>
      </w:r>
      <w:r w:rsidRPr="008D4CA6">
        <w:rPr>
          <w:rFonts w:ascii="Book Antiqua" w:hAnsi="Book Antiqua"/>
          <w:b/>
          <w:bCs/>
          <w:sz w:val="24"/>
          <w:szCs w:val="24"/>
        </w:rPr>
        <w:t>12</w:t>
      </w:r>
      <w:r w:rsidRPr="008D4CA6">
        <w:rPr>
          <w:rFonts w:ascii="Book Antiqua" w:hAnsi="Book Antiqua"/>
          <w:sz w:val="24"/>
          <w:szCs w:val="24"/>
        </w:rPr>
        <w:t>: 109 [PMID: 21854648 DOI: 10.1186/1465-9921-12-109]</w:t>
      </w:r>
    </w:p>
    <w:p w14:paraId="7B3A99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23 </w:t>
      </w:r>
      <w:r w:rsidRPr="008D4CA6">
        <w:rPr>
          <w:rFonts w:ascii="Book Antiqua" w:hAnsi="Book Antiqua"/>
          <w:b/>
          <w:bCs/>
          <w:sz w:val="24"/>
          <w:szCs w:val="24"/>
        </w:rPr>
        <w:t>Wang L</w:t>
      </w:r>
      <w:r w:rsidRPr="008D4CA6">
        <w:rPr>
          <w:rFonts w:ascii="Book Antiqua" w:hAnsi="Book Antiqua"/>
          <w:sz w:val="24"/>
          <w:szCs w:val="24"/>
        </w:rPr>
        <w:t>, Gan HL, Liu Y, Gu S, Li J, Guo LJ, Liu J, Wang Y, Wang YX, Zhang ZF, Wang J, Wang C. The distinguishing cellular features of pulmonary artery smooth muscle cells from chronic thromboembolic pulmonary hypertension patients. </w:t>
      </w:r>
      <w:r w:rsidRPr="008D4CA6">
        <w:rPr>
          <w:rFonts w:ascii="Book Antiqua" w:hAnsi="Book Antiqua"/>
          <w:i/>
          <w:iCs/>
          <w:sz w:val="24"/>
          <w:szCs w:val="24"/>
        </w:rPr>
        <w:t>Exp Lung Res</w:t>
      </w:r>
      <w:r w:rsidRPr="008D4CA6">
        <w:rPr>
          <w:rFonts w:ascii="Book Antiqua" w:hAnsi="Book Antiqua"/>
          <w:sz w:val="24"/>
          <w:szCs w:val="24"/>
        </w:rPr>
        <w:t> 2013; </w:t>
      </w:r>
      <w:r w:rsidRPr="008D4CA6">
        <w:rPr>
          <w:rFonts w:ascii="Book Antiqua" w:hAnsi="Book Antiqua"/>
          <w:b/>
          <w:bCs/>
          <w:sz w:val="24"/>
          <w:szCs w:val="24"/>
        </w:rPr>
        <w:t>39</w:t>
      </w:r>
      <w:r w:rsidRPr="008D4CA6">
        <w:rPr>
          <w:rFonts w:ascii="Book Antiqua" w:hAnsi="Book Antiqua"/>
          <w:sz w:val="24"/>
          <w:szCs w:val="24"/>
        </w:rPr>
        <w:t>: 349-358 [PMID: 24070262 DOI: 10.3109/01902148.2013.822947]</w:t>
      </w:r>
    </w:p>
    <w:p w14:paraId="12212D76" w14:textId="319E86BB"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24 </w:t>
      </w:r>
      <w:r w:rsidRPr="008D4CA6">
        <w:rPr>
          <w:rFonts w:ascii="Book Antiqua" w:hAnsi="Book Antiqua"/>
          <w:b/>
          <w:bCs/>
          <w:sz w:val="24"/>
          <w:szCs w:val="24"/>
        </w:rPr>
        <w:t>Xi Q</w:t>
      </w:r>
      <w:r w:rsidRPr="008D4CA6">
        <w:rPr>
          <w:rFonts w:ascii="Book Antiqua" w:hAnsi="Book Antiqua"/>
          <w:sz w:val="24"/>
          <w:szCs w:val="24"/>
        </w:rPr>
        <w:t xml:space="preserve">, Liu Z, Song Y, Gan H, Huang Z, Luo Q, Zhao Z. Proteomic Analyses of Endarterectomized Tissues from Patients with Chronic Thromboembolic Pulmonary </w:t>
      </w:r>
      <w:r w:rsidRPr="008D4CA6">
        <w:rPr>
          <w:rFonts w:ascii="Book Antiqua" w:hAnsi="Book Antiqua"/>
          <w:sz w:val="24"/>
          <w:szCs w:val="24"/>
        </w:rPr>
        <w:lastRenderedPageBreak/>
        <w:t>Hypertension. </w:t>
      </w:r>
      <w:r w:rsidRPr="008D4CA6">
        <w:rPr>
          <w:rFonts w:ascii="Book Antiqua" w:hAnsi="Book Antiqua"/>
          <w:i/>
          <w:iCs/>
          <w:sz w:val="24"/>
          <w:szCs w:val="24"/>
        </w:rPr>
        <w:t>Cardiology</w:t>
      </w:r>
      <w:r w:rsidR="004A30C3">
        <w:rPr>
          <w:rFonts w:ascii="Book Antiqua" w:hAnsi="Book Antiqua"/>
          <w:i/>
          <w:iCs/>
          <w:sz w:val="24"/>
          <w:szCs w:val="24"/>
        </w:rPr>
        <w:t xml:space="preserve"> </w:t>
      </w:r>
      <w:r w:rsidRPr="008D4CA6">
        <w:rPr>
          <w:rFonts w:ascii="Book Antiqua" w:hAnsi="Book Antiqua"/>
          <w:sz w:val="24"/>
          <w:szCs w:val="24"/>
        </w:rPr>
        <w:t>2020; </w:t>
      </w:r>
      <w:r w:rsidRPr="008D4CA6">
        <w:rPr>
          <w:rFonts w:ascii="Book Antiqua" w:hAnsi="Book Antiqua"/>
          <w:b/>
          <w:bCs/>
          <w:sz w:val="24"/>
          <w:szCs w:val="24"/>
        </w:rPr>
        <w:t>145</w:t>
      </w:r>
      <w:r w:rsidRPr="008D4CA6">
        <w:rPr>
          <w:rFonts w:ascii="Book Antiqua" w:hAnsi="Book Antiqua"/>
          <w:sz w:val="24"/>
          <w:szCs w:val="24"/>
        </w:rPr>
        <w:t>: 48-52 [PMID: 31734660 DOI: 10.1159/000502831]</w:t>
      </w:r>
    </w:p>
    <w:p w14:paraId="1DD9B1C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25 </w:t>
      </w:r>
      <w:r w:rsidRPr="008D4CA6">
        <w:rPr>
          <w:rFonts w:ascii="Book Antiqua" w:hAnsi="Book Antiqua"/>
          <w:b/>
          <w:bCs/>
          <w:sz w:val="24"/>
          <w:szCs w:val="24"/>
        </w:rPr>
        <w:t>Yan L</w:t>
      </w:r>
      <w:r w:rsidRPr="008D4CA6">
        <w:rPr>
          <w:rFonts w:ascii="Book Antiqua" w:hAnsi="Book Antiqua"/>
          <w:sz w:val="24"/>
          <w:szCs w:val="24"/>
        </w:rPr>
        <w:t>, Li X, Liu Z, Zhao Z, Luo Q, Zhao Q, Jin Q, Yu X, Zhang Y. Research progress on the pathogenesis of CTEPH. </w:t>
      </w:r>
      <w:r w:rsidRPr="008D4CA6">
        <w:rPr>
          <w:rFonts w:ascii="Book Antiqua" w:hAnsi="Book Antiqua"/>
          <w:i/>
          <w:iCs/>
          <w:sz w:val="24"/>
          <w:szCs w:val="24"/>
        </w:rPr>
        <w:t>Heart Fail Rev</w:t>
      </w:r>
      <w:r w:rsidRPr="008D4CA6">
        <w:rPr>
          <w:rFonts w:ascii="Book Antiqua" w:hAnsi="Book Antiqua"/>
          <w:sz w:val="24"/>
          <w:szCs w:val="24"/>
        </w:rPr>
        <w:t> 2019; </w:t>
      </w:r>
      <w:r w:rsidRPr="008D4CA6">
        <w:rPr>
          <w:rFonts w:ascii="Book Antiqua" w:hAnsi="Book Antiqua"/>
          <w:b/>
          <w:bCs/>
          <w:sz w:val="24"/>
          <w:szCs w:val="24"/>
        </w:rPr>
        <w:t>24</w:t>
      </w:r>
      <w:r w:rsidRPr="008D4CA6">
        <w:rPr>
          <w:rFonts w:ascii="Book Antiqua" w:hAnsi="Book Antiqua"/>
          <w:sz w:val="24"/>
          <w:szCs w:val="24"/>
        </w:rPr>
        <w:t>: 1031-1040 [PMID: 31087212 DOI: 10.1007/s10741-019-09802-4]</w:t>
      </w:r>
    </w:p>
    <w:p w14:paraId="43850132" w14:textId="20555C8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26 </w:t>
      </w:r>
      <w:r w:rsidRPr="008D4CA6">
        <w:rPr>
          <w:rFonts w:ascii="Book Antiqua" w:hAnsi="Book Antiqua"/>
          <w:b/>
          <w:bCs/>
          <w:sz w:val="24"/>
          <w:szCs w:val="24"/>
        </w:rPr>
        <w:t>Jin Q</w:t>
      </w:r>
      <w:r w:rsidRPr="008D4CA6">
        <w:rPr>
          <w:rFonts w:ascii="Book Antiqua" w:hAnsi="Book Antiqua"/>
          <w:sz w:val="24"/>
          <w:szCs w:val="24"/>
        </w:rPr>
        <w:t>, Zhao Z, Zhao Q, Yu X, Yan L, Zhang Y, Luo Q, Liu Z. Long noncoding RNAs: emerging roles in pulmonary hypertension. </w:t>
      </w:r>
      <w:r w:rsidRPr="008D4CA6">
        <w:rPr>
          <w:rFonts w:ascii="Book Antiqua" w:hAnsi="Book Antiqua"/>
          <w:i/>
          <w:iCs/>
          <w:sz w:val="24"/>
          <w:szCs w:val="24"/>
        </w:rPr>
        <w:t>Heart Fail Rev</w:t>
      </w:r>
      <w:r w:rsidRPr="008D4CA6">
        <w:rPr>
          <w:rFonts w:ascii="Book Antiqua" w:hAnsi="Book Antiqua"/>
          <w:sz w:val="24"/>
          <w:szCs w:val="24"/>
        </w:rPr>
        <w:t> 2019</w:t>
      </w:r>
      <w:r>
        <w:rPr>
          <w:rFonts w:ascii="Book Antiqua" w:hAnsi="Book Antiqua"/>
          <w:sz w:val="24"/>
          <w:szCs w:val="24"/>
        </w:rPr>
        <w:t xml:space="preserve"> Epub ahead of print</w:t>
      </w:r>
      <w:r w:rsidRPr="008D4CA6">
        <w:rPr>
          <w:rFonts w:ascii="Book Antiqua" w:hAnsi="Book Antiqua"/>
          <w:sz w:val="24"/>
          <w:szCs w:val="24"/>
        </w:rPr>
        <w:t xml:space="preserve"> [PMID: 31741121 DOI: 10.1007/s10741-019-09866-2]</w:t>
      </w:r>
    </w:p>
    <w:p w14:paraId="608BAAF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27 </w:t>
      </w:r>
      <w:r w:rsidRPr="008D4CA6">
        <w:rPr>
          <w:rFonts w:ascii="Book Antiqua" w:hAnsi="Book Antiqua"/>
          <w:b/>
          <w:bCs/>
          <w:sz w:val="24"/>
          <w:szCs w:val="24"/>
        </w:rPr>
        <w:t>Kapitan KS</w:t>
      </w:r>
      <w:r w:rsidRPr="008D4CA6">
        <w:rPr>
          <w:rFonts w:ascii="Book Antiqua" w:hAnsi="Book Antiqua"/>
          <w:sz w:val="24"/>
          <w:szCs w:val="24"/>
        </w:rPr>
        <w:t>, Clausen JL, Moser KM. Gas exchange in chronic thromboembolism after pulmonary thromboendarterectomy. </w:t>
      </w:r>
      <w:r w:rsidRPr="008D4CA6">
        <w:rPr>
          <w:rFonts w:ascii="Book Antiqua" w:hAnsi="Book Antiqua"/>
          <w:i/>
          <w:iCs/>
          <w:sz w:val="24"/>
          <w:szCs w:val="24"/>
        </w:rPr>
        <w:t>Chest</w:t>
      </w:r>
      <w:r w:rsidRPr="008D4CA6">
        <w:rPr>
          <w:rFonts w:ascii="Book Antiqua" w:hAnsi="Book Antiqua"/>
          <w:sz w:val="24"/>
          <w:szCs w:val="24"/>
        </w:rPr>
        <w:t> 1990; </w:t>
      </w:r>
      <w:r w:rsidRPr="008D4CA6">
        <w:rPr>
          <w:rFonts w:ascii="Book Antiqua" w:hAnsi="Book Antiqua"/>
          <w:b/>
          <w:bCs/>
          <w:sz w:val="24"/>
          <w:szCs w:val="24"/>
        </w:rPr>
        <w:t>98</w:t>
      </w:r>
      <w:r w:rsidRPr="008D4CA6">
        <w:rPr>
          <w:rFonts w:ascii="Book Antiqua" w:hAnsi="Book Antiqua"/>
          <w:sz w:val="24"/>
          <w:szCs w:val="24"/>
        </w:rPr>
        <w:t>: 14-19 [PMID: 2361380 DOI: 10.1378/chest.98.1.14]</w:t>
      </w:r>
    </w:p>
    <w:p w14:paraId="692A8A5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28 </w:t>
      </w:r>
      <w:r w:rsidRPr="008D4CA6">
        <w:rPr>
          <w:rFonts w:ascii="Book Antiqua" w:hAnsi="Book Antiqua"/>
          <w:b/>
          <w:bCs/>
          <w:sz w:val="24"/>
          <w:szCs w:val="24"/>
        </w:rPr>
        <w:t>Martin EC</w:t>
      </w:r>
      <w:r w:rsidRPr="008D4CA6">
        <w:rPr>
          <w:rFonts w:ascii="Book Antiqua" w:hAnsi="Book Antiqua"/>
          <w:sz w:val="24"/>
          <w:szCs w:val="24"/>
        </w:rPr>
        <w:t>, Diamond NG, Casarella WJ. Percutaneous Transluminal Angioplasty in Non-Atheroscklerotic Disease. </w:t>
      </w:r>
      <w:r w:rsidRPr="008D4CA6">
        <w:rPr>
          <w:rFonts w:ascii="Book Antiqua" w:hAnsi="Book Antiqua"/>
          <w:i/>
          <w:iCs/>
          <w:sz w:val="24"/>
          <w:szCs w:val="24"/>
        </w:rPr>
        <w:t>Radiology</w:t>
      </w:r>
      <w:r w:rsidRPr="008D4CA6">
        <w:rPr>
          <w:rFonts w:ascii="Book Antiqua" w:hAnsi="Book Antiqua"/>
          <w:sz w:val="24"/>
          <w:szCs w:val="24"/>
        </w:rPr>
        <w:t> 1980; </w:t>
      </w:r>
      <w:r w:rsidRPr="008D4CA6">
        <w:rPr>
          <w:rFonts w:ascii="Book Antiqua" w:hAnsi="Book Antiqua"/>
          <w:b/>
          <w:bCs/>
          <w:sz w:val="24"/>
          <w:szCs w:val="24"/>
        </w:rPr>
        <w:t>135</w:t>
      </w:r>
      <w:r w:rsidRPr="008D4CA6">
        <w:rPr>
          <w:rFonts w:ascii="Book Antiqua" w:hAnsi="Book Antiqua"/>
          <w:sz w:val="24"/>
          <w:szCs w:val="24"/>
        </w:rPr>
        <w:t>: 27-33 [PMID: 6127750 DOI: 10.1148/radiology.135.1.6127750]</w:t>
      </w:r>
    </w:p>
    <w:p w14:paraId="200AFA5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29 </w:t>
      </w:r>
      <w:r w:rsidRPr="008D4CA6">
        <w:rPr>
          <w:rFonts w:ascii="Book Antiqua" w:hAnsi="Book Antiqua"/>
          <w:b/>
          <w:bCs/>
          <w:sz w:val="24"/>
          <w:szCs w:val="24"/>
        </w:rPr>
        <w:t>Lock JE</w:t>
      </w:r>
      <w:r w:rsidRPr="008D4CA6">
        <w:rPr>
          <w:rFonts w:ascii="Book Antiqua" w:hAnsi="Book Antiqua"/>
          <w:sz w:val="24"/>
          <w:szCs w:val="24"/>
        </w:rPr>
        <w:t>, Niemi T, Einzig S, Amplatz K, Burke B, Bass JL. Transvenous angioplasty of experimental branch pulmonary artery stenosis in newborn lambs. </w:t>
      </w:r>
      <w:r w:rsidRPr="008D4CA6">
        <w:rPr>
          <w:rFonts w:ascii="Book Antiqua" w:hAnsi="Book Antiqua"/>
          <w:i/>
          <w:iCs/>
          <w:sz w:val="24"/>
          <w:szCs w:val="24"/>
        </w:rPr>
        <w:t>Circulation</w:t>
      </w:r>
      <w:r w:rsidRPr="008D4CA6">
        <w:rPr>
          <w:rFonts w:ascii="Book Antiqua" w:hAnsi="Book Antiqua"/>
          <w:sz w:val="24"/>
          <w:szCs w:val="24"/>
        </w:rPr>
        <w:t> 1981; </w:t>
      </w:r>
      <w:r w:rsidRPr="008D4CA6">
        <w:rPr>
          <w:rFonts w:ascii="Book Antiqua" w:hAnsi="Book Antiqua"/>
          <w:b/>
          <w:bCs/>
          <w:sz w:val="24"/>
          <w:szCs w:val="24"/>
        </w:rPr>
        <w:t>64</w:t>
      </w:r>
      <w:r w:rsidRPr="008D4CA6">
        <w:rPr>
          <w:rFonts w:ascii="Book Antiqua" w:hAnsi="Book Antiqua"/>
          <w:sz w:val="24"/>
          <w:szCs w:val="24"/>
        </w:rPr>
        <w:t>: 886-893 [PMID: 6456853 DOI: 10.1161/01.cir.64.5.886]</w:t>
      </w:r>
    </w:p>
    <w:p w14:paraId="6031917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30 </w:t>
      </w:r>
      <w:r w:rsidRPr="008D4CA6">
        <w:rPr>
          <w:rFonts w:ascii="Book Antiqua" w:hAnsi="Book Antiqua"/>
          <w:b/>
          <w:bCs/>
          <w:sz w:val="24"/>
          <w:szCs w:val="24"/>
        </w:rPr>
        <w:t>Lock JE</w:t>
      </w:r>
      <w:r w:rsidRPr="008D4CA6">
        <w:rPr>
          <w:rFonts w:ascii="Book Antiqua" w:hAnsi="Book Antiqua"/>
          <w:sz w:val="24"/>
          <w:szCs w:val="24"/>
        </w:rPr>
        <w:t>, Castaneda-Zuniga WR, Fuhrman BP, Bass JL. Balloon dilation angioplasty of hypoplastic and stenotic pulmonary arteries. </w:t>
      </w:r>
      <w:r w:rsidRPr="008D4CA6">
        <w:rPr>
          <w:rFonts w:ascii="Book Antiqua" w:hAnsi="Book Antiqua"/>
          <w:i/>
          <w:iCs/>
          <w:sz w:val="24"/>
          <w:szCs w:val="24"/>
        </w:rPr>
        <w:t>Circulation</w:t>
      </w:r>
      <w:r w:rsidRPr="008D4CA6">
        <w:rPr>
          <w:rFonts w:ascii="Book Antiqua" w:hAnsi="Book Antiqua"/>
          <w:sz w:val="24"/>
          <w:szCs w:val="24"/>
        </w:rPr>
        <w:t> 1983; </w:t>
      </w:r>
      <w:r w:rsidRPr="008D4CA6">
        <w:rPr>
          <w:rFonts w:ascii="Book Antiqua" w:hAnsi="Book Antiqua"/>
          <w:b/>
          <w:bCs/>
          <w:sz w:val="24"/>
          <w:szCs w:val="24"/>
        </w:rPr>
        <w:t>67</w:t>
      </w:r>
      <w:r w:rsidRPr="008D4CA6">
        <w:rPr>
          <w:rFonts w:ascii="Book Antiqua" w:hAnsi="Book Antiqua"/>
          <w:sz w:val="24"/>
          <w:szCs w:val="24"/>
        </w:rPr>
        <w:t>: 962-967 [PMID: 6219829 DOI: 10.1161/01.cir.67.5.962]</w:t>
      </w:r>
    </w:p>
    <w:p w14:paraId="68A5C01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31 </w:t>
      </w:r>
      <w:r w:rsidRPr="008D4CA6">
        <w:rPr>
          <w:rFonts w:ascii="Book Antiqua" w:hAnsi="Book Antiqua"/>
          <w:b/>
          <w:bCs/>
          <w:sz w:val="24"/>
          <w:szCs w:val="24"/>
        </w:rPr>
        <w:t>Rocchini AP</w:t>
      </w:r>
      <w:r w:rsidRPr="008D4CA6">
        <w:rPr>
          <w:rFonts w:ascii="Book Antiqua" w:hAnsi="Book Antiqua"/>
          <w:sz w:val="24"/>
          <w:szCs w:val="24"/>
        </w:rPr>
        <w:t>, Kveselis D, Dick M, Crowley D, Snider AR, Rosenthal A. Use of balloon angioplasty to treat peripheral pulmonary stenosis. </w:t>
      </w:r>
      <w:r w:rsidRPr="008D4CA6">
        <w:rPr>
          <w:rFonts w:ascii="Book Antiqua" w:hAnsi="Book Antiqua"/>
          <w:i/>
          <w:iCs/>
          <w:sz w:val="24"/>
          <w:szCs w:val="24"/>
        </w:rPr>
        <w:t>Am J Cardiol</w:t>
      </w:r>
      <w:r w:rsidRPr="008D4CA6">
        <w:rPr>
          <w:rFonts w:ascii="Book Antiqua" w:hAnsi="Book Antiqua"/>
          <w:sz w:val="24"/>
          <w:szCs w:val="24"/>
        </w:rPr>
        <w:t> 1984; </w:t>
      </w:r>
      <w:r w:rsidRPr="008D4CA6">
        <w:rPr>
          <w:rFonts w:ascii="Book Antiqua" w:hAnsi="Book Antiqua"/>
          <w:b/>
          <w:bCs/>
          <w:sz w:val="24"/>
          <w:szCs w:val="24"/>
        </w:rPr>
        <w:t>54</w:t>
      </w:r>
      <w:r w:rsidRPr="008D4CA6">
        <w:rPr>
          <w:rFonts w:ascii="Book Antiqua" w:hAnsi="Book Antiqua"/>
          <w:sz w:val="24"/>
          <w:szCs w:val="24"/>
        </w:rPr>
        <w:t>: 1069-1073 [PMID: 6238519 DOI: 10.1016/s0002-9149(84)80146-0]</w:t>
      </w:r>
    </w:p>
    <w:p w14:paraId="39C63D7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32 </w:t>
      </w:r>
      <w:r w:rsidRPr="008D4CA6">
        <w:rPr>
          <w:rFonts w:ascii="Book Antiqua" w:hAnsi="Book Antiqua"/>
          <w:b/>
          <w:bCs/>
          <w:sz w:val="24"/>
          <w:szCs w:val="24"/>
        </w:rPr>
        <w:t>Rocchini AP</w:t>
      </w:r>
      <w:r w:rsidRPr="008D4CA6">
        <w:rPr>
          <w:rFonts w:ascii="Book Antiqua" w:hAnsi="Book Antiqua"/>
          <w:sz w:val="24"/>
          <w:szCs w:val="24"/>
        </w:rPr>
        <w:t>, Kveselis D. The use of balloon angioplasty in the pediatric patient. </w:t>
      </w:r>
      <w:r w:rsidRPr="008D4CA6">
        <w:rPr>
          <w:rFonts w:ascii="Book Antiqua" w:hAnsi="Book Antiqua"/>
          <w:i/>
          <w:iCs/>
          <w:sz w:val="24"/>
          <w:szCs w:val="24"/>
        </w:rPr>
        <w:t>Pediatr Clin North Am</w:t>
      </w:r>
      <w:r w:rsidRPr="008D4CA6">
        <w:rPr>
          <w:rFonts w:ascii="Book Antiqua" w:hAnsi="Book Antiqua"/>
          <w:sz w:val="24"/>
          <w:szCs w:val="24"/>
        </w:rPr>
        <w:t> 1984; </w:t>
      </w:r>
      <w:r w:rsidRPr="008D4CA6">
        <w:rPr>
          <w:rFonts w:ascii="Book Antiqua" w:hAnsi="Book Antiqua"/>
          <w:b/>
          <w:bCs/>
          <w:sz w:val="24"/>
          <w:szCs w:val="24"/>
        </w:rPr>
        <w:t>31</w:t>
      </w:r>
      <w:r w:rsidRPr="008D4CA6">
        <w:rPr>
          <w:rFonts w:ascii="Book Antiqua" w:hAnsi="Book Antiqua"/>
          <w:sz w:val="24"/>
          <w:szCs w:val="24"/>
        </w:rPr>
        <w:t>: 1293-1305 [PMID: 6239136 DOI: 10.1016/s0031-3955(16)34722-8]</w:t>
      </w:r>
    </w:p>
    <w:p w14:paraId="0530F0A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33 </w:t>
      </w:r>
      <w:r w:rsidRPr="008D4CA6">
        <w:rPr>
          <w:rFonts w:ascii="Book Antiqua" w:hAnsi="Book Antiqua"/>
          <w:b/>
          <w:bCs/>
          <w:sz w:val="24"/>
          <w:szCs w:val="24"/>
        </w:rPr>
        <w:t>Edwards BS</w:t>
      </w:r>
      <w:r w:rsidRPr="008D4CA6">
        <w:rPr>
          <w:rFonts w:ascii="Book Antiqua" w:hAnsi="Book Antiqua"/>
          <w:sz w:val="24"/>
          <w:szCs w:val="24"/>
        </w:rPr>
        <w:t>, Lucas RV Jr, Lock JE, Edwards JE. Morphologic changes in the pulmonary arteries after percutaneous balloon angioplasty for pulmonary arterial stenosis. </w:t>
      </w:r>
      <w:r w:rsidRPr="008D4CA6">
        <w:rPr>
          <w:rFonts w:ascii="Book Antiqua" w:hAnsi="Book Antiqua"/>
          <w:i/>
          <w:iCs/>
          <w:sz w:val="24"/>
          <w:szCs w:val="24"/>
        </w:rPr>
        <w:t>Circulation</w:t>
      </w:r>
      <w:r w:rsidRPr="008D4CA6">
        <w:rPr>
          <w:rFonts w:ascii="Book Antiqua" w:hAnsi="Book Antiqua"/>
          <w:sz w:val="24"/>
          <w:szCs w:val="24"/>
        </w:rPr>
        <w:t> 1985; </w:t>
      </w:r>
      <w:r w:rsidRPr="008D4CA6">
        <w:rPr>
          <w:rFonts w:ascii="Book Antiqua" w:hAnsi="Book Antiqua"/>
          <w:b/>
          <w:bCs/>
          <w:sz w:val="24"/>
          <w:szCs w:val="24"/>
        </w:rPr>
        <w:t>71</w:t>
      </w:r>
      <w:r w:rsidRPr="008D4CA6">
        <w:rPr>
          <w:rFonts w:ascii="Book Antiqua" w:hAnsi="Book Antiqua"/>
          <w:sz w:val="24"/>
          <w:szCs w:val="24"/>
        </w:rPr>
        <w:t>: 195-201 [PMID: 3155497 DOI: 10.1161/01.cir.71.2.195]</w:t>
      </w:r>
    </w:p>
    <w:p w14:paraId="418CD1C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34 </w:t>
      </w:r>
      <w:r w:rsidRPr="008D4CA6">
        <w:rPr>
          <w:rFonts w:ascii="Book Antiqua" w:hAnsi="Book Antiqua"/>
          <w:b/>
          <w:bCs/>
          <w:sz w:val="24"/>
          <w:szCs w:val="24"/>
        </w:rPr>
        <w:t>Di Sessa TG</w:t>
      </w:r>
      <w:r w:rsidRPr="008D4CA6">
        <w:rPr>
          <w:rFonts w:ascii="Book Antiqua" w:hAnsi="Book Antiqua"/>
          <w:sz w:val="24"/>
          <w:szCs w:val="24"/>
        </w:rPr>
        <w:t>, Yeatman LA Jr, Williams RG, Lois JF, Friedman WF, Laks H. Thrombosis complicating balloon angioplasty of left pulmonary artery stenosis after Fontan's procedure: successful treatment with intravenous streptokinase. </w:t>
      </w:r>
      <w:r w:rsidRPr="008D4CA6">
        <w:rPr>
          <w:rFonts w:ascii="Book Antiqua" w:hAnsi="Book Antiqua"/>
          <w:i/>
          <w:iCs/>
          <w:sz w:val="24"/>
          <w:szCs w:val="24"/>
        </w:rPr>
        <w:t>Am J Cardiol</w:t>
      </w:r>
      <w:r w:rsidRPr="008D4CA6">
        <w:rPr>
          <w:rFonts w:ascii="Book Antiqua" w:hAnsi="Book Antiqua"/>
          <w:sz w:val="24"/>
          <w:szCs w:val="24"/>
        </w:rPr>
        <w:t> 1985; </w:t>
      </w:r>
      <w:r w:rsidRPr="008D4CA6">
        <w:rPr>
          <w:rFonts w:ascii="Book Antiqua" w:hAnsi="Book Antiqua"/>
          <w:b/>
          <w:bCs/>
          <w:sz w:val="24"/>
          <w:szCs w:val="24"/>
        </w:rPr>
        <w:t>55</w:t>
      </w:r>
      <w:r w:rsidRPr="008D4CA6">
        <w:rPr>
          <w:rFonts w:ascii="Book Antiqua" w:hAnsi="Book Antiqua"/>
          <w:sz w:val="24"/>
          <w:szCs w:val="24"/>
        </w:rPr>
        <w:t>: 610-611 [PMID: 3155906 DOI: 10.1016/0002-9149(85)90271-1]</w:t>
      </w:r>
    </w:p>
    <w:p w14:paraId="5259292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35 </w:t>
      </w:r>
      <w:r w:rsidRPr="008D4CA6">
        <w:rPr>
          <w:rFonts w:ascii="Book Antiqua" w:hAnsi="Book Antiqua"/>
          <w:b/>
          <w:bCs/>
          <w:sz w:val="24"/>
          <w:szCs w:val="24"/>
        </w:rPr>
        <w:t>Bass JL</w:t>
      </w:r>
      <w:r w:rsidRPr="008D4CA6">
        <w:rPr>
          <w:rFonts w:ascii="Book Antiqua" w:hAnsi="Book Antiqua"/>
          <w:sz w:val="24"/>
          <w:szCs w:val="24"/>
        </w:rPr>
        <w:t>. Percutaneous balloon dilation angioplasty of pulmonary artery branch stenosis. </w:t>
      </w:r>
      <w:r w:rsidRPr="008D4CA6">
        <w:rPr>
          <w:rFonts w:ascii="Book Antiqua" w:hAnsi="Book Antiqua"/>
          <w:i/>
          <w:iCs/>
          <w:sz w:val="24"/>
          <w:szCs w:val="24"/>
        </w:rPr>
        <w:t>Cardiovasc Intervent Radiol</w:t>
      </w:r>
      <w:r w:rsidRPr="008D4CA6">
        <w:rPr>
          <w:rFonts w:ascii="Book Antiqua" w:hAnsi="Book Antiqua"/>
          <w:sz w:val="24"/>
          <w:szCs w:val="24"/>
        </w:rPr>
        <w:t> 1986; </w:t>
      </w:r>
      <w:r w:rsidRPr="008D4CA6">
        <w:rPr>
          <w:rFonts w:ascii="Book Antiqua" w:hAnsi="Book Antiqua"/>
          <w:b/>
          <w:bCs/>
          <w:sz w:val="24"/>
          <w:szCs w:val="24"/>
        </w:rPr>
        <w:t>9</w:t>
      </w:r>
      <w:r w:rsidRPr="008D4CA6">
        <w:rPr>
          <w:rFonts w:ascii="Book Antiqua" w:hAnsi="Book Antiqua"/>
          <w:sz w:val="24"/>
          <w:szCs w:val="24"/>
        </w:rPr>
        <w:t>: 299-302 [PMID: 2948645 DOI: 10.1007/bf02577960]</w:t>
      </w:r>
    </w:p>
    <w:p w14:paraId="418C467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36 </w:t>
      </w:r>
      <w:r w:rsidRPr="008D4CA6">
        <w:rPr>
          <w:rFonts w:ascii="Book Antiqua" w:hAnsi="Book Antiqua"/>
          <w:b/>
          <w:bCs/>
          <w:sz w:val="24"/>
          <w:szCs w:val="24"/>
        </w:rPr>
        <w:t>Hoekenga DE</w:t>
      </w:r>
      <w:r w:rsidRPr="008D4CA6">
        <w:rPr>
          <w:rFonts w:ascii="Book Antiqua" w:hAnsi="Book Antiqua"/>
          <w:sz w:val="24"/>
          <w:szCs w:val="24"/>
        </w:rPr>
        <w:t>, Stevens GF, Ball WS. Percutaneous angioplasty for peripheral pulmonary stenosis in an adult. </w:t>
      </w:r>
      <w:r w:rsidRPr="008D4CA6">
        <w:rPr>
          <w:rFonts w:ascii="Book Antiqua" w:hAnsi="Book Antiqua"/>
          <w:i/>
          <w:iCs/>
          <w:sz w:val="24"/>
          <w:szCs w:val="24"/>
        </w:rPr>
        <w:t>Am J Cardiol</w:t>
      </w:r>
      <w:r w:rsidRPr="008D4CA6">
        <w:rPr>
          <w:rFonts w:ascii="Book Antiqua" w:hAnsi="Book Antiqua"/>
          <w:sz w:val="24"/>
          <w:szCs w:val="24"/>
        </w:rPr>
        <w:t> 1987; </w:t>
      </w:r>
      <w:r w:rsidRPr="008D4CA6">
        <w:rPr>
          <w:rFonts w:ascii="Book Antiqua" w:hAnsi="Book Antiqua"/>
          <w:b/>
          <w:bCs/>
          <w:sz w:val="24"/>
          <w:szCs w:val="24"/>
        </w:rPr>
        <w:t>59</w:t>
      </w:r>
      <w:r w:rsidRPr="008D4CA6">
        <w:rPr>
          <w:rFonts w:ascii="Book Antiqua" w:hAnsi="Book Antiqua"/>
          <w:sz w:val="24"/>
          <w:szCs w:val="24"/>
        </w:rPr>
        <w:t>: 188-189 [PMID: 2949577 DOI: 10.1016/s0002-9149(87)80110-8]</w:t>
      </w:r>
    </w:p>
    <w:p w14:paraId="3D77E46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37 </w:t>
      </w:r>
      <w:r w:rsidRPr="008D4CA6">
        <w:rPr>
          <w:rFonts w:ascii="Book Antiqua" w:hAnsi="Book Antiqua"/>
          <w:b/>
          <w:bCs/>
          <w:sz w:val="24"/>
          <w:szCs w:val="24"/>
        </w:rPr>
        <w:t>Snyder MS</w:t>
      </w:r>
      <w:r w:rsidRPr="008D4CA6">
        <w:rPr>
          <w:rFonts w:ascii="Book Antiqua" w:hAnsi="Book Antiqua"/>
          <w:sz w:val="24"/>
          <w:szCs w:val="24"/>
        </w:rPr>
        <w:t>, Sos T, Levin AR, Engle MA. Transluminal angioplasty of a stenotic Potts shunt and pulmonary arterial branch stenosis. </w:t>
      </w:r>
      <w:r w:rsidRPr="008D4CA6">
        <w:rPr>
          <w:rFonts w:ascii="Book Antiqua" w:hAnsi="Book Antiqua"/>
          <w:i/>
          <w:iCs/>
          <w:sz w:val="24"/>
          <w:szCs w:val="24"/>
        </w:rPr>
        <w:t>Am Heart J</w:t>
      </w:r>
      <w:r w:rsidRPr="008D4CA6">
        <w:rPr>
          <w:rFonts w:ascii="Book Antiqua" w:hAnsi="Book Antiqua"/>
          <w:sz w:val="24"/>
          <w:szCs w:val="24"/>
        </w:rPr>
        <w:t> 1987; </w:t>
      </w:r>
      <w:r w:rsidRPr="008D4CA6">
        <w:rPr>
          <w:rFonts w:ascii="Book Antiqua" w:hAnsi="Book Antiqua"/>
          <w:b/>
          <w:bCs/>
          <w:sz w:val="24"/>
          <w:szCs w:val="24"/>
        </w:rPr>
        <w:t>113</w:t>
      </w:r>
      <w:r w:rsidRPr="008D4CA6">
        <w:rPr>
          <w:rFonts w:ascii="Book Antiqua" w:hAnsi="Book Antiqua"/>
          <w:sz w:val="24"/>
          <w:szCs w:val="24"/>
        </w:rPr>
        <w:t>: 198-200 [PMID: 2948379 DOI: 10.1016/0002-8703(87)90031-7]</w:t>
      </w:r>
    </w:p>
    <w:p w14:paraId="3B82EEF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38 </w:t>
      </w:r>
      <w:r w:rsidRPr="008D4CA6">
        <w:rPr>
          <w:rFonts w:ascii="Book Antiqua" w:hAnsi="Book Antiqua"/>
          <w:b/>
          <w:bCs/>
          <w:sz w:val="24"/>
          <w:szCs w:val="24"/>
        </w:rPr>
        <w:t>D'Orsogna L</w:t>
      </w:r>
      <w:r w:rsidRPr="008D4CA6">
        <w:rPr>
          <w:rFonts w:ascii="Book Antiqua" w:hAnsi="Book Antiqua"/>
          <w:sz w:val="24"/>
          <w:szCs w:val="24"/>
        </w:rPr>
        <w:t>, Sandor GG, Culham JA, Patterson M. Successful balloon angioplasty of peripheral pulmonary stenosis in Williams syndrome. </w:t>
      </w:r>
      <w:r w:rsidRPr="008D4CA6">
        <w:rPr>
          <w:rFonts w:ascii="Book Antiqua" w:hAnsi="Book Antiqua"/>
          <w:i/>
          <w:iCs/>
          <w:sz w:val="24"/>
          <w:szCs w:val="24"/>
        </w:rPr>
        <w:t>Am Heart J</w:t>
      </w:r>
      <w:r w:rsidRPr="008D4CA6">
        <w:rPr>
          <w:rFonts w:ascii="Book Antiqua" w:hAnsi="Book Antiqua"/>
          <w:sz w:val="24"/>
          <w:szCs w:val="24"/>
        </w:rPr>
        <w:t> 1987; </w:t>
      </w:r>
      <w:r w:rsidRPr="008D4CA6">
        <w:rPr>
          <w:rFonts w:ascii="Book Antiqua" w:hAnsi="Book Antiqua"/>
          <w:b/>
          <w:bCs/>
          <w:sz w:val="24"/>
          <w:szCs w:val="24"/>
        </w:rPr>
        <w:t>114</w:t>
      </w:r>
      <w:r w:rsidRPr="008D4CA6">
        <w:rPr>
          <w:rFonts w:ascii="Book Antiqua" w:hAnsi="Book Antiqua"/>
          <w:sz w:val="24"/>
          <w:szCs w:val="24"/>
        </w:rPr>
        <w:t>: 647-648 [PMID: 2957904 DOI: 10.1016/0002-8703(87)90764-2]</w:t>
      </w:r>
    </w:p>
    <w:p w14:paraId="2916F4A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39 </w:t>
      </w:r>
      <w:r w:rsidRPr="008D4CA6">
        <w:rPr>
          <w:rFonts w:ascii="Book Antiqua" w:hAnsi="Book Antiqua"/>
          <w:b/>
          <w:bCs/>
          <w:sz w:val="24"/>
          <w:szCs w:val="24"/>
        </w:rPr>
        <w:t>Handa K</w:t>
      </w:r>
      <w:r w:rsidRPr="008D4CA6">
        <w:rPr>
          <w:rFonts w:ascii="Book Antiqua" w:hAnsi="Book Antiqua"/>
          <w:sz w:val="24"/>
          <w:szCs w:val="24"/>
        </w:rPr>
        <w:t>, Sasaki Y, Kiyonaga A, Fujino M, Hiroki T, Arakawa K. Acute pulmonary thromboembolism treated successfully by balloon angioplasty--a case report. </w:t>
      </w:r>
      <w:r w:rsidRPr="008D4CA6">
        <w:rPr>
          <w:rFonts w:ascii="Book Antiqua" w:hAnsi="Book Antiqua"/>
          <w:i/>
          <w:iCs/>
          <w:sz w:val="24"/>
          <w:szCs w:val="24"/>
        </w:rPr>
        <w:t>Angiology</w:t>
      </w:r>
      <w:r w:rsidRPr="008D4CA6">
        <w:rPr>
          <w:rFonts w:ascii="Book Antiqua" w:hAnsi="Book Antiqua"/>
          <w:sz w:val="24"/>
          <w:szCs w:val="24"/>
        </w:rPr>
        <w:t> 1988; </w:t>
      </w:r>
      <w:r w:rsidRPr="008D4CA6">
        <w:rPr>
          <w:rFonts w:ascii="Book Antiqua" w:hAnsi="Book Antiqua"/>
          <w:b/>
          <w:bCs/>
          <w:sz w:val="24"/>
          <w:szCs w:val="24"/>
        </w:rPr>
        <w:t>39</w:t>
      </w:r>
      <w:r w:rsidRPr="008D4CA6">
        <w:rPr>
          <w:rFonts w:ascii="Book Antiqua" w:hAnsi="Book Antiqua"/>
          <w:sz w:val="24"/>
          <w:szCs w:val="24"/>
        </w:rPr>
        <w:t>: 775-778 [PMID: 2971329 DOI: 10.1177/000331978803900811]</w:t>
      </w:r>
    </w:p>
    <w:p w14:paraId="70B503A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40 </w:t>
      </w:r>
      <w:r w:rsidRPr="008D4CA6">
        <w:rPr>
          <w:rFonts w:ascii="Book Antiqua" w:hAnsi="Book Antiqua"/>
          <w:b/>
          <w:bCs/>
          <w:sz w:val="24"/>
          <w:szCs w:val="24"/>
        </w:rPr>
        <w:t>Voorburg JA</w:t>
      </w:r>
      <w:r w:rsidRPr="008D4CA6">
        <w:rPr>
          <w:rFonts w:ascii="Book Antiqua" w:hAnsi="Book Antiqua"/>
          <w:sz w:val="24"/>
          <w:szCs w:val="24"/>
        </w:rPr>
        <w:t>, Cats VM, Buis B, Bruschke AV. Balloon angioplasty in the treatment of pulmonary hypertension caused by pulmonary embolism. </w:t>
      </w:r>
      <w:r w:rsidRPr="008D4CA6">
        <w:rPr>
          <w:rFonts w:ascii="Book Antiqua" w:hAnsi="Book Antiqua"/>
          <w:i/>
          <w:iCs/>
          <w:sz w:val="24"/>
          <w:szCs w:val="24"/>
        </w:rPr>
        <w:t>Chest</w:t>
      </w:r>
      <w:r w:rsidRPr="008D4CA6">
        <w:rPr>
          <w:rFonts w:ascii="Book Antiqua" w:hAnsi="Book Antiqua"/>
          <w:sz w:val="24"/>
          <w:szCs w:val="24"/>
        </w:rPr>
        <w:t> 1988; </w:t>
      </w:r>
      <w:r w:rsidRPr="008D4CA6">
        <w:rPr>
          <w:rFonts w:ascii="Book Antiqua" w:hAnsi="Book Antiqua"/>
          <w:b/>
          <w:bCs/>
          <w:sz w:val="24"/>
          <w:szCs w:val="24"/>
        </w:rPr>
        <w:t>94</w:t>
      </w:r>
      <w:r w:rsidRPr="008D4CA6">
        <w:rPr>
          <w:rFonts w:ascii="Book Antiqua" w:hAnsi="Book Antiqua"/>
          <w:sz w:val="24"/>
          <w:szCs w:val="24"/>
        </w:rPr>
        <w:t>: 1249-1253 [PMID: 2973404 DOI: 10.1378/chest.94.6.1249]</w:t>
      </w:r>
    </w:p>
    <w:p w14:paraId="6B5A456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41 </w:t>
      </w:r>
      <w:r w:rsidRPr="008D4CA6">
        <w:rPr>
          <w:rFonts w:ascii="Book Antiqua" w:hAnsi="Book Antiqua"/>
          <w:b/>
          <w:bCs/>
          <w:sz w:val="24"/>
          <w:szCs w:val="24"/>
        </w:rPr>
        <w:t>Feinstein JA</w:t>
      </w:r>
      <w:r w:rsidRPr="008D4CA6">
        <w:rPr>
          <w:rFonts w:ascii="Book Antiqua" w:hAnsi="Book Antiqua"/>
          <w:sz w:val="24"/>
          <w:szCs w:val="24"/>
        </w:rPr>
        <w:t>, Goldhaber SZ, Lock JE, Ferndandes SM, Landzberg MJ. Balloon pulmonary angioplasty for treatment of chronic thromboembolic pulmonary hypertension. </w:t>
      </w:r>
      <w:r w:rsidRPr="008D4CA6">
        <w:rPr>
          <w:rFonts w:ascii="Book Antiqua" w:hAnsi="Book Antiqua"/>
          <w:i/>
          <w:iCs/>
          <w:sz w:val="24"/>
          <w:szCs w:val="24"/>
        </w:rPr>
        <w:t>Circulation</w:t>
      </w:r>
      <w:r w:rsidRPr="008D4CA6">
        <w:rPr>
          <w:rFonts w:ascii="Book Antiqua" w:hAnsi="Book Antiqua"/>
          <w:sz w:val="24"/>
          <w:szCs w:val="24"/>
        </w:rPr>
        <w:t> 2001; </w:t>
      </w:r>
      <w:r w:rsidRPr="008D4CA6">
        <w:rPr>
          <w:rFonts w:ascii="Book Antiqua" w:hAnsi="Book Antiqua"/>
          <w:b/>
          <w:bCs/>
          <w:sz w:val="24"/>
          <w:szCs w:val="24"/>
        </w:rPr>
        <w:t>103</w:t>
      </w:r>
      <w:r w:rsidRPr="008D4CA6">
        <w:rPr>
          <w:rFonts w:ascii="Book Antiqua" w:hAnsi="Book Antiqua"/>
          <w:sz w:val="24"/>
          <w:szCs w:val="24"/>
        </w:rPr>
        <w:t>: 10-13 [PMID: 11136677 DOI: 10.1161/01.cir.103.1.10]</w:t>
      </w:r>
    </w:p>
    <w:p w14:paraId="0126817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42 </w:t>
      </w:r>
      <w:r w:rsidRPr="008D4CA6">
        <w:rPr>
          <w:rFonts w:ascii="Book Antiqua" w:hAnsi="Book Antiqua"/>
          <w:b/>
          <w:bCs/>
          <w:sz w:val="24"/>
          <w:szCs w:val="24"/>
        </w:rPr>
        <w:t>Pitton MB</w:t>
      </w:r>
      <w:r w:rsidRPr="008D4CA6">
        <w:rPr>
          <w:rFonts w:ascii="Book Antiqua" w:hAnsi="Book Antiqua"/>
          <w:sz w:val="24"/>
          <w:szCs w:val="24"/>
        </w:rPr>
        <w:t>, Herber S, Mayer E, Thelen M. Pulmonary balloon angioplasty of chronic thromboembolic pulmonary hypertension (CTEPH) in surgically inaccessible cases. </w:t>
      </w:r>
      <w:r w:rsidRPr="008D4CA6">
        <w:rPr>
          <w:rFonts w:ascii="Book Antiqua" w:hAnsi="Book Antiqua"/>
          <w:i/>
          <w:iCs/>
          <w:sz w:val="24"/>
          <w:szCs w:val="24"/>
        </w:rPr>
        <w:t>Rofo</w:t>
      </w:r>
      <w:r w:rsidRPr="008D4CA6">
        <w:rPr>
          <w:rFonts w:ascii="Book Antiqua" w:hAnsi="Book Antiqua"/>
          <w:sz w:val="24"/>
          <w:szCs w:val="24"/>
        </w:rPr>
        <w:t> 2003; </w:t>
      </w:r>
      <w:r w:rsidRPr="008D4CA6">
        <w:rPr>
          <w:rFonts w:ascii="Book Antiqua" w:hAnsi="Book Antiqua"/>
          <w:b/>
          <w:bCs/>
          <w:sz w:val="24"/>
          <w:szCs w:val="24"/>
        </w:rPr>
        <w:t>175</w:t>
      </w:r>
      <w:r w:rsidRPr="008D4CA6">
        <w:rPr>
          <w:rFonts w:ascii="Book Antiqua" w:hAnsi="Book Antiqua"/>
          <w:sz w:val="24"/>
          <w:szCs w:val="24"/>
        </w:rPr>
        <w:t>: 631-634 [PMID: 12743854 DOI: 10.1055/s-2003-39206]</w:t>
      </w:r>
    </w:p>
    <w:p w14:paraId="3D41EA2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43 </w:t>
      </w:r>
      <w:r w:rsidRPr="008D4CA6">
        <w:rPr>
          <w:rFonts w:ascii="Book Antiqua" w:hAnsi="Book Antiqua"/>
          <w:b/>
          <w:bCs/>
          <w:sz w:val="24"/>
          <w:szCs w:val="24"/>
        </w:rPr>
        <w:t>de Gregorio MA</w:t>
      </w:r>
      <w:r w:rsidRPr="008D4CA6">
        <w:rPr>
          <w:rFonts w:ascii="Book Antiqua" w:hAnsi="Book Antiqua"/>
          <w:sz w:val="24"/>
          <w:szCs w:val="24"/>
        </w:rPr>
        <w:t>, Laborda A, Ortas R, Higuera T, Gómez-Arrue J, Medrano J, Mainar A. [Image-guided minimally invasive treatment of pulmonary arterial hypertension due to embolic disease]. </w:t>
      </w:r>
      <w:r w:rsidRPr="008D4CA6">
        <w:rPr>
          <w:rFonts w:ascii="Book Antiqua" w:hAnsi="Book Antiqua"/>
          <w:i/>
          <w:iCs/>
          <w:sz w:val="24"/>
          <w:szCs w:val="24"/>
        </w:rPr>
        <w:t>Arch Bronconeumol</w:t>
      </w:r>
      <w:r w:rsidRPr="008D4CA6">
        <w:rPr>
          <w:rFonts w:ascii="Book Antiqua" w:hAnsi="Book Antiqua"/>
          <w:sz w:val="24"/>
          <w:szCs w:val="24"/>
        </w:rPr>
        <w:t> 2008; </w:t>
      </w:r>
      <w:r w:rsidRPr="008D4CA6">
        <w:rPr>
          <w:rFonts w:ascii="Book Antiqua" w:hAnsi="Book Antiqua"/>
          <w:b/>
          <w:bCs/>
          <w:sz w:val="24"/>
          <w:szCs w:val="24"/>
        </w:rPr>
        <w:t>44</w:t>
      </w:r>
      <w:r w:rsidRPr="008D4CA6">
        <w:rPr>
          <w:rFonts w:ascii="Book Antiqua" w:hAnsi="Book Antiqua"/>
          <w:sz w:val="24"/>
          <w:szCs w:val="24"/>
        </w:rPr>
        <w:t>: 312-317 [PMID: 18559220 DOI: 10.1016/s1579-2129(08)60051-8]</w:t>
      </w:r>
    </w:p>
    <w:p w14:paraId="24C1BDC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44 </w:t>
      </w:r>
      <w:r w:rsidRPr="008D4CA6">
        <w:rPr>
          <w:rFonts w:ascii="Book Antiqua" w:hAnsi="Book Antiqua"/>
          <w:b/>
          <w:bCs/>
          <w:sz w:val="24"/>
          <w:szCs w:val="24"/>
        </w:rPr>
        <w:t>Moriyama K</w:t>
      </w:r>
      <w:r w:rsidRPr="008D4CA6">
        <w:rPr>
          <w:rFonts w:ascii="Book Antiqua" w:hAnsi="Book Antiqua"/>
          <w:sz w:val="24"/>
          <w:szCs w:val="24"/>
        </w:rPr>
        <w:t>, Sugiyama S, Uzawa K, Kotani M, Satoh T, Yorozu T. Noninvasive Positive Pressure Ventilation against Reperfusion Pulmonary Edema following Percutaneous Transluminal Pulmonary Angioplasty. </w:t>
      </w:r>
      <w:r w:rsidRPr="008D4CA6">
        <w:rPr>
          <w:rFonts w:ascii="Book Antiqua" w:hAnsi="Book Antiqua"/>
          <w:i/>
          <w:iCs/>
          <w:sz w:val="24"/>
          <w:szCs w:val="24"/>
        </w:rPr>
        <w:t>Case Rep Anesthesiol</w:t>
      </w:r>
      <w:r w:rsidRPr="008D4CA6">
        <w:rPr>
          <w:rFonts w:ascii="Book Antiqua" w:hAnsi="Book Antiqua"/>
          <w:sz w:val="24"/>
          <w:szCs w:val="24"/>
        </w:rPr>
        <w:t> 2011; </w:t>
      </w:r>
      <w:r w:rsidRPr="008D4CA6">
        <w:rPr>
          <w:rFonts w:ascii="Book Antiqua" w:hAnsi="Book Antiqua"/>
          <w:b/>
          <w:bCs/>
          <w:sz w:val="24"/>
          <w:szCs w:val="24"/>
        </w:rPr>
        <w:t>2011</w:t>
      </w:r>
      <w:r w:rsidRPr="008D4CA6">
        <w:rPr>
          <w:rFonts w:ascii="Book Antiqua" w:hAnsi="Book Antiqua"/>
          <w:sz w:val="24"/>
          <w:szCs w:val="24"/>
        </w:rPr>
        <w:t xml:space="preserve">: 204538 [PMID: </w:t>
      </w:r>
      <w:r w:rsidRPr="008D4CA6">
        <w:rPr>
          <w:rFonts w:ascii="Book Antiqua" w:hAnsi="Book Antiqua"/>
          <w:sz w:val="24"/>
          <w:szCs w:val="24"/>
        </w:rPr>
        <w:lastRenderedPageBreak/>
        <w:t>22606382 DOI: 10.1155/2011/204538]</w:t>
      </w:r>
    </w:p>
    <w:p w14:paraId="379A632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45 </w:t>
      </w:r>
      <w:r w:rsidRPr="008D4CA6">
        <w:rPr>
          <w:rFonts w:ascii="Book Antiqua" w:hAnsi="Book Antiqua"/>
          <w:b/>
          <w:bCs/>
          <w:sz w:val="24"/>
          <w:szCs w:val="24"/>
        </w:rPr>
        <w:t>Kataoka M</w:t>
      </w:r>
      <w:r w:rsidRPr="008D4CA6">
        <w:rPr>
          <w:rFonts w:ascii="Book Antiqua" w:hAnsi="Book Antiqua"/>
          <w:sz w:val="24"/>
          <w:szCs w:val="24"/>
        </w:rPr>
        <w:t>, Inami T, Hayashida K, Shimura N, Ishiguro H, Abe T, Tamura Y, Ando M, Fukuda K, Yoshino H, Satoh T. Percutaneous transluminal pulmonary angioplasty for the treatment of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2012; </w:t>
      </w:r>
      <w:r w:rsidRPr="008D4CA6">
        <w:rPr>
          <w:rFonts w:ascii="Book Antiqua" w:hAnsi="Book Antiqua"/>
          <w:b/>
          <w:bCs/>
          <w:sz w:val="24"/>
          <w:szCs w:val="24"/>
        </w:rPr>
        <w:t>5</w:t>
      </w:r>
      <w:r w:rsidRPr="008D4CA6">
        <w:rPr>
          <w:rFonts w:ascii="Book Antiqua" w:hAnsi="Book Antiqua"/>
          <w:sz w:val="24"/>
          <w:szCs w:val="24"/>
        </w:rPr>
        <w:t>: 756-762 [PMID: 23132237 DOI: 10.1161/CIRCINTERVENTIONS.112.971390]</w:t>
      </w:r>
    </w:p>
    <w:p w14:paraId="38DA52D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46 </w:t>
      </w:r>
      <w:r w:rsidRPr="008D4CA6">
        <w:rPr>
          <w:rFonts w:ascii="Book Antiqua" w:hAnsi="Book Antiqua"/>
          <w:b/>
          <w:bCs/>
          <w:sz w:val="24"/>
          <w:szCs w:val="24"/>
        </w:rPr>
        <w:t>Mizoguchi H</w:t>
      </w:r>
      <w:r w:rsidRPr="008D4CA6">
        <w:rPr>
          <w:rFonts w:ascii="Book Antiqua" w:hAnsi="Book Antiqua"/>
          <w:sz w:val="24"/>
          <w:szCs w:val="24"/>
        </w:rPr>
        <w:t>, Ogawa A, Munemasa M, Mikouchi H, Ito H, Matsubara H. Refined balloon pulmonary angioplasty for inoperable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2012; </w:t>
      </w:r>
      <w:r w:rsidRPr="008D4CA6">
        <w:rPr>
          <w:rFonts w:ascii="Book Antiqua" w:hAnsi="Book Antiqua"/>
          <w:b/>
          <w:bCs/>
          <w:sz w:val="24"/>
          <w:szCs w:val="24"/>
        </w:rPr>
        <w:t>5</w:t>
      </w:r>
      <w:r w:rsidRPr="008D4CA6">
        <w:rPr>
          <w:rFonts w:ascii="Book Antiqua" w:hAnsi="Book Antiqua"/>
          <w:sz w:val="24"/>
          <w:szCs w:val="24"/>
        </w:rPr>
        <w:t>: 748-755 [PMID: 23192917 DOI: 10.1161/CIRCINTERVENTIONS.112.971077]</w:t>
      </w:r>
    </w:p>
    <w:p w14:paraId="2AA8D82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47 </w:t>
      </w:r>
      <w:r w:rsidRPr="008D4CA6">
        <w:rPr>
          <w:rFonts w:ascii="Book Antiqua" w:hAnsi="Book Antiqua"/>
          <w:b/>
          <w:bCs/>
          <w:sz w:val="24"/>
          <w:szCs w:val="24"/>
        </w:rPr>
        <w:t>Sugimura K</w:t>
      </w:r>
      <w:r w:rsidRPr="008D4CA6">
        <w:rPr>
          <w:rFonts w:ascii="Book Antiqua" w:hAnsi="Book Antiqua"/>
          <w:sz w:val="24"/>
          <w:szCs w:val="24"/>
        </w:rPr>
        <w:t>, Fukumoto Y, Satoh K, Nochioka K, Miura Y, Aoki T, Tatebe S, Miyamichi-Yamamoto S, Shimokawa H. Percutaneous transluminal pulmonary angioplasty markedly improves pulmonary hemodynamics and long-term prognosis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2012; </w:t>
      </w:r>
      <w:r w:rsidRPr="008D4CA6">
        <w:rPr>
          <w:rFonts w:ascii="Book Antiqua" w:hAnsi="Book Antiqua"/>
          <w:b/>
          <w:bCs/>
          <w:sz w:val="24"/>
          <w:szCs w:val="24"/>
        </w:rPr>
        <w:t>76</w:t>
      </w:r>
      <w:r w:rsidRPr="008D4CA6">
        <w:rPr>
          <w:rFonts w:ascii="Book Antiqua" w:hAnsi="Book Antiqua"/>
          <w:sz w:val="24"/>
          <w:szCs w:val="24"/>
        </w:rPr>
        <w:t>: 485-488 [PMID: 22185711 DOI: 10.1253/circj.cj-11-1217]</w:t>
      </w:r>
    </w:p>
    <w:p w14:paraId="2A780B2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48 </w:t>
      </w:r>
      <w:r w:rsidRPr="008D4CA6">
        <w:rPr>
          <w:rFonts w:ascii="Book Antiqua" w:hAnsi="Book Antiqua"/>
          <w:b/>
          <w:bCs/>
          <w:sz w:val="24"/>
          <w:szCs w:val="24"/>
        </w:rPr>
        <w:t>Galiè N</w:t>
      </w:r>
      <w:r w:rsidRPr="008D4CA6">
        <w:rPr>
          <w:rFonts w:ascii="Book Antiqua" w:hAnsi="Book Antiqua"/>
          <w:sz w:val="24"/>
          <w:szCs w:val="24"/>
        </w:rPr>
        <w:t>, Humbert M, Vachiery JL, Gibbs S, Lang I, Torbicki A, Simonneau G, Peacock A, Vonk Noordegraaf A, Beghetti M, Ghofrani A, Gomez Sanchez MA, Hansmann G, Klepetko W, Lancellotti P, Matucci M, McDonagh T, Pierard LA, Trindade PT, Zompatori M, Hoeper M.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Pr="008D4CA6">
        <w:rPr>
          <w:rFonts w:ascii="Book Antiqua" w:hAnsi="Book Antiqua"/>
          <w:i/>
          <w:iCs/>
          <w:sz w:val="24"/>
          <w:szCs w:val="24"/>
        </w:rPr>
        <w:t>Eur Respir J</w:t>
      </w:r>
      <w:r w:rsidRPr="008D4CA6">
        <w:rPr>
          <w:rFonts w:ascii="Book Antiqua" w:hAnsi="Book Antiqua"/>
          <w:sz w:val="24"/>
          <w:szCs w:val="24"/>
        </w:rPr>
        <w:t> 2015; </w:t>
      </w:r>
      <w:r w:rsidRPr="008D4CA6">
        <w:rPr>
          <w:rFonts w:ascii="Book Antiqua" w:hAnsi="Book Antiqua"/>
          <w:b/>
          <w:bCs/>
          <w:sz w:val="24"/>
          <w:szCs w:val="24"/>
        </w:rPr>
        <w:t>46</w:t>
      </w:r>
      <w:r w:rsidRPr="008D4CA6">
        <w:rPr>
          <w:rFonts w:ascii="Book Antiqua" w:hAnsi="Book Antiqua"/>
          <w:sz w:val="24"/>
          <w:szCs w:val="24"/>
        </w:rPr>
        <w:t>: 903-975 [PMID: 26318161 DOI: 10.1183/13993003.01032-2015]</w:t>
      </w:r>
    </w:p>
    <w:p w14:paraId="5A51CF7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49 </w:t>
      </w:r>
      <w:r w:rsidRPr="008D4CA6">
        <w:rPr>
          <w:rFonts w:ascii="Book Antiqua" w:hAnsi="Book Antiqua"/>
          <w:b/>
          <w:bCs/>
          <w:sz w:val="24"/>
          <w:szCs w:val="24"/>
        </w:rPr>
        <w:t>Galiè N</w:t>
      </w:r>
      <w:r w:rsidRPr="008D4CA6">
        <w:rPr>
          <w:rFonts w:ascii="Book Antiqua" w:hAnsi="Book Antiqua"/>
          <w:sz w:val="24"/>
          <w:szCs w:val="24"/>
        </w:rPr>
        <w:t xml:space="preserve">, Humbert M, Vachiery JL, Gibbs S, Lang I, Torbicki A, Simonneau G, Peacock A, Vonk Noordegraaf A, Beghetti M, Ghofrani A, Gomez Sanchez MA, Hansmann G, Klepetko W, Lancellotti P, Matucci M, McDonagh T, Pierard LA, Trindade PT, Zompatori M, Hoeper M; ESC Scientific Document Group .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w:t>
      </w:r>
      <w:r w:rsidRPr="008D4CA6">
        <w:rPr>
          <w:rFonts w:ascii="Book Antiqua" w:hAnsi="Book Antiqua"/>
          <w:sz w:val="24"/>
          <w:szCs w:val="24"/>
        </w:rPr>
        <w:lastRenderedPageBreak/>
        <w:t>Transplantation (ISHLT). </w:t>
      </w:r>
      <w:r w:rsidRPr="008D4CA6">
        <w:rPr>
          <w:rFonts w:ascii="Book Antiqua" w:hAnsi="Book Antiqua"/>
          <w:i/>
          <w:iCs/>
          <w:sz w:val="24"/>
          <w:szCs w:val="24"/>
        </w:rPr>
        <w:t>Eur Heart J</w:t>
      </w:r>
      <w:r w:rsidRPr="008D4CA6">
        <w:rPr>
          <w:rFonts w:ascii="Book Antiqua" w:hAnsi="Book Antiqua"/>
          <w:sz w:val="24"/>
          <w:szCs w:val="24"/>
        </w:rPr>
        <w:t> 2016; </w:t>
      </w:r>
      <w:r w:rsidRPr="008D4CA6">
        <w:rPr>
          <w:rFonts w:ascii="Book Antiqua" w:hAnsi="Book Antiqua"/>
          <w:b/>
          <w:bCs/>
          <w:sz w:val="24"/>
          <w:szCs w:val="24"/>
        </w:rPr>
        <w:t>37</w:t>
      </w:r>
      <w:r w:rsidRPr="008D4CA6">
        <w:rPr>
          <w:rFonts w:ascii="Book Antiqua" w:hAnsi="Book Antiqua"/>
          <w:sz w:val="24"/>
          <w:szCs w:val="24"/>
        </w:rPr>
        <w:t>: 67-119 [PMID: 26320113 DOI: 10.1093/eurheartj/ehv317]</w:t>
      </w:r>
    </w:p>
    <w:p w14:paraId="0F909CFD" w14:textId="7E177EE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50 </w:t>
      </w:r>
      <w:r w:rsidRPr="008D4CA6">
        <w:rPr>
          <w:rFonts w:ascii="Book Antiqua" w:hAnsi="Book Antiqua"/>
          <w:b/>
          <w:bCs/>
          <w:sz w:val="24"/>
          <w:szCs w:val="24"/>
        </w:rPr>
        <w:t>Kim NH</w:t>
      </w:r>
      <w:r w:rsidRPr="008D4CA6">
        <w:rPr>
          <w:rFonts w:ascii="Book Antiqua" w:hAnsi="Book Antiqua"/>
          <w:sz w:val="24"/>
          <w:szCs w:val="24"/>
        </w:rPr>
        <w:t>, Delcroix M, Jais X, Madani MM, Matsubara H, Mayer E, Ogo T, Tapson VF, Ghofrani HA, Jenkins DP.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2019; </w:t>
      </w:r>
      <w:r w:rsidRPr="008D4CA6">
        <w:rPr>
          <w:rFonts w:ascii="Book Antiqua" w:hAnsi="Book Antiqua"/>
          <w:b/>
          <w:bCs/>
          <w:sz w:val="24"/>
          <w:szCs w:val="24"/>
        </w:rPr>
        <w:t>53</w:t>
      </w:r>
      <w:r w:rsidRPr="008D4CA6">
        <w:rPr>
          <w:rFonts w:ascii="Book Antiqua" w:hAnsi="Book Antiqua"/>
          <w:sz w:val="24"/>
          <w:szCs w:val="24"/>
        </w:rPr>
        <w:t xml:space="preserve">: </w:t>
      </w:r>
      <w:r w:rsidR="00CD56A6" w:rsidRPr="00FC6293">
        <w:rPr>
          <w:rFonts w:ascii="Book Antiqua" w:hAnsi="Book Antiqua"/>
          <w:sz w:val="24"/>
          <w:szCs w:val="24"/>
        </w:rPr>
        <w:t>1801915</w:t>
      </w:r>
      <w:r w:rsidR="00CD56A6" w:rsidRPr="008D4CA6">
        <w:rPr>
          <w:rFonts w:ascii="Book Antiqua" w:hAnsi="Book Antiqua"/>
          <w:sz w:val="24"/>
          <w:szCs w:val="24"/>
        </w:rPr>
        <w:t xml:space="preserve"> </w:t>
      </w:r>
      <w:r w:rsidRPr="008D4CA6">
        <w:rPr>
          <w:rFonts w:ascii="Book Antiqua" w:hAnsi="Book Antiqua"/>
          <w:sz w:val="24"/>
          <w:szCs w:val="24"/>
        </w:rPr>
        <w:t>[PMID: 30545969 DOI: 10.1183/13993003.01915-2018]</w:t>
      </w:r>
    </w:p>
    <w:p w14:paraId="39E3557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51 </w:t>
      </w:r>
      <w:r w:rsidRPr="008D4CA6">
        <w:rPr>
          <w:rFonts w:ascii="Book Antiqua" w:hAnsi="Book Antiqua"/>
          <w:b/>
          <w:bCs/>
          <w:sz w:val="24"/>
          <w:szCs w:val="24"/>
        </w:rPr>
        <w:t>Kitani M</w:t>
      </w:r>
      <w:r w:rsidRPr="008D4CA6">
        <w:rPr>
          <w:rFonts w:ascii="Book Antiqua" w:hAnsi="Book Antiqua"/>
          <w:sz w:val="24"/>
          <w:szCs w:val="24"/>
        </w:rPr>
        <w:t>, Ogawa A, Sarashina T, Yamadori I, Matsubara H. Histological changes of pulmonary arteries treated by balloon pulmonary angioplasty in a patient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2014; </w:t>
      </w:r>
      <w:r w:rsidRPr="008D4CA6">
        <w:rPr>
          <w:rFonts w:ascii="Book Antiqua" w:hAnsi="Book Antiqua"/>
          <w:b/>
          <w:bCs/>
          <w:sz w:val="24"/>
          <w:szCs w:val="24"/>
        </w:rPr>
        <w:t>7</w:t>
      </w:r>
      <w:r w:rsidRPr="008D4CA6">
        <w:rPr>
          <w:rFonts w:ascii="Book Antiqua" w:hAnsi="Book Antiqua"/>
          <w:sz w:val="24"/>
          <w:szCs w:val="24"/>
        </w:rPr>
        <w:t>: 857-859 [PMID: 25516761 DOI: 10.1161/CIRCINTERVENTIONS.114.001533]</w:t>
      </w:r>
    </w:p>
    <w:p w14:paraId="6151F7D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52 </w:t>
      </w:r>
      <w:r w:rsidRPr="008D4CA6">
        <w:rPr>
          <w:rFonts w:ascii="Book Antiqua" w:hAnsi="Book Antiqua"/>
          <w:b/>
          <w:bCs/>
          <w:sz w:val="24"/>
          <w:szCs w:val="24"/>
        </w:rPr>
        <w:t>Ogawa A</w:t>
      </w:r>
      <w:r w:rsidRPr="008D4CA6">
        <w:rPr>
          <w:rFonts w:ascii="Book Antiqua" w:hAnsi="Book Antiqua"/>
          <w:sz w:val="24"/>
          <w:szCs w:val="24"/>
        </w:rPr>
        <w:t>, Kitani M, Mizoguchi H, Munemasa M, Matsuo K, Yamadori I, Andou A, Matsubara H. Pulmonary microvascular remodeling after balloon pulmonary angioplasty in a patient with chronic thromboembolic pulmonary hypertension. </w:t>
      </w:r>
      <w:r w:rsidRPr="008D4CA6">
        <w:rPr>
          <w:rFonts w:ascii="Book Antiqua" w:hAnsi="Book Antiqua"/>
          <w:i/>
          <w:iCs/>
          <w:sz w:val="24"/>
          <w:szCs w:val="24"/>
        </w:rPr>
        <w:t>Intern Med</w:t>
      </w:r>
      <w:r w:rsidRPr="008D4CA6">
        <w:rPr>
          <w:rFonts w:ascii="Book Antiqua" w:hAnsi="Book Antiqua"/>
          <w:sz w:val="24"/>
          <w:szCs w:val="24"/>
        </w:rPr>
        <w:t> 2014; </w:t>
      </w:r>
      <w:r w:rsidRPr="008D4CA6">
        <w:rPr>
          <w:rFonts w:ascii="Book Antiqua" w:hAnsi="Book Antiqua"/>
          <w:b/>
          <w:bCs/>
          <w:sz w:val="24"/>
          <w:szCs w:val="24"/>
        </w:rPr>
        <w:t>53</w:t>
      </w:r>
      <w:r w:rsidRPr="008D4CA6">
        <w:rPr>
          <w:rFonts w:ascii="Book Antiqua" w:hAnsi="Book Antiqua"/>
          <w:sz w:val="24"/>
          <w:szCs w:val="24"/>
        </w:rPr>
        <w:t>: 729-733 [PMID: 24694486 DOI: 10.2169/internalmedicine.53.1343]</w:t>
      </w:r>
    </w:p>
    <w:p w14:paraId="209CDB0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53 </w:t>
      </w:r>
      <w:r w:rsidRPr="008D4CA6">
        <w:rPr>
          <w:rFonts w:ascii="Book Antiqua" w:hAnsi="Book Antiqua"/>
          <w:b/>
          <w:bCs/>
          <w:sz w:val="24"/>
          <w:szCs w:val="24"/>
        </w:rPr>
        <w:t>Shimokawahara H</w:t>
      </w:r>
      <w:r w:rsidRPr="008D4CA6">
        <w:rPr>
          <w:rFonts w:ascii="Book Antiqua" w:hAnsi="Book Antiqua"/>
          <w:sz w:val="24"/>
          <w:szCs w:val="24"/>
        </w:rPr>
        <w:t>, Ogawa A, Mizoguchi H, Yagi H, Ikemiyagi H, Matsubara H. Vessel Stretching Is a Cause of Lumen Enlargement Immediately After Balloon Pulmonary Angioplasty: Intravascular Ultrasound Analysis in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2018; </w:t>
      </w:r>
      <w:r w:rsidRPr="008D4CA6">
        <w:rPr>
          <w:rFonts w:ascii="Book Antiqua" w:hAnsi="Book Antiqua"/>
          <w:b/>
          <w:bCs/>
          <w:sz w:val="24"/>
          <w:szCs w:val="24"/>
        </w:rPr>
        <w:t>11</w:t>
      </w:r>
      <w:r w:rsidRPr="008D4CA6">
        <w:rPr>
          <w:rFonts w:ascii="Book Antiqua" w:hAnsi="Book Antiqua"/>
          <w:sz w:val="24"/>
          <w:szCs w:val="24"/>
        </w:rPr>
        <w:t>: e006010 [PMID: 29643129 DOI: 10.1161/CIRCINTERVENTIONS.117.006010]</w:t>
      </w:r>
    </w:p>
    <w:p w14:paraId="3C8A732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54 </w:t>
      </w:r>
      <w:r w:rsidRPr="008D4CA6">
        <w:rPr>
          <w:rFonts w:ascii="Book Antiqua" w:hAnsi="Book Antiqua"/>
          <w:b/>
          <w:bCs/>
          <w:sz w:val="24"/>
          <w:szCs w:val="24"/>
        </w:rPr>
        <w:t>Räber L</w:t>
      </w:r>
      <w:r w:rsidRPr="008D4CA6">
        <w:rPr>
          <w:rFonts w:ascii="Book Antiqua" w:hAnsi="Book Antiqua"/>
          <w:sz w:val="24"/>
          <w:szCs w:val="24"/>
        </w:rPr>
        <w:t>, Ueki Y, Lang IM. Balloon pulmonary angioplasty for the treatment of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2019; </w:t>
      </w:r>
      <w:r w:rsidRPr="008D4CA6">
        <w:rPr>
          <w:rFonts w:ascii="Book Antiqua" w:hAnsi="Book Antiqua"/>
          <w:b/>
          <w:bCs/>
          <w:sz w:val="24"/>
          <w:szCs w:val="24"/>
        </w:rPr>
        <w:t>15</w:t>
      </w:r>
      <w:r w:rsidRPr="008D4CA6">
        <w:rPr>
          <w:rFonts w:ascii="Book Antiqua" w:hAnsi="Book Antiqua"/>
          <w:sz w:val="24"/>
          <w:szCs w:val="24"/>
        </w:rPr>
        <w:t>: e814-e815 [PMID: 30808613 DOI: 10.4244/EIJ-D-18-01212]</w:t>
      </w:r>
    </w:p>
    <w:p w14:paraId="26717FE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55 </w:t>
      </w:r>
      <w:r w:rsidRPr="008D4CA6">
        <w:rPr>
          <w:rFonts w:ascii="Book Antiqua" w:hAnsi="Book Antiqua"/>
          <w:b/>
          <w:bCs/>
          <w:sz w:val="24"/>
          <w:szCs w:val="24"/>
        </w:rPr>
        <w:t>Araszkiewicz A</w:t>
      </w:r>
      <w:r w:rsidRPr="008D4CA6">
        <w:rPr>
          <w:rFonts w:ascii="Book Antiqua" w:hAnsi="Book Antiqua"/>
          <w:sz w:val="24"/>
          <w:szCs w:val="24"/>
        </w:rPr>
        <w:t>, Jankiewicz S, Janus M, Łanocha M, Mularek-Kubzdela T, Lesiak M. Optical coherence tomography reveals the mechanisms of balloon pulmonary angioplasty in inoperable chronic thromboembolic pulmonary hypertension. </w:t>
      </w:r>
      <w:r w:rsidRPr="008D4CA6">
        <w:rPr>
          <w:rFonts w:ascii="Book Antiqua" w:hAnsi="Book Antiqua"/>
          <w:i/>
          <w:iCs/>
          <w:sz w:val="24"/>
          <w:szCs w:val="24"/>
        </w:rPr>
        <w:t>Cardiol J</w:t>
      </w:r>
      <w:r w:rsidRPr="008D4CA6">
        <w:rPr>
          <w:rFonts w:ascii="Book Antiqua" w:hAnsi="Book Antiqua"/>
          <w:sz w:val="24"/>
          <w:szCs w:val="24"/>
        </w:rPr>
        <w:t> 2017; </w:t>
      </w:r>
      <w:r w:rsidRPr="008D4CA6">
        <w:rPr>
          <w:rFonts w:ascii="Book Antiqua" w:hAnsi="Book Antiqua"/>
          <w:b/>
          <w:bCs/>
          <w:sz w:val="24"/>
          <w:szCs w:val="24"/>
        </w:rPr>
        <w:t>24</w:t>
      </w:r>
      <w:r w:rsidRPr="008D4CA6">
        <w:rPr>
          <w:rFonts w:ascii="Book Antiqua" w:hAnsi="Book Antiqua"/>
          <w:sz w:val="24"/>
          <w:szCs w:val="24"/>
        </w:rPr>
        <w:t>: 334-335 [PMID: 28660997 DOI: 10.5603/CJ.2017.0060]</w:t>
      </w:r>
    </w:p>
    <w:p w14:paraId="6B45AD9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56 </w:t>
      </w:r>
      <w:r w:rsidRPr="008D4CA6">
        <w:rPr>
          <w:rFonts w:ascii="Book Antiqua" w:hAnsi="Book Antiqua"/>
          <w:b/>
          <w:bCs/>
          <w:sz w:val="24"/>
          <w:szCs w:val="24"/>
        </w:rPr>
        <w:t>Kopeć G</w:t>
      </w:r>
      <w:r w:rsidRPr="008D4CA6">
        <w:rPr>
          <w:rFonts w:ascii="Book Antiqua" w:hAnsi="Book Antiqua"/>
          <w:sz w:val="24"/>
          <w:szCs w:val="24"/>
        </w:rPr>
        <w:t>, Waligóra M, Stępniewski J, Żmudka K, Podolec P, Matsubara H. In vivo characterization of changes in composition of organized thrombus in patient with chronic thromboembolic pulmonary hypertension treated with balloon pulmonary angioplasty.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186</w:t>
      </w:r>
      <w:r w:rsidRPr="008D4CA6">
        <w:rPr>
          <w:rFonts w:ascii="Book Antiqua" w:hAnsi="Book Antiqua"/>
          <w:sz w:val="24"/>
          <w:szCs w:val="24"/>
        </w:rPr>
        <w:t>: 279-281 [PMID: 25828135 DOI: 10.1016/j.ijcard.2015.03.203]</w:t>
      </w:r>
    </w:p>
    <w:p w14:paraId="6B217BC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57 </w:t>
      </w:r>
      <w:r w:rsidRPr="008D4CA6">
        <w:rPr>
          <w:rFonts w:ascii="Book Antiqua" w:hAnsi="Book Antiqua"/>
          <w:b/>
          <w:bCs/>
          <w:sz w:val="24"/>
          <w:szCs w:val="24"/>
        </w:rPr>
        <w:t>Inami T</w:t>
      </w:r>
      <w:r w:rsidRPr="008D4CA6">
        <w:rPr>
          <w:rFonts w:ascii="Book Antiqua" w:hAnsi="Book Antiqua"/>
          <w:sz w:val="24"/>
          <w:szCs w:val="24"/>
        </w:rPr>
        <w:t xml:space="preserve">, Kataoka M, Ando M, Fukuda K, Yoshino H, Satoh T. A new era of therapeutic strategies for chronic thromboembolic pulmonary hypertension by two different </w:t>
      </w:r>
      <w:r w:rsidRPr="008D4CA6">
        <w:rPr>
          <w:rFonts w:ascii="Book Antiqua" w:hAnsi="Book Antiqua"/>
          <w:sz w:val="24"/>
          <w:szCs w:val="24"/>
        </w:rPr>
        <w:lastRenderedPageBreak/>
        <w:t>interventional therapies; pulmonary endarterectomy and percutaneous transluminal pulmonary angioplasty. </w:t>
      </w:r>
      <w:r w:rsidRPr="008D4CA6">
        <w:rPr>
          <w:rFonts w:ascii="Book Antiqua" w:hAnsi="Book Antiqua"/>
          <w:i/>
          <w:iCs/>
          <w:sz w:val="24"/>
          <w:szCs w:val="24"/>
        </w:rPr>
        <w:t>PLoS One</w:t>
      </w:r>
      <w:r w:rsidRPr="008D4CA6">
        <w:rPr>
          <w:rFonts w:ascii="Book Antiqua" w:hAnsi="Book Antiqua"/>
          <w:sz w:val="24"/>
          <w:szCs w:val="24"/>
        </w:rPr>
        <w:t> 2014; </w:t>
      </w:r>
      <w:r w:rsidRPr="008D4CA6">
        <w:rPr>
          <w:rFonts w:ascii="Book Antiqua" w:hAnsi="Book Antiqua"/>
          <w:b/>
          <w:bCs/>
          <w:sz w:val="24"/>
          <w:szCs w:val="24"/>
        </w:rPr>
        <w:t>9</w:t>
      </w:r>
      <w:r w:rsidRPr="008D4CA6">
        <w:rPr>
          <w:rFonts w:ascii="Book Antiqua" w:hAnsi="Book Antiqua"/>
          <w:sz w:val="24"/>
          <w:szCs w:val="24"/>
        </w:rPr>
        <w:t>: e94587 [PMID: 24728482 DOI: 10.1371/journal.pone.0094587]</w:t>
      </w:r>
    </w:p>
    <w:p w14:paraId="7E9680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58 </w:t>
      </w:r>
      <w:r w:rsidRPr="008D4CA6">
        <w:rPr>
          <w:rFonts w:ascii="Book Antiqua" w:hAnsi="Book Antiqua"/>
          <w:b/>
          <w:bCs/>
          <w:sz w:val="24"/>
          <w:szCs w:val="24"/>
        </w:rPr>
        <w:t>Yanagisawa R</w:t>
      </w:r>
      <w:r w:rsidRPr="008D4CA6">
        <w:rPr>
          <w:rFonts w:ascii="Book Antiqua" w:hAnsi="Book Antiqua"/>
          <w:sz w:val="24"/>
          <w:szCs w:val="24"/>
        </w:rPr>
        <w:t>, Kataoka M, Inami T, Shimura N, Ishiguro H, Fukuda K, Yoshino H, Satoh T. Safety and efficacy of percutaneous transluminal pulmonary angioplasty in elderly patients. </w:t>
      </w:r>
      <w:r w:rsidRPr="008D4CA6">
        <w:rPr>
          <w:rFonts w:ascii="Book Antiqua" w:hAnsi="Book Antiqua"/>
          <w:i/>
          <w:iCs/>
          <w:sz w:val="24"/>
          <w:szCs w:val="24"/>
        </w:rPr>
        <w:t>Int J Cardiol</w:t>
      </w:r>
      <w:r w:rsidRPr="008D4CA6">
        <w:rPr>
          <w:rFonts w:ascii="Book Antiqua" w:hAnsi="Book Antiqua"/>
          <w:sz w:val="24"/>
          <w:szCs w:val="24"/>
        </w:rPr>
        <w:t> 2014; </w:t>
      </w:r>
      <w:r w:rsidRPr="008D4CA6">
        <w:rPr>
          <w:rFonts w:ascii="Book Antiqua" w:hAnsi="Book Antiqua"/>
          <w:b/>
          <w:bCs/>
          <w:sz w:val="24"/>
          <w:szCs w:val="24"/>
        </w:rPr>
        <w:t>175</w:t>
      </w:r>
      <w:r w:rsidRPr="008D4CA6">
        <w:rPr>
          <w:rFonts w:ascii="Book Antiqua" w:hAnsi="Book Antiqua"/>
          <w:sz w:val="24"/>
          <w:szCs w:val="24"/>
        </w:rPr>
        <w:t>: 285-289 [PMID: 24874907 DOI: 10.1016/j.ijcard.2014.05.011]</w:t>
      </w:r>
    </w:p>
    <w:p w14:paraId="6EC4B8F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59 </w:t>
      </w:r>
      <w:r w:rsidRPr="008D4CA6">
        <w:rPr>
          <w:rFonts w:ascii="Book Antiqua" w:hAnsi="Book Antiqua"/>
          <w:b/>
          <w:bCs/>
          <w:sz w:val="24"/>
          <w:szCs w:val="24"/>
        </w:rPr>
        <w:t>Ogawa A</w:t>
      </w:r>
      <w:r w:rsidRPr="008D4CA6">
        <w:rPr>
          <w:rFonts w:ascii="Book Antiqua" w:hAnsi="Book Antiqua"/>
          <w:sz w:val="24"/>
          <w:szCs w:val="24"/>
        </w:rPr>
        <w:t>, Matsubara H. Balloon Pulmonary Angioplasty: A Treatment Option for Inoperable Patients with Chronic Thromboembolic Pulmonary Hypertension. </w:t>
      </w:r>
      <w:r w:rsidRPr="008D4CA6">
        <w:rPr>
          <w:rFonts w:ascii="Book Antiqua" w:hAnsi="Book Antiqua"/>
          <w:i/>
          <w:iCs/>
          <w:sz w:val="24"/>
          <w:szCs w:val="24"/>
        </w:rPr>
        <w:t>Front Cardiovasc Med</w:t>
      </w:r>
      <w:r w:rsidRPr="008D4CA6">
        <w:rPr>
          <w:rFonts w:ascii="Book Antiqua" w:hAnsi="Book Antiqua"/>
          <w:sz w:val="24"/>
          <w:szCs w:val="24"/>
        </w:rPr>
        <w:t> 2015; </w:t>
      </w:r>
      <w:r w:rsidRPr="008D4CA6">
        <w:rPr>
          <w:rFonts w:ascii="Book Antiqua" w:hAnsi="Book Antiqua"/>
          <w:b/>
          <w:bCs/>
          <w:sz w:val="24"/>
          <w:szCs w:val="24"/>
        </w:rPr>
        <w:t>2</w:t>
      </w:r>
      <w:r w:rsidRPr="008D4CA6">
        <w:rPr>
          <w:rFonts w:ascii="Book Antiqua" w:hAnsi="Book Antiqua"/>
          <w:sz w:val="24"/>
          <w:szCs w:val="24"/>
        </w:rPr>
        <w:t>: 4 [PMID: 26664876 DOI: 10.3389/fcvm.2015.00004]</w:t>
      </w:r>
    </w:p>
    <w:p w14:paraId="0BF83E4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60 </w:t>
      </w:r>
      <w:r w:rsidRPr="008D4CA6">
        <w:rPr>
          <w:rFonts w:ascii="Book Antiqua" w:hAnsi="Book Antiqua"/>
          <w:b/>
          <w:bCs/>
          <w:sz w:val="24"/>
          <w:szCs w:val="24"/>
        </w:rPr>
        <w:t>Fukuda K</w:t>
      </w:r>
      <w:r w:rsidRPr="008D4CA6">
        <w:rPr>
          <w:rFonts w:ascii="Book Antiqua" w:hAnsi="Book Antiqua"/>
          <w:sz w:val="24"/>
          <w:szCs w:val="24"/>
        </w:rPr>
        <w:t>, Date H, Doi S, Fukumoto Y, Fukushima N, Hatano M, Ito H, Kuwana M, Matsubara H, Momomura SI, Nishimura M, Ogino H, Satoh T, Shimokawa H, Yamauchi-Takihara K, Tatsumi K, Ishibashi-Ueda H, Yamada N, Yoshida S, Abe K, Ogawa A, Ogo T, Kasai T, Kataoka M, Kawakami T, Kogaki S, Nakamura M, Nakayama T, Nishizaki M, Sugimura K, Tanabe N, Tsujino I, Yao A, Akasaka T, Ando M, Kimura T, Kuriyama T, Nakanishi N, Nakanishi T, Tsutsui H; Japanese Circulation Society and the Japanese Pulmonary Circulation and Pulmonary Hypertension Society Joint Working Group. Guidelines for the Treatment of Pulmonary Hypertension (JCS 2017/JPCPHS 2017). </w:t>
      </w:r>
      <w:r w:rsidRPr="008D4CA6">
        <w:rPr>
          <w:rFonts w:ascii="Book Antiqua" w:hAnsi="Book Antiqua"/>
          <w:i/>
          <w:iCs/>
          <w:sz w:val="24"/>
          <w:szCs w:val="24"/>
        </w:rPr>
        <w:t>Circ J</w:t>
      </w:r>
      <w:r w:rsidRPr="008D4CA6">
        <w:rPr>
          <w:rFonts w:ascii="Book Antiqua" w:hAnsi="Book Antiqua"/>
          <w:sz w:val="24"/>
          <w:szCs w:val="24"/>
        </w:rPr>
        <w:t> 2019; </w:t>
      </w:r>
      <w:r w:rsidRPr="008D4CA6">
        <w:rPr>
          <w:rFonts w:ascii="Book Antiqua" w:hAnsi="Book Antiqua"/>
          <w:b/>
          <w:bCs/>
          <w:sz w:val="24"/>
          <w:szCs w:val="24"/>
        </w:rPr>
        <w:t>83</w:t>
      </w:r>
      <w:r w:rsidRPr="008D4CA6">
        <w:rPr>
          <w:rFonts w:ascii="Book Antiqua" w:hAnsi="Book Antiqua"/>
          <w:sz w:val="24"/>
          <w:szCs w:val="24"/>
        </w:rPr>
        <w:t>: 842-945 [PMID: 30853682 DOI: 10.1253/circj.CJ-66-0158]</w:t>
      </w:r>
    </w:p>
    <w:p w14:paraId="4D7A41A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61 </w:t>
      </w:r>
      <w:r w:rsidRPr="008D4CA6">
        <w:rPr>
          <w:rFonts w:ascii="Book Antiqua" w:hAnsi="Book Antiqua"/>
          <w:b/>
          <w:bCs/>
          <w:sz w:val="24"/>
          <w:szCs w:val="24"/>
        </w:rPr>
        <w:t>Inami T</w:t>
      </w:r>
      <w:r w:rsidRPr="008D4CA6">
        <w:rPr>
          <w:rFonts w:ascii="Book Antiqua" w:hAnsi="Book Antiqua"/>
          <w:sz w:val="24"/>
          <w:szCs w:val="24"/>
        </w:rPr>
        <w:t>, Kataoka M, Shimura N, Ishiguro H, Yanagisawa R, Fukuda K, Yoshino H, Satoh T. Pressure-wire-guided percutaneous transluminal pulmonary angioplasty: a breakthrough in catheter-interventional therapy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2014; </w:t>
      </w:r>
      <w:r w:rsidRPr="008D4CA6">
        <w:rPr>
          <w:rFonts w:ascii="Book Antiqua" w:hAnsi="Book Antiqua"/>
          <w:b/>
          <w:bCs/>
          <w:sz w:val="24"/>
          <w:szCs w:val="24"/>
        </w:rPr>
        <w:t>7</w:t>
      </w:r>
      <w:r w:rsidRPr="008D4CA6">
        <w:rPr>
          <w:rFonts w:ascii="Book Antiqua" w:hAnsi="Book Antiqua"/>
          <w:sz w:val="24"/>
          <w:szCs w:val="24"/>
        </w:rPr>
        <w:t>: 1297-1306 [PMID: 25459043 DOI: 10.1016/j.jcin.2014.06.010]</w:t>
      </w:r>
    </w:p>
    <w:p w14:paraId="6636447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62 </w:t>
      </w:r>
      <w:r w:rsidRPr="008D4CA6">
        <w:rPr>
          <w:rFonts w:ascii="Book Antiqua" w:hAnsi="Book Antiqua"/>
          <w:b/>
          <w:bCs/>
          <w:sz w:val="24"/>
          <w:szCs w:val="24"/>
        </w:rPr>
        <w:t>Shimura N</w:t>
      </w:r>
      <w:r w:rsidRPr="008D4CA6">
        <w:rPr>
          <w:rFonts w:ascii="Book Antiqua" w:hAnsi="Book Antiqua"/>
          <w:sz w:val="24"/>
          <w:szCs w:val="24"/>
        </w:rPr>
        <w:t>, Kataoka M, Inami T, Yanagisawa R, Ishiguro H, Kawakami T, Higuchi Y, Ando M, Fukuda K, Yoshino H, Satoh T. Additional percutaneous transluminal pulmonary angioplasty for residual or recurrent pulmonary hypertension after pulmonary endarterectomy.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183</w:t>
      </w:r>
      <w:r w:rsidRPr="008D4CA6">
        <w:rPr>
          <w:rFonts w:ascii="Book Antiqua" w:hAnsi="Book Antiqua"/>
          <w:sz w:val="24"/>
          <w:szCs w:val="24"/>
        </w:rPr>
        <w:t>: 138-142 [PMID: 25662076 DOI: 10.1016/j.ijcard.2015.01.034]</w:t>
      </w:r>
    </w:p>
    <w:p w14:paraId="4AEC7E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63 </w:t>
      </w:r>
      <w:r w:rsidRPr="008D4CA6">
        <w:rPr>
          <w:rFonts w:ascii="Book Antiqua" w:hAnsi="Book Antiqua"/>
          <w:b/>
          <w:bCs/>
          <w:sz w:val="24"/>
          <w:szCs w:val="24"/>
        </w:rPr>
        <w:t>Araszkiewicz A</w:t>
      </w:r>
      <w:r w:rsidRPr="008D4CA6">
        <w:rPr>
          <w:rFonts w:ascii="Book Antiqua" w:hAnsi="Book Antiqua"/>
          <w:sz w:val="24"/>
          <w:szCs w:val="24"/>
        </w:rPr>
        <w:t xml:space="preserve">, Darocha S, Pietrasik A, Pietura R, Jankiewicz S, Banaszkiewicz M, Sławek-Szmyt S, Biederman A, Mularek-Kubzdela T, Lesiak M, Torbicki A, Kurzyna M. Balloon pulmonary angioplasty for the treatment of residual or recurrent pulmonary </w:t>
      </w:r>
      <w:r w:rsidRPr="008D4CA6">
        <w:rPr>
          <w:rFonts w:ascii="Book Antiqua" w:hAnsi="Book Antiqua"/>
          <w:sz w:val="24"/>
          <w:szCs w:val="24"/>
        </w:rPr>
        <w:lastRenderedPageBreak/>
        <w:t>hypertension after pulmonary endarterectomy. </w:t>
      </w:r>
      <w:r w:rsidRPr="008D4CA6">
        <w:rPr>
          <w:rFonts w:ascii="Book Antiqua" w:hAnsi="Book Antiqua"/>
          <w:i/>
          <w:iCs/>
          <w:sz w:val="24"/>
          <w:szCs w:val="24"/>
        </w:rPr>
        <w:t>Int J Cardiol</w:t>
      </w:r>
      <w:r w:rsidRPr="008D4CA6">
        <w:rPr>
          <w:rFonts w:ascii="Book Antiqua" w:hAnsi="Book Antiqua"/>
          <w:sz w:val="24"/>
          <w:szCs w:val="24"/>
        </w:rPr>
        <w:t> 2019; </w:t>
      </w:r>
      <w:r w:rsidRPr="008D4CA6">
        <w:rPr>
          <w:rFonts w:ascii="Book Antiqua" w:hAnsi="Book Antiqua"/>
          <w:b/>
          <w:bCs/>
          <w:sz w:val="24"/>
          <w:szCs w:val="24"/>
        </w:rPr>
        <w:t>278</w:t>
      </w:r>
      <w:r w:rsidRPr="008D4CA6">
        <w:rPr>
          <w:rFonts w:ascii="Book Antiqua" w:hAnsi="Book Antiqua"/>
          <w:sz w:val="24"/>
          <w:szCs w:val="24"/>
        </w:rPr>
        <w:t>: 232-237 [PMID: 30409735 DOI: 10.1016/j.ijcard.2018.10.066]</w:t>
      </w:r>
    </w:p>
    <w:p w14:paraId="6DBF45A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64 </w:t>
      </w:r>
      <w:r w:rsidRPr="008D4CA6">
        <w:rPr>
          <w:rFonts w:ascii="Book Antiqua" w:hAnsi="Book Antiqua"/>
          <w:b/>
          <w:bCs/>
          <w:sz w:val="24"/>
          <w:szCs w:val="24"/>
        </w:rPr>
        <w:t>Wiedenroth CB</w:t>
      </w:r>
      <w:r w:rsidRPr="008D4CA6">
        <w:rPr>
          <w:rFonts w:ascii="Book Antiqua" w:hAnsi="Book Antiqua"/>
          <w:sz w:val="24"/>
          <w:szCs w:val="24"/>
        </w:rPr>
        <w:t>, Olsson KM, Guth S, Breithecker A, Haas M, Kamp JC, Fuge J, Hinrichs JB, Roller F, Hamm CW, Mayer E, Ghofrani HA, Meyer BC, Liebetrau C. Balloon pulmonary angioplasty for inoperable patients with chronic thromboembolic disease. </w:t>
      </w:r>
      <w:r w:rsidRPr="008D4CA6">
        <w:rPr>
          <w:rFonts w:ascii="Book Antiqua" w:hAnsi="Book Antiqua"/>
          <w:i/>
          <w:iCs/>
          <w:sz w:val="24"/>
          <w:szCs w:val="24"/>
        </w:rPr>
        <w:t>Pulm Circ</w:t>
      </w:r>
      <w:r w:rsidRPr="008D4CA6">
        <w:rPr>
          <w:rFonts w:ascii="Book Antiqua" w:hAnsi="Book Antiqua"/>
          <w:sz w:val="24"/>
          <w:szCs w:val="24"/>
        </w:rPr>
        <w:t> 2018; </w:t>
      </w:r>
      <w:r w:rsidRPr="008D4CA6">
        <w:rPr>
          <w:rFonts w:ascii="Book Antiqua" w:hAnsi="Book Antiqua"/>
          <w:b/>
          <w:bCs/>
          <w:sz w:val="24"/>
          <w:szCs w:val="24"/>
        </w:rPr>
        <w:t>8</w:t>
      </w:r>
      <w:r w:rsidRPr="008D4CA6">
        <w:rPr>
          <w:rFonts w:ascii="Book Antiqua" w:hAnsi="Book Antiqua"/>
          <w:sz w:val="24"/>
          <w:szCs w:val="24"/>
        </w:rPr>
        <w:t>: 2045893217753122 [PMID: 29283044 DOI: 10.1177/2045893217753122]</w:t>
      </w:r>
    </w:p>
    <w:p w14:paraId="5DE0097C" w14:textId="29A37918"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65 </w:t>
      </w:r>
      <w:r w:rsidRPr="008D4CA6">
        <w:rPr>
          <w:rFonts w:ascii="Book Antiqua" w:hAnsi="Book Antiqua"/>
          <w:b/>
          <w:bCs/>
          <w:sz w:val="24"/>
          <w:szCs w:val="24"/>
        </w:rPr>
        <w:t>Inami T</w:t>
      </w:r>
      <w:r w:rsidRPr="008D4CA6">
        <w:rPr>
          <w:rFonts w:ascii="Book Antiqua" w:hAnsi="Book Antiqua"/>
          <w:sz w:val="24"/>
          <w:szCs w:val="24"/>
        </w:rPr>
        <w:t>, Kataoka M, Kikuchi H, Goda A, Satoh T. Balloon pulmonary angioplasty for symptomatic chronic thromboembolic disease without pulmonary hypertension at rest. </w:t>
      </w:r>
      <w:r w:rsidRPr="008D4CA6">
        <w:rPr>
          <w:rFonts w:ascii="Book Antiqua" w:hAnsi="Book Antiqua"/>
          <w:i/>
          <w:iCs/>
          <w:sz w:val="24"/>
          <w:szCs w:val="24"/>
        </w:rPr>
        <w:t>Int J Cardiol</w:t>
      </w:r>
      <w:r w:rsidR="004A30C3">
        <w:rPr>
          <w:rFonts w:ascii="Book Antiqua" w:hAnsi="Book Antiqua"/>
          <w:i/>
          <w:iCs/>
          <w:sz w:val="24"/>
          <w:szCs w:val="24"/>
        </w:rPr>
        <w:t xml:space="preserve"> </w:t>
      </w:r>
      <w:r w:rsidRPr="008D4CA6">
        <w:rPr>
          <w:rFonts w:ascii="Book Antiqua" w:hAnsi="Book Antiqua"/>
          <w:sz w:val="24"/>
          <w:szCs w:val="24"/>
        </w:rPr>
        <w:t>2019; </w:t>
      </w:r>
      <w:r w:rsidRPr="008D4CA6">
        <w:rPr>
          <w:rFonts w:ascii="Book Antiqua" w:hAnsi="Book Antiqua"/>
          <w:b/>
          <w:bCs/>
          <w:sz w:val="24"/>
          <w:szCs w:val="24"/>
        </w:rPr>
        <w:t>289</w:t>
      </w:r>
      <w:r w:rsidRPr="008D4CA6">
        <w:rPr>
          <w:rFonts w:ascii="Book Antiqua" w:hAnsi="Book Antiqua"/>
          <w:sz w:val="24"/>
          <w:szCs w:val="24"/>
        </w:rPr>
        <w:t>: 116-118 [PMID: 31060757 DOI: 10.1016/j.ijcard.2019.04.080]</w:t>
      </w:r>
    </w:p>
    <w:p w14:paraId="76D8B09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66 </w:t>
      </w:r>
      <w:r w:rsidRPr="008D4CA6">
        <w:rPr>
          <w:rFonts w:ascii="Book Antiqua" w:hAnsi="Book Antiqua"/>
          <w:b/>
          <w:bCs/>
          <w:sz w:val="24"/>
          <w:szCs w:val="24"/>
        </w:rPr>
        <w:t>Minatsuki S</w:t>
      </w:r>
      <w:r w:rsidRPr="008D4CA6">
        <w:rPr>
          <w:rFonts w:ascii="Book Antiqua" w:hAnsi="Book Antiqua"/>
          <w:sz w:val="24"/>
          <w:szCs w:val="24"/>
        </w:rPr>
        <w:t>, Kiyosue A, Kodera S, Hara T, Saito A, Maki H, Hatano M, Takimoto E, Ando M, Komuro I. Effectiveness of balloon pulmonary angioplasty in patients with inoperable chronic thromboembolic pulmonary hypertension despite having lesion types suitable for surgical treatment. </w:t>
      </w:r>
      <w:r w:rsidRPr="008D4CA6">
        <w:rPr>
          <w:rFonts w:ascii="Book Antiqua" w:hAnsi="Book Antiqua"/>
          <w:i/>
          <w:iCs/>
          <w:sz w:val="24"/>
          <w:szCs w:val="24"/>
        </w:rPr>
        <w:t>J Cardiol</w:t>
      </w:r>
      <w:r w:rsidRPr="008D4CA6">
        <w:rPr>
          <w:rFonts w:ascii="Book Antiqua" w:hAnsi="Book Antiqua"/>
          <w:sz w:val="24"/>
          <w:szCs w:val="24"/>
        </w:rPr>
        <w:t> 2020; </w:t>
      </w:r>
      <w:r w:rsidRPr="008D4CA6">
        <w:rPr>
          <w:rFonts w:ascii="Book Antiqua" w:hAnsi="Book Antiqua"/>
          <w:b/>
          <w:bCs/>
          <w:sz w:val="24"/>
          <w:szCs w:val="24"/>
        </w:rPr>
        <w:t>75</w:t>
      </w:r>
      <w:r w:rsidRPr="008D4CA6">
        <w:rPr>
          <w:rFonts w:ascii="Book Antiqua" w:hAnsi="Book Antiqua"/>
          <w:sz w:val="24"/>
          <w:szCs w:val="24"/>
        </w:rPr>
        <w:t>: 182-188 [PMID: 31427133 DOI: 10.1016/j.jjcc.2019.07.006]</w:t>
      </w:r>
    </w:p>
    <w:p w14:paraId="71FB62D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67 </w:t>
      </w:r>
      <w:r w:rsidRPr="008D4CA6">
        <w:rPr>
          <w:rFonts w:ascii="Book Antiqua" w:hAnsi="Book Antiqua"/>
          <w:b/>
          <w:bCs/>
          <w:sz w:val="24"/>
          <w:szCs w:val="24"/>
        </w:rPr>
        <w:t>Ishiguro H</w:t>
      </w:r>
      <w:r w:rsidRPr="008D4CA6">
        <w:rPr>
          <w:rFonts w:ascii="Book Antiqua" w:hAnsi="Book Antiqua"/>
          <w:sz w:val="24"/>
          <w:szCs w:val="24"/>
        </w:rPr>
        <w:t>, Kataoka M, Inami T, Yanagisawa R, Shimura N, Taguchi H, Kohshoh H, Yoshino H, Satoh T. Percutaneous transluminal pulmonary angioplasty for central-type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2013; </w:t>
      </w:r>
      <w:r w:rsidRPr="008D4CA6">
        <w:rPr>
          <w:rFonts w:ascii="Book Antiqua" w:hAnsi="Book Antiqua"/>
          <w:b/>
          <w:bCs/>
          <w:sz w:val="24"/>
          <w:szCs w:val="24"/>
        </w:rPr>
        <w:t>6</w:t>
      </w:r>
      <w:r w:rsidRPr="008D4CA6">
        <w:rPr>
          <w:rFonts w:ascii="Book Antiqua" w:hAnsi="Book Antiqua"/>
          <w:sz w:val="24"/>
          <w:szCs w:val="24"/>
        </w:rPr>
        <w:t>: 1212-1213 [PMID: 24262622 DOI: 10.1016/j.jcin.2013.03.025]</w:t>
      </w:r>
    </w:p>
    <w:p w14:paraId="540B2E1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68 </w:t>
      </w:r>
      <w:r w:rsidRPr="008D4CA6">
        <w:rPr>
          <w:rFonts w:ascii="Book Antiqua" w:hAnsi="Book Antiqua"/>
          <w:b/>
          <w:bCs/>
          <w:sz w:val="24"/>
          <w:szCs w:val="24"/>
        </w:rPr>
        <w:t>Nakamura T</w:t>
      </w:r>
      <w:r w:rsidRPr="008D4CA6">
        <w:rPr>
          <w:rFonts w:ascii="Book Antiqua" w:hAnsi="Book Antiqua"/>
          <w:sz w:val="24"/>
          <w:szCs w:val="24"/>
        </w:rPr>
        <w:t>, Ogo T, Tsuji A, Fukui S, Fukuda T, Tahara N, Fukumoto Y, Yasuda S, Ogawa H, Nakanishi N. Successful balloon pulmonary angioplasty with gadolinium contrast media for a patient with chronic thromboembolic pulmonary hypertension and iodine allergy. </w:t>
      </w:r>
      <w:r w:rsidRPr="008D4CA6">
        <w:rPr>
          <w:rFonts w:ascii="Book Antiqua" w:hAnsi="Book Antiqua"/>
          <w:i/>
          <w:iCs/>
          <w:sz w:val="24"/>
          <w:szCs w:val="24"/>
        </w:rPr>
        <w:t>Respir Med Case Rep</w:t>
      </w:r>
      <w:r w:rsidRPr="008D4CA6">
        <w:rPr>
          <w:rFonts w:ascii="Book Antiqua" w:hAnsi="Book Antiqua"/>
          <w:sz w:val="24"/>
          <w:szCs w:val="24"/>
        </w:rPr>
        <w:t> 2016; </w:t>
      </w:r>
      <w:r w:rsidRPr="008D4CA6">
        <w:rPr>
          <w:rFonts w:ascii="Book Antiqua" w:hAnsi="Book Antiqua"/>
          <w:b/>
          <w:bCs/>
          <w:sz w:val="24"/>
          <w:szCs w:val="24"/>
        </w:rPr>
        <w:t>17</w:t>
      </w:r>
      <w:r w:rsidRPr="008D4CA6">
        <w:rPr>
          <w:rFonts w:ascii="Book Antiqua" w:hAnsi="Book Antiqua"/>
          <w:sz w:val="24"/>
          <w:szCs w:val="24"/>
        </w:rPr>
        <w:t>: 75-82 [PMID: 27141436 DOI: 10.1016/j.rmcr.2016.02.002]</w:t>
      </w:r>
    </w:p>
    <w:p w14:paraId="4BF30DE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69 </w:t>
      </w:r>
      <w:r w:rsidRPr="008D4CA6">
        <w:rPr>
          <w:rFonts w:ascii="Book Antiqua" w:hAnsi="Book Antiqua"/>
          <w:b/>
          <w:bCs/>
          <w:sz w:val="24"/>
          <w:szCs w:val="24"/>
        </w:rPr>
        <w:t>Tsuji A</w:t>
      </w:r>
      <w:r w:rsidRPr="008D4CA6">
        <w:rPr>
          <w:rFonts w:ascii="Book Antiqua" w:hAnsi="Book Antiqua"/>
          <w:sz w:val="24"/>
          <w:szCs w:val="24"/>
        </w:rPr>
        <w:t>, Ogo T, Demachi J, Ono Y, Sanda Y, Morita Y, Fukuda T, Nakanishi N. Rescue balloon pulmonary angioplasty in a rapidly deteriorating chronic thromboembolic pulmonary hypertension patient with liver failure and refractory infection. </w:t>
      </w:r>
      <w:r w:rsidRPr="008D4CA6">
        <w:rPr>
          <w:rFonts w:ascii="Book Antiqua" w:hAnsi="Book Antiqua"/>
          <w:i/>
          <w:iCs/>
          <w:sz w:val="24"/>
          <w:szCs w:val="24"/>
        </w:rPr>
        <w:t>Pulm Circ</w:t>
      </w:r>
      <w:r w:rsidRPr="008D4CA6">
        <w:rPr>
          <w:rFonts w:ascii="Book Antiqua" w:hAnsi="Book Antiqua"/>
          <w:sz w:val="24"/>
          <w:szCs w:val="24"/>
        </w:rPr>
        <w:t> 2014; </w:t>
      </w:r>
      <w:r w:rsidRPr="008D4CA6">
        <w:rPr>
          <w:rFonts w:ascii="Book Antiqua" w:hAnsi="Book Antiqua"/>
          <w:b/>
          <w:bCs/>
          <w:sz w:val="24"/>
          <w:szCs w:val="24"/>
        </w:rPr>
        <w:t>4</w:t>
      </w:r>
      <w:r w:rsidRPr="008D4CA6">
        <w:rPr>
          <w:rFonts w:ascii="Book Antiqua" w:hAnsi="Book Antiqua"/>
          <w:sz w:val="24"/>
          <w:szCs w:val="24"/>
        </w:rPr>
        <w:t>: 142-147 [PMID: 25006430 DOI: 10.1086/675643]</w:t>
      </w:r>
    </w:p>
    <w:p w14:paraId="466A2F7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70 </w:t>
      </w:r>
      <w:r w:rsidRPr="008D4CA6">
        <w:rPr>
          <w:rFonts w:ascii="Book Antiqua" w:hAnsi="Book Antiqua"/>
          <w:b/>
          <w:bCs/>
          <w:sz w:val="24"/>
          <w:szCs w:val="24"/>
        </w:rPr>
        <w:t>Inami T</w:t>
      </w:r>
      <w:r w:rsidRPr="008D4CA6">
        <w:rPr>
          <w:rFonts w:ascii="Book Antiqua" w:hAnsi="Book Antiqua"/>
          <w:sz w:val="24"/>
          <w:szCs w:val="24"/>
        </w:rPr>
        <w:t>, Kataoka M, Ishiguro H, Yanagisawa R, Shimura N, Yoshino H, Satoh T. Percutaneous transluminal pulmonary angioplasty for chronic thromboembolic pulmonary hypertension with severe right heart failure. </w:t>
      </w:r>
      <w:r w:rsidRPr="008D4CA6">
        <w:rPr>
          <w:rFonts w:ascii="Book Antiqua" w:hAnsi="Book Antiqua"/>
          <w:i/>
          <w:iCs/>
          <w:sz w:val="24"/>
          <w:szCs w:val="24"/>
        </w:rPr>
        <w:t>Am J Respir Crit Care Med</w:t>
      </w:r>
      <w:r w:rsidRPr="008D4CA6">
        <w:rPr>
          <w:rFonts w:ascii="Book Antiqua" w:hAnsi="Book Antiqua"/>
          <w:sz w:val="24"/>
          <w:szCs w:val="24"/>
        </w:rPr>
        <w:t> 2014; </w:t>
      </w:r>
      <w:r w:rsidRPr="008D4CA6">
        <w:rPr>
          <w:rFonts w:ascii="Book Antiqua" w:hAnsi="Book Antiqua"/>
          <w:b/>
          <w:bCs/>
          <w:sz w:val="24"/>
          <w:szCs w:val="24"/>
        </w:rPr>
        <w:t>189</w:t>
      </w:r>
      <w:r w:rsidRPr="008D4CA6">
        <w:rPr>
          <w:rFonts w:ascii="Book Antiqua" w:hAnsi="Book Antiqua"/>
          <w:sz w:val="24"/>
          <w:szCs w:val="24"/>
        </w:rPr>
        <w:t>: 1437-1439 [PMID: 24881941 DOI: 10.1164/rccm.201312-2254LE]</w:t>
      </w:r>
    </w:p>
    <w:p w14:paraId="72AABC9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71 </w:t>
      </w:r>
      <w:r w:rsidRPr="008D4CA6">
        <w:rPr>
          <w:rFonts w:ascii="Book Antiqua" w:hAnsi="Book Antiqua"/>
          <w:b/>
          <w:bCs/>
          <w:sz w:val="24"/>
          <w:szCs w:val="24"/>
        </w:rPr>
        <w:t>Sueoka J</w:t>
      </w:r>
      <w:r w:rsidRPr="008D4CA6">
        <w:rPr>
          <w:rFonts w:ascii="Book Antiqua" w:hAnsi="Book Antiqua"/>
          <w:sz w:val="24"/>
          <w:szCs w:val="24"/>
        </w:rPr>
        <w:t>, Kataoka M, Shimura N, Inami T, Yanagisawa R, Ishiguro H, Kawakami T, Fukuda K, Yoshino H, Satoh T. Therapeutic efficacy after percutaneous transluminal pulmonary angioplasty in CTEPH with and without clotting disorder according to anti-cardiolipin antibody.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201</w:t>
      </w:r>
      <w:r w:rsidRPr="008D4CA6">
        <w:rPr>
          <w:rFonts w:ascii="Book Antiqua" w:hAnsi="Book Antiqua"/>
          <w:sz w:val="24"/>
          <w:szCs w:val="24"/>
        </w:rPr>
        <w:t>: 271-273 [PMID: 26301655 DOI: 10.1016/j.ijcard.2015.08.104]</w:t>
      </w:r>
    </w:p>
    <w:p w14:paraId="1B1101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72 </w:t>
      </w:r>
      <w:r w:rsidRPr="008D4CA6">
        <w:rPr>
          <w:rFonts w:ascii="Book Antiqua" w:hAnsi="Book Antiqua"/>
          <w:b/>
          <w:bCs/>
          <w:sz w:val="24"/>
          <w:szCs w:val="24"/>
        </w:rPr>
        <w:t>Berman M</w:t>
      </w:r>
      <w:r w:rsidRPr="008D4CA6">
        <w:rPr>
          <w:rFonts w:ascii="Book Antiqua" w:hAnsi="Book Antiqua"/>
          <w:sz w:val="24"/>
          <w:szCs w:val="24"/>
        </w:rPr>
        <w:t>, Hardman G, Sharples L, Pepke-Zaba J, Sheares K, Tsui S, Dunning J, Jenkins DP. Pulmonary endarterectomy: outcomes in patients aged &gt;70. </w:t>
      </w:r>
      <w:r w:rsidRPr="008D4CA6">
        <w:rPr>
          <w:rFonts w:ascii="Book Antiqua" w:hAnsi="Book Antiqua"/>
          <w:i/>
          <w:iCs/>
          <w:sz w:val="24"/>
          <w:szCs w:val="24"/>
        </w:rPr>
        <w:t>Eur J Cardiothorac Surg</w:t>
      </w:r>
      <w:r w:rsidRPr="008D4CA6">
        <w:rPr>
          <w:rFonts w:ascii="Book Antiqua" w:hAnsi="Book Antiqua"/>
          <w:sz w:val="24"/>
          <w:szCs w:val="24"/>
        </w:rPr>
        <w:t> 2012; </w:t>
      </w:r>
      <w:r w:rsidRPr="008D4CA6">
        <w:rPr>
          <w:rFonts w:ascii="Book Antiqua" w:hAnsi="Book Antiqua"/>
          <w:b/>
          <w:bCs/>
          <w:sz w:val="24"/>
          <w:szCs w:val="24"/>
        </w:rPr>
        <w:t>41</w:t>
      </w:r>
      <w:r w:rsidRPr="008D4CA6">
        <w:rPr>
          <w:rFonts w:ascii="Book Antiqua" w:hAnsi="Book Antiqua"/>
          <w:sz w:val="24"/>
          <w:szCs w:val="24"/>
        </w:rPr>
        <w:t>: e154-e160 [PMID: 22593260 DOI: 10.1093/ejcts/ezs188]</w:t>
      </w:r>
    </w:p>
    <w:p w14:paraId="7675A09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73 </w:t>
      </w:r>
      <w:r w:rsidRPr="008D4CA6">
        <w:rPr>
          <w:rFonts w:ascii="Book Antiqua" w:hAnsi="Book Antiqua"/>
          <w:b/>
          <w:bCs/>
          <w:sz w:val="24"/>
          <w:szCs w:val="24"/>
        </w:rPr>
        <w:t>Yamagata Y</w:t>
      </w:r>
      <w:r w:rsidRPr="008D4CA6">
        <w:rPr>
          <w:rFonts w:ascii="Book Antiqua" w:hAnsi="Book Antiqua"/>
          <w:sz w:val="24"/>
          <w:szCs w:val="24"/>
        </w:rPr>
        <w:t>, Ikeda S, Nakata T, Yonekura T, Koga S, Muroya T, Koide Y, Kawano H, Maemura K. Balloon pulmonary angioplasty is effective for treating peripheral-type chronic thromboembolic pulmonary hypertension in elderly patients. </w:t>
      </w:r>
      <w:r w:rsidRPr="008D4CA6">
        <w:rPr>
          <w:rFonts w:ascii="Book Antiqua" w:hAnsi="Book Antiqua"/>
          <w:i/>
          <w:iCs/>
          <w:sz w:val="24"/>
          <w:szCs w:val="24"/>
        </w:rPr>
        <w:t>Geriatr Gerontol Int</w:t>
      </w:r>
      <w:r w:rsidRPr="008D4CA6">
        <w:rPr>
          <w:rFonts w:ascii="Book Antiqua" w:hAnsi="Book Antiqua"/>
          <w:sz w:val="24"/>
          <w:szCs w:val="24"/>
        </w:rPr>
        <w:t> 2018; </w:t>
      </w:r>
      <w:r w:rsidRPr="008D4CA6">
        <w:rPr>
          <w:rFonts w:ascii="Book Antiqua" w:hAnsi="Book Antiqua"/>
          <w:b/>
          <w:bCs/>
          <w:sz w:val="24"/>
          <w:szCs w:val="24"/>
        </w:rPr>
        <w:t>18</w:t>
      </w:r>
      <w:r w:rsidRPr="008D4CA6">
        <w:rPr>
          <w:rFonts w:ascii="Book Antiqua" w:hAnsi="Book Antiqua"/>
          <w:sz w:val="24"/>
          <w:szCs w:val="24"/>
        </w:rPr>
        <w:t>: 678-684 [PMID: 29278287 DOI: 10.1111/ggi.13224]</w:t>
      </w:r>
    </w:p>
    <w:p w14:paraId="199EB24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74 </w:t>
      </w:r>
      <w:r w:rsidRPr="008D4CA6">
        <w:rPr>
          <w:rFonts w:ascii="Book Antiqua" w:hAnsi="Book Antiqua"/>
          <w:b/>
          <w:bCs/>
          <w:sz w:val="24"/>
          <w:szCs w:val="24"/>
        </w:rPr>
        <w:t>Roik M</w:t>
      </w:r>
      <w:r w:rsidRPr="008D4CA6">
        <w:rPr>
          <w:rFonts w:ascii="Book Antiqua" w:hAnsi="Book Antiqua"/>
          <w:sz w:val="24"/>
          <w:szCs w:val="24"/>
        </w:rPr>
        <w:t>, Wretowski D, Łabyk A, Irzyk K, Lichodziejewska B, Dzikowska-Diduch O, Piotrowska-Kownacka D, Pruszczyk P. Refined balloon pulmonary angioplasty-A therapeutic option in very elderly patients with chronic thromboembolic pulmonary hypertension. </w:t>
      </w:r>
      <w:r w:rsidRPr="008D4CA6">
        <w:rPr>
          <w:rFonts w:ascii="Book Antiqua" w:hAnsi="Book Antiqua"/>
          <w:i/>
          <w:iCs/>
          <w:sz w:val="24"/>
          <w:szCs w:val="24"/>
        </w:rPr>
        <w:t>J Interv Cardiol</w:t>
      </w:r>
      <w:r w:rsidRPr="008D4CA6">
        <w:rPr>
          <w:rFonts w:ascii="Book Antiqua" w:hAnsi="Book Antiqua"/>
          <w:sz w:val="24"/>
          <w:szCs w:val="24"/>
        </w:rPr>
        <w:t> 2017; </w:t>
      </w:r>
      <w:r w:rsidRPr="008D4CA6">
        <w:rPr>
          <w:rFonts w:ascii="Book Antiqua" w:hAnsi="Book Antiqua"/>
          <w:b/>
          <w:bCs/>
          <w:sz w:val="24"/>
          <w:szCs w:val="24"/>
        </w:rPr>
        <w:t>30</w:t>
      </w:r>
      <w:r w:rsidRPr="008D4CA6">
        <w:rPr>
          <w:rFonts w:ascii="Book Antiqua" w:hAnsi="Book Antiqua"/>
          <w:sz w:val="24"/>
          <w:szCs w:val="24"/>
        </w:rPr>
        <w:t>: 249-255 [PMID: 28474349 DOI: 10.1111/joic.12387]</w:t>
      </w:r>
    </w:p>
    <w:p w14:paraId="782AE7BF" w14:textId="60A77754"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75 </w:t>
      </w:r>
      <w:r w:rsidRPr="008D4CA6">
        <w:rPr>
          <w:rFonts w:ascii="Book Antiqua" w:hAnsi="Book Antiqua"/>
          <w:b/>
          <w:bCs/>
          <w:sz w:val="24"/>
          <w:szCs w:val="24"/>
        </w:rPr>
        <w:t>Kawakami T</w:t>
      </w:r>
      <w:r w:rsidRPr="008D4CA6">
        <w:rPr>
          <w:rFonts w:ascii="Book Antiqua" w:hAnsi="Book Antiqua"/>
          <w:sz w:val="24"/>
          <w:szCs w:val="24"/>
        </w:rPr>
        <w:t>, Ogawa A, Miyaji K, Mizoguchi H, Shimokawahara H, Naito T, Oka T, Yunoki K, Munemasa M, Matsubara H. Novel Angiographic Classification of Each Vascular Lesion in Chronic Thromboembolic Pulmonary Hypertension Based on Selective Angiogram and Results of Balloon Pulmonary Angioplasty. </w:t>
      </w:r>
      <w:r w:rsidRPr="008D4CA6">
        <w:rPr>
          <w:rFonts w:ascii="Book Antiqua" w:hAnsi="Book Antiqua"/>
          <w:i/>
          <w:iCs/>
          <w:sz w:val="24"/>
          <w:szCs w:val="24"/>
        </w:rPr>
        <w:t>Circ Cardiovasc Interv</w:t>
      </w:r>
      <w:r w:rsidRPr="008D4CA6">
        <w:rPr>
          <w:rFonts w:ascii="Book Antiqua" w:hAnsi="Book Antiqua"/>
          <w:sz w:val="24"/>
          <w:szCs w:val="24"/>
        </w:rPr>
        <w:t> 2016; </w:t>
      </w:r>
      <w:r w:rsidRPr="008D4CA6">
        <w:rPr>
          <w:rFonts w:ascii="Book Antiqua" w:hAnsi="Book Antiqua"/>
          <w:b/>
          <w:bCs/>
          <w:sz w:val="24"/>
          <w:szCs w:val="24"/>
        </w:rPr>
        <w:t>9</w:t>
      </w:r>
      <w:r w:rsidRPr="008D4CA6">
        <w:rPr>
          <w:rFonts w:ascii="Book Antiqua" w:hAnsi="Book Antiqua"/>
          <w:sz w:val="24"/>
          <w:szCs w:val="24"/>
        </w:rPr>
        <w:t xml:space="preserve">: </w:t>
      </w:r>
      <w:r w:rsidR="00CD56A6" w:rsidRPr="00FC6293">
        <w:rPr>
          <w:rFonts w:ascii="Book Antiqua" w:hAnsi="Book Antiqua"/>
          <w:sz w:val="24"/>
          <w:szCs w:val="24"/>
        </w:rPr>
        <w:t xml:space="preserve">e003318 </w:t>
      </w:r>
      <w:r w:rsidRPr="008D4CA6">
        <w:rPr>
          <w:rFonts w:ascii="Book Antiqua" w:hAnsi="Book Antiqua"/>
          <w:sz w:val="24"/>
          <w:szCs w:val="24"/>
        </w:rPr>
        <w:t>[PMID: 27729418 DOI: 10.1161/circinterventions.115.003318]</w:t>
      </w:r>
    </w:p>
    <w:p w14:paraId="210977E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76 </w:t>
      </w:r>
      <w:r w:rsidRPr="008D4CA6">
        <w:rPr>
          <w:rFonts w:ascii="Book Antiqua" w:hAnsi="Book Antiqua"/>
          <w:b/>
          <w:bCs/>
          <w:sz w:val="24"/>
          <w:szCs w:val="24"/>
        </w:rPr>
        <w:t>Kataoka M</w:t>
      </w:r>
      <w:r w:rsidRPr="008D4CA6">
        <w:rPr>
          <w:rFonts w:ascii="Book Antiqua" w:hAnsi="Book Antiqua"/>
          <w:sz w:val="24"/>
          <w:szCs w:val="24"/>
        </w:rPr>
        <w:t>, Inami T, Kawakami T, Fukuda K, Satoh T. Balloon Pulmonary Angioplasty (Percutaneous Transluminal Pulmonary Angioplasty) for Chronic Thromboembolic Pulmonary Hypertension: A Japanese Perspective. </w:t>
      </w:r>
      <w:r w:rsidRPr="008D4CA6">
        <w:rPr>
          <w:rFonts w:ascii="Book Antiqua" w:hAnsi="Book Antiqua"/>
          <w:i/>
          <w:iCs/>
          <w:sz w:val="24"/>
          <w:szCs w:val="24"/>
        </w:rPr>
        <w:t>JACC Cardiovasc Interv</w:t>
      </w:r>
      <w:r w:rsidRPr="008D4CA6">
        <w:rPr>
          <w:rFonts w:ascii="Book Antiqua" w:hAnsi="Book Antiqua"/>
          <w:sz w:val="24"/>
          <w:szCs w:val="24"/>
        </w:rPr>
        <w:t> 2019; </w:t>
      </w:r>
      <w:r w:rsidRPr="008D4CA6">
        <w:rPr>
          <w:rFonts w:ascii="Book Antiqua" w:hAnsi="Book Antiqua"/>
          <w:b/>
          <w:bCs/>
          <w:sz w:val="24"/>
          <w:szCs w:val="24"/>
        </w:rPr>
        <w:t>12</w:t>
      </w:r>
      <w:r w:rsidRPr="008D4CA6">
        <w:rPr>
          <w:rFonts w:ascii="Book Antiqua" w:hAnsi="Book Antiqua"/>
          <w:sz w:val="24"/>
          <w:szCs w:val="24"/>
        </w:rPr>
        <w:t>: 1382-1388 [PMID: 31103538 DOI: 10.1016/j.jcin.2019.01.237]</w:t>
      </w:r>
    </w:p>
    <w:p w14:paraId="034AD4E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77 </w:t>
      </w:r>
      <w:r w:rsidRPr="008D4CA6">
        <w:rPr>
          <w:rFonts w:ascii="Book Antiqua" w:hAnsi="Book Antiqua"/>
          <w:b/>
          <w:bCs/>
          <w:sz w:val="24"/>
          <w:szCs w:val="24"/>
        </w:rPr>
        <w:t>Inami T</w:t>
      </w:r>
      <w:r w:rsidRPr="008D4CA6">
        <w:rPr>
          <w:rFonts w:ascii="Book Antiqua" w:hAnsi="Book Antiqua"/>
          <w:sz w:val="24"/>
          <w:szCs w:val="24"/>
        </w:rPr>
        <w:t>, Kataoka M, Shimura N, Ishiguro H, Yanagisawa R, Taguchi H, Fukuda K, Yoshino H, Satoh T. Pulmonary edema predictive scoring index (PEPSI), a new index to predict risk of reperfusion pulmonary edema and improvement of hemodynamics in percutaneous transluminal pulmonary angioplasty. </w:t>
      </w:r>
      <w:r w:rsidRPr="008D4CA6">
        <w:rPr>
          <w:rFonts w:ascii="Book Antiqua" w:hAnsi="Book Antiqua"/>
          <w:i/>
          <w:iCs/>
          <w:sz w:val="24"/>
          <w:szCs w:val="24"/>
        </w:rPr>
        <w:t>JACC Cardiovasc Interv</w:t>
      </w:r>
      <w:r w:rsidRPr="008D4CA6">
        <w:rPr>
          <w:rFonts w:ascii="Book Antiqua" w:hAnsi="Book Antiqua"/>
          <w:sz w:val="24"/>
          <w:szCs w:val="24"/>
        </w:rPr>
        <w:t> 2013; </w:t>
      </w:r>
      <w:r w:rsidRPr="008D4CA6">
        <w:rPr>
          <w:rFonts w:ascii="Book Antiqua" w:hAnsi="Book Antiqua"/>
          <w:b/>
          <w:bCs/>
          <w:sz w:val="24"/>
          <w:szCs w:val="24"/>
        </w:rPr>
        <w:t>6</w:t>
      </w:r>
      <w:r w:rsidRPr="008D4CA6">
        <w:rPr>
          <w:rFonts w:ascii="Book Antiqua" w:hAnsi="Book Antiqua"/>
          <w:sz w:val="24"/>
          <w:szCs w:val="24"/>
        </w:rPr>
        <w:t>: 725-736 [PMID: 23769649 DOI: 10.1016/j.jcin.2013.03.009]</w:t>
      </w:r>
    </w:p>
    <w:p w14:paraId="68D5996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78 </w:t>
      </w:r>
      <w:r w:rsidRPr="008D4CA6">
        <w:rPr>
          <w:rFonts w:ascii="Book Antiqua" w:hAnsi="Book Antiqua"/>
          <w:b/>
          <w:bCs/>
          <w:sz w:val="24"/>
          <w:szCs w:val="24"/>
        </w:rPr>
        <w:t>Akizuki M</w:t>
      </w:r>
      <w:r w:rsidRPr="008D4CA6">
        <w:rPr>
          <w:rFonts w:ascii="Book Antiqua" w:hAnsi="Book Antiqua"/>
          <w:sz w:val="24"/>
          <w:szCs w:val="24"/>
        </w:rPr>
        <w:t xml:space="preserve">, Serizawa N, Ueno A, Adachi T, Hagiwara N. Effect of Balloon Pulmonary </w:t>
      </w:r>
      <w:r w:rsidRPr="008D4CA6">
        <w:rPr>
          <w:rFonts w:ascii="Book Antiqua" w:hAnsi="Book Antiqua"/>
          <w:sz w:val="24"/>
          <w:szCs w:val="24"/>
        </w:rPr>
        <w:lastRenderedPageBreak/>
        <w:t>Angioplasty on Respiratory Function in Patients With Chronic Thromboembolic Pulmonary Hypertension. </w:t>
      </w:r>
      <w:r w:rsidRPr="008D4CA6">
        <w:rPr>
          <w:rFonts w:ascii="Book Antiqua" w:hAnsi="Book Antiqua"/>
          <w:i/>
          <w:iCs/>
          <w:sz w:val="24"/>
          <w:szCs w:val="24"/>
        </w:rPr>
        <w:t>Chest</w:t>
      </w:r>
      <w:r w:rsidRPr="008D4CA6">
        <w:rPr>
          <w:rFonts w:ascii="Book Antiqua" w:hAnsi="Book Antiqua"/>
          <w:sz w:val="24"/>
          <w:szCs w:val="24"/>
        </w:rPr>
        <w:t> 2017; </w:t>
      </w:r>
      <w:r w:rsidRPr="008D4CA6">
        <w:rPr>
          <w:rFonts w:ascii="Book Antiqua" w:hAnsi="Book Antiqua"/>
          <w:b/>
          <w:bCs/>
          <w:sz w:val="24"/>
          <w:szCs w:val="24"/>
        </w:rPr>
        <w:t>151</w:t>
      </w:r>
      <w:r w:rsidRPr="008D4CA6">
        <w:rPr>
          <w:rFonts w:ascii="Book Antiqua" w:hAnsi="Book Antiqua"/>
          <w:sz w:val="24"/>
          <w:szCs w:val="24"/>
        </w:rPr>
        <w:t>: 643-649 [PMID: 27746200 DOI: 10.1016/j.chest.2016.10.002]</w:t>
      </w:r>
    </w:p>
    <w:p w14:paraId="656AB9D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79 </w:t>
      </w:r>
      <w:r w:rsidRPr="008D4CA6">
        <w:rPr>
          <w:rFonts w:ascii="Book Antiqua" w:hAnsi="Book Antiqua"/>
          <w:b/>
          <w:bCs/>
          <w:sz w:val="24"/>
          <w:szCs w:val="24"/>
        </w:rPr>
        <w:t>Ejiri K</w:t>
      </w:r>
      <w:r w:rsidRPr="008D4CA6">
        <w:rPr>
          <w:rFonts w:ascii="Book Antiqua" w:hAnsi="Book Antiqua"/>
          <w:sz w:val="24"/>
          <w:szCs w:val="24"/>
        </w:rPr>
        <w:t>, Ogawa A, Fujii S, Ito H, Matsubara H. Vascular Injury Is a Major Cause of Lung Injury After Balloon Pulmonary Angioplasty in Patients With Chronic Thromboembolic Pulmonary Hypertension. </w:t>
      </w:r>
      <w:r w:rsidRPr="008D4CA6">
        <w:rPr>
          <w:rFonts w:ascii="Book Antiqua" w:hAnsi="Book Antiqua"/>
          <w:i/>
          <w:iCs/>
          <w:sz w:val="24"/>
          <w:szCs w:val="24"/>
        </w:rPr>
        <w:t>Circ Cardiovasc Interv</w:t>
      </w:r>
      <w:r w:rsidRPr="008D4CA6">
        <w:rPr>
          <w:rFonts w:ascii="Book Antiqua" w:hAnsi="Book Antiqua"/>
          <w:sz w:val="24"/>
          <w:szCs w:val="24"/>
        </w:rPr>
        <w:t> 2018; </w:t>
      </w:r>
      <w:r w:rsidRPr="008D4CA6">
        <w:rPr>
          <w:rFonts w:ascii="Book Antiqua" w:hAnsi="Book Antiqua"/>
          <w:b/>
          <w:bCs/>
          <w:sz w:val="24"/>
          <w:szCs w:val="24"/>
        </w:rPr>
        <w:t>11</w:t>
      </w:r>
      <w:r w:rsidRPr="008D4CA6">
        <w:rPr>
          <w:rFonts w:ascii="Book Antiqua" w:hAnsi="Book Antiqua"/>
          <w:sz w:val="24"/>
          <w:szCs w:val="24"/>
        </w:rPr>
        <w:t>: e005884 [PMID: 30545259 DOI: 10.1161/CIRCINTERVENTIONS.117.005884]</w:t>
      </w:r>
    </w:p>
    <w:p w14:paraId="4A68718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80 </w:t>
      </w:r>
      <w:r w:rsidRPr="008D4CA6">
        <w:rPr>
          <w:rFonts w:ascii="Book Antiqua" w:hAnsi="Book Antiqua"/>
          <w:b/>
          <w:bCs/>
          <w:sz w:val="24"/>
          <w:szCs w:val="24"/>
        </w:rPr>
        <w:t>Hosokawa K</w:t>
      </w:r>
      <w:r w:rsidRPr="008D4CA6">
        <w:rPr>
          <w:rFonts w:ascii="Book Antiqua" w:hAnsi="Book Antiqua"/>
          <w:sz w:val="24"/>
          <w:szCs w:val="24"/>
        </w:rPr>
        <w:t>, Abe K, Oi K, Mukai Y, Hirooka Y, Sunagawa K. Negative acute hemodynamic response to balloon pulmonary angioplasty does not predicate the long-term outcome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188</w:t>
      </w:r>
      <w:r w:rsidRPr="008D4CA6">
        <w:rPr>
          <w:rFonts w:ascii="Book Antiqua" w:hAnsi="Book Antiqua"/>
          <w:sz w:val="24"/>
          <w:szCs w:val="24"/>
        </w:rPr>
        <w:t>: 81-83 [PMID: 25889333 DOI: 10.1016/j.ijcard.2015.04.025]</w:t>
      </w:r>
    </w:p>
    <w:p w14:paraId="23D73A2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81 </w:t>
      </w:r>
      <w:r w:rsidRPr="008D4CA6">
        <w:rPr>
          <w:rFonts w:ascii="Book Antiqua" w:hAnsi="Book Antiqua"/>
          <w:b/>
          <w:bCs/>
          <w:sz w:val="24"/>
          <w:szCs w:val="24"/>
        </w:rPr>
        <w:t>Nagayoshi S</w:t>
      </w:r>
      <w:r w:rsidRPr="008D4CA6">
        <w:rPr>
          <w:rFonts w:ascii="Book Antiqua" w:hAnsi="Book Antiqua"/>
          <w:sz w:val="24"/>
          <w:szCs w:val="24"/>
        </w:rPr>
        <w:t>, Ogawa A, Matsubara H. Spontaneous enlargement of pulmonary artery after successful balloon pulmonary angioplasty in a patient with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2016; </w:t>
      </w:r>
      <w:r w:rsidRPr="008D4CA6">
        <w:rPr>
          <w:rFonts w:ascii="Book Antiqua" w:hAnsi="Book Antiqua"/>
          <w:b/>
          <w:bCs/>
          <w:sz w:val="24"/>
          <w:szCs w:val="24"/>
        </w:rPr>
        <w:t>12</w:t>
      </w:r>
      <w:r w:rsidRPr="008D4CA6">
        <w:rPr>
          <w:rFonts w:ascii="Book Antiqua" w:hAnsi="Book Antiqua"/>
          <w:sz w:val="24"/>
          <w:szCs w:val="24"/>
        </w:rPr>
        <w:t>: e1435 [PMID: 27934612 DOI: 10.4244/EIJ-D-15-00484]</w:t>
      </w:r>
    </w:p>
    <w:p w14:paraId="12DDDCC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82 </w:t>
      </w:r>
      <w:r w:rsidRPr="008D4CA6">
        <w:rPr>
          <w:rFonts w:ascii="Book Antiqua" w:hAnsi="Book Antiqua"/>
          <w:b/>
          <w:bCs/>
          <w:sz w:val="24"/>
          <w:szCs w:val="24"/>
        </w:rPr>
        <w:t>Bouvaist H</w:t>
      </w:r>
      <w:r w:rsidRPr="008D4CA6">
        <w:rPr>
          <w:rFonts w:ascii="Book Antiqua" w:hAnsi="Book Antiqua"/>
          <w:sz w:val="24"/>
          <w:szCs w:val="24"/>
        </w:rPr>
        <w:t>, Thony F, Jondot M, Camara B, Jais X, Pison C. Balloon pulmonary angioplasty in a patient with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2014; </w:t>
      </w:r>
      <w:r w:rsidRPr="008D4CA6">
        <w:rPr>
          <w:rFonts w:ascii="Book Antiqua" w:hAnsi="Book Antiqua"/>
          <w:b/>
          <w:bCs/>
          <w:sz w:val="24"/>
          <w:szCs w:val="24"/>
        </w:rPr>
        <w:t>23</w:t>
      </w:r>
      <w:r w:rsidRPr="008D4CA6">
        <w:rPr>
          <w:rFonts w:ascii="Book Antiqua" w:hAnsi="Book Antiqua"/>
          <w:sz w:val="24"/>
          <w:szCs w:val="24"/>
        </w:rPr>
        <w:t>: 393-395 [PMID: 25176976 DOI: 10.1183/09059180.00000514]</w:t>
      </w:r>
    </w:p>
    <w:p w14:paraId="646BA17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83 </w:t>
      </w:r>
      <w:r w:rsidRPr="008D4CA6">
        <w:rPr>
          <w:rFonts w:ascii="Book Antiqua" w:hAnsi="Book Antiqua"/>
          <w:b/>
          <w:bCs/>
          <w:sz w:val="24"/>
          <w:szCs w:val="24"/>
        </w:rPr>
        <w:t>Tsugu T</w:t>
      </w:r>
      <w:r w:rsidRPr="008D4CA6">
        <w:rPr>
          <w:rFonts w:ascii="Book Antiqua" w:hAnsi="Book Antiqua"/>
          <w:sz w:val="24"/>
          <w:szCs w:val="24"/>
        </w:rPr>
        <w:t>, Murata M, Kawakami T, Yasuda R, Tokuda H, Minakata Y, Tamura Y, Kataoka M, Hayashida K, Tsuruta H, Maekawa Y, Inoue S, Fukuda K. Significance of echocardiographic assessment for right ventricular function after balloon pulmonary angioplasty in patients with chronic thromboembolic induced pulmonary hypertension. </w:t>
      </w:r>
      <w:r w:rsidRPr="008D4CA6">
        <w:rPr>
          <w:rFonts w:ascii="Book Antiqua" w:hAnsi="Book Antiqua"/>
          <w:i/>
          <w:iCs/>
          <w:sz w:val="24"/>
          <w:szCs w:val="24"/>
        </w:rPr>
        <w:t>Am J Cardiol</w:t>
      </w:r>
      <w:r w:rsidRPr="008D4CA6">
        <w:rPr>
          <w:rFonts w:ascii="Book Antiqua" w:hAnsi="Book Antiqua"/>
          <w:sz w:val="24"/>
          <w:szCs w:val="24"/>
        </w:rPr>
        <w:t> 2015; </w:t>
      </w:r>
      <w:r w:rsidRPr="008D4CA6">
        <w:rPr>
          <w:rFonts w:ascii="Book Antiqua" w:hAnsi="Book Antiqua"/>
          <w:b/>
          <w:bCs/>
          <w:sz w:val="24"/>
          <w:szCs w:val="24"/>
        </w:rPr>
        <w:t>115</w:t>
      </w:r>
      <w:r w:rsidRPr="008D4CA6">
        <w:rPr>
          <w:rFonts w:ascii="Book Antiqua" w:hAnsi="Book Antiqua"/>
          <w:sz w:val="24"/>
          <w:szCs w:val="24"/>
        </w:rPr>
        <w:t>: 256-261 [PMID: 25476559 DOI: 10.1016/j.amjcard.2014.10.034]</w:t>
      </w:r>
    </w:p>
    <w:p w14:paraId="101F71D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84 </w:t>
      </w:r>
      <w:r w:rsidRPr="008D4CA6">
        <w:rPr>
          <w:rFonts w:ascii="Book Antiqua" w:hAnsi="Book Antiqua"/>
          <w:b/>
          <w:bCs/>
          <w:sz w:val="24"/>
          <w:szCs w:val="24"/>
        </w:rPr>
        <w:t>Fukui S</w:t>
      </w:r>
      <w:r w:rsidRPr="008D4CA6">
        <w:rPr>
          <w:rFonts w:ascii="Book Antiqua" w:hAnsi="Book Antiqua"/>
          <w:sz w:val="24"/>
          <w:szCs w:val="24"/>
        </w:rPr>
        <w:t>, Ogo T, Morita Y, Tsuji A, Tateishi E, Ozaki K, Sanda Y, Fukuda T, Yasuda S, Ogawa H, Nakanishi N. Right ventricular reverse remodelling after balloon pulmonary angioplasty. </w:t>
      </w:r>
      <w:r w:rsidRPr="008D4CA6">
        <w:rPr>
          <w:rFonts w:ascii="Book Antiqua" w:hAnsi="Book Antiqua"/>
          <w:i/>
          <w:iCs/>
          <w:sz w:val="24"/>
          <w:szCs w:val="24"/>
        </w:rPr>
        <w:t>Eur Respir J</w:t>
      </w:r>
      <w:r w:rsidRPr="008D4CA6">
        <w:rPr>
          <w:rFonts w:ascii="Book Antiqua" w:hAnsi="Book Antiqua"/>
          <w:sz w:val="24"/>
          <w:szCs w:val="24"/>
        </w:rPr>
        <w:t> 2014; </w:t>
      </w:r>
      <w:r w:rsidRPr="008D4CA6">
        <w:rPr>
          <w:rFonts w:ascii="Book Antiqua" w:hAnsi="Book Antiqua"/>
          <w:b/>
          <w:bCs/>
          <w:sz w:val="24"/>
          <w:szCs w:val="24"/>
        </w:rPr>
        <w:t>43</w:t>
      </w:r>
      <w:r w:rsidRPr="008D4CA6">
        <w:rPr>
          <w:rFonts w:ascii="Book Antiqua" w:hAnsi="Book Antiqua"/>
          <w:sz w:val="24"/>
          <w:szCs w:val="24"/>
        </w:rPr>
        <w:t>: 1394-1402 [PMID: 24627536 DOI: 10.1183/09031936.00012914]</w:t>
      </w:r>
    </w:p>
    <w:p w14:paraId="215FCDE7" w14:textId="1B48EEE4"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85 </w:t>
      </w:r>
      <w:r w:rsidRPr="008D4CA6">
        <w:rPr>
          <w:rFonts w:ascii="Book Antiqua" w:hAnsi="Book Antiqua"/>
          <w:b/>
          <w:bCs/>
          <w:sz w:val="24"/>
          <w:szCs w:val="24"/>
        </w:rPr>
        <w:t>Matsubara H</w:t>
      </w:r>
      <w:r w:rsidRPr="008D4CA6">
        <w:rPr>
          <w:rFonts w:ascii="Book Antiqua" w:hAnsi="Book Antiqua"/>
          <w:sz w:val="24"/>
          <w:szCs w:val="24"/>
        </w:rPr>
        <w:t>, Ogawa A. A long way to go after the initial experience with balloon pulmonary angioplasty. </w:t>
      </w:r>
      <w:r w:rsidRPr="008D4CA6">
        <w:rPr>
          <w:rFonts w:ascii="Book Antiqua" w:hAnsi="Book Antiqua"/>
          <w:i/>
          <w:iCs/>
          <w:sz w:val="24"/>
          <w:szCs w:val="24"/>
        </w:rPr>
        <w:t>Eur Respir J</w:t>
      </w:r>
      <w:r w:rsidRPr="008D4CA6">
        <w:rPr>
          <w:rFonts w:ascii="Book Antiqua" w:hAnsi="Book Antiqua"/>
          <w:sz w:val="24"/>
          <w:szCs w:val="24"/>
        </w:rPr>
        <w:t> 2017; </w:t>
      </w:r>
      <w:r w:rsidRPr="008D4CA6">
        <w:rPr>
          <w:rFonts w:ascii="Book Antiqua" w:hAnsi="Book Antiqua"/>
          <w:b/>
          <w:bCs/>
          <w:sz w:val="24"/>
          <w:szCs w:val="24"/>
        </w:rPr>
        <w:t>49</w:t>
      </w:r>
      <w:r w:rsidRPr="008D4CA6">
        <w:rPr>
          <w:rFonts w:ascii="Book Antiqua" w:hAnsi="Book Antiqua"/>
          <w:sz w:val="24"/>
          <w:szCs w:val="24"/>
        </w:rPr>
        <w:t>:</w:t>
      </w:r>
      <w:r w:rsidR="00CD56A6" w:rsidRPr="00CD56A6">
        <w:rPr>
          <w:rFonts w:ascii="Book Antiqua" w:hAnsi="Book Antiqua"/>
          <w:sz w:val="24"/>
          <w:szCs w:val="24"/>
        </w:rPr>
        <w:t xml:space="preserve"> </w:t>
      </w:r>
      <w:r w:rsidR="00CD56A6" w:rsidRPr="00FC6293">
        <w:rPr>
          <w:rFonts w:ascii="Book Antiqua" w:hAnsi="Book Antiqua"/>
          <w:sz w:val="24"/>
          <w:szCs w:val="24"/>
        </w:rPr>
        <w:t>1700718</w:t>
      </w:r>
      <w:r w:rsidRPr="008D4CA6">
        <w:rPr>
          <w:rFonts w:ascii="Book Antiqua" w:hAnsi="Book Antiqua"/>
          <w:sz w:val="24"/>
          <w:szCs w:val="24"/>
        </w:rPr>
        <w:t xml:space="preserve"> [PMID: 28596430 DOI: 10.1183/13993003.00718-2017]</w:t>
      </w:r>
    </w:p>
    <w:p w14:paraId="736AED9B" w14:textId="51C6DD59"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86 </w:t>
      </w:r>
      <w:r w:rsidRPr="008D4CA6">
        <w:rPr>
          <w:rFonts w:ascii="Book Antiqua" w:hAnsi="Book Antiqua"/>
          <w:b/>
          <w:bCs/>
          <w:sz w:val="24"/>
          <w:szCs w:val="24"/>
        </w:rPr>
        <w:t>Kawakami T</w:t>
      </w:r>
      <w:r w:rsidRPr="008D4CA6">
        <w:rPr>
          <w:rFonts w:ascii="Book Antiqua" w:hAnsi="Book Antiqua"/>
          <w:sz w:val="24"/>
          <w:szCs w:val="24"/>
        </w:rPr>
        <w:t>, Ogawa A, Miyaji K, Mizoguchi H, Shimokawahara H, Naito T, Oka T, Yunoki K, Munemasa M, Matsubara H. Response by Kawakami et al to Letter Regarding Article, "Novel Angiographic Classification of Each Vascular Lesion in Chronic Thromboembolic Pulmonary Hypertension Based on Selective Angiogram and Results of Balloon Pulmonary Angioplasty". </w:t>
      </w:r>
      <w:r w:rsidRPr="008D4CA6">
        <w:rPr>
          <w:rFonts w:ascii="Book Antiqua" w:hAnsi="Book Antiqua"/>
          <w:i/>
          <w:iCs/>
          <w:sz w:val="24"/>
          <w:szCs w:val="24"/>
        </w:rPr>
        <w:t>Circ Cardiovasc Interv</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xml:space="preserve">: </w:t>
      </w:r>
      <w:r w:rsidR="00CD56A6" w:rsidRPr="00FC6293">
        <w:rPr>
          <w:rFonts w:ascii="Book Antiqua" w:hAnsi="Book Antiqua"/>
          <w:sz w:val="24"/>
          <w:szCs w:val="24"/>
        </w:rPr>
        <w:t>e004962</w:t>
      </w:r>
      <w:r w:rsidR="00CD56A6" w:rsidRPr="008D4CA6">
        <w:rPr>
          <w:rFonts w:ascii="Book Antiqua" w:hAnsi="Book Antiqua"/>
          <w:sz w:val="24"/>
          <w:szCs w:val="24"/>
        </w:rPr>
        <w:t xml:space="preserve"> </w:t>
      </w:r>
      <w:r w:rsidRPr="008D4CA6">
        <w:rPr>
          <w:rFonts w:ascii="Book Antiqua" w:hAnsi="Book Antiqua"/>
          <w:sz w:val="24"/>
          <w:szCs w:val="24"/>
        </w:rPr>
        <w:t>[PMID: 28193682 DOI: 10.1161/circinterventions.117.004962]</w:t>
      </w:r>
    </w:p>
    <w:p w14:paraId="682A599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87 </w:t>
      </w:r>
      <w:r w:rsidRPr="008D4CA6">
        <w:rPr>
          <w:rFonts w:ascii="Book Antiqua" w:hAnsi="Book Antiqua"/>
          <w:b/>
          <w:bCs/>
          <w:sz w:val="24"/>
          <w:szCs w:val="24"/>
        </w:rPr>
        <w:t>Ogawa A</w:t>
      </w:r>
      <w:r w:rsidRPr="008D4CA6">
        <w:rPr>
          <w:rFonts w:ascii="Book Antiqua" w:hAnsi="Book Antiqua"/>
          <w:sz w:val="24"/>
          <w:szCs w:val="24"/>
        </w:rPr>
        <w:t>, Matsubara H. After the Dawn</w:t>
      </w:r>
      <w:r w:rsidRPr="008D4CA6">
        <w:rPr>
          <w:rFonts w:ascii="Book Antiqua" w:hAnsi="Book Antiqua"/>
          <w:sz w:val="24"/>
          <w:szCs w:val="24"/>
        </w:rPr>
        <w:t xml:space="preserve">　</w:t>
      </w:r>
      <w:r w:rsidRPr="008D4CA6">
        <w:rPr>
          <w:rFonts w:ascii="Book Antiqua" w:hAnsi="Book Antiqua"/>
          <w:sz w:val="24"/>
          <w:szCs w:val="24"/>
        </w:rPr>
        <w:t>- Balloon Pulmonary Angioplasty for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2018; </w:t>
      </w:r>
      <w:r w:rsidRPr="008D4CA6">
        <w:rPr>
          <w:rFonts w:ascii="Book Antiqua" w:hAnsi="Book Antiqua"/>
          <w:b/>
          <w:bCs/>
          <w:sz w:val="24"/>
          <w:szCs w:val="24"/>
        </w:rPr>
        <w:t>82</w:t>
      </w:r>
      <w:r w:rsidRPr="008D4CA6">
        <w:rPr>
          <w:rFonts w:ascii="Book Antiqua" w:hAnsi="Book Antiqua"/>
          <w:sz w:val="24"/>
          <w:szCs w:val="24"/>
        </w:rPr>
        <w:t>: 1222-1230 [PMID: 29669971 DOI: 10.1253/circj.CJ-18-0258]</w:t>
      </w:r>
    </w:p>
    <w:p w14:paraId="3BBB6FC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88 </w:t>
      </w:r>
      <w:r w:rsidRPr="008D4CA6">
        <w:rPr>
          <w:rFonts w:ascii="Book Antiqua" w:hAnsi="Book Antiqua"/>
          <w:b/>
          <w:bCs/>
          <w:sz w:val="24"/>
          <w:szCs w:val="24"/>
        </w:rPr>
        <w:t>Roik M</w:t>
      </w:r>
      <w:r w:rsidRPr="008D4CA6">
        <w:rPr>
          <w:rFonts w:ascii="Book Antiqua" w:hAnsi="Book Antiqua"/>
          <w:sz w:val="24"/>
          <w:szCs w:val="24"/>
        </w:rPr>
        <w:t>, Wretowski D, Łabyk A, Kostrubiec M, Rowiński O, Pruszczyk P. Optical coherence tomography of inoperable chronic thromboembolic pulmonary hypertension treated with refined balloon pulmonary angioplasty. </w:t>
      </w:r>
      <w:r w:rsidRPr="008D4CA6">
        <w:rPr>
          <w:rFonts w:ascii="Book Antiqua" w:hAnsi="Book Antiqua"/>
          <w:i/>
          <w:iCs/>
          <w:sz w:val="24"/>
          <w:szCs w:val="24"/>
        </w:rPr>
        <w:t>Pol Arch Med Wewn</w:t>
      </w:r>
      <w:r w:rsidRPr="008D4CA6">
        <w:rPr>
          <w:rFonts w:ascii="Book Antiqua" w:hAnsi="Book Antiqua"/>
          <w:sz w:val="24"/>
          <w:szCs w:val="24"/>
        </w:rPr>
        <w:t> 2014; </w:t>
      </w:r>
      <w:r w:rsidRPr="008D4CA6">
        <w:rPr>
          <w:rFonts w:ascii="Book Antiqua" w:hAnsi="Book Antiqua"/>
          <w:b/>
          <w:bCs/>
          <w:sz w:val="24"/>
          <w:szCs w:val="24"/>
        </w:rPr>
        <w:t>124</w:t>
      </w:r>
      <w:r w:rsidRPr="008D4CA6">
        <w:rPr>
          <w:rFonts w:ascii="Book Antiqua" w:hAnsi="Book Antiqua"/>
          <w:sz w:val="24"/>
          <w:szCs w:val="24"/>
        </w:rPr>
        <w:t>: 742-743 [PMID: 25563625 DOI: 10.20452/pamw.2568]</w:t>
      </w:r>
    </w:p>
    <w:p w14:paraId="20BC56E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89 </w:t>
      </w:r>
      <w:r w:rsidRPr="008D4CA6">
        <w:rPr>
          <w:rFonts w:ascii="Book Antiqua" w:hAnsi="Book Antiqua"/>
          <w:b/>
          <w:bCs/>
          <w:sz w:val="24"/>
          <w:szCs w:val="24"/>
        </w:rPr>
        <w:t>Inohara T</w:t>
      </w:r>
      <w:r w:rsidRPr="008D4CA6">
        <w:rPr>
          <w:rFonts w:ascii="Book Antiqua" w:hAnsi="Book Antiqua"/>
          <w:sz w:val="24"/>
          <w:szCs w:val="24"/>
        </w:rPr>
        <w:t>, Kawakami T, Kataoka M, Yamamoto M, Kimura M, Kanazawa H, Yuasa S, Hayashida K, Maekawa Y, Fukuda K. Lesion morphological classification by OCT to predict therapeutic efficacy after balloon pulmonary angioplasty in CTEPH.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197</w:t>
      </w:r>
      <w:r w:rsidRPr="008D4CA6">
        <w:rPr>
          <w:rFonts w:ascii="Book Antiqua" w:hAnsi="Book Antiqua"/>
          <w:sz w:val="24"/>
          <w:szCs w:val="24"/>
        </w:rPr>
        <w:t>: 23-25 [PMID: 26142960 DOI: 10.1016/j.ijcard.2015.06.036]</w:t>
      </w:r>
    </w:p>
    <w:p w14:paraId="745D959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90 </w:t>
      </w:r>
      <w:r w:rsidRPr="008D4CA6">
        <w:rPr>
          <w:rFonts w:ascii="Book Antiqua" w:hAnsi="Book Antiqua"/>
          <w:b/>
          <w:bCs/>
          <w:sz w:val="24"/>
          <w:szCs w:val="24"/>
        </w:rPr>
        <w:t>Nakanishi N</w:t>
      </w:r>
      <w:r w:rsidRPr="008D4CA6">
        <w:rPr>
          <w:rFonts w:ascii="Book Antiqua" w:hAnsi="Book Antiqua"/>
          <w:sz w:val="24"/>
          <w:szCs w:val="24"/>
        </w:rPr>
        <w:t>, Nakamura T, Yamano T, Shiraishi H, Matoba S, Matsumuro A, Shirayama T. Angioscopic observation in chronic thromboembolic pulmonary hypertension before and after balloon pulmonary angioplasty. </w:t>
      </w:r>
      <w:r w:rsidRPr="008D4CA6">
        <w:rPr>
          <w:rFonts w:ascii="Book Antiqua" w:hAnsi="Book Antiqua"/>
          <w:i/>
          <w:iCs/>
          <w:sz w:val="24"/>
          <w:szCs w:val="24"/>
        </w:rPr>
        <w:t>J Cardiovasc Med</w:t>
      </w:r>
      <w:r w:rsidRPr="008D4CA6">
        <w:rPr>
          <w:rFonts w:ascii="Book Antiqua" w:hAnsi="Book Antiqua"/>
          <w:sz w:val="24"/>
          <w:szCs w:val="24"/>
        </w:rPr>
        <w:t xml:space="preserve"> (Hagerstown) 2016; </w:t>
      </w:r>
      <w:r w:rsidRPr="008D4CA6">
        <w:rPr>
          <w:rFonts w:ascii="Book Antiqua" w:hAnsi="Book Antiqua"/>
          <w:b/>
          <w:bCs/>
          <w:sz w:val="24"/>
          <w:szCs w:val="24"/>
        </w:rPr>
        <w:t xml:space="preserve">17 </w:t>
      </w:r>
      <w:r w:rsidRPr="008D4CA6">
        <w:rPr>
          <w:rFonts w:ascii="Book Antiqua" w:hAnsi="Book Antiqua"/>
          <w:sz w:val="24"/>
          <w:szCs w:val="24"/>
        </w:rPr>
        <w:t>Suppl 2: e129-e131 [PMID: 25083723 DOI: 10.2459/JCM.0000000000000166]</w:t>
      </w:r>
    </w:p>
    <w:p w14:paraId="45405689" w14:textId="2A34B21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91 </w:t>
      </w:r>
      <w:r w:rsidRPr="008D4CA6">
        <w:rPr>
          <w:rFonts w:ascii="Book Antiqua" w:hAnsi="Book Antiqua"/>
          <w:b/>
          <w:bCs/>
          <w:sz w:val="24"/>
          <w:szCs w:val="24"/>
        </w:rPr>
        <w:t>Takano T</w:t>
      </w:r>
      <w:r w:rsidRPr="008D4CA6">
        <w:rPr>
          <w:rFonts w:ascii="Book Antiqua" w:hAnsi="Book Antiqua"/>
          <w:sz w:val="24"/>
          <w:szCs w:val="24"/>
        </w:rPr>
        <w:t>, Ozaki K, Hoyano M, Yanagawa T, Kashimura T, Minamino T. Angioscopic findings during balloon pulmonary angioplasty in chronic thromboembolic pulmonary hypertension. </w:t>
      </w:r>
      <w:r w:rsidRPr="008D4CA6">
        <w:rPr>
          <w:rFonts w:ascii="Book Antiqua" w:hAnsi="Book Antiqua"/>
          <w:i/>
          <w:iCs/>
          <w:sz w:val="24"/>
          <w:szCs w:val="24"/>
        </w:rPr>
        <w:t>Cardiovasc Interv Ther</w:t>
      </w:r>
      <w:r w:rsidRPr="008D4CA6">
        <w:rPr>
          <w:rFonts w:ascii="Book Antiqua" w:hAnsi="Book Antiqua"/>
          <w:sz w:val="24"/>
          <w:szCs w:val="24"/>
        </w:rPr>
        <w:t> 2019</w:t>
      </w:r>
      <w:r>
        <w:rPr>
          <w:rFonts w:ascii="Book Antiqua" w:hAnsi="Book Antiqua"/>
          <w:sz w:val="24"/>
          <w:szCs w:val="24"/>
        </w:rPr>
        <w:t xml:space="preserve"> Epub ahead of print</w:t>
      </w:r>
      <w:r w:rsidRPr="008D4CA6">
        <w:rPr>
          <w:rFonts w:ascii="Book Antiqua" w:hAnsi="Book Antiqua"/>
          <w:sz w:val="24"/>
          <w:szCs w:val="24"/>
        </w:rPr>
        <w:t xml:space="preserve"> [PMID: 31838724 DOI: 10.1007/s12928-019-00635-4]</w:t>
      </w:r>
    </w:p>
    <w:p w14:paraId="5044A4B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92 </w:t>
      </w:r>
      <w:r w:rsidRPr="008D4CA6">
        <w:rPr>
          <w:rFonts w:ascii="Book Antiqua" w:hAnsi="Book Antiqua"/>
          <w:b/>
          <w:bCs/>
          <w:sz w:val="24"/>
          <w:szCs w:val="24"/>
        </w:rPr>
        <w:t>Nakanishi N</w:t>
      </w:r>
      <w:r w:rsidRPr="008D4CA6">
        <w:rPr>
          <w:rFonts w:ascii="Book Antiqua" w:hAnsi="Book Antiqua"/>
          <w:sz w:val="24"/>
          <w:szCs w:val="24"/>
        </w:rPr>
        <w:t>, Fukai K, Tsubata H, Ogata T, Zen K, Nakamura T, Yamano T, Shiraishi H, Shirayama T, Matoba S. Angioscopic Evaluation During Balloon Pulmonary Angioplasty in Chronic Thromboembolic Pulmonary Hypertension. </w:t>
      </w:r>
      <w:r w:rsidRPr="008D4CA6">
        <w:rPr>
          <w:rFonts w:ascii="Book Antiqua" w:hAnsi="Book Antiqua"/>
          <w:i/>
          <w:iCs/>
          <w:sz w:val="24"/>
          <w:szCs w:val="24"/>
        </w:rPr>
        <w:t>Heart Lung Circ</w:t>
      </w:r>
      <w:r w:rsidRPr="008D4CA6">
        <w:rPr>
          <w:rFonts w:ascii="Book Antiqua" w:hAnsi="Book Antiqua"/>
          <w:sz w:val="24"/>
          <w:szCs w:val="24"/>
        </w:rPr>
        <w:t> 2019; </w:t>
      </w:r>
      <w:r w:rsidRPr="008D4CA6">
        <w:rPr>
          <w:rFonts w:ascii="Book Antiqua" w:hAnsi="Book Antiqua"/>
          <w:b/>
          <w:bCs/>
          <w:sz w:val="24"/>
          <w:szCs w:val="24"/>
        </w:rPr>
        <w:t>28</w:t>
      </w:r>
      <w:r w:rsidRPr="008D4CA6">
        <w:rPr>
          <w:rFonts w:ascii="Book Antiqua" w:hAnsi="Book Antiqua"/>
          <w:sz w:val="24"/>
          <w:szCs w:val="24"/>
        </w:rPr>
        <w:t>: 655-659 [PMID: 30224170 DOI: 10.1016/j.hlc.2018.08.008]</w:t>
      </w:r>
    </w:p>
    <w:p w14:paraId="746F6C8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93 </w:t>
      </w:r>
      <w:r w:rsidRPr="008D4CA6">
        <w:rPr>
          <w:rFonts w:ascii="Book Antiqua" w:hAnsi="Book Antiqua"/>
          <w:b/>
          <w:bCs/>
          <w:sz w:val="24"/>
          <w:szCs w:val="24"/>
        </w:rPr>
        <w:t>Ogo T</w:t>
      </w:r>
      <w:r w:rsidRPr="008D4CA6">
        <w:rPr>
          <w:rFonts w:ascii="Book Antiqua" w:hAnsi="Book Antiqua"/>
          <w:sz w:val="24"/>
          <w:szCs w:val="24"/>
        </w:rPr>
        <w:t xml:space="preserve">, Fukuda T, Tsuji A, Fukui S, Ueda J, Sanda Y, Morita Y, Asano R, Konagai N, Yasuda S. Efficacy and safety of balloon pulmonary angioplasty for chronic </w:t>
      </w:r>
      <w:r w:rsidRPr="008D4CA6">
        <w:rPr>
          <w:rFonts w:ascii="Book Antiqua" w:hAnsi="Book Antiqua"/>
          <w:sz w:val="24"/>
          <w:szCs w:val="24"/>
        </w:rPr>
        <w:lastRenderedPageBreak/>
        <w:t>thromboembolic pulmonary hypertension guided by cone-beam computed tomography and electrocardiogram-gated area detector computed tomography. </w:t>
      </w:r>
      <w:r w:rsidRPr="008D4CA6">
        <w:rPr>
          <w:rFonts w:ascii="Book Antiqua" w:hAnsi="Book Antiqua"/>
          <w:i/>
          <w:iCs/>
          <w:sz w:val="24"/>
          <w:szCs w:val="24"/>
        </w:rPr>
        <w:t>Eur J Radiol</w:t>
      </w:r>
      <w:r w:rsidRPr="008D4CA6">
        <w:rPr>
          <w:rFonts w:ascii="Book Antiqua" w:hAnsi="Book Antiqua"/>
          <w:sz w:val="24"/>
          <w:szCs w:val="24"/>
        </w:rPr>
        <w:t> 2017; </w:t>
      </w:r>
      <w:r w:rsidRPr="008D4CA6">
        <w:rPr>
          <w:rFonts w:ascii="Book Antiqua" w:hAnsi="Book Antiqua"/>
          <w:b/>
          <w:bCs/>
          <w:sz w:val="24"/>
          <w:szCs w:val="24"/>
        </w:rPr>
        <w:t>89</w:t>
      </w:r>
      <w:r w:rsidRPr="008D4CA6">
        <w:rPr>
          <w:rFonts w:ascii="Book Antiqua" w:hAnsi="Book Antiqua"/>
          <w:sz w:val="24"/>
          <w:szCs w:val="24"/>
        </w:rPr>
        <w:t>: 270-276 [PMID: 28034568 DOI: 10.1016/j.ejrad.2016.12.013]</w:t>
      </w:r>
    </w:p>
    <w:p w14:paraId="71A42AE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94 </w:t>
      </w:r>
      <w:r w:rsidRPr="008D4CA6">
        <w:rPr>
          <w:rFonts w:ascii="Book Antiqua" w:hAnsi="Book Antiqua"/>
          <w:b/>
          <w:bCs/>
          <w:sz w:val="24"/>
          <w:szCs w:val="24"/>
        </w:rPr>
        <w:t>Sugiyama M</w:t>
      </w:r>
      <w:r w:rsidRPr="008D4CA6">
        <w:rPr>
          <w:rFonts w:ascii="Book Antiqua" w:hAnsi="Book Antiqua"/>
          <w:sz w:val="24"/>
          <w:szCs w:val="24"/>
        </w:rPr>
        <w:t>, Fukuda T, Sanda Y, Morita Y, Higashi M, Ogo T, Tsuji A, Demachi J, Nakanishi N, Naito H. Organized thrombus in pulmonary arteries in patients with chronic thromboembolic pulmonary hypertension; imaging with cone beam computed tomography. </w:t>
      </w:r>
      <w:r w:rsidRPr="008D4CA6">
        <w:rPr>
          <w:rFonts w:ascii="Book Antiqua" w:hAnsi="Book Antiqua"/>
          <w:i/>
          <w:iCs/>
          <w:sz w:val="24"/>
          <w:szCs w:val="24"/>
        </w:rPr>
        <w:t>Jpn J Radiol</w:t>
      </w:r>
      <w:r w:rsidRPr="008D4CA6">
        <w:rPr>
          <w:rFonts w:ascii="Book Antiqua" w:hAnsi="Book Antiqua"/>
          <w:sz w:val="24"/>
          <w:szCs w:val="24"/>
        </w:rPr>
        <w:t> 2014; </w:t>
      </w:r>
      <w:r w:rsidRPr="008D4CA6">
        <w:rPr>
          <w:rFonts w:ascii="Book Antiqua" w:hAnsi="Book Antiqua"/>
          <w:b/>
          <w:bCs/>
          <w:sz w:val="24"/>
          <w:szCs w:val="24"/>
        </w:rPr>
        <w:t>32</w:t>
      </w:r>
      <w:r w:rsidRPr="008D4CA6">
        <w:rPr>
          <w:rFonts w:ascii="Book Antiqua" w:hAnsi="Book Antiqua"/>
          <w:sz w:val="24"/>
          <w:szCs w:val="24"/>
        </w:rPr>
        <w:t>: 375-382 [PMID: 24760203 DOI: 10.1007/s11604-014-0319-8]</w:t>
      </w:r>
    </w:p>
    <w:p w14:paraId="420F878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95 </w:t>
      </w:r>
      <w:r w:rsidRPr="008D4CA6">
        <w:rPr>
          <w:rFonts w:ascii="Book Antiqua" w:hAnsi="Book Antiqua"/>
          <w:b/>
          <w:bCs/>
          <w:sz w:val="24"/>
          <w:szCs w:val="24"/>
        </w:rPr>
        <w:t>Fukuda T</w:t>
      </w:r>
      <w:r w:rsidRPr="008D4CA6">
        <w:rPr>
          <w:rFonts w:ascii="Book Antiqua" w:hAnsi="Book Antiqua"/>
          <w:sz w:val="24"/>
          <w:szCs w:val="24"/>
        </w:rPr>
        <w:t>, Ogo T, Nakanishi N, Ueda J, Sanda Y, Morita Y, Sugiyama M, Fukui S, Tsuji A, Naito H. Evaluation of organized thrombus in distal pulmonary arteries in patients with chronic thromboembolic pulmonary hypertension using cone-beam computed tomography. </w:t>
      </w:r>
      <w:r w:rsidRPr="008D4CA6">
        <w:rPr>
          <w:rFonts w:ascii="Book Antiqua" w:hAnsi="Book Antiqua"/>
          <w:i/>
          <w:iCs/>
          <w:sz w:val="24"/>
          <w:szCs w:val="24"/>
        </w:rPr>
        <w:t>Jpn J Radiol</w:t>
      </w:r>
      <w:r w:rsidRPr="008D4CA6">
        <w:rPr>
          <w:rFonts w:ascii="Book Antiqua" w:hAnsi="Book Antiqua"/>
          <w:sz w:val="24"/>
          <w:szCs w:val="24"/>
        </w:rPr>
        <w:t> 2016; </w:t>
      </w:r>
      <w:r w:rsidRPr="008D4CA6">
        <w:rPr>
          <w:rFonts w:ascii="Book Antiqua" w:hAnsi="Book Antiqua"/>
          <w:b/>
          <w:bCs/>
          <w:sz w:val="24"/>
          <w:szCs w:val="24"/>
        </w:rPr>
        <w:t>34</w:t>
      </w:r>
      <w:r w:rsidRPr="008D4CA6">
        <w:rPr>
          <w:rFonts w:ascii="Book Antiqua" w:hAnsi="Book Antiqua"/>
          <w:sz w:val="24"/>
          <w:szCs w:val="24"/>
        </w:rPr>
        <w:t>: 423-431 [PMID: 27012964 DOI: 10.1007/s11604-016-0538-2]</w:t>
      </w:r>
    </w:p>
    <w:p w14:paraId="68CE761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96 </w:t>
      </w:r>
      <w:r w:rsidRPr="008D4CA6">
        <w:rPr>
          <w:rFonts w:ascii="Book Antiqua" w:hAnsi="Book Antiqua"/>
          <w:b/>
          <w:bCs/>
          <w:sz w:val="24"/>
          <w:szCs w:val="24"/>
        </w:rPr>
        <w:t>Maschke SK</w:t>
      </w:r>
      <w:r w:rsidRPr="008D4CA6">
        <w:rPr>
          <w:rFonts w:ascii="Book Antiqua" w:hAnsi="Book Antiqua"/>
          <w:sz w:val="24"/>
          <w:szCs w:val="24"/>
        </w:rPr>
        <w:t>, Winther HMB, Meine T, Werncke T, Olsson KM, Hoeper MM, Baumgart J, Wacker FK, Meyer BC, Renne J, Hinrichs JB. Evaluation of a newly developed 2D parametric parenchymal blood flow technique with an automated vessel suppression algorithm in patients with chronic thromboembolic pulmonary hypertension undergoing balloon pulmonary angioplasty. </w:t>
      </w:r>
      <w:r w:rsidRPr="008D4CA6">
        <w:rPr>
          <w:rFonts w:ascii="Book Antiqua" w:hAnsi="Book Antiqua"/>
          <w:i/>
          <w:iCs/>
          <w:sz w:val="24"/>
          <w:szCs w:val="24"/>
        </w:rPr>
        <w:t>Clin Radiol</w:t>
      </w:r>
      <w:r w:rsidRPr="008D4CA6">
        <w:rPr>
          <w:rFonts w:ascii="Book Antiqua" w:hAnsi="Book Antiqua"/>
          <w:sz w:val="24"/>
          <w:szCs w:val="24"/>
        </w:rPr>
        <w:t> 2019; </w:t>
      </w:r>
      <w:r w:rsidRPr="008D4CA6">
        <w:rPr>
          <w:rFonts w:ascii="Book Antiqua" w:hAnsi="Book Antiqua"/>
          <w:b/>
          <w:bCs/>
          <w:sz w:val="24"/>
          <w:szCs w:val="24"/>
        </w:rPr>
        <w:t>74</w:t>
      </w:r>
      <w:r w:rsidRPr="008D4CA6">
        <w:rPr>
          <w:rFonts w:ascii="Book Antiqua" w:hAnsi="Book Antiqua"/>
          <w:sz w:val="24"/>
          <w:szCs w:val="24"/>
        </w:rPr>
        <w:t>: 437-444 [PMID: 30890260 DOI: 10.1016/j.crad.2018.12.023]</w:t>
      </w:r>
    </w:p>
    <w:p w14:paraId="539557D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97 </w:t>
      </w:r>
      <w:r w:rsidRPr="008D4CA6">
        <w:rPr>
          <w:rFonts w:ascii="Book Antiqua" w:hAnsi="Book Antiqua"/>
          <w:b/>
          <w:bCs/>
          <w:sz w:val="24"/>
          <w:szCs w:val="24"/>
        </w:rPr>
        <w:t>Hosokawa K</w:t>
      </w:r>
      <w:r w:rsidRPr="008D4CA6">
        <w:rPr>
          <w:rFonts w:ascii="Book Antiqua" w:hAnsi="Book Antiqua"/>
          <w:sz w:val="24"/>
          <w:szCs w:val="24"/>
        </w:rPr>
        <w:t>, Abe K, Kashihara S, Tsutsui H. 3-Dimensional SPECT/CT Fusion Imaging-Guided Balloon Pulmonary Angioplasty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2017; </w:t>
      </w:r>
      <w:r w:rsidRPr="008D4CA6">
        <w:rPr>
          <w:rFonts w:ascii="Book Antiqua" w:hAnsi="Book Antiqua"/>
          <w:b/>
          <w:bCs/>
          <w:sz w:val="24"/>
          <w:szCs w:val="24"/>
        </w:rPr>
        <w:t>10</w:t>
      </w:r>
      <w:r w:rsidRPr="008D4CA6">
        <w:rPr>
          <w:rFonts w:ascii="Book Antiqua" w:hAnsi="Book Antiqua"/>
          <w:sz w:val="24"/>
          <w:szCs w:val="24"/>
        </w:rPr>
        <w:t>: e193-e194 [PMID: 28964760 DOI: 10.1016/j.jcin.2017.07.038]</w:t>
      </w:r>
    </w:p>
    <w:p w14:paraId="2357231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98 </w:t>
      </w:r>
      <w:r w:rsidRPr="008D4CA6">
        <w:rPr>
          <w:rFonts w:ascii="Book Antiqua" w:hAnsi="Book Antiqua"/>
          <w:b/>
          <w:bCs/>
          <w:sz w:val="24"/>
          <w:szCs w:val="24"/>
        </w:rPr>
        <w:t>Ota H</w:t>
      </w:r>
      <w:r w:rsidRPr="008D4CA6">
        <w:rPr>
          <w:rFonts w:ascii="Book Antiqua" w:hAnsi="Book Antiqua"/>
          <w:sz w:val="24"/>
          <w:szCs w:val="24"/>
        </w:rPr>
        <w:t>, Sugimura K, Miura M, Shimokawa H. Four-dimensional flow magnetic resonance imaging visualizes drastic change in vortex flow in the main pulmonary artery after percutaneous transluminal pulmonary angioplasty in a patient with chronic thromboembolic pulmonary hypertension. </w:t>
      </w:r>
      <w:r w:rsidRPr="008D4CA6">
        <w:rPr>
          <w:rFonts w:ascii="Book Antiqua" w:hAnsi="Book Antiqua"/>
          <w:i/>
          <w:iCs/>
          <w:sz w:val="24"/>
          <w:szCs w:val="24"/>
        </w:rPr>
        <w:t>Eur Heart J</w:t>
      </w:r>
      <w:r w:rsidRPr="008D4CA6">
        <w:rPr>
          <w:rFonts w:ascii="Book Antiqua" w:hAnsi="Book Antiqua"/>
          <w:sz w:val="24"/>
          <w:szCs w:val="24"/>
        </w:rPr>
        <w:t> 2015; </w:t>
      </w:r>
      <w:r w:rsidRPr="008D4CA6">
        <w:rPr>
          <w:rFonts w:ascii="Book Antiqua" w:hAnsi="Book Antiqua"/>
          <w:b/>
          <w:bCs/>
          <w:sz w:val="24"/>
          <w:szCs w:val="24"/>
        </w:rPr>
        <w:t>36</w:t>
      </w:r>
      <w:r w:rsidRPr="008D4CA6">
        <w:rPr>
          <w:rFonts w:ascii="Book Antiqua" w:hAnsi="Book Antiqua"/>
          <w:sz w:val="24"/>
          <w:szCs w:val="24"/>
        </w:rPr>
        <w:t>: 1630 [PMID: 25736251 DOI: 10.1093/eurheartj/ehv054]</w:t>
      </w:r>
    </w:p>
    <w:p w14:paraId="60E97F8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99 </w:t>
      </w:r>
      <w:r w:rsidRPr="008D4CA6">
        <w:rPr>
          <w:rFonts w:ascii="Book Antiqua" w:hAnsi="Book Antiqua"/>
          <w:b/>
          <w:bCs/>
          <w:sz w:val="24"/>
          <w:szCs w:val="24"/>
        </w:rPr>
        <w:t>Kawakami T</w:t>
      </w:r>
      <w:r w:rsidRPr="008D4CA6">
        <w:rPr>
          <w:rFonts w:ascii="Book Antiqua" w:hAnsi="Book Antiqua"/>
          <w:sz w:val="24"/>
          <w:szCs w:val="24"/>
        </w:rPr>
        <w:t>, Kataoka M, Nakahara T, Yamada Y, Takei M, Jinzaki M, Fukuda K. Usefulness of 3D SPECT/CT fusion image in CTEPH.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194</w:t>
      </w:r>
      <w:r w:rsidRPr="008D4CA6">
        <w:rPr>
          <w:rFonts w:ascii="Book Antiqua" w:hAnsi="Book Antiqua"/>
          <w:sz w:val="24"/>
          <w:szCs w:val="24"/>
        </w:rPr>
        <w:t>: 39-40 [PMID: 26005804 DOI: 10.1016/j.ijcard.2015.05.056]</w:t>
      </w:r>
    </w:p>
    <w:p w14:paraId="78CEEA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100 </w:t>
      </w:r>
      <w:r w:rsidRPr="008D4CA6">
        <w:rPr>
          <w:rFonts w:ascii="Book Antiqua" w:hAnsi="Book Antiqua"/>
          <w:b/>
          <w:bCs/>
          <w:sz w:val="24"/>
          <w:szCs w:val="24"/>
        </w:rPr>
        <w:t>Maschke SK</w:t>
      </w:r>
      <w:r w:rsidRPr="008D4CA6">
        <w:rPr>
          <w:rFonts w:ascii="Book Antiqua" w:hAnsi="Book Antiqua"/>
          <w:sz w:val="24"/>
          <w:szCs w:val="24"/>
        </w:rPr>
        <w:t>, Renne J, Werncke T, Olsson KM, Hoeper MM, Wacker FK, Meyer BC, Hinrichs JB. Chronic thromboembolic pulmonary hypertension: Evaluation of 2D-perfusion angiography in patients who undergo balloon pulmonary angioplasty. </w:t>
      </w:r>
      <w:r w:rsidRPr="008D4CA6">
        <w:rPr>
          <w:rFonts w:ascii="Book Antiqua" w:hAnsi="Book Antiqua"/>
          <w:i/>
          <w:iCs/>
          <w:sz w:val="24"/>
          <w:szCs w:val="24"/>
        </w:rPr>
        <w:t>Eur Radiol</w:t>
      </w:r>
      <w:r w:rsidRPr="008D4CA6">
        <w:rPr>
          <w:rFonts w:ascii="Book Antiqua" w:hAnsi="Book Antiqua"/>
          <w:sz w:val="24"/>
          <w:szCs w:val="24"/>
        </w:rPr>
        <w:t> 2017; </w:t>
      </w:r>
      <w:r w:rsidRPr="008D4CA6">
        <w:rPr>
          <w:rFonts w:ascii="Book Antiqua" w:hAnsi="Book Antiqua"/>
          <w:b/>
          <w:bCs/>
          <w:sz w:val="24"/>
          <w:szCs w:val="24"/>
        </w:rPr>
        <w:t>27</w:t>
      </w:r>
      <w:r w:rsidRPr="008D4CA6">
        <w:rPr>
          <w:rFonts w:ascii="Book Antiqua" w:hAnsi="Book Antiqua"/>
          <w:sz w:val="24"/>
          <w:szCs w:val="24"/>
        </w:rPr>
        <w:t>: 4264-4270 [PMID: 28361177 DOI: 10.1007/s00330-017-4806-z]</w:t>
      </w:r>
    </w:p>
    <w:p w14:paraId="34F6373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101 </w:t>
      </w:r>
      <w:r w:rsidRPr="008D4CA6">
        <w:rPr>
          <w:rFonts w:ascii="Book Antiqua" w:hAnsi="Book Antiqua"/>
          <w:b/>
          <w:bCs/>
          <w:sz w:val="24"/>
          <w:szCs w:val="24"/>
        </w:rPr>
        <w:t>Tanabe N</w:t>
      </w:r>
      <w:r w:rsidRPr="008D4CA6">
        <w:rPr>
          <w:rFonts w:ascii="Book Antiqua" w:hAnsi="Book Antiqua"/>
          <w:sz w:val="24"/>
          <w:szCs w:val="24"/>
        </w:rPr>
        <w:t>, Kawakami T, Satoh T, Matsubara H, Nakanishi N, Ogino H, Tamura Y, Tsujino I, Ogawa A, Sakao S, Nishizaki M, Ishida K, Ichimura Y, Yoshida M, Tatsumi K. Balloon pulmonary angioplasty for chronic thromboembolic pulmonary hypertension: A systematic review. </w:t>
      </w:r>
      <w:r w:rsidRPr="008D4CA6">
        <w:rPr>
          <w:rFonts w:ascii="Book Antiqua" w:hAnsi="Book Antiqua"/>
          <w:i/>
          <w:iCs/>
          <w:sz w:val="24"/>
          <w:szCs w:val="24"/>
        </w:rPr>
        <w:t>Respir Investig</w:t>
      </w:r>
      <w:r w:rsidRPr="008D4CA6">
        <w:rPr>
          <w:rFonts w:ascii="Book Antiqua" w:hAnsi="Book Antiqua"/>
          <w:sz w:val="24"/>
          <w:szCs w:val="24"/>
        </w:rPr>
        <w:t> 2018; </w:t>
      </w:r>
      <w:r w:rsidRPr="008D4CA6">
        <w:rPr>
          <w:rFonts w:ascii="Book Antiqua" w:hAnsi="Book Antiqua"/>
          <w:b/>
          <w:bCs/>
          <w:sz w:val="24"/>
          <w:szCs w:val="24"/>
        </w:rPr>
        <w:t>56</w:t>
      </w:r>
      <w:r w:rsidRPr="008D4CA6">
        <w:rPr>
          <w:rFonts w:ascii="Book Antiqua" w:hAnsi="Book Antiqua"/>
          <w:sz w:val="24"/>
          <w:szCs w:val="24"/>
        </w:rPr>
        <w:t>: 332-341 [PMID: 30008295 DOI: 10.1016/j.resinv.2018.03.004]</w:t>
      </w:r>
    </w:p>
    <w:p w14:paraId="64B1E75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102 </w:t>
      </w:r>
      <w:r w:rsidRPr="008D4CA6">
        <w:rPr>
          <w:rFonts w:ascii="Book Antiqua" w:hAnsi="Book Antiqua"/>
          <w:b/>
          <w:bCs/>
          <w:sz w:val="24"/>
          <w:szCs w:val="24"/>
        </w:rPr>
        <w:t>Khan MS</w:t>
      </w:r>
      <w:r w:rsidRPr="008D4CA6">
        <w:rPr>
          <w:rFonts w:ascii="Book Antiqua" w:hAnsi="Book Antiqua"/>
          <w:sz w:val="24"/>
          <w:szCs w:val="24"/>
        </w:rPr>
        <w:t>, Amin E, Memon MM, Yamani N, Siddiqi TJ, Khan SU, Murad MH, Mookadam F, Figueredo VM, Doukky R, Benza RL, Krasuski RA. Meta-analysis of use of balloon pulmonary angioplasty in patients with inoperable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2019; </w:t>
      </w:r>
      <w:r w:rsidRPr="008D4CA6">
        <w:rPr>
          <w:rFonts w:ascii="Book Antiqua" w:hAnsi="Book Antiqua"/>
          <w:b/>
          <w:bCs/>
          <w:sz w:val="24"/>
          <w:szCs w:val="24"/>
        </w:rPr>
        <w:t>291</w:t>
      </w:r>
      <w:r w:rsidRPr="008D4CA6">
        <w:rPr>
          <w:rFonts w:ascii="Book Antiqua" w:hAnsi="Book Antiqua"/>
          <w:sz w:val="24"/>
          <w:szCs w:val="24"/>
        </w:rPr>
        <w:t>: 134-139 [PMID: 30850238 DOI: 10.1016/j.ijcard.2019.02.051]</w:t>
      </w:r>
    </w:p>
    <w:p w14:paraId="1803E53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103 </w:t>
      </w:r>
      <w:r w:rsidRPr="008D4CA6">
        <w:rPr>
          <w:rFonts w:ascii="Book Antiqua" w:hAnsi="Book Antiqua"/>
          <w:b/>
          <w:bCs/>
          <w:sz w:val="24"/>
          <w:szCs w:val="24"/>
        </w:rPr>
        <w:t>Wang W</w:t>
      </w:r>
      <w:r w:rsidRPr="008D4CA6">
        <w:rPr>
          <w:rFonts w:ascii="Book Antiqua" w:hAnsi="Book Antiqua"/>
          <w:sz w:val="24"/>
          <w:szCs w:val="24"/>
        </w:rPr>
        <w:t>, Wen L, Song Z, Shi W, Wang K, Huang W. Balloon pulmonary angioplasty vs riociguat in patients with inoperable chronic thromboembolic pulmonary hypertension: A systematic review and meta-analysis. </w:t>
      </w:r>
      <w:r w:rsidRPr="008D4CA6">
        <w:rPr>
          <w:rFonts w:ascii="Book Antiqua" w:hAnsi="Book Antiqua"/>
          <w:i/>
          <w:iCs/>
          <w:sz w:val="24"/>
          <w:szCs w:val="24"/>
        </w:rPr>
        <w:t>Clin Cardiol</w:t>
      </w:r>
      <w:r w:rsidRPr="008D4CA6">
        <w:rPr>
          <w:rFonts w:ascii="Book Antiqua" w:hAnsi="Book Antiqua"/>
          <w:sz w:val="24"/>
          <w:szCs w:val="24"/>
        </w:rPr>
        <w:t> 2019; </w:t>
      </w:r>
      <w:r w:rsidRPr="008D4CA6">
        <w:rPr>
          <w:rFonts w:ascii="Book Antiqua" w:hAnsi="Book Antiqua"/>
          <w:b/>
          <w:bCs/>
          <w:sz w:val="24"/>
          <w:szCs w:val="24"/>
        </w:rPr>
        <w:t>42</w:t>
      </w:r>
      <w:r w:rsidRPr="008D4CA6">
        <w:rPr>
          <w:rFonts w:ascii="Book Antiqua" w:hAnsi="Book Antiqua"/>
          <w:sz w:val="24"/>
          <w:szCs w:val="24"/>
        </w:rPr>
        <w:t>: 741-752 [PMID: 31188483 DOI: 10.1002/clc.23212]</w:t>
      </w:r>
    </w:p>
    <w:p w14:paraId="687C6FA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104 </w:t>
      </w:r>
      <w:r w:rsidRPr="008D4CA6">
        <w:rPr>
          <w:rFonts w:ascii="Book Antiqua" w:hAnsi="Book Antiqua"/>
          <w:b/>
          <w:bCs/>
          <w:sz w:val="24"/>
          <w:szCs w:val="24"/>
        </w:rPr>
        <w:t>Zoppellaro G</w:t>
      </w:r>
      <w:r w:rsidRPr="008D4CA6">
        <w:rPr>
          <w:rFonts w:ascii="Book Antiqua" w:hAnsi="Book Antiqua"/>
          <w:sz w:val="24"/>
          <w:szCs w:val="24"/>
        </w:rPr>
        <w:t>, Badawy MR, Squizzato A, Denas G, Tarantini G, Pengo V. Balloon Pulmonary Angioplasty in Patients With Chronic Thromboembolic Pulmonary Hypertension</w:t>
      </w:r>
      <w:r w:rsidRPr="008D4CA6">
        <w:rPr>
          <w:rFonts w:ascii="Book Antiqua" w:hAnsi="Book Antiqua"/>
          <w:sz w:val="24"/>
          <w:szCs w:val="24"/>
        </w:rPr>
        <w:t xml:space="preserve">　</w:t>
      </w:r>
      <w:r w:rsidRPr="008D4CA6">
        <w:rPr>
          <w:rFonts w:ascii="Book Antiqua" w:hAnsi="Book Antiqua"/>
          <w:sz w:val="24"/>
          <w:szCs w:val="24"/>
        </w:rPr>
        <w:t>- A Systematic Review and Meta-Analysis. </w:t>
      </w:r>
      <w:r w:rsidRPr="008D4CA6">
        <w:rPr>
          <w:rFonts w:ascii="Book Antiqua" w:hAnsi="Book Antiqua"/>
          <w:i/>
          <w:iCs/>
          <w:sz w:val="24"/>
          <w:szCs w:val="24"/>
        </w:rPr>
        <w:t>Circ J</w:t>
      </w:r>
      <w:r w:rsidRPr="008D4CA6">
        <w:rPr>
          <w:rFonts w:ascii="Book Antiqua" w:hAnsi="Book Antiqua"/>
          <w:sz w:val="24"/>
          <w:szCs w:val="24"/>
        </w:rPr>
        <w:t> 2019; </w:t>
      </w:r>
      <w:r w:rsidRPr="008D4CA6">
        <w:rPr>
          <w:rFonts w:ascii="Book Antiqua" w:hAnsi="Book Antiqua"/>
          <w:b/>
          <w:bCs/>
          <w:sz w:val="24"/>
          <w:szCs w:val="24"/>
        </w:rPr>
        <w:t>83</w:t>
      </w:r>
      <w:r w:rsidRPr="008D4CA6">
        <w:rPr>
          <w:rFonts w:ascii="Book Antiqua" w:hAnsi="Book Antiqua"/>
          <w:sz w:val="24"/>
          <w:szCs w:val="24"/>
        </w:rPr>
        <w:t>: 1660-1667 [PMID: 31231116 DOI: 10.1253/circj.CJ-19-0161]</w:t>
      </w:r>
    </w:p>
    <w:p w14:paraId="08D528C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105 </w:t>
      </w:r>
      <w:r w:rsidRPr="008D4CA6">
        <w:rPr>
          <w:rFonts w:ascii="Book Antiqua" w:hAnsi="Book Antiqua"/>
          <w:b/>
          <w:bCs/>
          <w:sz w:val="24"/>
          <w:szCs w:val="24"/>
        </w:rPr>
        <w:t>Taniguchi Y</w:t>
      </w:r>
      <w:r w:rsidRPr="008D4CA6">
        <w:rPr>
          <w:rFonts w:ascii="Book Antiqua" w:hAnsi="Book Antiqua"/>
          <w:sz w:val="24"/>
          <w:szCs w:val="24"/>
        </w:rPr>
        <w:t>, Miyagawa K, Nakayama K, Kinutani H, Shinke T, Okada K, Okita Y, Hirata KI, Emoto N. Balloon pulmonary angioplasty: an additional treatment option to improve the prognosis of patients with chronic thromboembolic pulmonary hypertension. </w:t>
      </w:r>
      <w:r w:rsidRPr="008D4CA6">
        <w:rPr>
          <w:rFonts w:ascii="Book Antiqua" w:hAnsi="Book Antiqua"/>
          <w:i/>
          <w:iCs/>
          <w:sz w:val="24"/>
          <w:szCs w:val="24"/>
        </w:rPr>
        <w:t>EuroIntervention</w:t>
      </w:r>
      <w:r w:rsidRPr="008D4CA6">
        <w:rPr>
          <w:rFonts w:ascii="Book Antiqua" w:hAnsi="Book Antiqua"/>
          <w:sz w:val="24"/>
          <w:szCs w:val="24"/>
        </w:rPr>
        <w:t> 2014; </w:t>
      </w:r>
      <w:r w:rsidRPr="008D4CA6">
        <w:rPr>
          <w:rFonts w:ascii="Book Antiqua" w:hAnsi="Book Antiqua"/>
          <w:b/>
          <w:bCs/>
          <w:sz w:val="24"/>
          <w:szCs w:val="24"/>
        </w:rPr>
        <w:t>10</w:t>
      </w:r>
      <w:r w:rsidRPr="008D4CA6">
        <w:rPr>
          <w:rFonts w:ascii="Book Antiqua" w:hAnsi="Book Antiqua"/>
          <w:sz w:val="24"/>
          <w:szCs w:val="24"/>
        </w:rPr>
        <w:t>: 518-525 [PMID: 25138190 DOI: 10.4244/EIJV10I4A89]</w:t>
      </w:r>
    </w:p>
    <w:p w14:paraId="74890C9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106 </w:t>
      </w:r>
      <w:r w:rsidRPr="008D4CA6">
        <w:rPr>
          <w:rFonts w:ascii="Book Antiqua" w:hAnsi="Book Antiqua"/>
          <w:b/>
          <w:bCs/>
          <w:sz w:val="24"/>
          <w:szCs w:val="24"/>
        </w:rPr>
        <w:t>Torbicki A</w:t>
      </w:r>
      <w:r w:rsidRPr="008D4CA6">
        <w:rPr>
          <w:rFonts w:ascii="Book Antiqua" w:hAnsi="Book Antiqua"/>
          <w:sz w:val="24"/>
          <w:szCs w:val="24"/>
        </w:rPr>
        <w:t>, Kurzyna M, Kuca P, Fijałkowska A, Sikora J, Florczyk M, Pruszczyk P, Burakowski J, Wawrzyńska L. Detectable serum cardiac troponin T as a marker of poor prognosis among patients with chronic precapillary pulmonary hypertension. </w:t>
      </w:r>
      <w:r w:rsidRPr="008D4CA6">
        <w:rPr>
          <w:rFonts w:ascii="Book Antiqua" w:hAnsi="Book Antiqua"/>
          <w:i/>
          <w:iCs/>
          <w:sz w:val="24"/>
          <w:szCs w:val="24"/>
        </w:rPr>
        <w:t>Circulation</w:t>
      </w:r>
      <w:r w:rsidRPr="008D4CA6">
        <w:rPr>
          <w:rFonts w:ascii="Book Antiqua" w:hAnsi="Book Antiqua"/>
          <w:sz w:val="24"/>
          <w:szCs w:val="24"/>
        </w:rPr>
        <w:t> 2003; </w:t>
      </w:r>
      <w:r w:rsidRPr="008D4CA6">
        <w:rPr>
          <w:rFonts w:ascii="Book Antiqua" w:hAnsi="Book Antiqua"/>
          <w:b/>
          <w:bCs/>
          <w:sz w:val="24"/>
          <w:szCs w:val="24"/>
        </w:rPr>
        <w:t>108</w:t>
      </w:r>
      <w:r w:rsidRPr="008D4CA6">
        <w:rPr>
          <w:rFonts w:ascii="Book Antiqua" w:hAnsi="Book Antiqua"/>
          <w:sz w:val="24"/>
          <w:szCs w:val="24"/>
        </w:rPr>
        <w:t xml:space="preserve">: 844-848 [PMID: 12900346 DOI: </w:t>
      </w:r>
      <w:r w:rsidRPr="008D4CA6">
        <w:rPr>
          <w:rFonts w:ascii="Book Antiqua" w:hAnsi="Book Antiqua"/>
          <w:sz w:val="24"/>
          <w:szCs w:val="24"/>
        </w:rPr>
        <w:lastRenderedPageBreak/>
        <w:t>10.1161/01.CIR.0000084544.54513.E2]</w:t>
      </w:r>
    </w:p>
    <w:p w14:paraId="48B5CC1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107 </w:t>
      </w:r>
      <w:r w:rsidRPr="008D4CA6">
        <w:rPr>
          <w:rFonts w:ascii="Book Antiqua" w:hAnsi="Book Antiqua"/>
          <w:b/>
          <w:bCs/>
          <w:sz w:val="24"/>
          <w:szCs w:val="24"/>
        </w:rPr>
        <w:t>Andreassen AK</w:t>
      </w:r>
      <w:r w:rsidRPr="008D4CA6">
        <w:rPr>
          <w:rFonts w:ascii="Book Antiqua" w:hAnsi="Book Antiqua"/>
          <w:sz w:val="24"/>
          <w:szCs w:val="24"/>
        </w:rPr>
        <w:t>, Wergeland R, Simonsen S, Geiran O, Guevara C, Ueland T. N-terminal pro-B-type natriuretic peptide as an indicator of disease severity in a heterogeneous group of patients with chronic precapillary pulmonary hypertension. </w:t>
      </w:r>
      <w:r w:rsidRPr="008D4CA6">
        <w:rPr>
          <w:rFonts w:ascii="Book Antiqua" w:hAnsi="Book Antiqua"/>
          <w:i/>
          <w:iCs/>
          <w:sz w:val="24"/>
          <w:szCs w:val="24"/>
        </w:rPr>
        <w:t>Am J Cardiol</w:t>
      </w:r>
      <w:r w:rsidRPr="008D4CA6">
        <w:rPr>
          <w:rFonts w:ascii="Book Antiqua" w:hAnsi="Book Antiqua"/>
          <w:sz w:val="24"/>
          <w:szCs w:val="24"/>
        </w:rPr>
        <w:t> 2006; </w:t>
      </w:r>
      <w:r w:rsidRPr="008D4CA6">
        <w:rPr>
          <w:rFonts w:ascii="Book Antiqua" w:hAnsi="Book Antiqua"/>
          <w:b/>
          <w:bCs/>
          <w:sz w:val="24"/>
          <w:szCs w:val="24"/>
        </w:rPr>
        <w:t>98</w:t>
      </w:r>
      <w:r w:rsidRPr="008D4CA6">
        <w:rPr>
          <w:rFonts w:ascii="Book Antiqua" w:hAnsi="Book Antiqua"/>
          <w:sz w:val="24"/>
          <w:szCs w:val="24"/>
        </w:rPr>
        <w:t>: 525-529 [PMID: 16893710 DOI: 10.1016/j.amjcard.2006.02.061]</w:t>
      </w:r>
    </w:p>
    <w:p w14:paraId="016334F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108 </w:t>
      </w:r>
      <w:r w:rsidRPr="008D4CA6">
        <w:rPr>
          <w:rFonts w:ascii="Book Antiqua" w:hAnsi="Book Antiqua"/>
          <w:b/>
          <w:bCs/>
          <w:sz w:val="24"/>
          <w:szCs w:val="24"/>
        </w:rPr>
        <w:t>Andreassen AK</w:t>
      </w:r>
      <w:r w:rsidRPr="008D4CA6">
        <w:rPr>
          <w:rFonts w:ascii="Book Antiqua" w:hAnsi="Book Antiqua"/>
          <w:sz w:val="24"/>
          <w:szCs w:val="24"/>
        </w:rPr>
        <w:t>, Ragnarsson A, Gude E, Geiran O, Andersen R. Balloon pulmonary angioplasty in patients with inoperable chronic thromboembolic pulmonary hypertension. </w:t>
      </w:r>
      <w:r w:rsidRPr="008D4CA6">
        <w:rPr>
          <w:rFonts w:ascii="Book Antiqua" w:hAnsi="Book Antiqua"/>
          <w:i/>
          <w:iCs/>
          <w:sz w:val="24"/>
          <w:szCs w:val="24"/>
        </w:rPr>
        <w:t>Heart</w:t>
      </w:r>
      <w:r w:rsidRPr="008D4CA6">
        <w:rPr>
          <w:rFonts w:ascii="Book Antiqua" w:hAnsi="Book Antiqua"/>
          <w:sz w:val="24"/>
          <w:szCs w:val="24"/>
        </w:rPr>
        <w:t> 2013; </w:t>
      </w:r>
      <w:r w:rsidRPr="008D4CA6">
        <w:rPr>
          <w:rFonts w:ascii="Book Antiqua" w:hAnsi="Book Antiqua"/>
          <w:b/>
          <w:bCs/>
          <w:sz w:val="24"/>
          <w:szCs w:val="24"/>
        </w:rPr>
        <w:t>99</w:t>
      </w:r>
      <w:r w:rsidRPr="008D4CA6">
        <w:rPr>
          <w:rFonts w:ascii="Book Antiqua" w:hAnsi="Book Antiqua"/>
          <w:sz w:val="24"/>
          <w:szCs w:val="24"/>
        </w:rPr>
        <w:t>: 1415-1420 [PMID: 23846611 DOI: 10.1136/heartjnl-2012-303549]</w:t>
      </w:r>
    </w:p>
    <w:p w14:paraId="55F2F0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109 </w:t>
      </w:r>
      <w:r w:rsidRPr="008D4CA6">
        <w:rPr>
          <w:rFonts w:ascii="Book Antiqua" w:hAnsi="Book Antiqua"/>
          <w:b/>
          <w:bCs/>
          <w:sz w:val="24"/>
          <w:szCs w:val="24"/>
        </w:rPr>
        <w:t>Kimura M</w:t>
      </w:r>
      <w:r w:rsidRPr="008D4CA6">
        <w:rPr>
          <w:rFonts w:ascii="Book Antiqua" w:hAnsi="Book Antiqua"/>
          <w:sz w:val="24"/>
          <w:szCs w:val="24"/>
        </w:rPr>
        <w:t>, Kohno T, Kawakami T, Kataoka M, Tsugu T, Akita K, Isobe S, Itabashi Y, Maekawa Y, Murata M, Fukuda K. Midterm Effect of Balloon Pulmonary Angioplasty on Hemodynamics and Subclinical Myocardial Damage in Chronic Thromboembolic Pulmonary Hypertension. </w:t>
      </w:r>
      <w:r w:rsidRPr="008D4CA6">
        <w:rPr>
          <w:rFonts w:ascii="Book Antiqua" w:hAnsi="Book Antiqua"/>
          <w:i/>
          <w:iCs/>
          <w:sz w:val="24"/>
          <w:szCs w:val="24"/>
        </w:rPr>
        <w:t>Can J Cardiol</w:t>
      </w:r>
      <w:r w:rsidRPr="008D4CA6">
        <w:rPr>
          <w:rFonts w:ascii="Book Antiqua" w:hAnsi="Book Antiqua"/>
          <w:sz w:val="24"/>
          <w:szCs w:val="24"/>
        </w:rPr>
        <w:t> 2017; </w:t>
      </w:r>
      <w:r w:rsidRPr="008D4CA6">
        <w:rPr>
          <w:rFonts w:ascii="Book Antiqua" w:hAnsi="Book Antiqua"/>
          <w:b/>
          <w:bCs/>
          <w:sz w:val="24"/>
          <w:szCs w:val="24"/>
        </w:rPr>
        <w:t>33</w:t>
      </w:r>
      <w:r w:rsidRPr="008D4CA6">
        <w:rPr>
          <w:rFonts w:ascii="Book Antiqua" w:hAnsi="Book Antiqua"/>
          <w:sz w:val="24"/>
          <w:szCs w:val="24"/>
        </w:rPr>
        <w:t>: 463-470 [PMID: 28256427 DOI: 10.1016/j.cjca.2016.12.003]</w:t>
      </w:r>
    </w:p>
    <w:p w14:paraId="63F958E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110 </w:t>
      </w:r>
      <w:r w:rsidRPr="008D4CA6">
        <w:rPr>
          <w:rFonts w:ascii="Book Antiqua" w:hAnsi="Book Antiqua"/>
          <w:b/>
          <w:bCs/>
          <w:sz w:val="24"/>
          <w:szCs w:val="24"/>
        </w:rPr>
        <w:t>Kimura M</w:t>
      </w:r>
      <w:r w:rsidRPr="008D4CA6">
        <w:rPr>
          <w:rFonts w:ascii="Book Antiqua" w:hAnsi="Book Antiqua"/>
          <w:sz w:val="24"/>
          <w:szCs w:val="24"/>
        </w:rPr>
        <w:t>, Kohno T, Kawakami T, Kataoka M, Inohara T, Takei M, Tsugu T, Murata M, Maekawa Y, Fukuda K. Balloon pulmonary angioplasty attenuates ongoing myocardial damage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2016; </w:t>
      </w:r>
      <w:r w:rsidRPr="008D4CA6">
        <w:rPr>
          <w:rFonts w:ascii="Book Antiqua" w:hAnsi="Book Antiqua"/>
          <w:b/>
          <w:bCs/>
          <w:sz w:val="24"/>
          <w:szCs w:val="24"/>
        </w:rPr>
        <w:t>207</w:t>
      </w:r>
      <w:r w:rsidRPr="008D4CA6">
        <w:rPr>
          <w:rFonts w:ascii="Book Antiqua" w:hAnsi="Book Antiqua"/>
          <w:sz w:val="24"/>
          <w:szCs w:val="24"/>
        </w:rPr>
        <w:t>: 387-389 [PMID: 26602928 DOI: 10.1016/j.ijcard.2015.11.026]</w:t>
      </w:r>
    </w:p>
    <w:p w14:paraId="6FD5155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111 </w:t>
      </w:r>
      <w:r w:rsidRPr="008D4CA6">
        <w:rPr>
          <w:rFonts w:ascii="Book Antiqua" w:hAnsi="Book Antiqua"/>
          <w:b/>
          <w:bCs/>
          <w:sz w:val="24"/>
          <w:szCs w:val="24"/>
        </w:rPr>
        <w:t>Kriechbaum SD</w:t>
      </w:r>
      <w:r w:rsidRPr="008D4CA6">
        <w:rPr>
          <w:rFonts w:ascii="Book Antiqua" w:hAnsi="Book Antiqua"/>
          <w:sz w:val="24"/>
          <w:szCs w:val="24"/>
        </w:rPr>
        <w:t>, Wiedenroth CB, Wolter JS, Hütz R, Haas M, Breithecker A, Roller FC, Keller T, Guth S, Rolf A, Hamm CW, Mayer E, Liebetrau C. N-terminal pro-B-type natriuretic peptide for monitoring after balloon pulmonary angioplasty for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2018; </w:t>
      </w:r>
      <w:r w:rsidRPr="008D4CA6">
        <w:rPr>
          <w:rFonts w:ascii="Book Antiqua" w:hAnsi="Book Antiqua"/>
          <w:b/>
          <w:bCs/>
          <w:sz w:val="24"/>
          <w:szCs w:val="24"/>
        </w:rPr>
        <w:t>37</w:t>
      </w:r>
      <w:r w:rsidRPr="008D4CA6">
        <w:rPr>
          <w:rFonts w:ascii="Book Antiqua" w:hAnsi="Book Antiqua"/>
          <w:sz w:val="24"/>
          <w:szCs w:val="24"/>
        </w:rPr>
        <w:t>: 639-646 [PMID: 29329761 DOI: 10.1016/j.healun.2017.12.006]</w:t>
      </w:r>
    </w:p>
    <w:p w14:paraId="5CA0D95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112 </w:t>
      </w:r>
      <w:r w:rsidRPr="008D4CA6">
        <w:rPr>
          <w:rFonts w:ascii="Book Antiqua" w:hAnsi="Book Antiqua"/>
          <w:b/>
          <w:bCs/>
          <w:sz w:val="24"/>
          <w:szCs w:val="24"/>
        </w:rPr>
        <w:t>Kriechbaum SD</w:t>
      </w:r>
      <w:r w:rsidRPr="008D4CA6">
        <w:rPr>
          <w:rFonts w:ascii="Book Antiqua" w:hAnsi="Book Antiqua"/>
          <w:sz w:val="24"/>
          <w:szCs w:val="24"/>
        </w:rPr>
        <w:t>, Wiedenroth CB, Keller T, Wolter JS, Ajnwojner R, Peters K, Haas MA, Roller FC, Breithecker A, Rieth AJ, Guth S, Rolf A, Bandorski D, Hamm CW, Mayer E, Liebetrau C. Dynamics of high-sensitivity cardiac troponin T during therapy with balloon pulmonary angioplasty for chronic thromboembolic pulmonary hypertension. </w:t>
      </w:r>
      <w:r w:rsidRPr="008D4CA6">
        <w:rPr>
          <w:rFonts w:ascii="Book Antiqua" w:hAnsi="Book Antiqua"/>
          <w:i/>
          <w:iCs/>
          <w:sz w:val="24"/>
          <w:szCs w:val="24"/>
        </w:rPr>
        <w:t>PLoS One</w:t>
      </w:r>
      <w:r w:rsidRPr="008D4CA6">
        <w:rPr>
          <w:rFonts w:ascii="Book Antiqua" w:hAnsi="Book Antiqua"/>
          <w:sz w:val="24"/>
          <w:szCs w:val="24"/>
        </w:rPr>
        <w:t> 2018; </w:t>
      </w:r>
      <w:r w:rsidRPr="008D4CA6">
        <w:rPr>
          <w:rFonts w:ascii="Book Antiqua" w:hAnsi="Book Antiqua"/>
          <w:b/>
          <w:bCs/>
          <w:sz w:val="24"/>
          <w:szCs w:val="24"/>
        </w:rPr>
        <w:t>13</w:t>
      </w:r>
      <w:r w:rsidRPr="008D4CA6">
        <w:rPr>
          <w:rFonts w:ascii="Book Antiqua" w:hAnsi="Book Antiqua"/>
          <w:sz w:val="24"/>
          <w:szCs w:val="24"/>
        </w:rPr>
        <w:t>: e0204683 [PMID: 30252896 DOI: 10.1371/journal.pone.0204683]</w:t>
      </w:r>
    </w:p>
    <w:p w14:paraId="21BEA8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113 </w:t>
      </w:r>
      <w:r w:rsidRPr="008D4CA6">
        <w:rPr>
          <w:rFonts w:ascii="Book Antiqua" w:hAnsi="Book Antiqua"/>
          <w:b/>
          <w:bCs/>
          <w:sz w:val="24"/>
          <w:szCs w:val="24"/>
        </w:rPr>
        <w:t>Richter MJ</w:t>
      </w:r>
      <w:r w:rsidRPr="008D4CA6">
        <w:rPr>
          <w:rFonts w:ascii="Book Antiqua" w:hAnsi="Book Antiqua"/>
          <w:sz w:val="24"/>
          <w:szCs w:val="24"/>
        </w:rPr>
        <w:t>, Pader P, Gall H, Reichenberger F, Seeger W, Mayer E, Guth S, Kramm T, Grimminger F, Ghofrani HA, Voswinckel R. The prognostic relevance of oxygen uptake in inoperable chronic thromboembolic pulmonary hypertension. </w:t>
      </w:r>
      <w:r w:rsidRPr="008D4CA6">
        <w:rPr>
          <w:rFonts w:ascii="Book Antiqua" w:hAnsi="Book Antiqua"/>
          <w:i/>
          <w:iCs/>
          <w:sz w:val="24"/>
          <w:szCs w:val="24"/>
        </w:rPr>
        <w:t>Clin Respir J</w:t>
      </w:r>
      <w:r w:rsidRPr="008D4CA6">
        <w:rPr>
          <w:rFonts w:ascii="Book Antiqua" w:hAnsi="Book Antiqua"/>
          <w:sz w:val="24"/>
          <w:szCs w:val="24"/>
        </w:rPr>
        <w:t> 2017; </w:t>
      </w:r>
      <w:r w:rsidRPr="008D4CA6">
        <w:rPr>
          <w:rFonts w:ascii="Book Antiqua" w:hAnsi="Book Antiqua"/>
          <w:b/>
          <w:bCs/>
          <w:sz w:val="24"/>
          <w:szCs w:val="24"/>
        </w:rPr>
        <w:t>11</w:t>
      </w:r>
      <w:r w:rsidRPr="008D4CA6">
        <w:rPr>
          <w:rFonts w:ascii="Book Antiqua" w:hAnsi="Book Antiqua"/>
          <w:sz w:val="24"/>
          <w:szCs w:val="24"/>
        </w:rPr>
        <w:t xml:space="preserve">: 682-690 </w:t>
      </w:r>
      <w:r w:rsidRPr="008D4CA6">
        <w:rPr>
          <w:rFonts w:ascii="Book Antiqua" w:hAnsi="Book Antiqua"/>
          <w:sz w:val="24"/>
          <w:szCs w:val="24"/>
        </w:rPr>
        <w:lastRenderedPageBreak/>
        <w:t>[PMID: 26470843 DOI: 10.1111/crj.12399]</w:t>
      </w:r>
    </w:p>
    <w:p w14:paraId="2A555A8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114 </w:t>
      </w:r>
      <w:r w:rsidRPr="008D4CA6">
        <w:rPr>
          <w:rFonts w:ascii="Book Antiqua" w:hAnsi="Book Antiqua"/>
          <w:b/>
          <w:bCs/>
          <w:sz w:val="24"/>
          <w:szCs w:val="24"/>
        </w:rPr>
        <w:t>Iwase T</w:t>
      </w:r>
      <w:r w:rsidRPr="008D4CA6">
        <w:rPr>
          <w:rFonts w:ascii="Book Antiqua" w:hAnsi="Book Antiqua"/>
          <w:sz w:val="24"/>
          <w:szCs w:val="24"/>
        </w:rPr>
        <w:t>, Nagaya N, Ando M, Satoh T, Sakamaki F, Kyotani S, Takaki H, Goto Y, Ohkita Y, Uematsu M, Nakanishi N, Miyatake K. Acute and chronic effects of surgical thromboendarterectomy on exercise capacity and ventilatory efficiency in patients with chronic thromboembolic pulmonary hypertension. </w:t>
      </w:r>
      <w:r w:rsidRPr="008D4CA6">
        <w:rPr>
          <w:rFonts w:ascii="Book Antiqua" w:hAnsi="Book Antiqua"/>
          <w:i/>
          <w:iCs/>
          <w:sz w:val="24"/>
          <w:szCs w:val="24"/>
        </w:rPr>
        <w:t>Heart</w:t>
      </w:r>
      <w:r w:rsidRPr="008D4CA6">
        <w:rPr>
          <w:rFonts w:ascii="Book Antiqua" w:hAnsi="Book Antiqua"/>
          <w:sz w:val="24"/>
          <w:szCs w:val="24"/>
        </w:rPr>
        <w:t> 2001; </w:t>
      </w:r>
      <w:r w:rsidRPr="008D4CA6">
        <w:rPr>
          <w:rFonts w:ascii="Book Antiqua" w:hAnsi="Book Antiqua"/>
          <w:b/>
          <w:bCs/>
          <w:sz w:val="24"/>
          <w:szCs w:val="24"/>
        </w:rPr>
        <w:t>86</w:t>
      </w:r>
      <w:r w:rsidRPr="008D4CA6">
        <w:rPr>
          <w:rFonts w:ascii="Book Antiqua" w:hAnsi="Book Antiqua"/>
          <w:sz w:val="24"/>
          <w:szCs w:val="24"/>
        </w:rPr>
        <w:t>: 188-192 [PMID: 11454839 DOI: 10.1136/heart.86.2.188]</w:t>
      </w:r>
    </w:p>
    <w:p w14:paraId="277DD79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115 </w:t>
      </w:r>
      <w:r w:rsidRPr="008D4CA6">
        <w:rPr>
          <w:rFonts w:ascii="Book Antiqua" w:hAnsi="Book Antiqua"/>
          <w:b/>
          <w:bCs/>
          <w:sz w:val="24"/>
          <w:szCs w:val="24"/>
        </w:rPr>
        <w:t>Fukui S</w:t>
      </w:r>
      <w:r w:rsidRPr="008D4CA6">
        <w:rPr>
          <w:rFonts w:ascii="Book Antiqua" w:hAnsi="Book Antiqua"/>
          <w:sz w:val="24"/>
          <w:szCs w:val="24"/>
        </w:rPr>
        <w:t>, Ogo T, Goto Y, Ueda J, Tsuji A, Sanda Y, Kumasaka R, Arakawa T, Nakanishi M, Fukuda T, Takaki H, Yasuda S, Ogawa H, Nakanishi N. Exercise intolerance and ventilatory inefficiency improve early after balloon pulmonary angioplasty in patients with inoperable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180</w:t>
      </w:r>
      <w:r w:rsidRPr="008D4CA6">
        <w:rPr>
          <w:rFonts w:ascii="Book Antiqua" w:hAnsi="Book Antiqua"/>
          <w:sz w:val="24"/>
          <w:szCs w:val="24"/>
        </w:rPr>
        <w:t>: 66-68 [PMID: 25438215 DOI: 10.1016/j.ijcard.2014.11.187]</w:t>
      </w:r>
    </w:p>
    <w:p w14:paraId="21C37AD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116 </w:t>
      </w:r>
      <w:r w:rsidRPr="008D4CA6">
        <w:rPr>
          <w:rFonts w:ascii="Book Antiqua" w:hAnsi="Book Antiqua"/>
          <w:b/>
          <w:bCs/>
          <w:sz w:val="24"/>
          <w:szCs w:val="24"/>
        </w:rPr>
        <w:t>Jin Q</w:t>
      </w:r>
      <w:r w:rsidRPr="008D4CA6">
        <w:rPr>
          <w:rFonts w:ascii="Book Antiqua" w:hAnsi="Book Antiqua"/>
          <w:sz w:val="24"/>
          <w:szCs w:val="24"/>
        </w:rPr>
        <w:t>, Luo Q, Yang T, Zeng Q, Yu X, Yan L, Zhang Y, Zhao Q, Ma X, An C, Xiong C, Zhao Z, Liu Z. Improved hemodynamics and cardiopulmonary function in patients with inoperable chronic thromboembolic pulmonary hypertension after balloon pulmonary angioplasty. </w:t>
      </w:r>
      <w:r w:rsidRPr="008D4CA6">
        <w:rPr>
          <w:rFonts w:ascii="Book Antiqua" w:hAnsi="Book Antiqua"/>
          <w:i/>
          <w:iCs/>
          <w:sz w:val="24"/>
          <w:szCs w:val="24"/>
        </w:rPr>
        <w:t>Respir Res</w:t>
      </w:r>
      <w:r w:rsidRPr="008D4CA6">
        <w:rPr>
          <w:rFonts w:ascii="Book Antiqua" w:hAnsi="Book Antiqua"/>
          <w:sz w:val="24"/>
          <w:szCs w:val="24"/>
        </w:rPr>
        <w:t> 2019; </w:t>
      </w:r>
      <w:r w:rsidRPr="008D4CA6">
        <w:rPr>
          <w:rFonts w:ascii="Book Antiqua" w:hAnsi="Book Antiqua"/>
          <w:b/>
          <w:bCs/>
          <w:sz w:val="24"/>
          <w:szCs w:val="24"/>
        </w:rPr>
        <w:t>20</w:t>
      </w:r>
      <w:r w:rsidRPr="008D4CA6">
        <w:rPr>
          <w:rFonts w:ascii="Book Antiqua" w:hAnsi="Book Antiqua"/>
          <w:sz w:val="24"/>
          <w:szCs w:val="24"/>
        </w:rPr>
        <w:t>: 250 [PMID: 31703589 DOI: 10.1186/s12931-019-1211-y]</w:t>
      </w:r>
    </w:p>
    <w:p w14:paraId="634C67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117 </w:t>
      </w:r>
      <w:r w:rsidRPr="008D4CA6">
        <w:rPr>
          <w:rFonts w:ascii="Book Antiqua" w:hAnsi="Book Antiqua"/>
          <w:b/>
          <w:bCs/>
          <w:sz w:val="24"/>
          <w:szCs w:val="24"/>
        </w:rPr>
        <w:t>Inagaki T</w:t>
      </w:r>
      <w:r w:rsidRPr="008D4CA6">
        <w:rPr>
          <w:rFonts w:ascii="Book Antiqua" w:hAnsi="Book Antiqua"/>
          <w:sz w:val="24"/>
          <w:szCs w:val="24"/>
        </w:rPr>
        <w:t>, Terada J, Tanabe N, Kawata N, Kasai H, Sugiura T, Shigeta A, Asano Y, Murata A, Tsushima K, Tada Y, Sakao S, Tatsumi K. Home-based pulmonary rehabilitation in patients with inoperable or residual chronic thromboembolic pulmonary hypertension: a preliminary study. </w:t>
      </w:r>
      <w:r w:rsidRPr="008D4CA6">
        <w:rPr>
          <w:rFonts w:ascii="Book Antiqua" w:hAnsi="Book Antiqua"/>
          <w:i/>
          <w:iCs/>
          <w:sz w:val="24"/>
          <w:szCs w:val="24"/>
        </w:rPr>
        <w:t>Respir Investig</w:t>
      </w:r>
      <w:r w:rsidRPr="008D4CA6">
        <w:rPr>
          <w:rFonts w:ascii="Book Antiqua" w:hAnsi="Book Antiqua"/>
          <w:sz w:val="24"/>
          <w:szCs w:val="24"/>
        </w:rPr>
        <w:t> 2014; </w:t>
      </w:r>
      <w:r w:rsidRPr="008D4CA6">
        <w:rPr>
          <w:rFonts w:ascii="Book Antiqua" w:hAnsi="Book Antiqua"/>
          <w:b/>
          <w:bCs/>
          <w:sz w:val="24"/>
          <w:szCs w:val="24"/>
        </w:rPr>
        <w:t>52</w:t>
      </w:r>
      <w:r w:rsidRPr="008D4CA6">
        <w:rPr>
          <w:rFonts w:ascii="Book Antiqua" w:hAnsi="Book Antiqua"/>
          <w:sz w:val="24"/>
          <w:szCs w:val="24"/>
        </w:rPr>
        <w:t>: 357-364 [PMID: 25453379 DOI: 10.1016/j.resinv.2014.07.002]</w:t>
      </w:r>
    </w:p>
    <w:p w14:paraId="052D0662"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118 </w:t>
      </w:r>
      <w:r w:rsidRPr="008D4CA6">
        <w:rPr>
          <w:rFonts w:ascii="Book Antiqua" w:hAnsi="Book Antiqua"/>
          <w:b/>
          <w:bCs/>
          <w:sz w:val="24"/>
          <w:szCs w:val="24"/>
        </w:rPr>
        <w:t>Zabini D</w:t>
      </w:r>
      <w:r w:rsidRPr="008D4CA6">
        <w:rPr>
          <w:rFonts w:ascii="Book Antiqua" w:hAnsi="Book Antiqua"/>
          <w:sz w:val="24"/>
          <w:szCs w:val="24"/>
        </w:rPr>
        <w:t>, Heinemann A, Foris V, Nagaraj C, Nierlich P, Bálint Z, Kwapiszewska G, Lang IM, Klepetko W, Olschewski H, Olschewski A. Comprehensive analysis of inflammatory markers in chronic thromboembolic pulmonary hypertension patients. </w:t>
      </w:r>
      <w:r w:rsidRPr="008D4CA6">
        <w:rPr>
          <w:rFonts w:ascii="Book Antiqua" w:hAnsi="Book Antiqua"/>
          <w:i/>
          <w:iCs/>
          <w:sz w:val="24"/>
          <w:szCs w:val="24"/>
        </w:rPr>
        <w:t>Eur Respir J</w:t>
      </w:r>
      <w:r w:rsidRPr="008D4CA6">
        <w:rPr>
          <w:rFonts w:ascii="Book Antiqua" w:hAnsi="Book Antiqua"/>
          <w:sz w:val="24"/>
          <w:szCs w:val="24"/>
        </w:rPr>
        <w:t> 2014; </w:t>
      </w:r>
      <w:r w:rsidRPr="008D4CA6">
        <w:rPr>
          <w:rFonts w:ascii="Book Antiqua" w:hAnsi="Book Antiqua"/>
          <w:b/>
          <w:bCs/>
          <w:sz w:val="24"/>
          <w:szCs w:val="24"/>
        </w:rPr>
        <w:t>44</w:t>
      </w:r>
      <w:r w:rsidRPr="008D4CA6">
        <w:rPr>
          <w:rFonts w:ascii="Book Antiqua" w:hAnsi="Book Antiqua"/>
          <w:sz w:val="24"/>
          <w:szCs w:val="24"/>
        </w:rPr>
        <w:t>: 951-962 [PMID: 25034560 DOI: 10.1183/09031936.00145013]</w:t>
      </w:r>
    </w:p>
    <w:p w14:paraId="2B5A8AA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119 </w:t>
      </w:r>
      <w:r w:rsidRPr="008D4CA6">
        <w:rPr>
          <w:rFonts w:ascii="Book Antiqua" w:hAnsi="Book Antiqua"/>
          <w:b/>
          <w:bCs/>
          <w:sz w:val="24"/>
          <w:szCs w:val="24"/>
        </w:rPr>
        <w:t>Magon W</w:t>
      </w:r>
      <w:r w:rsidRPr="008D4CA6">
        <w:rPr>
          <w:rFonts w:ascii="Book Antiqua" w:hAnsi="Book Antiqua"/>
          <w:sz w:val="24"/>
          <w:szCs w:val="24"/>
        </w:rPr>
        <w:t xml:space="preserve">, Stepniewski J, Jonas K, Waligora M, Podolec P, Kopec G. P4679Changes in systemic inflammation and endothelial dysfunction after balloon pulmonary angioplasty. </w:t>
      </w:r>
      <w:r w:rsidRPr="008D4CA6">
        <w:rPr>
          <w:rFonts w:ascii="Book Antiqua" w:hAnsi="Book Antiqua"/>
          <w:i/>
          <w:iCs/>
          <w:sz w:val="24"/>
          <w:szCs w:val="24"/>
        </w:rPr>
        <w:t xml:space="preserve">Eur Heart J </w:t>
      </w:r>
      <w:r w:rsidRPr="008D4CA6">
        <w:rPr>
          <w:rFonts w:ascii="Book Antiqua" w:hAnsi="Book Antiqua"/>
          <w:sz w:val="24"/>
          <w:szCs w:val="24"/>
        </w:rPr>
        <w:t xml:space="preserve">2019; </w:t>
      </w:r>
      <w:r w:rsidRPr="008D4CA6">
        <w:rPr>
          <w:rFonts w:ascii="Book Antiqua" w:hAnsi="Book Antiqua"/>
          <w:b/>
          <w:bCs/>
          <w:sz w:val="24"/>
          <w:szCs w:val="24"/>
        </w:rPr>
        <w:t>40</w:t>
      </w:r>
      <w:r w:rsidRPr="008D4CA6">
        <w:rPr>
          <w:rFonts w:ascii="Book Antiqua" w:hAnsi="Book Antiqua"/>
          <w:sz w:val="24"/>
          <w:szCs w:val="24"/>
        </w:rPr>
        <w:t>: ehz745.1061 [DOI: 10.1093/eurheartj/ehz745.1061]</w:t>
      </w:r>
    </w:p>
    <w:p w14:paraId="4B8549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120 </w:t>
      </w:r>
      <w:r w:rsidRPr="008D4CA6">
        <w:rPr>
          <w:rFonts w:ascii="Book Antiqua" w:hAnsi="Book Antiqua"/>
          <w:b/>
          <w:bCs/>
          <w:sz w:val="24"/>
          <w:szCs w:val="24"/>
        </w:rPr>
        <w:t>Moser B</w:t>
      </w:r>
      <w:r w:rsidRPr="008D4CA6">
        <w:rPr>
          <w:rFonts w:ascii="Book Antiqua" w:hAnsi="Book Antiqua"/>
          <w:sz w:val="24"/>
          <w:szCs w:val="24"/>
        </w:rPr>
        <w:t>, Megerle A, Bekos C, Janik S, Szerafin T, Birner P, Schiefer AI, Mildner M, Lang I, Skoro-Sajer N, Sadushi-Kolici R, Taghavi S, Klepetko W, Ankersmit HJ. Local and systemic RAGE axis changes in pulmonary hypertension: CTEPH and iPAH. </w:t>
      </w:r>
      <w:r w:rsidRPr="008D4CA6">
        <w:rPr>
          <w:rFonts w:ascii="Book Antiqua" w:hAnsi="Book Antiqua"/>
          <w:i/>
          <w:iCs/>
          <w:sz w:val="24"/>
          <w:szCs w:val="24"/>
        </w:rPr>
        <w:t>PLoS One</w:t>
      </w:r>
      <w:r w:rsidRPr="008D4CA6">
        <w:rPr>
          <w:rFonts w:ascii="Book Antiqua" w:hAnsi="Book Antiqua"/>
          <w:sz w:val="24"/>
          <w:szCs w:val="24"/>
        </w:rPr>
        <w:t> 2014; </w:t>
      </w:r>
      <w:r w:rsidRPr="008D4CA6">
        <w:rPr>
          <w:rFonts w:ascii="Book Antiqua" w:hAnsi="Book Antiqua"/>
          <w:b/>
          <w:bCs/>
          <w:sz w:val="24"/>
          <w:szCs w:val="24"/>
        </w:rPr>
        <w:t>9</w:t>
      </w:r>
      <w:r w:rsidRPr="008D4CA6">
        <w:rPr>
          <w:rFonts w:ascii="Book Antiqua" w:hAnsi="Book Antiqua"/>
          <w:sz w:val="24"/>
          <w:szCs w:val="24"/>
        </w:rPr>
        <w:t>: e106440 [PMID: 25188497 DOI: 10.1371/journal.pone.0106440]</w:t>
      </w:r>
    </w:p>
    <w:p w14:paraId="5350A6F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lastRenderedPageBreak/>
        <w:t>121 </w:t>
      </w:r>
      <w:r w:rsidRPr="008D4CA6">
        <w:rPr>
          <w:rFonts w:ascii="Book Antiqua" w:hAnsi="Book Antiqua"/>
          <w:b/>
          <w:bCs/>
          <w:sz w:val="24"/>
          <w:szCs w:val="24"/>
        </w:rPr>
        <w:t>Suzuki S</w:t>
      </w:r>
      <w:r w:rsidRPr="008D4CA6">
        <w:rPr>
          <w:rFonts w:ascii="Book Antiqua" w:hAnsi="Book Antiqua"/>
          <w:sz w:val="24"/>
          <w:szCs w:val="24"/>
        </w:rPr>
        <w:t>, Nakazato K, Sugimoto K, Yoshihisa A, Yamaki T, Kunii H, Suzuki H, Saitoh S, Takeishi Y. Plasma Levels of Receptor for Advanced Glycation End-Products and High-Mobility Group Box 1 in Patients With Pulmonary Hypertension. </w:t>
      </w:r>
      <w:r w:rsidRPr="008D4CA6">
        <w:rPr>
          <w:rFonts w:ascii="Book Antiqua" w:hAnsi="Book Antiqua"/>
          <w:i/>
          <w:iCs/>
          <w:sz w:val="24"/>
          <w:szCs w:val="24"/>
        </w:rPr>
        <w:t>Int Heart J</w:t>
      </w:r>
      <w:r w:rsidRPr="008D4CA6">
        <w:rPr>
          <w:rFonts w:ascii="Book Antiqua" w:hAnsi="Book Antiqua"/>
          <w:sz w:val="24"/>
          <w:szCs w:val="24"/>
        </w:rPr>
        <w:t> 2016; </w:t>
      </w:r>
      <w:r w:rsidRPr="008D4CA6">
        <w:rPr>
          <w:rFonts w:ascii="Book Antiqua" w:hAnsi="Book Antiqua"/>
          <w:b/>
          <w:bCs/>
          <w:sz w:val="24"/>
          <w:szCs w:val="24"/>
        </w:rPr>
        <w:t>57</w:t>
      </w:r>
      <w:r w:rsidRPr="008D4CA6">
        <w:rPr>
          <w:rFonts w:ascii="Book Antiqua" w:hAnsi="Book Antiqua"/>
          <w:sz w:val="24"/>
          <w:szCs w:val="24"/>
        </w:rPr>
        <w:t>: 234-240 [PMID: 26973260 DOI: 10.1536/ihj.15-188]</w:t>
      </w:r>
    </w:p>
    <w:p w14:paraId="5822BF8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122 </w:t>
      </w:r>
      <w:r w:rsidRPr="008D4CA6">
        <w:rPr>
          <w:rFonts w:ascii="Book Antiqua" w:hAnsi="Book Antiqua"/>
          <w:b/>
          <w:bCs/>
          <w:sz w:val="24"/>
          <w:szCs w:val="24"/>
        </w:rPr>
        <w:t>Kamimura Y</w:t>
      </w:r>
      <w:r w:rsidRPr="008D4CA6">
        <w:rPr>
          <w:rFonts w:ascii="Book Antiqua" w:hAnsi="Book Antiqua"/>
          <w:sz w:val="24"/>
          <w:szCs w:val="24"/>
        </w:rPr>
        <w:t>, Okumura N, Adachi S, Shimokata S, Tajima F, Nakano Y, Hirashiki A, Murohara T, Kondo T. Usefulness of scoring right ventricular function for assessment of prognostic factors in patients with chronic thromboembolic pulmonary hypertension. </w:t>
      </w:r>
      <w:r w:rsidRPr="008D4CA6">
        <w:rPr>
          <w:rFonts w:ascii="Book Antiqua" w:hAnsi="Book Antiqua"/>
          <w:i/>
          <w:iCs/>
          <w:sz w:val="24"/>
          <w:szCs w:val="24"/>
        </w:rPr>
        <w:t>Heart Vessels</w:t>
      </w:r>
      <w:r w:rsidRPr="008D4CA6">
        <w:rPr>
          <w:rFonts w:ascii="Book Antiqua" w:hAnsi="Book Antiqua"/>
          <w:sz w:val="24"/>
          <w:szCs w:val="24"/>
        </w:rPr>
        <w:t> 2018; </w:t>
      </w:r>
      <w:r w:rsidRPr="008D4CA6">
        <w:rPr>
          <w:rFonts w:ascii="Book Antiqua" w:hAnsi="Book Antiqua"/>
          <w:b/>
          <w:bCs/>
          <w:sz w:val="24"/>
          <w:szCs w:val="24"/>
        </w:rPr>
        <w:t>33</w:t>
      </w:r>
      <w:r w:rsidRPr="008D4CA6">
        <w:rPr>
          <w:rFonts w:ascii="Book Antiqua" w:hAnsi="Book Antiqua"/>
          <w:sz w:val="24"/>
          <w:szCs w:val="24"/>
        </w:rPr>
        <w:t>: 1220-1228 [PMID: 29704099 DOI: 10.1007/s00380-018-1168-7]</w:t>
      </w:r>
    </w:p>
    <w:p w14:paraId="481B72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123 </w:t>
      </w:r>
      <w:r w:rsidRPr="008D4CA6">
        <w:rPr>
          <w:rFonts w:ascii="Book Antiqua" w:hAnsi="Book Antiqua"/>
          <w:b/>
          <w:bCs/>
          <w:sz w:val="24"/>
          <w:szCs w:val="24"/>
        </w:rPr>
        <w:t>Sato H</w:t>
      </w:r>
      <w:r w:rsidRPr="008D4CA6">
        <w:rPr>
          <w:rFonts w:ascii="Book Antiqua" w:hAnsi="Book Antiqua"/>
          <w:sz w:val="24"/>
          <w:szCs w:val="24"/>
        </w:rPr>
        <w:t>, Ota H, Sugimura K, Aoki T, Tatebe S, Miura M, Yamamoto S, Yaoita N, Suzuki H, Satoh K, Takase K, Shimokawa H. Balloon Pulmonary Angioplasty Improves Biventricular Functions and Pulmonary Flow in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1470-1477 [PMID: 27097557 DOI: 10.1253/circj.CJ-15-1187]</w:t>
      </w:r>
    </w:p>
    <w:p w14:paraId="5FFC7A9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124 </w:t>
      </w:r>
      <w:r w:rsidRPr="008D4CA6">
        <w:rPr>
          <w:rFonts w:ascii="Book Antiqua" w:hAnsi="Book Antiqua"/>
          <w:b/>
          <w:bCs/>
          <w:sz w:val="24"/>
          <w:szCs w:val="24"/>
        </w:rPr>
        <w:t>Yamada N</w:t>
      </w:r>
      <w:r w:rsidRPr="008D4CA6">
        <w:rPr>
          <w:rFonts w:ascii="Book Antiqua" w:hAnsi="Book Antiqua"/>
          <w:sz w:val="24"/>
          <w:szCs w:val="24"/>
        </w:rPr>
        <w:t>. Beneficial Therapeutic Effects of Balloon Pulmonary Angioplasty on Biventricular Function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1326-1327 [PMID: 27170202 DOI: 10.1253/circj.CJ-16-0418]</w:t>
      </w:r>
    </w:p>
    <w:p w14:paraId="73F6E5E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125 </w:t>
      </w:r>
      <w:r w:rsidRPr="008D4CA6">
        <w:rPr>
          <w:rFonts w:ascii="Book Antiqua" w:hAnsi="Book Antiqua"/>
          <w:b/>
          <w:bCs/>
          <w:sz w:val="24"/>
          <w:szCs w:val="24"/>
        </w:rPr>
        <w:t>Kanar BG</w:t>
      </w:r>
      <w:r w:rsidRPr="008D4CA6">
        <w:rPr>
          <w:rFonts w:ascii="Book Antiqua" w:hAnsi="Book Antiqua"/>
          <w:sz w:val="24"/>
          <w:szCs w:val="24"/>
        </w:rPr>
        <w:t>, Mutlu B, Atas H, Akaslan D, Yıldızeli B. Improvements of right ventricular function and hemodynamics after balloon pulmonary angioplasty in patients with chronic thromboembolic pulmonary hypertension. </w:t>
      </w:r>
      <w:r w:rsidRPr="008D4CA6">
        <w:rPr>
          <w:rFonts w:ascii="Book Antiqua" w:hAnsi="Book Antiqua"/>
          <w:i/>
          <w:iCs/>
          <w:sz w:val="24"/>
          <w:szCs w:val="24"/>
        </w:rPr>
        <w:t>Echocardiography</w:t>
      </w:r>
      <w:r w:rsidRPr="008D4CA6">
        <w:rPr>
          <w:rFonts w:ascii="Book Antiqua" w:hAnsi="Book Antiqua"/>
          <w:sz w:val="24"/>
          <w:szCs w:val="24"/>
        </w:rPr>
        <w:t> 2019; </w:t>
      </w:r>
      <w:r w:rsidRPr="008D4CA6">
        <w:rPr>
          <w:rFonts w:ascii="Book Antiqua" w:hAnsi="Book Antiqua"/>
          <w:b/>
          <w:bCs/>
          <w:sz w:val="24"/>
          <w:szCs w:val="24"/>
        </w:rPr>
        <w:t>36</w:t>
      </w:r>
      <w:r w:rsidRPr="008D4CA6">
        <w:rPr>
          <w:rFonts w:ascii="Book Antiqua" w:hAnsi="Book Antiqua"/>
          <w:sz w:val="24"/>
          <w:szCs w:val="24"/>
        </w:rPr>
        <w:t>: 2050-2056 [PMID: 31609027 DOI: 10.1111/echo.14503]</w:t>
      </w:r>
    </w:p>
    <w:p w14:paraId="61DF28A8"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126 </w:t>
      </w:r>
      <w:r w:rsidRPr="008D4CA6">
        <w:rPr>
          <w:rFonts w:ascii="Book Antiqua" w:hAnsi="Book Antiqua"/>
          <w:b/>
          <w:bCs/>
          <w:sz w:val="24"/>
          <w:szCs w:val="24"/>
        </w:rPr>
        <w:t>Sumimoto K</w:t>
      </w:r>
      <w:r w:rsidRPr="008D4CA6">
        <w:rPr>
          <w:rFonts w:ascii="Book Antiqua" w:hAnsi="Book Antiqua"/>
          <w:sz w:val="24"/>
          <w:szCs w:val="24"/>
        </w:rPr>
        <w:t>, Tanaka H, Mukai J, Yamashita K, Tanaka Y, Shono A, Suzuki M, Yokota S, Suto M, Takada H, Matsumoto K, Taniguchi Y, Emoto N, Hirata KI. Effects of balloon pulmonary angioplasty for chronic thromboembolic pulmonary hypertension on remodeling in right-sided heart. </w:t>
      </w:r>
      <w:r w:rsidRPr="008D4CA6">
        <w:rPr>
          <w:rFonts w:ascii="Book Antiqua" w:hAnsi="Book Antiqua"/>
          <w:i/>
          <w:iCs/>
          <w:sz w:val="24"/>
          <w:szCs w:val="24"/>
        </w:rPr>
        <w:t>Int J Cardiovasc Imaging</w:t>
      </w:r>
      <w:r w:rsidRPr="008D4CA6">
        <w:rPr>
          <w:rFonts w:ascii="Book Antiqua" w:hAnsi="Book Antiqua"/>
          <w:sz w:val="24"/>
          <w:szCs w:val="24"/>
        </w:rPr>
        <w:t> 2020; </w:t>
      </w:r>
      <w:r w:rsidRPr="008D4CA6">
        <w:rPr>
          <w:rFonts w:ascii="Book Antiqua" w:hAnsi="Book Antiqua"/>
          <w:b/>
          <w:bCs/>
          <w:sz w:val="24"/>
          <w:szCs w:val="24"/>
        </w:rPr>
        <w:t>36</w:t>
      </w:r>
      <w:r w:rsidRPr="008D4CA6">
        <w:rPr>
          <w:rFonts w:ascii="Book Antiqua" w:hAnsi="Book Antiqua"/>
          <w:sz w:val="24"/>
          <w:szCs w:val="24"/>
        </w:rPr>
        <w:t>: 1053-1060 [PMID: 32086654 DOI: 10.1007/s10554-020-01798-5]</w:t>
      </w:r>
    </w:p>
    <w:p w14:paraId="4927AF8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127 </w:t>
      </w:r>
      <w:r w:rsidRPr="008D4CA6">
        <w:rPr>
          <w:rFonts w:ascii="Book Antiqua" w:hAnsi="Book Antiqua"/>
          <w:b/>
          <w:bCs/>
          <w:sz w:val="24"/>
          <w:szCs w:val="24"/>
        </w:rPr>
        <w:t>Broch K</w:t>
      </w:r>
      <w:r w:rsidRPr="008D4CA6">
        <w:rPr>
          <w:rFonts w:ascii="Book Antiqua" w:hAnsi="Book Antiqua"/>
          <w:sz w:val="24"/>
          <w:szCs w:val="24"/>
        </w:rPr>
        <w:t>, Murbraech K, Ragnarsson A, Gude E, Andersen R, Fiane AE, Andreassen J, Aakhus S, Andreassen AK. Echocardiographic evidence of right ventricular functional improvement after balloon pulmonary angioplasty in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2016; </w:t>
      </w:r>
      <w:r w:rsidRPr="008D4CA6">
        <w:rPr>
          <w:rFonts w:ascii="Book Antiqua" w:hAnsi="Book Antiqua"/>
          <w:b/>
          <w:bCs/>
          <w:sz w:val="24"/>
          <w:szCs w:val="24"/>
        </w:rPr>
        <w:t>35</w:t>
      </w:r>
      <w:r w:rsidRPr="008D4CA6">
        <w:rPr>
          <w:rFonts w:ascii="Book Antiqua" w:hAnsi="Book Antiqua"/>
          <w:sz w:val="24"/>
          <w:szCs w:val="24"/>
        </w:rPr>
        <w:t>: 80-86 [PMID: 26476768 DOI: 10.1016/j.healun.2015.08.007]</w:t>
      </w:r>
    </w:p>
    <w:p w14:paraId="12861A4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128 </w:t>
      </w:r>
      <w:r w:rsidRPr="008D4CA6">
        <w:rPr>
          <w:rFonts w:ascii="Book Antiqua" w:hAnsi="Book Antiqua"/>
          <w:b/>
          <w:bCs/>
          <w:sz w:val="24"/>
          <w:szCs w:val="24"/>
        </w:rPr>
        <w:t>Kimura M</w:t>
      </w:r>
      <w:r w:rsidRPr="008D4CA6">
        <w:rPr>
          <w:rFonts w:ascii="Book Antiqua" w:hAnsi="Book Antiqua"/>
          <w:sz w:val="24"/>
          <w:szCs w:val="24"/>
        </w:rPr>
        <w:t xml:space="preserve">, Kataoka M, Kawakami T, Inohara T, Takei M, Fukuda K. Balloon pulmonary angioplasty using contrast agents improves impaired renal function in patients </w:t>
      </w:r>
      <w:r w:rsidRPr="008D4CA6">
        <w:rPr>
          <w:rFonts w:ascii="Book Antiqua" w:hAnsi="Book Antiqua"/>
          <w:sz w:val="24"/>
          <w:szCs w:val="24"/>
        </w:rPr>
        <w:lastRenderedPageBreak/>
        <w:t>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2015; </w:t>
      </w:r>
      <w:r w:rsidRPr="008D4CA6">
        <w:rPr>
          <w:rFonts w:ascii="Book Antiqua" w:hAnsi="Book Antiqua"/>
          <w:b/>
          <w:bCs/>
          <w:sz w:val="24"/>
          <w:szCs w:val="24"/>
        </w:rPr>
        <w:t>188</w:t>
      </w:r>
      <w:r w:rsidRPr="008D4CA6">
        <w:rPr>
          <w:rFonts w:ascii="Book Antiqua" w:hAnsi="Book Antiqua"/>
          <w:sz w:val="24"/>
          <w:szCs w:val="24"/>
        </w:rPr>
        <w:t>: 41-42 [PMID: 25880583 DOI: 10.1016/j.ijcard.2015.04.030]</w:t>
      </w:r>
    </w:p>
    <w:p w14:paraId="3DABB54B"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129 </w:t>
      </w:r>
      <w:r w:rsidRPr="008D4CA6">
        <w:rPr>
          <w:rFonts w:ascii="Book Antiqua" w:hAnsi="Book Antiqua"/>
          <w:b/>
          <w:bCs/>
          <w:sz w:val="24"/>
          <w:szCs w:val="24"/>
        </w:rPr>
        <w:t>Darocha S</w:t>
      </w:r>
      <w:r w:rsidRPr="008D4CA6">
        <w:rPr>
          <w:rFonts w:ascii="Book Antiqua" w:hAnsi="Book Antiqua"/>
          <w:sz w:val="24"/>
          <w:szCs w:val="24"/>
        </w:rPr>
        <w:t>, Banaszkiewicz M, Pietrasik A, Siennicka A, Piorunek M, Grochowska E, Piłka M, Dobosiewicz A, Florczyk M, Pietura R, Torbicki A, Kurzyna M. Changes in Estimated Glomerular Filtration after Balloon Pulmonary Angioplasty for Chronic Thromboembolic Pulmonary Hypertension. </w:t>
      </w:r>
      <w:r w:rsidRPr="008D4CA6">
        <w:rPr>
          <w:rFonts w:ascii="Book Antiqua" w:hAnsi="Book Antiqua"/>
          <w:i/>
          <w:iCs/>
          <w:sz w:val="24"/>
          <w:szCs w:val="24"/>
        </w:rPr>
        <w:t>Cardiorenal Med</w:t>
      </w:r>
      <w:r w:rsidRPr="008D4CA6">
        <w:rPr>
          <w:rFonts w:ascii="Book Antiqua" w:hAnsi="Book Antiqua"/>
          <w:sz w:val="24"/>
          <w:szCs w:val="24"/>
        </w:rPr>
        <w:t> 2020; </w:t>
      </w:r>
      <w:r w:rsidRPr="008D4CA6">
        <w:rPr>
          <w:rFonts w:ascii="Book Antiqua" w:hAnsi="Book Antiqua"/>
          <w:b/>
          <w:bCs/>
          <w:sz w:val="24"/>
          <w:szCs w:val="24"/>
        </w:rPr>
        <w:t>10</w:t>
      </w:r>
      <w:r w:rsidRPr="008D4CA6">
        <w:rPr>
          <w:rFonts w:ascii="Book Antiqua" w:hAnsi="Book Antiqua"/>
          <w:sz w:val="24"/>
          <w:szCs w:val="24"/>
        </w:rPr>
        <w:t>: 22-31 [PMID: 31527376 DOI: 10.1159/000502254]</w:t>
      </w:r>
    </w:p>
    <w:p w14:paraId="7F56D65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130 </w:t>
      </w:r>
      <w:r w:rsidRPr="008D4CA6">
        <w:rPr>
          <w:rFonts w:ascii="Book Antiqua" w:hAnsi="Book Antiqua"/>
          <w:b/>
          <w:bCs/>
          <w:sz w:val="24"/>
          <w:szCs w:val="24"/>
        </w:rPr>
        <w:t>Kriechbaum SD</w:t>
      </w:r>
      <w:r w:rsidRPr="008D4CA6">
        <w:rPr>
          <w:rFonts w:ascii="Book Antiqua" w:hAnsi="Book Antiqua"/>
          <w:sz w:val="24"/>
          <w:szCs w:val="24"/>
        </w:rPr>
        <w:t>, Wiedenroth CB, Hesse ML, Ajnwojner R, Keller T, Sebastian Wolter J, Haas M, Roller FC, Breithecker A, Rieth AJ, Guth S, Rolf A, Hamm CW, Mayer E, Liebetrau C. Development of renal function during staged balloon pulmonary angioplasty for inoperable chronic thromboembolic pulmonary hypertension. </w:t>
      </w:r>
      <w:r w:rsidRPr="008D4CA6">
        <w:rPr>
          <w:rFonts w:ascii="Book Antiqua" w:hAnsi="Book Antiqua"/>
          <w:i/>
          <w:iCs/>
          <w:sz w:val="24"/>
          <w:szCs w:val="24"/>
        </w:rPr>
        <w:t>Scand J Clin Lab Invest</w:t>
      </w:r>
      <w:r w:rsidRPr="008D4CA6">
        <w:rPr>
          <w:rFonts w:ascii="Book Antiqua" w:hAnsi="Book Antiqua"/>
          <w:sz w:val="24"/>
          <w:szCs w:val="24"/>
        </w:rPr>
        <w:t> 2019; </w:t>
      </w:r>
      <w:r w:rsidRPr="008D4CA6">
        <w:rPr>
          <w:rFonts w:ascii="Book Antiqua" w:hAnsi="Book Antiqua"/>
          <w:b/>
          <w:bCs/>
          <w:sz w:val="24"/>
          <w:szCs w:val="24"/>
        </w:rPr>
        <w:t>79</w:t>
      </w:r>
      <w:r w:rsidRPr="008D4CA6">
        <w:rPr>
          <w:rFonts w:ascii="Book Antiqua" w:hAnsi="Book Antiqua"/>
          <w:sz w:val="24"/>
          <w:szCs w:val="24"/>
        </w:rPr>
        <w:t>: 268-275 [PMID: 30987470 DOI: 10.1080/00365513.2019.1601765]</w:t>
      </w:r>
    </w:p>
    <w:p w14:paraId="416A78A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131 </w:t>
      </w:r>
      <w:r w:rsidRPr="008D4CA6">
        <w:rPr>
          <w:rFonts w:ascii="Book Antiqua" w:hAnsi="Book Antiqua"/>
          <w:b/>
          <w:bCs/>
          <w:sz w:val="24"/>
          <w:szCs w:val="24"/>
        </w:rPr>
        <w:t>Tatebe S</w:t>
      </w:r>
      <w:r w:rsidRPr="008D4CA6">
        <w:rPr>
          <w:rFonts w:ascii="Book Antiqua" w:hAnsi="Book Antiqua"/>
          <w:sz w:val="24"/>
          <w:szCs w:val="24"/>
        </w:rPr>
        <w:t>, Sugimura K, Aoki T, Miura M, Nochioka K, Yaoita N, Suzuki H, Sato H, Yamamoto S, Satoh K, Fukumoto Y, Shimokawa H. Multiple Beneficial Effects of Balloon Pulmonary Angioplasty in Patients With Chronic Thromboembolic Pulmonary Hypertension. </w:t>
      </w:r>
      <w:r w:rsidRPr="008D4CA6">
        <w:rPr>
          <w:rFonts w:ascii="Book Antiqua" w:hAnsi="Book Antiqua"/>
          <w:i/>
          <w:iCs/>
          <w:sz w:val="24"/>
          <w:szCs w:val="24"/>
        </w:rPr>
        <w:t>Circ J</w:t>
      </w:r>
      <w:r w:rsidRPr="008D4CA6">
        <w:rPr>
          <w:rFonts w:ascii="Book Antiqua" w:hAnsi="Book Antiqua"/>
          <w:sz w:val="24"/>
          <w:szCs w:val="24"/>
        </w:rPr>
        <w:t> 2016; </w:t>
      </w:r>
      <w:r w:rsidRPr="008D4CA6">
        <w:rPr>
          <w:rFonts w:ascii="Book Antiqua" w:hAnsi="Book Antiqua"/>
          <w:b/>
          <w:bCs/>
          <w:sz w:val="24"/>
          <w:szCs w:val="24"/>
        </w:rPr>
        <w:t>80</w:t>
      </w:r>
      <w:r w:rsidRPr="008D4CA6">
        <w:rPr>
          <w:rFonts w:ascii="Book Antiqua" w:hAnsi="Book Antiqua"/>
          <w:sz w:val="24"/>
          <w:szCs w:val="24"/>
        </w:rPr>
        <w:t>: 980-988 [PMID: 26911363 DOI: 10.1253/circj.CJ-15-1212]</w:t>
      </w:r>
    </w:p>
    <w:p w14:paraId="2CA2F0BD" w14:textId="5A8B6576"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132 </w:t>
      </w:r>
      <w:r w:rsidRPr="008D4CA6">
        <w:rPr>
          <w:rFonts w:ascii="Book Antiqua" w:hAnsi="Book Antiqua"/>
          <w:b/>
          <w:bCs/>
          <w:sz w:val="24"/>
          <w:szCs w:val="24"/>
        </w:rPr>
        <w:t>Aoki T</w:t>
      </w:r>
      <w:r w:rsidRPr="008D4CA6">
        <w:rPr>
          <w:rFonts w:ascii="Book Antiqua" w:hAnsi="Book Antiqua"/>
          <w:sz w:val="24"/>
          <w:szCs w:val="24"/>
        </w:rPr>
        <w:t>, Sugimura K, Tatebe S, Miura M, Yamamoto S, Yaoita N, Suzuki H, Sato H, Kozu K, Konno R, Miyata S, Nochioka K, Satoh K, Shimokawa H. Comprehensive evaluation of the effectiveness and safety of balloon pulmonary angioplasty for inoperable chronic thrombo-embolic pulmonary hypertension: long-term effects and procedure-related complications. </w:t>
      </w:r>
      <w:r w:rsidRPr="008D4CA6">
        <w:rPr>
          <w:rFonts w:ascii="Book Antiqua" w:hAnsi="Book Antiqua"/>
          <w:i/>
          <w:iCs/>
          <w:sz w:val="24"/>
          <w:szCs w:val="24"/>
        </w:rPr>
        <w:t>Eur Heart J</w:t>
      </w:r>
      <w:r w:rsidR="00CD56A6">
        <w:rPr>
          <w:rFonts w:ascii="Book Antiqua" w:hAnsi="Book Antiqua"/>
          <w:i/>
          <w:iCs/>
          <w:sz w:val="24"/>
          <w:szCs w:val="24"/>
        </w:rPr>
        <w:t xml:space="preserve"> </w:t>
      </w:r>
      <w:r w:rsidRPr="008D4CA6">
        <w:rPr>
          <w:rFonts w:ascii="Book Antiqua" w:hAnsi="Book Antiqua"/>
          <w:sz w:val="24"/>
          <w:szCs w:val="24"/>
        </w:rPr>
        <w:t>2017; </w:t>
      </w:r>
      <w:r w:rsidRPr="008D4CA6">
        <w:rPr>
          <w:rFonts w:ascii="Book Antiqua" w:hAnsi="Book Antiqua"/>
          <w:b/>
          <w:bCs/>
          <w:sz w:val="24"/>
          <w:szCs w:val="24"/>
        </w:rPr>
        <w:t>38</w:t>
      </w:r>
      <w:r w:rsidRPr="008D4CA6">
        <w:rPr>
          <w:rFonts w:ascii="Book Antiqua" w:hAnsi="Book Antiqua"/>
          <w:sz w:val="24"/>
          <w:szCs w:val="24"/>
        </w:rPr>
        <w:t>: 3152-3159 [PMID: 29029023 DOI: 10.1093/eurheartj/ehx530]</w:t>
      </w:r>
    </w:p>
    <w:p w14:paraId="01FA4F3E"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133 </w:t>
      </w:r>
      <w:r w:rsidRPr="008D4CA6">
        <w:rPr>
          <w:rFonts w:ascii="Book Antiqua" w:hAnsi="Book Antiqua"/>
          <w:b/>
          <w:bCs/>
          <w:sz w:val="24"/>
          <w:szCs w:val="24"/>
        </w:rPr>
        <w:t>Cannon JE</w:t>
      </w:r>
      <w:r w:rsidRPr="008D4CA6">
        <w:rPr>
          <w:rFonts w:ascii="Book Antiqua" w:hAnsi="Book Antiqua"/>
          <w:sz w:val="24"/>
          <w:szCs w:val="24"/>
        </w:rPr>
        <w:t>, Su L, Kiely DG, Page K, Toshner M, Swietlik E, Treacy C, Ponnaberanam A, Condliffe R, Sheares K, Taboada D, Dunning J, Tsui S, Ng C, Gopalan D, Screaton N, Elliot C, Gibbs S, Howard L, Corris P, Lordan J, Johnson M, Peacock A, MacKenzie-Ross R, Schreiber B, Coghlan G, Dimopoulos K, Wort SJ, Gaine S, Moledina S, Jenkins DP, Pepke-Zaba J. Dynamic Risk Stratification of Patient Long-Term Outcome After Pulmonary Endarterectomy: Results From the United Kingdom National Cohort. </w:t>
      </w:r>
      <w:r w:rsidRPr="008D4CA6">
        <w:rPr>
          <w:rFonts w:ascii="Book Antiqua" w:hAnsi="Book Antiqua"/>
          <w:i/>
          <w:iCs/>
          <w:sz w:val="24"/>
          <w:szCs w:val="24"/>
        </w:rPr>
        <w:t>Circulation</w:t>
      </w:r>
      <w:r w:rsidRPr="008D4CA6">
        <w:rPr>
          <w:rFonts w:ascii="Book Antiqua" w:hAnsi="Book Antiqua"/>
          <w:sz w:val="24"/>
          <w:szCs w:val="24"/>
        </w:rPr>
        <w:t> 2016; </w:t>
      </w:r>
      <w:r w:rsidRPr="008D4CA6">
        <w:rPr>
          <w:rFonts w:ascii="Book Antiqua" w:hAnsi="Book Antiqua"/>
          <w:b/>
          <w:bCs/>
          <w:sz w:val="24"/>
          <w:szCs w:val="24"/>
        </w:rPr>
        <w:t>133</w:t>
      </w:r>
      <w:r w:rsidRPr="008D4CA6">
        <w:rPr>
          <w:rFonts w:ascii="Book Antiqua" w:hAnsi="Book Antiqua"/>
          <w:sz w:val="24"/>
          <w:szCs w:val="24"/>
        </w:rPr>
        <w:t>: 1761-1771 [PMID: 27052413 DOI: 10.1161/CIRCULATIONAHA.115.019470]</w:t>
      </w:r>
    </w:p>
    <w:p w14:paraId="7ABEA30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134 </w:t>
      </w:r>
      <w:r w:rsidRPr="008D4CA6">
        <w:rPr>
          <w:rFonts w:ascii="Book Antiqua" w:hAnsi="Book Antiqua"/>
          <w:b/>
          <w:bCs/>
          <w:sz w:val="24"/>
          <w:szCs w:val="24"/>
        </w:rPr>
        <w:t>Moriyama K</w:t>
      </w:r>
      <w:r w:rsidRPr="008D4CA6">
        <w:rPr>
          <w:rFonts w:ascii="Book Antiqua" w:hAnsi="Book Antiqua"/>
          <w:sz w:val="24"/>
          <w:szCs w:val="24"/>
        </w:rPr>
        <w:t xml:space="preserve">, Satoh T, Motoyasu A, Kohyama T, Kotani M, Kanai R, Ando T, Yorozu T. High-Flow Nasal Cannula Therapy in a Patient with Reperfusion Pulmonary Edema </w:t>
      </w:r>
      <w:r w:rsidRPr="008D4CA6">
        <w:rPr>
          <w:rFonts w:ascii="Book Antiqua" w:hAnsi="Book Antiqua"/>
          <w:sz w:val="24"/>
          <w:szCs w:val="24"/>
        </w:rPr>
        <w:lastRenderedPageBreak/>
        <w:t>following Percutaneous Transluminal Pulmonary Angioplasty. </w:t>
      </w:r>
      <w:r w:rsidRPr="008D4CA6">
        <w:rPr>
          <w:rFonts w:ascii="Book Antiqua" w:hAnsi="Book Antiqua"/>
          <w:i/>
          <w:iCs/>
          <w:sz w:val="24"/>
          <w:szCs w:val="24"/>
        </w:rPr>
        <w:t>Case Rep Pulmonol</w:t>
      </w:r>
      <w:r w:rsidRPr="008D4CA6">
        <w:rPr>
          <w:rFonts w:ascii="Book Antiqua" w:hAnsi="Book Antiqua"/>
          <w:sz w:val="24"/>
          <w:szCs w:val="24"/>
        </w:rPr>
        <w:t> 2014; </w:t>
      </w:r>
      <w:r w:rsidRPr="008D4CA6">
        <w:rPr>
          <w:rFonts w:ascii="Book Antiqua" w:hAnsi="Book Antiqua"/>
          <w:b/>
          <w:bCs/>
          <w:sz w:val="24"/>
          <w:szCs w:val="24"/>
        </w:rPr>
        <w:t>2014</w:t>
      </w:r>
      <w:r w:rsidRPr="008D4CA6">
        <w:rPr>
          <w:rFonts w:ascii="Book Antiqua" w:hAnsi="Book Antiqua"/>
          <w:sz w:val="24"/>
          <w:szCs w:val="24"/>
        </w:rPr>
        <w:t>: 837612 [PMID: 25126437 DOI: 10.1155/2014/837612]</w:t>
      </w:r>
    </w:p>
    <w:p w14:paraId="7E8276B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135 </w:t>
      </w:r>
      <w:r w:rsidRPr="008D4CA6">
        <w:rPr>
          <w:rFonts w:ascii="Book Antiqua" w:hAnsi="Book Antiqua"/>
          <w:b/>
          <w:bCs/>
          <w:sz w:val="24"/>
          <w:szCs w:val="24"/>
        </w:rPr>
        <w:t>Adams A</w:t>
      </w:r>
      <w:r w:rsidRPr="008D4CA6">
        <w:rPr>
          <w:rFonts w:ascii="Book Antiqua" w:hAnsi="Book Antiqua"/>
          <w:sz w:val="24"/>
          <w:szCs w:val="24"/>
        </w:rPr>
        <w:t>, Fedullo PF. Postoperative management of the patient undergoing pulmonary endarterectomy. </w:t>
      </w:r>
      <w:r w:rsidRPr="008D4CA6">
        <w:rPr>
          <w:rFonts w:ascii="Book Antiqua" w:hAnsi="Book Antiqua"/>
          <w:i/>
          <w:iCs/>
          <w:sz w:val="24"/>
          <w:szCs w:val="24"/>
        </w:rPr>
        <w:t>Semin Thorac Cardiovasc Surg</w:t>
      </w:r>
      <w:r w:rsidRPr="008D4CA6">
        <w:rPr>
          <w:rFonts w:ascii="Book Antiqua" w:hAnsi="Book Antiqua"/>
          <w:sz w:val="24"/>
          <w:szCs w:val="24"/>
        </w:rPr>
        <w:t> 2006; </w:t>
      </w:r>
      <w:r w:rsidRPr="008D4CA6">
        <w:rPr>
          <w:rFonts w:ascii="Book Antiqua" w:hAnsi="Book Antiqua"/>
          <w:b/>
          <w:bCs/>
          <w:sz w:val="24"/>
          <w:szCs w:val="24"/>
        </w:rPr>
        <w:t>18</w:t>
      </w:r>
      <w:r w:rsidRPr="008D4CA6">
        <w:rPr>
          <w:rFonts w:ascii="Book Antiqua" w:hAnsi="Book Antiqua"/>
          <w:sz w:val="24"/>
          <w:szCs w:val="24"/>
        </w:rPr>
        <w:t>: 250-256 [PMID: 17185188 DOI: 10.1053/j.semtcvs.2006.09.002]</w:t>
      </w:r>
    </w:p>
    <w:p w14:paraId="6E11AD49"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136 </w:t>
      </w:r>
      <w:r w:rsidRPr="008D4CA6">
        <w:rPr>
          <w:rFonts w:ascii="Book Antiqua" w:hAnsi="Book Antiqua"/>
          <w:b/>
          <w:bCs/>
          <w:sz w:val="24"/>
          <w:szCs w:val="24"/>
        </w:rPr>
        <w:t>Thistlethwaite PA</w:t>
      </w:r>
      <w:r w:rsidRPr="008D4CA6">
        <w:rPr>
          <w:rFonts w:ascii="Book Antiqua" w:hAnsi="Book Antiqua"/>
          <w:sz w:val="24"/>
          <w:szCs w:val="24"/>
        </w:rPr>
        <w:t>, Kaneko K, Madani MM, Jamieson SW. Technique and outcomes of pulmonary endarterectomy surgery. </w:t>
      </w:r>
      <w:r w:rsidRPr="008D4CA6">
        <w:rPr>
          <w:rFonts w:ascii="Book Antiqua" w:hAnsi="Book Antiqua"/>
          <w:i/>
          <w:iCs/>
          <w:sz w:val="24"/>
          <w:szCs w:val="24"/>
        </w:rPr>
        <w:t>Ann Thorac Cardiovasc Surg</w:t>
      </w:r>
      <w:r w:rsidRPr="008D4CA6">
        <w:rPr>
          <w:rFonts w:ascii="Book Antiqua" w:hAnsi="Book Antiqua"/>
          <w:sz w:val="24"/>
          <w:szCs w:val="24"/>
        </w:rPr>
        <w:t> 2008; </w:t>
      </w:r>
      <w:r w:rsidRPr="008D4CA6">
        <w:rPr>
          <w:rFonts w:ascii="Book Antiqua" w:hAnsi="Book Antiqua"/>
          <w:b/>
          <w:bCs/>
          <w:sz w:val="24"/>
          <w:szCs w:val="24"/>
        </w:rPr>
        <w:t>14</w:t>
      </w:r>
      <w:r w:rsidRPr="008D4CA6">
        <w:rPr>
          <w:rFonts w:ascii="Book Antiqua" w:hAnsi="Book Antiqua"/>
          <w:sz w:val="24"/>
          <w:szCs w:val="24"/>
        </w:rPr>
        <w:t>: 274-282 [PMID: 18989242]</w:t>
      </w:r>
    </w:p>
    <w:p w14:paraId="3731C32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137 </w:t>
      </w:r>
      <w:r w:rsidRPr="008D4CA6">
        <w:rPr>
          <w:rFonts w:ascii="Book Antiqua" w:hAnsi="Book Antiqua"/>
          <w:b/>
          <w:bCs/>
          <w:sz w:val="24"/>
          <w:szCs w:val="24"/>
        </w:rPr>
        <w:t>Sugiyama K</w:t>
      </w:r>
      <w:r w:rsidRPr="008D4CA6">
        <w:rPr>
          <w:rFonts w:ascii="Book Antiqua" w:hAnsi="Book Antiqua"/>
          <w:sz w:val="24"/>
          <w:szCs w:val="24"/>
        </w:rPr>
        <w:t>, Suzuki S, Fujiyoshi T, Koizumi N, Sato M, Ogino H. Extracorporeal membrane oxygenation after pulmonary endarterectomy for chronic thromboembolic pulmonary hypertension. </w:t>
      </w:r>
      <w:r w:rsidRPr="008D4CA6">
        <w:rPr>
          <w:rFonts w:ascii="Book Antiqua" w:hAnsi="Book Antiqua"/>
          <w:i/>
          <w:iCs/>
          <w:sz w:val="24"/>
          <w:szCs w:val="24"/>
        </w:rPr>
        <w:t>J Card Surg</w:t>
      </w:r>
      <w:r w:rsidRPr="008D4CA6">
        <w:rPr>
          <w:rFonts w:ascii="Book Antiqua" w:hAnsi="Book Antiqua"/>
          <w:sz w:val="24"/>
          <w:szCs w:val="24"/>
        </w:rPr>
        <w:t> 2019; </w:t>
      </w:r>
      <w:r w:rsidRPr="008D4CA6">
        <w:rPr>
          <w:rFonts w:ascii="Book Antiqua" w:hAnsi="Book Antiqua"/>
          <w:b/>
          <w:bCs/>
          <w:sz w:val="24"/>
          <w:szCs w:val="24"/>
        </w:rPr>
        <w:t>34</w:t>
      </w:r>
      <w:r w:rsidRPr="008D4CA6">
        <w:rPr>
          <w:rFonts w:ascii="Book Antiqua" w:hAnsi="Book Antiqua"/>
          <w:sz w:val="24"/>
          <w:szCs w:val="24"/>
        </w:rPr>
        <w:t>: 428-434 [PMID: 31017313 DOI: 10.1111/jocs.14052]</w:t>
      </w:r>
    </w:p>
    <w:p w14:paraId="0B179B5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138 </w:t>
      </w:r>
      <w:r w:rsidRPr="008D4CA6">
        <w:rPr>
          <w:rFonts w:ascii="Book Antiqua" w:hAnsi="Book Antiqua"/>
          <w:b/>
          <w:bCs/>
          <w:sz w:val="24"/>
          <w:szCs w:val="24"/>
        </w:rPr>
        <w:t>Hosokawa K</w:t>
      </w:r>
      <w:r w:rsidRPr="008D4CA6">
        <w:rPr>
          <w:rFonts w:ascii="Book Antiqua" w:hAnsi="Book Antiqua"/>
          <w:sz w:val="24"/>
          <w:szCs w:val="24"/>
        </w:rPr>
        <w:t>, Yamamoto T, Abe K, Tsutsui H. Delayed-onset lung injury after balloon pulmonary angioplasty for chronic thromboembolic pulmonary hypertension-a case report. </w:t>
      </w:r>
      <w:r w:rsidRPr="008D4CA6">
        <w:rPr>
          <w:rFonts w:ascii="Book Antiqua" w:hAnsi="Book Antiqua"/>
          <w:i/>
          <w:iCs/>
          <w:sz w:val="24"/>
          <w:szCs w:val="24"/>
        </w:rPr>
        <w:t>Eur Heart J Cardiovasc Imaging</w:t>
      </w:r>
      <w:r w:rsidRPr="008D4CA6">
        <w:rPr>
          <w:rFonts w:ascii="Book Antiqua" w:hAnsi="Book Antiqua"/>
          <w:sz w:val="24"/>
          <w:szCs w:val="24"/>
        </w:rPr>
        <w:t> 2017; </w:t>
      </w:r>
      <w:r w:rsidRPr="008D4CA6">
        <w:rPr>
          <w:rFonts w:ascii="Book Antiqua" w:hAnsi="Book Antiqua"/>
          <w:b/>
          <w:bCs/>
          <w:sz w:val="24"/>
          <w:szCs w:val="24"/>
        </w:rPr>
        <w:t>18</w:t>
      </w:r>
      <w:r w:rsidRPr="008D4CA6">
        <w:rPr>
          <w:rFonts w:ascii="Book Antiqua" w:hAnsi="Book Antiqua"/>
          <w:sz w:val="24"/>
          <w:szCs w:val="24"/>
        </w:rPr>
        <w:t>: 1426 [PMID: 29045597 DOI: 10.1093/ehjci/jex210]</w:t>
      </w:r>
    </w:p>
    <w:p w14:paraId="23AEFD9F"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139 </w:t>
      </w:r>
      <w:r w:rsidRPr="008D4CA6">
        <w:rPr>
          <w:rFonts w:ascii="Book Antiqua" w:hAnsi="Book Antiqua"/>
          <w:b/>
          <w:bCs/>
          <w:sz w:val="24"/>
          <w:szCs w:val="24"/>
        </w:rPr>
        <w:t>Ejiri K</w:t>
      </w:r>
      <w:r w:rsidRPr="008D4CA6">
        <w:rPr>
          <w:rFonts w:ascii="Book Antiqua" w:hAnsi="Book Antiqua"/>
          <w:sz w:val="24"/>
          <w:szCs w:val="24"/>
        </w:rPr>
        <w:t>, Ogawa A, Matsubara H. Bail-out technique for pulmonary artery rupture with a covered stent in balloon pulmonary angioplasty for chronic thromboembolic pulmonary hypertension. </w:t>
      </w:r>
      <w:r w:rsidRPr="008D4CA6">
        <w:rPr>
          <w:rFonts w:ascii="Book Antiqua" w:hAnsi="Book Antiqua"/>
          <w:i/>
          <w:iCs/>
          <w:sz w:val="24"/>
          <w:szCs w:val="24"/>
        </w:rPr>
        <w:t>JACC Cardiovasc Interv</w:t>
      </w:r>
      <w:r w:rsidRPr="008D4CA6">
        <w:rPr>
          <w:rFonts w:ascii="Book Antiqua" w:hAnsi="Book Antiqua"/>
          <w:sz w:val="24"/>
          <w:szCs w:val="24"/>
        </w:rPr>
        <w:t> 2015; </w:t>
      </w:r>
      <w:r w:rsidRPr="008D4CA6">
        <w:rPr>
          <w:rFonts w:ascii="Book Antiqua" w:hAnsi="Book Antiqua"/>
          <w:b/>
          <w:bCs/>
          <w:sz w:val="24"/>
          <w:szCs w:val="24"/>
        </w:rPr>
        <w:t>8</w:t>
      </w:r>
      <w:r w:rsidRPr="008D4CA6">
        <w:rPr>
          <w:rFonts w:ascii="Book Antiqua" w:hAnsi="Book Antiqua"/>
          <w:sz w:val="24"/>
          <w:szCs w:val="24"/>
        </w:rPr>
        <w:t>: 752-753 [PMID: 25946450 DOI: 10.1016/j.jcin.2014.11.024]</w:t>
      </w:r>
    </w:p>
    <w:p w14:paraId="0B448C44" w14:textId="76AF7E33"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140 </w:t>
      </w:r>
      <w:r w:rsidRPr="008D4CA6">
        <w:rPr>
          <w:rFonts w:ascii="Book Antiqua" w:hAnsi="Book Antiqua"/>
          <w:b/>
          <w:bCs/>
          <w:sz w:val="24"/>
          <w:szCs w:val="24"/>
        </w:rPr>
        <w:t>Araszkiewicz A</w:t>
      </w:r>
      <w:r w:rsidRPr="008D4CA6">
        <w:rPr>
          <w:rFonts w:ascii="Book Antiqua" w:hAnsi="Book Antiqua"/>
          <w:sz w:val="24"/>
          <w:szCs w:val="24"/>
        </w:rPr>
        <w:t>, Jankiewicz S, Zabicki B, Grygier M, Lesiak M. Rescue Implantation of Covered Stent in Pulmonary Artery Rupture During Balloon Pulmonary Angioplasty. </w:t>
      </w:r>
      <w:r w:rsidRPr="008D4CA6">
        <w:rPr>
          <w:rFonts w:ascii="Book Antiqua" w:hAnsi="Book Antiqua"/>
          <w:i/>
          <w:iCs/>
          <w:sz w:val="24"/>
          <w:szCs w:val="24"/>
        </w:rPr>
        <w:t>J Invasive Cardiol</w:t>
      </w:r>
      <w:r>
        <w:rPr>
          <w:rFonts w:ascii="Book Antiqua" w:hAnsi="Book Antiqua"/>
          <w:i/>
          <w:iCs/>
          <w:sz w:val="24"/>
          <w:szCs w:val="24"/>
        </w:rPr>
        <w:t xml:space="preserve"> </w:t>
      </w:r>
      <w:r w:rsidRPr="008D4CA6">
        <w:rPr>
          <w:rFonts w:ascii="Book Antiqua" w:hAnsi="Book Antiqua"/>
          <w:sz w:val="24"/>
          <w:szCs w:val="24"/>
        </w:rPr>
        <w:t>2018; </w:t>
      </w:r>
      <w:r w:rsidRPr="008D4CA6">
        <w:rPr>
          <w:rFonts w:ascii="Book Antiqua" w:hAnsi="Book Antiqua"/>
          <w:b/>
          <w:bCs/>
          <w:sz w:val="24"/>
          <w:szCs w:val="24"/>
        </w:rPr>
        <w:t>30</w:t>
      </w:r>
      <w:r w:rsidRPr="008D4CA6">
        <w:rPr>
          <w:rFonts w:ascii="Book Antiqua" w:hAnsi="Book Antiqua"/>
          <w:sz w:val="24"/>
          <w:szCs w:val="24"/>
        </w:rPr>
        <w:t>: E122-E123 [PMID: 30373954]</w:t>
      </w:r>
    </w:p>
    <w:p w14:paraId="5FC5B57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141 </w:t>
      </w:r>
      <w:r w:rsidRPr="008D4CA6">
        <w:rPr>
          <w:rFonts w:ascii="Book Antiqua" w:hAnsi="Book Antiqua"/>
          <w:b/>
          <w:bCs/>
          <w:sz w:val="24"/>
          <w:szCs w:val="24"/>
        </w:rPr>
        <w:t>D'Alonzo GE</w:t>
      </w:r>
      <w:r w:rsidRPr="008D4CA6">
        <w:rPr>
          <w:rFonts w:ascii="Book Antiqua" w:hAnsi="Book Antiqua"/>
          <w:sz w:val="24"/>
          <w:szCs w:val="24"/>
        </w:rPr>
        <w:t>, Barst RJ, Ayres SM, Bergofsky EH, Brundage BH, Detre KM, Fishman AP, Goldring RM, Groves BM, Kernis JT. Survival in patients with primary pulmonary hypertension. Results from a national prospective registry. </w:t>
      </w:r>
      <w:r w:rsidRPr="008D4CA6">
        <w:rPr>
          <w:rFonts w:ascii="Book Antiqua" w:hAnsi="Book Antiqua"/>
          <w:i/>
          <w:iCs/>
          <w:sz w:val="24"/>
          <w:szCs w:val="24"/>
        </w:rPr>
        <w:t>Ann Intern Med</w:t>
      </w:r>
      <w:r w:rsidRPr="008D4CA6">
        <w:rPr>
          <w:rFonts w:ascii="Book Antiqua" w:hAnsi="Book Antiqua"/>
          <w:sz w:val="24"/>
          <w:szCs w:val="24"/>
        </w:rPr>
        <w:t> 1991; </w:t>
      </w:r>
      <w:r w:rsidRPr="008D4CA6">
        <w:rPr>
          <w:rFonts w:ascii="Book Antiqua" w:hAnsi="Book Antiqua"/>
          <w:b/>
          <w:bCs/>
          <w:sz w:val="24"/>
          <w:szCs w:val="24"/>
        </w:rPr>
        <w:t>115</w:t>
      </w:r>
      <w:r w:rsidRPr="008D4CA6">
        <w:rPr>
          <w:rFonts w:ascii="Book Antiqua" w:hAnsi="Book Antiqua"/>
          <w:sz w:val="24"/>
          <w:szCs w:val="24"/>
        </w:rPr>
        <w:t>: 343-349 [PMID: 1863023 DOI: 10.7326/0003-4819-115-5-343]</w:t>
      </w:r>
    </w:p>
    <w:p w14:paraId="3ECF68E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142 </w:t>
      </w:r>
      <w:r w:rsidRPr="008D4CA6">
        <w:rPr>
          <w:rFonts w:ascii="Book Antiqua" w:hAnsi="Book Antiqua"/>
          <w:b/>
          <w:bCs/>
          <w:sz w:val="24"/>
          <w:szCs w:val="24"/>
        </w:rPr>
        <w:t>Humbert M</w:t>
      </w:r>
      <w:r w:rsidRPr="008D4CA6">
        <w:rPr>
          <w:rFonts w:ascii="Book Antiqua" w:hAnsi="Book Antiqua"/>
          <w:sz w:val="24"/>
          <w:szCs w:val="24"/>
        </w:rPr>
        <w:t>, Sitbon O, Yaïci A, Montani D, O'Callaghan DS, Jaïs X, Parent F, Savale L, Natali D, Günther S, Chaouat A, Chabot F, Cordier JF, Habib G, Gressin V, Jing ZC, Souza R, Simonneau G; French Pulmonary Arterial Hypertension Network. Survival in incident and prevalent cohorts of patients with pulmonary arterial hypertension. </w:t>
      </w:r>
      <w:r w:rsidRPr="008D4CA6">
        <w:rPr>
          <w:rFonts w:ascii="Book Antiqua" w:hAnsi="Book Antiqua"/>
          <w:i/>
          <w:iCs/>
          <w:sz w:val="24"/>
          <w:szCs w:val="24"/>
        </w:rPr>
        <w:t xml:space="preserve">Eur Respir </w:t>
      </w:r>
      <w:r w:rsidRPr="008D4CA6">
        <w:rPr>
          <w:rFonts w:ascii="Book Antiqua" w:hAnsi="Book Antiqua"/>
          <w:i/>
          <w:iCs/>
          <w:sz w:val="24"/>
          <w:szCs w:val="24"/>
        </w:rPr>
        <w:lastRenderedPageBreak/>
        <w:t>J</w:t>
      </w:r>
      <w:r w:rsidRPr="008D4CA6">
        <w:rPr>
          <w:rFonts w:ascii="Book Antiqua" w:hAnsi="Book Antiqua"/>
          <w:sz w:val="24"/>
          <w:szCs w:val="24"/>
        </w:rPr>
        <w:t> 2010; </w:t>
      </w:r>
      <w:r w:rsidRPr="008D4CA6">
        <w:rPr>
          <w:rFonts w:ascii="Book Antiqua" w:hAnsi="Book Antiqua"/>
          <w:b/>
          <w:bCs/>
          <w:sz w:val="24"/>
          <w:szCs w:val="24"/>
        </w:rPr>
        <w:t>36</w:t>
      </w:r>
      <w:r w:rsidRPr="008D4CA6">
        <w:rPr>
          <w:rFonts w:ascii="Book Antiqua" w:hAnsi="Book Antiqua"/>
          <w:sz w:val="24"/>
          <w:szCs w:val="24"/>
        </w:rPr>
        <w:t>: 549-555 [PMID: 20562126 DOI: 10.1183/09031936.00057010]</w:t>
      </w:r>
    </w:p>
    <w:p w14:paraId="35F740A1"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143 </w:t>
      </w:r>
      <w:r w:rsidRPr="008D4CA6">
        <w:rPr>
          <w:rFonts w:ascii="Book Antiqua" w:hAnsi="Book Antiqua"/>
          <w:b/>
          <w:bCs/>
          <w:sz w:val="24"/>
          <w:szCs w:val="24"/>
        </w:rPr>
        <w:t>Hoeper MM</w:t>
      </w:r>
      <w:r w:rsidRPr="008D4CA6">
        <w:rPr>
          <w:rFonts w:ascii="Book Antiqua" w:hAnsi="Book Antiqua"/>
          <w:sz w:val="24"/>
          <w:szCs w:val="24"/>
        </w:rPr>
        <w:t>. Pharmacological therapy for patients with chronic thromboembolic pulmonary hypertension. </w:t>
      </w:r>
      <w:r w:rsidRPr="008D4CA6">
        <w:rPr>
          <w:rFonts w:ascii="Book Antiqua" w:hAnsi="Book Antiqua"/>
          <w:i/>
          <w:iCs/>
          <w:sz w:val="24"/>
          <w:szCs w:val="24"/>
        </w:rPr>
        <w:t>Eur Respir Rev</w:t>
      </w:r>
      <w:r w:rsidRPr="008D4CA6">
        <w:rPr>
          <w:rFonts w:ascii="Book Antiqua" w:hAnsi="Book Antiqua"/>
          <w:sz w:val="24"/>
          <w:szCs w:val="24"/>
        </w:rPr>
        <w:t> 2015; </w:t>
      </w:r>
      <w:r w:rsidRPr="008D4CA6">
        <w:rPr>
          <w:rFonts w:ascii="Book Antiqua" w:hAnsi="Book Antiqua"/>
          <w:b/>
          <w:bCs/>
          <w:sz w:val="24"/>
          <w:szCs w:val="24"/>
        </w:rPr>
        <w:t>24</w:t>
      </w:r>
      <w:r w:rsidRPr="008D4CA6">
        <w:rPr>
          <w:rFonts w:ascii="Book Antiqua" w:hAnsi="Book Antiqua"/>
          <w:sz w:val="24"/>
          <w:szCs w:val="24"/>
        </w:rPr>
        <w:t>: 272-282 [PMID: 26028639 DOI: 10.1183/16000617.00001015]</w:t>
      </w:r>
    </w:p>
    <w:p w14:paraId="69771F80"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144 </w:t>
      </w:r>
      <w:r w:rsidRPr="008D4CA6">
        <w:rPr>
          <w:rFonts w:ascii="Book Antiqua" w:hAnsi="Book Antiqua"/>
          <w:b/>
          <w:bCs/>
          <w:sz w:val="24"/>
          <w:szCs w:val="24"/>
        </w:rPr>
        <w:t>Bonderman D</w:t>
      </w:r>
      <w:r w:rsidRPr="008D4CA6">
        <w:rPr>
          <w:rFonts w:ascii="Book Antiqua" w:hAnsi="Book Antiqua"/>
          <w:sz w:val="24"/>
          <w:szCs w:val="24"/>
        </w:rPr>
        <w:t>, Nowotny R, Skoro-Sajer N, Jakowitsch J, Adlbrecht C, Klepetko W, Lang IM. Bosentan therapy for inoperable chronic thromboembolic pulmonary hypertension. </w:t>
      </w:r>
      <w:r w:rsidRPr="008D4CA6">
        <w:rPr>
          <w:rFonts w:ascii="Book Antiqua" w:hAnsi="Book Antiqua"/>
          <w:i/>
          <w:iCs/>
          <w:sz w:val="24"/>
          <w:szCs w:val="24"/>
        </w:rPr>
        <w:t>Chest</w:t>
      </w:r>
      <w:r w:rsidRPr="008D4CA6">
        <w:rPr>
          <w:rFonts w:ascii="Book Antiqua" w:hAnsi="Book Antiqua"/>
          <w:sz w:val="24"/>
          <w:szCs w:val="24"/>
        </w:rPr>
        <w:t> 2005; </w:t>
      </w:r>
      <w:r w:rsidRPr="008D4CA6">
        <w:rPr>
          <w:rFonts w:ascii="Book Antiqua" w:hAnsi="Book Antiqua"/>
          <w:b/>
          <w:bCs/>
          <w:sz w:val="24"/>
          <w:szCs w:val="24"/>
        </w:rPr>
        <w:t>128</w:t>
      </w:r>
      <w:r w:rsidRPr="008D4CA6">
        <w:rPr>
          <w:rFonts w:ascii="Book Antiqua" w:hAnsi="Book Antiqua"/>
          <w:sz w:val="24"/>
          <w:szCs w:val="24"/>
        </w:rPr>
        <w:t>: 2599-2603 [PMID: 16236930 DOI: 10.1378/chest.128.4.2599]</w:t>
      </w:r>
    </w:p>
    <w:p w14:paraId="1A00687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145 </w:t>
      </w:r>
      <w:r w:rsidRPr="008D4CA6">
        <w:rPr>
          <w:rFonts w:ascii="Book Antiqua" w:hAnsi="Book Antiqua"/>
          <w:b/>
          <w:bCs/>
          <w:sz w:val="24"/>
          <w:szCs w:val="24"/>
        </w:rPr>
        <w:t>Reichenberger F</w:t>
      </w:r>
      <w:r w:rsidRPr="008D4CA6">
        <w:rPr>
          <w:rFonts w:ascii="Book Antiqua" w:hAnsi="Book Antiqua"/>
          <w:sz w:val="24"/>
          <w:szCs w:val="24"/>
        </w:rPr>
        <w:t>, Voswinckel R, Enke B, Rutsch M, El Fechtali E, Schmehl T, Olschewski H, Schermuly R, Weissmann N, Ghofrani HA, Grimminger F, Mayer E, Seeger W. Long-term treatment with sildenafil in chronic thromboembolic pulmonary hypertension. </w:t>
      </w:r>
      <w:r w:rsidRPr="008D4CA6">
        <w:rPr>
          <w:rFonts w:ascii="Book Antiqua" w:hAnsi="Book Antiqua"/>
          <w:i/>
          <w:iCs/>
          <w:sz w:val="24"/>
          <w:szCs w:val="24"/>
        </w:rPr>
        <w:t>Eur Respir J</w:t>
      </w:r>
      <w:r w:rsidRPr="008D4CA6">
        <w:rPr>
          <w:rFonts w:ascii="Book Antiqua" w:hAnsi="Book Antiqua"/>
          <w:sz w:val="24"/>
          <w:szCs w:val="24"/>
        </w:rPr>
        <w:t> 2007; </w:t>
      </w:r>
      <w:r w:rsidRPr="008D4CA6">
        <w:rPr>
          <w:rFonts w:ascii="Book Antiqua" w:hAnsi="Book Antiqua"/>
          <w:b/>
          <w:bCs/>
          <w:sz w:val="24"/>
          <w:szCs w:val="24"/>
        </w:rPr>
        <w:t>30</w:t>
      </w:r>
      <w:r w:rsidRPr="008D4CA6">
        <w:rPr>
          <w:rFonts w:ascii="Book Antiqua" w:hAnsi="Book Antiqua"/>
          <w:sz w:val="24"/>
          <w:szCs w:val="24"/>
        </w:rPr>
        <w:t>: 922-927 [PMID: 17690123 DOI: 10.1183/09031936.00039007]</w:t>
      </w:r>
    </w:p>
    <w:p w14:paraId="1CB547F9" w14:textId="123D7C5A"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146 </w:t>
      </w:r>
      <w:r w:rsidRPr="008D4CA6">
        <w:rPr>
          <w:rFonts w:ascii="Book Antiqua" w:hAnsi="Book Antiqua"/>
          <w:b/>
          <w:bCs/>
          <w:sz w:val="24"/>
          <w:szCs w:val="24"/>
        </w:rPr>
        <w:t>Sadushi-Kolici R</w:t>
      </w:r>
      <w:r w:rsidRPr="008D4CA6">
        <w:rPr>
          <w:rFonts w:ascii="Book Antiqua" w:hAnsi="Book Antiqua"/>
          <w:sz w:val="24"/>
          <w:szCs w:val="24"/>
        </w:rPr>
        <w:t>, Lang IM. Treprostinil for the treatment of chronic thromboembolic pulmonary hypertension. </w:t>
      </w:r>
      <w:r w:rsidRPr="008D4CA6">
        <w:rPr>
          <w:rFonts w:ascii="Book Antiqua" w:hAnsi="Book Antiqua"/>
          <w:i/>
          <w:iCs/>
          <w:sz w:val="24"/>
          <w:szCs w:val="24"/>
        </w:rPr>
        <w:t>Expert Rev Respir Med</w:t>
      </w:r>
      <w:r w:rsidR="00B30E34">
        <w:rPr>
          <w:rFonts w:ascii="Book Antiqua" w:hAnsi="Book Antiqua"/>
          <w:sz w:val="24"/>
          <w:szCs w:val="24"/>
        </w:rPr>
        <w:t xml:space="preserve"> </w:t>
      </w:r>
      <w:r w:rsidRPr="008D4CA6">
        <w:rPr>
          <w:rFonts w:ascii="Book Antiqua" w:hAnsi="Book Antiqua"/>
          <w:sz w:val="24"/>
          <w:szCs w:val="24"/>
        </w:rPr>
        <w:t>2019;</w:t>
      </w:r>
      <w:r w:rsidR="00974298">
        <w:rPr>
          <w:rFonts w:ascii="Book Antiqua" w:hAnsi="Book Antiqua"/>
          <w:sz w:val="24"/>
          <w:szCs w:val="24"/>
        </w:rPr>
        <w:t xml:space="preserve"> </w:t>
      </w:r>
      <w:r w:rsidRPr="008D4CA6">
        <w:rPr>
          <w:rFonts w:ascii="Book Antiqua" w:hAnsi="Book Antiqua"/>
          <w:sz w:val="24"/>
          <w:szCs w:val="24"/>
        </w:rPr>
        <w:t xml:space="preserve">1-7 [PMID: </w:t>
      </w:r>
      <w:bookmarkStart w:id="52" w:name="OLE_LINK198"/>
      <w:bookmarkStart w:id="53" w:name="OLE_LINK199"/>
      <w:r w:rsidRPr="008D4CA6">
        <w:rPr>
          <w:rFonts w:ascii="Book Antiqua" w:hAnsi="Book Antiqua"/>
          <w:sz w:val="24"/>
          <w:szCs w:val="24"/>
        </w:rPr>
        <w:t>31545126</w:t>
      </w:r>
      <w:bookmarkEnd w:id="52"/>
      <w:bookmarkEnd w:id="53"/>
      <w:r w:rsidRPr="008D4CA6">
        <w:rPr>
          <w:rFonts w:ascii="Book Antiqua" w:hAnsi="Book Antiqua"/>
          <w:sz w:val="24"/>
          <w:szCs w:val="24"/>
        </w:rPr>
        <w:t xml:space="preserve"> DOI: 10.1080/17476348.2019.1652094]</w:t>
      </w:r>
    </w:p>
    <w:p w14:paraId="7196D6A6"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147 </w:t>
      </w:r>
      <w:r w:rsidRPr="008D4CA6">
        <w:rPr>
          <w:rFonts w:ascii="Book Antiqua" w:hAnsi="Book Antiqua"/>
          <w:b/>
          <w:bCs/>
          <w:sz w:val="24"/>
          <w:szCs w:val="24"/>
        </w:rPr>
        <w:t>Wiedenroth CB</w:t>
      </w:r>
      <w:r w:rsidRPr="008D4CA6">
        <w:rPr>
          <w:rFonts w:ascii="Book Antiqua" w:hAnsi="Book Antiqua"/>
          <w:sz w:val="24"/>
          <w:szCs w:val="24"/>
        </w:rPr>
        <w:t>, Ghofrani HA, Adameit MSD, Breithecker A, Haas M, Kriechbaum S, Rieth A, Hamm CW, Mayer E, Guth S, Liebetrau C. Sequential treatment with riociguat and balloon pulmonary angioplasty for patients with inoperable chronic thromboembolic pulmonary hypertension. </w:t>
      </w:r>
      <w:r w:rsidRPr="008D4CA6">
        <w:rPr>
          <w:rFonts w:ascii="Book Antiqua" w:hAnsi="Book Antiqua"/>
          <w:i/>
          <w:iCs/>
          <w:sz w:val="24"/>
          <w:szCs w:val="24"/>
        </w:rPr>
        <w:t>Pulm Circ</w:t>
      </w:r>
      <w:r w:rsidRPr="008D4CA6">
        <w:rPr>
          <w:rFonts w:ascii="Book Antiqua" w:hAnsi="Book Antiqua"/>
          <w:sz w:val="24"/>
          <w:szCs w:val="24"/>
        </w:rPr>
        <w:t> 2018; </w:t>
      </w:r>
      <w:r w:rsidRPr="008D4CA6">
        <w:rPr>
          <w:rFonts w:ascii="Book Antiqua" w:hAnsi="Book Antiqua"/>
          <w:b/>
          <w:bCs/>
          <w:sz w:val="24"/>
          <w:szCs w:val="24"/>
        </w:rPr>
        <w:t>8</w:t>
      </w:r>
      <w:r w:rsidRPr="008D4CA6">
        <w:rPr>
          <w:rFonts w:ascii="Book Antiqua" w:hAnsi="Book Antiqua"/>
          <w:sz w:val="24"/>
          <w:szCs w:val="24"/>
        </w:rPr>
        <w:t>: 2045894018783996 [PMID: 29939102 DOI: 10.1177/2045894018783996]</w:t>
      </w:r>
    </w:p>
    <w:p w14:paraId="42B58B2D"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148 </w:t>
      </w:r>
      <w:r w:rsidRPr="008D4CA6">
        <w:rPr>
          <w:rFonts w:ascii="Book Antiqua" w:hAnsi="Book Antiqua"/>
          <w:b/>
          <w:bCs/>
          <w:sz w:val="24"/>
          <w:szCs w:val="24"/>
        </w:rPr>
        <w:t>Tsugu T</w:t>
      </w:r>
      <w:r w:rsidRPr="008D4CA6">
        <w:rPr>
          <w:rFonts w:ascii="Book Antiqua" w:hAnsi="Book Antiqua"/>
          <w:sz w:val="24"/>
          <w:szCs w:val="24"/>
        </w:rPr>
        <w:t>, Murata M, Kawakami T, Kataoka M, Nagatomo Y, Tsuruta H, Itabashi Y, Maekawa Y, Fukuda K. Amelioration of right ventricular function after hybrid therapy with riociguat and balloon pulmonary angioplasty in patients with chronic thromboembolic pulmonary hypertension. </w:t>
      </w:r>
      <w:r w:rsidRPr="008D4CA6">
        <w:rPr>
          <w:rFonts w:ascii="Book Antiqua" w:hAnsi="Book Antiqua"/>
          <w:i/>
          <w:iCs/>
          <w:sz w:val="24"/>
          <w:szCs w:val="24"/>
        </w:rPr>
        <w:t>Int J Cardiol</w:t>
      </w:r>
      <w:r w:rsidRPr="008D4CA6">
        <w:rPr>
          <w:rFonts w:ascii="Book Antiqua" w:hAnsi="Book Antiqua"/>
          <w:sz w:val="24"/>
          <w:szCs w:val="24"/>
        </w:rPr>
        <w:t> 2016; </w:t>
      </w:r>
      <w:r w:rsidRPr="008D4CA6">
        <w:rPr>
          <w:rFonts w:ascii="Book Antiqua" w:hAnsi="Book Antiqua"/>
          <w:b/>
          <w:bCs/>
          <w:sz w:val="24"/>
          <w:szCs w:val="24"/>
        </w:rPr>
        <w:t>221</w:t>
      </w:r>
      <w:r w:rsidRPr="008D4CA6">
        <w:rPr>
          <w:rFonts w:ascii="Book Antiqua" w:hAnsi="Book Antiqua"/>
          <w:sz w:val="24"/>
          <w:szCs w:val="24"/>
        </w:rPr>
        <w:t>: 227-229 [PMID: 27404679 DOI: 10.1016/j.ijcard.2016.06.331]</w:t>
      </w:r>
    </w:p>
    <w:p w14:paraId="49A9145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149 </w:t>
      </w:r>
      <w:r w:rsidRPr="008D4CA6">
        <w:rPr>
          <w:rFonts w:ascii="Book Antiqua" w:hAnsi="Book Antiqua"/>
          <w:b/>
          <w:bCs/>
          <w:sz w:val="24"/>
          <w:szCs w:val="24"/>
        </w:rPr>
        <w:t>Wiedenroth CB</w:t>
      </w:r>
      <w:r w:rsidRPr="008D4CA6">
        <w:rPr>
          <w:rFonts w:ascii="Book Antiqua" w:hAnsi="Book Antiqua"/>
          <w:sz w:val="24"/>
          <w:szCs w:val="24"/>
        </w:rPr>
        <w:t>, Liebetrau C, Breithecker A, Guth S, Lautze HJ, Ortmann E, Arlt M, Krombach GA, Bandorski D, Hamm CW, Möllmann H, Mayer E. Combined pulmonary endarterectomy and balloon pulmonary angioplasty in patients with chronic thromboembolic pulmonary hypertension. </w:t>
      </w:r>
      <w:r w:rsidRPr="008D4CA6">
        <w:rPr>
          <w:rFonts w:ascii="Book Antiqua" w:hAnsi="Book Antiqua"/>
          <w:i/>
          <w:iCs/>
          <w:sz w:val="24"/>
          <w:szCs w:val="24"/>
        </w:rPr>
        <w:t>J Heart Lung Transplant</w:t>
      </w:r>
      <w:r w:rsidRPr="008D4CA6">
        <w:rPr>
          <w:rFonts w:ascii="Book Antiqua" w:hAnsi="Book Antiqua"/>
          <w:sz w:val="24"/>
          <w:szCs w:val="24"/>
        </w:rPr>
        <w:t> 2016; </w:t>
      </w:r>
      <w:r w:rsidRPr="008D4CA6">
        <w:rPr>
          <w:rFonts w:ascii="Book Antiqua" w:hAnsi="Book Antiqua"/>
          <w:b/>
          <w:bCs/>
          <w:sz w:val="24"/>
          <w:szCs w:val="24"/>
        </w:rPr>
        <w:t>35</w:t>
      </w:r>
      <w:r w:rsidRPr="008D4CA6">
        <w:rPr>
          <w:rFonts w:ascii="Book Antiqua" w:hAnsi="Book Antiqua"/>
          <w:sz w:val="24"/>
          <w:szCs w:val="24"/>
        </w:rPr>
        <w:t>: 591-596 [PMID: 26612053 DOI: 10.1016/j.healun.2015.10.030]</w:t>
      </w:r>
    </w:p>
    <w:p w14:paraId="767E2305"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150 </w:t>
      </w:r>
      <w:r w:rsidRPr="008D4CA6">
        <w:rPr>
          <w:rFonts w:ascii="Book Antiqua" w:hAnsi="Book Antiqua"/>
          <w:b/>
          <w:bCs/>
          <w:sz w:val="24"/>
          <w:szCs w:val="24"/>
        </w:rPr>
        <w:t>Kawashima T</w:t>
      </w:r>
      <w:r w:rsidRPr="008D4CA6">
        <w:rPr>
          <w:rFonts w:ascii="Book Antiqua" w:hAnsi="Book Antiqua"/>
          <w:sz w:val="24"/>
          <w:szCs w:val="24"/>
        </w:rPr>
        <w:t xml:space="preserve">, Yoshitake A, Kawakami T, Shimizu H. Two-stage Treatment Using </w:t>
      </w:r>
      <w:r w:rsidRPr="008D4CA6">
        <w:rPr>
          <w:rFonts w:ascii="Book Antiqua" w:hAnsi="Book Antiqua"/>
          <w:sz w:val="24"/>
          <w:szCs w:val="24"/>
        </w:rPr>
        <w:lastRenderedPageBreak/>
        <w:t>Balloon Pulmonary Angioplasty and Pulmonary Endarterectomy in a Patient with Chronic Thromboembolic Pulmonary Hypertension. </w:t>
      </w:r>
      <w:r w:rsidRPr="008D4CA6">
        <w:rPr>
          <w:rFonts w:ascii="Book Antiqua" w:hAnsi="Book Antiqua"/>
          <w:i/>
          <w:iCs/>
          <w:sz w:val="24"/>
          <w:szCs w:val="24"/>
        </w:rPr>
        <w:t>Ann Vasc Surg</w:t>
      </w:r>
      <w:r w:rsidRPr="008D4CA6">
        <w:rPr>
          <w:rFonts w:ascii="Book Antiqua" w:hAnsi="Book Antiqua"/>
          <w:sz w:val="24"/>
          <w:szCs w:val="24"/>
        </w:rPr>
        <w:t> 2018; </w:t>
      </w:r>
      <w:r w:rsidRPr="008D4CA6">
        <w:rPr>
          <w:rFonts w:ascii="Book Antiqua" w:hAnsi="Book Antiqua"/>
          <w:b/>
          <w:bCs/>
          <w:sz w:val="24"/>
          <w:szCs w:val="24"/>
        </w:rPr>
        <w:t>49</w:t>
      </w:r>
      <w:r w:rsidRPr="008D4CA6">
        <w:rPr>
          <w:rFonts w:ascii="Book Antiqua" w:hAnsi="Book Antiqua"/>
          <w:sz w:val="24"/>
          <w:szCs w:val="24"/>
        </w:rPr>
        <w:t>: 315.e5-315.e7 [PMID: 29481935 DOI: 10.1016/j.avsg.2017.11.057]</w:t>
      </w:r>
    </w:p>
    <w:p w14:paraId="601279B7" w14:textId="2275955D"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151 </w:t>
      </w:r>
      <w:r w:rsidRPr="008D4CA6">
        <w:rPr>
          <w:rFonts w:ascii="Book Antiqua" w:hAnsi="Book Antiqua"/>
          <w:b/>
          <w:bCs/>
          <w:sz w:val="24"/>
          <w:szCs w:val="24"/>
        </w:rPr>
        <w:t>Danilov NM</w:t>
      </w:r>
      <w:r w:rsidRPr="008D4CA6">
        <w:rPr>
          <w:rFonts w:ascii="Book Antiqua" w:hAnsi="Book Antiqua"/>
          <w:sz w:val="24"/>
          <w:szCs w:val="24"/>
        </w:rPr>
        <w:t xml:space="preserve">, Karabasheva MB, Sagaydak OV, Matchin YG, Mershin KV, Chazova IE. Hybrid approach for treating patient with chronic thromboembolic pulmonary hypertension and extrinsic compression of left main coronary artery. </w:t>
      </w:r>
      <w:r w:rsidRPr="008D4CA6">
        <w:rPr>
          <w:rFonts w:ascii="Book Antiqua" w:hAnsi="Book Antiqua"/>
          <w:i/>
          <w:iCs/>
          <w:sz w:val="24"/>
          <w:szCs w:val="24"/>
        </w:rPr>
        <w:t>Rus</w:t>
      </w:r>
      <w:r w:rsidR="00EF0259">
        <w:rPr>
          <w:rFonts w:ascii="Book Antiqua" w:hAnsi="Book Antiqua"/>
          <w:i/>
          <w:iCs/>
          <w:sz w:val="24"/>
          <w:szCs w:val="24"/>
        </w:rPr>
        <w:t xml:space="preserve"> </w:t>
      </w:r>
      <w:r w:rsidRPr="008D4CA6">
        <w:rPr>
          <w:rFonts w:ascii="Book Antiqua" w:hAnsi="Book Antiqua"/>
          <w:i/>
          <w:iCs/>
          <w:sz w:val="24"/>
          <w:szCs w:val="24"/>
        </w:rPr>
        <w:t xml:space="preserve">OMJ </w:t>
      </w:r>
      <w:r w:rsidRPr="008D4CA6">
        <w:rPr>
          <w:rFonts w:ascii="Book Antiqua" w:hAnsi="Book Antiqua"/>
          <w:sz w:val="24"/>
          <w:szCs w:val="24"/>
        </w:rPr>
        <w:t xml:space="preserve">2019; </w:t>
      </w:r>
      <w:r w:rsidRPr="008D4CA6">
        <w:rPr>
          <w:rFonts w:ascii="Book Antiqua" w:hAnsi="Book Antiqua"/>
          <w:b/>
          <w:bCs/>
          <w:sz w:val="24"/>
          <w:szCs w:val="24"/>
        </w:rPr>
        <w:t>8</w:t>
      </w:r>
      <w:r w:rsidRPr="008D4CA6">
        <w:rPr>
          <w:rFonts w:ascii="Book Antiqua" w:hAnsi="Book Antiqua"/>
          <w:sz w:val="24"/>
          <w:szCs w:val="24"/>
        </w:rPr>
        <w:t>: e0407 [DOI: 10.15275/rusomj.2019.0407]</w:t>
      </w:r>
    </w:p>
    <w:p w14:paraId="3FD447E8" w14:textId="6A860D30"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152 </w:t>
      </w:r>
      <w:r w:rsidRPr="008D4CA6">
        <w:rPr>
          <w:rFonts w:ascii="Book Antiqua" w:hAnsi="Book Antiqua"/>
          <w:b/>
          <w:bCs/>
          <w:sz w:val="24"/>
          <w:szCs w:val="24"/>
        </w:rPr>
        <w:t>Yanaka K</w:t>
      </w:r>
      <w:r w:rsidRPr="008D4CA6">
        <w:rPr>
          <w:rFonts w:ascii="Book Antiqua" w:hAnsi="Book Antiqua"/>
          <w:sz w:val="24"/>
          <w:szCs w:val="24"/>
        </w:rPr>
        <w:t>, Nakayama K, Shinke T, Shinkura Y, Taniguchi Y, Kinutani H, Tamada N, Onishi H, Tsuboi Y, Satomi-Kobayashi S, Otake H, Tanaka H, Okita Y, Emoto N, Hirata KI. Sequential Hybrid Therapy With Pulmonary Endarterectomy and Additional Balloon Pulmonary Angioplasty for Chronic Thromboembolic Pulmonary Hypertension. </w:t>
      </w:r>
      <w:r w:rsidRPr="008D4CA6">
        <w:rPr>
          <w:rFonts w:ascii="Book Antiqua" w:hAnsi="Book Antiqua"/>
          <w:i/>
          <w:iCs/>
          <w:sz w:val="24"/>
          <w:szCs w:val="24"/>
        </w:rPr>
        <w:t>J Am Heart Assoc</w:t>
      </w:r>
      <w:r w:rsidRPr="008D4CA6">
        <w:rPr>
          <w:rFonts w:ascii="Book Antiqua" w:hAnsi="Book Antiqua"/>
          <w:sz w:val="24"/>
          <w:szCs w:val="24"/>
        </w:rPr>
        <w:t> 2018; </w:t>
      </w:r>
      <w:r w:rsidRPr="008D4CA6">
        <w:rPr>
          <w:rFonts w:ascii="Book Antiqua" w:hAnsi="Book Antiqua"/>
          <w:b/>
          <w:bCs/>
          <w:sz w:val="24"/>
          <w:szCs w:val="24"/>
        </w:rPr>
        <w:t>7</w:t>
      </w:r>
      <w:r w:rsidRPr="008D4CA6">
        <w:rPr>
          <w:rFonts w:ascii="Book Antiqua" w:hAnsi="Book Antiqua"/>
          <w:sz w:val="24"/>
          <w:szCs w:val="24"/>
        </w:rPr>
        <w:t xml:space="preserve">: </w:t>
      </w:r>
      <w:r w:rsidR="00CD56A6" w:rsidRPr="00CF3DAE">
        <w:rPr>
          <w:rFonts w:ascii="Book Antiqua" w:hAnsi="Book Antiqua"/>
          <w:sz w:val="24"/>
          <w:szCs w:val="24"/>
        </w:rPr>
        <w:t>e008838</w:t>
      </w:r>
      <w:r w:rsidR="00CD56A6" w:rsidRPr="008D4CA6">
        <w:rPr>
          <w:rFonts w:ascii="Book Antiqua" w:hAnsi="Book Antiqua"/>
          <w:sz w:val="24"/>
          <w:szCs w:val="24"/>
        </w:rPr>
        <w:t xml:space="preserve"> </w:t>
      </w:r>
      <w:r w:rsidRPr="008D4CA6">
        <w:rPr>
          <w:rFonts w:ascii="Book Antiqua" w:hAnsi="Book Antiqua"/>
          <w:sz w:val="24"/>
          <w:szCs w:val="24"/>
        </w:rPr>
        <w:t>[PMID: 29929993 DOI: 10.1161/jaha.118.008838]</w:t>
      </w:r>
    </w:p>
    <w:p w14:paraId="4DD774BC"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153 </w:t>
      </w:r>
      <w:r w:rsidRPr="008D4CA6">
        <w:rPr>
          <w:rFonts w:ascii="Book Antiqua" w:hAnsi="Book Antiqua"/>
          <w:b/>
          <w:bCs/>
          <w:sz w:val="24"/>
          <w:szCs w:val="24"/>
        </w:rPr>
        <w:t>Kopeć G</w:t>
      </w:r>
      <w:r w:rsidRPr="008D4CA6">
        <w:rPr>
          <w:rFonts w:ascii="Book Antiqua" w:hAnsi="Book Antiqua"/>
          <w:sz w:val="24"/>
          <w:szCs w:val="24"/>
        </w:rPr>
        <w:t>, Stępniewski J, Waligóra M, Kurzyna M, Biederman A, Podolec P. Staged treatment of central and peripheral lesions in chronic thromboembolic pulmonary hypertension. </w:t>
      </w:r>
      <w:r w:rsidRPr="008D4CA6">
        <w:rPr>
          <w:rFonts w:ascii="Book Antiqua" w:hAnsi="Book Antiqua"/>
          <w:i/>
          <w:iCs/>
          <w:sz w:val="24"/>
          <w:szCs w:val="24"/>
        </w:rPr>
        <w:t>Pol Arch Med Wewn</w:t>
      </w:r>
      <w:r w:rsidRPr="008D4CA6">
        <w:rPr>
          <w:rFonts w:ascii="Book Antiqua" w:hAnsi="Book Antiqua"/>
          <w:sz w:val="24"/>
          <w:szCs w:val="24"/>
        </w:rPr>
        <w:t> 2016; </w:t>
      </w:r>
      <w:r w:rsidRPr="008D4CA6">
        <w:rPr>
          <w:rFonts w:ascii="Book Antiqua" w:hAnsi="Book Antiqua"/>
          <w:b/>
          <w:bCs/>
          <w:sz w:val="24"/>
          <w:szCs w:val="24"/>
        </w:rPr>
        <w:t>126</w:t>
      </w:r>
      <w:r w:rsidRPr="008D4CA6">
        <w:rPr>
          <w:rFonts w:ascii="Book Antiqua" w:hAnsi="Book Antiqua"/>
          <w:sz w:val="24"/>
          <w:szCs w:val="24"/>
        </w:rPr>
        <w:t>: 97-99 [PMID: 26842380 DOI: 10.20452/pamw.3279]</w:t>
      </w:r>
    </w:p>
    <w:p w14:paraId="5DA627E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154 </w:t>
      </w:r>
      <w:r w:rsidRPr="008D4CA6">
        <w:rPr>
          <w:rFonts w:ascii="Book Antiqua" w:hAnsi="Book Antiqua"/>
          <w:b/>
          <w:bCs/>
          <w:sz w:val="24"/>
          <w:szCs w:val="24"/>
        </w:rPr>
        <w:t>Kawakami T</w:t>
      </w:r>
      <w:r w:rsidRPr="008D4CA6">
        <w:rPr>
          <w:rFonts w:ascii="Book Antiqua" w:hAnsi="Book Antiqua"/>
          <w:sz w:val="24"/>
          <w:szCs w:val="24"/>
        </w:rPr>
        <w:t>, Matsubara H, Abe K, Kataoka M, Kohsaka S, Sato Y, Shinke T, Fukuda K. Multicentre randomised controlled trial of balloon pulmonary angioplasty and riociguat in patients with chronic thromboembolic pulmonary hypertension: protocol for the MR BPA study. </w:t>
      </w:r>
      <w:r w:rsidRPr="008D4CA6">
        <w:rPr>
          <w:rFonts w:ascii="Book Antiqua" w:hAnsi="Book Antiqua"/>
          <w:i/>
          <w:iCs/>
          <w:sz w:val="24"/>
          <w:szCs w:val="24"/>
        </w:rPr>
        <w:t>BMJ Open</w:t>
      </w:r>
      <w:r w:rsidRPr="008D4CA6">
        <w:rPr>
          <w:rFonts w:ascii="Book Antiqua" w:hAnsi="Book Antiqua"/>
          <w:sz w:val="24"/>
          <w:szCs w:val="24"/>
        </w:rPr>
        <w:t> 2020; </w:t>
      </w:r>
      <w:r w:rsidRPr="008D4CA6">
        <w:rPr>
          <w:rFonts w:ascii="Book Antiqua" w:hAnsi="Book Antiqua"/>
          <w:b/>
          <w:bCs/>
          <w:sz w:val="24"/>
          <w:szCs w:val="24"/>
        </w:rPr>
        <w:t>10</w:t>
      </w:r>
      <w:r w:rsidRPr="008D4CA6">
        <w:rPr>
          <w:rFonts w:ascii="Book Antiqua" w:hAnsi="Book Antiqua"/>
          <w:sz w:val="24"/>
          <w:szCs w:val="24"/>
        </w:rPr>
        <w:t>: e028831 [PMID: 32034015 DOI: 10.1136/bmjopen-2018-028831]</w:t>
      </w:r>
    </w:p>
    <w:p w14:paraId="4A55164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155 </w:t>
      </w:r>
      <w:r w:rsidRPr="008D4CA6">
        <w:rPr>
          <w:rFonts w:ascii="Book Antiqua" w:hAnsi="Book Antiqua"/>
          <w:b/>
          <w:bCs/>
          <w:sz w:val="24"/>
          <w:szCs w:val="24"/>
        </w:rPr>
        <w:t>Jais X</w:t>
      </w:r>
      <w:r w:rsidRPr="008D4CA6">
        <w:rPr>
          <w:rFonts w:ascii="Book Antiqua" w:hAnsi="Book Antiqua"/>
          <w:sz w:val="24"/>
          <w:szCs w:val="24"/>
        </w:rPr>
        <w:t xml:space="preserve">, Brenot P, Bouvaist H, Canuet M, Chabanne C, Chaouat A, Cottin V, De Groote P, Dromer C, Favrolt N, Alonso CG, Gérardin B, Horeau-Langlard D, Jevnikar M, Magro P, Montani D, Parent F, Pison C, Prévot G, Renard S, Savale L, Simon AC, Sitbon O, Tresorier R, Tromeur C, Agostini H, Piedvache C, Fadel E, Humbert M, Simonneau G. Late Breaking Abstract - Balloon pulmonary angioplasty versus riociguat for the treatment of inoperable chronic thromboembolic pulmonary hypertension: results from the randomised controlled RACE study. </w:t>
      </w:r>
      <w:r w:rsidRPr="008D4CA6">
        <w:rPr>
          <w:rFonts w:ascii="Book Antiqua" w:hAnsi="Book Antiqua"/>
          <w:i/>
          <w:iCs/>
          <w:sz w:val="24"/>
          <w:szCs w:val="24"/>
        </w:rPr>
        <w:t>Eur Respir J</w:t>
      </w:r>
      <w:r w:rsidRPr="008D4CA6">
        <w:rPr>
          <w:rFonts w:ascii="Book Antiqua" w:hAnsi="Book Antiqua"/>
          <w:sz w:val="24"/>
          <w:szCs w:val="24"/>
        </w:rPr>
        <w:t xml:space="preserve"> 2019; </w:t>
      </w:r>
      <w:r w:rsidRPr="008D4CA6">
        <w:rPr>
          <w:rFonts w:ascii="Book Antiqua" w:hAnsi="Book Antiqua"/>
          <w:b/>
          <w:bCs/>
          <w:sz w:val="24"/>
          <w:szCs w:val="24"/>
        </w:rPr>
        <w:t>54</w:t>
      </w:r>
      <w:r w:rsidRPr="008D4CA6">
        <w:rPr>
          <w:rFonts w:ascii="Book Antiqua" w:hAnsi="Book Antiqua"/>
          <w:sz w:val="24"/>
          <w:szCs w:val="24"/>
        </w:rPr>
        <w:t>: RCT1885 [DOI: 10.1183/13993003.congress-2019.RCT1885]</w:t>
      </w:r>
    </w:p>
    <w:p w14:paraId="3D4410A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156 </w:t>
      </w:r>
      <w:r w:rsidRPr="008D4CA6">
        <w:rPr>
          <w:rFonts w:ascii="Book Antiqua" w:hAnsi="Book Antiqua"/>
          <w:b/>
          <w:bCs/>
          <w:sz w:val="24"/>
          <w:szCs w:val="24"/>
        </w:rPr>
        <w:t>Venkatesan P</w:t>
      </w:r>
      <w:r w:rsidRPr="008D4CA6">
        <w:rPr>
          <w:rFonts w:ascii="Book Antiqua" w:hAnsi="Book Antiqua"/>
          <w:sz w:val="24"/>
          <w:szCs w:val="24"/>
        </w:rPr>
        <w:t>. 2019 European Respiratory Society International Congress. </w:t>
      </w:r>
      <w:r w:rsidRPr="008D4CA6">
        <w:rPr>
          <w:rFonts w:ascii="Book Antiqua" w:hAnsi="Book Antiqua"/>
          <w:i/>
          <w:iCs/>
          <w:sz w:val="24"/>
          <w:szCs w:val="24"/>
        </w:rPr>
        <w:t>Lancet Respir Med</w:t>
      </w:r>
      <w:r w:rsidRPr="008D4CA6">
        <w:rPr>
          <w:rFonts w:ascii="Book Antiqua" w:hAnsi="Book Antiqua"/>
          <w:sz w:val="24"/>
          <w:szCs w:val="24"/>
        </w:rPr>
        <w:t> 2019; </w:t>
      </w:r>
      <w:r w:rsidRPr="008D4CA6">
        <w:rPr>
          <w:rFonts w:ascii="Book Antiqua" w:hAnsi="Book Antiqua"/>
          <w:b/>
          <w:bCs/>
          <w:sz w:val="24"/>
          <w:szCs w:val="24"/>
        </w:rPr>
        <w:t>7</w:t>
      </w:r>
      <w:r w:rsidRPr="008D4CA6">
        <w:rPr>
          <w:rFonts w:ascii="Book Antiqua" w:hAnsi="Book Antiqua"/>
          <w:sz w:val="24"/>
          <w:szCs w:val="24"/>
        </w:rPr>
        <w:t>: 1007-1009 [PMID: 31607587 DOI: 10.1016/S2213-2600(19)30375-3]</w:t>
      </w:r>
    </w:p>
    <w:p w14:paraId="773F0033"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157 </w:t>
      </w:r>
      <w:r w:rsidRPr="008D4CA6">
        <w:rPr>
          <w:rFonts w:ascii="Book Antiqua" w:hAnsi="Book Antiqua"/>
          <w:b/>
          <w:bCs/>
          <w:sz w:val="24"/>
          <w:szCs w:val="24"/>
        </w:rPr>
        <w:t>Pengo V</w:t>
      </w:r>
      <w:r w:rsidRPr="008D4CA6">
        <w:rPr>
          <w:rFonts w:ascii="Book Antiqua" w:hAnsi="Book Antiqua"/>
          <w:sz w:val="24"/>
          <w:szCs w:val="24"/>
        </w:rPr>
        <w:t xml:space="preserve">, Lensing AW, Prins MH, Marchiori A, Davidson BL, Tiozzo F, Albanese P, </w:t>
      </w:r>
      <w:r w:rsidRPr="008D4CA6">
        <w:rPr>
          <w:rFonts w:ascii="Book Antiqua" w:hAnsi="Book Antiqua"/>
          <w:sz w:val="24"/>
          <w:szCs w:val="24"/>
        </w:rPr>
        <w:lastRenderedPageBreak/>
        <w:t>Biasiolo A, Pegoraro C, Iliceto S, Prandoni P; Thromboembolic Pulmonary Hypertension Study Group. Incidence of chronic thromboembolic pulmonary hypertension after pulmonary embolism. </w:t>
      </w:r>
      <w:r w:rsidRPr="008D4CA6">
        <w:rPr>
          <w:rFonts w:ascii="Book Antiqua" w:hAnsi="Book Antiqua"/>
          <w:i/>
          <w:iCs/>
          <w:sz w:val="24"/>
          <w:szCs w:val="24"/>
        </w:rPr>
        <w:t>N Engl J Med</w:t>
      </w:r>
      <w:r w:rsidRPr="008D4CA6">
        <w:rPr>
          <w:rFonts w:ascii="Book Antiqua" w:hAnsi="Book Antiqua"/>
          <w:sz w:val="24"/>
          <w:szCs w:val="24"/>
        </w:rPr>
        <w:t> 2004; </w:t>
      </w:r>
      <w:r w:rsidRPr="008D4CA6">
        <w:rPr>
          <w:rFonts w:ascii="Book Antiqua" w:hAnsi="Book Antiqua"/>
          <w:b/>
          <w:bCs/>
          <w:sz w:val="24"/>
          <w:szCs w:val="24"/>
        </w:rPr>
        <w:t>350</w:t>
      </w:r>
      <w:r w:rsidRPr="008D4CA6">
        <w:rPr>
          <w:rFonts w:ascii="Book Antiqua" w:hAnsi="Book Antiqua"/>
          <w:sz w:val="24"/>
          <w:szCs w:val="24"/>
        </w:rPr>
        <w:t>: 2257-2264 [PMID: 15163775 DOI: 10.1056/NEJMoa032274]</w:t>
      </w:r>
    </w:p>
    <w:p w14:paraId="46F78D34"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158 </w:t>
      </w:r>
      <w:r w:rsidRPr="008D4CA6">
        <w:rPr>
          <w:rFonts w:ascii="Book Antiqua" w:hAnsi="Book Antiqua"/>
          <w:b/>
          <w:bCs/>
          <w:sz w:val="24"/>
          <w:szCs w:val="24"/>
        </w:rPr>
        <w:t>Guérin L</w:t>
      </w:r>
      <w:r w:rsidRPr="008D4CA6">
        <w:rPr>
          <w:rFonts w:ascii="Book Antiqua" w:hAnsi="Book Antiqua"/>
          <w:sz w:val="24"/>
          <w:szCs w:val="24"/>
        </w:rPr>
        <w:t>, Couturaud F, Parent F, Revel MP, Gillaizeau F, Planquette B, Pontal D, Guégan M, Simonneau G, Meyer G, Sanchez O. Prevalence of chronic thromboembolic pulmonary hypertension after acute pulmonary embolism. Prevalence of CTEPH after pulmonary embolism. </w:t>
      </w:r>
      <w:r w:rsidRPr="008D4CA6">
        <w:rPr>
          <w:rFonts w:ascii="Book Antiqua" w:hAnsi="Book Antiqua"/>
          <w:i/>
          <w:iCs/>
          <w:sz w:val="24"/>
          <w:szCs w:val="24"/>
        </w:rPr>
        <w:t>Thromb Haemost</w:t>
      </w:r>
      <w:r w:rsidRPr="008D4CA6">
        <w:rPr>
          <w:rFonts w:ascii="Book Antiqua" w:hAnsi="Book Antiqua"/>
          <w:sz w:val="24"/>
          <w:szCs w:val="24"/>
        </w:rPr>
        <w:t> 2014; </w:t>
      </w:r>
      <w:r w:rsidRPr="008D4CA6">
        <w:rPr>
          <w:rFonts w:ascii="Book Antiqua" w:hAnsi="Book Antiqua"/>
          <w:b/>
          <w:bCs/>
          <w:sz w:val="24"/>
          <w:szCs w:val="24"/>
        </w:rPr>
        <w:t>112</w:t>
      </w:r>
      <w:r w:rsidRPr="008D4CA6">
        <w:rPr>
          <w:rFonts w:ascii="Book Antiqua" w:hAnsi="Book Antiqua"/>
          <w:sz w:val="24"/>
          <w:szCs w:val="24"/>
        </w:rPr>
        <w:t>: 598-605 [PMID: 24898545 DOI: 10.1160/TH13-07-0538]</w:t>
      </w:r>
    </w:p>
    <w:p w14:paraId="21F0D44A"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159 </w:t>
      </w:r>
      <w:r w:rsidRPr="008D4CA6">
        <w:rPr>
          <w:rFonts w:ascii="Book Antiqua" w:hAnsi="Book Antiqua"/>
          <w:b/>
          <w:bCs/>
          <w:sz w:val="24"/>
          <w:szCs w:val="24"/>
        </w:rPr>
        <w:t>Oh DK</w:t>
      </w:r>
      <w:r w:rsidRPr="008D4CA6">
        <w:rPr>
          <w:rFonts w:ascii="Book Antiqua" w:hAnsi="Book Antiqua"/>
          <w:sz w:val="24"/>
          <w:szCs w:val="24"/>
        </w:rPr>
        <w:t>, Song JM, Park DW, Oh SY, Ryu JS, Lee J, Lee SD, Lee JS. The effect of a multidisciplinary team on the implementation rates of major diagnostic and therapeutic procedures of chronic thromboembolic pulmonary hypertension. </w:t>
      </w:r>
      <w:r w:rsidRPr="008D4CA6">
        <w:rPr>
          <w:rFonts w:ascii="Book Antiqua" w:hAnsi="Book Antiqua"/>
          <w:i/>
          <w:iCs/>
          <w:sz w:val="24"/>
          <w:szCs w:val="24"/>
        </w:rPr>
        <w:t>Heart Lung</w:t>
      </w:r>
      <w:r w:rsidRPr="008D4CA6">
        <w:rPr>
          <w:rFonts w:ascii="Book Antiqua" w:hAnsi="Book Antiqua"/>
          <w:sz w:val="24"/>
          <w:szCs w:val="24"/>
        </w:rPr>
        <w:t> 2019; </w:t>
      </w:r>
      <w:r w:rsidRPr="008D4CA6">
        <w:rPr>
          <w:rFonts w:ascii="Book Antiqua" w:hAnsi="Book Antiqua"/>
          <w:b/>
          <w:bCs/>
          <w:sz w:val="24"/>
          <w:szCs w:val="24"/>
        </w:rPr>
        <w:t>48</w:t>
      </w:r>
      <w:r w:rsidRPr="008D4CA6">
        <w:rPr>
          <w:rFonts w:ascii="Book Antiqua" w:hAnsi="Book Antiqua"/>
          <w:sz w:val="24"/>
          <w:szCs w:val="24"/>
        </w:rPr>
        <w:t>: 28-33 [PMID: 30115494 DOI: 10.1016/j.hrtlng.2018.07.008]</w:t>
      </w:r>
    </w:p>
    <w:p w14:paraId="2F0CF0E7" w14:textId="77777777" w:rsidR="008D4CA6" w:rsidRPr="008D4CA6" w:rsidRDefault="008D4CA6" w:rsidP="008D4CA6">
      <w:pPr>
        <w:pStyle w:val="EndNoteBibliography"/>
        <w:adjustRightInd w:val="0"/>
        <w:snapToGrid w:val="0"/>
        <w:spacing w:line="360" w:lineRule="auto"/>
        <w:rPr>
          <w:rFonts w:ascii="Book Antiqua" w:hAnsi="Book Antiqua"/>
          <w:sz w:val="24"/>
          <w:szCs w:val="24"/>
        </w:rPr>
      </w:pPr>
      <w:r w:rsidRPr="008D4CA6">
        <w:rPr>
          <w:rFonts w:ascii="Book Antiqua" w:hAnsi="Book Antiqua"/>
          <w:sz w:val="24"/>
          <w:szCs w:val="24"/>
        </w:rPr>
        <w:t>160 </w:t>
      </w:r>
      <w:r w:rsidRPr="008D4CA6">
        <w:rPr>
          <w:rFonts w:ascii="Book Antiqua" w:hAnsi="Book Antiqua"/>
          <w:b/>
          <w:bCs/>
          <w:sz w:val="24"/>
          <w:szCs w:val="24"/>
        </w:rPr>
        <w:t>Siennicka A</w:t>
      </w:r>
      <w:r w:rsidRPr="008D4CA6">
        <w:rPr>
          <w:rFonts w:ascii="Book Antiqua" w:hAnsi="Book Antiqua"/>
          <w:sz w:val="24"/>
          <w:szCs w:val="24"/>
        </w:rPr>
        <w:t>, Darocha S, Banaszkiewicz M, Kędzierski P, Dobosiewicz A, Błaszczak P, Peregud-Pogorzelska M, Kasprzak JD, Tomaszewski M, Mroczek E, Zięba B, Karasek D, Ptaszyńska-Kopczyńska K, Mizia-Stec K, Mularek-Kubzdela T, Doboszyńska A, Lewicka E, Ruchała M, Lewandowski M, Łukasik S, Chrzanowski Ł, Zieliński D, Torbicki A, Kurzyna M. Treatment of chronic thromboembolic pulmonary hypertension in a multidisciplinary team. </w:t>
      </w:r>
      <w:r w:rsidRPr="008D4CA6">
        <w:rPr>
          <w:rFonts w:ascii="Book Antiqua" w:hAnsi="Book Antiqua"/>
          <w:i/>
          <w:iCs/>
          <w:sz w:val="24"/>
          <w:szCs w:val="24"/>
        </w:rPr>
        <w:t>Ther Adv Respir Dis</w:t>
      </w:r>
      <w:r w:rsidRPr="008D4CA6">
        <w:rPr>
          <w:rFonts w:ascii="Book Antiqua" w:hAnsi="Book Antiqua"/>
          <w:sz w:val="24"/>
          <w:szCs w:val="24"/>
        </w:rPr>
        <w:t> 2019; </w:t>
      </w:r>
      <w:r w:rsidRPr="008D4CA6">
        <w:rPr>
          <w:rFonts w:ascii="Book Antiqua" w:hAnsi="Book Antiqua"/>
          <w:b/>
          <w:bCs/>
          <w:sz w:val="24"/>
          <w:szCs w:val="24"/>
        </w:rPr>
        <w:t>13</w:t>
      </w:r>
      <w:r w:rsidRPr="008D4CA6">
        <w:rPr>
          <w:rFonts w:ascii="Book Antiqua" w:hAnsi="Book Antiqua"/>
          <w:sz w:val="24"/>
          <w:szCs w:val="24"/>
        </w:rPr>
        <w:t>: 1753466619891529 [PMID: 31878837 DOI: 10.1177/1753466619891529]</w:t>
      </w:r>
    </w:p>
    <w:p w14:paraId="5F3E4950" w14:textId="086959FB" w:rsidR="00E1331B" w:rsidRPr="00CD6193" w:rsidRDefault="00E1331B" w:rsidP="00CD6193">
      <w:pPr>
        <w:pStyle w:val="EndNoteBibliography"/>
        <w:adjustRightInd w:val="0"/>
        <w:snapToGrid w:val="0"/>
        <w:spacing w:line="360" w:lineRule="auto"/>
        <w:rPr>
          <w:rFonts w:ascii="Book Antiqua" w:hAnsi="Book Antiqua"/>
          <w:sz w:val="24"/>
          <w:szCs w:val="24"/>
        </w:rPr>
      </w:pPr>
    </w:p>
    <w:p w14:paraId="2A4FFE3C" w14:textId="77777777" w:rsidR="00750221" w:rsidRPr="00CD6193" w:rsidRDefault="00750221" w:rsidP="00CD6193">
      <w:pPr>
        <w:adjustRightInd w:val="0"/>
        <w:snapToGrid w:val="0"/>
        <w:spacing w:line="360" w:lineRule="auto"/>
        <w:rPr>
          <w:rFonts w:ascii="Book Antiqua" w:hAnsi="Book Antiqua" w:cs="Times New Roman"/>
          <w:sz w:val="24"/>
          <w:szCs w:val="24"/>
        </w:rPr>
        <w:sectPr w:rsidR="00750221" w:rsidRPr="00CD6193" w:rsidSect="00E1331B">
          <w:pgSz w:w="11906" w:h="16838"/>
          <w:pgMar w:top="1440" w:right="1080" w:bottom="1440" w:left="1080" w:header="851" w:footer="992" w:gutter="0"/>
          <w:cols w:space="425"/>
          <w:docGrid w:type="lines" w:linePitch="312"/>
        </w:sectPr>
      </w:pPr>
    </w:p>
    <w:p w14:paraId="54D17D2D" w14:textId="77777777" w:rsidR="00750221" w:rsidRPr="00CD6193" w:rsidRDefault="00750221"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lastRenderedPageBreak/>
        <w:t>Footnotes</w:t>
      </w:r>
    </w:p>
    <w:p w14:paraId="1C0542BD"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Conflict-of-interest statement:</w:t>
      </w:r>
      <w:r w:rsidRPr="00CD6193">
        <w:rPr>
          <w:rFonts w:ascii="Book Antiqua" w:hAnsi="Book Antiqua" w:cs="Times New Roman"/>
          <w:sz w:val="24"/>
          <w:szCs w:val="24"/>
        </w:rPr>
        <w:t xml:space="preserve"> The authors declare no conflict of interests for this article.</w:t>
      </w:r>
    </w:p>
    <w:p w14:paraId="2F5C1487" w14:textId="77777777" w:rsidR="00750221" w:rsidRPr="00CD6193" w:rsidRDefault="00750221" w:rsidP="00CD6193">
      <w:pPr>
        <w:adjustRightInd w:val="0"/>
        <w:snapToGrid w:val="0"/>
        <w:spacing w:line="360" w:lineRule="auto"/>
        <w:rPr>
          <w:rFonts w:ascii="Book Antiqua" w:hAnsi="Book Antiqua" w:cs="Times New Roman"/>
          <w:sz w:val="24"/>
          <w:szCs w:val="24"/>
        </w:rPr>
      </w:pPr>
    </w:p>
    <w:p w14:paraId="6AD5CA49"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Open-Access: </w:t>
      </w:r>
      <w:r w:rsidRPr="00CD6193">
        <w:rPr>
          <w:rFonts w:ascii="Book Antiqua" w:hAnsi="Book Antiqua" w:cs="Times New Roman"/>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CD6193">
        <w:rPr>
          <w:rFonts w:ascii="Book Antiqua" w:hAnsi="Book Antiqua" w:cs="Times New Roman"/>
          <w:sz w:val="24"/>
          <w:szCs w:val="24"/>
        </w:rPr>
        <w:t>NonCommercial</w:t>
      </w:r>
      <w:proofErr w:type="spellEnd"/>
      <w:r w:rsidRPr="00CD6193">
        <w:rPr>
          <w:rFonts w:ascii="Book Antiqua" w:hAnsi="Book Antiqua" w:cs="Times New Roman"/>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A6A9E7" w14:textId="77777777" w:rsidR="00750221" w:rsidRPr="00CD6193" w:rsidRDefault="00750221" w:rsidP="00CD6193">
      <w:pPr>
        <w:adjustRightInd w:val="0"/>
        <w:snapToGrid w:val="0"/>
        <w:spacing w:line="360" w:lineRule="auto"/>
        <w:rPr>
          <w:rFonts w:ascii="Book Antiqua" w:hAnsi="Book Antiqua" w:cs="Times New Roman"/>
          <w:sz w:val="24"/>
          <w:szCs w:val="24"/>
        </w:rPr>
      </w:pPr>
    </w:p>
    <w:p w14:paraId="76841ACE" w14:textId="77777777" w:rsidR="00750221" w:rsidRPr="00CD6193" w:rsidRDefault="00750221"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 xml:space="preserve">Manuscript source: </w:t>
      </w:r>
      <w:r w:rsidRPr="00CD6193">
        <w:rPr>
          <w:rFonts w:ascii="Book Antiqua" w:hAnsi="Book Antiqua" w:cs="Times New Roman"/>
          <w:sz w:val="24"/>
          <w:szCs w:val="24"/>
        </w:rPr>
        <w:t>Invited manuscript</w:t>
      </w:r>
    </w:p>
    <w:p w14:paraId="77E5FFAB" w14:textId="77777777" w:rsidR="007E3B95" w:rsidRPr="00CD6193" w:rsidRDefault="007E3B95" w:rsidP="00CD6193">
      <w:pPr>
        <w:adjustRightInd w:val="0"/>
        <w:snapToGrid w:val="0"/>
        <w:spacing w:line="360" w:lineRule="auto"/>
        <w:rPr>
          <w:rFonts w:ascii="Book Antiqua" w:hAnsi="Book Antiqua" w:cs="Times New Roman"/>
          <w:sz w:val="24"/>
          <w:szCs w:val="24"/>
        </w:rPr>
      </w:pPr>
    </w:p>
    <w:p w14:paraId="0C418428" w14:textId="29AF3933"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Peer-review started:</w:t>
      </w:r>
      <w:r w:rsidRPr="00CD6193">
        <w:rPr>
          <w:rFonts w:ascii="Book Antiqua" w:hAnsi="Book Antiqua" w:cs="Times New Roman"/>
          <w:sz w:val="24"/>
          <w:szCs w:val="24"/>
        </w:rPr>
        <w:t xml:space="preserve"> </w:t>
      </w:r>
      <w:r w:rsidR="0073783F">
        <w:rPr>
          <w:rFonts w:ascii="Book Antiqua" w:hAnsi="Book Antiqua" w:cs="Times New Roman"/>
          <w:sz w:val="24"/>
          <w:szCs w:val="24"/>
        </w:rPr>
        <w:t>March 22, 2020</w:t>
      </w:r>
    </w:p>
    <w:p w14:paraId="4877B5D1" w14:textId="0E7C07D5"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First decision:</w:t>
      </w:r>
      <w:r w:rsidRPr="00CD6193">
        <w:rPr>
          <w:rFonts w:ascii="Book Antiqua" w:hAnsi="Book Antiqua" w:cs="Times New Roman"/>
          <w:sz w:val="24"/>
          <w:szCs w:val="24"/>
        </w:rPr>
        <w:t xml:space="preserve"> April 22, 2020</w:t>
      </w:r>
    </w:p>
    <w:p w14:paraId="32E1CE74" w14:textId="3FC5E4CA" w:rsidR="007E3B95" w:rsidRPr="00CD6193" w:rsidRDefault="007E3B95"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Article in press:</w:t>
      </w:r>
      <w:r w:rsidRPr="00CD6193">
        <w:rPr>
          <w:rFonts w:ascii="Book Antiqua" w:hAnsi="Book Antiqua" w:cs="Times New Roman"/>
          <w:sz w:val="24"/>
          <w:szCs w:val="24"/>
        </w:rPr>
        <w:t xml:space="preserve"> </w:t>
      </w:r>
      <w:r w:rsidR="00A63E45" w:rsidRPr="00BE2B54">
        <w:rPr>
          <w:rFonts w:ascii="Book Antiqua" w:hAnsi="Book Antiqua" w:cs="Times New Roman"/>
          <w:color w:val="000000" w:themeColor="text1"/>
          <w:sz w:val="24"/>
          <w:szCs w:val="24"/>
        </w:rPr>
        <w:t>June 10, 2020</w:t>
      </w:r>
    </w:p>
    <w:p w14:paraId="48B025A1" w14:textId="77777777" w:rsidR="00CD0439" w:rsidRPr="00CD6193" w:rsidRDefault="00CD0439" w:rsidP="00CD6193">
      <w:pPr>
        <w:adjustRightInd w:val="0"/>
        <w:snapToGrid w:val="0"/>
        <w:spacing w:line="360" w:lineRule="auto"/>
        <w:rPr>
          <w:rFonts w:ascii="Book Antiqua" w:hAnsi="Book Antiqua" w:cs="Times New Roman"/>
          <w:sz w:val="24"/>
          <w:szCs w:val="24"/>
        </w:rPr>
      </w:pPr>
    </w:p>
    <w:p w14:paraId="1B51A987" w14:textId="77777777"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Specialty type:</w:t>
      </w:r>
      <w:r w:rsidRPr="00CD6193">
        <w:rPr>
          <w:rFonts w:ascii="Book Antiqua" w:hAnsi="Book Antiqua" w:cs="Times New Roman"/>
          <w:sz w:val="24"/>
          <w:szCs w:val="24"/>
        </w:rPr>
        <w:t xml:space="preserve"> Medicine, research and experimental</w:t>
      </w:r>
    </w:p>
    <w:p w14:paraId="5ECC0969" w14:textId="7E1EE28C"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t>Country/Territory of origin:</w:t>
      </w:r>
      <w:r w:rsidRPr="00CD6193">
        <w:rPr>
          <w:rFonts w:ascii="Book Antiqua" w:hAnsi="Book Antiqua" w:cs="Times New Roman"/>
          <w:sz w:val="24"/>
          <w:szCs w:val="24"/>
        </w:rPr>
        <w:t xml:space="preserve"> China</w:t>
      </w:r>
    </w:p>
    <w:p w14:paraId="449BE9FA" w14:textId="77777777" w:rsidR="00CD0439" w:rsidRPr="00CD6193" w:rsidRDefault="00CD0439"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Peer-review report’s scientific quality classification</w:t>
      </w:r>
    </w:p>
    <w:p w14:paraId="2C6BE3D4" w14:textId="68FB4FA0"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A (Excellent): 0</w:t>
      </w:r>
    </w:p>
    <w:p w14:paraId="421004D9" w14:textId="57ECF35D"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B (Very good): 0</w:t>
      </w:r>
    </w:p>
    <w:p w14:paraId="7B96C196" w14:textId="4C76AB25"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C (Good): C</w:t>
      </w:r>
    </w:p>
    <w:p w14:paraId="618D7FA4" w14:textId="36FEAF91"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D (Fair): 0</w:t>
      </w:r>
    </w:p>
    <w:p w14:paraId="18885CB3" w14:textId="77777777" w:rsidR="00CD0439" w:rsidRPr="00CD6193" w:rsidRDefault="00CD0439"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sz w:val="24"/>
          <w:szCs w:val="24"/>
        </w:rPr>
        <w:t>Grade E (Poor): 0</w:t>
      </w:r>
    </w:p>
    <w:p w14:paraId="68B837E8" w14:textId="77777777" w:rsidR="00CD0439" w:rsidRPr="00CD6193" w:rsidRDefault="00CD0439" w:rsidP="00CD6193">
      <w:pPr>
        <w:adjustRightInd w:val="0"/>
        <w:snapToGrid w:val="0"/>
        <w:spacing w:line="360" w:lineRule="auto"/>
        <w:rPr>
          <w:rFonts w:ascii="Book Antiqua" w:hAnsi="Book Antiqua" w:cs="Times New Roman"/>
          <w:sz w:val="24"/>
          <w:szCs w:val="24"/>
        </w:rPr>
      </w:pPr>
    </w:p>
    <w:p w14:paraId="738F608B" w14:textId="142FC970" w:rsidR="00D5397D" w:rsidRPr="00CD6193" w:rsidRDefault="00CD0439" w:rsidP="00CD6193">
      <w:pPr>
        <w:adjustRightInd w:val="0"/>
        <w:snapToGrid w:val="0"/>
        <w:spacing w:line="360" w:lineRule="auto"/>
        <w:rPr>
          <w:rFonts w:ascii="Book Antiqua" w:hAnsi="Book Antiqua" w:cs="Times New Roman"/>
          <w:b/>
          <w:bCs/>
          <w:sz w:val="24"/>
          <w:szCs w:val="24"/>
        </w:rPr>
        <w:sectPr w:rsidR="00D5397D"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 xml:space="preserve">P- Reviewer: </w:t>
      </w:r>
      <w:r w:rsidR="00D23071" w:rsidRPr="00D23071">
        <w:rPr>
          <w:rFonts w:ascii="Book Antiqua" w:hAnsi="Book Antiqua" w:cs="Times New Roman"/>
          <w:sz w:val="24"/>
          <w:szCs w:val="24"/>
        </w:rPr>
        <w:t>Hosokawa K</w:t>
      </w:r>
      <w:r w:rsidRPr="00CD6193">
        <w:rPr>
          <w:rFonts w:ascii="Book Antiqua" w:hAnsi="Book Antiqua" w:cs="Times New Roman"/>
          <w:b/>
          <w:bCs/>
          <w:sz w:val="24"/>
          <w:szCs w:val="24"/>
        </w:rPr>
        <w:t xml:space="preserve"> S- Editor:</w:t>
      </w:r>
      <w:r w:rsidR="00D23071">
        <w:rPr>
          <w:rFonts w:ascii="Book Antiqua" w:hAnsi="Book Antiqua" w:cs="Times New Roman"/>
          <w:b/>
          <w:bCs/>
          <w:sz w:val="24"/>
          <w:szCs w:val="24"/>
        </w:rPr>
        <w:t xml:space="preserve"> </w:t>
      </w:r>
      <w:r w:rsidR="00D23071" w:rsidRPr="00D23071">
        <w:rPr>
          <w:rFonts w:ascii="Book Antiqua" w:hAnsi="Book Antiqua" w:cs="Times New Roman"/>
          <w:sz w:val="24"/>
          <w:szCs w:val="24"/>
        </w:rPr>
        <w:t>Ma RY</w:t>
      </w:r>
      <w:r w:rsidRPr="00CD6193">
        <w:rPr>
          <w:rFonts w:ascii="Book Antiqua" w:hAnsi="Book Antiqua" w:cs="Times New Roman"/>
          <w:b/>
          <w:bCs/>
          <w:sz w:val="24"/>
          <w:szCs w:val="24"/>
        </w:rPr>
        <w:t xml:space="preserve"> L- Editor:</w:t>
      </w:r>
      <w:r w:rsidR="005E3881">
        <w:rPr>
          <w:rFonts w:ascii="Book Antiqua" w:hAnsi="Book Antiqua" w:cs="Times New Roman"/>
          <w:b/>
          <w:bCs/>
          <w:sz w:val="24"/>
          <w:szCs w:val="24"/>
        </w:rPr>
        <w:t xml:space="preserve"> </w:t>
      </w:r>
      <w:r w:rsidR="001839FE">
        <w:rPr>
          <w:rFonts w:ascii="Book Antiqua" w:hAnsi="Book Antiqua" w:cs="Times New Roman"/>
          <w:bCs/>
          <w:sz w:val="24"/>
          <w:szCs w:val="24"/>
        </w:rPr>
        <w:t xml:space="preserve">Webster JR </w:t>
      </w:r>
      <w:r w:rsidRPr="00CD6193">
        <w:rPr>
          <w:rFonts w:ascii="Book Antiqua" w:hAnsi="Book Antiqua" w:cs="Times New Roman"/>
          <w:b/>
          <w:bCs/>
          <w:sz w:val="24"/>
          <w:szCs w:val="24"/>
        </w:rPr>
        <w:t>E- Editor:</w:t>
      </w:r>
      <w:r w:rsidR="005E3881">
        <w:rPr>
          <w:rFonts w:ascii="Book Antiqua" w:hAnsi="Book Antiqua" w:cs="Times New Roman"/>
          <w:b/>
          <w:bCs/>
          <w:sz w:val="24"/>
          <w:szCs w:val="24"/>
        </w:rPr>
        <w:t xml:space="preserve"> </w:t>
      </w:r>
      <w:r w:rsidR="00A63E45" w:rsidRPr="00A63E45">
        <w:rPr>
          <w:rFonts w:ascii="Book Antiqua" w:hAnsi="Book Antiqua" w:cs="Times New Roman"/>
          <w:bCs/>
          <w:sz w:val="24"/>
          <w:szCs w:val="24"/>
        </w:rPr>
        <w:t>Xing YX</w:t>
      </w:r>
    </w:p>
    <w:p w14:paraId="5E77B692" w14:textId="369C01C5" w:rsidR="00D0186A" w:rsidRPr="00CD6193" w:rsidRDefault="00E1331B" w:rsidP="00CD6193">
      <w:pPr>
        <w:adjustRightInd w:val="0"/>
        <w:snapToGrid w:val="0"/>
        <w:spacing w:line="360" w:lineRule="auto"/>
        <w:rPr>
          <w:rFonts w:ascii="Book Antiqua" w:hAnsi="Book Antiqua" w:cs="Times New Roman"/>
          <w:b/>
          <w:bCs/>
          <w:sz w:val="24"/>
          <w:szCs w:val="24"/>
        </w:rPr>
      </w:pPr>
      <w:bookmarkStart w:id="54" w:name="_Hlk38818263"/>
      <w:r w:rsidRPr="00CD6193">
        <w:rPr>
          <w:rFonts w:ascii="Book Antiqua" w:hAnsi="Book Antiqua" w:cs="Times New Roman"/>
          <w:b/>
          <w:bCs/>
          <w:sz w:val="24"/>
          <w:szCs w:val="24"/>
        </w:rPr>
        <w:lastRenderedPageBreak/>
        <w:t>Figure Legends</w:t>
      </w:r>
    </w:p>
    <w:bookmarkEnd w:id="54"/>
    <w:p w14:paraId="31A3E578" w14:textId="6368A317" w:rsidR="00E1331B" w:rsidRPr="00CD6193" w:rsidRDefault="000D7EB9" w:rsidP="00CD6193">
      <w:pPr>
        <w:adjustRightInd w:val="0"/>
        <w:snapToGrid w:val="0"/>
        <w:spacing w:line="360" w:lineRule="auto"/>
        <w:rPr>
          <w:rFonts w:ascii="Book Antiqua" w:hAnsi="Book Antiqua" w:cs="Times New Roman"/>
          <w:b/>
          <w:bCs/>
          <w:sz w:val="24"/>
          <w:szCs w:val="24"/>
        </w:rPr>
      </w:pPr>
      <w:r>
        <w:rPr>
          <w:rFonts w:ascii="Book Antiqua" w:hAnsi="Book Antiqua" w:cs="Times New Roman"/>
          <w:b/>
          <w:bCs/>
          <w:noProof/>
          <w:sz w:val="24"/>
          <w:szCs w:val="24"/>
        </w:rPr>
        <w:drawing>
          <wp:inline distT="0" distB="0" distL="0" distR="0" wp14:anchorId="4045867E" wp14:editId="63C28CC1">
            <wp:extent cx="6188710" cy="4100830"/>
            <wp:effectExtent l="0" t="0" r="0" b="127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62750A-80B8-4F13-B85A-4050DD202CB8.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100830"/>
                    </a:xfrm>
                    <a:prstGeom prst="rect">
                      <a:avLst/>
                    </a:prstGeom>
                  </pic:spPr>
                </pic:pic>
              </a:graphicData>
            </a:graphic>
          </wp:inline>
        </w:drawing>
      </w:r>
    </w:p>
    <w:p w14:paraId="77A6EBAE" w14:textId="193DDDC5"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1</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Article publishing trend displaying a booming development of </w:t>
      </w:r>
      <w:r w:rsidR="000D7EB9" w:rsidRPr="000D7EB9">
        <w:rPr>
          <w:rFonts w:ascii="Book Antiqua" w:hAnsi="Book Antiqua" w:cs="Times New Roman"/>
          <w:b/>
          <w:bCs/>
          <w:sz w:val="24"/>
          <w:szCs w:val="24"/>
        </w:rPr>
        <w:t>balloon pulmonary angioplasty</w:t>
      </w:r>
      <w:r w:rsidRPr="00CD6193">
        <w:rPr>
          <w:rFonts w:ascii="Book Antiqua" w:hAnsi="Book Antiqua" w:cs="Times New Roman"/>
          <w:b/>
          <w:bCs/>
          <w:sz w:val="24"/>
          <w:szCs w:val="24"/>
        </w:rPr>
        <w:t xml:space="preserve"> in </w:t>
      </w:r>
      <w:r w:rsidR="000D7EB9" w:rsidRPr="000D7EB9">
        <w:rPr>
          <w:rFonts w:ascii="Book Antiqua" w:hAnsi="Book Antiqua" w:cs="Times New Roman"/>
          <w:b/>
          <w:bCs/>
          <w:sz w:val="24"/>
          <w:szCs w:val="24"/>
        </w:rPr>
        <w:t>chronic thromboembolic pulmonary hypertension</w:t>
      </w:r>
      <w:r w:rsidRPr="00CD6193">
        <w:rPr>
          <w:rFonts w:ascii="Book Antiqua" w:hAnsi="Book Antiqua" w:cs="Times New Roman"/>
          <w:b/>
          <w:bCs/>
          <w:sz w:val="24"/>
          <w:szCs w:val="24"/>
        </w:rPr>
        <w:t xml:space="preserve"> from 1988 to </w:t>
      </w:r>
      <w:bookmarkStart w:id="55" w:name="_Hlk38818082"/>
      <w:r w:rsidR="00D0186A" w:rsidRPr="00CD6193">
        <w:rPr>
          <w:rFonts w:ascii="Book Antiqua" w:hAnsi="Book Antiqua" w:cs="Times New Roman"/>
          <w:b/>
          <w:bCs/>
          <w:sz w:val="24"/>
          <w:szCs w:val="24"/>
        </w:rPr>
        <w:t>Apr</w:t>
      </w:r>
      <w:r w:rsidR="001839FE">
        <w:rPr>
          <w:rFonts w:ascii="Book Antiqua" w:hAnsi="Book Antiqua" w:cs="Times New Roman"/>
          <w:b/>
          <w:bCs/>
          <w:sz w:val="24"/>
          <w:szCs w:val="24"/>
        </w:rPr>
        <w:t>il</w:t>
      </w:r>
      <w:r w:rsidR="00D0186A" w:rsidRPr="00CD6193">
        <w:rPr>
          <w:rFonts w:ascii="Book Antiqua" w:hAnsi="Book Antiqua" w:cs="Times New Roman"/>
          <w:b/>
          <w:bCs/>
          <w:sz w:val="24"/>
          <w:szCs w:val="24"/>
        </w:rPr>
        <w:t xml:space="preserve"> 26,</w:t>
      </w:r>
      <w:r w:rsidRPr="00CD6193">
        <w:rPr>
          <w:rFonts w:ascii="Book Antiqua" w:hAnsi="Book Antiqua" w:cs="Times New Roman"/>
          <w:b/>
          <w:bCs/>
          <w:sz w:val="24"/>
          <w:szCs w:val="24"/>
        </w:rPr>
        <w:t xml:space="preserve"> 2020</w:t>
      </w:r>
      <w:bookmarkEnd w:id="55"/>
      <w:r w:rsidRPr="00CD6193">
        <w:rPr>
          <w:rFonts w:ascii="Book Antiqua" w:hAnsi="Book Antiqua" w:cs="Times New Roman"/>
          <w:b/>
          <w:bCs/>
          <w:sz w:val="24"/>
          <w:szCs w:val="24"/>
        </w:rPr>
        <w:t xml:space="preserve"> (PubMed indexed)</w:t>
      </w:r>
      <w:r w:rsidRPr="000D7EB9">
        <w:rPr>
          <w:rFonts w:ascii="Book Antiqua" w:hAnsi="Book Antiqua" w:cs="Times New Roman"/>
          <w:b/>
          <w:bCs/>
          <w:sz w:val="24"/>
          <w:szCs w:val="24"/>
        </w:rPr>
        <w:t xml:space="preserve">. </w:t>
      </w:r>
    </w:p>
    <w:p w14:paraId="59AC702A"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11344A3C" wp14:editId="1E10985F">
            <wp:extent cx="6146476" cy="4545572"/>
            <wp:effectExtent l="0" t="0" r="698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160" cy="4553473"/>
                    </a:xfrm>
                    <a:prstGeom prst="rect">
                      <a:avLst/>
                    </a:prstGeom>
                    <a:noFill/>
                    <a:ln>
                      <a:noFill/>
                    </a:ln>
                  </pic:spPr>
                </pic:pic>
              </a:graphicData>
            </a:graphic>
          </wp:inline>
        </w:drawing>
      </w:r>
    </w:p>
    <w:p w14:paraId="4757E222" w14:textId="62A1CBC9"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2</w:t>
      </w:r>
      <w:r w:rsidR="001B68B5"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Endarterectomized tissues from a </w:t>
      </w:r>
      <w:r w:rsidR="00A32670" w:rsidRPr="00A32670">
        <w:rPr>
          <w:rFonts w:ascii="Book Antiqua" w:hAnsi="Book Antiqua" w:cs="Times New Roman"/>
          <w:b/>
          <w:bCs/>
          <w:sz w:val="24"/>
          <w:szCs w:val="24"/>
        </w:rPr>
        <w:t>chronic thromboembolic pulmonary hypertension</w:t>
      </w:r>
      <w:r w:rsidRPr="00CD6193">
        <w:rPr>
          <w:rFonts w:ascii="Book Antiqua" w:hAnsi="Book Antiqua" w:cs="Times New Roman"/>
          <w:b/>
          <w:bCs/>
          <w:sz w:val="24"/>
          <w:szCs w:val="24"/>
        </w:rPr>
        <w:t xml:space="preserve"> patient whose </w:t>
      </w:r>
      <w:r w:rsidR="00CD56A6">
        <w:rPr>
          <w:rFonts w:ascii="Book Antiqua" w:hAnsi="Book Antiqua" w:cs="Times New Roman"/>
          <w:b/>
          <w:bCs/>
          <w:sz w:val="24"/>
          <w:szCs w:val="24"/>
        </w:rPr>
        <w:t>mean</w:t>
      </w:r>
      <w:r w:rsidR="00A32670" w:rsidRPr="00A32670">
        <w:rPr>
          <w:rFonts w:ascii="Book Antiqua" w:hAnsi="Book Antiqua" w:cs="Times New Roman"/>
          <w:b/>
          <w:bCs/>
          <w:sz w:val="24"/>
          <w:szCs w:val="24"/>
        </w:rPr>
        <w:t xml:space="preserve"> pulmonary </w:t>
      </w:r>
      <w:r w:rsidR="00CD56A6" w:rsidRPr="00CD56A6">
        <w:rPr>
          <w:rFonts w:ascii="Book Antiqua" w:hAnsi="Book Antiqua" w:cs="Times New Roman"/>
          <w:b/>
          <w:bCs/>
          <w:sz w:val="24"/>
          <w:szCs w:val="24"/>
        </w:rPr>
        <w:t>arterial pressure</w:t>
      </w:r>
      <w:r w:rsidRPr="00CD6193">
        <w:rPr>
          <w:rFonts w:ascii="Book Antiqua" w:hAnsi="Book Antiqua" w:cs="Times New Roman"/>
          <w:b/>
          <w:bCs/>
          <w:sz w:val="24"/>
          <w:szCs w:val="24"/>
        </w:rPr>
        <w:t xml:space="preserve"> decreased from 43 to 23 mmHg after </w:t>
      </w:r>
      <w:r w:rsidR="001839FE">
        <w:rPr>
          <w:rFonts w:ascii="Book Antiqua" w:hAnsi="Book Antiqua" w:cs="Times New Roman"/>
          <w:b/>
          <w:bCs/>
          <w:sz w:val="24"/>
          <w:szCs w:val="24"/>
        </w:rPr>
        <w:t>endarterectomy</w:t>
      </w:r>
      <w:r w:rsidRPr="00A32670">
        <w:rPr>
          <w:rFonts w:ascii="Book Antiqua" w:hAnsi="Book Antiqua" w:cs="Times New Roman"/>
          <w:b/>
          <w:bCs/>
          <w:sz w:val="24"/>
          <w:szCs w:val="24"/>
        </w:rPr>
        <w:t>.</w:t>
      </w:r>
    </w:p>
    <w:p w14:paraId="118B1B41" w14:textId="77777777" w:rsidR="00E1331B" w:rsidRPr="00CD6193" w:rsidRDefault="00E1331B" w:rsidP="00CD6193">
      <w:pPr>
        <w:adjustRightInd w:val="0"/>
        <w:snapToGrid w:val="0"/>
        <w:spacing w:line="360" w:lineRule="auto"/>
        <w:rPr>
          <w:rFonts w:ascii="Book Antiqua" w:hAnsi="Book Antiqua" w:cs="Times New Roman"/>
          <w:color w:val="000000" w:themeColor="text1"/>
          <w:sz w:val="24"/>
          <w:szCs w:val="24"/>
        </w:rPr>
      </w:pPr>
      <w:r w:rsidRPr="00CD6193">
        <w:rPr>
          <w:rFonts w:ascii="Book Antiqua" w:hAnsi="Book Antiqua" w:cs="Times New Roman"/>
          <w:noProof/>
          <w:color w:val="000000" w:themeColor="text1"/>
          <w:sz w:val="24"/>
          <w:szCs w:val="24"/>
        </w:rPr>
        <w:lastRenderedPageBreak/>
        <w:drawing>
          <wp:inline distT="0" distB="0" distL="0" distR="0" wp14:anchorId="7DB22D4E" wp14:editId="3780FD67">
            <wp:extent cx="6184800" cy="546120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800" cy="5461200"/>
                    </a:xfrm>
                    <a:prstGeom prst="rect">
                      <a:avLst/>
                    </a:prstGeom>
                    <a:noFill/>
                    <a:ln>
                      <a:noFill/>
                    </a:ln>
                  </pic:spPr>
                </pic:pic>
              </a:graphicData>
            </a:graphic>
          </wp:inline>
        </w:drawing>
      </w:r>
    </w:p>
    <w:p w14:paraId="20A14B7B" w14:textId="02BBFC3B"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3</w:t>
      </w:r>
      <w:r w:rsidR="001B68B5" w:rsidRPr="00CD6193">
        <w:rPr>
          <w:rFonts w:ascii="Book Antiqua" w:hAnsi="Book Antiqua" w:cs="Times New Roman"/>
          <w:sz w:val="24"/>
          <w:szCs w:val="24"/>
        </w:rPr>
        <w:t xml:space="preserve"> </w:t>
      </w:r>
      <w:r w:rsidRPr="00CD6193">
        <w:rPr>
          <w:rFonts w:ascii="Book Antiqua" w:hAnsi="Book Antiqua" w:cs="Times New Roman"/>
          <w:b/>
          <w:bCs/>
          <w:sz w:val="24"/>
          <w:szCs w:val="24"/>
        </w:rPr>
        <w:t>Angiographic classification of vessel lesions</w:t>
      </w:r>
      <w:r w:rsidRPr="00A32670">
        <w:rPr>
          <w:rFonts w:ascii="Book Antiqua" w:hAnsi="Book Antiqua" w:cs="Times New Roman"/>
          <w:b/>
          <w:bCs/>
          <w:sz w:val="24"/>
          <w:szCs w:val="24"/>
        </w:rPr>
        <w:t>.</w:t>
      </w:r>
      <w:r w:rsidRPr="00CD6193">
        <w:rPr>
          <w:rFonts w:ascii="Book Antiqua" w:hAnsi="Book Antiqua" w:cs="Times New Roman"/>
          <w:sz w:val="24"/>
          <w:szCs w:val="24"/>
        </w:rPr>
        <w:t xml:space="preserve"> A: Ring-like stenosis lesion (band lesion</w:t>
      </w:r>
      <w:r w:rsidR="003F15E5" w:rsidRPr="00CD6193">
        <w:rPr>
          <w:rFonts w:ascii="Book Antiqua" w:hAnsi="Book Antiqua" w:cs="Times New Roman"/>
          <w:sz w:val="24"/>
          <w:szCs w:val="24"/>
        </w:rPr>
        <w:t>);</w:t>
      </w:r>
      <w:r w:rsidR="003F15E5" w:rsidRPr="00CD6193">
        <w:rPr>
          <w:rFonts w:ascii="Book Antiqua" w:hAnsi="Book Antiqua"/>
          <w:sz w:val="24"/>
          <w:szCs w:val="24"/>
        </w:rPr>
        <w:t xml:space="preserve"> </w:t>
      </w:r>
      <w:r w:rsidRPr="00CD6193">
        <w:rPr>
          <w:rFonts w:ascii="Book Antiqua" w:hAnsi="Book Antiqua" w:cs="Times New Roman"/>
          <w:sz w:val="24"/>
          <w:szCs w:val="24"/>
        </w:rPr>
        <w:t>B: Web lesion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C: Subtotal</w:t>
      </w:r>
      <w:r w:rsidRPr="00CD6193">
        <w:rPr>
          <w:rFonts w:ascii="Book Antiqua" w:hAnsi="Book Antiqua" w:cs="Times New Roman"/>
          <w:color w:val="000000" w:themeColor="text1"/>
          <w:sz w:val="24"/>
          <w:szCs w:val="24"/>
        </w:rPr>
        <w:t xml:space="preserve"> occlusion</w:t>
      </w:r>
      <w:r w:rsidRPr="00CD6193">
        <w:rPr>
          <w:rFonts w:ascii="Book Antiqua" w:hAnsi="Book Antiqua" w:cs="Times New Roman"/>
          <w:sz w:val="24"/>
          <w:szCs w:val="24"/>
        </w:rPr>
        <w:t xml:space="preserve"> lesion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D: Total occlusion lesion (pouch defect).</w:t>
      </w:r>
    </w:p>
    <w:p w14:paraId="66D9705E"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6A8619D4" wp14:editId="3599C9CF">
            <wp:extent cx="6184800" cy="511560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4800" cy="5115600"/>
                    </a:xfrm>
                    <a:prstGeom prst="rect">
                      <a:avLst/>
                    </a:prstGeom>
                    <a:noFill/>
                    <a:ln>
                      <a:noFill/>
                    </a:ln>
                  </pic:spPr>
                </pic:pic>
              </a:graphicData>
            </a:graphic>
          </wp:inline>
        </w:drawing>
      </w:r>
    </w:p>
    <w:p w14:paraId="3EB8B950" w14:textId="3AAA33CD" w:rsidR="00E1331B" w:rsidRPr="00A32670" w:rsidRDefault="00E1331B" w:rsidP="00CD6193">
      <w:pPr>
        <w:adjustRightInd w:val="0"/>
        <w:snapToGrid w:val="0"/>
        <w:spacing w:line="360" w:lineRule="auto"/>
        <w:rPr>
          <w:rFonts w:ascii="Book Antiqua" w:hAnsi="Book Antiqua" w:cs="Times New Roman"/>
          <w:b/>
          <w:bCs/>
          <w:sz w:val="24"/>
          <w:szCs w:val="24"/>
        </w:rPr>
      </w:pPr>
      <w:r w:rsidRPr="00CD6193">
        <w:rPr>
          <w:rFonts w:ascii="Book Antiqua" w:hAnsi="Book Antiqua" w:cs="Times New Roman"/>
          <w:b/>
          <w:bCs/>
          <w:sz w:val="24"/>
          <w:szCs w:val="24"/>
        </w:rPr>
        <w:t>Figure 4</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Non-selective pulmonary angiography of bilateral pulmonary arteries</w:t>
      </w:r>
      <w:r w:rsidRPr="00A32670">
        <w:rPr>
          <w:rFonts w:ascii="Book Antiqua" w:hAnsi="Book Antiqua" w:cs="Times New Roman"/>
          <w:b/>
          <w:bCs/>
          <w:sz w:val="24"/>
          <w:szCs w:val="24"/>
        </w:rPr>
        <w:t xml:space="preserve">. </w:t>
      </w:r>
    </w:p>
    <w:p w14:paraId="4FAA12DF" w14:textId="77777777" w:rsidR="00E1331B" w:rsidRPr="00CD6193" w:rsidRDefault="00E1331B" w:rsidP="00CD6193">
      <w:pPr>
        <w:adjustRightInd w:val="0"/>
        <w:snapToGrid w:val="0"/>
        <w:spacing w:line="360" w:lineRule="auto"/>
        <w:rPr>
          <w:rFonts w:ascii="Book Antiqua" w:hAnsi="Book Antiqua" w:cs="Times New Roman"/>
          <w:sz w:val="24"/>
          <w:szCs w:val="24"/>
        </w:rPr>
      </w:pPr>
    </w:p>
    <w:p w14:paraId="4AA2C290"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67DFE456" wp14:editId="1347A4CA">
            <wp:extent cx="6184800" cy="535320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800" cy="5353200"/>
                    </a:xfrm>
                    <a:prstGeom prst="rect">
                      <a:avLst/>
                    </a:prstGeom>
                    <a:noFill/>
                    <a:ln>
                      <a:noFill/>
                    </a:ln>
                  </pic:spPr>
                </pic:pic>
              </a:graphicData>
            </a:graphic>
          </wp:inline>
        </w:drawing>
      </w:r>
    </w:p>
    <w:p w14:paraId="610EE813" w14:textId="4126B435"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5</w:t>
      </w:r>
      <w:r w:rsidRPr="00CD6193">
        <w:rPr>
          <w:rFonts w:ascii="Book Antiqua" w:hAnsi="Book Antiqua" w:cs="Times New Roman"/>
          <w:sz w:val="24"/>
          <w:szCs w:val="24"/>
        </w:rPr>
        <w:t xml:space="preserve"> </w:t>
      </w:r>
      <w:r w:rsidR="00A32670">
        <w:rPr>
          <w:rFonts w:ascii="Book Antiqua" w:hAnsi="Book Antiqua" w:cs="Times New Roman"/>
          <w:b/>
          <w:bCs/>
          <w:sz w:val="24"/>
          <w:szCs w:val="24"/>
        </w:rPr>
        <w:t>C</w:t>
      </w:r>
      <w:r w:rsidR="00A32670" w:rsidRPr="00A32670">
        <w:rPr>
          <w:rFonts w:ascii="Book Antiqua" w:hAnsi="Book Antiqua" w:cs="Times New Roman"/>
          <w:b/>
          <w:bCs/>
          <w:sz w:val="24"/>
          <w:szCs w:val="24"/>
        </w:rPr>
        <w:t>omputed tomographic pulmonary angiography</w:t>
      </w:r>
      <w:r w:rsidRPr="00CD6193">
        <w:rPr>
          <w:rFonts w:ascii="Book Antiqua" w:hAnsi="Book Antiqua" w:cs="Times New Roman"/>
          <w:b/>
          <w:bCs/>
          <w:sz w:val="24"/>
          <w:szCs w:val="24"/>
        </w:rPr>
        <w:t xml:space="preserve"> and pulmonary perfusion scintigraphy</w:t>
      </w:r>
      <w:r w:rsidRPr="00A32670">
        <w:rPr>
          <w:rFonts w:ascii="Book Antiqua" w:hAnsi="Book Antiqua" w:cs="Times New Roman"/>
          <w:b/>
          <w:bCs/>
          <w:sz w:val="24"/>
          <w:szCs w:val="24"/>
        </w:rPr>
        <w:t xml:space="preserve">. </w:t>
      </w:r>
      <w:r w:rsidRPr="00CD6193">
        <w:rPr>
          <w:rFonts w:ascii="Book Antiqua" w:hAnsi="Book Antiqua" w:cs="Times New Roman"/>
          <w:sz w:val="24"/>
          <w:szCs w:val="24"/>
        </w:rPr>
        <w:t xml:space="preserve">A and B: Thrombi in the left and right pulmonary arteries by </w:t>
      </w:r>
      <w:r w:rsidR="00A32670" w:rsidRPr="00CD6193">
        <w:rPr>
          <w:rFonts w:ascii="Book Antiqua" w:hAnsi="Book Antiqua" w:cs="Times New Roman"/>
          <w:sz w:val="24"/>
          <w:szCs w:val="24"/>
        </w:rPr>
        <w:t>computed tomographic pulmonary angiography</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C: Normal lung perfusion</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D: </w:t>
      </w:r>
      <w:r w:rsidR="001839FE">
        <w:rPr>
          <w:rFonts w:ascii="Book Antiqua" w:hAnsi="Book Antiqua" w:cs="Times New Roman"/>
          <w:sz w:val="24"/>
          <w:szCs w:val="24"/>
        </w:rPr>
        <w:t>A</w:t>
      </w:r>
      <w:r w:rsidRPr="00CD6193">
        <w:rPr>
          <w:rFonts w:ascii="Book Antiqua" w:hAnsi="Book Antiqua" w:cs="Times New Roman"/>
          <w:sz w:val="24"/>
          <w:szCs w:val="24"/>
        </w:rPr>
        <w:t xml:space="preserve">bnormal lung perfusion indicating multiple perfusion defects. </w:t>
      </w:r>
    </w:p>
    <w:p w14:paraId="13EA11F9" w14:textId="77777777"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noProof/>
          <w:sz w:val="24"/>
          <w:szCs w:val="24"/>
        </w:rPr>
        <w:lastRenderedPageBreak/>
        <w:drawing>
          <wp:inline distT="0" distB="0" distL="0" distR="0" wp14:anchorId="3E89A24A" wp14:editId="4123C09B">
            <wp:extent cx="6188400" cy="53424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400" cy="5342400"/>
                    </a:xfrm>
                    <a:prstGeom prst="rect">
                      <a:avLst/>
                    </a:prstGeom>
                    <a:noFill/>
                    <a:ln>
                      <a:noFill/>
                    </a:ln>
                  </pic:spPr>
                </pic:pic>
              </a:graphicData>
            </a:graphic>
          </wp:inline>
        </w:drawing>
      </w:r>
    </w:p>
    <w:p w14:paraId="15C0349B" w14:textId="091AB7EB"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r w:rsidRPr="00CD6193">
        <w:rPr>
          <w:rFonts w:ascii="Book Antiqua" w:hAnsi="Book Antiqua" w:cs="Times New Roman"/>
          <w:b/>
          <w:bCs/>
          <w:sz w:val="24"/>
          <w:szCs w:val="24"/>
        </w:rPr>
        <w:t>Figure 6</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Representative angiographic images in </w:t>
      </w:r>
      <w:r w:rsidR="001839FE">
        <w:rPr>
          <w:rFonts w:ascii="Book Antiqua" w:hAnsi="Book Antiqua" w:cs="Times New Roman"/>
          <w:b/>
          <w:bCs/>
          <w:sz w:val="24"/>
          <w:szCs w:val="24"/>
        </w:rPr>
        <w:t xml:space="preserve">the </w:t>
      </w:r>
      <w:r w:rsidRPr="00CD6193">
        <w:rPr>
          <w:rFonts w:ascii="Book Antiqua" w:hAnsi="Book Antiqua" w:cs="Times New Roman"/>
          <w:b/>
          <w:bCs/>
          <w:sz w:val="24"/>
          <w:szCs w:val="24"/>
        </w:rPr>
        <w:t>right lower lobe</w:t>
      </w:r>
      <w:r w:rsidRPr="00CD6193">
        <w:rPr>
          <w:rFonts w:ascii="Book Antiqua" w:hAnsi="Book Antiqua" w:cs="Times New Roman"/>
          <w:sz w:val="24"/>
          <w:szCs w:val="24"/>
        </w:rPr>
        <w:t xml:space="preserve">. A: Subtotal </w:t>
      </w:r>
      <w:r w:rsidRPr="00CD6193">
        <w:rPr>
          <w:rFonts w:ascii="Book Antiqua" w:hAnsi="Book Antiqua" w:cs="Times New Roman"/>
          <w:color w:val="000000" w:themeColor="text1"/>
          <w:sz w:val="24"/>
          <w:szCs w:val="24"/>
        </w:rPr>
        <w:t xml:space="preserve">occlusion </w:t>
      </w:r>
      <w:r w:rsidRPr="00CD6193">
        <w:rPr>
          <w:rFonts w:ascii="Book Antiqua" w:hAnsi="Book Antiqua" w:cs="Times New Roman"/>
          <w:sz w:val="24"/>
          <w:szCs w:val="24"/>
        </w:rPr>
        <w:t xml:space="preserve">lesion before the </w:t>
      </w:r>
      <w:r w:rsidR="001839FE">
        <w:rPr>
          <w:rFonts w:ascii="Book Antiqua" w:hAnsi="Book Antiqua" w:cs="Times New Roman"/>
          <w:sz w:val="24"/>
          <w:szCs w:val="24"/>
        </w:rPr>
        <w:t>first</w:t>
      </w:r>
      <w:r w:rsidRPr="00CD6193">
        <w:rPr>
          <w:rFonts w:ascii="Book Antiqua" w:hAnsi="Book Antiqua" w:cs="Times New Roman"/>
          <w:sz w:val="24"/>
          <w:szCs w:val="24"/>
        </w:rPr>
        <w:t xml:space="preserve"> </w:t>
      </w:r>
      <w:r w:rsidR="00767CF4" w:rsidRPr="00CD6193">
        <w:rPr>
          <w:rFonts w:ascii="Book Antiqua" w:hAnsi="Book Antiqua" w:cs="Times New Roman"/>
          <w:sz w:val="24"/>
          <w:szCs w:val="24"/>
        </w:rPr>
        <w:t xml:space="preserve">balloon pulmonary angioplasty </w:t>
      </w:r>
      <w:r w:rsidR="00767CF4">
        <w:rPr>
          <w:rFonts w:ascii="Book Antiqua" w:hAnsi="Book Antiqua" w:cs="Times New Roman"/>
          <w:sz w:val="24"/>
          <w:szCs w:val="24"/>
        </w:rPr>
        <w:t>(</w:t>
      </w:r>
      <w:r w:rsidRPr="00CD6193">
        <w:rPr>
          <w:rFonts w:ascii="Book Antiqua" w:hAnsi="Book Antiqua" w:cs="Times New Roman"/>
          <w:sz w:val="24"/>
          <w:szCs w:val="24"/>
        </w:rPr>
        <w:t>BPA</w:t>
      </w:r>
      <w:r w:rsidR="00767CF4">
        <w:rPr>
          <w:rFonts w:ascii="Book Antiqua" w:hAnsi="Book Antiqua" w:cs="Times New Roman"/>
          <w:sz w:val="24"/>
          <w:szCs w:val="24"/>
        </w:rPr>
        <w:t>)</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B: Improved blood flow with visible venous return after the </w:t>
      </w:r>
      <w:r w:rsidR="001839FE">
        <w:rPr>
          <w:rFonts w:ascii="Book Antiqua" w:hAnsi="Book Antiqua" w:cs="Times New Roman"/>
          <w:sz w:val="24"/>
          <w:szCs w:val="24"/>
        </w:rPr>
        <w:t>first</w:t>
      </w:r>
      <w:r w:rsidRPr="00CD6193">
        <w:rPr>
          <w:rFonts w:ascii="Book Antiqua" w:hAnsi="Book Antiqua" w:cs="Times New Roman"/>
          <w:sz w:val="24"/>
          <w:szCs w:val="24"/>
        </w:rPr>
        <w:t xml:space="preserve"> BPA</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C: Spontaneously dilated vessels with increased blood flow before the </w:t>
      </w:r>
      <w:r w:rsidR="001839FE">
        <w:rPr>
          <w:rFonts w:ascii="Book Antiqua" w:hAnsi="Book Antiqua" w:cs="Times New Roman"/>
          <w:sz w:val="24"/>
          <w:szCs w:val="24"/>
        </w:rPr>
        <w:t>second</w:t>
      </w:r>
      <w:r w:rsidRPr="00CD6193">
        <w:rPr>
          <w:rFonts w:ascii="Book Antiqua" w:hAnsi="Book Antiqua" w:cs="Times New Roman"/>
          <w:sz w:val="24"/>
          <w:szCs w:val="24"/>
        </w:rPr>
        <w:t xml:space="preserve"> BPA</w:t>
      </w:r>
      <w:r w:rsidR="003F15E5" w:rsidRPr="00CD6193">
        <w:rPr>
          <w:rFonts w:ascii="Book Antiqua" w:hAnsi="Book Antiqua" w:cs="Times New Roman"/>
          <w:sz w:val="24"/>
          <w:szCs w:val="24"/>
        </w:rPr>
        <w:t xml:space="preserve">; </w:t>
      </w:r>
      <w:r w:rsidRPr="00CD6193">
        <w:rPr>
          <w:rFonts w:ascii="Book Antiqua" w:hAnsi="Book Antiqua" w:cs="Times New Roman"/>
          <w:sz w:val="24"/>
          <w:szCs w:val="24"/>
        </w:rPr>
        <w:t xml:space="preserve">D: Increased blood flow after the </w:t>
      </w:r>
      <w:r w:rsidR="001839FE">
        <w:rPr>
          <w:rFonts w:ascii="Book Antiqua" w:hAnsi="Book Antiqua" w:cs="Times New Roman"/>
          <w:sz w:val="24"/>
          <w:szCs w:val="24"/>
        </w:rPr>
        <w:t>second</w:t>
      </w:r>
      <w:r w:rsidRPr="00CD6193">
        <w:rPr>
          <w:rFonts w:ascii="Book Antiqua" w:hAnsi="Book Antiqua" w:cs="Times New Roman"/>
          <w:sz w:val="24"/>
          <w:szCs w:val="24"/>
        </w:rPr>
        <w:t xml:space="preserve"> BPA. </w:t>
      </w:r>
    </w:p>
    <w:p w14:paraId="09AEEC2A" w14:textId="2CEA88E3"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lastRenderedPageBreak/>
        <w:t>Table 1</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Types of organized thrombus assessed by different imaging modalities</w:t>
      </w:r>
    </w:p>
    <w:tbl>
      <w:tblPr>
        <w:tblpPr w:leftFromText="180" w:rightFromText="180" w:vertAnchor="page" w:horzAnchor="margin" w:tblpY="1921"/>
        <w:tblW w:w="0" w:type="auto"/>
        <w:tblLook w:val="04A0" w:firstRow="1" w:lastRow="0" w:firstColumn="1" w:lastColumn="0" w:noHBand="0" w:noVBand="1"/>
      </w:tblPr>
      <w:tblGrid>
        <w:gridCol w:w="2336"/>
        <w:gridCol w:w="2133"/>
        <w:gridCol w:w="5493"/>
      </w:tblGrid>
      <w:tr w:rsidR="00E1331B" w:rsidRPr="00CD6193" w14:paraId="713D94AE" w14:textId="77777777" w:rsidTr="00FD07C4">
        <w:trPr>
          <w:trHeight w:val="400"/>
        </w:trPr>
        <w:tc>
          <w:tcPr>
            <w:tcW w:w="0" w:type="auto"/>
            <w:tcBorders>
              <w:top w:val="single" w:sz="4" w:space="0" w:color="auto"/>
              <w:left w:val="nil"/>
              <w:bottom w:val="single" w:sz="4" w:space="0" w:color="auto"/>
              <w:right w:val="nil"/>
            </w:tcBorders>
            <w:shd w:val="clear" w:color="auto" w:fill="auto"/>
            <w:vAlign w:val="center"/>
            <w:hideMark/>
          </w:tcPr>
          <w:p w14:paraId="16A6B02C" w14:textId="3C92498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 xml:space="preserve">Imaging </w:t>
            </w:r>
            <w:r w:rsidR="000735E5" w:rsidRPr="00CD6193">
              <w:rPr>
                <w:rFonts w:ascii="Book Antiqua" w:eastAsia="等线" w:hAnsi="Book Antiqua" w:cs="Times New Roman"/>
                <w:b/>
                <w:bCs/>
                <w:color w:val="000000"/>
                <w:kern w:val="0"/>
                <w:sz w:val="24"/>
                <w:szCs w:val="24"/>
                <w:lang w:bidi="hi-IN"/>
              </w:rPr>
              <w:t>modalities</w:t>
            </w:r>
          </w:p>
        </w:tc>
        <w:tc>
          <w:tcPr>
            <w:tcW w:w="2133" w:type="dxa"/>
            <w:tcBorders>
              <w:top w:val="single" w:sz="4" w:space="0" w:color="auto"/>
              <w:left w:val="nil"/>
              <w:bottom w:val="single" w:sz="4" w:space="0" w:color="auto"/>
              <w:right w:val="nil"/>
            </w:tcBorders>
            <w:shd w:val="clear" w:color="auto" w:fill="auto"/>
            <w:vAlign w:val="center"/>
            <w:hideMark/>
          </w:tcPr>
          <w:p w14:paraId="13C14235"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Types</w:t>
            </w:r>
          </w:p>
        </w:tc>
        <w:tc>
          <w:tcPr>
            <w:tcW w:w="5493" w:type="dxa"/>
            <w:tcBorders>
              <w:top w:val="single" w:sz="4" w:space="0" w:color="auto"/>
              <w:left w:val="nil"/>
              <w:bottom w:val="single" w:sz="4" w:space="0" w:color="auto"/>
              <w:right w:val="nil"/>
            </w:tcBorders>
            <w:shd w:val="clear" w:color="auto" w:fill="auto"/>
            <w:vAlign w:val="center"/>
            <w:hideMark/>
          </w:tcPr>
          <w:p w14:paraId="7815A3E6"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 xml:space="preserve">Description </w:t>
            </w:r>
          </w:p>
        </w:tc>
      </w:tr>
      <w:tr w:rsidR="00E1331B" w:rsidRPr="00CD6193" w14:paraId="3D2DFEC4" w14:textId="77777777" w:rsidTr="00FD07C4">
        <w:trPr>
          <w:trHeight w:val="400"/>
        </w:trPr>
        <w:tc>
          <w:tcPr>
            <w:tcW w:w="0" w:type="auto"/>
            <w:vMerge w:val="restart"/>
            <w:tcBorders>
              <w:top w:val="single" w:sz="4" w:space="0" w:color="auto"/>
              <w:left w:val="nil"/>
              <w:bottom w:val="nil"/>
              <w:right w:val="nil"/>
            </w:tcBorders>
            <w:shd w:val="clear" w:color="auto" w:fill="auto"/>
            <w:vAlign w:val="center"/>
            <w:hideMark/>
          </w:tcPr>
          <w:p w14:paraId="627DC73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Pulmonary Angiography</w:t>
            </w:r>
          </w:p>
        </w:tc>
        <w:tc>
          <w:tcPr>
            <w:tcW w:w="2133" w:type="dxa"/>
            <w:tcBorders>
              <w:top w:val="single" w:sz="4" w:space="0" w:color="auto"/>
              <w:left w:val="nil"/>
              <w:bottom w:val="nil"/>
              <w:right w:val="nil"/>
            </w:tcBorders>
            <w:shd w:val="clear" w:color="auto" w:fill="auto"/>
            <w:vAlign w:val="center"/>
            <w:hideMark/>
          </w:tcPr>
          <w:p w14:paraId="0E50EB3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Ring-like stenosis lesion (band lesion)</w:t>
            </w:r>
          </w:p>
        </w:tc>
        <w:tc>
          <w:tcPr>
            <w:tcW w:w="5493" w:type="dxa"/>
            <w:tcBorders>
              <w:top w:val="single" w:sz="4" w:space="0" w:color="auto"/>
              <w:left w:val="nil"/>
              <w:bottom w:val="nil"/>
              <w:right w:val="nil"/>
            </w:tcBorders>
            <w:shd w:val="clear" w:color="auto" w:fill="auto"/>
            <w:vAlign w:val="center"/>
            <w:hideMark/>
          </w:tcPr>
          <w:p w14:paraId="515B789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Localized lesions with concentric stenosis, as if a ring were put on the vessel</w:t>
            </w:r>
          </w:p>
        </w:tc>
      </w:tr>
      <w:tr w:rsidR="00E1331B" w:rsidRPr="00CD6193" w14:paraId="189767DE" w14:textId="77777777" w:rsidTr="00FD07C4">
        <w:trPr>
          <w:trHeight w:val="400"/>
        </w:trPr>
        <w:tc>
          <w:tcPr>
            <w:tcW w:w="0" w:type="auto"/>
            <w:vMerge/>
            <w:tcBorders>
              <w:top w:val="nil"/>
              <w:left w:val="nil"/>
              <w:bottom w:val="nil"/>
              <w:right w:val="nil"/>
            </w:tcBorders>
            <w:vAlign w:val="center"/>
            <w:hideMark/>
          </w:tcPr>
          <w:p w14:paraId="28936ABD"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A729DB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 lesion</w:t>
            </w:r>
          </w:p>
        </w:tc>
        <w:tc>
          <w:tcPr>
            <w:tcW w:w="5493" w:type="dxa"/>
            <w:tcBorders>
              <w:top w:val="nil"/>
              <w:left w:val="nil"/>
              <w:bottom w:val="nil"/>
              <w:right w:val="nil"/>
            </w:tcBorders>
            <w:shd w:val="clear" w:color="auto" w:fill="auto"/>
            <w:vAlign w:val="center"/>
            <w:hideMark/>
          </w:tcPr>
          <w:p w14:paraId="5A19532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 hazy, or abrupt narrowing opacity of the vessel</w:t>
            </w:r>
          </w:p>
        </w:tc>
      </w:tr>
      <w:tr w:rsidR="00E1331B" w:rsidRPr="00CD6193" w14:paraId="0525F027" w14:textId="77777777" w:rsidTr="00FD07C4">
        <w:trPr>
          <w:trHeight w:val="400"/>
        </w:trPr>
        <w:tc>
          <w:tcPr>
            <w:tcW w:w="0" w:type="auto"/>
            <w:vMerge/>
            <w:tcBorders>
              <w:top w:val="nil"/>
              <w:left w:val="nil"/>
              <w:bottom w:val="nil"/>
              <w:right w:val="nil"/>
            </w:tcBorders>
            <w:vAlign w:val="center"/>
            <w:hideMark/>
          </w:tcPr>
          <w:p w14:paraId="037876AF"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F6DD28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Subtotal lesion</w:t>
            </w:r>
          </w:p>
        </w:tc>
        <w:tc>
          <w:tcPr>
            <w:tcW w:w="5493" w:type="dxa"/>
            <w:tcBorders>
              <w:top w:val="nil"/>
              <w:left w:val="nil"/>
              <w:bottom w:val="nil"/>
              <w:right w:val="nil"/>
            </w:tcBorders>
            <w:shd w:val="clear" w:color="auto" w:fill="auto"/>
            <w:vAlign w:val="center"/>
            <w:hideMark/>
          </w:tcPr>
          <w:p w14:paraId="7332F67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Tapered and almost completely occluded, but with subtle and slow flow distal to the obstruction</w:t>
            </w:r>
          </w:p>
        </w:tc>
      </w:tr>
      <w:tr w:rsidR="00E1331B" w:rsidRPr="00CD6193" w14:paraId="03AECC2B" w14:textId="77777777" w:rsidTr="00FD07C4">
        <w:trPr>
          <w:trHeight w:val="400"/>
        </w:trPr>
        <w:tc>
          <w:tcPr>
            <w:tcW w:w="0" w:type="auto"/>
            <w:vMerge/>
            <w:tcBorders>
              <w:top w:val="nil"/>
              <w:left w:val="nil"/>
              <w:bottom w:val="nil"/>
              <w:right w:val="nil"/>
            </w:tcBorders>
            <w:vAlign w:val="center"/>
            <w:hideMark/>
          </w:tcPr>
          <w:p w14:paraId="1B7AAF3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4CA0501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Total occlusion lesion (pouch defect)</w:t>
            </w:r>
          </w:p>
        </w:tc>
        <w:tc>
          <w:tcPr>
            <w:tcW w:w="5493" w:type="dxa"/>
            <w:tcBorders>
              <w:top w:val="nil"/>
              <w:left w:val="nil"/>
              <w:bottom w:val="nil"/>
              <w:right w:val="nil"/>
            </w:tcBorders>
            <w:shd w:val="clear" w:color="auto" w:fill="auto"/>
            <w:vAlign w:val="center"/>
            <w:hideMark/>
          </w:tcPr>
          <w:p w14:paraId="3D2D0893"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Concaved obstructions with invisible distal vessel</w:t>
            </w:r>
          </w:p>
        </w:tc>
      </w:tr>
      <w:tr w:rsidR="00E1331B" w:rsidRPr="00CD6193" w14:paraId="0E3F5BC9" w14:textId="77777777" w:rsidTr="00FD07C4">
        <w:trPr>
          <w:trHeight w:val="400"/>
        </w:trPr>
        <w:tc>
          <w:tcPr>
            <w:tcW w:w="0" w:type="auto"/>
            <w:vMerge/>
            <w:tcBorders>
              <w:top w:val="nil"/>
              <w:left w:val="nil"/>
              <w:bottom w:val="nil"/>
              <w:right w:val="nil"/>
            </w:tcBorders>
            <w:vAlign w:val="center"/>
            <w:hideMark/>
          </w:tcPr>
          <w:p w14:paraId="63DB3C2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6C9F764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Tortuous lesion</w:t>
            </w:r>
          </w:p>
        </w:tc>
        <w:tc>
          <w:tcPr>
            <w:tcW w:w="5493" w:type="dxa"/>
            <w:tcBorders>
              <w:top w:val="nil"/>
              <w:left w:val="nil"/>
              <w:bottom w:val="nil"/>
              <w:right w:val="nil"/>
            </w:tcBorders>
            <w:shd w:val="clear" w:color="auto" w:fill="auto"/>
            <w:vAlign w:val="center"/>
            <w:hideMark/>
          </w:tcPr>
          <w:p w14:paraId="3C89D1B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Highly tortuous small vessels distal to subsegmental arteries</w:t>
            </w:r>
          </w:p>
        </w:tc>
      </w:tr>
      <w:tr w:rsidR="00E1331B" w:rsidRPr="00CD6193" w14:paraId="6E197DE6" w14:textId="77777777" w:rsidTr="00FD07C4">
        <w:trPr>
          <w:trHeight w:val="938"/>
        </w:trPr>
        <w:tc>
          <w:tcPr>
            <w:tcW w:w="0" w:type="auto"/>
            <w:vMerge w:val="restart"/>
            <w:tcBorders>
              <w:top w:val="nil"/>
              <w:left w:val="nil"/>
              <w:bottom w:val="nil"/>
              <w:right w:val="nil"/>
            </w:tcBorders>
            <w:shd w:val="clear" w:color="auto" w:fill="auto"/>
            <w:vAlign w:val="center"/>
            <w:hideMark/>
          </w:tcPr>
          <w:p w14:paraId="2FB0DCA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Cone Beam Computed Tomography</w:t>
            </w:r>
          </w:p>
        </w:tc>
        <w:tc>
          <w:tcPr>
            <w:tcW w:w="2133" w:type="dxa"/>
            <w:tcBorders>
              <w:top w:val="nil"/>
              <w:left w:val="nil"/>
              <w:bottom w:val="nil"/>
              <w:right w:val="nil"/>
            </w:tcBorders>
            <w:shd w:val="clear" w:color="auto" w:fill="auto"/>
            <w:vAlign w:val="center"/>
            <w:hideMark/>
          </w:tcPr>
          <w:p w14:paraId="2F0CBF3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Webs</w:t>
            </w:r>
          </w:p>
        </w:tc>
        <w:tc>
          <w:tcPr>
            <w:tcW w:w="5493" w:type="dxa"/>
            <w:tcBorders>
              <w:top w:val="nil"/>
              <w:left w:val="nil"/>
              <w:bottom w:val="nil"/>
              <w:right w:val="nil"/>
            </w:tcBorders>
            <w:shd w:val="clear" w:color="auto" w:fill="auto"/>
            <w:vAlign w:val="center"/>
            <w:hideMark/>
          </w:tcPr>
          <w:p w14:paraId="171079B3" w14:textId="1C95F02E"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w:t>
            </w:r>
            <w:r w:rsidR="005436F6" w:rsidRPr="00CD6193">
              <w:rPr>
                <w:rFonts w:ascii="Book Antiqua" w:eastAsia="等线" w:hAnsi="Book Antiqua" w:cs="Times New Roman"/>
                <w:color w:val="000000"/>
                <w:kern w:val="0"/>
                <w:sz w:val="24"/>
                <w:szCs w:val="24"/>
                <w:lang w:bidi="hi-IN"/>
              </w:rPr>
              <w:t>i</w:t>
            </w:r>
            <w:r w:rsidRPr="00CD6193">
              <w:rPr>
                <w:rFonts w:ascii="Book Antiqua" w:eastAsia="等线" w:hAnsi="Book Antiqua" w:cs="Times New Roman"/>
                <w:color w:val="000000"/>
                <w:kern w:val="0"/>
                <w:sz w:val="24"/>
                <w:szCs w:val="24"/>
                <w:lang w:bidi="hi-IN"/>
              </w:rPr>
              <w:t xml:space="preserve"> frequently observed at the bifurcation of branches appear in diverse forms of fenestrated membranes or thick eccentrically situated branching mass</w:t>
            </w:r>
          </w:p>
        </w:tc>
      </w:tr>
      <w:tr w:rsidR="00E1331B" w:rsidRPr="00CD6193" w14:paraId="3D1AC99B" w14:textId="77777777" w:rsidTr="00FD07C4">
        <w:trPr>
          <w:trHeight w:val="938"/>
        </w:trPr>
        <w:tc>
          <w:tcPr>
            <w:tcW w:w="0" w:type="auto"/>
            <w:vMerge/>
            <w:tcBorders>
              <w:top w:val="nil"/>
              <w:left w:val="nil"/>
              <w:bottom w:val="nil"/>
              <w:right w:val="nil"/>
            </w:tcBorders>
            <w:vAlign w:val="center"/>
            <w:hideMark/>
          </w:tcPr>
          <w:p w14:paraId="62FFD16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0B10FED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Web and slits</w:t>
            </w:r>
          </w:p>
        </w:tc>
        <w:tc>
          <w:tcPr>
            <w:tcW w:w="5493" w:type="dxa"/>
            <w:tcBorders>
              <w:top w:val="nil"/>
              <w:left w:val="nil"/>
              <w:bottom w:val="nil"/>
              <w:right w:val="nil"/>
            </w:tcBorders>
            <w:shd w:val="clear" w:color="auto" w:fill="auto"/>
            <w:vAlign w:val="center"/>
            <w:hideMark/>
          </w:tcPr>
          <w:p w14:paraId="260C335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Concurrence of proximal web at a bifurcation of branches and distal intravascular fibrous septa (flap-like thin membrane)</w:t>
            </w:r>
          </w:p>
        </w:tc>
      </w:tr>
      <w:tr w:rsidR="00E1331B" w:rsidRPr="00CD6193" w14:paraId="3CE58265" w14:textId="77777777" w:rsidTr="00FD07C4">
        <w:trPr>
          <w:trHeight w:val="400"/>
        </w:trPr>
        <w:tc>
          <w:tcPr>
            <w:tcW w:w="0" w:type="auto"/>
            <w:vMerge/>
            <w:tcBorders>
              <w:top w:val="nil"/>
              <w:left w:val="nil"/>
              <w:bottom w:val="nil"/>
              <w:right w:val="nil"/>
            </w:tcBorders>
            <w:vAlign w:val="center"/>
            <w:hideMark/>
          </w:tcPr>
          <w:p w14:paraId="47B504D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06879B8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Slits</w:t>
            </w:r>
          </w:p>
        </w:tc>
        <w:tc>
          <w:tcPr>
            <w:tcW w:w="5493" w:type="dxa"/>
            <w:tcBorders>
              <w:top w:val="nil"/>
              <w:left w:val="nil"/>
              <w:bottom w:val="nil"/>
              <w:right w:val="nil"/>
            </w:tcBorders>
            <w:shd w:val="clear" w:color="auto" w:fill="auto"/>
            <w:vAlign w:val="center"/>
            <w:hideMark/>
          </w:tcPr>
          <w:p w14:paraId="1B66415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Intravascular fibrous septa alone</w:t>
            </w:r>
          </w:p>
        </w:tc>
      </w:tr>
      <w:tr w:rsidR="00E1331B" w:rsidRPr="00CD6193" w14:paraId="51F5E95C" w14:textId="77777777" w:rsidTr="00FD07C4">
        <w:trPr>
          <w:trHeight w:val="400"/>
        </w:trPr>
        <w:tc>
          <w:tcPr>
            <w:tcW w:w="0" w:type="auto"/>
            <w:vMerge/>
            <w:tcBorders>
              <w:top w:val="nil"/>
              <w:left w:val="nil"/>
              <w:bottom w:val="nil"/>
              <w:right w:val="nil"/>
            </w:tcBorders>
            <w:vAlign w:val="center"/>
            <w:hideMark/>
          </w:tcPr>
          <w:p w14:paraId="4BC823B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580F518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Narrowing or complete occlusion</w:t>
            </w:r>
          </w:p>
        </w:tc>
        <w:tc>
          <w:tcPr>
            <w:tcW w:w="5493" w:type="dxa"/>
            <w:tcBorders>
              <w:top w:val="nil"/>
              <w:left w:val="nil"/>
              <w:bottom w:val="nil"/>
              <w:right w:val="nil"/>
            </w:tcBorders>
            <w:shd w:val="clear" w:color="auto" w:fill="auto"/>
            <w:vAlign w:val="center"/>
            <w:hideMark/>
          </w:tcPr>
          <w:p w14:paraId="5EB7F31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Narrowing or complete occlusion </w:t>
            </w:r>
          </w:p>
        </w:tc>
      </w:tr>
      <w:tr w:rsidR="00E1331B" w:rsidRPr="00CD6193" w14:paraId="4DD212DD" w14:textId="77777777" w:rsidTr="00FD07C4">
        <w:trPr>
          <w:trHeight w:val="960"/>
        </w:trPr>
        <w:tc>
          <w:tcPr>
            <w:tcW w:w="0" w:type="auto"/>
            <w:vMerge w:val="restart"/>
            <w:tcBorders>
              <w:top w:val="nil"/>
              <w:left w:val="nil"/>
              <w:bottom w:val="nil"/>
              <w:right w:val="nil"/>
            </w:tcBorders>
            <w:shd w:val="clear" w:color="auto" w:fill="auto"/>
            <w:vAlign w:val="center"/>
            <w:hideMark/>
          </w:tcPr>
          <w:p w14:paraId="6206621C"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Optical Coherence Tomography</w:t>
            </w:r>
          </w:p>
        </w:tc>
        <w:tc>
          <w:tcPr>
            <w:tcW w:w="2133" w:type="dxa"/>
            <w:tcBorders>
              <w:top w:val="nil"/>
              <w:left w:val="nil"/>
              <w:bottom w:val="nil"/>
              <w:right w:val="nil"/>
            </w:tcBorders>
            <w:shd w:val="clear" w:color="auto" w:fill="auto"/>
            <w:vAlign w:val="center"/>
            <w:hideMark/>
          </w:tcPr>
          <w:p w14:paraId="29EEB76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Septum</w:t>
            </w:r>
          </w:p>
        </w:tc>
        <w:tc>
          <w:tcPr>
            <w:tcW w:w="5493" w:type="dxa"/>
            <w:tcBorders>
              <w:top w:val="nil"/>
              <w:left w:val="nil"/>
              <w:bottom w:val="nil"/>
              <w:right w:val="nil"/>
            </w:tcBorders>
            <w:shd w:val="clear" w:color="auto" w:fill="auto"/>
            <w:vAlign w:val="center"/>
            <w:hideMark/>
          </w:tcPr>
          <w:p w14:paraId="45FE74C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Vessel lumen is separated by a partition into less than 4 components</w:t>
            </w:r>
          </w:p>
        </w:tc>
      </w:tr>
      <w:tr w:rsidR="00E1331B" w:rsidRPr="00CD6193" w14:paraId="5960D285" w14:textId="77777777" w:rsidTr="00FD07C4">
        <w:trPr>
          <w:trHeight w:val="960"/>
        </w:trPr>
        <w:tc>
          <w:tcPr>
            <w:tcW w:w="0" w:type="auto"/>
            <w:vMerge/>
            <w:tcBorders>
              <w:top w:val="nil"/>
              <w:left w:val="nil"/>
              <w:bottom w:val="nil"/>
              <w:right w:val="nil"/>
            </w:tcBorders>
            <w:vAlign w:val="center"/>
            <w:hideMark/>
          </w:tcPr>
          <w:p w14:paraId="0F2A80B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6C9839C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Multi-hole with thin wall</w:t>
            </w:r>
          </w:p>
        </w:tc>
        <w:tc>
          <w:tcPr>
            <w:tcW w:w="5493" w:type="dxa"/>
            <w:tcBorders>
              <w:top w:val="nil"/>
              <w:left w:val="nil"/>
              <w:bottom w:val="nil"/>
              <w:right w:val="nil"/>
            </w:tcBorders>
            <w:shd w:val="clear" w:color="auto" w:fill="auto"/>
            <w:vAlign w:val="center"/>
            <w:hideMark/>
          </w:tcPr>
          <w:p w14:paraId="26EC7C1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Vessel lumen is separated into more than 5 channels by thin mesh-like flaps</w:t>
            </w:r>
          </w:p>
        </w:tc>
      </w:tr>
      <w:tr w:rsidR="00E1331B" w:rsidRPr="00CD6193" w14:paraId="61AF7319" w14:textId="77777777" w:rsidTr="00FD07C4">
        <w:trPr>
          <w:trHeight w:val="960"/>
        </w:trPr>
        <w:tc>
          <w:tcPr>
            <w:tcW w:w="0" w:type="auto"/>
            <w:vMerge/>
            <w:tcBorders>
              <w:top w:val="nil"/>
              <w:left w:val="nil"/>
              <w:bottom w:val="nil"/>
              <w:right w:val="nil"/>
            </w:tcBorders>
            <w:vAlign w:val="center"/>
            <w:hideMark/>
          </w:tcPr>
          <w:p w14:paraId="72792E8D"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2DFBC93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Multi-hole with thick wall</w:t>
            </w:r>
          </w:p>
        </w:tc>
        <w:tc>
          <w:tcPr>
            <w:tcW w:w="5493" w:type="dxa"/>
            <w:tcBorders>
              <w:top w:val="nil"/>
              <w:left w:val="nil"/>
              <w:bottom w:val="nil"/>
              <w:right w:val="nil"/>
            </w:tcBorders>
            <w:shd w:val="clear" w:color="auto" w:fill="auto"/>
            <w:vAlign w:val="center"/>
            <w:hideMark/>
          </w:tcPr>
          <w:p w14:paraId="2F621AE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Occupied thrombus with more than 5 channels and thick partition walls </w:t>
            </w:r>
          </w:p>
        </w:tc>
      </w:tr>
      <w:tr w:rsidR="00E1331B" w:rsidRPr="00CD6193" w14:paraId="7F144785" w14:textId="77777777" w:rsidTr="00FD07C4">
        <w:trPr>
          <w:trHeight w:val="960"/>
        </w:trPr>
        <w:tc>
          <w:tcPr>
            <w:tcW w:w="0" w:type="auto"/>
            <w:vMerge/>
            <w:tcBorders>
              <w:top w:val="nil"/>
              <w:left w:val="nil"/>
              <w:bottom w:val="nil"/>
              <w:right w:val="nil"/>
            </w:tcBorders>
            <w:vAlign w:val="center"/>
            <w:hideMark/>
          </w:tcPr>
          <w:p w14:paraId="22DF7C1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72A881C7"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Mono-hole</w:t>
            </w:r>
          </w:p>
        </w:tc>
        <w:tc>
          <w:tcPr>
            <w:tcW w:w="5493" w:type="dxa"/>
            <w:tcBorders>
              <w:top w:val="nil"/>
              <w:left w:val="nil"/>
              <w:bottom w:val="nil"/>
              <w:right w:val="nil"/>
            </w:tcBorders>
            <w:shd w:val="clear" w:color="auto" w:fill="auto"/>
            <w:vAlign w:val="center"/>
            <w:hideMark/>
          </w:tcPr>
          <w:p w14:paraId="4587A00F" w14:textId="0860341B" w:rsidR="00E1331B" w:rsidRPr="00CD6193" w:rsidRDefault="00E1331B" w:rsidP="00CD6193">
            <w:pPr>
              <w:widowControl/>
              <w:adjustRightInd w:val="0"/>
              <w:snapToGrid w:val="0"/>
              <w:spacing w:line="360" w:lineRule="auto"/>
              <w:ind w:leftChars="-50" w:left="-105" w:firstLineChars="47" w:firstLine="113"/>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Occupied thrombus with a single small channel </w:t>
            </w:r>
            <w:r w:rsidR="001839FE">
              <w:rPr>
                <w:rFonts w:ascii="Book Antiqua" w:eastAsia="等线" w:hAnsi="Book Antiqua" w:cs="Times New Roman"/>
                <w:color w:val="000000"/>
                <w:kern w:val="0"/>
                <w:sz w:val="24"/>
                <w:szCs w:val="24"/>
                <w:lang w:bidi="hi-IN"/>
              </w:rPr>
              <w:t xml:space="preserve">   </w:t>
            </w:r>
            <w:r w:rsidRPr="00CD6193">
              <w:rPr>
                <w:rFonts w:ascii="Book Antiqua" w:eastAsia="等线" w:hAnsi="Book Antiqua" w:cs="Times New Roman"/>
                <w:color w:val="000000"/>
                <w:kern w:val="0"/>
                <w:sz w:val="24"/>
                <w:szCs w:val="24"/>
                <w:lang w:bidi="hi-IN"/>
              </w:rPr>
              <w:t>in the lumen</w:t>
            </w:r>
          </w:p>
        </w:tc>
      </w:tr>
      <w:tr w:rsidR="00E1331B" w:rsidRPr="00CD6193" w14:paraId="2C83B239" w14:textId="77777777" w:rsidTr="00FD07C4">
        <w:trPr>
          <w:trHeight w:val="278"/>
        </w:trPr>
        <w:tc>
          <w:tcPr>
            <w:tcW w:w="0" w:type="auto"/>
            <w:vMerge w:val="restart"/>
            <w:tcBorders>
              <w:top w:val="nil"/>
              <w:left w:val="nil"/>
              <w:bottom w:val="single" w:sz="4" w:space="0" w:color="000000"/>
              <w:right w:val="nil"/>
            </w:tcBorders>
            <w:shd w:val="clear" w:color="auto" w:fill="auto"/>
            <w:vAlign w:val="center"/>
            <w:hideMark/>
          </w:tcPr>
          <w:p w14:paraId="4808C4FC"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Angioscopy </w:t>
            </w:r>
          </w:p>
        </w:tc>
        <w:tc>
          <w:tcPr>
            <w:tcW w:w="2133" w:type="dxa"/>
            <w:tcBorders>
              <w:top w:val="nil"/>
              <w:left w:val="nil"/>
              <w:bottom w:val="nil"/>
              <w:right w:val="nil"/>
            </w:tcBorders>
            <w:shd w:val="clear" w:color="auto" w:fill="auto"/>
            <w:vAlign w:val="center"/>
            <w:hideMark/>
          </w:tcPr>
          <w:p w14:paraId="1379C134"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Mesh thrombus</w:t>
            </w:r>
          </w:p>
        </w:tc>
        <w:tc>
          <w:tcPr>
            <w:tcW w:w="5493" w:type="dxa"/>
            <w:tcBorders>
              <w:top w:val="nil"/>
              <w:left w:val="nil"/>
              <w:bottom w:val="nil"/>
              <w:right w:val="nil"/>
            </w:tcBorders>
            <w:shd w:val="clear" w:color="auto" w:fill="auto"/>
            <w:vAlign w:val="center"/>
            <w:hideMark/>
          </w:tcPr>
          <w:p w14:paraId="40F5B09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Organized white thrombus</w:t>
            </w:r>
          </w:p>
        </w:tc>
      </w:tr>
      <w:tr w:rsidR="00E1331B" w:rsidRPr="00CD6193" w14:paraId="5FC5C98D" w14:textId="77777777" w:rsidTr="00FD07C4">
        <w:trPr>
          <w:trHeight w:val="278"/>
        </w:trPr>
        <w:tc>
          <w:tcPr>
            <w:tcW w:w="0" w:type="auto"/>
            <w:vMerge/>
            <w:tcBorders>
              <w:top w:val="nil"/>
              <w:left w:val="nil"/>
              <w:bottom w:val="single" w:sz="4" w:space="0" w:color="000000"/>
              <w:right w:val="nil"/>
            </w:tcBorders>
            <w:vAlign w:val="center"/>
            <w:hideMark/>
          </w:tcPr>
          <w:p w14:paraId="5358FEBC"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18315DD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Slit thrombus</w:t>
            </w:r>
          </w:p>
        </w:tc>
        <w:tc>
          <w:tcPr>
            <w:tcW w:w="5493" w:type="dxa"/>
            <w:tcBorders>
              <w:top w:val="nil"/>
              <w:left w:val="nil"/>
              <w:bottom w:val="nil"/>
              <w:right w:val="nil"/>
            </w:tcBorders>
            <w:shd w:val="clear" w:color="auto" w:fill="auto"/>
            <w:vAlign w:val="center"/>
            <w:hideMark/>
          </w:tcPr>
          <w:p w14:paraId="38E90DDE"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 xml:space="preserve">Filamentous thrombi </w:t>
            </w:r>
          </w:p>
        </w:tc>
      </w:tr>
      <w:tr w:rsidR="00E1331B" w:rsidRPr="00CD6193" w14:paraId="7FD00C1D" w14:textId="77777777" w:rsidTr="00FD07C4">
        <w:trPr>
          <w:trHeight w:val="555"/>
        </w:trPr>
        <w:tc>
          <w:tcPr>
            <w:tcW w:w="0" w:type="auto"/>
            <w:vMerge/>
            <w:tcBorders>
              <w:top w:val="nil"/>
              <w:left w:val="nil"/>
              <w:bottom w:val="single" w:sz="4" w:space="0" w:color="000000"/>
              <w:right w:val="nil"/>
            </w:tcBorders>
            <w:vAlign w:val="center"/>
            <w:hideMark/>
          </w:tcPr>
          <w:p w14:paraId="41D20023"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nil"/>
              <w:right w:val="nil"/>
            </w:tcBorders>
            <w:shd w:val="clear" w:color="auto" w:fill="auto"/>
            <w:vAlign w:val="center"/>
            <w:hideMark/>
          </w:tcPr>
          <w:p w14:paraId="305C175B"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Flap thrombus</w:t>
            </w:r>
          </w:p>
        </w:tc>
        <w:tc>
          <w:tcPr>
            <w:tcW w:w="5493" w:type="dxa"/>
            <w:tcBorders>
              <w:top w:val="nil"/>
              <w:left w:val="nil"/>
              <w:bottom w:val="nil"/>
              <w:right w:val="nil"/>
            </w:tcBorders>
            <w:shd w:val="clear" w:color="auto" w:fill="auto"/>
            <w:vAlign w:val="center"/>
            <w:hideMark/>
          </w:tcPr>
          <w:p w14:paraId="57F8D353" w14:textId="0E5B0339"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Thrombi that almost completely occup</w:t>
            </w:r>
            <w:r w:rsidR="007B0208" w:rsidRPr="00CD6193">
              <w:rPr>
                <w:rFonts w:ascii="Book Antiqua" w:eastAsia="等线" w:hAnsi="Book Antiqua" w:cs="Times New Roman"/>
                <w:color w:val="000000"/>
                <w:kern w:val="0"/>
                <w:sz w:val="24"/>
                <w:szCs w:val="24"/>
                <w:lang w:bidi="hi-IN"/>
              </w:rPr>
              <w:t>y</w:t>
            </w:r>
            <w:r w:rsidRPr="00CD6193">
              <w:rPr>
                <w:rFonts w:ascii="Book Antiqua" w:eastAsia="等线" w:hAnsi="Book Antiqua" w:cs="Times New Roman"/>
                <w:color w:val="000000"/>
                <w:kern w:val="0"/>
                <w:sz w:val="24"/>
                <w:szCs w:val="24"/>
                <w:lang w:bidi="hi-IN"/>
              </w:rPr>
              <w:t xml:space="preserve"> the vessel lumen and block blood flow</w:t>
            </w:r>
          </w:p>
        </w:tc>
      </w:tr>
      <w:tr w:rsidR="00E1331B" w:rsidRPr="00CD6193" w14:paraId="7141AB82" w14:textId="77777777" w:rsidTr="00FD07C4">
        <w:trPr>
          <w:trHeight w:val="278"/>
        </w:trPr>
        <w:tc>
          <w:tcPr>
            <w:tcW w:w="0" w:type="auto"/>
            <w:vMerge/>
            <w:tcBorders>
              <w:top w:val="nil"/>
              <w:left w:val="nil"/>
              <w:bottom w:val="single" w:sz="4" w:space="0" w:color="000000"/>
              <w:right w:val="nil"/>
            </w:tcBorders>
            <w:vAlign w:val="center"/>
            <w:hideMark/>
          </w:tcPr>
          <w:p w14:paraId="6B6DA321"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p>
        </w:tc>
        <w:tc>
          <w:tcPr>
            <w:tcW w:w="2133" w:type="dxa"/>
            <w:tcBorders>
              <w:top w:val="nil"/>
              <w:left w:val="nil"/>
              <w:bottom w:val="single" w:sz="4" w:space="0" w:color="auto"/>
              <w:right w:val="nil"/>
            </w:tcBorders>
            <w:shd w:val="clear" w:color="auto" w:fill="auto"/>
            <w:vAlign w:val="center"/>
            <w:hideMark/>
          </w:tcPr>
          <w:p w14:paraId="681806B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Mass-like thrombus</w:t>
            </w:r>
          </w:p>
        </w:tc>
        <w:tc>
          <w:tcPr>
            <w:tcW w:w="5493" w:type="dxa"/>
            <w:tcBorders>
              <w:top w:val="nil"/>
              <w:left w:val="nil"/>
              <w:bottom w:val="single" w:sz="4" w:space="0" w:color="auto"/>
              <w:right w:val="nil"/>
            </w:tcBorders>
            <w:shd w:val="clear" w:color="auto" w:fill="auto"/>
            <w:vAlign w:val="center"/>
            <w:hideMark/>
          </w:tcPr>
          <w:p w14:paraId="7CC6CA09" w14:textId="549765E4"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Thrombi that form a solid mass</w:t>
            </w:r>
          </w:p>
        </w:tc>
      </w:tr>
    </w:tbl>
    <w:p w14:paraId="7F5D9E52" w14:textId="77777777" w:rsidR="00E1331B" w:rsidRPr="00CD6193" w:rsidRDefault="00E1331B" w:rsidP="00CD6193">
      <w:pPr>
        <w:adjustRightInd w:val="0"/>
        <w:snapToGrid w:val="0"/>
        <w:spacing w:line="360" w:lineRule="auto"/>
        <w:rPr>
          <w:rFonts w:ascii="Book Antiqua" w:hAnsi="Book Antiqua" w:cs="Times New Roman"/>
          <w:sz w:val="24"/>
          <w:szCs w:val="24"/>
        </w:rPr>
        <w:sectPr w:rsidR="00E1331B" w:rsidRPr="00CD6193" w:rsidSect="00E1331B">
          <w:pgSz w:w="11906" w:h="16838"/>
          <w:pgMar w:top="1440" w:right="1080" w:bottom="1440" w:left="1080" w:header="851" w:footer="992" w:gutter="0"/>
          <w:cols w:space="425"/>
          <w:docGrid w:type="lines" w:linePitch="312"/>
        </w:sectPr>
      </w:pPr>
    </w:p>
    <w:p w14:paraId="458FB8FC" w14:textId="0A94B1E5" w:rsidR="00E1331B" w:rsidRPr="00CD6193" w:rsidRDefault="00E1331B" w:rsidP="00CD6193">
      <w:pPr>
        <w:adjustRightInd w:val="0"/>
        <w:snapToGrid w:val="0"/>
        <w:spacing w:line="360" w:lineRule="auto"/>
        <w:rPr>
          <w:rFonts w:ascii="Book Antiqua" w:hAnsi="Book Antiqua" w:cs="Times New Roman"/>
          <w:sz w:val="24"/>
          <w:szCs w:val="24"/>
        </w:rPr>
      </w:pPr>
      <w:r w:rsidRPr="00CD6193">
        <w:rPr>
          <w:rFonts w:ascii="Book Antiqua" w:hAnsi="Book Antiqua" w:cs="Times New Roman"/>
          <w:b/>
          <w:bCs/>
          <w:sz w:val="24"/>
          <w:szCs w:val="24"/>
        </w:rPr>
        <w:lastRenderedPageBreak/>
        <w:t>Table 2</w:t>
      </w:r>
      <w:r w:rsidRPr="00CD6193">
        <w:rPr>
          <w:rFonts w:ascii="Book Antiqua" w:hAnsi="Book Antiqua" w:cs="Times New Roman"/>
          <w:sz w:val="24"/>
          <w:szCs w:val="24"/>
        </w:rPr>
        <w:t xml:space="preserve"> </w:t>
      </w:r>
      <w:r w:rsidRPr="00CD6193">
        <w:rPr>
          <w:rFonts w:ascii="Book Antiqua" w:hAnsi="Book Antiqua" w:cs="Times New Roman"/>
          <w:b/>
          <w:bCs/>
          <w:sz w:val="24"/>
          <w:szCs w:val="24"/>
        </w:rPr>
        <w:t xml:space="preserve">A proposed classification of </w:t>
      </w:r>
      <w:r w:rsidR="00767CF4" w:rsidRPr="00767CF4">
        <w:rPr>
          <w:rFonts w:ascii="Book Antiqua" w:hAnsi="Book Antiqua" w:cs="Times New Roman"/>
          <w:b/>
          <w:bCs/>
          <w:sz w:val="24"/>
          <w:szCs w:val="24"/>
        </w:rPr>
        <w:t>balloon pulmonary angioplasty</w:t>
      </w:r>
      <w:r w:rsidRPr="00CD6193">
        <w:rPr>
          <w:rFonts w:ascii="Book Antiqua" w:hAnsi="Book Antiqua" w:cs="Times New Roman"/>
          <w:b/>
          <w:bCs/>
          <w:sz w:val="24"/>
          <w:szCs w:val="24"/>
        </w:rPr>
        <w:t xml:space="preserve"> complications in the 6</w:t>
      </w:r>
      <w:r w:rsidRPr="00CD6193">
        <w:rPr>
          <w:rFonts w:ascii="Book Antiqua" w:hAnsi="Book Antiqua" w:cs="Times New Roman"/>
          <w:b/>
          <w:bCs/>
          <w:sz w:val="24"/>
          <w:szCs w:val="24"/>
          <w:vertAlign w:val="superscript"/>
        </w:rPr>
        <w:t>th</w:t>
      </w:r>
      <w:r w:rsidRPr="00CD6193">
        <w:rPr>
          <w:rFonts w:ascii="Book Antiqua" w:hAnsi="Book Antiqua" w:cs="Times New Roman"/>
          <w:b/>
          <w:bCs/>
          <w:sz w:val="24"/>
          <w:szCs w:val="24"/>
        </w:rPr>
        <w:t xml:space="preserve"> </w:t>
      </w:r>
      <w:r w:rsidR="00767CF4" w:rsidRPr="00767CF4">
        <w:rPr>
          <w:rFonts w:ascii="Book Antiqua" w:hAnsi="Book Antiqua" w:cs="Times New Roman"/>
          <w:b/>
          <w:bCs/>
          <w:sz w:val="24"/>
          <w:szCs w:val="24"/>
        </w:rPr>
        <w:t>World Symposium on Pulmonary Hypertension</w:t>
      </w:r>
      <w:r w:rsidRPr="00CD6193">
        <w:rPr>
          <w:rFonts w:ascii="Book Antiqua" w:hAnsi="Book Antiqua" w:cs="Times New Roman"/>
          <w:b/>
          <w:bCs/>
          <w:sz w:val="24"/>
          <w:szCs w:val="24"/>
        </w:rPr>
        <w:t xml:space="preserve"> </w:t>
      </w:r>
    </w:p>
    <w:tbl>
      <w:tblPr>
        <w:tblW w:w="10206" w:type="dxa"/>
        <w:tblLayout w:type="fixed"/>
        <w:tblLook w:val="04A0" w:firstRow="1" w:lastRow="0" w:firstColumn="1" w:lastColumn="0" w:noHBand="0" w:noVBand="1"/>
      </w:tblPr>
      <w:tblGrid>
        <w:gridCol w:w="4820"/>
        <w:gridCol w:w="5386"/>
      </w:tblGrid>
      <w:tr w:rsidR="00E1331B" w:rsidRPr="00CD6193" w14:paraId="63E01DC8" w14:textId="77777777" w:rsidTr="00487A0F">
        <w:trPr>
          <w:trHeight w:val="278"/>
        </w:trPr>
        <w:tc>
          <w:tcPr>
            <w:tcW w:w="4820" w:type="dxa"/>
            <w:tcBorders>
              <w:top w:val="single" w:sz="4" w:space="0" w:color="auto"/>
              <w:left w:val="nil"/>
              <w:bottom w:val="single" w:sz="4" w:space="0" w:color="auto"/>
              <w:right w:val="nil"/>
            </w:tcBorders>
            <w:shd w:val="clear" w:color="auto" w:fill="auto"/>
            <w:noWrap/>
            <w:vAlign w:val="bottom"/>
            <w:hideMark/>
          </w:tcPr>
          <w:p w14:paraId="35B86581"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During the procedure</w:t>
            </w:r>
          </w:p>
        </w:tc>
        <w:tc>
          <w:tcPr>
            <w:tcW w:w="5386" w:type="dxa"/>
            <w:tcBorders>
              <w:top w:val="single" w:sz="4" w:space="0" w:color="auto"/>
              <w:left w:val="nil"/>
              <w:bottom w:val="single" w:sz="4" w:space="0" w:color="auto"/>
              <w:right w:val="nil"/>
            </w:tcBorders>
            <w:shd w:val="clear" w:color="auto" w:fill="auto"/>
            <w:noWrap/>
            <w:vAlign w:val="bottom"/>
            <w:hideMark/>
          </w:tcPr>
          <w:p w14:paraId="7E1AC40D" w14:textId="77777777" w:rsidR="00E1331B" w:rsidRPr="00CD6193" w:rsidRDefault="00E1331B" w:rsidP="00CD6193">
            <w:pPr>
              <w:widowControl/>
              <w:adjustRightInd w:val="0"/>
              <w:snapToGrid w:val="0"/>
              <w:spacing w:line="360" w:lineRule="auto"/>
              <w:rPr>
                <w:rFonts w:ascii="Book Antiqua" w:eastAsia="等线" w:hAnsi="Book Antiqua" w:cs="Times New Roman"/>
                <w:b/>
                <w:bCs/>
                <w:color w:val="000000"/>
                <w:kern w:val="0"/>
                <w:sz w:val="24"/>
                <w:szCs w:val="24"/>
                <w:lang w:bidi="hi-IN"/>
              </w:rPr>
            </w:pPr>
            <w:r w:rsidRPr="00CD6193">
              <w:rPr>
                <w:rFonts w:ascii="Book Antiqua" w:eastAsia="等线" w:hAnsi="Book Antiqua" w:cs="Times New Roman"/>
                <w:b/>
                <w:bCs/>
                <w:color w:val="000000"/>
                <w:kern w:val="0"/>
                <w:sz w:val="24"/>
                <w:szCs w:val="24"/>
                <w:lang w:bidi="hi-IN"/>
              </w:rPr>
              <w:t>After the procedure</w:t>
            </w:r>
          </w:p>
        </w:tc>
      </w:tr>
      <w:tr w:rsidR="00E1331B" w:rsidRPr="00CD6193" w14:paraId="75365761" w14:textId="77777777" w:rsidTr="00487A0F">
        <w:trPr>
          <w:trHeight w:val="278"/>
        </w:trPr>
        <w:tc>
          <w:tcPr>
            <w:tcW w:w="4820" w:type="dxa"/>
            <w:tcBorders>
              <w:top w:val="nil"/>
              <w:left w:val="nil"/>
              <w:bottom w:val="nil"/>
              <w:right w:val="nil"/>
            </w:tcBorders>
            <w:shd w:val="clear" w:color="auto" w:fill="auto"/>
            <w:noWrap/>
            <w:vAlign w:val="center"/>
            <w:hideMark/>
          </w:tcPr>
          <w:p w14:paraId="27E373A0" w14:textId="7D11AF71"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Vascular injury</w:t>
            </w:r>
            <w:r w:rsidR="003F15E5" w:rsidRPr="00CD6193">
              <w:rPr>
                <w:rFonts w:ascii="Book Antiqua" w:eastAsia="等线" w:hAnsi="Book Antiqua" w:cs="Times New Roman"/>
                <w:color w:val="FF0000"/>
                <w:kern w:val="0"/>
                <w:sz w:val="24"/>
                <w:szCs w:val="24"/>
                <w:lang w:bidi="hi-IN"/>
              </w:rPr>
              <w:t xml:space="preserve"> </w:t>
            </w:r>
            <w:r w:rsidRPr="00CD6193">
              <w:rPr>
                <w:rFonts w:ascii="Book Antiqua" w:eastAsia="等线" w:hAnsi="Book Antiqua" w:cs="Times New Roman"/>
                <w:color w:val="000000"/>
                <w:kern w:val="0"/>
                <w:sz w:val="24"/>
                <w:szCs w:val="24"/>
                <w:lang w:bidi="hi-IN"/>
              </w:rPr>
              <w:t>with/without hemoptysis</w:t>
            </w:r>
          </w:p>
        </w:tc>
        <w:tc>
          <w:tcPr>
            <w:tcW w:w="5386" w:type="dxa"/>
            <w:tcBorders>
              <w:top w:val="nil"/>
              <w:left w:val="nil"/>
              <w:bottom w:val="nil"/>
              <w:right w:val="nil"/>
            </w:tcBorders>
            <w:shd w:val="clear" w:color="auto" w:fill="auto"/>
            <w:noWrap/>
            <w:vAlign w:val="center"/>
            <w:hideMark/>
          </w:tcPr>
          <w:p w14:paraId="5BD77F2A" w14:textId="39E47995"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Lung injury</w:t>
            </w:r>
            <w:r w:rsidR="003F15E5" w:rsidRPr="00CD6193">
              <w:rPr>
                <w:rFonts w:ascii="Book Antiqua" w:eastAsia="等线" w:hAnsi="Book Antiqua" w:cs="Times New Roman"/>
                <w:color w:val="FF0000"/>
                <w:kern w:val="0"/>
                <w:sz w:val="24"/>
                <w:szCs w:val="24"/>
                <w:vertAlign w:val="superscript"/>
                <w:lang w:bidi="hi-IN"/>
              </w:rPr>
              <w:t xml:space="preserve"> </w:t>
            </w:r>
            <w:r w:rsidRPr="00CD6193">
              <w:rPr>
                <w:rFonts w:ascii="Book Antiqua" w:eastAsia="等线" w:hAnsi="Book Antiqua" w:cs="Times New Roman"/>
                <w:color w:val="000000"/>
                <w:kern w:val="0"/>
                <w:sz w:val="24"/>
                <w:szCs w:val="24"/>
                <w:lang w:bidi="hi-IN"/>
              </w:rPr>
              <w:t>(radiographic opacity with/without hemoptysis, with/without hypoxemia)</w:t>
            </w:r>
          </w:p>
        </w:tc>
      </w:tr>
      <w:tr w:rsidR="00E1331B" w:rsidRPr="00CD6193" w14:paraId="4200D532" w14:textId="77777777" w:rsidTr="00487A0F">
        <w:trPr>
          <w:trHeight w:val="278"/>
        </w:trPr>
        <w:tc>
          <w:tcPr>
            <w:tcW w:w="4820" w:type="dxa"/>
            <w:tcBorders>
              <w:top w:val="nil"/>
              <w:left w:val="nil"/>
              <w:bottom w:val="nil"/>
              <w:right w:val="nil"/>
            </w:tcBorders>
            <w:shd w:val="clear" w:color="auto" w:fill="auto"/>
            <w:noWrap/>
            <w:vAlign w:val="bottom"/>
            <w:hideMark/>
          </w:tcPr>
          <w:p w14:paraId="40C31E5F"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Wire perforation</w:t>
            </w:r>
          </w:p>
        </w:tc>
        <w:tc>
          <w:tcPr>
            <w:tcW w:w="5386" w:type="dxa"/>
            <w:tcBorders>
              <w:top w:val="nil"/>
              <w:left w:val="nil"/>
              <w:bottom w:val="nil"/>
              <w:right w:val="nil"/>
            </w:tcBorders>
            <w:shd w:val="clear" w:color="auto" w:fill="auto"/>
            <w:noWrap/>
            <w:vAlign w:val="bottom"/>
            <w:hideMark/>
          </w:tcPr>
          <w:p w14:paraId="1870FF5A"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Renal dysfunction</w:t>
            </w:r>
          </w:p>
        </w:tc>
      </w:tr>
      <w:tr w:rsidR="00E1331B" w:rsidRPr="00CD6193" w14:paraId="3B7C30EF" w14:textId="77777777" w:rsidTr="00487A0F">
        <w:trPr>
          <w:trHeight w:val="278"/>
        </w:trPr>
        <w:tc>
          <w:tcPr>
            <w:tcW w:w="4820" w:type="dxa"/>
            <w:tcBorders>
              <w:top w:val="nil"/>
              <w:left w:val="nil"/>
              <w:bottom w:val="nil"/>
              <w:right w:val="nil"/>
            </w:tcBorders>
            <w:shd w:val="clear" w:color="auto" w:fill="auto"/>
            <w:noWrap/>
            <w:vAlign w:val="bottom"/>
            <w:hideMark/>
          </w:tcPr>
          <w:p w14:paraId="34FFAD2A"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Balloon over-dilatation</w:t>
            </w:r>
          </w:p>
        </w:tc>
        <w:tc>
          <w:tcPr>
            <w:tcW w:w="5386" w:type="dxa"/>
            <w:tcBorders>
              <w:top w:val="nil"/>
              <w:left w:val="nil"/>
              <w:bottom w:val="nil"/>
              <w:right w:val="nil"/>
            </w:tcBorders>
            <w:shd w:val="clear" w:color="auto" w:fill="auto"/>
            <w:noWrap/>
            <w:vAlign w:val="bottom"/>
            <w:hideMark/>
          </w:tcPr>
          <w:p w14:paraId="4FA30178"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Access site problems</w:t>
            </w:r>
          </w:p>
        </w:tc>
      </w:tr>
      <w:tr w:rsidR="00E1331B" w:rsidRPr="00CD6193" w14:paraId="0A87ABB7" w14:textId="77777777" w:rsidTr="00487A0F">
        <w:trPr>
          <w:trHeight w:val="53"/>
        </w:trPr>
        <w:tc>
          <w:tcPr>
            <w:tcW w:w="4820" w:type="dxa"/>
            <w:tcBorders>
              <w:top w:val="nil"/>
              <w:left w:val="nil"/>
              <w:bottom w:val="nil"/>
              <w:right w:val="nil"/>
            </w:tcBorders>
            <w:shd w:val="clear" w:color="auto" w:fill="auto"/>
            <w:noWrap/>
            <w:vAlign w:val="bottom"/>
            <w:hideMark/>
          </w:tcPr>
          <w:p w14:paraId="266E2096" w14:textId="77777777" w:rsidR="00E1331B" w:rsidRPr="00CD6193" w:rsidRDefault="00E1331B" w:rsidP="00CD6193">
            <w:pPr>
              <w:widowControl/>
              <w:adjustRightInd w:val="0"/>
              <w:snapToGrid w:val="0"/>
              <w:spacing w:line="360" w:lineRule="auto"/>
              <w:ind w:firstLineChars="100" w:firstLine="240"/>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High-pressure contrast injection</w:t>
            </w:r>
          </w:p>
        </w:tc>
        <w:tc>
          <w:tcPr>
            <w:tcW w:w="5386" w:type="dxa"/>
            <w:tcBorders>
              <w:top w:val="nil"/>
              <w:left w:val="nil"/>
              <w:bottom w:val="nil"/>
              <w:right w:val="nil"/>
            </w:tcBorders>
            <w:shd w:val="clear" w:color="auto" w:fill="auto"/>
            <w:noWrap/>
            <w:vAlign w:val="bottom"/>
          </w:tcPr>
          <w:p w14:paraId="69E4D336"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6DFA21FE" w14:textId="77777777" w:rsidTr="00487A0F">
        <w:trPr>
          <w:trHeight w:val="278"/>
        </w:trPr>
        <w:tc>
          <w:tcPr>
            <w:tcW w:w="4820" w:type="dxa"/>
            <w:tcBorders>
              <w:top w:val="nil"/>
              <w:left w:val="nil"/>
              <w:bottom w:val="nil"/>
              <w:right w:val="nil"/>
            </w:tcBorders>
            <w:shd w:val="clear" w:color="auto" w:fill="auto"/>
            <w:noWrap/>
            <w:vAlign w:val="bottom"/>
            <w:hideMark/>
          </w:tcPr>
          <w:p w14:paraId="11D350F1"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Vascular dissection</w:t>
            </w:r>
          </w:p>
        </w:tc>
        <w:tc>
          <w:tcPr>
            <w:tcW w:w="5386" w:type="dxa"/>
            <w:tcBorders>
              <w:top w:val="nil"/>
              <w:left w:val="nil"/>
              <w:bottom w:val="nil"/>
              <w:right w:val="nil"/>
            </w:tcBorders>
            <w:shd w:val="clear" w:color="auto" w:fill="auto"/>
            <w:noWrap/>
            <w:vAlign w:val="bottom"/>
          </w:tcPr>
          <w:p w14:paraId="72D4EFA2"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4DD72D21" w14:textId="77777777" w:rsidTr="00487A0F">
        <w:trPr>
          <w:trHeight w:val="278"/>
        </w:trPr>
        <w:tc>
          <w:tcPr>
            <w:tcW w:w="4820" w:type="dxa"/>
            <w:tcBorders>
              <w:top w:val="nil"/>
              <w:left w:val="nil"/>
              <w:bottom w:val="nil"/>
              <w:right w:val="nil"/>
            </w:tcBorders>
            <w:shd w:val="clear" w:color="auto" w:fill="auto"/>
            <w:noWrap/>
            <w:vAlign w:val="bottom"/>
            <w:hideMark/>
          </w:tcPr>
          <w:p w14:paraId="2FF70F20"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Allergic reaction to contrast</w:t>
            </w:r>
          </w:p>
        </w:tc>
        <w:tc>
          <w:tcPr>
            <w:tcW w:w="5386" w:type="dxa"/>
            <w:tcBorders>
              <w:top w:val="nil"/>
              <w:left w:val="nil"/>
              <w:bottom w:val="nil"/>
              <w:right w:val="nil"/>
            </w:tcBorders>
            <w:shd w:val="clear" w:color="auto" w:fill="auto"/>
            <w:noWrap/>
            <w:vAlign w:val="bottom"/>
          </w:tcPr>
          <w:p w14:paraId="340C1039"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r w:rsidR="00E1331B" w:rsidRPr="00CD6193" w14:paraId="154F9E43" w14:textId="77777777" w:rsidTr="00487A0F">
        <w:trPr>
          <w:trHeight w:val="278"/>
        </w:trPr>
        <w:tc>
          <w:tcPr>
            <w:tcW w:w="4820" w:type="dxa"/>
            <w:tcBorders>
              <w:top w:val="nil"/>
              <w:left w:val="nil"/>
              <w:bottom w:val="single" w:sz="4" w:space="0" w:color="auto"/>
              <w:right w:val="nil"/>
            </w:tcBorders>
            <w:shd w:val="clear" w:color="auto" w:fill="auto"/>
            <w:noWrap/>
            <w:vAlign w:val="bottom"/>
            <w:hideMark/>
          </w:tcPr>
          <w:p w14:paraId="52EB1D55"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r w:rsidRPr="00CD6193">
              <w:rPr>
                <w:rFonts w:ascii="Book Antiqua" w:eastAsia="等线" w:hAnsi="Book Antiqua" w:cs="Times New Roman"/>
                <w:color w:val="000000"/>
                <w:kern w:val="0"/>
                <w:sz w:val="24"/>
                <w:szCs w:val="24"/>
                <w:lang w:bidi="hi-IN"/>
              </w:rPr>
              <w:t>Adverse reaction to conscious sedation/local anesthesia</w:t>
            </w:r>
          </w:p>
        </w:tc>
        <w:tc>
          <w:tcPr>
            <w:tcW w:w="5386" w:type="dxa"/>
            <w:tcBorders>
              <w:top w:val="nil"/>
              <w:left w:val="nil"/>
              <w:bottom w:val="single" w:sz="4" w:space="0" w:color="auto"/>
              <w:right w:val="nil"/>
            </w:tcBorders>
            <w:shd w:val="clear" w:color="auto" w:fill="auto"/>
            <w:noWrap/>
            <w:vAlign w:val="bottom"/>
          </w:tcPr>
          <w:p w14:paraId="20D1379F" w14:textId="77777777" w:rsidR="00E1331B" w:rsidRPr="00CD6193" w:rsidRDefault="00E1331B" w:rsidP="00CD6193">
            <w:pPr>
              <w:widowControl/>
              <w:adjustRightInd w:val="0"/>
              <w:snapToGrid w:val="0"/>
              <w:spacing w:line="360" w:lineRule="auto"/>
              <w:rPr>
                <w:rFonts w:ascii="Book Antiqua" w:eastAsia="等线" w:hAnsi="Book Antiqua" w:cs="Times New Roman"/>
                <w:color w:val="000000"/>
                <w:kern w:val="0"/>
                <w:sz w:val="24"/>
                <w:szCs w:val="24"/>
                <w:lang w:bidi="hi-IN"/>
              </w:rPr>
            </w:pPr>
          </w:p>
        </w:tc>
      </w:tr>
    </w:tbl>
    <w:p w14:paraId="706A09F8" w14:textId="025E861B" w:rsidR="00E1331B" w:rsidRPr="00CD6193" w:rsidRDefault="00767CF4" w:rsidP="00CD6193">
      <w:pPr>
        <w:adjustRightInd w:val="0"/>
        <w:snapToGrid w:val="0"/>
        <w:spacing w:line="360" w:lineRule="auto"/>
        <w:rPr>
          <w:rFonts w:ascii="Book Antiqua" w:hAnsi="Book Antiqua" w:cs="Times New Roman"/>
          <w:sz w:val="24"/>
          <w:szCs w:val="24"/>
        </w:rPr>
      </w:pPr>
      <w:r w:rsidRPr="00CD6193">
        <w:rPr>
          <w:rFonts w:ascii="Book Antiqua" w:eastAsia="等线" w:hAnsi="Book Antiqua" w:cs="Times New Roman"/>
          <w:color w:val="000000" w:themeColor="text1"/>
          <w:kern w:val="0"/>
          <w:sz w:val="24"/>
          <w:szCs w:val="24"/>
          <w:lang w:bidi="hi-IN"/>
        </w:rPr>
        <w:t>S</w:t>
      </w:r>
      <w:r w:rsidRPr="00CD6193">
        <w:rPr>
          <w:rFonts w:ascii="Book Antiqua" w:eastAsia="等线" w:hAnsi="Book Antiqua" w:cs="Times New Roman"/>
          <w:color w:val="000000"/>
          <w:kern w:val="0"/>
          <w:sz w:val="24"/>
          <w:szCs w:val="24"/>
          <w:lang w:bidi="hi-IN"/>
        </w:rPr>
        <w:t xml:space="preserve">igns of vascular injury: </w:t>
      </w:r>
      <w:r>
        <w:rPr>
          <w:rFonts w:ascii="Book Antiqua" w:eastAsia="等线" w:hAnsi="Book Antiqua" w:cs="Times New Roman"/>
          <w:color w:val="000000"/>
          <w:kern w:val="0"/>
          <w:sz w:val="24"/>
          <w:szCs w:val="24"/>
          <w:lang w:bidi="hi-IN"/>
        </w:rPr>
        <w:t>E</w:t>
      </w:r>
      <w:r w:rsidRPr="00CD6193">
        <w:rPr>
          <w:rFonts w:ascii="Book Antiqua" w:eastAsia="等线" w:hAnsi="Book Antiqua" w:cs="Times New Roman"/>
          <w:color w:val="000000"/>
          <w:kern w:val="0"/>
          <w:sz w:val="24"/>
          <w:szCs w:val="24"/>
          <w:lang w:bidi="hi-IN"/>
        </w:rPr>
        <w:t xml:space="preserve">xtravasation of contrast, hypoxemia, cough, tachycardia, increased pulmonary arterial pressure; Causes of lung injury: </w:t>
      </w:r>
      <w:r>
        <w:rPr>
          <w:rFonts w:ascii="Book Antiqua" w:eastAsia="等线" w:hAnsi="Book Antiqua" w:cs="Times New Roman"/>
          <w:color w:val="000000"/>
          <w:kern w:val="0"/>
          <w:sz w:val="24"/>
          <w:szCs w:val="24"/>
          <w:lang w:bidi="hi-IN"/>
        </w:rPr>
        <w:t>V</w:t>
      </w:r>
      <w:r w:rsidRPr="00CD6193">
        <w:rPr>
          <w:rFonts w:ascii="Book Antiqua" w:eastAsia="等线" w:hAnsi="Book Antiqua" w:cs="Times New Roman"/>
          <w:color w:val="000000"/>
          <w:kern w:val="0"/>
          <w:sz w:val="24"/>
          <w:szCs w:val="24"/>
          <w:lang w:bidi="hi-IN"/>
        </w:rPr>
        <w:t>ascular injury much greater than reperfusion lung injury.</w:t>
      </w:r>
    </w:p>
    <w:sectPr w:rsidR="00E1331B" w:rsidRPr="00CD6193" w:rsidSect="00E1331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56501" w14:textId="77777777" w:rsidR="005F63FC" w:rsidRDefault="005F63FC" w:rsidP="00031CAC">
      <w:r>
        <w:separator/>
      </w:r>
    </w:p>
  </w:endnote>
  <w:endnote w:type="continuationSeparator" w:id="0">
    <w:p w14:paraId="1C7508B7" w14:textId="77777777" w:rsidR="005F63FC" w:rsidRDefault="005F63FC" w:rsidP="00031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Mangal">
    <w:altName w:val="Courier"/>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954A6" w14:textId="37568D96" w:rsidR="00DA4FFB" w:rsidRPr="0034483E" w:rsidRDefault="00DA4FFB" w:rsidP="0034483E">
    <w:pPr>
      <w:pStyle w:val="a4"/>
      <w:jc w:val="right"/>
      <w:rPr>
        <w:rFonts w:ascii="Book Antiqua" w:hAnsi="Book Antiqua"/>
        <w:color w:val="000000" w:themeColor="text1"/>
        <w:sz w:val="24"/>
        <w:szCs w:val="24"/>
      </w:rPr>
    </w:pPr>
    <w:r w:rsidRPr="0034483E">
      <w:rPr>
        <w:rFonts w:ascii="Book Antiqua" w:hAnsi="Book Antiqua"/>
        <w:color w:val="000000" w:themeColor="text1"/>
        <w:sz w:val="24"/>
        <w:szCs w:val="24"/>
        <w:lang w:val="zh-CN"/>
      </w:rPr>
      <w:t xml:space="preserve"> </w:t>
    </w:r>
  </w:p>
  <w:p w14:paraId="6CC985C6" w14:textId="77777777" w:rsidR="00DA4FFB" w:rsidRDefault="00DA4F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8BD96" w14:textId="77777777" w:rsidR="005F63FC" w:rsidRDefault="005F63FC" w:rsidP="00031CAC">
      <w:r>
        <w:separator/>
      </w:r>
    </w:p>
  </w:footnote>
  <w:footnote w:type="continuationSeparator" w:id="0">
    <w:p w14:paraId="4BBB957F" w14:textId="77777777" w:rsidR="005F63FC" w:rsidRDefault="005F63FC" w:rsidP="00031CA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ng Steven">
    <w15:presenceInfo w15:providerId="Windows Live" w15:userId="4c09937a9df1c0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1331B"/>
    <w:rsid w:val="00012D9D"/>
    <w:rsid w:val="00027248"/>
    <w:rsid w:val="00031CAC"/>
    <w:rsid w:val="00050FDB"/>
    <w:rsid w:val="00056493"/>
    <w:rsid w:val="00065ED2"/>
    <w:rsid w:val="0007159C"/>
    <w:rsid w:val="000735E5"/>
    <w:rsid w:val="00074941"/>
    <w:rsid w:val="00075CED"/>
    <w:rsid w:val="0008619E"/>
    <w:rsid w:val="00087621"/>
    <w:rsid w:val="000D7EB9"/>
    <w:rsid w:val="000E764D"/>
    <w:rsid w:val="000F7155"/>
    <w:rsid w:val="00107E90"/>
    <w:rsid w:val="0013171E"/>
    <w:rsid w:val="00131EF8"/>
    <w:rsid w:val="00134DA4"/>
    <w:rsid w:val="0014361C"/>
    <w:rsid w:val="00151B5D"/>
    <w:rsid w:val="001839FE"/>
    <w:rsid w:val="001948C4"/>
    <w:rsid w:val="001A05DE"/>
    <w:rsid w:val="001A2757"/>
    <w:rsid w:val="001B68B5"/>
    <w:rsid w:val="001C00C4"/>
    <w:rsid w:val="001E1139"/>
    <w:rsid w:val="001E6CEE"/>
    <w:rsid w:val="00206C0F"/>
    <w:rsid w:val="00232E76"/>
    <w:rsid w:val="002416B7"/>
    <w:rsid w:val="002512B4"/>
    <w:rsid w:val="0025136E"/>
    <w:rsid w:val="0025181D"/>
    <w:rsid w:val="002865FD"/>
    <w:rsid w:val="00290777"/>
    <w:rsid w:val="002A5166"/>
    <w:rsid w:val="002C31E1"/>
    <w:rsid w:val="002D4E6A"/>
    <w:rsid w:val="002F21EC"/>
    <w:rsid w:val="00317DA1"/>
    <w:rsid w:val="00332665"/>
    <w:rsid w:val="00335619"/>
    <w:rsid w:val="0034483E"/>
    <w:rsid w:val="00370753"/>
    <w:rsid w:val="003748C6"/>
    <w:rsid w:val="00374C0C"/>
    <w:rsid w:val="00374E57"/>
    <w:rsid w:val="003A16F9"/>
    <w:rsid w:val="003A1FC7"/>
    <w:rsid w:val="003B07FB"/>
    <w:rsid w:val="003B102C"/>
    <w:rsid w:val="003D0AF8"/>
    <w:rsid w:val="003D0BD2"/>
    <w:rsid w:val="003D2DEB"/>
    <w:rsid w:val="003F15E5"/>
    <w:rsid w:val="004015F7"/>
    <w:rsid w:val="00401ABC"/>
    <w:rsid w:val="00406385"/>
    <w:rsid w:val="004134AC"/>
    <w:rsid w:val="0041373C"/>
    <w:rsid w:val="004156CE"/>
    <w:rsid w:val="00416A91"/>
    <w:rsid w:val="00425CA2"/>
    <w:rsid w:val="00462A47"/>
    <w:rsid w:val="004670FA"/>
    <w:rsid w:val="004723AE"/>
    <w:rsid w:val="00473F7F"/>
    <w:rsid w:val="00475E13"/>
    <w:rsid w:val="004803B9"/>
    <w:rsid w:val="00487A0F"/>
    <w:rsid w:val="004955A4"/>
    <w:rsid w:val="00495C63"/>
    <w:rsid w:val="004A30C3"/>
    <w:rsid w:val="004B2564"/>
    <w:rsid w:val="004C40E5"/>
    <w:rsid w:val="004D6E8D"/>
    <w:rsid w:val="004E2B94"/>
    <w:rsid w:val="004F31F0"/>
    <w:rsid w:val="004F457D"/>
    <w:rsid w:val="00517E69"/>
    <w:rsid w:val="005324DA"/>
    <w:rsid w:val="00542EE9"/>
    <w:rsid w:val="005436F6"/>
    <w:rsid w:val="00543D3F"/>
    <w:rsid w:val="0055108D"/>
    <w:rsid w:val="005644DD"/>
    <w:rsid w:val="00567999"/>
    <w:rsid w:val="00567CED"/>
    <w:rsid w:val="005A04BB"/>
    <w:rsid w:val="005A5DC4"/>
    <w:rsid w:val="005A68A0"/>
    <w:rsid w:val="005B4B51"/>
    <w:rsid w:val="005D29A8"/>
    <w:rsid w:val="005E111A"/>
    <w:rsid w:val="005E3881"/>
    <w:rsid w:val="005E7DBA"/>
    <w:rsid w:val="005F33AE"/>
    <w:rsid w:val="005F63FC"/>
    <w:rsid w:val="006029C6"/>
    <w:rsid w:val="00610C2B"/>
    <w:rsid w:val="006151F9"/>
    <w:rsid w:val="00630649"/>
    <w:rsid w:val="00641476"/>
    <w:rsid w:val="00650529"/>
    <w:rsid w:val="006647D6"/>
    <w:rsid w:val="0068569F"/>
    <w:rsid w:val="00690FF7"/>
    <w:rsid w:val="006A13FD"/>
    <w:rsid w:val="006C1328"/>
    <w:rsid w:val="006D0665"/>
    <w:rsid w:val="006F4142"/>
    <w:rsid w:val="00700B5E"/>
    <w:rsid w:val="00713DB1"/>
    <w:rsid w:val="007229E2"/>
    <w:rsid w:val="00726A66"/>
    <w:rsid w:val="0073783F"/>
    <w:rsid w:val="007478DA"/>
    <w:rsid w:val="00750221"/>
    <w:rsid w:val="00753CFF"/>
    <w:rsid w:val="00767CF4"/>
    <w:rsid w:val="00786457"/>
    <w:rsid w:val="007934E2"/>
    <w:rsid w:val="00794A10"/>
    <w:rsid w:val="007B0208"/>
    <w:rsid w:val="007B06F1"/>
    <w:rsid w:val="007B4FF5"/>
    <w:rsid w:val="007D60C7"/>
    <w:rsid w:val="007E33F6"/>
    <w:rsid w:val="007E3B95"/>
    <w:rsid w:val="007F2FB1"/>
    <w:rsid w:val="00802E9F"/>
    <w:rsid w:val="0081034B"/>
    <w:rsid w:val="00817FAB"/>
    <w:rsid w:val="008264D2"/>
    <w:rsid w:val="0084075C"/>
    <w:rsid w:val="008561A7"/>
    <w:rsid w:val="00860739"/>
    <w:rsid w:val="00861552"/>
    <w:rsid w:val="008620BA"/>
    <w:rsid w:val="00864F8E"/>
    <w:rsid w:val="008B567F"/>
    <w:rsid w:val="008C006A"/>
    <w:rsid w:val="008C76DA"/>
    <w:rsid w:val="008D0F50"/>
    <w:rsid w:val="008D4CA6"/>
    <w:rsid w:val="008D4DB4"/>
    <w:rsid w:val="008E6C71"/>
    <w:rsid w:val="008F06CA"/>
    <w:rsid w:val="008F07F0"/>
    <w:rsid w:val="008F44E1"/>
    <w:rsid w:val="00917620"/>
    <w:rsid w:val="00922CF2"/>
    <w:rsid w:val="00930B7F"/>
    <w:rsid w:val="00932093"/>
    <w:rsid w:val="00932BB8"/>
    <w:rsid w:val="00933E27"/>
    <w:rsid w:val="009420D3"/>
    <w:rsid w:val="009475FB"/>
    <w:rsid w:val="00974298"/>
    <w:rsid w:val="009765C0"/>
    <w:rsid w:val="009830A3"/>
    <w:rsid w:val="00985E55"/>
    <w:rsid w:val="00986C8F"/>
    <w:rsid w:val="00994ECA"/>
    <w:rsid w:val="00995D31"/>
    <w:rsid w:val="009A2C93"/>
    <w:rsid w:val="009E6AE6"/>
    <w:rsid w:val="009F4109"/>
    <w:rsid w:val="009F59F1"/>
    <w:rsid w:val="00A32670"/>
    <w:rsid w:val="00A44C22"/>
    <w:rsid w:val="00A47739"/>
    <w:rsid w:val="00A536B5"/>
    <w:rsid w:val="00A63E45"/>
    <w:rsid w:val="00A762EA"/>
    <w:rsid w:val="00A96581"/>
    <w:rsid w:val="00AA35C3"/>
    <w:rsid w:val="00AA7710"/>
    <w:rsid w:val="00AB282D"/>
    <w:rsid w:val="00AC6B2C"/>
    <w:rsid w:val="00AC7298"/>
    <w:rsid w:val="00AD4DE0"/>
    <w:rsid w:val="00AD7C80"/>
    <w:rsid w:val="00AE1000"/>
    <w:rsid w:val="00AE4A48"/>
    <w:rsid w:val="00AE5096"/>
    <w:rsid w:val="00AF1EDE"/>
    <w:rsid w:val="00AF784B"/>
    <w:rsid w:val="00B011F9"/>
    <w:rsid w:val="00B30A7C"/>
    <w:rsid w:val="00B30E34"/>
    <w:rsid w:val="00B3570D"/>
    <w:rsid w:val="00B4235D"/>
    <w:rsid w:val="00B435E5"/>
    <w:rsid w:val="00B730E5"/>
    <w:rsid w:val="00BA36FA"/>
    <w:rsid w:val="00BB42DD"/>
    <w:rsid w:val="00BB70B6"/>
    <w:rsid w:val="00BC3892"/>
    <w:rsid w:val="00BC4682"/>
    <w:rsid w:val="00BD4A7B"/>
    <w:rsid w:val="00BD5DA1"/>
    <w:rsid w:val="00BE2B54"/>
    <w:rsid w:val="00BF4B78"/>
    <w:rsid w:val="00C03414"/>
    <w:rsid w:val="00C304E1"/>
    <w:rsid w:val="00C46AF1"/>
    <w:rsid w:val="00C571AB"/>
    <w:rsid w:val="00C61660"/>
    <w:rsid w:val="00C70D43"/>
    <w:rsid w:val="00C73786"/>
    <w:rsid w:val="00C83B01"/>
    <w:rsid w:val="00CC0D20"/>
    <w:rsid w:val="00CD0439"/>
    <w:rsid w:val="00CD56A6"/>
    <w:rsid w:val="00CD6193"/>
    <w:rsid w:val="00CD7EA7"/>
    <w:rsid w:val="00CE1E32"/>
    <w:rsid w:val="00CE79F0"/>
    <w:rsid w:val="00CF0202"/>
    <w:rsid w:val="00CF7EB7"/>
    <w:rsid w:val="00D00EC6"/>
    <w:rsid w:val="00D0186A"/>
    <w:rsid w:val="00D050CD"/>
    <w:rsid w:val="00D23071"/>
    <w:rsid w:val="00D3673C"/>
    <w:rsid w:val="00D5397D"/>
    <w:rsid w:val="00D5468A"/>
    <w:rsid w:val="00D60EC9"/>
    <w:rsid w:val="00D61E13"/>
    <w:rsid w:val="00D849AB"/>
    <w:rsid w:val="00D863A7"/>
    <w:rsid w:val="00D869C0"/>
    <w:rsid w:val="00DA4FFB"/>
    <w:rsid w:val="00DF6F8B"/>
    <w:rsid w:val="00E03148"/>
    <w:rsid w:val="00E03DBD"/>
    <w:rsid w:val="00E10DF1"/>
    <w:rsid w:val="00E1331B"/>
    <w:rsid w:val="00E2489B"/>
    <w:rsid w:val="00E354D1"/>
    <w:rsid w:val="00E37DF7"/>
    <w:rsid w:val="00E54672"/>
    <w:rsid w:val="00E60E3F"/>
    <w:rsid w:val="00E81675"/>
    <w:rsid w:val="00E8385D"/>
    <w:rsid w:val="00E9471D"/>
    <w:rsid w:val="00EB0E90"/>
    <w:rsid w:val="00ED7938"/>
    <w:rsid w:val="00EE620F"/>
    <w:rsid w:val="00EF0259"/>
    <w:rsid w:val="00EF5FB3"/>
    <w:rsid w:val="00F14DF9"/>
    <w:rsid w:val="00F25498"/>
    <w:rsid w:val="00F34CF8"/>
    <w:rsid w:val="00F61E81"/>
    <w:rsid w:val="00F63A18"/>
    <w:rsid w:val="00F67F55"/>
    <w:rsid w:val="00F772E2"/>
    <w:rsid w:val="00FB486F"/>
    <w:rsid w:val="00FC5B80"/>
    <w:rsid w:val="00FD07C4"/>
    <w:rsid w:val="00FD7FB2"/>
    <w:rsid w:val="00FE0700"/>
    <w:rsid w:val="00FE473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D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3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3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331B"/>
    <w:rPr>
      <w:sz w:val="18"/>
      <w:szCs w:val="18"/>
    </w:rPr>
  </w:style>
  <w:style w:type="paragraph" w:styleId="a4">
    <w:name w:val="footer"/>
    <w:basedOn w:val="a"/>
    <w:link w:val="Char0"/>
    <w:uiPriority w:val="99"/>
    <w:unhideWhenUsed/>
    <w:rsid w:val="00E1331B"/>
    <w:pPr>
      <w:tabs>
        <w:tab w:val="center" w:pos="4153"/>
        <w:tab w:val="right" w:pos="8306"/>
      </w:tabs>
      <w:snapToGrid w:val="0"/>
      <w:jc w:val="left"/>
    </w:pPr>
    <w:rPr>
      <w:sz w:val="18"/>
      <w:szCs w:val="18"/>
    </w:rPr>
  </w:style>
  <w:style w:type="character" w:customStyle="1" w:styleId="Char0">
    <w:name w:val="页脚 Char"/>
    <w:basedOn w:val="a0"/>
    <w:link w:val="a4"/>
    <w:uiPriority w:val="99"/>
    <w:rsid w:val="00E1331B"/>
    <w:rPr>
      <w:sz w:val="18"/>
      <w:szCs w:val="18"/>
    </w:rPr>
  </w:style>
  <w:style w:type="character" w:styleId="a5">
    <w:name w:val="Hyperlink"/>
    <w:basedOn w:val="a0"/>
    <w:uiPriority w:val="99"/>
    <w:unhideWhenUsed/>
    <w:rsid w:val="00E1331B"/>
    <w:rPr>
      <w:color w:val="0563C1" w:themeColor="hyperlink"/>
      <w:u w:val="single"/>
    </w:rPr>
  </w:style>
  <w:style w:type="character" w:customStyle="1" w:styleId="1">
    <w:name w:val="未处理的提及1"/>
    <w:basedOn w:val="a0"/>
    <w:uiPriority w:val="99"/>
    <w:semiHidden/>
    <w:unhideWhenUsed/>
    <w:rsid w:val="00E1331B"/>
    <w:rPr>
      <w:color w:val="605E5C"/>
      <w:shd w:val="clear" w:color="auto" w:fill="E1DFDD"/>
    </w:rPr>
  </w:style>
  <w:style w:type="paragraph" w:styleId="a6">
    <w:name w:val="Balloon Text"/>
    <w:basedOn w:val="a"/>
    <w:link w:val="Char1"/>
    <w:uiPriority w:val="99"/>
    <w:semiHidden/>
    <w:unhideWhenUsed/>
    <w:rsid w:val="00E1331B"/>
    <w:rPr>
      <w:sz w:val="18"/>
      <w:szCs w:val="18"/>
    </w:rPr>
  </w:style>
  <w:style w:type="character" w:customStyle="1" w:styleId="Char1">
    <w:name w:val="批注框文本 Char"/>
    <w:basedOn w:val="a0"/>
    <w:link w:val="a6"/>
    <w:uiPriority w:val="99"/>
    <w:semiHidden/>
    <w:rsid w:val="00E1331B"/>
    <w:rPr>
      <w:sz w:val="18"/>
      <w:szCs w:val="18"/>
    </w:rPr>
  </w:style>
  <w:style w:type="paragraph" w:customStyle="1" w:styleId="EndNoteBibliographyTitle">
    <w:name w:val="EndNote Bibliography Title"/>
    <w:basedOn w:val="a"/>
    <w:link w:val="EndNoteBibliographyTitle0"/>
    <w:rsid w:val="00E1331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1331B"/>
    <w:rPr>
      <w:rFonts w:ascii="等线" w:eastAsia="等线" w:hAnsi="等线"/>
      <w:noProof/>
      <w:sz w:val="20"/>
    </w:rPr>
  </w:style>
  <w:style w:type="paragraph" w:customStyle="1" w:styleId="EndNoteBibliography">
    <w:name w:val="EndNote Bibliography"/>
    <w:basedOn w:val="a"/>
    <w:link w:val="EndNoteBibliography0"/>
    <w:rsid w:val="00E1331B"/>
    <w:rPr>
      <w:rFonts w:ascii="等线" w:eastAsia="等线" w:hAnsi="等线"/>
      <w:noProof/>
      <w:sz w:val="20"/>
    </w:rPr>
  </w:style>
  <w:style w:type="character" w:customStyle="1" w:styleId="EndNoteBibliography0">
    <w:name w:val="EndNote Bibliography 字符"/>
    <w:basedOn w:val="a0"/>
    <w:link w:val="EndNoteBibliography"/>
    <w:rsid w:val="00E1331B"/>
    <w:rPr>
      <w:rFonts w:ascii="等线" w:eastAsia="等线" w:hAnsi="等线"/>
      <w:noProof/>
      <w:sz w:val="20"/>
    </w:rPr>
  </w:style>
  <w:style w:type="character" w:styleId="a7">
    <w:name w:val="annotation reference"/>
    <w:basedOn w:val="a0"/>
    <w:uiPriority w:val="99"/>
    <w:semiHidden/>
    <w:unhideWhenUsed/>
    <w:rsid w:val="004C40E5"/>
    <w:rPr>
      <w:sz w:val="21"/>
      <w:szCs w:val="21"/>
    </w:rPr>
  </w:style>
  <w:style w:type="paragraph" w:styleId="a8">
    <w:name w:val="annotation text"/>
    <w:basedOn w:val="a"/>
    <w:link w:val="Char2"/>
    <w:uiPriority w:val="99"/>
    <w:semiHidden/>
    <w:unhideWhenUsed/>
    <w:rsid w:val="004C40E5"/>
    <w:pPr>
      <w:jc w:val="left"/>
    </w:pPr>
  </w:style>
  <w:style w:type="character" w:customStyle="1" w:styleId="Char2">
    <w:name w:val="批注文字 Char"/>
    <w:basedOn w:val="a0"/>
    <w:link w:val="a8"/>
    <w:uiPriority w:val="99"/>
    <w:semiHidden/>
    <w:rsid w:val="004C40E5"/>
  </w:style>
  <w:style w:type="paragraph" w:styleId="a9">
    <w:name w:val="annotation subject"/>
    <w:basedOn w:val="a8"/>
    <w:next w:val="a8"/>
    <w:link w:val="Char3"/>
    <w:uiPriority w:val="99"/>
    <w:semiHidden/>
    <w:unhideWhenUsed/>
    <w:rsid w:val="004C40E5"/>
    <w:rPr>
      <w:b/>
      <w:bCs/>
    </w:rPr>
  </w:style>
  <w:style w:type="character" w:customStyle="1" w:styleId="Char3">
    <w:name w:val="批注主题 Char"/>
    <w:basedOn w:val="Char2"/>
    <w:link w:val="a9"/>
    <w:uiPriority w:val="99"/>
    <w:semiHidden/>
    <w:rsid w:val="004C40E5"/>
    <w:rPr>
      <w:b/>
      <w:bCs/>
    </w:rPr>
  </w:style>
  <w:style w:type="paragraph" w:styleId="aa">
    <w:name w:val="Revision"/>
    <w:hidden/>
    <w:uiPriority w:val="99"/>
    <w:semiHidden/>
    <w:rsid w:val="003F15E5"/>
  </w:style>
  <w:style w:type="paragraph" w:styleId="ab">
    <w:name w:val="List Paragraph"/>
    <w:basedOn w:val="a"/>
    <w:uiPriority w:val="34"/>
    <w:qFormat/>
    <w:rsid w:val="00ED7938"/>
    <w:pPr>
      <w:ind w:firstLineChars="200" w:firstLine="420"/>
    </w:pPr>
  </w:style>
  <w:style w:type="paragraph" w:customStyle="1" w:styleId="msonormal0">
    <w:name w:val="msonormal"/>
    <w:basedOn w:val="a"/>
    <w:rsid w:val="008D4CA6"/>
    <w:pPr>
      <w:widowControl/>
      <w:spacing w:before="100" w:beforeAutospacing="1" w:after="100" w:afterAutospacing="1"/>
      <w:jc w:val="left"/>
    </w:pPr>
    <w:rPr>
      <w:rFonts w:ascii="宋体" w:eastAsia="宋体" w:hAnsi="宋体" w:cs="宋体"/>
      <w:kern w:val="0"/>
      <w:sz w:val="24"/>
      <w:szCs w:val="24"/>
    </w:rPr>
  </w:style>
  <w:style w:type="paragraph" w:styleId="ac">
    <w:name w:val="Normal (Web)"/>
    <w:basedOn w:val="a"/>
    <w:uiPriority w:val="99"/>
    <w:semiHidden/>
    <w:unhideWhenUsed/>
    <w:rsid w:val="008D4C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D4C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3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3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331B"/>
    <w:rPr>
      <w:sz w:val="18"/>
      <w:szCs w:val="18"/>
    </w:rPr>
  </w:style>
  <w:style w:type="paragraph" w:styleId="a4">
    <w:name w:val="footer"/>
    <w:basedOn w:val="a"/>
    <w:link w:val="Char0"/>
    <w:uiPriority w:val="99"/>
    <w:unhideWhenUsed/>
    <w:rsid w:val="00E1331B"/>
    <w:pPr>
      <w:tabs>
        <w:tab w:val="center" w:pos="4153"/>
        <w:tab w:val="right" w:pos="8306"/>
      </w:tabs>
      <w:snapToGrid w:val="0"/>
      <w:jc w:val="left"/>
    </w:pPr>
    <w:rPr>
      <w:sz w:val="18"/>
      <w:szCs w:val="18"/>
    </w:rPr>
  </w:style>
  <w:style w:type="character" w:customStyle="1" w:styleId="Char0">
    <w:name w:val="页脚 Char"/>
    <w:basedOn w:val="a0"/>
    <w:link w:val="a4"/>
    <w:uiPriority w:val="99"/>
    <w:rsid w:val="00E1331B"/>
    <w:rPr>
      <w:sz w:val="18"/>
      <w:szCs w:val="18"/>
    </w:rPr>
  </w:style>
  <w:style w:type="character" w:styleId="a5">
    <w:name w:val="Hyperlink"/>
    <w:basedOn w:val="a0"/>
    <w:uiPriority w:val="99"/>
    <w:unhideWhenUsed/>
    <w:rsid w:val="00E1331B"/>
    <w:rPr>
      <w:color w:val="0563C1" w:themeColor="hyperlink"/>
      <w:u w:val="single"/>
    </w:rPr>
  </w:style>
  <w:style w:type="character" w:customStyle="1" w:styleId="1">
    <w:name w:val="未处理的提及1"/>
    <w:basedOn w:val="a0"/>
    <w:uiPriority w:val="99"/>
    <w:semiHidden/>
    <w:unhideWhenUsed/>
    <w:rsid w:val="00E1331B"/>
    <w:rPr>
      <w:color w:val="605E5C"/>
      <w:shd w:val="clear" w:color="auto" w:fill="E1DFDD"/>
    </w:rPr>
  </w:style>
  <w:style w:type="paragraph" w:styleId="a6">
    <w:name w:val="Balloon Text"/>
    <w:basedOn w:val="a"/>
    <w:link w:val="Char1"/>
    <w:uiPriority w:val="99"/>
    <w:semiHidden/>
    <w:unhideWhenUsed/>
    <w:rsid w:val="00E1331B"/>
    <w:rPr>
      <w:sz w:val="18"/>
      <w:szCs w:val="18"/>
    </w:rPr>
  </w:style>
  <w:style w:type="character" w:customStyle="1" w:styleId="Char1">
    <w:name w:val="批注框文本 Char"/>
    <w:basedOn w:val="a0"/>
    <w:link w:val="a6"/>
    <w:uiPriority w:val="99"/>
    <w:semiHidden/>
    <w:rsid w:val="00E1331B"/>
    <w:rPr>
      <w:sz w:val="18"/>
      <w:szCs w:val="18"/>
    </w:rPr>
  </w:style>
  <w:style w:type="paragraph" w:customStyle="1" w:styleId="EndNoteBibliographyTitle">
    <w:name w:val="EndNote Bibliography Title"/>
    <w:basedOn w:val="a"/>
    <w:link w:val="EndNoteBibliographyTitle0"/>
    <w:rsid w:val="00E1331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1331B"/>
    <w:rPr>
      <w:rFonts w:ascii="等线" w:eastAsia="等线" w:hAnsi="等线"/>
      <w:noProof/>
      <w:sz w:val="20"/>
    </w:rPr>
  </w:style>
  <w:style w:type="paragraph" w:customStyle="1" w:styleId="EndNoteBibliography">
    <w:name w:val="EndNote Bibliography"/>
    <w:basedOn w:val="a"/>
    <w:link w:val="EndNoteBibliography0"/>
    <w:rsid w:val="00E1331B"/>
    <w:rPr>
      <w:rFonts w:ascii="等线" w:eastAsia="等线" w:hAnsi="等线"/>
      <w:noProof/>
      <w:sz w:val="20"/>
    </w:rPr>
  </w:style>
  <w:style w:type="character" w:customStyle="1" w:styleId="EndNoteBibliography0">
    <w:name w:val="EndNote Bibliography 字符"/>
    <w:basedOn w:val="a0"/>
    <w:link w:val="EndNoteBibliography"/>
    <w:rsid w:val="00E1331B"/>
    <w:rPr>
      <w:rFonts w:ascii="等线" w:eastAsia="等线" w:hAnsi="等线"/>
      <w:noProof/>
      <w:sz w:val="20"/>
    </w:rPr>
  </w:style>
  <w:style w:type="character" w:styleId="a7">
    <w:name w:val="annotation reference"/>
    <w:basedOn w:val="a0"/>
    <w:uiPriority w:val="99"/>
    <w:semiHidden/>
    <w:unhideWhenUsed/>
    <w:rsid w:val="004C40E5"/>
    <w:rPr>
      <w:sz w:val="21"/>
      <w:szCs w:val="21"/>
    </w:rPr>
  </w:style>
  <w:style w:type="paragraph" w:styleId="a8">
    <w:name w:val="annotation text"/>
    <w:basedOn w:val="a"/>
    <w:link w:val="Char2"/>
    <w:uiPriority w:val="99"/>
    <w:semiHidden/>
    <w:unhideWhenUsed/>
    <w:rsid w:val="004C40E5"/>
    <w:pPr>
      <w:jc w:val="left"/>
    </w:pPr>
  </w:style>
  <w:style w:type="character" w:customStyle="1" w:styleId="Char2">
    <w:name w:val="批注文字 Char"/>
    <w:basedOn w:val="a0"/>
    <w:link w:val="a8"/>
    <w:uiPriority w:val="99"/>
    <w:semiHidden/>
    <w:rsid w:val="004C40E5"/>
  </w:style>
  <w:style w:type="paragraph" w:styleId="a9">
    <w:name w:val="annotation subject"/>
    <w:basedOn w:val="a8"/>
    <w:next w:val="a8"/>
    <w:link w:val="Char3"/>
    <w:uiPriority w:val="99"/>
    <w:semiHidden/>
    <w:unhideWhenUsed/>
    <w:rsid w:val="004C40E5"/>
    <w:rPr>
      <w:b/>
      <w:bCs/>
    </w:rPr>
  </w:style>
  <w:style w:type="character" w:customStyle="1" w:styleId="Char3">
    <w:name w:val="批注主题 Char"/>
    <w:basedOn w:val="Char2"/>
    <w:link w:val="a9"/>
    <w:uiPriority w:val="99"/>
    <w:semiHidden/>
    <w:rsid w:val="004C40E5"/>
    <w:rPr>
      <w:b/>
      <w:bCs/>
    </w:rPr>
  </w:style>
  <w:style w:type="paragraph" w:styleId="aa">
    <w:name w:val="Revision"/>
    <w:hidden/>
    <w:uiPriority w:val="99"/>
    <w:semiHidden/>
    <w:rsid w:val="003F15E5"/>
  </w:style>
  <w:style w:type="paragraph" w:styleId="ab">
    <w:name w:val="List Paragraph"/>
    <w:basedOn w:val="a"/>
    <w:uiPriority w:val="34"/>
    <w:qFormat/>
    <w:rsid w:val="00ED7938"/>
    <w:pPr>
      <w:ind w:firstLineChars="200" w:firstLine="420"/>
    </w:pPr>
  </w:style>
  <w:style w:type="paragraph" w:customStyle="1" w:styleId="msonormal0">
    <w:name w:val="msonormal"/>
    <w:basedOn w:val="a"/>
    <w:rsid w:val="008D4CA6"/>
    <w:pPr>
      <w:widowControl/>
      <w:spacing w:before="100" w:beforeAutospacing="1" w:after="100" w:afterAutospacing="1"/>
      <w:jc w:val="left"/>
    </w:pPr>
    <w:rPr>
      <w:rFonts w:ascii="宋体" w:eastAsia="宋体" w:hAnsi="宋体" w:cs="宋体"/>
      <w:kern w:val="0"/>
      <w:sz w:val="24"/>
      <w:szCs w:val="24"/>
    </w:rPr>
  </w:style>
  <w:style w:type="paragraph" w:styleId="ac">
    <w:name w:val="Normal (Web)"/>
    <w:basedOn w:val="a"/>
    <w:uiPriority w:val="99"/>
    <w:semiHidden/>
    <w:unhideWhenUsed/>
    <w:rsid w:val="008D4C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8D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594575">
      <w:bodyDiv w:val="1"/>
      <w:marLeft w:val="0"/>
      <w:marRight w:val="0"/>
      <w:marTop w:val="0"/>
      <w:marBottom w:val="0"/>
      <w:divBdr>
        <w:top w:val="none" w:sz="0" w:space="0" w:color="auto"/>
        <w:left w:val="none" w:sz="0" w:space="0" w:color="auto"/>
        <w:bottom w:val="none" w:sz="0" w:space="0" w:color="auto"/>
        <w:right w:val="none" w:sz="0" w:space="0" w:color="auto"/>
      </w:divBdr>
    </w:div>
    <w:div w:id="21052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4F88F-C2CC-4454-930C-B7D31F85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57</Pages>
  <Words>16592</Words>
  <Characters>94579</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Steven</dc:creator>
  <cp:lastModifiedBy>邢燕霞</cp:lastModifiedBy>
  <cp:revision>9</cp:revision>
  <dcterms:created xsi:type="dcterms:W3CDTF">2020-06-19T13:58:00Z</dcterms:created>
  <dcterms:modified xsi:type="dcterms:W3CDTF">2020-07-04T13:23:00Z</dcterms:modified>
</cp:coreProperties>
</file>