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83" w:rsidRDefault="00AA420B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</w:rPr>
      </w:pPr>
      <w:r>
        <w:rPr>
          <w:rFonts w:ascii="Book Antiqua" w:eastAsia="Times New Roman" w:hAnsi="Book Antiqua" w:cs="宋体"/>
          <w:b/>
          <w:sz w:val="24"/>
        </w:rPr>
        <w:t xml:space="preserve">Name of Journal: </w:t>
      </w:r>
      <w:bookmarkStart w:id="0" w:name="OLE_LINK335"/>
      <w:bookmarkStart w:id="1" w:name="OLE_LINK696"/>
      <w:bookmarkStart w:id="2" w:name="OLE_LINK661"/>
      <w:bookmarkStart w:id="3" w:name="OLE_LINK645"/>
      <w:bookmarkStart w:id="4" w:name="OLE_LINK1068"/>
      <w:bookmarkStart w:id="5" w:name="OLE_LINK718"/>
      <w:bookmarkStart w:id="6" w:name="OLE_LINK719"/>
      <w:r>
        <w:rPr>
          <w:rFonts w:ascii="Book Antiqua" w:eastAsia="Times New Roman" w:hAnsi="Book Antiqua" w:cs="宋体"/>
          <w:i/>
          <w:sz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Book Antiqua" w:eastAsia="Times New Roman" w:hAnsi="Book Antiqua" w:cs="宋体"/>
          <w:i/>
          <w:sz w:val="24"/>
        </w:rPr>
        <w:t>Clinical Cases</w:t>
      </w:r>
    </w:p>
    <w:p w:rsidR="000D2A83" w:rsidRPr="006179DB" w:rsidRDefault="00AA420B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</w:rPr>
      </w:pPr>
      <w:r>
        <w:rPr>
          <w:rFonts w:ascii="Book Antiqua" w:eastAsia="Times New Roman" w:hAnsi="Book Antiqua" w:cs="Times New Roman"/>
          <w:b/>
          <w:bCs/>
          <w:sz w:val="24"/>
        </w:rPr>
        <w:t>Manuscript NO</w:t>
      </w:r>
      <w:r w:rsidRPr="006179DB">
        <w:rPr>
          <w:rFonts w:ascii="Book Antiqua" w:eastAsia="宋体" w:hAnsi="Book Antiqua" w:cs="Arial"/>
          <w:b/>
          <w:sz w:val="24"/>
        </w:rPr>
        <w:t xml:space="preserve">: </w:t>
      </w:r>
      <w:r w:rsidRPr="006179DB">
        <w:rPr>
          <w:rFonts w:ascii="Book Antiqua" w:eastAsia="宋体" w:hAnsi="Book Antiqua" w:cs="Arial"/>
          <w:bCs/>
          <w:sz w:val="24"/>
        </w:rPr>
        <w:t>55349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</w:rPr>
      </w:pPr>
      <w:bookmarkStart w:id="7" w:name="OLE_LINK4"/>
      <w:bookmarkStart w:id="8" w:name="OLE_LINK3"/>
      <w:r>
        <w:rPr>
          <w:rFonts w:ascii="Book Antiqua" w:eastAsia="宋体" w:hAnsi="Book Antiqua" w:cs="Times New Roman"/>
          <w:b/>
          <w:sz w:val="24"/>
        </w:rPr>
        <w:t xml:space="preserve">Manuscript Type: </w:t>
      </w:r>
      <w:bookmarkEnd w:id="7"/>
      <w:bookmarkEnd w:id="8"/>
      <w:r>
        <w:rPr>
          <w:rFonts w:ascii="Book Antiqua" w:eastAsia="宋体" w:hAnsi="Book Antiqua" w:cs="Times New Roman"/>
          <w:sz w:val="24"/>
        </w:rPr>
        <w:t>CASE REPORT</w:t>
      </w:r>
    </w:p>
    <w:p w:rsidR="000D2A83" w:rsidRDefault="000D2A83">
      <w:pPr>
        <w:snapToGrid w:val="0"/>
        <w:spacing w:line="360" w:lineRule="auto"/>
        <w:rPr>
          <w:rFonts w:ascii="Book Antiqua" w:hAnsi="Book Antiqua" w:cstheme="minorHAnsi"/>
          <w:b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hAnsi="Book Antiqua" w:cs="Arial"/>
          <w:b/>
          <w:sz w:val="24"/>
        </w:rPr>
        <w:t>Headache and sick sinus syndrome: A case report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Bi YC </w:t>
      </w:r>
      <w:r>
        <w:rPr>
          <w:rFonts w:ascii="Book Antiqua" w:hAnsi="Book Antiqua" w:cs="Arial"/>
          <w:i/>
          <w:iCs/>
          <w:sz w:val="24"/>
        </w:rPr>
        <w:t>et al</w:t>
      </w:r>
      <w:r>
        <w:rPr>
          <w:rFonts w:ascii="Book Antiqua" w:hAnsi="Book Antiqua" w:cs="Arial"/>
          <w:sz w:val="24"/>
        </w:rPr>
        <w:t>. Headache and sick sinus syndrome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You-Cai Bi, Liang Gong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b/>
          <w:bCs/>
          <w:sz w:val="24"/>
        </w:rPr>
        <w:t xml:space="preserve">You-Cai Bi, </w:t>
      </w:r>
      <w:r>
        <w:rPr>
          <w:rFonts w:ascii="Book Antiqua" w:hAnsi="Book Antiqua" w:cs="Arial"/>
          <w:sz w:val="24"/>
        </w:rPr>
        <w:t xml:space="preserve">Department of Neurology, </w:t>
      </w:r>
      <w:r>
        <w:rPr>
          <w:rFonts w:ascii="Book Antiqua" w:hAnsi="Book Antiqua" w:cs="Arial"/>
          <w:sz w:val="24"/>
        </w:rPr>
        <w:t>Zigong Fourth People’s  Hospital</w:t>
      </w:r>
      <w:r>
        <w:rPr>
          <w:rFonts w:ascii="Book Antiqua" w:hAnsi="Book Antiqua" w:cs="Arial"/>
          <w:sz w:val="24"/>
        </w:rPr>
        <w:t>, Zigong 643</w:t>
      </w:r>
      <w:r>
        <w:rPr>
          <w:rFonts w:ascii="Book Antiqua" w:hAnsi="Book Antiqua" w:cs="Arial"/>
          <w:sz w:val="24"/>
        </w:rPr>
        <w:t>0</w:t>
      </w:r>
      <w:r>
        <w:rPr>
          <w:rFonts w:ascii="Book Antiqua" w:hAnsi="Book Antiqua" w:cs="Arial"/>
          <w:sz w:val="24"/>
        </w:rPr>
        <w:t>00, Sichuan Province, China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b/>
          <w:bCs/>
          <w:sz w:val="24"/>
        </w:rPr>
        <w:t xml:space="preserve">Liang Gong, </w:t>
      </w:r>
      <w:r>
        <w:rPr>
          <w:rFonts w:ascii="Book Antiqua" w:hAnsi="Book Antiqua" w:cs="Arial"/>
          <w:sz w:val="24"/>
        </w:rPr>
        <w:t>Department of Neurology, Chengdu Second People’s Hospital, Chengdu 650017, Sichuan Province, China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6179DB">
        <w:rPr>
          <w:rFonts w:ascii="Book Antiqua" w:hAnsi="Book Antiqua"/>
          <w:b/>
          <w:sz w:val="24"/>
        </w:rPr>
        <w:t>Author contribution</w:t>
      </w:r>
      <w:r w:rsidRPr="006179DB">
        <w:rPr>
          <w:rFonts w:ascii="Book Antiqua" w:hAnsi="Book Antiqua"/>
          <w:b/>
          <w:sz w:val="24"/>
        </w:rPr>
        <w:t xml:space="preserve">s: </w:t>
      </w:r>
      <w:r>
        <w:rPr>
          <w:rFonts w:ascii="Book Antiqua" w:hAnsi="Book Antiqua" w:cs="Arial"/>
          <w:sz w:val="24"/>
        </w:rPr>
        <w:t xml:space="preserve">Bi YC designed and </w:t>
      </w:r>
      <w:r>
        <w:rPr>
          <w:rFonts w:ascii="Book Antiqua" w:hAnsi="Book Antiqua" w:cs="Arial"/>
          <w:sz w:val="24"/>
        </w:rPr>
        <w:t xml:space="preserve">summarized </w:t>
      </w:r>
      <w:r>
        <w:rPr>
          <w:rFonts w:ascii="Book Antiqua" w:hAnsi="Book Antiqua" w:cs="Arial"/>
          <w:sz w:val="24"/>
        </w:rPr>
        <w:t xml:space="preserve">the literature, drafted and wrote the manuscript; Gong L revised the manuscript critically for intellectual content; </w:t>
      </w:r>
      <w:r>
        <w:rPr>
          <w:rFonts w:ascii="Book Antiqua" w:hAnsi="Book Antiqua" w:cs="Arial"/>
          <w:sz w:val="24"/>
        </w:rPr>
        <w:t>A</w:t>
      </w:r>
      <w:r>
        <w:rPr>
          <w:rFonts w:ascii="Book Antiqua" w:hAnsi="Book Antiqua" w:cs="Arial"/>
          <w:sz w:val="24"/>
        </w:rPr>
        <w:t xml:space="preserve">ll authors </w:t>
      </w:r>
      <w:r>
        <w:rPr>
          <w:rFonts w:ascii="Book Antiqua" w:hAnsi="Book Antiqua" w:cs="Arial"/>
          <w:sz w:val="24"/>
        </w:rPr>
        <w:t xml:space="preserve">provided </w:t>
      </w:r>
      <w:r>
        <w:rPr>
          <w:rFonts w:ascii="Book Antiqua" w:hAnsi="Book Antiqua" w:cs="Arial"/>
          <w:sz w:val="24"/>
        </w:rPr>
        <w:t>intellectual input to the study and approved the final version of the</w:t>
      </w:r>
      <w:r>
        <w:rPr>
          <w:rFonts w:ascii="Book Antiqua" w:hAnsi="Book Antiqua" w:cs="Arial"/>
          <w:sz w:val="24"/>
        </w:rPr>
        <w:t xml:space="preserve"> manuscript.</w:t>
      </w:r>
    </w:p>
    <w:p w:rsidR="000D2A83" w:rsidRPr="006179DB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theme="minorHAnsi"/>
          <w:b/>
          <w:sz w:val="24"/>
        </w:rPr>
        <w:t>Supported by</w:t>
      </w:r>
      <w:r>
        <w:rPr>
          <w:rFonts w:ascii="Book Antiqua" w:hAnsi="Book Antiqua" w:cs="Arial"/>
          <w:sz w:val="24"/>
        </w:rPr>
        <w:t xml:space="preserve"> the </w:t>
      </w:r>
      <w:r>
        <w:rPr>
          <w:rFonts w:ascii="Book Antiqua" w:hAnsi="Book Antiqua" w:cs="Arial"/>
          <w:sz w:val="24"/>
        </w:rPr>
        <w:t>Sichuan Science and Technology Program</w:t>
      </w:r>
      <w:r>
        <w:rPr>
          <w:rFonts w:ascii="Book Antiqua" w:hAnsi="Book Antiqua" w:cs="Arial"/>
          <w:sz w:val="24"/>
        </w:rPr>
        <w:t>, No</w:t>
      </w:r>
      <w:r>
        <w:rPr>
          <w:rFonts w:ascii="Book Antiqua" w:hAnsi="Book Antiqua" w:cs="Arial"/>
          <w:sz w:val="24"/>
        </w:rPr>
        <w:t>.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2020YJ0197</w:t>
      </w:r>
      <w:r>
        <w:rPr>
          <w:rFonts w:ascii="Book Antiqua" w:hAnsi="Book Antiqua" w:cs="Arial"/>
          <w:sz w:val="24"/>
        </w:rPr>
        <w:t>; and the Chengdu Medical Research Project, No</w:t>
      </w:r>
      <w:r>
        <w:rPr>
          <w:rFonts w:ascii="Book Antiqua" w:hAnsi="Book Antiqua" w:cs="Arial"/>
          <w:sz w:val="24"/>
        </w:rPr>
        <w:t>.</w:t>
      </w:r>
      <w:r>
        <w:rPr>
          <w:rFonts w:ascii="Book Antiqua" w:hAnsi="Book Antiqua" w:cs="Arial"/>
          <w:sz w:val="24"/>
        </w:rPr>
        <w:t xml:space="preserve"> 2019115.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6179DB">
        <w:rPr>
          <w:rFonts w:ascii="Book Antiqua" w:hAnsi="Book Antiqua" w:cstheme="minorHAnsi"/>
          <w:b/>
          <w:sz w:val="24"/>
        </w:rPr>
        <w:t xml:space="preserve">Corresponding author: </w:t>
      </w:r>
      <w:r>
        <w:rPr>
          <w:rFonts w:ascii="Book Antiqua" w:hAnsi="Book Antiqua" w:cs="Arial"/>
          <w:b/>
          <w:bCs/>
          <w:sz w:val="24"/>
        </w:rPr>
        <w:t>Liang Gong, MD, PhD, Assistant Professor, Doctor,</w:t>
      </w:r>
      <w:r>
        <w:rPr>
          <w:rFonts w:ascii="Book Antiqua" w:hAnsi="Book Antiqua" w:cs="Arial"/>
          <w:sz w:val="24"/>
        </w:rPr>
        <w:t xml:space="preserve"> Department of Neurology, Chengdu Second People’s Hospital, No. 10, Qinyunnan Road, Chengdu 650017, Sichuan Province, China. </w:t>
      </w:r>
      <w:r>
        <w:rPr>
          <w:rFonts w:ascii="Book Antiqua" w:hAnsi="Book Antiqua" w:cs="Arial"/>
          <w:sz w:val="24"/>
          <w:u w:val="single"/>
        </w:rPr>
        <w:t>cd2gongliang@126.com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b/>
          <w:sz w:val="24"/>
        </w:rPr>
      </w:pPr>
      <w:bookmarkStart w:id="9" w:name="_GoBack"/>
      <w:bookmarkEnd w:id="9"/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6179DB">
        <w:rPr>
          <w:rFonts w:ascii="Book Antiqua" w:hAnsi="Book Antiqua"/>
          <w:b/>
          <w:sz w:val="24"/>
        </w:rPr>
        <w:t xml:space="preserve">Received: </w:t>
      </w:r>
      <w:r w:rsidRPr="006179DB">
        <w:rPr>
          <w:rFonts w:ascii="Book Antiqua" w:hAnsi="Book Antiqua"/>
          <w:sz w:val="24"/>
        </w:rPr>
        <w:t>March 16, 2020</w:t>
      </w: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6179DB">
        <w:rPr>
          <w:rFonts w:ascii="Book Antiqua" w:hAnsi="Book Antiqua"/>
          <w:b/>
          <w:sz w:val="24"/>
        </w:rPr>
        <w:t xml:space="preserve">Revised: </w:t>
      </w:r>
      <w:r w:rsidRPr="006179DB">
        <w:rPr>
          <w:rFonts w:ascii="Book Antiqua" w:hAnsi="Book Antiqua"/>
          <w:sz w:val="24"/>
        </w:rPr>
        <w:t>May 12, 2020</w:t>
      </w: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6179DB">
        <w:rPr>
          <w:rFonts w:ascii="Book Antiqua" w:hAnsi="Book Antiqua"/>
          <w:b/>
          <w:sz w:val="24"/>
        </w:rPr>
        <w:t>Accepted:</w:t>
      </w:r>
      <w:r>
        <w:t xml:space="preserve"> </w:t>
      </w:r>
      <w:r w:rsidRPr="006179DB">
        <w:rPr>
          <w:rFonts w:ascii="Book Antiqua" w:hAnsi="Book Antiqua"/>
          <w:bCs/>
          <w:sz w:val="24"/>
        </w:rPr>
        <w:t>June 3, 2020</w:t>
      </w:r>
      <w:r>
        <w:rPr>
          <w:rFonts w:ascii="Book Antiqua" w:hAnsi="Book Antiqua"/>
          <w:bCs/>
          <w:sz w:val="24"/>
        </w:rPr>
        <w:t xml:space="preserve"> </w:t>
      </w:r>
    </w:p>
    <w:p w:rsidR="000D2A83" w:rsidRDefault="00AA420B" w:rsidP="006179DB">
      <w:pPr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 w:rsidRPr="006179DB">
        <w:rPr>
          <w:rFonts w:ascii="Book Antiqua" w:hAnsi="Book Antiqua"/>
          <w:b/>
          <w:sz w:val="24"/>
        </w:rPr>
        <w:lastRenderedPageBreak/>
        <w:t xml:space="preserve">Published online: </w:t>
      </w:r>
      <w:r>
        <w:rPr>
          <w:rFonts w:ascii="Book Antiqua" w:hAnsi="Book Antiqua" w:cs="Arial"/>
          <w:b/>
          <w:bCs/>
          <w:sz w:val="24"/>
        </w:rPr>
        <w:br w:type="page"/>
      </w:r>
    </w:p>
    <w:p w:rsidR="000D2A83" w:rsidRDefault="00AA420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</w:rPr>
      </w:pPr>
      <w:r>
        <w:rPr>
          <w:rFonts w:ascii="Book Antiqua" w:hAnsi="Book Antiqua" w:cstheme="minorHAnsi"/>
          <w:b/>
          <w:sz w:val="24"/>
        </w:rPr>
        <w:lastRenderedPageBreak/>
        <w:t>Abstract</w:t>
      </w:r>
    </w:p>
    <w:p w:rsidR="000D2A83" w:rsidRDefault="00AA420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BACKGROUND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Sick sinus syndrome is a common disease in cardiology. Typical symptoms include</w:t>
      </w:r>
      <w:r>
        <w:rPr>
          <w:rStyle w:val="Char"/>
          <w:rFonts w:ascii="Book Antiqua" w:hAnsi="Book Antiqua" w:cs="Arial"/>
          <w:sz w:val="24"/>
          <w:szCs w:val="24"/>
        </w:rPr>
        <w:t xml:space="preserve"> palpitations, dizziness, shortness of breath, chest tightness</w:t>
      </w:r>
      <w:r>
        <w:rPr>
          <w:rStyle w:val="Char"/>
          <w:rFonts w:ascii="Book Antiqua" w:hAnsi="Book Antiqua" w:cs="Arial"/>
          <w:sz w:val="24"/>
          <w:szCs w:val="24"/>
        </w:rPr>
        <w:t>,</w:t>
      </w:r>
      <w:r>
        <w:rPr>
          <w:rStyle w:val="Char"/>
          <w:rFonts w:ascii="Book Antiqua" w:hAnsi="Book Antiqua" w:cs="Arial"/>
          <w:sz w:val="24"/>
          <w:szCs w:val="24"/>
        </w:rPr>
        <w:t xml:space="preserve"> and amaurosis. However, to date, there are no known reports of sick sinus syndrome presenting with hea</w:t>
      </w:r>
      <w:r>
        <w:rPr>
          <w:rStyle w:val="Char"/>
          <w:rFonts w:ascii="Book Antiqua" w:hAnsi="Book Antiqua" w:cs="Arial"/>
          <w:sz w:val="24"/>
          <w:szCs w:val="24"/>
        </w:rPr>
        <w:t>dache. Whether there is a correlation between headache and sick sinus syndrome merits further research. In this report, we describe a case o</w:t>
      </w:r>
      <w:r>
        <w:rPr>
          <w:rFonts w:ascii="Book Antiqua" w:hAnsi="Book Antiqua" w:cs="Arial"/>
          <w:sz w:val="24"/>
        </w:rPr>
        <w:t>f headache induced by sick sinus syndrome.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CASE SUMMARY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A 73-year-old female patient presented to our department wi</w:t>
      </w:r>
      <w:r>
        <w:rPr>
          <w:rFonts w:ascii="Book Antiqua" w:hAnsi="Book Antiqua" w:cs="Arial"/>
          <w:sz w:val="24"/>
        </w:rPr>
        <w:t xml:space="preserve">th the chief complaint of recurrent paroxysmal headache for more than </w:t>
      </w:r>
      <w:r>
        <w:rPr>
          <w:rFonts w:ascii="Book Antiqua" w:hAnsi="Book Antiqua" w:cs="Arial"/>
          <w:sz w:val="24"/>
        </w:rPr>
        <w:t xml:space="preserve">7 </w:t>
      </w:r>
      <w:r>
        <w:rPr>
          <w:rFonts w:ascii="Book Antiqua" w:hAnsi="Book Antiqua" w:cs="Arial"/>
          <w:sz w:val="24"/>
        </w:rPr>
        <w:t>years. The patient described paroxysmal palpations, usually headache occurring after palpitation. Her blood pressure was normal when the most recent headache occurred. A magnetic</w:t>
      </w:r>
      <w:r>
        <w:rPr>
          <w:rFonts w:ascii="Book Antiqua" w:hAnsi="Book Antiqua" w:cs="Arial"/>
          <w:sz w:val="24"/>
        </w:rPr>
        <w:t xml:space="preserve"> resonance imaging study and magnetic resonance angiography of the head at another center were normal. A clinical neurological examination was negative. A 24-h Holter electrocardiogram monitoring study showed sick sinus syndrome. The patient received dual </w:t>
      </w:r>
      <w:r>
        <w:rPr>
          <w:rFonts w:ascii="Book Antiqua" w:hAnsi="Book Antiqua" w:cs="Arial"/>
          <w:sz w:val="24"/>
        </w:rPr>
        <w:t>chamber pacing implantation and was administered drug therapy to control ventricular rate. The patient</w:t>
      </w:r>
      <w:r>
        <w:rPr>
          <w:rFonts w:ascii="Book Antiqua" w:hAnsi="Book Antiqua" w:cs="Arial"/>
          <w:sz w:val="24"/>
        </w:rPr>
        <w:t>’</w:t>
      </w:r>
      <w:r>
        <w:rPr>
          <w:rFonts w:ascii="Book Antiqua" w:hAnsi="Book Antiqua" w:cs="Arial"/>
          <w:sz w:val="24"/>
        </w:rPr>
        <w:t xml:space="preserve">s paroxysmal headaches and palpitations had resolved within </w:t>
      </w:r>
      <w:r>
        <w:rPr>
          <w:rFonts w:ascii="Book Antiqua" w:hAnsi="Book Antiqua" w:cs="Arial"/>
          <w:sz w:val="24"/>
        </w:rPr>
        <w:t>1</w:t>
      </w:r>
      <w:r>
        <w:rPr>
          <w:rFonts w:ascii="Book Antiqua" w:hAnsi="Book Antiqua" w:cs="Arial"/>
          <w:sz w:val="24"/>
        </w:rPr>
        <w:t xml:space="preserve"> year, confirmed </w:t>
      </w:r>
      <w:r>
        <w:rPr>
          <w:rFonts w:ascii="Book Antiqua" w:hAnsi="Book Antiqua" w:cs="Arial"/>
          <w:i/>
          <w:iCs/>
          <w:sz w:val="24"/>
        </w:rPr>
        <w:t>via</w:t>
      </w:r>
      <w:r>
        <w:rPr>
          <w:rFonts w:ascii="Book Antiqua" w:hAnsi="Book Antiqua" w:cs="Arial"/>
          <w:sz w:val="24"/>
        </w:rPr>
        <w:t xml:space="preserve"> a follow-up telephone call.</w:t>
      </w:r>
    </w:p>
    <w:p w:rsidR="000D2A83" w:rsidRDefault="000D2A83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</w:p>
    <w:p w:rsidR="000D2A83" w:rsidRDefault="00AA420B">
      <w:pPr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CONCLUSION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After dual-chamber pacing implantation and drug therapy administration to control the ventricular rate, the patient’s paroxysmal headaches and palpitations had resolved within </w:t>
      </w:r>
      <w:r>
        <w:rPr>
          <w:rFonts w:ascii="Book Antiqua" w:hAnsi="Book Antiqua" w:cs="Arial"/>
          <w:sz w:val="24"/>
        </w:rPr>
        <w:t>1</w:t>
      </w:r>
      <w:r>
        <w:rPr>
          <w:rFonts w:ascii="Book Antiqua" w:hAnsi="Book Antiqua" w:cs="Arial"/>
          <w:sz w:val="24"/>
        </w:rPr>
        <w:t xml:space="preserve"> year, confirmed </w:t>
      </w:r>
      <w:r>
        <w:rPr>
          <w:rFonts w:ascii="Book Antiqua" w:hAnsi="Book Antiqua" w:cs="Arial"/>
          <w:i/>
          <w:iCs/>
          <w:sz w:val="24"/>
        </w:rPr>
        <w:t>via</w:t>
      </w:r>
      <w:r>
        <w:rPr>
          <w:rFonts w:ascii="Book Antiqua" w:hAnsi="Book Antiqua" w:cs="Arial"/>
          <w:sz w:val="24"/>
        </w:rPr>
        <w:t xml:space="preserve"> a follow-up </w:t>
      </w:r>
      <w:r>
        <w:rPr>
          <w:rFonts w:ascii="Book Antiqua" w:hAnsi="Book Antiqua" w:cs="Arial"/>
          <w:sz w:val="24"/>
        </w:rPr>
        <w:t>telephone call. We believe that the headac</w:t>
      </w:r>
      <w:r>
        <w:rPr>
          <w:rFonts w:ascii="Book Antiqua" w:hAnsi="Book Antiqua" w:cs="Arial"/>
          <w:sz w:val="24"/>
        </w:rPr>
        <w:t>hes were related to the patient’s sick sinus syndrome.</w:t>
      </w:r>
    </w:p>
    <w:p w:rsidR="000D2A83" w:rsidRDefault="000D2A83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theme="minorHAnsi"/>
          <w:b/>
          <w:sz w:val="24"/>
        </w:rPr>
        <w:t xml:space="preserve">Key words: </w:t>
      </w:r>
      <w:r>
        <w:rPr>
          <w:rFonts w:ascii="Book Antiqua" w:hAnsi="Book Antiqua" w:cs="Arial"/>
          <w:sz w:val="24"/>
        </w:rPr>
        <w:t>Headache; Palpitations; Sick sinus syndrome; Differential diagnosis; Case report; Electrocardiogram</w:t>
      </w:r>
    </w:p>
    <w:p w:rsidR="000D2A83" w:rsidRDefault="000D2A83">
      <w:pPr>
        <w:widowControl/>
        <w:snapToGrid w:val="0"/>
        <w:spacing w:line="360" w:lineRule="auto"/>
        <w:rPr>
          <w:rFonts w:ascii="Book Antiqua" w:eastAsia="Times New Roman" w:hAnsi="Book Antiqua" w:cs="Times New Roman"/>
          <w:b/>
          <w:bCs/>
          <w:color w:val="333333"/>
          <w:kern w:val="0"/>
          <w:sz w:val="24"/>
          <w:shd w:val="clear" w:color="auto" w:fill="FFFFFF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 w:cs="Arial"/>
          <w:sz w:val="24"/>
        </w:rPr>
        <w:t xml:space="preserve">Bi YC, Gong L. </w:t>
      </w:r>
      <w:r>
        <w:rPr>
          <w:rFonts w:ascii="Book Antiqua" w:hAnsi="Book Antiqua" w:cs="Arial"/>
          <w:bCs/>
          <w:sz w:val="24"/>
        </w:rPr>
        <w:t>Headache and sick sinus syndrome: A case report.</w:t>
      </w:r>
      <w:r>
        <w:rPr>
          <w:rFonts w:ascii="Book Antiqua" w:hAnsi="Book Antiqua" w:cs="Arial"/>
          <w:b/>
          <w:sz w:val="24"/>
        </w:rPr>
        <w:t xml:space="preserve"> </w:t>
      </w:r>
      <w:r>
        <w:rPr>
          <w:rFonts w:ascii="Book Antiqua" w:hAnsi="Book Antiqua"/>
          <w:i/>
          <w:iCs/>
          <w:sz w:val="24"/>
        </w:rPr>
        <w:t xml:space="preserve">World J Clin Cases </w:t>
      </w:r>
      <w:r>
        <w:rPr>
          <w:rFonts w:ascii="Book Antiqua" w:hAnsi="Book Antiqua"/>
          <w:iCs/>
          <w:sz w:val="24"/>
        </w:rPr>
        <w:lastRenderedPageBreak/>
        <w:t>2020</w:t>
      </w:r>
      <w:r>
        <w:rPr>
          <w:rFonts w:ascii="Book Antiqua" w:hAnsi="Book Antiqua"/>
          <w:bCs/>
          <w:sz w:val="24"/>
        </w:rPr>
        <w:t>;</w:t>
      </w:r>
      <w:r>
        <w:rPr>
          <w:rFonts w:ascii="Book Antiqua" w:hAnsi="Book Antiqua"/>
          <w:bCs/>
          <w:sz w:val="24"/>
        </w:rPr>
        <w:t xml:space="preserve"> In press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/>
          <w:b/>
          <w:sz w:val="24"/>
        </w:rPr>
        <w:t xml:space="preserve">Core tip: </w:t>
      </w:r>
      <w:r>
        <w:rPr>
          <w:rFonts w:ascii="Book Antiqua" w:hAnsi="Book Antiqua" w:cs="Arial"/>
          <w:sz w:val="24"/>
        </w:rPr>
        <w:t>We report a patient who had headaches induced by sick sinus syndrome</w:t>
      </w:r>
      <w:r>
        <w:rPr>
          <w:rFonts w:ascii="Book Antiqua" w:hAnsi="Book Antiqua" w:cs="Arial"/>
          <w:sz w:val="24"/>
        </w:rPr>
        <w:t>. To the best of our knowledge, t</w:t>
      </w:r>
      <w:r>
        <w:rPr>
          <w:rFonts w:ascii="Book Antiqua" w:hAnsi="Book Antiqua" w:cs="Arial"/>
          <w:sz w:val="24"/>
        </w:rPr>
        <w:t>his finding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has not been previously reported. It provides new ideas for clinical diagnosis and treatment of bot</w:t>
      </w:r>
      <w:r>
        <w:rPr>
          <w:rFonts w:ascii="Book Antiqua" w:hAnsi="Book Antiqua" w:cs="Arial"/>
          <w:sz w:val="24"/>
        </w:rPr>
        <w:t>h headache and sick sinus syndrome in the future.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  <w:r>
        <w:rPr>
          <w:rFonts w:ascii="Book Antiqua" w:hAnsi="Book Antiqua" w:cs="Arial"/>
          <w:b/>
          <w:bCs/>
          <w:sz w:val="24"/>
        </w:rPr>
        <w:br w:type="page"/>
      </w:r>
    </w:p>
    <w:p w:rsidR="000D2A83" w:rsidRPr="006179DB" w:rsidRDefault="00AA420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6179DB">
        <w:rPr>
          <w:rFonts w:ascii="Book Antiqua" w:hAnsi="Book Antiqua" w:cstheme="minorHAnsi"/>
          <w:b/>
          <w:sz w:val="24"/>
          <w:u w:val="single"/>
        </w:rPr>
        <w:lastRenderedPageBreak/>
        <w:t>INTRODUCTION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Headache is a common neurological symptom with a multitude of different causes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such as intracranial hemorrhage, infection, and migraine. Sick sinus syndrome is an arrhythmia phenotype attri</w:t>
      </w:r>
      <w:r>
        <w:rPr>
          <w:rFonts w:ascii="Book Antiqua" w:hAnsi="Book Antiqua" w:cs="Arial"/>
          <w:sz w:val="24"/>
        </w:rPr>
        <w:t xml:space="preserve">buted to sinus node dysfunction. The clinical symptoms of sick sinus syndrome include palpitations, dizziness, chest tightness, weakness, shortness of breath, amaurosis, </w:t>
      </w:r>
      <w:r>
        <w:rPr>
          <w:rFonts w:ascii="Book Antiqua" w:hAnsi="Book Antiqua" w:cs="Arial"/>
          <w:sz w:val="24"/>
        </w:rPr>
        <w:t xml:space="preserve">and </w:t>
      </w:r>
      <w:r>
        <w:rPr>
          <w:rFonts w:ascii="Book Antiqua" w:hAnsi="Book Antiqua" w:cs="Arial"/>
          <w:sz w:val="24"/>
        </w:rPr>
        <w:t>Adams-</w:t>
      </w:r>
      <w:r>
        <w:rPr>
          <w:rFonts w:ascii="Book Antiqua" w:hAnsi="Book Antiqua" w:cs="Arial"/>
          <w:sz w:val="24"/>
        </w:rPr>
        <w:t>S</w:t>
      </w:r>
      <w:r>
        <w:rPr>
          <w:rFonts w:ascii="Book Antiqua" w:hAnsi="Book Antiqua" w:cs="Arial"/>
          <w:sz w:val="24"/>
        </w:rPr>
        <w:t>tokes syndrome, among others. In this report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we describe a case of headache induced by sick sinus syndrome.</w:t>
      </w:r>
    </w:p>
    <w:p w:rsidR="000D2A83" w:rsidRDefault="000D2A83">
      <w:pPr>
        <w:topLinePunct/>
        <w:autoSpaceDE w:val="0"/>
        <w:snapToGrid w:val="0"/>
        <w:spacing w:line="360" w:lineRule="auto"/>
        <w:ind w:firstLine="560"/>
        <w:rPr>
          <w:rFonts w:ascii="Book Antiqua" w:hAnsi="Book Antiqua" w:cs="Arial"/>
          <w:sz w:val="24"/>
        </w:rPr>
      </w:pPr>
    </w:p>
    <w:p w:rsidR="000D2A83" w:rsidRDefault="00AA420B">
      <w:pPr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bookmarkStart w:id="10" w:name="_Hlk26436192"/>
      <w:r>
        <w:rPr>
          <w:rFonts w:ascii="Book Antiqua" w:hAnsi="Book Antiqua" w:cstheme="minorHAnsi"/>
          <w:b/>
          <w:sz w:val="24"/>
          <w:u w:val="single"/>
        </w:rPr>
        <w:t>CASE PRESENTATION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Chief complaints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</w:rPr>
      </w:pPr>
      <w:r>
        <w:rPr>
          <w:rFonts w:ascii="Book Antiqua" w:hAnsi="Book Antiqua" w:cs="Arial"/>
          <w:bCs/>
          <w:iCs/>
          <w:sz w:val="24"/>
        </w:rPr>
        <w:t>On</w:t>
      </w:r>
      <w:r>
        <w:rPr>
          <w:rFonts w:ascii="Book Antiqua" w:hAnsi="Book Antiqua" w:cs="Arial"/>
          <w:b/>
          <w:i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July 30, 2018, a 73-year-old female patient presented to our department with the chief complaint of recurrent paroxysmal headache for more than </w:t>
      </w:r>
      <w:r>
        <w:rPr>
          <w:rFonts w:ascii="Book Antiqua" w:hAnsi="Book Antiqua" w:cs="Arial"/>
          <w:sz w:val="24"/>
        </w:rPr>
        <w:t xml:space="preserve">7 </w:t>
      </w:r>
      <w:r>
        <w:rPr>
          <w:rFonts w:ascii="Book Antiqua" w:hAnsi="Book Antiqua" w:cs="Arial"/>
          <w:sz w:val="24"/>
        </w:rPr>
        <w:t>y</w:t>
      </w:r>
      <w:r>
        <w:rPr>
          <w:rFonts w:ascii="Book Antiqua" w:hAnsi="Book Antiqua" w:cs="Arial"/>
          <w:sz w:val="24"/>
        </w:rPr>
        <w:t>ears.</w:t>
      </w:r>
    </w:p>
    <w:bookmarkEnd w:id="10"/>
    <w:p w:rsidR="000D2A83" w:rsidRDefault="000D2A83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History of present illness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The headaches lasted from minutes to hours, </w:t>
      </w:r>
      <w:r>
        <w:rPr>
          <w:rFonts w:ascii="Book Antiqua" w:hAnsi="Book Antiqua" w:cs="Arial"/>
          <w:sz w:val="24"/>
        </w:rPr>
        <w:t xml:space="preserve">and </w:t>
      </w:r>
      <w:r>
        <w:rPr>
          <w:rFonts w:ascii="Book Antiqua" w:hAnsi="Book Antiqua" w:cs="Arial"/>
          <w:sz w:val="24"/>
        </w:rPr>
        <w:t>presented with moderate swelling</w:t>
      </w:r>
      <w:r>
        <w:rPr>
          <w:rFonts w:ascii="Book Antiqua" w:hAnsi="Book Antiqua" w:cs="Arial"/>
          <w:sz w:val="24"/>
        </w:rPr>
        <w:t xml:space="preserve"> and recurrent paroxysmal pain through the whole brain. The patient had paroxysmal palpations as well, usually followed by the headache episodes. </w:t>
      </w:r>
      <w:r>
        <w:rPr>
          <w:rFonts w:ascii="Book Antiqua" w:hAnsi="Book Antiqua" w:cs="Arial"/>
          <w:sz w:val="24"/>
        </w:rPr>
        <w:t>However, h</w:t>
      </w:r>
      <w:r>
        <w:rPr>
          <w:rFonts w:ascii="Book Antiqua" w:hAnsi="Book Antiqua" w:cs="Arial"/>
          <w:sz w:val="24"/>
        </w:rPr>
        <w:t>eadaches did not always occur every time after palpations</w:t>
      </w:r>
      <w:r>
        <w:rPr>
          <w:rFonts w:ascii="Book Antiqua" w:hAnsi="Book Antiqua" w:cs="Arial"/>
          <w:sz w:val="24"/>
        </w:rPr>
        <w:t>. The patient’s blood pressure wa</w:t>
      </w:r>
      <w:r>
        <w:rPr>
          <w:rFonts w:ascii="Book Antiqua" w:hAnsi="Book Antiqua" w:cs="Arial"/>
          <w:sz w:val="24"/>
        </w:rPr>
        <w:t>s normal when the headaches occurred.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>
        <w:rPr>
          <w:rFonts w:ascii="Book Antiqua" w:hAnsi="Book Antiqua"/>
          <w:i/>
          <w:sz w:val="24"/>
        </w:rPr>
        <w:t xml:space="preserve"> 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History of past illness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iCs/>
          <w:color w:val="D0CECE" w:themeColor="background2" w:themeShade="E6"/>
          <w:sz w:val="24"/>
        </w:rPr>
      </w:pPr>
      <w:r>
        <w:rPr>
          <w:rFonts w:ascii="Book Antiqua" w:hAnsi="Book Antiqua" w:cs="Arial"/>
          <w:sz w:val="24"/>
        </w:rPr>
        <w:t>The patient has documented hypertension and type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2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diabetes, although blood pressure and glucose were well managed.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i/>
          <w:color w:val="D0CECE" w:themeColor="background2" w:themeShade="E6"/>
          <w:sz w:val="24"/>
        </w:rPr>
      </w:pPr>
      <w:r>
        <w:rPr>
          <w:rFonts w:ascii="Book Antiqua" w:hAnsi="Book Antiqua"/>
          <w:i/>
          <w:color w:val="D0CECE" w:themeColor="background2" w:themeShade="E6"/>
          <w:sz w:val="24"/>
        </w:rPr>
        <w:t xml:space="preserve"> 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bCs/>
          <w:i/>
          <w:iCs/>
          <w:sz w:val="24"/>
        </w:rPr>
      </w:pPr>
      <w:r>
        <w:rPr>
          <w:rFonts w:ascii="Book Antiqua" w:eastAsia="Calibri" w:hAnsi="Book Antiqua" w:cs="等线"/>
          <w:b/>
          <w:bCs/>
          <w:i/>
          <w:iCs/>
          <w:sz w:val="24"/>
        </w:rPr>
        <w:t>Personal and family history</w:t>
      </w:r>
    </w:p>
    <w:p w:rsidR="000D2A83" w:rsidRDefault="00AA420B">
      <w:pPr>
        <w:pStyle w:val="a4"/>
        <w:snapToGrid w:val="0"/>
        <w:spacing w:after="0" w:line="360" w:lineRule="auto"/>
        <w:ind w:left="0"/>
        <w:rPr>
          <w:rFonts w:ascii="Book Antiqua" w:hAnsi="Book Antiqua" w:cs="Arial"/>
          <w:sz w:val="24"/>
          <w:szCs w:val="24"/>
          <w:lang w:val="en-US"/>
        </w:rPr>
      </w:pPr>
      <w:r>
        <w:rPr>
          <w:rFonts w:ascii="Book Antiqua" w:hAnsi="Book Antiqua" w:cs="Arial"/>
          <w:sz w:val="24"/>
          <w:szCs w:val="24"/>
          <w:lang w:val="en-US"/>
        </w:rPr>
        <w:t xml:space="preserve">The patient’s family history was </w:t>
      </w:r>
      <w:r>
        <w:rPr>
          <w:rFonts w:ascii="Book Antiqua" w:hAnsi="Book Antiqua" w:cs="Arial"/>
          <w:sz w:val="24"/>
          <w:szCs w:val="24"/>
          <w:lang w:val="en-US"/>
        </w:rPr>
        <w:t>unremarkable.</w:t>
      </w:r>
    </w:p>
    <w:p w:rsidR="000D2A83" w:rsidRDefault="000D2A83">
      <w:pPr>
        <w:pStyle w:val="a4"/>
        <w:snapToGrid w:val="0"/>
        <w:spacing w:after="0" w:line="360" w:lineRule="auto"/>
        <w:ind w:left="0"/>
        <w:rPr>
          <w:rFonts w:ascii="Book Antiqua" w:hAnsi="Book Antiqua" w:cs="Book Antiqua"/>
          <w:sz w:val="24"/>
          <w:szCs w:val="24"/>
          <w:lang w:val="en-US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Physical examination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bCs/>
          <w:sz w:val="24"/>
        </w:rPr>
      </w:pPr>
      <w:r>
        <w:rPr>
          <w:rFonts w:ascii="Book Antiqua" w:hAnsi="Book Antiqua" w:cs="Arial"/>
          <w:bCs/>
          <w:iCs/>
          <w:sz w:val="24"/>
        </w:rPr>
        <w:t>The patient</w:t>
      </w:r>
      <w:r>
        <w:rPr>
          <w:rFonts w:ascii="Book Antiqua" w:hAnsi="Book Antiqua" w:cs="Arial"/>
          <w:bCs/>
          <w:iCs/>
          <w:sz w:val="24"/>
        </w:rPr>
        <w:sym w:font="Symbol" w:char="F0A2"/>
      </w:r>
      <w:r>
        <w:rPr>
          <w:rFonts w:ascii="Book Antiqua" w:hAnsi="Book Antiqua" w:cs="Arial"/>
          <w:bCs/>
          <w:iCs/>
          <w:sz w:val="24"/>
        </w:rPr>
        <w:t>s heart auscultation was absolutely arrhythmic, heart sound intensities differed, and her pulse was deficient. Her blood pressure was 132/75 mmHg.</w:t>
      </w:r>
      <w:r>
        <w:rPr>
          <w:rFonts w:ascii="Book Antiqua" w:hAnsi="Book Antiqua" w:cs="Arial"/>
          <w:bCs/>
          <w:i/>
          <w:sz w:val="24"/>
        </w:rPr>
        <w:t xml:space="preserve"> </w:t>
      </w:r>
      <w:r>
        <w:rPr>
          <w:rFonts w:ascii="Book Antiqua" w:hAnsi="Book Antiqua" w:cs="Arial"/>
          <w:bCs/>
          <w:sz w:val="24"/>
        </w:rPr>
        <w:t>The clinical neurological examination was negative.</w:t>
      </w:r>
    </w:p>
    <w:p w:rsidR="000D2A83" w:rsidRDefault="000D2A83">
      <w:pPr>
        <w:adjustRightInd w:val="0"/>
        <w:snapToGrid w:val="0"/>
        <w:spacing w:line="360" w:lineRule="auto"/>
        <w:ind w:firstLineChars="150" w:firstLine="361"/>
        <w:rPr>
          <w:rFonts w:ascii="Book Antiqua" w:hAnsi="Book Antiqua" w:cs="等线"/>
          <w:b/>
          <w:i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Laborat</w:t>
      </w:r>
      <w:r>
        <w:rPr>
          <w:rFonts w:ascii="Book Antiqua" w:eastAsia="Calibri" w:hAnsi="Book Antiqua" w:cs="等线"/>
          <w:b/>
          <w:i/>
          <w:sz w:val="24"/>
        </w:rPr>
        <w:t xml:space="preserve">ory </w:t>
      </w:r>
      <w:r>
        <w:rPr>
          <w:rFonts w:ascii="Book Antiqua" w:hAnsi="Book Antiqua"/>
          <w:b/>
          <w:i/>
          <w:color w:val="000000"/>
          <w:sz w:val="24"/>
        </w:rPr>
        <w:t>examinations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bCs/>
          <w:iCs/>
          <w:sz w:val="24"/>
        </w:rPr>
      </w:pPr>
      <w:r>
        <w:rPr>
          <w:rFonts w:ascii="Book Antiqua" w:hAnsi="Book Antiqua" w:cs="Arial"/>
          <w:bCs/>
          <w:iCs/>
          <w:sz w:val="24"/>
        </w:rPr>
        <w:t>The patient</w:t>
      </w:r>
      <w:r>
        <w:rPr>
          <w:rFonts w:ascii="Book Antiqua" w:hAnsi="Book Antiqua" w:cs="Arial"/>
          <w:bCs/>
          <w:iCs/>
          <w:sz w:val="24"/>
        </w:rPr>
        <w:sym w:font="Symbol" w:char="F0A2"/>
      </w:r>
      <w:r>
        <w:rPr>
          <w:rFonts w:ascii="Book Antiqua" w:hAnsi="Book Antiqua" w:cs="Arial"/>
          <w:bCs/>
          <w:iCs/>
          <w:sz w:val="24"/>
        </w:rPr>
        <w:t>s thyroid function was normal. The liver and kidney function examination was also negative.</w:t>
      </w:r>
    </w:p>
    <w:p w:rsidR="000D2A83" w:rsidRDefault="000D2A83">
      <w:pPr>
        <w:adjustRightInd w:val="0"/>
        <w:snapToGrid w:val="0"/>
        <w:spacing w:line="360" w:lineRule="auto"/>
        <w:ind w:firstLineChars="150" w:firstLine="360"/>
        <w:rPr>
          <w:rFonts w:ascii="Book Antiqua" w:hAnsi="Book Antiqua"/>
          <w:bCs/>
          <w:iCs/>
          <w:color w:val="D0CECE" w:themeColor="background2" w:themeShade="E6"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等线"/>
          <w:b/>
          <w:i/>
          <w:sz w:val="24"/>
        </w:rPr>
      </w:pPr>
      <w:bookmarkStart w:id="11" w:name="_Hlk26436523"/>
      <w:r>
        <w:rPr>
          <w:rFonts w:ascii="Book Antiqua" w:eastAsia="Calibri" w:hAnsi="Book Antiqua" w:cs="等线"/>
          <w:b/>
          <w:i/>
          <w:sz w:val="24"/>
        </w:rPr>
        <w:t>Imaging examination</w:t>
      </w:r>
      <w:r>
        <w:rPr>
          <w:rFonts w:ascii="Book Antiqua" w:hAnsi="Book Antiqua" w:cs="等线"/>
          <w:b/>
          <w:i/>
          <w:sz w:val="24"/>
        </w:rPr>
        <w:t>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color w:val="D0CECE" w:themeColor="background2" w:themeShade="E6"/>
          <w:sz w:val="24"/>
        </w:rPr>
      </w:pPr>
      <w:r>
        <w:rPr>
          <w:rFonts w:ascii="Book Antiqua" w:hAnsi="Book Antiqua" w:cs="Arial"/>
          <w:sz w:val="24"/>
        </w:rPr>
        <w:t xml:space="preserve">A magnetic resonance imaging study and magnetic resonance angiography of the head performed at another center </w:t>
      </w:r>
      <w:r>
        <w:rPr>
          <w:rFonts w:ascii="Book Antiqua" w:hAnsi="Book Antiqua" w:cs="Arial"/>
          <w:sz w:val="24"/>
        </w:rPr>
        <w:t>were normal (Figure 1).</w:t>
      </w:r>
      <w:bookmarkEnd w:id="11"/>
    </w:p>
    <w:p w:rsidR="000D2A83" w:rsidRDefault="000D2A83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D0CECE" w:themeColor="background2" w:themeShade="E6"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eastAsia="Calibri" w:hAnsi="Book Antiqua" w:cs="等线"/>
          <w:b/>
          <w:i/>
          <w:sz w:val="24"/>
        </w:rPr>
      </w:pPr>
      <w:r>
        <w:rPr>
          <w:rFonts w:ascii="Book Antiqua" w:eastAsia="Calibri" w:hAnsi="Book Antiqua" w:cs="等线"/>
          <w:b/>
          <w:i/>
          <w:sz w:val="24"/>
        </w:rPr>
        <w:t>Electrocardiogram findings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等线"/>
          <w:b/>
          <w:i/>
          <w:sz w:val="24"/>
        </w:rPr>
      </w:pPr>
      <w:r>
        <w:rPr>
          <w:rFonts w:ascii="Book Antiqua" w:hAnsi="Book Antiqua" w:cs="Arial"/>
          <w:sz w:val="24"/>
        </w:rPr>
        <w:t>The 24-h</w:t>
      </w:r>
      <w:r>
        <w:rPr>
          <w:rFonts w:ascii="Book Antiqua" w:hAnsi="Book Antiqua" w:cs="Arial"/>
          <w:sz w:val="24"/>
        </w:rPr>
        <w:t xml:space="preserve"> Holter electrocardiogram (ECG) monitoring study showed sinus bradycardia, sinus pause, AV junctional escape beats, ventricular escape, paroxysmal atrial flutter, and paroxysmal atrial fibrilla</w:t>
      </w:r>
      <w:r>
        <w:rPr>
          <w:rFonts w:ascii="Book Antiqua" w:hAnsi="Book Antiqua" w:cs="Arial"/>
          <w:sz w:val="24"/>
        </w:rPr>
        <w:t>tion. The longest RR interval was 5.952 s (Figure 2).</w:t>
      </w:r>
    </w:p>
    <w:p w:rsidR="000D2A83" w:rsidRDefault="000D2A83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  <w:sz w:val="24"/>
        </w:rPr>
      </w:pP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6179DB">
        <w:rPr>
          <w:rFonts w:ascii="Book Antiqua" w:hAnsi="Book Antiqua"/>
          <w:b/>
          <w:sz w:val="24"/>
          <w:u w:val="single"/>
        </w:rPr>
        <w:t>FINAL DIAGNOSIS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bCs/>
          <w:color w:val="000000"/>
          <w:sz w:val="24"/>
        </w:rPr>
      </w:pPr>
      <w:r>
        <w:rPr>
          <w:rFonts w:ascii="Book Antiqua" w:hAnsi="Book Antiqua" w:cs="Arial"/>
          <w:bCs/>
          <w:color w:val="000000"/>
          <w:sz w:val="24"/>
        </w:rPr>
        <w:t>We arrived at a final diagnosis of sick sinus syndrome.</w:t>
      </w:r>
    </w:p>
    <w:p w:rsidR="000D2A83" w:rsidRDefault="000D2A83">
      <w:pPr>
        <w:adjustRightInd w:val="0"/>
        <w:snapToGrid w:val="0"/>
        <w:spacing w:line="360" w:lineRule="auto"/>
        <w:rPr>
          <w:rFonts w:ascii="Book Antiqua" w:hAnsi="Book Antiqua" w:cs="Arial"/>
          <w:bCs/>
          <w:color w:val="000000"/>
          <w:sz w:val="24"/>
        </w:rPr>
      </w:pP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6179DB">
        <w:rPr>
          <w:rFonts w:ascii="Book Antiqua" w:hAnsi="Book Antiqua"/>
          <w:b/>
          <w:sz w:val="24"/>
          <w:u w:val="single"/>
        </w:rPr>
        <w:t>TREATMENT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The patient received dual-chamber pacing implantation on August 6, 2018. The patient was prescribed Metoprolol </w:t>
      </w:r>
      <w:r>
        <w:rPr>
          <w:rFonts w:ascii="Book Antiqua" w:hAnsi="Book Antiqua" w:cs="Arial"/>
          <w:sz w:val="24"/>
        </w:rPr>
        <w:t>Succinate Sustained-Release Tablets 47.5 mg twice a day and Amiodarone Hydrochloride Tablets once a day to control ventricular rate.</w:t>
      </w:r>
    </w:p>
    <w:p w:rsidR="000D2A83" w:rsidRDefault="000D2A83">
      <w:pPr>
        <w:adjustRightInd w:val="0"/>
        <w:snapToGrid w:val="0"/>
        <w:spacing w:line="360" w:lineRule="auto"/>
        <w:ind w:firstLineChars="150" w:firstLine="361"/>
        <w:rPr>
          <w:rFonts w:ascii="Book Antiqua" w:hAnsi="Book Antiqua"/>
          <w:b/>
          <w:sz w:val="24"/>
          <w:u w:val="single"/>
        </w:rPr>
      </w:pPr>
    </w:p>
    <w:p w:rsidR="000D2A83" w:rsidRDefault="00AA420B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:rsidR="000D2A83" w:rsidRDefault="00AA420B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The patient’s paroxysmal headaches and palpitations had resolved within </w:t>
      </w:r>
      <w:r>
        <w:rPr>
          <w:rFonts w:ascii="Book Antiqua" w:hAnsi="Book Antiqua" w:cs="Arial"/>
          <w:sz w:val="24"/>
          <w:szCs w:val="24"/>
        </w:rPr>
        <w:t xml:space="preserve">1 </w:t>
      </w:r>
      <w:r>
        <w:rPr>
          <w:rFonts w:ascii="Book Antiqua" w:hAnsi="Book Antiqua" w:cs="Arial"/>
          <w:sz w:val="24"/>
          <w:szCs w:val="24"/>
        </w:rPr>
        <w:t>year, confirmed by a fol</w:t>
      </w:r>
      <w:r>
        <w:rPr>
          <w:rFonts w:ascii="Book Antiqua" w:hAnsi="Book Antiqua" w:cs="Arial"/>
          <w:sz w:val="24"/>
          <w:szCs w:val="24"/>
        </w:rPr>
        <w:t>low-up telephone call.</w:t>
      </w:r>
      <w:r>
        <w:rPr>
          <w:rFonts w:ascii="Book Antiqua" w:hAnsi="Book Antiqua" w:cs="Arial"/>
          <w:sz w:val="24"/>
          <w:szCs w:val="24"/>
          <w:lang w:eastAsia="zh-CN"/>
        </w:rPr>
        <w:t xml:space="preserve"> The ECG was normal after </w:t>
      </w:r>
      <w:r>
        <w:rPr>
          <w:rFonts w:ascii="Book Antiqua" w:hAnsi="Book Antiqua" w:cs="Arial"/>
          <w:sz w:val="24"/>
          <w:szCs w:val="24"/>
        </w:rPr>
        <w:t>implantation of dual-chamber pacing (Figure 3).</w:t>
      </w:r>
    </w:p>
    <w:p w:rsidR="000D2A83" w:rsidRDefault="000D2A83">
      <w:pPr>
        <w:pStyle w:val="Normal1"/>
        <w:adjustRightInd w:val="0"/>
        <w:snapToGrid w:val="0"/>
        <w:spacing w:after="0" w:line="360" w:lineRule="auto"/>
        <w:ind w:firstLineChars="150" w:firstLine="361"/>
        <w:jc w:val="both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</w:p>
    <w:p w:rsidR="000D2A83" w:rsidRDefault="00AA420B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In this case, the organic lesion had not been considered when auxiliary examinations </w:t>
      </w:r>
      <w:r>
        <w:rPr>
          <w:rFonts w:ascii="Book Antiqua" w:hAnsi="Book Antiqua" w:cs="Arial"/>
          <w:sz w:val="24"/>
        </w:rPr>
        <w:lastRenderedPageBreak/>
        <w:t>and a clinical neurological examination were both negative. Migraine was not considered on account of the patient’s age. When the patient described headaches following pal</w:t>
      </w:r>
      <w:r>
        <w:rPr>
          <w:rFonts w:ascii="Book Antiqua" w:hAnsi="Book Antiqua" w:cs="Arial"/>
          <w:sz w:val="24"/>
        </w:rPr>
        <w:t xml:space="preserve">pitations, we </w:t>
      </w:r>
      <w:r>
        <w:rPr>
          <w:rFonts w:ascii="Book Antiqua" w:hAnsi="Book Antiqua" w:cs="Arial"/>
          <w:sz w:val="24"/>
        </w:rPr>
        <w:t xml:space="preserve">hypothesized that the headaches may have been related to an arrhythmia. After dual-chamber pacing implantation and pharmaceutical anti-arrhythmic therapy, the patient was followed up </w:t>
      </w:r>
      <w:r w:rsidRPr="006179DB">
        <w:rPr>
          <w:rFonts w:ascii="Book Antiqua" w:hAnsi="Book Antiqua" w:cs="Arial"/>
          <w:i/>
          <w:sz w:val="24"/>
        </w:rPr>
        <w:t>via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a </w:t>
      </w:r>
      <w:r>
        <w:rPr>
          <w:rFonts w:ascii="Book Antiqua" w:hAnsi="Book Antiqua" w:cs="Arial"/>
          <w:sz w:val="24"/>
        </w:rPr>
        <w:t xml:space="preserve">telephone call at </w:t>
      </w:r>
      <w:r>
        <w:rPr>
          <w:rFonts w:ascii="Book Antiqua" w:hAnsi="Book Antiqua" w:cs="Arial"/>
          <w:sz w:val="24"/>
        </w:rPr>
        <w:t xml:space="preserve">1 </w:t>
      </w:r>
      <w:r>
        <w:rPr>
          <w:rFonts w:ascii="Book Antiqua" w:hAnsi="Book Antiqua" w:cs="Arial"/>
          <w:sz w:val="24"/>
        </w:rPr>
        <w:t xml:space="preserve">year. At that time, the </w:t>
      </w:r>
      <w:r>
        <w:rPr>
          <w:rFonts w:ascii="Book Antiqua" w:hAnsi="Book Antiqua" w:cs="Arial"/>
          <w:sz w:val="24"/>
        </w:rPr>
        <w:t xml:space="preserve">patient reported resolution of her symptoms. Therefore, we believe that her headaches were related to sick sinus syndrome. 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Common mechanisms of headache include: (1) constriction, dilatation and extension of intracranial blood vessels caused by various pa</w:t>
      </w:r>
      <w:r>
        <w:rPr>
          <w:rFonts w:ascii="Book Antiqua" w:hAnsi="Book Antiqua" w:cs="Arial"/>
          <w:sz w:val="24"/>
        </w:rPr>
        <w:t xml:space="preserve">thologies; (2) cranial and cervical nerve stimulation; (3) elevated resting tension of the head and neck muscles; (4) </w:t>
      </w:r>
      <w:r>
        <w:rPr>
          <w:rFonts w:ascii="Book Antiqua" w:hAnsi="Book Antiqua" w:cs="Arial"/>
          <w:sz w:val="24"/>
        </w:rPr>
        <w:t>o</w:t>
      </w:r>
      <w:r>
        <w:rPr>
          <w:rFonts w:ascii="Book Antiqua" w:hAnsi="Book Antiqua" w:cs="Arial"/>
          <w:sz w:val="24"/>
        </w:rPr>
        <w:t>phthalmologic and otorhinolaryngologic disorders, and cervical spine disease; (5) biochemical factors and endocrine disorders; and (6) n</w:t>
      </w:r>
      <w:r>
        <w:rPr>
          <w:rFonts w:ascii="Book Antiqua" w:hAnsi="Book Antiqua" w:cs="Arial"/>
          <w:sz w:val="24"/>
        </w:rPr>
        <w:t>eurological disorders.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The incidence of headache as a symptom of sick sinus syndrome was not definite. No similar report was found in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literature.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bookmarkStart w:id="12" w:name="OLE_LINK30"/>
      <w:bookmarkStart w:id="13" w:name="OLE_LINK29"/>
      <w:r>
        <w:rPr>
          <w:rFonts w:ascii="Book Antiqua" w:hAnsi="Book Antiqua" w:cs="Arial"/>
          <w:sz w:val="24"/>
        </w:rPr>
        <w:t>Asvestas</w:t>
      </w:r>
      <w:bookmarkEnd w:id="12"/>
      <w:bookmarkEnd w:id="13"/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i/>
          <w:iCs/>
          <w:sz w:val="24"/>
        </w:rPr>
        <w:t>et al</w:t>
      </w:r>
      <w:r>
        <w:rPr>
          <w:rFonts w:ascii="Book Antiqua" w:hAnsi="Book Antiqua" w:cs="Arial"/>
          <w:sz w:val="24"/>
          <w:vertAlign w:val="superscript"/>
        </w:rPr>
        <w:t xml:space="preserve">[1] </w:t>
      </w:r>
      <w:r>
        <w:rPr>
          <w:rFonts w:ascii="Book Antiqua" w:hAnsi="Book Antiqua" w:cs="Arial"/>
          <w:sz w:val="24"/>
        </w:rPr>
        <w:t>reported a case of headache as a primary symptom of acute myocardial infarction</w:t>
      </w:r>
      <w:r>
        <w:rPr>
          <w:rFonts w:ascii="Book Antiqua" w:hAnsi="Book Antiqua" w:cs="Arial"/>
          <w:sz w:val="24"/>
        </w:rPr>
        <w:t xml:space="preserve">. Huang </w:t>
      </w:r>
      <w:r>
        <w:rPr>
          <w:rFonts w:ascii="Book Antiqua" w:hAnsi="Book Antiqua" w:cs="Arial"/>
          <w:i/>
          <w:iCs/>
          <w:sz w:val="24"/>
        </w:rPr>
        <w:t>et al</w:t>
      </w:r>
      <w:r>
        <w:rPr>
          <w:rFonts w:ascii="Book Antiqua" w:hAnsi="Book Antiqua" w:cs="Arial"/>
          <w:sz w:val="24"/>
          <w:vertAlign w:val="superscript"/>
        </w:rPr>
        <w:t xml:space="preserve">[2] </w:t>
      </w:r>
      <w:r>
        <w:rPr>
          <w:rFonts w:ascii="Book Antiqua" w:hAnsi="Book Antiqua" w:cs="Arial"/>
          <w:sz w:val="24"/>
        </w:rPr>
        <w:t xml:space="preserve">reported a similar case </w:t>
      </w:r>
      <w:r>
        <w:rPr>
          <w:rFonts w:ascii="Book Antiqua" w:hAnsi="Book Antiqua" w:cs="Arial"/>
          <w:sz w:val="24"/>
        </w:rPr>
        <w:t>of a</w:t>
      </w:r>
      <w:r>
        <w:rPr>
          <w:rFonts w:ascii="Book Antiqua" w:hAnsi="Book Antiqua" w:cs="Arial"/>
          <w:sz w:val="24"/>
        </w:rPr>
        <w:t xml:space="preserve"> patient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who had </w:t>
      </w:r>
      <w:r>
        <w:rPr>
          <w:rFonts w:ascii="Book Antiqua" w:hAnsi="Book Antiqua" w:cs="Arial"/>
          <w:sz w:val="24"/>
        </w:rPr>
        <w:t xml:space="preserve">been diagnosed </w:t>
      </w:r>
      <w:r>
        <w:rPr>
          <w:rFonts w:ascii="Book Antiqua" w:hAnsi="Book Antiqua" w:cs="Arial"/>
          <w:sz w:val="24"/>
        </w:rPr>
        <w:t xml:space="preserve">with </w:t>
      </w:r>
      <w:r>
        <w:rPr>
          <w:rFonts w:ascii="Book Antiqua" w:hAnsi="Book Antiqua" w:cs="Arial"/>
          <w:sz w:val="24"/>
        </w:rPr>
        <w:t xml:space="preserve">myocardial infarction </w:t>
      </w:r>
      <w:r>
        <w:rPr>
          <w:rFonts w:ascii="Book Antiqua" w:hAnsi="Book Antiqua" w:cs="Arial"/>
          <w:sz w:val="24"/>
        </w:rPr>
        <w:t xml:space="preserve">and </w:t>
      </w:r>
      <w:r>
        <w:rPr>
          <w:rFonts w:ascii="Book Antiqua" w:hAnsi="Book Antiqua" w:cs="Arial"/>
          <w:sz w:val="24"/>
        </w:rPr>
        <w:t>complained</w:t>
      </w:r>
      <w:r>
        <w:rPr>
          <w:rFonts w:ascii="Book Antiqua" w:hAnsi="Book Antiqua" w:cs="Arial"/>
          <w:sz w:val="24"/>
        </w:rPr>
        <w:t xml:space="preserve"> of</w:t>
      </w:r>
      <w:r>
        <w:rPr>
          <w:rFonts w:ascii="Book Antiqua" w:hAnsi="Book Antiqua" w:cs="Arial"/>
          <w:sz w:val="24"/>
        </w:rPr>
        <w:t xml:space="preserve"> headache without chest discomfort. Furthermore there have</w:t>
      </w:r>
      <w:r>
        <w:rPr>
          <w:rFonts w:ascii="Book Antiqua" w:hAnsi="Book Antiqua" w:cs="Arial"/>
          <w:sz w:val="24"/>
        </w:rPr>
        <w:t xml:space="preserve"> been</w:t>
      </w:r>
      <w:r>
        <w:rPr>
          <w:rFonts w:ascii="Book Antiqua" w:hAnsi="Book Antiqua" w:cs="Arial"/>
          <w:sz w:val="24"/>
        </w:rPr>
        <w:t xml:space="preserve"> multiple case report</w:t>
      </w:r>
      <w:r>
        <w:rPr>
          <w:rFonts w:ascii="Book Antiqua" w:hAnsi="Book Antiqua" w:cs="Arial"/>
          <w:sz w:val="24"/>
        </w:rPr>
        <w:t>s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of </w:t>
      </w:r>
      <w:r>
        <w:rPr>
          <w:rFonts w:ascii="Book Antiqua" w:hAnsi="Book Antiqua" w:cs="Arial"/>
          <w:sz w:val="24"/>
        </w:rPr>
        <w:t xml:space="preserve">headache </w:t>
      </w:r>
      <w:r>
        <w:rPr>
          <w:rFonts w:ascii="Book Antiqua" w:hAnsi="Book Antiqua" w:cs="Arial"/>
          <w:sz w:val="24"/>
        </w:rPr>
        <w:t xml:space="preserve">as </w:t>
      </w:r>
      <w:r>
        <w:rPr>
          <w:rFonts w:ascii="Book Antiqua" w:hAnsi="Book Antiqua" w:cs="Arial"/>
          <w:sz w:val="24"/>
        </w:rPr>
        <w:t xml:space="preserve">the sole or cardinal symptom </w:t>
      </w:r>
      <w:r>
        <w:rPr>
          <w:rFonts w:ascii="Book Antiqua" w:hAnsi="Book Antiqua" w:cs="Arial"/>
          <w:sz w:val="24"/>
        </w:rPr>
        <w:t>of</w:t>
      </w:r>
      <w:r>
        <w:rPr>
          <w:rFonts w:ascii="Book Antiqua" w:hAnsi="Book Antiqua" w:cs="Arial"/>
          <w:sz w:val="24"/>
        </w:rPr>
        <w:t xml:space="preserve"> myocardial infarction</w:t>
      </w:r>
      <w:r>
        <w:rPr>
          <w:rFonts w:ascii="Book Antiqua" w:hAnsi="Book Antiqua" w:cs="Arial"/>
          <w:sz w:val="24"/>
          <w:vertAlign w:val="superscript"/>
        </w:rPr>
        <w:t>[3-6]</w:t>
      </w:r>
      <w:r>
        <w:rPr>
          <w:rFonts w:ascii="Book Antiqua" w:hAnsi="Book Antiqua" w:cs="Arial"/>
          <w:sz w:val="24"/>
        </w:rPr>
        <w:t xml:space="preserve">. Thus, </w:t>
      </w:r>
      <w:r>
        <w:rPr>
          <w:rFonts w:ascii="Book Antiqua" w:hAnsi="Book Antiqua" w:cs="Arial"/>
          <w:sz w:val="24"/>
        </w:rPr>
        <w:t>the</w:t>
      </w:r>
      <w:r>
        <w:rPr>
          <w:rFonts w:ascii="Book Antiqua" w:hAnsi="Book Antiqua" w:cs="Arial"/>
          <w:sz w:val="24"/>
        </w:rPr>
        <w:t xml:space="preserve"> concept </w:t>
      </w:r>
      <w:r>
        <w:rPr>
          <w:rFonts w:ascii="Book Antiqua" w:hAnsi="Book Antiqua" w:cs="Arial"/>
          <w:sz w:val="24"/>
        </w:rPr>
        <w:t xml:space="preserve">of </w:t>
      </w:r>
      <w:r>
        <w:rPr>
          <w:rFonts w:ascii="Book Antiqua" w:hAnsi="Book Antiqua" w:cs="Arial"/>
          <w:sz w:val="24"/>
        </w:rPr>
        <w:t>headache</w:t>
      </w:r>
      <w:r>
        <w:rPr>
          <w:rFonts w:ascii="Book Antiqua" w:hAnsi="Book Antiqua" w:cs="Arial"/>
          <w:sz w:val="24"/>
        </w:rPr>
        <w:t xml:space="preserve"> being</w:t>
      </w:r>
      <w:r>
        <w:rPr>
          <w:rFonts w:ascii="Book Antiqua" w:hAnsi="Book Antiqua" w:cs="Arial"/>
          <w:sz w:val="24"/>
        </w:rPr>
        <w:t xml:space="preserve"> induced by cardiac factors </w:t>
      </w:r>
      <w:r>
        <w:rPr>
          <w:rFonts w:ascii="Book Antiqua" w:hAnsi="Book Antiqua" w:cs="Arial"/>
          <w:sz w:val="24"/>
        </w:rPr>
        <w:t>has been</w:t>
      </w:r>
      <w:r>
        <w:rPr>
          <w:rFonts w:ascii="Book Antiqua" w:hAnsi="Book Antiqua" w:cs="Arial"/>
          <w:sz w:val="24"/>
        </w:rPr>
        <w:t xml:space="preserve"> presented.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C</w:t>
      </w:r>
      <w:r>
        <w:rPr>
          <w:rFonts w:ascii="Book Antiqua" w:hAnsi="Book Antiqua" w:cs="Arial"/>
          <w:sz w:val="24"/>
        </w:rPr>
        <w:t>ardiac cephalgia</w:t>
      </w:r>
      <w:r>
        <w:rPr>
          <w:rFonts w:ascii="Book Antiqua" w:hAnsi="Book Antiqua" w:cs="Arial"/>
          <w:sz w:val="24"/>
        </w:rPr>
        <w:t xml:space="preserve"> is</w:t>
      </w:r>
      <w:r>
        <w:rPr>
          <w:rFonts w:ascii="Book Antiqua" w:hAnsi="Book Antiqua" w:cs="Arial"/>
          <w:sz w:val="24"/>
        </w:rPr>
        <w:t xml:space="preserve"> defined in The </w:t>
      </w:r>
      <w:r>
        <w:rPr>
          <w:rFonts w:ascii="Book Antiqua" w:hAnsi="Book Antiqua" w:cs="Arial"/>
          <w:sz w:val="24"/>
        </w:rPr>
        <w:t xml:space="preserve">International Classiﬁcation of </w:t>
      </w:r>
      <w:r>
        <w:rPr>
          <w:rFonts w:ascii="Book Antiqua" w:hAnsi="Book Antiqua" w:cs="Arial"/>
          <w:sz w:val="24"/>
        </w:rPr>
        <w:t>Headache Disorders</w:t>
      </w:r>
      <w:r>
        <w:rPr>
          <w:rFonts w:ascii="Book Antiqua" w:hAnsi="Book Antiqua" w:cs="Arial"/>
          <w:sz w:val="24"/>
        </w:rPr>
        <w:t xml:space="preserve">: </w:t>
      </w:r>
      <w:r>
        <w:rPr>
          <w:rFonts w:ascii="Book Antiqua" w:hAnsi="Book Antiqua" w:cs="Arial"/>
          <w:sz w:val="24"/>
        </w:rPr>
        <w:t>2nd</w:t>
      </w:r>
      <w:r>
        <w:rPr>
          <w:rFonts w:ascii="Book Antiqua" w:hAnsi="Book Antiqua" w:cs="Arial"/>
          <w:sz w:val="24"/>
        </w:rPr>
        <w:t xml:space="preserve"> edition</w:t>
      </w:r>
      <w:r>
        <w:rPr>
          <w:rFonts w:ascii="Book Antiqua" w:hAnsi="Book Antiqua" w:cs="Arial"/>
          <w:sz w:val="24"/>
          <w:vertAlign w:val="superscript"/>
        </w:rPr>
        <w:t>[7]</w:t>
      </w:r>
      <w:r>
        <w:rPr>
          <w:rFonts w:ascii="Book Antiqua" w:hAnsi="Book Antiqua" w:cs="Arial"/>
          <w:sz w:val="24"/>
        </w:rPr>
        <w:t xml:space="preserve"> and </w:t>
      </w:r>
      <w:r>
        <w:rPr>
          <w:rFonts w:ascii="Book Antiqua" w:hAnsi="Book Antiqua" w:cs="Arial"/>
          <w:sz w:val="24"/>
        </w:rPr>
        <w:t>T</w:t>
      </w:r>
      <w:r>
        <w:rPr>
          <w:rFonts w:ascii="Book Antiqua" w:hAnsi="Book Antiqua" w:cs="Arial"/>
          <w:sz w:val="24"/>
        </w:rPr>
        <w:t>he International Classification of Headache Disorders</w:t>
      </w:r>
      <w:r>
        <w:rPr>
          <w:rFonts w:ascii="Book Antiqua" w:hAnsi="Book Antiqua" w:cs="Arial"/>
          <w:sz w:val="24"/>
        </w:rPr>
        <w:t>: 3</w:t>
      </w:r>
      <w:r w:rsidRPr="006179DB">
        <w:rPr>
          <w:rFonts w:ascii="Book Antiqua" w:hAnsi="Book Antiqua" w:cs="Arial"/>
          <w:sz w:val="24"/>
          <w:vertAlign w:val="superscript"/>
        </w:rPr>
        <w:t>rd</w:t>
      </w:r>
      <w:r>
        <w:rPr>
          <w:rFonts w:ascii="Book Antiqua" w:hAnsi="Book Antiqua" w:cs="Arial"/>
          <w:sz w:val="24"/>
        </w:rPr>
        <w:t xml:space="preserve"> edition</w:t>
      </w:r>
      <w:r>
        <w:rPr>
          <w:rFonts w:ascii="Book Antiqua" w:hAnsi="Book Antiqua" w:cs="Arial"/>
          <w:sz w:val="24"/>
          <w:vertAlign w:val="superscript"/>
        </w:rPr>
        <w:t>[8,9]</w:t>
      </w:r>
      <w:r>
        <w:rPr>
          <w:rFonts w:ascii="Book Antiqua" w:hAnsi="Book Antiqua" w:cs="Arial"/>
          <w:sz w:val="24"/>
        </w:rPr>
        <w:t xml:space="preserve">. 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The</w:t>
      </w:r>
      <w:r>
        <w:rPr>
          <w:rFonts w:ascii="Book Antiqua" w:hAnsi="Book Antiqua" w:cs="Arial"/>
          <w:sz w:val="24"/>
        </w:rPr>
        <w:t>re are four theories regarding the proposed</w:t>
      </w:r>
      <w:r>
        <w:rPr>
          <w:rFonts w:ascii="Book Antiqua" w:hAnsi="Book Antiqua" w:cs="Arial"/>
          <w:sz w:val="24"/>
        </w:rPr>
        <w:t xml:space="preserve"> pathogenesis of cardiac cephalgia</w:t>
      </w:r>
      <w:r>
        <w:rPr>
          <w:rFonts w:ascii="Book Antiqua" w:hAnsi="Book Antiqua" w:cs="Arial"/>
          <w:sz w:val="24"/>
        </w:rPr>
        <w:t xml:space="preserve">. First, the heart is mediated by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autonomic nerve, visceral</w:t>
      </w:r>
      <w:r>
        <w:rPr>
          <w:rFonts w:ascii="Book Antiqua" w:hAnsi="Book Antiqua" w:cs="Arial"/>
          <w:sz w:val="24"/>
        </w:rPr>
        <w:t>,</w:t>
      </w:r>
      <w:r>
        <w:rPr>
          <w:rFonts w:ascii="Book Antiqua" w:hAnsi="Book Antiqua" w:cs="Arial"/>
          <w:sz w:val="24"/>
        </w:rPr>
        <w:t xml:space="preserve"> and somatic fibers</w:t>
      </w:r>
      <w:r>
        <w:rPr>
          <w:rFonts w:ascii="Book Antiqua" w:hAnsi="Book Antiqua" w:cs="Arial"/>
          <w:sz w:val="24"/>
        </w:rPr>
        <w:t>, which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can converge on the same neurons in the spinal cord. Then the information induced by visceral afferents is relayed to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higher somatic region. Second</w:t>
      </w:r>
      <w:r>
        <w:rPr>
          <w:rFonts w:ascii="Book Antiqua" w:hAnsi="Book Antiqua" w:cs="Arial"/>
          <w:sz w:val="24"/>
        </w:rPr>
        <w:t>, the reduction of cardiac output elevate</w:t>
      </w:r>
      <w:r>
        <w:rPr>
          <w:rFonts w:ascii="Book Antiqua" w:hAnsi="Book Antiqua" w:cs="Arial"/>
          <w:sz w:val="24"/>
        </w:rPr>
        <w:t>s</w:t>
      </w:r>
      <w:r>
        <w:rPr>
          <w:rFonts w:ascii="Book Antiqua" w:hAnsi="Book Antiqua" w:cs="Arial"/>
          <w:sz w:val="24"/>
        </w:rPr>
        <w:t xml:space="preserve"> left ventricular and right atrial pressure, which decrease</w:t>
      </w:r>
      <w:r>
        <w:rPr>
          <w:rFonts w:ascii="Book Antiqua" w:hAnsi="Book Antiqua" w:cs="Arial"/>
          <w:sz w:val="24"/>
        </w:rPr>
        <w:t>s</w:t>
      </w:r>
      <w:r>
        <w:rPr>
          <w:rFonts w:ascii="Book Antiqua" w:hAnsi="Book Antiqua" w:cs="Arial"/>
          <w:sz w:val="24"/>
        </w:rPr>
        <w:t xml:space="preserve"> </w:t>
      </w:r>
      <w:r>
        <w:rPr>
          <w:rFonts w:ascii="Book Antiqua" w:hAnsi="Book Antiqua" w:cs="Arial"/>
          <w:sz w:val="24"/>
        </w:rPr>
        <w:t>cerebral venous refluxing and elevate</w:t>
      </w:r>
      <w:r>
        <w:rPr>
          <w:rFonts w:ascii="Book Antiqua" w:hAnsi="Book Antiqua" w:cs="Arial"/>
          <w:sz w:val="24"/>
        </w:rPr>
        <w:t>s</w:t>
      </w:r>
      <w:r>
        <w:rPr>
          <w:rFonts w:ascii="Book Antiqua" w:hAnsi="Book Antiqua" w:cs="Arial"/>
          <w:sz w:val="24"/>
        </w:rPr>
        <w:t xml:space="preserve"> intracranial pressure</w:t>
      </w:r>
      <w:r>
        <w:rPr>
          <w:rFonts w:ascii="Book Antiqua" w:hAnsi="Book Antiqua" w:cs="Arial"/>
          <w:sz w:val="24"/>
          <w:vertAlign w:val="superscript"/>
        </w:rPr>
        <w:t>[10,11]</w:t>
      </w:r>
      <w:r>
        <w:rPr>
          <w:rFonts w:ascii="Book Antiqua" w:hAnsi="Book Antiqua" w:cs="Arial"/>
          <w:sz w:val="24"/>
        </w:rPr>
        <w:t xml:space="preserve">. Third, neurochemical mediators produced by myocardial ischemia can induce </w:t>
      </w:r>
      <w:r>
        <w:rPr>
          <w:rFonts w:ascii="Book Antiqua" w:hAnsi="Book Antiqua" w:cs="Arial"/>
          <w:sz w:val="24"/>
        </w:rPr>
        <w:t>vasodilatation of the cerebral vessels and pain</w:t>
      </w:r>
      <w:r>
        <w:rPr>
          <w:rFonts w:ascii="Book Antiqua" w:hAnsi="Book Antiqua" w:cs="Arial"/>
          <w:sz w:val="24"/>
          <w:vertAlign w:val="superscript"/>
        </w:rPr>
        <w:t>[10,11]</w:t>
      </w:r>
      <w:r>
        <w:rPr>
          <w:rFonts w:ascii="Book Antiqua" w:hAnsi="Book Antiqua" w:cs="Arial"/>
          <w:sz w:val="24"/>
        </w:rPr>
        <w:t>. Fo</w:t>
      </w:r>
      <w:r>
        <w:rPr>
          <w:rFonts w:ascii="Book Antiqua" w:hAnsi="Book Antiqua" w:cs="Arial"/>
          <w:sz w:val="24"/>
        </w:rPr>
        <w:t>u</w:t>
      </w:r>
      <w:r>
        <w:rPr>
          <w:rFonts w:ascii="Book Antiqua" w:hAnsi="Book Antiqua" w:cs="Arial"/>
          <w:sz w:val="24"/>
        </w:rPr>
        <w:t xml:space="preserve">rth, it is assumed that </w:t>
      </w:r>
      <w:r>
        <w:rPr>
          <w:rFonts w:ascii="Book Antiqua" w:hAnsi="Book Antiqua" w:cs="Arial"/>
          <w:sz w:val="24"/>
        </w:rPr>
        <w:lastRenderedPageBreak/>
        <w:t xml:space="preserve">vasospasms can </w:t>
      </w:r>
      <w:r>
        <w:rPr>
          <w:rFonts w:ascii="Book Antiqua" w:hAnsi="Book Antiqua" w:cs="Arial"/>
          <w:sz w:val="24"/>
        </w:rPr>
        <w:t>concomitant</w:t>
      </w:r>
      <w:r>
        <w:rPr>
          <w:rFonts w:ascii="Book Antiqua" w:hAnsi="Book Antiqua" w:cs="Arial"/>
          <w:sz w:val="24"/>
        </w:rPr>
        <w:t>ly</w:t>
      </w:r>
      <w:r>
        <w:rPr>
          <w:rFonts w:ascii="Book Antiqua" w:hAnsi="Book Antiqua" w:cs="Arial"/>
          <w:sz w:val="24"/>
        </w:rPr>
        <w:t xml:space="preserve"> occur</w:t>
      </w:r>
      <w:r>
        <w:rPr>
          <w:rFonts w:ascii="Book Antiqua" w:hAnsi="Book Antiqua" w:cs="Arial"/>
          <w:sz w:val="24"/>
        </w:rPr>
        <w:t xml:space="preserve"> in both coronary and cerebral vessels</w:t>
      </w:r>
      <w:r>
        <w:rPr>
          <w:rFonts w:ascii="Book Antiqua" w:hAnsi="Book Antiqua" w:cs="Arial"/>
          <w:sz w:val="24"/>
          <w:vertAlign w:val="superscript"/>
        </w:rPr>
        <w:t>[10,12]</w:t>
      </w:r>
      <w:r>
        <w:rPr>
          <w:rFonts w:ascii="Book Antiqua" w:hAnsi="Book Antiqua" w:cs="Arial"/>
          <w:sz w:val="24"/>
        </w:rPr>
        <w:t>.</w:t>
      </w:r>
    </w:p>
    <w:p w:rsidR="000D2A83" w:rsidRDefault="00AA420B">
      <w:pPr>
        <w:topLinePunct/>
        <w:autoSpaceDE w:val="0"/>
        <w:snapToGrid w:val="0"/>
        <w:spacing w:line="360" w:lineRule="auto"/>
        <w:ind w:firstLineChars="250" w:firstLine="600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In this case, we hypothesize</w:t>
      </w:r>
      <w:r>
        <w:rPr>
          <w:rFonts w:ascii="Book Antiqua" w:hAnsi="Book Antiqua" w:cs="Arial"/>
          <w:sz w:val="24"/>
        </w:rPr>
        <w:t>d</w:t>
      </w:r>
      <w:r>
        <w:rPr>
          <w:rFonts w:ascii="Book Antiqua" w:hAnsi="Book Antiqua" w:cs="Arial"/>
          <w:sz w:val="24"/>
        </w:rPr>
        <w:t xml:space="preserve"> that arrhythmia le</w:t>
      </w:r>
      <w:r>
        <w:rPr>
          <w:rFonts w:ascii="Book Antiqua" w:hAnsi="Book Antiqua" w:cs="Arial"/>
          <w:sz w:val="24"/>
        </w:rPr>
        <w:t>d to myocardial ischemic and reductio</w:t>
      </w:r>
      <w:r>
        <w:rPr>
          <w:rFonts w:ascii="Book Antiqua" w:hAnsi="Book Antiqua" w:cs="Arial"/>
          <w:sz w:val="24"/>
        </w:rPr>
        <w:t>n of cardiac output. As a result of the arrhythmias, headache c</w:t>
      </w:r>
      <w:r>
        <w:rPr>
          <w:rFonts w:ascii="Book Antiqua" w:hAnsi="Book Antiqua" w:cs="Arial"/>
          <w:sz w:val="24"/>
        </w:rPr>
        <w:t>ould</w:t>
      </w:r>
      <w:r>
        <w:rPr>
          <w:rFonts w:ascii="Book Antiqua" w:hAnsi="Book Antiqua" w:cs="Arial"/>
          <w:sz w:val="24"/>
        </w:rPr>
        <w:t xml:space="preserve"> be induced by stimulating visceral nerves and neurochemical mediators because of myocardial ischemi</w:t>
      </w:r>
      <w:r>
        <w:rPr>
          <w:rFonts w:ascii="Book Antiqua" w:hAnsi="Book Antiqua" w:cs="Arial"/>
          <w:sz w:val="24"/>
        </w:rPr>
        <w:t>a</w:t>
      </w:r>
      <w:r>
        <w:rPr>
          <w:rFonts w:ascii="Book Antiqua" w:hAnsi="Book Antiqua" w:cs="Arial"/>
          <w:sz w:val="24"/>
        </w:rPr>
        <w:t xml:space="preserve">, </w:t>
      </w:r>
      <w:r>
        <w:rPr>
          <w:rFonts w:ascii="Book Antiqua" w:hAnsi="Book Antiqua" w:cs="Arial"/>
          <w:sz w:val="24"/>
        </w:rPr>
        <w:t xml:space="preserve">and could </w:t>
      </w:r>
      <w:r>
        <w:rPr>
          <w:rFonts w:ascii="Book Antiqua" w:hAnsi="Book Antiqua" w:cs="Arial"/>
          <w:sz w:val="24"/>
        </w:rPr>
        <w:t xml:space="preserve">also </w:t>
      </w:r>
      <w:r>
        <w:rPr>
          <w:rFonts w:ascii="Book Antiqua" w:hAnsi="Book Antiqua" w:cs="Arial"/>
          <w:sz w:val="24"/>
        </w:rPr>
        <w:t xml:space="preserve">be induced by elevated intracranial pressure because of </w:t>
      </w:r>
      <w:r>
        <w:rPr>
          <w:rFonts w:ascii="Book Antiqua" w:hAnsi="Book Antiqua" w:cs="Arial"/>
          <w:sz w:val="24"/>
        </w:rPr>
        <w:t xml:space="preserve">the </w:t>
      </w:r>
      <w:r>
        <w:rPr>
          <w:rFonts w:ascii="Book Antiqua" w:hAnsi="Book Antiqua" w:cs="Arial"/>
          <w:sz w:val="24"/>
        </w:rPr>
        <w:t>redu</w:t>
      </w:r>
      <w:r>
        <w:rPr>
          <w:rFonts w:ascii="Book Antiqua" w:hAnsi="Book Antiqua" w:cs="Arial"/>
          <w:sz w:val="24"/>
        </w:rPr>
        <w:t>ction of cardiac output. Unfortunately, we did not monitor the variation of this patient’s cardiac output</w:t>
      </w:r>
      <w:r>
        <w:rPr>
          <w:rFonts w:ascii="Book Antiqua" w:hAnsi="Book Antiqua" w:cs="Arial"/>
          <w:sz w:val="24"/>
        </w:rPr>
        <w:t xml:space="preserve">; thus, the possibility of </w:t>
      </w:r>
      <w:r>
        <w:rPr>
          <w:rFonts w:ascii="Book Antiqua" w:hAnsi="Book Antiqua" w:cs="Arial"/>
          <w:sz w:val="24"/>
        </w:rPr>
        <w:t>other causes remains to be considered.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b/>
          <w:bCs/>
          <w:sz w:val="24"/>
        </w:rPr>
      </w:pPr>
    </w:p>
    <w:p w:rsidR="000D2A83" w:rsidRDefault="00AA420B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sz w:val="24"/>
          <w:u w:val="single"/>
        </w:rPr>
      </w:pPr>
      <w:r>
        <w:rPr>
          <w:rFonts w:ascii="Book Antiqua" w:eastAsia="Calibri" w:hAnsi="Book Antiqua" w:cstheme="minorHAnsi"/>
          <w:b/>
          <w:sz w:val="24"/>
          <w:u w:val="single"/>
        </w:rPr>
        <w:t>CONCLUSION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 xml:space="preserve">This case provides two novel insights. First, clinicians should pay close attention to predisposing symptoms and conditions. Second, </w:t>
      </w:r>
      <w:r>
        <w:rPr>
          <w:rFonts w:ascii="Book Antiqua" w:hAnsi="Book Antiqua" w:cs="Arial"/>
          <w:sz w:val="24"/>
        </w:rPr>
        <w:t xml:space="preserve">it appears that </w:t>
      </w:r>
      <w:r>
        <w:rPr>
          <w:rFonts w:ascii="Book Antiqua" w:hAnsi="Book Antiqua" w:cs="Arial"/>
          <w:sz w:val="24"/>
        </w:rPr>
        <w:t>arrhythmias can cause headaches</w:t>
      </w:r>
      <w:r>
        <w:rPr>
          <w:rFonts w:ascii="Book Antiqua" w:hAnsi="Book Antiqua" w:cs="Arial"/>
          <w:sz w:val="24"/>
        </w:rPr>
        <w:t>.</w:t>
      </w:r>
    </w:p>
    <w:p w:rsidR="000D2A83" w:rsidRDefault="000D2A83">
      <w:pPr>
        <w:topLinePunct/>
        <w:autoSpaceDE w:val="0"/>
        <w:snapToGrid w:val="0"/>
        <w:spacing w:line="360" w:lineRule="auto"/>
        <w:ind w:firstLineChars="200" w:firstLine="482"/>
        <w:rPr>
          <w:rFonts w:ascii="Book Antiqua" w:hAnsi="Book Antiqua" w:cs="Arial"/>
          <w:b/>
          <w:bCs/>
          <w:sz w:val="24"/>
        </w:rPr>
      </w:pPr>
    </w:p>
    <w:p w:rsidR="000D2A83" w:rsidRDefault="00AA420B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t>We tha</w:t>
      </w:r>
      <w:r>
        <w:rPr>
          <w:rFonts w:ascii="Book Antiqua" w:hAnsi="Book Antiqua" w:cs="Arial"/>
          <w:sz w:val="24"/>
        </w:rPr>
        <w:t>nk the cardiologist for the expiation for the ECG.</w:t>
      </w:r>
    </w:p>
    <w:p w:rsidR="000D2A83" w:rsidRDefault="000D2A83">
      <w:pPr>
        <w:topLinePunct/>
        <w:autoSpaceDE w:val="0"/>
        <w:snapToGrid w:val="0"/>
        <w:spacing w:line="360" w:lineRule="auto"/>
        <w:ind w:firstLineChars="200" w:firstLine="480"/>
        <w:rPr>
          <w:rFonts w:ascii="Book Antiqua" w:eastAsia="宋体" w:hAnsi="Book Antiqua" w:cs="Arial"/>
          <w:color w:val="333333"/>
          <w:sz w:val="24"/>
        </w:rPr>
      </w:pP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b/>
          <w:bCs/>
          <w:caps/>
          <w:color w:val="000000"/>
          <w:sz w:val="24"/>
          <w:shd w:val="clear" w:color="auto" w:fill="F9F9F9"/>
        </w:rPr>
      </w:pPr>
      <w:r>
        <w:rPr>
          <w:rFonts w:ascii="Book Antiqua" w:hAnsi="Book Antiqua"/>
          <w:b/>
          <w:bCs/>
          <w:caps/>
          <w:color w:val="000000"/>
          <w:sz w:val="24"/>
        </w:rPr>
        <w:t>References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 </w:t>
      </w:r>
      <w:r>
        <w:rPr>
          <w:rFonts w:ascii="Book Antiqua" w:hAnsi="Book Antiqua"/>
          <w:b/>
          <w:sz w:val="24"/>
        </w:rPr>
        <w:t>Asvestas D</w:t>
      </w:r>
      <w:r>
        <w:rPr>
          <w:rFonts w:ascii="Book Antiqua" w:hAnsi="Book Antiqua"/>
          <w:sz w:val="24"/>
        </w:rPr>
        <w:t xml:space="preserve">, Vlachos K, Salachas A, Letsas KP, Sideris A. Headache: An unusual presentation of acute myocardial infraction. </w:t>
      </w:r>
      <w:r>
        <w:rPr>
          <w:rFonts w:ascii="Book Antiqua" w:hAnsi="Book Antiqua"/>
          <w:i/>
          <w:sz w:val="24"/>
        </w:rPr>
        <w:t>World J Cardiol</w:t>
      </w:r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t>6</w:t>
      </w:r>
      <w:r>
        <w:rPr>
          <w:rFonts w:ascii="Book Antiqua" w:hAnsi="Book Antiqua"/>
          <w:sz w:val="24"/>
        </w:rPr>
        <w:t xml:space="preserve">: 514-516 [PMID: 24976924 DOI: </w:t>
      </w:r>
      <w:r>
        <w:rPr>
          <w:rFonts w:ascii="Book Antiqua" w:hAnsi="Book Antiqua"/>
          <w:sz w:val="24"/>
        </w:rPr>
        <w:t>10.4330/wjc.v6.i6.514]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 </w:t>
      </w:r>
      <w:r>
        <w:rPr>
          <w:rFonts w:ascii="Book Antiqua" w:hAnsi="Book Antiqua"/>
          <w:b/>
          <w:sz w:val="24"/>
        </w:rPr>
        <w:t>Huang CC</w:t>
      </w:r>
      <w:r>
        <w:rPr>
          <w:rFonts w:ascii="Book Antiqua" w:hAnsi="Book Antiqua"/>
          <w:sz w:val="24"/>
        </w:rPr>
        <w:t xml:space="preserve">, Liao PC. Heart Attack Causes Head-Ache - Cardiac Cephalalgia. </w:t>
      </w:r>
      <w:r>
        <w:rPr>
          <w:rFonts w:ascii="Book Antiqua" w:hAnsi="Book Antiqua"/>
          <w:i/>
          <w:sz w:val="24"/>
        </w:rPr>
        <w:t>Acta Cardiol Sin</w:t>
      </w:r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32</w:t>
      </w:r>
      <w:r>
        <w:rPr>
          <w:rFonts w:ascii="Book Antiqua" w:hAnsi="Book Antiqua"/>
          <w:sz w:val="24"/>
        </w:rPr>
        <w:t>: 239-242 [PMID: 27122955 DOI: 10.6515/acs20150628a]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3 </w:t>
      </w:r>
      <w:r>
        <w:rPr>
          <w:rFonts w:ascii="Book Antiqua" w:hAnsi="Book Antiqua"/>
          <w:b/>
          <w:sz w:val="24"/>
        </w:rPr>
        <w:t>Dell'Aquila A</w:t>
      </w:r>
      <w:r>
        <w:rPr>
          <w:rFonts w:ascii="Book Antiqua" w:hAnsi="Book Antiqua"/>
          <w:sz w:val="24"/>
        </w:rPr>
        <w:t>, Sciatti E, Vizzardi E, Metra M. The brain-heart connection: a mu</w:t>
      </w:r>
      <w:r>
        <w:rPr>
          <w:rFonts w:ascii="Book Antiqua" w:hAnsi="Book Antiqua"/>
          <w:sz w:val="24"/>
        </w:rPr>
        <w:t xml:space="preserve">ltiple sclerosis relapse presenting as Takotsubo Syndrome. A case report and literature review. </w:t>
      </w:r>
      <w:r>
        <w:rPr>
          <w:rFonts w:ascii="Book Antiqua" w:hAnsi="Book Antiqua"/>
          <w:i/>
          <w:sz w:val="24"/>
        </w:rPr>
        <w:t>Monaldi Arch Chest Dis</w:t>
      </w:r>
      <w:r>
        <w:rPr>
          <w:rFonts w:ascii="Book Antiqua" w:hAnsi="Book Antiqua"/>
          <w:sz w:val="24"/>
        </w:rPr>
        <w:t xml:space="preserve"> 2020; </w:t>
      </w:r>
      <w:r>
        <w:rPr>
          <w:rFonts w:ascii="Book Antiqua" w:hAnsi="Book Antiqua"/>
          <w:b/>
          <w:sz w:val="24"/>
        </w:rPr>
        <w:t>90</w:t>
      </w:r>
      <w:r>
        <w:rPr>
          <w:rFonts w:ascii="Book Antiqua" w:hAnsi="Book Antiqua"/>
          <w:sz w:val="24"/>
        </w:rPr>
        <w:t xml:space="preserve"> [PMID: 32241096 DOI: 10.4081/monaldi.2020.1153]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r>
        <w:rPr>
          <w:rFonts w:ascii="Book Antiqua" w:hAnsi="Book Antiqua"/>
          <w:b/>
          <w:sz w:val="24"/>
        </w:rPr>
        <w:t>Chowdhury AW</w:t>
      </w:r>
      <w:r>
        <w:rPr>
          <w:rFonts w:ascii="Book Antiqua" w:hAnsi="Book Antiqua"/>
          <w:sz w:val="24"/>
        </w:rPr>
        <w:t>, Saleh MAD, Hasan P, Amin MG, Khan TA, Sabah KMN, Kabir SR. Cardi</w:t>
      </w:r>
      <w:r>
        <w:rPr>
          <w:rFonts w:ascii="Book Antiqua" w:hAnsi="Book Antiqua"/>
          <w:sz w:val="24"/>
        </w:rPr>
        <w:t xml:space="preserve">ac cephalgia: A headache of the heart. </w:t>
      </w:r>
      <w:r>
        <w:rPr>
          <w:rFonts w:ascii="Book Antiqua" w:hAnsi="Book Antiqua"/>
          <w:i/>
          <w:sz w:val="24"/>
        </w:rPr>
        <w:t>J Cardiol Cases</w:t>
      </w:r>
      <w:r>
        <w:rPr>
          <w:rFonts w:ascii="Book Antiqua" w:hAnsi="Book Antiqua"/>
          <w:sz w:val="24"/>
        </w:rPr>
        <w:t xml:space="preserve"> 2015; </w:t>
      </w:r>
      <w:r>
        <w:rPr>
          <w:rFonts w:ascii="Book Antiqua" w:hAnsi="Book Antiqua"/>
          <w:b/>
          <w:sz w:val="24"/>
        </w:rPr>
        <w:t>11</w:t>
      </w:r>
      <w:r>
        <w:rPr>
          <w:rFonts w:ascii="Book Antiqua" w:hAnsi="Book Antiqua"/>
          <w:sz w:val="24"/>
        </w:rPr>
        <w:t>: 139-141 [PMID: 30546551 DOI: 10.1016/j.jccase.2015.02.002]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5 </w:t>
      </w:r>
      <w:r>
        <w:rPr>
          <w:rFonts w:ascii="Book Antiqua" w:hAnsi="Book Antiqua"/>
          <w:b/>
          <w:sz w:val="24"/>
        </w:rPr>
        <w:t>Wassef N</w:t>
      </w:r>
      <w:r>
        <w:rPr>
          <w:rFonts w:ascii="Book Antiqua" w:hAnsi="Book Antiqua"/>
          <w:sz w:val="24"/>
        </w:rPr>
        <w:t xml:space="preserve">, Ali AT, Katsanevaki AZ, Nishtar S. Cardiac Cephalgia. </w:t>
      </w:r>
      <w:r>
        <w:rPr>
          <w:rFonts w:ascii="Book Antiqua" w:hAnsi="Book Antiqua"/>
          <w:i/>
          <w:sz w:val="24"/>
        </w:rPr>
        <w:t>Cardiol Res</w:t>
      </w:r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lastRenderedPageBreak/>
        <w:t>5</w:t>
      </w:r>
      <w:r>
        <w:rPr>
          <w:rFonts w:ascii="Book Antiqua" w:hAnsi="Book Antiqua"/>
          <w:sz w:val="24"/>
        </w:rPr>
        <w:t>: 195-197 [PMID: 28352454 DOI: 10.14740/cr361w]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6 </w:t>
      </w:r>
      <w:r>
        <w:rPr>
          <w:rFonts w:ascii="Book Antiqua" w:hAnsi="Book Antiqua"/>
          <w:b/>
          <w:sz w:val="24"/>
        </w:rPr>
        <w:t>MacIsaac R</w:t>
      </w:r>
      <w:r>
        <w:rPr>
          <w:rFonts w:ascii="Book Antiqua" w:hAnsi="Book Antiqua"/>
          <w:sz w:val="24"/>
        </w:rPr>
        <w:t xml:space="preserve">, Jarvis S, Busche K. A Case of a Cardiac Cephalgia. </w:t>
      </w:r>
      <w:r>
        <w:rPr>
          <w:rFonts w:ascii="Book Antiqua" w:hAnsi="Book Antiqua"/>
          <w:i/>
          <w:sz w:val="24"/>
        </w:rPr>
        <w:t>Can J Neurol Sci</w:t>
      </w:r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sz w:val="24"/>
        </w:rPr>
        <w:t>46</w:t>
      </w:r>
      <w:r>
        <w:rPr>
          <w:rFonts w:ascii="Book Antiqua" w:hAnsi="Book Antiqua"/>
          <w:sz w:val="24"/>
        </w:rPr>
        <w:t>: 124-126 [PMID: 30520397 DOI: 10.1017/cjn.2018.377]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7 </w:t>
      </w:r>
      <w:r>
        <w:rPr>
          <w:rFonts w:ascii="Book Antiqua" w:hAnsi="Book Antiqua"/>
          <w:b/>
          <w:sz w:val="24"/>
        </w:rPr>
        <w:t>Headache Classification Subcommittee of the International Headache Society</w:t>
      </w:r>
      <w:r>
        <w:rPr>
          <w:rFonts w:ascii="Book Antiqua" w:hAnsi="Book Antiqua"/>
          <w:sz w:val="24"/>
        </w:rPr>
        <w:t>. The International Classification o</w:t>
      </w:r>
      <w:r>
        <w:rPr>
          <w:rFonts w:ascii="Book Antiqua" w:hAnsi="Book Antiqua"/>
          <w:sz w:val="24"/>
        </w:rPr>
        <w:t xml:space="preserve">f Headache Disorders: 2nd edition. </w:t>
      </w:r>
      <w:r>
        <w:rPr>
          <w:rFonts w:ascii="Book Antiqua" w:hAnsi="Book Antiqua"/>
          <w:i/>
          <w:sz w:val="24"/>
        </w:rPr>
        <w:t>Cephalalgia</w:t>
      </w:r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sz w:val="24"/>
        </w:rPr>
        <w:t>24 Suppl 1</w:t>
      </w:r>
      <w:r>
        <w:rPr>
          <w:rFonts w:ascii="Book Antiqua" w:hAnsi="Book Antiqua"/>
          <w:sz w:val="24"/>
        </w:rPr>
        <w:t>: 9-160 [PMID: 14979299 DOI: 10.1111/j.1468-2982.2003.00824.x]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8 Headache Classification Committee of the International Headache Society (IHS) The International Classification of Headache Disor</w:t>
      </w:r>
      <w:r>
        <w:rPr>
          <w:rFonts w:ascii="Book Antiqua" w:hAnsi="Book Antiqua"/>
          <w:sz w:val="24"/>
        </w:rPr>
        <w:t xml:space="preserve">ders, 3rd edition. </w:t>
      </w:r>
      <w:r>
        <w:rPr>
          <w:rFonts w:ascii="Book Antiqua" w:hAnsi="Book Antiqua"/>
          <w:i/>
          <w:sz w:val="24"/>
        </w:rPr>
        <w:t>Cephalalgia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38</w:t>
      </w:r>
      <w:r>
        <w:rPr>
          <w:rFonts w:ascii="Book Antiqua" w:hAnsi="Book Antiqua"/>
          <w:sz w:val="24"/>
        </w:rPr>
        <w:t>: 1-211 [PMID: 29368949 DOI: 10.1177/0333102417738202]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r>
        <w:rPr>
          <w:rFonts w:ascii="Book Antiqua" w:hAnsi="Book Antiqua"/>
          <w:b/>
          <w:sz w:val="24"/>
        </w:rPr>
        <w:t>He L</w:t>
      </w:r>
      <w:r>
        <w:rPr>
          <w:rFonts w:ascii="Book Antiqua" w:hAnsi="Book Antiqua"/>
          <w:sz w:val="24"/>
        </w:rPr>
        <w:t xml:space="preserve">, Cheng GS, Du YJ, Zhang YS. Clinical relevance of atrial septal aneurysm and patent foramen ovale with migraine. </w:t>
      </w:r>
      <w:r>
        <w:rPr>
          <w:rFonts w:ascii="Book Antiqua" w:hAnsi="Book Antiqua"/>
          <w:i/>
          <w:sz w:val="24"/>
        </w:rPr>
        <w:t>World J Clin Cases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6</w:t>
      </w:r>
      <w:r>
        <w:rPr>
          <w:rFonts w:ascii="Book Antiqua" w:hAnsi="Book Antiqua"/>
          <w:sz w:val="24"/>
        </w:rPr>
        <w:t>: 916-921 [PMID:</w:t>
      </w:r>
      <w:r>
        <w:rPr>
          <w:rFonts w:ascii="Book Antiqua" w:hAnsi="Book Antiqua"/>
          <w:sz w:val="24"/>
        </w:rPr>
        <w:t xml:space="preserve"> 30568946 DOI: 10.12998/wjcc.v6.i15.916]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sz w:val="24"/>
        </w:rPr>
        <w:t>Bini A</w:t>
      </w:r>
      <w:r>
        <w:rPr>
          <w:rFonts w:ascii="Book Antiqua" w:hAnsi="Book Antiqua"/>
          <w:sz w:val="24"/>
        </w:rPr>
        <w:t xml:space="preserve">, Evangelista A, Castellini P, Lambru G, Ferrante T, Manzoni GC, Torelli P. Cardiac cephalgia. </w:t>
      </w:r>
      <w:r>
        <w:rPr>
          <w:rFonts w:ascii="Book Antiqua" w:hAnsi="Book Antiqua"/>
          <w:i/>
          <w:sz w:val="24"/>
        </w:rPr>
        <w:t>J Headache Pain</w:t>
      </w:r>
      <w:r>
        <w:rPr>
          <w:rFonts w:ascii="Book Antiqua" w:hAnsi="Book Antiqua"/>
          <w:sz w:val="24"/>
        </w:rPr>
        <w:t xml:space="preserve"> 2009; </w:t>
      </w:r>
      <w:r>
        <w:rPr>
          <w:rFonts w:ascii="Book Antiqua" w:hAnsi="Book Antiqua"/>
          <w:b/>
          <w:sz w:val="24"/>
        </w:rPr>
        <w:t>10</w:t>
      </w:r>
      <w:r>
        <w:rPr>
          <w:rFonts w:ascii="Book Antiqua" w:hAnsi="Book Antiqua"/>
          <w:sz w:val="24"/>
        </w:rPr>
        <w:t>: 3-9 [PMID: 19139804 DOI: 10.1007/s10194-008-0087-x]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r>
        <w:rPr>
          <w:rFonts w:ascii="Book Antiqua" w:hAnsi="Book Antiqua"/>
          <w:b/>
          <w:sz w:val="24"/>
        </w:rPr>
        <w:t>Lipton RB</w:t>
      </w:r>
      <w:r>
        <w:rPr>
          <w:rFonts w:ascii="Book Antiqua" w:hAnsi="Book Antiqua"/>
          <w:sz w:val="24"/>
        </w:rPr>
        <w:t xml:space="preserve">, Lowenkopf T, Bajwa </w:t>
      </w:r>
      <w:r>
        <w:rPr>
          <w:rFonts w:ascii="Book Antiqua" w:hAnsi="Book Antiqua"/>
          <w:sz w:val="24"/>
        </w:rPr>
        <w:t xml:space="preserve">ZH, Leckie RS, Ribeiro S, Newman LC, Greenberg MA. Cardiac cephalgia: a treatable form of exertional headache. </w:t>
      </w:r>
      <w:r>
        <w:rPr>
          <w:rFonts w:ascii="Book Antiqua" w:hAnsi="Book Antiqua"/>
          <w:i/>
          <w:sz w:val="24"/>
        </w:rPr>
        <w:t>Neurology</w:t>
      </w:r>
      <w:r>
        <w:rPr>
          <w:rFonts w:ascii="Book Antiqua" w:hAnsi="Book Antiqua"/>
          <w:sz w:val="24"/>
        </w:rPr>
        <w:t xml:space="preserve"> 1997; </w:t>
      </w:r>
      <w:r>
        <w:rPr>
          <w:rFonts w:ascii="Book Antiqua" w:hAnsi="Book Antiqua"/>
          <w:b/>
          <w:sz w:val="24"/>
        </w:rPr>
        <w:t>49</w:t>
      </w:r>
      <w:r>
        <w:rPr>
          <w:rFonts w:ascii="Book Antiqua" w:hAnsi="Book Antiqua"/>
          <w:sz w:val="24"/>
        </w:rPr>
        <w:t>: 813-816 [PMID: 9305346 DOI: 10.1212/wnl.49.3.813]</w:t>
      </w:r>
    </w:p>
    <w:p w:rsidR="000D2A83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r>
        <w:rPr>
          <w:rFonts w:ascii="Book Antiqua" w:hAnsi="Book Antiqua"/>
          <w:b/>
          <w:sz w:val="24"/>
        </w:rPr>
        <w:t>Ramadan NM</w:t>
      </w:r>
      <w:r>
        <w:rPr>
          <w:rFonts w:ascii="Book Antiqua" w:hAnsi="Book Antiqua"/>
          <w:sz w:val="24"/>
        </w:rPr>
        <w:t xml:space="preserve">. Headache caused by raised intracranial pressure and intracranial hypotension. </w:t>
      </w:r>
      <w:r>
        <w:rPr>
          <w:rFonts w:ascii="Book Antiqua" w:hAnsi="Book Antiqua"/>
          <w:i/>
          <w:sz w:val="24"/>
        </w:rPr>
        <w:t>Curr Opin Neurol</w:t>
      </w:r>
      <w:r>
        <w:rPr>
          <w:rFonts w:ascii="Book Antiqua" w:hAnsi="Book Antiqua"/>
          <w:sz w:val="24"/>
        </w:rPr>
        <w:t xml:space="preserve"> 1996; </w:t>
      </w:r>
      <w:r>
        <w:rPr>
          <w:rFonts w:ascii="Book Antiqua" w:hAnsi="Book Antiqua"/>
          <w:b/>
          <w:sz w:val="24"/>
        </w:rPr>
        <w:t>9</w:t>
      </w:r>
      <w:r>
        <w:rPr>
          <w:rFonts w:ascii="Book Antiqua" w:hAnsi="Book Antiqua"/>
          <w:sz w:val="24"/>
        </w:rPr>
        <w:t>: 214-218 [PMID: 8839614 DOI: 10.1097/00019052-199606000-00011]</w:t>
      </w:r>
    </w:p>
    <w:p w:rsidR="000D2A83" w:rsidRDefault="00AA420B">
      <w:pPr>
        <w:widowControl/>
        <w:snapToGrid w:val="0"/>
        <w:spacing w:line="360" w:lineRule="auto"/>
        <w:rPr>
          <w:rFonts w:ascii="Book Antiqua" w:eastAsia="微软雅黑" w:hAnsi="Book Antiqua" w:cs="Arial"/>
          <w:color w:val="000000"/>
          <w:sz w:val="24"/>
          <w:shd w:val="clear" w:color="auto" w:fill="FFFFFF"/>
        </w:rPr>
      </w:pPr>
      <w:r>
        <w:rPr>
          <w:rFonts w:ascii="Book Antiqua" w:eastAsia="微软雅黑" w:hAnsi="Book Antiqua" w:cs="Arial"/>
          <w:color w:val="000000"/>
          <w:sz w:val="24"/>
          <w:shd w:val="clear" w:color="auto" w:fill="FFFFFF"/>
        </w:rPr>
        <w:br w:type="page"/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Footnotes</w:t>
      </w: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6179DB">
        <w:rPr>
          <w:rFonts w:ascii="Book Antiqua" w:hAnsi="Book Antiqua" w:cs="Tahoma"/>
          <w:b/>
          <w:sz w:val="24"/>
        </w:rPr>
        <w:t>Informed consent statement:</w:t>
      </w:r>
      <w:r w:rsidRPr="006179DB">
        <w:rPr>
          <w:rFonts w:ascii="Book Antiqua" w:hAnsi="Book Antiqua" w:cs="Tahoma"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Written informed consent was obtained from the </w:t>
      </w:r>
      <w:r>
        <w:rPr>
          <w:rFonts w:ascii="Book Antiqua" w:hAnsi="Book Antiqua" w:cs="Arial"/>
          <w:sz w:val="24"/>
        </w:rPr>
        <w:t>patient for publication of this report and any accompanying images.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6179DB">
        <w:rPr>
          <w:rFonts w:ascii="Book Antiqua" w:hAnsi="Book Antiqua" w:cs="Tahoma"/>
          <w:b/>
          <w:sz w:val="24"/>
        </w:rPr>
        <w:t>Conflict-of-interest statement:</w:t>
      </w:r>
      <w:r w:rsidRPr="006179DB">
        <w:rPr>
          <w:rFonts w:ascii="Book Antiqua" w:hAnsi="Book Antiqua" w:cs="Tahoma"/>
          <w:sz w:val="24"/>
        </w:rPr>
        <w:t xml:space="preserve"> </w:t>
      </w:r>
      <w:r>
        <w:rPr>
          <w:rFonts w:ascii="Book Antiqua" w:hAnsi="Book Antiqua" w:cs="Arial"/>
          <w:sz w:val="24"/>
        </w:rPr>
        <w:t>The authors declare that they have no conflict of interest.</w:t>
      </w:r>
    </w:p>
    <w:p w:rsidR="000D2A83" w:rsidRDefault="000D2A83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</w:p>
    <w:p w:rsidR="000D2A83" w:rsidRDefault="00AA420B">
      <w:pPr>
        <w:topLinePunct/>
        <w:autoSpaceDE w:val="0"/>
        <w:snapToGrid w:val="0"/>
        <w:spacing w:line="360" w:lineRule="auto"/>
        <w:rPr>
          <w:rFonts w:ascii="Book Antiqua" w:hAnsi="Book Antiqua" w:cs="Arial"/>
          <w:sz w:val="24"/>
        </w:rPr>
      </w:pPr>
      <w:r w:rsidRPr="006179DB">
        <w:rPr>
          <w:rFonts w:ascii="Book Antiqua" w:hAnsi="Book Antiqua" w:cs="Tahoma"/>
          <w:b/>
          <w:sz w:val="24"/>
        </w:rPr>
        <w:t>CARE Checklist (2016) statement:</w:t>
      </w:r>
      <w:r w:rsidRPr="006179DB">
        <w:rPr>
          <w:rFonts w:ascii="Book Antiqua" w:hAnsi="Book Antiqua" w:cs="Tahoma"/>
          <w:sz w:val="24"/>
        </w:rPr>
        <w:t xml:space="preserve"> </w:t>
      </w:r>
      <w:r>
        <w:rPr>
          <w:rFonts w:ascii="Book Antiqua" w:hAnsi="Book Antiqua" w:cs="Arial"/>
          <w:sz w:val="24"/>
        </w:rPr>
        <w:t>The authors have read the CARE Checklist (2016), and the manu</w:t>
      </w:r>
      <w:r>
        <w:rPr>
          <w:rFonts w:ascii="Book Antiqua" w:hAnsi="Book Antiqua" w:cs="Arial"/>
          <w:sz w:val="24"/>
        </w:rPr>
        <w:t>script was prepared and revised according to the CARE Checklist (2016).</w:t>
      </w:r>
    </w:p>
    <w:p w:rsidR="000D2A83" w:rsidRDefault="000D2A83">
      <w:pPr>
        <w:widowControl/>
        <w:snapToGrid w:val="0"/>
        <w:spacing w:line="360" w:lineRule="auto"/>
        <w:rPr>
          <w:rFonts w:ascii="Book Antiqua" w:eastAsia="微软雅黑" w:hAnsi="Book Antiqua" w:cs="Arial"/>
          <w:color w:val="000000"/>
          <w:sz w:val="24"/>
          <w:shd w:val="clear" w:color="auto" w:fill="FFFFFF"/>
        </w:rPr>
      </w:pPr>
    </w:p>
    <w:p w:rsidR="000D2A83" w:rsidRPr="006179DB" w:rsidRDefault="00AA420B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color w:val="000000"/>
          <w:sz w:val="24"/>
        </w:rPr>
        <w:t>Open-Access:</w:t>
      </w:r>
      <w:r>
        <w:rPr>
          <w:rFonts w:ascii="Book Antiqua" w:hAnsi="Book Antiqua"/>
          <w:color w:val="000000"/>
          <w:sz w:val="24"/>
        </w:rPr>
        <w:t xml:space="preserve"> This article is an open-access </w:t>
      </w:r>
      <w:r>
        <w:rPr>
          <w:rFonts w:ascii="Book Antiqua" w:hAnsi="Book Antiqua"/>
          <w:sz w:val="24"/>
        </w:rPr>
        <w:t xml:space="preserve">article that was selected </w:t>
      </w:r>
      <w:r>
        <w:rPr>
          <w:rFonts w:ascii="Book Antiqua" w:hAnsi="Book Antiqua"/>
          <w:color w:val="000000"/>
          <w:sz w:val="24"/>
        </w:rPr>
        <w:t>by an in-house editor and fully peer-reviewed by external reviewers. It is distributed in accordance with the Cre</w:t>
      </w:r>
      <w:r>
        <w:rPr>
          <w:rFonts w:ascii="Book Antiqua" w:hAnsi="Book Antiqua"/>
          <w:color w:val="000000"/>
          <w:sz w:val="24"/>
        </w:rPr>
        <w:t>ative Commons Attribution NonCommercial (CC BY-NC 4.0) license, which permits others to distribute, remix, adapt, build upon this work non-commercially, and license their derivative works on different terms, provided the original work is properly cited and</w:t>
      </w:r>
      <w:r>
        <w:rPr>
          <w:rFonts w:ascii="Book Antiqua" w:hAnsi="Book Antiqua"/>
          <w:color w:val="000000"/>
          <w:sz w:val="24"/>
        </w:rPr>
        <w:t xml:space="preserve"> the use is non-commercial. See: http://creativecommons.org/licenses/by-nc/4.0/</w:t>
      </w:r>
    </w:p>
    <w:p w:rsidR="000D2A83" w:rsidRPr="006179DB" w:rsidRDefault="000D2A83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</w:rPr>
      </w:pPr>
    </w:p>
    <w:p w:rsidR="000D2A83" w:rsidRPr="006179DB" w:rsidRDefault="00AA420B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</w:rPr>
      </w:pPr>
      <w:r w:rsidRPr="006179DB">
        <w:rPr>
          <w:rFonts w:ascii="Book Antiqua" w:eastAsia="宋体" w:hAnsi="Book Antiqua" w:cs="宋体"/>
          <w:b/>
          <w:sz w:val="24"/>
        </w:rPr>
        <w:t>Manuscript source:</w:t>
      </w:r>
      <w:r w:rsidRPr="006179DB">
        <w:rPr>
          <w:rFonts w:ascii="Book Antiqua" w:eastAsia="宋体" w:hAnsi="Book Antiqua" w:cs="宋体"/>
          <w:sz w:val="24"/>
        </w:rPr>
        <w:t> Unsolicited manuscript</w:t>
      </w:r>
    </w:p>
    <w:p w:rsidR="000D2A83" w:rsidRDefault="000D2A83">
      <w:pPr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</w:rPr>
      </w:pP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6179DB">
        <w:rPr>
          <w:rFonts w:ascii="Book Antiqua" w:hAnsi="Book Antiqua"/>
          <w:b/>
          <w:sz w:val="24"/>
        </w:rPr>
        <w:t>Peer-review started:</w:t>
      </w:r>
      <w:r w:rsidRPr="006179DB">
        <w:rPr>
          <w:rFonts w:ascii="Book Antiqua" w:hAnsi="Book Antiqua"/>
          <w:sz w:val="24"/>
        </w:rPr>
        <w:t xml:space="preserve"> March 16, 2020</w:t>
      </w: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6179DB">
        <w:rPr>
          <w:rFonts w:ascii="Book Antiqua" w:hAnsi="Book Antiqua"/>
          <w:b/>
          <w:sz w:val="24"/>
        </w:rPr>
        <w:t>First decision:</w:t>
      </w:r>
      <w:r w:rsidRPr="006179DB">
        <w:rPr>
          <w:rFonts w:ascii="Book Antiqua" w:hAnsi="Book Antiqua"/>
          <w:sz w:val="24"/>
        </w:rPr>
        <w:t xml:space="preserve"> April 29, 2020</w:t>
      </w:r>
    </w:p>
    <w:p w:rsidR="000D2A83" w:rsidRPr="006179DB" w:rsidRDefault="00AA420B">
      <w:pPr>
        <w:snapToGrid w:val="0"/>
        <w:spacing w:line="360" w:lineRule="auto"/>
        <w:rPr>
          <w:rFonts w:ascii="Book Antiqua" w:hAnsi="Book Antiqua"/>
          <w:sz w:val="24"/>
        </w:rPr>
      </w:pPr>
      <w:r w:rsidRPr="006179DB">
        <w:rPr>
          <w:rFonts w:ascii="Book Antiqua" w:hAnsi="Book Antiqua"/>
          <w:b/>
          <w:sz w:val="24"/>
        </w:rPr>
        <w:t>Article in press:</w:t>
      </w:r>
      <w:r w:rsidRPr="006179DB">
        <w:rPr>
          <w:rFonts w:ascii="Book Antiqua" w:hAnsi="Book Antiqua"/>
          <w:sz w:val="24"/>
        </w:rPr>
        <w:t xml:space="preserve"> </w:t>
      </w:r>
    </w:p>
    <w:p w:rsidR="000D2A83" w:rsidRPr="006179DB" w:rsidRDefault="000D2A83">
      <w:pPr>
        <w:snapToGrid w:val="0"/>
        <w:spacing w:line="360" w:lineRule="auto"/>
        <w:rPr>
          <w:rFonts w:ascii="Book Antiqua" w:hAnsi="Book Antiqua"/>
          <w:sz w:val="24"/>
        </w:rPr>
      </w:pP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eastAsia="宋体" w:hAnsi="Book Antiqua" w:cs="Helvetica"/>
          <w:b/>
          <w:sz w:val="24"/>
        </w:rPr>
        <w:t xml:space="preserve">Specialty type: </w:t>
      </w:r>
      <w:r>
        <w:rPr>
          <w:rFonts w:ascii="Book Antiqua" w:eastAsia="微软雅黑" w:hAnsi="Book Antiqua" w:cs="宋体"/>
          <w:sz w:val="24"/>
        </w:rPr>
        <w:t xml:space="preserve">Medicine, research and </w:t>
      </w:r>
      <w:r>
        <w:rPr>
          <w:rFonts w:ascii="Book Antiqua" w:eastAsia="微软雅黑" w:hAnsi="Book Antiqua" w:cs="宋体"/>
          <w:sz w:val="24"/>
        </w:rPr>
        <w:t>experimental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hAnsi="Book Antiqua" w:cs="宋体"/>
          <w:b/>
          <w:sz w:val="24"/>
        </w:rPr>
        <w:t>Country/Territory</w:t>
      </w:r>
      <w:r>
        <w:rPr>
          <w:rFonts w:ascii="Book Antiqua" w:eastAsia="宋体" w:hAnsi="Book Antiqua" w:cs="Helvetica"/>
          <w:b/>
          <w:sz w:val="24"/>
        </w:rPr>
        <w:t xml:space="preserve"> of origin: </w:t>
      </w:r>
      <w:r>
        <w:rPr>
          <w:rFonts w:ascii="Book Antiqua" w:eastAsia="宋体" w:hAnsi="Book Antiqua"/>
          <w:sz w:val="24"/>
        </w:rPr>
        <w:t>China</w:t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</w:rPr>
      </w:pPr>
      <w:r>
        <w:rPr>
          <w:rFonts w:ascii="Book Antiqua" w:hAnsi="Book Antiqua" w:cs="宋体"/>
          <w:b/>
          <w:sz w:val="24"/>
        </w:rPr>
        <w:t>Peer-review report’s scientific quality classification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A (Excellent): 0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B (Very good): 0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C (Good): C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lastRenderedPageBreak/>
        <w:t xml:space="preserve">Grade D (Fair): 0 </w:t>
      </w:r>
    </w:p>
    <w:p w:rsidR="000D2A83" w:rsidRDefault="00AA420B">
      <w:pPr>
        <w:snapToGrid w:val="0"/>
        <w:spacing w:line="360" w:lineRule="auto"/>
        <w:rPr>
          <w:rFonts w:ascii="Book Antiqua" w:hAnsi="Book Antiqua" w:cs="Calibri"/>
          <w:sz w:val="24"/>
        </w:rPr>
      </w:pPr>
      <w:r>
        <w:rPr>
          <w:rFonts w:ascii="Book Antiqua" w:eastAsia="宋体" w:hAnsi="Book Antiqua" w:cs="Helvetica"/>
          <w:sz w:val="24"/>
        </w:rPr>
        <w:t>Grade E (Poor): 0</w:t>
      </w:r>
    </w:p>
    <w:p w:rsidR="000D2A83" w:rsidRPr="006179DB" w:rsidRDefault="000D2A83">
      <w:pPr>
        <w:pStyle w:val="11"/>
        <w:snapToGrid w:val="0"/>
        <w:spacing w:line="360" w:lineRule="auto"/>
        <w:ind w:firstLine="480"/>
        <w:rPr>
          <w:rFonts w:ascii="Book Antiqua" w:hAnsi="Book Antiqua" w:cs="Calibri"/>
          <w:sz w:val="24"/>
          <w:szCs w:val="24"/>
        </w:rPr>
      </w:pPr>
    </w:p>
    <w:p w:rsidR="000D2A83" w:rsidRDefault="00AA420B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  <w:sz w:val="24"/>
        </w:rPr>
      </w:pPr>
      <w:r>
        <w:rPr>
          <w:rFonts w:ascii="Book Antiqua" w:hAnsi="Book Antiqua"/>
          <w:b/>
          <w:sz w:val="24"/>
        </w:rPr>
        <w:t xml:space="preserve">P-Reviewer: </w:t>
      </w:r>
      <w:r>
        <w:rPr>
          <w:rFonts w:ascii="Book Antiqua" w:eastAsia="宋体" w:hAnsi="Book Antiqua" w:cs="宋体"/>
          <w:color w:val="000000"/>
          <w:kern w:val="0"/>
          <w:sz w:val="24"/>
          <w:shd w:val="clear" w:color="auto" w:fill="FFFFFF"/>
        </w:rPr>
        <w:t>Rigatelli G</w:t>
      </w:r>
      <w:r>
        <w:rPr>
          <w:rFonts w:ascii="Book Antiqua" w:hAnsi="Book Antiqua"/>
          <w:color w:val="000000"/>
          <w:sz w:val="24"/>
        </w:rPr>
        <w:t xml:space="preserve"> </w:t>
      </w:r>
      <w:r>
        <w:rPr>
          <w:rFonts w:ascii="Book Antiqua" w:hAnsi="Book Antiqua"/>
          <w:b/>
          <w:sz w:val="24"/>
        </w:rPr>
        <w:t xml:space="preserve">S-Editor: </w:t>
      </w:r>
      <w:r>
        <w:rPr>
          <w:rFonts w:ascii="Book Antiqua" w:hAnsi="Book Antiqua"/>
          <w:bCs/>
          <w:sz w:val="24"/>
        </w:rPr>
        <w:t>Dou Y</w:t>
      </w:r>
      <w:r>
        <w:rPr>
          <w:rFonts w:ascii="Book Antiqua" w:hAnsi="Book Antiqua"/>
          <w:b/>
          <w:sz w:val="24"/>
        </w:rPr>
        <w:t xml:space="preserve"> L-Editor: </w:t>
      </w:r>
      <w:r>
        <w:rPr>
          <w:rFonts w:ascii="Book Antiqua" w:hAnsi="Book Antiqua"/>
          <w:sz w:val="24"/>
        </w:rPr>
        <w:t xml:space="preserve">Filipodia </w:t>
      </w:r>
      <w:r>
        <w:rPr>
          <w:rFonts w:ascii="Book Antiqua" w:hAnsi="Book Antiqua"/>
          <w:b/>
          <w:sz w:val="24"/>
        </w:rPr>
        <w:t xml:space="preserve">E-Editor: </w:t>
      </w:r>
    </w:p>
    <w:p w:rsidR="000D2A83" w:rsidRDefault="00AA420B">
      <w:pPr>
        <w:snapToGrid w:val="0"/>
        <w:spacing w:line="360" w:lineRule="auto"/>
        <w:rPr>
          <w:rFonts w:ascii="Book Antiqua" w:eastAsia="宋体" w:hAnsi="Book Antiqua" w:cs="Courier New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:rsidR="000D2A83" w:rsidRDefault="00AA420B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Figure Legends</w:t>
      </w:r>
    </w:p>
    <w:p w:rsidR="000D2A83" w:rsidRDefault="00AA420B">
      <w:pPr>
        <w:widowControl/>
        <w:snapToGrid w:val="0"/>
        <w:spacing w:line="360" w:lineRule="auto"/>
        <w:rPr>
          <w:rFonts w:ascii="Book Antiqua" w:eastAsia="微软雅黑" w:hAnsi="Book Antiqua" w:cs="Arial"/>
          <w:color w:val="000000"/>
          <w:sz w:val="24"/>
          <w:shd w:val="clear" w:color="auto" w:fill="FFFFFF"/>
        </w:rPr>
      </w:pPr>
      <w:r>
        <w:rPr>
          <w:rFonts w:ascii="Book Antiqua" w:eastAsia="微软雅黑" w:hAnsi="Book Antiqua" w:cs="Arial"/>
          <w:noProof/>
          <w:color w:val="000000"/>
          <w:sz w:val="24"/>
          <w:shd w:val="clear" w:color="auto" w:fill="FFFFFF"/>
        </w:rPr>
        <w:drawing>
          <wp:inline distT="0" distB="0" distL="0" distR="0" wp14:anchorId="4954D6D9" wp14:editId="56C31CBF">
            <wp:extent cx="5274310" cy="4649470"/>
            <wp:effectExtent l="0" t="0" r="0" b="0"/>
            <wp:docPr id="1" name="图片 1" descr="墙上有涂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墙上有涂鸦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83" w:rsidRDefault="00AA420B">
      <w:pPr>
        <w:widowControl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eastAsia="微软雅黑" w:hAnsi="Book Antiqua" w:cs="Arial"/>
          <w:b/>
          <w:color w:val="000000"/>
          <w:sz w:val="24"/>
          <w:shd w:val="clear" w:color="auto" w:fill="FFFFFF"/>
        </w:rPr>
        <w:t xml:space="preserve">Figure 1 </w:t>
      </w:r>
      <w:r>
        <w:rPr>
          <w:rFonts w:ascii="Book Antiqua" w:hAnsi="Book Antiqua" w:cs="Arial"/>
          <w:b/>
          <w:sz w:val="24"/>
        </w:rPr>
        <w:t xml:space="preserve">Magnetic resonance imaging and magnetic resonance angiography findings </w:t>
      </w:r>
      <w:r>
        <w:rPr>
          <w:rFonts w:ascii="Book Antiqua" w:hAnsi="Book Antiqua" w:cs="Arial"/>
          <w:b/>
          <w:sz w:val="24"/>
        </w:rPr>
        <w:t xml:space="preserve">in </w:t>
      </w:r>
      <w:r>
        <w:rPr>
          <w:rFonts w:ascii="Book Antiqua" w:hAnsi="Book Antiqua" w:cs="Arial"/>
          <w:b/>
          <w:sz w:val="24"/>
        </w:rPr>
        <w:t>the patient.</w:t>
      </w:r>
    </w:p>
    <w:p w:rsidR="000D2A83" w:rsidRDefault="00AA420B">
      <w:pPr>
        <w:widowControl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br w:type="page"/>
      </w:r>
    </w:p>
    <w:p w:rsidR="000D2A83" w:rsidRDefault="00AA420B">
      <w:pPr>
        <w:widowControl/>
        <w:snapToGrid w:val="0"/>
        <w:spacing w:line="360" w:lineRule="auto"/>
        <w:rPr>
          <w:rFonts w:ascii="Book Antiqua" w:eastAsia="微软雅黑" w:hAnsi="Book Antiqua" w:cs="Arial"/>
          <w:color w:val="000000"/>
          <w:sz w:val="24"/>
          <w:shd w:val="clear" w:color="auto" w:fill="FFFFFF"/>
        </w:rPr>
      </w:pPr>
      <w:r>
        <w:rPr>
          <w:rFonts w:ascii="Book Antiqua" w:eastAsia="微软雅黑" w:hAnsi="Book Antiqua" w:cs="Arial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 wp14:anchorId="1C9D5533" wp14:editId="5ADA4870">
            <wp:extent cx="5274310" cy="3932555"/>
            <wp:effectExtent l="0" t="0" r="0" b="4445"/>
            <wp:docPr id="5" name="图片 5" descr="图片包含 室内, 白色, 覆盖, 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室内, 白色, 覆盖, 门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83" w:rsidRDefault="00AA420B">
      <w:pPr>
        <w:widowControl/>
        <w:snapToGrid w:val="0"/>
        <w:spacing w:line="360" w:lineRule="auto"/>
        <w:rPr>
          <w:rFonts w:ascii="Book Antiqua" w:hAnsi="Book Antiqua" w:cs="Arial"/>
          <w:b/>
          <w:sz w:val="24"/>
        </w:rPr>
      </w:pPr>
      <w:r>
        <w:rPr>
          <w:rFonts w:ascii="Book Antiqua" w:eastAsia="微软雅黑" w:hAnsi="Book Antiqua" w:cs="Arial"/>
          <w:b/>
          <w:color w:val="000000"/>
          <w:sz w:val="24"/>
          <w:shd w:val="clear" w:color="auto" w:fill="FFFFFF"/>
        </w:rPr>
        <w:t xml:space="preserve">Figure 2 </w:t>
      </w:r>
      <w:r>
        <w:rPr>
          <w:rFonts w:ascii="Book Antiqua" w:hAnsi="Book Antiqua" w:cs="Arial"/>
          <w:b/>
          <w:sz w:val="24"/>
        </w:rPr>
        <w:t>Twe</w:t>
      </w:r>
      <w:r>
        <w:rPr>
          <w:rFonts w:ascii="Book Antiqua" w:hAnsi="Book Antiqua" w:cs="Arial"/>
          <w:b/>
          <w:sz w:val="24"/>
        </w:rPr>
        <w:t>nty-four-hour</w:t>
      </w:r>
      <w:r>
        <w:rPr>
          <w:rFonts w:ascii="Book Antiqua" w:hAnsi="Book Antiqua" w:cs="Arial"/>
          <w:b/>
          <w:sz w:val="24"/>
        </w:rPr>
        <w:t xml:space="preserve"> Holter electrocardiogram monitoring results.</w:t>
      </w:r>
    </w:p>
    <w:p w:rsidR="000D2A83" w:rsidRDefault="00AA420B">
      <w:pPr>
        <w:widowControl/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hAnsi="Book Antiqua" w:cs="Arial"/>
          <w:sz w:val="24"/>
        </w:rPr>
        <w:br w:type="page"/>
      </w:r>
    </w:p>
    <w:p w:rsidR="000D2A83" w:rsidRDefault="00AA420B">
      <w:pPr>
        <w:pStyle w:val="Normal1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Book Antiqua" w:eastAsia="微软雅黑" w:hAnsi="Book Antiqua" w:cs="Arial"/>
          <w:b/>
          <w:noProof/>
          <w:color w:val="000000"/>
          <w:sz w:val="24"/>
          <w:szCs w:val="24"/>
          <w:shd w:val="clear" w:color="auto" w:fill="FFFFFF"/>
          <w:lang w:eastAsia="zh-CN"/>
        </w:rPr>
        <w:lastRenderedPageBreak/>
        <w:drawing>
          <wp:inline distT="0" distB="0" distL="0" distR="0" wp14:anchorId="0C1C0599" wp14:editId="2A0F7DE6">
            <wp:extent cx="5274310" cy="3343275"/>
            <wp:effectExtent l="0" t="0" r="0" b="0"/>
            <wp:docPr id="4" name="图片 4" descr="图片包含 文字, 游戏机, 房间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文字, 游戏机, 房间, 白色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83" w:rsidRDefault="00AA420B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r>
        <w:rPr>
          <w:rFonts w:ascii="Book Antiqua" w:eastAsia="微软雅黑" w:hAnsi="Book Antiqua" w:cs="Arial"/>
          <w:b/>
          <w:color w:val="000000"/>
          <w:sz w:val="24"/>
          <w:szCs w:val="24"/>
          <w:shd w:val="clear" w:color="auto" w:fill="FFFFFF"/>
        </w:rPr>
        <w:t>Figure 3 Electrocardiogram after</w:t>
      </w:r>
      <w:r>
        <w:rPr>
          <w:rFonts w:ascii="Book Antiqua" w:hAnsi="Book Antiqua" w:cs="Arial"/>
          <w:b/>
          <w:sz w:val="24"/>
          <w:szCs w:val="24"/>
          <w:lang w:eastAsia="zh-CN"/>
        </w:rPr>
        <w:t xml:space="preserve"> </w:t>
      </w:r>
      <w:r>
        <w:rPr>
          <w:rFonts w:ascii="Book Antiqua" w:hAnsi="Book Antiqua" w:cs="Arial"/>
          <w:b/>
          <w:sz w:val="24"/>
          <w:szCs w:val="24"/>
        </w:rPr>
        <w:t>implantation of dual-chamber pacing.</w:t>
      </w:r>
    </w:p>
    <w:sectPr w:rsidR="000D2A83">
      <w:footerReference w:type="even" r:id="rId11"/>
      <w:footerReference w:type="default" r:id="rId12"/>
      <w:type w:val="continuous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20B" w:rsidRDefault="00AA420B">
      <w:r>
        <w:separator/>
      </w:r>
    </w:p>
  </w:endnote>
  <w:endnote w:type="continuationSeparator" w:id="0">
    <w:p w:rsidR="00AA420B" w:rsidRDefault="00AA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A83" w:rsidRDefault="00AA420B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D2A83" w:rsidRDefault="000D2A8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A83" w:rsidRPr="006179DB" w:rsidRDefault="00AA420B">
    <w:pPr>
      <w:pStyle w:val="a7"/>
      <w:framePr w:wrap="around" w:vAnchor="text" w:hAnchor="margin" w:xAlign="center" w:y="1"/>
      <w:rPr>
        <w:rStyle w:val="ac"/>
        <w:rFonts w:ascii="Book Antiqua" w:hAnsi="Book Antiqua"/>
        <w:sz w:val="24"/>
        <w:szCs w:val="24"/>
      </w:rPr>
    </w:pPr>
    <w:r w:rsidRPr="006179DB">
      <w:rPr>
        <w:rStyle w:val="ac"/>
        <w:rFonts w:ascii="Book Antiqua" w:hAnsi="Book Antiqua"/>
        <w:sz w:val="24"/>
        <w:szCs w:val="24"/>
      </w:rPr>
      <w:fldChar w:fldCharType="begin"/>
    </w:r>
    <w:r w:rsidRPr="006179DB">
      <w:rPr>
        <w:rStyle w:val="ac"/>
        <w:rFonts w:ascii="Book Antiqua" w:hAnsi="Book Antiqua"/>
        <w:sz w:val="24"/>
        <w:szCs w:val="24"/>
      </w:rPr>
      <w:instrText xml:space="preserve">PAGE  </w:instrText>
    </w:r>
    <w:r w:rsidRPr="006179DB">
      <w:rPr>
        <w:rStyle w:val="ac"/>
        <w:rFonts w:ascii="Book Antiqua" w:hAnsi="Book Antiqua"/>
        <w:sz w:val="24"/>
        <w:szCs w:val="24"/>
      </w:rPr>
      <w:fldChar w:fldCharType="separate"/>
    </w:r>
    <w:r w:rsidR="006179DB">
      <w:rPr>
        <w:rStyle w:val="ac"/>
        <w:rFonts w:ascii="Book Antiqua" w:hAnsi="Book Antiqua"/>
        <w:noProof/>
        <w:sz w:val="24"/>
        <w:szCs w:val="24"/>
      </w:rPr>
      <w:t>2</w:t>
    </w:r>
    <w:r w:rsidRPr="006179DB">
      <w:rPr>
        <w:rStyle w:val="ac"/>
        <w:rFonts w:ascii="Book Antiqua" w:hAnsi="Book Antiqua"/>
        <w:sz w:val="24"/>
        <w:szCs w:val="24"/>
      </w:rPr>
      <w:fldChar w:fldCharType="end"/>
    </w:r>
  </w:p>
  <w:p w:rsidR="000D2A83" w:rsidRPr="006179DB" w:rsidRDefault="000D2A83">
    <w:pPr>
      <w:pStyle w:val="a7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20B" w:rsidRDefault="00AA420B">
      <w:r>
        <w:separator/>
      </w:r>
    </w:p>
  </w:footnote>
  <w:footnote w:type="continuationSeparator" w:id="0">
    <w:p w:rsidR="00AA420B" w:rsidRDefault="00AA420B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FP">
    <w15:presenceInfo w15:providerId="None" w15:userId="FP"/>
  </w15:person>
  <w15:person w15:author="KR            ">
    <w15:presenceInfo w15:providerId="None" w15:userId="KR            "/>
  </w15:person>
  <w15:person w15:author="google1590536764">
    <w15:presenceInfo w15:providerId="WPS Office" w15:userId="20155780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F4544B"/>
    <w:rsid w:val="E7FF1935"/>
    <w:rsid w:val="000006B4"/>
    <w:rsid w:val="00013C97"/>
    <w:rsid w:val="00017DF0"/>
    <w:rsid w:val="000208C1"/>
    <w:rsid w:val="000318F5"/>
    <w:rsid w:val="00034A3E"/>
    <w:rsid w:val="000468AC"/>
    <w:rsid w:val="00051376"/>
    <w:rsid w:val="00052BB8"/>
    <w:rsid w:val="00064713"/>
    <w:rsid w:val="00070739"/>
    <w:rsid w:val="00074D79"/>
    <w:rsid w:val="000B7D8B"/>
    <w:rsid w:val="000C1858"/>
    <w:rsid w:val="000C42F5"/>
    <w:rsid w:val="000C7E68"/>
    <w:rsid w:val="000D2A83"/>
    <w:rsid w:val="000D3C84"/>
    <w:rsid w:val="000D5731"/>
    <w:rsid w:val="000E589F"/>
    <w:rsid w:val="000F173C"/>
    <w:rsid w:val="000F5DD1"/>
    <w:rsid w:val="0011033B"/>
    <w:rsid w:val="00124C9B"/>
    <w:rsid w:val="001572B1"/>
    <w:rsid w:val="001601F0"/>
    <w:rsid w:val="00181FB5"/>
    <w:rsid w:val="00182E63"/>
    <w:rsid w:val="00184D4F"/>
    <w:rsid w:val="00191899"/>
    <w:rsid w:val="00196DDE"/>
    <w:rsid w:val="001B714D"/>
    <w:rsid w:val="001C20F8"/>
    <w:rsid w:val="001E593B"/>
    <w:rsid w:val="001E7C14"/>
    <w:rsid w:val="0022746F"/>
    <w:rsid w:val="00232F18"/>
    <w:rsid w:val="002336D2"/>
    <w:rsid w:val="002459FF"/>
    <w:rsid w:val="002577FC"/>
    <w:rsid w:val="00261C0E"/>
    <w:rsid w:val="00272047"/>
    <w:rsid w:val="00272C98"/>
    <w:rsid w:val="00281643"/>
    <w:rsid w:val="00286E50"/>
    <w:rsid w:val="00295894"/>
    <w:rsid w:val="002A6C59"/>
    <w:rsid w:val="002D11AE"/>
    <w:rsid w:val="002D325C"/>
    <w:rsid w:val="002E474E"/>
    <w:rsid w:val="002E78AC"/>
    <w:rsid w:val="002F70CA"/>
    <w:rsid w:val="00316ACA"/>
    <w:rsid w:val="00343667"/>
    <w:rsid w:val="00345AD3"/>
    <w:rsid w:val="00365341"/>
    <w:rsid w:val="003656AE"/>
    <w:rsid w:val="003673BD"/>
    <w:rsid w:val="00374D12"/>
    <w:rsid w:val="00393AF9"/>
    <w:rsid w:val="003B7138"/>
    <w:rsid w:val="003C675A"/>
    <w:rsid w:val="003F1D14"/>
    <w:rsid w:val="00404AD7"/>
    <w:rsid w:val="00424C03"/>
    <w:rsid w:val="0044281B"/>
    <w:rsid w:val="00463E67"/>
    <w:rsid w:val="00473DD5"/>
    <w:rsid w:val="00473F39"/>
    <w:rsid w:val="00473FF9"/>
    <w:rsid w:val="0049503D"/>
    <w:rsid w:val="004C10EF"/>
    <w:rsid w:val="004C6331"/>
    <w:rsid w:val="004E0AEC"/>
    <w:rsid w:val="004E5E9B"/>
    <w:rsid w:val="005009CB"/>
    <w:rsid w:val="00513633"/>
    <w:rsid w:val="0055269C"/>
    <w:rsid w:val="005605B2"/>
    <w:rsid w:val="00560F72"/>
    <w:rsid w:val="00566220"/>
    <w:rsid w:val="00582B16"/>
    <w:rsid w:val="00583085"/>
    <w:rsid w:val="00591A56"/>
    <w:rsid w:val="005A5058"/>
    <w:rsid w:val="005C38E4"/>
    <w:rsid w:val="005C40BD"/>
    <w:rsid w:val="005D0292"/>
    <w:rsid w:val="005D5A57"/>
    <w:rsid w:val="005E2D17"/>
    <w:rsid w:val="005F369B"/>
    <w:rsid w:val="006179DB"/>
    <w:rsid w:val="006257C8"/>
    <w:rsid w:val="00654A02"/>
    <w:rsid w:val="00673B58"/>
    <w:rsid w:val="00683616"/>
    <w:rsid w:val="00695064"/>
    <w:rsid w:val="00695CBA"/>
    <w:rsid w:val="006A20F0"/>
    <w:rsid w:val="006B408B"/>
    <w:rsid w:val="006C18B6"/>
    <w:rsid w:val="006C288D"/>
    <w:rsid w:val="006D34F1"/>
    <w:rsid w:val="006D7B51"/>
    <w:rsid w:val="006F1FDE"/>
    <w:rsid w:val="00712D88"/>
    <w:rsid w:val="007409BC"/>
    <w:rsid w:val="00763599"/>
    <w:rsid w:val="00773E54"/>
    <w:rsid w:val="00780FFB"/>
    <w:rsid w:val="00781D46"/>
    <w:rsid w:val="00783DAC"/>
    <w:rsid w:val="007878A7"/>
    <w:rsid w:val="007A4771"/>
    <w:rsid w:val="007A6341"/>
    <w:rsid w:val="007B37E3"/>
    <w:rsid w:val="007D7CC5"/>
    <w:rsid w:val="007E3051"/>
    <w:rsid w:val="007F2864"/>
    <w:rsid w:val="00816215"/>
    <w:rsid w:val="00826B00"/>
    <w:rsid w:val="00826FBB"/>
    <w:rsid w:val="008436D0"/>
    <w:rsid w:val="0085421E"/>
    <w:rsid w:val="0085625C"/>
    <w:rsid w:val="008741C5"/>
    <w:rsid w:val="0089276E"/>
    <w:rsid w:val="00892ECF"/>
    <w:rsid w:val="008D4848"/>
    <w:rsid w:val="008E44DC"/>
    <w:rsid w:val="008F51CC"/>
    <w:rsid w:val="008F6BBF"/>
    <w:rsid w:val="00914B9B"/>
    <w:rsid w:val="00956305"/>
    <w:rsid w:val="009D6553"/>
    <w:rsid w:val="009F0F7F"/>
    <w:rsid w:val="009F1019"/>
    <w:rsid w:val="00A07CC8"/>
    <w:rsid w:val="00A15F07"/>
    <w:rsid w:val="00A22382"/>
    <w:rsid w:val="00A32C0B"/>
    <w:rsid w:val="00A32C34"/>
    <w:rsid w:val="00A355FD"/>
    <w:rsid w:val="00A448C1"/>
    <w:rsid w:val="00A551D8"/>
    <w:rsid w:val="00A71222"/>
    <w:rsid w:val="00A71F23"/>
    <w:rsid w:val="00A73AA8"/>
    <w:rsid w:val="00A8566B"/>
    <w:rsid w:val="00AA420B"/>
    <w:rsid w:val="00AD7E87"/>
    <w:rsid w:val="00B106D1"/>
    <w:rsid w:val="00B15847"/>
    <w:rsid w:val="00B25FC1"/>
    <w:rsid w:val="00B427E4"/>
    <w:rsid w:val="00B4464B"/>
    <w:rsid w:val="00B637F5"/>
    <w:rsid w:val="00B758D8"/>
    <w:rsid w:val="00B774F3"/>
    <w:rsid w:val="00B94A84"/>
    <w:rsid w:val="00BC0AF8"/>
    <w:rsid w:val="00BC2AEA"/>
    <w:rsid w:val="00BE234E"/>
    <w:rsid w:val="00BE4EAA"/>
    <w:rsid w:val="00BF37D5"/>
    <w:rsid w:val="00C009CF"/>
    <w:rsid w:val="00C14CAD"/>
    <w:rsid w:val="00C44076"/>
    <w:rsid w:val="00C5037F"/>
    <w:rsid w:val="00C619F5"/>
    <w:rsid w:val="00CC4C2F"/>
    <w:rsid w:val="00CE3E55"/>
    <w:rsid w:val="00D27974"/>
    <w:rsid w:val="00D40D09"/>
    <w:rsid w:val="00D416F5"/>
    <w:rsid w:val="00D4683F"/>
    <w:rsid w:val="00D5055C"/>
    <w:rsid w:val="00D6460A"/>
    <w:rsid w:val="00D659AF"/>
    <w:rsid w:val="00D92D3A"/>
    <w:rsid w:val="00D93A03"/>
    <w:rsid w:val="00DA5FC2"/>
    <w:rsid w:val="00DA6EDC"/>
    <w:rsid w:val="00DA729B"/>
    <w:rsid w:val="00DB39A0"/>
    <w:rsid w:val="00DD28B5"/>
    <w:rsid w:val="00DD40E7"/>
    <w:rsid w:val="00DE66E2"/>
    <w:rsid w:val="00DF2AF9"/>
    <w:rsid w:val="00DF6CD6"/>
    <w:rsid w:val="00E1393B"/>
    <w:rsid w:val="00E771D0"/>
    <w:rsid w:val="00E855B1"/>
    <w:rsid w:val="00EB2871"/>
    <w:rsid w:val="00EF59EA"/>
    <w:rsid w:val="00F04842"/>
    <w:rsid w:val="00F061D9"/>
    <w:rsid w:val="00F25C83"/>
    <w:rsid w:val="00F5777A"/>
    <w:rsid w:val="00F66650"/>
    <w:rsid w:val="00F75645"/>
    <w:rsid w:val="00F9125F"/>
    <w:rsid w:val="00F92CF4"/>
    <w:rsid w:val="00F9798B"/>
    <w:rsid w:val="00FE1266"/>
    <w:rsid w:val="0EF4544B"/>
    <w:rsid w:val="195B5838"/>
    <w:rsid w:val="227819FD"/>
    <w:rsid w:val="28AB30E7"/>
    <w:rsid w:val="3E9946CF"/>
    <w:rsid w:val="4E2E7248"/>
    <w:rsid w:val="5B671877"/>
    <w:rsid w:val="5D25399C"/>
    <w:rsid w:val="64374AED"/>
    <w:rsid w:val="653E7BDB"/>
    <w:rsid w:val="657BD077"/>
    <w:rsid w:val="66266AF8"/>
    <w:rsid w:val="66EB5B8E"/>
    <w:rsid w:val="67101552"/>
    <w:rsid w:val="6EDA50CF"/>
    <w:rsid w:val="709F452F"/>
    <w:rsid w:val="72D50520"/>
    <w:rsid w:val="765E13C0"/>
    <w:rsid w:val="7C3D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annotation text" w:semiHidden="0" w:unhideWhenUsed="0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page number" w:semiHidden="0" w:unhideWhenUsed="0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Hyperlink" w:semiHidden="0" w:uiPriority="99" w:qFormat="1"/>
    <w:lsdException w:name="Strong" w:semiHidden="0" w:uiPriority="22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rFonts w:eastAsia="宋体"/>
      <w:sz w:val="20"/>
      <w:szCs w:val="18"/>
    </w:rPr>
  </w:style>
  <w:style w:type="paragraph" w:styleId="a4">
    <w:name w:val="Body Text"/>
    <w:basedOn w:val="a"/>
    <w:link w:val="Char0"/>
    <w:uiPriority w:val="1"/>
    <w:qFormat/>
    <w:pPr>
      <w:spacing w:after="200" w:line="276" w:lineRule="auto"/>
      <w:ind w:left="81"/>
    </w:pPr>
    <w:rPr>
      <w:rFonts w:ascii="宋体" w:eastAsia="宋体" w:hAnsi="宋体" w:cs="宋体"/>
      <w:sz w:val="17"/>
      <w:szCs w:val="17"/>
      <w:lang w:val="zh-CN" w:bidi="zh-CN"/>
    </w:rPr>
  </w:style>
  <w:style w:type="paragraph" w:styleId="a5">
    <w:name w:val="annotation text"/>
    <w:basedOn w:val="a"/>
    <w:link w:val="Char1"/>
    <w:pPr>
      <w:jc w:val="left"/>
    </w:pPr>
  </w:style>
  <w:style w:type="paragraph" w:styleId="a6">
    <w:name w:val="annotation subject"/>
    <w:basedOn w:val="a5"/>
    <w:next w:val="a5"/>
    <w:link w:val="Char2"/>
    <w:rPr>
      <w:b/>
      <w:bCs/>
    </w:rPr>
  </w:style>
  <w:style w:type="paragraph" w:styleId="a7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Plain Text"/>
    <w:basedOn w:val="a"/>
    <w:link w:val="Char5"/>
    <w:qFormat/>
    <w:rPr>
      <w:rFonts w:ascii="宋体" w:eastAsia="宋体" w:hAnsi="Courier New" w:cs="Courier New"/>
      <w:szCs w:val="21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page number"/>
    <w:basedOn w:val="a0"/>
    <w:qFormat/>
  </w:style>
  <w:style w:type="character" w:styleId="ad">
    <w:name w:val="Strong"/>
    <w:basedOn w:val="a0"/>
    <w:uiPriority w:val="22"/>
    <w:qFormat/>
    <w:rPr>
      <w:b/>
      <w:bCs/>
    </w:rPr>
  </w:style>
  <w:style w:type="character" w:customStyle="1" w:styleId="Char4">
    <w:name w:val="页眉 Char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rc">
    <w:name w:val="src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-11">
    <w:name w:val="彩色列表 - 着色 11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szCs w:val="22"/>
      <w:lang w:val="el-GR" w:eastAsia="en-US"/>
    </w:rPr>
  </w:style>
  <w:style w:type="character" w:customStyle="1" w:styleId="Char1">
    <w:name w:val="批注文字 Char"/>
    <w:basedOn w:val="a0"/>
    <w:link w:val="a5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1"/>
    <w:link w:val="a6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">
    <w:name w:val="批注框文本 Char"/>
    <w:basedOn w:val="a0"/>
    <w:link w:val="a3"/>
    <w:qFormat/>
    <w:rPr>
      <w:rFonts w:asciiTheme="minorHAnsi" w:hAnsiTheme="minorHAnsi" w:cstheme="minorBidi"/>
      <w:kern w:val="2"/>
      <w:szCs w:val="18"/>
    </w:rPr>
  </w:style>
  <w:style w:type="character" w:customStyle="1" w:styleId="Char0">
    <w:name w:val="正文文本 Char"/>
    <w:basedOn w:val="a0"/>
    <w:link w:val="a4"/>
    <w:uiPriority w:val="1"/>
    <w:qFormat/>
    <w:rPr>
      <w:rFonts w:ascii="宋体" w:hAnsi="宋体" w:cs="宋体"/>
      <w:kern w:val="2"/>
      <w:sz w:val="17"/>
      <w:szCs w:val="17"/>
      <w:lang w:val="zh-CN" w:bidi="zh-CN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0">
    <w:name w:val="未处理的提及1"/>
    <w:basedOn w:val="a0"/>
    <w:qFormat/>
    <w:rPr>
      <w:color w:val="605E5C"/>
      <w:shd w:val="clear" w:color="auto" w:fill="E1DFDD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id-label">
    <w:name w:val="id-label"/>
    <w:basedOn w:val="a0"/>
    <w:qFormat/>
  </w:style>
  <w:style w:type="character" w:customStyle="1" w:styleId="normaltextrun">
    <w:name w:val="normaltextrun"/>
    <w:basedOn w:val="a0"/>
    <w:qFormat/>
  </w:style>
  <w:style w:type="paragraph" w:customStyle="1" w:styleId="paragraph">
    <w:name w:val="paragraph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/>
    </w:rPr>
  </w:style>
  <w:style w:type="character" w:customStyle="1" w:styleId="Char5">
    <w:name w:val="纯文本 Char"/>
    <w:basedOn w:val="a0"/>
    <w:link w:val="a9"/>
    <w:qFormat/>
    <w:rPr>
      <w:rFonts w:ascii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annotation text" w:semiHidden="0" w:unhideWhenUsed="0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page number" w:semiHidden="0" w:unhideWhenUsed="0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Hyperlink" w:semiHidden="0" w:uiPriority="99" w:qFormat="1"/>
    <w:lsdException w:name="Strong" w:semiHidden="0" w:uiPriority="22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rFonts w:eastAsia="宋体"/>
      <w:sz w:val="20"/>
      <w:szCs w:val="18"/>
    </w:rPr>
  </w:style>
  <w:style w:type="paragraph" w:styleId="a4">
    <w:name w:val="Body Text"/>
    <w:basedOn w:val="a"/>
    <w:link w:val="Char0"/>
    <w:uiPriority w:val="1"/>
    <w:qFormat/>
    <w:pPr>
      <w:spacing w:after="200" w:line="276" w:lineRule="auto"/>
      <w:ind w:left="81"/>
    </w:pPr>
    <w:rPr>
      <w:rFonts w:ascii="宋体" w:eastAsia="宋体" w:hAnsi="宋体" w:cs="宋体"/>
      <w:sz w:val="17"/>
      <w:szCs w:val="17"/>
      <w:lang w:val="zh-CN" w:bidi="zh-CN"/>
    </w:rPr>
  </w:style>
  <w:style w:type="paragraph" w:styleId="a5">
    <w:name w:val="annotation text"/>
    <w:basedOn w:val="a"/>
    <w:link w:val="Char1"/>
    <w:pPr>
      <w:jc w:val="left"/>
    </w:pPr>
  </w:style>
  <w:style w:type="paragraph" w:styleId="a6">
    <w:name w:val="annotation subject"/>
    <w:basedOn w:val="a5"/>
    <w:next w:val="a5"/>
    <w:link w:val="Char2"/>
    <w:rPr>
      <w:b/>
      <w:bCs/>
    </w:rPr>
  </w:style>
  <w:style w:type="paragraph" w:styleId="a7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Plain Text"/>
    <w:basedOn w:val="a"/>
    <w:link w:val="Char5"/>
    <w:qFormat/>
    <w:rPr>
      <w:rFonts w:ascii="宋体" w:eastAsia="宋体" w:hAnsi="Courier New" w:cs="Courier New"/>
      <w:szCs w:val="21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page number"/>
    <w:basedOn w:val="a0"/>
    <w:qFormat/>
  </w:style>
  <w:style w:type="character" w:styleId="ad">
    <w:name w:val="Strong"/>
    <w:basedOn w:val="a0"/>
    <w:uiPriority w:val="22"/>
    <w:qFormat/>
    <w:rPr>
      <w:b/>
      <w:bCs/>
    </w:rPr>
  </w:style>
  <w:style w:type="character" w:customStyle="1" w:styleId="Char4">
    <w:name w:val="页眉 Char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rc">
    <w:name w:val="src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-11">
    <w:name w:val="彩色列表 - 着色 11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szCs w:val="22"/>
      <w:lang w:val="el-GR" w:eastAsia="en-US"/>
    </w:rPr>
  </w:style>
  <w:style w:type="character" w:customStyle="1" w:styleId="Char1">
    <w:name w:val="批注文字 Char"/>
    <w:basedOn w:val="a0"/>
    <w:link w:val="a5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1"/>
    <w:link w:val="a6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">
    <w:name w:val="批注框文本 Char"/>
    <w:basedOn w:val="a0"/>
    <w:link w:val="a3"/>
    <w:qFormat/>
    <w:rPr>
      <w:rFonts w:asciiTheme="minorHAnsi" w:hAnsiTheme="minorHAnsi" w:cstheme="minorBidi"/>
      <w:kern w:val="2"/>
      <w:szCs w:val="18"/>
    </w:rPr>
  </w:style>
  <w:style w:type="character" w:customStyle="1" w:styleId="Char0">
    <w:name w:val="正文文本 Char"/>
    <w:basedOn w:val="a0"/>
    <w:link w:val="a4"/>
    <w:uiPriority w:val="1"/>
    <w:qFormat/>
    <w:rPr>
      <w:rFonts w:ascii="宋体" w:hAnsi="宋体" w:cs="宋体"/>
      <w:kern w:val="2"/>
      <w:sz w:val="17"/>
      <w:szCs w:val="17"/>
      <w:lang w:val="zh-CN" w:bidi="zh-CN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0">
    <w:name w:val="未处理的提及1"/>
    <w:basedOn w:val="a0"/>
    <w:qFormat/>
    <w:rPr>
      <w:color w:val="605E5C"/>
      <w:shd w:val="clear" w:color="auto" w:fill="E1DFDD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id-label">
    <w:name w:val="id-label"/>
    <w:basedOn w:val="a0"/>
    <w:qFormat/>
  </w:style>
  <w:style w:type="character" w:customStyle="1" w:styleId="normaltextrun">
    <w:name w:val="normaltextrun"/>
    <w:basedOn w:val="a0"/>
    <w:qFormat/>
  </w:style>
  <w:style w:type="paragraph" w:customStyle="1" w:styleId="paragraph">
    <w:name w:val="paragraph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lang w:eastAsia="en-US"/>
    </w:rPr>
  </w:style>
  <w:style w:type="character" w:customStyle="1" w:styleId="Char5">
    <w:name w:val="纯文本 Char"/>
    <w:basedOn w:val="a0"/>
    <w:link w:val="a9"/>
    <w:qFormat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1963</Words>
  <Characters>11193</Characters>
  <Application>Microsoft Office Word</Application>
  <DocSecurity>0</DocSecurity>
  <Lines>93</Lines>
  <Paragraphs>26</Paragraphs>
  <ScaleCrop>false</ScaleCrop>
  <Company>BPG</Company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Jin-Lei Wang</cp:lastModifiedBy>
  <cp:revision>15</cp:revision>
  <dcterms:created xsi:type="dcterms:W3CDTF">2020-06-03T22:10:00Z</dcterms:created>
  <dcterms:modified xsi:type="dcterms:W3CDTF">2020-06-08T11:09:00Z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1033-2.2.0.3644</vt:lpwstr>
  </property>
</Properties>
</file>