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6DF9" w14:textId="77777777" w:rsidR="00BF4FFB" w:rsidRPr="00AF291D" w:rsidRDefault="00BF4FFB" w:rsidP="0045092C">
      <w:pPr>
        <w:adjustRightInd w:val="0"/>
        <w:snapToGrid w:val="0"/>
        <w:spacing w:line="360" w:lineRule="auto"/>
        <w:jc w:val="both"/>
        <w:rPr>
          <w:rFonts w:ascii="Book Antiqua" w:eastAsia="Book Antiqua" w:hAnsi="Book Antiqua" w:cs="Book Antiqua"/>
          <w:color w:val="000000" w:themeColor="text1"/>
          <w:sz w:val="24"/>
          <w:szCs w:val="24"/>
        </w:rPr>
      </w:pPr>
      <w:r w:rsidRPr="009F13FC">
        <w:rPr>
          <w:rFonts w:ascii="Book Antiqua" w:hAnsi="Book Antiqua"/>
          <w:b/>
          <w:color w:val="000000" w:themeColor="text1"/>
          <w:sz w:val="24"/>
          <w:szCs w:val="24"/>
        </w:rPr>
        <w:t xml:space="preserve">Name of Journal: </w:t>
      </w:r>
      <w:r w:rsidRPr="00AF291D">
        <w:rPr>
          <w:rFonts w:ascii="Book Antiqua" w:hAnsi="Book Antiqua"/>
          <w:i/>
          <w:color w:val="000000" w:themeColor="text1"/>
          <w:sz w:val="24"/>
          <w:szCs w:val="24"/>
        </w:rPr>
        <w:t>World Journal of</w:t>
      </w:r>
      <w:r w:rsidRPr="00AF291D">
        <w:rPr>
          <w:rFonts w:ascii="Book Antiqua" w:hAnsi="Book Antiqua"/>
          <w:i/>
          <w:color w:val="000000" w:themeColor="text1"/>
          <w:spacing w:val="-21"/>
          <w:sz w:val="24"/>
          <w:szCs w:val="24"/>
        </w:rPr>
        <w:t xml:space="preserve"> </w:t>
      </w:r>
      <w:r w:rsidRPr="00AF291D">
        <w:rPr>
          <w:rFonts w:ascii="Book Antiqua" w:hAnsi="Book Antiqua"/>
          <w:i/>
          <w:color w:val="000000" w:themeColor="text1"/>
          <w:sz w:val="24"/>
          <w:szCs w:val="24"/>
        </w:rPr>
        <w:t>Gastroenterology</w:t>
      </w:r>
    </w:p>
    <w:p w14:paraId="223C4783" w14:textId="1D89D995" w:rsidR="00BF4FFB" w:rsidRPr="009F13FC" w:rsidRDefault="00BF4FFB" w:rsidP="009F13FC">
      <w:pPr>
        <w:adjustRightInd w:val="0"/>
        <w:snapToGrid w:val="0"/>
        <w:spacing w:line="360" w:lineRule="auto"/>
        <w:jc w:val="both"/>
        <w:rPr>
          <w:rFonts w:ascii="Book Antiqua" w:eastAsia="Book Antiqua" w:hAnsi="Book Antiqua" w:cs="Book Antiqua"/>
          <w:color w:val="000000" w:themeColor="text1"/>
          <w:sz w:val="24"/>
          <w:szCs w:val="24"/>
        </w:rPr>
      </w:pPr>
      <w:r w:rsidRPr="009A543A">
        <w:rPr>
          <w:rFonts w:ascii="Book Antiqua" w:hAnsi="Book Antiqua"/>
          <w:b/>
          <w:color w:val="000000" w:themeColor="text1"/>
          <w:sz w:val="24"/>
          <w:szCs w:val="24"/>
        </w:rPr>
        <w:t>Manuscript NO:</w:t>
      </w:r>
      <w:r w:rsidRPr="009A543A">
        <w:rPr>
          <w:rFonts w:ascii="Book Antiqua" w:hAnsi="Book Antiqua"/>
          <w:b/>
          <w:color w:val="000000" w:themeColor="text1"/>
          <w:spacing w:val="-4"/>
          <w:sz w:val="24"/>
          <w:szCs w:val="24"/>
        </w:rPr>
        <w:t xml:space="preserve"> </w:t>
      </w:r>
      <w:bookmarkStart w:id="0" w:name="OLE_LINK2"/>
      <w:r w:rsidRPr="009A543A">
        <w:rPr>
          <w:rFonts w:ascii="Book Antiqua" w:hAnsi="Book Antiqua"/>
          <w:color w:val="000000" w:themeColor="text1"/>
          <w:sz w:val="24"/>
          <w:szCs w:val="24"/>
        </w:rPr>
        <w:t>55392</w:t>
      </w:r>
      <w:bookmarkEnd w:id="0"/>
    </w:p>
    <w:p w14:paraId="2C14E576" w14:textId="77777777" w:rsidR="003A1E69" w:rsidRPr="009F13FC" w:rsidRDefault="003A1E69">
      <w:pPr>
        <w:snapToGrid w:val="0"/>
        <w:spacing w:line="360" w:lineRule="auto"/>
        <w:jc w:val="both"/>
        <w:rPr>
          <w:rFonts w:ascii="Book Antiqua" w:hAnsi="Book Antiqua"/>
          <w:color w:val="000000" w:themeColor="text1"/>
          <w:sz w:val="24"/>
          <w:szCs w:val="24"/>
        </w:rPr>
      </w:pPr>
      <w:r w:rsidRPr="009F13FC">
        <w:rPr>
          <w:rFonts w:ascii="Book Antiqua" w:hAnsi="Book Antiqua"/>
          <w:b/>
          <w:color w:val="000000" w:themeColor="text1"/>
          <w:sz w:val="24"/>
          <w:szCs w:val="24"/>
          <w:shd w:val="clear" w:color="auto" w:fill="FFFFFF"/>
        </w:rPr>
        <w:t>Manuscript Type</w:t>
      </w:r>
      <w:r w:rsidRPr="009F13FC">
        <w:rPr>
          <w:rFonts w:ascii="Book Antiqua" w:hAnsi="Book Antiqua"/>
          <w:b/>
          <w:color w:val="000000" w:themeColor="text1"/>
          <w:sz w:val="24"/>
          <w:szCs w:val="24"/>
        </w:rPr>
        <w:t xml:space="preserve">: </w:t>
      </w:r>
      <w:r w:rsidRPr="009F13FC">
        <w:rPr>
          <w:rFonts w:ascii="Book Antiqua" w:hAnsi="Book Antiqua"/>
          <w:color w:val="000000" w:themeColor="text1"/>
          <w:sz w:val="24"/>
          <w:szCs w:val="24"/>
        </w:rPr>
        <w:t>GUIDELINES</w:t>
      </w:r>
    </w:p>
    <w:p w14:paraId="626D3066" w14:textId="0B8780A6" w:rsidR="006C2F11" w:rsidRPr="009F13FC" w:rsidRDefault="006C2F11">
      <w:pPr>
        <w:adjustRightInd w:val="0"/>
        <w:snapToGrid w:val="0"/>
        <w:spacing w:line="360" w:lineRule="auto"/>
        <w:jc w:val="both"/>
        <w:rPr>
          <w:rFonts w:ascii="Book Antiqua" w:hAnsi="Book Antiqua"/>
          <w:color w:val="000000" w:themeColor="text1"/>
          <w:sz w:val="24"/>
          <w:szCs w:val="24"/>
        </w:rPr>
      </w:pPr>
    </w:p>
    <w:p w14:paraId="685F10DB" w14:textId="2BCE6D67" w:rsidR="00BF4FFB" w:rsidRPr="009F13FC" w:rsidRDefault="00BF4FFB">
      <w:pPr>
        <w:adjustRightInd w:val="0"/>
        <w:snapToGrid w:val="0"/>
        <w:spacing w:line="360" w:lineRule="auto"/>
        <w:jc w:val="both"/>
        <w:rPr>
          <w:rFonts w:ascii="Book Antiqua" w:eastAsia="Book Antiqua" w:hAnsi="Book Antiqua"/>
          <w:b/>
          <w:bCs/>
          <w:color w:val="000000" w:themeColor="text1"/>
          <w:sz w:val="24"/>
          <w:szCs w:val="24"/>
        </w:rPr>
      </w:pPr>
      <w:r w:rsidRPr="009F13FC">
        <w:rPr>
          <w:rFonts w:ascii="Book Antiqua" w:eastAsia="Book Antiqua" w:hAnsi="Book Antiqua"/>
          <w:b/>
          <w:bCs/>
          <w:color w:val="000000" w:themeColor="text1"/>
          <w:sz w:val="24"/>
          <w:szCs w:val="24"/>
        </w:rPr>
        <w:t xml:space="preserve">Expert </w:t>
      </w:r>
      <w:r w:rsidR="00AA2201" w:rsidRPr="009F13FC">
        <w:rPr>
          <w:rFonts w:ascii="Book Antiqua" w:eastAsia="Book Antiqua" w:hAnsi="Book Antiqua"/>
          <w:b/>
          <w:bCs/>
          <w:color w:val="000000" w:themeColor="text1"/>
          <w:sz w:val="24"/>
          <w:szCs w:val="24"/>
        </w:rPr>
        <w:t xml:space="preserve">consensus on management of metabolic disease in </w:t>
      </w:r>
      <w:r w:rsidR="006F115D" w:rsidRPr="009F13FC">
        <w:rPr>
          <w:rFonts w:ascii="Book Antiqua" w:eastAsia="Book Antiqua" w:hAnsi="Book Antiqua"/>
          <w:b/>
          <w:bCs/>
          <w:color w:val="000000" w:themeColor="text1"/>
          <w:sz w:val="24"/>
          <w:szCs w:val="24"/>
        </w:rPr>
        <w:t xml:space="preserve">Chinese </w:t>
      </w:r>
      <w:r w:rsidR="00AA2201" w:rsidRPr="009F13FC">
        <w:rPr>
          <w:rFonts w:ascii="Book Antiqua" w:eastAsia="Book Antiqua" w:hAnsi="Book Antiqua"/>
          <w:b/>
          <w:bCs/>
          <w:color w:val="000000" w:themeColor="text1"/>
          <w:sz w:val="24"/>
          <w:szCs w:val="24"/>
        </w:rPr>
        <w:t>liver transplant recipients</w:t>
      </w:r>
    </w:p>
    <w:p w14:paraId="5902DBFB" w14:textId="77777777" w:rsidR="00BF4FFB" w:rsidRPr="009F13FC" w:rsidRDefault="00BF4FFB">
      <w:pPr>
        <w:adjustRightInd w:val="0"/>
        <w:snapToGrid w:val="0"/>
        <w:spacing w:line="360" w:lineRule="auto"/>
        <w:jc w:val="both"/>
        <w:rPr>
          <w:rFonts w:ascii="Book Antiqua" w:eastAsia="Book Antiqua" w:hAnsi="Book Antiqua"/>
          <w:b/>
          <w:bCs/>
          <w:color w:val="000000" w:themeColor="text1"/>
          <w:sz w:val="24"/>
          <w:szCs w:val="24"/>
        </w:rPr>
      </w:pPr>
    </w:p>
    <w:p w14:paraId="597EC298" w14:textId="3CF0689A" w:rsidR="00BF4FFB" w:rsidRPr="009F13FC" w:rsidRDefault="00BF4FFB">
      <w:pPr>
        <w:pStyle w:val="a5"/>
        <w:adjustRightInd w:val="0"/>
        <w:snapToGrid w:val="0"/>
        <w:spacing w:line="360" w:lineRule="auto"/>
        <w:ind w:left="0"/>
        <w:jc w:val="both"/>
        <w:rPr>
          <w:color w:val="000000" w:themeColor="text1"/>
        </w:rPr>
      </w:pPr>
      <w:r w:rsidRPr="009F13FC">
        <w:rPr>
          <w:color w:val="000000" w:themeColor="text1"/>
        </w:rPr>
        <w:t xml:space="preserve">Shen T </w:t>
      </w:r>
      <w:r w:rsidRPr="009F13FC">
        <w:rPr>
          <w:i/>
          <w:color w:val="000000" w:themeColor="text1"/>
        </w:rPr>
        <w:t>et al</w:t>
      </w:r>
      <w:r w:rsidRPr="009F13FC">
        <w:rPr>
          <w:color w:val="000000" w:themeColor="text1"/>
        </w:rPr>
        <w:t xml:space="preserve">. Guidelines on management of </w:t>
      </w:r>
      <w:r w:rsidR="003A1E69" w:rsidRPr="009F13FC">
        <w:rPr>
          <w:color w:val="000000" w:themeColor="text1"/>
        </w:rPr>
        <w:t>metabolic disease in liver transplantation recipients</w:t>
      </w:r>
    </w:p>
    <w:p w14:paraId="4B770E4C" w14:textId="2224DED1" w:rsidR="00BF4FFB" w:rsidRPr="009F13FC" w:rsidRDefault="00BF4FFB">
      <w:pPr>
        <w:pStyle w:val="a5"/>
        <w:adjustRightInd w:val="0"/>
        <w:snapToGrid w:val="0"/>
        <w:spacing w:line="360" w:lineRule="auto"/>
        <w:ind w:left="0"/>
        <w:jc w:val="both"/>
        <w:rPr>
          <w:color w:val="000000" w:themeColor="text1"/>
        </w:rPr>
      </w:pPr>
    </w:p>
    <w:p w14:paraId="7B84BE81" w14:textId="6EFDA079" w:rsidR="00BF4FFB" w:rsidRPr="009F13FC" w:rsidRDefault="00BF4FFB">
      <w:pPr>
        <w:pStyle w:val="a5"/>
        <w:adjustRightInd w:val="0"/>
        <w:snapToGrid w:val="0"/>
        <w:spacing w:line="360" w:lineRule="auto"/>
        <w:ind w:left="0"/>
        <w:jc w:val="both"/>
        <w:rPr>
          <w:color w:val="000000" w:themeColor="text1"/>
        </w:rPr>
      </w:pPr>
      <w:r w:rsidRPr="009F13FC">
        <w:rPr>
          <w:color w:val="000000" w:themeColor="text1"/>
        </w:rPr>
        <w:t>Tian Shen, Li Zhuang, Xiao</w:t>
      </w:r>
      <w:r w:rsidR="00AA2201" w:rsidRPr="009F13FC">
        <w:rPr>
          <w:color w:val="000000" w:themeColor="text1"/>
        </w:rPr>
        <w:t xml:space="preserve">-Dong </w:t>
      </w:r>
      <w:r w:rsidRPr="009F13FC">
        <w:rPr>
          <w:color w:val="000000" w:themeColor="text1"/>
        </w:rPr>
        <w:t>Sun, Xiao</w:t>
      </w:r>
      <w:r w:rsidR="00AA2201" w:rsidRPr="009F13FC">
        <w:rPr>
          <w:color w:val="000000" w:themeColor="text1"/>
        </w:rPr>
        <w:t xml:space="preserve">-Sheng </w:t>
      </w:r>
      <w:r w:rsidRPr="009F13FC">
        <w:rPr>
          <w:color w:val="000000" w:themeColor="text1"/>
        </w:rPr>
        <w:t>Q</w:t>
      </w:r>
      <w:r w:rsidR="006F115D" w:rsidRPr="009F13FC">
        <w:rPr>
          <w:color w:val="000000" w:themeColor="text1"/>
        </w:rPr>
        <w:t>i</w:t>
      </w:r>
      <w:r w:rsidRPr="009F13FC">
        <w:rPr>
          <w:color w:val="000000" w:themeColor="text1"/>
        </w:rPr>
        <w:t>, Zhi</w:t>
      </w:r>
      <w:r w:rsidR="00AA2201" w:rsidRPr="009F13FC">
        <w:rPr>
          <w:color w:val="000000" w:themeColor="text1"/>
        </w:rPr>
        <w:t xml:space="preserve">-Hui </w:t>
      </w:r>
      <w:r w:rsidRPr="009F13FC">
        <w:rPr>
          <w:color w:val="000000" w:themeColor="text1"/>
        </w:rPr>
        <w:t>Wang, Rui</w:t>
      </w:r>
      <w:r w:rsidR="00AA2201" w:rsidRPr="009F13FC">
        <w:rPr>
          <w:color w:val="000000" w:themeColor="text1"/>
        </w:rPr>
        <w:t xml:space="preserve">-Dong </w:t>
      </w:r>
      <w:r w:rsidRPr="009F13FC">
        <w:rPr>
          <w:color w:val="000000" w:themeColor="text1"/>
        </w:rPr>
        <w:t>Li, Wen</w:t>
      </w:r>
      <w:r w:rsidR="00AA2201" w:rsidRPr="009F13FC">
        <w:rPr>
          <w:color w:val="000000" w:themeColor="text1"/>
        </w:rPr>
        <w:t xml:space="preserve">-Xiu </w:t>
      </w:r>
      <w:r w:rsidRPr="009F13FC">
        <w:rPr>
          <w:color w:val="000000" w:themeColor="text1"/>
        </w:rPr>
        <w:t>Chang, Jia</w:t>
      </w:r>
      <w:r w:rsidR="00AA2201" w:rsidRPr="009F13FC">
        <w:rPr>
          <w:color w:val="000000" w:themeColor="text1"/>
        </w:rPr>
        <w:t xml:space="preserve">-Yin </w:t>
      </w:r>
      <w:r w:rsidRPr="009F13FC">
        <w:rPr>
          <w:color w:val="000000" w:themeColor="text1"/>
        </w:rPr>
        <w:t>Yang, Yang Yang, Shu</w:t>
      </w:r>
      <w:r w:rsidR="00AA2201" w:rsidRPr="009F13FC">
        <w:rPr>
          <w:color w:val="000000" w:themeColor="text1"/>
        </w:rPr>
        <w:t xml:space="preserve">-Sen </w:t>
      </w:r>
      <w:r w:rsidRPr="009F13FC">
        <w:rPr>
          <w:color w:val="000000" w:themeColor="text1"/>
        </w:rPr>
        <w:t>Zheng, Xiao Xu</w:t>
      </w:r>
    </w:p>
    <w:p w14:paraId="0E0B9C30" w14:textId="77777777" w:rsidR="00BF4FFB" w:rsidRPr="009F13FC" w:rsidRDefault="00BF4FFB">
      <w:pPr>
        <w:pStyle w:val="a5"/>
        <w:adjustRightInd w:val="0"/>
        <w:snapToGrid w:val="0"/>
        <w:spacing w:line="360" w:lineRule="auto"/>
        <w:ind w:left="0"/>
        <w:jc w:val="both"/>
        <w:rPr>
          <w:color w:val="000000" w:themeColor="text1"/>
        </w:rPr>
      </w:pPr>
    </w:p>
    <w:p w14:paraId="470F229A" w14:textId="10C109C6"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Tian Shen,</w:t>
      </w:r>
      <w:r w:rsidRPr="009F13FC">
        <w:rPr>
          <w:color w:val="000000" w:themeColor="text1"/>
        </w:rPr>
        <w:t xml:space="preserve"> </w:t>
      </w:r>
      <w:r w:rsidR="003B0D40" w:rsidRPr="009F13FC">
        <w:rPr>
          <w:b/>
          <w:bCs/>
          <w:color w:val="000000" w:themeColor="text1"/>
        </w:rPr>
        <w:t>Shu-Sen Zheng,</w:t>
      </w:r>
      <w:r w:rsidR="003B0D40">
        <w:rPr>
          <w:b/>
          <w:bCs/>
          <w:color w:val="000000" w:themeColor="text1"/>
        </w:rPr>
        <w:t xml:space="preserve"> </w:t>
      </w:r>
      <w:r w:rsidR="006F115D" w:rsidRPr="009F13FC">
        <w:rPr>
          <w:b/>
          <w:bCs/>
          <w:color w:val="000000" w:themeColor="text1"/>
        </w:rPr>
        <w:t>Xiao Xu,</w:t>
      </w:r>
      <w:r w:rsidR="006F115D" w:rsidRPr="009F13FC">
        <w:rPr>
          <w:color w:val="000000" w:themeColor="text1"/>
        </w:rPr>
        <w:t xml:space="preserve"> </w:t>
      </w:r>
      <w:r w:rsidR="008D2702" w:rsidRPr="008D2702">
        <w:rPr>
          <w:color w:val="000000" w:themeColor="text1"/>
        </w:rPr>
        <w:t>Department of Hepatobiliary and Pancreatic Surgery, The First Afﬁliated Hospital, Zhejiang University School of Medicine,</w:t>
      </w:r>
      <w:r w:rsidR="008D2702">
        <w:rPr>
          <w:color w:val="000000" w:themeColor="text1"/>
        </w:rPr>
        <w:t xml:space="preserve"> </w:t>
      </w:r>
      <w:r w:rsidR="008D2702" w:rsidRPr="008D2702">
        <w:rPr>
          <w:color w:val="000000" w:themeColor="text1"/>
        </w:rPr>
        <w:t>Hangzhou 310003, Zhejiang Province, China</w:t>
      </w:r>
    </w:p>
    <w:p w14:paraId="3241B62A" w14:textId="77777777" w:rsidR="00A74436" w:rsidRPr="009F13FC" w:rsidRDefault="00A74436">
      <w:pPr>
        <w:pStyle w:val="a5"/>
        <w:adjustRightInd w:val="0"/>
        <w:snapToGrid w:val="0"/>
        <w:spacing w:line="360" w:lineRule="auto"/>
        <w:ind w:left="0"/>
        <w:jc w:val="both"/>
        <w:rPr>
          <w:color w:val="000000" w:themeColor="text1"/>
        </w:rPr>
      </w:pPr>
    </w:p>
    <w:p w14:paraId="5352695F" w14:textId="581D5B5D"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 xml:space="preserve">Li Zhuang, </w:t>
      </w:r>
      <w:r w:rsidR="00B4054D" w:rsidRPr="009F13FC">
        <w:rPr>
          <w:b/>
          <w:bCs/>
          <w:color w:val="000000" w:themeColor="text1"/>
        </w:rPr>
        <w:t>Shu-Sen Zheng,</w:t>
      </w:r>
      <w:r w:rsidR="00B4054D">
        <w:rPr>
          <w:b/>
          <w:bCs/>
          <w:color w:val="000000" w:themeColor="text1"/>
        </w:rPr>
        <w:t xml:space="preserve"> </w:t>
      </w:r>
      <w:r w:rsidRPr="009F13FC">
        <w:rPr>
          <w:color w:val="000000" w:themeColor="text1"/>
        </w:rPr>
        <w:t xml:space="preserve">Department of Hepatobiliary and Pancreatic Surgery, Shulan (Hangzhou) Hospital, </w:t>
      </w:r>
      <w:r w:rsidR="00AA2201" w:rsidRPr="009F13FC">
        <w:rPr>
          <w:color w:val="000000" w:themeColor="text1"/>
        </w:rPr>
        <w:t>Hangzhou 310003, Zhejiang Province, China</w:t>
      </w:r>
    </w:p>
    <w:p w14:paraId="4D9DFD43" w14:textId="77777777" w:rsidR="00A74436" w:rsidRPr="009F13FC" w:rsidRDefault="00A74436">
      <w:pPr>
        <w:pStyle w:val="a5"/>
        <w:adjustRightInd w:val="0"/>
        <w:snapToGrid w:val="0"/>
        <w:spacing w:line="360" w:lineRule="auto"/>
        <w:ind w:left="0"/>
        <w:jc w:val="both"/>
        <w:rPr>
          <w:color w:val="000000" w:themeColor="text1"/>
        </w:rPr>
      </w:pPr>
    </w:p>
    <w:p w14:paraId="19216A13" w14:textId="4942982C"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Xiao</w:t>
      </w:r>
      <w:r w:rsidR="00AA2201" w:rsidRPr="009F13FC">
        <w:rPr>
          <w:b/>
          <w:bCs/>
          <w:color w:val="000000" w:themeColor="text1"/>
        </w:rPr>
        <w:t xml:space="preserve">-Dong </w:t>
      </w:r>
      <w:r w:rsidRPr="009F13FC">
        <w:rPr>
          <w:b/>
          <w:bCs/>
          <w:color w:val="000000" w:themeColor="text1"/>
        </w:rPr>
        <w:t xml:space="preserve">Sun, </w:t>
      </w:r>
      <w:r w:rsidRPr="009F13FC">
        <w:rPr>
          <w:color w:val="000000" w:themeColor="text1"/>
        </w:rPr>
        <w:t xml:space="preserve">Department of Hepatobiliary </w:t>
      </w:r>
      <w:r w:rsidR="00AA2201" w:rsidRPr="009F13FC">
        <w:rPr>
          <w:color w:val="000000" w:themeColor="text1"/>
        </w:rPr>
        <w:t>and</w:t>
      </w:r>
      <w:r w:rsidRPr="009F13FC">
        <w:rPr>
          <w:color w:val="000000" w:themeColor="text1"/>
        </w:rPr>
        <w:t xml:space="preserve"> Pancreas Surgery, The First Hospital, Jilin University, </w:t>
      </w:r>
      <w:r w:rsidR="00AA2201" w:rsidRPr="009F13FC">
        <w:rPr>
          <w:color w:val="000000" w:themeColor="text1"/>
        </w:rPr>
        <w:t>Changchun 130021, Jilin Province, China</w:t>
      </w:r>
    </w:p>
    <w:p w14:paraId="08FACA72" w14:textId="77777777" w:rsidR="00A74436" w:rsidRPr="009F13FC" w:rsidRDefault="00A74436">
      <w:pPr>
        <w:pStyle w:val="a5"/>
        <w:adjustRightInd w:val="0"/>
        <w:snapToGrid w:val="0"/>
        <w:spacing w:line="360" w:lineRule="auto"/>
        <w:ind w:left="0"/>
        <w:jc w:val="both"/>
        <w:rPr>
          <w:color w:val="000000" w:themeColor="text1"/>
        </w:rPr>
      </w:pPr>
    </w:p>
    <w:p w14:paraId="198F7FF5" w14:textId="4FB89924"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Xiao</w:t>
      </w:r>
      <w:r w:rsidR="00AA2201" w:rsidRPr="009F13FC">
        <w:rPr>
          <w:b/>
          <w:bCs/>
          <w:color w:val="000000" w:themeColor="text1"/>
        </w:rPr>
        <w:t xml:space="preserve">-Sheng </w:t>
      </w:r>
      <w:r w:rsidRPr="009F13FC">
        <w:rPr>
          <w:b/>
          <w:bCs/>
          <w:color w:val="000000" w:themeColor="text1"/>
        </w:rPr>
        <w:t xml:space="preserve">Qi, </w:t>
      </w:r>
      <w:r w:rsidRPr="009F13FC">
        <w:rPr>
          <w:color w:val="000000" w:themeColor="text1"/>
        </w:rPr>
        <w:t>Department of General Surgery, Shanghai First People's Hospital, School of Medicine, Shanghai Jiao Tong University, Shanghai</w:t>
      </w:r>
      <w:r w:rsidR="00AA2201" w:rsidRPr="009F13FC">
        <w:rPr>
          <w:color w:val="000000" w:themeColor="text1"/>
        </w:rPr>
        <w:t xml:space="preserve"> 200080</w:t>
      </w:r>
      <w:r w:rsidRPr="009F13FC">
        <w:rPr>
          <w:color w:val="000000" w:themeColor="text1"/>
        </w:rPr>
        <w:t xml:space="preserve">, China </w:t>
      </w:r>
    </w:p>
    <w:p w14:paraId="7107866B" w14:textId="77777777" w:rsidR="00A74436" w:rsidRPr="009F13FC" w:rsidRDefault="00A74436">
      <w:pPr>
        <w:pStyle w:val="a5"/>
        <w:adjustRightInd w:val="0"/>
        <w:snapToGrid w:val="0"/>
        <w:spacing w:line="360" w:lineRule="auto"/>
        <w:ind w:left="0"/>
        <w:jc w:val="both"/>
        <w:rPr>
          <w:color w:val="000000" w:themeColor="text1"/>
        </w:rPr>
      </w:pPr>
    </w:p>
    <w:p w14:paraId="3A358A1F" w14:textId="5C5A7FA4"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Zhi</w:t>
      </w:r>
      <w:r w:rsidR="00AA2201" w:rsidRPr="009F13FC">
        <w:rPr>
          <w:b/>
          <w:bCs/>
          <w:color w:val="000000" w:themeColor="text1"/>
        </w:rPr>
        <w:t xml:space="preserve">-Hui </w:t>
      </w:r>
      <w:r w:rsidRPr="009F13FC">
        <w:rPr>
          <w:b/>
          <w:bCs/>
          <w:color w:val="000000" w:themeColor="text1"/>
        </w:rPr>
        <w:t>Wang,</w:t>
      </w:r>
      <w:r w:rsidRPr="009F13FC">
        <w:rPr>
          <w:color w:val="000000" w:themeColor="text1"/>
        </w:rPr>
        <w:t xml:space="preserve"> Department of Hepatobiliary and Pancreatic Surgery, The First Affiliated Hospital of Zhengzhou University, </w:t>
      </w:r>
      <w:r w:rsidR="00AA2201" w:rsidRPr="009F13FC">
        <w:rPr>
          <w:color w:val="000000" w:themeColor="text1"/>
        </w:rPr>
        <w:t>Zhengzhou 450052, Henan Province, China</w:t>
      </w:r>
    </w:p>
    <w:p w14:paraId="299381D7" w14:textId="77777777" w:rsidR="00A74436" w:rsidRPr="009F13FC" w:rsidRDefault="00A74436">
      <w:pPr>
        <w:pStyle w:val="a5"/>
        <w:adjustRightInd w:val="0"/>
        <w:snapToGrid w:val="0"/>
        <w:spacing w:line="360" w:lineRule="auto"/>
        <w:ind w:left="0"/>
        <w:jc w:val="both"/>
        <w:rPr>
          <w:color w:val="000000" w:themeColor="text1"/>
        </w:rPr>
      </w:pPr>
    </w:p>
    <w:p w14:paraId="34F56529" w14:textId="31C70819"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Rui</w:t>
      </w:r>
      <w:r w:rsidR="00AA2201" w:rsidRPr="009F13FC">
        <w:rPr>
          <w:b/>
          <w:bCs/>
          <w:color w:val="000000" w:themeColor="text1"/>
        </w:rPr>
        <w:t xml:space="preserve">-Dong </w:t>
      </w:r>
      <w:r w:rsidRPr="009F13FC">
        <w:rPr>
          <w:b/>
          <w:bCs/>
          <w:color w:val="000000" w:themeColor="text1"/>
        </w:rPr>
        <w:t>Li,</w:t>
      </w:r>
      <w:r w:rsidRPr="009F13FC">
        <w:rPr>
          <w:color w:val="000000" w:themeColor="text1"/>
        </w:rPr>
        <w:t xml:space="preserve"> Department of General Surgery and Liver Transplant Center, Huashan </w:t>
      </w:r>
      <w:r w:rsidRPr="009F13FC">
        <w:rPr>
          <w:color w:val="000000" w:themeColor="text1"/>
        </w:rPr>
        <w:lastRenderedPageBreak/>
        <w:t xml:space="preserve">Hospital, Fudan University, </w:t>
      </w:r>
      <w:r w:rsidR="00AA2201" w:rsidRPr="009F13FC">
        <w:rPr>
          <w:color w:val="000000" w:themeColor="text1"/>
        </w:rPr>
        <w:t>Shanghai 200040, China</w:t>
      </w:r>
    </w:p>
    <w:p w14:paraId="671DE44A" w14:textId="77777777" w:rsidR="00A74436" w:rsidRPr="009F13FC" w:rsidRDefault="00A74436">
      <w:pPr>
        <w:pStyle w:val="a5"/>
        <w:adjustRightInd w:val="0"/>
        <w:snapToGrid w:val="0"/>
        <w:spacing w:line="360" w:lineRule="auto"/>
        <w:ind w:left="0"/>
        <w:jc w:val="both"/>
        <w:rPr>
          <w:color w:val="000000" w:themeColor="text1"/>
        </w:rPr>
      </w:pPr>
    </w:p>
    <w:p w14:paraId="62C59D2C" w14:textId="138C5518"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Wen</w:t>
      </w:r>
      <w:r w:rsidR="00AA2201" w:rsidRPr="009F13FC">
        <w:rPr>
          <w:b/>
          <w:bCs/>
          <w:color w:val="000000" w:themeColor="text1"/>
        </w:rPr>
        <w:t xml:space="preserve">-Xiu </w:t>
      </w:r>
      <w:r w:rsidRPr="009F13FC">
        <w:rPr>
          <w:b/>
          <w:bCs/>
          <w:color w:val="000000" w:themeColor="text1"/>
        </w:rPr>
        <w:t xml:space="preserve">Chang, </w:t>
      </w:r>
      <w:r w:rsidRPr="009F13FC">
        <w:rPr>
          <w:color w:val="000000" w:themeColor="text1"/>
        </w:rPr>
        <w:t xml:space="preserve">Department of Nephrology, Tianjin First Center Hospital, </w:t>
      </w:r>
      <w:r w:rsidR="00AA2201" w:rsidRPr="009F13FC">
        <w:rPr>
          <w:color w:val="000000" w:themeColor="text1"/>
        </w:rPr>
        <w:t>Tianjin 300384, China</w:t>
      </w:r>
    </w:p>
    <w:p w14:paraId="002D6904" w14:textId="77777777" w:rsidR="00A74436" w:rsidRPr="009F13FC" w:rsidRDefault="00A74436">
      <w:pPr>
        <w:pStyle w:val="a5"/>
        <w:adjustRightInd w:val="0"/>
        <w:snapToGrid w:val="0"/>
        <w:spacing w:line="360" w:lineRule="auto"/>
        <w:ind w:left="0"/>
        <w:jc w:val="both"/>
        <w:rPr>
          <w:color w:val="000000" w:themeColor="text1"/>
        </w:rPr>
      </w:pPr>
    </w:p>
    <w:p w14:paraId="7D3FBD6E" w14:textId="7E01BAD6"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Jia</w:t>
      </w:r>
      <w:r w:rsidR="00AA2201" w:rsidRPr="009F13FC">
        <w:rPr>
          <w:b/>
          <w:bCs/>
          <w:color w:val="000000" w:themeColor="text1"/>
        </w:rPr>
        <w:t xml:space="preserve">-Yin </w:t>
      </w:r>
      <w:r w:rsidRPr="009F13FC">
        <w:rPr>
          <w:b/>
          <w:bCs/>
          <w:color w:val="000000" w:themeColor="text1"/>
        </w:rPr>
        <w:t xml:space="preserve">Yang, </w:t>
      </w:r>
      <w:r w:rsidRPr="009F13FC">
        <w:rPr>
          <w:color w:val="000000" w:themeColor="text1"/>
        </w:rPr>
        <w:t>Department of Liver Surgery and Liver Transplantation Center, West China Hospital of Sichuan University, Chengdu</w:t>
      </w:r>
      <w:r w:rsidR="00AA2201" w:rsidRPr="009F13FC">
        <w:rPr>
          <w:color w:val="000000" w:themeColor="text1"/>
        </w:rPr>
        <w:t xml:space="preserve"> 610041</w:t>
      </w:r>
      <w:r w:rsidRPr="009F13FC">
        <w:rPr>
          <w:color w:val="000000" w:themeColor="text1"/>
        </w:rPr>
        <w:t>, Sichuan</w:t>
      </w:r>
      <w:r w:rsidR="00AA2201" w:rsidRPr="009F13FC">
        <w:rPr>
          <w:color w:val="000000" w:themeColor="text1"/>
        </w:rPr>
        <w:t xml:space="preserve"> Province</w:t>
      </w:r>
      <w:r w:rsidRPr="009F13FC">
        <w:rPr>
          <w:color w:val="000000" w:themeColor="text1"/>
        </w:rPr>
        <w:t xml:space="preserve">, China </w:t>
      </w:r>
    </w:p>
    <w:p w14:paraId="421AEC24" w14:textId="77777777" w:rsidR="00A74436" w:rsidRPr="009F13FC" w:rsidRDefault="00A74436">
      <w:pPr>
        <w:pStyle w:val="a5"/>
        <w:adjustRightInd w:val="0"/>
        <w:snapToGrid w:val="0"/>
        <w:spacing w:line="360" w:lineRule="auto"/>
        <w:ind w:left="0"/>
        <w:jc w:val="both"/>
        <w:rPr>
          <w:color w:val="000000" w:themeColor="text1"/>
        </w:rPr>
      </w:pPr>
    </w:p>
    <w:p w14:paraId="0F351763" w14:textId="59C6C595" w:rsidR="00BF4FFB" w:rsidRPr="009F13FC" w:rsidRDefault="00BF4FFB">
      <w:pPr>
        <w:pStyle w:val="a5"/>
        <w:adjustRightInd w:val="0"/>
        <w:snapToGrid w:val="0"/>
        <w:spacing w:line="360" w:lineRule="auto"/>
        <w:ind w:left="0"/>
        <w:jc w:val="both"/>
        <w:rPr>
          <w:color w:val="000000" w:themeColor="text1"/>
        </w:rPr>
      </w:pPr>
      <w:r w:rsidRPr="009F13FC">
        <w:rPr>
          <w:b/>
          <w:bCs/>
          <w:color w:val="000000" w:themeColor="text1"/>
        </w:rPr>
        <w:t>Yang Yang,</w:t>
      </w:r>
      <w:r w:rsidRPr="009F13FC">
        <w:rPr>
          <w:color w:val="000000" w:themeColor="text1"/>
        </w:rPr>
        <w:t xml:space="preserve"> Department of Hepatic Surgery and Liver Transplantation Center, The Third Affiliated Hospital of Sun Yat-sen University, </w:t>
      </w:r>
      <w:r w:rsidR="00AA2201" w:rsidRPr="009F13FC">
        <w:rPr>
          <w:color w:val="000000" w:themeColor="text1"/>
        </w:rPr>
        <w:t>Guangzhou 510630, Guangdong Province, China</w:t>
      </w:r>
    </w:p>
    <w:p w14:paraId="153B0293" w14:textId="77777777" w:rsidR="007B1EE2" w:rsidRPr="009F13FC" w:rsidRDefault="007B1EE2">
      <w:pPr>
        <w:pStyle w:val="a5"/>
        <w:adjustRightInd w:val="0"/>
        <w:snapToGrid w:val="0"/>
        <w:spacing w:line="360" w:lineRule="auto"/>
        <w:ind w:left="0"/>
        <w:jc w:val="both"/>
        <w:rPr>
          <w:color w:val="000000" w:themeColor="text1"/>
        </w:rPr>
      </w:pPr>
    </w:p>
    <w:p w14:paraId="6AAC1BB1" w14:textId="70379198" w:rsidR="00A74436" w:rsidRPr="009F13FC" w:rsidRDefault="003A1E69">
      <w:pPr>
        <w:pStyle w:val="a5"/>
        <w:adjustRightInd w:val="0"/>
        <w:snapToGrid w:val="0"/>
        <w:spacing w:line="360" w:lineRule="auto"/>
        <w:ind w:left="0"/>
        <w:jc w:val="both"/>
        <w:rPr>
          <w:rFonts w:eastAsiaTheme="minorEastAsia"/>
          <w:b/>
          <w:bCs/>
          <w:color w:val="000000" w:themeColor="text1"/>
          <w:lang w:eastAsia="zh-CN"/>
        </w:rPr>
      </w:pPr>
      <w:r w:rsidRPr="009F13FC">
        <w:rPr>
          <w:rFonts w:cs="Garamond-Bold"/>
          <w:b/>
          <w:bCs/>
          <w:color w:val="000000" w:themeColor="text1"/>
        </w:rPr>
        <w:t xml:space="preserve">Author contributions: </w:t>
      </w:r>
      <w:r w:rsidR="00A74436" w:rsidRPr="009F13FC">
        <w:rPr>
          <w:rFonts w:eastAsiaTheme="minorEastAsia"/>
          <w:color w:val="000000" w:themeColor="text1"/>
          <w:lang w:eastAsia="zh-CN"/>
        </w:rPr>
        <w:t>Shen</w:t>
      </w:r>
      <w:r w:rsidR="00AA2201" w:rsidRPr="009F13FC">
        <w:rPr>
          <w:rFonts w:eastAsiaTheme="minorEastAsia"/>
          <w:color w:val="000000" w:themeColor="text1"/>
          <w:lang w:eastAsia="zh-CN"/>
        </w:rPr>
        <w:t xml:space="preserve"> T</w:t>
      </w:r>
      <w:r w:rsidR="00A74436" w:rsidRPr="009F13FC">
        <w:rPr>
          <w:rFonts w:eastAsiaTheme="minorEastAsia"/>
          <w:color w:val="000000" w:themeColor="text1"/>
          <w:lang w:eastAsia="zh-CN"/>
        </w:rPr>
        <w:t xml:space="preserve"> designed the primary structure of this consensus with the help of Zhuang</w:t>
      </w:r>
      <w:r w:rsidR="00AA2201" w:rsidRPr="009F13FC">
        <w:rPr>
          <w:rFonts w:eastAsiaTheme="minorEastAsia"/>
          <w:color w:val="000000" w:themeColor="text1"/>
          <w:lang w:eastAsia="zh-CN"/>
        </w:rPr>
        <w:t xml:space="preserve"> L</w:t>
      </w:r>
      <w:r w:rsidR="00A74436" w:rsidRPr="009F13FC">
        <w:rPr>
          <w:rFonts w:eastAsiaTheme="minorEastAsia"/>
          <w:color w:val="000000" w:themeColor="text1"/>
          <w:lang w:eastAsia="zh-CN"/>
        </w:rPr>
        <w:t>, under the supervision of Zheng</w:t>
      </w:r>
      <w:r w:rsidR="00AA2201" w:rsidRPr="009F13FC">
        <w:rPr>
          <w:rFonts w:eastAsiaTheme="minorEastAsia"/>
          <w:color w:val="000000" w:themeColor="text1"/>
          <w:lang w:eastAsia="zh-CN"/>
        </w:rPr>
        <w:t xml:space="preserve"> S</w:t>
      </w:r>
      <w:r w:rsidR="006F115D" w:rsidRPr="009F13FC">
        <w:rPr>
          <w:rFonts w:eastAsiaTheme="minorEastAsia"/>
          <w:color w:val="000000" w:themeColor="text1"/>
          <w:lang w:eastAsia="zh-CN"/>
        </w:rPr>
        <w:t>S</w:t>
      </w:r>
      <w:r w:rsidR="00A74436" w:rsidRPr="009F13FC">
        <w:rPr>
          <w:rFonts w:eastAsiaTheme="minorEastAsia"/>
          <w:color w:val="000000" w:themeColor="text1"/>
          <w:lang w:eastAsia="zh-CN"/>
        </w:rPr>
        <w:t xml:space="preserve"> and Xu</w:t>
      </w:r>
      <w:r w:rsidR="00AA2201" w:rsidRPr="009F13FC">
        <w:rPr>
          <w:rFonts w:eastAsiaTheme="minorEastAsia"/>
          <w:color w:val="000000" w:themeColor="text1"/>
          <w:lang w:eastAsia="zh-CN"/>
        </w:rPr>
        <w:t xml:space="preserve"> X</w:t>
      </w:r>
      <w:r w:rsidR="00743119" w:rsidRPr="009F13FC">
        <w:rPr>
          <w:rFonts w:eastAsiaTheme="minorEastAsia"/>
          <w:color w:val="000000" w:themeColor="text1"/>
          <w:lang w:eastAsia="zh-CN"/>
        </w:rPr>
        <w:t>;</w:t>
      </w:r>
      <w:r w:rsidR="00A74436" w:rsidRPr="009F13FC">
        <w:rPr>
          <w:rFonts w:eastAsiaTheme="minorEastAsia"/>
          <w:color w:val="000000" w:themeColor="text1"/>
          <w:lang w:eastAsia="zh-CN"/>
        </w:rPr>
        <w:t xml:space="preserve"> </w:t>
      </w:r>
      <w:r w:rsidR="007E2A57" w:rsidRPr="009F13FC">
        <w:rPr>
          <w:rFonts w:eastAsiaTheme="minorEastAsia"/>
          <w:color w:val="000000" w:themeColor="text1"/>
          <w:lang w:eastAsia="zh-CN"/>
        </w:rPr>
        <w:t xml:space="preserve">this </w:t>
      </w:r>
      <w:r w:rsidR="00A74436" w:rsidRPr="009F13FC">
        <w:rPr>
          <w:rFonts w:eastAsiaTheme="minorEastAsia"/>
          <w:color w:val="000000" w:themeColor="text1"/>
          <w:lang w:eastAsia="zh-CN"/>
        </w:rPr>
        <w:t xml:space="preserve">paper was mainly </w:t>
      </w:r>
      <w:r w:rsidR="00743119" w:rsidRPr="009F13FC">
        <w:rPr>
          <w:rFonts w:eastAsiaTheme="minorEastAsia"/>
          <w:color w:val="000000" w:themeColor="text1"/>
          <w:lang w:eastAsia="zh-CN"/>
        </w:rPr>
        <w:t xml:space="preserve">written </w:t>
      </w:r>
      <w:r w:rsidR="00A74436" w:rsidRPr="009F13FC">
        <w:rPr>
          <w:rFonts w:eastAsiaTheme="minorEastAsia"/>
          <w:color w:val="000000" w:themeColor="text1"/>
          <w:lang w:eastAsia="zh-CN"/>
        </w:rPr>
        <w:t>by Zhuang</w:t>
      </w:r>
      <w:r w:rsidR="00AA2201" w:rsidRPr="009F13FC">
        <w:rPr>
          <w:rFonts w:eastAsiaTheme="minorEastAsia"/>
          <w:color w:val="000000" w:themeColor="text1"/>
          <w:lang w:eastAsia="zh-CN"/>
        </w:rPr>
        <w:t xml:space="preserve"> L</w:t>
      </w:r>
      <w:r w:rsidR="00743119" w:rsidRPr="009F13FC">
        <w:rPr>
          <w:rFonts w:eastAsiaTheme="minorEastAsia"/>
          <w:color w:val="000000" w:themeColor="text1"/>
          <w:lang w:eastAsia="zh-CN"/>
        </w:rPr>
        <w:t xml:space="preserve"> and</w:t>
      </w:r>
      <w:r w:rsidR="00A74436" w:rsidRPr="009F13FC">
        <w:rPr>
          <w:rFonts w:eastAsiaTheme="minorEastAsia"/>
          <w:color w:val="000000" w:themeColor="text1"/>
          <w:lang w:eastAsia="zh-CN"/>
        </w:rPr>
        <w:t xml:space="preserve"> Shen</w:t>
      </w:r>
      <w:r w:rsidR="00AA2201" w:rsidRPr="009F13FC">
        <w:rPr>
          <w:rFonts w:eastAsiaTheme="minorEastAsia"/>
          <w:color w:val="000000" w:themeColor="text1"/>
          <w:lang w:eastAsia="zh-CN"/>
        </w:rPr>
        <w:t xml:space="preserve"> T</w:t>
      </w:r>
      <w:r w:rsidR="00A74436" w:rsidRPr="009F13FC">
        <w:rPr>
          <w:rFonts w:eastAsiaTheme="minorEastAsia"/>
          <w:color w:val="000000" w:themeColor="text1"/>
          <w:lang w:eastAsia="zh-CN"/>
        </w:rPr>
        <w:t xml:space="preserve">, with </w:t>
      </w:r>
      <w:r w:rsidR="00743119" w:rsidRPr="009F13FC">
        <w:rPr>
          <w:rFonts w:eastAsiaTheme="minorEastAsia"/>
          <w:color w:val="000000" w:themeColor="text1"/>
          <w:lang w:eastAsia="zh-CN"/>
        </w:rPr>
        <w:t xml:space="preserve">the </w:t>
      </w:r>
      <w:r w:rsidR="00A74436" w:rsidRPr="009F13FC">
        <w:rPr>
          <w:rFonts w:eastAsiaTheme="minorEastAsia"/>
          <w:color w:val="000000" w:themeColor="text1"/>
          <w:lang w:eastAsia="zh-CN"/>
        </w:rPr>
        <w:t>contribution of Sun</w:t>
      </w:r>
      <w:r w:rsidR="00AA2201" w:rsidRPr="009F13FC">
        <w:rPr>
          <w:rFonts w:eastAsiaTheme="minorEastAsia"/>
          <w:color w:val="000000" w:themeColor="text1"/>
          <w:lang w:eastAsia="zh-CN"/>
        </w:rPr>
        <w:t xml:space="preserve"> XD</w:t>
      </w:r>
      <w:r w:rsidR="00A74436" w:rsidRPr="009F13FC">
        <w:rPr>
          <w:rFonts w:eastAsiaTheme="minorEastAsia"/>
          <w:color w:val="000000" w:themeColor="text1"/>
          <w:lang w:eastAsia="zh-CN"/>
        </w:rPr>
        <w:t>, Qi</w:t>
      </w:r>
      <w:r w:rsidR="00AA2201" w:rsidRPr="009F13FC">
        <w:rPr>
          <w:rFonts w:eastAsiaTheme="minorEastAsia"/>
          <w:color w:val="000000" w:themeColor="text1"/>
          <w:lang w:eastAsia="zh-CN"/>
        </w:rPr>
        <w:t xml:space="preserve"> XS</w:t>
      </w:r>
      <w:r w:rsidR="00A74436" w:rsidRPr="009F13FC">
        <w:rPr>
          <w:rFonts w:eastAsiaTheme="minorEastAsia"/>
          <w:color w:val="000000" w:themeColor="text1"/>
          <w:lang w:eastAsia="zh-CN"/>
        </w:rPr>
        <w:t>, Wang</w:t>
      </w:r>
      <w:r w:rsidR="00AA2201" w:rsidRPr="009F13FC">
        <w:rPr>
          <w:rFonts w:eastAsiaTheme="minorEastAsia"/>
          <w:color w:val="000000" w:themeColor="text1"/>
          <w:lang w:eastAsia="zh-CN"/>
        </w:rPr>
        <w:t xml:space="preserve"> ZH</w:t>
      </w:r>
      <w:r w:rsidR="00A74436" w:rsidRPr="009F13FC">
        <w:rPr>
          <w:rFonts w:eastAsiaTheme="minorEastAsia"/>
          <w:color w:val="000000" w:themeColor="text1"/>
          <w:lang w:eastAsia="zh-CN"/>
        </w:rPr>
        <w:t>, Li</w:t>
      </w:r>
      <w:r w:rsidR="00AA2201" w:rsidRPr="009F13FC">
        <w:rPr>
          <w:rFonts w:eastAsiaTheme="minorEastAsia"/>
          <w:color w:val="000000" w:themeColor="text1"/>
          <w:lang w:eastAsia="zh-CN"/>
        </w:rPr>
        <w:t xml:space="preserve"> RD</w:t>
      </w:r>
      <w:r w:rsidR="00A74436" w:rsidRPr="009F13FC">
        <w:rPr>
          <w:rFonts w:eastAsiaTheme="minorEastAsia"/>
          <w:color w:val="000000" w:themeColor="text1"/>
          <w:lang w:eastAsia="zh-CN"/>
        </w:rPr>
        <w:t>, Chang</w:t>
      </w:r>
      <w:r w:rsidR="00AA2201" w:rsidRPr="009F13FC">
        <w:rPr>
          <w:rFonts w:eastAsiaTheme="minorEastAsia"/>
          <w:color w:val="000000" w:themeColor="text1"/>
          <w:lang w:eastAsia="zh-CN"/>
        </w:rPr>
        <w:t xml:space="preserve"> WX</w:t>
      </w:r>
      <w:r w:rsidR="00A74436" w:rsidRPr="009F13FC">
        <w:rPr>
          <w:rFonts w:eastAsiaTheme="minorEastAsia"/>
          <w:color w:val="000000" w:themeColor="text1"/>
          <w:lang w:eastAsia="zh-CN"/>
        </w:rPr>
        <w:t>, Yang</w:t>
      </w:r>
      <w:r w:rsidR="00AA2201" w:rsidRPr="009F13FC">
        <w:rPr>
          <w:rFonts w:eastAsiaTheme="minorEastAsia"/>
          <w:color w:val="000000" w:themeColor="text1"/>
          <w:lang w:eastAsia="zh-CN"/>
        </w:rPr>
        <w:t xml:space="preserve"> JY</w:t>
      </w:r>
      <w:r w:rsidR="00FF171E" w:rsidRPr="009F13FC">
        <w:rPr>
          <w:rFonts w:eastAsiaTheme="minorEastAsia"/>
          <w:color w:val="000000" w:themeColor="text1"/>
          <w:lang w:eastAsia="zh-CN"/>
        </w:rPr>
        <w:t>,</w:t>
      </w:r>
      <w:r w:rsidR="00A74436" w:rsidRPr="009F13FC">
        <w:rPr>
          <w:rFonts w:eastAsiaTheme="minorEastAsia"/>
          <w:color w:val="000000" w:themeColor="text1"/>
          <w:lang w:eastAsia="zh-CN"/>
        </w:rPr>
        <w:t xml:space="preserve"> and Yang</w:t>
      </w:r>
      <w:r w:rsidR="00AA2201" w:rsidRPr="009F13FC">
        <w:rPr>
          <w:rFonts w:eastAsiaTheme="minorEastAsia"/>
          <w:color w:val="000000" w:themeColor="text1"/>
          <w:lang w:eastAsia="zh-CN"/>
        </w:rPr>
        <w:t xml:space="preserve"> Y</w:t>
      </w:r>
      <w:r w:rsidR="00A74436" w:rsidRPr="009F13FC">
        <w:rPr>
          <w:rFonts w:eastAsiaTheme="minorEastAsia"/>
          <w:color w:val="000000" w:themeColor="text1"/>
          <w:lang w:eastAsia="zh-CN"/>
        </w:rPr>
        <w:t>.</w:t>
      </w:r>
    </w:p>
    <w:p w14:paraId="0CE7D876" w14:textId="77777777" w:rsidR="00A74436" w:rsidRPr="009F13FC" w:rsidRDefault="00A74436">
      <w:pPr>
        <w:pStyle w:val="a5"/>
        <w:adjustRightInd w:val="0"/>
        <w:snapToGrid w:val="0"/>
        <w:spacing w:line="360" w:lineRule="auto"/>
        <w:ind w:left="0"/>
        <w:jc w:val="both"/>
        <w:rPr>
          <w:rFonts w:eastAsiaTheme="minorEastAsia"/>
          <w:b/>
          <w:bCs/>
          <w:color w:val="000000" w:themeColor="text1"/>
          <w:lang w:eastAsia="zh-CN"/>
        </w:rPr>
      </w:pPr>
    </w:p>
    <w:p w14:paraId="49DCE7A4" w14:textId="36FD95E1" w:rsidR="006F115D" w:rsidRPr="009F13FC" w:rsidRDefault="003A1E69">
      <w:pPr>
        <w:adjustRightInd w:val="0"/>
        <w:snapToGrid w:val="0"/>
        <w:spacing w:line="360" w:lineRule="auto"/>
        <w:jc w:val="both"/>
        <w:rPr>
          <w:rFonts w:ascii="Book Antiqua" w:hAnsi="Book Antiqua"/>
          <w:color w:val="000000" w:themeColor="text1"/>
          <w:sz w:val="24"/>
          <w:szCs w:val="24"/>
          <w:lang w:eastAsia="zh-CN"/>
        </w:rPr>
      </w:pPr>
      <w:r w:rsidRPr="009F13FC">
        <w:rPr>
          <w:rFonts w:ascii="Book Antiqua" w:hAnsi="Book Antiqua" w:cstheme="minorHAnsi"/>
          <w:b/>
          <w:color w:val="000000" w:themeColor="text1"/>
          <w:sz w:val="24"/>
          <w:szCs w:val="24"/>
        </w:rPr>
        <w:t>Supported by</w:t>
      </w:r>
      <w:r w:rsidR="006F115D" w:rsidRPr="009F13FC">
        <w:rPr>
          <w:rFonts w:ascii="Book Antiqua" w:hAnsi="Book Antiqua"/>
          <w:color w:val="000000" w:themeColor="text1"/>
          <w:sz w:val="24"/>
          <w:szCs w:val="24"/>
          <w:lang w:eastAsia="zh-CN"/>
        </w:rPr>
        <w:t xml:space="preserve"> the National Science and Technology Major Project of China</w:t>
      </w:r>
      <w:r w:rsidR="00B83A88">
        <w:rPr>
          <w:rFonts w:ascii="Book Antiqua" w:hAnsi="Book Antiqua" w:hint="eastAsia"/>
          <w:color w:val="000000" w:themeColor="text1"/>
          <w:sz w:val="24"/>
          <w:szCs w:val="24"/>
          <w:lang w:eastAsia="zh-CN"/>
        </w:rPr>
        <w:t>,</w:t>
      </w:r>
      <w:r w:rsidR="006F115D" w:rsidRPr="009F13FC">
        <w:rPr>
          <w:rFonts w:ascii="Book Antiqua" w:hAnsi="Book Antiqua"/>
          <w:color w:val="000000" w:themeColor="text1"/>
          <w:sz w:val="24"/>
          <w:szCs w:val="24"/>
          <w:lang w:eastAsia="zh-CN"/>
        </w:rPr>
        <w:t xml:space="preserve"> No. 2017ZX10203205; National Natural Science Funds for Distinguished Young Scholar of China</w:t>
      </w:r>
      <w:r w:rsidR="00B83A88">
        <w:rPr>
          <w:rFonts w:ascii="Book Antiqua" w:hAnsi="Book Antiqua" w:hint="eastAsia"/>
          <w:color w:val="000000" w:themeColor="text1"/>
          <w:sz w:val="24"/>
          <w:szCs w:val="24"/>
          <w:lang w:eastAsia="zh-CN"/>
        </w:rPr>
        <w:t>,</w:t>
      </w:r>
      <w:r w:rsidR="006F115D" w:rsidRPr="009F13FC">
        <w:rPr>
          <w:rFonts w:ascii="Book Antiqua" w:hAnsi="Book Antiqua"/>
          <w:color w:val="000000" w:themeColor="text1"/>
          <w:sz w:val="24"/>
          <w:szCs w:val="24"/>
          <w:lang w:eastAsia="zh-CN"/>
        </w:rPr>
        <w:t xml:space="preserve"> No. 81625003</w:t>
      </w:r>
      <w:r w:rsidR="008D2702">
        <w:rPr>
          <w:rFonts w:ascii="Book Antiqua" w:hAnsi="Book Antiqua" w:hint="eastAsia"/>
          <w:color w:val="000000" w:themeColor="text1"/>
          <w:sz w:val="24"/>
          <w:szCs w:val="24"/>
          <w:lang w:eastAsia="zh-CN"/>
        </w:rPr>
        <w:t>;</w:t>
      </w:r>
      <w:r w:rsidR="007B1EE2">
        <w:rPr>
          <w:rFonts w:ascii="Book Antiqua" w:hAnsi="Book Antiqua"/>
          <w:color w:val="000000" w:themeColor="text1"/>
          <w:sz w:val="24"/>
          <w:szCs w:val="24"/>
          <w:lang w:eastAsia="zh-CN"/>
        </w:rPr>
        <w:t xml:space="preserve"> </w:t>
      </w:r>
      <w:r w:rsidR="008D2702" w:rsidRPr="005E4A52">
        <w:rPr>
          <w:rFonts w:ascii="Book Antiqua" w:hAnsi="Book Antiqua"/>
          <w:sz w:val="24"/>
          <w:szCs w:val="24"/>
          <w:lang w:eastAsia="zh-CN"/>
        </w:rPr>
        <w:t>National Natural Science Foundation of China</w:t>
      </w:r>
      <w:r w:rsidR="00B83A88">
        <w:rPr>
          <w:rFonts w:ascii="Book Antiqua" w:hAnsi="Book Antiqua" w:hint="eastAsia"/>
          <w:sz w:val="24"/>
          <w:szCs w:val="24"/>
          <w:lang w:eastAsia="zh-CN"/>
        </w:rPr>
        <w:t>,</w:t>
      </w:r>
      <w:r w:rsidR="008D2702">
        <w:rPr>
          <w:rFonts w:ascii="Book Antiqua" w:hAnsi="Book Antiqua"/>
          <w:sz w:val="24"/>
          <w:szCs w:val="24"/>
          <w:lang w:eastAsia="zh-CN"/>
        </w:rPr>
        <w:t xml:space="preserve"> No. </w:t>
      </w:r>
      <w:r w:rsidR="008D2702" w:rsidRPr="005E4A52">
        <w:rPr>
          <w:rFonts w:ascii="Book Antiqua" w:hAnsi="Book Antiqua"/>
          <w:sz w:val="24"/>
          <w:szCs w:val="24"/>
          <w:lang w:eastAsia="zh-CN"/>
        </w:rPr>
        <w:t>81930016</w:t>
      </w:r>
      <w:r w:rsidR="008D2702">
        <w:rPr>
          <w:rFonts w:ascii="Book Antiqua" w:hAnsi="Book Antiqua"/>
          <w:sz w:val="24"/>
          <w:szCs w:val="24"/>
          <w:lang w:eastAsia="zh-CN"/>
        </w:rPr>
        <w:t>.</w:t>
      </w:r>
    </w:p>
    <w:p w14:paraId="717E6DF5" w14:textId="77777777" w:rsidR="006F115D" w:rsidRPr="009F13FC" w:rsidRDefault="006F115D">
      <w:pPr>
        <w:pStyle w:val="a5"/>
        <w:adjustRightInd w:val="0"/>
        <w:snapToGrid w:val="0"/>
        <w:spacing w:line="360" w:lineRule="auto"/>
        <w:ind w:left="0"/>
        <w:jc w:val="both"/>
        <w:rPr>
          <w:b/>
          <w:bCs/>
          <w:color w:val="000000" w:themeColor="text1"/>
        </w:rPr>
      </w:pPr>
    </w:p>
    <w:p w14:paraId="65319428" w14:textId="004CBF22" w:rsidR="00BF4FFB" w:rsidRPr="009F13FC" w:rsidRDefault="003A1E69">
      <w:pPr>
        <w:pStyle w:val="a5"/>
        <w:adjustRightInd w:val="0"/>
        <w:snapToGrid w:val="0"/>
        <w:spacing w:line="360" w:lineRule="auto"/>
        <w:ind w:left="0"/>
        <w:jc w:val="both"/>
        <w:rPr>
          <w:b/>
          <w:bCs/>
          <w:color w:val="000000" w:themeColor="text1"/>
        </w:rPr>
      </w:pPr>
      <w:r w:rsidRPr="009F13FC">
        <w:rPr>
          <w:rFonts w:eastAsia="宋体" w:cs="Arial"/>
          <w:b/>
          <w:iCs/>
          <w:color w:val="000000" w:themeColor="text1"/>
        </w:rPr>
        <w:t xml:space="preserve">Corresponding author: </w:t>
      </w:r>
      <w:r w:rsidR="00BF4FFB" w:rsidRPr="009F13FC">
        <w:rPr>
          <w:b/>
          <w:bCs/>
          <w:color w:val="000000" w:themeColor="text1"/>
        </w:rPr>
        <w:t xml:space="preserve">Xiao Xu, </w:t>
      </w:r>
      <w:r w:rsidR="006F115D" w:rsidRPr="009F13FC">
        <w:rPr>
          <w:b/>
          <w:bCs/>
          <w:color w:val="000000" w:themeColor="text1"/>
        </w:rPr>
        <w:t xml:space="preserve">MD, PhD, </w:t>
      </w:r>
      <w:r w:rsidR="008D2702">
        <w:rPr>
          <w:b/>
          <w:bCs/>
          <w:color w:val="000000" w:themeColor="text1"/>
        </w:rPr>
        <w:t xml:space="preserve">Chief </w:t>
      </w:r>
      <w:r w:rsidR="001234EB">
        <w:rPr>
          <w:b/>
          <w:bCs/>
          <w:color w:val="000000" w:themeColor="text1"/>
        </w:rPr>
        <w:t>Doctor</w:t>
      </w:r>
      <w:r w:rsidR="006F115D" w:rsidRPr="009F13FC">
        <w:rPr>
          <w:b/>
          <w:bCs/>
          <w:color w:val="000000" w:themeColor="text1"/>
        </w:rPr>
        <w:t>, Professor, Surgeon,</w:t>
      </w:r>
      <w:r w:rsidR="00BF4FFB" w:rsidRPr="009F13FC">
        <w:rPr>
          <w:b/>
          <w:bCs/>
          <w:color w:val="000000" w:themeColor="text1"/>
        </w:rPr>
        <w:t xml:space="preserve"> </w:t>
      </w:r>
      <w:r w:rsidR="008D2702" w:rsidRPr="008D2702">
        <w:rPr>
          <w:color w:val="000000" w:themeColor="text1"/>
        </w:rPr>
        <w:t xml:space="preserve">Department of Hepatobiliary and Pancreatic Surgery, The First Afﬁliated Hospital, Zhejiang University School of Medicine, </w:t>
      </w:r>
      <w:r w:rsidR="004C13DC">
        <w:rPr>
          <w:rFonts w:eastAsiaTheme="minorEastAsia" w:hint="eastAsia"/>
          <w:color w:val="000000" w:themeColor="text1"/>
          <w:lang w:eastAsia="zh-CN"/>
        </w:rPr>
        <w:t xml:space="preserve">No. </w:t>
      </w:r>
      <w:r w:rsidR="008D2702" w:rsidRPr="008D2702">
        <w:rPr>
          <w:color w:val="000000" w:themeColor="text1"/>
        </w:rPr>
        <w:t>79</w:t>
      </w:r>
      <w:r w:rsidR="004C13DC">
        <w:rPr>
          <w:rFonts w:eastAsiaTheme="minorEastAsia" w:hint="eastAsia"/>
          <w:color w:val="000000" w:themeColor="text1"/>
          <w:lang w:eastAsia="zh-CN"/>
        </w:rPr>
        <w:t>,</w:t>
      </w:r>
      <w:r w:rsidR="008D2702" w:rsidRPr="008D2702">
        <w:rPr>
          <w:color w:val="000000" w:themeColor="text1"/>
        </w:rPr>
        <w:t xml:space="preserve"> </w:t>
      </w:r>
      <w:proofErr w:type="spellStart"/>
      <w:r w:rsidR="008D2702" w:rsidRPr="008D2702">
        <w:rPr>
          <w:color w:val="000000" w:themeColor="text1"/>
        </w:rPr>
        <w:t>Qingchun</w:t>
      </w:r>
      <w:proofErr w:type="spellEnd"/>
      <w:r w:rsidR="008D2702" w:rsidRPr="008D2702">
        <w:rPr>
          <w:color w:val="000000" w:themeColor="text1"/>
        </w:rPr>
        <w:t xml:space="preserve"> Road, Hangzhou</w:t>
      </w:r>
      <w:r w:rsidR="00D9152E">
        <w:rPr>
          <w:color w:val="000000" w:themeColor="text1"/>
        </w:rPr>
        <w:t xml:space="preserve"> 310003,</w:t>
      </w:r>
      <w:r w:rsidR="00D9152E">
        <w:rPr>
          <w:rFonts w:eastAsiaTheme="minorEastAsia" w:hint="eastAsia"/>
          <w:color w:val="000000" w:themeColor="text1"/>
          <w:lang w:eastAsia="zh-CN"/>
        </w:rPr>
        <w:t xml:space="preserve"> </w:t>
      </w:r>
      <w:r w:rsidR="00D9152E" w:rsidRPr="009F13FC">
        <w:rPr>
          <w:color w:val="000000" w:themeColor="text1"/>
        </w:rPr>
        <w:t xml:space="preserve">Zhejiang Province, </w:t>
      </w:r>
      <w:r w:rsidR="008D2702" w:rsidRPr="008D2702">
        <w:rPr>
          <w:color w:val="000000" w:themeColor="text1"/>
        </w:rPr>
        <w:t xml:space="preserve">China. </w:t>
      </w:r>
      <w:r w:rsidR="00BF4FFB" w:rsidRPr="009F13FC">
        <w:rPr>
          <w:color w:val="000000" w:themeColor="text1"/>
          <w:u w:val="single"/>
        </w:rPr>
        <w:t>zjxu@zju.edu.cn</w:t>
      </w:r>
    </w:p>
    <w:p w14:paraId="24DC3CB9" w14:textId="30124A24" w:rsidR="00A74436" w:rsidRPr="001234EB" w:rsidRDefault="00A74436">
      <w:pPr>
        <w:adjustRightInd w:val="0"/>
        <w:snapToGrid w:val="0"/>
        <w:spacing w:line="360" w:lineRule="auto"/>
        <w:jc w:val="both"/>
        <w:rPr>
          <w:rFonts w:ascii="Book Antiqua" w:hAnsi="Book Antiqua"/>
          <w:color w:val="000000" w:themeColor="text1"/>
          <w:sz w:val="24"/>
          <w:szCs w:val="24"/>
          <w:lang w:eastAsia="zh-CN"/>
        </w:rPr>
      </w:pPr>
    </w:p>
    <w:p w14:paraId="3C3F9466" w14:textId="775BCDEF" w:rsidR="003A1E69" w:rsidRPr="009F13FC" w:rsidRDefault="003A1E69">
      <w:pPr>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Received: </w:t>
      </w:r>
      <w:r w:rsidRPr="009F13FC">
        <w:rPr>
          <w:rFonts w:ascii="Book Antiqua" w:hAnsi="Book Antiqua"/>
          <w:bCs/>
          <w:color w:val="000000" w:themeColor="text1"/>
          <w:sz w:val="24"/>
          <w:szCs w:val="24"/>
        </w:rPr>
        <w:t>March 15, 2020</w:t>
      </w:r>
    </w:p>
    <w:p w14:paraId="6E2CE026" w14:textId="4B9CD176" w:rsidR="003A1E69" w:rsidRPr="009F13FC" w:rsidRDefault="003A1E69">
      <w:pPr>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Revised: </w:t>
      </w:r>
      <w:r w:rsidRPr="009F13FC">
        <w:rPr>
          <w:rFonts w:ascii="Book Antiqua" w:hAnsi="Book Antiqua"/>
          <w:bCs/>
          <w:color w:val="000000" w:themeColor="text1"/>
          <w:sz w:val="24"/>
          <w:szCs w:val="24"/>
        </w:rPr>
        <w:t>April 28, 2020</w:t>
      </w:r>
    </w:p>
    <w:p w14:paraId="4AA007F7" w14:textId="5E209B45" w:rsidR="003A1E69" w:rsidRPr="009A543A" w:rsidRDefault="003A1E69">
      <w:pPr>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Accepted:</w:t>
      </w:r>
      <w:r w:rsidR="00D94BF3" w:rsidRPr="00D9152E">
        <w:rPr>
          <w:sz w:val="24"/>
          <w:szCs w:val="24"/>
        </w:rPr>
        <w:t xml:space="preserve"> </w:t>
      </w:r>
      <w:r w:rsidR="00D94BF3" w:rsidRPr="009F13FC">
        <w:rPr>
          <w:rFonts w:ascii="Book Antiqua" w:hAnsi="Book Antiqua"/>
          <w:bCs/>
          <w:color w:val="000000" w:themeColor="text1"/>
          <w:sz w:val="24"/>
          <w:szCs w:val="24"/>
        </w:rPr>
        <w:t>July 4, 2020</w:t>
      </w:r>
      <w:r w:rsidRPr="00AF291D">
        <w:rPr>
          <w:rFonts w:ascii="Book Antiqua" w:hAnsi="Book Antiqua"/>
          <w:bCs/>
          <w:color w:val="000000" w:themeColor="text1"/>
          <w:sz w:val="24"/>
          <w:szCs w:val="24"/>
        </w:rPr>
        <w:t xml:space="preserve"> </w:t>
      </w:r>
    </w:p>
    <w:p w14:paraId="63BF10B2" w14:textId="06948651" w:rsidR="006F115D" w:rsidRPr="009F13FC" w:rsidRDefault="003A1E69" w:rsidP="00E268ED">
      <w:pPr>
        <w:snapToGrid w:val="0"/>
        <w:spacing w:line="360" w:lineRule="auto"/>
        <w:jc w:val="both"/>
        <w:rPr>
          <w:rFonts w:ascii="Book Antiqua" w:hAnsi="Book Antiqua"/>
          <w:color w:val="000000" w:themeColor="text1"/>
          <w:sz w:val="24"/>
          <w:szCs w:val="24"/>
          <w:lang w:eastAsia="zh-CN"/>
        </w:rPr>
      </w:pPr>
      <w:r w:rsidRPr="009F13FC">
        <w:rPr>
          <w:rFonts w:ascii="Book Antiqua" w:hAnsi="Book Antiqua"/>
          <w:b/>
          <w:color w:val="000000" w:themeColor="text1"/>
          <w:sz w:val="24"/>
          <w:szCs w:val="24"/>
        </w:rPr>
        <w:t>Published online:</w:t>
      </w:r>
      <w:r w:rsidR="004D1353">
        <w:rPr>
          <w:rFonts w:ascii="Book Antiqua" w:hAnsi="Book Antiqua" w:hint="eastAsia"/>
          <w:b/>
          <w:color w:val="000000" w:themeColor="text1"/>
          <w:sz w:val="24"/>
          <w:szCs w:val="24"/>
          <w:lang w:eastAsia="zh-CN"/>
        </w:rPr>
        <w:t xml:space="preserve"> </w:t>
      </w:r>
      <w:r w:rsidR="004D1353" w:rsidRPr="004D1353">
        <w:rPr>
          <w:rFonts w:ascii="Book Antiqua" w:hAnsi="Book Antiqua" w:hint="eastAsia"/>
          <w:color w:val="000000" w:themeColor="text1"/>
          <w:sz w:val="24"/>
          <w:szCs w:val="24"/>
          <w:lang w:eastAsia="zh-CN"/>
        </w:rPr>
        <w:t>July 21, 2020</w:t>
      </w:r>
      <w:r w:rsidR="006F115D" w:rsidRPr="009F13FC">
        <w:rPr>
          <w:rFonts w:ascii="Book Antiqua" w:hAnsi="Book Antiqua"/>
          <w:color w:val="000000" w:themeColor="text1"/>
          <w:sz w:val="24"/>
          <w:szCs w:val="24"/>
          <w:lang w:eastAsia="zh-CN"/>
        </w:rPr>
        <w:br w:type="page"/>
      </w:r>
    </w:p>
    <w:p w14:paraId="0F66C33E" w14:textId="77777777" w:rsidR="003A1E69" w:rsidRPr="009F13FC" w:rsidRDefault="003A1E69">
      <w:pPr>
        <w:snapToGrid w:val="0"/>
        <w:spacing w:line="360" w:lineRule="auto"/>
        <w:jc w:val="both"/>
        <w:rPr>
          <w:rFonts w:ascii="Book Antiqua" w:eastAsia="宋体" w:hAnsi="Book Antiqua" w:cs="Arial"/>
          <w:b/>
          <w:color w:val="000000" w:themeColor="text1"/>
          <w:sz w:val="24"/>
          <w:szCs w:val="24"/>
        </w:rPr>
      </w:pPr>
      <w:r w:rsidRPr="009F13FC">
        <w:rPr>
          <w:rFonts w:ascii="Book Antiqua" w:eastAsia="宋体" w:hAnsi="Book Antiqua" w:cs="Arial"/>
          <w:b/>
          <w:color w:val="000000" w:themeColor="text1"/>
          <w:sz w:val="24"/>
          <w:szCs w:val="24"/>
        </w:rPr>
        <w:lastRenderedPageBreak/>
        <w:t>Abstract</w:t>
      </w:r>
    </w:p>
    <w:p w14:paraId="29E183EA" w14:textId="169FD4BC" w:rsidR="00A74436" w:rsidRPr="009F13FC" w:rsidRDefault="00A74436" w:rsidP="00D93627">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Metabolic disease</w:t>
      </w:r>
      <w:r w:rsidR="00743119"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including diabetes mellitus, hypertension, dyslipidemia, obesity</w:t>
      </w:r>
      <w:r w:rsidR="00FF171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w:t>
      </w:r>
      <w:r w:rsidR="00743119"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is a common complication after liver transplantation and a risk factor for cardiovascular disease and death. The development of metabolic disease is closely related to the side effects of immunosuppressants. Therefore, optimization of </w:t>
      </w:r>
      <w:r w:rsidR="00FF171E"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immunosuppressive regimen is very important for the prevention and treatment of metabolic disease. The Chinese Society of Organ Transplantation </w:t>
      </w:r>
      <w:r w:rsidR="00743119" w:rsidRPr="009F13FC">
        <w:rPr>
          <w:rFonts w:ascii="Book Antiqua" w:hAnsi="Book Antiqua"/>
          <w:color w:val="000000" w:themeColor="text1"/>
          <w:sz w:val="24"/>
          <w:szCs w:val="24"/>
        </w:rPr>
        <w:t>h</w:t>
      </w:r>
      <w:r w:rsidRPr="009F13FC">
        <w:rPr>
          <w:rFonts w:ascii="Book Antiqua" w:hAnsi="Book Antiqua"/>
          <w:color w:val="000000" w:themeColor="text1"/>
          <w:sz w:val="24"/>
          <w:szCs w:val="24"/>
        </w:rPr>
        <w:t>as developed an expert consensus on the management of metabolic diseases in Chinese liver transplant recipients based on recent studies. Emphasis is placed on the risk factors of metabolic diseases, the effect of immunosuppressants on metabolic disease, and the prevention and treatment of metabolic diseases.</w:t>
      </w:r>
    </w:p>
    <w:p w14:paraId="0156E14E" w14:textId="77777777" w:rsidR="006F115D" w:rsidRPr="009F13FC" w:rsidRDefault="006F115D" w:rsidP="009F13FC">
      <w:pPr>
        <w:adjustRightInd w:val="0"/>
        <w:snapToGrid w:val="0"/>
        <w:spacing w:line="360" w:lineRule="auto"/>
        <w:jc w:val="both"/>
        <w:rPr>
          <w:rFonts w:ascii="Book Antiqua" w:hAnsi="Book Antiqua"/>
          <w:color w:val="000000" w:themeColor="text1"/>
          <w:sz w:val="24"/>
          <w:szCs w:val="24"/>
        </w:rPr>
      </w:pPr>
    </w:p>
    <w:p w14:paraId="4B8E78DB" w14:textId="0CB0E593" w:rsidR="00A74436" w:rsidRPr="009F13FC" w:rsidRDefault="003A1E69" w:rsidP="00AF291D">
      <w:pPr>
        <w:adjustRightInd w:val="0"/>
        <w:snapToGrid w:val="0"/>
        <w:spacing w:line="360" w:lineRule="auto"/>
        <w:jc w:val="both"/>
        <w:rPr>
          <w:rFonts w:ascii="Book Antiqua" w:hAnsi="Book Antiqua"/>
          <w:color w:val="000000" w:themeColor="text1"/>
          <w:sz w:val="24"/>
          <w:szCs w:val="24"/>
        </w:rPr>
      </w:pPr>
      <w:r w:rsidRPr="009F13FC">
        <w:rPr>
          <w:rFonts w:ascii="Book Antiqua" w:eastAsia="宋体" w:hAnsi="Book Antiqua" w:cs="Arial"/>
          <w:b/>
          <w:color w:val="000000" w:themeColor="text1"/>
          <w:sz w:val="24"/>
          <w:szCs w:val="24"/>
        </w:rPr>
        <w:t>Key words</w:t>
      </w:r>
      <w:r w:rsidRPr="00D9152E">
        <w:rPr>
          <w:rFonts w:ascii="Book Antiqua" w:eastAsia="宋体" w:hAnsi="Book Antiqua" w:cs="Arial"/>
          <w:b/>
          <w:bCs/>
          <w:color w:val="000000" w:themeColor="text1"/>
          <w:sz w:val="24"/>
          <w:szCs w:val="24"/>
        </w:rPr>
        <w:t>:</w:t>
      </w:r>
      <w:r w:rsidRPr="009F13FC">
        <w:rPr>
          <w:rFonts w:ascii="Book Antiqua" w:eastAsia="宋体" w:hAnsi="Book Antiqua" w:cs="Arial"/>
          <w:color w:val="000000" w:themeColor="text1"/>
          <w:sz w:val="24"/>
          <w:szCs w:val="24"/>
        </w:rPr>
        <w:t xml:space="preserve"> </w:t>
      </w:r>
      <w:r w:rsidR="00A74436" w:rsidRPr="00AF291D">
        <w:rPr>
          <w:rFonts w:ascii="Book Antiqua" w:hAnsi="Book Antiqua"/>
          <w:color w:val="000000" w:themeColor="text1"/>
          <w:sz w:val="24"/>
          <w:szCs w:val="24"/>
        </w:rPr>
        <w:t>Liver transplantation; Metabolic disease; Diabetes mellitus; Hypertension; Dyslipid</w:t>
      </w:r>
      <w:r w:rsidR="00A74436" w:rsidRPr="009F13FC">
        <w:rPr>
          <w:rFonts w:ascii="Book Antiqua" w:hAnsi="Book Antiqua"/>
          <w:color w:val="000000" w:themeColor="text1"/>
          <w:sz w:val="24"/>
          <w:szCs w:val="24"/>
        </w:rPr>
        <w:t>emia; Hyperuricemia; Obesity; Immunosuppressive agents; Consensus</w:t>
      </w:r>
    </w:p>
    <w:p w14:paraId="33BF4306" w14:textId="77777777" w:rsidR="00A74436" w:rsidRPr="009F13FC" w:rsidRDefault="00A74436">
      <w:pPr>
        <w:adjustRightInd w:val="0"/>
        <w:snapToGrid w:val="0"/>
        <w:spacing w:line="360" w:lineRule="auto"/>
        <w:jc w:val="both"/>
        <w:rPr>
          <w:rFonts w:ascii="Book Antiqua" w:hAnsi="Book Antiqua"/>
          <w:color w:val="000000" w:themeColor="text1"/>
          <w:sz w:val="24"/>
          <w:szCs w:val="24"/>
        </w:rPr>
      </w:pPr>
    </w:p>
    <w:p w14:paraId="0691E116" w14:textId="77777777" w:rsidR="004D1353" w:rsidRDefault="004D1353" w:rsidP="004D1353">
      <w:pPr>
        <w:adjustRightInd w:val="0"/>
        <w:snapToGrid w:val="0"/>
        <w:spacing w:line="360" w:lineRule="auto"/>
        <w:jc w:val="both"/>
        <w:rPr>
          <w:rFonts w:ascii="Book Antiqua" w:hAnsi="Book Antiqua" w:hint="eastAsia"/>
          <w:bCs/>
          <w:color w:val="000000" w:themeColor="text1"/>
          <w:sz w:val="24"/>
          <w:szCs w:val="24"/>
          <w:lang w:eastAsia="zh-CN"/>
        </w:rPr>
      </w:pPr>
      <w:r w:rsidRPr="004D1353">
        <w:rPr>
          <w:rFonts w:ascii="Book Antiqua" w:hAnsi="Book Antiqua" w:hint="eastAsia"/>
          <w:b/>
          <w:color w:val="000000" w:themeColor="text1"/>
          <w:sz w:val="24"/>
          <w:szCs w:val="24"/>
          <w:lang w:eastAsia="zh-CN"/>
        </w:rPr>
        <w:t xml:space="preserve">Citation: </w:t>
      </w:r>
      <w:r w:rsidRPr="009F13FC">
        <w:rPr>
          <w:rFonts w:ascii="Book Antiqua" w:hAnsi="Book Antiqua"/>
          <w:color w:val="000000" w:themeColor="text1"/>
          <w:sz w:val="24"/>
          <w:szCs w:val="24"/>
        </w:rPr>
        <w:t xml:space="preserve">Shen T, Zhuang L, Sun XD, Qi XS, Wang ZH, Li RD, Chang WX, Yang JY, Yang Y, Zheng SS, Xu X. </w:t>
      </w:r>
      <w:r w:rsidRPr="009F13FC">
        <w:rPr>
          <w:rFonts w:ascii="Book Antiqua" w:eastAsia="Book Antiqua" w:hAnsi="Book Antiqua"/>
          <w:color w:val="000000" w:themeColor="text1"/>
          <w:sz w:val="24"/>
          <w:szCs w:val="24"/>
        </w:rPr>
        <w:t xml:space="preserve">Expert consensus on management of metabolic disease in Chinese liver transplant recipients. </w:t>
      </w:r>
      <w:r w:rsidRPr="009F13FC">
        <w:rPr>
          <w:rFonts w:ascii="Book Antiqua" w:eastAsia="等线" w:hAnsi="Book Antiqua" w:cs="Times New Roman"/>
          <w:bCs/>
          <w:i/>
          <w:iCs/>
          <w:color w:val="000000" w:themeColor="text1"/>
          <w:sz w:val="24"/>
          <w:szCs w:val="24"/>
        </w:rPr>
        <w:t xml:space="preserve">World J </w:t>
      </w:r>
      <w:proofErr w:type="spellStart"/>
      <w:r w:rsidRPr="009F13FC">
        <w:rPr>
          <w:rFonts w:ascii="Book Antiqua" w:eastAsia="等线" w:hAnsi="Book Antiqua" w:cs="Times New Roman"/>
          <w:bCs/>
          <w:i/>
          <w:iCs/>
          <w:color w:val="000000" w:themeColor="text1"/>
          <w:sz w:val="24"/>
          <w:szCs w:val="24"/>
        </w:rPr>
        <w:t>Gastroenterol</w:t>
      </w:r>
      <w:proofErr w:type="spellEnd"/>
      <w:r w:rsidRPr="009F13FC">
        <w:rPr>
          <w:rFonts w:ascii="Book Antiqua" w:eastAsia="等线" w:hAnsi="Book Antiqua" w:cs="Times New Roman"/>
          <w:bCs/>
          <w:color w:val="000000" w:themeColor="text1"/>
          <w:sz w:val="24"/>
          <w:szCs w:val="24"/>
        </w:rPr>
        <w:t xml:space="preserve"> 2020; </w:t>
      </w:r>
      <w:r w:rsidRPr="00581AA8">
        <w:rPr>
          <w:rFonts w:ascii="Book Antiqua" w:hAnsi="Book Antiqua"/>
          <w:bCs/>
          <w:color w:val="000000" w:themeColor="text1"/>
          <w:sz w:val="24"/>
          <w:szCs w:val="24"/>
        </w:rPr>
        <w:t xml:space="preserve">26(27): </w:t>
      </w:r>
      <w:r>
        <w:rPr>
          <w:rFonts w:ascii="Book Antiqua" w:hAnsi="Book Antiqua" w:hint="eastAsia"/>
          <w:bCs/>
          <w:color w:val="000000" w:themeColor="text1"/>
          <w:sz w:val="24"/>
          <w:szCs w:val="24"/>
          <w:lang w:eastAsia="zh-CN"/>
        </w:rPr>
        <w:t>3851</w:t>
      </w:r>
      <w:r w:rsidRPr="00581AA8">
        <w:rPr>
          <w:rFonts w:ascii="Book Antiqua" w:hAnsi="Book Antiqua"/>
          <w:bCs/>
          <w:color w:val="000000" w:themeColor="text1"/>
          <w:sz w:val="24"/>
          <w:szCs w:val="24"/>
        </w:rPr>
        <w:t>-</w:t>
      </w:r>
      <w:proofErr w:type="gramStart"/>
      <w:r>
        <w:rPr>
          <w:rFonts w:ascii="Book Antiqua" w:hAnsi="Book Antiqua" w:hint="eastAsia"/>
          <w:bCs/>
          <w:color w:val="000000" w:themeColor="text1"/>
          <w:sz w:val="24"/>
          <w:szCs w:val="24"/>
          <w:lang w:eastAsia="zh-CN"/>
        </w:rPr>
        <w:t>3864</w:t>
      </w:r>
      <w:r w:rsidRPr="00581AA8">
        <w:rPr>
          <w:rFonts w:ascii="Book Antiqua" w:hAnsi="Book Antiqua"/>
          <w:bCs/>
          <w:color w:val="000000" w:themeColor="text1"/>
          <w:sz w:val="24"/>
          <w:szCs w:val="24"/>
        </w:rPr>
        <w:t xml:space="preserve">  </w:t>
      </w:r>
      <w:r w:rsidRPr="004D1353">
        <w:rPr>
          <w:rFonts w:ascii="Book Antiqua" w:hAnsi="Book Antiqua"/>
          <w:b/>
          <w:bCs/>
          <w:color w:val="000000" w:themeColor="text1"/>
          <w:sz w:val="24"/>
          <w:szCs w:val="24"/>
        </w:rPr>
        <w:t>URL</w:t>
      </w:r>
      <w:proofErr w:type="gramEnd"/>
      <w:r w:rsidRPr="004D1353">
        <w:rPr>
          <w:rFonts w:ascii="Book Antiqua" w:hAnsi="Book Antiqua"/>
          <w:b/>
          <w:bCs/>
          <w:color w:val="000000" w:themeColor="text1"/>
          <w:sz w:val="24"/>
          <w:szCs w:val="24"/>
        </w:rPr>
        <w:t xml:space="preserve">: </w:t>
      </w:r>
      <w:r w:rsidRPr="00581AA8">
        <w:rPr>
          <w:rFonts w:ascii="Book Antiqua" w:hAnsi="Book Antiqua"/>
          <w:bCs/>
          <w:color w:val="000000" w:themeColor="text1"/>
          <w:sz w:val="24"/>
          <w:szCs w:val="24"/>
        </w:rPr>
        <w:t>https://www.wjgnet.com/1007-9327/full/v26/i27/</w:t>
      </w:r>
      <w:r>
        <w:rPr>
          <w:rFonts w:ascii="Book Antiqua" w:hAnsi="Book Antiqua" w:hint="eastAsia"/>
          <w:bCs/>
          <w:color w:val="000000" w:themeColor="text1"/>
          <w:sz w:val="24"/>
          <w:szCs w:val="24"/>
          <w:lang w:eastAsia="zh-CN"/>
        </w:rPr>
        <w:t>3851</w:t>
      </w:r>
      <w:r w:rsidRPr="00581AA8">
        <w:rPr>
          <w:rFonts w:ascii="Book Antiqua" w:hAnsi="Book Antiqua"/>
          <w:bCs/>
          <w:color w:val="000000" w:themeColor="text1"/>
          <w:sz w:val="24"/>
          <w:szCs w:val="24"/>
        </w:rPr>
        <w:t xml:space="preserve">.htm  </w:t>
      </w:r>
    </w:p>
    <w:p w14:paraId="0AF18C2C" w14:textId="2574B4D4" w:rsidR="004D1353" w:rsidRPr="009F13FC" w:rsidRDefault="004D1353" w:rsidP="004D1353">
      <w:pPr>
        <w:adjustRightInd w:val="0"/>
        <w:snapToGrid w:val="0"/>
        <w:spacing w:line="360" w:lineRule="auto"/>
        <w:jc w:val="both"/>
        <w:rPr>
          <w:rFonts w:ascii="Book Antiqua" w:hAnsi="Book Antiqua" w:hint="eastAsia"/>
          <w:bCs/>
          <w:color w:val="000000" w:themeColor="text1"/>
          <w:sz w:val="24"/>
          <w:szCs w:val="24"/>
          <w:lang w:eastAsia="zh-CN"/>
        </w:rPr>
      </w:pPr>
      <w:r w:rsidRPr="004D1353">
        <w:rPr>
          <w:rFonts w:ascii="Book Antiqua" w:hAnsi="Book Antiqua"/>
          <w:b/>
          <w:bCs/>
          <w:color w:val="000000" w:themeColor="text1"/>
          <w:sz w:val="24"/>
          <w:szCs w:val="24"/>
        </w:rPr>
        <w:t xml:space="preserve">DOI: </w:t>
      </w:r>
      <w:r w:rsidRPr="00581AA8">
        <w:rPr>
          <w:rFonts w:ascii="Book Antiqua" w:hAnsi="Book Antiqua"/>
          <w:bCs/>
          <w:color w:val="000000" w:themeColor="text1"/>
          <w:sz w:val="24"/>
          <w:szCs w:val="24"/>
        </w:rPr>
        <w:t>https://dx.doi.org/10.3748/wjg.v26.i27.</w:t>
      </w:r>
      <w:r>
        <w:rPr>
          <w:rFonts w:ascii="Book Antiqua" w:hAnsi="Book Antiqua" w:hint="eastAsia"/>
          <w:bCs/>
          <w:color w:val="000000" w:themeColor="text1"/>
          <w:sz w:val="24"/>
          <w:szCs w:val="24"/>
          <w:lang w:eastAsia="zh-CN"/>
        </w:rPr>
        <w:t>3851</w:t>
      </w:r>
    </w:p>
    <w:p w14:paraId="1653F79C" w14:textId="58B9566E" w:rsidR="006F115D" w:rsidRPr="009F13FC" w:rsidRDefault="006F115D">
      <w:pPr>
        <w:adjustRightInd w:val="0"/>
        <w:snapToGrid w:val="0"/>
        <w:spacing w:line="360" w:lineRule="auto"/>
        <w:jc w:val="both"/>
        <w:rPr>
          <w:rFonts w:ascii="Book Antiqua" w:hAnsi="Book Antiqua"/>
          <w:color w:val="000000" w:themeColor="text1"/>
          <w:sz w:val="24"/>
          <w:szCs w:val="24"/>
        </w:rPr>
      </w:pPr>
    </w:p>
    <w:p w14:paraId="44CE8EEC" w14:textId="3339FE13" w:rsidR="006F115D" w:rsidRPr="009F13FC" w:rsidRDefault="003A1E69" w:rsidP="00D9152E">
      <w:pPr>
        <w:adjustRightInd w:val="0"/>
        <w:snapToGrid w:val="0"/>
        <w:spacing w:line="360" w:lineRule="auto"/>
        <w:jc w:val="both"/>
        <w:rPr>
          <w:rFonts w:ascii="Book Antiqua" w:hAnsi="Book Antiqua"/>
          <w:color w:val="000000" w:themeColor="text1"/>
          <w:sz w:val="24"/>
          <w:szCs w:val="24"/>
        </w:rPr>
      </w:pPr>
      <w:r w:rsidRPr="009F13FC">
        <w:rPr>
          <w:rFonts w:ascii="Book Antiqua" w:eastAsia="Arial Unicode MS" w:hAnsi="Book Antiqua" w:cs="Arial Unicode MS"/>
          <w:b/>
          <w:color w:val="000000" w:themeColor="text1"/>
          <w:sz w:val="24"/>
          <w:szCs w:val="24"/>
        </w:rPr>
        <w:t xml:space="preserve">Core tip: </w:t>
      </w:r>
      <w:r w:rsidR="00A74436" w:rsidRPr="009F13FC">
        <w:rPr>
          <w:rFonts w:ascii="Book Antiqua" w:hAnsi="Book Antiqua"/>
          <w:color w:val="000000" w:themeColor="text1"/>
          <w:sz w:val="24"/>
          <w:szCs w:val="24"/>
        </w:rPr>
        <w:t xml:space="preserve">This consensus </w:t>
      </w:r>
      <w:r w:rsidR="00743119" w:rsidRPr="009F13FC">
        <w:rPr>
          <w:rFonts w:ascii="Book Antiqua" w:hAnsi="Book Antiqua"/>
          <w:color w:val="000000" w:themeColor="text1"/>
          <w:sz w:val="24"/>
          <w:szCs w:val="24"/>
        </w:rPr>
        <w:t>aims to provide</w:t>
      </w:r>
      <w:r w:rsidR="00A74436" w:rsidRPr="009F13FC">
        <w:rPr>
          <w:rFonts w:ascii="Book Antiqua" w:hAnsi="Book Antiqua"/>
          <w:color w:val="000000" w:themeColor="text1"/>
          <w:sz w:val="24"/>
          <w:szCs w:val="24"/>
        </w:rPr>
        <w:t xml:space="preserve"> recommendations for the prophylaxis and treatment of metabolic disease in Chinese liver transplant recipients to improve the long-term survival of the recipients. The principles of prophylaxis and treatment include lifestyle modification, individualization of immunosuppressive regimen</w:t>
      </w:r>
      <w:r w:rsidR="00743119" w:rsidRPr="009F13FC">
        <w:rPr>
          <w:rFonts w:ascii="Book Antiqua" w:hAnsi="Book Antiqua"/>
          <w:color w:val="000000" w:themeColor="text1"/>
          <w:sz w:val="24"/>
          <w:szCs w:val="24"/>
        </w:rPr>
        <w:t>,</w:t>
      </w:r>
      <w:r w:rsidR="00A74436" w:rsidRPr="009F13FC">
        <w:rPr>
          <w:rFonts w:ascii="Book Antiqua" w:hAnsi="Book Antiqua"/>
          <w:color w:val="000000" w:themeColor="text1"/>
          <w:sz w:val="24"/>
          <w:szCs w:val="24"/>
        </w:rPr>
        <w:t xml:space="preserve"> and drug therapy. In addition to the contents related to diabetes mellitus, hypertension</w:t>
      </w:r>
      <w:r w:rsidR="00FF171E" w:rsidRPr="009F13FC">
        <w:rPr>
          <w:rFonts w:ascii="Book Antiqua" w:hAnsi="Book Antiqua"/>
          <w:color w:val="000000" w:themeColor="text1"/>
          <w:sz w:val="24"/>
          <w:szCs w:val="24"/>
        </w:rPr>
        <w:t>,</w:t>
      </w:r>
      <w:r w:rsidR="00A74436" w:rsidRPr="009F13FC">
        <w:rPr>
          <w:rFonts w:ascii="Book Antiqua" w:hAnsi="Book Antiqua"/>
          <w:color w:val="000000" w:themeColor="text1"/>
          <w:sz w:val="24"/>
          <w:szCs w:val="24"/>
        </w:rPr>
        <w:t xml:space="preserve"> and dyslipidemia, this edition of consensus also includes the related contents of hyperuricemia and obesity, aiming at guiding the standardized management of metabolic disease in a more comprehensive way.</w:t>
      </w:r>
      <w:r w:rsidR="006F115D" w:rsidRPr="009F13FC">
        <w:rPr>
          <w:rFonts w:ascii="Book Antiqua" w:hAnsi="Book Antiqua"/>
          <w:color w:val="000000" w:themeColor="text1"/>
          <w:sz w:val="24"/>
          <w:szCs w:val="24"/>
        </w:rPr>
        <w:br w:type="page"/>
      </w:r>
    </w:p>
    <w:p w14:paraId="2B702577" w14:textId="52D4EAF4" w:rsidR="003A1E69" w:rsidRPr="009F13FC" w:rsidRDefault="003A1E69" w:rsidP="0045092C">
      <w:pPr>
        <w:snapToGrid w:val="0"/>
        <w:spacing w:line="360" w:lineRule="auto"/>
        <w:jc w:val="both"/>
        <w:rPr>
          <w:rFonts w:ascii="Book Antiqua" w:eastAsia="等线" w:hAnsi="Book Antiqua" w:cs="Times New Roman"/>
          <w:b/>
          <w:caps/>
          <w:color w:val="000000" w:themeColor="text1"/>
          <w:sz w:val="24"/>
          <w:szCs w:val="24"/>
          <w:u w:val="single"/>
        </w:rPr>
      </w:pPr>
      <w:r w:rsidRPr="009F13FC">
        <w:rPr>
          <w:rFonts w:ascii="Book Antiqua" w:eastAsia="等线" w:hAnsi="Book Antiqua" w:cs="Times New Roman"/>
          <w:b/>
          <w:caps/>
          <w:color w:val="000000" w:themeColor="text1"/>
          <w:sz w:val="24"/>
          <w:szCs w:val="24"/>
          <w:u w:val="single"/>
        </w:rPr>
        <w:lastRenderedPageBreak/>
        <w:t>For</w:t>
      </w:r>
      <w:r w:rsidR="00D93627" w:rsidRPr="009F13FC">
        <w:rPr>
          <w:rFonts w:ascii="Book Antiqua" w:eastAsia="等线" w:hAnsi="Book Antiqua" w:cs="Times New Roman"/>
          <w:b/>
          <w:caps/>
          <w:color w:val="000000" w:themeColor="text1"/>
          <w:sz w:val="24"/>
          <w:szCs w:val="24"/>
          <w:u w:val="single"/>
        </w:rPr>
        <w:t>E</w:t>
      </w:r>
      <w:r w:rsidRPr="009F13FC">
        <w:rPr>
          <w:rFonts w:ascii="Book Antiqua" w:eastAsia="等线" w:hAnsi="Book Antiqua" w:cs="Times New Roman"/>
          <w:b/>
          <w:caps/>
          <w:color w:val="000000" w:themeColor="text1"/>
          <w:sz w:val="24"/>
          <w:szCs w:val="24"/>
          <w:u w:val="single"/>
        </w:rPr>
        <w:t>w</w:t>
      </w:r>
      <w:r w:rsidR="00D93627" w:rsidRPr="009F13FC">
        <w:rPr>
          <w:rFonts w:ascii="Book Antiqua" w:eastAsia="等线" w:hAnsi="Book Antiqua" w:cs="Times New Roman"/>
          <w:b/>
          <w:caps/>
          <w:color w:val="000000" w:themeColor="text1"/>
          <w:sz w:val="24"/>
          <w:szCs w:val="24"/>
          <w:u w:val="single"/>
        </w:rPr>
        <w:t>O</w:t>
      </w:r>
      <w:r w:rsidRPr="009F13FC">
        <w:rPr>
          <w:rFonts w:ascii="Book Antiqua" w:eastAsia="等线" w:hAnsi="Book Antiqua" w:cs="Times New Roman"/>
          <w:b/>
          <w:caps/>
          <w:color w:val="000000" w:themeColor="text1"/>
          <w:sz w:val="24"/>
          <w:szCs w:val="24"/>
          <w:u w:val="single"/>
        </w:rPr>
        <w:t>rd</w:t>
      </w:r>
    </w:p>
    <w:p w14:paraId="62342A20" w14:textId="0DB12D0D" w:rsidR="00A74436" w:rsidRPr="009F13FC" w:rsidRDefault="00A74436" w:rsidP="00DF209F">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Thanks to mature surgical techniques</w:t>
      </w:r>
      <w:r w:rsidR="00FF171E"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standardized perioperative and long-term management, the survival rate of Chinese liver transplant recipients has gradually improved. According to the </w:t>
      </w:r>
      <w:r w:rsidRPr="009F13FC">
        <w:rPr>
          <w:rFonts w:ascii="Book Antiqua" w:hAnsi="Book Antiqua"/>
          <w:iCs/>
          <w:color w:val="000000" w:themeColor="text1"/>
          <w:sz w:val="24"/>
          <w:szCs w:val="24"/>
        </w:rPr>
        <w:t>Report on the Medical Quality of Liver Transplantation in China in 2018</w:t>
      </w:r>
      <w:r w:rsidR="002A655A" w:rsidRPr="009F13FC">
        <w:rPr>
          <w:rFonts w:ascii="Book Antiqua" w:hAnsi="Book Antiqua"/>
          <w:iCs/>
          <w:color w:val="000000" w:themeColor="text1"/>
          <w:sz w:val="24"/>
          <w:szCs w:val="24"/>
          <w:vertAlign w:val="superscript"/>
        </w:rPr>
        <w:t>[1]</w:t>
      </w:r>
      <w:r w:rsidRPr="009F13FC">
        <w:rPr>
          <w:rFonts w:ascii="Book Antiqua" w:hAnsi="Book Antiqua"/>
          <w:iCs/>
          <w:color w:val="000000" w:themeColor="text1"/>
          <w:sz w:val="24"/>
          <w:szCs w:val="24"/>
        </w:rPr>
        <w:t>,</w:t>
      </w:r>
      <w:r w:rsidRPr="009F13FC">
        <w:rPr>
          <w:rFonts w:ascii="Book Antiqua" w:hAnsi="Book Antiqua"/>
          <w:color w:val="000000" w:themeColor="text1"/>
          <w:sz w:val="24"/>
          <w:szCs w:val="24"/>
        </w:rPr>
        <w:t xml:space="preserve"> mortality within </w:t>
      </w:r>
      <w:r w:rsidR="005D71D4"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wk</w:t>
      </w:r>
      <w:proofErr w:type="spellEnd"/>
      <w:r w:rsidRPr="009F13FC">
        <w:rPr>
          <w:rFonts w:ascii="Book Antiqua" w:hAnsi="Book Antiqua"/>
          <w:color w:val="000000" w:themeColor="text1"/>
          <w:sz w:val="24"/>
          <w:szCs w:val="24"/>
        </w:rPr>
        <w:t xml:space="preserve"> after liver transplantation decreased from 3.7% in 2015 to 2.2% in 2018; the 3-year cumulative survival rate was 78.51% in liver transplant recipients with benign end-stage liver diseases and 75.87% in those with hepatocellular carcinoma who met Hangzhou Criteri</w:t>
      </w:r>
      <w:r w:rsidR="00E652B4" w:rsidRPr="009F13FC">
        <w:rPr>
          <w:rFonts w:ascii="Book Antiqua" w:hAnsi="Book Antiqua"/>
          <w:color w:val="000000" w:themeColor="text1"/>
          <w:sz w:val="24"/>
          <w:szCs w:val="24"/>
        </w:rPr>
        <w:t>a</w:t>
      </w:r>
      <w:r w:rsidRPr="009F13FC">
        <w:rPr>
          <w:rFonts w:ascii="Book Antiqua" w:hAnsi="Book Antiqua"/>
          <w:color w:val="000000" w:themeColor="text1"/>
          <w:sz w:val="24"/>
          <w:szCs w:val="24"/>
        </w:rPr>
        <w:t>. This means that the survival in Chinese liver transplant recipients has reached the international leading level</w:t>
      </w:r>
      <w:r w:rsidR="00A628F6" w:rsidRPr="009F13FC">
        <w:rPr>
          <w:rFonts w:ascii="Book Antiqua" w:hAnsi="Book Antiqua"/>
          <w:color w:val="000000" w:themeColor="text1"/>
          <w:sz w:val="24"/>
          <w:szCs w:val="24"/>
        </w:rPr>
        <w:t xml:space="preserve"> as described in the annual data report 2018 of </w:t>
      </w:r>
      <w:r w:rsidR="005D71D4" w:rsidRPr="009F13FC">
        <w:rPr>
          <w:rFonts w:ascii="Book Antiqua" w:hAnsi="Book Antiqua"/>
          <w:color w:val="000000" w:themeColor="text1"/>
          <w:sz w:val="24"/>
          <w:szCs w:val="24"/>
        </w:rPr>
        <w:t>Organ Procurement and Transplant Network</w:t>
      </w:r>
      <w:r w:rsidR="00A628F6" w:rsidRPr="009F13FC">
        <w:rPr>
          <w:rFonts w:ascii="Book Antiqua" w:hAnsi="Book Antiqua"/>
          <w:color w:val="000000" w:themeColor="text1"/>
          <w:sz w:val="24"/>
          <w:szCs w:val="24"/>
        </w:rPr>
        <w:t>/</w:t>
      </w:r>
      <w:r w:rsidR="005D71D4" w:rsidRPr="009F13FC">
        <w:rPr>
          <w:rFonts w:ascii="Book Antiqua" w:hAnsi="Book Antiqua"/>
          <w:color w:val="000000" w:themeColor="text1"/>
          <w:sz w:val="24"/>
          <w:szCs w:val="24"/>
        </w:rPr>
        <w:t xml:space="preserve">Scientific Registry of Transplant </w:t>
      </w:r>
      <w:proofErr w:type="gramStart"/>
      <w:r w:rsidR="005D71D4"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However, chronic diseases after liver transplantation, including metabolic disease, chronic kidney disease</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cardiovascular diseases, are increasing year by year. Metabolic complications, including diabetes mellitus, hypertension, dyslipidemia, obesity</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 are common after liver transplantation.</w:t>
      </w:r>
    </w:p>
    <w:p w14:paraId="0640F3E8" w14:textId="4917BC71" w:rsidR="00A74436" w:rsidRPr="009F13FC" w:rsidRDefault="00A74436" w:rsidP="00DF209F">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Relevant reports show that the incidence rates of diabetes mellitus, hypertension, dyslipidemia, hyperuricemia</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obesity are 30</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-40%</w:t>
      </w:r>
      <w:r w:rsidRPr="009F13FC">
        <w:rPr>
          <w:rFonts w:ascii="Book Antiqua" w:hAnsi="Book Antiqua"/>
          <w:color w:val="000000" w:themeColor="text1"/>
          <w:sz w:val="24"/>
          <w:szCs w:val="24"/>
          <w:vertAlign w:val="superscript"/>
        </w:rPr>
        <w:t>[3]</w:t>
      </w:r>
      <w:r w:rsidRPr="009F13FC">
        <w:rPr>
          <w:rFonts w:ascii="Book Antiqua" w:hAnsi="Book Antiqua"/>
          <w:color w:val="000000" w:themeColor="text1"/>
          <w:sz w:val="24"/>
          <w:szCs w:val="24"/>
        </w:rPr>
        <w:t>, over 50%</w:t>
      </w:r>
      <w:r w:rsidRPr="009F13FC">
        <w:rPr>
          <w:rFonts w:ascii="Book Antiqua" w:hAnsi="Book Antiqua"/>
          <w:color w:val="000000" w:themeColor="text1"/>
          <w:sz w:val="24"/>
          <w:szCs w:val="24"/>
          <w:vertAlign w:val="superscript"/>
        </w:rPr>
        <w:t>[4]</w:t>
      </w:r>
      <w:r w:rsidRPr="009F13FC">
        <w:rPr>
          <w:rFonts w:ascii="Book Antiqua" w:hAnsi="Book Antiqua"/>
          <w:color w:val="000000" w:themeColor="text1"/>
          <w:sz w:val="24"/>
          <w:szCs w:val="24"/>
        </w:rPr>
        <w:t>, 40</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-66%</w:t>
      </w:r>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 14</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-53%</w:t>
      </w:r>
      <w:r w:rsidRPr="009F13FC">
        <w:rPr>
          <w:rFonts w:ascii="Book Antiqua" w:hAnsi="Book Antiqua"/>
          <w:color w:val="000000" w:themeColor="text1"/>
          <w:sz w:val="24"/>
          <w:szCs w:val="24"/>
          <w:vertAlign w:val="superscript"/>
        </w:rPr>
        <w:t>[6-9]</w:t>
      </w:r>
      <w:r w:rsidR="005D71D4"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and 18</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-30%</w:t>
      </w:r>
      <w:r w:rsidRPr="009F13FC">
        <w:rPr>
          <w:rFonts w:ascii="Book Antiqua" w:hAnsi="Book Antiqua"/>
          <w:color w:val="000000" w:themeColor="text1"/>
          <w:sz w:val="24"/>
          <w:szCs w:val="24"/>
          <w:vertAlign w:val="superscript"/>
        </w:rPr>
        <w:t>[10</w:t>
      </w:r>
      <w:r w:rsidR="006F115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11]</w:t>
      </w:r>
      <w:r w:rsidR="005D71D4"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respectively, and tend to increase with time after liver transplantation</w:t>
      </w:r>
      <w:r w:rsidRPr="009F13FC">
        <w:rPr>
          <w:rFonts w:ascii="Book Antiqua" w:hAnsi="Book Antiqua"/>
          <w:color w:val="000000" w:themeColor="text1"/>
          <w:sz w:val="24"/>
          <w:szCs w:val="24"/>
          <w:vertAlign w:val="superscript"/>
        </w:rPr>
        <w:t>[12]</w:t>
      </w:r>
      <w:r w:rsidRPr="009F13FC">
        <w:rPr>
          <w:rFonts w:ascii="Book Antiqua" w:hAnsi="Book Antiqua"/>
          <w:color w:val="000000" w:themeColor="text1"/>
          <w:sz w:val="24"/>
          <w:szCs w:val="24"/>
        </w:rPr>
        <w:t>. Metabolic disease is closely associated with the development of chronic kidney disease, infections</w:t>
      </w:r>
      <w:r w:rsidR="005D71D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cardiovascular diseases and greatly affects the quality of life and long-term survival of </w:t>
      </w:r>
      <w:proofErr w:type="gramStart"/>
      <w:r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13</w:t>
      </w:r>
      <w:r w:rsidR="003A1E69"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However, metabolic disease can be prevented and treated through early intervention.</w:t>
      </w:r>
    </w:p>
    <w:p w14:paraId="10E3FB97" w14:textId="77777777" w:rsidR="006F115D" w:rsidRPr="009F13FC" w:rsidRDefault="00A74436" w:rsidP="009F13FC">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This consensus is aimed at providing recommendations for the prophylaxis and treatment of metabolic disease in Chinese liver transplant recipients to improve the long-term survival of the recipients.</w:t>
      </w:r>
    </w:p>
    <w:p w14:paraId="3398E1A5" w14:textId="77777777" w:rsidR="006F115D" w:rsidRPr="009F13FC" w:rsidRDefault="006F115D">
      <w:pPr>
        <w:adjustRightInd w:val="0"/>
        <w:snapToGrid w:val="0"/>
        <w:spacing w:line="360" w:lineRule="auto"/>
        <w:jc w:val="both"/>
        <w:rPr>
          <w:rFonts w:ascii="Book Antiqua" w:hAnsi="Book Antiqua"/>
          <w:color w:val="000000" w:themeColor="text1"/>
          <w:sz w:val="24"/>
          <w:szCs w:val="24"/>
        </w:rPr>
      </w:pPr>
    </w:p>
    <w:p w14:paraId="301ECE29" w14:textId="49563685" w:rsidR="00A74436" w:rsidRPr="009F13FC" w:rsidRDefault="006F115D">
      <w:pPr>
        <w:adjustRightInd w:val="0"/>
        <w:snapToGrid w:val="0"/>
        <w:spacing w:line="360" w:lineRule="auto"/>
        <w:jc w:val="both"/>
        <w:rPr>
          <w:rFonts w:ascii="Book Antiqua" w:hAnsi="Book Antiqua"/>
          <w:b/>
          <w:bCs/>
          <w:color w:val="000000" w:themeColor="text1"/>
          <w:sz w:val="24"/>
          <w:szCs w:val="24"/>
          <w:u w:val="single"/>
        </w:rPr>
      </w:pPr>
      <w:r w:rsidRPr="009F13FC">
        <w:rPr>
          <w:rFonts w:ascii="Book Antiqua" w:hAnsi="Book Antiqua"/>
          <w:b/>
          <w:bCs/>
          <w:color w:val="000000" w:themeColor="text1"/>
          <w:sz w:val="24"/>
          <w:szCs w:val="24"/>
          <w:u w:val="single"/>
        </w:rPr>
        <w:t>RECOMMENDATIONS FOR THE PROPHYLAXIS AND TREATMENT OF METABOLIC DISEASE IN LIVER TRANSPLANT RECIPIENTS</w:t>
      </w:r>
    </w:p>
    <w:p w14:paraId="3070BB81" w14:textId="113A24FC" w:rsidR="00A74436" w:rsidRPr="009F13FC" w:rsidRDefault="00A74436">
      <w:pPr>
        <w:adjustRightInd w:val="0"/>
        <w:snapToGrid w:val="0"/>
        <w:spacing w:line="360" w:lineRule="auto"/>
        <w:jc w:val="both"/>
        <w:rPr>
          <w:rFonts w:ascii="Book Antiqua" w:hAnsi="Book Antiqua"/>
          <w:color w:val="000000" w:themeColor="text1"/>
          <w:sz w:val="24"/>
          <w:szCs w:val="24"/>
        </w:rPr>
      </w:pPr>
      <w:bookmarkStart w:id="1" w:name="_gjdgxs" w:colFirst="0" w:colLast="0"/>
      <w:bookmarkEnd w:id="1"/>
      <w:r w:rsidRPr="009F13FC">
        <w:rPr>
          <w:rFonts w:ascii="Book Antiqua" w:hAnsi="Book Antiqua"/>
          <w:color w:val="000000" w:themeColor="text1"/>
          <w:sz w:val="24"/>
          <w:szCs w:val="24"/>
        </w:rPr>
        <w:t>Effective immunosuppressive therapy is essential for ensuring the long-term survival of liver grafts after liver transplantation</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xml:space="preserve">, but long-term use of immunosuppressive agents can lead to or aggravate post-transplant metabolic </w:t>
      </w:r>
      <w:r w:rsidRPr="009F13FC">
        <w:rPr>
          <w:rFonts w:ascii="Book Antiqua" w:hAnsi="Book Antiqua"/>
          <w:color w:val="000000" w:themeColor="text1"/>
          <w:sz w:val="24"/>
          <w:szCs w:val="24"/>
        </w:rPr>
        <w:lastRenderedPageBreak/>
        <w:t>disease. Different immunosuppressive agents have different effects on metabolic disease. Calcineurin inhibitors (CNIs), including tacrolimus (TAC) and cyclosporine A (CsA), are often associated with hypertension, diabetes mellitus, dyslipidemia</w:t>
      </w:r>
      <w:r w:rsidR="003032D3"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hyperuricemia; glucocorticoids are associated with hypertension, diabetes mellitus, obesity; mammalian target of rapamycin (mTORi) inhibitors are associated with dyslipidemia. However, mycophenolic acids (MPA), represented by mycophenolate mofetil (MMF), and antibody drugs such as rabbit antithymocyte globulin and basiliximab have no effect on metabolic disease </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Table 1</w:t>
      </w:r>
      <w:r w:rsidR="006F115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Studies have found that basiliximab induction, combined with MMF and the glucocorticoid-free or early withdrawal regimen, or MMF combined with the dose-reduced CNI can decrease the occurrence of immunosuppressive agent-caused metabolic disease and adverse effects </w:t>
      </w:r>
      <w:r w:rsidR="003032D3" w:rsidRPr="009F13FC">
        <w:rPr>
          <w:rFonts w:ascii="Book Antiqua" w:hAnsi="Book Antiqua"/>
          <w:color w:val="000000" w:themeColor="text1"/>
          <w:sz w:val="24"/>
          <w:szCs w:val="24"/>
        </w:rPr>
        <w:t>by</w:t>
      </w:r>
      <w:r w:rsidRPr="009F13FC">
        <w:rPr>
          <w:rFonts w:ascii="Book Antiqua" w:hAnsi="Book Antiqua"/>
          <w:color w:val="000000" w:themeColor="text1"/>
          <w:sz w:val="24"/>
          <w:szCs w:val="24"/>
        </w:rPr>
        <w:t xml:space="preserve"> ensuring immunosuppressive efficacy in liver transplant </w:t>
      </w:r>
      <w:proofErr w:type="gramStart"/>
      <w:r w:rsidRPr="009F13FC">
        <w:rPr>
          <w:rFonts w:ascii="Book Antiqua" w:hAnsi="Book Antiqua"/>
          <w:color w:val="000000" w:themeColor="text1"/>
          <w:sz w:val="24"/>
          <w:szCs w:val="24"/>
        </w:rPr>
        <w:t>recipients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15-21]</w:t>
      </w:r>
      <w:r w:rsidRPr="009F13FC">
        <w:rPr>
          <w:rFonts w:ascii="Book Antiqua" w:hAnsi="Book Antiqua"/>
          <w:color w:val="000000" w:themeColor="text1"/>
          <w:sz w:val="24"/>
          <w:szCs w:val="24"/>
        </w:rPr>
        <w:t>. Therefore, based on the improvement of dietary structure and lifestyle, metabolic disease should be well managed through individualized selection of appropriate immunosuppressive agents at a minimum dose according to clinical characteristics of recipients and the use of additional drugs when necessary. It requires involvement of the follow-up doctors of liver transplant recipients when the immunosuppressive regimens need adjustment.</w:t>
      </w:r>
    </w:p>
    <w:p w14:paraId="53E1281F" w14:textId="0A811F19" w:rsidR="00DA07AD"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 xml:space="preserve">1: </w:t>
      </w:r>
      <w:r w:rsidRPr="009F13FC">
        <w:rPr>
          <w:rFonts w:ascii="Book Antiqua" w:hAnsi="Book Antiqua"/>
          <w:bCs/>
          <w:color w:val="000000" w:themeColor="text1"/>
          <w:sz w:val="24"/>
          <w:szCs w:val="24"/>
        </w:rPr>
        <w:t>The prophylaxis and treatment of post-liver transplantation metabolic disease should be based on changes in dietary habits and lifestyle, paying attention to the adverse effects of immunosuppressive agents, advocating personalized medication</w:t>
      </w:r>
      <w:r w:rsidR="003032D3" w:rsidRPr="009F13FC">
        <w:rPr>
          <w:rFonts w:ascii="Book Antiqua" w:hAnsi="Book Antiqua"/>
          <w:bCs/>
          <w:color w:val="000000" w:themeColor="text1"/>
          <w:sz w:val="24"/>
          <w:szCs w:val="24"/>
        </w:rPr>
        <w:t>. T</w:t>
      </w:r>
      <w:r w:rsidRPr="009F13FC">
        <w:rPr>
          <w:rFonts w:ascii="Book Antiqua" w:hAnsi="Book Antiqua"/>
          <w:bCs/>
          <w:color w:val="000000" w:themeColor="text1"/>
          <w:sz w:val="24"/>
          <w:szCs w:val="24"/>
        </w:rPr>
        <w:t xml:space="preserve">he regimen with </w:t>
      </w:r>
      <w:proofErr w:type="spellStart"/>
      <w:r w:rsidRPr="009F13FC">
        <w:rPr>
          <w:rFonts w:ascii="Book Antiqua" w:hAnsi="Book Antiqua"/>
          <w:bCs/>
          <w:color w:val="000000" w:themeColor="text1"/>
          <w:sz w:val="24"/>
          <w:szCs w:val="24"/>
        </w:rPr>
        <w:t>basiliximab</w:t>
      </w:r>
      <w:proofErr w:type="spellEnd"/>
      <w:r w:rsidRPr="009F13FC">
        <w:rPr>
          <w:rFonts w:ascii="Book Antiqua" w:hAnsi="Book Antiqua"/>
          <w:bCs/>
          <w:color w:val="000000" w:themeColor="text1"/>
          <w:sz w:val="24"/>
          <w:szCs w:val="24"/>
        </w:rPr>
        <w:t xml:space="preserve"> induction and glucocorticoid-free or CNI minimization containing MPA is feasible.</w:t>
      </w:r>
    </w:p>
    <w:p w14:paraId="7928B002" w14:textId="77777777" w:rsidR="00DA07AD" w:rsidRPr="009F13FC" w:rsidRDefault="00DA07AD">
      <w:pPr>
        <w:adjustRightInd w:val="0"/>
        <w:snapToGrid w:val="0"/>
        <w:spacing w:line="360" w:lineRule="auto"/>
        <w:jc w:val="both"/>
        <w:rPr>
          <w:rFonts w:ascii="Book Antiqua" w:hAnsi="Book Antiqua"/>
          <w:bCs/>
          <w:color w:val="000000" w:themeColor="text1"/>
          <w:sz w:val="24"/>
          <w:szCs w:val="24"/>
        </w:rPr>
      </w:pPr>
    </w:p>
    <w:p w14:paraId="052A0976" w14:textId="7FCD1196" w:rsidR="00A74436" w:rsidRPr="009F13FC" w:rsidRDefault="00A74436">
      <w:pP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diabetes mellitus</w:t>
      </w:r>
    </w:p>
    <w:p w14:paraId="38B9AE3D" w14:textId="21375F14" w:rsidR="00A74436" w:rsidRPr="009F13FC" w:rsidRDefault="00A74436">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Post-transplant diabetes mellitus (PTDM) includes pre-existing diabetes mellitus and new-onset diabetes after transplantation (NODAT) in liver transplant recipients. PTDM is a common complication </w:t>
      </w:r>
      <w:r w:rsidR="003032D3" w:rsidRPr="009F13FC">
        <w:rPr>
          <w:rFonts w:ascii="Book Antiqua" w:hAnsi="Book Antiqua"/>
          <w:color w:val="000000" w:themeColor="text1"/>
          <w:sz w:val="24"/>
          <w:szCs w:val="24"/>
        </w:rPr>
        <w:t xml:space="preserve">that </w:t>
      </w:r>
      <w:r w:rsidRPr="009F13FC">
        <w:rPr>
          <w:rFonts w:ascii="Book Antiqua" w:hAnsi="Book Antiqua"/>
          <w:color w:val="000000" w:themeColor="text1"/>
          <w:sz w:val="24"/>
          <w:szCs w:val="24"/>
        </w:rPr>
        <w:t xml:space="preserve">occurs after solid organ </w:t>
      </w:r>
      <w:proofErr w:type="gramStart"/>
      <w:r w:rsidRPr="009F13FC">
        <w:rPr>
          <w:rFonts w:ascii="Book Antiqua" w:hAnsi="Book Antiqua"/>
          <w:color w:val="000000" w:themeColor="text1"/>
          <w:sz w:val="24"/>
          <w:szCs w:val="24"/>
        </w:rPr>
        <w:t>transplantation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w:t>
      </w:r>
      <w:r w:rsidRPr="009F13FC">
        <w:rPr>
          <w:rFonts w:ascii="Book Antiqua" w:hAnsi="Book Antiqua"/>
          <w:color w:val="000000" w:themeColor="text1"/>
          <w:sz w:val="24"/>
          <w:szCs w:val="24"/>
        </w:rPr>
        <w:t xml:space="preserve">. In recent years, </w:t>
      </w:r>
      <w:r w:rsidR="00DA07AD" w:rsidRPr="009F13FC">
        <w:rPr>
          <w:rFonts w:ascii="Book Antiqua" w:hAnsi="Book Antiqua"/>
          <w:color w:val="000000" w:themeColor="text1"/>
          <w:sz w:val="24"/>
          <w:szCs w:val="24"/>
        </w:rPr>
        <w:t xml:space="preserve">a </w:t>
      </w:r>
      <w:r w:rsidRPr="009F13FC">
        <w:rPr>
          <w:rFonts w:ascii="Book Antiqua" w:hAnsi="Book Antiqua"/>
          <w:color w:val="000000" w:themeColor="text1"/>
          <w:sz w:val="24"/>
          <w:szCs w:val="24"/>
        </w:rPr>
        <w:t xml:space="preserve">considerable number of recipients are diagnosed as diabetes after transplantation because preoperative diagnosis of diabetes has not been standardized. In this case, it cannot be determined whether the patients develop </w:t>
      </w:r>
      <w:r w:rsidR="00DA07AD" w:rsidRPr="009F13FC">
        <w:rPr>
          <w:rFonts w:ascii="Book Antiqua" w:hAnsi="Book Antiqua"/>
          <w:color w:val="000000" w:themeColor="text1"/>
          <w:sz w:val="24"/>
          <w:szCs w:val="24"/>
        </w:rPr>
        <w:lastRenderedPageBreak/>
        <w:t>NODAT</w:t>
      </w:r>
      <w:r w:rsidRPr="009F13FC">
        <w:rPr>
          <w:rFonts w:ascii="Book Antiqua" w:hAnsi="Book Antiqua"/>
          <w:color w:val="000000" w:themeColor="text1"/>
          <w:sz w:val="24"/>
          <w:szCs w:val="24"/>
        </w:rPr>
        <w:t>. As a result, PTDM has been widely used</w:t>
      </w:r>
      <w:r w:rsidRPr="009F13FC">
        <w:rPr>
          <w:rFonts w:ascii="Book Antiqua" w:hAnsi="Book Antiqua"/>
          <w:color w:val="000000" w:themeColor="text1"/>
          <w:kern w:val="2"/>
          <w:sz w:val="24"/>
          <w:szCs w:val="24"/>
        </w:rPr>
        <w:t xml:space="preserve">. </w:t>
      </w:r>
      <w:r w:rsidRPr="009F13FC">
        <w:rPr>
          <w:rFonts w:ascii="Book Antiqua" w:hAnsi="Book Antiqua"/>
          <w:color w:val="000000" w:themeColor="text1"/>
          <w:sz w:val="24"/>
          <w:szCs w:val="24"/>
        </w:rPr>
        <w:t>T</w:t>
      </w:r>
      <w:r w:rsidRPr="009F13FC">
        <w:rPr>
          <w:rFonts w:ascii="Book Antiqua" w:eastAsia="Times New Roman" w:hAnsi="Book Antiqua"/>
          <w:color w:val="000000" w:themeColor="text1"/>
          <w:sz w:val="24"/>
          <w:szCs w:val="24"/>
        </w:rPr>
        <w:t>he 2019 diagnostic criteria for diabetes established by the American Diabetes Association</w:t>
      </w:r>
      <w:r w:rsidR="0039437D" w:rsidRPr="009F13FC">
        <w:rPr>
          <w:rFonts w:ascii="Book Antiqua" w:eastAsia="Times New Roman" w:hAnsi="Book Antiqua"/>
          <w:color w:val="000000" w:themeColor="text1"/>
          <w:sz w:val="24"/>
          <w:szCs w:val="24"/>
        </w:rPr>
        <w:t xml:space="preserve"> are</w:t>
      </w:r>
      <w:r w:rsidRPr="009F13FC">
        <w:rPr>
          <w:rFonts w:ascii="Book Antiqua" w:eastAsia="Times New Roman" w:hAnsi="Book Antiqua"/>
          <w:color w:val="000000" w:themeColor="text1"/>
          <w:sz w:val="24"/>
          <w:szCs w:val="24"/>
        </w:rPr>
        <w:t xml:space="preserve">: fasting plasma glucose (FPG) </w:t>
      </w:r>
      <w:r w:rsidRPr="009F13FC">
        <w:rPr>
          <w:rFonts w:ascii="Book Antiqua" w:eastAsia="Times New Roman" w:hAnsi="Book Antiqua" w:hint="eastAsia"/>
          <w:color w:val="000000" w:themeColor="text1"/>
          <w:sz w:val="24"/>
          <w:szCs w:val="24"/>
        </w:rPr>
        <w:t>≥</w:t>
      </w:r>
      <w:r w:rsidRPr="009F13FC">
        <w:rPr>
          <w:rFonts w:ascii="Book Antiqua" w:eastAsia="Times New Roman" w:hAnsi="Book Antiqua"/>
          <w:color w:val="000000" w:themeColor="text1"/>
          <w:sz w:val="24"/>
          <w:szCs w:val="24"/>
        </w:rPr>
        <w:t xml:space="preserve"> 7.0 </w:t>
      </w:r>
      <w:proofErr w:type="spellStart"/>
      <w:r w:rsidRPr="009F13FC">
        <w:rPr>
          <w:rFonts w:ascii="Book Antiqua" w:eastAsia="Times New Roman" w:hAnsi="Book Antiqua"/>
          <w:color w:val="000000" w:themeColor="text1"/>
          <w:sz w:val="24"/>
          <w:szCs w:val="24"/>
        </w:rPr>
        <w:t>mmol</w:t>
      </w:r>
      <w:proofErr w:type="spellEnd"/>
      <w:r w:rsidRPr="009F13FC">
        <w:rPr>
          <w:rFonts w:ascii="Book Antiqua" w:eastAsia="Times New Roman" w:hAnsi="Book Antiqua"/>
          <w:color w:val="000000" w:themeColor="text1"/>
          <w:sz w:val="24"/>
          <w:szCs w:val="24"/>
        </w:rPr>
        <w:t>/L (126 mg/L)</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2</w:t>
      </w:r>
      <w:r w:rsidR="00DA07AD" w:rsidRPr="009F13FC">
        <w:rPr>
          <w:rFonts w:ascii="Book Antiqua" w:eastAsia="Times New Roman" w:hAnsi="Book Antiqua"/>
          <w:color w:val="000000" w:themeColor="text1"/>
          <w:sz w:val="24"/>
          <w:szCs w:val="24"/>
        </w:rPr>
        <w:t xml:space="preserve"> </w:t>
      </w:r>
      <w:r w:rsidRPr="009F13FC">
        <w:rPr>
          <w:rFonts w:ascii="Book Antiqua" w:eastAsia="Times New Roman" w:hAnsi="Book Antiqua"/>
          <w:color w:val="000000" w:themeColor="text1"/>
          <w:sz w:val="24"/>
          <w:szCs w:val="24"/>
        </w:rPr>
        <w:t xml:space="preserve">h blood glucose during oral glucose tolerance test </w:t>
      </w:r>
      <w:r w:rsidRPr="009F13FC">
        <w:rPr>
          <w:rFonts w:ascii="Book Antiqua" w:eastAsia="Times New Roman" w:hAnsi="Book Antiqua" w:hint="eastAsia"/>
          <w:color w:val="000000" w:themeColor="text1"/>
          <w:sz w:val="24"/>
          <w:szCs w:val="24"/>
        </w:rPr>
        <w:t>≥</w:t>
      </w:r>
      <w:r w:rsidR="00DA07AD" w:rsidRPr="009F13FC">
        <w:rPr>
          <w:rFonts w:ascii="Book Antiqua" w:eastAsia="Times New Roman" w:hAnsi="Book Antiqua"/>
          <w:color w:val="000000" w:themeColor="text1"/>
          <w:sz w:val="24"/>
          <w:szCs w:val="24"/>
        </w:rPr>
        <w:t xml:space="preserve"> </w:t>
      </w:r>
      <w:r w:rsidRPr="009F13FC">
        <w:rPr>
          <w:rFonts w:ascii="Book Antiqua" w:eastAsia="Times New Roman" w:hAnsi="Book Antiqua"/>
          <w:color w:val="000000" w:themeColor="text1"/>
          <w:sz w:val="24"/>
          <w:szCs w:val="24"/>
        </w:rPr>
        <w:t xml:space="preserve">11.1 </w:t>
      </w:r>
      <w:proofErr w:type="spellStart"/>
      <w:r w:rsidRPr="009F13FC">
        <w:rPr>
          <w:rFonts w:ascii="Book Antiqua" w:eastAsia="Times New Roman" w:hAnsi="Book Antiqua"/>
          <w:color w:val="000000" w:themeColor="text1"/>
          <w:sz w:val="24"/>
          <w:szCs w:val="24"/>
        </w:rPr>
        <w:t>mmol</w:t>
      </w:r>
      <w:proofErr w:type="spellEnd"/>
      <w:r w:rsidRPr="009F13FC">
        <w:rPr>
          <w:rFonts w:ascii="Book Antiqua" w:eastAsia="Times New Roman" w:hAnsi="Book Antiqua"/>
          <w:color w:val="000000" w:themeColor="text1"/>
          <w:sz w:val="24"/>
          <w:szCs w:val="24"/>
        </w:rPr>
        <w:t>/L (200 mg/</w:t>
      </w:r>
      <w:proofErr w:type="spellStart"/>
      <w:r w:rsidRPr="009F13FC">
        <w:rPr>
          <w:rFonts w:ascii="Book Antiqua" w:eastAsia="Times New Roman" w:hAnsi="Book Antiqua"/>
          <w:color w:val="000000" w:themeColor="text1"/>
          <w:sz w:val="24"/>
          <w:szCs w:val="24"/>
        </w:rPr>
        <w:t>dL</w:t>
      </w:r>
      <w:proofErr w:type="spellEnd"/>
      <w:r w:rsidRPr="009F13FC">
        <w:rPr>
          <w:rFonts w:ascii="Book Antiqua" w:eastAsia="Times New Roman" w:hAnsi="Book Antiqua"/>
          <w:color w:val="000000" w:themeColor="text1"/>
          <w:sz w:val="24"/>
          <w:szCs w:val="24"/>
        </w:rPr>
        <w:t>)</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glycated hemoglobin (HbA1c) </w:t>
      </w:r>
      <w:r w:rsidRPr="009F13FC">
        <w:rPr>
          <w:rFonts w:ascii="Book Antiqua" w:eastAsia="Times New Roman" w:hAnsi="Book Antiqua" w:hint="eastAsia"/>
          <w:color w:val="000000" w:themeColor="text1"/>
          <w:sz w:val="24"/>
          <w:szCs w:val="24"/>
        </w:rPr>
        <w:t>≥</w:t>
      </w:r>
      <w:r w:rsidRPr="009F13FC">
        <w:rPr>
          <w:rFonts w:ascii="Book Antiqua" w:eastAsia="Times New Roman" w:hAnsi="Book Antiqua"/>
          <w:color w:val="000000" w:themeColor="text1"/>
          <w:sz w:val="24"/>
          <w:szCs w:val="24"/>
        </w:rPr>
        <w:t xml:space="preserve"> 6.5%</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or </w:t>
      </w:r>
      <w:r w:rsidRPr="009F13FC">
        <w:rPr>
          <w:rFonts w:ascii="Book Antiqua" w:eastAsia="Gungsuh" w:hAnsi="Book Antiqua" w:cs="Gungsuh"/>
          <w:color w:val="000000" w:themeColor="text1"/>
          <w:sz w:val="24"/>
          <w:szCs w:val="24"/>
        </w:rPr>
        <w:t xml:space="preserve">random plasma glucose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11.1 </w:t>
      </w:r>
      <w:proofErr w:type="spellStart"/>
      <w:r w:rsidRPr="009F13FC">
        <w:rPr>
          <w:rFonts w:ascii="Book Antiqua" w:eastAsia="Gungsuh" w:hAnsi="Book Antiqua" w:cs="Gungsuh"/>
          <w:color w:val="000000" w:themeColor="text1"/>
          <w:sz w:val="24"/>
          <w:szCs w:val="24"/>
        </w:rPr>
        <w:t>mmol</w:t>
      </w:r>
      <w:proofErr w:type="spellEnd"/>
      <w:r w:rsidRPr="009F13FC">
        <w:rPr>
          <w:rFonts w:ascii="Book Antiqua" w:eastAsia="Gungsuh" w:hAnsi="Book Antiqua" w:cs="Gungsuh"/>
          <w:color w:val="000000" w:themeColor="text1"/>
          <w:sz w:val="24"/>
          <w:szCs w:val="24"/>
        </w:rPr>
        <w:t>/L (200 mg/</w:t>
      </w:r>
      <w:proofErr w:type="spellStart"/>
      <w:r w:rsidRPr="009F13FC">
        <w:rPr>
          <w:rFonts w:ascii="Book Antiqua" w:eastAsia="Gungsuh" w:hAnsi="Book Antiqua" w:cs="Gungsuh"/>
          <w:color w:val="000000" w:themeColor="text1"/>
          <w:sz w:val="24"/>
          <w:szCs w:val="24"/>
        </w:rPr>
        <w:t>dL</w:t>
      </w:r>
      <w:proofErr w:type="spellEnd"/>
      <w:r w:rsidRPr="009F13FC">
        <w:rPr>
          <w:rFonts w:ascii="Book Antiqua" w:eastAsia="Gungsuh" w:hAnsi="Book Antiqua" w:cs="Gungsuh"/>
          <w:color w:val="000000" w:themeColor="text1"/>
          <w:sz w:val="24"/>
          <w:szCs w:val="24"/>
        </w:rPr>
        <w:t>)</w:t>
      </w:r>
      <w:r w:rsidR="0039437D" w:rsidRPr="009F13FC">
        <w:rPr>
          <w:rFonts w:ascii="Book Antiqua" w:eastAsia="Gungsuh" w:hAnsi="Book Antiqua" w:cs="Gungsuh"/>
          <w:color w:val="000000" w:themeColor="text1"/>
          <w:sz w:val="24"/>
          <w:szCs w:val="24"/>
        </w:rPr>
        <w:t xml:space="preserve"> (</w:t>
      </w:r>
      <w:r w:rsidRPr="009F13FC">
        <w:rPr>
          <w:rFonts w:ascii="Book Antiqua" w:eastAsia="Times New Roman" w:hAnsi="Book Antiqua"/>
          <w:color w:val="000000" w:themeColor="text1"/>
          <w:sz w:val="24"/>
          <w:szCs w:val="24"/>
        </w:rPr>
        <w:t>Table 2</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3</w:t>
      </w:r>
      <w:r w:rsidRPr="009F13FC">
        <w:rPr>
          <w:rFonts w:ascii="Book Antiqua" w:eastAsia="Times New Roman" w:hAnsi="Book Antiqua"/>
          <w:color w:val="000000" w:themeColor="text1"/>
          <w:sz w:val="24"/>
          <w:szCs w:val="24"/>
          <w:vertAlign w:val="superscript"/>
        </w:rPr>
        <w:t>]</w:t>
      </w:r>
      <w:r w:rsidRPr="009F13FC">
        <w:rPr>
          <w:rFonts w:ascii="Book Antiqua" w:eastAsia="Times New Roman" w:hAnsi="Book Antiqua"/>
          <w:color w:val="000000" w:themeColor="text1"/>
          <w:sz w:val="24"/>
          <w:szCs w:val="24"/>
        </w:rPr>
        <w:t>. The incidence of pre-transplantation diabetes mellitus is about 33%</w:t>
      </w:r>
      <w:r w:rsidRPr="009F13FC">
        <w:rPr>
          <w:rFonts w:ascii="Book Antiqua" w:eastAsia="Times New Roman" w:hAnsi="Book Antiqua"/>
          <w:color w:val="000000" w:themeColor="text1"/>
          <w:sz w:val="24"/>
          <w:szCs w:val="24"/>
          <w:vertAlign w:val="superscript"/>
        </w:rPr>
        <w:t>[2</w:t>
      </w:r>
      <w:r w:rsidR="003C590A" w:rsidRPr="009F13FC">
        <w:rPr>
          <w:rFonts w:ascii="Book Antiqua" w:eastAsia="Times New Roman" w:hAnsi="Book Antiqua"/>
          <w:color w:val="000000" w:themeColor="text1"/>
          <w:sz w:val="24"/>
          <w:szCs w:val="24"/>
          <w:vertAlign w:val="superscript"/>
        </w:rPr>
        <w:t>4</w:t>
      </w:r>
      <w:r w:rsidRPr="009F13FC">
        <w:rPr>
          <w:rFonts w:ascii="Book Antiqua" w:eastAsia="Times New Roman" w:hAnsi="Book Antiqua"/>
          <w:color w:val="000000" w:themeColor="text1"/>
          <w:sz w:val="24"/>
          <w:szCs w:val="24"/>
          <w:vertAlign w:val="superscript"/>
        </w:rPr>
        <w:t>]</w:t>
      </w:r>
      <w:r w:rsidRPr="009F13FC">
        <w:rPr>
          <w:rFonts w:ascii="Book Antiqua" w:eastAsia="Times New Roman" w:hAnsi="Book Antiqua"/>
          <w:color w:val="000000" w:themeColor="text1"/>
          <w:sz w:val="24"/>
          <w:szCs w:val="24"/>
        </w:rPr>
        <w:t xml:space="preserve">, and </w:t>
      </w:r>
      <w:r w:rsidRPr="009F13FC">
        <w:rPr>
          <w:rFonts w:ascii="Book Antiqua" w:hAnsi="Book Antiqua"/>
          <w:color w:val="000000" w:themeColor="text1"/>
          <w:sz w:val="24"/>
          <w:szCs w:val="24"/>
        </w:rPr>
        <w:t>that</w:t>
      </w:r>
      <w:r w:rsidRPr="009F13FC">
        <w:rPr>
          <w:rFonts w:ascii="Book Antiqua" w:eastAsia="Times New Roman" w:hAnsi="Book Antiqua"/>
          <w:color w:val="000000" w:themeColor="text1"/>
          <w:sz w:val="24"/>
          <w:szCs w:val="24"/>
        </w:rPr>
        <w:t xml:space="preserve"> of NODAT is 30</w:t>
      </w:r>
      <w:r w:rsidR="00DA07A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-40%</w:t>
      </w:r>
      <w:r w:rsidRPr="009F13FC">
        <w:rPr>
          <w:rFonts w:ascii="Book Antiqua" w:eastAsia="Times New Roman" w:hAnsi="Book Antiqua"/>
          <w:color w:val="000000" w:themeColor="text1"/>
          <w:sz w:val="24"/>
          <w:szCs w:val="24"/>
          <w:vertAlign w:val="superscript"/>
        </w:rPr>
        <w:t>[3]</w:t>
      </w:r>
      <w:r w:rsidRPr="009F13FC">
        <w:rPr>
          <w:rFonts w:ascii="Book Antiqua" w:eastAsia="Times New Roman" w:hAnsi="Book Antiqua"/>
          <w:color w:val="000000" w:themeColor="text1"/>
          <w:sz w:val="24"/>
          <w:szCs w:val="24"/>
        </w:rPr>
        <w:t>. PTDM is mainly characterized by insulin resistance with chronic progression on symptoms. It presents both the characteristics of type 2 diabetes mellitus</w:t>
      </w:r>
      <w:r w:rsidR="00DA07AD" w:rsidRPr="009F13FC">
        <w:rPr>
          <w:rFonts w:ascii="Book Antiqua" w:eastAsia="Times New Roman" w:hAnsi="Book Antiqua"/>
          <w:color w:val="000000" w:themeColor="text1"/>
          <w:sz w:val="24"/>
          <w:szCs w:val="24"/>
        </w:rPr>
        <w:t xml:space="preserve"> (T2DM)</w:t>
      </w:r>
      <w:r w:rsidRPr="009F13FC">
        <w:rPr>
          <w:rFonts w:ascii="Book Antiqua" w:eastAsia="Times New Roman" w:hAnsi="Book Antiqua"/>
          <w:color w:val="000000" w:themeColor="text1"/>
          <w:sz w:val="24"/>
          <w:szCs w:val="24"/>
        </w:rPr>
        <w:t xml:space="preserve"> and serious complications of type 1 diabetes</w:t>
      </w:r>
      <w:r w:rsidR="0039437D" w:rsidRPr="009F13FC">
        <w:rPr>
          <w:rFonts w:ascii="Book Antiqua" w:eastAsia="Times New Roman" w:hAnsi="Book Antiqua"/>
          <w:color w:val="000000" w:themeColor="text1"/>
          <w:sz w:val="24"/>
          <w:szCs w:val="24"/>
        </w:rPr>
        <w:t>,</w:t>
      </w:r>
      <w:r w:rsidRPr="009F13FC">
        <w:rPr>
          <w:rFonts w:ascii="Book Antiqua" w:eastAsia="Times New Roman" w:hAnsi="Book Antiqua"/>
          <w:color w:val="000000" w:themeColor="text1"/>
          <w:sz w:val="24"/>
          <w:szCs w:val="24"/>
        </w:rPr>
        <w:t xml:space="preserve"> such as ketoacidosis</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PTDM increases the risks of rejection, infection, cardiovascular events</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death</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3</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The 2017 Consensus on Managing Modifiable Risk in Transplantation recommends that the blood glucose control target after liver transplantation should be: fasting blood glucose &lt; 6.7 mmol/L (120 mg/dL), peak blood glucose &lt; 8.88 mmol/L (160 mg/dL)</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or HbA1c &lt; 7%</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123C9531" w14:textId="1AE58BB3" w:rsidR="00A74436" w:rsidRPr="009F13FC" w:rsidRDefault="00A74436">
      <w:pPr>
        <w:widowControl/>
        <w:pBdr>
          <w:top w:val="nil"/>
          <w:left w:val="nil"/>
          <w:bottom w:val="nil"/>
          <w:right w:val="nil"/>
          <w:between w:val="nil"/>
        </w:pBdr>
        <w:adjustRightInd w:val="0"/>
        <w:snapToGrid w:val="0"/>
        <w:spacing w:line="360" w:lineRule="auto"/>
        <w:ind w:firstLine="21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The main mechanisms of PTDM include decreased insulin sensitivity and β cell failure. PTDM is associated with many factors, such as hepatitis C virus infection, family history of diabetes mellitus, body mass index, immunosuppressive agents, </w:t>
      </w:r>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rPr>
        <w:t>. Among immunosuppressive agents, glucocorticoids, CNIs</w:t>
      </w:r>
      <w:r w:rsidR="0039437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mTORi (including sirolimus and everolimus) are the most important pathogenic factors</w:t>
      </w:r>
      <w:r w:rsidRPr="009F13FC">
        <w:rPr>
          <w:rFonts w:ascii="Book Antiqua" w:hAnsi="Book Antiqua"/>
          <w:color w:val="000000" w:themeColor="text1"/>
          <w:sz w:val="24"/>
          <w:szCs w:val="24"/>
          <w:vertAlign w:val="superscript"/>
        </w:rPr>
        <w:t>[3,2</w:t>
      </w:r>
      <w:r w:rsidR="003C590A"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See Figure 1 for details. Studies have shown that the blood concentration of </w:t>
      </w:r>
      <w:r w:rsidR="006F115D" w:rsidRPr="009F13FC">
        <w:rPr>
          <w:rFonts w:ascii="Book Antiqua" w:hAnsi="Book Antiqua"/>
          <w:color w:val="000000" w:themeColor="text1"/>
          <w:sz w:val="24"/>
          <w:szCs w:val="24"/>
        </w:rPr>
        <w:t>TAC</w:t>
      </w:r>
      <w:r w:rsidRPr="009F13FC">
        <w:rPr>
          <w:rFonts w:ascii="Book Antiqua" w:hAnsi="Book Antiqua"/>
          <w:color w:val="000000" w:themeColor="text1"/>
          <w:sz w:val="24"/>
          <w:szCs w:val="24"/>
        </w:rPr>
        <w:t xml:space="preserve"> higher than 8</w:t>
      </w:r>
      <w:r w:rsidR="00DA07A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ng/mL at 3 mo after liver transplantation is an independent risk factor for PTDM</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8</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On the other hand, polymorphism of diabetes-related genes in donors and recipients has also been confirmed to be associated with PTDM. At present, it is believed that genetic background of T2DM will greatly increase the risk of diabetes. Molecular genetics of diabetes mellitus is more and more widely studied and has been applied in early genetic diagnosis, clinical treatment</w:t>
      </w:r>
      <w:r w:rsidR="0039437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and primary prophylaxis of diabetes mellitus. Gene diagnosis provides important clues for the study of diabetes pathogenesis. The studies of the First Affiliated Hospital of Zhejiang University and Shanghai Jiao Tong University School of Medicine have pointed out </w:t>
      </w:r>
      <w:r w:rsidRPr="009F13FC">
        <w:rPr>
          <w:rFonts w:ascii="Book Antiqua" w:hAnsi="Book Antiqua"/>
          <w:color w:val="000000" w:themeColor="text1"/>
          <w:sz w:val="24"/>
          <w:szCs w:val="24"/>
        </w:rPr>
        <w:lastRenderedPageBreak/>
        <w:t>that ADIPOQ rs1501299</w:t>
      </w:r>
      <w:r w:rsidRPr="009F13FC">
        <w:rPr>
          <w:rFonts w:ascii="Book Antiqua" w:hAnsi="Book Antiqua"/>
          <w:color w:val="000000" w:themeColor="text1"/>
          <w:sz w:val="24"/>
          <w:szCs w:val="24"/>
          <w:vertAlign w:val="superscript"/>
        </w:rPr>
        <w:t>[</w:t>
      </w:r>
      <w:r w:rsidR="003C590A" w:rsidRPr="009F13FC">
        <w:rPr>
          <w:rFonts w:ascii="Book Antiqua" w:hAnsi="Book Antiqua"/>
          <w:color w:val="000000" w:themeColor="text1"/>
          <w:sz w:val="24"/>
          <w:szCs w:val="24"/>
          <w:vertAlign w:val="superscript"/>
        </w:rPr>
        <w:t>29</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and SUMO4 rs237025</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0</w:t>
      </w:r>
      <w:r w:rsidRPr="009F13FC">
        <w:rPr>
          <w:rFonts w:ascii="Book Antiqua" w:hAnsi="Book Antiqua"/>
          <w:color w:val="000000" w:themeColor="text1"/>
          <w:sz w:val="24"/>
          <w:szCs w:val="24"/>
          <w:vertAlign w:val="superscript"/>
        </w:rPr>
        <w:t>]</w:t>
      </w:r>
      <w:r w:rsidR="00E652B4" w:rsidRPr="009F13FC">
        <w:rPr>
          <w:rFonts w:ascii="Book Antiqua" w:hAnsi="Book Antiqua"/>
          <w:color w:val="000000" w:themeColor="text1"/>
          <w:sz w:val="24"/>
          <w:szCs w:val="24"/>
          <w:vertAlign w:val="superscript"/>
        </w:rPr>
        <w:t xml:space="preserve"> </w:t>
      </w:r>
      <w:r w:rsidRPr="009F13FC">
        <w:rPr>
          <w:rFonts w:ascii="Book Antiqua" w:hAnsi="Book Antiqua"/>
          <w:color w:val="000000" w:themeColor="text1"/>
          <w:sz w:val="24"/>
          <w:szCs w:val="24"/>
        </w:rPr>
        <w:t>of the donor and the recipient are associated with PTDM, which will contribute to better managing PTDM.</w:t>
      </w:r>
    </w:p>
    <w:p w14:paraId="3DE85B91" w14:textId="2127B850" w:rsidR="00A74436" w:rsidRPr="009F13FC" w:rsidRDefault="00A74436">
      <w:pPr>
        <w:widowControl/>
        <w:pBdr>
          <w:top w:val="nil"/>
          <w:left w:val="nil"/>
          <w:bottom w:val="nil"/>
          <w:right w:val="nil"/>
          <w:between w:val="nil"/>
        </w:pBdr>
        <w:adjustRightInd w:val="0"/>
        <w:snapToGrid w:val="0"/>
        <w:spacing w:line="360" w:lineRule="auto"/>
        <w:ind w:firstLine="420"/>
        <w:jc w:val="both"/>
        <w:rPr>
          <w:rFonts w:ascii="Book Antiqua" w:hAnsi="Book Antiqua"/>
          <w:color w:val="000000" w:themeColor="text1"/>
          <w:sz w:val="24"/>
          <w:szCs w:val="24"/>
        </w:rPr>
      </w:pPr>
      <w:bookmarkStart w:id="2" w:name="_3znysh7" w:colFirst="0" w:colLast="0"/>
      <w:bookmarkEnd w:id="2"/>
      <w:r w:rsidRPr="009F13FC">
        <w:rPr>
          <w:rFonts w:ascii="Book Antiqua" w:hAnsi="Book Antiqua"/>
          <w:color w:val="000000" w:themeColor="text1"/>
          <w:sz w:val="24"/>
          <w:szCs w:val="24"/>
        </w:rPr>
        <w:t>For diabetic liver transplant recipients, the treatment should be based on diet therapy</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lifestyle modification, including exercise and weight loss (for obese recipients), and further adjustment of the immunosuppressive regimen and appropriate use of hypoglycemic drugs. Some studies have shown that the risk of NODAT increases by 5%</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1</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with a prednisone dose increase of 0.01</w:t>
      </w:r>
      <w:r w:rsidR="00B8322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mg/kg. Compared with </w:t>
      </w:r>
      <w:bookmarkStart w:id="3" w:name="2et92p0" w:colFirst="0" w:colLast="0"/>
      <w:bookmarkStart w:id="4" w:name="tyjcwt" w:colFirst="0" w:colLast="0"/>
      <w:bookmarkEnd w:id="3"/>
      <w:bookmarkEnd w:id="4"/>
      <w:r w:rsidRPr="009F13FC">
        <w:rPr>
          <w:rFonts w:ascii="Book Antiqua" w:hAnsi="Book Antiqua"/>
          <w:color w:val="000000" w:themeColor="text1"/>
          <w:sz w:val="24"/>
          <w:szCs w:val="24"/>
        </w:rPr>
        <w:t xml:space="preserve">conventional </w:t>
      </w:r>
      <w:bookmarkStart w:id="5" w:name="3dy6vkm" w:colFirst="0" w:colLast="0"/>
      <w:bookmarkStart w:id="6" w:name="1t3h5sf" w:colFirst="0" w:colLast="0"/>
      <w:bookmarkEnd w:id="5"/>
      <w:bookmarkEnd w:id="6"/>
      <w:r w:rsidRPr="009F13FC">
        <w:rPr>
          <w:rFonts w:ascii="Book Antiqua" w:hAnsi="Book Antiqua"/>
          <w:color w:val="000000" w:themeColor="text1"/>
          <w:sz w:val="24"/>
          <w:szCs w:val="24"/>
        </w:rPr>
        <w:t>glucocorticoid-based regimens, glucocorticoid-free or early withdrawal regimens can significantly reduce PTDM</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2</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3</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while the use of basiliximab and MPA makes the glucocorticoid-free or early withdrawal regimen safe and feasible. Several other studies have shown that the fasting blood glucose level and glycosylated hemoglobin level in liver transplant recipients with PTDM decreased significantly after conversion from TAC to </w:t>
      </w:r>
      <w:proofErr w:type="gramStart"/>
      <w:r w:rsidRPr="009F13FC">
        <w:rPr>
          <w:rFonts w:ascii="Book Antiqua" w:hAnsi="Book Antiqua"/>
          <w:color w:val="000000" w:themeColor="text1"/>
          <w:sz w:val="24"/>
          <w:szCs w:val="24"/>
        </w:rPr>
        <w:t>CsA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4</w:t>
      </w:r>
      <w:r w:rsidR="00DA07AD"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For liver transplant recipients with poor blood glucose control [expressed as continuously elevated blood glucose level (&gt; 11 mmol/L) and HbA1c (&gt; 9%)], conversion from TAC to CsA or the combination of MMF and low-dose TAC is recommended</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vertAlign w:val="superscript"/>
        </w:rPr>
        <w:t>,2</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2651F917" w14:textId="50ABAFC4" w:rsidR="00A74436" w:rsidRPr="009F13FC" w:rsidRDefault="00A74436">
      <w:pPr>
        <w:widowControl/>
        <w:pBdr>
          <w:top w:val="nil"/>
          <w:left w:val="nil"/>
          <w:bottom w:val="nil"/>
          <w:right w:val="nil"/>
          <w:between w:val="nil"/>
        </w:pBd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In the early post</w:t>
      </w:r>
      <w:r w:rsidR="00E652B4"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 insulin should be adopted in the presence of obvious hyperglycemic symptoms or markedly elevated glycosylated hemoglobin</w:t>
      </w:r>
      <w:r w:rsidR="00E15672" w:rsidRPr="009F13FC">
        <w:rPr>
          <w:rFonts w:ascii="Book Antiqua" w:hAnsi="Book Antiqua"/>
          <w:color w:val="000000" w:themeColor="text1"/>
          <w:sz w:val="24"/>
          <w:szCs w:val="24"/>
        </w:rPr>
        <w:t xml:space="preserve"> level</w:t>
      </w:r>
      <w:r w:rsidRPr="009F13FC">
        <w:rPr>
          <w:rFonts w:ascii="Book Antiqua" w:hAnsi="Book Antiqua"/>
          <w:color w:val="000000" w:themeColor="text1"/>
          <w:sz w:val="24"/>
          <w:szCs w:val="24"/>
        </w:rPr>
        <w:t xml:space="preserve"> before liver function is </w:t>
      </w:r>
      <w:proofErr w:type="gramStart"/>
      <w:r w:rsidRPr="009F13FC">
        <w:rPr>
          <w:rFonts w:ascii="Book Antiqua" w:hAnsi="Book Antiqua"/>
          <w:color w:val="000000" w:themeColor="text1"/>
          <w:sz w:val="24"/>
          <w:szCs w:val="24"/>
        </w:rPr>
        <w:t>normal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6</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According to the available evidence, it is essential and safe to keep the average blood glucose &lt; 10 mmol/L and HbA1c &lt; 8% in the first week after liver transplantation while using insulin as a prophylaxis strategy</w:t>
      </w:r>
      <w:r w:rsidRPr="009F13FC">
        <w:rPr>
          <w:rFonts w:ascii="Book Antiqua" w:hAnsi="Book Antiqua"/>
          <w:color w:val="000000" w:themeColor="text1"/>
          <w:sz w:val="24"/>
          <w:szCs w:val="24"/>
          <w:vertAlign w:val="superscript"/>
        </w:rPr>
        <w:t>[3</w:t>
      </w:r>
      <w:r w:rsidR="003C590A"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 xml:space="preserve">. Moreover, insulin is the best choice </w:t>
      </w:r>
      <w:r w:rsidR="00E15672" w:rsidRPr="009F13FC">
        <w:rPr>
          <w:rFonts w:ascii="Book Antiqua" w:hAnsi="Book Antiqua"/>
          <w:color w:val="000000" w:themeColor="text1"/>
          <w:sz w:val="24"/>
          <w:szCs w:val="24"/>
        </w:rPr>
        <w:t>when</w:t>
      </w:r>
      <w:r w:rsidRPr="009F13FC">
        <w:rPr>
          <w:rFonts w:ascii="Book Antiqua" w:hAnsi="Book Antiqua"/>
          <w:color w:val="000000" w:themeColor="text1"/>
          <w:sz w:val="24"/>
          <w:szCs w:val="24"/>
        </w:rPr>
        <w:t xml:space="preserve"> using high-dose glucocorticoids. With the extension of post</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transplantation time, the oral hypoglycemic agents can be started when the insulin dose is reduced to less than 24 units daily. Oral hypoglycemic agents need to be selected based on the renal function of the recipients. Biguanide drugs, such as metformin, which are cleared mainly through the kidneys, can only be safely applied in recipients with </w:t>
      </w:r>
      <w:r w:rsidR="00E15672" w:rsidRPr="009F13FC">
        <w:rPr>
          <w:rFonts w:ascii="Book Antiqua" w:hAnsi="Book Antiqua"/>
          <w:color w:val="000000" w:themeColor="text1"/>
          <w:sz w:val="24"/>
          <w:szCs w:val="24"/>
        </w:rPr>
        <w:t>estimated glomerular filtration rate</w:t>
      </w:r>
      <w:r w:rsidRPr="009F13FC">
        <w:rPr>
          <w:rFonts w:ascii="Book Antiqua" w:hAnsi="Book Antiqua"/>
          <w:color w:val="000000" w:themeColor="text1"/>
          <w:sz w:val="24"/>
          <w:szCs w:val="24"/>
        </w:rPr>
        <w:t xml:space="preserve"> above 60 mL/min/1.73</w:t>
      </w:r>
      <w:r w:rsidR="00DA07A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while sulfonylureas, such as glipizide and glimepiride, can be used in both and are more preferred for recipients with impaired renal function</w:t>
      </w:r>
      <w:r w:rsidRPr="009F13FC">
        <w:rPr>
          <w:rFonts w:ascii="Book Antiqua" w:hAnsi="Book Antiqua"/>
          <w:color w:val="000000" w:themeColor="text1"/>
          <w:sz w:val="24"/>
          <w:szCs w:val="24"/>
          <w:vertAlign w:val="superscript"/>
        </w:rPr>
        <w:t>[</w:t>
      </w:r>
      <w:r w:rsidR="003C590A" w:rsidRPr="009F13FC">
        <w:rPr>
          <w:rFonts w:ascii="Book Antiqua" w:hAnsi="Book Antiqua"/>
          <w:color w:val="000000" w:themeColor="text1"/>
          <w:sz w:val="24"/>
          <w:szCs w:val="24"/>
          <w:vertAlign w:val="superscript"/>
        </w:rPr>
        <w:t>38</w:t>
      </w:r>
      <w:r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rPr>
        <w:t>.</w:t>
      </w:r>
    </w:p>
    <w:p w14:paraId="31CDAB9E" w14:textId="7C71D5C8" w:rsidR="00A74436"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bookmarkStart w:id="7" w:name="_4d34og8" w:colFirst="0" w:colLast="0"/>
      <w:bookmarkEnd w:id="7"/>
      <w:r w:rsidRPr="009F13FC">
        <w:rPr>
          <w:rFonts w:ascii="Book Antiqua" w:hAnsi="Book Antiqua"/>
          <w:bCs/>
          <w:color w:val="000000" w:themeColor="text1"/>
          <w:sz w:val="24"/>
          <w:szCs w:val="24"/>
        </w:rPr>
        <w:t>Recommendation</w:t>
      </w:r>
      <w:r w:rsidR="00E652B4" w:rsidRPr="009F13FC">
        <w:rPr>
          <w:rFonts w:ascii="Book Antiqua" w:hAnsi="Book Antiqua"/>
          <w:bCs/>
          <w:color w:val="000000" w:themeColor="text1"/>
          <w:sz w:val="24"/>
          <w:szCs w:val="24"/>
        </w:rPr>
        <w:t xml:space="preserve"> 2: </w:t>
      </w:r>
      <w:r w:rsidRPr="009F13FC">
        <w:rPr>
          <w:rFonts w:ascii="Book Antiqua" w:hAnsi="Book Antiqua"/>
          <w:bCs/>
          <w:color w:val="000000" w:themeColor="text1"/>
          <w:sz w:val="24"/>
          <w:szCs w:val="24"/>
        </w:rPr>
        <w:t xml:space="preserve">The blood glucose target after liver transplantation is: </w:t>
      </w:r>
      <w:r w:rsidRPr="009F13FC">
        <w:rPr>
          <w:rFonts w:ascii="Book Antiqua" w:hAnsi="Book Antiqua"/>
          <w:bCs/>
          <w:color w:val="000000" w:themeColor="text1"/>
          <w:sz w:val="24"/>
          <w:szCs w:val="24"/>
        </w:rPr>
        <w:lastRenderedPageBreak/>
        <w:t>fasting blood glucose &lt; 6.7 mmol/L (120 mg/dL), peak blood glucose &lt; 8.88 mmol/L (160 mg/dL)</w:t>
      </w:r>
      <w:r w:rsidR="00E15672"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or HbA1c &lt; 7.0%.</w:t>
      </w:r>
    </w:p>
    <w:p w14:paraId="1D2C2E75" w14:textId="6582D1CF" w:rsidR="00DA07AD"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 xml:space="preserve">3: </w:t>
      </w:r>
      <w:r w:rsidRPr="009F13FC">
        <w:rPr>
          <w:rFonts w:ascii="Book Antiqua" w:hAnsi="Book Antiqua"/>
          <w:bCs/>
          <w:color w:val="000000" w:themeColor="text1"/>
          <w:sz w:val="24"/>
          <w:szCs w:val="24"/>
        </w:rPr>
        <w:t>Minimization of the dose of glucocorticoids and MPA combined with CNI reduction can reduce the occurrence of PTDM. For liver transplant recipients with poorly controlled blood glucose expressed as continuously elevated blood glucose (&gt; 11 mmol/L) and HbA1c levels (&gt; 9%), converting TAC to CsA is recommended.</w:t>
      </w:r>
    </w:p>
    <w:p w14:paraId="1A3521FA" w14:textId="66B7E9B5" w:rsidR="00DA07AD" w:rsidRPr="009F13FC" w:rsidRDefault="00A74436">
      <w:pPr>
        <w:pBdr>
          <w:top w:val="nil"/>
          <w:left w:val="nil"/>
          <w:bottom w:val="nil"/>
          <w:right w:val="nil"/>
          <w:between w:val="nil"/>
        </w:pBd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E652B4" w:rsidRPr="009F13FC">
        <w:rPr>
          <w:rFonts w:ascii="Book Antiqua" w:hAnsi="Book Antiqua"/>
          <w:bCs/>
          <w:color w:val="000000" w:themeColor="text1"/>
          <w:sz w:val="24"/>
          <w:szCs w:val="24"/>
        </w:rPr>
        <w:t>4:</w:t>
      </w:r>
      <w:r w:rsidRPr="009F13FC">
        <w:rPr>
          <w:rFonts w:ascii="Book Antiqua" w:hAnsi="Book Antiqua"/>
          <w:bCs/>
          <w:color w:val="000000" w:themeColor="text1"/>
          <w:sz w:val="24"/>
          <w:szCs w:val="24"/>
        </w:rPr>
        <w:t xml:space="preserve"> </w:t>
      </w:r>
      <w:r w:rsidR="00E15672" w:rsidRPr="009F13FC">
        <w:rPr>
          <w:rFonts w:ascii="Book Antiqua" w:hAnsi="Book Antiqua"/>
          <w:bCs/>
          <w:color w:val="000000" w:themeColor="text1"/>
          <w:sz w:val="24"/>
          <w:szCs w:val="24"/>
        </w:rPr>
        <w:t>I</w:t>
      </w:r>
      <w:r w:rsidRPr="009F13FC">
        <w:rPr>
          <w:rFonts w:ascii="Book Antiqua" w:hAnsi="Book Antiqua"/>
          <w:bCs/>
          <w:color w:val="000000" w:themeColor="text1"/>
          <w:sz w:val="24"/>
          <w:szCs w:val="24"/>
        </w:rPr>
        <w:t>nsulin is recommended when glucocorticoids are used intravenously</w:t>
      </w:r>
      <w:r w:rsidR="00E652B4"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and the liver function is not fully recovered. When the dose of insulin is reduced to less than 24 units per day, oral hypoglycemic drugs are recommended if the liver function is normal. Metformin or sulfonylureas can be used in recipients with normal renal function, while sulfonylureas, such as glipizide and glimepiride, are preferred in recipients with impaired renal function.</w:t>
      </w:r>
    </w:p>
    <w:p w14:paraId="27612C41" w14:textId="77777777" w:rsidR="00DA07AD" w:rsidRPr="009F13FC" w:rsidRDefault="00DA07AD">
      <w:pPr>
        <w:pBdr>
          <w:top w:val="nil"/>
          <w:left w:val="nil"/>
          <w:bottom w:val="nil"/>
          <w:right w:val="nil"/>
          <w:between w:val="nil"/>
        </w:pBdr>
        <w:adjustRightInd w:val="0"/>
        <w:snapToGrid w:val="0"/>
        <w:spacing w:line="360" w:lineRule="auto"/>
        <w:jc w:val="both"/>
        <w:rPr>
          <w:rFonts w:ascii="Book Antiqua" w:hAnsi="Book Antiqua"/>
          <w:bCs/>
          <w:color w:val="000000" w:themeColor="text1"/>
          <w:sz w:val="24"/>
          <w:szCs w:val="24"/>
        </w:rPr>
      </w:pPr>
    </w:p>
    <w:p w14:paraId="6C7CD72D" w14:textId="547854FC" w:rsidR="00A74436" w:rsidRPr="009F13FC" w:rsidRDefault="00A74436">
      <w:pPr>
        <w:pBdr>
          <w:top w:val="nil"/>
          <w:left w:val="nil"/>
          <w:bottom w:val="nil"/>
          <w:right w:val="nil"/>
          <w:between w:val="nil"/>
        </w:pBd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hypertension</w:t>
      </w:r>
    </w:p>
    <w:p w14:paraId="0C57DC40" w14:textId="2D761818"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Hypertension is defined </w:t>
      </w:r>
      <w:r w:rsidR="00A628F6" w:rsidRPr="009F13FC">
        <w:rPr>
          <w:rFonts w:ascii="Book Antiqua" w:hAnsi="Book Antiqua"/>
          <w:color w:val="000000" w:themeColor="text1"/>
          <w:sz w:val="24"/>
          <w:szCs w:val="24"/>
        </w:rPr>
        <w:t>as</w:t>
      </w:r>
      <w:r w:rsidR="00A628F6" w:rsidRPr="009F13FC">
        <w:rPr>
          <w:rFonts w:ascii="Book Antiqua" w:hAnsi="Book Antiqua"/>
          <w:color w:val="000000" w:themeColor="text1"/>
          <w:sz w:val="24"/>
          <w:szCs w:val="24"/>
          <w:lang w:eastAsia="zh-CN"/>
        </w:rPr>
        <w:t>:</w:t>
      </w:r>
      <w:r w:rsidRPr="009F13FC">
        <w:rPr>
          <w:rFonts w:ascii="Book Antiqua" w:hAnsi="Book Antiqua" w:hint="eastAsia"/>
          <w:color w:val="000000" w:themeColor="text1"/>
          <w:sz w:val="24"/>
          <w:szCs w:val="24"/>
        </w:rPr>
        <w:t xml:space="preserve"> in the absence of antihypertensive medications, systolic blood pressure </w:t>
      </w:r>
      <w:r w:rsidRPr="009F13FC">
        <w:rPr>
          <w:rFonts w:ascii="Book Antiqua" w:hAnsi="Book Antiqua" w:hint="eastAsia"/>
          <w:color w:val="000000" w:themeColor="text1"/>
          <w:sz w:val="24"/>
          <w:szCs w:val="24"/>
        </w:rPr>
        <w:t>≥</w:t>
      </w:r>
      <w:r w:rsidRPr="009F13FC">
        <w:rPr>
          <w:rFonts w:ascii="Book Antiqua" w:hAnsi="Book Antiqua" w:hint="eastAsia"/>
          <w:color w:val="000000" w:themeColor="text1"/>
          <w:sz w:val="24"/>
          <w:szCs w:val="24"/>
        </w:rPr>
        <w:t xml:space="preserve"> 140 mmHg and/or diastolic blood pressure </w:t>
      </w:r>
      <w:r w:rsidRPr="009F13FC">
        <w:rPr>
          <w:rFonts w:ascii="Book Antiqua" w:hAnsi="Book Antiqua" w:hint="eastAsia"/>
          <w:color w:val="000000" w:themeColor="text1"/>
          <w:sz w:val="24"/>
          <w:szCs w:val="24"/>
        </w:rPr>
        <w:t>≥</w:t>
      </w:r>
      <w:r w:rsidRPr="009F13FC">
        <w:rPr>
          <w:rFonts w:ascii="Book Antiqua" w:hAnsi="Book Antiqua" w:hint="eastAsia"/>
          <w:color w:val="000000" w:themeColor="text1"/>
          <w:sz w:val="24"/>
          <w:szCs w:val="24"/>
        </w:rPr>
        <w:t xml:space="preserve"> 90 mmHg measured three times on different days. Hypertension occurs in more than 50% of </w:t>
      </w:r>
      <w:r w:rsidRPr="009F13FC">
        <w:rPr>
          <w:rFonts w:ascii="Book Antiqua" w:hAnsi="Book Antiqua"/>
          <w:color w:val="000000" w:themeColor="text1"/>
          <w:sz w:val="24"/>
          <w:szCs w:val="24"/>
        </w:rPr>
        <w:t xml:space="preserve">liver transplant recipients, and the incidence increases over years with the prolongation of the </w:t>
      </w:r>
      <w:proofErr w:type="gramStart"/>
      <w:r w:rsidRPr="009F13FC">
        <w:rPr>
          <w:rFonts w:ascii="Book Antiqua" w:hAnsi="Book Antiqua"/>
          <w:color w:val="000000" w:themeColor="text1"/>
          <w:sz w:val="24"/>
          <w:szCs w:val="24"/>
        </w:rPr>
        <w:t>survival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w:t>
      </w:r>
      <w:r w:rsidRPr="009F13FC">
        <w:rPr>
          <w:rFonts w:ascii="Book Antiqua" w:hAnsi="Book Antiqua"/>
          <w:color w:val="000000" w:themeColor="text1"/>
          <w:sz w:val="24"/>
          <w:szCs w:val="24"/>
        </w:rPr>
        <w:t>. About 47% of the recipients develop hypertension at 1 to 3 mo after transplantation</w:t>
      </w:r>
      <w:r w:rsidRPr="009F13FC">
        <w:rPr>
          <w:rFonts w:ascii="Book Antiqua" w:hAnsi="Book Antiqua"/>
          <w:color w:val="000000" w:themeColor="text1"/>
          <w:sz w:val="24"/>
          <w:szCs w:val="24"/>
          <w:vertAlign w:val="superscript"/>
        </w:rPr>
        <w:t>[39]</w:t>
      </w:r>
      <w:r w:rsidRPr="009F13FC">
        <w:rPr>
          <w:rFonts w:ascii="Book Antiqua" w:hAnsi="Book Antiqua"/>
          <w:color w:val="000000" w:themeColor="text1"/>
          <w:sz w:val="24"/>
          <w:szCs w:val="24"/>
        </w:rPr>
        <w:t>. Hypertension is a major risk factor for renal insufficiency</w:t>
      </w:r>
      <w:r w:rsidRPr="009F13FC">
        <w:rPr>
          <w:rFonts w:ascii="Book Antiqua" w:hAnsi="Book Antiqua"/>
          <w:color w:val="000000" w:themeColor="text1"/>
          <w:sz w:val="24"/>
          <w:szCs w:val="24"/>
          <w:vertAlign w:val="superscript"/>
        </w:rPr>
        <w:t>[40]</w:t>
      </w:r>
      <w:r w:rsidRPr="009F13FC">
        <w:rPr>
          <w:rFonts w:ascii="Book Antiqua" w:hAnsi="Book Antiqua"/>
          <w:color w:val="000000" w:themeColor="text1"/>
          <w:sz w:val="24"/>
          <w:szCs w:val="24"/>
        </w:rPr>
        <w:t xml:space="preserve"> and cardiovascular disease</w:t>
      </w:r>
      <w:r w:rsidRPr="009F13FC">
        <w:rPr>
          <w:rFonts w:ascii="Book Antiqua" w:hAnsi="Book Antiqua"/>
          <w:color w:val="000000" w:themeColor="text1"/>
          <w:sz w:val="24"/>
          <w:szCs w:val="24"/>
          <w:vertAlign w:val="superscript"/>
        </w:rPr>
        <w:t>[41]</w:t>
      </w:r>
      <w:r w:rsidRPr="009F13FC">
        <w:rPr>
          <w:rFonts w:ascii="Book Antiqua" w:hAnsi="Book Antiqua"/>
          <w:color w:val="000000" w:themeColor="text1"/>
          <w:sz w:val="24"/>
          <w:szCs w:val="24"/>
        </w:rPr>
        <w:t xml:space="preserve"> after liver transplantation. The 2017 </w:t>
      </w:r>
      <w:r w:rsidR="0039437D" w:rsidRPr="009F13FC">
        <w:rPr>
          <w:rFonts w:ascii="Book Antiqua" w:hAnsi="Book Antiqua"/>
          <w:color w:val="000000" w:themeColor="text1"/>
          <w:sz w:val="24"/>
          <w:szCs w:val="24"/>
        </w:rPr>
        <w:t>Consensus on Managing Modifiable Risk in Transplantation</w:t>
      </w:r>
      <w:r w:rsidRPr="009F13FC">
        <w:rPr>
          <w:rFonts w:ascii="Book Antiqua" w:hAnsi="Book Antiqua"/>
          <w:color w:val="000000" w:themeColor="text1"/>
          <w:sz w:val="24"/>
          <w:szCs w:val="24"/>
        </w:rPr>
        <w:t xml:space="preserve"> group recommends that the blood pressure target should be under 130/80 mmHg</w:t>
      </w:r>
      <w:r w:rsidRPr="009F13FC">
        <w:rPr>
          <w:rFonts w:ascii="Book Antiqua" w:hAnsi="Book Antiqua"/>
          <w:color w:val="000000" w:themeColor="text1"/>
          <w:sz w:val="24"/>
          <w:szCs w:val="24"/>
          <w:vertAlign w:val="superscript"/>
        </w:rPr>
        <w:t>[27]</w:t>
      </w:r>
      <w:r w:rsidR="00E15672"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while for recipients with renal injury</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it should be below 125/75 mmHg</w:t>
      </w:r>
      <w:r w:rsidRPr="009F13FC">
        <w:rPr>
          <w:rFonts w:ascii="Book Antiqua" w:hAnsi="Book Antiqua"/>
          <w:color w:val="000000" w:themeColor="text1"/>
          <w:sz w:val="24"/>
          <w:szCs w:val="24"/>
          <w:vertAlign w:val="superscript"/>
        </w:rPr>
        <w:t>[42]</w:t>
      </w:r>
      <w:r w:rsidRPr="009F13FC">
        <w:rPr>
          <w:rFonts w:ascii="Book Antiqua" w:hAnsi="Book Antiqua"/>
          <w:color w:val="000000" w:themeColor="text1"/>
          <w:sz w:val="24"/>
          <w:szCs w:val="24"/>
        </w:rPr>
        <w:t>.</w:t>
      </w:r>
    </w:p>
    <w:p w14:paraId="21A94351" w14:textId="522C636F"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Hypertension after liver transplantation has complex causes and is associated with multiple factors. The risk of post-operative hypertension increases significantly in obese or diabetic recipients</w:t>
      </w:r>
      <w:r w:rsidRPr="009F13FC">
        <w:rPr>
          <w:rFonts w:ascii="Book Antiqua" w:hAnsi="Book Antiqua"/>
          <w:color w:val="000000" w:themeColor="text1"/>
          <w:sz w:val="24"/>
          <w:szCs w:val="24"/>
          <w:vertAlign w:val="superscript"/>
        </w:rPr>
        <w:t>[43</w:t>
      </w:r>
      <w:r w:rsidR="00DA07AD" w:rsidRPr="009F13FC">
        <w:rPr>
          <w:rFonts w:ascii="Book Antiqua" w:hAnsi="Book Antiqua"/>
          <w:color w:val="000000" w:themeColor="text1"/>
          <w:sz w:val="24"/>
          <w:szCs w:val="24"/>
          <w:vertAlign w:val="superscript"/>
          <w:lang w:eastAsia="zh-CN"/>
        </w:rPr>
        <w:t>,</w:t>
      </w:r>
      <w:r w:rsidRPr="009F13FC">
        <w:rPr>
          <w:rFonts w:ascii="Book Antiqua" w:hAnsi="Book Antiqua"/>
          <w:color w:val="000000" w:themeColor="text1"/>
          <w:sz w:val="24"/>
          <w:szCs w:val="24"/>
          <w:vertAlign w:val="superscript"/>
        </w:rPr>
        <w:t>44]</w:t>
      </w:r>
      <w:r w:rsidRPr="009F13FC">
        <w:rPr>
          <w:rFonts w:ascii="Book Antiqua" w:hAnsi="Book Antiqua"/>
          <w:color w:val="000000" w:themeColor="text1"/>
          <w:sz w:val="24"/>
          <w:szCs w:val="24"/>
        </w:rPr>
        <w:t>.</w:t>
      </w:r>
    </w:p>
    <w:p w14:paraId="70421AE8" w14:textId="211247DC"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Immunosuppressive agents such as CNIs and glucocorticoids are the main risk factors for new-onset hypertension after liver transplantation. The main mechanism of CNI-induced hypertension is to induce increased systemic circulatory resistance </w:t>
      </w:r>
      <w:r w:rsidRPr="009F13FC">
        <w:rPr>
          <w:rFonts w:ascii="Book Antiqua" w:hAnsi="Book Antiqua"/>
          <w:color w:val="000000" w:themeColor="text1"/>
          <w:sz w:val="24"/>
          <w:szCs w:val="24"/>
        </w:rPr>
        <w:lastRenderedPageBreak/>
        <w:t>and further influence renal blood flow while glucocorticoids increase vascular resistance and myocardial contractility mainly through their mineralocorticoid effect</w:t>
      </w:r>
      <w:r w:rsidRPr="009F13FC">
        <w:rPr>
          <w:rFonts w:ascii="Book Antiqua" w:hAnsi="Book Antiqua"/>
          <w:color w:val="000000" w:themeColor="text1"/>
          <w:sz w:val="24"/>
          <w:szCs w:val="24"/>
          <w:vertAlign w:val="superscript"/>
        </w:rPr>
        <w:t>[14]</w:t>
      </w:r>
      <w:r w:rsidRPr="009F13FC">
        <w:rPr>
          <w:rFonts w:ascii="Book Antiqua" w:hAnsi="Book Antiqua"/>
          <w:color w:val="000000" w:themeColor="text1"/>
          <w:sz w:val="24"/>
          <w:szCs w:val="24"/>
        </w:rPr>
        <w:t xml:space="preserve">; see Table 3 for the specific mechanisms. Other risk factors include </w:t>
      </w:r>
      <w:r w:rsidR="000C466B" w:rsidRPr="000C466B">
        <w:rPr>
          <w:rFonts w:ascii="Book Antiqua" w:hAnsi="Book Antiqua" w:hint="eastAsia"/>
          <w:color w:val="000000" w:themeColor="text1"/>
          <w:sz w:val="24"/>
          <w:szCs w:val="24"/>
        </w:rPr>
        <w:t>elderly</w:t>
      </w:r>
      <w:r w:rsidR="00A56F7D">
        <w:rPr>
          <w:rFonts w:ascii="Book Antiqua" w:hAnsi="Book Antiqua"/>
          <w:color w:val="000000" w:themeColor="text1"/>
          <w:sz w:val="24"/>
          <w:szCs w:val="24"/>
        </w:rPr>
        <w:t xml:space="preserve"> age</w:t>
      </w:r>
      <w:r w:rsidRPr="009F13FC">
        <w:rPr>
          <w:rFonts w:ascii="Book Antiqua" w:hAnsi="Book Antiqua"/>
          <w:color w:val="000000" w:themeColor="text1"/>
          <w:sz w:val="24"/>
          <w:szCs w:val="24"/>
        </w:rPr>
        <w:t>, genetic background,</w:t>
      </w:r>
      <w:r w:rsidRPr="009F13FC">
        <w:rPr>
          <w:rFonts w:ascii="Book Antiqua" w:hAnsi="Book Antiqua"/>
          <w:i/>
          <w:iCs/>
          <w:color w:val="000000" w:themeColor="text1"/>
          <w:sz w:val="24"/>
          <w:szCs w:val="24"/>
        </w:rPr>
        <w:t xml:space="preserve"> </w:t>
      </w:r>
      <w:proofErr w:type="spellStart"/>
      <w:proofErr w:type="gram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45]</w:t>
      </w:r>
      <w:r w:rsidRPr="009F13FC">
        <w:rPr>
          <w:rFonts w:ascii="Book Antiqua" w:hAnsi="Book Antiqua"/>
          <w:color w:val="000000" w:themeColor="text1"/>
          <w:sz w:val="24"/>
          <w:szCs w:val="24"/>
        </w:rPr>
        <w:t xml:space="preserve">. </w:t>
      </w:r>
    </w:p>
    <w:p w14:paraId="330F1FC8" w14:textId="66D95263"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To control post-liver transplant hypertension, firstly, physicians should comprehensively assess the risk factors associated with the recipients. The existing risk factors should be avoided</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active intervention measures such as changing the unhealthy lifestyle, limiting salt in diet, controlling body weight, taking appropriate sports activities,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xml:space="preserve"> should be </w:t>
      </w:r>
      <w:proofErr w:type="gramStart"/>
      <w:r w:rsidRPr="009F13FC">
        <w:rPr>
          <w:rFonts w:ascii="Book Antiqua" w:hAnsi="Book Antiqua"/>
          <w:color w:val="000000" w:themeColor="text1"/>
          <w:sz w:val="24"/>
          <w:szCs w:val="24"/>
        </w:rPr>
        <w:t>taken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43]</w:t>
      </w:r>
      <w:r w:rsidRPr="009F13FC">
        <w:rPr>
          <w:rFonts w:ascii="Book Antiqua" w:hAnsi="Book Antiqua"/>
          <w:color w:val="000000" w:themeColor="text1"/>
          <w:sz w:val="24"/>
          <w:szCs w:val="24"/>
        </w:rPr>
        <w:t>. Personalized immunosuppressive regimens should be formulated based on the constitutions of the recipients. The risk of hypertension caused by immunosuppressive agents can be reduced to a certain extent by adjusting the immunosuppressive regimen, for example, minimizing the immunosuppressive agents (CNIs and glucocorticoids) that may cause hypertension. The risk of hypertension caused by CsA is higher than that caused by TAC</w:t>
      </w:r>
      <w:r w:rsidRPr="009F13FC">
        <w:rPr>
          <w:rFonts w:ascii="Book Antiqua" w:hAnsi="Book Antiqua"/>
          <w:color w:val="000000" w:themeColor="text1"/>
          <w:sz w:val="24"/>
          <w:szCs w:val="24"/>
          <w:vertAlign w:val="superscript"/>
        </w:rPr>
        <w:t>[46]</w:t>
      </w:r>
      <w:r w:rsidRPr="009F13FC">
        <w:rPr>
          <w:rFonts w:ascii="Book Antiqua" w:hAnsi="Book Antiqua"/>
          <w:color w:val="000000" w:themeColor="text1"/>
          <w:sz w:val="24"/>
          <w:szCs w:val="24"/>
        </w:rPr>
        <w:t xml:space="preserve">. However, the regimen of MPA represented by MMF combined with CNI reduction regimen can significantly reduce the risk of new-onset hypertension after liver transplantation, and the glucocorticoid-free or early withdrawal regimen can also significantly reduce the incidence of new-onset hypertension after liver </w:t>
      </w:r>
      <w:proofErr w:type="gramStart"/>
      <w:r w:rsidRPr="009F13FC">
        <w:rPr>
          <w:rFonts w:ascii="Book Antiqua" w:hAnsi="Book Antiqua"/>
          <w:color w:val="000000" w:themeColor="text1"/>
          <w:sz w:val="24"/>
          <w:szCs w:val="24"/>
        </w:rPr>
        <w:t>transplantation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47-50]</w:t>
      </w:r>
      <w:r w:rsidRPr="009F13FC">
        <w:rPr>
          <w:rFonts w:ascii="Book Antiqua" w:hAnsi="Book Antiqua"/>
          <w:color w:val="000000" w:themeColor="text1"/>
          <w:sz w:val="24"/>
          <w:szCs w:val="24"/>
        </w:rPr>
        <w:t>.</w:t>
      </w:r>
    </w:p>
    <w:p w14:paraId="1D6DFBEB" w14:textId="64112785"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If the target blood pressure cannot be achieved by changing the lifestyle and adjusting the immunosuppressive regimen, antihypertensive drugs should be used</w:t>
      </w:r>
      <w:r w:rsidRPr="009F13FC">
        <w:rPr>
          <w:rFonts w:ascii="Book Antiqua" w:hAnsi="Book Antiqua"/>
          <w:color w:val="000000" w:themeColor="text1"/>
          <w:sz w:val="24"/>
          <w:szCs w:val="24"/>
          <w:vertAlign w:val="superscript"/>
        </w:rPr>
        <w:t>[42]</w:t>
      </w:r>
      <w:r w:rsidRPr="009F13FC">
        <w:rPr>
          <w:rFonts w:ascii="Book Antiqua" w:hAnsi="Book Antiqua"/>
          <w:color w:val="000000" w:themeColor="text1"/>
          <w:sz w:val="24"/>
          <w:szCs w:val="24"/>
        </w:rPr>
        <w:t>. Common antihypertensive drugs include calcium channel blockers (CCBs), angiotensin-converting enzyme inhibitors (ACEIs), angiotensin II receptor blockers (ARBs), β-blockers</w:t>
      </w:r>
      <w:r w:rsidR="00E15672"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diuretics. Because CCBs can directly counteract the vasoconstriction induced by CNIs, they are often used as first-line agents in recipients without proteinuria. Dihydropyridine CCBs (such as </w:t>
      </w:r>
      <w:proofErr w:type="spellStart"/>
      <w:r w:rsidRPr="009F13FC">
        <w:rPr>
          <w:rFonts w:ascii="Book Antiqua" w:hAnsi="Book Antiqua"/>
          <w:color w:val="000000" w:themeColor="text1"/>
          <w:sz w:val="24"/>
          <w:szCs w:val="24"/>
        </w:rPr>
        <w:t>nifedipine</w:t>
      </w:r>
      <w:proofErr w:type="spellEnd"/>
      <w:r w:rsidRPr="009F13FC">
        <w:rPr>
          <w:rFonts w:ascii="Book Antiqua" w:hAnsi="Book Antiqua"/>
          <w:color w:val="000000" w:themeColor="text1"/>
          <w:sz w:val="24"/>
          <w:szCs w:val="24"/>
        </w:rPr>
        <w:t xml:space="preserve">, amlodipine, </w:t>
      </w:r>
      <w:proofErr w:type="spellStart"/>
      <w:r w:rsidRPr="009F13FC">
        <w:rPr>
          <w:rFonts w:ascii="Book Antiqua" w:hAnsi="Book Antiqua"/>
          <w:color w:val="000000" w:themeColor="text1"/>
          <w:sz w:val="24"/>
          <w:szCs w:val="24"/>
        </w:rPr>
        <w:t>nicardipine</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xml:space="preserve">) are preferred due to </w:t>
      </w:r>
      <w:r w:rsidR="00E15672" w:rsidRPr="009F13FC">
        <w:rPr>
          <w:rFonts w:ascii="Book Antiqua" w:hAnsi="Book Antiqua"/>
          <w:color w:val="000000" w:themeColor="text1"/>
          <w:sz w:val="24"/>
          <w:szCs w:val="24"/>
        </w:rPr>
        <w:t xml:space="preserve">their </w:t>
      </w:r>
      <w:r w:rsidRPr="009F13FC">
        <w:rPr>
          <w:rFonts w:ascii="Book Antiqua" w:hAnsi="Book Antiqua"/>
          <w:color w:val="000000" w:themeColor="text1"/>
          <w:sz w:val="24"/>
          <w:szCs w:val="24"/>
        </w:rPr>
        <w:t xml:space="preserve">relatively decreased medication interaction as compared with the nondihydropyridine </w:t>
      </w:r>
      <w:proofErr w:type="gramStart"/>
      <w:r w:rsidRPr="009F13FC">
        <w:rPr>
          <w:rFonts w:ascii="Book Antiqua" w:hAnsi="Book Antiqua"/>
          <w:color w:val="000000" w:themeColor="text1"/>
          <w:sz w:val="24"/>
          <w:szCs w:val="24"/>
        </w:rPr>
        <w:t>CCBs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51]</w:t>
      </w:r>
      <w:r w:rsidRPr="009F13FC">
        <w:rPr>
          <w:rFonts w:ascii="Book Antiqua" w:hAnsi="Book Antiqua"/>
          <w:color w:val="000000" w:themeColor="text1"/>
          <w:sz w:val="24"/>
          <w:szCs w:val="24"/>
        </w:rPr>
        <w:t xml:space="preserve">. However, nondihydropyridine CCBs (verapamil and diltiazem) should be used cautiously because they can significantly increase the bioavailability of CNIs. For hypertensive recipients with proteinuria, ACEIs and ARBs can be used as first-line drugs as they </w:t>
      </w:r>
      <w:r w:rsidRPr="009F13FC">
        <w:rPr>
          <w:rFonts w:ascii="Book Antiqua" w:hAnsi="Book Antiqua"/>
          <w:color w:val="000000" w:themeColor="text1"/>
          <w:sz w:val="24"/>
          <w:szCs w:val="24"/>
        </w:rPr>
        <w:lastRenderedPageBreak/>
        <w:t xml:space="preserve">can reduce </w:t>
      </w:r>
      <w:proofErr w:type="gramStart"/>
      <w:r w:rsidRPr="009F13FC">
        <w:rPr>
          <w:rFonts w:ascii="Book Antiqua" w:hAnsi="Book Antiqua"/>
          <w:color w:val="000000" w:themeColor="text1"/>
          <w:sz w:val="24"/>
          <w:szCs w:val="24"/>
        </w:rPr>
        <w:t>proteinuria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47]</w:t>
      </w:r>
      <w:r w:rsidRPr="009F13FC">
        <w:rPr>
          <w:rFonts w:ascii="Book Antiqua" w:hAnsi="Book Antiqua"/>
          <w:color w:val="000000" w:themeColor="text1"/>
          <w:sz w:val="24"/>
          <w:szCs w:val="24"/>
        </w:rPr>
        <w:t xml:space="preserve">, but </w:t>
      </w:r>
      <w:r w:rsidR="00895313" w:rsidRPr="009F13FC">
        <w:rPr>
          <w:rFonts w:ascii="Book Antiqua" w:hAnsi="Book Antiqua"/>
          <w:color w:val="000000" w:themeColor="text1"/>
          <w:sz w:val="24"/>
          <w:szCs w:val="24"/>
        </w:rPr>
        <w:t xml:space="preserve">they </w:t>
      </w:r>
      <w:r w:rsidRPr="009F13FC">
        <w:rPr>
          <w:rFonts w:ascii="Book Antiqua" w:hAnsi="Book Antiqua"/>
          <w:color w:val="000000" w:themeColor="text1"/>
          <w:sz w:val="24"/>
          <w:szCs w:val="24"/>
        </w:rPr>
        <w:t>should be used cautiously when renal function is significantly impaired. The treatment of hypertension with diuretics is mainly suitable for recipients with excessive circulatory blood volume during the early post</w:t>
      </w:r>
      <w:r w:rsidR="00011F4E"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w:t>
      </w:r>
      <w:r w:rsidRPr="009F13FC">
        <w:rPr>
          <w:rFonts w:ascii="Book Antiqua" w:hAnsi="Book Antiqua"/>
          <w:color w:val="000000" w:themeColor="text1"/>
          <w:sz w:val="24"/>
          <w:szCs w:val="24"/>
          <w:vertAlign w:val="superscript"/>
        </w:rPr>
        <w:t>[52]</w:t>
      </w:r>
      <w:r w:rsidRPr="009F13FC">
        <w:rPr>
          <w:rFonts w:ascii="Book Antiqua" w:hAnsi="Book Antiqua"/>
          <w:color w:val="000000" w:themeColor="text1"/>
          <w:sz w:val="24"/>
          <w:szCs w:val="24"/>
        </w:rPr>
        <w:t>. If the blood pressure cannot be controlled at an appropriate level through single-agent therapy, CCBs and ACEIs or ARBs can be used conjunctively.</w:t>
      </w:r>
    </w:p>
    <w:p w14:paraId="08EB3E96" w14:textId="28B18E69"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5: </w:t>
      </w:r>
      <w:r w:rsidRPr="009F13FC">
        <w:rPr>
          <w:rFonts w:ascii="Book Antiqua" w:hAnsi="Book Antiqua"/>
          <w:bCs/>
          <w:color w:val="000000" w:themeColor="text1"/>
          <w:sz w:val="24"/>
          <w:szCs w:val="24"/>
        </w:rPr>
        <w:t>The blood pressure target after liver transplantation</w:t>
      </w:r>
      <w:r w:rsidR="00895313" w:rsidRPr="009F13FC">
        <w:rPr>
          <w:rFonts w:ascii="Book Antiqua" w:hAnsi="Book Antiqua"/>
          <w:bCs/>
          <w:color w:val="000000" w:themeColor="text1"/>
          <w:sz w:val="24"/>
          <w:szCs w:val="24"/>
        </w:rPr>
        <w:t xml:space="preserve"> is</w:t>
      </w:r>
      <w:r w:rsidRPr="009F13FC">
        <w:rPr>
          <w:rFonts w:ascii="Book Antiqua" w:hAnsi="Book Antiqua"/>
          <w:bCs/>
          <w:color w:val="000000" w:themeColor="text1"/>
          <w:sz w:val="24"/>
          <w:szCs w:val="24"/>
        </w:rPr>
        <w:t>: blood pressure &lt; 130/80 mmHg and target blood pressure &lt; 125/75 mmHg for recipients with renal injury.</w:t>
      </w:r>
    </w:p>
    <w:p w14:paraId="43CCC520" w14:textId="3EB11FD9"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6: </w:t>
      </w:r>
      <w:r w:rsidRPr="009F13FC">
        <w:rPr>
          <w:rFonts w:ascii="Book Antiqua" w:hAnsi="Book Antiqua"/>
          <w:bCs/>
          <w:color w:val="000000" w:themeColor="text1"/>
          <w:sz w:val="24"/>
          <w:szCs w:val="24"/>
        </w:rPr>
        <w:t xml:space="preserve">The regimen with minimization of glucocorticoids and the combination of MPA </w:t>
      </w:r>
      <w:r w:rsidR="00895313" w:rsidRPr="009F13FC">
        <w:rPr>
          <w:rFonts w:ascii="Book Antiqua" w:hAnsi="Book Antiqua"/>
          <w:bCs/>
          <w:color w:val="000000" w:themeColor="text1"/>
          <w:sz w:val="24"/>
          <w:szCs w:val="24"/>
        </w:rPr>
        <w:t>and</w:t>
      </w:r>
      <w:r w:rsidRPr="009F13FC">
        <w:rPr>
          <w:rFonts w:ascii="Book Antiqua" w:hAnsi="Book Antiqua"/>
          <w:bCs/>
          <w:color w:val="000000" w:themeColor="text1"/>
          <w:sz w:val="24"/>
          <w:szCs w:val="24"/>
        </w:rPr>
        <w:t xml:space="preserve"> CNI reduction can reduce post-liver transplant hypertension.</w:t>
      </w:r>
    </w:p>
    <w:p w14:paraId="6B648AA3" w14:textId="2420964F"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7: </w:t>
      </w:r>
      <w:r w:rsidRPr="009F13FC">
        <w:rPr>
          <w:rFonts w:ascii="Book Antiqua" w:hAnsi="Book Antiqua"/>
          <w:bCs/>
          <w:color w:val="000000" w:themeColor="text1"/>
          <w:sz w:val="24"/>
          <w:szCs w:val="24"/>
        </w:rPr>
        <w:t>CCBs, ACEIs</w:t>
      </w:r>
      <w:r w:rsidR="00895313"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ARBs should be used as first-line antihypertensive agents. ACEIs and ARBs are suitable for liver transplant recipients with proteinuria.</w:t>
      </w:r>
    </w:p>
    <w:p w14:paraId="05CD239B"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7570AB8D" w14:textId="2C1F94AC" w:rsidR="00A74436" w:rsidRPr="009F13FC" w:rsidRDefault="00A74436">
      <w:pPr>
        <w:adjustRightInd w:val="0"/>
        <w:snapToGrid w:val="0"/>
        <w:spacing w:line="360" w:lineRule="auto"/>
        <w:jc w:val="both"/>
        <w:rPr>
          <w:rFonts w:ascii="Book Antiqua" w:hAnsi="Book Antiqua"/>
          <w:b/>
          <w:bCs/>
          <w:i/>
          <w:iCs/>
          <w:color w:val="000000" w:themeColor="text1"/>
          <w:sz w:val="24"/>
          <w:szCs w:val="24"/>
        </w:rPr>
      </w:pPr>
      <w:r w:rsidRPr="009F13FC">
        <w:rPr>
          <w:rFonts w:ascii="Book Antiqua" w:hAnsi="Book Antiqua"/>
          <w:b/>
          <w:bCs/>
          <w:i/>
          <w:iCs/>
          <w:color w:val="000000" w:themeColor="text1"/>
          <w:sz w:val="24"/>
          <w:szCs w:val="24"/>
        </w:rPr>
        <w:t>Prophylaxis and treatment of dyslipidemia</w:t>
      </w:r>
    </w:p>
    <w:p w14:paraId="7E723DE0" w14:textId="6BA82D49"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iCs/>
          <w:color w:val="000000" w:themeColor="text1"/>
          <w:sz w:val="24"/>
          <w:szCs w:val="24"/>
        </w:rPr>
        <w:t>Chinese Society of Organ Transplantation Standard for the Management of Blood Lipids in Solid Organ Transplant Recipients</w:t>
      </w:r>
      <w:r w:rsidR="00263C4A" w:rsidRPr="009F13FC">
        <w:rPr>
          <w:rFonts w:ascii="Book Antiqua" w:hAnsi="Book Antiqua"/>
          <w:iCs/>
          <w:color w:val="000000" w:themeColor="text1"/>
          <w:sz w:val="24"/>
          <w:szCs w:val="24"/>
        </w:rPr>
        <w:t xml:space="preserve"> 2019</w:t>
      </w:r>
      <w:r w:rsidRPr="009F13FC">
        <w:rPr>
          <w:rFonts w:ascii="Book Antiqua" w:hAnsi="Book Antiqua"/>
          <w:color w:val="000000" w:themeColor="text1"/>
          <w:sz w:val="24"/>
          <w:szCs w:val="24"/>
        </w:rPr>
        <w:t xml:space="preserve"> points out that dyslipidemia refers to the abnormal elevation of total cholesterol (TC), triglycerides (TG), </w:t>
      </w:r>
      <w:r w:rsidR="00263C4A" w:rsidRPr="009F13FC">
        <w:rPr>
          <w:rFonts w:ascii="Book Antiqua" w:hAnsi="Book Antiqua"/>
          <w:color w:val="000000" w:themeColor="text1"/>
          <w:sz w:val="24"/>
          <w:szCs w:val="24"/>
        </w:rPr>
        <w:t xml:space="preserve">or </w:t>
      </w:r>
      <w:r w:rsidRPr="009F13FC">
        <w:rPr>
          <w:rFonts w:ascii="Book Antiqua" w:hAnsi="Book Antiqua"/>
          <w:color w:val="000000" w:themeColor="text1"/>
          <w:sz w:val="24"/>
          <w:szCs w:val="24"/>
        </w:rPr>
        <w:t xml:space="preserve">low density lipoprotein cholesterol (LDL-C) or reduction of high density lipoprotein cholesterol (HDL-C) in the blood. The normal blood lipid levels in the Chinese population are: TC &lt; 5.18 mmol/L (200 mg/dL), TG &lt; 1.7 mmol/L (150 mg/dL), LDL-C &lt; 3.37 mmol/L (130 mg/dL), </w:t>
      </w:r>
      <w:r w:rsidR="00263C4A" w:rsidRPr="009F13FC">
        <w:rPr>
          <w:rFonts w:ascii="Book Antiqua" w:hAnsi="Book Antiqua"/>
          <w:color w:val="000000" w:themeColor="text1"/>
          <w:sz w:val="24"/>
          <w:szCs w:val="24"/>
        </w:rPr>
        <w:t xml:space="preserve">and </w:t>
      </w:r>
      <w:r w:rsidRPr="009F13FC">
        <w:rPr>
          <w:rFonts w:ascii="Book Antiqua" w:hAnsi="Book Antiqua"/>
          <w:color w:val="000000" w:themeColor="text1"/>
          <w:sz w:val="24"/>
          <w:szCs w:val="24"/>
        </w:rPr>
        <w:t xml:space="preserve">HDL-C </w:t>
      </w:r>
      <w:r w:rsidRPr="009F13FC">
        <w:rPr>
          <w:rFonts w:ascii="Book Antiqua" w:hAnsi="Book Antiqua" w:hint="eastAsia"/>
          <w:color w:val="000000" w:themeColor="text1"/>
          <w:sz w:val="24"/>
          <w:szCs w:val="24"/>
        </w:rPr>
        <w:t>≥</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1.04 mmo1/L (40 mg/dL). With an incidence of 40%-66%, post-liver transplant dyslipidemia is one of the important risk factors for cardiovascular disease. The treatment aim dyslipidemia</w:t>
      </w:r>
      <w:r w:rsidR="00263C4A"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is LDL-C &lt; 2.59 mmol/L (100 mg/d</w:t>
      </w:r>
      <w:r w:rsidR="006C2F11" w:rsidRPr="009F13FC">
        <w:rPr>
          <w:rFonts w:ascii="Book Antiqua" w:hAnsi="Book Antiqua"/>
          <w:color w:val="000000" w:themeColor="text1"/>
          <w:sz w:val="24"/>
          <w:szCs w:val="24"/>
        </w:rPr>
        <w:t>L</w:t>
      </w:r>
      <w:r w:rsidRPr="009F13FC">
        <w:rPr>
          <w:rFonts w:ascii="Book Antiqua" w:hAnsi="Book Antiqua"/>
          <w:color w:val="000000" w:themeColor="text1"/>
          <w:sz w:val="24"/>
          <w:szCs w:val="24"/>
        </w:rPr>
        <w:t xml:space="preserve">), and it is LDL-C &lt; 1.8 mmol/L (70 mg/dL) in those with cardiovascular risk </w:t>
      </w:r>
      <w:proofErr w:type="gramStart"/>
      <w:r w:rsidRPr="009F13FC">
        <w:rPr>
          <w:rFonts w:ascii="Book Antiqua" w:hAnsi="Book Antiqua"/>
          <w:color w:val="000000" w:themeColor="text1"/>
          <w:sz w:val="24"/>
          <w:szCs w:val="24"/>
        </w:rPr>
        <w:t>factors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w:t>
      </w:r>
    </w:p>
    <w:p w14:paraId="7FBCABBD" w14:textId="2EC584FF" w:rsidR="00A74436"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Risk factors for dyslipidemia include dietary habits, age, body mass, other metabolic complications (such as diabetes, hypertension, obesity, </w:t>
      </w:r>
      <w:proofErr w:type="spellStart"/>
      <w:r w:rsidRPr="009F13FC">
        <w:rPr>
          <w:rFonts w:ascii="Book Antiqua" w:hAnsi="Book Antiqua"/>
          <w:i/>
          <w:iCs/>
          <w:color w:val="000000" w:themeColor="text1"/>
          <w:sz w:val="24"/>
          <w:szCs w:val="24"/>
        </w:rPr>
        <w:t>etc</w:t>
      </w:r>
      <w:proofErr w:type="spellEnd"/>
      <w:r w:rsidRPr="009F13FC">
        <w:rPr>
          <w:rFonts w:ascii="Book Antiqua" w:hAnsi="Book Antiqua"/>
          <w:color w:val="000000" w:themeColor="text1"/>
          <w:sz w:val="24"/>
          <w:szCs w:val="24"/>
        </w:rPr>
        <w:t>), genetic factors</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drugs. After liver transplantation, the use of immunosuppressive agents, </w:t>
      </w:r>
      <w:r w:rsidRPr="009F13FC">
        <w:rPr>
          <w:rFonts w:ascii="Book Antiqua" w:hAnsi="Book Antiqua"/>
          <w:color w:val="000000" w:themeColor="text1"/>
          <w:sz w:val="24"/>
          <w:szCs w:val="24"/>
        </w:rPr>
        <w:lastRenderedPageBreak/>
        <w:t>especially mTORi, CNIs and glucocorticoids, is the main cause of dyslipidemia. Different CNIs have different effects on blood lipid levels. CsA and mTORi</w:t>
      </w:r>
      <w:r w:rsidRPr="009F13FC" w:rsidDel="00BD6BED">
        <w:rPr>
          <w:rFonts w:ascii="Book Antiqua" w:hAnsi="Book Antiqua"/>
          <w:color w:val="000000" w:themeColor="text1"/>
          <w:sz w:val="24"/>
          <w:szCs w:val="24"/>
        </w:rPr>
        <w:t xml:space="preserve"> </w:t>
      </w:r>
      <w:r w:rsidRPr="009F13FC">
        <w:rPr>
          <w:rFonts w:ascii="Book Antiqua" w:hAnsi="Book Antiqua"/>
          <w:color w:val="000000" w:themeColor="text1"/>
          <w:sz w:val="24"/>
          <w:szCs w:val="24"/>
        </w:rPr>
        <w:t>can more effectively reduce blood lipid levels than TAC and mTORi glucocorticoids</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respectively. </w:t>
      </w:r>
      <w:proofErr w:type="spellStart"/>
      <w:proofErr w:type="gramStart"/>
      <w:r w:rsidRPr="009F13FC">
        <w:rPr>
          <w:rFonts w:ascii="Book Antiqua" w:hAnsi="Book Antiqua"/>
          <w:color w:val="000000" w:themeColor="text1"/>
          <w:sz w:val="24"/>
          <w:szCs w:val="24"/>
        </w:rPr>
        <w:t>mTORi</w:t>
      </w:r>
      <w:proofErr w:type="spellEnd"/>
      <w:proofErr w:type="gramEnd"/>
      <w:r w:rsidRPr="009F13FC">
        <w:rPr>
          <w:rFonts w:ascii="Book Antiqua" w:hAnsi="Book Antiqua"/>
          <w:color w:val="000000" w:themeColor="text1"/>
          <w:sz w:val="24"/>
          <w:szCs w:val="24"/>
        </w:rPr>
        <w:t xml:space="preserve"> increas</w:t>
      </w:r>
      <w:r w:rsidR="00263C4A" w:rsidRPr="009F13FC">
        <w:rPr>
          <w:rFonts w:ascii="Book Antiqua" w:hAnsi="Book Antiqua"/>
          <w:color w:val="000000" w:themeColor="text1"/>
          <w:sz w:val="24"/>
          <w:szCs w:val="24"/>
        </w:rPr>
        <w:t>es</w:t>
      </w:r>
      <w:r w:rsidRPr="009F13FC">
        <w:rPr>
          <w:rFonts w:ascii="Book Antiqua" w:hAnsi="Book Antiqua"/>
          <w:color w:val="000000" w:themeColor="text1"/>
          <w:sz w:val="24"/>
          <w:szCs w:val="24"/>
        </w:rPr>
        <w:t xml:space="preserve"> blood lipid levels by increasing liver lipid synthesis, reducing lipid clearance, and inhibiting insulin and insulin-like growth factor pathway</w:t>
      </w:r>
      <w:r w:rsidRPr="009F13FC">
        <w:rPr>
          <w:rFonts w:ascii="Book Antiqua" w:hAnsi="Book Antiqua"/>
          <w:color w:val="000000" w:themeColor="text1"/>
          <w:sz w:val="24"/>
          <w:szCs w:val="24"/>
          <w:vertAlign w:val="superscript"/>
        </w:rPr>
        <w:t>[53]</w:t>
      </w:r>
      <w:r w:rsidRPr="009F13FC">
        <w:rPr>
          <w:rFonts w:ascii="Book Antiqua" w:hAnsi="Book Antiqua"/>
          <w:color w:val="000000" w:themeColor="text1"/>
          <w:sz w:val="24"/>
          <w:szCs w:val="24"/>
        </w:rPr>
        <w:t>. CNIs increas</w:t>
      </w:r>
      <w:r w:rsidR="00263C4A" w:rsidRPr="009F13FC">
        <w:rPr>
          <w:rFonts w:ascii="Book Antiqua" w:hAnsi="Book Antiqua"/>
          <w:color w:val="000000" w:themeColor="text1"/>
          <w:sz w:val="24"/>
          <w:szCs w:val="24"/>
        </w:rPr>
        <w:t>e</w:t>
      </w:r>
      <w:r w:rsidRPr="009F13FC">
        <w:rPr>
          <w:rFonts w:ascii="Book Antiqua" w:hAnsi="Book Antiqua"/>
          <w:color w:val="000000" w:themeColor="text1"/>
          <w:sz w:val="24"/>
          <w:szCs w:val="24"/>
        </w:rPr>
        <w:t xml:space="preserve"> blood lipid</w:t>
      </w:r>
      <w:r w:rsidR="00263C4A" w:rsidRPr="009F13FC">
        <w:rPr>
          <w:rFonts w:ascii="Book Antiqua" w:hAnsi="Book Antiqua"/>
          <w:color w:val="000000" w:themeColor="text1"/>
          <w:sz w:val="24"/>
          <w:szCs w:val="24"/>
        </w:rPr>
        <w:t>s</w:t>
      </w:r>
      <w:r w:rsidRPr="009F13FC">
        <w:rPr>
          <w:rFonts w:ascii="Book Antiqua" w:hAnsi="Book Antiqua"/>
          <w:color w:val="000000" w:themeColor="text1"/>
          <w:sz w:val="24"/>
          <w:szCs w:val="24"/>
        </w:rPr>
        <w:t xml:space="preserve"> mainly by reducing bile acid synthesis, down</w:t>
      </w:r>
      <w:r w:rsidR="00304B47"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regulating LDL receptor function, inhibiting cholesterol clearance, inducing cholesterol synthesis, and promoting the conversion of very low</w:t>
      </w:r>
      <w:r w:rsidR="00304B4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density lipoprotein cholesterol to </w:t>
      </w:r>
      <w:proofErr w:type="gramStart"/>
      <w:r w:rsidRPr="009F13FC">
        <w:rPr>
          <w:rFonts w:ascii="Book Antiqua" w:hAnsi="Book Antiqua"/>
          <w:color w:val="000000" w:themeColor="text1"/>
          <w:sz w:val="24"/>
          <w:szCs w:val="24"/>
        </w:rPr>
        <w:t>LDL</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w:t>
      </w:r>
    </w:p>
    <w:p w14:paraId="04156B1F" w14:textId="75BD000C" w:rsidR="00A74436" w:rsidRPr="009F13FC" w:rsidRDefault="00A74436">
      <w:pPr>
        <w:widowControl/>
        <w:adjustRightInd w:val="0"/>
        <w:snapToGrid w:val="0"/>
        <w:spacing w:line="360" w:lineRule="auto"/>
        <w:ind w:firstLine="435"/>
        <w:jc w:val="both"/>
        <w:rPr>
          <w:rFonts w:ascii="Book Antiqua" w:hAnsi="Book Antiqua"/>
          <w:color w:val="000000" w:themeColor="text1"/>
          <w:sz w:val="24"/>
          <w:szCs w:val="24"/>
        </w:rPr>
      </w:pPr>
      <w:r w:rsidRPr="009F13FC">
        <w:rPr>
          <w:rFonts w:ascii="Book Antiqua" w:hAnsi="Book Antiqua"/>
          <w:color w:val="000000" w:themeColor="text1"/>
          <w:sz w:val="24"/>
          <w:szCs w:val="24"/>
        </w:rPr>
        <w:t>For the treatment of dyslipidemia after liver transplantation, changing lifestyle and dietary habits and adjusting the immunosuppressive regimen are preferred. Changes in lifestyle and dietary habits include quitting smoking, limiting salt and alcohol consumption</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reducing the intake of saturated fatty acids and cholesterol</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choosing foods that can reduce LDL-C, such as phytosterols (2</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g/d) and soluble fibers (10-25</w:t>
      </w:r>
      <w:r w:rsidR="006C2F11"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g/d)</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reducing weight (by 5</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-10% for recipients who are overweight or obese)</w:t>
      </w:r>
      <w:r w:rsidR="00263C4A" w:rsidRPr="009F13FC">
        <w:rPr>
          <w:rFonts w:ascii="Book Antiqua" w:hAnsi="Book Antiqua"/>
          <w:color w:val="000000" w:themeColor="text1"/>
          <w:sz w:val="24"/>
          <w:szCs w:val="24"/>
        </w:rPr>
        <w:t>, and</w:t>
      </w:r>
      <w:r w:rsidRPr="009F13FC">
        <w:rPr>
          <w:rFonts w:ascii="Book Antiqua" w:hAnsi="Book Antiqua"/>
          <w:color w:val="000000" w:themeColor="text1"/>
          <w:sz w:val="24"/>
          <w:szCs w:val="24"/>
        </w:rPr>
        <w:t xml:space="preserve"> regular physical exercise</w:t>
      </w:r>
      <w:r w:rsidR="00263C4A"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including adequate medium-intensity exercise to consume at least 836.8 kJ of calories every day. Of all</w:t>
      </w:r>
      <w:r w:rsidR="00263C4A" w:rsidRPr="009F13FC">
        <w:rPr>
          <w:rFonts w:ascii="Book Antiqua" w:hAnsi="Book Antiqua"/>
          <w:color w:val="000000" w:themeColor="text1"/>
          <w:sz w:val="24"/>
          <w:szCs w:val="24"/>
        </w:rPr>
        <w:t xml:space="preserve"> the</w:t>
      </w:r>
      <w:r w:rsidRPr="009F13FC">
        <w:rPr>
          <w:rFonts w:ascii="Book Antiqua" w:hAnsi="Book Antiqua"/>
          <w:color w:val="000000" w:themeColor="text1"/>
          <w:sz w:val="24"/>
          <w:szCs w:val="24"/>
        </w:rPr>
        <w:t xml:space="preserve"> immunosuppressive agents, MPA represented by MMF </w:t>
      </w:r>
      <w:r w:rsidR="00263C4A" w:rsidRPr="009F13FC">
        <w:rPr>
          <w:rFonts w:ascii="Book Antiqua" w:hAnsi="Book Antiqua"/>
          <w:color w:val="000000" w:themeColor="text1"/>
          <w:sz w:val="24"/>
          <w:szCs w:val="24"/>
        </w:rPr>
        <w:t xml:space="preserve">has </w:t>
      </w:r>
      <w:r w:rsidRPr="009F13FC">
        <w:rPr>
          <w:rFonts w:ascii="Book Antiqua" w:hAnsi="Book Antiqua"/>
          <w:color w:val="000000" w:themeColor="text1"/>
          <w:sz w:val="24"/>
          <w:szCs w:val="24"/>
        </w:rPr>
        <w:t>no impact on blood lipids. Some studies have shown that withdrawal or reduction of CNIs on the basis of MMF will lead to decrease</w:t>
      </w:r>
      <w:r w:rsidR="00681D22" w:rsidRPr="009F13FC">
        <w:rPr>
          <w:rFonts w:ascii="Book Antiqua" w:hAnsi="Book Antiqua"/>
          <w:color w:val="000000" w:themeColor="text1"/>
          <w:sz w:val="24"/>
          <w:szCs w:val="24"/>
        </w:rPr>
        <w:t>s of</w:t>
      </w:r>
      <w:r w:rsidRPr="009F13FC">
        <w:rPr>
          <w:rFonts w:ascii="Book Antiqua" w:hAnsi="Book Antiqua"/>
          <w:color w:val="000000" w:themeColor="text1"/>
          <w:sz w:val="24"/>
          <w:szCs w:val="24"/>
        </w:rPr>
        <w:t xml:space="preserve"> TC and </w:t>
      </w:r>
      <w:proofErr w:type="gramStart"/>
      <w:r w:rsidRPr="009F13FC">
        <w:rPr>
          <w:rFonts w:ascii="Book Antiqua" w:hAnsi="Book Antiqua"/>
          <w:color w:val="000000" w:themeColor="text1"/>
          <w:sz w:val="24"/>
          <w:szCs w:val="24"/>
        </w:rPr>
        <w:t>TG</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54]</w:t>
      </w:r>
      <w:r w:rsidRPr="009F13FC">
        <w:rPr>
          <w:rFonts w:ascii="Book Antiqua" w:hAnsi="Book Antiqua"/>
          <w:color w:val="000000" w:themeColor="text1"/>
          <w:sz w:val="24"/>
          <w:szCs w:val="24"/>
        </w:rPr>
        <w:t xml:space="preserve">. </w:t>
      </w:r>
      <w:r w:rsidR="00681D22" w:rsidRPr="009F13FC">
        <w:rPr>
          <w:rFonts w:ascii="Book Antiqua" w:hAnsi="Book Antiqua"/>
          <w:color w:val="000000" w:themeColor="text1"/>
          <w:sz w:val="24"/>
          <w:szCs w:val="24"/>
        </w:rPr>
        <w:t>T</w:t>
      </w:r>
      <w:r w:rsidRPr="009F13FC">
        <w:rPr>
          <w:rFonts w:ascii="Book Antiqua" w:hAnsi="Book Antiqua"/>
          <w:color w:val="000000" w:themeColor="text1"/>
          <w:sz w:val="24"/>
          <w:szCs w:val="24"/>
        </w:rPr>
        <w:t xml:space="preserve">he dyslipidemia induced by the immunosuppressive regimen of MMF combined with TAC is significantly lower than that induced by mTORi combined with </w:t>
      </w:r>
      <w:proofErr w:type="gramStart"/>
      <w:r w:rsidRPr="009F13FC">
        <w:rPr>
          <w:rFonts w:ascii="Book Antiqua" w:hAnsi="Book Antiqua"/>
          <w:color w:val="000000" w:themeColor="text1"/>
          <w:sz w:val="24"/>
          <w:szCs w:val="24"/>
        </w:rPr>
        <w:t>TAC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21]</w:t>
      </w:r>
      <w:r w:rsidRPr="009F13FC">
        <w:rPr>
          <w:rFonts w:ascii="Book Antiqua" w:hAnsi="Book Antiqua"/>
          <w:color w:val="000000" w:themeColor="text1"/>
          <w:sz w:val="24"/>
          <w:szCs w:val="24"/>
        </w:rPr>
        <w:t>. Refractory dyslipidemia (currently not clearly defined) is generally considered to include the following situations: severe dyslipidemia, such as severe elevation of TG level (</w:t>
      </w:r>
      <w:r w:rsidRPr="009F13FC">
        <w:rPr>
          <w:rFonts w:ascii="Book Antiqua" w:eastAsia="Gungsuh" w:hAnsi="Book Antiqua" w:cs="Gungsuh" w:hint="eastAsia"/>
          <w:color w:val="000000" w:themeColor="text1"/>
          <w:sz w:val="24"/>
          <w:szCs w:val="24"/>
        </w:rPr>
        <w:t>≥</w:t>
      </w:r>
      <w:r w:rsidRPr="009F13FC">
        <w:rPr>
          <w:rFonts w:ascii="Book Antiqua" w:hAnsi="Book Antiqua"/>
          <w:color w:val="000000" w:themeColor="text1"/>
          <w:sz w:val="24"/>
          <w:szCs w:val="24"/>
        </w:rPr>
        <w:t xml:space="preserve"> 5.65 </w:t>
      </w:r>
      <w:proofErr w:type="spellStart"/>
      <w:r w:rsidRPr="009F13FC">
        <w:rPr>
          <w:rFonts w:ascii="Book Antiqua" w:hAnsi="Book Antiqua"/>
          <w:color w:val="000000" w:themeColor="text1"/>
          <w:sz w:val="24"/>
          <w:szCs w:val="24"/>
        </w:rPr>
        <w:t>mmol</w:t>
      </w:r>
      <w:proofErr w:type="spellEnd"/>
      <w:r w:rsidRPr="009F13FC">
        <w:rPr>
          <w:rFonts w:ascii="Book Antiqua" w:hAnsi="Book Antiqua"/>
          <w:color w:val="000000" w:themeColor="text1"/>
          <w:sz w:val="24"/>
          <w:szCs w:val="24"/>
        </w:rPr>
        <w:t>/L or 500 mg/</w:t>
      </w:r>
      <w:proofErr w:type="spellStart"/>
      <w:r w:rsidRPr="009F13FC">
        <w:rPr>
          <w:rFonts w:ascii="Book Antiqua" w:hAnsi="Book Antiqua"/>
          <w:color w:val="000000" w:themeColor="text1"/>
          <w:sz w:val="24"/>
          <w:szCs w:val="24"/>
        </w:rPr>
        <w:t>d</w:t>
      </w:r>
      <w:r w:rsidR="006C2F11" w:rsidRPr="009F13FC">
        <w:rPr>
          <w:rFonts w:ascii="Book Antiqua" w:hAnsi="Book Antiqua"/>
          <w:color w:val="000000" w:themeColor="text1"/>
          <w:sz w:val="24"/>
          <w:szCs w:val="24"/>
          <w:lang w:eastAsia="zh-CN"/>
        </w:rPr>
        <w:t>L</w:t>
      </w:r>
      <w:proofErr w:type="spellEnd"/>
      <w:r w:rsidRPr="009F13FC">
        <w:rPr>
          <w:rFonts w:ascii="Book Antiqua" w:hAnsi="Book Antiqua"/>
          <w:color w:val="000000" w:themeColor="text1"/>
          <w:sz w:val="24"/>
          <w:szCs w:val="24"/>
        </w:rPr>
        <w:t>) or (and) LDL level (</w:t>
      </w:r>
      <w:r w:rsidRPr="009F13FC">
        <w:rPr>
          <w:rFonts w:ascii="Book Antiqua" w:eastAsia="Gungsuh" w:hAnsi="Book Antiqua" w:cs="Gungsuh" w:hint="eastAsia"/>
          <w:color w:val="000000" w:themeColor="text1"/>
          <w:sz w:val="24"/>
          <w:szCs w:val="24"/>
        </w:rPr>
        <w:t>≥</w:t>
      </w:r>
      <w:r w:rsidRPr="009F13FC">
        <w:rPr>
          <w:rFonts w:ascii="Book Antiqua" w:hAnsi="Book Antiqua"/>
          <w:color w:val="000000" w:themeColor="text1"/>
          <w:sz w:val="24"/>
          <w:szCs w:val="24"/>
        </w:rPr>
        <w:t xml:space="preserve"> 4.92 mmol/L or 190 mg/d</w:t>
      </w:r>
      <w:r w:rsidR="006C2F11" w:rsidRPr="009F13FC">
        <w:rPr>
          <w:rFonts w:ascii="Book Antiqua" w:hAnsi="Book Antiqua"/>
          <w:color w:val="000000" w:themeColor="text1"/>
          <w:sz w:val="24"/>
          <w:szCs w:val="24"/>
        </w:rPr>
        <w:t>L</w:t>
      </w:r>
      <w:r w:rsidRPr="009F13FC">
        <w:rPr>
          <w:rFonts w:ascii="Book Antiqua" w:hAnsi="Book Antiqua"/>
          <w:color w:val="000000" w:themeColor="text1"/>
          <w:sz w:val="24"/>
          <w:szCs w:val="24"/>
        </w:rPr>
        <w:t xml:space="preserve">); or those who still have elevated TG or LDL level after regular lipid-lowering </w:t>
      </w:r>
      <w:proofErr w:type="gramStart"/>
      <w:r w:rsidRPr="009F13FC">
        <w:rPr>
          <w:rFonts w:ascii="Book Antiqua" w:hAnsi="Book Antiqua"/>
          <w:color w:val="000000" w:themeColor="text1"/>
          <w:sz w:val="24"/>
          <w:szCs w:val="24"/>
        </w:rPr>
        <w:t>therapy</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55]</w:t>
      </w:r>
      <w:r w:rsidRPr="009F13FC">
        <w:rPr>
          <w:rFonts w:ascii="Book Antiqua" w:hAnsi="Book Antiqua"/>
          <w:color w:val="000000" w:themeColor="text1"/>
          <w:sz w:val="24"/>
          <w:szCs w:val="24"/>
        </w:rPr>
        <w:t>. For refractory dyslipidemia or dyslipidemia confirmed to be caused by immunosuppressive agents, adjusting the immunosuppressive regimen</w:t>
      </w:r>
      <w:r w:rsidR="00FB131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such as discontinuing mTORi, replacing CsA with TAC, or using the regimen of reduced CNIs combined with MMF</w:t>
      </w:r>
      <w:r w:rsidR="00FB1314"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should be </w:t>
      </w:r>
      <w:proofErr w:type="gramStart"/>
      <w:r w:rsidRPr="009F13FC">
        <w:rPr>
          <w:rFonts w:ascii="Book Antiqua" w:hAnsi="Book Antiqua"/>
          <w:color w:val="000000" w:themeColor="text1"/>
          <w:sz w:val="24"/>
          <w:szCs w:val="24"/>
        </w:rPr>
        <w:t>considered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w:t>
      </w:r>
      <w:r w:rsidRPr="009F13FC">
        <w:rPr>
          <w:rFonts w:ascii="Book Antiqua" w:hAnsi="Book Antiqua"/>
          <w:color w:val="000000" w:themeColor="text1"/>
          <w:sz w:val="24"/>
          <w:szCs w:val="24"/>
        </w:rPr>
        <w:t>.</w:t>
      </w:r>
    </w:p>
    <w:p w14:paraId="03702DFB" w14:textId="18C41B0B" w:rsidR="006C2F11"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lastRenderedPageBreak/>
        <w:t>If blood lipid levels cannot be controlled by changing dietary habits, exercising more, and adjusting the immunosuppressive regimen, drugs should be used. Statins are the preferred treatment for hypercholesterolemia, but adverse effects, especially potential hepatotoxicity and myopathy, should be guarded against. Most statins (except hydrophilic statins: pravastatin, fluvastatin) and CNIs are metabolized by cytochrome P450. Therefore, during the use of statins, it is necessary to monitor the plasma concentration of immunosuppressive agents and adjust the dose timely. Simvastatin and CNIs have an obvious interaction in the metabolic process, so simvastatin is not recommended in liver transplant recipients. For hypertriglyceridemia recipients with a normal cholesterol level, fish oil is preferred. If its effect is still unsatisfactory, xyloheptanoic acid or fenofibrate can be added</w:t>
      </w:r>
      <w:r w:rsidRPr="009F13FC">
        <w:rPr>
          <w:rFonts w:ascii="Book Antiqua" w:hAnsi="Book Antiqua"/>
          <w:color w:val="000000" w:themeColor="text1"/>
          <w:sz w:val="24"/>
          <w:szCs w:val="24"/>
          <w:vertAlign w:val="superscript"/>
        </w:rPr>
        <w:t>[5]</w:t>
      </w:r>
      <w:r w:rsidRPr="009F13FC">
        <w:rPr>
          <w:rFonts w:ascii="Book Antiqua" w:hAnsi="Book Antiqua"/>
          <w:color w:val="000000" w:themeColor="text1"/>
          <w:sz w:val="24"/>
          <w:szCs w:val="24"/>
        </w:rPr>
        <w:t xml:space="preserve">. For recipients with normal liver function, lipid-regulating drugs can be continued. However, such drugs should be discontinued for recipients with liver enzymes over </w:t>
      </w:r>
      <w:r w:rsidR="00FB1314" w:rsidRPr="009F13FC">
        <w:rPr>
          <w:rFonts w:ascii="Book Antiqua" w:hAnsi="Book Antiqua"/>
          <w:color w:val="000000" w:themeColor="text1"/>
          <w:sz w:val="24"/>
          <w:szCs w:val="24"/>
        </w:rPr>
        <w:t>three</w:t>
      </w:r>
      <w:r w:rsidRPr="009F13FC">
        <w:rPr>
          <w:rFonts w:ascii="Book Antiqua" w:hAnsi="Book Antiqua"/>
          <w:color w:val="000000" w:themeColor="text1"/>
          <w:sz w:val="24"/>
          <w:szCs w:val="24"/>
        </w:rPr>
        <w:t xml:space="preserve"> times higher than the normal values, and liver function should be monitored to identify the causes of abnormal liver function before deciding whether to use lipid-lowering drugs.</w:t>
      </w:r>
    </w:p>
    <w:p w14:paraId="2626548F" w14:textId="1414F7B9" w:rsidR="00A74436" w:rsidRPr="009F13FC" w:rsidRDefault="00A74436">
      <w:pPr>
        <w:widowControl/>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8: </w:t>
      </w:r>
      <w:r w:rsidRPr="009F13FC">
        <w:rPr>
          <w:rFonts w:ascii="Book Antiqua" w:hAnsi="Book Antiqua"/>
          <w:bCs/>
          <w:color w:val="000000" w:themeColor="text1"/>
          <w:sz w:val="24"/>
          <w:szCs w:val="24"/>
        </w:rPr>
        <w:t>The blood lipid target after liver transplantation is: LDL-C &lt; 2.59 mmol/L (100 mg/dL). For recipients with cardiovascular risk factors, it is LDL-C &lt; 1.8 mmol/L (70 mg/dL).</w:t>
      </w:r>
    </w:p>
    <w:p w14:paraId="2786C81E" w14:textId="623CB805" w:rsidR="00A74436" w:rsidRPr="009F13FC" w:rsidRDefault="00A74436">
      <w:pPr>
        <w:widowControl/>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9: </w:t>
      </w:r>
      <w:r w:rsidRPr="009F13FC">
        <w:rPr>
          <w:rFonts w:ascii="Book Antiqua" w:hAnsi="Book Antiqua"/>
          <w:bCs/>
          <w:color w:val="000000" w:themeColor="text1"/>
          <w:sz w:val="24"/>
          <w:szCs w:val="24"/>
        </w:rPr>
        <w:t>For liver transplant recipients with dyslipidemia, reducing and withdrawing glucocorticoids should be considered; mTORi should be carefully used and blood lipid indicators should be monitored closely. For refractory dyslipidemia or dyslipidemia caused by immunosuppressive agents, the immunosuppressive regimen should be adjusted</w:t>
      </w:r>
      <w:r w:rsidR="00FB131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physicians can consider discontinuing </w:t>
      </w:r>
      <w:proofErr w:type="spellStart"/>
      <w:r w:rsidRPr="009F13FC">
        <w:rPr>
          <w:rFonts w:ascii="Book Antiqua" w:hAnsi="Book Antiqua"/>
          <w:bCs/>
          <w:color w:val="000000" w:themeColor="text1"/>
          <w:sz w:val="24"/>
          <w:szCs w:val="24"/>
        </w:rPr>
        <w:t>mTORi</w:t>
      </w:r>
      <w:proofErr w:type="spellEnd"/>
      <w:r w:rsidRPr="009F13FC">
        <w:rPr>
          <w:rFonts w:ascii="Book Antiqua" w:hAnsi="Book Antiqua"/>
          <w:bCs/>
          <w:color w:val="000000" w:themeColor="text1"/>
          <w:sz w:val="24"/>
          <w:szCs w:val="24"/>
        </w:rPr>
        <w:t>, conver</w:t>
      </w:r>
      <w:r w:rsidR="00FB1314" w:rsidRPr="009F13FC">
        <w:rPr>
          <w:rFonts w:ascii="Book Antiqua" w:hAnsi="Book Antiqua"/>
          <w:bCs/>
          <w:color w:val="000000" w:themeColor="text1"/>
          <w:sz w:val="24"/>
          <w:szCs w:val="24"/>
        </w:rPr>
        <w:t>t</w:t>
      </w:r>
      <w:r w:rsidRPr="009F13FC">
        <w:rPr>
          <w:rFonts w:ascii="Book Antiqua" w:hAnsi="Book Antiqua"/>
          <w:bCs/>
          <w:color w:val="000000" w:themeColor="text1"/>
          <w:sz w:val="24"/>
          <w:szCs w:val="24"/>
        </w:rPr>
        <w:t xml:space="preserve">ing </w:t>
      </w:r>
      <w:proofErr w:type="spellStart"/>
      <w:r w:rsidRPr="009F13FC">
        <w:rPr>
          <w:rFonts w:ascii="Book Antiqua" w:hAnsi="Book Antiqua"/>
          <w:bCs/>
          <w:color w:val="000000" w:themeColor="text1"/>
          <w:sz w:val="24"/>
          <w:szCs w:val="24"/>
        </w:rPr>
        <w:t>CsA</w:t>
      </w:r>
      <w:proofErr w:type="spellEnd"/>
      <w:r w:rsidRPr="009F13FC">
        <w:rPr>
          <w:rFonts w:ascii="Book Antiqua" w:hAnsi="Book Antiqua"/>
          <w:bCs/>
          <w:color w:val="000000" w:themeColor="text1"/>
          <w:sz w:val="24"/>
          <w:szCs w:val="24"/>
        </w:rPr>
        <w:t xml:space="preserve"> to TAC, or adopting the regimen of reduced CNIs combined with MPA.</w:t>
      </w:r>
    </w:p>
    <w:p w14:paraId="78B7FC63" w14:textId="7FA10DA6" w:rsidR="00A74436" w:rsidRPr="009F13FC" w:rsidRDefault="00A74436">
      <w:pPr>
        <w:widowControl/>
        <w:adjustRightInd w:val="0"/>
        <w:snapToGrid w:val="0"/>
        <w:spacing w:line="360" w:lineRule="auto"/>
        <w:ind w:firstLine="435"/>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10: </w:t>
      </w:r>
      <w:r w:rsidRPr="009F13FC">
        <w:rPr>
          <w:rFonts w:ascii="Book Antiqua" w:hAnsi="Book Antiqua"/>
          <w:bCs/>
          <w:color w:val="000000" w:themeColor="text1"/>
          <w:sz w:val="24"/>
          <w:szCs w:val="24"/>
        </w:rPr>
        <w:t xml:space="preserve">Statins are the preferred treatment for hypercholesterolemia. Liver function, </w:t>
      </w:r>
      <w:r w:rsidRPr="00D9152E">
        <w:rPr>
          <w:rFonts w:ascii="Book Antiqua" w:hAnsi="Book Antiqua"/>
          <w:bCs/>
          <w:color w:val="000000" w:themeColor="text1"/>
          <w:sz w:val="24"/>
          <w:szCs w:val="24"/>
        </w:rPr>
        <w:t xml:space="preserve">creatine kinase, </w:t>
      </w:r>
      <w:r w:rsidR="00FB1314" w:rsidRPr="00D9152E">
        <w:rPr>
          <w:rFonts w:ascii="Book Antiqua" w:hAnsi="Book Antiqua"/>
          <w:bCs/>
          <w:color w:val="000000" w:themeColor="text1"/>
          <w:sz w:val="24"/>
          <w:szCs w:val="24"/>
        </w:rPr>
        <w:t xml:space="preserve">and </w:t>
      </w:r>
      <w:r w:rsidRPr="009F13FC">
        <w:rPr>
          <w:rFonts w:ascii="Book Antiqua" w:hAnsi="Book Antiqua"/>
          <w:bCs/>
          <w:color w:val="000000" w:themeColor="text1"/>
          <w:sz w:val="24"/>
          <w:szCs w:val="24"/>
        </w:rPr>
        <w:t>concentration of immunosuppressive agents should be closely monitored before and after using statins.</w:t>
      </w:r>
    </w:p>
    <w:p w14:paraId="514CFB60" w14:textId="77777777" w:rsidR="006C2F11" w:rsidRPr="009F13FC" w:rsidRDefault="00A74436">
      <w:pPr>
        <w:widowControl/>
        <w:adjustRightInd w:val="0"/>
        <w:snapToGrid w:val="0"/>
        <w:spacing w:line="360" w:lineRule="auto"/>
        <w:ind w:firstLine="435"/>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lastRenderedPageBreak/>
        <w:t xml:space="preserve">Recommendation </w:t>
      </w:r>
      <w:r w:rsidR="00011F4E" w:rsidRPr="009F13FC">
        <w:rPr>
          <w:rFonts w:ascii="Book Antiqua" w:hAnsi="Book Antiqua"/>
          <w:bCs/>
          <w:color w:val="000000" w:themeColor="text1"/>
          <w:sz w:val="24"/>
          <w:szCs w:val="24"/>
        </w:rPr>
        <w:t>11:</w:t>
      </w:r>
      <w:r w:rsidRPr="009F13FC">
        <w:rPr>
          <w:rFonts w:ascii="Book Antiqua" w:hAnsi="Book Antiqua"/>
          <w:bCs/>
          <w:color w:val="000000" w:themeColor="text1"/>
          <w:sz w:val="24"/>
          <w:szCs w:val="24"/>
        </w:rPr>
        <w:t xml:space="preserve"> Fish oil is the preferred treatment for hypertriglyceridemia. Xylene heptanoic acid or fenofibrate can be added if fish oil fails to achieve a satisfactory effect.</w:t>
      </w:r>
    </w:p>
    <w:p w14:paraId="6DE90655" w14:textId="77777777" w:rsidR="006C2F11" w:rsidRPr="009F13FC" w:rsidRDefault="006C2F11">
      <w:pPr>
        <w:widowControl/>
        <w:adjustRightInd w:val="0"/>
        <w:snapToGrid w:val="0"/>
        <w:spacing w:line="360" w:lineRule="auto"/>
        <w:jc w:val="both"/>
        <w:rPr>
          <w:rFonts w:ascii="Book Antiqua" w:hAnsi="Book Antiqua"/>
          <w:bCs/>
          <w:color w:val="000000" w:themeColor="text1"/>
          <w:sz w:val="24"/>
          <w:szCs w:val="24"/>
        </w:rPr>
      </w:pPr>
    </w:p>
    <w:p w14:paraId="38E7AC9C" w14:textId="11546666" w:rsidR="00A74436" w:rsidRPr="009F13FC" w:rsidRDefault="00A74436">
      <w:pPr>
        <w:widowControl/>
        <w:adjustRightInd w:val="0"/>
        <w:snapToGrid w:val="0"/>
        <w:spacing w:line="360" w:lineRule="auto"/>
        <w:jc w:val="both"/>
        <w:rPr>
          <w:rFonts w:ascii="Book Antiqua" w:hAnsi="Book Antiqua"/>
          <w:bCs/>
          <w:i/>
          <w:iCs/>
          <w:color w:val="000000" w:themeColor="text1"/>
          <w:sz w:val="24"/>
          <w:szCs w:val="24"/>
        </w:rPr>
      </w:pPr>
      <w:r w:rsidRPr="009F13FC">
        <w:rPr>
          <w:rFonts w:ascii="Book Antiqua" w:hAnsi="Book Antiqua"/>
          <w:b/>
          <w:i/>
          <w:iCs/>
          <w:color w:val="000000" w:themeColor="text1"/>
          <w:sz w:val="24"/>
          <w:szCs w:val="24"/>
        </w:rPr>
        <w:t>Prophylaxis and treatment of hyperuricemia</w:t>
      </w:r>
    </w:p>
    <w:p w14:paraId="2AD5BB88" w14:textId="0DED81B6"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iCs/>
          <w:color w:val="000000" w:themeColor="text1"/>
          <w:sz w:val="24"/>
          <w:szCs w:val="24"/>
        </w:rPr>
        <w:t>Chinese Nephrologist Association Clinical Practice Guidelines for the Diagnosis and Treatment of Hyperuricemia in Patients with Kidney Diseases</w:t>
      </w:r>
      <w:r w:rsidR="00FB1314" w:rsidRPr="009F13FC">
        <w:rPr>
          <w:rFonts w:ascii="Book Antiqua" w:hAnsi="Book Antiqua"/>
          <w:iCs/>
          <w:color w:val="000000" w:themeColor="text1"/>
          <w:sz w:val="24"/>
          <w:szCs w:val="24"/>
        </w:rPr>
        <w:t xml:space="preserve"> 2017</w:t>
      </w:r>
      <w:r w:rsidRPr="009F13FC">
        <w:rPr>
          <w:rFonts w:ascii="Book Antiqua" w:hAnsi="Book Antiqua"/>
          <w:color w:val="000000" w:themeColor="text1"/>
          <w:sz w:val="24"/>
          <w:szCs w:val="24"/>
        </w:rPr>
        <w:t xml:space="preserve"> points out that hyperuricemia (HUA) refers to two fasting serum uric acid (SUA) measurements on different days being higher than 420 μmol/L for men and postmenopausal women and higher than 360 μmol/L for non-menopausal women</w:t>
      </w:r>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xml:space="preserve"> under normal purine dietary conditions. The incidence of hyperuricemia after liver transplantation ranges from 14% to 53%</w:t>
      </w:r>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 Hyperuricemia can cause gout, uric acid stones, and renal injury</w:t>
      </w:r>
      <w:r w:rsidR="00397C0A"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is closely related to </w:t>
      </w:r>
      <w:r w:rsidR="00DA07AD" w:rsidRPr="009F13FC">
        <w:rPr>
          <w:rFonts w:ascii="Book Antiqua" w:hAnsi="Book Antiqua"/>
          <w:color w:val="000000" w:themeColor="text1"/>
          <w:sz w:val="24"/>
          <w:szCs w:val="24"/>
        </w:rPr>
        <w:t>T2DM</w:t>
      </w:r>
      <w:r w:rsidRPr="009F13FC">
        <w:rPr>
          <w:rFonts w:ascii="Book Antiqua" w:hAnsi="Book Antiqua"/>
          <w:color w:val="000000" w:themeColor="text1"/>
          <w:sz w:val="24"/>
          <w:szCs w:val="24"/>
        </w:rPr>
        <w:t xml:space="preserve"> and hypertension, cardiovascular disease, chronic kidney disease, </w:t>
      </w:r>
      <w:proofErr w:type="gramStart"/>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w:t>
      </w:r>
      <w:r w:rsidR="00A628F6"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Chronic nephropathy caused by hyperuricemia after liver transplantation is one of its main hazards</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The hyperuricemia control target: for patients with hyperuricemia complicated with cardiovascular risk and cardiovascular disease, SUA should be lower than 360 μmol/L; for patients with gout, SUA should be lower than 300 μmol/L</w:t>
      </w:r>
      <w:r w:rsidRPr="009F13FC">
        <w:rPr>
          <w:rFonts w:ascii="Book Antiqua" w:hAnsi="Book Antiqua"/>
          <w:color w:val="000000" w:themeColor="text1"/>
          <w:sz w:val="24"/>
          <w:szCs w:val="24"/>
          <w:vertAlign w:val="superscript"/>
        </w:rPr>
        <w:t>[57]</w:t>
      </w:r>
      <w:r w:rsidRPr="009F13FC">
        <w:rPr>
          <w:rFonts w:ascii="Book Antiqua" w:hAnsi="Book Antiqua"/>
          <w:color w:val="000000" w:themeColor="text1"/>
          <w:sz w:val="24"/>
          <w:szCs w:val="24"/>
        </w:rPr>
        <w:t>.</w:t>
      </w:r>
    </w:p>
    <w:p w14:paraId="64882898" w14:textId="6DAF9E64"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Post-liver transplant hyperuricemia may be related to immunosuppressive agents, HUA history, and diuretics</w:t>
      </w:r>
      <w:r w:rsidRPr="009F13FC">
        <w:rPr>
          <w:rFonts w:ascii="Book Antiqua" w:hAnsi="Book Antiqua"/>
          <w:color w:val="000000" w:themeColor="text1"/>
          <w:sz w:val="24"/>
          <w:szCs w:val="24"/>
          <w:vertAlign w:val="superscript"/>
        </w:rPr>
        <w:t>[6</w:t>
      </w:r>
      <w:r w:rsidR="006C2F11" w:rsidRPr="009F13FC">
        <w:rPr>
          <w:rFonts w:ascii="Book Antiqua" w:hAnsi="Book Antiqua"/>
          <w:color w:val="000000" w:themeColor="text1"/>
          <w:sz w:val="24"/>
          <w:szCs w:val="24"/>
          <w:vertAlign w:val="superscript"/>
          <w:lang w:eastAsia="zh-CN"/>
        </w:rPr>
        <w:t>,</w:t>
      </w:r>
      <w:r w:rsidRPr="009F13FC">
        <w:rPr>
          <w:rFonts w:ascii="Book Antiqua" w:hAnsi="Book Antiqua"/>
          <w:color w:val="000000" w:themeColor="text1"/>
          <w:sz w:val="24"/>
          <w:szCs w:val="24"/>
          <w:vertAlign w:val="superscript"/>
        </w:rPr>
        <w:t>7]</w:t>
      </w:r>
      <w:r w:rsidRPr="009F13FC">
        <w:rPr>
          <w:rFonts w:ascii="Book Antiqua" w:hAnsi="Book Antiqua"/>
          <w:color w:val="000000" w:themeColor="text1"/>
          <w:sz w:val="24"/>
          <w:szCs w:val="24"/>
        </w:rPr>
        <w:t xml:space="preserve">. It has been confirmed that hyperuricemia is associated with immunosuppressive agents, mainly CNIs (CsA and TAC), which can decrease uric acid excretion by reducing glomerular filtration rate and increasing the renal tubular reabsorption of uric </w:t>
      </w:r>
      <w:proofErr w:type="gramStart"/>
      <w:r w:rsidRPr="009F13FC">
        <w:rPr>
          <w:rFonts w:ascii="Book Antiqua" w:hAnsi="Book Antiqua"/>
          <w:color w:val="000000" w:themeColor="text1"/>
          <w:sz w:val="24"/>
          <w:szCs w:val="24"/>
        </w:rPr>
        <w:t>acid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58</w:t>
      </w:r>
      <w:r w:rsidR="006C2F11"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59]</w:t>
      </w:r>
      <w:r w:rsidRPr="009F13FC">
        <w:rPr>
          <w:rFonts w:ascii="Book Antiqua" w:hAnsi="Book Antiqua"/>
          <w:color w:val="000000" w:themeColor="text1"/>
          <w:sz w:val="24"/>
          <w:szCs w:val="24"/>
        </w:rPr>
        <w:t xml:space="preserve">. Some studies reported that the incidence of HUA in recipients treated with CsA after transplantation was much higher than those receiving </w:t>
      </w:r>
      <w:proofErr w:type="gramStart"/>
      <w:r w:rsidRPr="009F13FC">
        <w:rPr>
          <w:rFonts w:ascii="Book Antiqua" w:hAnsi="Book Antiqua"/>
          <w:color w:val="000000" w:themeColor="text1"/>
          <w:sz w:val="24"/>
          <w:szCs w:val="24"/>
        </w:rPr>
        <w:t>TAC</w:t>
      </w:r>
      <w:r w:rsidRPr="009F13FC">
        <w:rPr>
          <w:rFonts w:ascii="Book Antiqua" w:hAnsi="Book Antiqua"/>
          <w:color w:val="000000" w:themeColor="text1"/>
          <w:sz w:val="24"/>
          <w:szCs w:val="24"/>
          <w:vertAlign w:val="superscript"/>
        </w:rPr>
        <w:t>[</w:t>
      </w:r>
      <w:proofErr w:type="gramEnd"/>
      <w:r w:rsidR="006C2F11" w:rsidRPr="009F13FC">
        <w:rPr>
          <w:rFonts w:ascii="Book Antiqua" w:hAnsi="Book Antiqua"/>
          <w:color w:val="000000" w:themeColor="text1"/>
          <w:sz w:val="24"/>
          <w:szCs w:val="24"/>
          <w:vertAlign w:val="superscript"/>
        </w:rPr>
        <w:t>59</w:t>
      </w:r>
      <w:r w:rsidRPr="009F13FC">
        <w:rPr>
          <w:rFonts w:ascii="Book Antiqua" w:hAnsi="Book Antiqua"/>
          <w:color w:val="000000" w:themeColor="text1"/>
          <w:sz w:val="24"/>
          <w:szCs w:val="24"/>
          <w:vertAlign w:val="superscript"/>
        </w:rPr>
        <w:t>-61]</w:t>
      </w:r>
      <w:r w:rsidRPr="009F13FC">
        <w:rPr>
          <w:rFonts w:ascii="Book Antiqua" w:hAnsi="Book Antiqua"/>
          <w:color w:val="000000" w:themeColor="text1"/>
          <w:sz w:val="24"/>
          <w:szCs w:val="24"/>
        </w:rPr>
        <w:t>. However, some other reports showed no significant difference in new-onset HUA between CsA and TAC</w:t>
      </w:r>
      <w:r w:rsidRPr="009F13FC">
        <w:rPr>
          <w:rFonts w:ascii="Book Antiqua" w:hAnsi="Book Antiqua"/>
          <w:color w:val="000000" w:themeColor="text1"/>
          <w:sz w:val="24"/>
          <w:szCs w:val="24"/>
          <w:vertAlign w:val="superscript"/>
        </w:rPr>
        <w:t>[62]</w:t>
      </w:r>
      <w:r w:rsidRPr="009F13FC">
        <w:rPr>
          <w:rFonts w:ascii="Book Antiqua" w:hAnsi="Book Antiqua"/>
          <w:color w:val="000000" w:themeColor="text1"/>
          <w:sz w:val="24"/>
          <w:szCs w:val="24"/>
        </w:rPr>
        <w:t>.</w:t>
      </w:r>
    </w:p>
    <w:p w14:paraId="568A4767" w14:textId="055C4490"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The general treatment for hyperuricemia after liver transplantation includes changing the unhealthy lifestyle, such as adopting the low purine diet, drinking more water, alkalinizing urine properly, and exercising more. </w:t>
      </w:r>
      <w:r w:rsidR="00397C0A" w:rsidRPr="009F13FC">
        <w:rPr>
          <w:rFonts w:ascii="Book Antiqua" w:hAnsi="Book Antiqua"/>
          <w:color w:val="000000" w:themeColor="text1"/>
          <w:sz w:val="24"/>
          <w:szCs w:val="24"/>
        </w:rPr>
        <w:t>In addition</w:t>
      </w:r>
      <w:r w:rsidRPr="009F13FC">
        <w:rPr>
          <w:rFonts w:ascii="Book Antiqua" w:hAnsi="Book Antiqua"/>
          <w:color w:val="000000" w:themeColor="text1"/>
          <w:sz w:val="24"/>
          <w:szCs w:val="24"/>
        </w:rPr>
        <w:t xml:space="preserve">, screening for related complications, cooperating with specialists, </w:t>
      </w:r>
      <w:r w:rsidR="00DE3A46" w:rsidRPr="009F13FC">
        <w:rPr>
          <w:rFonts w:ascii="Book Antiqua" w:hAnsi="Book Antiqua"/>
          <w:color w:val="000000" w:themeColor="text1"/>
          <w:sz w:val="24"/>
          <w:szCs w:val="24"/>
        </w:rPr>
        <w:t xml:space="preserve">and </w:t>
      </w:r>
      <w:r w:rsidRPr="009F13FC">
        <w:rPr>
          <w:rFonts w:ascii="Book Antiqua" w:hAnsi="Book Antiqua"/>
          <w:color w:val="000000" w:themeColor="text1"/>
          <w:sz w:val="24"/>
          <w:szCs w:val="24"/>
        </w:rPr>
        <w:t xml:space="preserve">actively managing metabolic and cardiovascular risk factors related to the elevation of the SUA level </w:t>
      </w:r>
      <w:r w:rsidRPr="009F13FC">
        <w:rPr>
          <w:rFonts w:ascii="Book Antiqua" w:hAnsi="Book Antiqua"/>
          <w:color w:val="000000" w:themeColor="text1"/>
          <w:sz w:val="24"/>
          <w:szCs w:val="24"/>
        </w:rPr>
        <w:lastRenderedPageBreak/>
        <w:t xml:space="preserve">should be taken into </w:t>
      </w:r>
      <w:proofErr w:type="gramStart"/>
      <w:r w:rsidRPr="009F13FC">
        <w:rPr>
          <w:rFonts w:ascii="Book Antiqua" w:hAnsi="Book Antiqua"/>
          <w:color w:val="000000" w:themeColor="text1"/>
          <w:sz w:val="24"/>
          <w:szCs w:val="24"/>
        </w:rPr>
        <w:t>consideration</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Drugs that can increase SUA should be avoided as much as possible. Some reports showed that SUA level decreased by combining MMF with reduced CNIs</w:t>
      </w:r>
      <w:r w:rsidRPr="009F13FC">
        <w:rPr>
          <w:rFonts w:ascii="Book Antiqua" w:hAnsi="Book Antiqua"/>
          <w:color w:val="000000" w:themeColor="text1"/>
          <w:sz w:val="24"/>
          <w:szCs w:val="24"/>
          <w:vertAlign w:val="superscript"/>
        </w:rPr>
        <w:t>[63]</w:t>
      </w:r>
      <w:r w:rsidRPr="009F13FC">
        <w:rPr>
          <w:rFonts w:ascii="Book Antiqua" w:hAnsi="Book Antiqua"/>
          <w:color w:val="000000" w:themeColor="text1"/>
          <w:sz w:val="24"/>
          <w:szCs w:val="24"/>
        </w:rPr>
        <w:t>, converting CNIs to mTORi</w:t>
      </w:r>
      <w:r w:rsidRPr="009F13FC">
        <w:rPr>
          <w:rFonts w:ascii="Book Antiqua" w:hAnsi="Book Antiqua"/>
          <w:color w:val="000000" w:themeColor="text1"/>
          <w:sz w:val="24"/>
          <w:szCs w:val="24"/>
          <w:vertAlign w:val="superscript"/>
        </w:rPr>
        <w:t>[64]</w:t>
      </w:r>
      <w:r w:rsidRPr="009F13FC">
        <w:rPr>
          <w:rFonts w:ascii="Book Antiqua" w:hAnsi="Book Antiqua"/>
          <w:color w:val="000000" w:themeColor="text1"/>
          <w:sz w:val="24"/>
          <w:szCs w:val="24"/>
        </w:rPr>
        <w:t>, or converting TAC in general dosage form to TAC in sustained-release dosage form</w:t>
      </w:r>
      <w:r w:rsidRPr="009F13FC">
        <w:rPr>
          <w:rFonts w:ascii="Book Antiqua" w:hAnsi="Book Antiqua"/>
          <w:color w:val="000000" w:themeColor="text1"/>
          <w:sz w:val="24"/>
          <w:szCs w:val="24"/>
          <w:vertAlign w:val="superscript"/>
        </w:rPr>
        <w:t>[63]</w:t>
      </w:r>
      <w:r w:rsidRPr="009F13FC">
        <w:rPr>
          <w:rFonts w:ascii="Book Antiqua" w:hAnsi="Book Antiqua"/>
          <w:color w:val="000000" w:themeColor="text1"/>
          <w:sz w:val="24"/>
          <w:szCs w:val="24"/>
        </w:rPr>
        <w:t>.</w:t>
      </w:r>
    </w:p>
    <w:p w14:paraId="11E221BF" w14:textId="7B16810A" w:rsidR="00A74436" w:rsidRPr="00D9152E" w:rsidRDefault="00A74436">
      <w:pPr>
        <w:adjustRightInd w:val="0"/>
        <w:snapToGrid w:val="0"/>
        <w:spacing w:line="360" w:lineRule="auto"/>
        <w:ind w:firstLine="420"/>
        <w:jc w:val="both"/>
        <w:rPr>
          <w:rFonts w:ascii="Book Antiqua" w:hAnsi="Book Antiqua"/>
          <w:color w:val="000000" w:themeColor="text1"/>
          <w:sz w:val="24"/>
          <w:szCs w:val="24"/>
        </w:rPr>
      </w:pPr>
      <w:bookmarkStart w:id="8" w:name="_2s8eyo1" w:colFirst="0" w:colLast="0"/>
      <w:bookmarkEnd w:id="8"/>
      <w:r w:rsidRPr="009F13FC">
        <w:rPr>
          <w:rFonts w:ascii="Book Antiqua" w:hAnsi="Book Antiqua"/>
          <w:color w:val="000000" w:themeColor="text1"/>
          <w:sz w:val="24"/>
          <w:szCs w:val="24"/>
        </w:rPr>
        <w:t>If the general treatment fails to control hyperuricemia effectively, drugs should be used. According to the classification and diagnosis criteria of hyperuricemia, drugs that promote uric acid excretion</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such as benzbromarone, fenofibrate, losartan</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those drugs that can inhibit uric acid production such as allopurinol, febuxostat and topiroxostat</w:t>
      </w:r>
      <w:r w:rsidR="00DE3A46"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can be </w:t>
      </w:r>
      <w:proofErr w:type="gramStart"/>
      <w:r w:rsidRPr="009F13FC">
        <w:rPr>
          <w:rFonts w:ascii="Book Antiqua" w:hAnsi="Book Antiqua"/>
          <w:color w:val="000000" w:themeColor="text1"/>
          <w:sz w:val="24"/>
          <w:szCs w:val="24"/>
        </w:rPr>
        <w:t>selected</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56]</w:t>
      </w:r>
      <w:r w:rsidRPr="009F13FC">
        <w:rPr>
          <w:rFonts w:ascii="Book Antiqua" w:hAnsi="Book Antiqua"/>
          <w:color w:val="000000" w:themeColor="text1"/>
          <w:sz w:val="24"/>
          <w:szCs w:val="24"/>
        </w:rPr>
        <w:t>. These drugs can effectively reduce SUA level, with no impact on the concentration of immunosuppressive agents reported</w:t>
      </w:r>
      <w:r w:rsidRPr="009F13FC">
        <w:rPr>
          <w:rFonts w:ascii="Book Antiqua" w:hAnsi="Book Antiqua"/>
          <w:color w:val="000000" w:themeColor="text1"/>
          <w:sz w:val="24"/>
          <w:szCs w:val="24"/>
          <w:vertAlign w:val="superscript"/>
        </w:rPr>
        <w:t>[6-8,57,65]</w:t>
      </w:r>
      <w:r w:rsidRPr="009F13FC">
        <w:rPr>
          <w:rFonts w:ascii="Book Antiqua" w:hAnsi="Book Antiqua"/>
          <w:color w:val="000000" w:themeColor="text1"/>
          <w:sz w:val="24"/>
          <w:szCs w:val="24"/>
        </w:rPr>
        <w:t xml:space="preserve">. Allopurinol and benzbromarone should be used cautiously in recipients with severe renal insufficiency. Instead, febuxostat or topiroxostat can be used when renal insufficiency exists. However, when liver function is severely impaired, febuxostat or topiroxostat should be used cautiously. Antihypertensive and lipid-lowering drugs, losartan and fenofibrate, also can decrease uric acid, and they are preferred for liver transplantation recipients with hypertension or </w:t>
      </w:r>
      <w:proofErr w:type="gramStart"/>
      <w:r w:rsidRPr="009F13FC">
        <w:rPr>
          <w:rFonts w:ascii="Book Antiqua" w:hAnsi="Book Antiqua"/>
          <w:color w:val="000000" w:themeColor="text1"/>
          <w:sz w:val="24"/>
          <w:szCs w:val="24"/>
        </w:rPr>
        <w:t>dyslipidemia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57]</w:t>
      </w:r>
      <w:r w:rsidRPr="009F13FC">
        <w:rPr>
          <w:rFonts w:ascii="Book Antiqua" w:hAnsi="Book Antiqua"/>
          <w:color w:val="000000" w:themeColor="text1"/>
          <w:sz w:val="24"/>
          <w:szCs w:val="24"/>
        </w:rPr>
        <w:t>.</w:t>
      </w:r>
    </w:p>
    <w:p w14:paraId="3368A7D0" w14:textId="29614456"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AF291D">
        <w:rPr>
          <w:rFonts w:ascii="Book Antiqua" w:hAnsi="Book Antiqua"/>
          <w:color w:val="000000" w:themeColor="text1"/>
          <w:sz w:val="24"/>
          <w:szCs w:val="24"/>
        </w:rPr>
        <w:t>As only observational studies have shown that both SUA and serum creatinine decreased with the uric acid-lowering therapy</w:t>
      </w:r>
      <w:r w:rsidRPr="00AF291D">
        <w:rPr>
          <w:rFonts w:ascii="Book Antiqua" w:hAnsi="Book Antiqua"/>
          <w:color w:val="000000" w:themeColor="text1"/>
          <w:sz w:val="24"/>
          <w:szCs w:val="24"/>
          <w:vertAlign w:val="superscript"/>
        </w:rPr>
        <w:t>[6,8]</w:t>
      </w:r>
      <w:r w:rsidRPr="00AF291D">
        <w:rPr>
          <w:rFonts w:ascii="Book Antiqua" w:hAnsi="Book Antiqua"/>
          <w:color w:val="000000" w:themeColor="text1"/>
          <w:sz w:val="24"/>
          <w:szCs w:val="24"/>
        </w:rPr>
        <w:t xml:space="preserve">, </w:t>
      </w:r>
      <w:r w:rsidR="00DE3A46" w:rsidRPr="00AF291D">
        <w:rPr>
          <w:rFonts w:ascii="Book Antiqua" w:hAnsi="Book Antiqua"/>
          <w:color w:val="000000" w:themeColor="text1"/>
          <w:sz w:val="24"/>
          <w:szCs w:val="24"/>
        </w:rPr>
        <w:t>additional studies are needed</w:t>
      </w:r>
      <w:r w:rsidRPr="009F13FC">
        <w:rPr>
          <w:rFonts w:ascii="Book Antiqua" w:hAnsi="Book Antiqua"/>
          <w:color w:val="000000" w:themeColor="text1"/>
          <w:sz w:val="24"/>
          <w:szCs w:val="24"/>
        </w:rPr>
        <w:t xml:space="preserve"> to confirm whether uric acid-lowering therapy can effectively improve the renal function of liver transplant recipients and reduce the mortality.</w:t>
      </w:r>
    </w:p>
    <w:p w14:paraId="6B799563" w14:textId="5CF83C3F"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12: </w:t>
      </w:r>
      <w:r w:rsidRPr="009F13FC">
        <w:rPr>
          <w:rFonts w:ascii="Book Antiqua" w:hAnsi="Book Antiqua"/>
          <w:bCs/>
          <w:color w:val="000000" w:themeColor="text1"/>
          <w:sz w:val="24"/>
          <w:szCs w:val="24"/>
        </w:rPr>
        <w:t>The long-term control target of SUA after liver transplantation is as follows: for patients with hyperuricemia complicated with cardiovascular risk factors and cardiovascular disease, SUA should be lower than 360 μmol/L; for patients with gout, SUA should be lower than 300 μmol/L.</w:t>
      </w:r>
    </w:p>
    <w:p w14:paraId="3264D500" w14:textId="138759B5"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13: </w:t>
      </w:r>
      <w:r w:rsidRPr="009F13FC">
        <w:rPr>
          <w:rFonts w:ascii="Book Antiqua" w:hAnsi="Book Antiqua"/>
          <w:bCs/>
          <w:color w:val="000000" w:themeColor="text1"/>
          <w:sz w:val="24"/>
          <w:szCs w:val="24"/>
        </w:rPr>
        <w:t xml:space="preserve">Reduction or even withdrawal of CNIs after liver transplantation combined with MPA or mTORi can contribute to </w:t>
      </w:r>
      <w:r w:rsidR="00054CBF" w:rsidRPr="009F13FC">
        <w:rPr>
          <w:rFonts w:ascii="Book Antiqua" w:hAnsi="Book Antiqua"/>
          <w:bCs/>
          <w:color w:val="000000" w:themeColor="text1"/>
          <w:sz w:val="24"/>
          <w:szCs w:val="24"/>
        </w:rPr>
        <w:t>the reduction of</w:t>
      </w:r>
      <w:r w:rsidRPr="009F13FC">
        <w:rPr>
          <w:rFonts w:ascii="Book Antiqua" w:hAnsi="Book Antiqua"/>
          <w:bCs/>
          <w:color w:val="000000" w:themeColor="text1"/>
          <w:sz w:val="24"/>
          <w:szCs w:val="24"/>
        </w:rPr>
        <w:t xml:space="preserve"> SUA.</w:t>
      </w:r>
    </w:p>
    <w:p w14:paraId="26612A34" w14:textId="0B82C97B"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14: </w:t>
      </w:r>
      <w:r w:rsidRPr="009F13FC">
        <w:rPr>
          <w:rFonts w:ascii="Book Antiqua" w:hAnsi="Book Antiqua"/>
          <w:bCs/>
          <w:color w:val="000000" w:themeColor="text1"/>
          <w:sz w:val="24"/>
          <w:szCs w:val="24"/>
        </w:rPr>
        <w:t xml:space="preserve">Drugs that promote uric acid excretion or inhibit uric acid production should be selected according to the classification and diagnostic criteria of HUA. Recipients with severe renal insufficiency can be treated with febuxostat or topiroxostat, and benzbromarone can be used when liver function is severely </w:t>
      </w:r>
      <w:r w:rsidRPr="009F13FC">
        <w:rPr>
          <w:rFonts w:ascii="Book Antiqua" w:hAnsi="Book Antiqua"/>
          <w:bCs/>
          <w:color w:val="000000" w:themeColor="text1"/>
          <w:sz w:val="24"/>
          <w:szCs w:val="24"/>
        </w:rPr>
        <w:lastRenderedPageBreak/>
        <w:t>impaired. Losartan and fenofibrate can be used for recipients with hypertension and for those with dyslipidemia</w:t>
      </w:r>
      <w:r w:rsidR="00054CBF"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respectively.</w:t>
      </w:r>
    </w:p>
    <w:p w14:paraId="33A32442"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7E0834DE" w14:textId="789CD4F8" w:rsidR="00A74436" w:rsidRPr="009F13FC" w:rsidRDefault="00A74436">
      <w:pPr>
        <w:adjustRightInd w:val="0"/>
        <w:snapToGrid w:val="0"/>
        <w:spacing w:line="360" w:lineRule="auto"/>
        <w:jc w:val="both"/>
        <w:rPr>
          <w:rFonts w:ascii="Book Antiqua" w:hAnsi="Book Antiqua"/>
          <w:bCs/>
          <w:i/>
          <w:iCs/>
          <w:color w:val="000000" w:themeColor="text1"/>
          <w:sz w:val="24"/>
          <w:szCs w:val="24"/>
        </w:rPr>
      </w:pPr>
      <w:r w:rsidRPr="009F13FC">
        <w:rPr>
          <w:rFonts w:ascii="Book Antiqua" w:hAnsi="Book Antiqua"/>
          <w:b/>
          <w:i/>
          <w:iCs/>
          <w:color w:val="000000" w:themeColor="text1"/>
          <w:sz w:val="24"/>
          <w:szCs w:val="24"/>
        </w:rPr>
        <w:t>Prophylaxis and treatment of obesity</w:t>
      </w:r>
    </w:p>
    <w:p w14:paraId="1BE115BF" w14:textId="472ACF9A" w:rsidR="00A74436" w:rsidRPr="009F13FC" w:rsidRDefault="00A74436">
      <w:pPr>
        <w:adjustRightInd w:val="0"/>
        <w:snapToGrid w:val="0"/>
        <w:spacing w:line="360" w:lineRule="auto"/>
        <w:jc w:val="both"/>
        <w:rPr>
          <w:rFonts w:ascii="Book Antiqua" w:hAnsi="Book Antiqua"/>
          <w:color w:val="000000" w:themeColor="text1"/>
          <w:sz w:val="24"/>
          <w:szCs w:val="24"/>
        </w:rPr>
      </w:pPr>
      <w:r w:rsidRPr="009F13FC">
        <w:rPr>
          <w:rFonts w:ascii="Book Antiqua" w:eastAsia="Gungsuh" w:hAnsi="Book Antiqua" w:cs="Gungsuh"/>
          <w:color w:val="000000" w:themeColor="text1"/>
          <w:sz w:val="24"/>
          <w:szCs w:val="24"/>
        </w:rPr>
        <w:t xml:space="preserve">The World Health Organization defines obesity as body mass index (BMI)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30 kg/m</w:t>
      </w:r>
      <w:r w:rsidRPr="009F13FC">
        <w:rPr>
          <w:rFonts w:ascii="Book Antiqua" w:hAnsi="Book Antiqua"/>
          <w:color w:val="000000" w:themeColor="text1"/>
          <w:sz w:val="24"/>
          <w:szCs w:val="24"/>
          <w:vertAlign w:val="superscript"/>
        </w:rPr>
        <w:t>2</w:t>
      </w:r>
      <w:r w:rsidR="00054CBF" w:rsidRPr="009F13FC">
        <w:rPr>
          <w:rFonts w:ascii="Book Antiqua" w:hAnsi="Book Antiqua"/>
          <w:color w:val="000000" w:themeColor="text1"/>
          <w:sz w:val="24"/>
          <w:szCs w:val="24"/>
        </w:rPr>
        <w:t xml:space="preserve">, and it </w:t>
      </w:r>
      <w:r w:rsidRPr="009F13FC">
        <w:rPr>
          <w:rFonts w:ascii="Book Antiqua" w:hAnsi="Book Antiqua"/>
          <w:color w:val="000000" w:themeColor="text1"/>
          <w:sz w:val="24"/>
          <w:szCs w:val="24"/>
        </w:rPr>
        <w:t>is further classified into type I obesity (BMI 30</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34.9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type II obesity (BMI 34.9</w:t>
      </w:r>
      <w:r w:rsidR="006C2F11" w:rsidRPr="009F13FC">
        <w:rPr>
          <w:rFonts w:ascii="Book Antiqua" w:hAnsi="Book Antiqua"/>
          <w:color w:val="000000" w:themeColor="text1"/>
          <w:sz w:val="24"/>
          <w:szCs w:val="24"/>
        </w:rPr>
        <w:t>-</w:t>
      </w:r>
      <w:r w:rsidRPr="009F13FC">
        <w:rPr>
          <w:rFonts w:ascii="Book Antiqua" w:hAnsi="Book Antiqua"/>
          <w:color w:val="000000" w:themeColor="text1"/>
          <w:sz w:val="24"/>
          <w:szCs w:val="24"/>
        </w:rPr>
        <w:t>40 kg/m</w:t>
      </w:r>
      <w:r w:rsidRPr="009F13FC">
        <w:rPr>
          <w:rFonts w:ascii="Book Antiqua" w:eastAsia="Gungsuh" w:hAnsi="Book Antiqua" w:cs="Gungsuh"/>
          <w:color w:val="000000" w:themeColor="text1"/>
          <w:sz w:val="24"/>
          <w:szCs w:val="24"/>
          <w:vertAlign w:val="superscript"/>
        </w:rPr>
        <w:t>2</w:t>
      </w:r>
      <w:r w:rsidRPr="009F13FC">
        <w:rPr>
          <w:rFonts w:ascii="Book Antiqua" w:eastAsia="Gungsuh" w:hAnsi="Book Antiqua" w:cs="Gungsuh"/>
          <w:color w:val="000000" w:themeColor="text1"/>
          <w:sz w:val="24"/>
          <w:szCs w:val="24"/>
        </w:rPr>
        <w:t xml:space="preserve">), </w:t>
      </w:r>
      <w:r w:rsidR="00B17C8D" w:rsidRPr="009F13FC">
        <w:rPr>
          <w:rFonts w:ascii="Book Antiqua" w:eastAsia="Gungsuh" w:hAnsi="Book Antiqua" w:cs="Gungsuh"/>
          <w:color w:val="000000" w:themeColor="text1"/>
          <w:sz w:val="24"/>
          <w:szCs w:val="24"/>
        </w:rPr>
        <w:t xml:space="preserve">and </w:t>
      </w:r>
      <w:r w:rsidRPr="009F13FC">
        <w:rPr>
          <w:rFonts w:ascii="Book Antiqua" w:eastAsia="Gungsuh" w:hAnsi="Book Antiqua" w:cs="Gungsuh"/>
          <w:color w:val="000000" w:themeColor="text1"/>
          <w:sz w:val="24"/>
          <w:szCs w:val="24"/>
        </w:rPr>
        <w:t xml:space="preserve">type III obesity (BMI </w:t>
      </w:r>
      <w:r w:rsidRPr="009F13FC">
        <w:rPr>
          <w:rFonts w:ascii="Book Antiqua" w:eastAsia="Gungsuh" w:hAnsi="Book Antiqua" w:cs="Gungsuh" w:hint="eastAsia"/>
          <w:color w:val="000000" w:themeColor="text1"/>
          <w:sz w:val="24"/>
          <w:szCs w:val="24"/>
        </w:rPr>
        <w:t>≥</w:t>
      </w:r>
      <w:r w:rsidRPr="009F13FC">
        <w:rPr>
          <w:rFonts w:ascii="Book Antiqua" w:eastAsia="Gungsuh" w:hAnsi="Book Antiqua" w:cs="Gungsuh"/>
          <w:color w:val="000000" w:themeColor="text1"/>
          <w:sz w:val="24"/>
          <w:szCs w:val="24"/>
        </w:rPr>
        <w:t xml:space="preserve"> 40 kg/m</w:t>
      </w:r>
      <w:r w:rsidRPr="009F13FC">
        <w:rPr>
          <w:rFonts w:ascii="Book Antiqua" w:eastAsia="Gungsuh" w:hAnsi="Book Antiqua" w:cs="Gungsuh"/>
          <w:color w:val="000000" w:themeColor="text1"/>
          <w:sz w:val="24"/>
          <w:szCs w:val="24"/>
          <w:vertAlign w:val="superscript"/>
        </w:rPr>
        <w:t>2</w:t>
      </w:r>
      <w:r w:rsidRPr="009F13FC">
        <w:rPr>
          <w:rFonts w:ascii="Book Antiqua" w:hAnsi="Book Antiqua"/>
          <w:color w:val="000000" w:themeColor="text1"/>
          <w:sz w:val="24"/>
          <w:szCs w:val="24"/>
        </w:rPr>
        <w:t>)</w:t>
      </w:r>
      <w:r w:rsidRPr="009F13FC">
        <w:rPr>
          <w:rFonts w:ascii="Book Antiqua" w:hAnsi="Book Antiqua"/>
          <w:color w:val="000000" w:themeColor="text1"/>
          <w:sz w:val="24"/>
          <w:szCs w:val="24"/>
          <w:vertAlign w:val="superscript"/>
        </w:rPr>
        <w:t>[66]</w:t>
      </w:r>
      <w:r w:rsidRPr="009F13FC">
        <w:rPr>
          <w:rFonts w:ascii="Book Antiqua" w:hAnsi="Book Antiqua"/>
          <w:color w:val="000000" w:themeColor="text1"/>
          <w:sz w:val="24"/>
          <w:szCs w:val="24"/>
        </w:rPr>
        <w:t>; when BMI is above 40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it is pathological obesity</w:t>
      </w:r>
      <w:r w:rsidRPr="009F13FC">
        <w:rPr>
          <w:rFonts w:ascii="Book Antiqua" w:hAnsi="Book Antiqua"/>
          <w:color w:val="000000" w:themeColor="text1"/>
          <w:sz w:val="24"/>
          <w:szCs w:val="24"/>
          <w:vertAlign w:val="superscript"/>
        </w:rPr>
        <w:t>[67]</w:t>
      </w:r>
      <w:r w:rsidRPr="009F13FC">
        <w:rPr>
          <w:rFonts w:ascii="Book Antiqua" w:eastAsia="Gungsuh" w:hAnsi="Book Antiqua" w:cs="Gungsuh"/>
          <w:color w:val="000000" w:themeColor="text1"/>
          <w:sz w:val="24"/>
          <w:szCs w:val="24"/>
        </w:rPr>
        <w:t xml:space="preserve">. New-onset obesity after liver transplantation is defined as BMI </w:t>
      </w:r>
      <w:r w:rsidRPr="009F13FC">
        <w:rPr>
          <w:rFonts w:ascii="Book Antiqua" w:eastAsia="Gungsuh" w:hAnsi="Book Antiqua" w:cs="Gungsuh" w:hint="eastAsia"/>
          <w:color w:val="000000" w:themeColor="text1"/>
          <w:sz w:val="24"/>
          <w:szCs w:val="24"/>
        </w:rPr>
        <w:t>≥</w:t>
      </w:r>
      <w:r w:rsidR="006C2F11" w:rsidRPr="009F13FC">
        <w:rPr>
          <w:rFonts w:ascii="Book Antiqua" w:eastAsia="Gungsuh" w:hAnsi="Book Antiqua" w:cs="Gungsuh"/>
          <w:color w:val="000000" w:themeColor="text1"/>
          <w:sz w:val="24"/>
          <w:szCs w:val="24"/>
        </w:rPr>
        <w:t xml:space="preserve"> </w:t>
      </w:r>
      <w:r w:rsidRPr="009F13FC">
        <w:rPr>
          <w:rFonts w:ascii="Book Antiqua" w:eastAsia="Gungsuh" w:hAnsi="Book Antiqua" w:cs="Gungsuh"/>
          <w:color w:val="000000" w:themeColor="text1"/>
          <w:sz w:val="24"/>
          <w:szCs w:val="24"/>
        </w:rPr>
        <w:t>30 kg/</w:t>
      </w:r>
      <w:proofErr w:type="gramStart"/>
      <w:r w:rsidRPr="009F13FC">
        <w:rPr>
          <w:rFonts w:ascii="Book Antiqua" w:eastAsia="Gungsuh" w:hAnsi="Book Antiqua" w:cs="Gungsuh"/>
          <w:color w:val="000000" w:themeColor="text1"/>
          <w:sz w:val="24"/>
          <w:szCs w:val="24"/>
        </w:rPr>
        <w:t>m</w:t>
      </w:r>
      <w:r w:rsidRPr="009F13FC">
        <w:rPr>
          <w:rFonts w:ascii="Book Antiqua" w:eastAsia="Gungsuh" w:hAnsi="Book Antiqua" w:cs="Gungsuh"/>
          <w:color w:val="000000" w:themeColor="text1"/>
          <w:sz w:val="24"/>
          <w:szCs w:val="24"/>
          <w:vertAlign w:val="superscript"/>
        </w:rPr>
        <w:t>2</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68]</w:t>
      </w:r>
      <w:r w:rsidRPr="009F13FC">
        <w:rPr>
          <w:rFonts w:ascii="Book Antiqua" w:hAnsi="Book Antiqua"/>
          <w:color w:val="000000" w:themeColor="text1"/>
          <w:sz w:val="24"/>
          <w:szCs w:val="24"/>
        </w:rPr>
        <w:t xml:space="preserve"> during the follow-up after transplantation. Studies showed that the incidence of obesity at </w:t>
      </w:r>
      <w:r w:rsidR="00B17C8D"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year and </w:t>
      </w:r>
      <w:r w:rsidR="00B17C8D"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 years post</w:t>
      </w:r>
      <w:r w:rsidR="00B17C8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transplantation in adult recipients was 23.7% and 30.6%</w:t>
      </w:r>
      <w:r w:rsidRPr="009F13FC">
        <w:rPr>
          <w:rFonts w:ascii="Book Antiqua" w:hAnsi="Book Antiqua"/>
          <w:color w:val="000000" w:themeColor="text1"/>
          <w:sz w:val="24"/>
          <w:szCs w:val="24"/>
          <w:vertAlign w:val="superscript"/>
        </w:rPr>
        <w:t>[</w:t>
      </w:r>
      <w:r w:rsidR="006C2F11" w:rsidRPr="009F13FC">
        <w:rPr>
          <w:rFonts w:ascii="Book Antiqua" w:hAnsi="Book Antiqua"/>
          <w:color w:val="000000" w:themeColor="text1"/>
          <w:sz w:val="24"/>
          <w:szCs w:val="24"/>
          <w:vertAlign w:val="superscript"/>
        </w:rPr>
        <w:t>10,</w:t>
      </w:r>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 xml:space="preserve"> respectively, while it was 19% and 18%</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respectively</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in pediatric recipients</w:t>
      </w:r>
      <w:r w:rsidRPr="009F13FC">
        <w:rPr>
          <w:rFonts w:ascii="Book Antiqua" w:hAnsi="Book Antiqua"/>
          <w:color w:val="000000" w:themeColor="text1"/>
          <w:sz w:val="24"/>
          <w:szCs w:val="24"/>
          <w:vertAlign w:val="superscript"/>
        </w:rPr>
        <w:t>[11]</w:t>
      </w:r>
      <w:r w:rsidRPr="009F13FC">
        <w:rPr>
          <w:rFonts w:ascii="Book Antiqua" w:hAnsi="Book Antiqua"/>
          <w:color w:val="000000" w:themeColor="text1"/>
          <w:sz w:val="24"/>
          <w:szCs w:val="24"/>
        </w:rPr>
        <w:t>. Obesity is closely associated with the outcome of liver transplant recipients, and overall survival decreases in obese recipients</w:t>
      </w:r>
      <w:r w:rsidRPr="009F13FC">
        <w:rPr>
          <w:rFonts w:ascii="Book Antiqua" w:hAnsi="Book Antiqua"/>
          <w:color w:val="000000" w:themeColor="text1"/>
          <w:sz w:val="24"/>
          <w:szCs w:val="24"/>
          <w:vertAlign w:val="superscript"/>
        </w:rPr>
        <w:t>[70],</w:t>
      </w:r>
      <w:r w:rsidRPr="009F13FC">
        <w:rPr>
          <w:rFonts w:ascii="Book Antiqua" w:hAnsi="Book Antiqua"/>
          <w:color w:val="000000" w:themeColor="text1"/>
          <w:sz w:val="24"/>
          <w:szCs w:val="24"/>
        </w:rPr>
        <w:t xml:space="preserve"> Moreover, new-onset obesity in liver transplant recipients is closely related to cardiovascular events, infections</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respiratory failure</w:t>
      </w:r>
      <w:r w:rsidRPr="009F13FC">
        <w:rPr>
          <w:rFonts w:ascii="Book Antiqua" w:hAnsi="Book Antiqua"/>
          <w:color w:val="000000" w:themeColor="text1"/>
          <w:sz w:val="24"/>
          <w:szCs w:val="24"/>
          <w:vertAlign w:val="superscript"/>
        </w:rPr>
        <w:t>[68,71]</w:t>
      </w:r>
      <w:r w:rsidRPr="009F13FC">
        <w:rPr>
          <w:rFonts w:ascii="Book Antiqua" w:hAnsi="Book Antiqua"/>
          <w:color w:val="000000" w:themeColor="text1"/>
          <w:sz w:val="24"/>
          <w:szCs w:val="24"/>
        </w:rPr>
        <w:t>. BMI after liver transplantation should be controlled below 30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and within 25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as far as possible.</w:t>
      </w:r>
    </w:p>
    <w:p w14:paraId="250C05D9" w14:textId="42DCD299" w:rsidR="00A74436"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Weight gain and subsequent obesity are driven by a complex interplay of genetic, physiological, behavioral, and environmental factors</w:t>
      </w:r>
      <w:r w:rsidRPr="009F13FC">
        <w:rPr>
          <w:rFonts w:ascii="Book Antiqua" w:hAnsi="Book Antiqua"/>
          <w:color w:val="000000" w:themeColor="text1"/>
          <w:sz w:val="24"/>
          <w:szCs w:val="24"/>
          <w:vertAlign w:val="superscript"/>
        </w:rPr>
        <w:t>[72]</w:t>
      </w:r>
      <w:r w:rsidRPr="009F13FC">
        <w:rPr>
          <w:rFonts w:ascii="Book Antiqua" w:hAnsi="Book Antiqua"/>
          <w:color w:val="000000" w:themeColor="text1"/>
          <w:sz w:val="24"/>
          <w:szCs w:val="24"/>
        </w:rPr>
        <w:t>. Obesity before transplantation is a very high risk</w:t>
      </w:r>
      <w:r w:rsidR="00B17C8D" w:rsidRPr="009F13FC">
        <w:rPr>
          <w:rFonts w:ascii="Book Antiqua" w:hAnsi="Book Antiqua"/>
          <w:color w:val="000000" w:themeColor="text1"/>
          <w:sz w:val="24"/>
          <w:szCs w:val="24"/>
        </w:rPr>
        <w:t xml:space="preserve"> factor</w:t>
      </w:r>
      <w:r w:rsidRPr="009F13FC">
        <w:rPr>
          <w:rFonts w:ascii="Book Antiqua" w:hAnsi="Book Antiqua"/>
          <w:color w:val="000000" w:themeColor="text1"/>
          <w:sz w:val="24"/>
          <w:szCs w:val="24"/>
        </w:rPr>
        <w:t xml:space="preserve"> for obesity after transplantation</w:t>
      </w:r>
      <w:r w:rsidRPr="009F13FC">
        <w:rPr>
          <w:rFonts w:ascii="Book Antiqua" w:hAnsi="Book Antiqua"/>
          <w:color w:val="000000" w:themeColor="text1"/>
          <w:sz w:val="24"/>
          <w:szCs w:val="24"/>
          <w:vertAlign w:val="superscript"/>
        </w:rPr>
        <w:t>[73]</w:t>
      </w:r>
      <w:r w:rsidRPr="009F13FC">
        <w:rPr>
          <w:rFonts w:ascii="Book Antiqua" w:hAnsi="Book Antiqua"/>
          <w:color w:val="000000" w:themeColor="text1"/>
          <w:sz w:val="24"/>
          <w:szCs w:val="24"/>
        </w:rPr>
        <w:t>. Other risk factors include genetic</w:t>
      </w:r>
      <w:r w:rsidR="00B17C8D"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psychological factors (such as depression), age, sex, race, dietary habits, exercise habits, immunosuppressive agents,</w:t>
      </w:r>
      <w:r w:rsidRPr="009F13FC">
        <w:rPr>
          <w:rFonts w:ascii="Book Antiqua" w:hAnsi="Book Antiqua"/>
          <w:i/>
          <w:iCs/>
          <w:color w:val="000000" w:themeColor="text1"/>
          <w:sz w:val="24"/>
          <w:szCs w:val="24"/>
        </w:rPr>
        <w:t xml:space="preserve"> </w:t>
      </w:r>
      <w:proofErr w:type="gramStart"/>
      <w:r w:rsidRPr="009F13FC">
        <w:rPr>
          <w:rFonts w:ascii="Book Antiqua" w:hAnsi="Book Antiqua"/>
          <w:i/>
          <w:iCs/>
          <w:color w:val="000000" w:themeColor="text1"/>
          <w:sz w:val="24"/>
          <w:szCs w:val="24"/>
        </w:rPr>
        <w:t>etc</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68,74]</w:t>
      </w:r>
      <w:r w:rsidRPr="009F13FC">
        <w:rPr>
          <w:rFonts w:ascii="Book Antiqua" w:hAnsi="Book Antiqua"/>
          <w:color w:val="000000" w:themeColor="text1"/>
          <w:sz w:val="24"/>
          <w:szCs w:val="24"/>
        </w:rPr>
        <w:t xml:space="preserve">. For liver transplant recipients treated with immunosuppressive agents, the dose and duration of glucocorticoids are the main causes of weight </w:t>
      </w:r>
      <w:proofErr w:type="gramStart"/>
      <w:r w:rsidRPr="009F13FC">
        <w:rPr>
          <w:rFonts w:ascii="Book Antiqua" w:hAnsi="Book Antiqua"/>
          <w:color w:val="000000" w:themeColor="text1"/>
          <w:sz w:val="24"/>
          <w:szCs w:val="24"/>
        </w:rPr>
        <w:t>gain</w:t>
      </w:r>
      <w:r w:rsidRPr="009F13FC">
        <w:rPr>
          <w:rFonts w:ascii="Book Antiqua" w:hAnsi="Book Antiqua"/>
          <w:color w:val="000000" w:themeColor="text1"/>
          <w:sz w:val="24"/>
          <w:szCs w:val="24"/>
          <w:vertAlign w:val="superscript"/>
        </w:rPr>
        <w:t>[</w:t>
      </w:r>
      <w:proofErr w:type="gramEnd"/>
      <w:r w:rsidR="006C2F11" w:rsidRPr="009F13FC">
        <w:rPr>
          <w:rFonts w:ascii="Book Antiqua" w:hAnsi="Book Antiqua"/>
          <w:color w:val="000000" w:themeColor="text1"/>
          <w:sz w:val="24"/>
          <w:szCs w:val="24"/>
          <w:vertAlign w:val="superscript"/>
        </w:rPr>
        <w:t>10,</w:t>
      </w:r>
      <w:r w:rsidRPr="009F13FC">
        <w:rPr>
          <w:rFonts w:ascii="Book Antiqua" w:hAnsi="Book Antiqua"/>
          <w:color w:val="000000" w:themeColor="text1"/>
          <w:sz w:val="24"/>
          <w:szCs w:val="24"/>
          <w:vertAlign w:val="superscript"/>
        </w:rPr>
        <w:t>68]</w:t>
      </w:r>
      <w:r w:rsidRPr="009F13FC">
        <w:rPr>
          <w:rFonts w:ascii="Book Antiqua" w:hAnsi="Book Antiqua"/>
          <w:color w:val="000000" w:themeColor="text1"/>
          <w:sz w:val="24"/>
          <w:szCs w:val="24"/>
        </w:rPr>
        <w:t>. The standard-dose CNIs cause more weight gain than reduced CNIs combined with MMF or mTORi</w:t>
      </w:r>
      <w:r w:rsidRPr="009F13FC">
        <w:rPr>
          <w:rFonts w:ascii="Book Antiqua" w:hAnsi="Book Antiqua"/>
          <w:color w:val="000000" w:themeColor="text1"/>
          <w:sz w:val="24"/>
          <w:szCs w:val="24"/>
          <w:vertAlign w:val="superscript"/>
        </w:rPr>
        <w:t>[75]</w:t>
      </w:r>
      <w:r w:rsidRPr="009F13FC">
        <w:rPr>
          <w:rFonts w:ascii="Book Antiqua" w:hAnsi="Book Antiqua"/>
          <w:color w:val="000000" w:themeColor="text1"/>
          <w:sz w:val="24"/>
          <w:szCs w:val="24"/>
        </w:rPr>
        <w:t xml:space="preserve">. It has been reported that TAC users are more likely to gain weight </w:t>
      </w:r>
      <w:r w:rsidR="00B17C8D"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year after liver transplantation than CSA </w:t>
      </w:r>
      <w:proofErr w:type="gramStart"/>
      <w:r w:rsidRPr="009F13FC">
        <w:rPr>
          <w:rFonts w:ascii="Book Antiqua" w:hAnsi="Book Antiqua"/>
          <w:color w:val="000000" w:themeColor="text1"/>
          <w:sz w:val="24"/>
          <w:szCs w:val="24"/>
        </w:rPr>
        <w:t>users</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69]</w:t>
      </w:r>
      <w:r w:rsidRPr="009F13FC">
        <w:rPr>
          <w:rFonts w:ascii="Book Antiqua" w:hAnsi="Book Antiqua"/>
          <w:color w:val="000000" w:themeColor="text1"/>
          <w:sz w:val="24"/>
          <w:szCs w:val="24"/>
        </w:rPr>
        <w:t>.</w:t>
      </w:r>
    </w:p>
    <w:p w14:paraId="3BF584A8" w14:textId="79E35B7B" w:rsidR="006C2F11" w:rsidRPr="009F13FC" w:rsidRDefault="00A74436">
      <w:pPr>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Obese recipients can control BMI below 25 kg/m</w:t>
      </w:r>
      <w:r w:rsidRPr="009F13FC">
        <w:rPr>
          <w:rFonts w:ascii="Book Antiqua" w:hAnsi="Book Antiqua"/>
          <w:color w:val="000000" w:themeColor="text1"/>
          <w:sz w:val="24"/>
          <w:szCs w:val="24"/>
          <w:vertAlign w:val="superscript"/>
        </w:rPr>
        <w:t>2</w:t>
      </w:r>
      <w:r w:rsidRPr="009F13FC">
        <w:rPr>
          <w:rFonts w:ascii="Book Antiqua" w:hAnsi="Book Antiqua"/>
          <w:color w:val="000000" w:themeColor="text1"/>
          <w:sz w:val="24"/>
          <w:szCs w:val="24"/>
        </w:rPr>
        <w:t xml:space="preserve"> by changing their lifestyle (diet/exercise)</w:t>
      </w:r>
      <w:r w:rsidR="00B17C8D" w:rsidRPr="009F13FC">
        <w:rPr>
          <w:rFonts w:ascii="Book Antiqua" w:hAnsi="Book Antiqua"/>
          <w:color w:val="000000" w:themeColor="text1"/>
          <w:sz w:val="24"/>
          <w:szCs w:val="24"/>
        </w:rPr>
        <w:t xml:space="preserve"> and</w:t>
      </w:r>
      <w:r w:rsidRPr="009F13FC">
        <w:rPr>
          <w:rFonts w:ascii="Book Antiqua" w:hAnsi="Book Antiqua"/>
          <w:color w:val="000000" w:themeColor="text1"/>
          <w:sz w:val="24"/>
          <w:szCs w:val="24"/>
        </w:rPr>
        <w:t xml:space="preserve"> medication</w:t>
      </w:r>
      <w:r w:rsidR="00B17C8D" w:rsidRPr="009F13FC">
        <w:rPr>
          <w:rFonts w:ascii="Book Antiqua" w:hAnsi="Book Antiqua"/>
          <w:color w:val="000000" w:themeColor="text1"/>
          <w:sz w:val="24"/>
          <w:szCs w:val="24"/>
        </w:rPr>
        <w:t xml:space="preserve"> and by undergoing</w:t>
      </w:r>
      <w:r w:rsidRPr="009F13FC">
        <w:rPr>
          <w:rFonts w:ascii="Book Antiqua" w:hAnsi="Book Antiqua"/>
          <w:color w:val="000000" w:themeColor="text1"/>
          <w:sz w:val="24"/>
          <w:szCs w:val="24"/>
        </w:rPr>
        <w:t xml:space="preserve"> surgery when appropriate</w:t>
      </w:r>
      <w:r w:rsidRPr="009F13FC">
        <w:rPr>
          <w:rFonts w:ascii="Book Antiqua" w:hAnsi="Book Antiqua"/>
          <w:color w:val="000000" w:themeColor="text1"/>
          <w:sz w:val="24"/>
          <w:szCs w:val="24"/>
          <w:vertAlign w:val="superscript"/>
        </w:rPr>
        <w:t>[27]</w:t>
      </w:r>
      <w:r w:rsidRPr="009F13FC">
        <w:rPr>
          <w:rFonts w:ascii="Book Antiqua" w:hAnsi="Book Antiqua"/>
          <w:color w:val="000000" w:themeColor="text1"/>
          <w:sz w:val="24"/>
          <w:szCs w:val="24"/>
        </w:rPr>
        <w:t xml:space="preserve">. Reduction or discontinuation of glucocorticoids is recommended for high-risk </w:t>
      </w:r>
      <w:r w:rsidRPr="009F13FC">
        <w:rPr>
          <w:rFonts w:ascii="Book Antiqua" w:hAnsi="Book Antiqua"/>
          <w:color w:val="000000" w:themeColor="text1"/>
          <w:sz w:val="24"/>
          <w:szCs w:val="24"/>
        </w:rPr>
        <w:lastRenderedPageBreak/>
        <w:t>recipients, and early conversion of TAC to CsA may also be considered</w:t>
      </w:r>
      <w:r w:rsidRPr="009F13FC">
        <w:rPr>
          <w:rFonts w:ascii="Book Antiqua" w:hAnsi="Book Antiqua"/>
          <w:color w:val="000000" w:themeColor="text1"/>
          <w:sz w:val="24"/>
          <w:szCs w:val="24"/>
          <w:vertAlign w:val="superscript"/>
        </w:rPr>
        <w:t>[76]</w:t>
      </w:r>
      <w:r w:rsidRPr="009F13FC">
        <w:rPr>
          <w:rFonts w:ascii="Book Antiqua" w:hAnsi="Book Antiqua"/>
          <w:color w:val="000000" w:themeColor="text1"/>
          <w:sz w:val="24"/>
          <w:szCs w:val="24"/>
        </w:rPr>
        <w:t>. In addition to improving lifestyle and adjusting immunosuppressive agents, drugs and weight-loss surgery should be introduced in the early post</w:t>
      </w:r>
      <w:r w:rsidR="00011F4E" w:rsidRPr="009F13FC">
        <w:rPr>
          <w:rFonts w:ascii="Book Antiqua" w:hAnsi="Book Antiqua"/>
          <w:color w:val="000000" w:themeColor="text1"/>
          <w:sz w:val="24"/>
          <w:szCs w:val="24"/>
        </w:rPr>
        <w:t>-</w:t>
      </w:r>
      <w:r w:rsidRPr="009F13FC">
        <w:rPr>
          <w:rFonts w:ascii="Book Antiqua" w:hAnsi="Book Antiqua"/>
          <w:color w:val="000000" w:themeColor="text1"/>
          <w:sz w:val="24"/>
          <w:szCs w:val="24"/>
        </w:rPr>
        <w:t>transplant period when necessary</w:t>
      </w:r>
      <w:r w:rsidRPr="009F13FC">
        <w:rPr>
          <w:rFonts w:ascii="Book Antiqua" w:hAnsi="Book Antiqua"/>
          <w:color w:val="000000" w:themeColor="text1"/>
          <w:sz w:val="24"/>
          <w:szCs w:val="24"/>
          <w:vertAlign w:val="superscript"/>
        </w:rPr>
        <w:t>[77]</w:t>
      </w:r>
      <w:r w:rsidRPr="009F13FC">
        <w:rPr>
          <w:rFonts w:ascii="Book Antiqua" w:hAnsi="Book Antiqua"/>
          <w:color w:val="000000" w:themeColor="text1"/>
          <w:sz w:val="24"/>
          <w:szCs w:val="24"/>
        </w:rPr>
        <w:t>. Drugs for obesity can be classified into non-central weight-loss drugs (with orlistat as the representative drug), central weight-loss drugs (sympathomimetic drugs, such as phentermine; 5-hydroxytryptamine drugs, such as lorcaserin)</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hypoglycemic drugs (such as metformin, liraglutide)</w:t>
      </w:r>
      <w:r w:rsidRPr="009F13FC">
        <w:rPr>
          <w:rFonts w:ascii="Book Antiqua" w:hAnsi="Book Antiqua"/>
          <w:color w:val="000000" w:themeColor="text1"/>
          <w:sz w:val="24"/>
          <w:szCs w:val="24"/>
          <w:vertAlign w:val="superscript"/>
        </w:rPr>
        <w:t>[78]</w:t>
      </w:r>
      <w:r w:rsidRPr="009F13FC">
        <w:rPr>
          <w:rFonts w:ascii="Book Antiqua" w:hAnsi="Book Antiqua"/>
          <w:color w:val="000000" w:themeColor="text1"/>
          <w:sz w:val="24"/>
          <w:szCs w:val="24"/>
        </w:rPr>
        <w:t>. For liver transplant recipients with refractory obesity, it is difficult to achieve significant results through diet, exercise</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drugs</w:t>
      </w:r>
      <w:r w:rsidR="00B17C8D" w:rsidRPr="009F13FC">
        <w:rPr>
          <w:rFonts w:ascii="Book Antiqua" w:hAnsi="Book Antiqua"/>
          <w:color w:val="000000" w:themeColor="text1"/>
          <w:sz w:val="24"/>
          <w:szCs w:val="24"/>
        </w:rPr>
        <w:t>. In these patients</w:t>
      </w:r>
      <w:r w:rsidRPr="009F13FC">
        <w:rPr>
          <w:rFonts w:ascii="Book Antiqua" w:hAnsi="Book Antiqua"/>
          <w:color w:val="000000" w:themeColor="text1"/>
          <w:sz w:val="24"/>
          <w:szCs w:val="24"/>
        </w:rPr>
        <w:t>, weight-loss surgery has become the main treatment regimen, including Roux-en-Y gastric bypass surgery, gastric sleeve resection</w:t>
      </w:r>
      <w:r w:rsidR="00B17C8D"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biliary-pancreatic shunt surgery</w:t>
      </w:r>
      <w:r w:rsidRPr="009F13FC">
        <w:rPr>
          <w:rFonts w:ascii="Book Antiqua" w:hAnsi="Book Antiqua"/>
          <w:color w:val="000000" w:themeColor="text1"/>
          <w:sz w:val="24"/>
          <w:szCs w:val="24"/>
          <w:vertAlign w:val="superscript"/>
        </w:rPr>
        <w:t>[79</w:t>
      </w:r>
      <w:r w:rsidR="006C2F11" w:rsidRPr="009F13FC">
        <w:rPr>
          <w:rFonts w:ascii="Book Antiqua" w:hAnsi="Book Antiqua"/>
          <w:color w:val="000000" w:themeColor="text1"/>
          <w:sz w:val="24"/>
          <w:szCs w:val="24"/>
          <w:vertAlign w:val="superscript"/>
        </w:rPr>
        <w:t>,</w:t>
      </w:r>
      <w:r w:rsidRPr="009F13FC">
        <w:rPr>
          <w:rFonts w:ascii="Book Antiqua" w:hAnsi="Book Antiqua"/>
          <w:color w:val="000000" w:themeColor="text1"/>
          <w:sz w:val="24"/>
          <w:szCs w:val="24"/>
          <w:vertAlign w:val="superscript"/>
        </w:rPr>
        <w:t>80]</w:t>
      </w:r>
      <w:r w:rsidRPr="009F13FC">
        <w:rPr>
          <w:rFonts w:ascii="Book Antiqua" w:hAnsi="Book Antiqua"/>
          <w:color w:val="000000" w:themeColor="text1"/>
          <w:sz w:val="24"/>
          <w:szCs w:val="24"/>
        </w:rPr>
        <w:t>. In addition, endoscopic therapy can limit the contact between food intake and gastrointestinal mucosa, thus limiting absorption and achieving weight loss</w:t>
      </w:r>
      <w:r w:rsidRPr="009F13FC">
        <w:rPr>
          <w:rFonts w:ascii="Book Antiqua" w:hAnsi="Book Antiqua"/>
          <w:color w:val="000000" w:themeColor="text1"/>
          <w:sz w:val="24"/>
          <w:szCs w:val="24"/>
          <w:vertAlign w:val="superscript"/>
        </w:rPr>
        <w:t>[77]</w:t>
      </w:r>
      <w:r w:rsidRPr="009F13FC">
        <w:rPr>
          <w:rFonts w:ascii="Book Antiqua" w:hAnsi="Book Antiqua"/>
          <w:color w:val="000000" w:themeColor="text1"/>
          <w:sz w:val="24"/>
          <w:szCs w:val="24"/>
        </w:rPr>
        <w:t>. However, neither surgical nor endoscopic therapy has become a treatment standard for liver transplant recipients</w:t>
      </w:r>
      <w:r w:rsidRPr="009F13FC">
        <w:rPr>
          <w:rFonts w:ascii="Book Antiqua" w:hAnsi="Book Antiqua"/>
          <w:color w:val="000000" w:themeColor="text1"/>
          <w:sz w:val="24"/>
          <w:szCs w:val="24"/>
          <w:vertAlign w:val="superscript"/>
        </w:rPr>
        <w:t>[77,80]</w:t>
      </w:r>
      <w:r w:rsidRPr="009F13FC">
        <w:rPr>
          <w:rFonts w:ascii="Book Antiqua" w:hAnsi="Book Antiqua"/>
          <w:color w:val="000000" w:themeColor="text1"/>
          <w:sz w:val="24"/>
          <w:szCs w:val="24"/>
        </w:rPr>
        <w:t>.</w:t>
      </w:r>
    </w:p>
    <w:p w14:paraId="46850D28" w14:textId="01053556" w:rsidR="006C2F11"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15:</w:t>
      </w:r>
      <w:r w:rsidRPr="009F13FC">
        <w:rPr>
          <w:rFonts w:ascii="Book Antiqua" w:hAnsi="Book Antiqua"/>
          <w:bCs/>
          <w:color w:val="000000" w:themeColor="text1"/>
          <w:sz w:val="24"/>
          <w:szCs w:val="24"/>
        </w:rPr>
        <w:t xml:space="preserve"> The BMI target after liver transplantation is &lt;</w:t>
      </w:r>
      <w:r w:rsidR="006C2F11"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25</w:t>
      </w:r>
      <w:r w:rsidR="009E6B59" w:rsidRPr="009F13FC">
        <w:rPr>
          <w:rFonts w:ascii="Book Antiqua" w:hAnsi="Book Antiqua"/>
          <w:bCs/>
          <w:color w:val="000000" w:themeColor="text1"/>
          <w:sz w:val="24"/>
          <w:szCs w:val="24"/>
        </w:rPr>
        <w:t xml:space="preserve"> </w:t>
      </w:r>
      <w:r w:rsidRPr="009F13FC">
        <w:rPr>
          <w:rFonts w:ascii="Book Antiqua" w:hAnsi="Book Antiqua"/>
          <w:bCs/>
          <w:color w:val="000000" w:themeColor="text1"/>
          <w:sz w:val="24"/>
          <w:szCs w:val="24"/>
        </w:rPr>
        <w:t>kg/m</w:t>
      </w:r>
      <w:r w:rsidRPr="009F13FC">
        <w:rPr>
          <w:rFonts w:ascii="Book Antiqua" w:hAnsi="Book Antiqua"/>
          <w:bCs/>
          <w:color w:val="000000" w:themeColor="text1"/>
          <w:sz w:val="24"/>
          <w:szCs w:val="24"/>
          <w:vertAlign w:val="superscript"/>
        </w:rPr>
        <w:t>2</w:t>
      </w:r>
      <w:r w:rsidRPr="009F13FC">
        <w:rPr>
          <w:rFonts w:ascii="Book Antiqua" w:hAnsi="Book Antiqua"/>
          <w:bCs/>
          <w:color w:val="000000" w:themeColor="text1"/>
          <w:sz w:val="24"/>
          <w:szCs w:val="24"/>
        </w:rPr>
        <w:t>. The regimen of glucocorticoids minimization with reduced CNIs can contribute to reducing weight gain after liver transplantation. For obese recipients who have failed to respond to behavioral therapy and drug therapy, surgical treatment may be considered.</w:t>
      </w:r>
    </w:p>
    <w:p w14:paraId="0B4FC174" w14:textId="77777777" w:rsidR="006C2F11" w:rsidRPr="009F13FC" w:rsidRDefault="006C2F11">
      <w:pPr>
        <w:adjustRightInd w:val="0"/>
        <w:snapToGrid w:val="0"/>
        <w:spacing w:line="360" w:lineRule="auto"/>
        <w:jc w:val="both"/>
        <w:rPr>
          <w:rFonts w:ascii="Book Antiqua" w:hAnsi="Book Antiqua"/>
          <w:bCs/>
          <w:color w:val="000000" w:themeColor="text1"/>
          <w:sz w:val="24"/>
          <w:szCs w:val="24"/>
        </w:rPr>
      </w:pPr>
    </w:p>
    <w:p w14:paraId="071E39B0" w14:textId="7D9EA089" w:rsidR="00A74436" w:rsidRPr="009F13FC" w:rsidRDefault="006C2F11">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u w:val="single"/>
        </w:rPr>
        <w:t>MONITORING OF METABOLIC DISEASE IN LIVER TRANSPLANT RECIPIENTS</w:t>
      </w:r>
    </w:p>
    <w:p w14:paraId="2D97BE26" w14:textId="370C0257" w:rsidR="00A74436" w:rsidRPr="009F13FC" w:rsidRDefault="00A74436">
      <w:pPr>
        <w:widowControl/>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For liver transplant recipients, monitoring of metabolic disease should be </w:t>
      </w:r>
      <w:r w:rsidR="00A8564B"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focus. The immunosuppressive regimen should be adjusted timely according to disease situation. It should be evaluated at least every </w:t>
      </w:r>
      <w:r w:rsidR="00A8564B"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mo</w:t>
      </w:r>
      <w:proofErr w:type="spellEnd"/>
      <w:r w:rsidRPr="009F13FC">
        <w:rPr>
          <w:rFonts w:ascii="Book Antiqua" w:hAnsi="Book Antiqua"/>
          <w:color w:val="000000" w:themeColor="text1"/>
          <w:sz w:val="24"/>
          <w:szCs w:val="24"/>
        </w:rPr>
        <w:t xml:space="preserve"> to reduce the long-term toxicity of drugs, and the possible secondary cardiovascular events and renal impairment. Glucose, blood pressure, lipid, serum uric acid</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BMI should be taken as routine follow-up monitoring items after liver transplantation. Metabolic disease monitoring in liver transplant recipients is not substantially different from that in non-transplant patients. For diabetic recipients, lycosylated hemoglobin is the gold standard </w:t>
      </w:r>
      <w:r w:rsidR="00A8564B" w:rsidRPr="009F13FC">
        <w:rPr>
          <w:rFonts w:ascii="Book Antiqua" w:hAnsi="Book Antiqua"/>
          <w:color w:val="000000" w:themeColor="text1"/>
          <w:sz w:val="24"/>
          <w:szCs w:val="24"/>
        </w:rPr>
        <w:t>for</w:t>
      </w:r>
      <w:r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lastRenderedPageBreak/>
        <w:t xml:space="preserve">long-term blood glucose control, while self-blood glucose monitoring is </w:t>
      </w:r>
      <w:r w:rsidR="00A8564B" w:rsidRPr="009F13FC">
        <w:rPr>
          <w:rFonts w:ascii="Book Antiqua" w:hAnsi="Book Antiqua"/>
          <w:color w:val="000000" w:themeColor="text1"/>
          <w:sz w:val="24"/>
          <w:szCs w:val="24"/>
        </w:rPr>
        <w:t xml:space="preserve">the </w:t>
      </w:r>
      <w:r w:rsidRPr="009F13FC">
        <w:rPr>
          <w:rFonts w:ascii="Book Antiqua" w:hAnsi="Book Antiqua"/>
          <w:color w:val="000000" w:themeColor="text1"/>
          <w:sz w:val="24"/>
          <w:szCs w:val="24"/>
        </w:rPr>
        <w:t xml:space="preserve">primary measurement. The combination of glycosylated hemoglobin screening and </w:t>
      </w:r>
      <w:r w:rsidR="00A8564B" w:rsidRPr="009F13FC">
        <w:rPr>
          <w:rFonts w:ascii="Book Antiqua" w:eastAsia="Times New Roman" w:hAnsi="Book Antiqua"/>
          <w:color w:val="000000" w:themeColor="text1"/>
          <w:sz w:val="24"/>
          <w:szCs w:val="24"/>
        </w:rPr>
        <w:t>oral glucose tolerance test</w:t>
      </w:r>
      <w:r w:rsidRPr="009F13FC">
        <w:rPr>
          <w:rFonts w:ascii="Book Antiqua" w:hAnsi="Book Antiqua"/>
          <w:color w:val="000000" w:themeColor="text1"/>
          <w:sz w:val="24"/>
          <w:szCs w:val="24"/>
        </w:rPr>
        <w:t xml:space="preserve"> is an ideal method with both examination and diagnostic </w:t>
      </w:r>
      <w:proofErr w:type="gramStart"/>
      <w:r w:rsidRPr="009F13FC">
        <w:rPr>
          <w:rFonts w:ascii="Book Antiqua" w:hAnsi="Book Antiqua"/>
          <w:color w:val="000000" w:themeColor="text1"/>
          <w:sz w:val="24"/>
          <w:szCs w:val="24"/>
        </w:rPr>
        <w:t>efficiency</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22]</w:t>
      </w:r>
      <w:r w:rsidRPr="009F13FC">
        <w:rPr>
          <w:rFonts w:ascii="Book Antiqua" w:hAnsi="Book Antiqua"/>
          <w:color w:val="000000" w:themeColor="text1"/>
          <w:sz w:val="24"/>
          <w:szCs w:val="24"/>
        </w:rPr>
        <w:t>. Family blood pressure measurement is also encouraged for hypertensive recipients; LDL-C, TG, TC</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serum uric acid are the basic monitoring items for liver transplant recipients with dyslipidemia and </w:t>
      </w:r>
      <w:proofErr w:type="gramStart"/>
      <w:r w:rsidRPr="009F13FC">
        <w:rPr>
          <w:rFonts w:ascii="Book Antiqua" w:hAnsi="Book Antiqua"/>
          <w:color w:val="000000" w:themeColor="text1"/>
          <w:sz w:val="24"/>
          <w:szCs w:val="24"/>
        </w:rPr>
        <w:t>hyperuricemia</w:t>
      </w:r>
      <w:r w:rsidRPr="009F13FC">
        <w:rPr>
          <w:rFonts w:ascii="Book Antiqua" w:hAnsi="Book Antiqua"/>
          <w:color w:val="000000" w:themeColor="text1"/>
          <w:sz w:val="24"/>
          <w:szCs w:val="24"/>
          <w:vertAlign w:val="superscript"/>
        </w:rPr>
        <w:t>[</w:t>
      </w:r>
      <w:proofErr w:type="gramEnd"/>
      <w:r w:rsidRPr="009F13FC">
        <w:rPr>
          <w:rFonts w:ascii="Book Antiqua" w:hAnsi="Book Antiqua"/>
          <w:color w:val="000000" w:themeColor="text1"/>
          <w:sz w:val="24"/>
          <w:szCs w:val="24"/>
          <w:vertAlign w:val="superscript"/>
        </w:rPr>
        <w:t>15,81]</w:t>
      </w:r>
      <w:r w:rsidRPr="009F13FC">
        <w:rPr>
          <w:rFonts w:ascii="Book Antiqua" w:hAnsi="Book Antiqua"/>
          <w:color w:val="000000" w:themeColor="text1"/>
          <w:sz w:val="24"/>
          <w:szCs w:val="24"/>
        </w:rPr>
        <w:t>; long-term monitoring of body weight after liver transplantation is required.</w:t>
      </w:r>
    </w:p>
    <w:p w14:paraId="3B4ACFA3" w14:textId="159101A6" w:rsidR="00A74436" w:rsidRPr="009F13FC" w:rsidRDefault="00A74436">
      <w:pPr>
        <w:widowControl/>
        <w:adjustRightInd w:val="0"/>
        <w:snapToGrid w:val="0"/>
        <w:spacing w:line="360" w:lineRule="auto"/>
        <w:ind w:firstLine="420"/>
        <w:jc w:val="both"/>
        <w:rPr>
          <w:rFonts w:ascii="Book Antiqua" w:hAnsi="Book Antiqua"/>
          <w:color w:val="000000" w:themeColor="text1"/>
          <w:sz w:val="24"/>
          <w:szCs w:val="24"/>
        </w:rPr>
      </w:pPr>
      <w:r w:rsidRPr="009F13FC">
        <w:rPr>
          <w:rFonts w:ascii="Book Antiqua" w:hAnsi="Book Antiqua"/>
          <w:color w:val="000000" w:themeColor="text1"/>
          <w:sz w:val="24"/>
          <w:szCs w:val="24"/>
        </w:rPr>
        <w:t>For liver transplant recipients with diabetes mellitus, hypertension, dyslipidemia, hyperuricemia</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or obesity, besides the basic monitoring items mentioned above, </w:t>
      </w:r>
      <w:r w:rsidR="00BE5B2D" w:rsidRPr="009F13FC">
        <w:rPr>
          <w:rFonts w:ascii="Book Antiqua" w:hAnsi="Book Antiqua"/>
          <w:color w:val="000000" w:themeColor="text1"/>
          <w:sz w:val="24"/>
          <w:szCs w:val="24"/>
        </w:rPr>
        <w:t>electrocardiogram</w:t>
      </w:r>
      <w:r w:rsidRPr="009F13FC">
        <w:rPr>
          <w:rFonts w:ascii="Book Antiqua" w:hAnsi="Book Antiqua"/>
          <w:color w:val="000000" w:themeColor="text1"/>
          <w:sz w:val="24"/>
          <w:szCs w:val="24"/>
        </w:rPr>
        <w:t>, 24-h ambulatory blood pressure, coronary computed tomography angiography, B-mode ultrasonography of the carotid artery, urinary protein, ophthalmoscopy, bilateral renal ultrasound</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joint X-ray or </w:t>
      </w:r>
      <w:r w:rsidR="00A8564B" w:rsidRPr="009F13FC">
        <w:rPr>
          <w:rFonts w:ascii="Book Antiqua" w:hAnsi="Book Antiqua"/>
          <w:color w:val="000000" w:themeColor="text1"/>
          <w:sz w:val="24"/>
          <w:szCs w:val="24"/>
        </w:rPr>
        <w:t>computed tomography,</w:t>
      </w:r>
      <w:r w:rsidRPr="009F13FC">
        <w:rPr>
          <w:rFonts w:ascii="Book Antiqua" w:hAnsi="Book Antiqua"/>
          <w:color w:val="000000" w:themeColor="text1"/>
          <w:sz w:val="24"/>
          <w:szCs w:val="24"/>
        </w:rPr>
        <w:t xml:space="preserve"> and other examinations should be performed (Table 4). Through these examinations on target organs, cardiovascular and cerebrovascular diseases, chronic kidney disease, retinopathy, gouty arthritis</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other diseases that may be secondary to metabolic disease can be promptly detected and diagnosed, so as to improve the long-term survival of liver transplant recipients. The efficacy of the treatments on metabolic disease should be evaluated every 3 mo</w:t>
      </w:r>
      <w:r w:rsidRPr="009F13FC">
        <w:rPr>
          <w:rFonts w:ascii="Book Antiqua" w:hAnsi="Book Antiqua"/>
          <w:color w:val="000000" w:themeColor="text1"/>
          <w:sz w:val="24"/>
          <w:szCs w:val="24"/>
          <w:vertAlign w:val="superscript"/>
        </w:rPr>
        <w:t>[82]</w:t>
      </w:r>
      <w:r w:rsidRPr="009F13FC">
        <w:rPr>
          <w:rFonts w:ascii="Book Antiqua" w:hAnsi="Book Antiqua"/>
          <w:color w:val="000000" w:themeColor="text1"/>
          <w:sz w:val="24"/>
          <w:szCs w:val="24"/>
        </w:rPr>
        <w:t>. Standardized monitoring needs the attention of transplantation physicians and the cooperation of recipients.</w:t>
      </w:r>
    </w:p>
    <w:p w14:paraId="400C8020" w14:textId="76F907C8"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16: </w:t>
      </w:r>
      <w:r w:rsidRPr="009F13FC">
        <w:rPr>
          <w:rFonts w:ascii="Book Antiqua" w:hAnsi="Book Antiqua"/>
          <w:bCs/>
          <w:color w:val="000000" w:themeColor="text1"/>
          <w:sz w:val="24"/>
          <w:szCs w:val="24"/>
        </w:rPr>
        <w:t>For long-term survival of liver transplantation, attention should be paid to monitoring of metabolic disease.</w:t>
      </w:r>
    </w:p>
    <w:p w14:paraId="554EE5CB" w14:textId="54B63E6A" w:rsidR="00011F4E"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17: </w:t>
      </w:r>
      <w:r w:rsidRPr="009F13FC">
        <w:rPr>
          <w:rFonts w:ascii="Book Antiqua" w:hAnsi="Book Antiqua"/>
          <w:bCs/>
          <w:color w:val="000000" w:themeColor="text1"/>
          <w:sz w:val="24"/>
          <w:szCs w:val="24"/>
        </w:rPr>
        <w:t xml:space="preserve">The immunosuppressive regimen should be evaluated at least once every </w:t>
      </w:r>
      <w:r w:rsidR="00A8564B" w:rsidRPr="009F13FC">
        <w:rPr>
          <w:rFonts w:ascii="Book Antiqua" w:hAnsi="Book Antiqua"/>
          <w:bCs/>
          <w:color w:val="000000" w:themeColor="text1"/>
          <w:sz w:val="24"/>
          <w:szCs w:val="24"/>
        </w:rPr>
        <w:t>6</w:t>
      </w:r>
      <w:r w:rsidRPr="009F13FC">
        <w:rPr>
          <w:rFonts w:ascii="Book Antiqua" w:hAnsi="Book Antiqua"/>
          <w:bCs/>
          <w:color w:val="000000" w:themeColor="text1"/>
          <w:sz w:val="24"/>
          <w:szCs w:val="24"/>
        </w:rPr>
        <w:t xml:space="preserve"> </w:t>
      </w:r>
      <w:proofErr w:type="spellStart"/>
      <w:r w:rsidRPr="009F13FC">
        <w:rPr>
          <w:rFonts w:ascii="Book Antiqua" w:hAnsi="Book Antiqua"/>
          <w:bCs/>
          <w:color w:val="000000" w:themeColor="text1"/>
          <w:sz w:val="24"/>
          <w:szCs w:val="24"/>
        </w:rPr>
        <w:t>mo</w:t>
      </w:r>
      <w:proofErr w:type="spellEnd"/>
      <w:r w:rsidRPr="009F13FC">
        <w:rPr>
          <w:rFonts w:ascii="Book Antiqua" w:hAnsi="Book Antiqua"/>
          <w:bCs/>
          <w:color w:val="000000" w:themeColor="text1"/>
          <w:sz w:val="24"/>
          <w:szCs w:val="24"/>
        </w:rPr>
        <w:t xml:space="preserve"> in order to reduce long-term </w:t>
      </w:r>
      <w:r w:rsidR="006C2F11" w:rsidRPr="009F13FC">
        <w:rPr>
          <w:rFonts w:ascii="Book Antiqua" w:hAnsi="Book Antiqua"/>
          <w:bCs/>
          <w:color w:val="000000" w:themeColor="text1"/>
          <w:sz w:val="24"/>
          <w:szCs w:val="24"/>
        </w:rPr>
        <w:t>toxicity and</w:t>
      </w:r>
      <w:r w:rsidRPr="009F13FC">
        <w:rPr>
          <w:rFonts w:ascii="Book Antiqua" w:hAnsi="Book Antiqua"/>
          <w:bCs/>
          <w:color w:val="000000" w:themeColor="text1"/>
          <w:sz w:val="24"/>
          <w:szCs w:val="24"/>
        </w:rPr>
        <w:t xml:space="preserve"> should be adjusted as needed.</w:t>
      </w:r>
    </w:p>
    <w:p w14:paraId="10763903" w14:textId="2EB4F053" w:rsidR="00A74436" w:rsidRPr="009F13FC" w:rsidRDefault="00A74436">
      <w:pPr>
        <w:adjustRightInd w:val="0"/>
        <w:snapToGrid w:val="0"/>
        <w:spacing w:line="360" w:lineRule="auto"/>
        <w:ind w:firstLine="420"/>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Recommendation </w:t>
      </w:r>
      <w:r w:rsidR="00011F4E" w:rsidRPr="009F13FC">
        <w:rPr>
          <w:rFonts w:ascii="Book Antiqua" w:hAnsi="Book Antiqua"/>
          <w:bCs/>
          <w:color w:val="000000" w:themeColor="text1"/>
          <w:sz w:val="24"/>
          <w:szCs w:val="24"/>
        </w:rPr>
        <w:t xml:space="preserve">18: </w:t>
      </w:r>
      <w:r w:rsidRPr="009F13FC">
        <w:rPr>
          <w:rFonts w:ascii="Book Antiqua" w:hAnsi="Book Antiqua"/>
          <w:bCs/>
          <w:color w:val="000000" w:themeColor="text1"/>
          <w:sz w:val="24"/>
          <w:szCs w:val="24"/>
        </w:rPr>
        <w:t>Blood pressure, lipid, glucose, serum uric acid</w:t>
      </w:r>
      <w:r w:rsidR="00A8564B"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BMI should be monitored every 3 mo in the first year after liver transplantation, and every year after that, and the efficacy of the treatment for metabolic disease should be evaluated every 3 mo.</w:t>
      </w:r>
    </w:p>
    <w:p w14:paraId="7F563294" w14:textId="3725C8C9" w:rsidR="00A74436" w:rsidRPr="009F13FC" w:rsidRDefault="00A74436">
      <w:pPr>
        <w:adjustRightInd w:val="0"/>
        <w:snapToGrid w:val="0"/>
        <w:spacing w:line="360" w:lineRule="auto"/>
        <w:jc w:val="both"/>
        <w:rPr>
          <w:rFonts w:ascii="Book Antiqua" w:hAnsi="Book Antiqua"/>
          <w:color w:val="000000" w:themeColor="text1"/>
          <w:sz w:val="24"/>
          <w:szCs w:val="24"/>
          <w:lang w:eastAsia="zh-CN"/>
        </w:rPr>
      </w:pPr>
    </w:p>
    <w:p w14:paraId="3F8637D5" w14:textId="77777777" w:rsidR="003A1E69" w:rsidRPr="009F13FC" w:rsidRDefault="003A1E69">
      <w:pPr>
        <w:snapToGrid w:val="0"/>
        <w:spacing w:line="360" w:lineRule="auto"/>
        <w:jc w:val="both"/>
        <w:rPr>
          <w:rFonts w:ascii="Book Antiqua" w:hAnsi="Book Antiqua"/>
          <w:color w:val="000000" w:themeColor="text1"/>
          <w:sz w:val="24"/>
          <w:szCs w:val="24"/>
        </w:rPr>
      </w:pPr>
      <w:r w:rsidRPr="009F13FC">
        <w:rPr>
          <w:rFonts w:ascii="Book Antiqua" w:eastAsia="等线" w:hAnsi="Book Antiqua" w:cs="Arial"/>
          <w:b/>
          <w:caps/>
          <w:color w:val="000000" w:themeColor="text1"/>
          <w:sz w:val="24"/>
          <w:szCs w:val="24"/>
        </w:rPr>
        <w:lastRenderedPageBreak/>
        <w:t>References</w:t>
      </w:r>
      <w:r w:rsidRPr="009F13FC">
        <w:rPr>
          <w:rFonts w:ascii="Book Antiqua" w:hAnsi="Book Antiqua"/>
          <w:color w:val="000000" w:themeColor="text1"/>
          <w:sz w:val="24"/>
          <w:szCs w:val="24"/>
        </w:rPr>
        <w:t xml:space="preserve"> </w:t>
      </w:r>
    </w:p>
    <w:p w14:paraId="7021FE13" w14:textId="720A66AE" w:rsidR="00D02C16" w:rsidRPr="00AF291D" w:rsidRDefault="00D02C16">
      <w:pPr>
        <w:snapToGrid w:val="0"/>
        <w:spacing w:line="360" w:lineRule="auto"/>
        <w:jc w:val="both"/>
        <w:rPr>
          <w:rFonts w:ascii="Book Antiqua" w:hAnsi="Book Antiqua"/>
          <w:color w:val="000000" w:themeColor="text1"/>
          <w:sz w:val="24"/>
          <w:szCs w:val="24"/>
        </w:rPr>
      </w:pPr>
      <w:r w:rsidRPr="00D9152E">
        <w:rPr>
          <w:rFonts w:ascii="Book Antiqua" w:hAnsi="Book Antiqua"/>
          <w:color w:val="000000" w:themeColor="text1"/>
          <w:sz w:val="24"/>
          <w:szCs w:val="24"/>
        </w:rPr>
        <w:t>1 Report on Medical Quality of Liver Transplantation in China in 2018.</w:t>
      </w:r>
      <w:r w:rsidR="00A628F6" w:rsidRPr="00D9152E">
        <w:rPr>
          <w:rFonts w:ascii="Book Antiqua" w:hAnsi="Book Antiqua"/>
          <w:color w:val="000000" w:themeColor="text1"/>
          <w:sz w:val="24"/>
          <w:szCs w:val="24"/>
        </w:rPr>
        <w:t xml:space="preserve"> Available from: </w:t>
      </w:r>
      <w:hyperlink r:id="rId9" w:history="1">
        <w:r w:rsidR="00B83221" w:rsidRPr="00D9152E">
          <w:rPr>
            <w:rStyle w:val="ab"/>
            <w:rFonts w:ascii="Book Antiqua" w:hAnsi="Book Antiqua"/>
            <w:bCs/>
            <w:sz w:val="24"/>
            <w:szCs w:val="24"/>
          </w:rPr>
          <w:t>http://www.csrkt.org/door/statisticalReport/statisticalReport</w:t>
        </w:r>
      </w:hyperlink>
      <w:r w:rsidR="00B83221" w:rsidRPr="00AF291D">
        <w:rPr>
          <w:rFonts w:ascii="Book Antiqua" w:hAnsi="Book Antiqua"/>
          <w:bCs/>
          <w:color w:val="000000" w:themeColor="text1"/>
          <w:sz w:val="24"/>
          <w:szCs w:val="24"/>
        </w:rPr>
        <w:t xml:space="preserve"> </w:t>
      </w:r>
    </w:p>
    <w:p w14:paraId="631CFFC8" w14:textId="0CF458E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 </w:t>
      </w:r>
      <w:r w:rsidR="00A628F6" w:rsidRPr="009F13FC">
        <w:rPr>
          <w:rFonts w:ascii="Book Antiqua" w:hAnsi="Book Antiqua"/>
          <w:b/>
          <w:color w:val="000000" w:themeColor="text1"/>
          <w:sz w:val="24"/>
          <w:szCs w:val="24"/>
          <w:lang w:eastAsia="zh-CN"/>
        </w:rPr>
        <w:t xml:space="preserve">Kwong A, </w:t>
      </w:r>
      <w:r w:rsidR="00A628F6" w:rsidRPr="009F13FC">
        <w:rPr>
          <w:rFonts w:ascii="Book Antiqua" w:hAnsi="Book Antiqua" w:cs="Times New Roman"/>
          <w:bCs/>
          <w:color w:val="000000" w:themeColor="text1"/>
          <w:sz w:val="24"/>
          <w:szCs w:val="24"/>
          <w:lang w:eastAsia="zh-CN"/>
        </w:rPr>
        <w:t xml:space="preserve">Kim WR, Lake JR, Smith JM, </w:t>
      </w:r>
      <w:proofErr w:type="spellStart"/>
      <w:r w:rsidR="00A628F6" w:rsidRPr="009F13FC">
        <w:rPr>
          <w:rFonts w:ascii="Book Antiqua" w:hAnsi="Book Antiqua" w:cs="Times New Roman"/>
          <w:bCs/>
          <w:color w:val="000000" w:themeColor="text1"/>
          <w:sz w:val="24"/>
          <w:szCs w:val="24"/>
          <w:lang w:eastAsia="zh-CN"/>
        </w:rPr>
        <w:t>Schladt</w:t>
      </w:r>
      <w:proofErr w:type="spellEnd"/>
      <w:r w:rsidR="00A628F6" w:rsidRPr="009F13FC">
        <w:rPr>
          <w:rFonts w:ascii="Book Antiqua" w:hAnsi="Book Antiqua" w:cs="Times New Roman"/>
          <w:bCs/>
          <w:color w:val="000000" w:themeColor="text1"/>
          <w:sz w:val="24"/>
          <w:szCs w:val="24"/>
          <w:lang w:eastAsia="zh-CN"/>
        </w:rPr>
        <w:t xml:space="preserve"> DP, </w:t>
      </w:r>
      <w:proofErr w:type="spellStart"/>
      <w:r w:rsidR="00A628F6" w:rsidRPr="009F13FC">
        <w:rPr>
          <w:rFonts w:ascii="Book Antiqua" w:hAnsi="Book Antiqua" w:cs="Times New Roman"/>
          <w:bCs/>
          <w:color w:val="000000" w:themeColor="text1"/>
          <w:sz w:val="24"/>
          <w:szCs w:val="24"/>
          <w:lang w:eastAsia="zh-CN"/>
        </w:rPr>
        <w:t>Skeans</w:t>
      </w:r>
      <w:proofErr w:type="spellEnd"/>
      <w:r w:rsidR="00A628F6" w:rsidRPr="009F13FC">
        <w:rPr>
          <w:rFonts w:ascii="Book Antiqua" w:hAnsi="Book Antiqua" w:cs="Times New Roman"/>
          <w:bCs/>
          <w:color w:val="000000" w:themeColor="text1"/>
          <w:sz w:val="24"/>
          <w:szCs w:val="24"/>
          <w:lang w:eastAsia="zh-CN"/>
        </w:rPr>
        <w:t xml:space="preserve"> MA, Noreen SM, </w:t>
      </w:r>
      <w:proofErr w:type="spellStart"/>
      <w:r w:rsidR="00A628F6" w:rsidRPr="009F13FC">
        <w:rPr>
          <w:rFonts w:ascii="Book Antiqua" w:hAnsi="Book Antiqua" w:cs="Times New Roman"/>
          <w:bCs/>
          <w:color w:val="000000" w:themeColor="text1"/>
          <w:sz w:val="24"/>
          <w:szCs w:val="24"/>
          <w:lang w:eastAsia="zh-CN"/>
        </w:rPr>
        <w:t>Foutz</w:t>
      </w:r>
      <w:proofErr w:type="spellEnd"/>
      <w:r w:rsidR="00A628F6" w:rsidRPr="009F13FC">
        <w:rPr>
          <w:rFonts w:ascii="Book Antiqua" w:hAnsi="Book Antiqua" w:cs="Times New Roman"/>
          <w:bCs/>
          <w:color w:val="000000" w:themeColor="text1"/>
          <w:sz w:val="24"/>
          <w:szCs w:val="24"/>
          <w:lang w:eastAsia="zh-CN"/>
        </w:rPr>
        <w:t xml:space="preserve"> J, Miller E, Snyder JJ, </w:t>
      </w:r>
      <w:proofErr w:type="spellStart"/>
      <w:r w:rsidR="00A628F6" w:rsidRPr="009F13FC">
        <w:rPr>
          <w:rFonts w:ascii="Book Antiqua" w:hAnsi="Book Antiqua" w:cs="Times New Roman"/>
          <w:bCs/>
          <w:color w:val="000000" w:themeColor="text1"/>
          <w:sz w:val="24"/>
          <w:szCs w:val="24"/>
          <w:lang w:eastAsia="zh-CN"/>
        </w:rPr>
        <w:t>Israni</w:t>
      </w:r>
      <w:proofErr w:type="spellEnd"/>
      <w:r w:rsidR="00A628F6" w:rsidRPr="009F13FC">
        <w:rPr>
          <w:rFonts w:ascii="Book Antiqua" w:hAnsi="Book Antiqua" w:cs="Times New Roman"/>
          <w:bCs/>
          <w:color w:val="000000" w:themeColor="text1"/>
          <w:sz w:val="24"/>
          <w:szCs w:val="24"/>
          <w:lang w:eastAsia="zh-CN"/>
        </w:rPr>
        <w:t xml:space="preserve"> AK, </w:t>
      </w:r>
      <w:proofErr w:type="spellStart"/>
      <w:r w:rsidR="00A628F6" w:rsidRPr="009F13FC">
        <w:rPr>
          <w:rFonts w:ascii="Book Antiqua" w:hAnsi="Book Antiqua" w:cs="Times New Roman"/>
          <w:bCs/>
          <w:color w:val="000000" w:themeColor="text1"/>
          <w:sz w:val="24"/>
          <w:szCs w:val="24"/>
          <w:lang w:eastAsia="zh-CN"/>
        </w:rPr>
        <w:t>Kasiske</w:t>
      </w:r>
      <w:proofErr w:type="spellEnd"/>
      <w:r w:rsidR="00A628F6" w:rsidRPr="009F13FC">
        <w:rPr>
          <w:rFonts w:ascii="Book Antiqua" w:hAnsi="Book Antiqua" w:cs="Times New Roman"/>
          <w:bCs/>
          <w:color w:val="000000" w:themeColor="text1"/>
          <w:sz w:val="24"/>
          <w:szCs w:val="24"/>
          <w:lang w:eastAsia="zh-CN"/>
        </w:rPr>
        <w:t xml:space="preserve"> BL.</w:t>
      </w:r>
      <w:r w:rsidR="00A628F6" w:rsidRPr="009F13FC">
        <w:rPr>
          <w:rFonts w:ascii="Book Antiqua" w:hAnsi="Book Antiqua"/>
          <w:bCs/>
          <w:color w:val="000000" w:themeColor="text1"/>
          <w:sz w:val="24"/>
          <w:szCs w:val="24"/>
        </w:rPr>
        <w:t xml:space="preserve"> </w:t>
      </w:r>
      <w:r w:rsidR="00A628F6" w:rsidRPr="009F13FC">
        <w:rPr>
          <w:rFonts w:ascii="Book Antiqua" w:hAnsi="Book Antiqua" w:cs="Times New Roman"/>
          <w:bCs/>
          <w:color w:val="000000" w:themeColor="text1"/>
          <w:sz w:val="24"/>
          <w:szCs w:val="24"/>
          <w:lang w:eastAsia="zh-CN"/>
        </w:rPr>
        <w:t>OPTN/SRTR 2018 Annual Data Report: Liver</w:t>
      </w:r>
      <w:r w:rsidR="00FA14E0" w:rsidRPr="009F13FC">
        <w:rPr>
          <w:rFonts w:ascii="Book Antiqua" w:hAnsi="Book Antiqua" w:cs="Times New Roman"/>
          <w:bCs/>
          <w:color w:val="000000" w:themeColor="text1"/>
          <w:sz w:val="24"/>
          <w:szCs w:val="24"/>
          <w:lang w:eastAsia="zh-CN"/>
        </w:rPr>
        <w:t>.</w:t>
      </w:r>
      <w:r w:rsidR="00A628F6" w:rsidRPr="009F13FC">
        <w:rPr>
          <w:rFonts w:ascii="Book Antiqua" w:hAnsi="Book Antiqua"/>
          <w:bCs/>
          <w:color w:val="000000" w:themeColor="text1"/>
          <w:sz w:val="24"/>
          <w:szCs w:val="24"/>
          <w:lang w:eastAsia="zh-CN"/>
        </w:rPr>
        <w:t xml:space="preserve"> </w:t>
      </w:r>
      <w:r w:rsidR="00A628F6" w:rsidRPr="009F13FC">
        <w:rPr>
          <w:rFonts w:ascii="Book Antiqua" w:hAnsi="Book Antiqua" w:cs="Times New Roman"/>
          <w:bCs/>
          <w:i/>
          <w:iCs/>
          <w:color w:val="000000" w:themeColor="text1"/>
          <w:sz w:val="24"/>
          <w:szCs w:val="24"/>
          <w:lang w:eastAsia="zh-CN"/>
        </w:rPr>
        <w:t>Am J Transplant</w:t>
      </w:r>
      <w:r w:rsidR="00A628F6" w:rsidRPr="009F13FC">
        <w:rPr>
          <w:rFonts w:ascii="Book Antiqua" w:hAnsi="Book Antiqua" w:cs="Times New Roman"/>
          <w:bCs/>
          <w:color w:val="000000" w:themeColor="text1"/>
          <w:sz w:val="24"/>
          <w:szCs w:val="24"/>
          <w:lang w:eastAsia="zh-CN"/>
        </w:rPr>
        <w:t xml:space="preserve"> 2020;</w:t>
      </w:r>
      <w:r w:rsidR="00FA14E0" w:rsidRPr="009F13FC">
        <w:rPr>
          <w:rFonts w:ascii="Book Antiqua" w:hAnsi="Book Antiqua" w:cs="Times New Roman"/>
          <w:bCs/>
          <w:color w:val="000000" w:themeColor="text1"/>
          <w:sz w:val="24"/>
          <w:szCs w:val="24"/>
          <w:lang w:eastAsia="zh-CN"/>
        </w:rPr>
        <w:t xml:space="preserve"> </w:t>
      </w:r>
      <w:r w:rsidR="00A628F6" w:rsidRPr="009F13FC">
        <w:rPr>
          <w:rFonts w:ascii="Book Antiqua" w:hAnsi="Book Antiqua" w:cs="Times New Roman"/>
          <w:b/>
          <w:color w:val="000000" w:themeColor="text1"/>
          <w:sz w:val="24"/>
          <w:szCs w:val="24"/>
          <w:lang w:eastAsia="zh-CN"/>
        </w:rPr>
        <w:t>20</w:t>
      </w:r>
      <w:r w:rsidR="00FA14E0" w:rsidRPr="009F13FC">
        <w:rPr>
          <w:rFonts w:ascii="Book Antiqua" w:hAnsi="Book Antiqua" w:cs="Times New Roman"/>
          <w:b/>
          <w:color w:val="000000" w:themeColor="text1"/>
          <w:sz w:val="24"/>
          <w:szCs w:val="24"/>
          <w:lang w:eastAsia="zh-CN"/>
        </w:rPr>
        <w:t xml:space="preserve"> Suppl s1</w:t>
      </w:r>
      <w:r w:rsidR="00A628F6" w:rsidRPr="009F13FC">
        <w:rPr>
          <w:rFonts w:ascii="Book Antiqua" w:hAnsi="Book Antiqua" w:cs="Times New Roman"/>
          <w:bCs/>
          <w:color w:val="000000" w:themeColor="text1"/>
          <w:sz w:val="24"/>
          <w:szCs w:val="24"/>
          <w:lang w:eastAsia="zh-CN"/>
        </w:rPr>
        <w:t>:</w:t>
      </w:r>
      <w:r w:rsidR="00FA14E0" w:rsidRPr="009F13FC">
        <w:rPr>
          <w:rFonts w:ascii="Book Antiqua" w:hAnsi="Book Antiqua" w:cs="Times New Roman"/>
          <w:bCs/>
          <w:color w:val="000000" w:themeColor="text1"/>
          <w:sz w:val="24"/>
          <w:szCs w:val="24"/>
          <w:lang w:eastAsia="zh-CN"/>
        </w:rPr>
        <w:t xml:space="preserve"> </w:t>
      </w:r>
      <w:r w:rsidR="00A628F6" w:rsidRPr="009F13FC">
        <w:rPr>
          <w:rFonts w:ascii="Book Antiqua" w:hAnsi="Book Antiqua" w:cs="Times New Roman"/>
          <w:bCs/>
          <w:color w:val="000000" w:themeColor="text1"/>
          <w:sz w:val="24"/>
          <w:szCs w:val="24"/>
          <w:lang w:eastAsia="zh-CN"/>
        </w:rPr>
        <w:t xml:space="preserve">193-299 [PMID: 31898413 </w:t>
      </w:r>
      <w:r w:rsidR="00FA14E0" w:rsidRPr="009F13FC">
        <w:rPr>
          <w:rFonts w:ascii="Book Antiqua" w:hAnsi="Book Antiqua" w:cs="Times New Roman"/>
          <w:bCs/>
          <w:color w:val="000000" w:themeColor="text1"/>
          <w:sz w:val="24"/>
          <w:szCs w:val="24"/>
          <w:lang w:eastAsia="zh-CN"/>
        </w:rPr>
        <w:t>DOI</w:t>
      </w:r>
      <w:r w:rsidR="00A628F6" w:rsidRPr="009F13FC">
        <w:rPr>
          <w:rFonts w:ascii="Book Antiqua" w:hAnsi="Book Antiqua" w:cs="Times New Roman"/>
          <w:bCs/>
          <w:color w:val="000000" w:themeColor="text1"/>
          <w:sz w:val="24"/>
          <w:szCs w:val="24"/>
          <w:lang w:eastAsia="zh-CN"/>
        </w:rPr>
        <w:t>: 10.1111/ajt.15674]</w:t>
      </w:r>
    </w:p>
    <w:p w14:paraId="6A8D969C"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 </w:t>
      </w:r>
      <w:proofErr w:type="spellStart"/>
      <w:r w:rsidRPr="009F13FC">
        <w:rPr>
          <w:rFonts w:ascii="Book Antiqua" w:hAnsi="Book Antiqua"/>
          <w:b/>
          <w:color w:val="000000" w:themeColor="text1"/>
          <w:sz w:val="24"/>
          <w:szCs w:val="24"/>
        </w:rPr>
        <w:t>Jenssen</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Hartmann A. Post-transplant diabetes mellitus in patients with solid organ transplants. </w:t>
      </w:r>
      <w:r w:rsidRPr="009F13FC">
        <w:rPr>
          <w:rFonts w:ascii="Book Antiqua" w:hAnsi="Book Antiqua"/>
          <w:i/>
          <w:color w:val="000000" w:themeColor="text1"/>
          <w:sz w:val="24"/>
          <w:szCs w:val="24"/>
        </w:rPr>
        <w:t>Nat Rev Endocrinol</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15</w:t>
      </w:r>
      <w:r w:rsidRPr="009F13FC">
        <w:rPr>
          <w:rFonts w:ascii="Book Antiqua" w:hAnsi="Book Antiqua"/>
          <w:color w:val="000000" w:themeColor="text1"/>
          <w:sz w:val="24"/>
          <w:szCs w:val="24"/>
        </w:rPr>
        <w:t>: 172-188 [PMID: 30622369 DOI: 10.1038/s41574-018-0137-7]</w:t>
      </w:r>
    </w:p>
    <w:p w14:paraId="54D7E1A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 </w:t>
      </w:r>
      <w:proofErr w:type="spellStart"/>
      <w:r w:rsidRPr="009F13FC">
        <w:rPr>
          <w:rFonts w:ascii="Book Antiqua" w:hAnsi="Book Antiqua"/>
          <w:b/>
          <w:color w:val="000000" w:themeColor="text1"/>
          <w:sz w:val="24"/>
          <w:szCs w:val="24"/>
        </w:rPr>
        <w:t>Gojowy</w:t>
      </w:r>
      <w:proofErr w:type="spellEnd"/>
      <w:r w:rsidRPr="009F13FC">
        <w:rPr>
          <w:rFonts w:ascii="Book Antiqua" w:hAnsi="Book Antiqua"/>
          <w:b/>
          <w:color w:val="000000" w:themeColor="text1"/>
          <w:sz w:val="24"/>
          <w:szCs w:val="24"/>
        </w:rPr>
        <w:t xml:space="preserve"> D</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Adamczak</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Dudzicz</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Gazda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Karkoszka</w:t>
      </w:r>
      <w:proofErr w:type="spellEnd"/>
      <w:r w:rsidRPr="009F13FC">
        <w:rPr>
          <w:rFonts w:ascii="Book Antiqua" w:hAnsi="Book Antiqua"/>
          <w:color w:val="000000" w:themeColor="text1"/>
          <w:sz w:val="24"/>
          <w:szCs w:val="24"/>
        </w:rPr>
        <w:t xml:space="preserve"> H, </w:t>
      </w:r>
      <w:proofErr w:type="spellStart"/>
      <w:r w:rsidRPr="009F13FC">
        <w:rPr>
          <w:rFonts w:ascii="Book Antiqua" w:hAnsi="Book Antiqua"/>
          <w:color w:val="000000" w:themeColor="text1"/>
          <w:sz w:val="24"/>
          <w:szCs w:val="24"/>
        </w:rPr>
        <w:t>Wiecek</w:t>
      </w:r>
      <w:proofErr w:type="spellEnd"/>
      <w:r w:rsidRPr="009F13FC">
        <w:rPr>
          <w:rFonts w:ascii="Book Antiqua" w:hAnsi="Book Antiqua"/>
          <w:color w:val="000000" w:themeColor="text1"/>
          <w:sz w:val="24"/>
          <w:szCs w:val="24"/>
        </w:rPr>
        <w:t xml:space="preserve"> A. High Frequency of Arterial Hypertension in Patients After Liver Transplantation.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48</w:t>
      </w:r>
      <w:r w:rsidRPr="009F13FC">
        <w:rPr>
          <w:rFonts w:ascii="Book Antiqua" w:hAnsi="Book Antiqua"/>
          <w:color w:val="000000" w:themeColor="text1"/>
          <w:sz w:val="24"/>
          <w:szCs w:val="24"/>
        </w:rPr>
        <w:t>: 1721-1724 [PMID: 27496479 DOI: 10.1016/j.transproceed.2015.11.043]</w:t>
      </w:r>
    </w:p>
    <w:p w14:paraId="78F86442" w14:textId="30CA322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Management of Blood Lipid in Chinese Solid Organ Transplant Recipients (2019 Edition). </w:t>
      </w:r>
      <w:proofErr w:type="spellStart"/>
      <w:r w:rsidR="00784A6E" w:rsidRPr="009F13FC">
        <w:rPr>
          <w:rFonts w:ascii="Book Antiqua" w:hAnsi="Book Antiqua"/>
          <w:bCs/>
          <w:i/>
          <w:iCs/>
          <w:color w:val="000000" w:themeColor="text1"/>
          <w:sz w:val="24"/>
          <w:szCs w:val="24"/>
        </w:rPr>
        <w:t>Qiguan</w:t>
      </w:r>
      <w:proofErr w:type="spellEnd"/>
      <w:r w:rsidR="00784A6E" w:rsidRPr="009F13FC">
        <w:rPr>
          <w:rFonts w:ascii="Book Antiqua" w:hAnsi="Book Antiqua"/>
          <w:bCs/>
          <w:i/>
          <w:iCs/>
          <w:color w:val="000000" w:themeColor="text1"/>
          <w:sz w:val="24"/>
          <w:szCs w:val="24"/>
        </w:rPr>
        <w:t xml:space="preserve"> </w:t>
      </w:r>
      <w:proofErr w:type="spellStart"/>
      <w:r w:rsidR="00784A6E"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101-</w:t>
      </w:r>
      <w:r w:rsidR="00784A6E" w:rsidRPr="009F13FC">
        <w:rPr>
          <w:rFonts w:ascii="Book Antiqua" w:hAnsi="Book Antiqua"/>
          <w:color w:val="000000" w:themeColor="text1"/>
          <w:sz w:val="24"/>
          <w:szCs w:val="24"/>
        </w:rPr>
        <w:t>1</w:t>
      </w:r>
      <w:r w:rsidRPr="009F13FC">
        <w:rPr>
          <w:rFonts w:ascii="Book Antiqua" w:hAnsi="Book Antiqua"/>
          <w:color w:val="000000" w:themeColor="text1"/>
          <w:sz w:val="24"/>
          <w:szCs w:val="24"/>
        </w:rPr>
        <w:t>11</w:t>
      </w:r>
    </w:p>
    <w:p w14:paraId="6C2B38B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 </w:t>
      </w:r>
      <w:r w:rsidRPr="009F13FC">
        <w:rPr>
          <w:rFonts w:ascii="Book Antiqua" w:hAnsi="Book Antiqua"/>
          <w:b/>
          <w:color w:val="000000" w:themeColor="text1"/>
          <w:sz w:val="24"/>
          <w:szCs w:val="24"/>
        </w:rPr>
        <w:t>Neal DA</w:t>
      </w:r>
      <w:r w:rsidRPr="009F13FC">
        <w:rPr>
          <w:rFonts w:ascii="Book Antiqua" w:hAnsi="Book Antiqua"/>
          <w:color w:val="000000" w:themeColor="text1"/>
          <w:sz w:val="24"/>
          <w:szCs w:val="24"/>
        </w:rPr>
        <w:t xml:space="preserve">, Tom BD, </w:t>
      </w:r>
      <w:proofErr w:type="spellStart"/>
      <w:r w:rsidRPr="009F13FC">
        <w:rPr>
          <w:rFonts w:ascii="Book Antiqua" w:hAnsi="Book Antiqua"/>
          <w:color w:val="000000" w:themeColor="text1"/>
          <w:sz w:val="24"/>
          <w:szCs w:val="24"/>
        </w:rPr>
        <w:t>Gimson</w:t>
      </w:r>
      <w:proofErr w:type="spellEnd"/>
      <w:r w:rsidRPr="009F13FC">
        <w:rPr>
          <w:rFonts w:ascii="Book Antiqua" w:hAnsi="Book Antiqua"/>
          <w:color w:val="000000" w:themeColor="text1"/>
          <w:sz w:val="24"/>
          <w:szCs w:val="24"/>
        </w:rPr>
        <w:t xml:space="preserve"> AE, Gibbs P, Alexander GJ. Hyperuricemia, gout, and renal function after liver transplantation.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2001; </w:t>
      </w:r>
      <w:r w:rsidRPr="009F13FC">
        <w:rPr>
          <w:rFonts w:ascii="Book Antiqua" w:hAnsi="Book Antiqua"/>
          <w:b/>
          <w:color w:val="000000" w:themeColor="text1"/>
          <w:sz w:val="24"/>
          <w:szCs w:val="24"/>
        </w:rPr>
        <w:t>72</w:t>
      </w:r>
      <w:r w:rsidRPr="009F13FC">
        <w:rPr>
          <w:rFonts w:ascii="Book Antiqua" w:hAnsi="Book Antiqua"/>
          <w:color w:val="000000" w:themeColor="text1"/>
          <w:sz w:val="24"/>
          <w:szCs w:val="24"/>
        </w:rPr>
        <w:t>: 1689-1691 [PMID: 11726834 DOI: 10.1097/00007890-200111270-00021]</w:t>
      </w:r>
    </w:p>
    <w:p w14:paraId="512B2DA0"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 </w:t>
      </w:r>
      <w:proofErr w:type="spellStart"/>
      <w:r w:rsidRPr="009F13FC">
        <w:rPr>
          <w:rFonts w:ascii="Book Antiqua" w:hAnsi="Book Antiqua"/>
          <w:b/>
          <w:color w:val="000000" w:themeColor="text1"/>
          <w:sz w:val="24"/>
          <w:szCs w:val="24"/>
        </w:rPr>
        <w:t>Longenecker</w:t>
      </w:r>
      <w:proofErr w:type="spellEnd"/>
      <w:r w:rsidRPr="009F13FC">
        <w:rPr>
          <w:rFonts w:ascii="Book Antiqua" w:hAnsi="Book Antiqua"/>
          <w:b/>
          <w:color w:val="000000" w:themeColor="text1"/>
          <w:sz w:val="24"/>
          <w:szCs w:val="24"/>
        </w:rPr>
        <w:t xml:space="preserve"> JC</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Waheed</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Bandak</w:t>
      </w:r>
      <w:proofErr w:type="spellEnd"/>
      <w:r w:rsidRPr="009F13FC">
        <w:rPr>
          <w:rFonts w:ascii="Book Antiqua" w:hAnsi="Book Antiqua"/>
          <w:color w:val="000000" w:themeColor="text1"/>
          <w:sz w:val="24"/>
          <w:szCs w:val="24"/>
        </w:rPr>
        <w:t xml:space="preserve"> G, Murakami CA, McMahon BA, </w:t>
      </w:r>
      <w:proofErr w:type="spellStart"/>
      <w:r w:rsidRPr="009F13FC">
        <w:rPr>
          <w:rFonts w:ascii="Book Antiqua" w:hAnsi="Book Antiqua"/>
          <w:color w:val="000000" w:themeColor="text1"/>
          <w:sz w:val="24"/>
          <w:szCs w:val="24"/>
        </w:rPr>
        <w:t>Gelber</w:t>
      </w:r>
      <w:proofErr w:type="spellEnd"/>
      <w:r w:rsidRPr="009F13FC">
        <w:rPr>
          <w:rFonts w:ascii="Book Antiqua" w:hAnsi="Book Antiqua"/>
          <w:color w:val="000000" w:themeColor="text1"/>
          <w:sz w:val="24"/>
          <w:szCs w:val="24"/>
        </w:rPr>
        <w:t xml:space="preserve"> AC, Atta MG. Hyperuricemia after orthotopic liver transplantation: divergent associations with progression of renal disease, incident end-stage renal disease, and mortality. </w:t>
      </w:r>
      <w:r w:rsidRPr="009F13FC">
        <w:rPr>
          <w:rFonts w:ascii="Book Antiqua" w:hAnsi="Book Antiqua"/>
          <w:i/>
          <w:color w:val="000000" w:themeColor="text1"/>
          <w:sz w:val="24"/>
          <w:szCs w:val="24"/>
        </w:rPr>
        <w:t xml:space="preserve">BMC </w:t>
      </w:r>
      <w:proofErr w:type="spellStart"/>
      <w:r w:rsidRPr="009F13FC">
        <w:rPr>
          <w:rFonts w:ascii="Book Antiqua" w:hAnsi="Book Antiqua"/>
          <w:i/>
          <w:color w:val="000000" w:themeColor="text1"/>
          <w:sz w:val="24"/>
          <w:szCs w:val="24"/>
        </w:rPr>
        <w:t>Nephrol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18</w:t>
      </w:r>
      <w:r w:rsidRPr="009F13FC">
        <w:rPr>
          <w:rFonts w:ascii="Book Antiqua" w:hAnsi="Book Antiqua"/>
          <w:color w:val="000000" w:themeColor="text1"/>
          <w:sz w:val="24"/>
          <w:szCs w:val="24"/>
        </w:rPr>
        <w:t>: 103 [PMID: 28347282 DOI: 10.1186/s12882-017-0518-5]</w:t>
      </w:r>
    </w:p>
    <w:p w14:paraId="0082440C" w14:textId="105D718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8 </w:t>
      </w:r>
      <w:r w:rsidRPr="009F13FC">
        <w:rPr>
          <w:rFonts w:ascii="Book Antiqua" w:hAnsi="Book Antiqua"/>
          <w:b/>
          <w:color w:val="000000" w:themeColor="text1"/>
          <w:sz w:val="24"/>
          <w:szCs w:val="24"/>
        </w:rPr>
        <w:t>Chen CY,</w:t>
      </w:r>
      <w:r w:rsidRPr="009F13FC">
        <w:rPr>
          <w:rFonts w:ascii="Book Antiqua" w:hAnsi="Book Antiqua"/>
          <w:color w:val="000000" w:themeColor="text1"/>
          <w:sz w:val="24"/>
          <w:szCs w:val="24"/>
        </w:rPr>
        <w:t xml:space="preserve"> Jiang WT, Zhang L, Tian DZ, Guo QJ, Li JJ. Long-term Post-liver-transplantation Hyperuricemia and Treatment of Renal Function Damage: Report of 27 Adult Cases. </w:t>
      </w:r>
      <w:proofErr w:type="spellStart"/>
      <w:r w:rsidR="00784A6E" w:rsidRPr="009F13FC">
        <w:rPr>
          <w:rFonts w:ascii="Book Antiqua" w:hAnsi="Book Antiqua"/>
          <w:i/>
          <w:iCs/>
          <w:color w:val="000000" w:themeColor="text1"/>
          <w:sz w:val="24"/>
          <w:szCs w:val="24"/>
        </w:rPr>
        <w:t>Zhonghua</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Qiguan</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Yizhi</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2016</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37</w:t>
      </w:r>
      <w:r w:rsidRPr="009F13FC">
        <w:rPr>
          <w:rFonts w:ascii="Book Antiqua" w:hAnsi="Book Antiqua"/>
          <w:color w:val="000000" w:themeColor="text1"/>
          <w:sz w:val="24"/>
          <w:szCs w:val="24"/>
        </w:rPr>
        <w:t>: 411-</w:t>
      </w:r>
      <w:r w:rsidR="00784A6E" w:rsidRPr="009F13FC">
        <w:rPr>
          <w:rFonts w:ascii="Book Antiqua" w:hAnsi="Book Antiqua"/>
          <w:color w:val="000000" w:themeColor="text1"/>
          <w:sz w:val="24"/>
          <w:szCs w:val="24"/>
        </w:rPr>
        <w:t>41</w:t>
      </w:r>
      <w:r w:rsidRPr="009F13FC">
        <w:rPr>
          <w:rFonts w:ascii="Book Antiqua" w:hAnsi="Book Antiqua"/>
          <w:color w:val="000000" w:themeColor="text1"/>
          <w:sz w:val="24"/>
          <w:szCs w:val="24"/>
        </w:rPr>
        <w:t>4</w:t>
      </w:r>
    </w:p>
    <w:p w14:paraId="20792992" w14:textId="77295754"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9 </w:t>
      </w:r>
      <w:r w:rsidRPr="009F13FC">
        <w:rPr>
          <w:rFonts w:ascii="Book Antiqua" w:hAnsi="Book Antiqua"/>
          <w:b/>
          <w:color w:val="000000" w:themeColor="text1"/>
          <w:sz w:val="24"/>
          <w:szCs w:val="24"/>
        </w:rPr>
        <w:t>Rao WP,</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Niu</w:t>
      </w:r>
      <w:proofErr w:type="spellEnd"/>
      <w:r w:rsidRPr="009F13FC">
        <w:rPr>
          <w:rFonts w:ascii="Book Antiqua" w:hAnsi="Book Antiqua"/>
          <w:color w:val="000000" w:themeColor="text1"/>
          <w:sz w:val="24"/>
          <w:szCs w:val="24"/>
        </w:rPr>
        <w:t xml:space="preserve"> YJ, Wang HY, Xu C. The Incidence and Risk Factors of Hyperuricemia after Liver Transplantation: A Single-center Retrospective Study. </w:t>
      </w:r>
      <w:proofErr w:type="spellStart"/>
      <w:r w:rsidR="00784A6E" w:rsidRPr="009F13FC">
        <w:rPr>
          <w:rFonts w:ascii="Book Antiqua" w:hAnsi="Book Antiqua"/>
          <w:i/>
          <w:iCs/>
          <w:color w:val="000000" w:themeColor="text1"/>
          <w:sz w:val="24"/>
          <w:szCs w:val="24"/>
        </w:rPr>
        <w:t>Zhonghua</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Neifenmi</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Waike</w:t>
      </w:r>
      <w:proofErr w:type="spellEnd"/>
      <w:r w:rsidR="00784A6E" w:rsidRPr="009F13FC">
        <w:rPr>
          <w:rFonts w:ascii="Book Antiqua" w:hAnsi="Book Antiqua"/>
          <w:i/>
          <w:iCs/>
          <w:color w:val="000000" w:themeColor="text1"/>
          <w:sz w:val="24"/>
          <w:szCs w:val="24"/>
        </w:rPr>
        <w:t xml:space="preserve"> </w:t>
      </w:r>
      <w:proofErr w:type="spellStart"/>
      <w:r w:rsidR="00784A6E"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2015</w:t>
      </w:r>
      <w:r w:rsidR="00784A6E"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00784A6E" w:rsidRPr="009F13FC">
        <w:rPr>
          <w:rFonts w:ascii="Book Antiqua" w:hAnsi="Book Antiqua"/>
          <w:b/>
          <w:bCs/>
          <w:color w:val="000000" w:themeColor="text1"/>
          <w:sz w:val="24"/>
          <w:szCs w:val="24"/>
        </w:rPr>
        <w:t>6</w:t>
      </w:r>
      <w:r w:rsidRPr="009F13FC">
        <w:rPr>
          <w:rFonts w:ascii="Book Antiqua" w:hAnsi="Book Antiqua"/>
          <w:color w:val="000000" w:themeColor="text1"/>
          <w:sz w:val="24"/>
          <w:szCs w:val="24"/>
        </w:rPr>
        <w:t>: 493-</w:t>
      </w:r>
      <w:r w:rsidR="00784A6E" w:rsidRPr="009F13FC">
        <w:rPr>
          <w:rFonts w:ascii="Book Antiqua" w:hAnsi="Book Antiqua"/>
          <w:color w:val="000000" w:themeColor="text1"/>
          <w:sz w:val="24"/>
          <w:szCs w:val="24"/>
        </w:rPr>
        <w:t>49</w:t>
      </w:r>
      <w:r w:rsidRPr="009F13FC">
        <w:rPr>
          <w:rFonts w:ascii="Book Antiqua" w:hAnsi="Book Antiqua"/>
          <w:color w:val="000000" w:themeColor="text1"/>
          <w:sz w:val="24"/>
          <w:szCs w:val="24"/>
        </w:rPr>
        <w:t>6</w:t>
      </w:r>
    </w:p>
    <w:p w14:paraId="633C9C2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lastRenderedPageBreak/>
        <w:t xml:space="preserve">10 </w:t>
      </w:r>
      <w:proofErr w:type="spellStart"/>
      <w:r w:rsidRPr="009F13FC">
        <w:rPr>
          <w:rFonts w:ascii="Book Antiqua" w:hAnsi="Book Antiqua"/>
          <w:b/>
          <w:color w:val="000000" w:themeColor="text1"/>
          <w:sz w:val="24"/>
          <w:szCs w:val="24"/>
        </w:rPr>
        <w:t>Rezende</w:t>
      </w:r>
      <w:proofErr w:type="spellEnd"/>
      <w:r w:rsidRPr="009F13FC">
        <w:rPr>
          <w:rFonts w:ascii="Book Antiqua" w:hAnsi="Book Antiqua"/>
          <w:b/>
          <w:color w:val="000000" w:themeColor="text1"/>
          <w:sz w:val="24"/>
          <w:szCs w:val="24"/>
        </w:rPr>
        <w:t xml:space="preserve"> </w:t>
      </w:r>
      <w:proofErr w:type="spellStart"/>
      <w:r w:rsidRPr="009F13FC">
        <w:rPr>
          <w:rFonts w:ascii="Book Antiqua" w:hAnsi="Book Antiqua"/>
          <w:b/>
          <w:color w:val="000000" w:themeColor="text1"/>
          <w:sz w:val="24"/>
          <w:szCs w:val="24"/>
        </w:rPr>
        <w:t>Anastácio</w:t>
      </w:r>
      <w:proofErr w:type="spellEnd"/>
      <w:r w:rsidRPr="009F13FC">
        <w:rPr>
          <w:rFonts w:ascii="Book Antiqua" w:hAnsi="Book Antiqua"/>
          <w:b/>
          <w:color w:val="000000" w:themeColor="text1"/>
          <w:sz w:val="24"/>
          <w:szCs w:val="24"/>
        </w:rPr>
        <w:t xml:space="preserve"> L</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García</w:t>
      </w:r>
      <w:proofErr w:type="spellEnd"/>
      <w:r w:rsidRPr="009F13FC">
        <w:rPr>
          <w:rFonts w:ascii="Book Antiqua" w:hAnsi="Book Antiqua"/>
          <w:color w:val="000000" w:themeColor="text1"/>
          <w:sz w:val="24"/>
          <w:szCs w:val="24"/>
        </w:rPr>
        <w:t xml:space="preserve"> Ferreira L, Costa </w:t>
      </w:r>
      <w:proofErr w:type="spellStart"/>
      <w:r w:rsidRPr="009F13FC">
        <w:rPr>
          <w:rFonts w:ascii="Book Antiqua" w:hAnsi="Book Antiqua"/>
          <w:color w:val="000000" w:themeColor="text1"/>
          <w:sz w:val="24"/>
          <w:szCs w:val="24"/>
        </w:rPr>
        <w:t>Liboredo</w:t>
      </w:r>
      <w:proofErr w:type="spellEnd"/>
      <w:r w:rsidRPr="009F13FC">
        <w:rPr>
          <w:rFonts w:ascii="Book Antiqua" w:hAnsi="Book Antiqua"/>
          <w:color w:val="000000" w:themeColor="text1"/>
          <w:sz w:val="24"/>
          <w:szCs w:val="24"/>
        </w:rPr>
        <w:t xml:space="preserve"> J, de </w:t>
      </w:r>
      <w:proofErr w:type="spellStart"/>
      <w:r w:rsidRPr="009F13FC">
        <w:rPr>
          <w:rFonts w:ascii="Book Antiqua" w:hAnsi="Book Antiqua"/>
          <w:color w:val="000000" w:themeColor="text1"/>
          <w:sz w:val="24"/>
          <w:szCs w:val="24"/>
        </w:rPr>
        <w:t>Sena</w:t>
      </w:r>
      <w:proofErr w:type="spellEnd"/>
      <w:r w:rsidRPr="009F13FC">
        <w:rPr>
          <w:rFonts w:ascii="Book Antiqua" w:hAnsi="Book Antiqua"/>
          <w:color w:val="000000" w:themeColor="text1"/>
          <w:sz w:val="24"/>
          <w:szCs w:val="24"/>
        </w:rPr>
        <w:t xml:space="preserve"> Ribeiro H, </w:t>
      </w:r>
      <w:proofErr w:type="spellStart"/>
      <w:r w:rsidRPr="009F13FC">
        <w:rPr>
          <w:rFonts w:ascii="Book Antiqua" w:hAnsi="Book Antiqua"/>
          <w:color w:val="000000" w:themeColor="text1"/>
          <w:sz w:val="24"/>
          <w:szCs w:val="24"/>
        </w:rPr>
        <w:t>Soares</w:t>
      </w:r>
      <w:proofErr w:type="spellEnd"/>
      <w:r w:rsidRPr="009F13FC">
        <w:rPr>
          <w:rFonts w:ascii="Book Antiqua" w:hAnsi="Book Antiqua"/>
          <w:color w:val="000000" w:themeColor="text1"/>
          <w:sz w:val="24"/>
          <w:szCs w:val="24"/>
        </w:rPr>
        <w:t xml:space="preserve"> Lima A, </w:t>
      </w:r>
      <w:proofErr w:type="spellStart"/>
      <w:r w:rsidRPr="009F13FC">
        <w:rPr>
          <w:rFonts w:ascii="Book Antiqua" w:hAnsi="Book Antiqua"/>
          <w:color w:val="000000" w:themeColor="text1"/>
          <w:sz w:val="24"/>
          <w:szCs w:val="24"/>
        </w:rPr>
        <w:t>García</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Vilela</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Correia</w:t>
      </w:r>
      <w:proofErr w:type="spellEnd"/>
      <w:r w:rsidRPr="009F13FC">
        <w:rPr>
          <w:rFonts w:ascii="Book Antiqua" w:hAnsi="Book Antiqua"/>
          <w:color w:val="000000" w:themeColor="text1"/>
          <w:sz w:val="24"/>
          <w:szCs w:val="24"/>
        </w:rPr>
        <w:t xml:space="preserve"> MI. Overweight, obesity and weight gain up to three years after liver transplantation. </w:t>
      </w:r>
      <w:proofErr w:type="spellStart"/>
      <w:r w:rsidRPr="009F13FC">
        <w:rPr>
          <w:rFonts w:ascii="Book Antiqua" w:hAnsi="Book Antiqua"/>
          <w:i/>
          <w:color w:val="000000" w:themeColor="text1"/>
          <w:sz w:val="24"/>
          <w:szCs w:val="24"/>
        </w:rPr>
        <w:t>Nutr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Hosp</w:t>
      </w:r>
      <w:proofErr w:type="spellEnd"/>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27</w:t>
      </w:r>
      <w:r w:rsidRPr="009F13FC">
        <w:rPr>
          <w:rFonts w:ascii="Book Antiqua" w:hAnsi="Book Antiqua"/>
          <w:color w:val="000000" w:themeColor="text1"/>
          <w:sz w:val="24"/>
          <w:szCs w:val="24"/>
        </w:rPr>
        <w:t>: 1351-1356 [PMID: 23165585 DOI: 10.3305/nh.2012.27.4.5768]</w:t>
      </w:r>
    </w:p>
    <w:p w14:paraId="273E9E6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11 </w:t>
      </w:r>
      <w:r w:rsidRPr="009F13FC">
        <w:rPr>
          <w:rFonts w:ascii="Book Antiqua" w:hAnsi="Book Antiqua"/>
          <w:b/>
          <w:color w:val="000000" w:themeColor="text1"/>
          <w:sz w:val="24"/>
          <w:szCs w:val="24"/>
        </w:rPr>
        <w:t>Sundaram SS</w:t>
      </w:r>
      <w:r w:rsidRPr="009F13FC">
        <w:rPr>
          <w:rFonts w:ascii="Book Antiqua" w:hAnsi="Book Antiqua"/>
          <w:color w:val="000000" w:themeColor="text1"/>
          <w:sz w:val="24"/>
          <w:szCs w:val="24"/>
        </w:rPr>
        <w:t xml:space="preserve">, Alonso EM, Zeitler P, Yin W, Anand R; SPLIT Research Group. Obesity after pediatric liver transplantation: prevalence and risk factors.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Pediatr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Nutr</w:t>
      </w:r>
      <w:proofErr w:type="spellEnd"/>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55</w:t>
      </w:r>
      <w:r w:rsidRPr="009F13FC">
        <w:rPr>
          <w:rFonts w:ascii="Book Antiqua" w:hAnsi="Book Antiqua"/>
          <w:color w:val="000000" w:themeColor="text1"/>
          <w:sz w:val="24"/>
          <w:szCs w:val="24"/>
        </w:rPr>
        <w:t>: 657-662 [PMID: 22744193 DOI: 10.1097/MPG.0b013e318266243c]</w:t>
      </w:r>
    </w:p>
    <w:p w14:paraId="284EBF1D"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12 </w:t>
      </w:r>
      <w:r w:rsidRPr="009F13FC">
        <w:rPr>
          <w:rFonts w:ascii="Book Antiqua" w:hAnsi="Book Antiqua"/>
          <w:b/>
          <w:color w:val="000000" w:themeColor="text1"/>
          <w:sz w:val="24"/>
          <w:szCs w:val="24"/>
        </w:rPr>
        <w:t>Davis BC</w:t>
      </w:r>
      <w:r w:rsidRPr="009F13FC">
        <w:rPr>
          <w:rFonts w:ascii="Book Antiqua" w:hAnsi="Book Antiqua"/>
          <w:color w:val="000000" w:themeColor="text1"/>
          <w:sz w:val="24"/>
          <w:szCs w:val="24"/>
        </w:rPr>
        <w:t xml:space="preserve">, Shadab Siddiqui M. Liver Transplantation: the Role of Metabolic Syndrome. </w:t>
      </w:r>
      <w:proofErr w:type="spellStart"/>
      <w:r w:rsidRPr="009F13FC">
        <w:rPr>
          <w:rFonts w:ascii="Book Antiqua" w:hAnsi="Book Antiqua"/>
          <w:i/>
          <w:color w:val="000000" w:themeColor="text1"/>
          <w:sz w:val="24"/>
          <w:szCs w:val="24"/>
        </w:rPr>
        <w:t>Curr</w:t>
      </w:r>
      <w:proofErr w:type="spellEnd"/>
      <w:r w:rsidRPr="009F13FC">
        <w:rPr>
          <w:rFonts w:ascii="Book Antiqua" w:hAnsi="Book Antiqua"/>
          <w:i/>
          <w:color w:val="000000" w:themeColor="text1"/>
          <w:sz w:val="24"/>
          <w:szCs w:val="24"/>
        </w:rPr>
        <w:t xml:space="preserve"> Treat Options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15</w:t>
      </w:r>
      <w:r w:rsidRPr="009F13FC">
        <w:rPr>
          <w:rFonts w:ascii="Book Antiqua" w:hAnsi="Book Antiqua"/>
          <w:color w:val="000000" w:themeColor="text1"/>
          <w:sz w:val="24"/>
          <w:szCs w:val="24"/>
        </w:rPr>
        <w:t>: 316-331 [PMID: 28432575 DOI: 10.1007/s11938-017-0135-1]</w:t>
      </w:r>
    </w:p>
    <w:p w14:paraId="70068723" w14:textId="6D86C35E"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13 </w:t>
      </w:r>
      <w:r w:rsidRPr="009F13FC">
        <w:rPr>
          <w:rFonts w:ascii="Book Antiqua" w:hAnsi="Book Antiqua"/>
          <w:b/>
          <w:color w:val="000000" w:themeColor="text1"/>
          <w:sz w:val="24"/>
          <w:szCs w:val="24"/>
        </w:rPr>
        <w:t>Li XY,</w:t>
      </w:r>
      <w:r w:rsidRPr="009F13FC">
        <w:rPr>
          <w:rFonts w:ascii="Book Antiqua" w:hAnsi="Book Antiqua"/>
          <w:color w:val="000000" w:themeColor="text1"/>
          <w:sz w:val="24"/>
          <w:szCs w:val="24"/>
        </w:rPr>
        <w:t xml:space="preserve"> Huang L, Zhu JY. Complications in patients surviving over ten years after liver transplantation.</w:t>
      </w:r>
      <w:r w:rsidR="00FA14E0" w:rsidRPr="009F13FC">
        <w:rPr>
          <w:rFonts w:ascii="Book Antiqua" w:hAnsi="Book Antiqua"/>
          <w:color w:val="000000" w:themeColor="text1"/>
          <w:sz w:val="24"/>
          <w:szCs w:val="24"/>
        </w:rPr>
        <w:t xml:space="preserve"> </w:t>
      </w:r>
      <w:proofErr w:type="spellStart"/>
      <w:r w:rsidR="00FA14E0" w:rsidRPr="009F13FC">
        <w:rPr>
          <w:rFonts w:ascii="Book Antiqua" w:hAnsi="Book Antiqua"/>
          <w:i/>
          <w:iCs/>
          <w:color w:val="000000" w:themeColor="text1"/>
          <w:sz w:val="24"/>
          <w:szCs w:val="24"/>
        </w:rPr>
        <w:t>Zhonghua</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Quanke</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Yishi</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Zazhi</w:t>
      </w:r>
      <w:proofErr w:type="spellEnd"/>
      <w:r w:rsidRPr="009F13FC">
        <w:rPr>
          <w:rFonts w:ascii="Book Antiqua" w:hAnsi="Book Antiqua"/>
          <w:i/>
          <w:iCs/>
          <w:color w:val="000000" w:themeColor="text1"/>
          <w:sz w:val="24"/>
          <w:szCs w:val="24"/>
        </w:rPr>
        <w:t xml:space="preserve"> </w:t>
      </w:r>
      <w:r w:rsidRPr="009F13FC">
        <w:rPr>
          <w:rFonts w:ascii="Book Antiqua" w:hAnsi="Book Antiqua"/>
          <w:color w:val="000000" w:themeColor="text1"/>
          <w:sz w:val="24"/>
          <w:szCs w:val="24"/>
        </w:rPr>
        <w:t>2019</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18</w:t>
      </w:r>
      <w:r w:rsidRPr="009F13FC">
        <w:rPr>
          <w:rFonts w:ascii="Book Antiqua" w:hAnsi="Book Antiqua"/>
          <w:color w:val="000000" w:themeColor="text1"/>
          <w:sz w:val="24"/>
          <w:szCs w:val="24"/>
        </w:rPr>
        <w:t>: 347-</w:t>
      </w:r>
      <w:r w:rsidR="00FA14E0"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51 </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10.3760/cma.j.issn.1671-7368.2019.04.011</w:t>
      </w:r>
      <w:r w:rsidR="00FA14E0" w:rsidRPr="009F13FC">
        <w:rPr>
          <w:rFonts w:ascii="Book Antiqua" w:hAnsi="Book Antiqua"/>
          <w:color w:val="000000" w:themeColor="text1"/>
          <w:sz w:val="24"/>
          <w:szCs w:val="24"/>
        </w:rPr>
        <w:t>]</w:t>
      </w:r>
    </w:p>
    <w:p w14:paraId="457B2E1E"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14 </w:t>
      </w:r>
      <w:r w:rsidRPr="009F13FC">
        <w:rPr>
          <w:rFonts w:ascii="Book Antiqua" w:hAnsi="Book Antiqua"/>
          <w:b/>
          <w:color w:val="000000" w:themeColor="text1"/>
          <w:sz w:val="24"/>
          <w:szCs w:val="24"/>
        </w:rPr>
        <w:t>Jiménez-Pérez M</w:t>
      </w:r>
      <w:r w:rsidRPr="009F13FC">
        <w:rPr>
          <w:rFonts w:ascii="Book Antiqua" w:hAnsi="Book Antiqua"/>
          <w:color w:val="000000" w:themeColor="text1"/>
          <w:sz w:val="24"/>
          <w:szCs w:val="24"/>
        </w:rPr>
        <w:t xml:space="preserve">, González-Grande R, </w:t>
      </w:r>
      <w:proofErr w:type="spellStart"/>
      <w:r w:rsidRPr="009F13FC">
        <w:rPr>
          <w:rFonts w:ascii="Book Antiqua" w:hAnsi="Book Antiqua"/>
          <w:color w:val="000000" w:themeColor="text1"/>
          <w:sz w:val="24"/>
          <w:szCs w:val="24"/>
        </w:rPr>
        <w:t>Omonte</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Guzmán</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Amo</w:t>
      </w:r>
      <w:proofErr w:type="spellEnd"/>
      <w:r w:rsidRPr="009F13FC">
        <w:rPr>
          <w:rFonts w:ascii="Book Antiqua" w:hAnsi="Book Antiqua"/>
          <w:color w:val="000000" w:themeColor="text1"/>
          <w:sz w:val="24"/>
          <w:szCs w:val="24"/>
        </w:rPr>
        <w:t xml:space="preserve"> Trillo V, Rodrigo López JM. Metabolic complications in liver transplant recipients. </w:t>
      </w:r>
      <w:r w:rsidRPr="009F13FC">
        <w:rPr>
          <w:rFonts w:ascii="Book Antiqua" w:hAnsi="Book Antiqua"/>
          <w:i/>
          <w:color w:val="000000" w:themeColor="text1"/>
          <w:sz w:val="24"/>
          <w:szCs w:val="24"/>
        </w:rPr>
        <w:t>World J Gastroenterol</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22</w:t>
      </w:r>
      <w:r w:rsidRPr="009F13FC">
        <w:rPr>
          <w:rFonts w:ascii="Book Antiqua" w:hAnsi="Book Antiqua"/>
          <w:color w:val="000000" w:themeColor="text1"/>
          <w:sz w:val="24"/>
          <w:szCs w:val="24"/>
        </w:rPr>
        <w:t>: 6416-6423 [PMID: 27605877 DOI: 10.3748/wjg.v22.i28.6416]</w:t>
      </w:r>
    </w:p>
    <w:p w14:paraId="21A51E0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15 </w:t>
      </w:r>
      <w:r w:rsidRPr="009F13FC">
        <w:rPr>
          <w:rFonts w:ascii="Book Antiqua" w:hAnsi="Book Antiqua"/>
          <w:b/>
          <w:color w:val="000000" w:themeColor="text1"/>
          <w:sz w:val="24"/>
          <w:szCs w:val="24"/>
        </w:rPr>
        <w:t>Lucey MR</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Terrault</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Ojo</w:t>
      </w:r>
      <w:proofErr w:type="spellEnd"/>
      <w:r w:rsidRPr="009F13FC">
        <w:rPr>
          <w:rFonts w:ascii="Book Antiqua" w:hAnsi="Book Antiqua"/>
          <w:color w:val="000000" w:themeColor="text1"/>
          <w:sz w:val="24"/>
          <w:szCs w:val="24"/>
        </w:rPr>
        <w:t xml:space="preserve"> L, Hay JE, Neuberger J, Blumberg E, </w:t>
      </w:r>
      <w:proofErr w:type="spellStart"/>
      <w:r w:rsidRPr="009F13FC">
        <w:rPr>
          <w:rFonts w:ascii="Book Antiqua" w:hAnsi="Book Antiqua"/>
          <w:color w:val="000000" w:themeColor="text1"/>
          <w:sz w:val="24"/>
          <w:szCs w:val="24"/>
        </w:rPr>
        <w:t>Teperman</w:t>
      </w:r>
      <w:proofErr w:type="spellEnd"/>
      <w:r w:rsidRPr="009F13FC">
        <w:rPr>
          <w:rFonts w:ascii="Book Antiqua" w:hAnsi="Book Antiqua"/>
          <w:color w:val="000000" w:themeColor="text1"/>
          <w:sz w:val="24"/>
          <w:szCs w:val="24"/>
        </w:rPr>
        <w:t xml:space="preserve"> LW. Long-term management of the successful adult liver transplant: 2012 practice guideline by the American Association for the Study of Liver Diseases and the American Society of Transplantation.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2013; </w:t>
      </w:r>
      <w:r w:rsidRPr="009F13FC">
        <w:rPr>
          <w:rFonts w:ascii="Book Antiqua" w:hAnsi="Book Antiqua"/>
          <w:b/>
          <w:color w:val="000000" w:themeColor="text1"/>
          <w:sz w:val="24"/>
          <w:szCs w:val="24"/>
        </w:rPr>
        <w:t>19</w:t>
      </w:r>
      <w:r w:rsidRPr="009F13FC">
        <w:rPr>
          <w:rFonts w:ascii="Book Antiqua" w:hAnsi="Book Antiqua"/>
          <w:color w:val="000000" w:themeColor="text1"/>
          <w:sz w:val="24"/>
          <w:szCs w:val="24"/>
        </w:rPr>
        <w:t>: 3-26 [PMID: 23281277 DOI: 10.1002/lt.23566]</w:t>
      </w:r>
    </w:p>
    <w:p w14:paraId="567D9FF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16 </w:t>
      </w:r>
      <w:r w:rsidRPr="009F13FC">
        <w:rPr>
          <w:rFonts w:ascii="Book Antiqua" w:hAnsi="Book Antiqua"/>
          <w:b/>
          <w:color w:val="000000" w:themeColor="text1"/>
          <w:sz w:val="24"/>
          <w:szCs w:val="24"/>
        </w:rPr>
        <w:t>Parekh J</w:t>
      </w:r>
      <w:r w:rsidRPr="009F13FC">
        <w:rPr>
          <w:rFonts w:ascii="Book Antiqua" w:hAnsi="Book Antiqua"/>
          <w:color w:val="000000" w:themeColor="text1"/>
          <w:sz w:val="24"/>
          <w:szCs w:val="24"/>
        </w:rPr>
        <w:t xml:space="preserve">, Corley DA, Feng S. Diabetes, hypertension and hyperlipidemia: prevalence over time and impact on long-term survival after liver transplantation.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2181-2187 [PMID: 22548965 DOI: 10.1111/j.1600-6143.2012.04077.x]</w:t>
      </w:r>
    </w:p>
    <w:p w14:paraId="2C6E09F7" w14:textId="3DDEF396"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17 </w:t>
      </w:r>
      <w:r w:rsidRPr="009F13FC">
        <w:rPr>
          <w:rFonts w:ascii="Book Antiqua" w:hAnsi="Book Antiqua"/>
          <w:b/>
          <w:color w:val="000000" w:themeColor="text1"/>
          <w:sz w:val="24"/>
          <w:szCs w:val="24"/>
        </w:rPr>
        <w:t>Li XY,</w:t>
      </w:r>
      <w:r w:rsidRPr="009F13FC">
        <w:rPr>
          <w:rFonts w:ascii="Book Antiqua" w:hAnsi="Book Antiqua"/>
          <w:color w:val="000000" w:themeColor="text1"/>
          <w:sz w:val="24"/>
          <w:szCs w:val="24"/>
        </w:rPr>
        <w:t xml:space="preserve"> Zhu JY, Huang L, Li GM, </w:t>
      </w:r>
      <w:proofErr w:type="spellStart"/>
      <w:r w:rsidRPr="009F13FC">
        <w:rPr>
          <w:rFonts w:ascii="Book Antiqua" w:hAnsi="Book Antiqua"/>
          <w:color w:val="000000" w:themeColor="text1"/>
          <w:sz w:val="24"/>
          <w:szCs w:val="24"/>
        </w:rPr>
        <w:t>Leng</w:t>
      </w:r>
      <w:proofErr w:type="spellEnd"/>
      <w:r w:rsidRPr="009F13FC">
        <w:rPr>
          <w:rFonts w:ascii="Book Antiqua" w:hAnsi="Book Antiqua"/>
          <w:color w:val="000000" w:themeColor="text1"/>
          <w:sz w:val="24"/>
          <w:szCs w:val="24"/>
        </w:rPr>
        <w:t xml:space="preserve"> XS. Metabolic Syndrome in Liver Transplant Recipients: Prevalence and Risk Factors. </w:t>
      </w:r>
      <w:proofErr w:type="spellStart"/>
      <w:r w:rsidR="00FA14E0" w:rsidRPr="009F13FC">
        <w:rPr>
          <w:rFonts w:ascii="Book Antiqua" w:hAnsi="Book Antiqua"/>
          <w:i/>
          <w:iCs/>
          <w:color w:val="000000" w:themeColor="text1"/>
          <w:sz w:val="24"/>
          <w:szCs w:val="24"/>
        </w:rPr>
        <w:t>Zhonghua</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Putong</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Waike</w:t>
      </w:r>
      <w:proofErr w:type="spellEnd"/>
      <w:r w:rsidR="00FA14E0" w:rsidRPr="009F13FC">
        <w:rPr>
          <w:rFonts w:ascii="Book Antiqua" w:hAnsi="Book Antiqua"/>
          <w:i/>
          <w:iCs/>
          <w:color w:val="000000" w:themeColor="text1"/>
          <w:sz w:val="24"/>
          <w:szCs w:val="24"/>
        </w:rPr>
        <w:t xml:space="preserve"> </w:t>
      </w:r>
      <w:proofErr w:type="spellStart"/>
      <w:r w:rsidR="00FA14E0"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2012</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27</w:t>
      </w:r>
      <w:r w:rsidRPr="009F13FC">
        <w:rPr>
          <w:rFonts w:ascii="Book Antiqua" w:hAnsi="Book Antiqua"/>
          <w:color w:val="000000" w:themeColor="text1"/>
          <w:sz w:val="24"/>
          <w:szCs w:val="24"/>
        </w:rPr>
        <w:t xml:space="preserve">: 8-11 </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10.3760/cma.j.issn.1007-631X.2012.01.004</w:t>
      </w:r>
      <w:r w:rsidR="00FA14E0" w:rsidRPr="009F13FC">
        <w:rPr>
          <w:rFonts w:ascii="Book Antiqua" w:hAnsi="Book Antiqua"/>
          <w:color w:val="000000" w:themeColor="text1"/>
          <w:sz w:val="24"/>
          <w:szCs w:val="24"/>
        </w:rPr>
        <w:t>]</w:t>
      </w:r>
    </w:p>
    <w:p w14:paraId="148116A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18 </w:t>
      </w:r>
      <w:r w:rsidRPr="009F13FC">
        <w:rPr>
          <w:rFonts w:ascii="Book Antiqua" w:hAnsi="Book Antiqua"/>
          <w:b/>
          <w:color w:val="000000" w:themeColor="text1"/>
          <w:sz w:val="24"/>
          <w:szCs w:val="24"/>
        </w:rPr>
        <w:t>Kim WR</w:t>
      </w:r>
      <w:r w:rsidRPr="009F13FC">
        <w:rPr>
          <w:rFonts w:ascii="Book Antiqua" w:hAnsi="Book Antiqua"/>
          <w:color w:val="000000" w:themeColor="text1"/>
          <w:sz w:val="24"/>
          <w:szCs w:val="24"/>
        </w:rPr>
        <w:t xml:space="preserve">, Lake JR, Smith JM, </w:t>
      </w:r>
      <w:proofErr w:type="spellStart"/>
      <w:r w:rsidRPr="009F13FC">
        <w:rPr>
          <w:rFonts w:ascii="Book Antiqua" w:hAnsi="Book Antiqua"/>
          <w:color w:val="000000" w:themeColor="text1"/>
          <w:sz w:val="24"/>
          <w:szCs w:val="24"/>
        </w:rPr>
        <w:t>Schladt</w:t>
      </w:r>
      <w:proofErr w:type="spellEnd"/>
      <w:r w:rsidRPr="009F13FC">
        <w:rPr>
          <w:rFonts w:ascii="Book Antiqua" w:hAnsi="Book Antiqua"/>
          <w:color w:val="000000" w:themeColor="text1"/>
          <w:sz w:val="24"/>
          <w:szCs w:val="24"/>
        </w:rPr>
        <w:t xml:space="preserve"> DP, </w:t>
      </w:r>
      <w:proofErr w:type="spellStart"/>
      <w:r w:rsidRPr="009F13FC">
        <w:rPr>
          <w:rFonts w:ascii="Book Antiqua" w:hAnsi="Book Antiqua"/>
          <w:color w:val="000000" w:themeColor="text1"/>
          <w:sz w:val="24"/>
          <w:szCs w:val="24"/>
        </w:rPr>
        <w:t>Skeans</w:t>
      </w:r>
      <w:proofErr w:type="spellEnd"/>
      <w:r w:rsidRPr="009F13FC">
        <w:rPr>
          <w:rFonts w:ascii="Book Antiqua" w:hAnsi="Book Antiqua"/>
          <w:color w:val="000000" w:themeColor="text1"/>
          <w:sz w:val="24"/>
          <w:szCs w:val="24"/>
        </w:rPr>
        <w:t xml:space="preserve"> MA, Noreen SM, Robinson AM, Miller E, Snyder JJ, </w:t>
      </w:r>
      <w:proofErr w:type="spellStart"/>
      <w:r w:rsidRPr="009F13FC">
        <w:rPr>
          <w:rFonts w:ascii="Book Antiqua" w:hAnsi="Book Antiqua"/>
          <w:color w:val="000000" w:themeColor="text1"/>
          <w:sz w:val="24"/>
          <w:szCs w:val="24"/>
        </w:rPr>
        <w:t>Israni</w:t>
      </w:r>
      <w:proofErr w:type="spellEnd"/>
      <w:r w:rsidRPr="009F13FC">
        <w:rPr>
          <w:rFonts w:ascii="Book Antiqua" w:hAnsi="Book Antiqua"/>
          <w:color w:val="000000" w:themeColor="text1"/>
          <w:sz w:val="24"/>
          <w:szCs w:val="24"/>
        </w:rPr>
        <w:t xml:space="preserve"> AK, </w:t>
      </w:r>
      <w:proofErr w:type="spellStart"/>
      <w:r w:rsidRPr="009F13FC">
        <w:rPr>
          <w:rFonts w:ascii="Book Antiqua" w:hAnsi="Book Antiqua"/>
          <w:color w:val="000000" w:themeColor="text1"/>
          <w:sz w:val="24"/>
          <w:szCs w:val="24"/>
        </w:rPr>
        <w:t>Kasiske</w:t>
      </w:r>
      <w:proofErr w:type="spellEnd"/>
      <w:r w:rsidRPr="009F13FC">
        <w:rPr>
          <w:rFonts w:ascii="Book Antiqua" w:hAnsi="Book Antiqua"/>
          <w:color w:val="000000" w:themeColor="text1"/>
          <w:sz w:val="24"/>
          <w:szCs w:val="24"/>
        </w:rPr>
        <w:t xml:space="preserve"> BL. OPTN/SRTR 2017 Annual Data Report: </w:t>
      </w:r>
      <w:r w:rsidRPr="009F13FC">
        <w:rPr>
          <w:rFonts w:ascii="Book Antiqua" w:hAnsi="Book Antiqua"/>
          <w:color w:val="000000" w:themeColor="text1"/>
          <w:sz w:val="24"/>
          <w:szCs w:val="24"/>
        </w:rPr>
        <w:lastRenderedPageBreak/>
        <w:t xml:space="preserve">Liver.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19 Suppl 2</w:t>
      </w:r>
      <w:r w:rsidRPr="009F13FC">
        <w:rPr>
          <w:rFonts w:ascii="Book Antiqua" w:hAnsi="Book Antiqua"/>
          <w:color w:val="000000" w:themeColor="text1"/>
          <w:sz w:val="24"/>
          <w:szCs w:val="24"/>
        </w:rPr>
        <w:t>: 184-283 [PMID: 30811890 DOI: 10.1111/ajt.15276]</w:t>
      </w:r>
    </w:p>
    <w:p w14:paraId="374F014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19 </w:t>
      </w:r>
      <w:r w:rsidRPr="009F13FC">
        <w:rPr>
          <w:rFonts w:ascii="Book Antiqua" w:hAnsi="Book Antiqua"/>
          <w:b/>
          <w:color w:val="000000" w:themeColor="text1"/>
          <w:sz w:val="24"/>
          <w:szCs w:val="24"/>
        </w:rPr>
        <w:t>Watt KD</w:t>
      </w:r>
      <w:r w:rsidRPr="009F13FC">
        <w:rPr>
          <w:rFonts w:ascii="Book Antiqua" w:hAnsi="Book Antiqua"/>
          <w:color w:val="000000" w:themeColor="text1"/>
          <w:sz w:val="24"/>
          <w:szCs w:val="24"/>
        </w:rPr>
        <w:t xml:space="preserve">, Charlton MR. Metabolic syndrome and liver transplantation: a review and guide to management.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color w:val="000000" w:themeColor="text1"/>
          <w:sz w:val="24"/>
          <w:szCs w:val="24"/>
        </w:rPr>
        <w:t xml:space="preserve"> 2010; </w:t>
      </w:r>
      <w:r w:rsidRPr="009F13FC">
        <w:rPr>
          <w:rFonts w:ascii="Book Antiqua" w:hAnsi="Book Antiqua"/>
          <w:b/>
          <w:color w:val="000000" w:themeColor="text1"/>
          <w:sz w:val="24"/>
          <w:szCs w:val="24"/>
        </w:rPr>
        <w:t>53</w:t>
      </w:r>
      <w:r w:rsidRPr="009F13FC">
        <w:rPr>
          <w:rFonts w:ascii="Book Antiqua" w:hAnsi="Book Antiqua"/>
          <w:color w:val="000000" w:themeColor="text1"/>
          <w:sz w:val="24"/>
          <w:szCs w:val="24"/>
        </w:rPr>
        <w:t>: 199-206 [PMID: 20451282 DOI: 10.1016/j.jhep.2010.01.040]</w:t>
      </w:r>
    </w:p>
    <w:p w14:paraId="6CF0B6E4"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20 </w:t>
      </w:r>
      <w:proofErr w:type="spellStart"/>
      <w:r w:rsidRPr="009F13FC">
        <w:rPr>
          <w:rFonts w:ascii="Book Antiqua" w:hAnsi="Book Antiqua"/>
          <w:b/>
          <w:color w:val="000000" w:themeColor="text1"/>
          <w:sz w:val="24"/>
          <w:szCs w:val="24"/>
        </w:rPr>
        <w:t>Laish</w:t>
      </w:r>
      <w:proofErr w:type="spellEnd"/>
      <w:r w:rsidRPr="009F13FC">
        <w:rPr>
          <w:rFonts w:ascii="Book Antiqua" w:hAnsi="Book Antiqua"/>
          <w:b/>
          <w:color w:val="000000" w:themeColor="text1"/>
          <w:sz w:val="24"/>
          <w:szCs w:val="24"/>
        </w:rPr>
        <w:t xml:space="preserve"> I</w:t>
      </w:r>
      <w:r w:rsidRPr="009F13FC">
        <w:rPr>
          <w:rFonts w:ascii="Book Antiqua" w:hAnsi="Book Antiqua"/>
          <w:color w:val="000000" w:themeColor="text1"/>
          <w:sz w:val="24"/>
          <w:szCs w:val="24"/>
        </w:rPr>
        <w:t xml:space="preserve">, Braun M, </w:t>
      </w:r>
      <w:proofErr w:type="spellStart"/>
      <w:r w:rsidRPr="009F13FC">
        <w:rPr>
          <w:rFonts w:ascii="Book Antiqua" w:hAnsi="Book Antiqua"/>
          <w:color w:val="000000" w:themeColor="text1"/>
          <w:sz w:val="24"/>
          <w:szCs w:val="24"/>
        </w:rPr>
        <w:t>Mor</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Sulkes</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Harif</w:t>
      </w:r>
      <w:proofErr w:type="spellEnd"/>
      <w:r w:rsidRPr="009F13FC">
        <w:rPr>
          <w:rFonts w:ascii="Book Antiqua" w:hAnsi="Book Antiqua"/>
          <w:color w:val="000000" w:themeColor="text1"/>
          <w:sz w:val="24"/>
          <w:szCs w:val="24"/>
        </w:rPr>
        <w:t xml:space="preserve"> Y, Ben Ari Z. Metabolic syndrome in liver transplant recipients: prevalence, risk factors, and association with cardiovascular events.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17</w:t>
      </w:r>
      <w:r w:rsidRPr="009F13FC">
        <w:rPr>
          <w:rFonts w:ascii="Book Antiqua" w:hAnsi="Book Antiqua"/>
          <w:color w:val="000000" w:themeColor="text1"/>
          <w:sz w:val="24"/>
          <w:szCs w:val="24"/>
        </w:rPr>
        <w:t>: 15-22 [PMID: 21254340 DOI: 10.1002/lt.22198]</w:t>
      </w:r>
    </w:p>
    <w:p w14:paraId="69A5283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21 </w:t>
      </w:r>
      <w:r w:rsidRPr="009F13FC">
        <w:rPr>
          <w:rFonts w:ascii="Book Antiqua" w:hAnsi="Book Antiqua"/>
          <w:b/>
          <w:color w:val="000000" w:themeColor="text1"/>
          <w:sz w:val="24"/>
          <w:szCs w:val="24"/>
        </w:rPr>
        <w:t>De Simone P</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Carrai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Coletti</w:t>
      </w:r>
      <w:proofErr w:type="spellEnd"/>
      <w:r w:rsidRPr="009F13FC">
        <w:rPr>
          <w:rFonts w:ascii="Book Antiqua" w:hAnsi="Book Antiqua"/>
          <w:color w:val="000000" w:themeColor="text1"/>
          <w:sz w:val="24"/>
          <w:szCs w:val="24"/>
        </w:rPr>
        <w:t xml:space="preserve"> L, </w:t>
      </w:r>
      <w:proofErr w:type="spellStart"/>
      <w:r w:rsidRPr="009F13FC">
        <w:rPr>
          <w:rFonts w:ascii="Book Antiqua" w:hAnsi="Book Antiqua"/>
          <w:color w:val="000000" w:themeColor="text1"/>
          <w:sz w:val="24"/>
          <w:szCs w:val="24"/>
        </w:rPr>
        <w:t>Ghinolfi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Petruccelli</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Precisi</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Campani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Marchetti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Filipponi</w:t>
      </w:r>
      <w:proofErr w:type="spellEnd"/>
      <w:r w:rsidRPr="009F13FC">
        <w:rPr>
          <w:rFonts w:ascii="Book Antiqua" w:hAnsi="Book Antiqua"/>
          <w:color w:val="000000" w:themeColor="text1"/>
          <w:sz w:val="24"/>
          <w:szCs w:val="24"/>
        </w:rPr>
        <w:t xml:space="preserve"> F. Everolimus vs Mycophenolate Mofetil in Combination With Tacrolimus: A Propensity Score-matched Analysis in Liver Transplantation.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50</w:t>
      </w:r>
      <w:r w:rsidRPr="009F13FC">
        <w:rPr>
          <w:rFonts w:ascii="Book Antiqua" w:hAnsi="Book Antiqua"/>
          <w:color w:val="000000" w:themeColor="text1"/>
          <w:sz w:val="24"/>
          <w:szCs w:val="24"/>
        </w:rPr>
        <w:t>: 3615-3620 [PMID: 30577246 DOI: 10.1016/j.transproceed.2018.07.011]</w:t>
      </w:r>
    </w:p>
    <w:p w14:paraId="25C90A8D" w14:textId="2D33932A"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22 </w:t>
      </w:r>
      <w:r w:rsidRPr="009F13FC">
        <w:rPr>
          <w:rFonts w:ascii="Book Antiqua" w:hAnsi="Book Antiqua"/>
          <w:b/>
          <w:color w:val="000000" w:themeColor="text1"/>
          <w:sz w:val="24"/>
          <w:szCs w:val="24"/>
        </w:rPr>
        <w:t>American Diabetes Association</w:t>
      </w:r>
      <w:r w:rsidRPr="009F13FC">
        <w:rPr>
          <w:rFonts w:ascii="Book Antiqua" w:hAnsi="Book Antiqua"/>
          <w:color w:val="000000" w:themeColor="text1"/>
          <w:sz w:val="24"/>
          <w:szCs w:val="24"/>
        </w:rPr>
        <w:t xml:space="preserve">. 2. Classification and Diagnosis of Diabetes: </w:t>
      </w:r>
      <w:r w:rsidRPr="009F13FC">
        <w:rPr>
          <w:rFonts w:ascii="Book Antiqua" w:hAnsi="Book Antiqua"/>
          <w:i/>
          <w:color w:val="000000" w:themeColor="text1"/>
          <w:sz w:val="24"/>
          <w:szCs w:val="24"/>
        </w:rPr>
        <w:t>Standards of Medical Care in Diabetes-2019</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42</w:t>
      </w:r>
      <w:r w:rsidRPr="009F13FC">
        <w:rPr>
          <w:rFonts w:ascii="Book Antiqua" w:hAnsi="Book Antiqua"/>
          <w:color w:val="000000" w:themeColor="text1"/>
          <w:sz w:val="24"/>
          <w:szCs w:val="24"/>
        </w:rPr>
        <w:t>: S13-S28 [PMID: 30559228 DOI: 10.2337/dc19-S002]</w:t>
      </w:r>
    </w:p>
    <w:p w14:paraId="2CA686CF" w14:textId="2EA18BA6"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23 </w:t>
      </w:r>
      <w:r w:rsidRPr="009F13FC">
        <w:rPr>
          <w:rFonts w:ascii="Book Antiqua" w:hAnsi="Book Antiqua"/>
          <w:b/>
          <w:color w:val="000000" w:themeColor="text1"/>
          <w:sz w:val="24"/>
          <w:szCs w:val="24"/>
        </w:rPr>
        <w:t>American Diabetes Association</w:t>
      </w:r>
      <w:r w:rsidRPr="009F13FC">
        <w:rPr>
          <w:rFonts w:ascii="Book Antiqua" w:hAnsi="Book Antiqua"/>
          <w:color w:val="000000" w:themeColor="text1"/>
          <w:sz w:val="24"/>
          <w:szCs w:val="24"/>
        </w:rPr>
        <w:t xml:space="preserve">. 2. Classification and Diagnosis of Diabetes: </w:t>
      </w:r>
      <w:r w:rsidRPr="009F13FC">
        <w:rPr>
          <w:rFonts w:ascii="Book Antiqua" w:hAnsi="Book Antiqua"/>
          <w:i/>
          <w:color w:val="000000" w:themeColor="text1"/>
          <w:sz w:val="24"/>
          <w:szCs w:val="24"/>
        </w:rPr>
        <w:t>Standards of Medical Care in Diabetes-2018</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41</w:t>
      </w:r>
      <w:r w:rsidRPr="009F13FC">
        <w:rPr>
          <w:rFonts w:ascii="Book Antiqua" w:hAnsi="Book Antiqua"/>
          <w:color w:val="000000" w:themeColor="text1"/>
          <w:sz w:val="24"/>
          <w:szCs w:val="24"/>
        </w:rPr>
        <w:t>: S13-S27 [PMID: 29222373 DOI: 10.2337/dc18-S002]</w:t>
      </w:r>
    </w:p>
    <w:p w14:paraId="48077FEA" w14:textId="2D9CE305"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4</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Neuberger JM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Bechstein</w:t>
      </w:r>
      <w:proofErr w:type="spellEnd"/>
      <w:r w:rsidRPr="009F13FC">
        <w:rPr>
          <w:rFonts w:ascii="Book Antiqua" w:hAnsi="Book Antiqua"/>
          <w:color w:val="000000" w:themeColor="text1"/>
          <w:sz w:val="24"/>
          <w:szCs w:val="24"/>
        </w:rPr>
        <w:t xml:space="preserve"> WO, </w:t>
      </w:r>
      <w:proofErr w:type="spellStart"/>
      <w:r w:rsidRPr="009F13FC">
        <w:rPr>
          <w:rFonts w:ascii="Book Antiqua" w:hAnsi="Book Antiqua"/>
          <w:color w:val="000000" w:themeColor="text1"/>
          <w:sz w:val="24"/>
          <w:szCs w:val="24"/>
        </w:rPr>
        <w:t>Kuypers</w:t>
      </w:r>
      <w:proofErr w:type="spellEnd"/>
      <w:r w:rsidRPr="009F13FC">
        <w:rPr>
          <w:rFonts w:ascii="Book Antiqua" w:hAnsi="Book Antiqua"/>
          <w:color w:val="000000" w:themeColor="text1"/>
          <w:sz w:val="24"/>
          <w:szCs w:val="24"/>
        </w:rPr>
        <w:t xml:space="preserve"> DR, Burra P, </w:t>
      </w:r>
      <w:proofErr w:type="spellStart"/>
      <w:r w:rsidRPr="009F13FC">
        <w:rPr>
          <w:rFonts w:ascii="Book Antiqua" w:hAnsi="Book Antiqua"/>
          <w:color w:val="000000" w:themeColor="text1"/>
          <w:sz w:val="24"/>
          <w:szCs w:val="24"/>
        </w:rPr>
        <w:t>Citterio</w:t>
      </w:r>
      <w:proofErr w:type="spellEnd"/>
      <w:r w:rsidRPr="009F13FC">
        <w:rPr>
          <w:rFonts w:ascii="Book Antiqua" w:hAnsi="Book Antiqua"/>
          <w:color w:val="000000" w:themeColor="text1"/>
          <w:sz w:val="24"/>
          <w:szCs w:val="24"/>
        </w:rPr>
        <w:t xml:space="preserve"> F, De </w:t>
      </w:r>
      <w:proofErr w:type="spellStart"/>
      <w:r w:rsidRPr="009F13FC">
        <w:rPr>
          <w:rFonts w:ascii="Book Antiqua" w:hAnsi="Book Antiqua"/>
          <w:color w:val="000000" w:themeColor="text1"/>
          <w:sz w:val="24"/>
          <w:szCs w:val="24"/>
        </w:rPr>
        <w:t>Geest</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Duvoux</w:t>
      </w:r>
      <w:proofErr w:type="spellEnd"/>
      <w:r w:rsidRPr="009F13FC">
        <w:rPr>
          <w:rFonts w:ascii="Book Antiqua" w:hAnsi="Book Antiqua"/>
          <w:color w:val="000000" w:themeColor="text1"/>
          <w:sz w:val="24"/>
          <w:szCs w:val="24"/>
        </w:rPr>
        <w:t xml:space="preserve"> C, Jardine AG, </w:t>
      </w:r>
      <w:proofErr w:type="spellStart"/>
      <w:r w:rsidRPr="009F13FC">
        <w:rPr>
          <w:rFonts w:ascii="Book Antiqua" w:hAnsi="Book Antiqua"/>
          <w:color w:val="000000" w:themeColor="text1"/>
          <w:sz w:val="24"/>
          <w:szCs w:val="24"/>
        </w:rPr>
        <w:t>Kamar</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Krämer</w:t>
      </w:r>
      <w:proofErr w:type="spellEnd"/>
      <w:r w:rsidRPr="009F13FC">
        <w:rPr>
          <w:rFonts w:ascii="Book Antiqua" w:hAnsi="Book Antiqua"/>
          <w:color w:val="000000" w:themeColor="text1"/>
          <w:sz w:val="24"/>
          <w:szCs w:val="24"/>
        </w:rPr>
        <w:t xml:space="preserve"> BK, </w:t>
      </w:r>
      <w:proofErr w:type="spellStart"/>
      <w:r w:rsidRPr="009F13FC">
        <w:rPr>
          <w:rFonts w:ascii="Book Antiqua" w:hAnsi="Book Antiqua"/>
          <w:color w:val="000000" w:themeColor="text1"/>
          <w:sz w:val="24"/>
          <w:szCs w:val="24"/>
        </w:rPr>
        <w:t>Metselaar</w:t>
      </w:r>
      <w:proofErr w:type="spellEnd"/>
      <w:r w:rsidRPr="009F13FC">
        <w:rPr>
          <w:rFonts w:ascii="Book Antiqua" w:hAnsi="Book Antiqua"/>
          <w:color w:val="000000" w:themeColor="text1"/>
          <w:sz w:val="24"/>
          <w:szCs w:val="24"/>
        </w:rPr>
        <w:t xml:space="preserve"> HJ, </w:t>
      </w:r>
      <w:proofErr w:type="spellStart"/>
      <w:r w:rsidRPr="009F13FC">
        <w:rPr>
          <w:rFonts w:ascii="Book Antiqua" w:hAnsi="Book Antiqua"/>
          <w:color w:val="000000" w:themeColor="text1"/>
          <w:sz w:val="24"/>
          <w:szCs w:val="24"/>
        </w:rPr>
        <w:t>Nevens</w:t>
      </w:r>
      <w:proofErr w:type="spellEnd"/>
      <w:r w:rsidRPr="009F13FC">
        <w:rPr>
          <w:rFonts w:ascii="Book Antiqua" w:hAnsi="Book Antiqua"/>
          <w:color w:val="000000" w:themeColor="text1"/>
          <w:sz w:val="24"/>
          <w:szCs w:val="24"/>
        </w:rPr>
        <w:t xml:space="preserve"> F, </w:t>
      </w:r>
      <w:proofErr w:type="spellStart"/>
      <w:r w:rsidRPr="009F13FC">
        <w:rPr>
          <w:rFonts w:ascii="Book Antiqua" w:hAnsi="Book Antiqua"/>
          <w:color w:val="000000" w:themeColor="text1"/>
          <w:sz w:val="24"/>
          <w:szCs w:val="24"/>
        </w:rPr>
        <w:t>Pirenne</w:t>
      </w:r>
      <w:proofErr w:type="spellEnd"/>
      <w:r w:rsidRPr="009F13FC">
        <w:rPr>
          <w:rFonts w:ascii="Book Antiqua" w:hAnsi="Book Antiqua"/>
          <w:color w:val="000000" w:themeColor="text1"/>
          <w:sz w:val="24"/>
          <w:szCs w:val="24"/>
        </w:rPr>
        <w:t xml:space="preserve"> J, Rodríguez-</w:t>
      </w:r>
      <w:proofErr w:type="spellStart"/>
      <w:r w:rsidRPr="009F13FC">
        <w:rPr>
          <w:rFonts w:ascii="Book Antiqua" w:hAnsi="Book Antiqua"/>
          <w:color w:val="000000" w:themeColor="text1"/>
          <w:sz w:val="24"/>
          <w:szCs w:val="24"/>
        </w:rPr>
        <w:t>Perálvarez</w:t>
      </w:r>
      <w:proofErr w:type="spellEnd"/>
      <w:r w:rsidRPr="009F13FC">
        <w:rPr>
          <w:rFonts w:ascii="Book Antiqua" w:hAnsi="Book Antiqua"/>
          <w:color w:val="000000" w:themeColor="text1"/>
          <w:sz w:val="24"/>
          <w:szCs w:val="24"/>
        </w:rPr>
        <w:t xml:space="preserve"> ML, Samuel D, </w:t>
      </w:r>
      <w:proofErr w:type="spellStart"/>
      <w:r w:rsidRPr="009F13FC">
        <w:rPr>
          <w:rFonts w:ascii="Book Antiqua" w:hAnsi="Book Antiqua"/>
          <w:color w:val="000000" w:themeColor="text1"/>
          <w:sz w:val="24"/>
          <w:szCs w:val="24"/>
        </w:rPr>
        <w:t>Schneeberger</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Serón</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Trunečka</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Tisone</w:t>
      </w:r>
      <w:proofErr w:type="spellEnd"/>
      <w:r w:rsidRPr="009F13FC">
        <w:rPr>
          <w:rFonts w:ascii="Book Antiqua" w:hAnsi="Book Antiqua"/>
          <w:color w:val="000000" w:themeColor="text1"/>
          <w:sz w:val="24"/>
          <w:szCs w:val="24"/>
        </w:rPr>
        <w:t xml:space="preserve"> G, van Gelder T. Practical Recommendations for Long-term Management of Modifiable Risks in Kidney and Liver Transplant Recipients: A Guidance Report and Clinical Checklist by the Consensus on Managing Modifiable Risk in Transplantation (COMMIT) Group.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S1-S56 [PMID: 28328734 DOI: 10.1097/TP.0000000000001651]</w:t>
      </w:r>
    </w:p>
    <w:p w14:paraId="623097D5" w14:textId="75D9D4E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5</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Charlton 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Levitsky</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Aqel</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O</w:t>
      </w:r>
      <w:r w:rsidRPr="009F13FC">
        <w:rPr>
          <w:rFonts w:ascii="Times New Roman" w:hAnsi="Times New Roman" w:cs="Times New Roman"/>
          <w:color w:val="000000" w:themeColor="text1"/>
          <w:sz w:val="24"/>
          <w:szCs w:val="24"/>
        </w:rPr>
        <w:t>ʼ</w:t>
      </w:r>
      <w:r w:rsidRPr="009F13FC">
        <w:rPr>
          <w:rFonts w:ascii="Book Antiqua" w:hAnsi="Book Antiqua"/>
          <w:color w:val="000000" w:themeColor="text1"/>
          <w:sz w:val="24"/>
          <w:szCs w:val="24"/>
        </w:rPr>
        <w:t>Grady</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Hemibach</w:t>
      </w:r>
      <w:proofErr w:type="spellEnd"/>
      <w:r w:rsidRPr="009F13FC">
        <w:rPr>
          <w:rFonts w:ascii="Book Antiqua" w:hAnsi="Book Antiqua"/>
          <w:color w:val="000000" w:themeColor="text1"/>
          <w:sz w:val="24"/>
          <w:szCs w:val="24"/>
        </w:rPr>
        <w:t xml:space="preserve"> J, Rinella M, Fung J, </w:t>
      </w:r>
      <w:proofErr w:type="spellStart"/>
      <w:r w:rsidRPr="009F13FC">
        <w:rPr>
          <w:rFonts w:ascii="Book Antiqua" w:hAnsi="Book Antiqua"/>
          <w:color w:val="000000" w:themeColor="text1"/>
          <w:sz w:val="24"/>
          <w:szCs w:val="24"/>
        </w:rPr>
        <w:t>Ghabril</w:t>
      </w:r>
      <w:proofErr w:type="spellEnd"/>
      <w:r w:rsidRPr="009F13FC">
        <w:rPr>
          <w:rFonts w:ascii="Book Antiqua" w:hAnsi="Book Antiqua"/>
          <w:color w:val="000000" w:themeColor="text1"/>
          <w:sz w:val="24"/>
          <w:szCs w:val="24"/>
        </w:rPr>
        <w:t xml:space="preserve"> M, Thomason R, Burra P, Little EC, </w:t>
      </w:r>
      <w:proofErr w:type="spellStart"/>
      <w:r w:rsidRPr="009F13FC">
        <w:rPr>
          <w:rFonts w:ascii="Book Antiqua" w:hAnsi="Book Antiqua"/>
          <w:color w:val="000000" w:themeColor="text1"/>
          <w:sz w:val="24"/>
          <w:szCs w:val="24"/>
        </w:rPr>
        <w:t>Berenguer</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Shaked</w:t>
      </w:r>
      <w:proofErr w:type="spellEnd"/>
      <w:r w:rsidRPr="009F13FC">
        <w:rPr>
          <w:rFonts w:ascii="Book Antiqua" w:hAnsi="Book Antiqua"/>
          <w:color w:val="000000" w:themeColor="text1"/>
          <w:sz w:val="24"/>
          <w:szCs w:val="24"/>
        </w:rPr>
        <w:t xml:space="preserve"> A, Trotter J, Roberts J, Rodriguez-</w:t>
      </w:r>
      <w:proofErr w:type="spellStart"/>
      <w:r w:rsidRPr="009F13FC">
        <w:rPr>
          <w:rFonts w:ascii="Book Antiqua" w:hAnsi="Book Antiqua"/>
          <w:color w:val="000000" w:themeColor="text1"/>
          <w:sz w:val="24"/>
          <w:szCs w:val="24"/>
        </w:rPr>
        <w:t>Davalos</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Rela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Pomfret</w:t>
      </w:r>
      <w:proofErr w:type="spellEnd"/>
      <w:r w:rsidRPr="009F13FC">
        <w:rPr>
          <w:rFonts w:ascii="Book Antiqua" w:hAnsi="Book Antiqua"/>
          <w:color w:val="000000" w:themeColor="text1"/>
          <w:sz w:val="24"/>
          <w:szCs w:val="24"/>
        </w:rPr>
        <w:t xml:space="preserve"> E, </w:t>
      </w:r>
      <w:proofErr w:type="spellStart"/>
      <w:r w:rsidRPr="009F13FC">
        <w:rPr>
          <w:rFonts w:ascii="Book Antiqua" w:hAnsi="Book Antiqua"/>
          <w:color w:val="000000" w:themeColor="text1"/>
          <w:sz w:val="24"/>
          <w:szCs w:val="24"/>
        </w:rPr>
        <w:t>Heyrend</w:t>
      </w:r>
      <w:proofErr w:type="spellEnd"/>
      <w:r w:rsidRPr="009F13FC">
        <w:rPr>
          <w:rFonts w:ascii="Book Antiqua" w:hAnsi="Book Antiqua"/>
          <w:color w:val="000000" w:themeColor="text1"/>
          <w:sz w:val="24"/>
          <w:szCs w:val="24"/>
        </w:rPr>
        <w:t xml:space="preserve"> C, Gallegos-Orozco J, </w:t>
      </w:r>
      <w:proofErr w:type="spellStart"/>
      <w:r w:rsidRPr="009F13FC">
        <w:rPr>
          <w:rFonts w:ascii="Book Antiqua" w:hAnsi="Book Antiqua"/>
          <w:color w:val="000000" w:themeColor="text1"/>
          <w:sz w:val="24"/>
          <w:szCs w:val="24"/>
        </w:rPr>
        <w:t>Saliba</w:t>
      </w:r>
      <w:proofErr w:type="spellEnd"/>
      <w:r w:rsidRPr="009F13FC">
        <w:rPr>
          <w:rFonts w:ascii="Book Antiqua" w:hAnsi="Book Antiqua"/>
          <w:color w:val="000000" w:themeColor="text1"/>
          <w:sz w:val="24"/>
          <w:szCs w:val="24"/>
        </w:rPr>
        <w:t xml:space="preserve"> F. International Liver Transplantation Society Consensus Statement on </w:t>
      </w:r>
      <w:r w:rsidRPr="009F13FC">
        <w:rPr>
          <w:rFonts w:ascii="Book Antiqua" w:hAnsi="Book Antiqua"/>
          <w:color w:val="000000" w:themeColor="text1"/>
          <w:sz w:val="24"/>
          <w:szCs w:val="24"/>
        </w:rPr>
        <w:lastRenderedPageBreak/>
        <w:t xml:space="preserve">Immunosuppression in Liver Transplant Recipients.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102</w:t>
      </w:r>
      <w:r w:rsidRPr="009F13FC">
        <w:rPr>
          <w:rFonts w:ascii="Book Antiqua" w:hAnsi="Book Antiqua"/>
          <w:color w:val="000000" w:themeColor="text1"/>
          <w:sz w:val="24"/>
          <w:szCs w:val="24"/>
        </w:rPr>
        <w:t>: 727-743 [PMID: 29485508 DOI: 10.1097/TP.0000000000002147]</w:t>
      </w:r>
    </w:p>
    <w:p w14:paraId="7D3DAF33" w14:textId="0D0FA1C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Organ Transplantation Branch,</w:t>
      </w:r>
      <w:r w:rsidRPr="009F13FC">
        <w:rPr>
          <w:rFonts w:ascii="Book Antiqua" w:hAnsi="Book Antiqua"/>
          <w:color w:val="000000" w:themeColor="text1"/>
          <w:sz w:val="24"/>
          <w:szCs w:val="24"/>
        </w:rPr>
        <w:t xml:space="preserve"> Chinese Medical Doctor Association; Organ Transplantation Group, Chinese Society of </w:t>
      </w:r>
      <w:proofErr w:type="spellStart"/>
      <w:r w:rsidRPr="009F13FC">
        <w:rPr>
          <w:rFonts w:ascii="Book Antiqua" w:hAnsi="Book Antiqua"/>
          <w:color w:val="000000" w:themeColor="text1"/>
          <w:sz w:val="24"/>
          <w:szCs w:val="24"/>
        </w:rPr>
        <w:t>Sugery</w:t>
      </w:r>
      <w:proofErr w:type="spellEnd"/>
      <w:r w:rsidRPr="009F13FC">
        <w:rPr>
          <w:rFonts w:ascii="Book Antiqua" w:hAnsi="Book Antiqua"/>
          <w:color w:val="000000" w:themeColor="text1"/>
          <w:sz w:val="24"/>
          <w:szCs w:val="24"/>
        </w:rPr>
        <w:t xml:space="preserve">, Chinese Medical Association; Liver Transplantation Group, Chinese Society of Organ Transplantation. Expert Consensus on Management of Metabolic Disease in Chinese Liver Transplant Recipients (2015 Edition). </w:t>
      </w:r>
      <w:proofErr w:type="spellStart"/>
      <w:r w:rsidR="00FA14E0" w:rsidRPr="009F13FC">
        <w:rPr>
          <w:rFonts w:ascii="Book Antiqua" w:hAnsi="Book Antiqua"/>
          <w:i/>
          <w:iCs/>
          <w:color w:val="000000" w:themeColor="text1"/>
          <w:sz w:val="24"/>
          <w:szCs w:val="24"/>
          <w:lang w:eastAsia="zh-CN"/>
        </w:rPr>
        <w:t>Zhonghua</w:t>
      </w:r>
      <w:proofErr w:type="spellEnd"/>
      <w:r w:rsidR="00FA14E0" w:rsidRPr="009F13FC">
        <w:rPr>
          <w:rFonts w:ascii="Book Antiqua" w:hAnsi="Book Antiqua"/>
          <w:i/>
          <w:iCs/>
          <w:color w:val="000000" w:themeColor="text1"/>
          <w:sz w:val="24"/>
          <w:szCs w:val="24"/>
          <w:lang w:eastAsia="zh-CN"/>
        </w:rPr>
        <w:t xml:space="preserve"> </w:t>
      </w:r>
      <w:proofErr w:type="spellStart"/>
      <w:r w:rsidR="00FA14E0" w:rsidRPr="009F13FC">
        <w:rPr>
          <w:rFonts w:ascii="Book Antiqua" w:hAnsi="Book Antiqua"/>
          <w:i/>
          <w:iCs/>
          <w:color w:val="000000" w:themeColor="text1"/>
          <w:sz w:val="24"/>
          <w:szCs w:val="24"/>
          <w:lang w:eastAsia="zh-CN"/>
        </w:rPr>
        <w:t>Yizhi</w:t>
      </w:r>
      <w:proofErr w:type="spellEnd"/>
      <w:r w:rsidR="00FA14E0" w:rsidRPr="009F13FC">
        <w:rPr>
          <w:rFonts w:ascii="Book Antiqua" w:hAnsi="Book Antiqua"/>
          <w:i/>
          <w:iCs/>
          <w:color w:val="000000" w:themeColor="text1"/>
          <w:sz w:val="24"/>
          <w:szCs w:val="24"/>
          <w:lang w:eastAsia="zh-CN"/>
        </w:rPr>
        <w:t xml:space="preserve"> </w:t>
      </w:r>
      <w:proofErr w:type="spellStart"/>
      <w:r w:rsidR="00FA14E0" w:rsidRPr="009F13FC">
        <w:rPr>
          <w:rFonts w:ascii="Book Antiqua" w:hAnsi="Book Antiqua"/>
          <w:i/>
          <w:iCs/>
          <w:color w:val="000000" w:themeColor="text1"/>
          <w:sz w:val="24"/>
          <w:szCs w:val="24"/>
          <w:lang w:eastAsia="zh-CN"/>
        </w:rPr>
        <w:t>Zazhi</w:t>
      </w:r>
      <w:proofErr w:type="spellEnd"/>
      <w:r w:rsidRPr="009F13FC">
        <w:rPr>
          <w:rFonts w:ascii="Book Antiqua" w:hAnsi="Book Antiqua"/>
          <w:color w:val="000000" w:themeColor="text1"/>
          <w:sz w:val="24"/>
          <w:szCs w:val="24"/>
        </w:rPr>
        <w:t xml:space="preserve"> </w:t>
      </w:r>
      <w:r w:rsidRPr="009F13FC">
        <w:rPr>
          <w:rFonts w:ascii="Book Antiqua" w:hAnsi="Book Antiqua"/>
          <w:i/>
          <w:iCs/>
          <w:color w:val="000000" w:themeColor="text1"/>
          <w:sz w:val="24"/>
          <w:szCs w:val="24"/>
        </w:rPr>
        <w:t>(Electronic Version)</w:t>
      </w:r>
      <w:r w:rsidRPr="009F13FC">
        <w:rPr>
          <w:rFonts w:ascii="Book Antiqua" w:hAnsi="Book Antiqua"/>
          <w:color w:val="000000" w:themeColor="text1"/>
          <w:sz w:val="24"/>
          <w:szCs w:val="24"/>
        </w:rPr>
        <w:t xml:space="preserve"> 2015</w:t>
      </w:r>
      <w:r w:rsidR="00FA14E0"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9</w:t>
      </w:r>
      <w:r w:rsidRPr="009F13FC">
        <w:rPr>
          <w:rFonts w:ascii="Book Antiqua" w:hAnsi="Book Antiqua"/>
          <w:color w:val="000000" w:themeColor="text1"/>
          <w:sz w:val="24"/>
          <w:szCs w:val="24"/>
        </w:rPr>
        <w:t>: 103-</w:t>
      </w:r>
      <w:r w:rsidR="00FA14E0" w:rsidRPr="009F13FC">
        <w:rPr>
          <w:rFonts w:ascii="Book Antiqua" w:hAnsi="Book Antiqua"/>
          <w:color w:val="000000" w:themeColor="text1"/>
          <w:sz w:val="24"/>
          <w:szCs w:val="24"/>
        </w:rPr>
        <w:t>10</w:t>
      </w:r>
      <w:r w:rsidRPr="009F13FC">
        <w:rPr>
          <w:rFonts w:ascii="Book Antiqua" w:hAnsi="Book Antiqua"/>
          <w:color w:val="000000" w:themeColor="text1"/>
          <w:sz w:val="24"/>
          <w:szCs w:val="24"/>
        </w:rPr>
        <w:t>7</w:t>
      </w:r>
    </w:p>
    <w:p w14:paraId="42773C27" w14:textId="6438DAD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7</w:t>
      </w:r>
      <w:r w:rsidRPr="009F13FC">
        <w:rPr>
          <w:rFonts w:ascii="Book Antiqua" w:hAnsi="Book Antiqua"/>
          <w:color w:val="000000" w:themeColor="text1"/>
          <w:sz w:val="24"/>
          <w:szCs w:val="24"/>
        </w:rPr>
        <w:t xml:space="preserve"> </w:t>
      </w:r>
      <w:proofErr w:type="spellStart"/>
      <w:r w:rsidRPr="009F13FC">
        <w:rPr>
          <w:rFonts w:ascii="Book Antiqua" w:hAnsi="Book Antiqua"/>
          <w:b/>
          <w:color w:val="000000" w:themeColor="text1"/>
          <w:sz w:val="24"/>
          <w:szCs w:val="24"/>
        </w:rPr>
        <w:t>Grancini</w:t>
      </w:r>
      <w:proofErr w:type="spellEnd"/>
      <w:r w:rsidRPr="009F13FC">
        <w:rPr>
          <w:rFonts w:ascii="Book Antiqua" w:hAnsi="Book Antiqua"/>
          <w:b/>
          <w:color w:val="000000" w:themeColor="text1"/>
          <w:sz w:val="24"/>
          <w:szCs w:val="24"/>
        </w:rPr>
        <w:t xml:space="preserve"> V</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Resi</w:t>
      </w:r>
      <w:proofErr w:type="spellEnd"/>
      <w:r w:rsidRPr="009F13FC">
        <w:rPr>
          <w:rFonts w:ascii="Book Antiqua" w:hAnsi="Book Antiqua"/>
          <w:color w:val="000000" w:themeColor="text1"/>
          <w:sz w:val="24"/>
          <w:szCs w:val="24"/>
        </w:rPr>
        <w:t xml:space="preserve"> V, Palmieri E, Pugliese G, </w:t>
      </w:r>
      <w:proofErr w:type="spellStart"/>
      <w:r w:rsidRPr="009F13FC">
        <w:rPr>
          <w:rFonts w:ascii="Book Antiqua" w:hAnsi="Book Antiqua"/>
          <w:color w:val="000000" w:themeColor="text1"/>
          <w:sz w:val="24"/>
          <w:szCs w:val="24"/>
        </w:rPr>
        <w:t>Orsi</w:t>
      </w:r>
      <w:proofErr w:type="spellEnd"/>
      <w:r w:rsidRPr="009F13FC">
        <w:rPr>
          <w:rFonts w:ascii="Book Antiqua" w:hAnsi="Book Antiqua"/>
          <w:color w:val="000000" w:themeColor="text1"/>
          <w:sz w:val="24"/>
          <w:szCs w:val="24"/>
        </w:rPr>
        <w:t xml:space="preserve"> E. Management of diabetes mellitus in patients undergoing liver transplantation. </w:t>
      </w:r>
      <w:proofErr w:type="spellStart"/>
      <w:r w:rsidRPr="009F13FC">
        <w:rPr>
          <w:rFonts w:ascii="Book Antiqua" w:hAnsi="Book Antiqua"/>
          <w:i/>
          <w:color w:val="000000" w:themeColor="text1"/>
          <w:sz w:val="24"/>
          <w:szCs w:val="24"/>
        </w:rPr>
        <w:t>Pharmacol</w:t>
      </w:r>
      <w:proofErr w:type="spellEnd"/>
      <w:r w:rsidRPr="009F13FC">
        <w:rPr>
          <w:rFonts w:ascii="Book Antiqua" w:hAnsi="Book Antiqua"/>
          <w:i/>
          <w:color w:val="000000" w:themeColor="text1"/>
          <w:sz w:val="24"/>
          <w:szCs w:val="24"/>
        </w:rPr>
        <w:t xml:space="preserve"> Res</w:t>
      </w:r>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141</w:t>
      </w:r>
      <w:r w:rsidRPr="009F13FC">
        <w:rPr>
          <w:rFonts w:ascii="Book Antiqua" w:hAnsi="Book Antiqua"/>
          <w:color w:val="000000" w:themeColor="text1"/>
          <w:sz w:val="24"/>
          <w:szCs w:val="24"/>
        </w:rPr>
        <w:t>: 556-573 [PMID: 30690071 DOI: 10.1016/j.phrs.2019.01.042]</w:t>
      </w:r>
    </w:p>
    <w:p w14:paraId="734B6B1F" w14:textId="64C348E6"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w:t>
      </w:r>
      <w:r w:rsidR="003C590A" w:rsidRPr="009F13FC">
        <w:rPr>
          <w:rFonts w:ascii="Book Antiqua" w:hAnsi="Book Antiqua"/>
          <w:color w:val="000000" w:themeColor="text1"/>
          <w:sz w:val="24"/>
          <w:szCs w:val="24"/>
        </w:rPr>
        <w:t>8</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Song JL</w:t>
      </w:r>
      <w:r w:rsidRPr="009F13FC">
        <w:rPr>
          <w:rFonts w:ascii="Book Antiqua" w:hAnsi="Book Antiqua"/>
          <w:color w:val="000000" w:themeColor="text1"/>
          <w:sz w:val="24"/>
          <w:szCs w:val="24"/>
        </w:rPr>
        <w:t xml:space="preserve">, Li M, Yan LN, Yang JY, Yang J, Jiang L. Higher tacrolimus blood concentration is related to increased risk of post-transplantation diabetes mellitus after living donor liver transplantation. </w:t>
      </w:r>
      <w:r w:rsidRPr="009F13FC">
        <w:rPr>
          <w:rFonts w:ascii="Book Antiqua" w:hAnsi="Book Antiqua"/>
          <w:i/>
          <w:color w:val="000000" w:themeColor="text1"/>
          <w:sz w:val="24"/>
          <w:szCs w:val="24"/>
        </w:rPr>
        <w:t>Int J Surg</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51</w:t>
      </w:r>
      <w:r w:rsidRPr="009F13FC">
        <w:rPr>
          <w:rFonts w:ascii="Book Antiqua" w:hAnsi="Book Antiqua"/>
          <w:color w:val="000000" w:themeColor="text1"/>
          <w:sz w:val="24"/>
          <w:szCs w:val="24"/>
        </w:rPr>
        <w:t>: 17-23 [PMID: 29360611 DOI: 10.1016/j.ijsu.2017.12.037]</w:t>
      </w:r>
    </w:p>
    <w:p w14:paraId="2F5984FD" w14:textId="4060FDC8" w:rsidR="00D02C16"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29</w:t>
      </w:r>
      <w:r w:rsidR="00D02C16" w:rsidRPr="009F13FC">
        <w:rPr>
          <w:rFonts w:ascii="Book Antiqua" w:hAnsi="Book Antiqua"/>
          <w:color w:val="000000" w:themeColor="text1"/>
          <w:sz w:val="24"/>
          <w:szCs w:val="24"/>
        </w:rPr>
        <w:t xml:space="preserve"> </w:t>
      </w:r>
      <w:r w:rsidR="00D02C16" w:rsidRPr="009F13FC">
        <w:rPr>
          <w:rFonts w:ascii="Book Antiqua" w:hAnsi="Book Antiqua"/>
          <w:b/>
          <w:color w:val="000000" w:themeColor="text1"/>
          <w:sz w:val="24"/>
          <w:szCs w:val="24"/>
        </w:rPr>
        <w:t>Li DW</w:t>
      </w:r>
      <w:r w:rsidR="00D02C16" w:rsidRPr="009F13FC">
        <w:rPr>
          <w:rFonts w:ascii="Book Antiqua" w:hAnsi="Book Antiqua"/>
          <w:color w:val="000000" w:themeColor="text1"/>
          <w:sz w:val="24"/>
          <w:szCs w:val="24"/>
        </w:rPr>
        <w:t xml:space="preserve">, Lu TF, Hua XW, Dai HJ, Cui XL, Zhang JJ, Xia Q. Risk factors for new onset diabetes mellitus after liver transplantation: A meta-analysis. </w:t>
      </w:r>
      <w:r w:rsidR="00D02C16" w:rsidRPr="009F13FC">
        <w:rPr>
          <w:rFonts w:ascii="Book Antiqua" w:hAnsi="Book Antiqua"/>
          <w:i/>
          <w:color w:val="000000" w:themeColor="text1"/>
          <w:sz w:val="24"/>
          <w:szCs w:val="24"/>
        </w:rPr>
        <w:t>World J Gastroenterol</w:t>
      </w:r>
      <w:r w:rsidR="00D02C16" w:rsidRPr="009F13FC">
        <w:rPr>
          <w:rFonts w:ascii="Book Antiqua" w:hAnsi="Book Antiqua"/>
          <w:color w:val="000000" w:themeColor="text1"/>
          <w:sz w:val="24"/>
          <w:szCs w:val="24"/>
        </w:rPr>
        <w:t xml:space="preserve"> 2015; </w:t>
      </w:r>
      <w:r w:rsidR="00D02C16" w:rsidRPr="009F13FC">
        <w:rPr>
          <w:rFonts w:ascii="Book Antiqua" w:hAnsi="Book Antiqua"/>
          <w:b/>
          <w:color w:val="000000" w:themeColor="text1"/>
          <w:sz w:val="24"/>
          <w:szCs w:val="24"/>
        </w:rPr>
        <w:t>21</w:t>
      </w:r>
      <w:r w:rsidR="00D02C16" w:rsidRPr="009F13FC">
        <w:rPr>
          <w:rFonts w:ascii="Book Antiqua" w:hAnsi="Book Antiqua"/>
          <w:color w:val="000000" w:themeColor="text1"/>
          <w:sz w:val="24"/>
          <w:szCs w:val="24"/>
        </w:rPr>
        <w:t>: 6329-6340 [PMID: 26034369 DOI: 10.3748/wjg.v21.i20.6329]</w:t>
      </w:r>
    </w:p>
    <w:p w14:paraId="184FBA26" w14:textId="3DCCD431"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0</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Yagi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Kaido</w:t>
      </w:r>
      <w:proofErr w:type="spellEnd"/>
      <w:r w:rsidRPr="009F13FC">
        <w:rPr>
          <w:rFonts w:ascii="Book Antiqua" w:hAnsi="Book Antiqua"/>
          <w:color w:val="000000" w:themeColor="text1"/>
          <w:sz w:val="24"/>
          <w:szCs w:val="24"/>
        </w:rPr>
        <w:t xml:space="preserve"> T, Iida T, </w:t>
      </w:r>
      <w:proofErr w:type="spellStart"/>
      <w:r w:rsidRPr="009F13FC">
        <w:rPr>
          <w:rFonts w:ascii="Book Antiqua" w:hAnsi="Book Antiqua"/>
          <w:color w:val="000000" w:themeColor="text1"/>
          <w:sz w:val="24"/>
          <w:szCs w:val="24"/>
        </w:rPr>
        <w:t>Yoshizawa</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Okajima</w:t>
      </w:r>
      <w:proofErr w:type="spellEnd"/>
      <w:r w:rsidRPr="009F13FC">
        <w:rPr>
          <w:rFonts w:ascii="Book Antiqua" w:hAnsi="Book Antiqua"/>
          <w:color w:val="000000" w:themeColor="text1"/>
          <w:sz w:val="24"/>
          <w:szCs w:val="24"/>
        </w:rPr>
        <w:t xml:space="preserve"> H, </w:t>
      </w:r>
      <w:proofErr w:type="spellStart"/>
      <w:r w:rsidRPr="009F13FC">
        <w:rPr>
          <w:rFonts w:ascii="Book Antiqua" w:hAnsi="Book Antiqua"/>
          <w:color w:val="000000" w:themeColor="text1"/>
          <w:sz w:val="24"/>
          <w:szCs w:val="24"/>
        </w:rPr>
        <w:t>Uemoto</w:t>
      </w:r>
      <w:proofErr w:type="spellEnd"/>
      <w:r w:rsidRPr="009F13FC">
        <w:rPr>
          <w:rFonts w:ascii="Book Antiqua" w:hAnsi="Book Antiqua"/>
          <w:color w:val="000000" w:themeColor="text1"/>
          <w:sz w:val="24"/>
          <w:szCs w:val="24"/>
        </w:rPr>
        <w:t xml:space="preserve"> S. New-onset diabetes mellitus after living-donor liver transplantation: association with graft synthetic function. </w:t>
      </w:r>
      <w:r w:rsidRPr="009F13FC">
        <w:rPr>
          <w:rFonts w:ascii="Book Antiqua" w:hAnsi="Book Antiqua"/>
          <w:i/>
          <w:color w:val="000000" w:themeColor="text1"/>
          <w:sz w:val="24"/>
          <w:szCs w:val="24"/>
        </w:rPr>
        <w:t>Surg Today</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47</w:t>
      </w:r>
      <w:r w:rsidRPr="009F13FC">
        <w:rPr>
          <w:rFonts w:ascii="Book Antiqua" w:hAnsi="Book Antiqua"/>
          <w:color w:val="000000" w:themeColor="text1"/>
          <w:sz w:val="24"/>
          <w:szCs w:val="24"/>
        </w:rPr>
        <w:t>: 733-742 [PMID: 27837276 DOI: 10.1007/s00595-016-1444-z]</w:t>
      </w:r>
    </w:p>
    <w:p w14:paraId="45A50E49" w14:textId="57E18B3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Cen C</w:t>
      </w:r>
      <w:r w:rsidRPr="009F13FC">
        <w:rPr>
          <w:rFonts w:ascii="Book Antiqua" w:hAnsi="Book Antiqua"/>
          <w:color w:val="000000" w:themeColor="text1"/>
          <w:sz w:val="24"/>
          <w:szCs w:val="24"/>
        </w:rPr>
        <w:t xml:space="preserve">, Fang HX, Yu SF, Liu JM, Liu YX, Zhou L, Yu J, Zheng SS. Association between ADIPOQ gene polymorphisms and the risk of new-onset diabetes mellitus after liver transplantation. </w:t>
      </w:r>
      <w:r w:rsidRPr="009F13FC">
        <w:rPr>
          <w:rFonts w:ascii="Book Antiqua" w:hAnsi="Book Antiqua"/>
          <w:i/>
          <w:color w:val="000000" w:themeColor="text1"/>
          <w:sz w:val="24"/>
          <w:szCs w:val="24"/>
        </w:rPr>
        <w:t xml:space="preserve">Hepatobiliary </w:t>
      </w:r>
      <w:proofErr w:type="spellStart"/>
      <w:r w:rsidRPr="009F13FC">
        <w:rPr>
          <w:rFonts w:ascii="Book Antiqua" w:hAnsi="Book Antiqua"/>
          <w:i/>
          <w:color w:val="000000" w:themeColor="text1"/>
          <w:sz w:val="24"/>
          <w:szCs w:val="24"/>
        </w:rPr>
        <w:t>Pancreat</w:t>
      </w:r>
      <w:proofErr w:type="spellEnd"/>
      <w:r w:rsidRPr="009F13FC">
        <w:rPr>
          <w:rFonts w:ascii="Book Antiqua" w:hAnsi="Book Antiqua"/>
          <w:i/>
          <w:color w:val="000000" w:themeColor="text1"/>
          <w:sz w:val="24"/>
          <w:szCs w:val="24"/>
        </w:rPr>
        <w:t xml:space="preserve"> Dis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16</w:t>
      </w:r>
      <w:r w:rsidRPr="009F13FC">
        <w:rPr>
          <w:rFonts w:ascii="Book Antiqua" w:hAnsi="Book Antiqua"/>
          <w:color w:val="000000" w:themeColor="text1"/>
          <w:sz w:val="24"/>
          <w:szCs w:val="24"/>
        </w:rPr>
        <w:t>: 602-609 [PMID: 29291779 DOI: 10.1016/S1499-3872(17)60069-9]</w:t>
      </w:r>
    </w:p>
    <w:p w14:paraId="6821CF1F" w14:textId="6CC9CDC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2</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Zhang T</w:t>
      </w:r>
      <w:r w:rsidRPr="009F13FC">
        <w:rPr>
          <w:rFonts w:ascii="Book Antiqua" w:hAnsi="Book Antiqua"/>
          <w:color w:val="000000" w:themeColor="text1"/>
          <w:sz w:val="24"/>
          <w:szCs w:val="24"/>
        </w:rPr>
        <w:t xml:space="preserve">, Liu Y, Hu Y, Zhang X, Zhong L, Fan J, Peng Z. Association of donor and recipient SUMO4 rs237025 genetic variant with new-onset diabetes mellitus after liver transplantation in a Chinese population. </w:t>
      </w:r>
      <w:r w:rsidRPr="009F13FC">
        <w:rPr>
          <w:rFonts w:ascii="Book Antiqua" w:hAnsi="Book Antiqua"/>
          <w:i/>
          <w:color w:val="000000" w:themeColor="text1"/>
          <w:sz w:val="24"/>
          <w:szCs w:val="24"/>
        </w:rPr>
        <w:t>Gene</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627</w:t>
      </w:r>
      <w:r w:rsidRPr="009F13FC">
        <w:rPr>
          <w:rFonts w:ascii="Book Antiqua" w:hAnsi="Book Antiqua"/>
          <w:color w:val="000000" w:themeColor="text1"/>
          <w:sz w:val="24"/>
          <w:szCs w:val="24"/>
        </w:rPr>
        <w:t>: 428-433 [PMID: 28689037 DOI: 10.1016/j.gene.2017.06.060]</w:t>
      </w:r>
    </w:p>
    <w:p w14:paraId="7413D8D6" w14:textId="5BFC6598"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3</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Gillis KA</w:t>
      </w:r>
      <w:r w:rsidRPr="009F13FC">
        <w:rPr>
          <w:rFonts w:ascii="Book Antiqua" w:hAnsi="Book Antiqua"/>
          <w:color w:val="000000" w:themeColor="text1"/>
          <w:sz w:val="24"/>
          <w:szCs w:val="24"/>
        </w:rPr>
        <w:t xml:space="preserve">, Patel RK, Jardine AG. Cardiovascular complications after transplantation: treatment options in solid organ recipients. </w:t>
      </w:r>
      <w:r w:rsidRPr="009F13FC">
        <w:rPr>
          <w:rFonts w:ascii="Book Antiqua" w:hAnsi="Book Antiqua"/>
          <w:i/>
          <w:color w:val="000000" w:themeColor="text1"/>
          <w:sz w:val="24"/>
          <w:szCs w:val="24"/>
        </w:rPr>
        <w:t>Transplant Rev (Orlando)</w:t>
      </w:r>
      <w:r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lastRenderedPageBreak/>
        <w:t xml:space="preserve">2014; </w:t>
      </w:r>
      <w:r w:rsidRPr="009F13FC">
        <w:rPr>
          <w:rFonts w:ascii="Book Antiqua" w:hAnsi="Book Antiqua"/>
          <w:b/>
          <w:color w:val="000000" w:themeColor="text1"/>
          <w:sz w:val="24"/>
          <w:szCs w:val="24"/>
        </w:rPr>
        <w:t>28</w:t>
      </w:r>
      <w:r w:rsidRPr="009F13FC">
        <w:rPr>
          <w:rFonts w:ascii="Book Antiqua" w:hAnsi="Book Antiqua"/>
          <w:color w:val="000000" w:themeColor="text1"/>
          <w:sz w:val="24"/>
          <w:szCs w:val="24"/>
        </w:rPr>
        <w:t>: 47-55 [PMID: 24412041 DOI: 10.1016/j.trre.2013.12.001]</w:t>
      </w:r>
    </w:p>
    <w:p w14:paraId="38727E42" w14:textId="2B88FC49"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4</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Kato T</w:t>
      </w:r>
      <w:r w:rsidRPr="009F13FC">
        <w:rPr>
          <w:rFonts w:ascii="Book Antiqua" w:hAnsi="Book Antiqua"/>
          <w:color w:val="000000" w:themeColor="text1"/>
          <w:sz w:val="24"/>
          <w:szCs w:val="24"/>
        </w:rPr>
        <w:t xml:space="preserve">, Gaynor JJ, Yoshida H, </w:t>
      </w:r>
      <w:proofErr w:type="spellStart"/>
      <w:r w:rsidRPr="009F13FC">
        <w:rPr>
          <w:rFonts w:ascii="Book Antiqua" w:hAnsi="Book Antiqua"/>
          <w:color w:val="000000" w:themeColor="text1"/>
          <w:sz w:val="24"/>
          <w:szCs w:val="24"/>
        </w:rPr>
        <w:t>Montalvano</w:t>
      </w:r>
      <w:proofErr w:type="spellEnd"/>
      <w:r w:rsidRPr="009F13FC">
        <w:rPr>
          <w:rFonts w:ascii="Book Antiqua" w:hAnsi="Book Antiqua"/>
          <w:color w:val="000000" w:themeColor="text1"/>
          <w:sz w:val="24"/>
          <w:szCs w:val="24"/>
        </w:rPr>
        <w:t xml:space="preserve"> M, Takahashi H, </w:t>
      </w:r>
      <w:proofErr w:type="spellStart"/>
      <w:r w:rsidRPr="009F13FC">
        <w:rPr>
          <w:rFonts w:ascii="Book Antiqua" w:hAnsi="Book Antiqua"/>
          <w:color w:val="000000" w:themeColor="text1"/>
          <w:sz w:val="24"/>
          <w:szCs w:val="24"/>
        </w:rPr>
        <w:t>Pyrsopoulos</w:t>
      </w:r>
      <w:proofErr w:type="spellEnd"/>
      <w:r w:rsidRPr="009F13FC">
        <w:rPr>
          <w:rFonts w:ascii="Book Antiqua" w:hAnsi="Book Antiqua"/>
          <w:color w:val="000000" w:themeColor="text1"/>
          <w:sz w:val="24"/>
          <w:szCs w:val="24"/>
        </w:rPr>
        <w:t xml:space="preserve"> N, Nishida S, Moon J, </w:t>
      </w:r>
      <w:proofErr w:type="spellStart"/>
      <w:r w:rsidRPr="009F13FC">
        <w:rPr>
          <w:rFonts w:ascii="Book Antiqua" w:hAnsi="Book Antiqua"/>
          <w:color w:val="000000" w:themeColor="text1"/>
          <w:sz w:val="24"/>
          <w:szCs w:val="24"/>
        </w:rPr>
        <w:t>Selvaggi</w:t>
      </w:r>
      <w:proofErr w:type="spellEnd"/>
      <w:r w:rsidRPr="009F13FC">
        <w:rPr>
          <w:rFonts w:ascii="Book Antiqua" w:hAnsi="Book Antiqua"/>
          <w:color w:val="000000" w:themeColor="text1"/>
          <w:sz w:val="24"/>
          <w:szCs w:val="24"/>
        </w:rPr>
        <w:t xml:space="preserve"> G, Levi D, Ruiz P, Schiff E, </w:t>
      </w:r>
      <w:proofErr w:type="spellStart"/>
      <w:r w:rsidRPr="009F13FC">
        <w:rPr>
          <w:rFonts w:ascii="Book Antiqua" w:hAnsi="Book Antiqua"/>
          <w:color w:val="000000" w:themeColor="text1"/>
          <w:sz w:val="24"/>
          <w:szCs w:val="24"/>
        </w:rPr>
        <w:t>Tzakis</w:t>
      </w:r>
      <w:proofErr w:type="spellEnd"/>
      <w:r w:rsidRPr="009F13FC">
        <w:rPr>
          <w:rFonts w:ascii="Book Antiqua" w:hAnsi="Book Antiqua"/>
          <w:color w:val="000000" w:themeColor="text1"/>
          <w:sz w:val="24"/>
          <w:szCs w:val="24"/>
        </w:rPr>
        <w:t xml:space="preserve"> A. Randomized trial of steroid-free induction versus corticosteroid maintenance among orthotopic liver transplant recipients with hepatitis C virus: impact on hepatic fibrosis progression at one year.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84</w:t>
      </w:r>
      <w:r w:rsidRPr="009F13FC">
        <w:rPr>
          <w:rFonts w:ascii="Book Antiqua" w:hAnsi="Book Antiqua"/>
          <w:color w:val="000000" w:themeColor="text1"/>
          <w:sz w:val="24"/>
          <w:szCs w:val="24"/>
        </w:rPr>
        <w:t>: 829-835 [PMID: 17984834 DOI: 10.1097/01.tp.0000282914.20578.7b]</w:t>
      </w:r>
    </w:p>
    <w:p w14:paraId="1B626ED7" w14:textId="4F159BF0"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5</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Kim YK</w:t>
      </w:r>
      <w:r w:rsidRPr="009F13FC">
        <w:rPr>
          <w:rFonts w:ascii="Book Antiqua" w:hAnsi="Book Antiqua"/>
          <w:color w:val="000000" w:themeColor="text1"/>
          <w:sz w:val="24"/>
          <w:szCs w:val="24"/>
        </w:rPr>
        <w:t xml:space="preserve">, Lee KW, Kim SH, Cho SY, Han SS, Park SJ. Early steroid withdrawal regimen prevents new-onset diabetes mellitus in old-age recipients after living donor liver transplantation. </w:t>
      </w:r>
      <w:r w:rsidRPr="009F13FC">
        <w:rPr>
          <w:rFonts w:ascii="Book Antiqua" w:hAnsi="Book Antiqua"/>
          <w:i/>
          <w:color w:val="000000" w:themeColor="text1"/>
          <w:sz w:val="24"/>
          <w:szCs w:val="24"/>
        </w:rPr>
        <w:t>World J Surg</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36</w:t>
      </w:r>
      <w:r w:rsidRPr="009F13FC">
        <w:rPr>
          <w:rFonts w:ascii="Book Antiqua" w:hAnsi="Book Antiqua"/>
          <w:color w:val="000000" w:themeColor="text1"/>
          <w:sz w:val="24"/>
          <w:szCs w:val="24"/>
        </w:rPr>
        <w:t>: 2443-2448 [PMID: 22674089 DOI: 10.1007/s00268-012-1661-6]</w:t>
      </w:r>
    </w:p>
    <w:p w14:paraId="2A42DECF" w14:textId="6D3AE6E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6</w:t>
      </w:r>
      <w:r w:rsidRPr="009F13FC">
        <w:rPr>
          <w:rFonts w:ascii="Book Antiqua" w:hAnsi="Book Antiqua"/>
          <w:color w:val="000000" w:themeColor="text1"/>
          <w:sz w:val="24"/>
          <w:szCs w:val="24"/>
        </w:rPr>
        <w:t xml:space="preserve"> </w:t>
      </w:r>
      <w:proofErr w:type="spellStart"/>
      <w:r w:rsidRPr="009F13FC">
        <w:rPr>
          <w:rFonts w:ascii="Book Antiqua" w:hAnsi="Book Antiqua"/>
          <w:b/>
          <w:color w:val="000000" w:themeColor="text1"/>
          <w:sz w:val="24"/>
          <w:szCs w:val="24"/>
        </w:rPr>
        <w:t>Lorho</w:t>
      </w:r>
      <w:proofErr w:type="spellEnd"/>
      <w:r w:rsidRPr="009F13FC">
        <w:rPr>
          <w:rFonts w:ascii="Book Antiqua" w:hAnsi="Book Antiqua"/>
          <w:b/>
          <w:color w:val="000000" w:themeColor="text1"/>
          <w:sz w:val="24"/>
          <w:szCs w:val="24"/>
        </w:rPr>
        <w:t xml:space="preserve"> R</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Hardwigsen</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Dumortier</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Pageaux</w:t>
      </w:r>
      <w:proofErr w:type="spellEnd"/>
      <w:r w:rsidRPr="009F13FC">
        <w:rPr>
          <w:rFonts w:ascii="Book Antiqua" w:hAnsi="Book Antiqua"/>
          <w:color w:val="000000" w:themeColor="text1"/>
          <w:sz w:val="24"/>
          <w:szCs w:val="24"/>
        </w:rPr>
        <w:t xml:space="preserve"> GP, Durand F, </w:t>
      </w:r>
      <w:proofErr w:type="spellStart"/>
      <w:r w:rsidRPr="009F13FC">
        <w:rPr>
          <w:rFonts w:ascii="Book Antiqua" w:hAnsi="Book Antiqua"/>
          <w:color w:val="000000" w:themeColor="text1"/>
          <w:sz w:val="24"/>
          <w:szCs w:val="24"/>
        </w:rPr>
        <w:t>Bizollon</w:t>
      </w:r>
      <w:proofErr w:type="spellEnd"/>
      <w:r w:rsidRPr="009F13FC">
        <w:rPr>
          <w:rFonts w:ascii="Book Antiqua" w:hAnsi="Book Antiqua"/>
          <w:color w:val="000000" w:themeColor="text1"/>
          <w:sz w:val="24"/>
          <w:szCs w:val="24"/>
        </w:rPr>
        <w:t xml:space="preserve"> T, Blanc AS, Di </w:t>
      </w:r>
      <w:proofErr w:type="spellStart"/>
      <w:r w:rsidRPr="009F13FC">
        <w:rPr>
          <w:rFonts w:ascii="Book Antiqua" w:hAnsi="Book Antiqua"/>
          <w:color w:val="000000" w:themeColor="text1"/>
          <w:sz w:val="24"/>
          <w:szCs w:val="24"/>
        </w:rPr>
        <w:t>Giambattista</w:t>
      </w:r>
      <w:proofErr w:type="spellEnd"/>
      <w:r w:rsidRPr="009F13FC">
        <w:rPr>
          <w:rFonts w:ascii="Book Antiqua" w:hAnsi="Book Antiqua"/>
          <w:color w:val="000000" w:themeColor="text1"/>
          <w:sz w:val="24"/>
          <w:szCs w:val="24"/>
        </w:rPr>
        <w:t xml:space="preserve"> F, </w:t>
      </w:r>
      <w:proofErr w:type="spellStart"/>
      <w:r w:rsidRPr="009F13FC">
        <w:rPr>
          <w:rFonts w:ascii="Book Antiqua" w:hAnsi="Book Antiqua"/>
          <w:color w:val="000000" w:themeColor="text1"/>
          <w:sz w:val="24"/>
          <w:szCs w:val="24"/>
        </w:rPr>
        <w:t>Duvoux</w:t>
      </w:r>
      <w:proofErr w:type="spellEnd"/>
      <w:r w:rsidRPr="009F13FC">
        <w:rPr>
          <w:rFonts w:ascii="Book Antiqua" w:hAnsi="Book Antiqua"/>
          <w:color w:val="000000" w:themeColor="text1"/>
          <w:sz w:val="24"/>
          <w:szCs w:val="24"/>
        </w:rPr>
        <w:t xml:space="preserve"> C. Regression of new-onset diabetes mellitus after conversion from tacrolimus to cyclosporine in liver transplant patients: results of a pilot study.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Res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482-488 [PMID: 21530445 DOI: 10.1016/j.clinre.2011.03.008]</w:t>
      </w:r>
    </w:p>
    <w:p w14:paraId="626A8796" w14:textId="11DCB850"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3</w:t>
      </w:r>
      <w:r w:rsidR="003C590A" w:rsidRPr="009F13FC">
        <w:rPr>
          <w:rFonts w:ascii="Book Antiqua" w:hAnsi="Book Antiqua"/>
          <w:color w:val="000000" w:themeColor="text1"/>
          <w:sz w:val="24"/>
          <w:szCs w:val="24"/>
        </w:rPr>
        <w:t>7</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Herrero JI</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Quiroga</w:t>
      </w:r>
      <w:proofErr w:type="spellEnd"/>
      <w:r w:rsidRPr="009F13FC">
        <w:rPr>
          <w:rFonts w:ascii="Book Antiqua" w:hAnsi="Book Antiqua"/>
          <w:color w:val="000000" w:themeColor="text1"/>
          <w:sz w:val="24"/>
          <w:szCs w:val="24"/>
        </w:rPr>
        <w:t xml:space="preserve"> J, </w:t>
      </w:r>
      <w:proofErr w:type="spellStart"/>
      <w:r w:rsidRPr="009F13FC">
        <w:rPr>
          <w:rFonts w:ascii="Book Antiqua" w:hAnsi="Book Antiqua"/>
          <w:color w:val="000000" w:themeColor="text1"/>
          <w:sz w:val="24"/>
          <w:szCs w:val="24"/>
        </w:rPr>
        <w:t>Sangro</w:t>
      </w:r>
      <w:proofErr w:type="spellEnd"/>
      <w:r w:rsidRPr="009F13FC">
        <w:rPr>
          <w:rFonts w:ascii="Book Antiqua" w:hAnsi="Book Antiqua"/>
          <w:color w:val="000000" w:themeColor="text1"/>
          <w:sz w:val="24"/>
          <w:szCs w:val="24"/>
        </w:rPr>
        <w:t xml:space="preserve"> B, Pardo F, </w:t>
      </w:r>
      <w:proofErr w:type="spellStart"/>
      <w:r w:rsidRPr="009F13FC">
        <w:rPr>
          <w:rFonts w:ascii="Book Antiqua" w:hAnsi="Book Antiqua"/>
          <w:color w:val="000000" w:themeColor="text1"/>
          <w:sz w:val="24"/>
          <w:szCs w:val="24"/>
        </w:rPr>
        <w:t>Rotellar</w:t>
      </w:r>
      <w:proofErr w:type="spellEnd"/>
      <w:r w:rsidRPr="009F13FC">
        <w:rPr>
          <w:rFonts w:ascii="Book Antiqua" w:hAnsi="Book Antiqua"/>
          <w:color w:val="000000" w:themeColor="text1"/>
          <w:sz w:val="24"/>
          <w:szCs w:val="24"/>
        </w:rPr>
        <w:t xml:space="preserve"> F, Cienfuegos JA, Prieto J. Conversion from calcineurin inhibitors to mycophenolate mofetil in liver transplant recipients with diabetes mellitus.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2003;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1877-1879 [PMID: 12962832 DOI: 10.1016/s0041-1345(03)00644-4]</w:t>
      </w:r>
    </w:p>
    <w:p w14:paraId="610A3489" w14:textId="2BBEBAA5" w:rsidR="003C590A" w:rsidRPr="009F13FC" w:rsidRDefault="003C590A">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38 </w:t>
      </w:r>
      <w:r w:rsidRPr="009F13FC">
        <w:rPr>
          <w:rFonts w:ascii="Book Antiqua" w:hAnsi="Book Antiqua"/>
          <w:b/>
          <w:color w:val="000000" w:themeColor="text1"/>
          <w:sz w:val="24"/>
          <w:szCs w:val="24"/>
        </w:rPr>
        <w:t>Kidney Disease: Improving Global Outcomes (KDIGO) Transplant Work Group</w:t>
      </w:r>
      <w:r w:rsidRPr="009F13FC">
        <w:rPr>
          <w:rFonts w:ascii="Book Antiqua" w:hAnsi="Book Antiqua"/>
          <w:color w:val="000000" w:themeColor="text1"/>
          <w:sz w:val="24"/>
          <w:szCs w:val="24"/>
        </w:rPr>
        <w:t xml:space="preserve">. KDIGO clinical practice guideline for the care of kidney transplant recipients.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2009; </w:t>
      </w:r>
      <w:r w:rsidRPr="009F13FC">
        <w:rPr>
          <w:rFonts w:ascii="Book Antiqua" w:hAnsi="Book Antiqua"/>
          <w:b/>
          <w:color w:val="000000" w:themeColor="text1"/>
          <w:sz w:val="24"/>
          <w:szCs w:val="24"/>
        </w:rPr>
        <w:t>9 Suppl 3</w:t>
      </w:r>
      <w:r w:rsidRPr="009F13FC">
        <w:rPr>
          <w:rFonts w:ascii="Book Antiqua" w:hAnsi="Book Antiqua"/>
          <w:color w:val="000000" w:themeColor="text1"/>
          <w:sz w:val="24"/>
          <w:szCs w:val="24"/>
        </w:rPr>
        <w:t>: S1-155 [PMID: 19845597 DOI: 10.1111/j.1600-6143.2009.02834.x]</w:t>
      </w:r>
    </w:p>
    <w:p w14:paraId="2BE05DE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39 </w:t>
      </w:r>
      <w:r w:rsidRPr="009F13FC">
        <w:rPr>
          <w:rFonts w:ascii="Book Antiqua" w:hAnsi="Book Antiqua"/>
          <w:b/>
          <w:color w:val="000000" w:themeColor="text1"/>
          <w:sz w:val="24"/>
          <w:szCs w:val="24"/>
        </w:rPr>
        <w:t>Association AD</w:t>
      </w:r>
      <w:r w:rsidRPr="009F13FC">
        <w:rPr>
          <w:rFonts w:ascii="Book Antiqua" w:hAnsi="Book Antiqua"/>
          <w:color w:val="000000" w:themeColor="text1"/>
          <w:sz w:val="24"/>
          <w:szCs w:val="24"/>
        </w:rPr>
        <w:t xml:space="preserve">. 1. Improving Care and Promoting Health in Populations: </w:t>
      </w:r>
      <w:r w:rsidRPr="009F13FC">
        <w:rPr>
          <w:rFonts w:ascii="Book Antiqua" w:hAnsi="Book Antiqua"/>
          <w:i/>
          <w:color w:val="000000" w:themeColor="text1"/>
          <w:sz w:val="24"/>
          <w:szCs w:val="24"/>
        </w:rPr>
        <w:t>Standards of Medical Care in Diabetes</w:t>
      </w:r>
      <w:r w:rsidRPr="009F13FC">
        <w:rPr>
          <w:rFonts w:ascii="Book Antiqua" w:hAnsi="Book Antiqua"/>
          <w:color w:val="000000" w:themeColor="text1"/>
          <w:sz w:val="24"/>
          <w:szCs w:val="24"/>
        </w:rPr>
        <w:t>-</w:t>
      </w:r>
      <w:r w:rsidRPr="009F13FC">
        <w:rPr>
          <w:rFonts w:ascii="Book Antiqua" w:hAnsi="Book Antiqua"/>
          <w:i/>
          <w:color w:val="000000" w:themeColor="text1"/>
          <w:sz w:val="24"/>
          <w:szCs w:val="24"/>
        </w:rPr>
        <w:t>2020</w:t>
      </w:r>
      <w:r w:rsidRPr="009F13FC">
        <w:rPr>
          <w:rFonts w:ascii="Book Antiqua" w:hAnsi="Book Antiqua"/>
          <w:color w:val="000000" w:themeColor="text1"/>
          <w:sz w:val="24"/>
          <w:szCs w:val="24"/>
        </w:rPr>
        <w:t xml:space="preserve">. </w:t>
      </w:r>
      <w:r w:rsidRPr="009F13FC">
        <w:rPr>
          <w:rFonts w:ascii="Book Antiqua" w:hAnsi="Book Antiqua"/>
          <w:i/>
          <w:color w:val="000000" w:themeColor="text1"/>
          <w:sz w:val="24"/>
          <w:szCs w:val="24"/>
        </w:rPr>
        <w:t>Diabetes Care</w:t>
      </w:r>
      <w:r w:rsidRPr="009F13FC">
        <w:rPr>
          <w:rFonts w:ascii="Book Antiqua" w:hAnsi="Book Antiqua"/>
          <w:color w:val="000000" w:themeColor="text1"/>
          <w:sz w:val="24"/>
          <w:szCs w:val="24"/>
        </w:rPr>
        <w:t xml:space="preserve"> 2020; </w:t>
      </w:r>
      <w:r w:rsidRPr="009F13FC">
        <w:rPr>
          <w:rFonts w:ascii="Book Antiqua" w:hAnsi="Book Antiqua"/>
          <w:b/>
          <w:color w:val="000000" w:themeColor="text1"/>
          <w:sz w:val="24"/>
          <w:szCs w:val="24"/>
        </w:rPr>
        <w:t>43</w:t>
      </w:r>
      <w:r w:rsidRPr="009F13FC">
        <w:rPr>
          <w:rFonts w:ascii="Book Antiqua" w:hAnsi="Book Antiqua"/>
          <w:color w:val="000000" w:themeColor="text1"/>
          <w:sz w:val="24"/>
          <w:szCs w:val="24"/>
        </w:rPr>
        <w:t>: S7-S13 [PMID: 31862744 DOI: 10.2337/dc20-S001]</w:t>
      </w:r>
    </w:p>
    <w:p w14:paraId="597F740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40 </w:t>
      </w:r>
      <w:proofErr w:type="spellStart"/>
      <w:r w:rsidRPr="009F13FC">
        <w:rPr>
          <w:rFonts w:ascii="Book Antiqua" w:hAnsi="Book Antiqua"/>
          <w:b/>
          <w:color w:val="000000" w:themeColor="text1"/>
          <w:sz w:val="24"/>
          <w:szCs w:val="24"/>
        </w:rPr>
        <w:t>Jenssen</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Hartmann A. Prevention and management of transplant-associated diabetes. </w:t>
      </w:r>
      <w:r w:rsidRPr="009F13FC">
        <w:rPr>
          <w:rFonts w:ascii="Book Antiqua" w:hAnsi="Book Antiqua"/>
          <w:i/>
          <w:color w:val="000000" w:themeColor="text1"/>
          <w:sz w:val="24"/>
          <w:szCs w:val="24"/>
        </w:rPr>
        <w:t xml:space="preserve">Expert </w:t>
      </w:r>
      <w:proofErr w:type="spellStart"/>
      <w:r w:rsidRPr="009F13FC">
        <w:rPr>
          <w:rFonts w:ascii="Book Antiqua" w:hAnsi="Book Antiqua"/>
          <w:i/>
          <w:color w:val="000000" w:themeColor="text1"/>
          <w:sz w:val="24"/>
          <w:szCs w:val="24"/>
        </w:rPr>
        <w:t>Opin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Pharmacother</w:t>
      </w:r>
      <w:proofErr w:type="spellEnd"/>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2641-2655 [PMID: 22047007 DOI: 10.1517/14656566.2011.628936]</w:t>
      </w:r>
    </w:p>
    <w:p w14:paraId="09924BB1" w14:textId="38CD728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41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Diagnosis and </w:t>
      </w:r>
      <w:r w:rsidRPr="009F13FC">
        <w:rPr>
          <w:rFonts w:ascii="Book Antiqua" w:hAnsi="Book Antiqua"/>
          <w:bCs/>
          <w:color w:val="000000" w:themeColor="text1"/>
          <w:sz w:val="24"/>
          <w:szCs w:val="24"/>
        </w:rPr>
        <w:lastRenderedPageBreak/>
        <w:t xml:space="preserve">Treatment of Post-transplant Diabetes Mellitus in Chinese Patients (2019 Edition).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xml:space="preserve">: 1-9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10.3969/j.issn.2095-5332.2019.03.002</w:t>
      </w:r>
      <w:r w:rsidR="00214638" w:rsidRPr="009F13FC">
        <w:rPr>
          <w:rFonts w:ascii="Book Antiqua" w:hAnsi="Book Antiqua"/>
          <w:color w:val="000000" w:themeColor="text1"/>
          <w:sz w:val="24"/>
          <w:szCs w:val="24"/>
        </w:rPr>
        <w:t>]</w:t>
      </w:r>
    </w:p>
    <w:p w14:paraId="4C6E8C6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42 </w:t>
      </w:r>
      <w:r w:rsidRPr="009F13FC">
        <w:rPr>
          <w:rFonts w:ascii="Book Antiqua" w:hAnsi="Book Antiqua"/>
          <w:b/>
          <w:color w:val="000000" w:themeColor="text1"/>
          <w:sz w:val="24"/>
          <w:szCs w:val="24"/>
        </w:rPr>
        <w:t>Neal DA</w:t>
      </w:r>
      <w:r w:rsidRPr="009F13FC">
        <w:rPr>
          <w:rFonts w:ascii="Book Antiqua" w:hAnsi="Book Antiqua"/>
          <w:color w:val="000000" w:themeColor="text1"/>
          <w:sz w:val="24"/>
          <w:szCs w:val="24"/>
        </w:rPr>
        <w:t xml:space="preserve">, Brown MJ, Wilkinson IB, Alexander GJ. Mechanisms of hypertension after liver transplantation.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79</w:t>
      </w:r>
      <w:r w:rsidRPr="009F13FC">
        <w:rPr>
          <w:rFonts w:ascii="Book Antiqua" w:hAnsi="Book Antiqua"/>
          <w:color w:val="000000" w:themeColor="text1"/>
          <w:sz w:val="24"/>
          <w:szCs w:val="24"/>
        </w:rPr>
        <w:t>: 935-940 [PMID: 15849546 DOI: 10.1097/01.tp.0000158738.00927.65]</w:t>
      </w:r>
    </w:p>
    <w:p w14:paraId="480D5A1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43 </w:t>
      </w:r>
      <w:proofErr w:type="spellStart"/>
      <w:r w:rsidRPr="009F13FC">
        <w:rPr>
          <w:rFonts w:ascii="Book Antiqua" w:hAnsi="Book Antiqua"/>
          <w:b/>
          <w:color w:val="000000" w:themeColor="text1"/>
          <w:sz w:val="24"/>
          <w:szCs w:val="24"/>
        </w:rPr>
        <w:t>Fujinaga</w:t>
      </w:r>
      <w:proofErr w:type="spellEnd"/>
      <w:r w:rsidRPr="009F13FC">
        <w:rPr>
          <w:rFonts w:ascii="Book Antiqua" w:hAnsi="Book Antiqua"/>
          <w:b/>
          <w:color w:val="000000" w:themeColor="text1"/>
          <w:sz w:val="24"/>
          <w:szCs w:val="24"/>
        </w:rPr>
        <w:t xml:space="preserve"> K</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Usui</w:t>
      </w:r>
      <w:proofErr w:type="spellEnd"/>
      <w:r w:rsidRPr="009F13FC">
        <w:rPr>
          <w:rFonts w:ascii="Book Antiqua" w:hAnsi="Book Antiqua"/>
          <w:color w:val="000000" w:themeColor="text1"/>
          <w:sz w:val="24"/>
          <w:szCs w:val="24"/>
        </w:rPr>
        <w:t xml:space="preserve"> M, Yamamoto N, Ishikawa E, </w:t>
      </w:r>
      <w:proofErr w:type="spellStart"/>
      <w:r w:rsidRPr="009F13FC">
        <w:rPr>
          <w:rFonts w:ascii="Book Antiqua" w:hAnsi="Book Antiqua"/>
          <w:color w:val="000000" w:themeColor="text1"/>
          <w:sz w:val="24"/>
          <w:szCs w:val="24"/>
        </w:rPr>
        <w:t>Nakatani</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Kishiwada</w:t>
      </w:r>
      <w:proofErr w:type="spellEnd"/>
      <w:r w:rsidRPr="009F13FC">
        <w:rPr>
          <w:rFonts w:ascii="Book Antiqua" w:hAnsi="Book Antiqua"/>
          <w:color w:val="000000" w:themeColor="text1"/>
          <w:sz w:val="24"/>
          <w:szCs w:val="24"/>
        </w:rPr>
        <w:t xml:space="preserve"> M, Mizuno S, Sakurai H, </w:t>
      </w:r>
      <w:proofErr w:type="spellStart"/>
      <w:r w:rsidRPr="009F13FC">
        <w:rPr>
          <w:rFonts w:ascii="Book Antiqua" w:hAnsi="Book Antiqua"/>
          <w:color w:val="000000" w:themeColor="text1"/>
          <w:sz w:val="24"/>
          <w:szCs w:val="24"/>
        </w:rPr>
        <w:t>Tabata</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Isaji</w:t>
      </w:r>
      <w:proofErr w:type="spellEnd"/>
      <w:r w:rsidRPr="009F13FC">
        <w:rPr>
          <w:rFonts w:ascii="Book Antiqua" w:hAnsi="Book Antiqua"/>
          <w:color w:val="000000" w:themeColor="text1"/>
          <w:sz w:val="24"/>
          <w:szCs w:val="24"/>
        </w:rPr>
        <w:t xml:space="preserve"> S. Hypertension and hepatitis C virus infection are strong risk factors for developing late renal dysfunction after living donor liver transplantation: significance of renal biopsy.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46</w:t>
      </w:r>
      <w:r w:rsidRPr="009F13FC">
        <w:rPr>
          <w:rFonts w:ascii="Book Antiqua" w:hAnsi="Book Antiqua"/>
          <w:color w:val="000000" w:themeColor="text1"/>
          <w:sz w:val="24"/>
          <w:szCs w:val="24"/>
        </w:rPr>
        <w:t>: 804-810 [PMID: 24767353 DOI: 10.1016/j.transproceed.2013.11.103]</w:t>
      </w:r>
    </w:p>
    <w:p w14:paraId="4345AB7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44 </w:t>
      </w:r>
      <w:r w:rsidRPr="009F13FC">
        <w:rPr>
          <w:rFonts w:ascii="Book Antiqua" w:hAnsi="Book Antiqua"/>
          <w:b/>
          <w:color w:val="000000" w:themeColor="text1"/>
          <w:sz w:val="24"/>
          <w:szCs w:val="24"/>
        </w:rPr>
        <w:t>Tong MS</w:t>
      </w:r>
      <w:r w:rsidRPr="009F13FC">
        <w:rPr>
          <w:rFonts w:ascii="Book Antiqua" w:hAnsi="Book Antiqua"/>
          <w:color w:val="000000" w:themeColor="text1"/>
          <w:sz w:val="24"/>
          <w:szCs w:val="24"/>
        </w:rPr>
        <w:t xml:space="preserve">, Chai HT, Liu WH, Chen CL, Fu M, Lin YH, Lin CC, Chen SM, Hang CL. Prevalence of hypertension after living-donor liver transplantation: a prospective study.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47</w:t>
      </w:r>
      <w:r w:rsidRPr="009F13FC">
        <w:rPr>
          <w:rFonts w:ascii="Book Antiqua" w:hAnsi="Book Antiqua"/>
          <w:color w:val="000000" w:themeColor="text1"/>
          <w:sz w:val="24"/>
          <w:szCs w:val="24"/>
        </w:rPr>
        <w:t>: 445-450 [PMID: 25769588 DOI: 10.1016/j.transproceed.2014.10.050]</w:t>
      </w:r>
    </w:p>
    <w:p w14:paraId="62D0249C" w14:textId="50911A43"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45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 xml:space="preserve">Standard for the Diagnosis and Treatment of Hypertension after Solid Organ Transplantation in Chinese Patients (2019 Edition).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color w:val="000000" w:themeColor="text1"/>
          <w:sz w:val="24"/>
          <w:szCs w:val="24"/>
        </w:rPr>
        <w:t xml:space="preserve"> 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112-</w:t>
      </w:r>
      <w:r w:rsidR="00214638"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21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10.3969/j.issn.1674-7445.2019.02.002</w:t>
      </w:r>
      <w:r w:rsidR="00214638" w:rsidRPr="009F13FC">
        <w:rPr>
          <w:rFonts w:ascii="Book Antiqua" w:hAnsi="Book Antiqua"/>
          <w:color w:val="000000" w:themeColor="text1"/>
          <w:sz w:val="24"/>
          <w:szCs w:val="24"/>
        </w:rPr>
        <w:t>]</w:t>
      </w:r>
    </w:p>
    <w:p w14:paraId="661964D6" w14:textId="77777777" w:rsidR="00D02C16" w:rsidRPr="009F13FC" w:rsidRDefault="00D02C16">
      <w:pPr>
        <w:snapToGrid w:val="0"/>
        <w:spacing w:line="360" w:lineRule="auto"/>
        <w:jc w:val="both"/>
        <w:rPr>
          <w:rFonts w:ascii="Book Antiqua" w:hAnsi="Book Antiqua"/>
          <w:color w:val="000000" w:themeColor="text1"/>
          <w:sz w:val="24"/>
          <w:szCs w:val="24"/>
          <w:lang w:eastAsia="zh-CN"/>
        </w:rPr>
      </w:pPr>
      <w:r w:rsidRPr="009F13FC">
        <w:rPr>
          <w:rFonts w:ascii="Book Antiqua" w:hAnsi="Book Antiqua"/>
          <w:color w:val="000000" w:themeColor="text1"/>
          <w:sz w:val="24"/>
          <w:szCs w:val="24"/>
        </w:rPr>
        <w:t xml:space="preserve">46 </w:t>
      </w:r>
      <w:proofErr w:type="spellStart"/>
      <w:r w:rsidRPr="009F13FC">
        <w:rPr>
          <w:rFonts w:ascii="Book Antiqua" w:hAnsi="Book Antiqua"/>
          <w:b/>
          <w:color w:val="000000" w:themeColor="text1"/>
          <w:sz w:val="24"/>
          <w:szCs w:val="24"/>
        </w:rPr>
        <w:t>Thoefner</w:t>
      </w:r>
      <w:proofErr w:type="spellEnd"/>
      <w:r w:rsidRPr="009F13FC">
        <w:rPr>
          <w:rFonts w:ascii="Book Antiqua" w:hAnsi="Book Antiqua"/>
          <w:b/>
          <w:color w:val="000000" w:themeColor="text1"/>
          <w:sz w:val="24"/>
          <w:szCs w:val="24"/>
        </w:rPr>
        <w:t xml:space="preserve"> LB</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Rostved</w:t>
      </w:r>
      <w:proofErr w:type="spellEnd"/>
      <w:r w:rsidRPr="009F13FC">
        <w:rPr>
          <w:rFonts w:ascii="Book Antiqua" w:hAnsi="Book Antiqua"/>
          <w:color w:val="000000" w:themeColor="text1"/>
          <w:sz w:val="24"/>
          <w:szCs w:val="24"/>
        </w:rPr>
        <w:t xml:space="preserve"> AA, </w:t>
      </w:r>
      <w:proofErr w:type="spellStart"/>
      <w:r w:rsidRPr="009F13FC">
        <w:rPr>
          <w:rFonts w:ascii="Book Antiqua" w:hAnsi="Book Antiqua"/>
          <w:color w:val="000000" w:themeColor="text1"/>
          <w:sz w:val="24"/>
          <w:szCs w:val="24"/>
        </w:rPr>
        <w:t>Pommergaard</w:t>
      </w:r>
      <w:proofErr w:type="spellEnd"/>
      <w:r w:rsidRPr="009F13FC">
        <w:rPr>
          <w:rFonts w:ascii="Book Antiqua" w:hAnsi="Book Antiqua"/>
          <w:color w:val="000000" w:themeColor="text1"/>
          <w:sz w:val="24"/>
          <w:szCs w:val="24"/>
        </w:rPr>
        <w:t xml:space="preserve"> HC, Rasmussen A. Risk factors for metabolic syndrome after liver transplantation: A systematic review and meta-analysis. </w:t>
      </w:r>
      <w:r w:rsidRPr="009F13FC">
        <w:rPr>
          <w:rFonts w:ascii="Book Antiqua" w:hAnsi="Book Antiqua"/>
          <w:i/>
          <w:color w:val="000000" w:themeColor="text1"/>
          <w:sz w:val="24"/>
          <w:szCs w:val="24"/>
        </w:rPr>
        <w:t>Transplant Rev (Orlando)</w:t>
      </w:r>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32</w:t>
      </w:r>
      <w:r w:rsidRPr="009F13FC">
        <w:rPr>
          <w:rFonts w:ascii="Book Antiqua" w:hAnsi="Book Antiqua"/>
          <w:color w:val="000000" w:themeColor="text1"/>
          <w:sz w:val="24"/>
          <w:szCs w:val="24"/>
        </w:rPr>
        <w:t>: 69-77 [PMID: 28501338 DOI: 10.1016/j.trre.2017.03.004]</w:t>
      </w:r>
    </w:p>
    <w:p w14:paraId="773E62B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47 </w:t>
      </w:r>
      <w:proofErr w:type="spellStart"/>
      <w:r w:rsidRPr="009F13FC">
        <w:rPr>
          <w:rFonts w:ascii="Book Antiqua" w:hAnsi="Book Antiqua"/>
          <w:b/>
          <w:color w:val="000000" w:themeColor="text1"/>
          <w:sz w:val="24"/>
          <w:szCs w:val="24"/>
        </w:rPr>
        <w:t>García-Pajares</w:t>
      </w:r>
      <w:proofErr w:type="spellEnd"/>
      <w:r w:rsidRPr="009F13FC">
        <w:rPr>
          <w:rFonts w:ascii="Book Antiqua" w:hAnsi="Book Antiqua"/>
          <w:b/>
          <w:color w:val="000000" w:themeColor="text1"/>
          <w:sz w:val="24"/>
          <w:szCs w:val="24"/>
        </w:rPr>
        <w:t xml:space="preserve"> F</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Peñas</w:t>
      </w:r>
      <w:proofErr w:type="spellEnd"/>
      <w:r w:rsidRPr="009F13FC">
        <w:rPr>
          <w:rFonts w:ascii="Book Antiqua" w:hAnsi="Book Antiqua"/>
          <w:color w:val="000000" w:themeColor="text1"/>
          <w:sz w:val="24"/>
          <w:szCs w:val="24"/>
        </w:rPr>
        <w:t>-Herrero I, Sánchez-</w:t>
      </w:r>
      <w:proofErr w:type="spellStart"/>
      <w:r w:rsidRPr="009F13FC">
        <w:rPr>
          <w:rFonts w:ascii="Book Antiqua" w:hAnsi="Book Antiqua"/>
          <w:color w:val="000000" w:themeColor="text1"/>
          <w:sz w:val="24"/>
          <w:szCs w:val="24"/>
        </w:rPr>
        <w:t>Ocaña</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Torrres-Yuste</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Cimavilla-Román</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Carbajo-López</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Almohalla</w:t>
      </w:r>
      <w:proofErr w:type="spellEnd"/>
      <w:r w:rsidRPr="009F13FC">
        <w:rPr>
          <w:rFonts w:ascii="Book Antiqua" w:hAnsi="Book Antiqua"/>
          <w:color w:val="000000" w:themeColor="text1"/>
          <w:sz w:val="24"/>
          <w:szCs w:val="24"/>
        </w:rPr>
        <w:t>-Alvarez C, Pérez-</w:t>
      </w:r>
      <w:proofErr w:type="spellStart"/>
      <w:r w:rsidRPr="009F13FC">
        <w:rPr>
          <w:rFonts w:ascii="Book Antiqua" w:hAnsi="Book Antiqua"/>
          <w:color w:val="000000" w:themeColor="text1"/>
          <w:sz w:val="24"/>
          <w:szCs w:val="24"/>
        </w:rPr>
        <w:t>Saborido</w:t>
      </w:r>
      <w:proofErr w:type="spellEnd"/>
      <w:r w:rsidRPr="009F13FC">
        <w:rPr>
          <w:rFonts w:ascii="Book Antiqua" w:hAnsi="Book Antiqua"/>
          <w:color w:val="000000" w:themeColor="text1"/>
          <w:sz w:val="24"/>
          <w:szCs w:val="24"/>
        </w:rPr>
        <w:t xml:space="preserve"> B, Muñoz-</w:t>
      </w:r>
      <w:proofErr w:type="spellStart"/>
      <w:r w:rsidRPr="009F13FC">
        <w:rPr>
          <w:rFonts w:ascii="Book Antiqua" w:hAnsi="Book Antiqua"/>
          <w:color w:val="000000" w:themeColor="text1"/>
          <w:sz w:val="24"/>
          <w:szCs w:val="24"/>
        </w:rPr>
        <w:t>Conejero</w:t>
      </w:r>
      <w:proofErr w:type="spellEnd"/>
      <w:r w:rsidRPr="009F13FC">
        <w:rPr>
          <w:rFonts w:ascii="Book Antiqua" w:hAnsi="Book Antiqua"/>
          <w:color w:val="000000" w:themeColor="text1"/>
          <w:sz w:val="24"/>
          <w:szCs w:val="24"/>
        </w:rPr>
        <w:t xml:space="preserve"> E, Gonzalez-</w:t>
      </w:r>
      <w:proofErr w:type="spellStart"/>
      <w:r w:rsidRPr="009F13FC">
        <w:rPr>
          <w:rFonts w:ascii="Book Antiqua" w:hAnsi="Book Antiqua"/>
          <w:color w:val="000000" w:themeColor="text1"/>
          <w:sz w:val="24"/>
          <w:szCs w:val="24"/>
        </w:rPr>
        <w:t>Sagrado</w:t>
      </w:r>
      <w:proofErr w:type="spellEnd"/>
      <w:r w:rsidRPr="009F13FC">
        <w:rPr>
          <w:rFonts w:ascii="Book Antiqua" w:hAnsi="Book Antiqua"/>
          <w:color w:val="000000" w:themeColor="text1"/>
          <w:sz w:val="24"/>
          <w:szCs w:val="24"/>
        </w:rPr>
        <w:t xml:space="preserve"> M, Caro-</w:t>
      </w:r>
      <w:proofErr w:type="spellStart"/>
      <w:r w:rsidRPr="009F13FC">
        <w:rPr>
          <w:rFonts w:ascii="Book Antiqua" w:hAnsi="Book Antiqua"/>
          <w:color w:val="000000" w:themeColor="text1"/>
          <w:sz w:val="24"/>
          <w:szCs w:val="24"/>
        </w:rPr>
        <w:t>Patón</w:t>
      </w:r>
      <w:proofErr w:type="spellEnd"/>
      <w:r w:rsidRPr="009F13FC">
        <w:rPr>
          <w:rFonts w:ascii="Book Antiqua" w:hAnsi="Book Antiqua"/>
          <w:color w:val="000000" w:themeColor="text1"/>
          <w:sz w:val="24"/>
          <w:szCs w:val="24"/>
        </w:rPr>
        <w:t xml:space="preserve"> A, Sánchez-</w:t>
      </w:r>
      <w:proofErr w:type="spellStart"/>
      <w:r w:rsidRPr="009F13FC">
        <w:rPr>
          <w:rFonts w:ascii="Book Antiqua" w:hAnsi="Book Antiqua"/>
          <w:color w:val="000000" w:themeColor="text1"/>
          <w:sz w:val="24"/>
          <w:szCs w:val="24"/>
        </w:rPr>
        <w:t>Antolín</w:t>
      </w:r>
      <w:proofErr w:type="spellEnd"/>
      <w:r w:rsidRPr="009F13FC">
        <w:rPr>
          <w:rFonts w:ascii="Book Antiqua" w:hAnsi="Book Antiqua"/>
          <w:color w:val="000000" w:themeColor="text1"/>
          <w:sz w:val="24"/>
          <w:szCs w:val="24"/>
        </w:rPr>
        <w:t xml:space="preserve"> G. Metabolic Syndrome After Liver Transplantation: Five-Year Prevalence and Risk Factors.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48</w:t>
      </w:r>
      <w:r w:rsidRPr="009F13FC">
        <w:rPr>
          <w:rFonts w:ascii="Book Antiqua" w:hAnsi="Book Antiqua"/>
          <w:color w:val="000000" w:themeColor="text1"/>
          <w:sz w:val="24"/>
          <w:szCs w:val="24"/>
        </w:rPr>
        <w:t>: 3010-3012 [PMID: 27932133 DOI: 10.1016/j.transproceed.2016.07.038]</w:t>
      </w:r>
    </w:p>
    <w:p w14:paraId="2F5E2C2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48 </w:t>
      </w:r>
      <w:proofErr w:type="spellStart"/>
      <w:r w:rsidRPr="009F13FC">
        <w:rPr>
          <w:rFonts w:ascii="Book Antiqua" w:hAnsi="Book Antiqua"/>
          <w:b/>
          <w:color w:val="000000" w:themeColor="text1"/>
          <w:sz w:val="24"/>
          <w:szCs w:val="24"/>
        </w:rPr>
        <w:t>Anastácio</w:t>
      </w:r>
      <w:proofErr w:type="spellEnd"/>
      <w:r w:rsidRPr="009F13FC">
        <w:rPr>
          <w:rFonts w:ascii="Book Antiqua" w:hAnsi="Book Antiqua"/>
          <w:b/>
          <w:color w:val="000000" w:themeColor="text1"/>
          <w:sz w:val="24"/>
          <w:szCs w:val="24"/>
        </w:rPr>
        <w:t xml:space="preserve"> LR</w:t>
      </w:r>
      <w:r w:rsidRPr="009F13FC">
        <w:rPr>
          <w:rFonts w:ascii="Book Antiqua" w:hAnsi="Book Antiqua"/>
          <w:color w:val="000000" w:themeColor="text1"/>
          <w:sz w:val="24"/>
          <w:szCs w:val="24"/>
        </w:rPr>
        <w:t xml:space="preserve">, Ribeiro </w:t>
      </w:r>
      <w:proofErr w:type="spellStart"/>
      <w:r w:rsidRPr="009F13FC">
        <w:rPr>
          <w:rFonts w:ascii="Book Antiqua" w:hAnsi="Book Antiqua"/>
          <w:color w:val="000000" w:themeColor="text1"/>
          <w:sz w:val="24"/>
          <w:szCs w:val="24"/>
        </w:rPr>
        <w:t>Hde</w:t>
      </w:r>
      <w:proofErr w:type="spellEnd"/>
      <w:r w:rsidRPr="009F13FC">
        <w:rPr>
          <w:rFonts w:ascii="Book Antiqua" w:hAnsi="Book Antiqua"/>
          <w:color w:val="000000" w:themeColor="text1"/>
          <w:sz w:val="24"/>
          <w:szCs w:val="24"/>
        </w:rPr>
        <w:t xml:space="preserve"> S, Ferreira LG, Lima AS, </w:t>
      </w:r>
      <w:proofErr w:type="spellStart"/>
      <w:r w:rsidRPr="009F13FC">
        <w:rPr>
          <w:rFonts w:ascii="Book Antiqua" w:hAnsi="Book Antiqua"/>
          <w:color w:val="000000" w:themeColor="text1"/>
          <w:sz w:val="24"/>
          <w:szCs w:val="24"/>
        </w:rPr>
        <w:t>Vilela</w:t>
      </w:r>
      <w:proofErr w:type="spellEnd"/>
      <w:r w:rsidRPr="009F13FC">
        <w:rPr>
          <w:rFonts w:ascii="Book Antiqua" w:hAnsi="Book Antiqua"/>
          <w:color w:val="000000" w:themeColor="text1"/>
          <w:sz w:val="24"/>
          <w:szCs w:val="24"/>
        </w:rPr>
        <w:t xml:space="preserve"> EG, </w:t>
      </w:r>
      <w:proofErr w:type="spellStart"/>
      <w:r w:rsidRPr="009F13FC">
        <w:rPr>
          <w:rFonts w:ascii="Book Antiqua" w:hAnsi="Book Antiqua"/>
          <w:color w:val="000000" w:themeColor="text1"/>
          <w:sz w:val="24"/>
          <w:szCs w:val="24"/>
        </w:rPr>
        <w:t>Toulson</w:t>
      </w:r>
      <w:proofErr w:type="spellEnd"/>
      <w:r w:rsidRPr="009F13FC">
        <w:rPr>
          <w:rFonts w:ascii="Book Antiqua" w:hAnsi="Book Antiqua"/>
          <w:color w:val="000000" w:themeColor="text1"/>
          <w:sz w:val="24"/>
          <w:szCs w:val="24"/>
        </w:rPr>
        <w:t xml:space="preserve"> Davisson Correia MI. Incidence and risk factors for diabetes, hypertension and obesity after liver transplantation. </w:t>
      </w:r>
      <w:proofErr w:type="spellStart"/>
      <w:r w:rsidRPr="009F13FC">
        <w:rPr>
          <w:rFonts w:ascii="Book Antiqua" w:hAnsi="Book Antiqua"/>
          <w:i/>
          <w:color w:val="000000" w:themeColor="text1"/>
          <w:sz w:val="24"/>
          <w:szCs w:val="24"/>
        </w:rPr>
        <w:t>Nutr</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Hosp</w:t>
      </w:r>
      <w:proofErr w:type="spellEnd"/>
      <w:r w:rsidRPr="009F13FC">
        <w:rPr>
          <w:rFonts w:ascii="Book Antiqua" w:hAnsi="Book Antiqua"/>
          <w:color w:val="000000" w:themeColor="text1"/>
          <w:sz w:val="24"/>
          <w:szCs w:val="24"/>
        </w:rPr>
        <w:t xml:space="preserve"> 2013; </w:t>
      </w:r>
      <w:r w:rsidRPr="009F13FC">
        <w:rPr>
          <w:rFonts w:ascii="Book Antiqua" w:hAnsi="Book Antiqua"/>
          <w:b/>
          <w:color w:val="000000" w:themeColor="text1"/>
          <w:sz w:val="24"/>
          <w:szCs w:val="24"/>
        </w:rPr>
        <w:t>28</w:t>
      </w:r>
      <w:r w:rsidRPr="009F13FC">
        <w:rPr>
          <w:rFonts w:ascii="Book Antiqua" w:hAnsi="Book Antiqua"/>
          <w:color w:val="000000" w:themeColor="text1"/>
          <w:sz w:val="24"/>
          <w:szCs w:val="24"/>
        </w:rPr>
        <w:t xml:space="preserve">: 643-648 [PMID: 23848083 DOI: </w:t>
      </w:r>
      <w:r w:rsidRPr="009F13FC">
        <w:rPr>
          <w:rFonts w:ascii="Book Antiqua" w:hAnsi="Book Antiqua"/>
          <w:color w:val="000000" w:themeColor="text1"/>
          <w:sz w:val="24"/>
          <w:szCs w:val="24"/>
        </w:rPr>
        <w:lastRenderedPageBreak/>
        <w:t>10.3305/nh.2013.28.3.6193]</w:t>
      </w:r>
    </w:p>
    <w:p w14:paraId="4AD078A8" w14:textId="2D86ED9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49 </w:t>
      </w:r>
      <w:proofErr w:type="spellStart"/>
      <w:r w:rsidR="002A655A" w:rsidRPr="00D9152E">
        <w:rPr>
          <w:rFonts w:ascii="Book Antiqua" w:hAnsi="Book Antiqua"/>
          <w:b/>
          <w:color w:val="000000" w:themeColor="text1"/>
          <w:sz w:val="24"/>
          <w:szCs w:val="24"/>
        </w:rPr>
        <w:t>Rabkin</w:t>
      </w:r>
      <w:proofErr w:type="spellEnd"/>
      <w:r w:rsidR="002A655A" w:rsidRPr="00D9152E">
        <w:rPr>
          <w:rFonts w:ascii="Book Antiqua" w:hAnsi="Book Antiqua"/>
          <w:b/>
          <w:color w:val="000000" w:themeColor="text1"/>
          <w:sz w:val="24"/>
          <w:szCs w:val="24"/>
        </w:rPr>
        <w:t xml:space="preserve"> JM, Rosen HR, </w:t>
      </w:r>
      <w:proofErr w:type="spellStart"/>
      <w:r w:rsidR="002A655A" w:rsidRPr="00D9152E">
        <w:rPr>
          <w:rFonts w:ascii="Book Antiqua" w:hAnsi="Book Antiqua"/>
          <w:b/>
          <w:color w:val="000000" w:themeColor="text1"/>
          <w:sz w:val="24"/>
          <w:szCs w:val="24"/>
        </w:rPr>
        <w:t>Corless</w:t>
      </w:r>
      <w:proofErr w:type="spellEnd"/>
      <w:r w:rsidR="002A655A" w:rsidRPr="00D9152E">
        <w:rPr>
          <w:rFonts w:ascii="Book Antiqua" w:hAnsi="Book Antiqua"/>
          <w:b/>
          <w:color w:val="000000" w:themeColor="text1"/>
          <w:sz w:val="24"/>
          <w:szCs w:val="24"/>
        </w:rPr>
        <w:t xml:space="preserve"> CL, </w:t>
      </w:r>
      <w:proofErr w:type="spellStart"/>
      <w:r w:rsidR="002A655A" w:rsidRPr="00D9152E">
        <w:rPr>
          <w:rFonts w:ascii="Book Antiqua" w:hAnsi="Book Antiqua"/>
          <w:b/>
          <w:color w:val="000000" w:themeColor="text1"/>
          <w:sz w:val="24"/>
          <w:szCs w:val="24"/>
        </w:rPr>
        <w:t>Olyaei</w:t>
      </w:r>
      <w:proofErr w:type="spellEnd"/>
      <w:r w:rsidR="002A655A" w:rsidRPr="00D9152E">
        <w:rPr>
          <w:rFonts w:ascii="Book Antiqua" w:hAnsi="Book Antiqua"/>
          <w:b/>
          <w:color w:val="000000" w:themeColor="text1"/>
          <w:sz w:val="24"/>
          <w:szCs w:val="24"/>
        </w:rPr>
        <w:t xml:space="preserve"> AJ. </w:t>
      </w:r>
      <w:r w:rsidR="002A655A" w:rsidRPr="00AF291D">
        <w:rPr>
          <w:rFonts w:ascii="Book Antiqua" w:hAnsi="Book Antiqua"/>
          <w:bCs/>
          <w:color w:val="000000" w:themeColor="text1"/>
          <w:sz w:val="24"/>
          <w:szCs w:val="24"/>
        </w:rPr>
        <w:t xml:space="preserve">Tacrolimus is associated with a lower incidence of cardiovascular complications in liver transplant recipients. </w:t>
      </w:r>
      <w:r w:rsidR="002A655A" w:rsidRPr="009F13FC">
        <w:rPr>
          <w:rFonts w:ascii="Book Antiqua" w:hAnsi="Book Antiqua"/>
          <w:bCs/>
          <w:i/>
          <w:iCs/>
          <w:color w:val="000000" w:themeColor="text1"/>
          <w:sz w:val="24"/>
          <w:szCs w:val="24"/>
        </w:rPr>
        <w:t>Transplantation proceedings</w:t>
      </w:r>
      <w:r w:rsidR="002A655A" w:rsidRPr="009F13FC">
        <w:rPr>
          <w:rFonts w:ascii="Book Antiqua" w:hAnsi="Book Antiqua"/>
          <w:bCs/>
          <w:color w:val="000000" w:themeColor="text1"/>
          <w:sz w:val="24"/>
          <w:szCs w:val="24"/>
        </w:rPr>
        <w:t xml:space="preserve"> 2002; </w:t>
      </w:r>
      <w:r w:rsidR="002A655A" w:rsidRPr="009F13FC">
        <w:rPr>
          <w:rFonts w:ascii="Book Antiqua" w:hAnsi="Book Antiqua"/>
          <w:b/>
          <w:color w:val="000000" w:themeColor="text1"/>
          <w:sz w:val="24"/>
          <w:szCs w:val="24"/>
        </w:rPr>
        <w:t>34</w:t>
      </w:r>
      <w:r w:rsidR="002A655A" w:rsidRPr="009F13FC">
        <w:rPr>
          <w:rFonts w:ascii="Book Antiqua" w:hAnsi="Book Antiqua"/>
          <w:bCs/>
          <w:color w:val="000000" w:themeColor="text1"/>
          <w:sz w:val="24"/>
          <w:szCs w:val="24"/>
        </w:rPr>
        <w:t>: 1557-1558 [PMID: 12176483 DOI: 10.1016/s0041-1345(02)03020-8]</w:t>
      </w:r>
    </w:p>
    <w:p w14:paraId="3AB1B07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50 </w:t>
      </w:r>
      <w:proofErr w:type="spellStart"/>
      <w:r w:rsidRPr="009F13FC">
        <w:rPr>
          <w:rFonts w:ascii="Book Antiqua" w:hAnsi="Book Antiqua"/>
          <w:b/>
          <w:color w:val="000000" w:themeColor="text1"/>
          <w:sz w:val="24"/>
          <w:szCs w:val="24"/>
        </w:rPr>
        <w:t>Guckelberger</w:t>
      </w:r>
      <w:proofErr w:type="spellEnd"/>
      <w:r w:rsidRPr="009F13FC">
        <w:rPr>
          <w:rFonts w:ascii="Book Antiqua" w:hAnsi="Book Antiqua"/>
          <w:b/>
          <w:color w:val="000000" w:themeColor="text1"/>
          <w:sz w:val="24"/>
          <w:szCs w:val="24"/>
        </w:rPr>
        <w:t xml:space="preserve"> O</w:t>
      </w:r>
      <w:r w:rsidRPr="009F13FC">
        <w:rPr>
          <w:rFonts w:ascii="Book Antiqua" w:hAnsi="Book Antiqua"/>
          <w:color w:val="000000" w:themeColor="text1"/>
          <w:sz w:val="24"/>
          <w:szCs w:val="24"/>
        </w:rPr>
        <w:t xml:space="preserve">. Long-term medical comorbidities and their management: hypertension/cardiovascular disease.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2009; </w:t>
      </w:r>
      <w:r w:rsidRPr="009F13FC">
        <w:rPr>
          <w:rFonts w:ascii="Book Antiqua" w:hAnsi="Book Antiqua"/>
          <w:b/>
          <w:color w:val="000000" w:themeColor="text1"/>
          <w:sz w:val="24"/>
          <w:szCs w:val="24"/>
        </w:rPr>
        <w:t xml:space="preserve">15 </w:t>
      </w:r>
      <w:proofErr w:type="spellStart"/>
      <w:r w:rsidRPr="009F13FC">
        <w:rPr>
          <w:rFonts w:ascii="Book Antiqua" w:hAnsi="Book Antiqua"/>
          <w:b/>
          <w:color w:val="000000" w:themeColor="text1"/>
          <w:sz w:val="24"/>
          <w:szCs w:val="24"/>
        </w:rPr>
        <w:t>Suppl</w:t>
      </w:r>
      <w:proofErr w:type="spellEnd"/>
      <w:r w:rsidRPr="009F13FC">
        <w:rPr>
          <w:rFonts w:ascii="Book Antiqua" w:hAnsi="Book Antiqua"/>
          <w:b/>
          <w:color w:val="000000" w:themeColor="text1"/>
          <w:sz w:val="24"/>
          <w:szCs w:val="24"/>
        </w:rPr>
        <w:t xml:space="preserve"> 2</w:t>
      </w:r>
      <w:r w:rsidRPr="009F13FC">
        <w:rPr>
          <w:rFonts w:ascii="Book Antiqua" w:hAnsi="Book Antiqua"/>
          <w:color w:val="000000" w:themeColor="text1"/>
          <w:sz w:val="24"/>
          <w:szCs w:val="24"/>
        </w:rPr>
        <w:t>: S75-S78 [PMID: 19877022 DOI: 10.1002/lt.21903]</w:t>
      </w:r>
    </w:p>
    <w:p w14:paraId="4DCC244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51 </w:t>
      </w:r>
      <w:proofErr w:type="spellStart"/>
      <w:r w:rsidRPr="009F13FC">
        <w:rPr>
          <w:rFonts w:ascii="Book Antiqua" w:hAnsi="Book Antiqua"/>
          <w:b/>
          <w:color w:val="000000" w:themeColor="text1"/>
          <w:sz w:val="24"/>
          <w:szCs w:val="24"/>
        </w:rPr>
        <w:t>D'Avola</w:t>
      </w:r>
      <w:proofErr w:type="spellEnd"/>
      <w:r w:rsidRPr="009F13FC">
        <w:rPr>
          <w:rFonts w:ascii="Book Antiqua" w:hAnsi="Book Antiqua"/>
          <w:b/>
          <w:color w:val="000000" w:themeColor="text1"/>
          <w:sz w:val="24"/>
          <w:szCs w:val="24"/>
        </w:rPr>
        <w:t xml:space="preserve"> D</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Cuervas</w:t>
      </w:r>
      <w:proofErr w:type="spellEnd"/>
      <w:r w:rsidRPr="009F13FC">
        <w:rPr>
          <w:rFonts w:ascii="Book Antiqua" w:hAnsi="Book Antiqua"/>
          <w:color w:val="000000" w:themeColor="text1"/>
          <w:sz w:val="24"/>
          <w:szCs w:val="24"/>
        </w:rPr>
        <w:t xml:space="preserve">-Mons V, Martí J, Ortiz de Urbina J, </w:t>
      </w:r>
      <w:proofErr w:type="spellStart"/>
      <w:r w:rsidRPr="009F13FC">
        <w:rPr>
          <w:rFonts w:ascii="Book Antiqua" w:hAnsi="Book Antiqua"/>
          <w:color w:val="000000" w:themeColor="text1"/>
          <w:sz w:val="24"/>
          <w:szCs w:val="24"/>
        </w:rPr>
        <w:t>Lladó</w:t>
      </w:r>
      <w:proofErr w:type="spellEnd"/>
      <w:r w:rsidRPr="009F13FC">
        <w:rPr>
          <w:rFonts w:ascii="Book Antiqua" w:hAnsi="Book Antiqua"/>
          <w:color w:val="000000" w:themeColor="text1"/>
          <w:sz w:val="24"/>
          <w:szCs w:val="24"/>
        </w:rPr>
        <w:t xml:space="preserve"> L, Jimenez C, Otero E, Suarez F, Rodrigo JM, Gómez MA, Fraga E, Lopez P, Serrano MT, Rios A, </w:t>
      </w:r>
      <w:proofErr w:type="spellStart"/>
      <w:r w:rsidRPr="009F13FC">
        <w:rPr>
          <w:rFonts w:ascii="Book Antiqua" w:hAnsi="Book Antiqua"/>
          <w:color w:val="000000" w:themeColor="text1"/>
          <w:sz w:val="24"/>
          <w:szCs w:val="24"/>
        </w:rPr>
        <w:t>Fábrega</w:t>
      </w:r>
      <w:proofErr w:type="spellEnd"/>
      <w:r w:rsidRPr="009F13FC">
        <w:rPr>
          <w:rFonts w:ascii="Book Antiqua" w:hAnsi="Book Antiqua"/>
          <w:color w:val="000000" w:themeColor="text1"/>
          <w:sz w:val="24"/>
          <w:szCs w:val="24"/>
        </w:rPr>
        <w:t xml:space="preserve"> E, Herrero JI. Cardiovascular morbidity and mortality after liver transplantation: The protective role of mycophenolate mofetil.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23</w:t>
      </w:r>
      <w:r w:rsidRPr="009F13FC">
        <w:rPr>
          <w:rFonts w:ascii="Book Antiqua" w:hAnsi="Book Antiqua"/>
          <w:color w:val="000000" w:themeColor="text1"/>
          <w:sz w:val="24"/>
          <w:szCs w:val="24"/>
        </w:rPr>
        <w:t>: 498-509 [PMID: 28160394 DOI: 10.1002/lt.24738]</w:t>
      </w:r>
    </w:p>
    <w:p w14:paraId="2B99214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52 </w:t>
      </w:r>
      <w:proofErr w:type="spellStart"/>
      <w:r w:rsidRPr="009F13FC">
        <w:rPr>
          <w:rFonts w:ascii="Book Antiqua" w:hAnsi="Book Antiqua"/>
          <w:b/>
          <w:color w:val="000000" w:themeColor="text1"/>
          <w:sz w:val="24"/>
          <w:szCs w:val="24"/>
        </w:rPr>
        <w:t>Gonwa</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Mendez R, Yang HC, Weinstein S, </w:t>
      </w:r>
      <w:proofErr w:type="spellStart"/>
      <w:r w:rsidRPr="009F13FC">
        <w:rPr>
          <w:rFonts w:ascii="Book Antiqua" w:hAnsi="Book Antiqua"/>
          <w:color w:val="000000" w:themeColor="text1"/>
          <w:sz w:val="24"/>
          <w:szCs w:val="24"/>
        </w:rPr>
        <w:t>Jensik</w:t>
      </w:r>
      <w:proofErr w:type="spellEnd"/>
      <w:r w:rsidRPr="009F13FC">
        <w:rPr>
          <w:rFonts w:ascii="Book Antiqua" w:hAnsi="Book Antiqua"/>
          <w:color w:val="000000" w:themeColor="text1"/>
          <w:sz w:val="24"/>
          <w:szCs w:val="24"/>
        </w:rPr>
        <w:t xml:space="preserve"> S, Steinberg S; </w:t>
      </w:r>
      <w:proofErr w:type="spellStart"/>
      <w:r w:rsidRPr="009F13FC">
        <w:rPr>
          <w:rFonts w:ascii="Book Antiqua" w:hAnsi="Book Antiqua"/>
          <w:color w:val="000000" w:themeColor="text1"/>
          <w:sz w:val="24"/>
          <w:szCs w:val="24"/>
        </w:rPr>
        <w:t>Prograf</w:t>
      </w:r>
      <w:proofErr w:type="spellEnd"/>
      <w:r w:rsidRPr="009F13FC">
        <w:rPr>
          <w:rFonts w:ascii="Book Antiqua" w:hAnsi="Book Antiqua"/>
          <w:color w:val="000000" w:themeColor="text1"/>
          <w:sz w:val="24"/>
          <w:szCs w:val="24"/>
        </w:rPr>
        <w:t xml:space="preserve"> Study Group. Randomized trial of tacrolimus in combination with sirolimus or mycophenolate mofetil in kidney transplantation: results at 6 months.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2003; </w:t>
      </w:r>
      <w:r w:rsidRPr="009F13FC">
        <w:rPr>
          <w:rFonts w:ascii="Book Antiqua" w:hAnsi="Book Antiqua"/>
          <w:b/>
          <w:color w:val="000000" w:themeColor="text1"/>
          <w:sz w:val="24"/>
          <w:szCs w:val="24"/>
        </w:rPr>
        <w:t>75</w:t>
      </w:r>
      <w:r w:rsidRPr="009F13FC">
        <w:rPr>
          <w:rFonts w:ascii="Book Antiqua" w:hAnsi="Book Antiqua"/>
          <w:color w:val="000000" w:themeColor="text1"/>
          <w:sz w:val="24"/>
          <w:szCs w:val="24"/>
        </w:rPr>
        <w:t>: 1213-1220 [PMID: 12717205 DOI: 10.1097/01.TP.0000062837.99400.60]</w:t>
      </w:r>
    </w:p>
    <w:p w14:paraId="2C9E2D9B"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53 </w:t>
      </w:r>
      <w:r w:rsidRPr="009F13FC">
        <w:rPr>
          <w:rFonts w:ascii="Book Antiqua" w:hAnsi="Book Antiqua"/>
          <w:b/>
          <w:color w:val="000000" w:themeColor="text1"/>
          <w:sz w:val="24"/>
          <w:szCs w:val="24"/>
        </w:rPr>
        <w:t>Wei Q</w:t>
      </w:r>
      <w:r w:rsidRPr="009F13FC">
        <w:rPr>
          <w:rFonts w:ascii="Book Antiqua" w:hAnsi="Book Antiqua"/>
          <w:color w:val="000000" w:themeColor="text1"/>
          <w:sz w:val="24"/>
          <w:szCs w:val="24"/>
        </w:rPr>
        <w:t xml:space="preserve">, Gao F, Zhuang R, Ling Q, </w:t>
      </w:r>
      <w:proofErr w:type="spellStart"/>
      <w:r w:rsidRPr="009F13FC">
        <w:rPr>
          <w:rFonts w:ascii="Book Antiqua" w:hAnsi="Book Antiqua"/>
          <w:color w:val="000000" w:themeColor="text1"/>
          <w:sz w:val="24"/>
          <w:szCs w:val="24"/>
        </w:rPr>
        <w:t>Ke</w:t>
      </w:r>
      <w:proofErr w:type="spellEnd"/>
      <w:r w:rsidRPr="009F13FC">
        <w:rPr>
          <w:rFonts w:ascii="Book Antiqua" w:hAnsi="Book Antiqua"/>
          <w:color w:val="000000" w:themeColor="text1"/>
          <w:sz w:val="24"/>
          <w:szCs w:val="24"/>
        </w:rPr>
        <w:t xml:space="preserve"> Q, Wu J, Shen T, Zhang M, Zhang M, Xu X, Zheng S. A national report from China Liver Transplant Registry: steroid avoidance after liver transplantation for hepatocellular carcinoma. </w:t>
      </w:r>
      <w:r w:rsidRPr="009F13FC">
        <w:rPr>
          <w:rFonts w:ascii="Book Antiqua" w:hAnsi="Book Antiqua"/>
          <w:i/>
          <w:color w:val="000000" w:themeColor="text1"/>
          <w:sz w:val="24"/>
          <w:szCs w:val="24"/>
        </w:rPr>
        <w:t>Chin J Cancer Res</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29</w:t>
      </w:r>
      <w:r w:rsidRPr="009F13FC">
        <w:rPr>
          <w:rFonts w:ascii="Book Antiqua" w:hAnsi="Book Antiqua"/>
          <w:color w:val="000000" w:themeColor="text1"/>
          <w:sz w:val="24"/>
          <w:szCs w:val="24"/>
        </w:rPr>
        <w:t>: 426-437 [PMID: 29142462 DOI: 10.21147/j.issn.1000-9604.2017.05.07]</w:t>
      </w:r>
    </w:p>
    <w:p w14:paraId="4B486F7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54 </w:t>
      </w:r>
      <w:r w:rsidRPr="009F13FC">
        <w:rPr>
          <w:rFonts w:ascii="Book Antiqua" w:hAnsi="Book Antiqua"/>
          <w:b/>
          <w:color w:val="000000" w:themeColor="text1"/>
          <w:sz w:val="24"/>
          <w:szCs w:val="24"/>
        </w:rPr>
        <w:t>Barnard 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Konyn</w:t>
      </w:r>
      <w:proofErr w:type="spellEnd"/>
      <w:r w:rsidRPr="009F13FC">
        <w:rPr>
          <w:rFonts w:ascii="Book Antiqua" w:hAnsi="Book Antiqua"/>
          <w:color w:val="000000" w:themeColor="text1"/>
          <w:sz w:val="24"/>
          <w:szCs w:val="24"/>
        </w:rPr>
        <w:t xml:space="preserve"> P, Saab S. Medical Management of Metabolic Complications of Liver Transplant Recipients. </w:t>
      </w:r>
      <w:proofErr w:type="spellStart"/>
      <w:r w:rsidRPr="009F13FC">
        <w:rPr>
          <w:rFonts w:ascii="Book Antiqua" w:hAnsi="Book Antiqua"/>
          <w:i/>
          <w:color w:val="000000" w:themeColor="text1"/>
          <w:sz w:val="24"/>
          <w:szCs w:val="24"/>
        </w:rPr>
        <w:t>Gastroenterol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Hepatol</w:t>
      </w:r>
      <w:proofErr w:type="spellEnd"/>
      <w:r w:rsidRPr="009F13FC">
        <w:rPr>
          <w:rFonts w:ascii="Book Antiqua" w:hAnsi="Book Antiqua"/>
          <w:i/>
          <w:color w:val="000000" w:themeColor="text1"/>
          <w:sz w:val="24"/>
          <w:szCs w:val="24"/>
        </w:rPr>
        <w:t xml:space="preserve"> (N Y)</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t>12</w:t>
      </w:r>
      <w:r w:rsidRPr="009F13FC">
        <w:rPr>
          <w:rFonts w:ascii="Book Antiqua" w:hAnsi="Book Antiqua"/>
          <w:color w:val="000000" w:themeColor="text1"/>
          <w:sz w:val="24"/>
          <w:szCs w:val="24"/>
        </w:rPr>
        <w:t>: 601-608 [PMID: 27917074]</w:t>
      </w:r>
    </w:p>
    <w:p w14:paraId="34E9387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55 </w:t>
      </w:r>
      <w:r w:rsidRPr="009F13FC">
        <w:rPr>
          <w:rFonts w:ascii="Book Antiqua" w:hAnsi="Book Antiqua"/>
          <w:b/>
          <w:color w:val="000000" w:themeColor="text1"/>
          <w:sz w:val="24"/>
          <w:szCs w:val="24"/>
        </w:rPr>
        <w:t>Sohn AJ</w:t>
      </w:r>
      <w:r w:rsidRPr="009F13FC">
        <w:rPr>
          <w:rFonts w:ascii="Book Antiqua" w:hAnsi="Book Antiqua"/>
          <w:color w:val="000000" w:themeColor="text1"/>
          <w:sz w:val="24"/>
          <w:szCs w:val="24"/>
        </w:rPr>
        <w:t xml:space="preserve">, Jeon H, </w:t>
      </w:r>
      <w:proofErr w:type="spellStart"/>
      <w:r w:rsidRPr="009F13FC">
        <w:rPr>
          <w:rFonts w:ascii="Book Antiqua" w:hAnsi="Book Antiqua"/>
          <w:color w:val="000000" w:themeColor="text1"/>
          <w:sz w:val="24"/>
          <w:szCs w:val="24"/>
        </w:rPr>
        <w:t>Ahn</w:t>
      </w:r>
      <w:proofErr w:type="spellEnd"/>
      <w:r w:rsidRPr="009F13FC">
        <w:rPr>
          <w:rFonts w:ascii="Book Antiqua" w:hAnsi="Book Antiqua"/>
          <w:color w:val="000000" w:themeColor="text1"/>
          <w:sz w:val="24"/>
          <w:szCs w:val="24"/>
        </w:rPr>
        <w:t xml:space="preserve"> J. Primary care of the liver transplant recipient. </w:t>
      </w:r>
      <w:r w:rsidRPr="009F13FC">
        <w:rPr>
          <w:rFonts w:ascii="Book Antiqua" w:hAnsi="Book Antiqua"/>
          <w:i/>
          <w:color w:val="000000" w:themeColor="text1"/>
          <w:sz w:val="24"/>
          <w:szCs w:val="24"/>
        </w:rPr>
        <w:t>Prim Care</w:t>
      </w:r>
      <w:r w:rsidRPr="009F13FC">
        <w:rPr>
          <w:rFonts w:ascii="Book Antiqua" w:hAnsi="Book Antiqua"/>
          <w:color w:val="000000" w:themeColor="text1"/>
          <w:sz w:val="24"/>
          <w:szCs w:val="24"/>
        </w:rPr>
        <w:t xml:space="preserve"> 2011; </w:t>
      </w:r>
      <w:r w:rsidRPr="009F13FC">
        <w:rPr>
          <w:rFonts w:ascii="Book Antiqua" w:hAnsi="Book Antiqua"/>
          <w:b/>
          <w:color w:val="000000" w:themeColor="text1"/>
          <w:sz w:val="24"/>
          <w:szCs w:val="24"/>
        </w:rPr>
        <w:t>38</w:t>
      </w:r>
      <w:r w:rsidRPr="009F13FC">
        <w:rPr>
          <w:rFonts w:ascii="Book Antiqua" w:hAnsi="Book Antiqua"/>
          <w:color w:val="000000" w:themeColor="text1"/>
          <w:sz w:val="24"/>
          <w:szCs w:val="24"/>
        </w:rPr>
        <w:t>: 499-514; ix [PMID: 21872094 DOI: 10.1016/j.pop.2011.05.006]</w:t>
      </w:r>
    </w:p>
    <w:p w14:paraId="7228205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56 </w:t>
      </w:r>
      <w:r w:rsidRPr="009F13FC">
        <w:rPr>
          <w:rFonts w:ascii="Book Antiqua" w:hAnsi="Book Antiqua"/>
          <w:b/>
          <w:color w:val="000000" w:themeColor="text1"/>
          <w:sz w:val="24"/>
          <w:szCs w:val="24"/>
        </w:rPr>
        <w:t>Warden BA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Duell</w:t>
      </w:r>
      <w:proofErr w:type="spellEnd"/>
      <w:r w:rsidRPr="009F13FC">
        <w:rPr>
          <w:rFonts w:ascii="Book Antiqua" w:hAnsi="Book Antiqua"/>
          <w:color w:val="000000" w:themeColor="text1"/>
          <w:sz w:val="24"/>
          <w:szCs w:val="24"/>
        </w:rPr>
        <w:t xml:space="preserve"> PB. Management of dyslipidemia in adult solid organ transplant recipients.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Lipidol</w:t>
      </w:r>
      <w:proofErr w:type="spellEnd"/>
      <w:r w:rsidRPr="009F13FC">
        <w:rPr>
          <w:rFonts w:ascii="Book Antiqua" w:hAnsi="Book Antiqua"/>
          <w:color w:val="000000" w:themeColor="text1"/>
          <w:sz w:val="24"/>
          <w:szCs w:val="24"/>
        </w:rPr>
        <w:t xml:space="preserve"> 2019; </w:t>
      </w:r>
      <w:r w:rsidRPr="009F13FC">
        <w:rPr>
          <w:rFonts w:ascii="Book Antiqua" w:hAnsi="Book Antiqua"/>
          <w:b/>
          <w:color w:val="000000" w:themeColor="text1"/>
          <w:sz w:val="24"/>
          <w:szCs w:val="24"/>
        </w:rPr>
        <w:t>13</w:t>
      </w:r>
      <w:r w:rsidRPr="009F13FC">
        <w:rPr>
          <w:rFonts w:ascii="Book Antiqua" w:hAnsi="Book Antiqua"/>
          <w:color w:val="000000" w:themeColor="text1"/>
          <w:sz w:val="24"/>
          <w:szCs w:val="24"/>
        </w:rPr>
        <w:t>: 231-245 [PMID: 30928441 DOI: 10.1016/j.jacl.2019.01.011]</w:t>
      </w:r>
    </w:p>
    <w:p w14:paraId="086CC3A2"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57 </w:t>
      </w:r>
      <w:r w:rsidRPr="009F13FC">
        <w:rPr>
          <w:rFonts w:ascii="Book Antiqua" w:hAnsi="Book Antiqua"/>
          <w:b/>
          <w:color w:val="000000" w:themeColor="text1"/>
          <w:sz w:val="24"/>
          <w:szCs w:val="24"/>
        </w:rPr>
        <w:t>Orlando G</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Baiocchi</w:t>
      </w:r>
      <w:proofErr w:type="spellEnd"/>
      <w:r w:rsidRPr="009F13FC">
        <w:rPr>
          <w:rFonts w:ascii="Book Antiqua" w:hAnsi="Book Antiqua"/>
          <w:color w:val="000000" w:themeColor="text1"/>
          <w:sz w:val="24"/>
          <w:szCs w:val="24"/>
        </w:rPr>
        <w:t xml:space="preserve"> L, </w:t>
      </w:r>
      <w:proofErr w:type="spellStart"/>
      <w:r w:rsidRPr="009F13FC">
        <w:rPr>
          <w:rFonts w:ascii="Book Antiqua" w:hAnsi="Book Antiqua"/>
          <w:color w:val="000000" w:themeColor="text1"/>
          <w:sz w:val="24"/>
          <w:szCs w:val="24"/>
        </w:rPr>
        <w:t>Cardillo</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Iaria</w:t>
      </w:r>
      <w:proofErr w:type="spellEnd"/>
      <w:r w:rsidRPr="009F13FC">
        <w:rPr>
          <w:rFonts w:ascii="Book Antiqua" w:hAnsi="Book Antiqua"/>
          <w:color w:val="000000" w:themeColor="text1"/>
          <w:sz w:val="24"/>
          <w:szCs w:val="24"/>
        </w:rPr>
        <w:t xml:space="preserve"> G, De </w:t>
      </w:r>
      <w:proofErr w:type="spellStart"/>
      <w:r w:rsidRPr="009F13FC">
        <w:rPr>
          <w:rFonts w:ascii="Book Antiqua" w:hAnsi="Book Antiqua"/>
          <w:color w:val="000000" w:themeColor="text1"/>
          <w:sz w:val="24"/>
          <w:szCs w:val="24"/>
        </w:rPr>
        <w:t>Liguori</w:t>
      </w:r>
      <w:proofErr w:type="spellEnd"/>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Carino</w:t>
      </w:r>
      <w:proofErr w:type="spellEnd"/>
      <w:r w:rsidRPr="009F13FC">
        <w:rPr>
          <w:rFonts w:ascii="Book Antiqua" w:hAnsi="Book Antiqua"/>
          <w:color w:val="000000" w:themeColor="text1"/>
          <w:sz w:val="24"/>
          <w:szCs w:val="24"/>
        </w:rPr>
        <w:t xml:space="preserve"> N, De Luca L, </w:t>
      </w:r>
      <w:proofErr w:type="spellStart"/>
      <w:r w:rsidRPr="009F13FC">
        <w:rPr>
          <w:rFonts w:ascii="Book Antiqua" w:hAnsi="Book Antiqua"/>
          <w:color w:val="000000" w:themeColor="text1"/>
          <w:sz w:val="24"/>
          <w:szCs w:val="24"/>
        </w:rPr>
        <w:t>Ielpo</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Tariciotti</w:t>
      </w:r>
      <w:proofErr w:type="spellEnd"/>
      <w:r w:rsidRPr="009F13FC">
        <w:rPr>
          <w:rFonts w:ascii="Book Antiqua" w:hAnsi="Book Antiqua"/>
          <w:color w:val="000000" w:themeColor="text1"/>
          <w:sz w:val="24"/>
          <w:szCs w:val="24"/>
        </w:rPr>
        <w:t xml:space="preserve"> L, Angelico M, </w:t>
      </w:r>
      <w:proofErr w:type="spellStart"/>
      <w:r w:rsidRPr="009F13FC">
        <w:rPr>
          <w:rFonts w:ascii="Book Antiqua" w:hAnsi="Book Antiqua"/>
          <w:color w:val="000000" w:themeColor="text1"/>
          <w:sz w:val="24"/>
          <w:szCs w:val="24"/>
        </w:rPr>
        <w:t>Tisone</w:t>
      </w:r>
      <w:proofErr w:type="spellEnd"/>
      <w:r w:rsidRPr="009F13FC">
        <w:rPr>
          <w:rFonts w:ascii="Book Antiqua" w:hAnsi="Book Antiqua"/>
          <w:color w:val="000000" w:themeColor="text1"/>
          <w:sz w:val="24"/>
          <w:szCs w:val="24"/>
        </w:rPr>
        <w:t xml:space="preserve"> G. Switch to 1.5 grams MMF monotherapy for </w:t>
      </w:r>
      <w:r w:rsidRPr="009F13FC">
        <w:rPr>
          <w:rFonts w:ascii="Book Antiqua" w:hAnsi="Book Antiqua"/>
          <w:color w:val="000000" w:themeColor="text1"/>
          <w:sz w:val="24"/>
          <w:szCs w:val="24"/>
        </w:rPr>
        <w:lastRenderedPageBreak/>
        <w:t xml:space="preserve">CNI-related toxicity in liver transplantation is safe and improves renal function, dyslipidemia, and hypertension.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13</w:t>
      </w:r>
      <w:r w:rsidRPr="009F13FC">
        <w:rPr>
          <w:rFonts w:ascii="Book Antiqua" w:hAnsi="Book Antiqua"/>
          <w:color w:val="000000" w:themeColor="text1"/>
          <w:sz w:val="24"/>
          <w:szCs w:val="24"/>
        </w:rPr>
        <w:t>: 46-54 [PMID: 17154392 DOI: 10.1002/lt.20926]</w:t>
      </w:r>
    </w:p>
    <w:p w14:paraId="4F99C93C" w14:textId="4AAC124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58 </w:t>
      </w:r>
      <w:r w:rsidRPr="009F13FC">
        <w:rPr>
          <w:rFonts w:ascii="Book Antiqua" w:hAnsi="Book Antiqua"/>
          <w:b/>
          <w:color w:val="000000" w:themeColor="text1"/>
          <w:sz w:val="24"/>
          <w:szCs w:val="24"/>
        </w:rPr>
        <w:t>Shen W</w:t>
      </w:r>
      <w:r w:rsidR="00214638" w:rsidRPr="009F13FC">
        <w:rPr>
          <w:rFonts w:ascii="Book Antiqua" w:hAnsi="Book Antiqua"/>
          <w:b/>
          <w:color w:val="000000" w:themeColor="text1"/>
          <w:sz w:val="24"/>
          <w:szCs w:val="24"/>
        </w:rPr>
        <w:t>F</w:t>
      </w:r>
      <w:r w:rsidRPr="009F13FC">
        <w:rPr>
          <w:rFonts w:ascii="Book Antiqua" w:hAnsi="Book Antiqua"/>
          <w:b/>
          <w:color w:val="000000" w:themeColor="text1"/>
          <w:sz w:val="24"/>
          <w:szCs w:val="24"/>
        </w:rPr>
        <w:t xml:space="preserve">. </w:t>
      </w:r>
      <w:r w:rsidRPr="009F13FC">
        <w:rPr>
          <w:rFonts w:ascii="Book Antiqua" w:hAnsi="Book Antiqua"/>
          <w:bCs/>
          <w:color w:val="000000" w:themeColor="text1"/>
          <w:sz w:val="24"/>
          <w:szCs w:val="24"/>
        </w:rPr>
        <w:t xml:space="preserve">Refractory Cardiovascular Diseases. Shanghai Scientific Technical Publishers, </w:t>
      </w:r>
      <w:r w:rsidRPr="009F13FC">
        <w:rPr>
          <w:rFonts w:ascii="Book Antiqua" w:hAnsi="Book Antiqua"/>
          <w:color w:val="000000" w:themeColor="text1"/>
          <w:sz w:val="24"/>
          <w:szCs w:val="24"/>
        </w:rPr>
        <w:t>2007</w:t>
      </w:r>
    </w:p>
    <w:p w14:paraId="59C9E327" w14:textId="12BED47A"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59 </w:t>
      </w:r>
      <w:r w:rsidRPr="009F13FC">
        <w:rPr>
          <w:rFonts w:ascii="Book Antiqua" w:hAnsi="Book Antiqua"/>
          <w:b/>
          <w:color w:val="000000" w:themeColor="text1"/>
          <w:sz w:val="24"/>
          <w:szCs w:val="24"/>
        </w:rPr>
        <w:t>Chinese Nephrologist Association,</w:t>
      </w:r>
      <w:r w:rsidRPr="009F13FC">
        <w:rPr>
          <w:rFonts w:ascii="Book Antiqua" w:hAnsi="Book Antiqua"/>
          <w:color w:val="000000" w:themeColor="text1"/>
          <w:sz w:val="24"/>
          <w:szCs w:val="24"/>
        </w:rPr>
        <w:t xml:space="preserve"> Chinese Medical Association. Guidelines for the Diagnosis and Treatment of Hyperuricemia in Renal Diseases in China (2017 edition). </w:t>
      </w:r>
      <w:proofErr w:type="spellStart"/>
      <w:r w:rsidR="00214638" w:rsidRPr="009F13FC">
        <w:rPr>
          <w:rFonts w:ascii="Book Antiqua" w:hAnsi="Book Antiqua"/>
          <w:i/>
          <w:iCs/>
          <w:color w:val="000000" w:themeColor="text1"/>
          <w:sz w:val="24"/>
          <w:szCs w:val="24"/>
        </w:rPr>
        <w:t>Zhonghua</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Yixue</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Zazhi</w:t>
      </w:r>
      <w:proofErr w:type="spellEnd"/>
      <w:r w:rsidRPr="009F13FC">
        <w:rPr>
          <w:rFonts w:ascii="Book Antiqua" w:hAnsi="Book Antiqua"/>
          <w:i/>
          <w:iCs/>
          <w:color w:val="000000" w:themeColor="text1"/>
          <w:sz w:val="24"/>
          <w:szCs w:val="24"/>
        </w:rPr>
        <w:t xml:space="preserve"> </w:t>
      </w:r>
      <w:r w:rsidRPr="009F13FC">
        <w:rPr>
          <w:rFonts w:ascii="Book Antiqua" w:hAnsi="Book Antiqua"/>
          <w:color w:val="000000" w:themeColor="text1"/>
          <w:sz w:val="24"/>
          <w:szCs w:val="24"/>
        </w:rPr>
        <w:t>2017</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97</w:t>
      </w:r>
      <w:r w:rsidRPr="009F13FC">
        <w:rPr>
          <w:rFonts w:ascii="Book Antiqua" w:hAnsi="Book Antiqua"/>
          <w:color w:val="000000" w:themeColor="text1"/>
          <w:sz w:val="24"/>
          <w:szCs w:val="24"/>
        </w:rPr>
        <w:t>: 1927-</w:t>
      </w:r>
      <w:r w:rsidR="00214638" w:rsidRPr="009F13FC">
        <w:rPr>
          <w:rFonts w:ascii="Book Antiqua" w:hAnsi="Book Antiqua"/>
          <w:color w:val="000000" w:themeColor="text1"/>
          <w:sz w:val="24"/>
          <w:szCs w:val="24"/>
        </w:rPr>
        <w:t>19</w:t>
      </w:r>
      <w:r w:rsidRPr="009F13FC">
        <w:rPr>
          <w:rFonts w:ascii="Book Antiqua" w:hAnsi="Book Antiqua"/>
          <w:color w:val="000000" w:themeColor="text1"/>
          <w:sz w:val="24"/>
          <w:szCs w:val="24"/>
        </w:rPr>
        <w:t xml:space="preserve">36 </w:t>
      </w:r>
      <w:r w:rsidR="00214638"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214638"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10.3760/cma.j.issn.0376-2491.2017.25.003</w:t>
      </w:r>
      <w:r w:rsidR="00214638" w:rsidRPr="009F13FC">
        <w:rPr>
          <w:rFonts w:ascii="Book Antiqua" w:hAnsi="Book Antiqua"/>
          <w:color w:val="000000" w:themeColor="text1"/>
          <w:sz w:val="24"/>
          <w:szCs w:val="24"/>
        </w:rPr>
        <w:t>]</w:t>
      </w:r>
    </w:p>
    <w:p w14:paraId="311C3FA3" w14:textId="06998A8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60 </w:t>
      </w:r>
      <w:r w:rsidRPr="009F13FC">
        <w:rPr>
          <w:rFonts w:ascii="Book Antiqua" w:hAnsi="Book Antiqua"/>
          <w:b/>
          <w:color w:val="000000" w:themeColor="text1"/>
          <w:sz w:val="24"/>
          <w:szCs w:val="24"/>
        </w:rPr>
        <w:t xml:space="preserve">Chinese Society of Organ Transplantation. </w:t>
      </w:r>
      <w:r w:rsidRPr="009F13FC">
        <w:rPr>
          <w:rFonts w:ascii="Book Antiqua" w:hAnsi="Book Antiqua"/>
          <w:bCs/>
          <w:color w:val="000000" w:themeColor="text1"/>
          <w:sz w:val="24"/>
          <w:szCs w:val="24"/>
        </w:rPr>
        <w:t>Technical Specification for Diagnosis and Treatment of Hyperuricemia after Renal Transplantation in China (2019 Edition).</w:t>
      </w:r>
      <w:r w:rsidR="00214638" w:rsidRPr="009F13FC">
        <w:rPr>
          <w:rFonts w:ascii="Book Antiqua" w:hAnsi="Book Antiqua"/>
          <w:b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Qiguan</w:t>
      </w:r>
      <w:proofErr w:type="spellEnd"/>
      <w:r w:rsidR="00214638" w:rsidRPr="009F13FC">
        <w:rPr>
          <w:rFonts w:ascii="Book Antiqua" w:hAnsi="Book Antiqua"/>
          <w:bCs/>
          <w:i/>
          <w:iCs/>
          <w:color w:val="000000" w:themeColor="text1"/>
          <w:sz w:val="24"/>
          <w:szCs w:val="24"/>
        </w:rPr>
        <w:t xml:space="preserve"> </w:t>
      </w:r>
      <w:proofErr w:type="spellStart"/>
      <w:r w:rsidR="00214638" w:rsidRPr="009F13FC">
        <w:rPr>
          <w:rFonts w:ascii="Book Antiqua" w:hAnsi="Book Antiqua"/>
          <w:bCs/>
          <w:i/>
          <w:iCs/>
          <w:color w:val="000000" w:themeColor="text1"/>
          <w:sz w:val="24"/>
          <w:szCs w:val="24"/>
        </w:rPr>
        <w:t>Yizhi</w:t>
      </w:r>
      <w:proofErr w:type="spellEnd"/>
      <w:r w:rsidRPr="009F13FC">
        <w:rPr>
          <w:rFonts w:ascii="Book Antiqua" w:hAnsi="Book Antiqua"/>
          <w:bCs/>
          <w:color w:val="000000" w:themeColor="text1"/>
          <w:sz w:val="24"/>
          <w:szCs w:val="24"/>
        </w:rPr>
        <w:t xml:space="preserve"> </w:t>
      </w:r>
      <w:r w:rsidRPr="009F13FC">
        <w:rPr>
          <w:rFonts w:ascii="Book Antiqua" w:hAnsi="Book Antiqua"/>
          <w:color w:val="000000" w:themeColor="text1"/>
          <w:sz w:val="24"/>
          <w:szCs w:val="24"/>
        </w:rPr>
        <w:t>2019</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10</w:t>
      </w:r>
      <w:r w:rsidRPr="009F13FC">
        <w:rPr>
          <w:rFonts w:ascii="Book Antiqua" w:hAnsi="Book Antiqua"/>
          <w:color w:val="000000" w:themeColor="text1"/>
          <w:sz w:val="24"/>
          <w:szCs w:val="24"/>
        </w:rPr>
        <w:t>: 10-</w:t>
      </w:r>
      <w:r w:rsidR="00214638"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5 </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DOI: 10.3969/j.issn.1674-7445.2019.01.002</w:t>
      </w:r>
      <w:r w:rsidR="00214638" w:rsidRPr="009F13FC">
        <w:rPr>
          <w:rFonts w:ascii="Book Antiqua" w:hAnsi="Book Antiqua"/>
          <w:color w:val="000000" w:themeColor="text1"/>
          <w:sz w:val="24"/>
          <w:szCs w:val="24"/>
        </w:rPr>
        <w:t>]</w:t>
      </w:r>
    </w:p>
    <w:p w14:paraId="23C21C5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61 </w:t>
      </w:r>
      <w:r w:rsidRPr="009F13FC">
        <w:rPr>
          <w:rFonts w:ascii="Book Antiqua" w:hAnsi="Book Antiqua"/>
          <w:b/>
          <w:color w:val="000000" w:themeColor="text1"/>
          <w:sz w:val="24"/>
          <w:szCs w:val="24"/>
        </w:rPr>
        <w:t>Laine J</w:t>
      </w:r>
      <w:r w:rsidRPr="009F13FC">
        <w:rPr>
          <w:rFonts w:ascii="Book Antiqua" w:hAnsi="Book Antiqua"/>
          <w:color w:val="000000" w:themeColor="text1"/>
          <w:sz w:val="24"/>
          <w:szCs w:val="24"/>
        </w:rPr>
        <w:t xml:space="preserve">, Holmberg C. Mechanisms of hyperuricemia in cyclosporine-treated renal transplanted children. </w:t>
      </w:r>
      <w:r w:rsidRPr="009F13FC">
        <w:rPr>
          <w:rFonts w:ascii="Book Antiqua" w:hAnsi="Book Antiqua"/>
          <w:i/>
          <w:color w:val="000000" w:themeColor="text1"/>
          <w:sz w:val="24"/>
          <w:szCs w:val="24"/>
        </w:rPr>
        <w:t>Nephron</w:t>
      </w:r>
      <w:r w:rsidRPr="009F13FC">
        <w:rPr>
          <w:rFonts w:ascii="Book Antiqua" w:hAnsi="Book Antiqua"/>
          <w:color w:val="000000" w:themeColor="text1"/>
          <w:sz w:val="24"/>
          <w:szCs w:val="24"/>
        </w:rPr>
        <w:t xml:space="preserve"> 1996; </w:t>
      </w:r>
      <w:r w:rsidRPr="009F13FC">
        <w:rPr>
          <w:rFonts w:ascii="Book Antiqua" w:hAnsi="Book Antiqua"/>
          <w:b/>
          <w:color w:val="000000" w:themeColor="text1"/>
          <w:sz w:val="24"/>
          <w:szCs w:val="24"/>
        </w:rPr>
        <w:t>74</w:t>
      </w:r>
      <w:r w:rsidRPr="009F13FC">
        <w:rPr>
          <w:rFonts w:ascii="Book Antiqua" w:hAnsi="Book Antiqua"/>
          <w:color w:val="000000" w:themeColor="text1"/>
          <w:sz w:val="24"/>
          <w:szCs w:val="24"/>
        </w:rPr>
        <w:t>: 318-323 [PMID: 8893148 DOI: 10.1159/000189328]</w:t>
      </w:r>
    </w:p>
    <w:p w14:paraId="68C6246C"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62 </w:t>
      </w:r>
      <w:proofErr w:type="spellStart"/>
      <w:r w:rsidRPr="009F13FC">
        <w:rPr>
          <w:rFonts w:ascii="Book Antiqua" w:hAnsi="Book Antiqua"/>
          <w:b/>
          <w:color w:val="000000" w:themeColor="text1"/>
          <w:sz w:val="24"/>
          <w:szCs w:val="24"/>
        </w:rPr>
        <w:t>Tumgor</w:t>
      </w:r>
      <w:proofErr w:type="spellEnd"/>
      <w:r w:rsidRPr="009F13FC">
        <w:rPr>
          <w:rFonts w:ascii="Book Antiqua" w:hAnsi="Book Antiqua"/>
          <w:b/>
          <w:color w:val="000000" w:themeColor="text1"/>
          <w:sz w:val="24"/>
          <w:szCs w:val="24"/>
        </w:rPr>
        <w:t xml:space="preserve"> G</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Arikan</w:t>
      </w:r>
      <w:proofErr w:type="spellEnd"/>
      <w:r w:rsidRPr="009F13FC">
        <w:rPr>
          <w:rFonts w:ascii="Book Antiqua" w:hAnsi="Book Antiqua"/>
          <w:color w:val="000000" w:themeColor="text1"/>
          <w:sz w:val="24"/>
          <w:szCs w:val="24"/>
        </w:rPr>
        <w:t xml:space="preserve"> C, </w:t>
      </w:r>
      <w:proofErr w:type="spellStart"/>
      <w:r w:rsidRPr="009F13FC">
        <w:rPr>
          <w:rFonts w:ascii="Book Antiqua" w:hAnsi="Book Antiqua"/>
          <w:color w:val="000000" w:themeColor="text1"/>
          <w:sz w:val="24"/>
          <w:szCs w:val="24"/>
        </w:rPr>
        <w:t>Kilic</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Aydogdu</w:t>
      </w:r>
      <w:proofErr w:type="spellEnd"/>
      <w:r w:rsidRPr="009F13FC">
        <w:rPr>
          <w:rFonts w:ascii="Book Antiqua" w:hAnsi="Book Antiqua"/>
          <w:color w:val="000000" w:themeColor="text1"/>
          <w:sz w:val="24"/>
          <w:szCs w:val="24"/>
        </w:rPr>
        <w:t xml:space="preserve"> S. Frequency of hyperuricemia and effect of calcineurin inhibitors on serum uric acid levels in liver transplanted children. </w:t>
      </w:r>
      <w:proofErr w:type="spellStart"/>
      <w:r w:rsidRPr="009F13FC">
        <w:rPr>
          <w:rFonts w:ascii="Book Antiqua" w:hAnsi="Book Antiqua"/>
          <w:i/>
          <w:color w:val="000000" w:themeColor="text1"/>
          <w:sz w:val="24"/>
          <w:szCs w:val="24"/>
        </w:rPr>
        <w:t>Pediatr</w:t>
      </w:r>
      <w:proofErr w:type="spellEnd"/>
      <w:r w:rsidRPr="009F13FC">
        <w:rPr>
          <w:rFonts w:ascii="Book Antiqua" w:hAnsi="Book Antiqua"/>
          <w:i/>
          <w:color w:val="000000" w:themeColor="text1"/>
          <w:sz w:val="24"/>
          <w:szCs w:val="24"/>
        </w:rPr>
        <w:t xml:space="preserve"> Transplant</w:t>
      </w:r>
      <w:r w:rsidRPr="009F13FC">
        <w:rPr>
          <w:rFonts w:ascii="Book Antiqua" w:hAnsi="Book Antiqua"/>
          <w:color w:val="000000" w:themeColor="text1"/>
          <w:sz w:val="24"/>
          <w:szCs w:val="24"/>
        </w:rPr>
        <w:t xml:space="preserve"> 2006; </w:t>
      </w:r>
      <w:r w:rsidRPr="009F13FC">
        <w:rPr>
          <w:rFonts w:ascii="Book Antiqua" w:hAnsi="Book Antiqua"/>
          <w:b/>
          <w:color w:val="000000" w:themeColor="text1"/>
          <w:sz w:val="24"/>
          <w:szCs w:val="24"/>
        </w:rPr>
        <w:t>10</w:t>
      </w:r>
      <w:r w:rsidRPr="009F13FC">
        <w:rPr>
          <w:rFonts w:ascii="Book Antiqua" w:hAnsi="Book Antiqua"/>
          <w:color w:val="000000" w:themeColor="text1"/>
          <w:sz w:val="24"/>
          <w:szCs w:val="24"/>
        </w:rPr>
        <w:t>: 665-668 [PMID: 16911488 DOI: 10.1111/j.1399-3046.2006.00556.x]</w:t>
      </w:r>
    </w:p>
    <w:p w14:paraId="147035E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63 </w:t>
      </w:r>
      <w:proofErr w:type="spellStart"/>
      <w:r w:rsidRPr="009F13FC">
        <w:rPr>
          <w:rFonts w:ascii="Book Antiqua" w:hAnsi="Book Antiqua"/>
          <w:b/>
          <w:color w:val="000000" w:themeColor="text1"/>
          <w:sz w:val="24"/>
          <w:szCs w:val="24"/>
        </w:rPr>
        <w:t>Malheiro</w:t>
      </w:r>
      <w:proofErr w:type="spellEnd"/>
      <w:r w:rsidRPr="009F13FC">
        <w:rPr>
          <w:rFonts w:ascii="Book Antiqua" w:hAnsi="Book Antiqua"/>
          <w:b/>
          <w:color w:val="000000" w:themeColor="text1"/>
          <w:sz w:val="24"/>
          <w:szCs w:val="24"/>
        </w:rPr>
        <w:t xml:space="preserve"> J</w:t>
      </w:r>
      <w:r w:rsidRPr="009F13FC">
        <w:rPr>
          <w:rFonts w:ascii="Book Antiqua" w:hAnsi="Book Antiqua"/>
          <w:color w:val="000000" w:themeColor="text1"/>
          <w:sz w:val="24"/>
          <w:szCs w:val="24"/>
        </w:rPr>
        <w:t xml:space="preserve">, Almeida M, Fonseca I, Martins LS, Pedroso S, Dias L, </w:t>
      </w:r>
      <w:proofErr w:type="spellStart"/>
      <w:r w:rsidRPr="009F13FC">
        <w:rPr>
          <w:rFonts w:ascii="Book Antiqua" w:hAnsi="Book Antiqua"/>
          <w:color w:val="000000" w:themeColor="text1"/>
          <w:sz w:val="24"/>
          <w:szCs w:val="24"/>
        </w:rPr>
        <w:t>Henriques</w:t>
      </w:r>
      <w:proofErr w:type="spellEnd"/>
      <w:r w:rsidRPr="009F13FC">
        <w:rPr>
          <w:rFonts w:ascii="Book Antiqua" w:hAnsi="Book Antiqua"/>
          <w:color w:val="000000" w:themeColor="text1"/>
          <w:sz w:val="24"/>
          <w:szCs w:val="24"/>
        </w:rPr>
        <w:t xml:space="preserve"> AC, </w:t>
      </w:r>
      <w:proofErr w:type="spellStart"/>
      <w:r w:rsidRPr="009F13FC">
        <w:rPr>
          <w:rFonts w:ascii="Book Antiqua" w:hAnsi="Book Antiqua"/>
          <w:color w:val="000000" w:themeColor="text1"/>
          <w:sz w:val="24"/>
          <w:szCs w:val="24"/>
        </w:rPr>
        <w:t>Cabrita</w:t>
      </w:r>
      <w:proofErr w:type="spellEnd"/>
      <w:r w:rsidRPr="009F13FC">
        <w:rPr>
          <w:rFonts w:ascii="Book Antiqua" w:hAnsi="Book Antiqua"/>
          <w:color w:val="000000" w:themeColor="text1"/>
          <w:sz w:val="24"/>
          <w:szCs w:val="24"/>
        </w:rPr>
        <w:t xml:space="preserve"> A. Hyperuricemia in adult renal allograft recipients: prevalence and predictors.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44</w:t>
      </w:r>
      <w:r w:rsidRPr="009F13FC">
        <w:rPr>
          <w:rFonts w:ascii="Book Antiqua" w:hAnsi="Book Antiqua"/>
          <w:color w:val="000000" w:themeColor="text1"/>
          <w:sz w:val="24"/>
          <w:szCs w:val="24"/>
        </w:rPr>
        <w:t>: 2369-2372 [PMID: 23026595 DOI: 10.1016/j.transproceed.2012.07.033]</w:t>
      </w:r>
    </w:p>
    <w:p w14:paraId="2FCFA8C5"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64 </w:t>
      </w:r>
      <w:proofErr w:type="spellStart"/>
      <w:r w:rsidRPr="009F13FC">
        <w:rPr>
          <w:rFonts w:ascii="Book Antiqua" w:hAnsi="Book Antiqua"/>
          <w:b/>
          <w:color w:val="000000" w:themeColor="text1"/>
          <w:sz w:val="24"/>
          <w:szCs w:val="24"/>
        </w:rPr>
        <w:t>Kaynar</w:t>
      </w:r>
      <w:proofErr w:type="spellEnd"/>
      <w:r w:rsidRPr="009F13FC">
        <w:rPr>
          <w:rFonts w:ascii="Book Antiqua" w:hAnsi="Book Antiqua"/>
          <w:b/>
          <w:color w:val="000000" w:themeColor="text1"/>
          <w:sz w:val="24"/>
          <w:szCs w:val="24"/>
        </w:rPr>
        <w:t xml:space="preserve"> K</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Ersoz</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Aliyazicioglu</w:t>
      </w:r>
      <w:proofErr w:type="spellEnd"/>
      <w:r w:rsidRPr="009F13FC">
        <w:rPr>
          <w:rFonts w:ascii="Book Antiqua" w:hAnsi="Book Antiqua"/>
          <w:color w:val="000000" w:themeColor="text1"/>
          <w:sz w:val="24"/>
          <w:szCs w:val="24"/>
        </w:rPr>
        <w:t xml:space="preserve"> R, </w:t>
      </w:r>
      <w:proofErr w:type="spellStart"/>
      <w:r w:rsidRPr="009F13FC">
        <w:rPr>
          <w:rFonts w:ascii="Book Antiqua" w:hAnsi="Book Antiqua"/>
          <w:color w:val="000000" w:themeColor="text1"/>
          <w:sz w:val="24"/>
          <w:szCs w:val="24"/>
        </w:rPr>
        <w:t>Uzun</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Ulusoy</w:t>
      </w:r>
      <w:proofErr w:type="spellEnd"/>
      <w:r w:rsidRPr="009F13FC">
        <w:rPr>
          <w:rFonts w:ascii="Book Antiqua" w:hAnsi="Book Antiqua"/>
          <w:color w:val="000000" w:themeColor="text1"/>
          <w:sz w:val="24"/>
          <w:szCs w:val="24"/>
        </w:rPr>
        <w:t xml:space="preserve"> S, Al S, </w:t>
      </w:r>
      <w:proofErr w:type="spellStart"/>
      <w:r w:rsidRPr="009F13FC">
        <w:rPr>
          <w:rFonts w:ascii="Book Antiqua" w:hAnsi="Book Antiqua"/>
          <w:color w:val="000000" w:themeColor="text1"/>
          <w:sz w:val="24"/>
          <w:szCs w:val="24"/>
        </w:rPr>
        <w:t>Ozkan</w:t>
      </w:r>
      <w:proofErr w:type="spellEnd"/>
      <w:r w:rsidRPr="009F13FC">
        <w:rPr>
          <w:rFonts w:ascii="Book Antiqua" w:hAnsi="Book Antiqua"/>
          <w:color w:val="000000" w:themeColor="text1"/>
          <w:sz w:val="24"/>
          <w:szCs w:val="24"/>
        </w:rPr>
        <w:t xml:space="preserve"> G, </w:t>
      </w:r>
      <w:proofErr w:type="spellStart"/>
      <w:r w:rsidRPr="009F13FC">
        <w:rPr>
          <w:rFonts w:ascii="Book Antiqua" w:hAnsi="Book Antiqua"/>
          <w:color w:val="000000" w:themeColor="text1"/>
          <w:sz w:val="24"/>
          <w:szCs w:val="24"/>
        </w:rPr>
        <w:t>Cansız</w:t>
      </w:r>
      <w:proofErr w:type="spellEnd"/>
      <w:r w:rsidRPr="009F13FC">
        <w:rPr>
          <w:rFonts w:ascii="Book Antiqua" w:hAnsi="Book Antiqua"/>
          <w:color w:val="000000" w:themeColor="text1"/>
          <w:sz w:val="24"/>
          <w:szCs w:val="24"/>
        </w:rPr>
        <w:t xml:space="preserve"> M. Is there any way to protect from tacrolimus-induced renal and pancreas injury? </w:t>
      </w:r>
      <w:r w:rsidRPr="009F13FC">
        <w:rPr>
          <w:rFonts w:ascii="Book Antiqua" w:hAnsi="Book Antiqua"/>
          <w:i/>
          <w:color w:val="000000" w:themeColor="text1"/>
          <w:sz w:val="24"/>
          <w:szCs w:val="24"/>
        </w:rPr>
        <w:t>Clin Transplant</w:t>
      </w:r>
      <w:r w:rsidRPr="009F13FC">
        <w:rPr>
          <w:rFonts w:ascii="Book Antiqua" w:hAnsi="Book Antiqua"/>
          <w:color w:val="000000" w:themeColor="text1"/>
          <w:sz w:val="24"/>
          <w:szCs w:val="24"/>
        </w:rPr>
        <w:t xml:space="preserve"> 2012; </w:t>
      </w:r>
      <w:r w:rsidRPr="009F13FC">
        <w:rPr>
          <w:rFonts w:ascii="Book Antiqua" w:hAnsi="Book Antiqua"/>
          <w:b/>
          <w:color w:val="000000" w:themeColor="text1"/>
          <w:sz w:val="24"/>
          <w:szCs w:val="24"/>
        </w:rPr>
        <w:t>26</w:t>
      </w:r>
      <w:r w:rsidRPr="009F13FC">
        <w:rPr>
          <w:rFonts w:ascii="Book Antiqua" w:hAnsi="Book Antiqua"/>
          <w:color w:val="000000" w:themeColor="text1"/>
          <w:sz w:val="24"/>
          <w:szCs w:val="24"/>
        </w:rPr>
        <w:t>: 722-728 [PMID: 22428934 DOI: 10.1111/j.1399-0012.2012.01603.x]</w:t>
      </w:r>
    </w:p>
    <w:p w14:paraId="4C8A519A"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65 </w:t>
      </w:r>
      <w:proofErr w:type="spellStart"/>
      <w:r w:rsidRPr="009F13FC">
        <w:rPr>
          <w:rFonts w:ascii="Book Antiqua" w:hAnsi="Book Antiqua"/>
          <w:b/>
          <w:color w:val="000000" w:themeColor="text1"/>
          <w:sz w:val="24"/>
          <w:szCs w:val="24"/>
        </w:rPr>
        <w:t>Kanbay</w:t>
      </w:r>
      <w:proofErr w:type="spellEnd"/>
      <w:r w:rsidRPr="009F13FC">
        <w:rPr>
          <w:rFonts w:ascii="Book Antiqua" w:hAnsi="Book Antiqua"/>
          <w:b/>
          <w:color w:val="000000" w:themeColor="text1"/>
          <w:sz w:val="24"/>
          <w:szCs w:val="24"/>
        </w:rPr>
        <w:t xml:space="preserve"> 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Akcay</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Huddam</w:t>
      </w:r>
      <w:proofErr w:type="spellEnd"/>
      <w:r w:rsidRPr="009F13FC">
        <w:rPr>
          <w:rFonts w:ascii="Book Antiqua" w:hAnsi="Book Antiqua"/>
          <w:color w:val="000000" w:themeColor="text1"/>
          <w:sz w:val="24"/>
          <w:szCs w:val="24"/>
        </w:rPr>
        <w:t xml:space="preserve"> B, </w:t>
      </w:r>
      <w:proofErr w:type="spellStart"/>
      <w:r w:rsidRPr="009F13FC">
        <w:rPr>
          <w:rFonts w:ascii="Book Antiqua" w:hAnsi="Book Antiqua"/>
          <w:color w:val="000000" w:themeColor="text1"/>
          <w:sz w:val="24"/>
          <w:szCs w:val="24"/>
        </w:rPr>
        <w:t>Usluogullari</w:t>
      </w:r>
      <w:proofErr w:type="spellEnd"/>
      <w:r w:rsidRPr="009F13FC">
        <w:rPr>
          <w:rFonts w:ascii="Book Antiqua" w:hAnsi="Book Antiqua"/>
          <w:color w:val="000000" w:themeColor="text1"/>
          <w:sz w:val="24"/>
          <w:szCs w:val="24"/>
        </w:rPr>
        <w:t xml:space="preserve"> CA, </w:t>
      </w:r>
      <w:proofErr w:type="spellStart"/>
      <w:r w:rsidRPr="009F13FC">
        <w:rPr>
          <w:rFonts w:ascii="Book Antiqua" w:hAnsi="Book Antiqua"/>
          <w:color w:val="000000" w:themeColor="text1"/>
          <w:sz w:val="24"/>
          <w:szCs w:val="24"/>
        </w:rPr>
        <w:t>Arat</w:t>
      </w:r>
      <w:proofErr w:type="spellEnd"/>
      <w:r w:rsidRPr="009F13FC">
        <w:rPr>
          <w:rFonts w:ascii="Book Antiqua" w:hAnsi="Book Antiqua"/>
          <w:color w:val="000000" w:themeColor="text1"/>
          <w:sz w:val="24"/>
          <w:szCs w:val="24"/>
        </w:rPr>
        <w:t xml:space="preserve"> Z, </w:t>
      </w:r>
      <w:proofErr w:type="spellStart"/>
      <w:r w:rsidRPr="009F13FC">
        <w:rPr>
          <w:rFonts w:ascii="Book Antiqua" w:hAnsi="Book Antiqua"/>
          <w:color w:val="000000" w:themeColor="text1"/>
          <w:sz w:val="24"/>
          <w:szCs w:val="24"/>
        </w:rPr>
        <w:t>Ozdemir</w:t>
      </w:r>
      <w:proofErr w:type="spellEnd"/>
      <w:r w:rsidRPr="009F13FC">
        <w:rPr>
          <w:rFonts w:ascii="Book Antiqua" w:hAnsi="Book Antiqua"/>
          <w:color w:val="000000" w:themeColor="text1"/>
          <w:sz w:val="24"/>
          <w:szCs w:val="24"/>
        </w:rPr>
        <w:t xml:space="preserve"> FN, </w:t>
      </w:r>
      <w:proofErr w:type="spellStart"/>
      <w:r w:rsidRPr="009F13FC">
        <w:rPr>
          <w:rFonts w:ascii="Book Antiqua" w:hAnsi="Book Antiqua"/>
          <w:color w:val="000000" w:themeColor="text1"/>
          <w:sz w:val="24"/>
          <w:szCs w:val="24"/>
        </w:rPr>
        <w:t>Haberal</w:t>
      </w:r>
      <w:proofErr w:type="spellEnd"/>
      <w:r w:rsidRPr="009F13FC">
        <w:rPr>
          <w:rFonts w:ascii="Book Antiqua" w:hAnsi="Book Antiqua"/>
          <w:color w:val="000000" w:themeColor="text1"/>
          <w:sz w:val="24"/>
          <w:szCs w:val="24"/>
        </w:rPr>
        <w:t xml:space="preserve"> M. Influence of cyclosporine and tacrolimus on serum uric acid levels in stable kidney transplant recipients. </w:t>
      </w:r>
      <w:r w:rsidRPr="009F13FC">
        <w:rPr>
          <w:rFonts w:ascii="Book Antiqua" w:hAnsi="Book Antiqua"/>
          <w:i/>
          <w:color w:val="000000" w:themeColor="text1"/>
          <w:sz w:val="24"/>
          <w:szCs w:val="24"/>
        </w:rPr>
        <w:t>Transplant Proc</w:t>
      </w:r>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37</w:t>
      </w:r>
      <w:r w:rsidRPr="009F13FC">
        <w:rPr>
          <w:rFonts w:ascii="Book Antiqua" w:hAnsi="Book Antiqua"/>
          <w:color w:val="000000" w:themeColor="text1"/>
          <w:sz w:val="24"/>
          <w:szCs w:val="24"/>
        </w:rPr>
        <w:t>: 3119-3120 [PMID: 16213325 DOI: 10.1016/j.transproceed.2005.08.042]</w:t>
      </w:r>
    </w:p>
    <w:p w14:paraId="71695816"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66 </w:t>
      </w:r>
      <w:r w:rsidRPr="009F13FC">
        <w:rPr>
          <w:rFonts w:ascii="Book Antiqua" w:hAnsi="Book Antiqua"/>
          <w:b/>
          <w:color w:val="000000" w:themeColor="text1"/>
          <w:sz w:val="24"/>
          <w:szCs w:val="24"/>
        </w:rPr>
        <w:t xml:space="preserve">Moreno </w:t>
      </w:r>
      <w:proofErr w:type="spellStart"/>
      <w:r w:rsidRPr="009F13FC">
        <w:rPr>
          <w:rFonts w:ascii="Book Antiqua" w:hAnsi="Book Antiqua"/>
          <w:b/>
          <w:color w:val="000000" w:themeColor="text1"/>
          <w:sz w:val="24"/>
          <w:szCs w:val="24"/>
        </w:rPr>
        <w:t>Planas</w:t>
      </w:r>
      <w:proofErr w:type="spellEnd"/>
      <w:r w:rsidRPr="009F13FC">
        <w:rPr>
          <w:rFonts w:ascii="Book Antiqua" w:hAnsi="Book Antiqua"/>
          <w:b/>
          <w:color w:val="000000" w:themeColor="text1"/>
          <w:sz w:val="24"/>
          <w:szCs w:val="24"/>
        </w:rPr>
        <w:t xml:space="preserve"> JM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Cuervas</w:t>
      </w:r>
      <w:proofErr w:type="spellEnd"/>
      <w:r w:rsidRPr="009F13FC">
        <w:rPr>
          <w:rFonts w:ascii="Book Antiqua" w:hAnsi="Book Antiqua"/>
          <w:color w:val="000000" w:themeColor="text1"/>
          <w:sz w:val="24"/>
          <w:szCs w:val="24"/>
        </w:rPr>
        <w:t xml:space="preserve">-Mons Martinez V, Rubio Gonzalez E, Gomez Cruz A, </w:t>
      </w:r>
      <w:r w:rsidRPr="009F13FC">
        <w:rPr>
          <w:rFonts w:ascii="Book Antiqua" w:hAnsi="Book Antiqua"/>
          <w:color w:val="000000" w:themeColor="text1"/>
          <w:sz w:val="24"/>
          <w:szCs w:val="24"/>
        </w:rPr>
        <w:lastRenderedPageBreak/>
        <w:t>Lopez-</w:t>
      </w:r>
      <w:proofErr w:type="spellStart"/>
      <w:r w:rsidRPr="009F13FC">
        <w:rPr>
          <w:rFonts w:ascii="Book Antiqua" w:hAnsi="Book Antiqua"/>
          <w:color w:val="000000" w:themeColor="text1"/>
          <w:sz w:val="24"/>
          <w:szCs w:val="24"/>
        </w:rPr>
        <w:t>Monclus</w:t>
      </w:r>
      <w:proofErr w:type="spellEnd"/>
      <w:r w:rsidRPr="009F13FC">
        <w:rPr>
          <w:rFonts w:ascii="Book Antiqua" w:hAnsi="Book Antiqua"/>
          <w:color w:val="000000" w:themeColor="text1"/>
          <w:sz w:val="24"/>
          <w:szCs w:val="24"/>
        </w:rPr>
        <w:t xml:space="preserve"> J, Sánchez-</w:t>
      </w:r>
      <w:proofErr w:type="spellStart"/>
      <w:r w:rsidRPr="009F13FC">
        <w:rPr>
          <w:rFonts w:ascii="Book Antiqua" w:hAnsi="Book Antiqua"/>
          <w:color w:val="000000" w:themeColor="text1"/>
          <w:sz w:val="24"/>
          <w:szCs w:val="24"/>
        </w:rPr>
        <w:t>Turrion</w:t>
      </w:r>
      <w:proofErr w:type="spellEnd"/>
      <w:r w:rsidRPr="009F13FC">
        <w:rPr>
          <w:rFonts w:ascii="Book Antiqua" w:hAnsi="Book Antiqua"/>
          <w:color w:val="000000" w:themeColor="text1"/>
          <w:sz w:val="24"/>
          <w:szCs w:val="24"/>
        </w:rPr>
        <w:t xml:space="preserve"> V, </w:t>
      </w:r>
      <w:proofErr w:type="spellStart"/>
      <w:r w:rsidRPr="009F13FC">
        <w:rPr>
          <w:rFonts w:ascii="Book Antiqua" w:hAnsi="Book Antiqua"/>
          <w:color w:val="000000" w:themeColor="text1"/>
          <w:sz w:val="24"/>
          <w:szCs w:val="24"/>
        </w:rPr>
        <w:t>Lucena</w:t>
      </w:r>
      <w:proofErr w:type="spellEnd"/>
      <w:r w:rsidRPr="009F13FC">
        <w:rPr>
          <w:rFonts w:ascii="Book Antiqua" w:hAnsi="Book Antiqua"/>
          <w:color w:val="000000" w:themeColor="text1"/>
          <w:sz w:val="24"/>
          <w:szCs w:val="24"/>
        </w:rPr>
        <w:t xml:space="preserve"> Poza JL, Jimenez Garrido M, Millan I. Mycophenolate mofetil can be used as monotherapy late after liver transplantation. </w:t>
      </w:r>
      <w:r w:rsidRPr="009F13FC">
        <w:rPr>
          <w:rFonts w:ascii="Book Antiqua" w:hAnsi="Book Antiqua"/>
          <w:i/>
          <w:color w:val="000000" w:themeColor="text1"/>
          <w:sz w:val="24"/>
          <w:szCs w:val="24"/>
        </w:rPr>
        <w:t>Am J Transplant</w:t>
      </w:r>
      <w:r w:rsidRPr="009F13FC">
        <w:rPr>
          <w:rFonts w:ascii="Book Antiqua" w:hAnsi="Book Antiqua"/>
          <w:color w:val="000000" w:themeColor="text1"/>
          <w:sz w:val="24"/>
          <w:szCs w:val="24"/>
        </w:rPr>
        <w:t xml:space="preserve"> 2004; </w:t>
      </w:r>
      <w:r w:rsidRPr="009F13FC">
        <w:rPr>
          <w:rFonts w:ascii="Book Antiqua" w:hAnsi="Book Antiqua"/>
          <w:b/>
          <w:color w:val="000000" w:themeColor="text1"/>
          <w:sz w:val="24"/>
          <w:szCs w:val="24"/>
        </w:rPr>
        <w:t>4</w:t>
      </w:r>
      <w:r w:rsidRPr="009F13FC">
        <w:rPr>
          <w:rFonts w:ascii="Book Antiqua" w:hAnsi="Book Antiqua"/>
          <w:color w:val="000000" w:themeColor="text1"/>
          <w:sz w:val="24"/>
          <w:szCs w:val="24"/>
        </w:rPr>
        <w:t>: 1650-1655 [PMID: 15367220 DOI: 10.1111/j.1600-6143.2004.00556.x]</w:t>
      </w:r>
    </w:p>
    <w:p w14:paraId="7165275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67 </w:t>
      </w:r>
      <w:proofErr w:type="spellStart"/>
      <w:r w:rsidRPr="009F13FC">
        <w:rPr>
          <w:rFonts w:ascii="Book Antiqua" w:hAnsi="Book Antiqua"/>
          <w:b/>
          <w:color w:val="000000" w:themeColor="text1"/>
          <w:sz w:val="24"/>
          <w:szCs w:val="24"/>
        </w:rPr>
        <w:t>Klintmalm</w:t>
      </w:r>
      <w:proofErr w:type="spellEnd"/>
      <w:r w:rsidRPr="009F13FC">
        <w:rPr>
          <w:rFonts w:ascii="Book Antiqua" w:hAnsi="Book Antiqua"/>
          <w:b/>
          <w:color w:val="000000" w:themeColor="text1"/>
          <w:sz w:val="24"/>
          <w:szCs w:val="24"/>
        </w:rPr>
        <w:t xml:space="preserve"> GB</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Nashan</w:t>
      </w:r>
      <w:proofErr w:type="spellEnd"/>
      <w:r w:rsidRPr="009F13FC">
        <w:rPr>
          <w:rFonts w:ascii="Book Antiqua" w:hAnsi="Book Antiqua"/>
          <w:color w:val="000000" w:themeColor="text1"/>
          <w:sz w:val="24"/>
          <w:szCs w:val="24"/>
        </w:rPr>
        <w:t xml:space="preserve"> B. The Role of mTOR Inhibitors in Liver Transplantation: Reviewing the Evidence. </w:t>
      </w:r>
      <w:r w:rsidRPr="009F13FC">
        <w:rPr>
          <w:rFonts w:ascii="Book Antiqua" w:hAnsi="Book Antiqua"/>
          <w:i/>
          <w:color w:val="000000" w:themeColor="text1"/>
          <w:sz w:val="24"/>
          <w:szCs w:val="24"/>
        </w:rPr>
        <w:t>J Transplant</w:t>
      </w:r>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2014</w:t>
      </w:r>
      <w:r w:rsidRPr="009F13FC">
        <w:rPr>
          <w:rFonts w:ascii="Book Antiqua" w:hAnsi="Book Antiqua"/>
          <w:color w:val="000000" w:themeColor="text1"/>
          <w:sz w:val="24"/>
          <w:szCs w:val="24"/>
        </w:rPr>
        <w:t>: 845438 [PMID: 24719752 DOI: 10.1155/2014/845438]</w:t>
      </w:r>
    </w:p>
    <w:p w14:paraId="50A355C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68 </w:t>
      </w:r>
      <w:proofErr w:type="spellStart"/>
      <w:r w:rsidRPr="009F13FC">
        <w:rPr>
          <w:rFonts w:ascii="Book Antiqua" w:hAnsi="Book Antiqua"/>
          <w:b/>
          <w:color w:val="000000" w:themeColor="text1"/>
          <w:sz w:val="24"/>
          <w:szCs w:val="24"/>
        </w:rPr>
        <w:t>Sofue</w:t>
      </w:r>
      <w:proofErr w:type="spellEnd"/>
      <w:r w:rsidRPr="009F13FC">
        <w:rPr>
          <w:rFonts w:ascii="Book Antiqua" w:hAnsi="Book Antiqua"/>
          <w:b/>
          <w:color w:val="000000" w:themeColor="text1"/>
          <w:sz w:val="24"/>
          <w:szCs w:val="24"/>
        </w:rPr>
        <w:t xml:space="preserve"> T</w:t>
      </w:r>
      <w:r w:rsidRPr="009F13FC">
        <w:rPr>
          <w:rFonts w:ascii="Book Antiqua" w:hAnsi="Book Antiqua"/>
          <w:color w:val="000000" w:themeColor="text1"/>
          <w:sz w:val="24"/>
          <w:szCs w:val="24"/>
        </w:rPr>
        <w:t xml:space="preserve">, Inui M, Hara T, </w:t>
      </w:r>
      <w:proofErr w:type="spellStart"/>
      <w:r w:rsidRPr="009F13FC">
        <w:rPr>
          <w:rFonts w:ascii="Book Antiqua" w:hAnsi="Book Antiqua"/>
          <w:color w:val="000000" w:themeColor="text1"/>
          <w:sz w:val="24"/>
          <w:szCs w:val="24"/>
        </w:rPr>
        <w:t>Nishijima</w:t>
      </w:r>
      <w:proofErr w:type="spellEnd"/>
      <w:r w:rsidRPr="009F13FC">
        <w:rPr>
          <w:rFonts w:ascii="Book Antiqua" w:hAnsi="Book Antiqua"/>
          <w:color w:val="000000" w:themeColor="text1"/>
          <w:sz w:val="24"/>
          <w:szCs w:val="24"/>
        </w:rPr>
        <w:t xml:space="preserve"> Y, </w:t>
      </w:r>
      <w:proofErr w:type="spellStart"/>
      <w:r w:rsidRPr="009F13FC">
        <w:rPr>
          <w:rFonts w:ascii="Book Antiqua" w:hAnsi="Book Antiqua"/>
          <w:color w:val="000000" w:themeColor="text1"/>
          <w:sz w:val="24"/>
          <w:szCs w:val="24"/>
        </w:rPr>
        <w:t>Moriwaki</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Hayashida</w:t>
      </w:r>
      <w:proofErr w:type="spellEnd"/>
      <w:r w:rsidRPr="009F13FC">
        <w:rPr>
          <w:rFonts w:ascii="Book Antiqua" w:hAnsi="Book Antiqua"/>
          <w:color w:val="000000" w:themeColor="text1"/>
          <w:sz w:val="24"/>
          <w:szCs w:val="24"/>
        </w:rPr>
        <w:t xml:space="preserve"> Y, Ueda N, </w:t>
      </w:r>
      <w:proofErr w:type="spellStart"/>
      <w:r w:rsidRPr="009F13FC">
        <w:rPr>
          <w:rFonts w:ascii="Book Antiqua" w:hAnsi="Book Antiqua"/>
          <w:color w:val="000000" w:themeColor="text1"/>
          <w:sz w:val="24"/>
          <w:szCs w:val="24"/>
        </w:rPr>
        <w:t>Nishiyama</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Kakehi</w:t>
      </w:r>
      <w:proofErr w:type="spellEnd"/>
      <w:r w:rsidRPr="009F13FC">
        <w:rPr>
          <w:rFonts w:ascii="Book Antiqua" w:hAnsi="Book Antiqua"/>
          <w:color w:val="000000" w:themeColor="text1"/>
          <w:sz w:val="24"/>
          <w:szCs w:val="24"/>
        </w:rPr>
        <w:t xml:space="preserve"> Y, Kohno M. Efficacy and safety of febuxostat in the treatment of hyperuricemia in stable kidney transplant recipients. </w:t>
      </w:r>
      <w:r w:rsidRPr="009F13FC">
        <w:rPr>
          <w:rFonts w:ascii="Book Antiqua" w:hAnsi="Book Antiqua"/>
          <w:i/>
          <w:color w:val="000000" w:themeColor="text1"/>
          <w:sz w:val="24"/>
          <w:szCs w:val="24"/>
        </w:rPr>
        <w:t xml:space="preserve">Drug Des </w:t>
      </w:r>
      <w:proofErr w:type="spellStart"/>
      <w:r w:rsidRPr="009F13FC">
        <w:rPr>
          <w:rFonts w:ascii="Book Antiqua" w:hAnsi="Book Antiqua"/>
          <w:i/>
          <w:color w:val="000000" w:themeColor="text1"/>
          <w:sz w:val="24"/>
          <w:szCs w:val="24"/>
        </w:rPr>
        <w:t>Devel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Ther</w:t>
      </w:r>
      <w:proofErr w:type="spellEnd"/>
      <w:r w:rsidRPr="009F13FC">
        <w:rPr>
          <w:rFonts w:ascii="Book Antiqua" w:hAnsi="Book Antiqua"/>
          <w:color w:val="000000" w:themeColor="text1"/>
          <w:sz w:val="24"/>
          <w:szCs w:val="24"/>
        </w:rPr>
        <w:t xml:space="preserve"> 2014; </w:t>
      </w:r>
      <w:r w:rsidRPr="009F13FC">
        <w:rPr>
          <w:rFonts w:ascii="Book Antiqua" w:hAnsi="Book Antiqua"/>
          <w:b/>
          <w:color w:val="000000" w:themeColor="text1"/>
          <w:sz w:val="24"/>
          <w:szCs w:val="24"/>
        </w:rPr>
        <w:t>8</w:t>
      </w:r>
      <w:r w:rsidRPr="009F13FC">
        <w:rPr>
          <w:rFonts w:ascii="Book Antiqua" w:hAnsi="Book Antiqua"/>
          <w:color w:val="000000" w:themeColor="text1"/>
          <w:sz w:val="24"/>
          <w:szCs w:val="24"/>
        </w:rPr>
        <w:t>: 245-253 [PMID: 24600205 DOI: 10.2147/DDDT.S56597]</w:t>
      </w:r>
    </w:p>
    <w:p w14:paraId="251E820B" w14:textId="76AD387F"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69 Obesity: preventing and managing the global epidemic. Report of a WHO consultation. </w:t>
      </w:r>
      <w:r w:rsidRPr="009F13FC">
        <w:rPr>
          <w:rFonts w:ascii="Book Antiqua" w:hAnsi="Book Antiqua"/>
          <w:i/>
          <w:color w:val="000000" w:themeColor="text1"/>
          <w:sz w:val="24"/>
          <w:szCs w:val="24"/>
        </w:rPr>
        <w:t xml:space="preserve">World Health Organ Tech Rep </w:t>
      </w:r>
      <w:proofErr w:type="spellStart"/>
      <w:r w:rsidRPr="009F13FC">
        <w:rPr>
          <w:rFonts w:ascii="Book Antiqua" w:hAnsi="Book Antiqua"/>
          <w:i/>
          <w:color w:val="000000" w:themeColor="text1"/>
          <w:sz w:val="24"/>
          <w:szCs w:val="24"/>
        </w:rPr>
        <w:t>Ser</w:t>
      </w:r>
      <w:proofErr w:type="spellEnd"/>
      <w:r w:rsidRPr="009F13FC">
        <w:rPr>
          <w:rFonts w:ascii="Book Antiqua" w:hAnsi="Book Antiqua"/>
          <w:color w:val="000000" w:themeColor="text1"/>
          <w:sz w:val="24"/>
          <w:szCs w:val="24"/>
        </w:rPr>
        <w:t xml:space="preserve"> 2000; </w:t>
      </w:r>
      <w:r w:rsidRPr="009F13FC">
        <w:rPr>
          <w:rFonts w:ascii="Book Antiqua" w:hAnsi="Book Antiqua"/>
          <w:b/>
          <w:color w:val="000000" w:themeColor="text1"/>
          <w:sz w:val="24"/>
          <w:szCs w:val="24"/>
        </w:rPr>
        <w:t>894</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i</w:t>
      </w:r>
      <w:proofErr w:type="spellEnd"/>
      <w:r w:rsidRPr="009F13FC">
        <w:rPr>
          <w:rFonts w:ascii="Book Antiqua" w:hAnsi="Book Antiqua"/>
          <w:color w:val="000000" w:themeColor="text1"/>
          <w:sz w:val="24"/>
          <w:szCs w:val="24"/>
        </w:rPr>
        <w:t>-xii, 1-253 [PMID: 11234459]</w:t>
      </w:r>
    </w:p>
    <w:p w14:paraId="1E6FB62A"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70 </w:t>
      </w:r>
      <w:r w:rsidRPr="009F13FC">
        <w:rPr>
          <w:rFonts w:ascii="Book Antiqua" w:hAnsi="Book Antiqua"/>
          <w:b/>
          <w:color w:val="000000" w:themeColor="text1"/>
          <w:sz w:val="24"/>
          <w:szCs w:val="24"/>
        </w:rPr>
        <w:t>Kopelman PG</w:t>
      </w:r>
      <w:r w:rsidRPr="009F13FC">
        <w:rPr>
          <w:rFonts w:ascii="Book Antiqua" w:hAnsi="Book Antiqua"/>
          <w:color w:val="000000" w:themeColor="text1"/>
          <w:sz w:val="24"/>
          <w:szCs w:val="24"/>
        </w:rPr>
        <w:t xml:space="preserve">. Obesity as a medical problem. </w:t>
      </w:r>
      <w:r w:rsidRPr="009F13FC">
        <w:rPr>
          <w:rFonts w:ascii="Book Antiqua" w:hAnsi="Book Antiqua"/>
          <w:i/>
          <w:color w:val="000000" w:themeColor="text1"/>
          <w:sz w:val="24"/>
          <w:szCs w:val="24"/>
        </w:rPr>
        <w:t>Nature</w:t>
      </w:r>
      <w:r w:rsidRPr="009F13FC">
        <w:rPr>
          <w:rFonts w:ascii="Book Antiqua" w:hAnsi="Book Antiqua"/>
          <w:color w:val="000000" w:themeColor="text1"/>
          <w:sz w:val="24"/>
          <w:szCs w:val="24"/>
        </w:rPr>
        <w:t xml:space="preserve"> 2000; </w:t>
      </w:r>
      <w:r w:rsidRPr="009F13FC">
        <w:rPr>
          <w:rFonts w:ascii="Book Antiqua" w:hAnsi="Book Antiqua"/>
          <w:b/>
          <w:color w:val="000000" w:themeColor="text1"/>
          <w:sz w:val="24"/>
          <w:szCs w:val="24"/>
        </w:rPr>
        <w:t>404</w:t>
      </w:r>
      <w:r w:rsidRPr="009F13FC">
        <w:rPr>
          <w:rFonts w:ascii="Book Antiqua" w:hAnsi="Book Antiqua"/>
          <w:color w:val="000000" w:themeColor="text1"/>
          <w:sz w:val="24"/>
          <w:szCs w:val="24"/>
        </w:rPr>
        <w:t>: 635-643 [PMID: 10766250 DOI: 10.1038/35007508]</w:t>
      </w:r>
    </w:p>
    <w:p w14:paraId="3EAC3EC0"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71 </w:t>
      </w:r>
      <w:r w:rsidRPr="009F13FC">
        <w:rPr>
          <w:rFonts w:ascii="Book Antiqua" w:hAnsi="Book Antiqua"/>
          <w:b/>
          <w:color w:val="000000" w:themeColor="text1"/>
          <w:sz w:val="24"/>
          <w:szCs w:val="24"/>
        </w:rPr>
        <w:t>Beckmann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Denhaerynck</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Stampf</w:t>
      </w:r>
      <w:proofErr w:type="spellEnd"/>
      <w:r w:rsidRPr="009F13FC">
        <w:rPr>
          <w:rFonts w:ascii="Book Antiqua" w:hAnsi="Book Antiqua"/>
          <w:color w:val="000000" w:themeColor="text1"/>
          <w:sz w:val="24"/>
          <w:szCs w:val="24"/>
        </w:rPr>
        <w:t xml:space="preserve"> S, </w:t>
      </w:r>
      <w:proofErr w:type="spellStart"/>
      <w:r w:rsidRPr="009F13FC">
        <w:rPr>
          <w:rFonts w:ascii="Book Antiqua" w:hAnsi="Book Antiqua"/>
          <w:color w:val="000000" w:themeColor="text1"/>
          <w:sz w:val="24"/>
          <w:szCs w:val="24"/>
        </w:rPr>
        <w:t>Saigi-Morgui</w:t>
      </w:r>
      <w:proofErr w:type="spellEnd"/>
      <w:r w:rsidRPr="009F13FC">
        <w:rPr>
          <w:rFonts w:ascii="Book Antiqua" w:hAnsi="Book Antiqua"/>
          <w:color w:val="000000" w:themeColor="text1"/>
          <w:sz w:val="24"/>
          <w:szCs w:val="24"/>
        </w:rPr>
        <w:t xml:space="preserve"> N, </w:t>
      </w:r>
      <w:proofErr w:type="spellStart"/>
      <w:r w:rsidRPr="009F13FC">
        <w:rPr>
          <w:rFonts w:ascii="Book Antiqua" w:hAnsi="Book Antiqua"/>
          <w:color w:val="000000" w:themeColor="text1"/>
          <w:sz w:val="24"/>
          <w:szCs w:val="24"/>
        </w:rPr>
        <w:t>Binet</w:t>
      </w:r>
      <w:proofErr w:type="spellEnd"/>
      <w:r w:rsidRPr="009F13FC">
        <w:rPr>
          <w:rFonts w:ascii="Book Antiqua" w:hAnsi="Book Antiqua"/>
          <w:color w:val="000000" w:themeColor="text1"/>
          <w:sz w:val="24"/>
          <w:szCs w:val="24"/>
        </w:rPr>
        <w:t xml:space="preserve"> I, </w:t>
      </w:r>
      <w:proofErr w:type="spellStart"/>
      <w:r w:rsidRPr="009F13FC">
        <w:rPr>
          <w:rFonts w:ascii="Book Antiqua" w:hAnsi="Book Antiqua"/>
          <w:color w:val="000000" w:themeColor="text1"/>
          <w:sz w:val="24"/>
          <w:szCs w:val="24"/>
        </w:rPr>
        <w:t>Koller</w:t>
      </w:r>
      <w:proofErr w:type="spellEnd"/>
      <w:r w:rsidRPr="009F13FC">
        <w:rPr>
          <w:rFonts w:ascii="Book Antiqua" w:hAnsi="Book Antiqua"/>
          <w:color w:val="000000" w:themeColor="text1"/>
          <w:sz w:val="24"/>
          <w:szCs w:val="24"/>
        </w:rPr>
        <w:t xml:space="preserve"> M, </w:t>
      </w:r>
      <w:proofErr w:type="spellStart"/>
      <w:r w:rsidRPr="009F13FC">
        <w:rPr>
          <w:rFonts w:ascii="Book Antiqua" w:hAnsi="Book Antiqua"/>
          <w:color w:val="000000" w:themeColor="text1"/>
          <w:sz w:val="24"/>
          <w:szCs w:val="24"/>
        </w:rPr>
        <w:t>Boely</w:t>
      </w:r>
      <w:proofErr w:type="spellEnd"/>
      <w:r w:rsidRPr="009F13FC">
        <w:rPr>
          <w:rFonts w:ascii="Book Antiqua" w:hAnsi="Book Antiqua"/>
          <w:color w:val="000000" w:themeColor="text1"/>
          <w:sz w:val="24"/>
          <w:szCs w:val="24"/>
        </w:rPr>
        <w:t xml:space="preserve"> E, De </w:t>
      </w:r>
      <w:proofErr w:type="spellStart"/>
      <w:r w:rsidRPr="009F13FC">
        <w:rPr>
          <w:rFonts w:ascii="Book Antiqua" w:hAnsi="Book Antiqua"/>
          <w:color w:val="000000" w:themeColor="text1"/>
          <w:sz w:val="24"/>
          <w:szCs w:val="24"/>
        </w:rPr>
        <w:t>Geest</w:t>
      </w:r>
      <w:proofErr w:type="spellEnd"/>
      <w:r w:rsidRPr="009F13FC">
        <w:rPr>
          <w:rFonts w:ascii="Book Antiqua" w:hAnsi="Book Antiqua"/>
          <w:color w:val="000000" w:themeColor="text1"/>
          <w:sz w:val="24"/>
          <w:szCs w:val="24"/>
        </w:rPr>
        <w:t xml:space="preserve"> S; Psychosocial Interest Group; Swiss Transplant Cohort Study. New-onset obesity after liver transplantation-outcomes and risk factors: the Swiss Transplant Cohort Study.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2018; </w:t>
      </w:r>
      <w:r w:rsidRPr="009F13FC">
        <w:rPr>
          <w:rFonts w:ascii="Book Antiqua" w:hAnsi="Book Antiqua"/>
          <w:b/>
          <w:color w:val="000000" w:themeColor="text1"/>
          <w:sz w:val="24"/>
          <w:szCs w:val="24"/>
        </w:rPr>
        <w:t>31</w:t>
      </w:r>
      <w:r w:rsidRPr="009F13FC">
        <w:rPr>
          <w:rFonts w:ascii="Book Antiqua" w:hAnsi="Book Antiqua"/>
          <w:color w:val="000000" w:themeColor="text1"/>
          <w:sz w:val="24"/>
          <w:szCs w:val="24"/>
        </w:rPr>
        <w:t>: 1254-1267 [PMID: 29984844 DOI: 10.1111/tri.13308]</w:t>
      </w:r>
    </w:p>
    <w:p w14:paraId="70F02F41"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72 </w:t>
      </w:r>
      <w:r w:rsidRPr="009F13FC">
        <w:rPr>
          <w:rFonts w:ascii="Book Antiqua" w:hAnsi="Book Antiqua"/>
          <w:b/>
          <w:color w:val="000000" w:themeColor="text1"/>
          <w:sz w:val="24"/>
          <w:szCs w:val="24"/>
        </w:rPr>
        <w:t>Richards J</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Gunson</w:t>
      </w:r>
      <w:proofErr w:type="spellEnd"/>
      <w:r w:rsidRPr="009F13FC">
        <w:rPr>
          <w:rFonts w:ascii="Book Antiqua" w:hAnsi="Book Antiqua"/>
          <w:color w:val="000000" w:themeColor="text1"/>
          <w:sz w:val="24"/>
          <w:szCs w:val="24"/>
        </w:rPr>
        <w:t xml:space="preserve"> B, Johnson J, Neuberger J. Weight gain and obesity after liver transplantation.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Int</w:t>
      </w:r>
      <w:proofErr w:type="spellEnd"/>
      <w:r w:rsidRPr="009F13FC">
        <w:rPr>
          <w:rFonts w:ascii="Book Antiqua" w:hAnsi="Book Antiqua"/>
          <w:color w:val="000000" w:themeColor="text1"/>
          <w:sz w:val="24"/>
          <w:szCs w:val="24"/>
        </w:rPr>
        <w:t xml:space="preserve"> 2005; </w:t>
      </w:r>
      <w:r w:rsidRPr="009F13FC">
        <w:rPr>
          <w:rFonts w:ascii="Book Antiqua" w:hAnsi="Book Antiqua"/>
          <w:b/>
          <w:color w:val="000000" w:themeColor="text1"/>
          <w:sz w:val="24"/>
          <w:szCs w:val="24"/>
        </w:rPr>
        <w:t>18</w:t>
      </w:r>
      <w:r w:rsidRPr="009F13FC">
        <w:rPr>
          <w:rFonts w:ascii="Book Antiqua" w:hAnsi="Book Antiqua"/>
          <w:color w:val="000000" w:themeColor="text1"/>
          <w:sz w:val="24"/>
          <w:szCs w:val="24"/>
        </w:rPr>
        <w:t>: 461-466 [PMID: 15773968 DOI: 10.1111/j.1432-2277.2004.00067.x]</w:t>
      </w:r>
    </w:p>
    <w:p w14:paraId="4951B2D8"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73 </w:t>
      </w:r>
      <w:r w:rsidRPr="009F13FC">
        <w:rPr>
          <w:rFonts w:ascii="Book Antiqua" w:hAnsi="Book Antiqua"/>
          <w:b/>
          <w:color w:val="000000" w:themeColor="text1"/>
          <w:sz w:val="24"/>
          <w:szCs w:val="24"/>
        </w:rPr>
        <w:t>Saab S</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Lalezari</w:t>
      </w:r>
      <w:proofErr w:type="spellEnd"/>
      <w:r w:rsidRPr="009F13FC">
        <w:rPr>
          <w:rFonts w:ascii="Book Antiqua" w:hAnsi="Book Antiqua"/>
          <w:color w:val="000000" w:themeColor="text1"/>
          <w:sz w:val="24"/>
          <w:szCs w:val="24"/>
        </w:rPr>
        <w:t xml:space="preserve"> D, </w:t>
      </w:r>
      <w:proofErr w:type="spellStart"/>
      <w:r w:rsidRPr="009F13FC">
        <w:rPr>
          <w:rFonts w:ascii="Book Antiqua" w:hAnsi="Book Antiqua"/>
          <w:color w:val="000000" w:themeColor="text1"/>
          <w:sz w:val="24"/>
          <w:szCs w:val="24"/>
        </w:rPr>
        <w:t>Pruthi</w:t>
      </w:r>
      <w:proofErr w:type="spellEnd"/>
      <w:r w:rsidRPr="009F13FC">
        <w:rPr>
          <w:rFonts w:ascii="Book Antiqua" w:hAnsi="Book Antiqua"/>
          <w:color w:val="000000" w:themeColor="text1"/>
          <w:sz w:val="24"/>
          <w:szCs w:val="24"/>
        </w:rPr>
        <w:t xml:space="preserve"> P, </w:t>
      </w:r>
      <w:proofErr w:type="spellStart"/>
      <w:r w:rsidRPr="009F13FC">
        <w:rPr>
          <w:rFonts w:ascii="Book Antiqua" w:hAnsi="Book Antiqua"/>
          <w:color w:val="000000" w:themeColor="text1"/>
          <w:sz w:val="24"/>
          <w:szCs w:val="24"/>
        </w:rPr>
        <w:t>Alper</w:t>
      </w:r>
      <w:proofErr w:type="spellEnd"/>
      <w:r w:rsidRPr="009F13FC">
        <w:rPr>
          <w:rFonts w:ascii="Book Antiqua" w:hAnsi="Book Antiqua"/>
          <w:color w:val="000000" w:themeColor="text1"/>
          <w:sz w:val="24"/>
          <w:szCs w:val="24"/>
        </w:rPr>
        <w:t xml:space="preserve"> T, Tong MJ. The impact of obesity on patient survival in liver transplant recipients: a meta-analysis. </w:t>
      </w:r>
      <w:r w:rsidRPr="009F13FC">
        <w:rPr>
          <w:rFonts w:ascii="Book Antiqua" w:hAnsi="Book Antiqua"/>
          <w:i/>
          <w:color w:val="000000" w:themeColor="text1"/>
          <w:sz w:val="24"/>
          <w:szCs w:val="24"/>
        </w:rPr>
        <w:t>Liver Int</w:t>
      </w:r>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35</w:t>
      </w:r>
      <w:r w:rsidRPr="009F13FC">
        <w:rPr>
          <w:rFonts w:ascii="Book Antiqua" w:hAnsi="Book Antiqua"/>
          <w:color w:val="000000" w:themeColor="text1"/>
          <w:sz w:val="24"/>
          <w:szCs w:val="24"/>
        </w:rPr>
        <w:t>: 164-170 [PMID: 24313970 DOI: 10.1111/liv.12431]</w:t>
      </w:r>
    </w:p>
    <w:p w14:paraId="5E46E76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74 </w:t>
      </w:r>
      <w:r w:rsidRPr="009F13FC">
        <w:rPr>
          <w:rFonts w:ascii="Book Antiqua" w:hAnsi="Book Antiqua"/>
          <w:b/>
          <w:color w:val="000000" w:themeColor="text1"/>
          <w:sz w:val="24"/>
          <w:szCs w:val="24"/>
        </w:rPr>
        <w:t>Spengler EK</w:t>
      </w:r>
      <w:r w:rsidRPr="009F13FC">
        <w:rPr>
          <w:rFonts w:ascii="Book Antiqua" w:hAnsi="Book Antiqua"/>
          <w:color w:val="000000" w:themeColor="text1"/>
          <w:sz w:val="24"/>
          <w:szCs w:val="24"/>
        </w:rPr>
        <w:t xml:space="preserve">, O'Leary JG, </w:t>
      </w:r>
      <w:proofErr w:type="spellStart"/>
      <w:r w:rsidRPr="009F13FC">
        <w:rPr>
          <w:rFonts w:ascii="Book Antiqua" w:hAnsi="Book Antiqua"/>
          <w:color w:val="000000" w:themeColor="text1"/>
          <w:sz w:val="24"/>
          <w:szCs w:val="24"/>
        </w:rPr>
        <w:t>Te</w:t>
      </w:r>
      <w:proofErr w:type="spellEnd"/>
      <w:r w:rsidRPr="009F13FC">
        <w:rPr>
          <w:rFonts w:ascii="Book Antiqua" w:hAnsi="Book Antiqua"/>
          <w:color w:val="000000" w:themeColor="text1"/>
          <w:sz w:val="24"/>
          <w:szCs w:val="24"/>
        </w:rPr>
        <w:t xml:space="preserve"> HS, </w:t>
      </w:r>
      <w:proofErr w:type="spellStart"/>
      <w:r w:rsidRPr="009F13FC">
        <w:rPr>
          <w:rFonts w:ascii="Book Antiqua" w:hAnsi="Book Antiqua"/>
          <w:color w:val="000000" w:themeColor="text1"/>
          <w:sz w:val="24"/>
          <w:szCs w:val="24"/>
        </w:rPr>
        <w:t>Rogal</w:t>
      </w:r>
      <w:proofErr w:type="spellEnd"/>
      <w:r w:rsidRPr="009F13FC">
        <w:rPr>
          <w:rFonts w:ascii="Book Antiqua" w:hAnsi="Book Antiqua"/>
          <w:color w:val="000000" w:themeColor="text1"/>
          <w:sz w:val="24"/>
          <w:szCs w:val="24"/>
        </w:rPr>
        <w:t xml:space="preserve"> S, Pillai AA, Al-</w:t>
      </w:r>
      <w:proofErr w:type="spellStart"/>
      <w:r w:rsidRPr="009F13FC">
        <w:rPr>
          <w:rFonts w:ascii="Book Antiqua" w:hAnsi="Book Antiqua"/>
          <w:color w:val="000000" w:themeColor="text1"/>
          <w:sz w:val="24"/>
          <w:szCs w:val="24"/>
        </w:rPr>
        <w:t>Osaimi</w:t>
      </w:r>
      <w:proofErr w:type="spellEnd"/>
      <w:r w:rsidRPr="009F13FC">
        <w:rPr>
          <w:rFonts w:ascii="Book Antiqua" w:hAnsi="Book Antiqua"/>
          <w:color w:val="000000" w:themeColor="text1"/>
          <w:sz w:val="24"/>
          <w:szCs w:val="24"/>
        </w:rPr>
        <w:t xml:space="preserve"> A, Desai A, Fleming JN, Ganger D, </w:t>
      </w:r>
      <w:proofErr w:type="spellStart"/>
      <w:r w:rsidRPr="009F13FC">
        <w:rPr>
          <w:rFonts w:ascii="Book Antiqua" w:hAnsi="Book Antiqua"/>
          <w:color w:val="000000" w:themeColor="text1"/>
          <w:sz w:val="24"/>
          <w:szCs w:val="24"/>
        </w:rPr>
        <w:t>Seetharam</w:t>
      </w:r>
      <w:proofErr w:type="spellEnd"/>
      <w:r w:rsidRPr="009F13FC">
        <w:rPr>
          <w:rFonts w:ascii="Book Antiqua" w:hAnsi="Book Antiqua"/>
          <w:color w:val="000000" w:themeColor="text1"/>
          <w:sz w:val="24"/>
          <w:szCs w:val="24"/>
        </w:rPr>
        <w:t xml:space="preserve"> A, </w:t>
      </w:r>
      <w:proofErr w:type="spellStart"/>
      <w:r w:rsidRPr="009F13FC">
        <w:rPr>
          <w:rFonts w:ascii="Book Antiqua" w:hAnsi="Book Antiqua"/>
          <w:color w:val="000000" w:themeColor="text1"/>
          <w:sz w:val="24"/>
          <w:szCs w:val="24"/>
        </w:rPr>
        <w:t>Tsoulfas</w:t>
      </w:r>
      <w:proofErr w:type="spellEnd"/>
      <w:r w:rsidRPr="009F13FC">
        <w:rPr>
          <w:rFonts w:ascii="Book Antiqua" w:hAnsi="Book Antiqua"/>
          <w:color w:val="000000" w:themeColor="text1"/>
          <w:sz w:val="24"/>
          <w:szCs w:val="24"/>
        </w:rPr>
        <w:t xml:space="preserve"> G, </w:t>
      </w:r>
      <w:proofErr w:type="spellStart"/>
      <w:r w:rsidRPr="009F13FC">
        <w:rPr>
          <w:rFonts w:ascii="Book Antiqua" w:hAnsi="Book Antiqua"/>
          <w:color w:val="000000" w:themeColor="text1"/>
          <w:sz w:val="24"/>
          <w:szCs w:val="24"/>
        </w:rPr>
        <w:t>Montenovo</w:t>
      </w:r>
      <w:proofErr w:type="spellEnd"/>
      <w:r w:rsidRPr="009F13FC">
        <w:rPr>
          <w:rFonts w:ascii="Book Antiqua" w:hAnsi="Book Antiqua"/>
          <w:color w:val="000000" w:themeColor="text1"/>
          <w:sz w:val="24"/>
          <w:szCs w:val="24"/>
        </w:rPr>
        <w:t xml:space="preserve"> M, Lai JC. Liver Transplantation in the Obese Cirrhotic Patient.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2288-2296 [PMID: 28930104 DOI: 10.1097/TP.0000000000001794]</w:t>
      </w:r>
    </w:p>
    <w:p w14:paraId="61283993"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75 </w:t>
      </w:r>
      <w:r w:rsidRPr="009F13FC">
        <w:rPr>
          <w:rFonts w:ascii="Book Antiqua" w:hAnsi="Book Antiqua"/>
          <w:b/>
          <w:color w:val="000000" w:themeColor="text1"/>
          <w:sz w:val="24"/>
          <w:szCs w:val="24"/>
        </w:rPr>
        <w:t>Bray GA</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Frühbeck</w:t>
      </w:r>
      <w:proofErr w:type="spellEnd"/>
      <w:r w:rsidRPr="009F13FC">
        <w:rPr>
          <w:rFonts w:ascii="Book Antiqua" w:hAnsi="Book Antiqua"/>
          <w:color w:val="000000" w:themeColor="text1"/>
          <w:sz w:val="24"/>
          <w:szCs w:val="24"/>
        </w:rPr>
        <w:t xml:space="preserve"> G, Ryan DH, Wilding JP. Management of obesity. </w:t>
      </w:r>
      <w:r w:rsidRPr="009F13FC">
        <w:rPr>
          <w:rFonts w:ascii="Book Antiqua" w:hAnsi="Book Antiqua"/>
          <w:i/>
          <w:color w:val="000000" w:themeColor="text1"/>
          <w:sz w:val="24"/>
          <w:szCs w:val="24"/>
        </w:rPr>
        <w:t>Lancet</w:t>
      </w:r>
      <w:r w:rsidRPr="009F13FC">
        <w:rPr>
          <w:rFonts w:ascii="Book Antiqua" w:hAnsi="Book Antiqua"/>
          <w:color w:val="000000" w:themeColor="text1"/>
          <w:sz w:val="24"/>
          <w:szCs w:val="24"/>
        </w:rPr>
        <w:t xml:space="preserve"> 2016; </w:t>
      </w:r>
      <w:r w:rsidRPr="009F13FC">
        <w:rPr>
          <w:rFonts w:ascii="Book Antiqua" w:hAnsi="Book Antiqua"/>
          <w:b/>
          <w:color w:val="000000" w:themeColor="text1"/>
          <w:sz w:val="24"/>
          <w:szCs w:val="24"/>
        </w:rPr>
        <w:lastRenderedPageBreak/>
        <w:t>387</w:t>
      </w:r>
      <w:r w:rsidRPr="009F13FC">
        <w:rPr>
          <w:rFonts w:ascii="Book Antiqua" w:hAnsi="Book Antiqua"/>
          <w:color w:val="000000" w:themeColor="text1"/>
          <w:sz w:val="24"/>
          <w:szCs w:val="24"/>
        </w:rPr>
        <w:t>: 1947-1956 [PMID: 26868660 DOI: 10.1016/S0140-6736(16)00271-3]</w:t>
      </w:r>
    </w:p>
    <w:p w14:paraId="5F35B07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76 </w:t>
      </w:r>
      <w:r w:rsidRPr="009F13FC">
        <w:rPr>
          <w:rFonts w:ascii="Book Antiqua" w:hAnsi="Book Antiqua"/>
          <w:b/>
          <w:color w:val="000000" w:themeColor="text1"/>
          <w:sz w:val="24"/>
          <w:szCs w:val="24"/>
        </w:rPr>
        <w:t>Lim LG</w:t>
      </w:r>
      <w:r w:rsidRPr="009F13FC">
        <w:rPr>
          <w:rFonts w:ascii="Book Antiqua" w:hAnsi="Book Antiqua"/>
          <w:color w:val="000000" w:themeColor="text1"/>
          <w:sz w:val="24"/>
          <w:szCs w:val="24"/>
        </w:rPr>
        <w:t xml:space="preserve">, Cheng CL, Wee A, Lim SG, Lee YM, </w:t>
      </w:r>
      <w:proofErr w:type="spellStart"/>
      <w:r w:rsidRPr="009F13FC">
        <w:rPr>
          <w:rFonts w:ascii="Book Antiqua" w:hAnsi="Book Antiqua"/>
          <w:color w:val="000000" w:themeColor="text1"/>
          <w:sz w:val="24"/>
          <w:szCs w:val="24"/>
        </w:rPr>
        <w:t>Sutedja</w:t>
      </w:r>
      <w:proofErr w:type="spellEnd"/>
      <w:r w:rsidRPr="009F13FC">
        <w:rPr>
          <w:rFonts w:ascii="Book Antiqua" w:hAnsi="Book Antiqua"/>
          <w:color w:val="000000" w:themeColor="text1"/>
          <w:sz w:val="24"/>
          <w:szCs w:val="24"/>
        </w:rPr>
        <w:t xml:space="preserve"> DS, Da Costa M, Prabhakaran K, Wai CT. Prevalence and clinical associations of posttransplant fatty liver disease. </w:t>
      </w:r>
      <w:r w:rsidRPr="009F13FC">
        <w:rPr>
          <w:rFonts w:ascii="Book Antiqua" w:hAnsi="Book Antiqua"/>
          <w:i/>
          <w:color w:val="000000" w:themeColor="text1"/>
          <w:sz w:val="24"/>
          <w:szCs w:val="24"/>
        </w:rPr>
        <w:t>Liver Int</w:t>
      </w:r>
      <w:r w:rsidRPr="009F13FC">
        <w:rPr>
          <w:rFonts w:ascii="Book Antiqua" w:hAnsi="Book Antiqua"/>
          <w:color w:val="000000" w:themeColor="text1"/>
          <w:sz w:val="24"/>
          <w:szCs w:val="24"/>
        </w:rPr>
        <w:t xml:space="preserve"> 2007; </w:t>
      </w:r>
      <w:r w:rsidRPr="009F13FC">
        <w:rPr>
          <w:rFonts w:ascii="Book Antiqua" w:hAnsi="Book Antiqua"/>
          <w:b/>
          <w:color w:val="000000" w:themeColor="text1"/>
          <w:sz w:val="24"/>
          <w:szCs w:val="24"/>
        </w:rPr>
        <w:t>27</w:t>
      </w:r>
      <w:r w:rsidRPr="009F13FC">
        <w:rPr>
          <w:rFonts w:ascii="Book Antiqua" w:hAnsi="Book Antiqua"/>
          <w:color w:val="000000" w:themeColor="text1"/>
          <w:sz w:val="24"/>
          <w:szCs w:val="24"/>
        </w:rPr>
        <w:t>: 76-80 [PMID: 17241384 DOI: 10.1111/j.1478-3231.2006.01396.x]</w:t>
      </w:r>
    </w:p>
    <w:p w14:paraId="29BFACEF"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77 </w:t>
      </w:r>
      <w:r w:rsidRPr="009F13FC">
        <w:rPr>
          <w:rFonts w:ascii="Book Antiqua" w:hAnsi="Book Antiqua"/>
          <w:b/>
          <w:color w:val="000000" w:themeColor="text1"/>
          <w:sz w:val="24"/>
          <w:szCs w:val="24"/>
        </w:rPr>
        <w:t>Everhart JE</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Lombardero</w:t>
      </w:r>
      <w:proofErr w:type="spellEnd"/>
      <w:r w:rsidRPr="009F13FC">
        <w:rPr>
          <w:rFonts w:ascii="Book Antiqua" w:hAnsi="Book Antiqua"/>
          <w:color w:val="000000" w:themeColor="text1"/>
          <w:sz w:val="24"/>
          <w:szCs w:val="24"/>
        </w:rPr>
        <w:t xml:space="preserve"> M, Lake JR, </w:t>
      </w:r>
      <w:proofErr w:type="spellStart"/>
      <w:r w:rsidRPr="009F13FC">
        <w:rPr>
          <w:rFonts w:ascii="Book Antiqua" w:hAnsi="Book Antiqua"/>
          <w:color w:val="000000" w:themeColor="text1"/>
          <w:sz w:val="24"/>
          <w:szCs w:val="24"/>
        </w:rPr>
        <w:t>Wiesner</w:t>
      </w:r>
      <w:proofErr w:type="spellEnd"/>
      <w:r w:rsidRPr="009F13FC">
        <w:rPr>
          <w:rFonts w:ascii="Book Antiqua" w:hAnsi="Book Antiqua"/>
          <w:color w:val="000000" w:themeColor="text1"/>
          <w:sz w:val="24"/>
          <w:szCs w:val="24"/>
        </w:rPr>
        <w:t xml:space="preserve"> RH, </w:t>
      </w:r>
      <w:proofErr w:type="spellStart"/>
      <w:r w:rsidRPr="009F13FC">
        <w:rPr>
          <w:rFonts w:ascii="Book Antiqua" w:hAnsi="Book Antiqua"/>
          <w:color w:val="000000" w:themeColor="text1"/>
          <w:sz w:val="24"/>
          <w:szCs w:val="24"/>
        </w:rPr>
        <w:t>Zetterman</w:t>
      </w:r>
      <w:proofErr w:type="spellEnd"/>
      <w:r w:rsidRPr="009F13FC">
        <w:rPr>
          <w:rFonts w:ascii="Book Antiqua" w:hAnsi="Book Antiqua"/>
          <w:color w:val="000000" w:themeColor="text1"/>
          <w:sz w:val="24"/>
          <w:szCs w:val="24"/>
        </w:rPr>
        <w:t xml:space="preserve"> RK, Hoofnagle JH. Weight change and obesity after liver transplantation: incidence and risk factors. </w:t>
      </w:r>
      <w:r w:rsidRPr="009F13FC">
        <w:rPr>
          <w:rFonts w:ascii="Book Antiqua" w:hAnsi="Book Antiqua"/>
          <w:i/>
          <w:color w:val="000000" w:themeColor="text1"/>
          <w:sz w:val="24"/>
          <w:szCs w:val="24"/>
        </w:rPr>
        <w:t xml:space="preserve">Liver </w:t>
      </w:r>
      <w:proofErr w:type="spellStart"/>
      <w:r w:rsidRPr="009F13FC">
        <w:rPr>
          <w:rFonts w:ascii="Book Antiqua" w:hAnsi="Book Antiqua"/>
          <w:i/>
          <w:color w:val="000000" w:themeColor="text1"/>
          <w:sz w:val="24"/>
          <w:szCs w:val="24"/>
        </w:rPr>
        <w:t>Transpl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Surg</w:t>
      </w:r>
      <w:proofErr w:type="spellEnd"/>
      <w:r w:rsidRPr="009F13FC">
        <w:rPr>
          <w:rFonts w:ascii="Book Antiqua" w:hAnsi="Book Antiqua"/>
          <w:color w:val="000000" w:themeColor="text1"/>
          <w:sz w:val="24"/>
          <w:szCs w:val="24"/>
        </w:rPr>
        <w:t xml:space="preserve"> 1998; </w:t>
      </w:r>
      <w:r w:rsidRPr="009F13FC">
        <w:rPr>
          <w:rFonts w:ascii="Book Antiqua" w:hAnsi="Book Antiqua"/>
          <w:b/>
          <w:color w:val="000000" w:themeColor="text1"/>
          <w:sz w:val="24"/>
          <w:szCs w:val="24"/>
        </w:rPr>
        <w:t>4</w:t>
      </w:r>
      <w:r w:rsidRPr="009F13FC">
        <w:rPr>
          <w:rFonts w:ascii="Book Antiqua" w:hAnsi="Book Antiqua"/>
          <w:color w:val="000000" w:themeColor="text1"/>
          <w:sz w:val="24"/>
          <w:szCs w:val="24"/>
        </w:rPr>
        <w:t>: 285-296 [PMID: 9649642 DOI: 10.1002/lt.500040402]</w:t>
      </w:r>
    </w:p>
    <w:p w14:paraId="395A0F49"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78 </w:t>
      </w:r>
      <w:r w:rsidRPr="009F13FC">
        <w:rPr>
          <w:rFonts w:ascii="Book Antiqua" w:hAnsi="Book Antiqua"/>
          <w:b/>
          <w:color w:val="000000" w:themeColor="text1"/>
          <w:sz w:val="24"/>
          <w:szCs w:val="24"/>
        </w:rPr>
        <w:t>Charlton M</w:t>
      </w:r>
      <w:r w:rsidRPr="009F13FC">
        <w:rPr>
          <w:rFonts w:ascii="Book Antiqua" w:hAnsi="Book Antiqua"/>
          <w:color w:val="000000" w:themeColor="text1"/>
          <w:sz w:val="24"/>
          <w:szCs w:val="24"/>
        </w:rPr>
        <w:t xml:space="preserve">, Rinella M, Patel D, </w:t>
      </w:r>
      <w:proofErr w:type="spellStart"/>
      <w:r w:rsidRPr="009F13FC">
        <w:rPr>
          <w:rFonts w:ascii="Book Antiqua" w:hAnsi="Book Antiqua"/>
          <w:color w:val="000000" w:themeColor="text1"/>
          <w:sz w:val="24"/>
          <w:szCs w:val="24"/>
        </w:rPr>
        <w:t>McCague</w:t>
      </w:r>
      <w:proofErr w:type="spellEnd"/>
      <w:r w:rsidRPr="009F13FC">
        <w:rPr>
          <w:rFonts w:ascii="Book Antiqua" w:hAnsi="Book Antiqua"/>
          <w:color w:val="000000" w:themeColor="text1"/>
          <w:sz w:val="24"/>
          <w:szCs w:val="24"/>
        </w:rPr>
        <w:t xml:space="preserve"> K, </w:t>
      </w:r>
      <w:proofErr w:type="spellStart"/>
      <w:r w:rsidRPr="009F13FC">
        <w:rPr>
          <w:rFonts w:ascii="Book Antiqua" w:hAnsi="Book Antiqua"/>
          <w:color w:val="000000" w:themeColor="text1"/>
          <w:sz w:val="24"/>
          <w:szCs w:val="24"/>
        </w:rPr>
        <w:t>Heimbach</w:t>
      </w:r>
      <w:proofErr w:type="spellEnd"/>
      <w:r w:rsidRPr="009F13FC">
        <w:rPr>
          <w:rFonts w:ascii="Book Antiqua" w:hAnsi="Book Antiqua"/>
          <w:color w:val="000000" w:themeColor="text1"/>
          <w:sz w:val="24"/>
          <w:szCs w:val="24"/>
        </w:rPr>
        <w:t xml:space="preserve"> J, Watt K. Everolimus Is Associated With Less Weight Gain Than Tacrolimus 2 Years After Liver Transplantation: Results of a Randomized Multicenter Study. </w:t>
      </w:r>
      <w:r w:rsidRPr="009F13FC">
        <w:rPr>
          <w:rFonts w:ascii="Book Antiqua" w:hAnsi="Book Antiqua"/>
          <w:i/>
          <w:color w:val="000000" w:themeColor="text1"/>
          <w:sz w:val="24"/>
          <w:szCs w:val="24"/>
        </w:rPr>
        <w:t>Transplantation</w:t>
      </w:r>
      <w:r w:rsidRPr="009F13FC">
        <w:rPr>
          <w:rFonts w:ascii="Book Antiqua" w:hAnsi="Book Antiqua"/>
          <w:color w:val="000000" w:themeColor="text1"/>
          <w:sz w:val="24"/>
          <w:szCs w:val="24"/>
        </w:rPr>
        <w:t xml:space="preserve"> 2017; </w:t>
      </w:r>
      <w:r w:rsidRPr="009F13FC">
        <w:rPr>
          <w:rFonts w:ascii="Book Antiqua" w:hAnsi="Book Antiqua"/>
          <w:b/>
          <w:color w:val="000000" w:themeColor="text1"/>
          <w:sz w:val="24"/>
          <w:szCs w:val="24"/>
        </w:rPr>
        <w:t>101</w:t>
      </w:r>
      <w:r w:rsidRPr="009F13FC">
        <w:rPr>
          <w:rFonts w:ascii="Book Antiqua" w:hAnsi="Book Antiqua"/>
          <w:color w:val="000000" w:themeColor="text1"/>
          <w:sz w:val="24"/>
          <w:szCs w:val="24"/>
        </w:rPr>
        <w:t>: 2873-2882 [PMID: 28817434 DOI: 10.1097/TP.0000000000001913]</w:t>
      </w:r>
    </w:p>
    <w:p w14:paraId="4F0941C7" w14:textId="376D435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79 </w:t>
      </w:r>
      <w:r w:rsidRPr="009F13FC">
        <w:rPr>
          <w:rFonts w:ascii="Book Antiqua" w:hAnsi="Book Antiqua"/>
          <w:b/>
          <w:color w:val="000000" w:themeColor="text1"/>
          <w:sz w:val="24"/>
          <w:szCs w:val="24"/>
        </w:rPr>
        <w:t>Chen H,</w:t>
      </w:r>
      <w:r w:rsidRPr="009F13FC">
        <w:rPr>
          <w:rFonts w:ascii="Book Antiqua" w:hAnsi="Book Antiqua"/>
          <w:color w:val="000000" w:themeColor="text1"/>
          <w:sz w:val="24"/>
          <w:szCs w:val="24"/>
        </w:rPr>
        <w:t xml:space="preserve"> Shan S, Wang Y, </w:t>
      </w:r>
      <w:r w:rsidR="000D7027" w:rsidRPr="009F13FC">
        <w:rPr>
          <w:rFonts w:ascii="Book Antiqua" w:hAnsi="Book Antiqua"/>
          <w:color w:val="000000" w:themeColor="text1"/>
          <w:sz w:val="24"/>
          <w:szCs w:val="24"/>
        </w:rPr>
        <w:t>Shen ZY</w:t>
      </w:r>
      <w:r w:rsidRPr="009F13FC">
        <w:rPr>
          <w:rFonts w:ascii="Book Antiqua" w:hAnsi="Book Antiqua"/>
          <w:color w:val="000000" w:themeColor="text1"/>
          <w:sz w:val="24"/>
          <w:szCs w:val="24"/>
        </w:rPr>
        <w:t xml:space="preserve">. Research Progress in Obesity after Liver Transplantation. </w:t>
      </w:r>
      <w:proofErr w:type="spellStart"/>
      <w:r w:rsidR="00214638" w:rsidRPr="009F13FC">
        <w:rPr>
          <w:rFonts w:ascii="Book Antiqua" w:hAnsi="Book Antiqua"/>
          <w:i/>
          <w:iCs/>
          <w:color w:val="000000" w:themeColor="text1"/>
          <w:sz w:val="24"/>
          <w:szCs w:val="24"/>
        </w:rPr>
        <w:t>Zhongguo</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Jijiufusu</w:t>
      </w:r>
      <w:proofErr w:type="spellEnd"/>
      <w:r w:rsidR="00214638" w:rsidRPr="009F13FC">
        <w:rPr>
          <w:rFonts w:ascii="Book Antiqua" w:hAnsi="Book Antiqua"/>
          <w:i/>
          <w:iCs/>
          <w:color w:val="000000" w:themeColor="text1"/>
          <w:sz w:val="24"/>
          <w:szCs w:val="24"/>
        </w:rPr>
        <w:t xml:space="preserve"> Yu </w:t>
      </w:r>
      <w:proofErr w:type="spellStart"/>
      <w:r w:rsidR="00214638" w:rsidRPr="009F13FC">
        <w:rPr>
          <w:rFonts w:ascii="Book Antiqua" w:hAnsi="Book Antiqua"/>
          <w:i/>
          <w:iCs/>
          <w:color w:val="000000" w:themeColor="text1"/>
          <w:sz w:val="24"/>
          <w:szCs w:val="24"/>
        </w:rPr>
        <w:t>Zahaiyixue</w:t>
      </w:r>
      <w:proofErr w:type="spellEnd"/>
      <w:r w:rsidR="00214638" w:rsidRPr="009F13FC">
        <w:rPr>
          <w:rFonts w:ascii="Book Antiqua" w:hAnsi="Book Antiqua"/>
          <w:i/>
          <w:iCs/>
          <w:color w:val="000000" w:themeColor="text1"/>
          <w:sz w:val="24"/>
          <w:szCs w:val="24"/>
        </w:rPr>
        <w:t xml:space="preserve"> </w:t>
      </w:r>
      <w:proofErr w:type="spellStart"/>
      <w:r w:rsidR="00214638" w:rsidRPr="009F13FC">
        <w:rPr>
          <w:rFonts w:ascii="Book Antiqua" w:hAnsi="Book Antiqua"/>
          <w:i/>
          <w:iCs/>
          <w:color w:val="000000" w:themeColor="text1"/>
          <w:sz w:val="24"/>
          <w:szCs w:val="24"/>
        </w:rPr>
        <w:t>Zazhi</w:t>
      </w:r>
      <w:proofErr w:type="spellEnd"/>
      <w:r w:rsidRPr="009F13FC">
        <w:rPr>
          <w:rFonts w:ascii="Book Antiqua" w:hAnsi="Book Antiqua"/>
          <w:color w:val="000000" w:themeColor="text1"/>
          <w:sz w:val="24"/>
          <w:szCs w:val="24"/>
        </w:rPr>
        <w:t xml:space="preserve"> 2010</w:t>
      </w:r>
      <w:r w:rsidR="00214638"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5</w:t>
      </w:r>
      <w:r w:rsidRPr="009F13FC">
        <w:rPr>
          <w:rFonts w:ascii="Book Antiqua" w:hAnsi="Book Antiqua"/>
          <w:color w:val="000000" w:themeColor="text1"/>
          <w:sz w:val="24"/>
          <w:szCs w:val="24"/>
        </w:rPr>
        <w:t>: 1070-</w:t>
      </w:r>
      <w:r w:rsidR="00214638" w:rsidRPr="009F13FC">
        <w:rPr>
          <w:rFonts w:ascii="Book Antiqua" w:hAnsi="Book Antiqua"/>
          <w:color w:val="000000" w:themeColor="text1"/>
          <w:sz w:val="24"/>
          <w:szCs w:val="24"/>
        </w:rPr>
        <w:t>107</w:t>
      </w:r>
      <w:r w:rsidRPr="009F13FC">
        <w:rPr>
          <w:rFonts w:ascii="Book Antiqua" w:hAnsi="Book Antiqua"/>
          <w:color w:val="000000" w:themeColor="text1"/>
          <w:sz w:val="24"/>
          <w:szCs w:val="24"/>
        </w:rPr>
        <w:t xml:space="preserve">1 </w:t>
      </w:r>
      <w:r w:rsidR="00214638"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214638"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10.3969/j.issn.1673-6966.2010.11.030</w:t>
      </w:r>
      <w:r w:rsidR="00214638" w:rsidRPr="009F13FC">
        <w:rPr>
          <w:rFonts w:ascii="Book Antiqua" w:hAnsi="Book Antiqua"/>
          <w:color w:val="000000" w:themeColor="text1"/>
          <w:sz w:val="24"/>
          <w:szCs w:val="24"/>
        </w:rPr>
        <w:t>]</w:t>
      </w:r>
    </w:p>
    <w:p w14:paraId="312D5C77" w14:textId="77777777"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80 </w:t>
      </w:r>
      <w:proofErr w:type="spellStart"/>
      <w:r w:rsidRPr="009F13FC">
        <w:rPr>
          <w:rFonts w:ascii="Book Antiqua" w:hAnsi="Book Antiqua"/>
          <w:b/>
          <w:color w:val="000000" w:themeColor="text1"/>
          <w:sz w:val="24"/>
          <w:szCs w:val="24"/>
        </w:rPr>
        <w:t>Apovian</w:t>
      </w:r>
      <w:proofErr w:type="spellEnd"/>
      <w:r w:rsidRPr="009F13FC">
        <w:rPr>
          <w:rFonts w:ascii="Book Antiqua" w:hAnsi="Book Antiqua"/>
          <w:b/>
          <w:color w:val="000000" w:themeColor="text1"/>
          <w:sz w:val="24"/>
          <w:szCs w:val="24"/>
        </w:rPr>
        <w:t xml:space="preserve"> CM</w:t>
      </w:r>
      <w:r w:rsidRPr="009F13FC">
        <w:rPr>
          <w:rFonts w:ascii="Book Antiqua" w:hAnsi="Book Antiqua"/>
          <w:color w:val="000000" w:themeColor="text1"/>
          <w:sz w:val="24"/>
          <w:szCs w:val="24"/>
        </w:rPr>
        <w:t xml:space="preserve">, </w:t>
      </w:r>
      <w:proofErr w:type="spellStart"/>
      <w:r w:rsidRPr="009F13FC">
        <w:rPr>
          <w:rFonts w:ascii="Book Antiqua" w:hAnsi="Book Antiqua"/>
          <w:color w:val="000000" w:themeColor="text1"/>
          <w:sz w:val="24"/>
          <w:szCs w:val="24"/>
        </w:rPr>
        <w:t>Aronne</w:t>
      </w:r>
      <w:proofErr w:type="spellEnd"/>
      <w:r w:rsidRPr="009F13FC">
        <w:rPr>
          <w:rFonts w:ascii="Book Antiqua" w:hAnsi="Book Antiqua"/>
          <w:color w:val="000000" w:themeColor="text1"/>
          <w:sz w:val="24"/>
          <w:szCs w:val="24"/>
        </w:rPr>
        <w:t xml:space="preserve"> LJ, </w:t>
      </w:r>
      <w:proofErr w:type="spellStart"/>
      <w:r w:rsidRPr="009F13FC">
        <w:rPr>
          <w:rFonts w:ascii="Book Antiqua" w:hAnsi="Book Antiqua"/>
          <w:color w:val="000000" w:themeColor="text1"/>
          <w:sz w:val="24"/>
          <w:szCs w:val="24"/>
        </w:rPr>
        <w:t>Bessesen</w:t>
      </w:r>
      <w:proofErr w:type="spellEnd"/>
      <w:r w:rsidRPr="009F13FC">
        <w:rPr>
          <w:rFonts w:ascii="Book Antiqua" w:hAnsi="Book Antiqua"/>
          <w:color w:val="000000" w:themeColor="text1"/>
          <w:sz w:val="24"/>
          <w:szCs w:val="24"/>
        </w:rPr>
        <w:t xml:space="preserve"> DH, McDonnell ME, Murad MH, </w:t>
      </w:r>
      <w:proofErr w:type="spellStart"/>
      <w:r w:rsidRPr="009F13FC">
        <w:rPr>
          <w:rFonts w:ascii="Book Antiqua" w:hAnsi="Book Antiqua"/>
          <w:color w:val="000000" w:themeColor="text1"/>
          <w:sz w:val="24"/>
          <w:szCs w:val="24"/>
        </w:rPr>
        <w:t>Pagotto</w:t>
      </w:r>
      <w:proofErr w:type="spellEnd"/>
      <w:r w:rsidRPr="009F13FC">
        <w:rPr>
          <w:rFonts w:ascii="Book Antiqua" w:hAnsi="Book Antiqua"/>
          <w:color w:val="000000" w:themeColor="text1"/>
          <w:sz w:val="24"/>
          <w:szCs w:val="24"/>
        </w:rPr>
        <w:t xml:space="preserve"> U, Ryan DH, Still CD; Endocrine Society. Pharmacological management of obesity: an endocrine Society clinical practice guideline. </w:t>
      </w:r>
      <w:r w:rsidRPr="009F13FC">
        <w:rPr>
          <w:rFonts w:ascii="Book Antiqua" w:hAnsi="Book Antiqua"/>
          <w:i/>
          <w:color w:val="000000" w:themeColor="text1"/>
          <w:sz w:val="24"/>
          <w:szCs w:val="24"/>
        </w:rPr>
        <w:t xml:space="preserve">J </w:t>
      </w:r>
      <w:proofErr w:type="spellStart"/>
      <w:r w:rsidRPr="009F13FC">
        <w:rPr>
          <w:rFonts w:ascii="Book Antiqua" w:hAnsi="Book Antiqua"/>
          <w:i/>
          <w:color w:val="000000" w:themeColor="text1"/>
          <w:sz w:val="24"/>
          <w:szCs w:val="24"/>
        </w:rPr>
        <w:t>Clin</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Endocrinol</w:t>
      </w:r>
      <w:proofErr w:type="spellEnd"/>
      <w:r w:rsidRPr="009F13FC">
        <w:rPr>
          <w:rFonts w:ascii="Book Antiqua" w:hAnsi="Book Antiqua"/>
          <w:i/>
          <w:color w:val="000000" w:themeColor="text1"/>
          <w:sz w:val="24"/>
          <w:szCs w:val="24"/>
        </w:rPr>
        <w:t xml:space="preserve"> </w:t>
      </w:r>
      <w:proofErr w:type="spellStart"/>
      <w:r w:rsidRPr="009F13FC">
        <w:rPr>
          <w:rFonts w:ascii="Book Antiqua" w:hAnsi="Book Antiqua"/>
          <w:i/>
          <w:color w:val="000000" w:themeColor="text1"/>
          <w:sz w:val="24"/>
          <w:szCs w:val="24"/>
        </w:rPr>
        <w:t>Metab</w:t>
      </w:r>
      <w:proofErr w:type="spellEnd"/>
      <w:r w:rsidRPr="009F13FC">
        <w:rPr>
          <w:rFonts w:ascii="Book Antiqua" w:hAnsi="Book Antiqua"/>
          <w:color w:val="000000" w:themeColor="text1"/>
          <w:sz w:val="24"/>
          <w:szCs w:val="24"/>
        </w:rPr>
        <w:t xml:space="preserve"> 2015; </w:t>
      </w:r>
      <w:r w:rsidRPr="009F13FC">
        <w:rPr>
          <w:rFonts w:ascii="Book Antiqua" w:hAnsi="Book Antiqua"/>
          <w:b/>
          <w:color w:val="000000" w:themeColor="text1"/>
          <w:sz w:val="24"/>
          <w:szCs w:val="24"/>
        </w:rPr>
        <w:t>100</w:t>
      </w:r>
      <w:r w:rsidRPr="009F13FC">
        <w:rPr>
          <w:rFonts w:ascii="Book Antiqua" w:hAnsi="Book Antiqua"/>
          <w:color w:val="000000" w:themeColor="text1"/>
          <w:sz w:val="24"/>
          <w:szCs w:val="24"/>
        </w:rPr>
        <w:t>: 342-362 [PMID: 25590212 DOI: 10.1210/jc.2014-3415]</w:t>
      </w:r>
    </w:p>
    <w:p w14:paraId="1212BEA9" w14:textId="48B2B544"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8</w:t>
      </w:r>
      <w:r w:rsidR="00A628F6" w:rsidRPr="009F13FC">
        <w:rPr>
          <w:rFonts w:ascii="Book Antiqua" w:hAnsi="Book Antiqua"/>
          <w:color w:val="000000" w:themeColor="text1"/>
          <w:sz w:val="24"/>
          <w:szCs w:val="24"/>
        </w:rPr>
        <w:t>1</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 xml:space="preserve">Chinese Society of Endocrinology. </w:t>
      </w:r>
      <w:r w:rsidRPr="009F13FC">
        <w:rPr>
          <w:rFonts w:ascii="Book Antiqua" w:hAnsi="Book Antiqua"/>
          <w:bCs/>
          <w:color w:val="000000" w:themeColor="text1"/>
          <w:sz w:val="24"/>
          <w:szCs w:val="24"/>
        </w:rPr>
        <w:t xml:space="preserve">Expert Consensus on the Treatment of Hyperuricemia and Gout in Chinese Patients. </w:t>
      </w:r>
      <w:proofErr w:type="spellStart"/>
      <w:r w:rsidR="000D7027" w:rsidRPr="009F13FC">
        <w:rPr>
          <w:rFonts w:ascii="Book Antiqua" w:hAnsi="Book Antiqua"/>
          <w:bCs/>
          <w:i/>
          <w:iCs/>
          <w:color w:val="000000" w:themeColor="text1"/>
          <w:sz w:val="24"/>
          <w:szCs w:val="24"/>
        </w:rPr>
        <w:t>Zhongguo</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Neifenmi</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Daixie</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Zazhi</w:t>
      </w:r>
      <w:proofErr w:type="spellEnd"/>
      <w:r w:rsidRPr="009F13FC">
        <w:rPr>
          <w:rFonts w:ascii="Book Antiqua" w:hAnsi="Book Antiqua"/>
          <w:bCs/>
          <w:color w:val="000000" w:themeColor="text1"/>
          <w:sz w:val="24"/>
          <w:szCs w:val="24"/>
        </w:rPr>
        <w:t xml:space="preserve"> 2013</w:t>
      </w:r>
      <w:r w:rsidR="000D7027"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w:t>
      </w:r>
      <w:r w:rsidRPr="009F13FC">
        <w:rPr>
          <w:rFonts w:ascii="Book Antiqua" w:hAnsi="Book Antiqua"/>
          <w:b/>
          <w:bCs/>
          <w:color w:val="000000" w:themeColor="text1"/>
          <w:sz w:val="24"/>
          <w:szCs w:val="24"/>
        </w:rPr>
        <w:t>29</w:t>
      </w:r>
      <w:r w:rsidRPr="009F13FC">
        <w:rPr>
          <w:rFonts w:ascii="Book Antiqua" w:hAnsi="Book Antiqua"/>
          <w:color w:val="000000" w:themeColor="text1"/>
          <w:sz w:val="24"/>
          <w:szCs w:val="24"/>
        </w:rPr>
        <w:t>: 913-</w:t>
      </w:r>
      <w:r w:rsidR="000D7027" w:rsidRPr="009F13FC">
        <w:rPr>
          <w:rFonts w:ascii="Book Antiqua" w:hAnsi="Book Antiqua"/>
          <w:color w:val="000000" w:themeColor="text1"/>
          <w:sz w:val="24"/>
          <w:szCs w:val="24"/>
        </w:rPr>
        <w:t>9</w:t>
      </w:r>
      <w:r w:rsidRPr="009F13FC">
        <w:rPr>
          <w:rFonts w:ascii="Book Antiqua" w:hAnsi="Book Antiqua"/>
          <w:color w:val="000000" w:themeColor="text1"/>
          <w:sz w:val="24"/>
          <w:szCs w:val="24"/>
        </w:rPr>
        <w:t xml:space="preserve">20 </w:t>
      </w:r>
      <w:r w:rsidR="000D7027" w:rsidRPr="009F13FC">
        <w:rPr>
          <w:rFonts w:ascii="Book Antiqua" w:hAnsi="Book Antiqua"/>
          <w:color w:val="000000" w:themeColor="text1"/>
          <w:sz w:val="24"/>
          <w:szCs w:val="24"/>
        </w:rPr>
        <w:t>[DOI</w:t>
      </w:r>
      <w:r w:rsidRPr="009F13FC">
        <w:rPr>
          <w:rFonts w:ascii="Book Antiqua" w:hAnsi="Book Antiqua"/>
          <w:color w:val="000000" w:themeColor="text1"/>
          <w:sz w:val="24"/>
          <w:szCs w:val="24"/>
        </w:rPr>
        <w:t>:</w:t>
      </w:r>
      <w:r w:rsidR="000D7027"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10.3760/cma.j.issn.1000-6699.2013.11.001</w:t>
      </w:r>
      <w:r w:rsidR="000D7027" w:rsidRPr="009F13FC">
        <w:rPr>
          <w:rFonts w:ascii="Book Antiqua" w:hAnsi="Book Antiqua"/>
          <w:color w:val="000000" w:themeColor="text1"/>
          <w:sz w:val="24"/>
          <w:szCs w:val="24"/>
        </w:rPr>
        <w:t>]</w:t>
      </w:r>
    </w:p>
    <w:p w14:paraId="74290F57" w14:textId="3D65E77C" w:rsidR="00D02C16" w:rsidRPr="009F13FC" w:rsidRDefault="00D02C16">
      <w:pPr>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8</w:t>
      </w:r>
      <w:r w:rsidR="00A628F6" w:rsidRPr="009F13FC">
        <w:rPr>
          <w:rFonts w:ascii="Book Antiqua" w:hAnsi="Book Antiqua"/>
          <w:color w:val="000000" w:themeColor="text1"/>
          <w:sz w:val="24"/>
          <w:szCs w:val="24"/>
        </w:rPr>
        <w:t>2</w:t>
      </w:r>
      <w:r w:rsidRPr="009F13FC">
        <w:rPr>
          <w:rFonts w:ascii="Book Antiqua" w:hAnsi="Book Antiqua"/>
          <w:color w:val="000000" w:themeColor="text1"/>
          <w:sz w:val="24"/>
          <w:szCs w:val="24"/>
        </w:rPr>
        <w:t xml:space="preserve"> </w:t>
      </w:r>
      <w:r w:rsidRPr="009F13FC">
        <w:rPr>
          <w:rFonts w:ascii="Book Antiqua" w:hAnsi="Book Antiqua"/>
          <w:b/>
          <w:color w:val="000000" w:themeColor="text1"/>
          <w:sz w:val="24"/>
          <w:szCs w:val="24"/>
        </w:rPr>
        <w:t xml:space="preserve">Chinese Society of Endocrinology. </w:t>
      </w:r>
      <w:r w:rsidRPr="009F13FC">
        <w:rPr>
          <w:rFonts w:ascii="Book Antiqua" w:hAnsi="Book Antiqua"/>
          <w:bCs/>
          <w:color w:val="000000" w:themeColor="text1"/>
          <w:sz w:val="24"/>
          <w:szCs w:val="24"/>
        </w:rPr>
        <w:t xml:space="preserve">Expert Consensus on Comprehensive Management of Type 2 Diabetes Mellitus with Obesity in Chinese Patients. </w:t>
      </w:r>
      <w:proofErr w:type="spellStart"/>
      <w:r w:rsidR="000D7027" w:rsidRPr="009F13FC">
        <w:rPr>
          <w:rFonts w:ascii="Book Antiqua" w:hAnsi="Book Antiqua"/>
          <w:bCs/>
          <w:i/>
          <w:iCs/>
          <w:color w:val="000000" w:themeColor="text1"/>
          <w:sz w:val="24"/>
          <w:szCs w:val="24"/>
        </w:rPr>
        <w:t>Zhonghua</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Tangniaobing</w:t>
      </w:r>
      <w:proofErr w:type="spellEnd"/>
      <w:r w:rsidR="000D7027" w:rsidRPr="009F13FC">
        <w:rPr>
          <w:rFonts w:ascii="Book Antiqua" w:hAnsi="Book Antiqua"/>
          <w:bCs/>
          <w:i/>
          <w:iCs/>
          <w:color w:val="000000" w:themeColor="text1"/>
          <w:sz w:val="24"/>
          <w:szCs w:val="24"/>
        </w:rPr>
        <w:t xml:space="preserve"> </w:t>
      </w:r>
      <w:proofErr w:type="spellStart"/>
      <w:r w:rsidR="000D7027" w:rsidRPr="009F13FC">
        <w:rPr>
          <w:rFonts w:ascii="Book Antiqua" w:hAnsi="Book Antiqua"/>
          <w:bCs/>
          <w:i/>
          <w:iCs/>
          <w:color w:val="000000" w:themeColor="text1"/>
          <w:sz w:val="24"/>
          <w:szCs w:val="24"/>
        </w:rPr>
        <w:t>Zazhi</w:t>
      </w:r>
      <w:proofErr w:type="spellEnd"/>
      <w:r w:rsidRPr="009F13FC">
        <w:rPr>
          <w:rFonts w:ascii="Book Antiqua" w:hAnsi="Book Antiqua"/>
          <w:bCs/>
          <w:i/>
          <w:iCs/>
          <w:color w:val="000000" w:themeColor="text1"/>
          <w:sz w:val="24"/>
          <w:szCs w:val="24"/>
        </w:rPr>
        <w:t xml:space="preserve"> </w:t>
      </w:r>
      <w:r w:rsidRPr="009F13FC">
        <w:rPr>
          <w:rFonts w:ascii="Book Antiqua" w:hAnsi="Book Antiqua"/>
          <w:color w:val="000000" w:themeColor="text1"/>
          <w:sz w:val="24"/>
          <w:szCs w:val="24"/>
        </w:rPr>
        <w:t>2016</w:t>
      </w:r>
      <w:r w:rsidR="000D702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w:t>
      </w:r>
      <w:r w:rsidRPr="009F13FC">
        <w:rPr>
          <w:rFonts w:ascii="Book Antiqua" w:hAnsi="Book Antiqua"/>
          <w:b/>
          <w:bCs/>
          <w:color w:val="000000" w:themeColor="text1"/>
          <w:sz w:val="24"/>
          <w:szCs w:val="24"/>
        </w:rPr>
        <w:t>8</w:t>
      </w:r>
      <w:r w:rsidRPr="009F13FC">
        <w:rPr>
          <w:rFonts w:ascii="Book Antiqua" w:hAnsi="Book Antiqua"/>
          <w:color w:val="000000" w:themeColor="text1"/>
          <w:sz w:val="24"/>
          <w:szCs w:val="24"/>
        </w:rPr>
        <w:t>: 662-</w:t>
      </w:r>
      <w:r w:rsidR="000D7027" w:rsidRPr="009F13FC">
        <w:rPr>
          <w:rFonts w:ascii="Book Antiqua" w:hAnsi="Book Antiqua"/>
          <w:color w:val="000000" w:themeColor="text1"/>
          <w:sz w:val="24"/>
          <w:szCs w:val="24"/>
        </w:rPr>
        <w:t>66</w:t>
      </w:r>
      <w:r w:rsidRPr="009F13FC">
        <w:rPr>
          <w:rFonts w:ascii="Book Antiqua" w:hAnsi="Book Antiqua"/>
          <w:color w:val="000000" w:themeColor="text1"/>
          <w:sz w:val="24"/>
          <w:szCs w:val="24"/>
        </w:rPr>
        <w:t xml:space="preserve">6 </w:t>
      </w:r>
      <w:r w:rsidR="000D7027"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DOI: </w:t>
      </w:r>
      <w:r w:rsidR="000D7027" w:rsidRPr="009F13FC">
        <w:rPr>
          <w:rFonts w:ascii="Book Antiqua" w:hAnsi="Book Antiqua"/>
          <w:bCs/>
          <w:color w:val="000000" w:themeColor="text1"/>
          <w:sz w:val="24"/>
          <w:szCs w:val="24"/>
        </w:rPr>
        <w:t>10.3760/cma.j.issn.1000-6699.2016.08.001</w:t>
      </w:r>
      <w:r w:rsidR="000D7027" w:rsidRPr="009F13FC">
        <w:rPr>
          <w:rFonts w:ascii="Book Antiqua" w:hAnsi="Book Antiqua"/>
          <w:color w:val="000000" w:themeColor="text1"/>
          <w:sz w:val="24"/>
          <w:szCs w:val="24"/>
        </w:rPr>
        <w:t>]</w:t>
      </w:r>
    </w:p>
    <w:p w14:paraId="03095EC7" w14:textId="77777777" w:rsidR="006C2F11" w:rsidRPr="009F13FC" w:rsidRDefault="006C2F11">
      <w:pPr>
        <w:widowControl/>
        <w:snapToGrid w:val="0"/>
        <w:spacing w:line="360" w:lineRule="auto"/>
        <w:jc w:val="both"/>
        <w:rPr>
          <w:rFonts w:ascii="Book Antiqua" w:eastAsia="Book Antiqua" w:hAnsi="Book Antiqua"/>
          <w:b/>
          <w:bCs/>
          <w:color w:val="000000" w:themeColor="text1"/>
          <w:sz w:val="24"/>
          <w:szCs w:val="24"/>
        </w:rPr>
      </w:pPr>
      <w:r w:rsidRPr="009F13FC">
        <w:rPr>
          <w:rFonts w:ascii="Book Antiqua" w:hAnsi="Book Antiqua"/>
          <w:color w:val="000000" w:themeColor="text1"/>
          <w:sz w:val="24"/>
          <w:szCs w:val="24"/>
        </w:rPr>
        <w:br w:type="page"/>
      </w:r>
    </w:p>
    <w:p w14:paraId="197EFD02" w14:textId="77777777"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lastRenderedPageBreak/>
        <w:t>Footnotes</w:t>
      </w:r>
    </w:p>
    <w:p w14:paraId="3E183663" w14:textId="37BCE90E" w:rsidR="00ED70D6" w:rsidRPr="009F13FC" w:rsidRDefault="003A1E69">
      <w:pPr>
        <w:adjustRightInd w:val="0"/>
        <w:snapToGrid w:val="0"/>
        <w:spacing w:line="360" w:lineRule="auto"/>
        <w:jc w:val="both"/>
        <w:rPr>
          <w:rFonts w:ascii="Book Antiqua" w:eastAsia="Book Antiqua" w:hAnsi="Book Antiqua" w:cs="Book Antiqua"/>
          <w:color w:val="000000" w:themeColor="text1"/>
          <w:sz w:val="24"/>
          <w:szCs w:val="24"/>
        </w:rPr>
      </w:pPr>
      <w:r w:rsidRPr="009F13FC">
        <w:rPr>
          <w:rFonts w:ascii="Book Antiqua" w:hAnsi="Book Antiqua"/>
          <w:b/>
          <w:color w:val="000000" w:themeColor="text1"/>
          <w:sz w:val="24"/>
          <w:szCs w:val="24"/>
        </w:rPr>
        <w:t>Conflict-of-interest statement:</w:t>
      </w:r>
      <w:r w:rsidRPr="009F13FC">
        <w:rPr>
          <w:rFonts w:ascii="Book Antiqua" w:hAnsi="Book Antiqua"/>
          <w:color w:val="000000" w:themeColor="text1"/>
          <w:sz w:val="24"/>
          <w:szCs w:val="24"/>
        </w:rPr>
        <w:t xml:space="preserve"> </w:t>
      </w:r>
      <w:r w:rsidR="00ED70D6" w:rsidRPr="009F13FC">
        <w:rPr>
          <w:rFonts w:ascii="Book Antiqua" w:hAnsi="Book Antiqua"/>
          <w:color w:val="000000" w:themeColor="text1"/>
          <w:sz w:val="24"/>
          <w:szCs w:val="24"/>
        </w:rPr>
        <w:t>All the authors have no conflict of interest related to the</w:t>
      </w:r>
      <w:r w:rsidR="00ED70D6" w:rsidRPr="009F13FC">
        <w:rPr>
          <w:rFonts w:ascii="Book Antiqua" w:hAnsi="Book Antiqua"/>
          <w:color w:val="000000" w:themeColor="text1"/>
          <w:spacing w:val="-6"/>
          <w:sz w:val="24"/>
          <w:szCs w:val="24"/>
        </w:rPr>
        <w:t xml:space="preserve"> </w:t>
      </w:r>
      <w:r w:rsidR="00ED70D6" w:rsidRPr="009F13FC">
        <w:rPr>
          <w:rFonts w:ascii="Book Antiqua" w:hAnsi="Book Antiqua"/>
          <w:color w:val="000000" w:themeColor="text1"/>
          <w:sz w:val="24"/>
          <w:szCs w:val="24"/>
        </w:rPr>
        <w:t>manuscript.</w:t>
      </w:r>
    </w:p>
    <w:p w14:paraId="41EB4723" w14:textId="77777777" w:rsidR="00ED70D6" w:rsidRPr="009F13FC" w:rsidRDefault="00ED70D6">
      <w:pPr>
        <w:adjustRightInd w:val="0"/>
        <w:snapToGrid w:val="0"/>
        <w:spacing w:line="360" w:lineRule="auto"/>
        <w:jc w:val="both"/>
        <w:rPr>
          <w:rFonts w:ascii="Book Antiqua" w:eastAsia="Book Antiqua" w:hAnsi="Book Antiqua" w:cs="Book Antiqua"/>
          <w:color w:val="000000" w:themeColor="text1"/>
          <w:sz w:val="24"/>
          <w:szCs w:val="24"/>
        </w:rPr>
      </w:pPr>
    </w:p>
    <w:p w14:paraId="5A38E457" w14:textId="77777777" w:rsidR="003A1E69" w:rsidRPr="009F13FC" w:rsidRDefault="003A1E69">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b/>
          <w:color w:val="000000" w:themeColor="text1"/>
          <w:sz w:val="24"/>
          <w:szCs w:val="24"/>
        </w:rPr>
        <w:t>Open-Access:</w:t>
      </w:r>
      <w:r w:rsidRPr="009F13F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CB785" w14:textId="77777777" w:rsidR="003A1E69" w:rsidRPr="009F13FC" w:rsidRDefault="003A1E69">
      <w:pPr>
        <w:adjustRightInd w:val="0"/>
        <w:snapToGrid w:val="0"/>
        <w:spacing w:line="360" w:lineRule="auto"/>
        <w:jc w:val="both"/>
        <w:rPr>
          <w:rFonts w:ascii="Book Antiqua" w:hAnsi="Book Antiqua"/>
          <w:color w:val="000000" w:themeColor="text1"/>
          <w:sz w:val="24"/>
          <w:szCs w:val="24"/>
        </w:rPr>
      </w:pPr>
    </w:p>
    <w:p w14:paraId="3E3941F5" w14:textId="77777777" w:rsidR="003A1E69" w:rsidRPr="009F13FC" w:rsidRDefault="003A1E69">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
          <w:bCs/>
          <w:color w:val="000000" w:themeColor="text1"/>
          <w:sz w:val="24"/>
          <w:szCs w:val="24"/>
          <w:lang w:eastAsia="pl-PL"/>
        </w:rPr>
        <w:t>Manuscript source:</w:t>
      </w:r>
      <w:r w:rsidRPr="009F13FC">
        <w:rPr>
          <w:rFonts w:ascii="Book Antiqua" w:hAnsi="Book Antiqua"/>
          <w:b/>
          <w:bCs/>
          <w:color w:val="000000" w:themeColor="text1"/>
          <w:sz w:val="24"/>
          <w:szCs w:val="24"/>
        </w:rPr>
        <w:t xml:space="preserve"> </w:t>
      </w:r>
      <w:r w:rsidRPr="009F13FC">
        <w:rPr>
          <w:rFonts w:ascii="Book Antiqua" w:hAnsi="Book Antiqua"/>
          <w:bCs/>
          <w:color w:val="000000" w:themeColor="text1"/>
          <w:sz w:val="24"/>
          <w:szCs w:val="24"/>
          <w:lang w:eastAsia="pl-PL"/>
        </w:rPr>
        <w:t>Unsolicited manuscript</w:t>
      </w:r>
    </w:p>
    <w:p w14:paraId="35A42946" w14:textId="77777777" w:rsidR="003A1E69" w:rsidRPr="009F13FC" w:rsidRDefault="003A1E69">
      <w:pPr>
        <w:adjustRightInd w:val="0"/>
        <w:snapToGrid w:val="0"/>
        <w:spacing w:line="360" w:lineRule="auto"/>
        <w:jc w:val="both"/>
        <w:rPr>
          <w:rFonts w:ascii="Book Antiqua" w:hAnsi="Book Antiqua"/>
          <w:b/>
          <w:bCs/>
          <w:color w:val="000000" w:themeColor="text1"/>
          <w:sz w:val="24"/>
          <w:szCs w:val="24"/>
        </w:rPr>
      </w:pPr>
    </w:p>
    <w:p w14:paraId="460BC473" w14:textId="0902CC8A"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Peer-review started: </w:t>
      </w:r>
      <w:r w:rsidRPr="009F13FC">
        <w:rPr>
          <w:rFonts w:ascii="Book Antiqua" w:hAnsi="Book Antiqua"/>
          <w:bCs/>
          <w:color w:val="000000" w:themeColor="text1"/>
          <w:sz w:val="24"/>
          <w:szCs w:val="24"/>
        </w:rPr>
        <w:t>March 15, 2020</w:t>
      </w:r>
    </w:p>
    <w:p w14:paraId="4C7C5288" w14:textId="75732811" w:rsidR="003A1E69" w:rsidRPr="009F13FC" w:rsidRDefault="003A1E69">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
          <w:color w:val="000000" w:themeColor="text1"/>
          <w:sz w:val="24"/>
          <w:szCs w:val="24"/>
        </w:rPr>
        <w:t xml:space="preserve">First decision: </w:t>
      </w:r>
      <w:r w:rsidRPr="009F13FC">
        <w:rPr>
          <w:rFonts w:ascii="Book Antiqua" w:hAnsi="Book Antiqua"/>
          <w:bCs/>
          <w:color w:val="000000" w:themeColor="text1"/>
          <w:sz w:val="24"/>
          <w:szCs w:val="24"/>
        </w:rPr>
        <w:t>April 8, 2020</w:t>
      </w:r>
    </w:p>
    <w:p w14:paraId="587714AE" w14:textId="6B32B542"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Article in press:</w:t>
      </w:r>
      <w:r w:rsidR="004D1353" w:rsidRPr="004D1353">
        <w:rPr>
          <w:rFonts w:ascii="Book Antiqua" w:hAnsi="Book Antiqua"/>
          <w:bCs/>
          <w:color w:val="000000" w:themeColor="text1"/>
          <w:sz w:val="24"/>
          <w:szCs w:val="24"/>
        </w:rPr>
        <w:t xml:space="preserve"> </w:t>
      </w:r>
      <w:r w:rsidR="004D1353" w:rsidRPr="009F13FC">
        <w:rPr>
          <w:rFonts w:ascii="Book Antiqua" w:hAnsi="Book Antiqua"/>
          <w:bCs/>
          <w:color w:val="000000" w:themeColor="text1"/>
          <w:sz w:val="24"/>
          <w:szCs w:val="24"/>
        </w:rPr>
        <w:t>July 4, 2020</w:t>
      </w:r>
    </w:p>
    <w:p w14:paraId="6B6138EA" w14:textId="77777777" w:rsidR="003A1E69" w:rsidRPr="009F13FC" w:rsidRDefault="003A1E69">
      <w:pPr>
        <w:adjustRightInd w:val="0"/>
        <w:snapToGrid w:val="0"/>
        <w:spacing w:line="360" w:lineRule="auto"/>
        <w:jc w:val="both"/>
        <w:rPr>
          <w:rFonts w:ascii="Book Antiqua" w:eastAsia="宋体" w:hAnsi="Book Antiqua" w:cs="Times New Roman"/>
          <w:b/>
          <w:color w:val="000000" w:themeColor="text1"/>
          <w:sz w:val="24"/>
          <w:szCs w:val="24"/>
        </w:rPr>
      </w:pPr>
    </w:p>
    <w:p w14:paraId="0BD163D2" w14:textId="77777777" w:rsidR="003A1E69" w:rsidRPr="009F13FC" w:rsidRDefault="003A1E69">
      <w:pPr>
        <w:shd w:val="clear" w:color="auto" w:fill="FFFFFF"/>
        <w:snapToGrid w:val="0"/>
        <w:spacing w:line="360" w:lineRule="auto"/>
        <w:jc w:val="both"/>
        <w:rPr>
          <w:rFonts w:ascii="Book Antiqua" w:hAnsi="Book Antiqua" w:cs="Helvetica"/>
          <w:b/>
          <w:color w:val="000000" w:themeColor="text1"/>
          <w:sz w:val="24"/>
          <w:szCs w:val="24"/>
        </w:rPr>
      </w:pPr>
      <w:r w:rsidRPr="009F13FC">
        <w:rPr>
          <w:rFonts w:ascii="Book Antiqua" w:hAnsi="Book Antiqua" w:cs="Helvetica"/>
          <w:b/>
          <w:color w:val="000000" w:themeColor="text1"/>
          <w:sz w:val="24"/>
          <w:szCs w:val="24"/>
        </w:rPr>
        <w:t xml:space="preserve">Specialty type: </w:t>
      </w:r>
      <w:r w:rsidRPr="009F13FC">
        <w:rPr>
          <w:rFonts w:ascii="Book Antiqua" w:eastAsia="微软雅黑" w:hAnsi="Book Antiqua" w:cs="宋体"/>
          <w:color w:val="000000" w:themeColor="text1"/>
          <w:sz w:val="24"/>
          <w:szCs w:val="24"/>
        </w:rPr>
        <w:t>Gastroenterology and hepatology</w:t>
      </w:r>
    </w:p>
    <w:p w14:paraId="7AEF17AC" w14:textId="77777777" w:rsidR="003A1E69" w:rsidRPr="00D9152E" w:rsidRDefault="003A1E69">
      <w:pPr>
        <w:shd w:val="clear" w:color="auto" w:fill="FFFFFF"/>
        <w:snapToGrid w:val="0"/>
        <w:spacing w:line="360" w:lineRule="auto"/>
        <w:jc w:val="both"/>
        <w:rPr>
          <w:rFonts w:ascii="Book Antiqua" w:hAnsi="Book Antiqua" w:cs="Helvetica"/>
          <w:b/>
          <w:color w:val="000000" w:themeColor="text1"/>
          <w:sz w:val="24"/>
          <w:szCs w:val="24"/>
        </w:rPr>
      </w:pPr>
      <w:r w:rsidRPr="009F13FC">
        <w:rPr>
          <w:rFonts w:ascii="Book Antiqua" w:hAnsi="Book Antiqua" w:cs="宋体"/>
          <w:b/>
          <w:color w:val="000000" w:themeColor="text1"/>
          <w:sz w:val="24"/>
          <w:szCs w:val="24"/>
        </w:rPr>
        <w:t>Country/Territory</w:t>
      </w:r>
      <w:r w:rsidRPr="009F13FC">
        <w:rPr>
          <w:rFonts w:ascii="Book Antiqua" w:hAnsi="Book Antiqua" w:cs="Helvetica"/>
          <w:b/>
          <w:color w:val="000000" w:themeColor="text1"/>
          <w:sz w:val="24"/>
          <w:szCs w:val="24"/>
        </w:rPr>
        <w:t xml:space="preserve"> of origin: </w:t>
      </w:r>
      <w:r w:rsidRPr="009F13FC">
        <w:rPr>
          <w:rFonts w:ascii="Book Antiqua" w:hAnsi="Book Antiqua" w:cs="Helvetica"/>
          <w:color w:val="000000" w:themeColor="text1"/>
          <w:sz w:val="24"/>
          <w:szCs w:val="24"/>
        </w:rPr>
        <w:t>China</w:t>
      </w:r>
    </w:p>
    <w:p w14:paraId="416C1E04" w14:textId="77777777" w:rsidR="003A1E69" w:rsidRPr="00AF291D" w:rsidRDefault="003A1E69">
      <w:pPr>
        <w:adjustRightInd w:val="0"/>
        <w:snapToGrid w:val="0"/>
        <w:spacing w:line="360" w:lineRule="auto"/>
        <w:jc w:val="both"/>
        <w:rPr>
          <w:rFonts w:ascii="Book Antiqua" w:hAnsi="Book Antiqua" w:cs="宋体"/>
          <w:b/>
          <w:color w:val="000000" w:themeColor="text1"/>
          <w:sz w:val="24"/>
          <w:szCs w:val="24"/>
        </w:rPr>
      </w:pPr>
      <w:r w:rsidRPr="00AF291D">
        <w:rPr>
          <w:rFonts w:ascii="Book Antiqua" w:hAnsi="Book Antiqua" w:cs="宋体"/>
          <w:b/>
          <w:color w:val="000000" w:themeColor="text1"/>
          <w:sz w:val="24"/>
          <w:szCs w:val="24"/>
        </w:rPr>
        <w:t>Peer-review report’s scientific quality classification</w:t>
      </w:r>
    </w:p>
    <w:p w14:paraId="6BC85518" w14:textId="77777777"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A (Excellent): 0</w:t>
      </w:r>
    </w:p>
    <w:p w14:paraId="7F756B28" w14:textId="7DC7F44F"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B (Very good): B, B</w:t>
      </w:r>
    </w:p>
    <w:p w14:paraId="569CDE08" w14:textId="0FBA0611"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C (Good): 0</w:t>
      </w:r>
    </w:p>
    <w:p w14:paraId="5AFEC686" w14:textId="77777777"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D (Fair): 0</w:t>
      </w:r>
    </w:p>
    <w:p w14:paraId="7B12F8EA" w14:textId="5B83BCFA" w:rsidR="003A1E69" w:rsidRPr="009F13FC" w:rsidRDefault="003A1E69">
      <w:pPr>
        <w:shd w:val="clear" w:color="auto" w:fill="FFFFFF"/>
        <w:snapToGrid w:val="0"/>
        <w:spacing w:line="360" w:lineRule="auto"/>
        <w:jc w:val="both"/>
        <w:rPr>
          <w:rFonts w:ascii="Book Antiqua" w:hAnsi="Book Antiqua" w:cs="Helvetica"/>
          <w:color w:val="000000" w:themeColor="text1"/>
          <w:sz w:val="24"/>
          <w:szCs w:val="24"/>
        </w:rPr>
      </w:pPr>
      <w:r w:rsidRPr="009F13FC">
        <w:rPr>
          <w:rFonts w:ascii="Book Antiqua" w:hAnsi="Book Antiqua" w:cs="Helvetica"/>
          <w:color w:val="000000" w:themeColor="text1"/>
          <w:sz w:val="24"/>
          <w:szCs w:val="24"/>
        </w:rPr>
        <w:t>Grade E (Poor): E</w:t>
      </w:r>
    </w:p>
    <w:p w14:paraId="21E41AFA" w14:textId="77777777" w:rsidR="003A1E69" w:rsidRPr="00D9152E" w:rsidRDefault="003A1E69">
      <w:pPr>
        <w:suppressAutoHyphens/>
        <w:adjustRightInd w:val="0"/>
        <w:snapToGrid w:val="0"/>
        <w:spacing w:line="360" w:lineRule="auto"/>
        <w:ind w:right="120"/>
        <w:jc w:val="both"/>
        <w:rPr>
          <w:rFonts w:ascii="Book Antiqua" w:hAnsi="Book Antiqua" w:cs="Arial"/>
          <w:b/>
          <w:color w:val="000000" w:themeColor="text1"/>
          <w:sz w:val="24"/>
          <w:szCs w:val="24"/>
          <w:lang w:bidi="hi-IN"/>
        </w:rPr>
      </w:pPr>
    </w:p>
    <w:p w14:paraId="46EBA6F0" w14:textId="65A9A2BE" w:rsidR="003A1E69" w:rsidRPr="00AF291D" w:rsidRDefault="003A1E69">
      <w:pPr>
        <w:widowControl/>
        <w:snapToGrid w:val="0"/>
        <w:spacing w:line="360" w:lineRule="auto"/>
        <w:jc w:val="both"/>
        <w:rPr>
          <w:rFonts w:ascii="Book Antiqua" w:eastAsia="宋体" w:hAnsi="Book Antiqua" w:cs="宋体" w:hint="eastAsia"/>
          <w:color w:val="000000" w:themeColor="text1"/>
          <w:sz w:val="24"/>
          <w:szCs w:val="24"/>
          <w:lang w:eastAsia="zh-CN"/>
        </w:rPr>
      </w:pPr>
      <w:r w:rsidRPr="00D9152E">
        <w:rPr>
          <w:rFonts w:ascii="Book Antiqua" w:eastAsia="Lucida Sans Unicode" w:hAnsi="Book Antiqua" w:cs="Arial"/>
          <w:b/>
          <w:color w:val="000000" w:themeColor="text1"/>
          <w:sz w:val="24"/>
          <w:szCs w:val="24"/>
          <w:lang w:eastAsia="hi-IN" w:bidi="hi-IN"/>
        </w:rPr>
        <w:t>P-Reviewer</w:t>
      </w:r>
      <w:r w:rsidRPr="00D9152E">
        <w:rPr>
          <w:rFonts w:ascii="Book Antiqua" w:hAnsi="Book Antiqua" w:cs="Arial"/>
          <w:b/>
          <w:color w:val="000000" w:themeColor="text1"/>
          <w:sz w:val="24"/>
          <w:szCs w:val="24"/>
          <w:lang w:bidi="hi-IN"/>
        </w:rPr>
        <w:t>:</w:t>
      </w:r>
      <w:r w:rsidRPr="00AF291D">
        <w:rPr>
          <w:rFonts w:ascii="Book Antiqua" w:hAnsi="Book Antiqua"/>
          <w:color w:val="000000" w:themeColor="text1"/>
          <w:sz w:val="24"/>
          <w:szCs w:val="24"/>
        </w:rPr>
        <w:t xml:space="preserve"> </w:t>
      </w:r>
      <w:r w:rsidRPr="00AF291D">
        <w:rPr>
          <w:rFonts w:ascii="Book Antiqua" w:eastAsia="宋体" w:hAnsi="Book Antiqua" w:cs="宋体"/>
          <w:color w:val="000000" w:themeColor="text1"/>
          <w:sz w:val="24"/>
          <w:szCs w:val="24"/>
          <w:shd w:val="clear" w:color="auto" w:fill="FFFFFF"/>
          <w:lang w:eastAsia="zh-CN"/>
        </w:rPr>
        <w:t>Enosawa</w:t>
      </w:r>
      <w:r w:rsidRPr="00AF291D">
        <w:rPr>
          <w:rFonts w:ascii="Book Antiqua" w:eastAsia="宋体" w:hAnsi="Book Antiqua" w:cs="宋体"/>
          <w:color w:val="000000" w:themeColor="text1"/>
          <w:sz w:val="24"/>
          <w:szCs w:val="24"/>
          <w:lang w:eastAsia="zh-CN"/>
        </w:rPr>
        <w:t xml:space="preserve"> S, </w:t>
      </w:r>
      <w:r w:rsidRPr="00AF291D">
        <w:rPr>
          <w:rFonts w:ascii="Book Antiqua" w:eastAsia="宋体" w:hAnsi="Book Antiqua" w:cs="宋体"/>
          <w:color w:val="000000" w:themeColor="text1"/>
          <w:sz w:val="24"/>
          <w:szCs w:val="24"/>
          <w:shd w:val="clear" w:color="auto" w:fill="FFFFFF"/>
          <w:lang w:eastAsia="zh-CN"/>
        </w:rPr>
        <w:t>Therapondos</w:t>
      </w:r>
      <w:r w:rsidRPr="009A543A">
        <w:rPr>
          <w:rFonts w:ascii="Book Antiqua" w:eastAsia="宋体" w:hAnsi="Book Antiqua" w:cs="宋体"/>
          <w:color w:val="000000" w:themeColor="text1"/>
          <w:sz w:val="24"/>
          <w:szCs w:val="24"/>
          <w:lang w:eastAsia="zh-CN"/>
        </w:rPr>
        <w:t xml:space="preserve"> G, </w:t>
      </w:r>
      <w:r w:rsidRPr="009F13FC">
        <w:rPr>
          <w:rFonts w:ascii="Book Antiqua" w:eastAsia="宋体" w:hAnsi="Book Antiqua" w:cs="宋体"/>
          <w:color w:val="000000" w:themeColor="text1"/>
          <w:sz w:val="24"/>
          <w:szCs w:val="24"/>
          <w:shd w:val="clear" w:color="auto" w:fill="FFFFFF"/>
          <w:lang w:eastAsia="zh-CN"/>
        </w:rPr>
        <w:t>Uhlmann</w:t>
      </w:r>
      <w:r w:rsidRPr="009F13FC">
        <w:rPr>
          <w:rFonts w:ascii="Book Antiqua" w:eastAsia="宋体" w:hAnsi="Book Antiqua" w:cs="宋体"/>
          <w:color w:val="000000" w:themeColor="text1"/>
          <w:sz w:val="24"/>
          <w:szCs w:val="24"/>
          <w:lang w:eastAsia="zh-CN"/>
        </w:rPr>
        <w:t xml:space="preserve"> D</w:t>
      </w:r>
      <w:r w:rsidRPr="009F13FC">
        <w:rPr>
          <w:rFonts w:ascii="Book Antiqua" w:hAnsi="Book Antiqua"/>
          <w:color w:val="000000" w:themeColor="text1"/>
          <w:sz w:val="24"/>
          <w:szCs w:val="24"/>
        </w:rPr>
        <w:t xml:space="preserve"> </w:t>
      </w:r>
      <w:r w:rsidRPr="00D9152E">
        <w:rPr>
          <w:rFonts w:ascii="Book Antiqua" w:eastAsia="Lucida Sans Unicode" w:hAnsi="Book Antiqua" w:cs="Mangal"/>
          <w:b/>
          <w:bCs/>
          <w:color w:val="000000" w:themeColor="text1"/>
          <w:sz w:val="24"/>
          <w:szCs w:val="24"/>
          <w:lang w:eastAsia="hi-IN" w:bidi="hi-IN"/>
        </w:rPr>
        <w:t>S-Editor</w:t>
      </w:r>
      <w:r w:rsidRPr="00D9152E">
        <w:rPr>
          <w:rFonts w:ascii="Book Antiqua" w:hAnsi="Book Antiqua" w:cs="Mangal"/>
          <w:b/>
          <w:bCs/>
          <w:color w:val="000000" w:themeColor="text1"/>
          <w:sz w:val="24"/>
          <w:szCs w:val="24"/>
          <w:lang w:bidi="hi-IN"/>
        </w:rPr>
        <w:t>:</w:t>
      </w:r>
      <w:r w:rsidRPr="00D9152E">
        <w:rPr>
          <w:rFonts w:ascii="Book Antiqua" w:eastAsia="Lucida Sans Unicode" w:hAnsi="Book Antiqua" w:cs="Mangal"/>
          <w:bCs/>
          <w:color w:val="000000" w:themeColor="text1"/>
          <w:sz w:val="24"/>
          <w:szCs w:val="24"/>
          <w:lang w:eastAsia="hi-IN" w:bidi="hi-IN"/>
        </w:rPr>
        <w:t xml:space="preserve"> </w:t>
      </w:r>
      <w:r w:rsidRPr="00D9152E">
        <w:rPr>
          <w:rFonts w:ascii="Book Antiqua" w:hAnsi="Book Antiqua" w:cs="Mangal"/>
          <w:bCs/>
          <w:color w:val="000000" w:themeColor="text1"/>
          <w:sz w:val="24"/>
          <w:szCs w:val="24"/>
          <w:lang w:bidi="hi-IN"/>
        </w:rPr>
        <w:t>Dou Y</w:t>
      </w:r>
      <w:r w:rsidRPr="00D9152E">
        <w:rPr>
          <w:rFonts w:ascii="Book Antiqua" w:eastAsia="Lucida Sans Unicode" w:hAnsi="Book Antiqua" w:cs="Mangal"/>
          <w:b/>
          <w:bCs/>
          <w:color w:val="000000" w:themeColor="text1"/>
          <w:sz w:val="24"/>
          <w:szCs w:val="24"/>
          <w:lang w:eastAsia="hi-IN" w:bidi="hi-IN"/>
        </w:rPr>
        <w:t xml:space="preserve"> L-Editor</w:t>
      </w:r>
      <w:r w:rsidRPr="00D9152E">
        <w:rPr>
          <w:rFonts w:ascii="Book Antiqua" w:hAnsi="Book Antiqua" w:cs="Mangal"/>
          <w:b/>
          <w:bCs/>
          <w:color w:val="000000" w:themeColor="text1"/>
          <w:sz w:val="24"/>
          <w:szCs w:val="24"/>
          <w:lang w:bidi="hi-IN"/>
        </w:rPr>
        <w:t xml:space="preserve">: </w:t>
      </w:r>
      <w:proofErr w:type="spellStart"/>
      <w:r w:rsidR="005727AF" w:rsidRPr="00D9152E">
        <w:rPr>
          <w:rFonts w:ascii="Book Antiqua" w:hAnsi="Book Antiqua" w:cs="Mangal"/>
          <w:bCs/>
          <w:color w:val="000000" w:themeColor="text1"/>
          <w:sz w:val="24"/>
          <w:szCs w:val="24"/>
          <w:lang w:bidi="hi-IN"/>
        </w:rPr>
        <w:t>Filipodia</w:t>
      </w:r>
      <w:proofErr w:type="spellEnd"/>
      <w:r w:rsidR="005727AF" w:rsidRPr="00D9152E">
        <w:rPr>
          <w:rFonts w:ascii="Book Antiqua" w:hAnsi="Book Antiqua" w:cs="Mangal"/>
          <w:bCs/>
          <w:color w:val="000000" w:themeColor="text1"/>
          <w:sz w:val="24"/>
          <w:szCs w:val="24"/>
          <w:lang w:bidi="hi-IN"/>
        </w:rPr>
        <w:t xml:space="preserve"> </w:t>
      </w:r>
      <w:r w:rsidRPr="00D9152E">
        <w:rPr>
          <w:rFonts w:ascii="Book Antiqua" w:eastAsia="Lucida Sans Unicode" w:hAnsi="Book Antiqua" w:cs="Mangal"/>
          <w:b/>
          <w:bCs/>
          <w:color w:val="000000" w:themeColor="text1"/>
          <w:sz w:val="24"/>
          <w:szCs w:val="24"/>
          <w:lang w:eastAsia="hi-IN" w:bidi="hi-IN"/>
        </w:rPr>
        <w:t>E-Editor</w:t>
      </w:r>
      <w:r w:rsidRPr="00D9152E">
        <w:rPr>
          <w:rFonts w:ascii="Book Antiqua" w:hAnsi="Book Antiqua" w:cs="Mangal"/>
          <w:b/>
          <w:bCs/>
          <w:color w:val="000000" w:themeColor="text1"/>
          <w:sz w:val="24"/>
          <w:szCs w:val="24"/>
          <w:lang w:bidi="hi-IN"/>
        </w:rPr>
        <w:t>:</w:t>
      </w:r>
      <w:r w:rsidRPr="00D9152E">
        <w:rPr>
          <w:rFonts w:ascii="Book Antiqua" w:hAnsi="Book Antiqua"/>
          <w:color w:val="000000" w:themeColor="text1"/>
          <w:sz w:val="24"/>
          <w:szCs w:val="24"/>
        </w:rPr>
        <w:t xml:space="preserve"> </w:t>
      </w:r>
      <w:r w:rsidR="004D1353">
        <w:rPr>
          <w:rFonts w:ascii="Book Antiqua" w:hAnsi="Book Antiqua" w:hint="eastAsia"/>
          <w:color w:val="000000" w:themeColor="text1"/>
          <w:sz w:val="24"/>
          <w:szCs w:val="24"/>
          <w:lang w:eastAsia="zh-CN"/>
        </w:rPr>
        <w:t xml:space="preserve"> Ma YJ</w:t>
      </w:r>
      <w:bookmarkStart w:id="9" w:name="_GoBack"/>
      <w:bookmarkEnd w:id="9"/>
    </w:p>
    <w:p w14:paraId="370782A8" w14:textId="77777777" w:rsidR="006C2F11" w:rsidRPr="009F13FC" w:rsidRDefault="006C2F11">
      <w:pPr>
        <w:widowControl/>
        <w:snapToGrid w:val="0"/>
        <w:spacing w:line="360" w:lineRule="auto"/>
        <w:jc w:val="both"/>
        <w:rPr>
          <w:rFonts w:ascii="Book Antiqua" w:eastAsia="Book Antiqua" w:hAnsi="Book Antiqua"/>
          <w:b/>
          <w:bCs/>
          <w:color w:val="000000" w:themeColor="text1"/>
          <w:sz w:val="24"/>
          <w:szCs w:val="24"/>
        </w:rPr>
      </w:pPr>
      <w:r w:rsidRPr="009F13FC">
        <w:rPr>
          <w:rFonts w:ascii="Book Antiqua" w:hAnsi="Book Antiqua"/>
          <w:b/>
          <w:bCs/>
          <w:color w:val="000000" w:themeColor="text1"/>
          <w:sz w:val="24"/>
          <w:szCs w:val="24"/>
        </w:rPr>
        <w:br w:type="page"/>
      </w:r>
    </w:p>
    <w:p w14:paraId="0F9C9A92" w14:textId="77777777" w:rsidR="003A1E69" w:rsidRPr="009F13FC" w:rsidRDefault="003A1E69">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lastRenderedPageBreak/>
        <w:t>Figure Legends</w:t>
      </w:r>
    </w:p>
    <w:p w14:paraId="51494CB5" w14:textId="291C6F8A" w:rsidR="00ED70D6" w:rsidRPr="00AF291D" w:rsidRDefault="00ED70D6">
      <w:pPr>
        <w:adjustRightInd w:val="0"/>
        <w:snapToGrid w:val="0"/>
        <w:spacing w:line="360" w:lineRule="auto"/>
        <w:jc w:val="both"/>
        <w:textDirection w:val="btLr"/>
        <w:rPr>
          <w:rFonts w:ascii="Book Antiqua" w:hAnsi="Book Antiqua"/>
          <w:color w:val="000000" w:themeColor="text1"/>
          <w:sz w:val="24"/>
          <w:szCs w:val="24"/>
        </w:rPr>
      </w:pPr>
      <w:r w:rsidRPr="008D2702">
        <w:rPr>
          <w:rFonts w:ascii="Book Antiqua" w:hAnsi="Book Antiqua"/>
          <w:noProof/>
          <w:color w:val="000000" w:themeColor="text1"/>
          <w:sz w:val="24"/>
          <w:szCs w:val="24"/>
          <w:lang w:eastAsia="zh-CN"/>
        </w:rPr>
        <w:drawing>
          <wp:inline distT="0" distB="0" distL="0" distR="0" wp14:anchorId="42EFD713" wp14:editId="464FB288">
            <wp:extent cx="5274310" cy="2783205"/>
            <wp:effectExtent l="0" t="0" r="0" b="0"/>
            <wp:docPr id="22" name="图片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433701-01DD-49DA-80C6-0EF61293D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433701-01DD-49DA-80C6-0EF61293D0D1}"/>
                        </a:ext>
                      </a:extLst>
                    </pic:cNvPr>
                    <pic:cNvPicPr>
                      <a:picLocks noChangeAspect="1"/>
                    </pic:cNvPicPr>
                  </pic:nvPicPr>
                  <pic:blipFill>
                    <a:blip r:embed="rId10"/>
                    <a:stretch>
                      <a:fillRect/>
                    </a:stretch>
                  </pic:blipFill>
                  <pic:spPr>
                    <a:xfrm>
                      <a:off x="0" y="0"/>
                      <a:ext cx="5274310" cy="2783205"/>
                    </a:xfrm>
                    <a:prstGeom prst="rect">
                      <a:avLst/>
                    </a:prstGeom>
                  </pic:spPr>
                </pic:pic>
              </a:graphicData>
            </a:graphic>
          </wp:inline>
        </w:drawing>
      </w:r>
    </w:p>
    <w:p w14:paraId="6A2FBF97" w14:textId="60C54491" w:rsidR="006C2F11" w:rsidRPr="009F13FC" w:rsidRDefault="00ED70D6">
      <w:pPr>
        <w:adjustRightInd w:val="0"/>
        <w:snapToGrid w:val="0"/>
        <w:spacing w:line="360" w:lineRule="auto"/>
        <w:jc w:val="both"/>
        <w:textDirection w:val="btLr"/>
        <w:rPr>
          <w:rFonts w:ascii="Book Antiqua" w:hAnsi="Book Antiqua"/>
          <w:color w:val="000000" w:themeColor="text1"/>
          <w:sz w:val="24"/>
          <w:szCs w:val="24"/>
        </w:rPr>
      </w:pPr>
      <w:r w:rsidRPr="009F13FC">
        <w:rPr>
          <w:rFonts w:ascii="Book Antiqua" w:hAnsi="Book Antiqua"/>
          <w:b/>
          <w:bCs/>
          <w:color w:val="000000" w:themeColor="text1"/>
          <w:sz w:val="24"/>
          <w:szCs w:val="24"/>
        </w:rPr>
        <w:t xml:space="preserve">Figure 1 Risk </w:t>
      </w:r>
      <w:r w:rsidR="00D02C16" w:rsidRPr="009F13FC">
        <w:rPr>
          <w:rFonts w:ascii="Book Antiqua" w:hAnsi="Book Antiqua"/>
          <w:b/>
          <w:bCs/>
          <w:color w:val="000000" w:themeColor="text1"/>
          <w:sz w:val="24"/>
          <w:szCs w:val="24"/>
        </w:rPr>
        <w:t>factors for post-liver transplant diabetes mellitus</w:t>
      </w:r>
      <w:r w:rsidRPr="009F13FC">
        <w:rPr>
          <w:rFonts w:ascii="Book Antiqua" w:hAnsi="Book Antiqua"/>
          <w:b/>
          <w:bCs/>
          <w:color w:val="000000" w:themeColor="text1"/>
          <w:sz w:val="24"/>
          <w:szCs w:val="24"/>
          <w:vertAlign w:val="superscript"/>
        </w:rPr>
        <w:t>[3]</w:t>
      </w:r>
      <w:r w:rsidR="006C2F11" w:rsidRPr="009F13FC">
        <w:rPr>
          <w:rFonts w:ascii="Book Antiqua" w:hAnsi="Book Antiqua"/>
          <w:b/>
          <w:bCs/>
          <w:color w:val="000000" w:themeColor="text1"/>
          <w:sz w:val="24"/>
          <w:szCs w:val="24"/>
        </w:rPr>
        <w:t>.</w:t>
      </w:r>
      <w:r w:rsidR="006C2F11" w:rsidRPr="009F13FC">
        <w:rPr>
          <w:rFonts w:ascii="Book Antiqua" w:hAnsi="Book Antiqua"/>
          <w:color w:val="000000" w:themeColor="text1"/>
          <w:sz w:val="24"/>
          <w:szCs w:val="24"/>
        </w:rPr>
        <w:t xml:space="preserve"> </w:t>
      </w:r>
      <w:r w:rsidR="006A082C" w:rsidRPr="009F13FC">
        <w:rPr>
          <w:rFonts w:ascii="Book Antiqua" w:hAnsi="Book Antiqua"/>
          <w:color w:val="000000" w:themeColor="text1"/>
          <w:sz w:val="24"/>
          <w:szCs w:val="24"/>
        </w:rPr>
        <w:t xml:space="preserve">PTDM: Post-transplant diabetes mellitus; CNI: Calcineurin inhibitor; mTORi: Mammalian target of rapamycin; HCV: Hepatitis C virus; </w:t>
      </w:r>
      <w:r w:rsidR="006C2F11" w:rsidRPr="009F13FC">
        <w:rPr>
          <w:rFonts w:ascii="Book Antiqua" w:hAnsi="Book Antiqua"/>
          <w:color w:val="000000" w:themeColor="text1"/>
          <w:sz w:val="24"/>
          <w:szCs w:val="24"/>
        </w:rPr>
        <w:t>CMV: Cytomegalovirus.</w:t>
      </w:r>
    </w:p>
    <w:p w14:paraId="2BAA7871" w14:textId="77777777" w:rsidR="006C2F11" w:rsidRPr="009F13FC" w:rsidRDefault="006C2F11">
      <w:pPr>
        <w:widowControl/>
        <w:snapToGrid w:val="0"/>
        <w:spacing w:line="360" w:lineRule="auto"/>
        <w:jc w:val="both"/>
        <w:rPr>
          <w:rFonts w:ascii="Book Antiqua" w:hAnsi="Book Antiqua"/>
          <w:color w:val="000000" w:themeColor="text1"/>
          <w:sz w:val="24"/>
          <w:szCs w:val="24"/>
          <w:lang w:eastAsia="zh-CN"/>
        </w:rPr>
      </w:pPr>
      <w:r w:rsidRPr="009F13FC">
        <w:rPr>
          <w:rFonts w:ascii="Book Antiqua" w:hAnsi="Book Antiqua"/>
          <w:color w:val="000000" w:themeColor="text1"/>
          <w:sz w:val="24"/>
          <w:szCs w:val="24"/>
          <w:lang w:eastAsia="zh-CN"/>
        </w:rPr>
        <w:br w:type="page"/>
      </w:r>
    </w:p>
    <w:p w14:paraId="5F230F5B" w14:textId="5C09037C" w:rsidR="00A62DA5" w:rsidRPr="009F13FC" w:rsidRDefault="00A62DA5" w:rsidP="00D93627">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1 Adverse </w:t>
      </w:r>
      <w:r w:rsidR="006C2F11" w:rsidRPr="009F13FC">
        <w:rPr>
          <w:rFonts w:ascii="Book Antiqua" w:hAnsi="Book Antiqua"/>
          <w:b/>
          <w:bCs/>
          <w:color w:val="000000" w:themeColor="text1"/>
          <w:sz w:val="24"/>
          <w:szCs w:val="24"/>
        </w:rPr>
        <w:t>effects of immunosuppressive</w:t>
      </w:r>
      <w:r w:rsidRPr="009F13FC">
        <w:rPr>
          <w:rFonts w:ascii="Book Antiqua" w:hAnsi="Book Antiqua"/>
          <w:b/>
          <w:bCs/>
          <w:color w:val="000000" w:themeColor="text1"/>
          <w:sz w:val="24"/>
          <w:szCs w:val="24"/>
        </w:rPr>
        <w:t xml:space="preserve"> agents on </w:t>
      </w:r>
      <w:r w:rsidR="006C2F11" w:rsidRPr="009F13FC">
        <w:rPr>
          <w:rFonts w:ascii="Book Antiqua" w:hAnsi="Book Antiqua"/>
          <w:b/>
          <w:bCs/>
          <w:color w:val="000000" w:themeColor="text1"/>
          <w:sz w:val="24"/>
          <w:szCs w:val="24"/>
        </w:rPr>
        <w:t xml:space="preserve">post-liver transplant metabolic disease </w:t>
      </w:r>
    </w:p>
    <w:tbl>
      <w:tblPr>
        <w:tblW w:w="8484"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489"/>
        <w:gridCol w:w="1589"/>
        <w:gridCol w:w="1129"/>
        <w:gridCol w:w="779"/>
        <w:gridCol w:w="1166"/>
        <w:gridCol w:w="1166"/>
        <w:gridCol w:w="1166"/>
      </w:tblGrid>
      <w:tr w:rsidR="000D7027" w:rsidRPr="009F13FC" w14:paraId="76BF4681" w14:textId="77777777" w:rsidTr="006C2F11">
        <w:trPr>
          <w:trHeight w:val="286"/>
        </w:trPr>
        <w:tc>
          <w:tcPr>
            <w:tcW w:w="1489" w:type="dxa"/>
          </w:tcPr>
          <w:p w14:paraId="5F10F67D" w14:textId="77777777" w:rsidR="00A62DA5" w:rsidRPr="00D9152E" w:rsidRDefault="00A62DA5" w:rsidP="00D93627">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Metabolic disease</w:t>
            </w:r>
          </w:p>
        </w:tc>
        <w:tc>
          <w:tcPr>
            <w:tcW w:w="1589" w:type="dxa"/>
          </w:tcPr>
          <w:p w14:paraId="28CD10D9" w14:textId="77777777" w:rsidR="00A62DA5" w:rsidRPr="00D9152E" w:rsidRDefault="00A62DA5" w:rsidP="00AF291D">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Glucocorticoids</w:t>
            </w:r>
          </w:p>
        </w:tc>
        <w:tc>
          <w:tcPr>
            <w:tcW w:w="1129" w:type="dxa"/>
          </w:tcPr>
          <w:p w14:paraId="5E0C1CD6"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CNIs (TAC)</w:t>
            </w:r>
          </w:p>
        </w:tc>
        <w:tc>
          <w:tcPr>
            <w:tcW w:w="779" w:type="dxa"/>
          </w:tcPr>
          <w:p w14:paraId="11BB2CF0"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CNIs (CsA)</w:t>
            </w:r>
          </w:p>
        </w:tc>
        <w:tc>
          <w:tcPr>
            <w:tcW w:w="1166" w:type="dxa"/>
          </w:tcPr>
          <w:p w14:paraId="54B7BBF1"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mTORi</w:t>
            </w:r>
          </w:p>
        </w:tc>
        <w:tc>
          <w:tcPr>
            <w:tcW w:w="1166" w:type="dxa"/>
          </w:tcPr>
          <w:p w14:paraId="27B1F4B4"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MPA</w:t>
            </w:r>
          </w:p>
        </w:tc>
        <w:tc>
          <w:tcPr>
            <w:tcW w:w="1166" w:type="dxa"/>
          </w:tcPr>
          <w:p w14:paraId="7105634C" w14:textId="77777777" w:rsidR="00A62DA5" w:rsidRPr="00D9152E" w:rsidRDefault="00A62DA5">
            <w:pPr>
              <w:adjustRightInd w:val="0"/>
              <w:snapToGrid w:val="0"/>
              <w:spacing w:line="360" w:lineRule="auto"/>
              <w:jc w:val="both"/>
              <w:rPr>
                <w:rFonts w:ascii="Book Antiqua" w:hAnsi="Book Antiqua"/>
                <w:b/>
                <w:bCs/>
                <w:color w:val="000000" w:themeColor="text1"/>
                <w:sz w:val="24"/>
                <w:szCs w:val="24"/>
              </w:rPr>
            </w:pPr>
            <w:r w:rsidRPr="00D9152E">
              <w:rPr>
                <w:rFonts w:ascii="Book Antiqua" w:hAnsi="Book Antiqua"/>
                <w:b/>
                <w:bCs/>
                <w:color w:val="000000" w:themeColor="text1"/>
                <w:sz w:val="24"/>
                <w:szCs w:val="24"/>
              </w:rPr>
              <w:t>Antibody drugs (ATG/basiliximab)</w:t>
            </w:r>
          </w:p>
        </w:tc>
      </w:tr>
      <w:tr w:rsidR="000D7027" w:rsidRPr="009F13FC" w14:paraId="11518CEC" w14:textId="77777777" w:rsidTr="006C2F11">
        <w:trPr>
          <w:trHeight w:val="245"/>
        </w:trPr>
        <w:tc>
          <w:tcPr>
            <w:tcW w:w="1489" w:type="dxa"/>
            <w:tcBorders>
              <w:bottom w:val="nil"/>
            </w:tcBorders>
          </w:tcPr>
          <w:p w14:paraId="2300B249"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Diabetes mellitus</w:t>
            </w:r>
          </w:p>
        </w:tc>
        <w:tc>
          <w:tcPr>
            <w:tcW w:w="1589" w:type="dxa"/>
            <w:tcBorders>
              <w:bottom w:val="nil"/>
            </w:tcBorders>
          </w:tcPr>
          <w:p w14:paraId="6CC451E4"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bottom w:val="nil"/>
            </w:tcBorders>
          </w:tcPr>
          <w:p w14:paraId="42867A95"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bottom w:val="nil"/>
            </w:tcBorders>
          </w:tcPr>
          <w:p w14:paraId="3C198F8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3BA503D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449227DA"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bottom w:val="nil"/>
            </w:tcBorders>
          </w:tcPr>
          <w:p w14:paraId="360FA59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7A385DE8" w14:textId="77777777" w:rsidTr="006C2F11">
        <w:trPr>
          <w:trHeight w:val="204"/>
        </w:trPr>
        <w:tc>
          <w:tcPr>
            <w:tcW w:w="1489" w:type="dxa"/>
            <w:tcBorders>
              <w:top w:val="nil"/>
              <w:bottom w:val="nil"/>
            </w:tcBorders>
          </w:tcPr>
          <w:p w14:paraId="0097EA24"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Hypertension</w:t>
            </w:r>
          </w:p>
        </w:tc>
        <w:tc>
          <w:tcPr>
            <w:tcW w:w="1589" w:type="dxa"/>
            <w:tcBorders>
              <w:top w:val="nil"/>
              <w:bottom w:val="nil"/>
            </w:tcBorders>
          </w:tcPr>
          <w:p w14:paraId="5EFE2797"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bottom w:val="nil"/>
            </w:tcBorders>
          </w:tcPr>
          <w:p w14:paraId="5741B4C1"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0EC040C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0082FFD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3C9ECA1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32BC3B36"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5438A0E1" w14:textId="77777777" w:rsidTr="006C2F11">
        <w:trPr>
          <w:trHeight w:val="347"/>
        </w:trPr>
        <w:tc>
          <w:tcPr>
            <w:tcW w:w="1489" w:type="dxa"/>
            <w:tcBorders>
              <w:top w:val="nil"/>
              <w:bottom w:val="nil"/>
            </w:tcBorders>
          </w:tcPr>
          <w:p w14:paraId="5F777E92" w14:textId="6E853DA0"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Dyslipid</w:t>
            </w:r>
            <w:r w:rsidRPr="009F13FC">
              <w:rPr>
                <w:rFonts w:ascii="Book Antiqua" w:hAnsi="Book Antiqua"/>
                <w:color w:val="000000" w:themeColor="text1"/>
                <w:sz w:val="24"/>
                <w:szCs w:val="24"/>
              </w:rPr>
              <w:t>emia</w:t>
            </w:r>
          </w:p>
        </w:tc>
        <w:tc>
          <w:tcPr>
            <w:tcW w:w="1589" w:type="dxa"/>
            <w:tcBorders>
              <w:top w:val="nil"/>
              <w:bottom w:val="nil"/>
            </w:tcBorders>
          </w:tcPr>
          <w:p w14:paraId="063F9975"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bottom w:val="nil"/>
            </w:tcBorders>
          </w:tcPr>
          <w:p w14:paraId="50EEDEF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76ED86A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11544A81"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69BAFE6B"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45BF3A9E"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05272B2C" w14:textId="77777777" w:rsidTr="006C2F11">
        <w:trPr>
          <w:trHeight w:val="245"/>
        </w:trPr>
        <w:tc>
          <w:tcPr>
            <w:tcW w:w="1489" w:type="dxa"/>
            <w:tcBorders>
              <w:top w:val="nil"/>
              <w:bottom w:val="nil"/>
            </w:tcBorders>
          </w:tcPr>
          <w:p w14:paraId="1B80BDA5" w14:textId="77777777" w:rsidR="00A62DA5" w:rsidRPr="00AF291D"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Obesity</w:t>
            </w:r>
          </w:p>
        </w:tc>
        <w:tc>
          <w:tcPr>
            <w:tcW w:w="1589" w:type="dxa"/>
            <w:tcBorders>
              <w:top w:val="nil"/>
              <w:bottom w:val="nil"/>
            </w:tcBorders>
          </w:tcPr>
          <w:p w14:paraId="34F8179E"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w:t>
            </w:r>
          </w:p>
        </w:tc>
        <w:tc>
          <w:tcPr>
            <w:tcW w:w="1129" w:type="dxa"/>
            <w:tcBorders>
              <w:top w:val="nil"/>
              <w:bottom w:val="nil"/>
            </w:tcBorders>
          </w:tcPr>
          <w:p w14:paraId="2CAED67A"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bottom w:val="nil"/>
            </w:tcBorders>
          </w:tcPr>
          <w:p w14:paraId="4A66C423"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637F46EF"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24D11EF6"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bottom w:val="nil"/>
            </w:tcBorders>
          </w:tcPr>
          <w:p w14:paraId="059D7892"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r w:rsidR="000D7027" w:rsidRPr="009F13FC" w14:paraId="7898FB13" w14:textId="77777777" w:rsidTr="006C2F11">
        <w:trPr>
          <w:trHeight w:val="408"/>
        </w:trPr>
        <w:tc>
          <w:tcPr>
            <w:tcW w:w="1489" w:type="dxa"/>
            <w:tcBorders>
              <w:top w:val="nil"/>
            </w:tcBorders>
          </w:tcPr>
          <w:p w14:paraId="4AAFD7F4" w14:textId="77777777" w:rsidR="00A62DA5" w:rsidRPr="009F13FC" w:rsidRDefault="00A62DA5"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Hyperuricemia </w:t>
            </w:r>
          </w:p>
        </w:tc>
        <w:tc>
          <w:tcPr>
            <w:tcW w:w="1589" w:type="dxa"/>
            <w:tcBorders>
              <w:top w:val="nil"/>
            </w:tcBorders>
          </w:tcPr>
          <w:p w14:paraId="56FC827B" w14:textId="77777777" w:rsidR="00A62DA5" w:rsidRPr="009F13FC" w:rsidRDefault="00A62DA5"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29" w:type="dxa"/>
            <w:tcBorders>
              <w:top w:val="nil"/>
            </w:tcBorders>
          </w:tcPr>
          <w:p w14:paraId="30269688"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779" w:type="dxa"/>
            <w:tcBorders>
              <w:top w:val="nil"/>
            </w:tcBorders>
          </w:tcPr>
          <w:p w14:paraId="53699DD2"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15D866E5"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29F01E5C"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c>
          <w:tcPr>
            <w:tcW w:w="1166" w:type="dxa"/>
            <w:tcBorders>
              <w:top w:val="nil"/>
            </w:tcBorders>
          </w:tcPr>
          <w:p w14:paraId="7BC9679D" w14:textId="77777777" w:rsidR="00A62DA5" w:rsidRPr="009F13FC" w:rsidRDefault="00A62DA5">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w:t>
            </w:r>
          </w:p>
        </w:tc>
      </w:tr>
    </w:tbl>
    <w:p w14:paraId="6538D50A" w14:textId="1A7E6B16" w:rsidR="00A62DA5" w:rsidRPr="009F13FC" w:rsidRDefault="00BE5B2D" w:rsidP="0045092C">
      <w:pPr>
        <w:adjustRightInd w:val="0"/>
        <w:snapToGrid w:val="0"/>
        <w:spacing w:line="360" w:lineRule="auto"/>
        <w:jc w:val="both"/>
        <w:rPr>
          <w:rFonts w:ascii="Book Antiqua" w:hAnsi="Book Antiqua"/>
          <w:color w:val="000000" w:themeColor="text1"/>
          <w:sz w:val="24"/>
          <w:szCs w:val="24"/>
        </w:rPr>
      </w:pPr>
      <w:bookmarkStart w:id="10" w:name="_Hlk38988769"/>
      <w:r w:rsidRPr="00AF291D">
        <w:rPr>
          <w:rFonts w:ascii="Book Antiqua" w:hAnsi="Book Antiqua"/>
          <w:color w:val="000000" w:themeColor="text1"/>
          <w:sz w:val="24"/>
          <w:szCs w:val="24"/>
        </w:rPr>
        <w:t>CNI: Calcineurin inhibitor; TAC: Tacrolimus; CsA: Cyclosporine A; mTORi: Mammalian target of rapamycin; MPA: Mycophenolic acids.</w:t>
      </w:r>
    </w:p>
    <w:p w14:paraId="1AD9E63B"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213C2AF5" w14:textId="11BAF504" w:rsidR="00A62DA5" w:rsidRPr="009F13FC" w:rsidRDefault="00A62DA5">
      <w:pPr>
        <w:widowControl/>
        <w:pBdr>
          <w:top w:val="nil"/>
          <w:left w:val="nil"/>
          <w:bottom w:val="nil"/>
          <w:right w:val="nil"/>
          <w:between w:val="nil"/>
        </w:pBdr>
        <w:adjustRightInd w:val="0"/>
        <w:snapToGrid w:val="0"/>
        <w:spacing w:line="360" w:lineRule="auto"/>
        <w:jc w:val="both"/>
        <w:rPr>
          <w:rFonts w:ascii="Book Antiqua" w:hAnsi="Book Antiqua"/>
          <w:b/>
          <w:bCs/>
          <w:color w:val="000000" w:themeColor="text1"/>
          <w:sz w:val="24"/>
          <w:szCs w:val="24"/>
          <w:vertAlign w:val="superscript"/>
        </w:rPr>
      </w:pPr>
      <w:r w:rsidRPr="009F13FC">
        <w:rPr>
          <w:rFonts w:ascii="Book Antiqua" w:hAnsi="Book Antiqua"/>
          <w:b/>
          <w:bCs/>
          <w:color w:val="000000" w:themeColor="text1"/>
          <w:sz w:val="24"/>
          <w:szCs w:val="24"/>
        </w:rPr>
        <w:lastRenderedPageBreak/>
        <w:t xml:space="preserve">Table 2 2019 </w:t>
      </w:r>
      <w:r w:rsidR="00D02C16" w:rsidRPr="009F13FC">
        <w:rPr>
          <w:rFonts w:ascii="Book Antiqua" w:hAnsi="Book Antiqua"/>
          <w:b/>
          <w:bCs/>
          <w:color w:val="000000" w:themeColor="text1"/>
          <w:sz w:val="24"/>
          <w:szCs w:val="24"/>
        </w:rPr>
        <w:t>diagnostic criteria for diabetes and prediabetes</w:t>
      </w:r>
      <w:r w:rsidRPr="009F13FC">
        <w:rPr>
          <w:rFonts w:ascii="Book Antiqua" w:hAnsi="Book Antiqua"/>
          <w:b/>
          <w:bCs/>
          <w:color w:val="000000" w:themeColor="text1"/>
          <w:sz w:val="24"/>
          <w:szCs w:val="24"/>
        </w:rPr>
        <w:t xml:space="preserve"> by </w:t>
      </w:r>
      <w:r w:rsidR="00D02C16" w:rsidRPr="009F13FC">
        <w:rPr>
          <w:rFonts w:ascii="Book Antiqua" w:eastAsia="Times New Roman" w:hAnsi="Book Antiqua"/>
          <w:b/>
          <w:bCs/>
          <w:color w:val="000000" w:themeColor="text1"/>
          <w:sz w:val="24"/>
          <w:szCs w:val="24"/>
        </w:rPr>
        <w:t>American Diabetes Association</w:t>
      </w:r>
      <w:r w:rsidRPr="009F13FC">
        <w:rPr>
          <w:rFonts w:ascii="Book Antiqua" w:hAnsi="Book Antiqua"/>
          <w:b/>
          <w:bCs/>
          <w:color w:val="000000" w:themeColor="text1"/>
          <w:sz w:val="24"/>
          <w:szCs w:val="24"/>
          <w:vertAlign w:val="superscript"/>
        </w:rPr>
        <w:t>[24,25]</w:t>
      </w:r>
    </w:p>
    <w:tbl>
      <w:tblPr>
        <w:tblW w:w="9288" w:type="dxa"/>
        <w:tblBorders>
          <w:top w:val="single" w:sz="4" w:space="0" w:color="auto"/>
          <w:bottom w:val="single" w:sz="4" w:space="0" w:color="auto"/>
        </w:tblBorders>
        <w:tblLayout w:type="fixed"/>
        <w:tblLook w:val="0000" w:firstRow="0" w:lastRow="0" w:firstColumn="0" w:lastColumn="0" w:noHBand="0" w:noVBand="0"/>
      </w:tblPr>
      <w:tblGrid>
        <w:gridCol w:w="1566"/>
        <w:gridCol w:w="7722"/>
      </w:tblGrid>
      <w:tr w:rsidR="000D7027" w:rsidRPr="009F13FC" w14:paraId="190B3DE3" w14:textId="77777777" w:rsidTr="00D9152E">
        <w:trPr>
          <w:trHeight w:val="485"/>
        </w:trPr>
        <w:tc>
          <w:tcPr>
            <w:tcW w:w="1566" w:type="dxa"/>
            <w:tcBorders>
              <w:top w:val="single" w:sz="4" w:space="0" w:color="auto"/>
              <w:bottom w:val="single" w:sz="4" w:space="0" w:color="auto"/>
            </w:tcBorders>
            <w:shd w:val="clear" w:color="auto" w:fill="auto"/>
            <w:vAlign w:val="center"/>
          </w:tcPr>
          <w:p w14:paraId="1C48C848"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Diagnosis </w:t>
            </w:r>
          </w:p>
        </w:tc>
        <w:tc>
          <w:tcPr>
            <w:tcW w:w="7722" w:type="dxa"/>
            <w:tcBorders>
              <w:top w:val="single" w:sz="4" w:space="0" w:color="auto"/>
              <w:bottom w:val="single" w:sz="4" w:space="0" w:color="auto"/>
            </w:tcBorders>
            <w:shd w:val="clear" w:color="auto" w:fill="auto"/>
            <w:vAlign w:val="center"/>
          </w:tcPr>
          <w:p w14:paraId="2F382C60" w14:textId="3AD95118" w:rsidR="00A62DA5" w:rsidRPr="009F13FC" w:rsidRDefault="00A62DA5">
            <w:pPr>
              <w:pBdr>
                <w:top w:val="nil"/>
                <w:left w:val="nil"/>
                <w:bottom w:val="nil"/>
                <w:right w:val="nil"/>
                <w:between w:val="nil"/>
              </w:pBdr>
              <w:adjustRightInd w:val="0"/>
              <w:snapToGrid w:val="0"/>
              <w:spacing w:line="360" w:lineRule="auto"/>
              <w:ind w:firstLineChars="1100" w:firstLine="2650"/>
              <w:jc w:val="both"/>
              <w:rPr>
                <w:rFonts w:ascii="Book Antiqua" w:hAnsi="Book Antiqua"/>
                <w:b/>
                <w:color w:val="000000" w:themeColor="text1"/>
                <w:sz w:val="24"/>
                <w:szCs w:val="24"/>
              </w:rPr>
            </w:pPr>
            <w:r w:rsidRPr="009F13FC">
              <w:rPr>
                <w:rFonts w:ascii="Book Antiqua" w:hAnsi="Book Antiqua"/>
                <w:b/>
                <w:color w:val="000000" w:themeColor="text1"/>
                <w:sz w:val="24"/>
                <w:szCs w:val="24"/>
              </w:rPr>
              <w:t xml:space="preserve">ADA </w:t>
            </w:r>
            <w:r w:rsidR="00E06583" w:rsidRPr="009F13FC">
              <w:rPr>
                <w:rFonts w:ascii="Book Antiqua" w:hAnsi="Book Antiqua"/>
                <w:b/>
                <w:color w:val="000000" w:themeColor="text1"/>
                <w:sz w:val="24"/>
                <w:szCs w:val="24"/>
              </w:rPr>
              <w:t xml:space="preserve">criteria </w:t>
            </w:r>
          </w:p>
        </w:tc>
      </w:tr>
      <w:tr w:rsidR="000D7027" w:rsidRPr="009F13FC" w14:paraId="5E3317B0" w14:textId="77777777" w:rsidTr="00D9152E">
        <w:trPr>
          <w:trHeight w:val="542"/>
        </w:trPr>
        <w:tc>
          <w:tcPr>
            <w:tcW w:w="1566" w:type="dxa"/>
            <w:vMerge w:val="restart"/>
            <w:tcBorders>
              <w:top w:val="single" w:sz="4" w:space="0" w:color="auto"/>
            </w:tcBorders>
            <w:shd w:val="clear" w:color="auto" w:fill="auto"/>
          </w:tcPr>
          <w:p w14:paraId="4418C8FC" w14:textId="77777777" w:rsidR="00A62DA5" w:rsidRPr="00AF291D" w:rsidRDefault="00A62DA5" w:rsidP="0045092C">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Diabetes</w:t>
            </w:r>
          </w:p>
        </w:tc>
        <w:tc>
          <w:tcPr>
            <w:tcW w:w="7722" w:type="dxa"/>
            <w:tcBorders>
              <w:top w:val="single" w:sz="4" w:space="0" w:color="auto"/>
            </w:tcBorders>
            <w:shd w:val="clear" w:color="auto" w:fill="auto"/>
          </w:tcPr>
          <w:p w14:paraId="77ED1B09" w14:textId="7CB19280" w:rsidR="00A62DA5" w:rsidRPr="009F13FC" w:rsidRDefault="00A62DA5" w:rsidP="00D93627">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eastAsia="Gungsuh" w:hAnsi="Book Antiqua"/>
                <w:color w:val="000000" w:themeColor="text1"/>
                <w:sz w:val="24"/>
                <w:szCs w:val="24"/>
              </w:rPr>
              <w:t xml:space="preserve">FPG </w:t>
            </w:r>
            <w:r w:rsidRPr="009F13FC">
              <w:rPr>
                <w:rFonts w:ascii="Book Antiqua" w:hAnsi="Book Antiqua" w:hint="eastAsia"/>
                <w:color w:val="000000" w:themeColor="text1"/>
                <w:sz w:val="24"/>
                <w:szCs w:val="24"/>
              </w:rPr>
              <w:t>≥</w:t>
            </w:r>
            <w:r w:rsidR="00D02C16" w:rsidRPr="009F13FC">
              <w:rPr>
                <w:rFonts w:ascii="Book Antiqua" w:hAnsi="Book Antiqua"/>
                <w:color w:val="000000" w:themeColor="text1"/>
                <w:sz w:val="24"/>
                <w:szCs w:val="24"/>
              </w:rPr>
              <w:t xml:space="preserve"> </w:t>
            </w:r>
            <w:r w:rsidRPr="009F13FC">
              <w:rPr>
                <w:rFonts w:ascii="Book Antiqua" w:eastAsia="Gungsuh" w:hAnsi="Book Antiqua"/>
                <w:color w:val="000000" w:themeColor="text1"/>
                <w:sz w:val="24"/>
                <w:szCs w:val="24"/>
              </w:rPr>
              <w:t>126 mg/dL (7.0 mmol/L). Fasting is defined as no caloric intake for at least 8 h.</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3806CA6F" w14:textId="77777777" w:rsidTr="00D9152E">
        <w:trPr>
          <w:trHeight w:val="706"/>
        </w:trPr>
        <w:tc>
          <w:tcPr>
            <w:tcW w:w="1566" w:type="dxa"/>
            <w:vMerge/>
            <w:shd w:val="clear" w:color="auto" w:fill="auto"/>
          </w:tcPr>
          <w:p w14:paraId="692098AC"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228DE13E" w14:textId="046C87B7"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2-h PG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200 mg/dL (11.1 mmol/L) during OGTT. The test should be performed as described by the WHO, using a glucose load containing the equivalent of 75-g anhydrous glucose dissolved in water.</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78CF6C71" w14:textId="77777777" w:rsidTr="00D9152E">
        <w:trPr>
          <w:trHeight w:val="788"/>
        </w:trPr>
        <w:tc>
          <w:tcPr>
            <w:tcW w:w="1566" w:type="dxa"/>
            <w:vMerge/>
            <w:shd w:val="clear" w:color="auto" w:fill="auto"/>
          </w:tcPr>
          <w:p w14:paraId="7790E607"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0CD5955B" w14:textId="531915F7"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A1C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6.5% (48 mmol/mol). The test should be performed in a laboratory using a method that is NGSP certified and standardized to the DCCT assay.</w:t>
            </w:r>
            <w:r w:rsidR="00D02C16" w:rsidRPr="009F13FC">
              <w:rPr>
                <w:rFonts w:ascii="Book Antiqua" w:eastAsia="Gungsuh" w:hAnsi="Book Antiqua"/>
                <w:color w:val="000000" w:themeColor="text1"/>
                <w:sz w:val="24"/>
                <w:szCs w:val="24"/>
                <w:vertAlign w:val="superscript"/>
              </w:rPr>
              <w:t>1</w:t>
            </w:r>
            <w:r w:rsidRPr="009F13FC">
              <w:rPr>
                <w:rFonts w:ascii="Book Antiqua" w:eastAsia="Gungsuh" w:hAnsi="Book Antiqua"/>
                <w:color w:val="000000" w:themeColor="text1"/>
                <w:sz w:val="24"/>
                <w:szCs w:val="24"/>
              </w:rPr>
              <w:t xml:space="preserve"> OR</w:t>
            </w:r>
          </w:p>
        </w:tc>
      </w:tr>
      <w:tr w:rsidR="000D7027" w:rsidRPr="009F13FC" w14:paraId="516FFB02" w14:textId="77777777" w:rsidTr="00D9152E">
        <w:trPr>
          <w:trHeight w:val="600"/>
        </w:trPr>
        <w:tc>
          <w:tcPr>
            <w:tcW w:w="1566" w:type="dxa"/>
            <w:vMerge/>
            <w:shd w:val="clear" w:color="auto" w:fill="auto"/>
          </w:tcPr>
          <w:p w14:paraId="48802795"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777B54C5" w14:textId="7CDC3879" w:rsidR="00A62DA5" w:rsidRPr="009F13FC" w:rsidRDefault="00A62DA5">
            <w:pPr>
              <w:pBdr>
                <w:top w:val="nil"/>
                <w:left w:val="nil"/>
                <w:bottom w:val="nil"/>
                <w:right w:val="nil"/>
                <w:between w:val="nil"/>
              </w:pBdr>
              <w:adjustRightInd w:val="0"/>
              <w:snapToGrid w:val="0"/>
              <w:spacing w:line="360" w:lineRule="auto"/>
              <w:jc w:val="both"/>
              <w:rPr>
                <w:rFonts w:ascii="Book Antiqua" w:eastAsia="Gungsuh" w:hAnsi="Book Antiqua"/>
                <w:color w:val="000000" w:themeColor="text1"/>
                <w:sz w:val="24"/>
                <w:szCs w:val="24"/>
              </w:rPr>
            </w:pPr>
            <w:r w:rsidRPr="009F13FC">
              <w:rPr>
                <w:rFonts w:ascii="Book Antiqua" w:eastAsia="Gungsuh" w:hAnsi="Book Antiqua"/>
                <w:color w:val="000000" w:themeColor="text1"/>
                <w:sz w:val="24"/>
                <w:szCs w:val="24"/>
              </w:rPr>
              <w:t xml:space="preserve">in a patient with classic symptoms of hyperglycemia or hyperglycemic crisis, </w:t>
            </w:r>
            <w:r w:rsidR="00D02C16" w:rsidRPr="009F13FC">
              <w:rPr>
                <w:rFonts w:ascii="Book Antiqua" w:eastAsia="Gungsuh" w:hAnsi="Book Antiqua"/>
                <w:color w:val="000000" w:themeColor="text1"/>
                <w:sz w:val="24"/>
                <w:szCs w:val="24"/>
              </w:rPr>
              <w:t>an</w:t>
            </w:r>
            <w:r w:rsidRPr="009F13FC">
              <w:rPr>
                <w:rFonts w:ascii="Book Antiqua" w:eastAsia="Gungsuh" w:hAnsi="Book Antiqua"/>
                <w:color w:val="000000" w:themeColor="text1"/>
                <w:sz w:val="24"/>
                <w:szCs w:val="24"/>
              </w:rPr>
              <w:t xml:space="preserve"> </w:t>
            </w:r>
            <w:r w:rsidR="00DA07AD" w:rsidRPr="009F13FC">
              <w:rPr>
                <w:rFonts w:ascii="Book Antiqua" w:eastAsia="Gungsuh" w:hAnsi="Book Antiqua"/>
                <w:color w:val="000000" w:themeColor="text1"/>
                <w:sz w:val="24"/>
                <w:szCs w:val="24"/>
              </w:rPr>
              <w:t>RPG</w:t>
            </w:r>
            <w:r w:rsidRPr="009F13FC">
              <w:rPr>
                <w:rFonts w:ascii="Book Antiqua" w:eastAsia="Gungsuh" w:hAnsi="Book Antiqua" w:hint="eastAsia"/>
                <w:color w:val="000000" w:themeColor="text1"/>
                <w:sz w:val="24"/>
                <w:szCs w:val="24"/>
              </w:rPr>
              <w:t xml:space="preserve"> </w:t>
            </w:r>
            <w:r w:rsidRPr="009F13FC">
              <w:rPr>
                <w:rFonts w:ascii="Book Antiqua" w:eastAsia="Gungsuh" w:hAnsi="Book Antiqua" w:hint="eastAsia"/>
                <w:color w:val="000000" w:themeColor="text1"/>
                <w:sz w:val="24"/>
                <w:szCs w:val="24"/>
              </w:rPr>
              <w:t>≥</w:t>
            </w:r>
            <w:r w:rsidR="00D02C16" w:rsidRPr="009F13FC">
              <w:rPr>
                <w:rFonts w:ascii="Book Antiqua" w:eastAsia="Gungsuh" w:hAnsi="Book Antiqua"/>
                <w:color w:val="000000" w:themeColor="text1"/>
                <w:sz w:val="24"/>
                <w:szCs w:val="24"/>
              </w:rPr>
              <w:t xml:space="preserve"> </w:t>
            </w:r>
            <w:r w:rsidRPr="009F13FC">
              <w:rPr>
                <w:rFonts w:ascii="Book Antiqua" w:eastAsia="Gungsuh" w:hAnsi="Book Antiqua"/>
                <w:color w:val="000000" w:themeColor="text1"/>
                <w:sz w:val="24"/>
                <w:szCs w:val="24"/>
              </w:rPr>
              <w:t>200 mg/dL (11.1 mmol/L).</w:t>
            </w:r>
          </w:p>
        </w:tc>
      </w:tr>
      <w:tr w:rsidR="000D7027" w:rsidRPr="009F13FC" w14:paraId="08B7DE8E" w14:textId="77777777" w:rsidTr="00D9152E">
        <w:trPr>
          <w:trHeight w:val="431"/>
        </w:trPr>
        <w:tc>
          <w:tcPr>
            <w:tcW w:w="1566" w:type="dxa"/>
            <w:vMerge w:val="restart"/>
            <w:shd w:val="clear" w:color="auto" w:fill="auto"/>
          </w:tcPr>
          <w:p w14:paraId="1131704A" w14:textId="77777777" w:rsidR="00A62DA5" w:rsidRPr="00AF291D" w:rsidRDefault="00A62DA5" w:rsidP="0045092C">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Prediabetes</w:t>
            </w:r>
          </w:p>
        </w:tc>
        <w:tc>
          <w:tcPr>
            <w:tcW w:w="7722" w:type="dxa"/>
            <w:shd w:val="clear" w:color="auto" w:fill="auto"/>
          </w:tcPr>
          <w:p w14:paraId="30AD703F" w14:textId="28329A12" w:rsidR="00A62DA5" w:rsidRPr="009F13FC" w:rsidRDefault="00A62DA5" w:rsidP="00D93627">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 xml:space="preserve">FPG 5.6-6.9 mmol/L (100-125mg/dL) (IFG) OR </w:t>
            </w:r>
          </w:p>
        </w:tc>
      </w:tr>
      <w:tr w:rsidR="000D7027" w:rsidRPr="009F13FC" w14:paraId="44DEA4FE" w14:textId="77777777" w:rsidTr="00D9152E">
        <w:trPr>
          <w:trHeight w:val="485"/>
        </w:trPr>
        <w:tc>
          <w:tcPr>
            <w:tcW w:w="1566" w:type="dxa"/>
            <w:vMerge/>
            <w:shd w:val="clear" w:color="auto" w:fill="auto"/>
          </w:tcPr>
          <w:p w14:paraId="10E1B3DF"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3DBE3406" w14:textId="0C080E2D"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2HPG 7.8-11.0 mmol/L(IGT) OR</w:t>
            </w:r>
          </w:p>
        </w:tc>
      </w:tr>
      <w:tr w:rsidR="000D7027" w:rsidRPr="009F13FC" w14:paraId="35A96A56" w14:textId="77777777" w:rsidTr="00D9152E">
        <w:trPr>
          <w:trHeight w:val="388"/>
        </w:trPr>
        <w:tc>
          <w:tcPr>
            <w:tcW w:w="1566" w:type="dxa"/>
            <w:vMerge/>
            <w:shd w:val="clear" w:color="auto" w:fill="auto"/>
          </w:tcPr>
          <w:p w14:paraId="2C6C83CF"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p>
        </w:tc>
        <w:tc>
          <w:tcPr>
            <w:tcW w:w="7722" w:type="dxa"/>
            <w:shd w:val="clear" w:color="auto" w:fill="auto"/>
          </w:tcPr>
          <w:p w14:paraId="5A096661" w14:textId="77777777" w:rsidR="00A62DA5" w:rsidRPr="009F13FC" w:rsidRDefault="00A62DA5">
            <w:pPr>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A1c 5.7%-6.4%</w:t>
            </w:r>
          </w:p>
        </w:tc>
      </w:tr>
    </w:tbl>
    <w:p w14:paraId="3F612994" w14:textId="26333270" w:rsidR="00A62DA5" w:rsidRPr="009F13FC" w:rsidRDefault="00D02C16" w:rsidP="00AF291D">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lang w:eastAsia="zh-CN"/>
        </w:rPr>
      </w:pPr>
      <w:r w:rsidRPr="00AF291D">
        <w:rPr>
          <w:rFonts w:ascii="Book Antiqua" w:hAnsi="Book Antiqua"/>
          <w:color w:val="000000" w:themeColor="text1"/>
          <w:sz w:val="24"/>
          <w:szCs w:val="24"/>
          <w:vertAlign w:val="superscript"/>
        </w:rPr>
        <w:t>1</w:t>
      </w:r>
      <w:r w:rsidRPr="00AF291D">
        <w:rPr>
          <w:rFonts w:ascii="Book Antiqua" w:hAnsi="Book Antiqua"/>
          <w:color w:val="000000" w:themeColor="text1"/>
          <w:sz w:val="24"/>
          <w:szCs w:val="24"/>
        </w:rPr>
        <w:t>In the absence of unequivocal hyperglycemia, diagnosis requires two abnormal test results from the same sample or in two separate test samples</w:t>
      </w:r>
      <w:r w:rsidRPr="00AF291D">
        <w:rPr>
          <w:rFonts w:ascii="Book Antiqua" w:hAnsi="Book Antiqua"/>
          <w:color w:val="000000" w:themeColor="text1"/>
          <w:sz w:val="24"/>
          <w:szCs w:val="24"/>
          <w:lang w:eastAsia="zh-CN"/>
        </w:rPr>
        <w:t>.</w:t>
      </w:r>
      <w:r w:rsidR="00D93627" w:rsidRPr="00AF291D">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lang w:eastAsia="zh-CN"/>
        </w:rPr>
        <w:t xml:space="preserve">ADA: </w:t>
      </w:r>
      <w:r w:rsidRPr="009F13FC">
        <w:rPr>
          <w:rFonts w:ascii="Book Antiqua" w:eastAsia="Times New Roman" w:hAnsi="Book Antiqua"/>
          <w:color w:val="000000" w:themeColor="text1"/>
          <w:sz w:val="24"/>
          <w:szCs w:val="24"/>
        </w:rPr>
        <w:t>American Diabetes Association</w:t>
      </w:r>
      <w:r w:rsidRPr="009F13FC">
        <w:rPr>
          <w:rFonts w:ascii="Book Antiqua" w:hAnsi="Book Antiqua"/>
          <w:color w:val="000000" w:themeColor="text1"/>
          <w:sz w:val="24"/>
          <w:szCs w:val="24"/>
          <w:lang w:eastAsia="zh-CN"/>
        </w:rPr>
        <w:t xml:space="preserve">; </w:t>
      </w:r>
      <w:r w:rsidR="00A62DA5" w:rsidRPr="009F13FC">
        <w:rPr>
          <w:rFonts w:ascii="Book Antiqua" w:hAnsi="Book Antiqua"/>
          <w:color w:val="000000" w:themeColor="text1"/>
          <w:sz w:val="24"/>
          <w:szCs w:val="24"/>
        </w:rPr>
        <w:t>RPG</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Random </w:t>
      </w:r>
      <w:r w:rsidR="00A62DA5" w:rsidRPr="009F13FC">
        <w:rPr>
          <w:rFonts w:ascii="Book Antiqua" w:hAnsi="Book Antiqua"/>
          <w:color w:val="000000" w:themeColor="text1"/>
          <w:sz w:val="24"/>
          <w:szCs w:val="24"/>
        </w:rPr>
        <w:t>plasma glucose</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refers to the blood glucose level at any time regardless of the time of the last meal in </w:t>
      </w:r>
      <w:r w:rsidR="00AF291D">
        <w:rPr>
          <w:rFonts w:ascii="Book Antiqua" w:hAnsi="Book Antiqua"/>
          <w:color w:val="000000" w:themeColor="text1"/>
          <w:sz w:val="24"/>
          <w:szCs w:val="24"/>
        </w:rPr>
        <w:t>1</w:t>
      </w:r>
      <w:r w:rsidR="00AF291D" w:rsidRPr="00AF291D">
        <w:rPr>
          <w:rFonts w:ascii="Book Antiqua" w:hAnsi="Book Antiqua"/>
          <w:color w:val="000000" w:themeColor="text1"/>
          <w:sz w:val="24"/>
          <w:szCs w:val="24"/>
        </w:rPr>
        <w:t xml:space="preserve"> </w:t>
      </w:r>
      <w:r w:rsidR="00A62DA5" w:rsidRPr="00AF291D">
        <w:rPr>
          <w:rFonts w:ascii="Book Antiqua" w:hAnsi="Book Antiqua"/>
          <w:color w:val="000000" w:themeColor="text1"/>
          <w:sz w:val="24"/>
          <w:szCs w:val="24"/>
        </w:rPr>
        <w:t>d; FPG</w:t>
      </w:r>
      <w:r w:rsidRPr="00AF291D">
        <w:rPr>
          <w:rFonts w:ascii="Book Antiqua" w:hAnsi="Book Antiqua"/>
          <w:color w:val="000000" w:themeColor="text1"/>
          <w:sz w:val="24"/>
          <w:szCs w:val="24"/>
        </w:rPr>
        <w:t>:</w:t>
      </w:r>
      <w:r w:rsidR="00A62DA5" w:rsidRPr="00AF291D">
        <w:rPr>
          <w:rFonts w:ascii="Book Antiqua" w:hAnsi="Book Antiqua"/>
          <w:color w:val="000000" w:themeColor="text1"/>
          <w:sz w:val="24"/>
          <w:szCs w:val="24"/>
        </w:rPr>
        <w:t xml:space="preserve"> </w:t>
      </w:r>
      <w:r w:rsidRPr="00AF291D">
        <w:rPr>
          <w:rFonts w:ascii="Book Antiqua" w:hAnsi="Book Antiqua"/>
          <w:color w:val="000000" w:themeColor="text1"/>
          <w:sz w:val="24"/>
          <w:szCs w:val="24"/>
        </w:rPr>
        <w:t xml:space="preserve">Fasting </w:t>
      </w:r>
      <w:r w:rsidR="00A62DA5" w:rsidRPr="00AF291D">
        <w:rPr>
          <w:rFonts w:ascii="Book Antiqua" w:hAnsi="Book Antiqua"/>
          <w:color w:val="000000" w:themeColor="text1"/>
          <w:sz w:val="24"/>
          <w:szCs w:val="24"/>
        </w:rPr>
        <w:t>plasma glucose; OGTT</w:t>
      </w:r>
      <w:r w:rsidRPr="00AF291D">
        <w:rPr>
          <w:rFonts w:ascii="Book Antiqua" w:hAnsi="Book Antiqua"/>
          <w:color w:val="000000" w:themeColor="text1"/>
          <w:sz w:val="24"/>
          <w:szCs w:val="24"/>
        </w:rPr>
        <w:t>:</w:t>
      </w:r>
      <w:r w:rsidR="00A62DA5" w:rsidRPr="00AF291D">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Oral </w:t>
      </w:r>
      <w:r w:rsidR="00A62DA5" w:rsidRPr="009F13FC">
        <w:rPr>
          <w:rFonts w:ascii="Book Antiqua" w:hAnsi="Book Antiqua"/>
          <w:color w:val="000000" w:themeColor="text1"/>
          <w:sz w:val="24"/>
          <w:szCs w:val="24"/>
        </w:rPr>
        <w:t>glucose tolerance test; 2HPG is the blood glucose level 2 h after OGTT; HbA1c is glycosylated hemoglobin; the symptoms of diabetes mellitus include polyuria, polydipsia and unexplained weight loss. Intravenous blood glucose levels must be measured on the next day once the blood glucose level is detected abnormal to confirm the diagnosis. Hyperglycemia caused by specific acute metabolic abnormalities must be excluded; DCCT assay</w:t>
      </w:r>
      <w:r w:rsidRPr="009F13FC">
        <w:rPr>
          <w:rFonts w:ascii="Book Antiqua" w:hAnsi="Book Antiqua"/>
          <w:color w:val="000000" w:themeColor="text1"/>
          <w:sz w:val="24"/>
          <w:szCs w:val="24"/>
        </w:rPr>
        <w:t>:</w:t>
      </w:r>
      <w:r w:rsidR="00A62DA5" w:rsidRPr="009F13FC">
        <w:rPr>
          <w:rFonts w:ascii="Book Antiqua" w:hAnsi="Book Antiqua"/>
          <w:color w:val="000000" w:themeColor="text1"/>
          <w:sz w:val="24"/>
          <w:szCs w:val="24"/>
        </w:rPr>
        <w:t xml:space="preserve"> Diabetes Control and Complications Trial assay.</w:t>
      </w:r>
    </w:p>
    <w:bookmarkEnd w:id="10"/>
    <w:p w14:paraId="36BDC224"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6A6C94F1" w14:textId="16291F0F" w:rsidR="00A62DA5" w:rsidRPr="009F13FC" w:rsidRDefault="00A62DA5">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3 Relevant </w:t>
      </w:r>
      <w:r w:rsidR="00D02C16" w:rsidRPr="009F13FC">
        <w:rPr>
          <w:rFonts w:ascii="Book Antiqua" w:hAnsi="Book Antiqua"/>
          <w:b/>
          <w:bCs/>
          <w:color w:val="000000" w:themeColor="text1"/>
          <w:sz w:val="24"/>
          <w:szCs w:val="24"/>
        </w:rPr>
        <w:t>mechanisms of hypertension after liver transplantation induced by common immunosuppressive agents</w:t>
      </w:r>
      <w:r w:rsidRPr="009F13FC">
        <w:rPr>
          <w:rFonts w:ascii="Book Antiqua" w:hAnsi="Book Antiqua"/>
          <w:b/>
          <w:bCs/>
          <w:color w:val="000000" w:themeColor="text1"/>
          <w:sz w:val="24"/>
          <w:szCs w:val="24"/>
          <w:vertAlign w:val="superscript"/>
        </w:rPr>
        <w:t>[42]</w:t>
      </w:r>
    </w:p>
    <w:tbl>
      <w:tblPr>
        <w:tblW w:w="9081" w:type="dxa"/>
        <w:tblInd w:w="-284" w:type="dxa"/>
        <w:tblBorders>
          <w:top w:val="single" w:sz="4" w:space="0" w:color="auto"/>
          <w:bottom w:val="single" w:sz="4" w:space="0" w:color="auto"/>
        </w:tblBorders>
        <w:tblLayout w:type="fixed"/>
        <w:tblLook w:val="0000" w:firstRow="0" w:lastRow="0" w:firstColumn="0" w:lastColumn="0" w:noHBand="0" w:noVBand="0"/>
      </w:tblPr>
      <w:tblGrid>
        <w:gridCol w:w="1397"/>
        <w:gridCol w:w="1956"/>
        <w:gridCol w:w="45"/>
        <w:gridCol w:w="5683"/>
      </w:tblGrid>
      <w:tr w:rsidR="000D7027" w:rsidRPr="009F13FC" w14:paraId="0F8808A1" w14:textId="77777777" w:rsidTr="00D02C16">
        <w:trPr>
          <w:trHeight w:val="235"/>
        </w:trPr>
        <w:tc>
          <w:tcPr>
            <w:tcW w:w="1397" w:type="dxa"/>
            <w:tcBorders>
              <w:top w:val="single" w:sz="4" w:space="0" w:color="auto"/>
              <w:bottom w:val="single" w:sz="4" w:space="0" w:color="auto"/>
            </w:tcBorders>
            <w:shd w:val="clear" w:color="auto" w:fill="auto"/>
          </w:tcPr>
          <w:p w14:paraId="629AC2CE"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Category</w:t>
            </w:r>
          </w:p>
        </w:tc>
        <w:tc>
          <w:tcPr>
            <w:tcW w:w="1956" w:type="dxa"/>
            <w:tcBorders>
              <w:top w:val="single" w:sz="4" w:space="0" w:color="auto"/>
              <w:bottom w:val="single" w:sz="4" w:space="0" w:color="auto"/>
            </w:tcBorders>
            <w:shd w:val="clear" w:color="auto" w:fill="auto"/>
          </w:tcPr>
          <w:p w14:paraId="66305032" w14:textId="77777777" w:rsidR="00A62DA5" w:rsidRPr="009F13FC" w:rsidRDefault="00A62DA5">
            <w:pPr>
              <w:adjustRightInd w:val="0"/>
              <w:snapToGrid w:val="0"/>
              <w:spacing w:line="360" w:lineRule="auto"/>
              <w:ind w:firstLineChars="50" w:firstLine="120"/>
              <w:jc w:val="both"/>
              <w:rPr>
                <w:rFonts w:ascii="Book Antiqua" w:hAnsi="Book Antiqua"/>
                <w:b/>
                <w:color w:val="000000" w:themeColor="text1"/>
                <w:sz w:val="24"/>
                <w:szCs w:val="24"/>
              </w:rPr>
            </w:pPr>
            <w:r w:rsidRPr="009F13FC">
              <w:rPr>
                <w:rFonts w:ascii="Book Antiqua" w:hAnsi="Book Antiqua"/>
                <w:b/>
                <w:color w:val="000000" w:themeColor="text1"/>
                <w:sz w:val="24"/>
                <w:szCs w:val="24"/>
              </w:rPr>
              <w:t>Drug</w:t>
            </w:r>
          </w:p>
        </w:tc>
        <w:tc>
          <w:tcPr>
            <w:tcW w:w="5728" w:type="dxa"/>
            <w:gridSpan w:val="2"/>
            <w:tcBorders>
              <w:top w:val="single" w:sz="4" w:space="0" w:color="auto"/>
              <w:bottom w:val="single" w:sz="4" w:space="0" w:color="auto"/>
            </w:tcBorders>
            <w:shd w:val="clear" w:color="auto" w:fill="auto"/>
          </w:tcPr>
          <w:p w14:paraId="66817590" w14:textId="77777777" w:rsidR="00A62DA5" w:rsidRPr="009F13FC" w:rsidRDefault="00A62DA5" w:rsidP="00D9152E">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Mechanism</w:t>
            </w:r>
          </w:p>
        </w:tc>
      </w:tr>
      <w:tr w:rsidR="000D7027" w:rsidRPr="009F13FC" w14:paraId="3FB06202" w14:textId="77777777" w:rsidTr="00D02C16">
        <w:trPr>
          <w:trHeight w:val="700"/>
        </w:trPr>
        <w:tc>
          <w:tcPr>
            <w:tcW w:w="1397" w:type="dxa"/>
            <w:vMerge w:val="restart"/>
            <w:tcBorders>
              <w:top w:val="single" w:sz="4" w:space="0" w:color="auto"/>
            </w:tcBorders>
            <w:shd w:val="clear" w:color="auto" w:fill="auto"/>
          </w:tcPr>
          <w:p w14:paraId="1B6E4631" w14:textId="77777777" w:rsidR="00D02C16" w:rsidRPr="00AF291D"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CNI</w:t>
            </w:r>
          </w:p>
        </w:tc>
        <w:tc>
          <w:tcPr>
            <w:tcW w:w="2001" w:type="dxa"/>
            <w:gridSpan w:val="2"/>
            <w:vMerge w:val="restart"/>
            <w:tcBorders>
              <w:top w:val="single" w:sz="4" w:space="0" w:color="auto"/>
            </w:tcBorders>
            <w:shd w:val="clear" w:color="auto" w:fill="auto"/>
          </w:tcPr>
          <w:p w14:paraId="61FDF4FE" w14:textId="77777777" w:rsidR="00D02C16" w:rsidRPr="00AF291D" w:rsidRDefault="00D02C16" w:rsidP="00AF291D">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TAC, CsA</w:t>
            </w:r>
          </w:p>
        </w:tc>
        <w:tc>
          <w:tcPr>
            <w:tcW w:w="5683" w:type="dxa"/>
            <w:tcBorders>
              <w:top w:val="single" w:sz="4" w:space="0" w:color="auto"/>
            </w:tcBorders>
            <w:shd w:val="clear" w:color="auto" w:fill="auto"/>
          </w:tcPr>
          <w:p w14:paraId="0A0A1410" w14:textId="6F13967E" w:rsidR="00D02C16" w:rsidRPr="009F13FC" w:rsidRDefault="00D02C16" w:rsidP="00AF291D">
            <w:pPr>
              <w:adjustRightInd w:val="0"/>
              <w:snapToGrid w:val="0"/>
              <w:spacing w:line="360" w:lineRule="auto"/>
              <w:ind w:hanging="69"/>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Increasing vascular tension: reducing </w:t>
            </w:r>
            <w:r w:rsidR="00A8564B" w:rsidRPr="00AF291D">
              <w:rPr>
                <w:rFonts w:ascii="Book Antiqua" w:hAnsi="Book Antiqua"/>
                <w:color w:val="000000" w:themeColor="text1"/>
                <w:sz w:val="24"/>
                <w:szCs w:val="24"/>
              </w:rPr>
              <w:t>n</w:t>
            </w:r>
            <w:r w:rsidRPr="009F13FC">
              <w:rPr>
                <w:rFonts w:ascii="Book Antiqua" w:hAnsi="Book Antiqua"/>
                <w:color w:val="000000" w:themeColor="text1"/>
                <w:sz w:val="24"/>
                <w:szCs w:val="24"/>
              </w:rPr>
              <w:t xml:space="preserve">itric </w:t>
            </w:r>
            <w:r w:rsidR="00A8564B" w:rsidRPr="009F13FC">
              <w:rPr>
                <w:rFonts w:ascii="Book Antiqua" w:hAnsi="Book Antiqua"/>
                <w:color w:val="000000" w:themeColor="text1"/>
                <w:sz w:val="24"/>
                <w:szCs w:val="24"/>
              </w:rPr>
              <w:t>o</w:t>
            </w:r>
            <w:r w:rsidRPr="009F13FC">
              <w:rPr>
                <w:rFonts w:ascii="Book Antiqua" w:hAnsi="Book Antiqua"/>
                <w:color w:val="000000" w:themeColor="text1"/>
                <w:sz w:val="24"/>
                <w:szCs w:val="24"/>
              </w:rPr>
              <w:t>xide (NO) and increasing endothelin level</w:t>
            </w:r>
          </w:p>
        </w:tc>
      </w:tr>
      <w:tr w:rsidR="000D7027" w:rsidRPr="009F13FC" w14:paraId="3912F9C9" w14:textId="77777777" w:rsidTr="00D02C16">
        <w:trPr>
          <w:trHeight w:val="310"/>
        </w:trPr>
        <w:tc>
          <w:tcPr>
            <w:tcW w:w="1397" w:type="dxa"/>
            <w:vMerge/>
            <w:shd w:val="clear" w:color="auto" w:fill="auto"/>
          </w:tcPr>
          <w:p w14:paraId="6849C3C7"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70E88A9F"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241AF418" w14:textId="7ABF3299"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sympathetic excitability</w:t>
            </w:r>
          </w:p>
        </w:tc>
      </w:tr>
      <w:tr w:rsidR="000D7027" w:rsidRPr="009F13FC" w14:paraId="4668FC89" w14:textId="77777777" w:rsidTr="00D02C16">
        <w:trPr>
          <w:trHeight w:val="1171"/>
        </w:trPr>
        <w:tc>
          <w:tcPr>
            <w:tcW w:w="1397" w:type="dxa"/>
            <w:vMerge/>
            <w:shd w:val="clear" w:color="auto" w:fill="auto"/>
          </w:tcPr>
          <w:p w14:paraId="53CC1273"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56ECB93E"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528B55D7" w14:textId="145C39BA"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Activating the angiotensin-aldosterone system: elevated blood pressure, water</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sodium retention</w:t>
            </w:r>
          </w:p>
        </w:tc>
      </w:tr>
      <w:tr w:rsidR="000D7027" w:rsidRPr="009F13FC" w14:paraId="7508345A" w14:textId="77777777" w:rsidTr="00D02C16">
        <w:trPr>
          <w:trHeight w:val="1172"/>
        </w:trPr>
        <w:tc>
          <w:tcPr>
            <w:tcW w:w="1397" w:type="dxa"/>
            <w:vMerge/>
            <w:shd w:val="clear" w:color="auto" w:fill="auto"/>
          </w:tcPr>
          <w:p w14:paraId="23778B86"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3C3061D5"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2725ED2A" w14:textId="4E0631E7"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Activating sodium-chloride synergistic transport receptors in distal tubules: increased sodium reabsorption and excessive capacity</w:t>
            </w:r>
          </w:p>
        </w:tc>
      </w:tr>
      <w:tr w:rsidR="000D7027" w:rsidRPr="009F13FC" w14:paraId="6D97050E" w14:textId="77777777" w:rsidTr="00D02C16">
        <w:trPr>
          <w:trHeight w:val="1255"/>
        </w:trPr>
        <w:tc>
          <w:tcPr>
            <w:tcW w:w="1397" w:type="dxa"/>
            <w:vMerge/>
            <w:shd w:val="clear" w:color="auto" w:fill="auto"/>
          </w:tcPr>
          <w:p w14:paraId="06716176"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46B499CC"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3095F1D7" w14:textId="77777777"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Nephrotoxicity: AKI induced by vasoconstriction</w:t>
            </w:r>
          </w:p>
          <w:p w14:paraId="197D0E37" w14:textId="311F529D"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Chronic ischemia, glomerulosclerosis, interstitial fibrosis</w:t>
            </w:r>
            <w:r w:rsidR="00A8564B" w:rsidRPr="009F13FC">
              <w:rPr>
                <w:rFonts w:ascii="Book Antiqua" w:hAnsi="Book Antiqua"/>
                <w:color w:val="000000" w:themeColor="text1"/>
                <w:sz w:val="24"/>
                <w:szCs w:val="24"/>
              </w:rPr>
              <w:t>,</w:t>
            </w:r>
            <w:r w:rsidRPr="009F13FC">
              <w:rPr>
                <w:rFonts w:ascii="Book Antiqua" w:hAnsi="Book Antiqua"/>
                <w:color w:val="000000" w:themeColor="text1"/>
                <w:sz w:val="24"/>
                <w:szCs w:val="24"/>
              </w:rPr>
              <w:t xml:space="preserve"> and tubular atrophy</w:t>
            </w:r>
          </w:p>
        </w:tc>
      </w:tr>
      <w:tr w:rsidR="000D7027" w:rsidRPr="009F13FC" w14:paraId="1C88D71F" w14:textId="77777777" w:rsidTr="00D02C16">
        <w:trPr>
          <w:trHeight w:val="333"/>
        </w:trPr>
        <w:tc>
          <w:tcPr>
            <w:tcW w:w="1397" w:type="dxa"/>
            <w:vMerge w:val="restart"/>
            <w:shd w:val="clear" w:color="auto" w:fill="auto"/>
          </w:tcPr>
          <w:p w14:paraId="3BB77D16" w14:textId="77777777" w:rsidR="00D02C16" w:rsidRPr="009F13FC"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Glucocorticoid</w:t>
            </w:r>
          </w:p>
        </w:tc>
        <w:tc>
          <w:tcPr>
            <w:tcW w:w="2001" w:type="dxa"/>
            <w:gridSpan w:val="2"/>
            <w:vMerge w:val="restart"/>
            <w:shd w:val="clear" w:color="auto" w:fill="auto"/>
          </w:tcPr>
          <w:p w14:paraId="74AE3E5B" w14:textId="77777777" w:rsidR="00D02C16" w:rsidRPr="009F13FC" w:rsidRDefault="00D02C16" w:rsidP="00AF291D">
            <w:pPr>
              <w:adjustRightInd w:val="0"/>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t>Methylprednisolone</w:t>
            </w:r>
          </w:p>
        </w:tc>
        <w:tc>
          <w:tcPr>
            <w:tcW w:w="5683" w:type="dxa"/>
            <w:shd w:val="clear" w:color="auto" w:fill="auto"/>
          </w:tcPr>
          <w:p w14:paraId="78101880" w14:textId="61F7045A"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sympathetic excitability</w:t>
            </w:r>
          </w:p>
        </w:tc>
      </w:tr>
      <w:tr w:rsidR="000D7027" w:rsidRPr="009F13FC" w14:paraId="5DF8E068" w14:textId="77777777" w:rsidTr="00D02C16">
        <w:trPr>
          <w:trHeight w:val="351"/>
        </w:trPr>
        <w:tc>
          <w:tcPr>
            <w:tcW w:w="1397" w:type="dxa"/>
            <w:vMerge/>
            <w:shd w:val="clear" w:color="auto" w:fill="auto"/>
          </w:tcPr>
          <w:p w14:paraId="702BCCE0"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5B5F9B71"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7DDB37CE" w14:textId="534E6550"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vascular tension</w:t>
            </w:r>
          </w:p>
        </w:tc>
      </w:tr>
      <w:tr w:rsidR="000D7027" w:rsidRPr="009F13FC" w14:paraId="3DF7FC1D" w14:textId="77777777" w:rsidTr="00D02C16">
        <w:trPr>
          <w:trHeight w:val="592"/>
        </w:trPr>
        <w:tc>
          <w:tcPr>
            <w:tcW w:w="1397" w:type="dxa"/>
            <w:vMerge/>
            <w:shd w:val="clear" w:color="auto" w:fill="auto"/>
          </w:tcPr>
          <w:p w14:paraId="2DFB46AA"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2001" w:type="dxa"/>
            <w:gridSpan w:val="2"/>
            <w:vMerge/>
            <w:shd w:val="clear" w:color="auto" w:fill="auto"/>
          </w:tcPr>
          <w:p w14:paraId="1BD2A56D" w14:textId="77777777" w:rsidR="00D02C16" w:rsidRPr="009F13FC" w:rsidRDefault="00D02C16">
            <w:pPr>
              <w:adjustRightInd w:val="0"/>
              <w:snapToGrid w:val="0"/>
              <w:spacing w:line="360" w:lineRule="auto"/>
              <w:jc w:val="both"/>
              <w:rPr>
                <w:rFonts w:ascii="Book Antiqua" w:hAnsi="Book Antiqua"/>
                <w:color w:val="000000" w:themeColor="text1"/>
                <w:sz w:val="24"/>
                <w:szCs w:val="24"/>
              </w:rPr>
            </w:pPr>
          </w:p>
        </w:tc>
        <w:tc>
          <w:tcPr>
            <w:tcW w:w="5683" w:type="dxa"/>
            <w:shd w:val="clear" w:color="auto" w:fill="auto"/>
          </w:tcPr>
          <w:p w14:paraId="7B210CE1" w14:textId="4D79C383" w:rsidR="00D02C16" w:rsidRPr="009F13FC" w:rsidRDefault="00D02C16">
            <w:pPr>
              <w:adjustRightInd w:val="0"/>
              <w:snapToGrid w:val="0"/>
              <w:spacing w:line="360" w:lineRule="auto"/>
              <w:ind w:hanging="69"/>
              <w:jc w:val="both"/>
              <w:rPr>
                <w:rFonts w:ascii="Book Antiqua" w:hAnsi="Book Antiqua"/>
                <w:color w:val="000000" w:themeColor="text1"/>
                <w:sz w:val="24"/>
                <w:szCs w:val="24"/>
              </w:rPr>
            </w:pPr>
            <w:r w:rsidRPr="009F13FC">
              <w:rPr>
                <w:rFonts w:ascii="Book Antiqua" w:hAnsi="Book Antiqua"/>
                <w:color w:val="000000" w:themeColor="text1"/>
                <w:sz w:val="24"/>
                <w:szCs w:val="24"/>
              </w:rPr>
              <w:t>Increasing activity of mineralocorticoids</w:t>
            </w:r>
          </w:p>
        </w:tc>
      </w:tr>
    </w:tbl>
    <w:p w14:paraId="336337BC" w14:textId="122C33F9" w:rsidR="00A62DA5" w:rsidRPr="009F13FC" w:rsidRDefault="00D02C16" w:rsidP="0045092C">
      <w:pPr>
        <w:adjustRightInd w:val="0"/>
        <w:snapToGrid w:val="0"/>
        <w:spacing w:line="360" w:lineRule="auto"/>
        <w:jc w:val="both"/>
        <w:rPr>
          <w:rFonts w:ascii="Book Antiqua" w:hAnsi="Book Antiqua"/>
          <w:color w:val="000000" w:themeColor="text1"/>
          <w:sz w:val="24"/>
          <w:szCs w:val="24"/>
        </w:rPr>
      </w:pPr>
      <w:r w:rsidRPr="00AF291D">
        <w:rPr>
          <w:rFonts w:ascii="Book Antiqua" w:hAnsi="Book Antiqua"/>
          <w:color w:val="000000" w:themeColor="text1"/>
          <w:sz w:val="24"/>
          <w:szCs w:val="24"/>
        </w:rPr>
        <w:t xml:space="preserve">CNI: Calcineurin inhibitor; TAC: Tacrolimus; </w:t>
      </w:r>
      <w:r w:rsidR="00A62DA5" w:rsidRPr="00AF291D">
        <w:rPr>
          <w:rFonts w:ascii="Book Antiqua" w:hAnsi="Book Antiqua"/>
          <w:color w:val="000000" w:themeColor="text1"/>
          <w:sz w:val="24"/>
          <w:szCs w:val="24"/>
        </w:rPr>
        <w:t xml:space="preserve">AKI: </w:t>
      </w:r>
      <w:r w:rsidRPr="00AF291D">
        <w:rPr>
          <w:rFonts w:ascii="Book Antiqua" w:hAnsi="Book Antiqua"/>
          <w:color w:val="000000" w:themeColor="text1"/>
          <w:sz w:val="24"/>
          <w:szCs w:val="24"/>
        </w:rPr>
        <w:t xml:space="preserve">Acute </w:t>
      </w:r>
      <w:r w:rsidR="00A62DA5" w:rsidRPr="00AF291D">
        <w:rPr>
          <w:rFonts w:ascii="Book Antiqua" w:hAnsi="Book Antiqua"/>
          <w:color w:val="000000" w:themeColor="text1"/>
          <w:sz w:val="24"/>
          <w:szCs w:val="24"/>
        </w:rPr>
        <w:t xml:space="preserve">kidney injury; </w:t>
      </w:r>
      <w:r w:rsidRPr="00AF291D">
        <w:rPr>
          <w:rFonts w:ascii="Book Antiqua" w:hAnsi="Book Antiqua"/>
          <w:color w:val="000000" w:themeColor="text1"/>
          <w:sz w:val="24"/>
          <w:szCs w:val="24"/>
        </w:rPr>
        <w:t>CsA: Cyclosporine A.</w:t>
      </w:r>
    </w:p>
    <w:p w14:paraId="73424ED2" w14:textId="77777777" w:rsidR="006C2F11" w:rsidRPr="009F13FC" w:rsidRDefault="006C2F11">
      <w:pPr>
        <w:widowControl/>
        <w:snapToGrid w:val="0"/>
        <w:spacing w:line="360" w:lineRule="auto"/>
        <w:jc w:val="both"/>
        <w:rPr>
          <w:rFonts w:ascii="Book Antiqua" w:hAnsi="Book Antiqua"/>
          <w:color w:val="000000" w:themeColor="text1"/>
          <w:sz w:val="24"/>
          <w:szCs w:val="24"/>
        </w:rPr>
      </w:pPr>
      <w:r w:rsidRPr="009F13FC">
        <w:rPr>
          <w:rFonts w:ascii="Book Antiqua" w:hAnsi="Book Antiqua"/>
          <w:color w:val="000000" w:themeColor="text1"/>
          <w:sz w:val="24"/>
          <w:szCs w:val="24"/>
        </w:rPr>
        <w:br w:type="page"/>
      </w:r>
    </w:p>
    <w:p w14:paraId="005DFCF2" w14:textId="29C056D3" w:rsidR="00A62DA5" w:rsidRPr="009F13FC" w:rsidRDefault="00A62DA5">
      <w:pPr>
        <w:adjustRightInd w:val="0"/>
        <w:snapToGrid w:val="0"/>
        <w:spacing w:line="360" w:lineRule="auto"/>
        <w:jc w:val="both"/>
        <w:rPr>
          <w:rFonts w:ascii="Book Antiqua" w:hAnsi="Book Antiqua"/>
          <w:b/>
          <w:bCs/>
          <w:color w:val="000000" w:themeColor="text1"/>
          <w:sz w:val="24"/>
          <w:szCs w:val="24"/>
        </w:rPr>
      </w:pPr>
      <w:r w:rsidRPr="009F13FC">
        <w:rPr>
          <w:rFonts w:ascii="Book Antiqua" w:hAnsi="Book Antiqua"/>
          <w:b/>
          <w:bCs/>
          <w:color w:val="000000" w:themeColor="text1"/>
          <w:sz w:val="24"/>
          <w:szCs w:val="24"/>
        </w:rPr>
        <w:lastRenderedPageBreak/>
        <w:t xml:space="preserve">Table 4 Monitoring of </w:t>
      </w:r>
      <w:r w:rsidR="00D02C16" w:rsidRPr="009F13FC">
        <w:rPr>
          <w:rFonts w:ascii="Book Antiqua" w:hAnsi="Book Antiqua"/>
          <w:b/>
          <w:bCs/>
          <w:color w:val="000000" w:themeColor="text1"/>
          <w:sz w:val="24"/>
          <w:szCs w:val="24"/>
        </w:rPr>
        <w:t>metabolic disease after liver transplantation</w:t>
      </w:r>
    </w:p>
    <w:tbl>
      <w:tblPr>
        <w:tblW w:w="9188" w:type="dxa"/>
        <w:tblLayout w:type="fixed"/>
        <w:tblLook w:val="0000" w:firstRow="0" w:lastRow="0" w:firstColumn="0" w:lastColumn="0" w:noHBand="0" w:noVBand="0"/>
      </w:tblPr>
      <w:tblGrid>
        <w:gridCol w:w="1985"/>
        <w:gridCol w:w="1559"/>
        <w:gridCol w:w="2126"/>
        <w:gridCol w:w="3518"/>
      </w:tblGrid>
      <w:tr w:rsidR="000D7027" w:rsidRPr="009F13FC" w14:paraId="44737EA7" w14:textId="77777777" w:rsidTr="00276333">
        <w:trPr>
          <w:trHeight w:val="75"/>
        </w:trPr>
        <w:tc>
          <w:tcPr>
            <w:tcW w:w="1985" w:type="dxa"/>
            <w:tcBorders>
              <w:top w:val="single" w:sz="4" w:space="0" w:color="000000"/>
              <w:bottom w:val="single" w:sz="4" w:space="0" w:color="000000"/>
            </w:tcBorders>
          </w:tcPr>
          <w:p w14:paraId="30BD74A1"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Metabolic disease</w:t>
            </w:r>
          </w:p>
        </w:tc>
        <w:tc>
          <w:tcPr>
            <w:tcW w:w="1559" w:type="dxa"/>
            <w:tcBorders>
              <w:top w:val="single" w:sz="4" w:space="0" w:color="000000"/>
              <w:bottom w:val="single" w:sz="4" w:space="0" w:color="000000"/>
            </w:tcBorders>
          </w:tcPr>
          <w:p w14:paraId="6F301E7A"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Monitoring indicator</w:t>
            </w:r>
          </w:p>
        </w:tc>
        <w:tc>
          <w:tcPr>
            <w:tcW w:w="2126" w:type="dxa"/>
            <w:tcBorders>
              <w:top w:val="single" w:sz="4" w:space="0" w:color="000000"/>
              <w:bottom w:val="single" w:sz="4" w:space="0" w:color="000000"/>
            </w:tcBorders>
          </w:tcPr>
          <w:p w14:paraId="240E1C51" w14:textId="77777777" w:rsidR="00A62DA5" w:rsidRPr="009F13FC" w:rsidRDefault="00A62DA5">
            <w:pPr>
              <w:adjustRightInd w:val="0"/>
              <w:snapToGrid w:val="0"/>
              <w:spacing w:line="360" w:lineRule="auto"/>
              <w:ind w:leftChars="-92" w:left="-202" w:firstLine="420"/>
              <w:jc w:val="both"/>
              <w:rPr>
                <w:rFonts w:ascii="Book Antiqua" w:hAnsi="Book Antiqua"/>
                <w:b/>
                <w:color w:val="000000" w:themeColor="text1"/>
                <w:sz w:val="24"/>
                <w:szCs w:val="24"/>
              </w:rPr>
            </w:pPr>
            <w:r w:rsidRPr="009F13FC">
              <w:rPr>
                <w:rFonts w:ascii="Book Antiqua" w:hAnsi="Book Antiqua"/>
                <w:b/>
                <w:color w:val="000000" w:themeColor="text1"/>
                <w:sz w:val="24"/>
                <w:szCs w:val="24"/>
              </w:rPr>
              <w:t>Target</w:t>
            </w:r>
          </w:p>
        </w:tc>
        <w:tc>
          <w:tcPr>
            <w:tcW w:w="3518" w:type="dxa"/>
            <w:tcBorders>
              <w:top w:val="single" w:sz="4" w:space="0" w:color="000000"/>
              <w:bottom w:val="single" w:sz="4" w:space="0" w:color="000000"/>
            </w:tcBorders>
          </w:tcPr>
          <w:p w14:paraId="4C611BC7" w14:textId="77777777" w:rsidR="00A62DA5" w:rsidRPr="009F13FC" w:rsidRDefault="00A62DA5">
            <w:pPr>
              <w:adjustRightInd w:val="0"/>
              <w:snapToGrid w:val="0"/>
              <w:spacing w:line="360" w:lineRule="auto"/>
              <w:jc w:val="both"/>
              <w:rPr>
                <w:rFonts w:ascii="Book Antiqua" w:hAnsi="Book Antiqua"/>
                <w:b/>
                <w:color w:val="000000" w:themeColor="text1"/>
                <w:sz w:val="24"/>
                <w:szCs w:val="24"/>
              </w:rPr>
            </w:pPr>
            <w:r w:rsidRPr="009F13FC">
              <w:rPr>
                <w:rFonts w:ascii="Book Antiqua" w:hAnsi="Book Antiqua"/>
                <w:b/>
                <w:color w:val="000000" w:themeColor="text1"/>
                <w:sz w:val="24"/>
                <w:szCs w:val="24"/>
              </w:rPr>
              <w:t>Other related examination items</w:t>
            </w:r>
          </w:p>
        </w:tc>
      </w:tr>
      <w:tr w:rsidR="000D7027" w:rsidRPr="009F13FC" w14:paraId="65498494" w14:textId="77777777" w:rsidTr="00276333">
        <w:trPr>
          <w:trHeight w:val="265"/>
        </w:trPr>
        <w:tc>
          <w:tcPr>
            <w:tcW w:w="1985" w:type="dxa"/>
            <w:tcBorders>
              <w:top w:val="single" w:sz="4" w:space="0" w:color="000000"/>
            </w:tcBorders>
          </w:tcPr>
          <w:p w14:paraId="1DCEB2F3" w14:textId="77777777" w:rsidR="00A62DA5" w:rsidRPr="009F13FC"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Diabetes mellitus</w:t>
            </w:r>
          </w:p>
        </w:tc>
        <w:tc>
          <w:tcPr>
            <w:tcW w:w="1559" w:type="dxa"/>
            <w:tcBorders>
              <w:top w:val="single" w:sz="4" w:space="0" w:color="000000"/>
            </w:tcBorders>
          </w:tcPr>
          <w:p w14:paraId="1DB3C56F" w14:textId="3676FBAA"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FPG, HbA1c</w:t>
            </w:r>
            <w:r w:rsidR="00EB713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OGTT</w:t>
            </w:r>
          </w:p>
        </w:tc>
        <w:tc>
          <w:tcPr>
            <w:tcW w:w="2126" w:type="dxa"/>
            <w:tcBorders>
              <w:top w:val="single" w:sz="4" w:space="0" w:color="000000"/>
            </w:tcBorders>
          </w:tcPr>
          <w:p w14:paraId="28943416" w14:textId="00F5A6DC" w:rsidR="00A62DA5" w:rsidRPr="009F13FC" w:rsidRDefault="00A62DA5">
            <w:pPr>
              <w:adjustRightInd w:val="0"/>
              <w:snapToGrid w:val="0"/>
              <w:spacing w:line="360" w:lineRule="auto"/>
              <w:jc w:val="both"/>
              <w:rPr>
                <w:rFonts w:ascii="Book Antiqua" w:eastAsia="Gungsuh" w:hAnsi="Book Antiqua"/>
                <w:bCs/>
                <w:color w:val="000000" w:themeColor="text1"/>
                <w:sz w:val="24"/>
                <w:szCs w:val="24"/>
              </w:rPr>
            </w:pPr>
            <w:r w:rsidRPr="009F13FC">
              <w:rPr>
                <w:rFonts w:ascii="Book Antiqua" w:eastAsia="Gungsuh" w:hAnsi="Book Antiqua"/>
                <w:bCs/>
                <w:color w:val="000000" w:themeColor="text1"/>
                <w:sz w:val="24"/>
                <w:szCs w:val="24"/>
              </w:rPr>
              <w:t>FPG</w:t>
            </w:r>
            <w:r w:rsidR="00176F8A" w:rsidRPr="009F13FC">
              <w:rPr>
                <w:rFonts w:ascii="Book Antiqua" w:eastAsia="Gungsuh" w:hAnsi="Book Antiqua"/>
                <w:bCs/>
                <w:color w:val="000000" w:themeColor="text1"/>
                <w:sz w:val="24"/>
                <w:szCs w:val="24"/>
              </w:rPr>
              <w:t xml:space="preserve"> &lt; </w:t>
            </w:r>
            <w:r w:rsidRPr="009F13FC">
              <w:rPr>
                <w:rFonts w:ascii="Book Antiqua" w:eastAsia="Gungsuh" w:hAnsi="Book Antiqua"/>
                <w:bCs/>
                <w:color w:val="000000" w:themeColor="text1"/>
                <w:sz w:val="24"/>
                <w:szCs w:val="24"/>
              </w:rPr>
              <w:t>6.7 mmol/L, peak value</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8.88 mmol/L or HbA1c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7%</w:t>
            </w:r>
          </w:p>
        </w:tc>
        <w:tc>
          <w:tcPr>
            <w:tcW w:w="3518" w:type="dxa"/>
            <w:tcBorders>
              <w:top w:val="single" w:sz="4" w:space="0" w:color="000000"/>
            </w:tcBorders>
          </w:tcPr>
          <w:p w14:paraId="589EF5D3" w14:textId="0DA17650"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Urinary protein, ophthalmoscopy, B-mode ultrasonography of the carotid artery</w:t>
            </w:r>
            <w:r w:rsidR="00EB7134" w:rsidRPr="009F13FC">
              <w:rPr>
                <w:rFonts w:ascii="Book Antiqua" w:hAnsi="Book Antiqua"/>
                <w:bCs/>
                <w:color w:val="000000" w:themeColor="text1"/>
                <w:sz w:val="24"/>
                <w:szCs w:val="24"/>
              </w:rPr>
              <w:t>,</w:t>
            </w:r>
            <w:r w:rsidRPr="009F13FC">
              <w:rPr>
                <w:rFonts w:ascii="Book Antiqua" w:hAnsi="Book Antiqua"/>
                <w:bCs/>
                <w:color w:val="000000" w:themeColor="text1"/>
                <w:sz w:val="24"/>
                <w:szCs w:val="24"/>
              </w:rPr>
              <w:t xml:space="preserve"> and coronary CT angiography </w:t>
            </w:r>
          </w:p>
        </w:tc>
      </w:tr>
      <w:tr w:rsidR="000D7027" w:rsidRPr="009F13FC" w14:paraId="045CA4CF" w14:textId="77777777" w:rsidTr="00276333">
        <w:trPr>
          <w:trHeight w:val="151"/>
        </w:trPr>
        <w:tc>
          <w:tcPr>
            <w:tcW w:w="1985" w:type="dxa"/>
          </w:tcPr>
          <w:p w14:paraId="5070154E" w14:textId="77777777"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Hypertension</w:t>
            </w:r>
          </w:p>
        </w:tc>
        <w:tc>
          <w:tcPr>
            <w:tcW w:w="1559" w:type="dxa"/>
          </w:tcPr>
          <w:p w14:paraId="76EE2E9E"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Arterial pressure</w:t>
            </w:r>
          </w:p>
        </w:tc>
        <w:tc>
          <w:tcPr>
            <w:tcW w:w="2126" w:type="dxa"/>
          </w:tcPr>
          <w:p w14:paraId="2A7F6912" w14:textId="289289E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Arterial pressure</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130/80 mmHg</w:t>
            </w:r>
          </w:p>
        </w:tc>
        <w:tc>
          <w:tcPr>
            <w:tcW w:w="3518" w:type="dxa"/>
          </w:tcPr>
          <w:p w14:paraId="74EEB32C" w14:textId="365605DE"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 xml:space="preserve">24-h ambulatory blood pressure, </w:t>
            </w:r>
            <w:r w:rsidR="00BE5B2D" w:rsidRPr="009F13FC">
              <w:rPr>
                <w:rFonts w:ascii="Book Antiqua" w:hAnsi="Book Antiqua"/>
                <w:bCs/>
                <w:color w:val="000000" w:themeColor="text1"/>
                <w:sz w:val="24"/>
                <w:szCs w:val="24"/>
              </w:rPr>
              <w:t>ECG</w:t>
            </w:r>
            <w:r w:rsidRPr="009F13FC">
              <w:rPr>
                <w:rFonts w:ascii="Book Antiqua" w:hAnsi="Book Antiqua"/>
                <w:bCs/>
                <w:color w:val="000000" w:themeColor="text1"/>
                <w:sz w:val="24"/>
                <w:szCs w:val="24"/>
              </w:rPr>
              <w:t>, coronary CT angiography, urinary protein, ophthalmoscopy</w:t>
            </w:r>
          </w:p>
        </w:tc>
      </w:tr>
      <w:tr w:rsidR="000D7027" w:rsidRPr="009F13FC" w14:paraId="6E66B0F1" w14:textId="77777777" w:rsidTr="00276333">
        <w:trPr>
          <w:trHeight w:val="208"/>
        </w:trPr>
        <w:tc>
          <w:tcPr>
            <w:tcW w:w="1985" w:type="dxa"/>
          </w:tcPr>
          <w:p w14:paraId="712B5C8F" w14:textId="5D816093" w:rsidR="00A62DA5" w:rsidRPr="009F13FC"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Dyslipid</w:t>
            </w:r>
            <w:r w:rsidRPr="009F13FC">
              <w:rPr>
                <w:rFonts w:ascii="Book Antiqua" w:hAnsi="Book Antiqua"/>
                <w:bCs/>
                <w:color w:val="000000" w:themeColor="text1"/>
                <w:sz w:val="24"/>
                <w:szCs w:val="24"/>
              </w:rPr>
              <w:t>emia</w:t>
            </w:r>
          </w:p>
        </w:tc>
        <w:tc>
          <w:tcPr>
            <w:tcW w:w="1559" w:type="dxa"/>
          </w:tcPr>
          <w:p w14:paraId="278ABF1B"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LDL-C, TC, TG</w:t>
            </w:r>
          </w:p>
        </w:tc>
        <w:tc>
          <w:tcPr>
            <w:tcW w:w="2126" w:type="dxa"/>
          </w:tcPr>
          <w:p w14:paraId="10D22AAE" w14:textId="3A8AD85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LDL-C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100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mg/dL; patients with cardiovascular risk factors, LDL-C</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70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mg/dL</w:t>
            </w:r>
          </w:p>
        </w:tc>
        <w:tc>
          <w:tcPr>
            <w:tcW w:w="3518" w:type="dxa"/>
          </w:tcPr>
          <w:p w14:paraId="69BC0DB4" w14:textId="77777777"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ECG, B-mode ultrasonography of the carotid artery and coronary CT angiography</w:t>
            </w:r>
          </w:p>
        </w:tc>
      </w:tr>
      <w:tr w:rsidR="000D7027" w:rsidRPr="009F13FC" w14:paraId="2E6395AC" w14:textId="77777777" w:rsidTr="00276333">
        <w:trPr>
          <w:trHeight w:val="284"/>
        </w:trPr>
        <w:tc>
          <w:tcPr>
            <w:tcW w:w="1985" w:type="dxa"/>
          </w:tcPr>
          <w:p w14:paraId="749F05BC" w14:textId="037D8312"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Hyperuricemia</w:t>
            </w:r>
          </w:p>
        </w:tc>
        <w:tc>
          <w:tcPr>
            <w:tcW w:w="1559" w:type="dxa"/>
          </w:tcPr>
          <w:p w14:paraId="13ABE4A0"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SUA</w:t>
            </w:r>
          </w:p>
        </w:tc>
        <w:tc>
          <w:tcPr>
            <w:tcW w:w="2126" w:type="dxa"/>
          </w:tcPr>
          <w:p w14:paraId="446E942F" w14:textId="4E140B3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SUA</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360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μmol/L; patients with gout attack, SUA</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300</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μmol/L</w:t>
            </w:r>
          </w:p>
        </w:tc>
        <w:tc>
          <w:tcPr>
            <w:tcW w:w="3518" w:type="dxa"/>
          </w:tcPr>
          <w:p w14:paraId="6137A28B" w14:textId="720057C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Urinary protein, serum creatinine, glomerular filtration rate, bilateral renal ultrasound, joint ultrasound, joint X-ray or CT</w:t>
            </w:r>
          </w:p>
        </w:tc>
      </w:tr>
      <w:tr w:rsidR="000D7027" w:rsidRPr="009F13FC" w14:paraId="3F2ED9F8" w14:textId="77777777" w:rsidTr="00276333">
        <w:trPr>
          <w:trHeight w:val="303"/>
        </w:trPr>
        <w:tc>
          <w:tcPr>
            <w:tcW w:w="1985" w:type="dxa"/>
            <w:tcBorders>
              <w:bottom w:val="single" w:sz="4" w:space="0" w:color="000000"/>
            </w:tcBorders>
          </w:tcPr>
          <w:p w14:paraId="3D71C5E5" w14:textId="77777777" w:rsidR="00A62DA5" w:rsidRPr="00AF291D" w:rsidRDefault="00A62DA5" w:rsidP="0045092C">
            <w:pPr>
              <w:adjustRightInd w:val="0"/>
              <w:snapToGrid w:val="0"/>
              <w:spacing w:line="360" w:lineRule="auto"/>
              <w:jc w:val="both"/>
              <w:rPr>
                <w:rFonts w:ascii="Book Antiqua" w:hAnsi="Book Antiqua"/>
                <w:bCs/>
                <w:color w:val="000000" w:themeColor="text1"/>
                <w:sz w:val="24"/>
                <w:szCs w:val="24"/>
              </w:rPr>
            </w:pPr>
            <w:r w:rsidRPr="00AF291D">
              <w:rPr>
                <w:rFonts w:ascii="Book Antiqua" w:hAnsi="Book Antiqua"/>
                <w:bCs/>
                <w:color w:val="000000" w:themeColor="text1"/>
                <w:sz w:val="24"/>
                <w:szCs w:val="24"/>
              </w:rPr>
              <w:t xml:space="preserve">Obesity </w:t>
            </w:r>
          </w:p>
        </w:tc>
        <w:tc>
          <w:tcPr>
            <w:tcW w:w="1559" w:type="dxa"/>
            <w:tcBorders>
              <w:bottom w:val="single" w:sz="4" w:space="0" w:color="000000"/>
            </w:tcBorders>
          </w:tcPr>
          <w:p w14:paraId="50C1B6EF" w14:textId="77777777" w:rsidR="00A62DA5" w:rsidRPr="009F13FC" w:rsidRDefault="00A62DA5" w:rsidP="00AF291D">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BMI</w:t>
            </w:r>
          </w:p>
        </w:tc>
        <w:tc>
          <w:tcPr>
            <w:tcW w:w="2126" w:type="dxa"/>
            <w:tcBorders>
              <w:bottom w:val="single" w:sz="4" w:space="0" w:color="000000"/>
            </w:tcBorders>
          </w:tcPr>
          <w:p w14:paraId="3293D960" w14:textId="12359DEF"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eastAsia="Gungsuh" w:hAnsi="Book Antiqua"/>
                <w:bCs/>
                <w:color w:val="000000" w:themeColor="text1"/>
                <w:sz w:val="24"/>
                <w:szCs w:val="24"/>
              </w:rPr>
              <w:t>BMI</w:t>
            </w:r>
            <w:r w:rsidR="00176F8A" w:rsidRPr="009F13FC">
              <w:rPr>
                <w:rFonts w:ascii="Book Antiqua" w:eastAsia="宋体" w:hAnsi="Book Antiqua" w:cs="宋体"/>
                <w:bCs/>
                <w:color w:val="000000" w:themeColor="text1"/>
                <w:sz w:val="24"/>
                <w:szCs w:val="24"/>
              </w:rPr>
              <w:t xml:space="preserve"> &lt; </w:t>
            </w:r>
            <w:r w:rsidRPr="009F13FC">
              <w:rPr>
                <w:rFonts w:ascii="Book Antiqua" w:eastAsia="Gungsuh" w:hAnsi="Book Antiqua"/>
                <w:bCs/>
                <w:color w:val="000000" w:themeColor="text1"/>
                <w:sz w:val="24"/>
                <w:szCs w:val="24"/>
              </w:rPr>
              <w:t>25</w:t>
            </w:r>
            <w:r w:rsidR="00D02C16" w:rsidRPr="009F13FC">
              <w:rPr>
                <w:rFonts w:ascii="Book Antiqua" w:eastAsia="Gungsuh" w:hAnsi="Book Antiqua"/>
                <w:bCs/>
                <w:color w:val="000000" w:themeColor="text1"/>
                <w:sz w:val="24"/>
                <w:szCs w:val="24"/>
              </w:rPr>
              <w:t xml:space="preserve"> </w:t>
            </w:r>
            <w:r w:rsidRPr="009F13FC">
              <w:rPr>
                <w:rFonts w:ascii="Book Antiqua" w:eastAsia="Gungsuh" w:hAnsi="Book Antiqua"/>
                <w:bCs/>
                <w:color w:val="000000" w:themeColor="text1"/>
                <w:sz w:val="24"/>
                <w:szCs w:val="24"/>
              </w:rPr>
              <w:t>kg/m</w:t>
            </w:r>
            <w:r w:rsidRPr="009F13FC">
              <w:rPr>
                <w:rFonts w:ascii="Book Antiqua" w:eastAsia="Gungsuh" w:hAnsi="Book Antiqua"/>
                <w:bCs/>
                <w:color w:val="000000" w:themeColor="text1"/>
                <w:sz w:val="24"/>
                <w:szCs w:val="24"/>
                <w:vertAlign w:val="superscript"/>
              </w:rPr>
              <w:t>2</w:t>
            </w:r>
          </w:p>
        </w:tc>
        <w:tc>
          <w:tcPr>
            <w:tcW w:w="3518" w:type="dxa"/>
            <w:tcBorders>
              <w:bottom w:val="single" w:sz="4" w:space="0" w:color="000000"/>
            </w:tcBorders>
          </w:tcPr>
          <w:p w14:paraId="6D06F696" w14:textId="2DF88582" w:rsidR="00A62DA5" w:rsidRPr="009F13FC" w:rsidRDefault="00A62DA5">
            <w:pPr>
              <w:adjustRightInd w:val="0"/>
              <w:snapToGrid w:val="0"/>
              <w:spacing w:line="360" w:lineRule="auto"/>
              <w:jc w:val="both"/>
              <w:rPr>
                <w:rFonts w:ascii="Book Antiqua" w:hAnsi="Book Antiqua"/>
                <w:bCs/>
                <w:color w:val="000000" w:themeColor="text1"/>
                <w:sz w:val="24"/>
                <w:szCs w:val="24"/>
              </w:rPr>
            </w:pPr>
            <w:r w:rsidRPr="009F13FC">
              <w:rPr>
                <w:rFonts w:ascii="Book Antiqua" w:hAnsi="Book Antiqua"/>
                <w:bCs/>
                <w:color w:val="000000" w:themeColor="text1"/>
                <w:sz w:val="24"/>
                <w:szCs w:val="24"/>
              </w:rPr>
              <w:t>Coronary CT angiography and B-mode ultrasonography of the carotid artery</w:t>
            </w:r>
          </w:p>
        </w:tc>
      </w:tr>
    </w:tbl>
    <w:p w14:paraId="6409CF01" w14:textId="0193F735" w:rsidR="00A62DA5" w:rsidRPr="0045092C" w:rsidRDefault="00D02C16" w:rsidP="0045092C">
      <w:pPr>
        <w:widowControl/>
        <w:pBdr>
          <w:top w:val="nil"/>
          <w:left w:val="nil"/>
          <w:bottom w:val="nil"/>
          <w:right w:val="nil"/>
          <w:between w:val="nil"/>
        </w:pBdr>
        <w:adjustRightInd w:val="0"/>
        <w:snapToGrid w:val="0"/>
        <w:spacing w:line="360" w:lineRule="auto"/>
        <w:jc w:val="both"/>
        <w:rPr>
          <w:rFonts w:ascii="Book Antiqua" w:hAnsi="Book Antiqua"/>
          <w:color w:val="000000" w:themeColor="text1"/>
          <w:sz w:val="24"/>
          <w:szCs w:val="24"/>
          <w:lang w:eastAsia="zh-CN"/>
        </w:rPr>
      </w:pPr>
      <w:r w:rsidRPr="00AF291D">
        <w:rPr>
          <w:rFonts w:ascii="Book Antiqua" w:hAnsi="Book Antiqua"/>
          <w:color w:val="000000" w:themeColor="text1"/>
          <w:sz w:val="24"/>
          <w:szCs w:val="24"/>
          <w:lang w:eastAsia="zh-CN"/>
        </w:rPr>
        <w:t xml:space="preserve">CT: </w:t>
      </w:r>
      <w:r w:rsidR="00BE5B2D" w:rsidRPr="00AF291D">
        <w:rPr>
          <w:rFonts w:ascii="Book Antiqua" w:hAnsi="Book Antiqua"/>
          <w:color w:val="000000" w:themeColor="text1"/>
          <w:sz w:val="24"/>
          <w:szCs w:val="24"/>
          <w:lang w:eastAsia="zh-CN"/>
        </w:rPr>
        <w:t xml:space="preserve">Computed tomography; </w:t>
      </w:r>
      <w:r w:rsidRPr="009F13FC">
        <w:rPr>
          <w:rFonts w:ascii="Book Antiqua" w:hAnsi="Book Antiqua"/>
          <w:color w:val="000000" w:themeColor="text1"/>
          <w:sz w:val="24"/>
          <w:szCs w:val="24"/>
          <w:lang w:eastAsia="zh-CN"/>
        </w:rPr>
        <w:t xml:space="preserve">ECG: </w:t>
      </w:r>
      <w:r w:rsidR="00BE5B2D" w:rsidRPr="009F13FC">
        <w:rPr>
          <w:rFonts w:ascii="Book Antiqua" w:hAnsi="Book Antiqua"/>
          <w:color w:val="000000" w:themeColor="text1"/>
          <w:sz w:val="24"/>
          <w:szCs w:val="24"/>
          <w:lang w:eastAsia="zh-CN"/>
        </w:rPr>
        <w:t xml:space="preserve">Electrocardiogram; </w:t>
      </w:r>
      <w:r w:rsidRPr="009F13FC">
        <w:rPr>
          <w:rFonts w:ascii="Book Antiqua" w:hAnsi="Book Antiqua"/>
          <w:color w:val="000000" w:themeColor="text1"/>
          <w:sz w:val="24"/>
          <w:szCs w:val="24"/>
          <w:lang w:eastAsia="zh-CN"/>
        </w:rPr>
        <w:t xml:space="preserve">SUA: </w:t>
      </w:r>
      <w:r w:rsidR="00BE5B2D" w:rsidRPr="009F13FC">
        <w:rPr>
          <w:rFonts w:ascii="Book Antiqua" w:hAnsi="Book Antiqua"/>
          <w:color w:val="000000" w:themeColor="text1"/>
          <w:sz w:val="24"/>
          <w:szCs w:val="24"/>
        </w:rPr>
        <w:t>Serum uric acid;</w:t>
      </w:r>
      <w:r w:rsidR="00BE5B2D" w:rsidRPr="009F13FC">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lang w:eastAsia="zh-CN"/>
        </w:rPr>
        <w:t>BMI:</w:t>
      </w:r>
      <w:r w:rsidR="00BE5B2D" w:rsidRPr="009F13FC">
        <w:rPr>
          <w:rFonts w:ascii="Book Antiqua" w:eastAsia="Gungsuh" w:hAnsi="Book Antiqua" w:cs="Gungsuh"/>
          <w:color w:val="000000" w:themeColor="text1"/>
          <w:sz w:val="24"/>
          <w:szCs w:val="24"/>
        </w:rPr>
        <w:t xml:space="preserve"> Body mass index;</w:t>
      </w:r>
      <w:r w:rsidRPr="009F13FC">
        <w:rPr>
          <w:rFonts w:ascii="Book Antiqua" w:hAnsi="Book Antiqua"/>
          <w:color w:val="000000" w:themeColor="text1"/>
          <w:sz w:val="24"/>
          <w:szCs w:val="24"/>
          <w:lang w:eastAsia="zh-CN"/>
        </w:rPr>
        <w:t xml:space="preserve"> </w:t>
      </w:r>
      <w:r w:rsidRPr="009F13FC">
        <w:rPr>
          <w:rFonts w:ascii="Book Antiqua" w:hAnsi="Book Antiqua"/>
          <w:color w:val="000000" w:themeColor="text1"/>
          <w:sz w:val="24"/>
          <w:szCs w:val="24"/>
        </w:rPr>
        <w:t xml:space="preserve">LDL-C: </w:t>
      </w:r>
      <w:r w:rsidR="00BE5B2D" w:rsidRPr="009F13FC">
        <w:rPr>
          <w:rFonts w:ascii="Book Antiqua" w:hAnsi="Book Antiqua"/>
          <w:color w:val="000000" w:themeColor="text1"/>
          <w:sz w:val="24"/>
          <w:szCs w:val="24"/>
        </w:rPr>
        <w:t xml:space="preserve">Low density lipoprotein cholesterol; </w:t>
      </w:r>
      <w:r w:rsidRPr="009F13FC">
        <w:rPr>
          <w:rFonts w:ascii="Book Antiqua" w:hAnsi="Book Antiqua"/>
          <w:color w:val="000000" w:themeColor="text1"/>
          <w:sz w:val="24"/>
          <w:szCs w:val="24"/>
        </w:rPr>
        <w:t xml:space="preserve">TC: </w:t>
      </w:r>
      <w:r w:rsidR="00BE5B2D" w:rsidRPr="009F13FC">
        <w:rPr>
          <w:rFonts w:ascii="Book Antiqua" w:hAnsi="Book Antiqua"/>
          <w:color w:val="000000" w:themeColor="text1"/>
          <w:sz w:val="24"/>
          <w:szCs w:val="24"/>
        </w:rPr>
        <w:t xml:space="preserve">Cholesterol; </w:t>
      </w:r>
      <w:r w:rsidRPr="009F13FC">
        <w:rPr>
          <w:rFonts w:ascii="Book Antiqua" w:hAnsi="Book Antiqua"/>
          <w:color w:val="000000" w:themeColor="text1"/>
          <w:sz w:val="24"/>
          <w:szCs w:val="24"/>
        </w:rPr>
        <w:t xml:space="preserve">TG: </w:t>
      </w:r>
      <w:r w:rsidR="00BE5B2D" w:rsidRPr="009F13FC">
        <w:rPr>
          <w:rFonts w:ascii="Book Antiqua" w:hAnsi="Book Antiqua"/>
          <w:color w:val="000000" w:themeColor="text1"/>
          <w:sz w:val="24"/>
          <w:szCs w:val="24"/>
        </w:rPr>
        <w:t xml:space="preserve">Triglycerides; </w:t>
      </w:r>
      <w:r w:rsidRPr="009F13FC">
        <w:rPr>
          <w:rFonts w:ascii="Book Antiqua" w:eastAsia="Gungsuh" w:hAnsi="Book Antiqua"/>
          <w:color w:val="000000" w:themeColor="text1"/>
          <w:sz w:val="24"/>
          <w:szCs w:val="24"/>
        </w:rPr>
        <w:t xml:space="preserve">FPG: </w:t>
      </w:r>
      <w:r w:rsidR="00BE5B2D" w:rsidRPr="009F13FC">
        <w:rPr>
          <w:rFonts w:ascii="Book Antiqua" w:eastAsia="Times New Roman" w:hAnsi="Book Antiqua"/>
          <w:color w:val="000000" w:themeColor="text1"/>
          <w:sz w:val="24"/>
          <w:szCs w:val="24"/>
        </w:rPr>
        <w:t>Fasting plasma glucose;</w:t>
      </w:r>
      <w:r w:rsidR="00BE5B2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HbA1c: </w:t>
      </w:r>
      <w:r w:rsidR="00BE5B2D" w:rsidRPr="009F13FC">
        <w:rPr>
          <w:rFonts w:ascii="Book Antiqua" w:eastAsia="Times New Roman" w:hAnsi="Book Antiqua"/>
          <w:color w:val="000000" w:themeColor="text1"/>
          <w:sz w:val="24"/>
          <w:szCs w:val="24"/>
        </w:rPr>
        <w:t>Glycated hemoglobin;</w:t>
      </w:r>
      <w:r w:rsidR="00BE5B2D" w:rsidRPr="009F13FC">
        <w:rPr>
          <w:rFonts w:ascii="Book Antiqua" w:hAnsi="Book Antiqua"/>
          <w:color w:val="000000" w:themeColor="text1"/>
          <w:sz w:val="24"/>
          <w:szCs w:val="24"/>
        </w:rPr>
        <w:t xml:space="preserve"> </w:t>
      </w:r>
      <w:r w:rsidRPr="009F13FC">
        <w:rPr>
          <w:rFonts w:ascii="Book Antiqua" w:hAnsi="Book Antiqua"/>
          <w:color w:val="000000" w:themeColor="text1"/>
          <w:sz w:val="24"/>
          <w:szCs w:val="24"/>
        </w:rPr>
        <w:t xml:space="preserve">OGTT: </w:t>
      </w:r>
      <w:r w:rsidR="00BE5B2D" w:rsidRPr="009F13FC">
        <w:rPr>
          <w:rFonts w:ascii="Book Antiqua" w:eastAsia="Times New Roman" w:hAnsi="Book Antiqua"/>
          <w:color w:val="000000" w:themeColor="text1"/>
          <w:sz w:val="24"/>
          <w:szCs w:val="24"/>
        </w:rPr>
        <w:t>Oral glucose tolerance test.</w:t>
      </w:r>
    </w:p>
    <w:sectPr w:rsidR="00A62DA5" w:rsidRPr="0045092C" w:rsidSect="00D9152E">
      <w:footerReference w:type="default" r:id="rId11"/>
      <w:pgSz w:w="11906" w:h="16838"/>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C1F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C1F12A" w16cid:durableId="22B00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031E" w14:textId="77777777" w:rsidR="00520004" w:rsidRDefault="00520004" w:rsidP="00BF4FFB">
      <w:r>
        <w:separator/>
      </w:r>
    </w:p>
  </w:endnote>
  <w:endnote w:type="continuationSeparator" w:id="0">
    <w:p w14:paraId="3CF60FA5" w14:textId="77777777" w:rsidR="00520004" w:rsidRDefault="00520004" w:rsidP="00B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Gungsuh">
    <w:altName w:val="Arial Unicode MS"/>
    <w:charset w:val="81"/>
    <w:family w:val="roman"/>
    <w:pitch w:val="variable"/>
    <w:sig w:usb0="00000000"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29150881"/>
      <w:docPartObj>
        <w:docPartGallery w:val="Page Numbers (Bottom of Page)"/>
        <w:docPartUnique/>
      </w:docPartObj>
    </w:sdtPr>
    <w:sdtEndPr>
      <w:rPr>
        <w:noProof/>
      </w:rPr>
    </w:sdtEndPr>
    <w:sdtContent>
      <w:p w14:paraId="30027EBC" w14:textId="18665700" w:rsidR="00263C4A" w:rsidRPr="00D9152E" w:rsidRDefault="00263C4A">
        <w:pPr>
          <w:pStyle w:val="a4"/>
          <w:jc w:val="right"/>
          <w:rPr>
            <w:rFonts w:ascii="Book Antiqua" w:hAnsi="Book Antiqua"/>
            <w:sz w:val="24"/>
            <w:szCs w:val="24"/>
          </w:rPr>
        </w:pPr>
        <w:r w:rsidRPr="00D9152E">
          <w:rPr>
            <w:rFonts w:ascii="Book Antiqua" w:hAnsi="Book Antiqua"/>
            <w:sz w:val="24"/>
            <w:szCs w:val="24"/>
          </w:rPr>
          <w:fldChar w:fldCharType="begin"/>
        </w:r>
        <w:r w:rsidRPr="00D9152E">
          <w:rPr>
            <w:rFonts w:ascii="Book Antiqua" w:hAnsi="Book Antiqua"/>
            <w:sz w:val="24"/>
            <w:szCs w:val="24"/>
          </w:rPr>
          <w:instrText xml:space="preserve"> PAGE   \* MERGEFORMAT </w:instrText>
        </w:r>
        <w:r w:rsidRPr="00D9152E">
          <w:rPr>
            <w:rFonts w:ascii="Book Antiqua" w:hAnsi="Book Antiqua"/>
            <w:sz w:val="24"/>
            <w:szCs w:val="24"/>
          </w:rPr>
          <w:fldChar w:fldCharType="separate"/>
        </w:r>
        <w:r w:rsidR="004D1353">
          <w:rPr>
            <w:rFonts w:ascii="Book Antiqua" w:hAnsi="Book Antiqua"/>
            <w:noProof/>
            <w:sz w:val="24"/>
            <w:szCs w:val="24"/>
          </w:rPr>
          <w:t>33</w:t>
        </w:r>
        <w:r w:rsidRPr="00D9152E">
          <w:rPr>
            <w:rFonts w:ascii="Book Antiqua" w:hAnsi="Book Antiqua"/>
            <w:noProof/>
            <w:sz w:val="24"/>
            <w:szCs w:val="24"/>
          </w:rPr>
          <w:fldChar w:fldCharType="end"/>
        </w:r>
        <w:r w:rsidR="00DF209F">
          <w:rPr>
            <w:rFonts w:ascii="Book Antiqua" w:hAnsi="Book Antiqua"/>
            <w:noProof/>
            <w:sz w:val="24"/>
            <w:szCs w:val="24"/>
          </w:rPr>
          <w:t xml:space="preserve"> </w:t>
        </w:r>
        <w:r w:rsidRPr="00743119">
          <w:rPr>
            <w:rFonts w:ascii="Book Antiqua" w:hAnsi="Book Antiqua"/>
            <w:noProof/>
            <w:sz w:val="24"/>
            <w:szCs w:val="24"/>
          </w:rPr>
          <w:t>/</w:t>
        </w:r>
        <w:r w:rsidR="00DF209F">
          <w:rPr>
            <w:rFonts w:ascii="Book Antiqua" w:hAnsi="Book Antiqua"/>
            <w:noProof/>
            <w:sz w:val="24"/>
            <w:szCs w:val="24"/>
          </w:rPr>
          <w:t xml:space="preserve"> </w:t>
        </w:r>
        <w:r w:rsidRPr="00743119">
          <w:rPr>
            <w:rFonts w:ascii="Book Antiqua" w:hAnsi="Book Antiqua"/>
            <w:noProof/>
            <w:sz w:val="24"/>
            <w:szCs w:val="24"/>
          </w:rPr>
          <w:t>3</w:t>
        </w:r>
        <w:r w:rsidR="00DF209F">
          <w:rPr>
            <w:rFonts w:ascii="Book Antiqua" w:hAnsi="Book Antiqua"/>
            <w:noProof/>
            <w:sz w:val="24"/>
            <w:szCs w:val="24"/>
          </w:rPr>
          <w:t>2</w:t>
        </w:r>
      </w:p>
    </w:sdtContent>
  </w:sdt>
  <w:p w14:paraId="34840355" w14:textId="77FFEBB5" w:rsidR="00263C4A" w:rsidRPr="00AA2201" w:rsidRDefault="00263C4A" w:rsidP="00AA220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EC1CE" w14:textId="77777777" w:rsidR="00520004" w:rsidRDefault="00520004" w:rsidP="00BF4FFB">
      <w:r>
        <w:separator/>
      </w:r>
    </w:p>
  </w:footnote>
  <w:footnote w:type="continuationSeparator" w:id="0">
    <w:p w14:paraId="1DE5CF11" w14:textId="77777777" w:rsidR="00520004" w:rsidRDefault="00520004" w:rsidP="00BF4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4912"/>
    <w:multiLevelType w:val="hybridMultilevel"/>
    <w:tmpl w:val="665A0B2E"/>
    <w:lvl w:ilvl="0" w:tplc="B74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杨 墨丹">
    <w15:presenceInfo w15:providerId="Windows Live" w15:userId="4aef1fa307ef320d"/>
  </w15:person>
  <w15:person w15:author="ckc">
    <w15:presenceInfo w15:providerId="None" w15:userId="ck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5"/>
    <w:rsid w:val="00005A30"/>
    <w:rsid w:val="00011F4E"/>
    <w:rsid w:val="00012764"/>
    <w:rsid w:val="00030D0B"/>
    <w:rsid w:val="00054CBF"/>
    <w:rsid w:val="00086BD0"/>
    <w:rsid w:val="000C466B"/>
    <w:rsid w:val="000D7027"/>
    <w:rsid w:val="0011679C"/>
    <w:rsid w:val="0011755A"/>
    <w:rsid w:val="001234EB"/>
    <w:rsid w:val="0016007D"/>
    <w:rsid w:val="00176F8A"/>
    <w:rsid w:val="00214638"/>
    <w:rsid w:val="002542D5"/>
    <w:rsid w:val="00263C4A"/>
    <w:rsid w:val="00276333"/>
    <w:rsid w:val="002A655A"/>
    <w:rsid w:val="002E61BD"/>
    <w:rsid w:val="003032D3"/>
    <w:rsid w:val="00304B47"/>
    <w:rsid w:val="0039437D"/>
    <w:rsid w:val="00397C0A"/>
    <w:rsid w:val="003A1E69"/>
    <w:rsid w:val="003B0D40"/>
    <w:rsid w:val="003B5323"/>
    <w:rsid w:val="003C590A"/>
    <w:rsid w:val="00433960"/>
    <w:rsid w:val="00441098"/>
    <w:rsid w:val="0045092C"/>
    <w:rsid w:val="004C13DC"/>
    <w:rsid w:val="004D1353"/>
    <w:rsid w:val="004D52B7"/>
    <w:rsid w:val="00501B7E"/>
    <w:rsid w:val="00520004"/>
    <w:rsid w:val="005257C1"/>
    <w:rsid w:val="005727AF"/>
    <w:rsid w:val="005C40F6"/>
    <w:rsid w:val="005D71D4"/>
    <w:rsid w:val="00604B0E"/>
    <w:rsid w:val="00681D22"/>
    <w:rsid w:val="006A082C"/>
    <w:rsid w:val="006C2F11"/>
    <w:rsid w:val="006E77EE"/>
    <w:rsid w:val="006E7C52"/>
    <w:rsid w:val="006F115D"/>
    <w:rsid w:val="006F1A5F"/>
    <w:rsid w:val="00716879"/>
    <w:rsid w:val="00743119"/>
    <w:rsid w:val="00760090"/>
    <w:rsid w:val="00784A6E"/>
    <w:rsid w:val="007B1EE2"/>
    <w:rsid w:val="007E2A57"/>
    <w:rsid w:val="00873CB7"/>
    <w:rsid w:val="00895313"/>
    <w:rsid w:val="008A6DA3"/>
    <w:rsid w:val="008D2702"/>
    <w:rsid w:val="00954727"/>
    <w:rsid w:val="009A543A"/>
    <w:rsid w:val="009E6B59"/>
    <w:rsid w:val="009F13FC"/>
    <w:rsid w:val="00A51E87"/>
    <w:rsid w:val="00A56F7D"/>
    <w:rsid w:val="00A628F6"/>
    <w:rsid w:val="00A62DA5"/>
    <w:rsid w:val="00A74436"/>
    <w:rsid w:val="00A8564B"/>
    <w:rsid w:val="00AA2201"/>
    <w:rsid w:val="00AA2A40"/>
    <w:rsid w:val="00AE4DC5"/>
    <w:rsid w:val="00AF291D"/>
    <w:rsid w:val="00B17C8D"/>
    <w:rsid w:val="00B4054D"/>
    <w:rsid w:val="00B83221"/>
    <w:rsid w:val="00B83A88"/>
    <w:rsid w:val="00BC6BC9"/>
    <w:rsid w:val="00BC6D62"/>
    <w:rsid w:val="00BE5B2D"/>
    <w:rsid w:val="00BF4FFB"/>
    <w:rsid w:val="00C55D9F"/>
    <w:rsid w:val="00C621F8"/>
    <w:rsid w:val="00C660EF"/>
    <w:rsid w:val="00C91819"/>
    <w:rsid w:val="00CE7EA8"/>
    <w:rsid w:val="00D02C16"/>
    <w:rsid w:val="00D04077"/>
    <w:rsid w:val="00D9152E"/>
    <w:rsid w:val="00D93627"/>
    <w:rsid w:val="00D94BF3"/>
    <w:rsid w:val="00DA07AD"/>
    <w:rsid w:val="00DD34C3"/>
    <w:rsid w:val="00DE3A46"/>
    <w:rsid w:val="00DF209F"/>
    <w:rsid w:val="00DF64D2"/>
    <w:rsid w:val="00E06583"/>
    <w:rsid w:val="00E15672"/>
    <w:rsid w:val="00E268ED"/>
    <w:rsid w:val="00E34211"/>
    <w:rsid w:val="00E652B4"/>
    <w:rsid w:val="00E65635"/>
    <w:rsid w:val="00EB7134"/>
    <w:rsid w:val="00ED70D6"/>
    <w:rsid w:val="00F53BBE"/>
    <w:rsid w:val="00F57C01"/>
    <w:rsid w:val="00FA14E0"/>
    <w:rsid w:val="00FB1314"/>
    <w:rsid w:val="00FF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7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FB"/>
    <w:pPr>
      <w:widowControl w:val="0"/>
    </w:pPr>
    <w:rPr>
      <w:kern w:val="0"/>
      <w:sz w:val="22"/>
      <w:lang w:eastAsia="en-US"/>
    </w:rPr>
  </w:style>
  <w:style w:type="paragraph" w:styleId="1">
    <w:name w:val="heading 1"/>
    <w:basedOn w:val="a"/>
    <w:link w:val="1Char"/>
    <w:uiPriority w:val="9"/>
    <w:qFormat/>
    <w:rsid w:val="00A74436"/>
    <w:pPr>
      <w:spacing w:before="174"/>
      <w:ind w:left="120"/>
      <w:outlineLvl w:val="0"/>
    </w:pPr>
    <w:rPr>
      <w:rFonts w:ascii="Book Antiqua" w:eastAsia="Book Antiqua" w:hAnsi="Book Antiqua"/>
      <w:b/>
      <w:bCs/>
      <w:sz w:val="24"/>
      <w:szCs w:val="24"/>
    </w:rPr>
  </w:style>
  <w:style w:type="paragraph" w:styleId="7">
    <w:name w:val="heading 7"/>
    <w:basedOn w:val="a"/>
    <w:next w:val="a"/>
    <w:link w:val="7Char"/>
    <w:uiPriority w:val="9"/>
    <w:unhideWhenUsed/>
    <w:qFormat/>
    <w:rsid w:val="00A74436"/>
    <w:pPr>
      <w:keepNext/>
      <w:keepLines/>
      <w:spacing w:before="240" w:after="64" w:line="320" w:lineRule="auto"/>
      <w:jc w:val="both"/>
      <w:outlineLvl w:val="6"/>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FFB"/>
    <w:rPr>
      <w:sz w:val="18"/>
      <w:szCs w:val="18"/>
    </w:rPr>
  </w:style>
  <w:style w:type="paragraph" w:styleId="a4">
    <w:name w:val="footer"/>
    <w:basedOn w:val="a"/>
    <w:link w:val="Char0"/>
    <w:uiPriority w:val="99"/>
    <w:unhideWhenUsed/>
    <w:rsid w:val="00BF4FFB"/>
    <w:pPr>
      <w:tabs>
        <w:tab w:val="center" w:pos="4153"/>
        <w:tab w:val="right" w:pos="8306"/>
      </w:tabs>
      <w:snapToGrid w:val="0"/>
    </w:pPr>
    <w:rPr>
      <w:sz w:val="18"/>
      <w:szCs w:val="18"/>
    </w:rPr>
  </w:style>
  <w:style w:type="character" w:customStyle="1" w:styleId="Char0">
    <w:name w:val="页脚 Char"/>
    <w:basedOn w:val="a0"/>
    <w:link w:val="a4"/>
    <w:uiPriority w:val="99"/>
    <w:rsid w:val="00BF4FFB"/>
    <w:rPr>
      <w:sz w:val="18"/>
      <w:szCs w:val="18"/>
    </w:rPr>
  </w:style>
  <w:style w:type="paragraph" w:styleId="a5">
    <w:name w:val="Body Text"/>
    <w:basedOn w:val="a"/>
    <w:link w:val="Char1"/>
    <w:uiPriority w:val="1"/>
    <w:qFormat/>
    <w:rsid w:val="00BF4FFB"/>
    <w:pPr>
      <w:ind w:left="120"/>
    </w:pPr>
    <w:rPr>
      <w:rFonts w:ascii="Book Antiqua" w:eastAsia="Book Antiqua" w:hAnsi="Book Antiqua"/>
      <w:sz w:val="24"/>
      <w:szCs w:val="24"/>
    </w:rPr>
  </w:style>
  <w:style w:type="character" w:customStyle="1" w:styleId="Char1">
    <w:name w:val="正文文本 Char"/>
    <w:basedOn w:val="a0"/>
    <w:link w:val="a5"/>
    <w:uiPriority w:val="1"/>
    <w:rsid w:val="00BF4FFB"/>
    <w:rPr>
      <w:rFonts w:ascii="Book Antiqua" w:eastAsia="Book Antiqua" w:hAnsi="Book Antiqua"/>
      <w:kern w:val="0"/>
      <w:sz w:val="24"/>
      <w:szCs w:val="24"/>
      <w:lang w:eastAsia="en-US"/>
    </w:rPr>
  </w:style>
  <w:style w:type="character" w:customStyle="1" w:styleId="1Char">
    <w:name w:val="标题 1 Char"/>
    <w:basedOn w:val="a0"/>
    <w:link w:val="1"/>
    <w:uiPriority w:val="9"/>
    <w:rsid w:val="00A74436"/>
    <w:rPr>
      <w:rFonts w:ascii="Book Antiqua" w:eastAsia="Book Antiqua" w:hAnsi="Book Antiqua"/>
      <w:b/>
      <w:bCs/>
      <w:kern w:val="0"/>
      <w:sz w:val="24"/>
      <w:szCs w:val="24"/>
      <w:lang w:eastAsia="en-US"/>
    </w:rPr>
  </w:style>
  <w:style w:type="character" w:customStyle="1" w:styleId="7Char">
    <w:name w:val="标题 7 Char"/>
    <w:basedOn w:val="a0"/>
    <w:link w:val="7"/>
    <w:uiPriority w:val="9"/>
    <w:rsid w:val="00A74436"/>
    <w:rPr>
      <w:rFonts w:ascii="Times New Roman" w:hAnsi="Times New Roman" w:cs="Times New Roman"/>
      <w:b/>
      <w:bCs/>
      <w:kern w:val="0"/>
      <w:sz w:val="24"/>
      <w:szCs w:val="24"/>
    </w:rPr>
  </w:style>
  <w:style w:type="paragraph" w:styleId="a6">
    <w:name w:val="List Paragraph"/>
    <w:basedOn w:val="a"/>
    <w:uiPriority w:val="1"/>
    <w:qFormat/>
    <w:rsid w:val="00A74436"/>
    <w:pPr>
      <w:ind w:firstLineChars="200" w:firstLine="420"/>
      <w:jc w:val="both"/>
    </w:pPr>
    <w:rPr>
      <w:rFonts w:ascii="Times New Roman" w:hAnsi="Times New Roman" w:cs="Times New Roman"/>
      <w:sz w:val="24"/>
      <w:szCs w:val="24"/>
      <w:lang w:eastAsia="zh-CN"/>
    </w:rPr>
  </w:style>
  <w:style w:type="character" w:styleId="a7">
    <w:name w:val="annotation reference"/>
    <w:basedOn w:val="a0"/>
    <w:uiPriority w:val="99"/>
    <w:semiHidden/>
    <w:unhideWhenUsed/>
    <w:rsid w:val="005C40F6"/>
    <w:rPr>
      <w:sz w:val="21"/>
      <w:szCs w:val="21"/>
    </w:rPr>
  </w:style>
  <w:style w:type="paragraph" w:styleId="a8">
    <w:name w:val="annotation text"/>
    <w:basedOn w:val="a"/>
    <w:link w:val="Char2"/>
    <w:uiPriority w:val="99"/>
    <w:semiHidden/>
    <w:unhideWhenUsed/>
    <w:rsid w:val="005C40F6"/>
  </w:style>
  <w:style w:type="character" w:customStyle="1" w:styleId="Char2">
    <w:name w:val="批注文字 Char"/>
    <w:basedOn w:val="a0"/>
    <w:link w:val="a8"/>
    <w:uiPriority w:val="99"/>
    <w:semiHidden/>
    <w:rsid w:val="005C40F6"/>
    <w:rPr>
      <w:kern w:val="0"/>
      <w:sz w:val="22"/>
      <w:lang w:eastAsia="en-US"/>
    </w:rPr>
  </w:style>
  <w:style w:type="paragraph" w:styleId="a9">
    <w:name w:val="annotation subject"/>
    <w:basedOn w:val="a8"/>
    <w:next w:val="a8"/>
    <w:link w:val="Char3"/>
    <w:uiPriority w:val="99"/>
    <w:semiHidden/>
    <w:unhideWhenUsed/>
    <w:rsid w:val="005C40F6"/>
    <w:rPr>
      <w:b/>
      <w:bCs/>
    </w:rPr>
  </w:style>
  <w:style w:type="character" w:customStyle="1" w:styleId="Char3">
    <w:name w:val="批注主题 Char"/>
    <w:basedOn w:val="Char2"/>
    <w:link w:val="a9"/>
    <w:uiPriority w:val="99"/>
    <w:semiHidden/>
    <w:rsid w:val="005C40F6"/>
    <w:rPr>
      <w:b/>
      <w:bCs/>
      <w:kern w:val="0"/>
      <w:sz w:val="22"/>
      <w:lang w:eastAsia="en-US"/>
    </w:rPr>
  </w:style>
  <w:style w:type="paragraph" w:styleId="aa">
    <w:name w:val="Balloon Text"/>
    <w:basedOn w:val="a"/>
    <w:link w:val="Char4"/>
    <w:uiPriority w:val="99"/>
    <w:semiHidden/>
    <w:unhideWhenUsed/>
    <w:rsid w:val="005C40F6"/>
    <w:rPr>
      <w:rFonts w:ascii="宋体" w:eastAsia="宋体"/>
      <w:sz w:val="18"/>
      <w:szCs w:val="18"/>
    </w:rPr>
  </w:style>
  <w:style w:type="character" w:customStyle="1" w:styleId="Char4">
    <w:name w:val="批注框文本 Char"/>
    <w:basedOn w:val="a0"/>
    <w:link w:val="aa"/>
    <w:uiPriority w:val="99"/>
    <w:semiHidden/>
    <w:rsid w:val="005C40F6"/>
    <w:rPr>
      <w:rFonts w:ascii="宋体" w:eastAsia="宋体"/>
      <w:kern w:val="0"/>
      <w:sz w:val="18"/>
      <w:szCs w:val="18"/>
      <w:lang w:eastAsia="en-US"/>
    </w:rPr>
  </w:style>
  <w:style w:type="character" w:styleId="ab">
    <w:name w:val="Hyperlink"/>
    <w:basedOn w:val="a0"/>
    <w:uiPriority w:val="99"/>
    <w:unhideWhenUsed/>
    <w:rsid w:val="00A628F6"/>
    <w:rPr>
      <w:color w:val="0563C1" w:themeColor="hyperlink"/>
      <w:u w:val="single"/>
    </w:rPr>
  </w:style>
  <w:style w:type="character" w:styleId="ac">
    <w:name w:val="FollowedHyperlink"/>
    <w:basedOn w:val="a0"/>
    <w:uiPriority w:val="99"/>
    <w:semiHidden/>
    <w:unhideWhenUsed/>
    <w:rsid w:val="00A628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FB"/>
    <w:pPr>
      <w:widowControl w:val="0"/>
    </w:pPr>
    <w:rPr>
      <w:kern w:val="0"/>
      <w:sz w:val="22"/>
      <w:lang w:eastAsia="en-US"/>
    </w:rPr>
  </w:style>
  <w:style w:type="paragraph" w:styleId="1">
    <w:name w:val="heading 1"/>
    <w:basedOn w:val="a"/>
    <w:link w:val="1Char"/>
    <w:uiPriority w:val="9"/>
    <w:qFormat/>
    <w:rsid w:val="00A74436"/>
    <w:pPr>
      <w:spacing w:before="174"/>
      <w:ind w:left="120"/>
      <w:outlineLvl w:val="0"/>
    </w:pPr>
    <w:rPr>
      <w:rFonts w:ascii="Book Antiqua" w:eastAsia="Book Antiqua" w:hAnsi="Book Antiqua"/>
      <w:b/>
      <w:bCs/>
      <w:sz w:val="24"/>
      <w:szCs w:val="24"/>
    </w:rPr>
  </w:style>
  <w:style w:type="paragraph" w:styleId="7">
    <w:name w:val="heading 7"/>
    <w:basedOn w:val="a"/>
    <w:next w:val="a"/>
    <w:link w:val="7Char"/>
    <w:uiPriority w:val="9"/>
    <w:unhideWhenUsed/>
    <w:qFormat/>
    <w:rsid w:val="00A74436"/>
    <w:pPr>
      <w:keepNext/>
      <w:keepLines/>
      <w:spacing w:before="240" w:after="64" w:line="320" w:lineRule="auto"/>
      <w:jc w:val="both"/>
      <w:outlineLvl w:val="6"/>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FFB"/>
    <w:rPr>
      <w:sz w:val="18"/>
      <w:szCs w:val="18"/>
    </w:rPr>
  </w:style>
  <w:style w:type="paragraph" w:styleId="a4">
    <w:name w:val="footer"/>
    <w:basedOn w:val="a"/>
    <w:link w:val="Char0"/>
    <w:uiPriority w:val="99"/>
    <w:unhideWhenUsed/>
    <w:rsid w:val="00BF4FFB"/>
    <w:pPr>
      <w:tabs>
        <w:tab w:val="center" w:pos="4153"/>
        <w:tab w:val="right" w:pos="8306"/>
      </w:tabs>
      <w:snapToGrid w:val="0"/>
    </w:pPr>
    <w:rPr>
      <w:sz w:val="18"/>
      <w:szCs w:val="18"/>
    </w:rPr>
  </w:style>
  <w:style w:type="character" w:customStyle="1" w:styleId="Char0">
    <w:name w:val="页脚 Char"/>
    <w:basedOn w:val="a0"/>
    <w:link w:val="a4"/>
    <w:uiPriority w:val="99"/>
    <w:rsid w:val="00BF4FFB"/>
    <w:rPr>
      <w:sz w:val="18"/>
      <w:szCs w:val="18"/>
    </w:rPr>
  </w:style>
  <w:style w:type="paragraph" w:styleId="a5">
    <w:name w:val="Body Text"/>
    <w:basedOn w:val="a"/>
    <w:link w:val="Char1"/>
    <w:uiPriority w:val="1"/>
    <w:qFormat/>
    <w:rsid w:val="00BF4FFB"/>
    <w:pPr>
      <w:ind w:left="120"/>
    </w:pPr>
    <w:rPr>
      <w:rFonts w:ascii="Book Antiqua" w:eastAsia="Book Antiqua" w:hAnsi="Book Antiqua"/>
      <w:sz w:val="24"/>
      <w:szCs w:val="24"/>
    </w:rPr>
  </w:style>
  <w:style w:type="character" w:customStyle="1" w:styleId="Char1">
    <w:name w:val="正文文本 Char"/>
    <w:basedOn w:val="a0"/>
    <w:link w:val="a5"/>
    <w:uiPriority w:val="1"/>
    <w:rsid w:val="00BF4FFB"/>
    <w:rPr>
      <w:rFonts w:ascii="Book Antiqua" w:eastAsia="Book Antiqua" w:hAnsi="Book Antiqua"/>
      <w:kern w:val="0"/>
      <w:sz w:val="24"/>
      <w:szCs w:val="24"/>
      <w:lang w:eastAsia="en-US"/>
    </w:rPr>
  </w:style>
  <w:style w:type="character" w:customStyle="1" w:styleId="1Char">
    <w:name w:val="标题 1 Char"/>
    <w:basedOn w:val="a0"/>
    <w:link w:val="1"/>
    <w:uiPriority w:val="9"/>
    <w:rsid w:val="00A74436"/>
    <w:rPr>
      <w:rFonts w:ascii="Book Antiqua" w:eastAsia="Book Antiqua" w:hAnsi="Book Antiqua"/>
      <w:b/>
      <w:bCs/>
      <w:kern w:val="0"/>
      <w:sz w:val="24"/>
      <w:szCs w:val="24"/>
      <w:lang w:eastAsia="en-US"/>
    </w:rPr>
  </w:style>
  <w:style w:type="character" w:customStyle="1" w:styleId="7Char">
    <w:name w:val="标题 7 Char"/>
    <w:basedOn w:val="a0"/>
    <w:link w:val="7"/>
    <w:uiPriority w:val="9"/>
    <w:rsid w:val="00A74436"/>
    <w:rPr>
      <w:rFonts w:ascii="Times New Roman" w:hAnsi="Times New Roman" w:cs="Times New Roman"/>
      <w:b/>
      <w:bCs/>
      <w:kern w:val="0"/>
      <w:sz w:val="24"/>
      <w:szCs w:val="24"/>
    </w:rPr>
  </w:style>
  <w:style w:type="paragraph" w:styleId="a6">
    <w:name w:val="List Paragraph"/>
    <w:basedOn w:val="a"/>
    <w:uiPriority w:val="1"/>
    <w:qFormat/>
    <w:rsid w:val="00A74436"/>
    <w:pPr>
      <w:ind w:firstLineChars="200" w:firstLine="420"/>
      <w:jc w:val="both"/>
    </w:pPr>
    <w:rPr>
      <w:rFonts w:ascii="Times New Roman" w:hAnsi="Times New Roman" w:cs="Times New Roman"/>
      <w:sz w:val="24"/>
      <w:szCs w:val="24"/>
      <w:lang w:eastAsia="zh-CN"/>
    </w:rPr>
  </w:style>
  <w:style w:type="character" w:styleId="a7">
    <w:name w:val="annotation reference"/>
    <w:basedOn w:val="a0"/>
    <w:uiPriority w:val="99"/>
    <w:semiHidden/>
    <w:unhideWhenUsed/>
    <w:rsid w:val="005C40F6"/>
    <w:rPr>
      <w:sz w:val="21"/>
      <w:szCs w:val="21"/>
    </w:rPr>
  </w:style>
  <w:style w:type="paragraph" w:styleId="a8">
    <w:name w:val="annotation text"/>
    <w:basedOn w:val="a"/>
    <w:link w:val="Char2"/>
    <w:uiPriority w:val="99"/>
    <w:semiHidden/>
    <w:unhideWhenUsed/>
    <w:rsid w:val="005C40F6"/>
  </w:style>
  <w:style w:type="character" w:customStyle="1" w:styleId="Char2">
    <w:name w:val="批注文字 Char"/>
    <w:basedOn w:val="a0"/>
    <w:link w:val="a8"/>
    <w:uiPriority w:val="99"/>
    <w:semiHidden/>
    <w:rsid w:val="005C40F6"/>
    <w:rPr>
      <w:kern w:val="0"/>
      <w:sz w:val="22"/>
      <w:lang w:eastAsia="en-US"/>
    </w:rPr>
  </w:style>
  <w:style w:type="paragraph" w:styleId="a9">
    <w:name w:val="annotation subject"/>
    <w:basedOn w:val="a8"/>
    <w:next w:val="a8"/>
    <w:link w:val="Char3"/>
    <w:uiPriority w:val="99"/>
    <w:semiHidden/>
    <w:unhideWhenUsed/>
    <w:rsid w:val="005C40F6"/>
    <w:rPr>
      <w:b/>
      <w:bCs/>
    </w:rPr>
  </w:style>
  <w:style w:type="character" w:customStyle="1" w:styleId="Char3">
    <w:name w:val="批注主题 Char"/>
    <w:basedOn w:val="Char2"/>
    <w:link w:val="a9"/>
    <w:uiPriority w:val="99"/>
    <w:semiHidden/>
    <w:rsid w:val="005C40F6"/>
    <w:rPr>
      <w:b/>
      <w:bCs/>
      <w:kern w:val="0"/>
      <w:sz w:val="22"/>
      <w:lang w:eastAsia="en-US"/>
    </w:rPr>
  </w:style>
  <w:style w:type="paragraph" w:styleId="aa">
    <w:name w:val="Balloon Text"/>
    <w:basedOn w:val="a"/>
    <w:link w:val="Char4"/>
    <w:uiPriority w:val="99"/>
    <w:semiHidden/>
    <w:unhideWhenUsed/>
    <w:rsid w:val="005C40F6"/>
    <w:rPr>
      <w:rFonts w:ascii="宋体" w:eastAsia="宋体"/>
      <w:sz w:val="18"/>
      <w:szCs w:val="18"/>
    </w:rPr>
  </w:style>
  <w:style w:type="character" w:customStyle="1" w:styleId="Char4">
    <w:name w:val="批注框文本 Char"/>
    <w:basedOn w:val="a0"/>
    <w:link w:val="aa"/>
    <w:uiPriority w:val="99"/>
    <w:semiHidden/>
    <w:rsid w:val="005C40F6"/>
    <w:rPr>
      <w:rFonts w:ascii="宋体" w:eastAsia="宋体"/>
      <w:kern w:val="0"/>
      <w:sz w:val="18"/>
      <w:szCs w:val="18"/>
      <w:lang w:eastAsia="en-US"/>
    </w:rPr>
  </w:style>
  <w:style w:type="character" w:styleId="ab">
    <w:name w:val="Hyperlink"/>
    <w:basedOn w:val="a0"/>
    <w:uiPriority w:val="99"/>
    <w:unhideWhenUsed/>
    <w:rsid w:val="00A628F6"/>
    <w:rPr>
      <w:color w:val="0563C1" w:themeColor="hyperlink"/>
      <w:u w:val="single"/>
    </w:rPr>
  </w:style>
  <w:style w:type="character" w:styleId="ac">
    <w:name w:val="FollowedHyperlink"/>
    <w:basedOn w:val="a0"/>
    <w:uiPriority w:val="99"/>
    <w:semiHidden/>
    <w:unhideWhenUsed/>
    <w:rsid w:val="00A62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3284">
      <w:bodyDiv w:val="1"/>
      <w:marLeft w:val="0"/>
      <w:marRight w:val="0"/>
      <w:marTop w:val="0"/>
      <w:marBottom w:val="0"/>
      <w:divBdr>
        <w:top w:val="none" w:sz="0" w:space="0" w:color="auto"/>
        <w:left w:val="none" w:sz="0" w:space="0" w:color="auto"/>
        <w:bottom w:val="none" w:sz="0" w:space="0" w:color="auto"/>
        <w:right w:val="none" w:sz="0" w:space="0" w:color="auto"/>
      </w:divBdr>
    </w:div>
    <w:div w:id="903225298">
      <w:bodyDiv w:val="1"/>
      <w:marLeft w:val="0"/>
      <w:marRight w:val="0"/>
      <w:marTop w:val="0"/>
      <w:marBottom w:val="0"/>
      <w:divBdr>
        <w:top w:val="none" w:sz="0" w:space="0" w:color="auto"/>
        <w:left w:val="none" w:sz="0" w:space="0" w:color="auto"/>
        <w:bottom w:val="none" w:sz="0" w:space="0" w:color="auto"/>
        <w:right w:val="none" w:sz="0" w:space="0" w:color="auto"/>
      </w:divBdr>
    </w:div>
    <w:div w:id="1333410658">
      <w:bodyDiv w:val="1"/>
      <w:marLeft w:val="0"/>
      <w:marRight w:val="0"/>
      <w:marTop w:val="0"/>
      <w:marBottom w:val="0"/>
      <w:divBdr>
        <w:top w:val="none" w:sz="0" w:space="0" w:color="auto"/>
        <w:left w:val="none" w:sz="0" w:space="0" w:color="auto"/>
        <w:bottom w:val="none" w:sz="0" w:space="0" w:color="auto"/>
        <w:right w:val="none" w:sz="0" w:space="0" w:color="auto"/>
      </w:divBdr>
    </w:div>
    <w:div w:id="1591618884">
      <w:bodyDiv w:val="1"/>
      <w:marLeft w:val="0"/>
      <w:marRight w:val="0"/>
      <w:marTop w:val="0"/>
      <w:marBottom w:val="0"/>
      <w:divBdr>
        <w:top w:val="none" w:sz="0" w:space="0" w:color="auto"/>
        <w:left w:val="none" w:sz="0" w:space="0" w:color="auto"/>
        <w:bottom w:val="none" w:sz="0" w:space="0" w:color="auto"/>
        <w:right w:val="none" w:sz="0" w:space="0" w:color="auto"/>
      </w:divBdr>
    </w:div>
    <w:div w:id="1637031324">
      <w:bodyDiv w:val="1"/>
      <w:marLeft w:val="0"/>
      <w:marRight w:val="0"/>
      <w:marTop w:val="0"/>
      <w:marBottom w:val="0"/>
      <w:divBdr>
        <w:top w:val="none" w:sz="0" w:space="0" w:color="auto"/>
        <w:left w:val="none" w:sz="0" w:space="0" w:color="auto"/>
        <w:bottom w:val="none" w:sz="0" w:space="0" w:color="auto"/>
        <w:right w:val="none" w:sz="0" w:space="0" w:color="auto"/>
      </w:divBdr>
    </w:div>
    <w:div w:id="1678531022">
      <w:bodyDiv w:val="1"/>
      <w:marLeft w:val="0"/>
      <w:marRight w:val="0"/>
      <w:marTop w:val="0"/>
      <w:marBottom w:val="0"/>
      <w:divBdr>
        <w:top w:val="none" w:sz="0" w:space="0" w:color="auto"/>
        <w:left w:val="none" w:sz="0" w:space="0" w:color="auto"/>
        <w:bottom w:val="none" w:sz="0" w:space="0" w:color="auto"/>
        <w:right w:val="none" w:sz="0" w:space="0" w:color="auto"/>
      </w:divBdr>
    </w:div>
    <w:div w:id="20559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83A9-F669-4C14-8D64-8D76102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墨丹</dc:creator>
  <cp:lastModifiedBy>Lenovo</cp:lastModifiedBy>
  <cp:revision>3</cp:revision>
  <dcterms:created xsi:type="dcterms:W3CDTF">2020-07-16T06:49:00Z</dcterms:created>
  <dcterms:modified xsi:type="dcterms:W3CDTF">2020-07-20T08:00:00Z</dcterms:modified>
</cp:coreProperties>
</file>