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90194D" w14:textId="77777777" w:rsidR="00F60E3B" w:rsidRPr="0050576F" w:rsidRDefault="00F60E3B" w:rsidP="0050576F">
      <w:pPr>
        <w:snapToGrid w:val="0"/>
        <w:spacing w:line="360" w:lineRule="auto"/>
        <w:rPr>
          <w:rFonts w:ascii="Book Antiqua" w:hAnsi="Book Antiqua" w:cs="Segoe UI"/>
          <w:b/>
          <w:bCs/>
          <w:i/>
          <w:color w:val="000000" w:themeColor="text1"/>
          <w:sz w:val="24"/>
          <w:szCs w:val="24"/>
        </w:rPr>
      </w:pPr>
      <w:r w:rsidRPr="0050576F">
        <w:rPr>
          <w:rFonts w:ascii="Book Antiqua" w:hAnsi="Book Antiqua" w:cs="Tahoma"/>
          <w:b/>
          <w:color w:val="000000" w:themeColor="text1"/>
          <w:sz w:val="24"/>
          <w:szCs w:val="24"/>
        </w:rPr>
        <w:t xml:space="preserve">Name of Journal: </w:t>
      </w:r>
      <w:bookmarkStart w:id="0" w:name="OLE_LINK449"/>
      <w:bookmarkStart w:id="1" w:name="OLE_LINK450"/>
      <w:r w:rsidRPr="0050576F">
        <w:rPr>
          <w:rFonts w:ascii="Book Antiqua" w:hAnsi="Book Antiqua" w:cs="Tahoma"/>
          <w:i/>
          <w:color w:val="000000" w:themeColor="text1"/>
          <w:sz w:val="24"/>
          <w:szCs w:val="24"/>
        </w:rPr>
        <w:t>World Journal of Gastroenterology</w:t>
      </w:r>
      <w:bookmarkEnd w:id="0"/>
      <w:bookmarkEnd w:id="1"/>
    </w:p>
    <w:p w14:paraId="5D276734" w14:textId="267DBFEF" w:rsidR="00F60E3B" w:rsidRPr="0050576F" w:rsidRDefault="00F60E3B" w:rsidP="0050576F">
      <w:pPr>
        <w:snapToGrid w:val="0"/>
        <w:spacing w:line="360" w:lineRule="auto"/>
        <w:rPr>
          <w:rFonts w:ascii="Book Antiqua" w:hAnsi="Book Antiqua" w:cs="Tahoma"/>
          <w:b/>
          <w:color w:val="000000" w:themeColor="text1"/>
          <w:sz w:val="24"/>
          <w:szCs w:val="24"/>
        </w:rPr>
      </w:pPr>
      <w:r w:rsidRPr="0050576F">
        <w:rPr>
          <w:rFonts w:ascii="Book Antiqua" w:hAnsi="Book Antiqua" w:cs="Tahoma"/>
          <w:b/>
          <w:color w:val="000000" w:themeColor="text1"/>
          <w:sz w:val="24"/>
          <w:szCs w:val="24"/>
        </w:rPr>
        <w:t xml:space="preserve">Manuscript NO: </w:t>
      </w:r>
      <w:r w:rsidR="009B47A8" w:rsidRPr="0050576F">
        <w:rPr>
          <w:rFonts w:ascii="Book Antiqua" w:hAnsi="Book Antiqua" w:cs="Tahoma"/>
          <w:color w:val="000000" w:themeColor="text1"/>
          <w:sz w:val="24"/>
          <w:szCs w:val="24"/>
        </w:rPr>
        <w:t>55440</w:t>
      </w:r>
    </w:p>
    <w:p w14:paraId="4BAF13A0" w14:textId="1F030445" w:rsidR="00F60E3B" w:rsidRPr="0050576F" w:rsidRDefault="00F60E3B" w:rsidP="0050576F">
      <w:pPr>
        <w:snapToGrid w:val="0"/>
        <w:spacing w:line="360" w:lineRule="auto"/>
        <w:rPr>
          <w:rFonts w:ascii="Book Antiqua" w:hAnsi="Book Antiqua"/>
          <w:color w:val="000000" w:themeColor="text1"/>
          <w:sz w:val="24"/>
          <w:szCs w:val="24"/>
        </w:rPr>
      </w:pPr>
      <w:bookmarkStart w:id="2" w:name="OLE_LINK3"/>
      <w:r w:rsidRPr="0050576F">
        <w:rPr>
          <w:rFonts w:ascii="Book Antiqua" w:hAnsi="Book Antiqua"/>
          <w:b/>
          <w:color w:val="000000" w:themeColor="text1"/>
          <w:sz w:val="24"/>
          <w:szCs w:val="24"/>
          <w:shd w:val="clear" w:color="auto" w:fill="FFFFFF"/>
        </w:rPr>
        <w:t>Manuscript Type</w:t>
      </w:r>
      <w:r w:rsidRPr="0050576F">
        <w:rPr>
          <w:rFonts w:ascii="Book Antiqua" w:hAnsi="Book Antiqua"/>
          <w:b/>
          <w:color w:val="000000" w:themeColor="text1"/>
          <w:sz w:val="24"/>
          <w:szCs w:val="24"/>
        </w:rPr>
        <w:t>:</w:t>
      </w:r>
      <w:bookmarkEnd w:id="2"/>
      <w:r w:rsidR="001B4549" w:rsidRPr="0050576F">
        <w:rPr>
          <w:rFonts w:ascii="Book Antiqua" w:hAnsi="Book Antiqua"/>
          <w:b/>
          <w:color w:val="000000" w:themeColor="text1"/>
          <w:sz w:val="24"/>
          <w:szCs w:val="24"/>
        </w:rPr>
        <w:t xml:space="preserve"> </w:t>
      </w:r>
      <w:r w:rsidRPr="0050576F">
        <w:rPr>
          <w:rFonts w:ascii="Book Antiqua" w:hAnsi="Book Antiqua"/>
          <w:color w:val="000000" w:themeColor="text1"/>
          <w:sz w:val="24"/>
          <w:szCs w:val="24"/>
        </w:rPr>
        <w:t>ORIGINAL ARTICLE</w:t>
      </w:r>
    </w:p>
    <w:p w14:paraId="77CD4983" w14:textId="77777777" w:rsidR="0017090D" w:rsidRPr="0050576F" w:rsidRDefault="0017090D" w:rsidP="0050576F">
      <w:pPr>
        <w:snapToGrid w:val="0"/>
        <w:spacing w:line="360" w:lineRule="auto"/>
        <w:rPr>
          <w:rFonts w:ascii="Book Antiqua" w:hAnsi="Book Antiqua"/>
          <w:b/>
          <w:color w:val="000000" w:themeColor="text1"/>
          <w:sz w:val="24"/>
          <w:szCs w:val="24"/>
        </w:rPr>
      </w:pPr>
    </w:p>
    <w:p w14:paraId="4AB77803" w14:textId="198A26A5" w:rsidR="00F60E3B" w:rsidRPr="0050576F" w:rsidRDefault="00F60E3B" w:rsidP="0050576F">
      <w:pPr>
        <w:adjustRightInd w:val="0"/>
        <w:snapToGrid w:val="0"/>
        <w:spacing w:line="360" w:lineRule="auto"/>
        <w:rPr>
          <w:rFonts w:ascii="Book Antiqua" w:hAnsi="Book Antiqua" w:cs="Segoe UI"/>
          <w:b/>
          <w:bCs/>
          <w:i/>
          <w:color w:val="000000" w:themeColor="text1"/>
          <w:sz w:val="24"/>
          <w:szCs w:val="24"/>
        </w:rPr>
      </w:pPr>
      <w:r w:rsidRPr="0050576F">
        <w:rPr>
          <w:rFonts w:ascii="Book Antiqua" w:hAnsi="Book Antiqua" w:cs="Segoe UI"/>
          <w:b/>
          <w:bCs/>
          <w:i/>
          <w:color w:val="000000" w:themeColor="text1"/>
          <w:sz w:val="24"/>
          <w:szCs w:val="24"/>
        </w:rPr>
        <w:t>Case Control Study</w:t>
      </w:r>
    </w:p>
    <w:p w14:paraId="7B83ECCB" w14:textId="21348903" w:rsidR="00BE4062" w:rsidRPr="0050576F" w:rsidRDefault="00730055" w:rsidP="0050576F">
      <w:pPr>
        <w:snapToGrid w:val="0"/>
        <w:spacing w:line="360" w:lineRule="auto"/>
        <w:rPr>
          <w:rFonts w:ascii="Book Antiqua" w:hAnsi="Book Antiqua" w:cs="Segoe UI"/>
          <w:b/>
          <w:bCs/>
          <w:color w:val="000000" w:themeColor="text1"/>
          <w:kern w:val="0"/>
          <w:sz w:val="24"/>
          <w:szCs w:val="24"/>
        </w:rPr>
      </w:pPr>
      <w:bookmarkStart w:id="3" w:name="OLE_LINK490"/>
      <w:bookmarkStart w:id="4" w:name="OLE_LINK491"/>
      <w:bookmarkStart w:id="5" w:name="OLE_LINK510"/>
      <w:r w:rsidRPr="0050576F">
        <w:rPr>
          <w:rFonts w:ascii="Book Antiqua" w:hAnsi="Book Antiqua" w:cs="Segoe UI"/>
          <w:b/>
          <w:bCs/>
          <w:color w:val="000000" w:themeColor="text1"/>
          <w:kern w:val="0"/>
          <w:sz w:val="24"/>
          <w:szCs w:val="24"/>
          <w:lang w:eastAsia="en-US"/>
        </w:rPr>
        <w:t xml:space="preserve">Establishment of a pattern recognition metabolomics model for </w:t>
      </w:r>
      <w:r w:rsidR="00B570DA">
        <w:rPr>
          <w:rFonts w:ascii="Book Antiqua" w:hAnsi="Book Antiqua" w:cs="Segoe UI"/>
          <w:b/>
          <w:bCs/>
          <w:color w:val="000000" w:themeColor="text1"/>
          <w:kern w:val="0"/>
          <w:sz w:val="24"/>
          <w:szCs w:val="24"/>
          <w:lang w:eastAsia="en-US"/>
        </w:rPr>
        <w:t xml:space="preserve">the </w:t>
      </w:r>
      <w:r w:rsidRPr="0050576F">
        <w:rPr>
          <w:rFonts w:ascii="Book Antiqua" w:hAnsi="Book Antiqua" w:cs="Segoe UI"/>
          <w:b/>
          <w:bCs/>
          <w:color w:val="000000" w:themeColor="text1"/>
          <w:kern w:val="0"/>
          <w:sz w:val="24"/>
          <w:szCs w:val="24"/>
          <w:lang w:eastAsia="en-US"/>
        </w:rPr>
        <w:t>diagnosis of hepatocellular carcinoma</w:t>
      </w:r>
    </w:p>
    <w:bookmarkEnd w:id="3"/>
    <w:bookmarkEnd w:id="4"/>
    <w:bookmarkEnd w:id="5"/>
    <w:p w14:paraId="0F20228F" w14:textId="77777777" w:rsidR="00BE4062" w:rsidRPr="0050576F" w:rsidRDefault="00BE4062" w:rsidP="0050576F">
      <w:pPr>
        <w:snapToGrid w:val="0"/>
        <w:spacing w:line="360" w:lineRule="auto"/>
        <w:rPr>
          <w:rFonts w:ascii="Book Antiqua" w:hAnsi="Book Antiqua" w:cs="Segoe UI"/>
          <w:b/>
          <w:bCs/>
          <w:color w:val="000000" w:themeColor="text1"/>
          <w:kern w:val="0"/>
          <w:sz w:val="24"/>
          <w:szCs w:val="24"/>
        </w:rPr>
      </w:pPr>
    </w:p>
    <w:p w14:paraId="5EDA7056" w14:textId="7B11AD83" w:rsidR="00F60E3B" w:rsidRPr="0050576F" w:rsidRDefault="00F60E3B" w:rsidP="0050576F">
      <w:pPr>
        <w:snapToGrid w:val="0"/>
        <w:spacing w:line="360" w:lineRule="auto"/>
        <w:rPr>
          <w:rFonts w:ascii="Book Antiqua" w:hAnsi="Book Antiqua" w:cs="Segoe UI"/>
          <w:bCs/>
          <w:color w:val="000000" w:themeColor="text1"/>
          <w:sz w:val="24"/>
          <w:szCs w:val="24"/>
        </w:rPr>
      </w:pPr>
      <w:r w:rsidRPr="0050576F">
        <w:rPr>
          <w:rFonts w:ascii="Book Antiqua" w:hAnsi="Book Antiqua" w:cs="Segoe UI"/>
          <w:bCs/>
          <w:color w:val="000000" w:themeColor="text1"/>
          <w:sz w:val="24"/>
          <w:szCs w:val="24"/>
        </w:rPr>
        <w:t>Zhou</w:t>
      </w:r>
      <w:r w:rsidR="0017090D" w:rsidRPr="0050576F">
        <w:rPr>
          <w:rFonts w:ascii="Book Antiqua" w:hAnsi="Book Antiqua" w:cs="Segoe UI"/>
          <w:bCs/>
          <w:color w:val="000000" w:themeColor="text1"/>
          <w:sz w:val="24"/>
          <w:szCs w:val="24"/>
        </w:rPr>
        <w:t xml:space="preserve"> PC</w:t>
      </w:r>
      <w:r w:rsidRPr="0050576F">
        <w:rPr>
          <w:rFonts w:ascii="Book Antiqua" w:hAnsi="Book Antiqua" w:cs="Segoe UI"/>
          <w:bCs/>
          <w:i/>
          <w:color w:val="000000" w:themeColor="text1"/>
          <w:sz w:val="24"/>
          <w:szCs w:val="24"/>
        </w:rPr>
        <w:t xml:space="preserve"> et al</w:t>
      </w:r>
      <w:r w:rsidRPr="0050576F">
        <w:rPr>
          <w:rFonts w:ascii="Book Antiqua" w:hAnsi="Book Antiqua" w:cs="Segoe UI"/>
          <w:bCs/>
          <w:color w:val="000000" w:themeColor="text1"/>
          <w:sz w:val="24"/>
          <w:szCs w:val="24"/>
        </w:rPr>
        <w:t>.</w:t>
      </w:r>
      <w:r w:rsidR="004870D6" w:rsidRPr="0050576F">
        <w:rPr>
          <w:rFonts w:ascii="Book Antiqua" w:hAnsi="Book Antiqua" w:cs="Segoe UI"/>
          <w:bCs/>
          <w:color w:val="000000" w:themeColor="text1"/>
          <w:sz w:val="24"/>
          <w:szCs w:val="24"/>
        </w:rPr>
        <w:t xml:space="preserve"> </w:t>
      </w:r>
      <w:bookmarkStart w:id="6" w:name="OLE_LINK492"/>
      <w:bookmarkStart w:id="7" w:name="OLE_LINK493"/>
      <w:bookmarkStart w:id="8" w:name="OLE_LINK9"/>
      <w:bookmarkStart w:id="9" w:name="OLE_LINK10"/>
      <w:r w:rsidR="003B304F" w:rsidRPr="0050576F">
        <w:rPr>
          <w:rFonts w:ascii="Book Antiqua" w:hAnsi="Book Antiqua" w:cs="Segoe UI"/>
          <w:bCs/>
          <w:color w:val="000000" w:themeColor="text1"/>
          <w:kern w:val="0"/>
          <w:sz w:val="24"/>
          <w:szCs w:val="24"/>
        </w:rPr>
        <w:t>M</w:t>
      </w:r>
      <w:r w:rsidR="003B304F" w:rsidRPr="0050576F">
        <w:rPr>
          <w:rFonts w:ascii="Book Antiqua" w:hAnsi="Book Antiqua" w:cs="Segoe UI"/>
          <w:bCs/>
          <w:color w:val="000000" w:themeColor="text1"/>
          <w:kern w:val="0"/>
          <w:sz w:val="24"/>
          <w:szCs w:val="24"/>
          <w:lang w:eastAsia="en-US"/>
        </w:rPr>
        <w:t xml:space="preserve">etabolomics model for </w:t>
      </w:r>
      <w:r w:rsidR="003B304F" w:rsidRPr="0050576F">
        <w:rPr>
          <w:rFonts w:ascii="Book Antiqua" w:hAnsi="Book Antiqua" w:cs="Segoe UI"/>
          <w:bCs/>
          <w:color w:val="000000" w:themeColor="text1"/>
          <w:kern w:val="0"/>
          <w:sz w:val="24"/>
          <w:szCs w:val="24"/>
        </w:rPr>
        <w:t xml:space="preserve">screening </w:t>
      </w:r>
      <w:bookmarkEnd w:id="6"/>
      <w:bookmarkEnd w:id="7"/>
      <w:r w:rsidR="00576DA8" w:rsidRPr="0050576F">
        <w:rPr>
          <w:rFonts w:ascii="Book Antiqua" w:hAnsi="Book Antiqua" w:cs="Segoe UI"/>
          <w:bCs/>
          <w:color w:val="000000" w:themeColor="text1"/>
          <w:kern w:val="0"/>
          <w:sz w:val="24"/>
          <w:szCs w:val="24"/>
          <w:lang w:eastAsia="en-US"/>
        </w:rPr>
        <w:t>HCC</w:t>
      </w:r>
    </w:p>
    <w:bookmarkEnd w:id="8"/>
    <w:bookmarkEnd w:id="9"/>
    <w:p w14:paraId="7D146968" w14:textId="77777777" w:rsidR="00F60E3B" w:rsidRPr="0050576F" w:rsidRDefault="00F60E3B" w:rsidP="0050576F">
      <w:pPr>
        <w:snapToGrid w:val="0"/>
        <w:spacing w:line="360" w:lineRule="auto"/>
        <w:rPr>
          <w:rFonts w:ascii="Book Antiqua" w:hAnsi="Book Antiqua" w:cs="Segoe UI"/>
          <w:b/>
          <w:bCs/>
          <w:color w:val="000000" w:themeColor="text1"/>
          <w:kern w:val="0"/>
          <w:sz w:val="24"/>
          <w:szCs w:val="24"/>
        </w:rPr>
      </w:pPr>
    </w:p>
    <w:p w14:paraId="131CB6A4" w14:textId="4A96B2AD"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Peng</w:t>
      </w:r>
      <w:r w:rsidR="005F4693" w:rsidRPr="0050576F">
        <w:rPr>
          <w:rFonts w:ascii="Book Antiqua" w:hAnsi="Book Antiqua"/>
          <w:color w:val="000000" w:themeColor="text1"/>
          <w:sz w:val="24"/>
          <w:szCs w:val="24"/>
        </w:rPr>
        <w:t>-</w:t>
      </w:r>
      <w:r w:rsidR="009A5937" w:rsidRPr="0050576F">
        <w:rPr>
          <w:rFonts w:ascii="Book Antiqua" w:hAnsi="Book Antiqua"/>
          <w:color w:val="000000" w:themeColor="text1"/>
          <w:sz w:val="24"/>
          <w:szCs w:val="24"/>
        </w:rPr>
        <w:t>C</w:t>
      </w:r>
      <w:r w:rsidRPr="0050576F">
        <w:rPr>
          <w:rFonts w:ascii="Book Antiqua" w:hAnsi="Book Antiqua"/>
          <w:color w:val="000000" w:themeColor="text1"/>
          <w:sz w:val="24"/>
          <w:szCs w:val="24"/>
        </w:rPr>
        <w:t xml:space="preserve">heng Zhou, </w:t>
      </w:r>
      <w:bookmarkStart w:id="10" w:name="OLE_LINK7"/>
      <w:bookmarkStart w:id="11" w:name="OLE_LINK8"/>
      <w:r w:rsidRPr="0050576F">
        <w:rPr>
          <w:rFonts w:ascii="Book Antiqua" w:hAnsi="Book Antiqua"/>
          <w:color w:val="000000" w:themeColor="text1"/>
          <w:sz w:val="24"/>
          <w:szCs w:val="24"/>
        </w:rPr>
        <w:t>Lun</w:t>
      </w:r>
      <w:r w:rsidR="005F4693" w:rsidRPr="0050576F">
        <w:rPr>
          <w:rFonts w:ascii="Book Antiqua" w:hAnsi="Book Antiqua"/>
          <w:color w:val="000000" w:themeColor="text1"/>
          <w:sz w:val="24"/>
          <w:szCs w:val="24"/>
        </w:rPr>
        <w:t>-</w:t>
      </w:r>
      <w:r w:rsidR="009A5937" w:rsidRPr="0050576F">
        <w:rPr>
          <w:rFonts w:ascii="Book Antiqua" w:hAnsi="Book Antiqua"/>
          <w:color w:val="000000" w:themeColor="text1"/>
          <w:sz w:val="24"/>
          <w:szCs w:val="24"/>
        </w:rPr>
        <w:t>Q</w:t>
      </w:r>
      <w:r w:rsidRPr="0050576F">
        <w:rPr>
          <w:rFonts w:ascii="Book Antiqua" w:hAnsi="Book Antiqua"/>
          <w:color w:val="000000" w:themeColor="text1"/>
          <w:sz w:val="24"/>
          <w:szCs w:val="24"/>
        </w:rPr>
        <w:t>uan</w:t>
      </w:r>
      <w:bookmarkEnd w:id="10"/>
      <w:bookmarkEnd w:id="11"/>
      <w:r w:rsidRPr="0050576F">
        <w:rPr>
          <w:rFonts w:ascii="Book Antiqua" w:hAnsi="Book Antiqua"/>
          <w:color w:val="000000" w:themeColor="text1"/>
          <w:sz w:val="24"/>
          <w:szCs w:val="24"/>
        </w:rPr>
        <w:t xml:space="preserve"> Sun, </w:t>
      </w:r>
      <w:r w:rsidR="00E95378" w:rsidRPr="0050576F">
        <w:rPr>
          <w:rFonts w:ascii="Book Antiqua" w:hAnsi="Book Antiqua"/>
          <w:color w:val="000000" w:themeColor="text1"/>
          <w:sz w:val="24"/>
          <w:szCs w:val="24"/>
        </w:rPr>
        <w:t xml:space="preserve">Li Shao, </w:t>
      </w:r>
      <w:bookmarkStart w:id="12" w:name="OLE_LINK1"/>
      <w:bookmarkStart w:id="13" w:name="OLE_LINK2"/>
      <w:r w:rsidRPr="0050576F">
        <w:rPr>
          <w:rFonts w:ascii="Book Antiqua" w:hAnsi="Book Antiqua"/>
          <w:color w:val="000000" w:themeColor="text1"/>
          <w:sz w:val="24"/>
          <w:szCs w:val="24"/>
        </w:rPr>
        <w:t>Lun</w:t>
      </w:r>
      <w:r w:rsidR="005F4693" w:rsidRPr="0050576F">
        <w:rPr>
          <w:rFonts w:ascii="Book Antiqua" w:hAnsi="Book Antiqua"/>
          <w:color w:val="000000" w:themeColor="text1"/>
          <w:sz w:val="24"/>
          <w:szCs w:val="24"/>
        </w:rPr>
        <w:t>-</w:t>
      </w:r>
      <w:r w:rsidR="009A5937" w:rsidRPr="0050576F">
        <w:rPr>
          <w:rFonts w:ascii="Book Antiqua" w:hAnsi="Book Antiqua"/>
          <w:color w:val="000000" w:themeColor="text1"/>
          <w:sz w:val="24"/>
          <w:szCs w:val="24"/>
        </w:rPr>
        <w:t>Z</w:t>
      </w:r>
      <w:r w:rsidRPr="0050576F">
        <w:rPr>
          <w:rFonts w:ascii="Book Antiqua" w:hAnsi="Book Antiqua"/>
          <w:color w:val="000000" w:themeColor="text1"/>
          <w:sz w:val="24"/>
          <w:szCs w:val="24"/>
        </w:rPr>
        <w:t>hao</w:t>
      </w:r>
      <w:bookmarkEnd w:id="12"/>
      <w:bookmarkEnd w:id="13"/>
      <w:r w:rsidRPr="0050576F">
        <w:rPr>
          <w:rFonts w:ascii="Book Antiqua" w:hAnsi="Book Antiqua"/>
          <w:color w:val="000000" w:themeColor="text1"/>
          <w:sz w:val="24"/>
          <w:szCs w:val="24"/>
        </w:rPr>
        <w:t xml:space="preserve"> Yi, </w:t>
      </w:r>
      <w:bookmarkStart w:id="14" w:name="OLE_LINK4"/>
      <w:r w:rsidRPr="0050576F">
        <w:rPr>
          <w:rFonts w:ascii="Book Antiqua" w:hAnsi="Book Antiqua"/>
          <w:color w:val="000000" w:themeColor="text1"/>
          <w:sz w:val="24"/>
          <w:szCs w:val="24"/>
        </w:rPr>
        <w:t>Ning</w:t>
      </w:r>
      <w:bookmarkEnd w:id="14"/>
      <w:r w:rsidRPr="0050576F">
        <w:rPr>
          <w:rFonts w:ascii="Book Antiqua" w:hAnsi="Book Antiqua"/>
          <w:color w:val="000000" w:themeColor="text1"/>
          <w:sz w:val="24"/>
          <w:szCs w:val="24"/>
        </w:rPr>
        <w:t xml:space="preserve"> Li, Xue-Gong Fan</w:t>
      </w:r>
    </w:p>
    <w:p w14:paraId="4F976ECB" w14:textId="77777777" w:rsidR="005F4693" w:rsidRPr="0050576F" w:rsidRDefault="005F4693" w:rsidP="0050576F">
      <w:pPr>
        <w:snapToGrid w:val="0"/>
        <w:spacing w:line="360" w:lineRule="auto"/>
        <w:rPr>
          <w:rFonts w:ascii="Book Antiqua" w:hAnsi="Book Antiqua"/>
          <w:color w:val="000000" w:themeColor="text1"/>
          <w:kern w:val="0"/>
          <w:sz w:val="24"/>
          <w:szCs w:val="24"/>
        </w:rPr>
      </w:pPr>
    </w:p>
    <w:p w14:paraId="7F824AF1" w14:textId="0DB9789A"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Peng</w:t>
      </w:r>
      <w:r w:rsidR="005F4693" w:rsidRPr="0050576F">
        <w:rPr>
          <w:rFonts w:ascii="Book Antiqua" w:hAnsi="Book Antiqua"/>
          <w:b/>
          <w:bCs/>
          <w:color w:val="000000" w:themeColor="text1"/>
          <w:sz w:val="24"/>
          <w:szCs w:val="24"/>
        </w:rPr>
        <w:t>-</w:t>
      </w:r>
      <w:r w:rsidR="009A5937" w:rsidRPr="0050576F">
        <w:rPr>
          <w:rFonts w:ascii="Book Antiqua" w:hAnsi="Book Antiqua"/>
          <w:b/>
          <w:bCs/>
          <w:color w:val="000000" w:themeColor="text1"/>
          <w:sz w:val="24"/>
          <w:szCs w:val="24"/>
        </w:rPr>
        <w:t>C</w:t>
      </w:r>
      <w:r w:rsidRPr="0050576F">
        <w:rPr>
          <w:rFonts w:ascii="Book Antiqua" w:hAnsi="Book Antiqua"/>
          <w:b/>
          <w:bCs/>
          <w:color w:val="000000" w:themeColor="text1"/>
          <w:sz w:val="24"/>
          <w:szCs w:val="24"/>
        </w:rPr>
        <w:t xml:space="preserve">heng Zhou, Ning Li, Xue-Gong Fan, </w:t>
      </w:r>
      <w:r w:rsidRPr="0050576F">
        <w:rPr>
          <w:rFonts w:ascii="Book Antiqua" w:hAnsi="Book Antiqua"/>
          <w:color w:val="000000" w:themeColor="text1"/>
          <w:sz w:val="24"/>
          <w:szCs w:val="24"/>
        </w:rPr>
        <w:t xml:space="preserve">Hunan Key Laboratory of Viral Hepatitis </w:t>
      </w:r>
      <w:r w:rsidR="00576DA8" w:rsidRPr="0050576F">
        <w:rPr>
          <w:rFonts w:ascii="Book Antiqua" w:hAnsi="Book Antiqua"/>
          <w:color w:val="000000" w:themeColor="text1"/>
          <w:sz w:val="24"/>
          <w:szCs w:val="24"/>
        </w:rPr>
        <w:t>and</w:t>
      </w:r>
      <w:r w:rsidR="004870D6"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Department of Infectious Diseases, Xiangya Hospital, Central South University, Changsha</w:t>
      </w:r>
      <w:r w:rsidR="00F610FD" w:rsidRPr="0050576F">
        <w:rPr>
          <w:rFonts w:ascii="Book Antiqua" w:hAnsi="Book Antiqua"/>
          <w:color w:val="000000" w:themeColor="text1"/>
          <w:sz w:val="24"/>
          <w:szCs w:val="24"/>
        </w:rPr>
        <w:t xml:space="preserve"> 410008</w:t>
      </w:r>
      <w:r w:rsidRPr="0050576F">
        <w:rPr>
          <w:rFonts w:ascii="Book Antiqua" w:hAnsi="Book Antiqua"/>
          <w:color w:val="000000" w:themeColor="text1"/>
          <w:sz w:val="24"/>
          <w:szCs w:val="24"/>
        </w:rPr>
        <w:t>, Hunan</w:t>
      </w:r>
      <w:r w:rsidR="00F610FD" w:rsidRPr="0050576F">
        <w:rPr>
          <w:rFonts w:ascii="Book Antiqua" w:hAnsi="Book Antiqua"/>
          <w:color w:val="000000" w:themeColor="text1"/>
          <w:sz w:val="24"/>
          <w:szCs w:val="24"/>
        </w:rPr>
        <w:t xml:space="preserve"> Province</w:t>
      </w:r>
      <w:r w:rsidRPr="0050576F">
        <w:rPr>
          <w:rFonts w:ascii="Book Antiqua" w:hAnsi="Book Antiqua"/>
          <w:color w:val="000000" w:themeColor="text1"/>
          <w:sz w:val="24"/>
          <w:szCs w:val="24"/>
        </w:rPr>
        <w:t>, China</w:t>
      </w:r>
    </w:p>
    <w:p w14:paraId="6294B2FC" w14:textId="77777777" w:rsidR="0017090D" w:rsidRPr="0050576F" w:rsidRDefault="0017090D" w:rsidP="0050576F">
      <w:pPr>
        <w:snapToGrid w:val="0"/>
        <w:spacing w:line="360" w:lineRule="auto"/>
        <w:rPr>
          <w:rFonts w:ascii="Book Antiqua" w:hAnsi="Book Antiqua"/>
          <w:color w:val="000000" w:themeColor="text1"/>
          <w:sz w:val="24"/>
          <w:szCs w:val="24"/>
        </w:rPr>
      </w:pPr>
    </w:p>
    <w:p w14:paraId="448200A7" w14:textId="1EA7C90B" w:rsidR="00F41AA1"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Peng</w:t>
      </w:r>
      <w:r w:rsidR="005F4693" w:rsidRPr="0050576F">
        <w:rPr>
          <w:rFonts w:ascii="Book Antiqua" w:hAnsi="Book Antiqua"/>
          <w:b/>
          <w:bCs/>
          <w:color w:val="000000" w:themeColor="text1"/>
          <w:sz w:val="24"/>
          <w:szCs w:val="24"/>
        </w:rPr>
        <w:t>-</w:t>
      </w:r>
      <w:r w:rsidR="009A5937" w:rsidRPr="0050576F">
        <w:rPr>
          <w:rFonts w:ascii="Book Antiqua" w:hAnsi="Book Antiqua"/>
          <w:b/>
          <w:bCs/>
          <w:color w:val="000000" w:themeColor="text1"/>
          <w:sz w:val="24"/>
          <w:szCs w:val="24"/>
        </w:rPr>
        <w:t>C</w:t>
      </w:r>
      <w:r w:rsidRPr="0050576F">
        <w:rPr>
          <w:rFonts w:ascii="Book Antiqua" w:hAnsi="Book Antiqua"/>
          <w:b/>
          <w:bCs/>
          <w:color w:val="000000" w:themeColor="text1"/>
          <w:sz w:val="24"/>
          <w:szCs w:val="24"/>
        </w:rPr>
        <w:t xml:space="preserve">heng Zhou, </w:t>
      </w:r>
      <w:r w:rsidR="00F54672" w:rsidRPr="0050576F">
        <w:rPr>
          <w:rFonts w:ascii="Book Antiqua" w:hAnsi="Book Antiqua"/>
          <w:color w:val="000000" w:themeColor="text1"/>
          <w:sz w:val="24"/>
          <w:szCs w:val="24"/>
        </w:rPr>
        <w:t>Department of Infectious Diseases</w:t>
      </w:r>
      <w:r w:rsidR="0006777F" w:rsidRPr="0050576F">
        <w:rPr>
          <w:rFonts w:ascii="Book Antiqua" w:hAnsi="Book Antiqua"/>
          <w:color w:val="000000" w:themeColor="text1"/>
          <w:sz w:val="24"/>
          <w:szCs w:val="24"/>
        </w:rPr>
        <w:t xml:space="preserve"> </w:t>
      </w:r>
      <w:r w:rsidR="00576DA8" w:rsidRPr="0050576F">
        <w:rPr>
          <w:rFonts w:ascii="Book Antiqua" w:hAnsi="Book Antiqua"/>
          <w:color w:val="000000" w:themeColor="text1"/>
          <w:sz w:val="24"/>
          <w:szCs w:val="24"/>
        </w:rPr>
        <w:t>and</w:t>
      </w:r>
      <w:r w:rsidR="0006777F" w:rsidRPr="0050576F">
        <w:rPr>
          <w:rFonts w:ascii="Book Antiqua" w:hAnsi="Book Antiqua"/>
          <w:color w:val="000000" w:themeColor="text1"/>
          <w:sz w:val="24"/>
          <w:szCs w:val="24"/>
        </w:rPr>
        <w:t xml:space="preserve"> </w:t>
      </w:r>
      <w:r w:rsidR="00F54672" w:rsidRPr="0050576F">
        <w:rPr>
          <w:rFonts w:ascii="Book Antiqua" w:hAnsi="Book Antiqua"/>
          <w:color w:val="000000" w:themeColor="text1"/>
          <w:sz w:val="24"/>
          <w:szCs w:val="24"/>
        </w:rPr>
        <w:t>Infection Control Center, The third Xiangya Hospital, Central South University, Changsha</w:t>
      </w:r>
      <w:r w:rsidR="0006777F" w:rsidRPr="0050576F">
        <w:rPr>
          <w:rFonts w:ascii="Book Antiqua" w:hAnsi="Book Antiqua"/>
          <w:color w:val="000000" w:themeColor="text1"/>
          <w:sz w:val="24"/>
          <w:szCs w:val="24"/>
        </w:rPr>
        <w:t xml:space="preserve"> </w:t>
      </w:r>
      <w:r w:rsidR="00F610FD" w:rsidRPr="0050576F">
        <w:rPr>
          <w:rFonts w:ascii="Book Antiqua" w:hAnsi="Book Antiqua"/>
          <w:color w:val="000000" w:themeColor="text1"/>
          <w:sz w:val="24"/>
          <w:szCs w:val="24"/>
        </w:rPr>
        <w:t>410013</w:t>
      </w:r>
      <w:r w:rsidR="00F54672" w:rsidRPr="0050576F">
        <w:rPr>
          <w:rFonts w:ascii="Book Antiqua" w:hAnsi="Book Antiqua"/>
          <w:color w:val="000000" w:themeColor="text1"/>
          <w:sz w:val="24"/>
          <w:szCs w:val="24"/>
        </w:rPr>
        <w:t>, Hunan</w:t>
      </w:r>
      <w:r w:rsidR="00F610FD" w:rsidRPr="0050576F">
        <w:rPr>
          <w:rFonts w:ascii="Book Antiqua" w:hAnsi="Book Antiqua"/>
          <w:color w:val="000000" w:themeColor="text1"/>
          <w:sz w:val="24"/>
          <w:szCs w:val="24"/>
        </w:rPr>
        <w:t xml:space="preserve"> Province</w:t>
      </w:r>
      <w:r w:rsidR="00576DA8" w:rsidRPr="0050576F">
        <w:rPr>
          <w:rFonts w:ascii="Book Antiqua" w:hAnsi="Book Antiqua"/>
          <w:color w:val="000000" w:themeColor="text1"/>
          <w:sz w:val="24"/>
          <w:szCs w:val="24"/>
        </w:rPr>
        <w:t>, China</w:t>
      </w:r>
    </w:p>
    <w:p w14:paraId="7B30195A" w14:textId="77777777" w:rsidR="007C4478" w:rsidRDefault="007C4478" w:rsidP="0050576F">
      <w:pPr>
        <w:snapToGrid w:val="0"/>
        <w:spacing w:line="360" w:lineRule="auto"/>
        <w:rPr>
          <w:rFonts w:ascii="Book Antiqua" w:hAnsi="Book Antiqua"/>
          <w:color w:val="000000" w:themeColor="text1"/>
          <w:sz w:val="24"/>
          <w:szCs w:val="24"/>
        </w:rPr>
      </w:pPr>
    </w:p>
    <w:p w14:paraId="11970465" w14:textId="77777777" w:rsidR="00D95891" w:rsidRPr="00B06094" w:rsidRDefault="00D95891" w:rsidP="00D95891">
      <w:pPr>
        <w:snapToGrid w:val="0"/>
        <w:spacing w:line="360" w:lineRule="auto"/>
        <w:rPr>
          <w:rFonts w:ascii="Book Antiqua" w:hAnsi="Book Antiqua"/>
          <w:color w:val="000000" w:themeColor="text1"/>
          <w:sz w:val="24"/>
          <w:szCs w:val="24"/>
        </w:rPr>
      </w:pPr>
      <w:r w:rsidRPr="00B06094">
        <w:rPr>
          <w:rFonts w:ascii="Book Antiqua" w:hAnsi="Book Antiqua"/>
          <w:b/>
          <w:color w:val="000000" w:themeColor="text1"/>
          <w:sz w:val="24"/>
          <w:szCs w:val="24"/>
        </w:rPr>
        <w:t>Peng-Cheng Zhou,  </w:t>
      </w:r>
      <w:r w:rsidRPr="00B06094">
        <w:rPr>
          <w:rFonts w:ascii="Book Antiqua" w:hAnsi="Book Antiqua"/>
          <w:color w:val="000000" w:themeColor="text1"/>
          <w:sz w:val="24"/>
          <w:szCs w:val="24"/>
        </w:rPr>
        <w:t>Infection Control Center, Xiangya Hospital, Central South University, Changsha 410008, Hunan Province, China</w:t>
      </w:r>
    </w:p>
    <w:p w14:paraId="4624CF0F" w14:textId="77777777" w:rsidR="0017090D" w:rsidRPr="0050576F" w:rsidRDefault="0017090D" w:rsidP="0050576F">
      <w:pPr>
        <w:snapToGrid w:val="0"/>
        <w:spacing w:line="360" w:lineRule="auto"/>
        <w:rPr>
          <w:rFonts w:ascii="Book Antiqua" w:hAnsi="Book Antiqua"/>
          <w:color w:val="000000" w:themeColor="text1"/>
          <w:sz w:val="24"/>
          <w:szCs w:val="24"/>
        </w:rPr>
      </w:pPr>
    </w:p>
    <w:p w14:paraId="5B06AEF7" w14:textId="4AFF283F"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Lun</w:t>
      </w:r>
      <w:r w:rsidR="005F4693" w:rsidRPr="0050576F">
        <w:rPr>
          <w:rFonts w:ascii="Book Antiqua" w:hAnsi="Book Antiqua"/>
          <w:b/>
          <w:bCs/>
          <w:color w:val="000000" w:themeColor="text1"/>
          <w:sz w:val="24"/>
          <w:szCs w:val="24"/>
        </w:rPr>
        <w:t>-</w:t>
      </w:r>
      <w:r w:rsidR="009A5937" w:rsidRPr="0050576F">
        <w:rPr>
          <w:rFonts w:ascii="Book Antiqua" w:hAnsi="Book Antiqua"/>
          <w:b/>
          <w:bCs/>
          <w:color w:val="000000" w:themeColor="text1"/>
          <w:sz w:val="24"/>
          <w:szCs w:val="24"/>
        </w:rPr>
        <w:t>Q</w:t>
      </w:r>
      <w:r w:rsidRPr="0050576F">
        <w:rPr>
          <w:rFonts w:ascii="Book Antiqua" w:hAnsi="Book Antiqua"/>
          <w:b/>
          <w:bCs/>
          <w:color w:val="000000" w:themeColor="text1"/>
          <w:sz w:val="24"/>
          <w:szCs w:val="24"/>
        </w:rPr>
        <w:t xml:space="preserve">uan Sun, </w:t>
      </w:r>
      <w:r w:rsidRPr="0050576F">
        <w:rPr>
          <w:rFonts w:ascii="Book Antiqua" w:hAnsi="Book Antiqua"/>
          <w:color w:val="000000" w:themeColor="text1"/>
          <w:sz w:val="24"/>
          <w:szCs w:val="24"/>
        </w:rPr>
        <w:t>Center for Molecular Medicine, Xiangya Hospital, Central South University, Changsha</w:t>
      </w:r>
      <w:r w:rsidR="00576DA8" w:rsidRPr="0050576F">
        <w:rPr>
          <w:rFonts w:ascii="Book Antiqua" w:hAnsi="Book Antiqua"/>
          <w:color w:val="000000" w:themeColor="text1"/>
          <w:sz w:val="24"/>
          <w:szCs w:val="24"/>
        </w:rPr>
        <w:t xml:space="preserve"> </w:t>
      </w:r>
      <w:r w:rsidR="00F610FD" w:rsidRPr="0050576F">
        <w:rPr>
          <w:rFonts w:ascii="Book Antiqua" w:hAnsi="Book Antiqua"/>
          <w:color w:val="000000" w:themeColor="text1"/>
          <w:sz w:val="24"/>
          <w:szCs w:val="24"/>
        </w:rPr>
        <w:t>410008</w:t>
      </w:r>
      <w:r w:rsidRPr="0050576F">
        <w:rPr>
          <w:rFonts w:ascii="Book Antiqua" w:hAnsi="Book Antiqua"/>
          <w:color w:val="000000" w:themeColor="text1"/>
          <w:sz w:val="24"/>
          <w:szCs w:val="24"/>
        </w:rPr>
        <w:t>, Hunan</w:t>
      </w:r>
      <w:r w:rsidR="00576DA8" w:rsidRPr="0050576F">
        <w:rPr>
          <w:rFonts w:ascii="Book Antiqua" w:hAnsi="Book Antiqua"/>
          <w:color w:val="000000" w:themeColor="text1"/>
          <w:sz w:val="24"/>
          <w:szCs w:val="24"/>
        </w:rPr>
        <w:t xml:space="preserve"> Province</w:t>
      </w:r>
      <w:r w:rsidRPr="0050576F">
        <w:rPr>
          <w:rFonts w:ascii="Book Antiqua" w:hAnsi="Book Antiqua"/>
          <w:color w:val="000000" w:themeColor="text1"/>
          <w:sz w:val="24"/>
          <w:szCs w:val="24"/>
        </w:rPr>
        <w:t>, China</w:t>
      </w:r>
    </w:p>
    <w:p w14:paraId="5FDAEF58" w14:textId="77777777" w:rsidR="0017090D" w:rsidRPr="0050576F" w:rsidRDefault="0017090D" w:rsidP="0050576F">
      <w:pPr>
        <w:snapToGrid w:val="0"/>
        <w:spacing w:line="360" w:lineRule="auto"/>
        <w:rPr>
          <w:rFonts w:ascii="Book Antiqua" w:hAnsi="Book Antiqua"/>
          <w:color w:val="000000" w:themeColor="text1"/>
          <w:sz w:val="24"/>
          <w:szCs w:val="24"/>
        </w:rPr>
      </w:pPr>
    </w:p>
    <w:p w14:paraId="2A732EB2" w14:textId="6D1CEB0B"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 xml:space="preserve">Li Shao, </w:t>
      </w:r>
      <w:r w:rsidRPr="0050576F">
        <w:rPr>
          <w:rFonts w:ascii="Book Antiqua" w:hAnsi="Book Antiqua"/>
          <w:color w:val="000000" w:themeColor="text1"/>
          <w:sz w:val="24"/>
          <w:szCs w:val="24"/>
        </w:rPr>
        <w:t>Institute of Translational Medicine, The Affiliated Hospital, Hangzhou Normal University, Hangzhou</w:t>
      </w:r>
      <w:r w:rsidR="00F610FD" w:rsidRPr="0050576F">
        <w:rPr>
          <w:rFonts w:ascii="Book Antiqua" w:hAnsi="Book Antiqua"/>
          <w:color w:val="000000" w:themeColor="text1"/>
          <w:sz w:val="24"/>
          <w:szCs w:val="24"/>
        </w:rPr>
        <w:t xml:space="preserve"> 311121</w:t>
      </w:r>
      <w:r w:rsidRPr="0050576F">
        <w:rPr>
          <w:rFonts w:ascii="Book Antiqua" w:hAnsi="Book Antiqua"/>
          <w:color w:val="000000" w:themeColor="text1"/>
          <w:sz w:val="24"/>
          <w:szCs w:val="24"/>
        </w:rPr>
        <w:t>, Zhejiang</w:t>
      </w:r>
      <w:r w:rsidR="00F610FD" w:rsidRPr="0050576F">
        <w:rPr>
          <w:rFonts w:ascii="Book Antiqua" w:hAnsi="Book Antiqua"/>
          <w:color w:val="000000" w:themeColor="text1"/>
          <w:sz w:val="24"/>
          <w:szCs w:val="24"/>
        </w:rPr>
        <w:t xml:space="preserve"> Province</w:t>
      </w:r>
      <w:r w:rsidRPr="0050576F">
        <w:rPr>
          <w:rFonts w:ascii="Book Antiqua" w:hAnsi="Book Antiqua"/>
          <w:color w:val="000000" w:themeColor="text1"/>
          <w:sz w:val="24"/>
          <w:szCs w:val="24"/>
        </w:rPr>
        <w:t>, China</w:t>
      </w:r>
    </w:p>
    <w:p w14:paraId="0971EA4E" w14:textId="77777777" w:rsidR="0017090D" w:rsidRPr="0050576F" w:rsidRDefault="0017090D" w:rsidP="0050576F">
      <w:pPr>
        <w:snapToGrid w:val="0"/>
        <w:spacing w:line="360" w:lineRule="auto"/>
        <w:rPr>
          <w:rFonts w:ascii="Book Antiqua" w:hAnsi="Book Antiqua"/>
          <w:color w:val="000000" w:themeColor="text1"/>
          <w:sz w:val="24"/>
          <w:szCs w:val="24"/>
        </w:rPr>
      </w:pPr>
    </w:p>
    <w:p w14:paraId="1FD32AE6" w14:textId="5D5FEEC4"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Lun</w:t>
      </w:r>
      <w:r w:rsidR="005F4693" w:rsidRPr="0050576F">
        <w:rPr>
          <w:rFonts w:ascii="Book Antiqua" w:hAnsi="Book Antiqua"/>
          <w:b/>
          <w:bCs/>
          <w:color w:val="000000" w:themeColor="text1"/>
          <w:sz w:val="24"/>
          <w:szCs w:val="24"/>
        </w:rPr>
        <w:t>-</w:t>
      </w:r>
      <w:r w:rsidR="009A5937" w:rsidRPr="0050576F">
        <w:rPr>
          <w:rFonts w:ascii="Book Antiqua" w:hAnsi="Book Antiqua"/>
          <w:b/>
          <w:bCs/>
          <w:color w:val="000000" w:themeColor="text1"/>
          <w:sz w:val="24"/>
          <w:szCs w:val="24"/>
        </w:rPr>
        <w:t>Z</w:t>
      </w:r>
      <w:r w:rsidRPr="0050576F">
        <w:rPr>
          <w:rFonts w:ascii="Book Antiqua" w:hAnsi="Book Antiqua"/>
          <w:b/>
          <w:bCs/>
          <w:color w:val="000000" w:themeColor="text1"/>
          <w:sz w:val="24"/>
          <w:szCs w:val="24"/>
        </w:rPr>
        <w:t>hao Yi,</w:t>
      </w:r>
      <w:r w:rsidR="0006777F" w:rsidRPr="0050576F">
        <w:rPr>
          <w:rFonts w:ascii="Book Antiqua" w:hAnsi="Book Antiqua"/>
          <w:b/>
          <w:bCs/>
          <w:color w:val="000000" w:themeColor="text1"/>
          <w:sz w:val="24"/>
          <w:szCs w:val="24"/>
        </w:rPr>
        <w:t xml:space="preserve"> </w:t>
      </w:r>
      <w:r w:rsidRPr="0050576F">
        <w:rPr>
          <w:rFonts w:ascii="Book Antiqua" w:hAnsi="Book Antiqua"/>
          <w:color w:val="000000" w:themeColor="text1"/>
          <w:sz w:val="24"/>
          <w:szCs w:val="24"/>
        </w:rPr>
        <w:t xml:space="preserve">Yunnan Food Safety Research Institute, Kunming University of </w:t>
      </w:r>
      <w:r w:rsidRPr="0050576F">
        <w:rPr>
          <w:rFonts w:ascii="Book Antiqua" w:hAnsi="Book Antiqua"/>
          <w:color w:val="000000" w:themeColor="text1"/>
          <w:sz w:val="24"/>
          <w:szCs w:val="24"/>
        </w:rPr>
        <w:lastRenderedPageBreak/>
        <w:t>Science and Technology, Kunming</w:t>
      </w:r>
      <w:r w:rsidR="00576DA8" w:rsidRPr="0050576F">
        <w:rPr>
          <w:rFonts w:ascii="Book Antiqua" w:hAnsi="Book Antiqua"/>
          <w:color w:val="000000" w:themeColor="text1"/>
          <w:sz w:val="24"/>
          <w:szCs w:val="24"/>
        </w:rPr>
        <w:t xml:space="preserve"> </w:t>
      </w:r>
      <w:r w:rsidR="00F610FD" w:rsidRPr="0050576F">
        <w:rPr>
          <w:rFonts w:ascii="Book Antiqua" w:hAnsi="Book Antiqua"/>
          <w:color w:val="000000" w:themeColor="text1"/>
          <w:sz w:val="24"/>
          <w:szCs w:val="24"/>
        </w:rPr>
        <w:t>650500</w:t>
      </w:r>
      <w:r w:rsidRPr="0050576F">
        <w:rPr>
          <w:rFonts w:ascii="Book Antiqua" w:hAnsi="Book Antiqua"/>
          <w:color w:val="000000" w:themeColor="text1"/>
          <w:sz w:val="24"/>
          <w:szCs w:val="24"/>
        </w:rPr>
        <w:t>, Yunnan</w:t>
      </w:r>
      <w:r w:rsidR="00F610FD" w:rsidRPr="0050576F">
        <w:rPr>
          <w:rFonts w:ascii="Book Antiqua" w:hAnsi="Book Antiqua"/>
          <w:color w:val="000000" w:themeColor="text1"/>
          <w:sz w:val="24"/>
          <w:szCs w:val="24"/>
        </w:rPr>
        <w:t xml:space="preserve"> Province</w:t>
      </w:r>
      <w:r w:rsidR="00576DA8" w:rsidRPr="0050576F">
        <w:rPr>
          <w:rFonts w:ascii="Book Antiqua" w:hAnsi="Book Antiqua"/>
          <w:color w:val="000000" w:themeColor="text1"/>
          <w:sz w:val="24"/>
          <w:szCs w:val="24"/>
        </w:rPr>
        <w:t>, China</w:t>
      </w:r>
    </w:p>
    <w:p w14:paraId="297FCA2C" w14:textId="77777777" w:rsidR="0017090D" w:rsidRPr="0050576F" w:rsidRDefault="0017090D" w:rsidP="0050576F">
      <w:pPr>
        <w:snapToGrid w:val="0"/>
        <w:spacing w:line="360" w:lineRule="auto"/>
        <w:rPr>
          <w:rFonts w:ascii="Book Antiqua" w:hAnsi="Book Antiqua"/>
          <w:color w:val="000000" w:themeColor="text1"/>
          <w:sz w:val="24"/>
          <w:szCs w:val="24"/>
        </w:rPr>
      </w:pPr>
    </w:p>
    <w:p w14:paraId="032170EE" w14:textId="77777777" w:rsidR="00EB3C3C" w:rsidRPr="0050576F" w:rsidRDefault="001733FF"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Ning Li</w:t>
      </w:r>
      <w:r w:rsidR="00730055" w:rsidRPr="0050576F">
        <w:rPr>
          <w:rFonts w:ascii="Book Antiqua" w:hAnsi="Book Antiqua"/>
          <w:b/>
          <w:bCs/>
          <w:color w:val="000000" w:themeColor="text1"/>
          <w:sz w:val="24"/>
          <w:szCs w:val="24"/>
        </w:rPr>
        <w:t xml:space="preserve">, </w:t>
      </w:r>
      <w:r w:rsidR="00730055" w:rsidRPr="0050576F">
        <w:rPr>
          <w:rFonts w:ascii="Book Antiqua" w:hAnsi="Book Antiqua"/>
          <w:color w:val="000000" w:themeColor="text1"/>
          <w:sz w:val="24"/>
          <w:szCs w:val="24"/>
        </w:rPr>
        <w:t>Department of Blood Transfusion, Xiangya Hospital, Central South University, Changsha</w:t>
      </w:r>
      <w:r w:rsidR="00F610FD" w:rsidRPr="0050576F">
        <w:rPr>
          <w:rFonts w:ascii="Book Antiqua" w:hAnsi="Book Antiqua"/>
          <w:color w:val="000000" w:themeColor="text1"/>
          <w:sz w:val="24"/>
          <w:szCs w:val="24"/>
        </w:rPr>
        <w:t xml:space="preserve"> 410008</w:t>
      </w:r>
      <w:r w:rsidR="00730055" w:rsidRPr="0050576F">
        <w:rPr>
          <w:rFonts w:ascii="Book Antiqua" w:hAnsi="Book Antiqua"/>
          <w:color w:val="000000" w:themeColor="text1"/>
          <w:sz w:val="24"/>
          <w:szCs w:val="24"/>
        </w:rPr>
        <w:t>, Hunan</w:t>
      </w:r>
      <w:r w:rsidR="00F610FD" w:rsidRPr="0050576F">
        <w:rPr>
          <w:rFonts w:ascii="Book Antiqua" w:hAnsi="Book Antiqua"/>
          <w:color w:val="000000" w:themeColor="text1"/>
          <w:sz w:val="24"/>
          <w:szCs w:val="24"/>
        </w:rPr>
        <w:t xml:space="preserve"> Province</w:t>
      </w:r>
      <w:r w:rsidR="00730055" w:rsidRPr="0050576F">
        <w:rPr>
          <w:rFonts w:ascii="Book Antiqua" w:hAnsi="Book Antiqua"/>
          <w:color w:val="000000" w:themeColor="text1"/>
          <w:sz w:val="24"/>
          <w:szCs w:val="24"/>
        </w:rPr>
        <w:t>, China</w:t>
      </w:r>
    </w:p>
    <w:p w14:paraId="34F616DB" w14:textId="77777777" w:rsidR="00EB3C3C" w:rsidRPr="0050576F" w:rsidRDefault="00EB3C3C" w:rsidP="0050576F">
      <w:pPr>
        <w:autoSpaceDE w:val="0"/>
        <w:autoSpaceDN w:val="0"/>
        <w:adjustRightInd w:val="0"/>
        <w:snapToGrid w:val="0"/>
        <w:spacing w:line="360" w:lineRule="auto"/>
        <w:rPr>
          <w:rFonts w:ascii="Book Antiqua" w:eastAsia="Book Antiqua" w:hAnsi="Book Antiqua" w:cs="Book Antiqua"/>
          <w:b/>
          <w:color w:val="000000" w:themeColor="text1"/>
          <w:sz w:val="24"/>
          <w:szCs w:val="24"/>
        </w:rPr>
      </w:pPr>
    </w:p>
    <w:p w14:paraId="5FD79278" w14:textId="56D9C71E" w:rsidR="00EB3C3C" w:rsidRPr="0050576F" w:rsidRDefault="00730055" w:rsidP="0050576F">
      <w:pPr>
        <w:autoSpaceDE w:val="0"/>
        <w:autoSpaceDN w:val="0"/>
        <w:adjustRightInd w:val="0"/>
        <w:snapToGrid w:val="0"/>
        <w:spacing w:line="360" w:lineRule="auto"/>
        <w:rPr>
          <w:rFonts w:ascii="Book Antiqua" w:hAnsi="Book Antiqua"/>
          <w:color w:val="000000" w:themeColor="text1"/>
          <w:sz w:val="24"/>
          <w:szCs w:val="24"/>
        </w:rPr>
      </w:pPr>
      <w:r w:rsidRPr="0050576F">
        <w:rPr>
          <w:rFonts w:ascii="Book Antiqua" w:eastAsia="Book Antiqua" w:hAnsi="Book Antiqua" w:cs="Book Antiqua"/>
          <w:b/>
          <w:color w:val="000000" w:themeColor="text1"/>
          <w:sz w:val="24"/>
          <w:szCs w:val="24"/>
        </w:rPr>
        <w:t>Author contributions:</w:t>
      </w:r>
      <w:r w:rsidR="009B47A8" w:rsidRPr="0050576F">
        <w:rPr>
          <w:rFonts w:ascii="Book Antiqua" w:hAnsi="Book Antiqua"/>
          <w:color w:val="000000" w:themeColor="text1"/>
          <w:sz w:val="24"/>
          <w:szCs w:val="24"/>
        </w:rPr>
        <w:t xml:space="preserve"> Li N</w:t>
      </w:r>
      <w:r w:rsidRPr="0050576F">
        <w:rPr>
          <w:rFonts w:ascii="Book Antiqua" w:eastAsia="Book Antiqua" w:hAnsi="Book Antiqua" w:cs="Book Antiqua"/>
          <w:b/>
          <w:color w:val="000000" w:themeColor="text1"/>
          <w:sz w:val="24"/>
          <w:szCs w:val="24"/>
        </w:rPr>
        <w:t xml:space="preserve"> </w:t>
      </w:r>
      <w:r w:rsidR="004870D6" w:rsidRPr="0050576F">
        <w:rPr>
          <w:rFonts w:ascii="Book Antiqua" w:hAnsi="Book Antiqua"/>
          <w:color w:val="000000" w:themeColor="text1"/>
          <w:sz w:val="24"/>
          <w:szCs w:val="24"/>
        </w:rPr>
        <w:t>and</w:t>
      </w:r>
      <w:r w:rsidRPr="0050576F">
        <w:rPr>
          <w:rFonts w:ascii="Book Antiqua" w:hAnsi="Book Antiqua"/>
          <w:color w:val="000000" w:themeColor="text1"/>
          <w:sz w:val="24"/>
          <w:szCs w:val="24"/>
        </w:rPr>
        <w:t xml:space="preserve"> </w:t>
      </w:r>
      <w:r w:rsidR="009B47A8" w:rsidRPr="0050576F">
        <w:rPr>
          <w:rFonts w:ascii="Book Antiqua" w:hAnsi="Book Antiqua"/>
          <w:color w:val="000000" w:themeColor="text1"/>
          <w:sz w:val="24"/>
          <w:szCs w:val="24"/>
        </w:rPr>
        <w:t xml:space="preserve">Fan XG </w:t>
      </w:r>
      <w:r w:rsidRPr="0050576F">
        <w:rPr>
          <w:rFonts w:ascii="Book Antiqua" w:hAnsi="Book Antiqua"/>
          <w:color w:val="000000" w:themeColor="text1"/>
          <w:sz w:val="24"/>
          <w:szCs w:val="24"/>
        </w:rPr>
        <w:t>contributed to the experimental design</w:t>
      </w:r>
      <w:r w:rsidR="004870D6" w:rsidRPr="0050576F">
        <w:rPr>
          <w:rFonts w:ascii="Book Antiqua" w:hAnsi="Book Antiqua"/>
          <w:color w:val="000000" w:themeColor="text1"/>
          <w:sz w:val="24"/>
          <w:szCs w:val="24"/>
        </w:rPr>
        <w:t xml:space="preserve"> and contributed equally to this work</w:t>
      </w:r>
      <w:r w:rsidR="00AD0C16"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Zhou P</w:t>
      </w:r>
      <w:r w:rsidR="004870D6" w:rsidRPr="0050576F">
        <w:rPr>
          <w:rFonts w:ascii="Book Antiqua" w:hAnsi="Book Antiqua"/>
          <w:color w:val="000000" w:themeColor="text1"/>
          <w:sz w:val="24"/>
          <w:szCs w:val="24"/>
        </w:rPr>
        <w:t>C</w:t>
      </w:r>
      <w:r w:rsidRPr="0050576F">
        <w:rPr>
          <w:rFonts w:ascii="Book Antiqua" w:hAnsi="Book Antiqua"/>
          <w:color w:val="000000" w:themeColor="text1"/>
          <w:sz w:val="24"/>
          <w:szCs w:val="24"/>
        </w:rPr>
        <w:t xml:space="preserve"> collected the serum samples</w:t>
      </w:r>
      <w:r w:rsidR="00AD0C16"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Yi L</w:t>
      </w:r>
      <w:r w:rsidR="004870D6" w:rsidRPr="0050576F">
        <w:rPr>
          <w:rFonts w:ascii="Book Antiqua" w:hAnsi="Book Antiqua"/>
          <w:color w:val="000000" w:themeColor="text1"/>
          <w:sz w:val="24"/>
          <w:szCs w:val="24"/>
        </w:rPr>
        <w:t>Z</w:t>
      </w:r>
      <w:r w:rsidRPr="0050576F">
        <w:rPr>
          <w:rFonts w:ascii="Book Antiqua" w:hAnsi="Book Antiqua"/>
          <w:color w:val="000000" w:themeColor="text1"/>
          <w:sz w:val="24"/>
          <w:szCs w:val="24"/>
        </w:rPr>
        <w:t xml:space="preserve"> performed the UPLC-MS </w:t>
      </w:r>
      <w:r w:rsidR="00B570DA">
        <w:rPr>
          <w:rFonts w:ascii="Book Antiqua" w:hAnsi="Book Antiqua"/>
          <w:color w:val="000000" w:themeColor="text1"/>
          <w:sz w:val="24"/>
          <w:szCs w:val="24"/>
        </w:rPr>
        <w:t>analysis</w:t>
      </w:r>
      <w:r w:rsidR="00AD0C16" w:rsidRPr="0050576F">
        <w:rPr>
          <w:rFonts w:ascii="Book Antiqua" w:hAnsi="Book Antiqua"/>
          <w:color w:val="000000" w:themeColor="text1"/>
          <w:sz w:val="24"/>
          <w:szCs w:val="24"/>
        </w:rPr>
        <w:t>;</w:t>
      </w:r>
      <w:r w:rsidR="009B47A8" w:rsidRPr="0050576F">
        <w:rPr>
          <w:rFonts w:ascii="Book Antiqua" w:hAnsi="Book Antiqua"/>
          <w:color w:val="000000" w:themeColor="text1"/>
          <w:sz w:val="24"/>
          <w:szCs w:val="24"/>
        </w:rPr>
        <w:t xml:space="preserve"> Zhou PC,</w:t>
      </w:r>
      <w:r w:rsidR="004870D6" w:rsidRPr="0050576F">
        <w:rPr>
          <w:rFonts w:ascii="Book Antiqua" w:hAnsi="Book Antiqua"/>
          <w:color w:val="000000" w:themeColor="text1"/>
          <w:sz w:val="24"/>
          <w:szCs w:val="24"/>
        </w:rPr>
        <w:t xml:space="preserve"> Sun LQ</w:t>
      </w:r>
      <w:r w:rsidRPr="0050576F">
        <w:rPr>
          <w:rFonts w:ascii="Book Antiqua" w:hAnsi="Book Antiqua"/>
          <w:color w:val="000000" w:themeColor="text1"/>
          <w:sz w:val="24"/>
          <w:szCs w:val="24"/>
        </w:rPr>
        <w:t xml:space="preserve"> and Shao L contributed to the data analysis and wrote the original draft</w:t>
      </w:r>
      <w:r w:rsidR="00AD0C16" w:rsidRPr="0050576F">
        <w:rPr>
          <w:rFonts w:ascii="Book Antiqua" w:hAnsi="Book Antiqua"/>
          <w:color w:val="000000" w:themeColor="text1"/>
          <w:sz w:val="24"/>
          <w:szCs w:val="24"/>
        </w:rPr>
        <w:t>; a</w:t>
      </w:r>
      <w:r w:rsidRPr="0050576F">
        <w:rPr>
          <w:rFonts w:ascii="Book Antiqua" w:hAnsi="Book Antiqua"/>
          <w:color w:val="000000" w:themeColor="text1"/>
          <w:sz w:val="24"/>
          <w:szCs w:val="24"/>
        </w:rPr>
        <w:t>ll authors have read and approved the manuscript.</w:t>
      </w:r>
    </w:p>
    <w:p w14:paraId="6C1AFE4D" w14:textId="77777777" w:rsidR="00EB3C3C" w:rsidRPr="0050576F" w:rsidRDefault="00EB3C3C" w:rsidP="0050576F">
      <w:pPr>
        <w:snapToGrid w:val="0"/>
        <w:spacing w:line="360" w:lineRule="auto"/>
        <w:rPr>
          <w:rFonts w:ascii="Book Antiqua" w:hAnsi="Book Antiqua"/>
          <w:b/>
          <w:bCs/>
          <w:color w:val="000000" w:themeColor="text1"/>
          <w:sz w:val="24"/>
          <w:szCs w:val="24"/>
        </w:rPr>
      </w:pPr>
    </w:p>
    <w:p w14:paraId="629AC1B6" w14:textId="774C5258" w:rsidR="00D627C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color w:val="000000" w:themeColor="text1"/>
          <w:sz w:val="24"/>
          <w:szCs w:val="24"/>
        </w:rPr>
        <w:t>Supported by</w:t>
      </w:r>
      <w:r w:rsidRPr="0050576F">
        <w:rPr>
          <w:rFonts w:ascii="Book Antiqua" w:hAnsi="Book Antiqua"/>
          <w:color w:val="000000" w:themeColor="text1"/>
          <w:sz w:val="24"/>
          <w:szCs w:val="24"/>
        </w:rPr>
        <w:t xml:space="preserve"> National Natur</w:t>
      </w:r>
      <w:r w:rsidR="00D627CC" w:rsidRPr="0050576F">
        <w:rPr>
          <w:rFonts w:ascii="Book Antiqua" w:hAnsi="Book Antiqua"/>
          <w:color w:val="000000" w:themeColor="text1"/>
          <w:sz w:val="24"/>
          <w:szCs w:val="24"/>
        </w:rPr>
        <w:t xml:space="preserve">al Science Foundation of China, </w:t>
      </w:r>
      <w:r w:rsidRPr="0050576F">
        <w:rPr>
          <w:rFonts w:ascii="Book Antiqua" w:hAnsi="Book Antiqua"/>
          <w:color w:val="000000" w:themeColor="text1"/>
          <w:sz w:val="24"/>
          <w:szCs w:val="24"/>
        </w:rPr>
        <w:t>No.</w:t>
      </w:r>
      <w:r w:rsidR="0017090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81800472</w:t>
      </w:r>
      <w:r w:rsidR="004B17E3" w:rsidRPr="0050576F">
        <w:rPr>
          <w:rFonts w:ascii="Book Antiqua" w:hAnsi="Book Antiqua"/>
          <w:color w:val="000000" w:themeColor="text1"/>
          <w:sz w:val="24"/>
          <w:szCs w:val="24"/>
        </w:rPr>
        <w:t xml:space="preserve"> and </w:t>
      </w:r>
      <w:r w:rsidRPr="0050576F">
        <w:rPr>
          <w:rFonts w:ascii="Book Antiqua" w:hAnsi="Book Antiqua"/>
          <w:color w:val="000000" w:themeColor="text1"/>
          <w:sz w:val="24"/>
          <w:szCs w:val="24"/>
        </w:rPr>
        <w:t>No.</w:t>
      </w:r>
      <w:r w:rsidR="0017090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81670538</w:t>
      </w:r>
      <w:r w:rsidR="00A26EA7">
        <w:rPr>
          <w:rFonts w:ascii="Book Antiqua" w:hAnsi="Book Antiqua"/>
          <w:color w:val="000000" w:themeColor="text1"/>
          <w:sz w:val="24"/>
          <w:szCs w:val="24"/>
        </w:rPr>
        <w:t>;</w:t>
      </w:r>
      <w:r w:rsidR="00D627CC"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the Science Foundation of Hunan Health Commission</w:t>
      </w:r>
      <w:r w:rsidR="004B17E3" w:rsidRPr="0050576F">
        <w:rPr>
          <w:rFonts w:ascii="Book Antiqua" w:hAnsi="Book Antiqua"/>
          <w:color w:val="000000" w:themeColor="text1"/>
          <w:sz w:val="24"/>
          <w:szCs w:val="24"/>
        </w:rPr>
        <w:t>,</w:t>
      </w:r>
      <w:r w:rsidR="0017090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No.</w:t>
      </w:r>
      <w:r w:rsidR="0017090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B2019184.</w:t>
      </w:r>
    </w:p>
    <w:p w14:paraId="66065921" w14:textId="77777777" w:rsidR="00EB3C3C" w:rsidRPr="0050576F" w:rsidRDefault="00EB3C3C" w:rsidP="0050576F">
      <w:pPr>
        <w:snapToGrid w:val="0"/>
        <w:spacing w:line="360" w:lineRule="auto"/>
        <w:rPr>
          <w:rFonts w:ascii="Book Antiqua" w:eastAsia="Book Antiqua" w:hAnsi="Book Antiqua" w:cs="Book Antiqua"/>
          <w:b/>
          <w:color w:val="000000" w:themeColor="text1"/>
          <w:sz w:val="24"/>
          <w:szCs w:val="24"/>
        </w:rPr>
      </w:pPr>
    </w:p>
    <w:p w14:paraId="1C96240D" w14:textId="04DA30E0" w:rsidR="00EA341A"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Book Antiqua" w:hAnsi="Book Antiqua" w:cs="Book Antiqua"/>
          <w:b/>
          <w:color w:val="000000" w:themeColor="text1"/>
          <w:sz w:val="24"/>
          <w:szCs w:val="24"/>
        </w:rPr>
        <w:t xml:space="preserve">Corresponding author: </w:t>
      </w:r>
      <w:r w:rsidRPr="0050576F">
        <w:rPr>
          <w:rFonts w:ascii="Book Antiqua" w:hAnsi="Book Antiqua"/>
          <w:b/>
          <w:color w:val="000000" w:themeColor="text1"/>
          <w:sz w:val="24"/>
          <w:szCs w:val="24"/>
        </w:rPr>
        <w:t>Xue-Gong Fan</w:t>
      </w:r>
      <w:r w:rsidR="00F41AA1" w:rsidRPr="0050576F">
        <w:rPr>
          <w:rFonts w:ascii="Book Antiqua" w:hAnsi="Book Antiqua"/>
          <w:b/>
          <w:color w:val="000000" w:themeColor="text1"/>
          <w:sz w:val="24"/>
          <w:szCs w:val="24"/>
        </w:rPr>
        <w:t>,</w:t>
      </w:r>
      <w:r w:rsidR="004870D6" w:rsidRPr="0050576F" w:rsidDel="004870D6">
        <w:rPr>
          <w:rFonts w:ascii="Book Antiqua" w:hAnsi="Book Antiqua"/>
          <w:b/>
          <w:color w:val="000000" w:themeColor="text1"/>
          <w:sz w:val="24"/>
          <w:szCs w:val="24"/>
        </w:rPr>
        <w:t xml:space="preserve"> </w:t>
      </w:r>
      <w:r w:rsidR="004B17E3" w:rsidRPr="0050576F">
        <w:rPr>
          <w:rFonts w:ascii="Book Antiqua" w:hAnsi="Book Antiqua"/>
          <w:b/>
          <w:color w:val="000000" w:themeColor="text1"/>
          <w:sz w:val="24"/>
          <w:szCs w:val="24"/>
        </w:rPr>
        <w:t xml:space="preserve">MD, PhD, </w:t>
      </w:r>
      <w:r w:rsidRPr="0050576F">
        <w:rPr>
          <w:rFonts w:ascii="Book Antiqua" w:hAnsi="Book Antiqua"/>
          <w:b/>
          <w:color w:val="000000" w:themeColor="text1"/>
          <w:sz w:val="24"/>
          <w:szCs w:val="24"/>
        </w:rPr>
        <w:t>Professor,</w:t>
      </w:r>
      <w:r w:rsidR="009D7F63" w:rsidRPr="0050576F">
        <w:rPr>
          <w:rFonts w:ascii="Book Antiqua" w:hAnsi="Book Antiqua"/>
          <w:b/>
          <w:color w:val="000000" w:themeColor="text1"/>
          <w:sz w:val="24"/>
          <w:szCs w:val="24"/>
        </w:rPr>
        <w:t xml:space="preserve"> </w:t>
      </w:r>
      <w:r w:rsidR="00D95891" w:rsidRPr="00531E02">
        <w:rPr>
          <w:rFonts w:ascii="Book Antiqua" w:hAnsi="Book Antiqua"/>
          <w:color w:val="000000" w:themeColor="text1"/>
          <w:sz w:val="24"/>
          <w:szCs w:val="24"/>
        </w:rPr>
        <w:t>Hunan Key Laboratory of Viral Hepatitis and Department of Infectious Diseases, Xiangya Hospital, Central South University,</w:t>
      </w:r>
      <w:r w:rsidR="00CD27EF" w:rsidRPr="00531E02">
        <w:rPr>
          <w:rFonts w:ascii="Book Antiqua" w:hAnsi="Book Antiqua"/>
          <w:color w:val="000000" w:themeColor="text1"/>
          <w:sz w:val="24"/>
          <w:szCs w:val="24"/>
        </w:rPr>
        <w:t xml:space="preserve"> </w:t>
      </w:r>
      <w:bookmarkStart w:id="15" w:name="OLE_LINK5"/>
      <w:bookmarkStart w:id="16" w:name="OLE_LINK6"/>
      <w:r w:rsidR="00E95378" w:rsidRPr="0050576F">
        <w:rPr>
          <w:rFonts w:ascii="Book Antiqua" w:hAnsi="Book Antiqua"/>
          <w:color w:val="000000" w:themeColor="text1"/>
          <w:sz w:val="24"/>
          <w:szCs w:val="24"/>
        </w:rPr>
        <w:t xml:space="preserve">No. </w:t>
      </w:r>
      <w:r w:rsidR="00CD27EF" w:rsidRPr="0050576F">
        <w:rPr>
          <w:rFonts w:ascii="Book Antiqua" w:hAnsi="Book Antiqua"/>
          <w:color w:val="000000" w:themeColor="text1"/>
          <w:sz w:val="24"/>
          <w:szCs w:val="24"/>
        </w:rPr>
        <w:t>87</w:t>
      </w:r>
      <w:r w:rsidR="00A26EA7">
        <w:rPr>
          <w:rFonts w:ascii="Book Antiqua" w:hAnsi="Book Antiqua"/>
          <w:color w:val="000000" w:themeColor="text1"/>
          <w:sz w:val="24"/>
          <w:szCs w:val="24"/>
        </w:rPr>
        <w:t xml:space="preserve"> </w:t>
      </w:r>
      <w:r w:rsidR="00CD27EF" w:rsidRPr="0050576F">
        <w:rPr>
          <w:rFonts w:ascii="Book Antiqua" w:hAnsi="Book Antiqua"/>
          <w:color w:val="000000" w:themeColor="text1"/>
          <w:sz w:val="24"/>
          <w:szCs w:val="24"/>
        </w:rPr>
        <w:t>Xiangya Road</w:t>
      </w:r>
      <w:bookmarkEnd w:id="15"/>
      <w:bookmarkEnd w:id="16"/>
      <w:r w:rsidR="00CD27EF" w:rsidRPr="0050576F">
        <w:rPr>
          <w:rFonts w:ascii="Book Antiqua" w:hAnsi="Book Antiqua"/>
          <w:color w:val="000000" w:themeColor="text1"/>
          <w:sz w:val="24"/>
          <w:szCs w:val="24"/>
        </w:rPr>
        <w:t xml:space="preserve">, Changsha 410008, Hunan </w:t>
      </w:r>
      <w:r w:rsidR="00CD27EF" w:rsidRPr="0048517B">
        <w:rPr>
          <w:rFonts w:ascii="Book Antiqua" w:hAnsi="Book Antiqua"/>
          <w:caps/>
          <w:color w:val="000000" w:themeColor="text1"/>
          <w:sz w:val="24"/>
          <w:szCs w:val="24"/>
        </w:rPr>
        <w:t>p</w:t>
      </w:r>
      <w:r w:rsidR="00CD27EF" w:rsidRPr="0050576F">
        <w:rPr>
          <w:rFonts w:ascii="Book Antiqua" w:hAnsi="Book Antiqua"/>
          <w:color w:val="000000" w:themeColor="text1"/>
          <w:sz w:val="24"/>
          <w:szCs w:val="24"/>
        </w:rPr>
        <w:t xml:space="preserve">rovince, China. </w:t>
      </w:r>
      <w:r w:rsidR="00CD27EF" w:rsidRPr="0050576F">
        <w:rPr>
          <w:rFonts w:ascii="Book Antiqua" w:hAnsi="Book Antiqua"/>
          <w:color w:val="000000" w:themeColor="text1"/>
          <w:sz w:val="24"/>
          <w:szCs w:val="24"/>
          <w:u w:val="single"/>
        </w:rPr>
        <w:t>xgfan@hotmail.com</w:t>
      </w:r>
    </w:p>
    <w:p w14:paraId="303EDDEC" w14:textId="77777777" w:rsidR="0017090D" w:rsidRPr="0050576F" w:rsidRDefault="0017090D" w:rsidP="0050576F">
      <w:pPr>
        <w:snapToGrid w:val="0"/>
        <w:spacing w:line="360" w:lineRule="auto"/>
        <w:rPr>
          <w:rFonts w:ascii="Book Antiqua" w:hAnsi="Book Antiqua"/>
          <w:b/>
          <w:color w:val="000000" w:themeColor="text1"/>
          <w:sz w:val="24"/>
          <w:szCs w:val="24"/>
        </w:rPr>
      </w:pPr>
    </w:p>
    <w:p w14:paraId="46F1D120" w14:textId="77777777" w:rsidR="00EA341A" w:rsidRPr="0050576F" w:rsidRDefault="00EA341A"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 xml:space="preserve">Received: </w:t>
      </w:r>
      <w:r w:rsidRPr="0050576F">
        <w:rPr>
          <w:rFonts w:ascii="Book Antiqua" w:hAnsi="Book Antiqua"/>
          <w:color w:val="000000" w:themeColor="text1"/>
          <w:sz w:val="24"/>
          <w:szCs w:val="24"/>
        </w:rPr>
        <w:t>March 19, 2020</w:t>
      </w:r>
    </w:p>
    <w:p w14:paraId="45F0A0A0" w14:textId="77777777" w:rsidR="00EA341A" w:rsidRPr="0050576F" w:rsidRDefault="00EA341A"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 xml:space="preserve">Revised: </w:t>
      </w:r>
      <w:r w:rsidRPr="0050576F">
        <w:rPr>
          <w:rFonts w:ascii="Book Antiqua" w:hAnsi="Book Antiqua"/>
          <w:color w:val="000000" w:themeColor="text1"/>
          <w:sz w:val="24"/>
          <w:szCs w:val="24"/>
        </w:rPr>
        <w:t>May 27, 2020</w:t>
      </w:r>
    </w:p>
    <w:p w14:paraId="3B4EF876" w14:textId="3D4D2C11" w:rsidR="00EA341A" w:rsidRPr="00BA45E4" w:rsidRDefault="00EA341A" w:rsidP="0050576F">
      <w:pPr>
        <w:snapToGrid w:val="0"/>
        <w:spacing w:line="360" w:lineRule="auto"/>
        <w:rPr>
          <w:rFonts w:ascii="Book Antiqua" w:hAnsi="Book Antiqua" w:cs="Arial"/>
          <w:color w:val="000000" w:themeColor="text1"/>
          <w:sz w:val="24"/>
          <w:szCs w:val="24"/>
          <w:shd w:val="clear" w:color="auto" w:fill="FFFFFF"/>
        </w:rPr>
      </w:pPr>
      <w:r w:rsidRPr="0050576F">
        <w:rPr>
          <w:rFonts w:ascii="Book Antiqua" w:hAnsi="Book Antiqua"/>
          <w:b/>
          <w:color w:val="000000" w:themeColor="text1"/>
          <w:sz w:val="24"/>
          <w:szCs w:val="24"/>
        </w:rPr>
        <w:t>Accepted:</w:t>
      </w:r>
      <w:r w:rsidR="00BA45E4" w:rsidRPr="00BA45E4">
        <w:rPr>
          <w:rFonts w:ascii="Book Antiqua" w:hAnsi="Book Antiqua" w:cs="Arial"/>
          <w:color w:val="000000" w:themeColor="text1"/>
          <w:sz w:val="24"/>
          <w:szCs w:val="24"/>
          <w:shd w:val="clear" w:color="auto" w:fill="FFFFFF"/>
        </w:rPr>
        <w:t xml:space="preserve"> </w:t>
      </w:r>
      <w:r w:rsidR="00BA45E4">
        <w:rPr>
          <w:rFonts w:ascii="Book Antiqua" w:hAnsi="Book Antiqua" w:cs="Arial"/>
          <w:color w:val="000000" w:themeColor="text1"/>
          <w:sz w:val="24"/>
          <w:szCs w:val="24"/>
          <w:shd w:val="clear" w:color="auto" w:fill="FFFFFF"/>
        </w:rPr>
        <w:t>July 22, 2020</w:t>
      </w:r>
      <w:r w:rsidRPr="0050576F">
        <w:rPr>
          <w:rFonts w:ascii="Book Antiqua" w:hAnsi="Book Antiqua"/>
          <w:b/>
          <w:color w:val="000000" w:themeColor="text1"/>
          <w:sz w:val="24"/>
          <w:szCs w:val="24"/>
        </w:rPr>
        <w:t xml:space="preserve"> </w:t>
      </w:r>
    </w:p>
    <w:p w14:paraId="2869669E" w14:textId="1486DCAF" w:rsidR="0006777F" w:rsidRPr="0050576F" w:rsidRDefault="00EA341A"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Published online:</w:t>
      </w:r>
      <w:r w:rsidR="00C422CD" w:rsidRPr="00C422CD">
        <w:rPr>
          <w:rFonts w:ascii="Book Antiqua" w:eastAsia="Book Antiqua" w:hAnsi="Book Antiqua" w:cs="Book Antiqua"/>
          <w:bCs/>
          <w:color w:val="000000"/>
          <w:sz w:val="24"/>
          <w:szCs w:val="24"/>
        </w:rPr>
        <w:t xml:space="preserve"> August 21</w:t>
      </w:r>
      <w:r w:rsidR="00C422CD" w:rsidRPr="00C422CD">
        <w:rPr>
          <w:rFonts w:ascii="Book Antiqua" w:hAnsi="Book Antiqua" w:cs="Book Antiqua" w:hint="eastAsia"/>
          <w:bCs/>
          <w:color w:val="000000"/>
          <w:sz w:val="24"/>
          <w:szCs w:val="24"/>
        </w:rPr>
        <w:t>, 2020</w:t>
      </w:r>
    </w:p>
    <w:p w14:paraId="0B0515BA" w14:textId="77777777" w:rsidR="00CD27EF" w:rsidRPr="0050576F" w:rsidRDefault="00CD27EF" w:rsidP="0050576F">
      <w:pPr>
        <w:widowControl/>
        <w:snapToGrid w:val="0"/>
        <w:spacing w:line="360" w:lineRule="auto"/>
        <w:rPr>
          <w:rFonts w:ascii="Book Antiqua" w:hAnsi="Book Antiqua"/>
          <w:b/>
          <w:color w:val="000000" w:themeColor="text1"/>
          <w:kern w:val="0"/>
          <w:sz w:val="24"/>
          <w:szCs w:val="24"/>
        </w:rPr>
      </w:pPr>
      <w:r w:rsidRPr="0050576F">
        <w:rPr>
          <w:rFonts w:ascii="Book Antiqua" w:hAnsi="Book Antiqua"/>
          <w:b/>
          <w:color w:val="000000" w:themeColor="text1"/>
          <w:kern w:val="0"/>
          <w:sz w:val="24"/>
          <w:szCs w:val="24"/>
        </w:rPr>
        <w:br w:type="page"/>
      </w:r>
    </w:p>
    <w:p w14:paraId="08F194A4" w14:textId="72503B6F" w:rsidR="00EB3C3C" w:rsidRPr="0050576F" w:rsidRDefault="00730055" w:rsidP="0050576F">
      <w:pPr>
        <w:snapToGrid w:val="0"/>
        <w:spacing w:line="360" w:lineRule="auto"/>
        <w:rPr>
          <w:rFonts w:ascii="Book Antiqua" w:hAnsi="Book Antiqua"/>
          <w:b/>
          <w:color w:val="000000" w:themeColor="text1"/>
          <w:kern w:val="0"/>
          <w:sz w:val="24"/>
          <w:szCs w:val="24"/>
        </w:rPr>
      </w:pPr>
      <w:r w:rsidRPr="0050576F">
        <w:rPr>
          <w:rFonts w:ascii="Book Antiqua" w:hAnsi="Book Antiqua"/>
          <w:b/>
          <w:color w:val="000000" w:themeColor="text1"/>
          <w:kern w:val="0"/>
          <w:sz w:val="24"/>
          <w:szCs w:val="24"/>
        </w:rPr>
        <w:lastRenderedPageBreak/>
        <w:t>Abstract</w:t>
      </w:r>
    </w:p>
    <w:p w14:paraId="36DFFEEB" w14:textId="77777777" w:rsidR="00EB3C3C" w:rsidRPr="0050576F" w:rsidRDefault="00730055" w:rsidP="0050576F">
      <w:pPr>
        <w:snapToGrid w:val="0"/>
        <w:spacing w:line="360" w:lineRule="auto"/>
        <w:rPr>
          <w:rFonts w:ascii="Book Antiqua" w:hAnsi="Book Antiqua" w:cs="宋体"/>
          <w:color w:val="000000" w:themeColor="text1"/>
          <w:sz w:val="24"/>
          <w:szCs w:val="24"/>
        </w:rPr>
      </w:pPr>
      <w:r w:rsidRPr="0050576F">
        <w:rPr>
          <w:rFonts w:ascii="Book Antiqua" w:eastAsia="Book Antiqua" w:hAnsi="Book Antiqua" w:cs="Book Antiqua"/>
          <w:color w:val="000000" w:themeColor="text1"/>
          <w:sz w:val="24"/>
          <w:szCs w:val="24"/>
        </w:rPr>
        <w:t>BACKGROUND</w:t>
      </w:r>
    </w:p>
    <w:p w14:paraId="4A433EB5" w14:textId="4191C75C"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Early diagnosis of hepatocellular carcinoma may help </w:t>
      </w:r>
      <w:r w:rsidR="00C7192D">
        <w:rPr>
          <w:rFonts w:ascii="Book Antiqua" w:hAnsi="Book Antiqua"/>
          <w:color w:val="000000" w:themeColor="text1"/>
          <w:sz w:val="24"/>
          <w:szCs w:val="24"/>
        </w:rPr>
        <w:t xml:space="preserve">to </w:t>
      </w:r>
      <w:r w:rsidRPr="0050576F">
        <w:rPr>
          <w:rFonts w:ascii="Book Antiqua" w:hAnsi="Book Antiqua"/>
          <w:color w:val="000000" w:themeColor="text1"/>
          <w:sz w:val="24"/>
          <w:szCs w:val="24"/>
        </w:rPr>
        <w:t xml:space="preserve">ensure </w:t>
      </w:r>
      <w:r w:rsidR="00C7192D">
        <w:rPr>
          <w:rFonts w:ascii="Book Antiqua" w:hAnsi="Book Antiqua"/>
          <w:color w:val="000000" w:themeColor="text1"/>
          <w:sz w:val="24"/>
          <w:szCs w:val="24"/>
        </w:rPr>
        <w:t xml:space="preserve">that </w:t>
      </w:r>
      <w:r w:rsidRPr="0050576F">
        <w:rPr>
          <w:rFonts w:ascii="Book Antiqua" w:hAnsi="Book Antiqua"/>
          <w:color w:val="000000" w:themeColor="text1"/>
          <w:sz w:val="24"/>
          <w:szCs w:val="24"/>
        </w:rPr>
        <w:t>patients have a chance for long-term survival</w:t>
      </w:r>
      <w:r w:rsidRPr="0050576F">
        <w:rPr>
          <w:rFonts w:ascii="Book Antiqua" w:eastAsia="MS Mincho" w:hAnsi="Book Antiqua"/>
          <w:color w:val="000000" w:themeColor="text1"/>
          <w:sz w:val="24"/>
          <w:szCs w:val="24"/>
          <w:lang w:eastAsia="ja-JP"/>
        </w:rPr>
        <w:t>;</w:t>
      </w:r>
      <w:r w:rsidR="00CD27EF" w:rsidRPr="0050576F">
        <w:rPr>
          <w:rFonts w:ascii="Book Antiqua" w:eastAsia="MS Mincho" w:hAnsi="Book Antiqua"/>
          <w:color w:val="000000" w:themeColor="text1"/>
          <w:sz w:val="24"/>
          <w:szCs w:val="24"/>
          <w:lang w:eastAsia="ja-JP"/>
        </w:rPr>
        <w:t xml:space="preserve"> </w:t>
      </w:r>
      <w:r w:rsidRPr="0050576F">
        <w:rPr>
          <w:rFonts w:ascii="Book Antiqua" w:eastAsia="MS Mincho" w:hAnsi="Book Antiqua"/>
          <w:color w:val="000000" w:themeColor="text1"/>
          <w:sz w:val="24"/>
          <w:szCs w:val="24"/>
          <w:lang w:eastAsia="ja-JP"/>
        </w:rPr>
        <w:t>h</w:t>
      </w:r>
      <w:r w:rsidRPr="0050576F">
        <w:rPr>
          <w:rFonts w:ascii="Book Antiqua" w:hAnsi="Book Antiqua"/>
          <w:color w:val="000000" w:themeColor="text1"/>
          <w:sz w:val="24"/>
          <w:szCs w:val="24"/>
        </w:rPr>
        <w:t xml:space="preserve">owever, </w:t>
      </w:r>
      <w:r w:rsidR="00B570DA">
        <w:rPr>
          <w:rFonts w:ascii="Book Antiqua" w:hAnsi="Book Antiqua"/>
          <w:color w:val="000000" w:themeColor="text1"/>
          <w:sz w:val="24"/>
          <w:szCs w:val="24"/>
        </w:rPr>
        <w:t>currently</w:t>
      </w:r>
      <w:r w:rsidRPr="0050576F">
        <w:rPr>
          <w:rFonts w:ascii="Book Antiqua" w:hAnsi="Book Antiqua"/>
          <w:color w:val="000000" w:themeColor="text1"/>
          <w:sz w:val="24"/>
          <w:szCs w:val="24"/>
        </w:rPr>
        <w:t xml:space="preserve"> available biomarkers la</w:t>
      </w:r>
      <w:r w:rsidR="004B17E3" w:rsidRPr="0050576F">
        <w:rPr>
          <w:rFonts w:ascii="Book Antiqua" w:hAnsi="Book Antiqua"/>
          <w:color w:val="000000" w:themeColor="text1"/>
          <w:sz w:val="24"/>
          <w:szCs w:val="24"/>
        </w:rPr>
        <w:t>ck sensitivity and specificity.</w:t>
      </w:r>
    </w:p>
    <w:p w14:paraId="103B98DC" w14:textId="77777777" w:rsidR="00CD27EF" w:rsidRPr="0050576F" w:rsidRDefault="00CD27EF" w:rsidP="0050576F">
      <w:pPr>
        <w:snapToGrid w:val="0"/>
        <w:spacing w:line="360" w:lineRule="auto"/>
        <w:rPr>
          <w:rFonts w:ascii="Book Antiqua" w:hAnsi="Book Antiqua"/>
          <w:color w:val="000000" w:themeColor="text1"/>
          <w:sz w:val="24"/>
          <w:szCs w:val="24"/>
        </w:rPr>
      </w:pPr>
    </w:p>
    <w:p w14:paraId="10C98E95" w14:textId="23EF8FCB" w:rsidR="00EB3C3C" w:rsidRPr="0050576F" w:rsidRDefault="004B17E3" w:rsidP="0050576F">
      <w:pPr>
        <w:snapToGrid w:val="0"/>
        <w:spacing w:line="360" w:lineRule="auto"/>
        <w:rPr>
          <w:rFonts w:ascii="Book Antiqua" w:eastAsia="Book Antiqua" w:hAnsi="Book Antiqua" w:cs="Book Antiqua"/>
          <w:color w:val="000000" w:themeColor="text1"/>
          <w:sz w:val="24"/>
          <w:szCs w:val="24"/>
        </w:rPr>
      </w:pPr>
      <w:r w:rsidRPr="0050576F">
        <w:rPr>
          <w:rFonts w:ascii="Book Antiqua" w:eastAsia="Book Antiqua" w:hAnsi="Book Antiqua" w:cs="Book Antiqua"/>
          <w:color w:val="000000" w:themeColor="text1"/>
          <w:sz w:val="24"/>
          <w:szCs w:val="24"/>
        </w:rPr>
        <w:t>AIM</w:t>
      </w:r>
    </w:p>
    <w:p w14:paraId="1F6FA207" w14:textId="1A469131"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To characterize the serum metabolome of hepatocellular carcinoma </w:t>
      </w:r>
      <w:r w:rsidR="00B570DA">
        <w:rPr>
          <w:rFonts w:ascii="Book Antiqua" w:hAnsi="Book Antiqua"/>
          <w:color w:val="000000" w:themeColor="text1"/>
          <w:sz w:val="24"/>
          <w:szCs w:val="24"/>
        </w:rPr>
        <w:t>in order to</w:t>
      </w:r>
      <w:r w:rsidRPr="0050576F">
        <w:rPr>
          <w:rFonts w:ascii="Book Antiqua" w:hAnsi="Book Antiqua"/>
          <w:color w:val="000000" w:themeColor="text1"/>
          <w:sz w:val="24"/>
          <w:szCs w:val="24"/>
        </w:rPr>
        <w:t xml:space="preserve"> develop a new metabolomics diagnos</w:t>
      </w:r>
      <w:r w:rsidR="00C7192D">
        <w:rPr>
          <w:rFonts w:ascii="Book Antiqua" w:hAnsi="Book Antiqua"/>
          <w:color w:val="000000" w:themeColor="text1"/>
          <w:sz w:val="24"/>
          <w:szCs w:val="24"/>
        </w:rPr>
        <w:t>tic</w:t>
      </w:r>
      <w:r w:rsidRPr="0050576F">
        <w:rPr>
          <w:rFonts w:ascii="Book Antiqua" w:hAnsi="Book Antiqua"/>
          <w:color w:val="000000" w:themeColor="text1"/>
          <w:sz w:val="24"/>
          <w:szCs w:val="24"/>
        </w:rPr>
        <w:t xml:space="preserve"> model and identify</w:t>
      </w:r>
      <w:r w:rsidRPr="0050576F">
        <w:rPr>
          <w:rFonts w:ascii="Book Antiqua" w:eastAsia="MS Mincho" w:hAnsi="Book Antiqua"/>
          <w:color w:val="000000" w:themeColor="text1"/>
          <w:sz w:val="24"/>
          <w:szCs w:val="24"/>
          <w:lang w:eastAsia="ja-JP"/>
        </w:rPr>
        <w:t>ing</w:t>
      </w:r>
      <w:r w:rsidRPr="0050576F">
        <w:rPr>
          <w:rFonts w:ascii="Book Antiqua" w:hAnsi="Book Antiqua"/>
          <w:color w:val="000000" w:themeColor="text1"/>
          <w:sz w:val="24"/>
          <w:szCs w:val="24"/>
        </w:rPr>
        <w:t xml:space="preserve"> novel biomarkers for screening hepatocellular carcinoma based</w:t>
      </w:r>
      <w:r w:rsidR="004B17E3" w:rsidRPr="0050576F">
        <w:rPr>
          <w:rFonts w:ascii="Book Antiqua" w:hAnsi="Book Antiqua"/>
          <w:color w:val="000000" w:themeColor="text1"/>
          <w:sz w:val="24"/>
          <w:szCs w:val="24"/>
        </w:rPr>
        <w:t xml:space="preserve"> on </w:t>
      </w:r>
      <w:r w:rsidR="00B570DA">
        <w:rPr>
          <w:rFonts w:ascii="Book Antiqua" w:hAnsi="Book Antiqua"/>
          <w:color w:val="000000" w:themeColor="text1"/>
          <w:sz w:val="24"/>
          <w:szCs w:val="24"/>
        </w:rPr>
        <w:t xml:space="preserve">the </w:t>
      </w:r>
      <w:r w:rsidR="004B17E3" w:rsidRPr="0050576F">
        <w:rPr>
          <w:rFonts w:ascii="Book Antiqua" w:hAnsi="Book Antiqua"/>
          <w:color w:val="000000" w:themeColor="text1"/>
          <w:sz w:val="24"/>
          <w:szCs w:val="24"/>
        </w:rPr>
        <w:t>pattern recognition method.</w:t>
      </w:r>
    </w:p>
    <w:p w14:paraId="577ECEAE" w14:textId="77777777" w:rsidR="00CD27EF" w:rsidRPr="0050576F" w:rsidRDefault="00CD27EF" w:rsidP="0050576F">
      <w:pPr>
        <w:snapToGrid w:val="0"/>
        <w:spacing w:line="360" w:lineRule="auto"/>
        <w:rPr>
          <w:rFonts w:ascii="Book Antiqua" w:hAnsi="Book Antiqua"/>
          <w:color w:val="000000" w:themeColor="text1"/>
          <w:sz w:val="24"/>
          <w:szCs w:val="24"/>
        </w:rPr>
      </w:pPr>
    </w:p>
    <w:p w14:paraId="18A7AD5A" w14:textId="77777777"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Book Antiqua" w:hAnsi="Book Antiqua" w:cs="Book Antiqua"/>
          <w:color w:val="000000" w:themeColor="text1"/>
          <w:sz w:val="24"/>
          <w:szCs w:val="24"/>
        </w:rPr>
        <w:t>METHODS</w:t>
      </w:r>
    </w:p>
    <w:p w14:paraId="73B2221F" w14:textId="75C16867"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Ultra-performance liquid chromatography-mass spectroscopy was used to characterize the serum metabolome of hepatocellular carcinoma (</w:t>
      </w:r>
      <w:r w:rsidR="00CD27EF" w:rsidRPr="0050576F">
        <w:rPr>
          <w:rFonts w:ascii="Book Antiqua" w:hAnsi="Book Antiqua"/>
          <w:i/>
          <w:iCs/>
          <w:color w:val="000000" w:themeColor="text1"/>
          <w:sz w:val="24"/>
          <w:szCs w:val="24"/>
        </w:rPr>
        <w:t xml:space="preserve">n </w:t>
      </w:r>
      <w:r w:rsidRPr="0050576F">
        <w:rPr>
          <w:rFonts w:ascii="Book Antiqua" w:hAnsi="Book Antiqua"/>
          <w:color w:val="000000" w:themeColor="text1"/>
          <w:sz w:val="24"/>
          <w:szCs w:val="24"/>
        </w:rPr>
        <w:t>=</w:t>
      </w:r>
      <w:r w:rsidR="00CD27EF"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30)</w:t>
      </w:r>
      <w:r w:rsidRPr="0050576F">
        <w:rPr>
          <w:rFonts w:ascii="Book Antiqua" w:eastAsia="MS Mincho" w:hAnsi="Book Antiqua"/>
          <w:color w:val="000000" w:themeColor="text1"/>
          <w:sz w:val="24"/>
          <w:szCs w:val="24"/>
          <w:lang w:eastAsia="ja-JP"/>
        </w:rPr>
        <w:t xml:space="preserve"> and</w:t>
      </w:r>
      <w:r w:rsidRPr="0050576F">
        <w:rPr>
          <w:rFonts w:ascii="Book Antiqua" w:hAnsi="Book Antiqua"/>
          <w:color w:val="000000" w:themeColor="text1"/>
          <w:sz w:val="24"/>
          <w:szCs w:val="24"/>
        </w:rPr>
        <w:t xml:space="preserve"> cirrhosis (</w:t>
      </w:r>
      <w:r w:rsidR="00CD27EF" w:rsidRPr="0050576F">
        <w:rPr>
          <w:rFonts w:ascii="Book Antiqua" w:hAnsi="Book Antiqua"/>
          <w:i/>
          <w:iCs/>
          <w:color w:val="000000" w:themeColor="text1"/>
          <w:sz w:val="24"/>
          <w:szCs w:val="24"/>
        </w:rPr>
        <w:t xml:space="preserve">n </w:t>
      </w:r>
      <w:r w:rsidRPr="0050576F">
        <w:rPr>
          <w:rFonts w:ascii="Book Antiqua" w:hAnsi="Book Antiqua"/>
          <w:color w:val="000000" w:themeColor="text1"/>
          <w:sz w:val="24"/>
          <w:szCs w:val="24"/>
        </w:rPr>
        <w:t>=</w:t>
      </w:r>
      <w:r w:rsidR="00CD27EF"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29)</w:t>
      </w:r>
      <w:r w:rsidR="004B17E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patients, followed by sequential feature selection combined with linear discriminant analysis to process the multivariate data.</w:t>
      </w:r>
    </w:p>
    <w:p w14:paraId="1227A54C" w14:textId="77777777" w:rsidR="00CD27EF" w:rsidRPr="0050576F" w:rsidRDefault="00CD27EF" w:rsidP="0050576F">
      <w:pPr>
        <w:snapToGrid w:val="0"/>
        <w:spacing w:line="360" w:lineRule="auto"/>
        <w:rPr>
          <w:rFonts w:ascii="Book Antiqua" w:eastAsia="MS Mincho" w:hAnsi="Book Antiqua"/>
          <w:color w:val="000000" w:themeColor="text1"/>
          <w:sz w:val="24"/>
          <w:szCs w:val="24"/>
          <w:lang w:eastAsia="ja-JP"/>
        </w:rPr>
      </w:pPr>
    </w:p>
    <w:p w14:paraId="13D3E398" w14:textId="77777777" w:rsidR="00EB3C3C" w:rsidRPr="0050576F" w:rsidRDefault="00730055" w:rsidP="0050576F">
      <w:pPr>
        <w:snapToGrid w:val="0"/>
        <w:spacing w:line="360" w:lineRule="auto"/>
        <w:rPr>
          <w:rFonts w:ascii="Book Antiqua" w:eastAsia="MS Mincho" w:hAnsi="Book Antiqua"/>
          <w:color w:val="000000" w:themeColor="text1"/>
          <w:sz w:val="24"/>
          <w:szCs w:val="24"/>
          <w:lang w:eastAsia="ja-JP"/>
        </w:rPr>
      </w:pPr>
      <w:r w:rsidRPr="0050576F">
        <w:rPr>
          <w:rFonts w:ascii="Book Antiqua" w:eastAsia="Book Antiqua" w:hAnsi="Book Antiqua" w:cs="Book Antiqua"/>
          <w:color w:val="000000" w:themeColor="text1"/>
          <w:sz w:val="24"/>
          <w:szCs w:val="24"/>
        </w:rPr>
        <w:t>RESULTS</w:t>
      </w:r>
    </w:p>
    <w:p w14:paraId="42CEFA16" w14:textId="3D64F45F"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MS Mincho" w:hAnsi="Book Antiqua"/>
          <w:color w:val="000000" w:themeColor="text1"/>
          <w:sz w:val="24"/>
          <w:szCs w:val="24"/>
          <w:lang w:eastAsia="ja-JP"/>
        </w:rPr>
        <w:t>The c</w:t>
      </w:r>
      <w:r w:rsidRPr="0050576F">
        <w:rPr>
          <w:rFonts w:ascii="Book Antiqua" w:hAnsi="Book Antiqua"/>
          <w:color w:val="000000" w:themeColor="text1"/>
          <w:sz w:val="24"/>
          <w:szCs w:val="24"/>
        </w:rPr>
        <w:t xml:space="preserve">oncentrations of most metabolites, including proline, were lower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hepatocellular carcinoma</w:t>
      </w:r>
      <w:r w:rsidRPr="0050576F">
        <w:rPr>
          <w:rFonts w:ascii="Book Antiqua" w:eastAsia="MS Mincho" w:hAnsi="Book Antiqua"/>
          <w:color w:val="000000" w:themeColor="text1"/>
          <w:sz w:val="24"/>
          <w:szCs w:val="24"/>
          <w:lang w:eastAsia="ja-JP"/>
        </w:rPr>
        <w:t>,</w:t>
      </w:r>
      <w:r w:rsidR="004B17E3" w:rsidRPr="0050576F">
        <w:rPr>
          <w:rFonts w:ascii="Book Antiqua" w:eastAsia="MS Mincho" w:hAnsi="Book Antiqua"/>
          <w:color w:val="000000" w:themeColor="text1"/>
          <w:sz w:val="24"/>
          <w:szCs w:val="24"/>
          <w:lang w:eastAsia="ja-JP"/>
        </w:rPr>
        <w:t xml:space="preserve"> </w:t>
      </w:r>
      <w:r w:rsidRPr="0050576F">
        <w:rPr>
          <w:rFonts w:ascii="Book Antiqua" w:eastAsia="MS Mincho" w:hAnsi="Book Antiqua"/>
          <w:color w:val="000000" w:themeColor="text1"/>
          <w:sz w:val="24"/>
          <w:szCs w:val="24"/>
          <w:lang w:eastAsia="ja-JP"/>
        </w:rPr>
        <w:t xml:space="preserve">whereas the </w:t>
      </w:r>
      <w:r w:rsidRPr="0050576F">
        <w:rPr>
          <w:rFonts w:ascii="Book Antiqua" w:hAnsi="Book Antiqua"/>
          <w:color w:val="000000" w:themeColor="text1"/>
          <w:sz w:val="24"/>
          <w:szCs w:val="24"/>
        </w:rPr>
        <w:t xml:space="preserve">hydroxypurine levels were higher in </w:t>
      </w:r>
      <w:r w:rsidRPr="0050576F">
        <w:rPr>
          <w:rFonts w:ascii="Book Antiqua" w:eastAsia="MS Mincho" w:hAnsi="Book Antiqua"/>
          <w:color w:val="000000" w:themeColor="text1"/>
          <w:sz w:val="24"/>
          <w:szCs w:val="24"/>
          <w:lang w:eastAsia="ja-JP"/>
        </w:rPr>
        <w:t>the</w:t>
      </w:r>
      <w:r w:rsidR="00B570DA">
        <w:rPr>
          <w:rFonts w:ascii="Book Antiqua" w:eastAsia="MS Mincho" w:hAnsi="Book Antiqua"/>
          <w:color w:val="000000" w:themeColor="text1"/>
          <w:sz w:val="24"/>
          <w:szCs w:val="24"/>
          <w:lang w:eastAsia="ja-JP"/>
        </w:rPr>
        <w:t>se patients</w:t>
      </w:r>
      <w:r w:rsidRPr="0050576F">
        <w:rPr>
          <w:rFonts w:ascii="Book Antiqua" w:hAnsi="Book Antiqua"/>
          <w:color w:val="000000" w:themeColor="text1"/>
          <w:sz w:val="24"/>
          <w:szCs w:val="24"/>
        </w:rPr>
        <w:t xml:space="preserve">. </w:t>
      </w:r>
      <w:r w:rsidR="00B570DA">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ordinary analysis models failed to discriminate hepatocellular carcinoma from cirrhosis, pattern recognition analysis was used to establish a pattern recognition model that included hydroxypurine and proline. The leave-one-out cross-validation accuracy and area under </w:t>
      </w:r>
      <w:r w:rsidR="00B570DA">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receiver operating characteristic curve</w:t>
      </w:r>
      <w:r w:rsidRPr="0050576F">
        <w:rPr>
          <w:rFonts w:ascii="Book Antiqua" w:eastAsia="MS Mincho" w:hAnsi="Book Antiqua"/>
          <w:color w:val="000000" w:themeColor="text1"/>
          <w:sz w:val="24"/>
          <w:szCs w:val="24"/>
          <w:lang w:eastAsia="ja-JP"/>
        </w:rPr>
        <w:t xml:space="preserve"> analysis</w:t>
      </w:r>
      <w:r w:rsidRPr="0050576F">
        <w:rPr>
          <w:rFonts w:ascii="Book Antiqua" w:hAnsi="Book Antiqua"/>
          <w:color w:val="000000" w:themeColor="text1"/>
          <w:sz w:val="24"/>
          <w:szCs w:val="24"/>
        </w:rPr>
        <w:t xml:space="preserve"> were 95.00% and 0.90 </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95% </w:t>
      </w:r>
      <w:r w:rsidR="00647A2E">
        <w:rPr>
          <w:rFonts w:ascii="Book Antiqua" w:eastAsiaTheme="minorEastAsia" w:hAnsi="Book Antiqua" w:hint="eastAsia"/>
          <w:color w:val="000000" w:themeColor="text1"/>
          <w:sz w:val="24"/>
          <w:szCs w:val="24"/>
        </w:rPr>
        <w:t>C</w:t>
      </w:r>
      <w:r w:rsidRPr="0050576F">
        <w:rPr>
          <w:rFonts w:ascii="Book Antiqua" w:eastAsia="MS Mincho" w:hAnsi="Book Antiqua"/>
          <w:color w:val="000000" w:themeColor="text1"/>
          <w:sz w:val="24"/>
          <w:szCs w:val="24"/>
          <w:lang w:eastAsia="ja-JP"/>
        </w:rPr>
        <w:t xml:space="preserve">onfidence </w:t>
      </w:r>
      <w:r w:rsidR="00647A2E">
        <w:rPr>
          <w:rFonts w:ascii="Book Antiqua" w:eastAsiaTheme="minorEastAsia" w:hAnsi="Book Antiqua" w:hint="eastAsia"/>
          <w:color w:val="000000" w:themeColor="text1"/>
          <w:sz w:val="24"/>
          <w:szCs w:val="24"/>
        </w:rPr>
        <w:t>I</w:t>
      </w:r>
      <w:r w:rsidRPr="0050576F">
        <w:rPr>
          <w:rFonts w:ascii="Book Antiqua" w:eastAsia="MS Mincho" w:hAnsi="Book Antiqua"/>
          <w:color w:val="000000" w:themeColor="text1"/>
          <w:sz w:val="24"/>
          <w:szCs w:val="24"/>
          <w:lang w:eastAsia="ja-JP"/>
        </w:rPr>
        <w:t>nterval (</w:t>
      </w:r>
      <w:r w:rsidRPr="0050576F">
        <w:rPr>
          <w:rFonts w:ascii="Book Antiqua" w:hAnsi="Book Antiqua"/>
          <w:color w:val="000000" w:themeColor="text1"/>
          <w:sz w:val="24"/>
          <w:szCs w:val="24"/>
        </w:rPr>
        <w:t>CI</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0.81</w:t>
      </w:r>
      <w:r w:rsidR="0048517B">
        <w:rPr>
          <w:rFonts w:ascii="Book Antiqua" w:hAnsi="Book Antiqua"/>
          <w:color w:val="000000" w:themeColor="text1"/>
          <w:sz w:val="24"/>
          <w:szCs w:val="24"/>
        </w:rPr>
        <w:t>-</w:t>
      </w:r>
      <w:r w:rsidRPr="0050576F">
        <w:rPr>
          <w:rFonts w:ascii="Book Antiqua" w:hAnsi="Book Antiqua"/>
          <w:color w:val="000000" w:themeColor="text1"/>
          <w:sz w:val="24"/>
          <w:szCs w:val="24"/>
        </w:rPr>
        <w:t>0.99</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for the training set</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w:t>
      </w:r>
      <w:r w:rsidR="004B17E3" w:rsidRPr="0050576F">
        <w:rPr>
          <w:rFonts w:ascii="Book Antiqua" w:hAnsi="Book Antiqua"/>
          <w:color w:val="000000" w:themeColor="text1"/>
          <w:sz w:val="24"/>
          <w:szCs w:val="24"/>
        </w:rPr>
        <w:t>ively, and 78.95% and 0.84 (95%</w:t>
      </w:r>
      <w:r w:rsidRPr="0050576F">
        <w:rPr>
          <w:rFonts w:ascii="Book Antiqua" w:hAnsi="Book Antiqua"/>
          <w:color w:val="000000" w:themeColor="text1"/>
          <w:sz w:val="24"/>
          <w:szCs w:val="24"/>
        </w:rPr>
        <w:t>CI: 0.67</w:t>
      </w:r>
      <w:r w:rsidR="0048517B">
        <w:rPr>
          <w:rFonts w:ascii="Book Antiqua" w:hAnsi="Book Antiqua"/>
          <w:color w:val="000000" w:themeColor="text1"/>
          <w:sz w:val="24"/>
          <w:szCs w:val="24"/>
        </w:rPr>
        <w:t>-</w:t>
      </w:r>
      <w:r w:rsidRPr="0050576F">
        <w:rPr>
          <w:rFonts w:ascii="Book Antiqua" w:hAnsi="Book Antiqua"/>
          <w:color w:val="000000" w:themeColor="text1"/>
          <w:sz w:val="24"/>
          <w:szCs w:val="24"/>
        </w:rPr>
        <w:t>1.00) for the validation set</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 In contrast, for α-fetoprotein, </w:t>
      </w:r>
      <w:r w:rsidR="00BB5182" w:rsidRPr="0050576F">
        <w:rPr>
          <w:rFonts w:ascii="Book Antiqua" w:hAnsi="Book Antiqua"/>
          <w:color w:val="000000" w:themeColor="text1"/>
          <w:sz w:val="24"/>
          <w:szCs w:val="24"/>
        </w:rPr>
        <w:t>the</w:t>
      </w:r>
      <w:r w:rsidR="00B570DA">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accuracy and area under </w:t>
      </w:r>
      <w:r w:rsidR="00B570DA">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receiver operating characteristic </w:t>
      </w:r>
      <w:r w:rsidR="004B17E3" w:rsidRPr="0050576F">
        <w:rPr>
          <w:rFonts w:ascii="Book Antiqua" w:hAnsi="Book Antiqua"/>
          <w:color w:val="000000" w:themeColor="text1"/>
          <w:sz w:val="24"/>
          <w:szCs w:val="24"/>
        </w:rPr>
        <w:t>curve were 65.00% and 0.69 (95%</w:t>
      </w:r>
      <w:r w:rsidRPr="0050576F">
        <w:rPr>
          <w:rFonts w:ascii="Book Antiqua" w:hAnsi="Book Antiqua"/>
          <w:color w:val="000000" w:themeColor="text1"/>
          <w:sz w:val="24"/>
          <w:szCs w:val="24"/>
        </w:rPr>
        <w:t>CI: 0.52</w:t>
      </w:r>
      <w:r w:rsidR="0048517B">
        <w:rPr>
          <w:rFonts w:ascii="Book Antiqua" w:hAnsi="Book Antiqua"/>
          <w:color w:val="000000" w:themeColor="text1"/>
          <w:sz w:val="24"/>
          <w:szCs w:val="24"/>
        </w:rPr>
        <w:t>-</w:t>
      </w:r>
      <w:r w:rsidRPr="0050576F">
        <w:rPr>
          <w:rFonts w:ascii="Book Antiqua" w:hAnsi="Book Antiqua"/>
          <w:color w:val="000000" w:themeColor="text1"/>
          <w:sz w:val="24"/>
          <w:szCs w:val="24"/>
        </w:rPr>
        <w:t xml:space="preserve">0.86) for </w:t>
      </w:r>
      <w:r w:rsidR="00B570DA">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training set</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w:t>
      </w:r>
      <w:r w:rsidR="004B17E3" w:rsidRPr="0050576F">
        <w:rPr>
          <w:rFonts w:ascii="Book Antiqua" w:hAnsi="Book Antiqua"/>
          <w:color w:val="000000" w:themeColor="text1"/>
          <w:sz w:val="24"/>
          <w:szCs w:val="24"/>
        </w:rPr>
        <w:t>ively, and 68.42% and 0.68 (95%</w:t>
      </w:r>
      <w:r w:rsidRPr="0050576F">
        <w:rPr>
          <w:rFonts w:ascii="Book Antiqua" w:hAnsi="Book Antiqua"/>
          <w:color w:val="000000" w:themeColor="text1"/>
          <w:sz w:val="24"/>
          <w:szCs w:val="24"/>
        </w:rPr>
        <w:t>CI: 0.41</w:t>
      </w:r>
      <w:r w:rsidR="0048517B">
        <w:rPr>
          <w:rFonts w:ascii="Book Antiqua" w:hAnsi="Book Antiqua"/>
          <w:color w:val="000000" w:themeColor="text1"/>
          <w:sz w:val="24"/>
          <w:szCs w:val="24"/>
        </w:rPr>
        <w:t>-</w:t>
      </w:r>
      <w:r w:rsidRPr="0050576F">
        <w:rPr>
          <w:rFonts w:ascii="Book Antiqua" w:hAnsi="Book Antiqua"/>
          <w:color w:val="000000" w:themeColor="text1"/>
          <w:sz w:val="24"/>
          <w:szCs w:val="24"/>
        </w:rPr>
        <w:t xml:space="preserve">0.94) for </w:t>
      </w:r>
      <w:r w:rsidRPr="0050576F">
        <w:rPr>
          <w:rFonts w:ascii="Book Antiqua" w:hAnsi="Book Antiqua"/>
          <w:color w:val="000000" w:themeColor="text1"/>
          <w:sz w:val="24"/>
          <w:szCs w:val="24"/>
        </w:rPr>
        <w:lastRenderedPageBreak/>
        <w:t>the validation set</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 </w:t>
      </w:r>
      <w:r w:rsidR="00B570DA">
        <w:rPr>
          <w:rFonts w:ascii="Book Antiqua" w:hAnsi="Book Antiqua"/>
          <w:color w:val="000000" w:themeColor="text1"/>
          <w:sz w:val="24"/>
          <w:szCs w:val="24"/>
        </w:rPr>
        <w:t xml:space="preserve">The </w:t>
      </w:r>
      <w:r w:rsidRPr="0050576F">
        <w:rPr>
          <w:rFonts w:ascii="Book Antiqua" w:hAnsi="Book Antiqua"/>
          <w:i/>
          <w:color w:val="000000" w:themeColor="text1"/>
          <w:sz w:val="24"/>
          <w:szCs w:val="24"/>
        </w:rPr>
        <w:t>Z</w:t>
      </w:r>
      <w:r w:rsidRPr="0050576F">
        <w:rPr>
          <w:rFonts w:ascii="Book Antiqua" w:hAnsi="Book Antiqua"/>
          <w:color w:val="000000" w:themeColor="text1"/>
          <w:sz w:val="24"/>
          <w:szCs w:val="24"/>
        </w:rPr>
        <w:t xml:space="preserve"> test revealed that </w:t>
      </w:r>
      <w:r w:rsidRPr="0050576F">
        <w:rPr>
          <w:rFonts w:ascii="Book Antiqua" w:eastAsia="MS Mincho" w:hAnsi="Book Antiqua"/>
          <w:color w:val="000000" w:themeColor="text1"/>
          <w:sz w:val="24"/>
          <w:szCs w:val="24"/>
          <w:lang w:eastAsia="ja-JP"/>
        </w:rPr>
        <w:t xml:space="preserve">the </w:t>
      </w:r>
      <w:r w:rsidRPr="0050576F">
        <w:rPr>
          <w:rFonts w:ascii="Book Antiqua" w:hAnsi="Book Antiqua"/>
          <w:color w:val="000000" w:themeColor="text1"/>
          <w:sz w:val="24"/>
          <w:szCs w:val="24"/>
        </w:rPr>
        <w:t xml:space="preserve">area under </w:t>
      </w:r>
      <w:r w:rsidR="00B570DA">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curve </w:t>
      </w:r>
      <w:r w:rsidRPr="0050576F">
        <w:rPr>
          <w:rFonts w:ascii="Book Antiqua" w:eastAsia="MS Mincho" w:hAnsi="Book Antiqua"/>
          <w:color w:val="000000" w:themeColor="text1"/>
          <w:sz w:val="24"/>
          <w:szCs w:val="24"/>
          <w:lang w:eastAsia="ja-JP"/>
        </w:rPr>
        <w:t xml:space="preserve">of </w:t>
      </w:r>
      <w:r w:rsidRPr="0050576F">
        <w:rPr>
          <w:rFonts w:ascii="Book Antiqua" w:hAnsi="Book Antiqua"/>
          <w:color w:val="000000" w:themeColor="text1"/>
          <w:sz w:val="24"/>
          <w:szCs w:val="24"/>
        </w:rPr>
        <w:t xml:space="preserve">the linear discriminant analysis model was significantly higher than </w:t>
      </w:r>
      <w:r w:rsidRPr="0050576F">
        <w:rPr>
          <w:rFonts w:ascii="Book Antiqua" w:eastAsia="MS Mincho" w:hAnsi="Book Antiqua"/>
          <w:color w:val="000000" w:themeColor="text1"/>
          <w:sz w:val="24"/>
          <w:szCs w:val="24"/>
          <w:lang w:eastAsia="ja-JP"/>
        </w:rPr>
        <w:t xml:space="preserve">the </w:t>
      </w:r>
      <w:r w:rsidRPr="0050576F">
        <w:rPr>
          <w:rFonts w:ascii="Book Antiqua" w:hAnsi="Book Antiqua"/>
          <w:color w:val="000000" w:themeColor="text1"/>
          <w:sz w:val="24"/>
          <w:szCs w:val="24"/>
        </w:rPr>
        <w:t xml:space="preserve">area under </w:t>
      </w:r>
      <w:r w:rsidR="00B570DA">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curve</w:t>
      </w:r>
      <w:r w:rsidRPr="0050576F">
        <w:rPr>
          <w:rFonts w:ascii="Book Antiqua" w:eastAsia="MS Mincho" w:hAnsi="Book Antiqua"/>
          <w:color w:val="000000" w:themeColor="text1"/>
          <w:sz w:val="24"/>
          <w:szCs w:val="24"/>
          <w:lang w:eastAsia="ja-JP"/>
        </w:rPr>
        <w:t xml:space="preserve"> of </w:t>
      </w:r>
      <w:r w:rsidRPr="0050576F">
        <w:rPr>
          <w:rFonts w:ascii="Book Antiqua" w:hAnsi="Book Antiqua"/>
          <w:color w:val="000000" w:themeColor="text1"/>
          <w:sz w:val="24"/>
          <w:szCs w:val="24"/>
        </w:rPr>
        <w:t>α-fetoprotein (</w:t>
      </w:r>
      <w:r w:rsidRPr="0050576F">
        <w:rPr>
          <w:rFonts w:ascii="Book Antiqua" w:hAnsi="Book Antiqua"/>
          <w:i/>
          <w:color w:val="000000" w:themeColor="text1"/>
          <w:sz w:val="24"/>
          <w:szCs w:val="24"/>
        </w:rPr>
        <w:t>P</w:t>
      </w:r>
      <w:r w:rsidR="00CD27EF"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CD27EF"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in both the training and validation set</w:t>
      </w:r>
      <w:r w:rsidRPr="0050576F">
        <w:rPr>
          <w:rFonts w:ascii="Book Antiqua" w:eastAsia="MS Mincho" w:hAnsi="Book Antiqua"/>
          <w:color w:val="000000" w:themeColor="text1"/>
          <w:sz w:val="24"/>
          <w:szCs w:val="24"/>
          <w:lang w:eastAsia="ja-JP"/>
        </w:rPr>
        <w:t>s</w:t>
      </w:r>
      <w:r w:rsidR="004B17E3" w:rsidRPr="0050576F">
        <w:rPr>
          <w:rFonts w:ascii="Book Antiqua" w:hAnsi="Book Antiqua"/>
          <w:color w:val="000000" w:themeColor="text1"/>
          <w:sz w:val="24"/>
          <w:szCs w:val="24"/>
        </w:rPr>
        <w:t>.</w:t>
      </w:r>
    </w:p>
    <w:p w14:paraId="05A25265" w14:textId="77777777" w:rsidR="00CD27EF" w:rsidRPr="0050576F" w:rsidRDefault="00CD27EF" w:rsidP="0050576F">
      <w:pPr>
        <w:snapToGrid w:val="0"/>
        <w:spacing w:line="360" w:lineRule="auto"/>
        <w:rPr>
          <w:rFonts w:ascii="Book Antiqua" w:hAnsi="Book Antiqua"/>
          <w:color w:val="000000" w:themeColor="text1"/>
          <w:sz w:val="24"/>
          <w:szCs w:val="24"/>
        </w:rPr>
      </w:pPr>
    </w:p>
    <w:p w14:paraId="195CFCDB" w14:textId="77777777" w:rsidR="00EB3C3C" w:rsidRPr="0050576F" w:rsidRDefault="00730055" w:rsidP="0050576F">
      <w:pPr>
        <w:snapToGrid w:val="0"/>
        <w:spacing w:line="360" w:lineRule="auto"/>
        <w:rPr>
          <w:rFonts w:ascii="Book Antiqua" w:hAnsi="Book Antiqua" w:cs="宋体"/>
          <w:color w:val="000000" w:themeColor="text1"/>
          <w:sz w:val="24"/>
          <w:szCs w:val="24"/>
        </w:rPr>
      </w:pPr>
      <w:r w:rsidRPr="0050576F">
        <w:rPr>
          <w:rFonts w:ascii="Book Antiqua" w:eastAsia="Book Antiqua" w:hAnsi="Book Antiqua" w:cs="Book Antiqua"/>
          <w:color w:val="000000" w:themeColor="text1"/>
          <w:sz w:val="24"/>
          <w:szCs w:val="24"/>
        </w:rPr>
        <w:t>CONCLUSION</w:t>
      </w:r>
    </w:p>
    <w:p w14:paraId="1F5D0F63" w14:textId="0C357A0D" w:rsidR="00EB3C3C" w:rsidRPr="0050576F" w:rsidRDefault="00730055" w:rsidP="0050576F">
      <w:pPr>
        <w:snapToGrid w:val="0"/>
        <w:spacing w:line="360" w:lineRule="auto"/>
        <w:rPr>
          <w:rFonts w:ascii="Book Antiqua" w:hAnsi="Book Antiqua"/>
          <w:color w:val="000000" w:themeColor="text1"/>
          <w:sz w:val="24"/>
          <w:szCs w:val="24"/>
          <w:lang w:eastAsia="ja-JP"/>
        </w:rPr>
      </w:pPr>
      <w:r w:rsidRPr="0050576F">
        <w:rPr>
          <w:rFonts w:ascii="Book Antiqua" w:hAnsi="Book Antiqua"/>
          <w:color w:val="000000" w:themeColor="text1"/>
          <w:sz w:val="24"/>
          <w:szCs w:val="24"/>
        </w:rPr>
        <w:t xml:space="preserve">Hydroxypurine and proline might be novel biomarkers for hepatocellular carcinoma, and </w:t>
      </w:r>
      <w:r w:rsidR="00B570DA">
        <w:rPr>
          <w:rFonts w:ascii="Book Antiqua" w:hAnsi="Book Antiqua"/>
          <w:color w:val="000000" w:themeColor="text1"/>
          <w:sz w:val="24"/>
          <w:szCs w:val="24"/>
        </w:rPr>
        <w:t>this disease</w:t>
      </w:r>
      <w:r w:rsidRPr="0050576F">
        <w:rPr>
          <w:rFonts w:ascii="Book Antiqua" w:hAnsi="Book Antiqua"/>
          <w:color w:val="000000" w:themeColor="text1"/>
          <w:sz w:val="24"/>
          <w:szCs w:val="24"/>
        </w:rPr>
        <w:t xml:space="preserve"> could be diagn</w:t>
      </w:r>
      <w:r w:rsidR="00B570DA">
        <w:rPr>
          <w:rFonts w:ascii="Book Antiqua" w:hAnsi="Book Antiqua"/>
          <w:color w:val="000000" w:themeColor="text1"/>
          <w:sz w:val="24"/>
          <w:szCs w:val="24"/>
        </w:rPr>
        <w:t>o</w:t>
      </w:r>
      <w:r w:rsidRPr="0050576F">
        <w:rPr>
          <w:rFonts w:ascii="Book Antiqua" w:hAnsi="Book Antiqua"/>
          <w:color w:val="000000" w:themeColor="text1"/>
          <w:sz w:val="24"/>
          <w:szCs w:val="24"/>
        </w:rPr>
        <w:t>sed by the metabolomics model based on pattern recognition.</w:t>
      </w:r>
    </w:p>
    <w:p w14:paraId="50241AC9" w14:textId="77777777" w:rsidR="00EB3C3C" w:rsidRPr="0050576F" w:rsidRDefault="00EB3C3C" w:rsidP="0050576F">
      <w:pPr>
        <w:snapToGrid w:val="0"/>
        <w:spacing w:line="360" w:lineRule="auto"/>
        <w:rPr>
          <w:rFonts w:ascii="Book Antiqua" w:hAnsi="Book Antiqua"/>
          <w:b/>
          <w:color w:val="000000" w:themeColor="text1"/>
          <w:sz w:val="24"/>
          <w:szCs w:val="24"/>
        </w:rPr>
      </w:pPr>
    </w:p>
    <w:p w14:paraId="14247859" w14:textId="521B4514" w:rsidR="00EB3C3C" w:rsidRPr="0050576F" w:rsidRDefault="00EA341A" w:rsidP="0050576F">
      <w:pPr>
        <w:adjustRightInd w:val="0"/>
        <w:snapToGrid w:val="0"/>
        <w:spacing w:line="360" w:lineRule="auto"/>
        <w:rPr>
          <w:rFonts w:ascii="Book Antiqua" w:hAnsi="Book Antiqua" w:cs="Segoe UI"/>
          <w:bCs/>
          <w:color w:val="000000" w:themeColor="text1"/>
          <w:sz w:val="24"/>
          <w:szCs w:val="24"/>
        </w:rPr>
      </w:pPr>
      <w:r w:rsidRPr="0050576F">
        <w:rPr>
          <w:rFonts w:ascii="Book Antiqua" w:hAnsi="Book Antiqua"/>
          <w:b/>
          <w:color w:val="000000" w:themeColor="text1"/>
          <w:sz w:val="24"/>
          <w:szCs w:val="24"/>
        </w:rPr>
        <w:t>Key words:</w:t>
      </w:r>
      <w:r w:rsidR="00CD27EF" w:rsidRPr="0050576F">
        <w:rPr>
          <w:rFonts w:ascii="Book Antiqua" w:hAnsi="Book Antiqua"/>
          <w:b/>
          <w:color w:val="000000" w:themeColor="text1"/>
          <w:sz w:val="24"/>
          <w:szCs w:val="24"/>
        </w:rPr>
        <w:t xml:space="preserve"> </w:t>
      </w:r>
      <w:bookmarkStart w:id="17" w:name="OLE_LINK496"/>
      <w:bookmarkStart w:id="18" w:name="OLE_LINK497"/>
      <w:r w:rsidR="00CD27EF" w:rsidRPr="0050576F">
        <w:rPr>
          <w:rFonts w:ascii="Book Antiqua" w:hAnsi="Book Antiqua"/>
          <w:color w:val="000000" w:themeColor="text1"/>
          <w:sz w:val="24"/>
          <w:szCs w:val="24"/>
        </w:rPr>
        <w:t>H</w:t>
      </w:r>
      <w:r w:rsidR="00730055" w:rsidRPr="0050576F">
        <w:rPr>
          <w:rFonts w:ascii="Book Antiqua" w:hAnsi="Book Antiqua"/>
          <w:color w:val="000000" w:themeColor="text1"/>
          <w:sz w:val="24"/>
          <w:szCs w:val="24"/>
        </w:rPr>
        <w:t>epatocellular carcinoma</w:t>
      </w:r>
      <w:bookmarkEnd w:id="17"/>
      <w:bookmarkEnd w:id="18"/>
      <w:r w:rsidR="004B17E3" w:rsidRPr="0050576F">
        <w:rPr>
          <w:rFonts w:ascii="Book Antiqua" w:hAnsi="Book Antiqua" w:cs="Segoe UI"/>
          <w:bCs/>
          <w:color w:val="000000" w:themeColor="text1"/>
          <w:sz w:val="24"/>
          <w:szCs w:val="24"/>
        </w:rPr>
        <w:t>;</w:t>
      </w:r>
      <w:r w:rsidR="00730055" w:rsidRPr="0050576F">
        <w:rPr>
          <w:rFonts w:ascii="Book Antiqua" w:hAnsi="Book Antiqua" w:cs="Segoe UI"/>
          <w:bCs/>
          <w:color w:val="000000" w:themeColor="text1"/>
          <w:sz w:val="24"/>
          <w:szCs w:val="24"/>
        </w:rPr>
        <w:t xml:space="preserve"> </w:t>
      </w:r>
      <w:bookmarkStart w:id="19" w:name="OLE_LINK498"/>
      <w:bookmarkStart w:id="20" w:name="OLE_LINK499"/>
      <w:r w:rsidR="00CD27EF" w:rsidRPr="0050576F">
        <w:rPr>
          <w:rFonts w:ascii="Book Antiqua" w:hAnsi="Book Antiqua" w:cs="Segoe UI"/>
          <w:bCs/>
          <w:color w:val="000000" w:themeColor="text1"/>
          <w:sz w:val="24"/>
          <w:szCs w:val="24"/>
        </w:rPr>
        <w:t>P</w:t>
      </w:r>
      <w:r w:rsidR="00730055" w:rsidRPr="0050576F">
        <w:rPr>
          <w:rFonts w:ascii="Book Antiqua" w:hAnsi="Book Antiqua" w:cs="Segoe UI"/>
          <w:bCs/>
          <w:color w:val="000000" w:themeColor="text1"/>
          <w:sz w:val="24"/>
          <w:szCs w:val="24"/>
        </w:rPr>
        <w:t>attern recognition</w:t>
      </w:r>
      <w:bookmarkEnd w:id="19"/>
      <w:bookmarkEnd w:id="20"/>
      <w:r w:rsidR="004B17E3" w:rsidRPr="0050576F">
        <w:rPr>
          <w:rFonts w:ascii="Book Antiqua" w:hAnsi="Book Antiqua" w:cs="Segoe UI"/>
          <w:bCs/>
          <w:color w:val="000000" w:themeColor="text1"/>
          <w:sz w:val="24"/>
          <w:szCs w:val="24"/>
        </w:rPr>
        <w:t>;</w:t>
      </w:r>
      <w:r w:rsidR="00730055" w:rsidRPr="0050576F">
        <w:rPr>
          <w:rFonts w:ascii="Book Antiqua" w:hAnsi="Book Antiqua" w:cs="Segoe UI"/>
          <w:bCs/>
          <w:color w:val="000000" w:themeColor="text1"/>
          <w:sz w:val="24"/>
          <w:szCs w:val="24"/>
        </w:rPr>
        <w:t xml:space="preserve"> </w:t>
      </w:r>
      <w:bookmarkStart w:id="21" w:name="OLE_LINK500"/>
      <w:bookmarkStart w:id="22" w:name="OLE_LINK501"/>
      <w:r w:rsidR="00CD27EF" w:rsidRPr="0050576F">
        <w:rPr>
          <w:rFonts w:ascii="Book Antiqua" w:hAnsi="Book Antiqua" w:cs="Segoe UI"/>
          <w:bCs/>
          <w:color w:val="000000" w:themeColor="text1"/>
          <w:sz w:val="24"/>
          <w:szCs w:val="24"/>
        </w:rPr>
        <w:t>M</w:t>
      </w:r>
      <w:r w:rsidR="00730055" w:rsidRPr="0050576F">
        <w:rPr>
          <w:rFonts w:ascii="Book Antiqua" w:hAnsi="Book Antiqua" w:cs="Segoe UI"/>
          <w:bCs/>
          <w:color w:val="000000" w:themeColor="text1"/>
          <w:sz w:val="24"/>
          <w:szCs w:val="24"/>
        </w:rPr>
        <w:t>etabolomics</w:t>
      </w:r>
      <w:bookmarkEnd w:id="21"/>
      <w:bookmarkEnd w:id="22"/>
      <w:r w:rsidR="004B17E3" w:rsidRPr="0050576F">
        <w:rPr>
          <w:rFonts w:ascii="Book Antiqua" w:hAnsi="Book Antiqua" w:cs="Segoe UI"/>
          <w:bCs/>
          <w:color w:val="000000" w:themeColor="text1"/>
          <w:sz w:val="24"/>
          <w:szCs w:val="24"/>
        </w:rPr>
        <w:t>;</w:t>
      </w:r>
      <w:r w:rsidR="00730055" w:rsidRPr="0050576F">
        <w:rPr>
          <w:rFonts w:ascii="Book Antiqua" w:hAnsi="Book Antiqua" w:cs="Segoe UI"/>
          <w:bCs/>
          <w:color w:val="000000" w:themeColor="text1"/>
          <w:sz w:val="24"/>
          <w:szCs w:val="24"/>
        </w:rPr>
        <w:t xml:space="preserve"> </w:t>
      </w:r>
      <w:bookmarkStart w:id="23" w:name="OLE_LINK502"/>
      <w:bookmarkStart w:id="24" w:name="OLE_LINK503"/>
      <w:r w:rsidR="00CD27EF" w:rsidRPr="0050576F">
        <w:rPr>
          <w:rFonts w:ascii="Book Antiqua" w:hAnsi="Book Antiqua" w:cs="Segoe UI"/>
          <w:bCs/>
          <w:color w:val="000000" w:themeColor="text1"/>
          <w:sz w:val="24"/>
          <w:szCs w:val="24"/>
        </w:rPr>
        <w:t>B</w:t>
      </w:r>
      <w:r w:rsidR="00730055" w:rsidRPr="0050576F">
        <w:rPr>
          <w:rFonts w:ascii="Book Antiqua" w:hAnsi="Book Antiqua" w:cs="Segoe UI"/>
          <w:bCs/>
          <w:color w:val="000000" w:themeColor="text1"/>
          <w:sz w:val="24"/>
          <w:szCs w:val="24"/>
        </w:rPr>
        <w:t>iomarkers</w:t>
      </w:r>
      <w:bookmarkEnd w:id="23"/>
      <w:bookmarkEnd w:id="24"/>
    </w:p>
    <w:p w14:paraId="5629B450" w14:textId="77777777" w:rsidR="002D111A" w:rsidRPr="0050576F" w:rsidRDefault="002D111A" w:rsidP="0050576F">
      <w:pPr>
        <w:adjustRightInd w:val="0"/>
        <w:snapToGrid w:val="0"/>
        <w:spacing w:line="360" w:lineRule="auto"/>
        <w:rPr>
          <w:rFonts w:ascii="Book Antiqua" w:hAnsi="Book Antiqua" w:cs="Segoe UI"/>
          <w:bCs/>
          <w:color w:val="000000" w:themeColor="text1"/>
          <w:sz w:val="24"/>
          <w:szCs w:val="24"/>
        </w:rPr>
      </w:pPr>
    </w:p>
    <w:p w14:paraId="7C97E6F7" w14:textId="77777777" w:rsidR="00F6409E" w:rsidRDefault="00F6409E" w:rsidP="00F6409E">
      <w:pPr>
        <w:adjustRightInd w:val="0"/>
        <w:snapToGrid w:val="0"/>
        <w:spacing w:line="360" w:lineRule="auto"/>
        <w:rPr>
          <w:rFonts w:ascii="Book Antiqua" w:eastAsiaTheme="minorEastAsia" w:hAnsi="Book Antiqua" w:cs="Book Antiqua" w:hint="eastAsia"/>
          <w:color w:val="000000"/>
          <w:kern w:val="0"/>
          <w:sz w:val="24"/>
          <w:szCs w:val="24"/>
        </w:rPr>
      </w:pPr>
      <w:bookmarkStart w:id="25" w:name="OLE_LINK508"/>
      <w:bookmarkStart w:id="26" w:name="OLE_LINK509"/>
      <w:bookmarkStart w:id="27" w:name="OLE_LINK11"/>
      <w:r w:rsidRPr="00F6409E">
        <w:rPr>
          <w:rFonts w:ascii="Book Antiqua" w:hAnsi="Book Antiqua" w:cs="Segoe UI" w:hint="eastAsia"/>
          <w:b/>
          <w:bCs/>
          <w:color w:val="000000"/>
          <w:sz w:val="24"/>
          <w:szCs w:val="24"/>
        </w:rPr>
        <w:t>Citation:</w:t>
      </w:r>
      <w:r>
        <w:rPr>
          <w:rFonts w:ascii="Book Antiqua" w:hAnsi="Book Antiqua" w:cs="Segoe UI" w:hint="eastAsia"/>
          <w:bCs/>
          <w:color w:val="000000"/>
          <w:sz w:val="24"/>
          <w:szCs w:val="24"/>
        </w:rPr>
        <w:t xml:space="preserve"> </w:t>
      </w:r>
      <w:r w:rsidRPr="00961308">
        <w:rPr>
          <w:rFonts w:ascii="Book Antiqua" w:hAnsi="Book Antiqua" w:cs="Segoe UI"/>
          <w:bCs/>
          <w:color w:val="000000"/>
          <w:sz w:val="24"/>
          <w:szCs w:val="24"/>
        </w:rPr>
        <w:t>Zhou PC, Sun LQ, Shao L, Yi LZ, Li N, Fan XG. Establishment of a pattern recognition metabolomics model for the diagnosis of hepatocellular carcinoma.</w:t>
      </w:r>
      <w:r w:rsidRPr="00961308">
        <w:rPr>
          <w:rFonts w:ascii="Book Antiqua" w:hAnsi="Book Antiqua"/>
          <w:i/>
          <w:iCs/>
          <w:color w:val="000000"/>
          <w:sz w:val="24"/>
          <w:szCs w:val="24"/>
        </w:rPr>
        <w:t xml:space="preserve"> World J Gastroenterol </w:t>
      </w:r>
      <w:r w:rsidRPr="00961308">
        <w:rPr>
          <w:rFonts w:ascii="Book Antiqua" w:hAnsi="Book Antiqua"/>
          <w:color w:val="000000"/>
          <w:sz w:val="24"/>
          <w:szCs w:val="24"/>
        </w:rPr>
        <w:t xml:space="preserve">2020; </w:t>
      </w:r>
      <w:r w:rsidRPr="0064613F">
        <w:rPr>
          <w:rFonts w:ascii="Book Antiqua" w:hAnsi="Book Antiqua" w:cs="Book Antiqua" w:hint="eastAsia"/>
          <w:color w:val="000000"/>
          <w:kern w:val="0"/>
          <w:sz w:val="24"/>
          <w:szCs w:val="24"/>
        </w:rPr>
        <w:t>26</w:t>
      </w:r>
      <w:r>
        <w:rPr>
          <w:rFonts w:ascii="Book Antiqua" w:eastAsia="Book Antiqua" w:hAnsi="Book Antiqua" w:cs="Book Antiqua"/>
          <w:color w:val="000000"/>
          <w:kern w:val="0"/>
          <w:sz w:val="24"/>
          <w:szCs w:val="24"/>
          <w:lang w:eastAsia="en-US"/>
        </w:rPr>
        <w:t>(</w:t>
      </w:r>
      <w:r w:rsidRPr="0064613F">
        <w:rPr>
          <w:rFonts w:ascii="Book Antiqua" w:hAnsi="Book Antiqua" w:cs="Book Antiqua" w:hint="eastAsia"/>
          <w:color w:val="000000"/>
          <w:kern w:val="0"/>
          <w:sz w:val="24"/>
          <w:szCs w:val="24"/>
        </w:rPr>
        <w:t>31</w:t>
      </w:r>
      <w:r>
        <w:rPr>
          <w:rFonts w:ascii="Book Antiqua" w:eastAsia="Book Antiqua" w:hAnsi="Book Antiqua" w:cs="Book Antiqua"/>
          <w:color w:val="000000"/>
          <w:kern w:val="0"/>
          <w:sz w:val="24"/>
          <w:szCs w:val="24"/>
          <w:lang w:eastAsia="en-US"/>
        </w:rPr>
        <w:t xml:space="preserve">): </w:t>
      </w:r>
      <w:r>
        <w:rPr>
          <w:rFonts w:ascii="Book Antiqua" w:eastAsiaTheme="minorEastAsia" w:hAnsi="Book Antiqua" w:cs="Book Antiqua" w:hint="eastAsia"/>
          <w:color w:val="000000"/>
          <w:kern w:val="0"/>
          <w:sz w:val="24"/>
          <w:szCs w:val="24"/>
        </w:rPr>
        <w:t>4607</w:t>
      </w:r>
      <w:r>
        <w:rPr>
          <w:rFonts w:ascii="Book Antiqua" w:eastAsia="Book Antiqua" w:hAnsi="Book Antiqua" w:cs="Book Antiqua"/>
          <w:color w:val="000000"/>
          <w:kern w:val="0"/>
          <w:sz w:val="24"/>
          <w:szCs w:val="24"/>
          <w:lang w:eastAsia="en-US"/>
        </w:rPr>
        <w:t>-</w:t>
      </w:r>
      <w:r>
        <w:rPr>
          <w:rFonts w:ascii="Book Antiqua" w:eastAsiaTheme="minorEastAsia" w:hAnsi="Book Antiqua" w:cs="Book Antiqua" w:hint="eastAsia"/>
          <w:color w:val="000000"/>
          <w:kern w:val="0"/>
          <w:sz w:val="24"/>
          <w:szCs w:val="24"/>
        </w:rPr>
        <w:t>4623</w:t>
      </w:r>
      <w:r>
        <w:rPr>
          <w:rFonts w:ascii="Book Antiqua" w:eastAsia="Book Antiqua" w:hAnsi="Book Antiqua" w:cs="Book Antiqua"/>
          <w:color w:val="000000"/>
          <w:kern w:val="0"/>
          <w:sz w:val="24"/>
          <w:szCs w:val="24"/>
          <w:lang w:eastAsia="en-US"/>
        </w:rPr>
        <w:t xml:space="preserve"> </w:t>
      </w:r>
    </w:p>
    <w:p w14:paraId="7A2477E6" w14:textId="772D54F9" w:rsidR="00F6409E" w:rsidRDefault="00F6409E" w:rsidP="00F6409E">
      <w:pPr>
        <w:adjustRightInd w:val="0"/>
        <w:snapToGrid w:val="0"/>
        <w:spacing w:line="360" w:lineRule="auto"/>
        <w:rPr>
          <w:rFonts w:ascii="Book Antiqua" w:eastAsiaTheme="minorEastAsia" w:hAnsi="Book Antiqua" w:cs="Book Antiqua" w:hint="eastAsia"/>
          <w:color w:val="000000"/>
          <w:kern w:val="0"/>
          <w:sz w:val="24"/>
          <w:szCs w:val="24"/>
        </w:rPr>
      </w:pPr>
      <w:r w:rsidRPr="00F6409E">
        <w:rPr>
          <w:rFonts w:ascii="Book Antiqua" w:eastAsia="Book Antiqua" w:hAnsi="Book Antiqua" w:cs="Book Antiqua"/>
          <w:b/>
          <w:color w:val="000000"/>
          <w:kern w:val="0"/>
          <w:sz w:val="24"/>
          <w:szCs w:val="24"/>
          <w:lang w:eastAsia="en-US"/>
        </w:rPr>
        <w:t>URL:</w:t>
      </w:r>
      <w:r w:rsidRPr="002B11BA">
        <w:rPr>
          <w:rFonts w:ascii="Book Antiqua" w:eastAsia="Book Antiqua" w:hAnsi="Book Antiqua" w:cs="Book Antiqua"/>
          <w:color w:val="000000"/>
          <w:kern w:val="0"/>
          <w:sz w:val="24"/>
          <w:szCs w:val="24"/>
          <w:lang w:eastAsia="en-US"/>
        </w:rPr>
        <w:t xml:space="preserve"> </w:t>
      </w:r>
      <w:hyperlink r:id="rId10" w:history="1">
        <w:r w:rsidRPr="00696C3A">
          <w:rPr>
            <w:rStyle w:val="a8"/>
            <w:rFonts w:ascii="Book Antiqua" w:eastAsia="Book Antiqua" w:hAnsi="Book Antiqua" w:cs="Book Antiqua"/>
            <w:kern w:val="0"/>
            <w:sz w:val="24"/>
            <w:szCs w:val="24"/>
            <w:lang w:eastAsia="en-US"/>
          </w:rPr>
          <w:t>https://www.wjgnet.com/1007-9327/full/v</w:t>
        </w:r>
        <w:r w:rsidRPr="00696C3A">
          <w:rPr>
            <w:rStyle w:val="a8"/>
            <w:rFonts w:ascii="Book Antiqua" w:hAnsi="Book Antiqua" w:cs="Book Antiqua" w:hint="eastAsia"/>
            <w:kern w:val="0"/>
            <w:sz w:val="24"/>
            <w:szCs w:val="24"/>
          </w:rPr>
          <w:t>26</w:t>
        </w:r>
        <w:r w:rsidRPr="00696C3A">
          <w:rPr>
            <w:rStyle w:val="a8"/>
            <w:rFonts w:ascii="Book Antiqua" w:eastAsia="Book Antiqua" w:hAnsi="Book Antiqua" w:cs="Book Antiqua"/>
            <w:kern w:val="0"/>
            <w:sz w:val="24"/>
            <w:szCs w:val="24"/>
            <w:lang w:eastAsia="en-US"/>
          </w:rPr>
          <w:t>/i</w:t>
        </w:r>
        <w:r w:rsidRPr="00696C3A">
          <w:rPr>
            <w:rStyle w:val="a8"/>
            <w:rFonts w:ascii="Book Antiqua" w:hAnsi="Book Antiqua" w:cs="Book Antiqua" w:hint="eastAsia"/>
            <w:kern w:val="0"/>
            <w:sz w:val="24"/>
            <w:szCs w:val="24"/>
          </w:rPr>
          <w:t>31</w:t>
        </w:r>
        <w:r w:rsidRPr="00696C3A">
          <w:rPr>
            <w:rStyle w:val="a8"/>
            <w:rFonts w:ascii="Book Antiqua" w:eastAsia="Book Antiqua" w:hAnsi="Book Antiqua" w:cs="Book Antiqua"/>
            <w:kern w:val="0"/>
            <w:sz w:val="24"/>
            <w:szCs w:val="24"/>
            <w:lang w:eastAsia="en-US"/>
          </w:rPr>
          <w:t>/</w:t>
        </w:r>
        <w:r w:rsidRPr="00696C3A">
          <w:rPr>
            <w:rStyle w:val="a8"/>
            <w:rFonts w:ascii="Book Antiqua" w:eastAsiaTheme="minorEastAsia" w:hAnsi="Book Antiqua" w:cs="Book Antiqua" w:hint="eastAsia"/>
            <w:kern w:val="0"/>
            <w:sz w:val="24"/>
            <w:szCs w:val="24"/>
          </w:rPr>
          <w:t>4607</w:t>
        </w:r>
        <w:r w:rsidRPr="00696C3A">
          <w:rPr>
            <w:rStyle w:val="a8"/>
            <w:rFonts w:ascii="Book Antiqua" w:eastAsia="Book Antiqua" w:hAnsi="Book Antiqua" w:cs="Book Antiqua"/>
            <w:kern w:val="0"/>
            <w:sz w:val="24"/>
            <w:szCs w:val="24"/>
            <w:lang w:eastAsia="en-US"/>
          </w:rPr>
          <w:t>.htm</w:t>
        </w:r>
      </w:hyperlink>
      <w:r w:rsidRPr="002B11BA">
        <w:rPr>
          <w:rFonts w:ascii="Book Antiqua" w:eastAsia="Book Antiqua" w:hAnsi="Book Antiqua" w:cs="Book Antiqua"/>
          <w:color w:val="000000"/>
          <w:kern w:val="0"/>
          <w:sz w:val="24"/>
          <w:szCs w:val="24"/>
          <w:lang w:eastAsia="en-US"/>
        </w:rPr>
        <w:t xml:space="preserve"> </w:t>
      </w:r>
    </w:p>
    <w:p w14:paraId="508DAEA0" w14:textId="6418B1A2" w:rsidR="00F6409E" w:rsidRPr="00A51047" w:rsidRDefault="00F6409E" w:rsidP="00F6409E">
      <w:pPr>
        <w:adjustRightInd w:val="0"/>
        <w:snapToGrid w:val="0"/>
        <w:spacing w:line="360" w:lineRule="auto"/>
        <w:rPr>
          <w:rFonts w:ascii="Book Antiqua" w:eastAsiaTheme="minorEastAsia" w:hAnsi="Book Antiqua" w:hint="eastAsia"/>
          <w:color w:val="000000"/>
          <w:sz w:val="24"/>
          <w:szCs w:val="24"/>
        </w:rPr>
      </w:pPr>
      <w:r w:rsidRPr="00F6409E">
        <w:rPr>
          <w:rFonts w:ascii="Book Antiqua" w:eastAsia="Book Antiqua" w:hAnsi="Book Antiqua" w:cs="Book Antiqua"/>
          <w:b/>
          <w:color w:val="000000"/>
          <w:kern w:val="0"/>
          <w:sz w:val="24"/>
          <w:szCs w:val="24"/>
          <w:lang w:eastAsia="en-US"/>
        </w:rPr>
        <w:t xml:space="preserve">DOI: </w:t>
      </w:r>
      <w:r w:rsidRPr="002B11BA">
        <w:rPr>
          <w:rFonts w:ascii="Book Antiqua" w:eastAsia="Book Antiqua" w:hAnsi="Book Antiqua" w:cs="Book Antiqua"/>
          <w:color w:val="000000"/>
          <w:kern w:val="0"/>
          <w:sz w:val="24"/>
          <w:szCs w:val="24"/>
          <w:lang w:eastAsia="en-US"/>
        </w:rPr>
        <w:t>https://dx.doi.org/</w:t>
      </w:r>
      <w:r w:rsidRPr="00D16A76">
        <w:rPr>
          <w:rFonts w:ascii="Book Antiqua" w:eastAsia="Book Antiqua" w:hAnsi="Book Antiqua" w:cs="Book Antiqua"/>
          <w:color w:val="000000"/>
          <w:kern w:val="0"/>
          <w:sz w:val="24"/>
          <w:szCs w:val="24"/>
          <w:lang w:eastAsia="en-US"/>
        </w:rPr>
        <w:t>10.3748</w:t>
      </w:r>
      <w:r w:rsidRPr="002B11BA">
        <w:rPr>
          <w:rFonts w:ascii="Book Antiqua" w:eastAsia="Book Antiqua" w:hAnsi="Book Antiqua" w:cs="Book Antiqua"/>
          <w:color w:val="000000"/>
          <w:kern w:val="0"/>
          <w:sz w:val="24"/>
          <w:szCs w:val="24"/>
          <w:lang w:eastAsia="en-US"/>
        </w:rPr>
        <w:t>/wj</w:t>
      </w:r>
      <w:r w:rsidRPr="0064613F">
        <w:rPr>
          <w:rFonts w:ascii="Book Antiqua" w:hAnsi="Book Antiqua" w:cs="Book Antiqua" w:hint="eastAsia"/>
          <w:color w:val="000000"/>
          <w:kern w:val="0"/>
          <w:sz w:val="24"/>
          <w:szCs w:val="24"/>
        </w:rPr>
        <w:t>g</w:t>
      </w:r>
      <w:r w:rsidRPr="002B11BA">
        <w:rPr>
          <w:rFonts w:ascii="Book Antiqua" w:eastAsia="Book Antiqua" w:hAnsi="Book Antiqua" w:cs="Book Antiqua"/>
          <w:color w:val="000000"/>
          <w:kern w:val="0"/>
          <w:sz w:val="24"/>
          <w:szCs w:val="24"/>
          <w:lang w:eastAsia="en-US"/>
        </w:rPr>
        <w:t>.v</w:t>
      </w:r>
      <w:r w:rsidRPr="0064613F">
        <w:rPr>
          <w:rFonts w:ascii="Book Antiqua" w:hAnsi="Book Antiqua" w:cs="Book Antiqua" w:hint="eastAsia"/>
          <w:color w:val="000000"/>
          <w:kern w:val="0"/>
          <w:sz w:val="24"/>
          <w:szCs w:val="24"/>
        </w:rPr>
        <w:t>26</w:t>
      </w:r>
      <w:r w:rsidRPr="002B11BA">
        <w:rPr>
          <w:rFonts w:ascii="Book Antiqua" w:eastAsia="Book Antiqua" w:hAnsi="Book Antiqua" w:cs="Book Antiqua"/>
          <w:color w:val="000000"/>
          <w:kern w:val="0"/>
          <w:sz w:val="24"/>
          <w:szCs w:val="24"/>
          <w:lang w:eastAsia="en-US"/>
        </w:rPr>
        <w:t>.i</w:t>
      </w:r>
      <w:r w:rsidRPr="0064613F">
        <w:rPr>
          <w:rFonts w:ascii="Book Antiqua" w:hAnsi="Book Antiqua" w:cs="Book Antiqua" w:hint="eastAsia"/>
          <w:color w:val="000000"/>
          <w:kern w:val="0"/>
          <w:sz w:val="24"/>
          <w:szCs w:val="24"/>
        </w:rPr>
        <w:t>31</w:t>
      </w:r>
      <w:r w:rsidRPr="002B11BA">
        <w:rPr>
          <w:rFonts w:ascii="Book Antiqua" w:eastAsia="Book Antiqua" w:hAnsi="Book Antiqua" w:cs="Book Antiqua"/>
          <w:color w:val="000000"/>
          <w:kern w:val="0"/>
          <w:sz w:val="24"/>
          <w:szCs w:val="24"/>
          <w:lang w:eastAsia="en-US"/>
        </w:rPr>
        <w:t>.</w:t>
      </w:r>
      <w:r>
        <w:rPr>
          <w:rFonts w:ascii="Book Antiqua" w:eastAsiaTheme="minorEastAsia" w:hAnsi="Book Antiqua" w:cs="Book Antiqua" w:hint="eastAsia"/>
          <w:color w:val="000000"/>
          <w:kern w:val="0"/>
          <w:sz w:val="24"/>
          <w:szCs w:val="24"/>
        </w:rPr>
        <w:t>4607</w:t>
      </w:r>
    </w:p>
    <w:bookmarkEnd w:id="25"/>
    <w:bookmarkEnd w:id="26"/>
    <w:bookmarkEnd w:id="27"/>
    <w:p w14:paraId="635B9665" w14:textId="77777777" w:rsidR="0068155B" w:rsidRPr="00F6409E" w:rsidRDefault="0068155B" w:rsidP="0050576F">
      <w:pPr>
        <w:adjustRightInd w:val="0"/>
        <w:snapToGrid w:val="0"/>
        <w:spacing w:line="360" w:lineRule="auto"/>
        <w:rPr>
          <w:rFonts w:ascii="Book Antiqua" w:hAnsi="Book Antiqua"/>
          <w:b/>
          <w:color w:val="000000" w:themeColor="text1"/>
          <w:kern w:val="0"/>
          <w:sz w:val="24"/>
          <w:szCs w:val="24"/>
        </w:rPr>
      </w:pPr>
    </w:p>
    <w:p w14:paraId="4BA57EBA" w14:textId="022EFDE4" w:rsidR="0099760F" w:rsidRPr="0050576F" w:rsidRDefault="002D111A" w:rsidP="0050576F">
      <w:pPr>
        <w:snapToGrid w:val="0"/>
        <w:spacing w:line="360" w:lineRule="auto"/>
        <w:rPr>
          <w:rFonts w:ascii="Book Antiqua" w:hAnsi="Book Antiqua" w:cs="Arial Unicode MS"/>
          <w:color w:val="000000" w:themeColor="text1"/>
          <w:sz w:val="24"/>
          <w:szCs w:val="24"/>
        </w:rPr>
      </w:pPr>
      <w:r w:rsidRPr="0050576F">
        <w:rPr>
          <w:rFonts w:ascii="Book Antiqua" w:eastAsia="Times New Roman" w:hAnsi="Book Antiqua" w:cs="Arial Unicode MS"/>
          <w:b/>
          <w:color w:val="000000" w:themeColor="text1"/>
          <w:sz w:val="24"/>
          <w:szCs w:val="24"/>
        </w:rPr>
        <w:t>Core tip:</w:t>
      </w:r>
      <w:r w:rsidR="00CD27EF" w:rsidRPr="0050576F">
        <w:rPr>
          <w:rFonts w:ascii="Book Antiqua" w:eastAsia="Times New Roman" w:hAnsi="Book Antiqua" w:cs="Arial Unicode MS"/>
          <w:b/>
          <w:color w:val="000000" w:themeColor="text1"/>
          <w:sz w:val="24"/>
          <w:szCs w:val="24"/>
        </w:rPr>
        <w:t xml:space="preserve"> </w:t>
      </w:r>
      <w:bookmarkStart w:id="28" w:name="OLE_LINK506"/>
      <w:bookmarkStart w:id="29" w:name="OLE_LINK507"/>
      <w:bookmarkStart w:id="30" w:name="OLE_LINK12"/>
      <w:bookmarkStart w:id="31" w:name="OLE_LINK13"/>
      <w:r w:rsidR="0099760F" w:rsidRPr="0050576F">
        <w:rPr>
          <w:rFonts w:ascii="Book Antiqua" w:hAnsi="Book Antiqua" w:cs="Arial Unicode MS"/>
          <w:color w:val="000000" w:themeColor="text1"/>
          <w:sz w:val="24"/>
          <w:szCs w:val="24"/>
        </w:rPr>
        <w:t>We used ultra-performance liquid chromatography-mass spectroscopy to characterize the metabolome of</w:t>
      </w:r>
      <w:r w:rsidR="00B570DA">
        <w:rPr>
          <w:rFonts w:ascii="Book Antiqua" w:hAnsi="Book Antiqua" w:cs="Arial Unicode MS"/>
          <w:color w:val="000000" w:themeColor="text1"/>
          <w:sz w:val="24"/>
          <w:szCs w:val="24"/>
        </w:rPr>
        <w:t xml:space="preserve"> </w:t>
      </w:r>
      <w:r w:rsidR="00081428" w:rsidRPr="0050576F">
        <w:rPr>
          <w:rFonts w:ascii="Book Antiqua" w:hAnsi="Book Antiqua" w:cs="Arial Unicode MS"/>
          <w:color w:val="000000" w:themeColor="text1"/>
          <w:sz w:val="24"/>
          <w:szCs w:val="24"/>
        </w:rPr>
        <w:t>serum samples</w:t>
      </w:r>
      <w:r w:rsidR="00DB4913">
        <w:rPr>
          <w:rFonts w:ascii="Book Antiqua" w:hAnsi="Book Antiqua" w:cs="Arial Unicode MS"/>
          <w:color w:val="000000" w:themeColor="text1"/>
          <w:sz w:val="24"/>
          <w:szCs w:val="24"/>
        </w:rPr>
        <w:t xml:space="preserve"> from patients with hepatocellular carcinoma</w:t>
      </w:r>
      <w:r w:rsidR="00081428" w:rsidRPr="0050576F">
        <w:rPr>
          <w:rFonts w:ascii="Book Antiqua" w:hAnsi="Book Antiqua" w:cs="Arial Unicode MS"/>
          <w:color w:val="000000" w:themeColor="text1"/>
          <w:sz w:val="24"/>
          <w:szCs w:val="24"/>
        </w:rPr>
        <w:t>. W</w:t>
      </w:r>
      <w:r w:rsidR="0099760F" w:rsidRPr="0050576F">
        <w:rPr>
          <w:rFonts w:ascii="Book Antiqua" w:hAnsi="Book Antiqua" w:cs="Arial Unicode MS"/>
          <w:color w:val="000000" w:themeColor="text1"/>
          <w:sz w:val="24"/>
          <w:szCs w:val="24"/>
        </w:rPr>
        <w:t>e process</w:t>
      </w:r>
      <w:r w:rsidR="00B570DA">
        <w:rPr>
          <w:rFonts w:ascii="Book Antiqua" w:hAnsi="Book Antiqua" w:cs="Arial Unicode MS"/>
          <w:color w:val="000000" w:themeColor="text1"/>
          <w:sz w:val="24"/>
          <w:szCs w:val="24"/>
        </w:rPr>
        <w:t>ed</w:t>
      </w:r>
      <w:r w:rsidR="0099760F" w:rsidRPr="0050576F">
        <w:rPr>
          <w:rFonts w:ascii="Book Antiqua" w:hAnsi="Book Antiqua" w:cs="Arial Unicode MS"/>
          <w:color w:val="000000" w:themeColor="text1"/>
          <w:sz w:val="24"/>
          <w:szCs w:val="24"/>
        </w:rPr>
        <w:t xml:space="preserve"> multivariate data using </w:t>
      </w:r>
      <w:r w:rsidR="00081428" w:rsidRPr="0050576F">
        <w:rPr>
          <w:rFonts w:ascii="Book Antiqua" w:hAnsi="Book Antiqua" w:cs="Arial Unicode MS"/>
          <w:color w:val="000000" w:themeColor="text1"/>
          <w:sz w:val="24"/>
          <w:szCs w:val="24"/>
        </w:rPr>
        <w:t>pattern recognition</w:t>
      </w:r>
      <w:r w:rsidR="0099760F" w:rsidRPr="0050576F">
        <w:rPr>
          <w:rFonts w:ascii="Book Antiqua" w:hAnsi="Book Antiqua" w:cs="Arial Unicode MS"/>
          <w:color w:val="000000" w:themeColor="text1"/>
          <w:sz w:val="24"/>
          <w:szCs w:val="24"/>
        </w:rPr>
        <w:t xml:space="preserve"> analysis</w:t>
      </w:r>
      <w:r w:rsidR="00081428" w:rsidRPr="0050576F">
        <w:rPr>
          <w:rFonts w:ascii="Book Antiqua" w:hAnsi="Book Antiqua" w:cs="Arial Unicode MS"/>
          <w:color w:val="000000" w:themeColor="text1"/>
          <w:sz w:val="24"/>
          <w:szCs w:val="24"/>
        </w:rPr>
        <w:t xml:space="preserve"> and established a di</w:t>
      </w:r>
      <w:r w:rsidR="00B570DA">
        <w:rPr>
          <w:rFonts w:ascii="Book Antiqua" w:hAnsi="Book Antiqua" w:cs="Arial Unicode MS"/>
          <w:color w:val="000000" w:themeColor="text1"/>
          <w:sz w:val="24"/>
          <w:szCs w:val="24"/>
        </w:rPr>
        <w:t>a</w:t>
      </w:r>
      <w:r w:rsidR="00081428" w:rsidRPr="0050576F">
        <w:rPr>
          <w:rFonts w:ascii="Book Antiqua" w:hAnsi="Book Antiqua" w:cs="Arial Unicode MS"/>
          <w:color w:val="000000" w:themeColor="text1"/>
          <w:sz w:val="24"/>
          <w:szCs w:val="24"/>
        </w:rPr>
        <w:t>gnos</w:t>
      </w:r>
      <w:r w:rsidR="00B570DA">
        <w:rPr>
          <w:rFonts w:ascii="Book Antiqua" w:hAnsi="Book Antiqua" w:cs="Arial Unicode MS"/>
          <w:color w:val="000000" w:themeColor="text1"/>
          <w:sz w:val="24"/>
          <w:szCs w:val="24"/>
        </w:rPr>
        <w:t>tic</w:t>
      </w:r>
      <w:r w:rsidR="00081428" w:rsidRPr="0050576F">
        <w:rPr>
          <w:rFonts w:ascii="Book Antiqua" w:hAnsi="Book Antiqua" w:cs="Arial Unicode MS"/>
          <w:color w:val="000000" w:themeColor="text1"/>
          <w:sz w:val="24"/>
          <w:szCs w:val="24"/>
        </w:rPr>
        <w:t xml:space="preserve"> </w:t>
      </w:r>
      <w:r w:rsidR="0099760F" w:rsidRPr="0050576F">
        <w:rPr>
          <w:rFonts w:ascii="Book Antiqua" w:hAnsi="Book Antiqua" w:cs="Arial Unicode MS"/>
          <w:color w:val="000000" w:themeColor="text1"/>
          <w:sz w:val="24"/>
          <w:szCs w:val="24"/>
        </w:rPr>
        <w:t xml:space="preserve">model that included hydroxypurine and proline. The accuracy and </w:t>
      </w:r>
      <w:r w:rsidR="009F5F25" w:rsidRPr="0050576F">
        <w:rPr>
          <w:rFonts w:ascii="Book Antiqua" w:hAnsi="Book Antiqua"/>
          <w:color w:val="000000" w:themeColor="text1"/>
          <w:sz w:val="24"/>
          <w:szCs w:val="24"/>
        </w:rPr>
        <w:t xml:space="preserve">area under </w:t>
      </w:r>
      <w:r w:rsidR="00B570DA">
        <w:rPr>
          <w:rFonts w:ascii="Book Antiqua" w:hAnsi="Book Antiqua"/>
          <w:color w:val="000000" w:themeColor="text1"/>
          <w:sz w:val="24"/>
          <w:szCs w:val="24"/>
        </w:rPr>
        <w:t xml:space="preserve">the </w:t>
      </w:r>
      <w:r w:rsidR="009F5F25" w:rsidRPr="0050576F">
        <w:rPr>
          <w:rFonts w:ascii="Book Antiqua" w:hAnsi="Book Antiqua"/>
          <w:color w:val="000000" w:themeColor="text1"/>
          <w:sz w:val="24"/>
          <w:szCs w:val="24"/>
        </w:rPr>
        <w:t>curve</w:t>
      </w:r>
      <w:r w:rsidR="00081428" w:rsidRPr="0050576F">
        <w:rPr>
          <w:rFonts w:ascii="Book Antiqua" w:hAnsi="Book Antiqua" w:cs="Arial Unicode MS"/>
          <w:color w:val="000000" w:themeColor="text1"/>
          <w:sz w:val="24"/>
          <w:szCs w:val="24"/>
        </w:rPr>
        <w:t xml:space="preserve"> </w:t>
      </w:r>
      <w:r w:rsidR="0099760F" w:rsidRPr="0050576F">
        <w:rPr>
          <w:rFonts w:ascii="Book Antiqua" w:hAnsi="Book Antiqua" w:cs="Arial Unicode MS"/>
          <w:color w:val="000000" w:themeColor="text1"/>
          <w:sz w:val="24"/>
          <w:szCs w:val="24"/>
        </w:rPr>
        <w:t xml:space="preserve">were 95.00% and 0.90 for the training set, respectively, and 78.95% and 0.84 for the validation set, respectively. </w:t>
      </w:r>
      <w:r w:rsidR="00C7192D">
        <w:rPr>
          <w:rFonts w:ascii="Book Antiqua" w:hAnsi="Book Antiqua" w:cs="Arial Unicode MS"/>
          <w:color w:val="000000" w:themeColor="text1"/>
          <w:sz w:val="24"/>
          <w:szCs w:val="24"/>
        </w:rPr>
        <w:t>The</w:t>
      </w:r>
      <w:r w:rsidR="00B570DA">
        <w:rPr>
          <w:rFonts w:ascii="Book Antiqua" w:hAnsi="Book Antiqua" w:cs="Arial Unicode MS"/>
          <w:color w:val="000000" w:themeColor="text1"/>
          <w:sz w:val="24"/>
          <w:szCs w:val="24"/>
        </w:rPr>
        <w:t xml:space="preserve"> </w:t>
      </w:r>
      <w:r w:rsidR="0099760F" w:rsidRPr="0050576F">
        <w:rPr>
          <w:rFonts w:ascii="Book Antiqua" w:hAnsi="Book Antiqua" w:cs="Arial Unicode MS"/>
          <w:i/>
          <w:color w:val="000000" w:themeColor="text1"/>
          <w:sz w:val="24"/>
          <w:szCs w:val="24"/>
        </w:rPr>
        <w:t>Z</w:t>
      </w:r>
      <w:r w:rsidR="0099760F" w:rsidRPr="0050576F">
        <w:rPr>
          <w:rFonts w:ascii="Book Antiqua" w:hAnsi="Book Antiqua" w:cs="Arial Unicode MS"/>
          <w:color w:val="000000" w:themeColor="text1"/>
          <w:sz w:val="24"/>
          <w:szCs w:val="24"/>
        </w:rPr>
        <w:t xml:space="preserve"> test revealed that the </w:t>
      </w:r>
      <w:r w:rsidR="009F5F25" w:rsidRPr="0050576F">
        <w:rPr>
          <w:rFonts w:ascii="Book Antiqua" w:hAnsi="Book Antiqua"/>
          <w:color w:val="000000" w:themeColor="text1"/>
          <w:sz w:val="24"/>
          <w:szCs w:val="24"/>
        </w:rPr>
        <w:t xml:space="preserve">area under </w:t>
      </w:r>
      <w:r w:rsidR="00B570DA">
        <w:rPr>
          <w:rFonts w:ascii="Book Antiqua" w:hAnsi="Book Antiqua"/>
          <w:color w:val="000000" w:themeColor="text1"/>
          <w:sz w:val="24"/>
          <w:szCs w:val="24"/>
        </w:rPr>
        <w:t xml:space="preserve">the </w:t>
      </w:r>
      <w:r w:rsidR="009F5F25" w:rsidRPr="0050576F">
        <w:rPr>
          <w:rFonts w:ascii="Book Antiqua" w:hAnsi="Book Antiqua"/>
          <w:color w:val="000000" w:themeColor="text1"/>
          <w:sz w:val="24"/>
          <w:szCs w:val="24"/>
        </w:rPr>
        <w:t>curve</w:t>
      </w:r>
      <w:r w:rsidR="0099760F" w:rsidRPr="0050576F">
        <w:rPr>
          <w:rFonts w:ascii="Book Antiqua" w:hAnsi="Book Antiqua" w:cs="Arial Unicode MS"/>
          <w:color w:val="000000" w:themeColor="text1"/>
          <w:sz w:val="24"/>
          <w:szCs w:val="24"/>
        </w:rPr>
        <w:t xml:space="preserve"> of the model was significantly higher than that of α-fetoprotein.</w:t>
      </w:r>
      <w:r w:rsidR="004B17E3" w:rsidRPr="0050576F">
        <w:rPr>
          <w:rFonts w:ascii="Book Antiqua" w:hAnsi="Book Antiqua" w:cs="Arial Unicode MS"/>
          <w:color w:val="000000" w:themeColor="text1"/>
          <w:sz w:val="24"/>
          <w:szCs w:val="24"/>
        </w:rPr>
        <w:t xml:space="preserve"> </w:t>
      </w:r>
      <w:r w:rsidR="0099760F" w:rsidRPr="0050576F">
        <w:rPr>
          <w:rFonts w:ascii="Book Antiqua" w:hAnsi="Book Antiqua" w:cs="Arial Unicode MS"/>
          <w:color w:val="000000" w:themeColor="text1"/>
          <w:sz w:val="24"/>
          <w:szCs w:val="24"/>
        </w:rPr>
        <w:t xml:space="preserve">The results suggest that hydroxypurine and proline might be novel biomarkers for </w:t>
      </w:r>
      <w:r w:rsidR="004B17E3" w:rsidRPr="0050576F">
        <w:rPr>
          <w:rFonts w:ascii="Book Antiqua" w:hAnsi="Book Antiqua"/>
          <w:color w:val="000000" w:themeColor="text1"/>
          <w:sz w:val="24"/>
          <w:szCs w:val="24"/>
        </w:rPr>
        <w:t xml:space="preserve">hepatocellular </w:t>
      </w:r>
      <w:r w:rsidR="009F5F25" w:rsidRPr="0050576F">
        <w:rPr>
          <w:rFonts w:ascii="Book Antiqua" w:hAnsi="Book Antiqua"/>
          <w:color w:val="000000" w:themeColor="text1"/>
          <w:sz w:val="24"/>
          <w:szCs w:val="24"/>
        </w:rPr>
        <w:t>carcinoma</w:t>
      </w:r>
      <w:r w:rsidR="0099760F" w:rsidRPr="0050576F">
        <w:rPr>
          <w:rFonts w:ascii="Book Antiqua" w:hAnsi="Book Antiqua" w:cs="Arial Unicode MS"/>
          <w:color w:val="000000" w:themeColor="text1"/>
          <w:sz w:val="24"/>
          <w:szCs w:val="24"/>
        </w:rPr>
        <w:t xml:space="preserve">, and </w:t>
      </w:r>
      <w:r w:rsidR="00B570DA">
        <w:rPr>
          <w:rFonts w:ascii="Book Antiqua" w:hAnsi="Book Antiqua" w:cs="Arial Unicode MS"/>
          <w:color w:val="000000" w:themeColor="text1"/>
          <w:sz w:val="24"/>
          <w:szCs w:val="24"/>
        </w:rPr>
        <w:t>the</w:t>
      </w:r>
      <w:r w:rsidR="0099760F" w:rsidRPr="0050576F">
        <w:rPr>
          <w:rFonts w:ascii="Book Antiqua" w:hAnsi="Book Antiqua" w:cs="Arial Unicode MS"/>
          <w:color w:val="000000" w:themeColor="text1"/>
          <w:sz w:val="24"/>
          <w:szCs w:val="24"/>
        </w:rPr>
        <w:t xml:space="preserve"> pattern recognition metabolomics model </w:t>
      </w:r>
      <w:r w:rsidR="00B570DA">
        <w:rPr>
          <w:rFonts w:ascii="Book Antiqua" w:hAnsi="Book Antiqua" w:cs="Arial Unicode MS"/>
          <w:color w:val="000000" w:themeColor="text1"/>
          <w:sz w:val="24"/>
          <w:szCs w:val="24"/>
        </w:rPr>
        <w:t xml:space="preserve">could be used </w:t>
      </w:r>
      <w:r w:rsidR="0099760F" w:rsidRPr="0050576F">
        <w:rPr>
          <w:rFonts w:ascii="Book Antiqua" w:hAnsi="Book Antiqua" w:cs="Arial Unicode MS"/>
          <w:color w:val="000000" w:themeColor="text1"/>
          <w:sz w:val="24"/>
          <w:szCs w:val="24"/>
        </w:rPr>
        <w:t xml:space="preserve">to diagnose </w:t>
      </w:r>
      <w:r w:rsidR="00DD4297" w:rsidRPr="0050576F">
        <w:rPr>
          <w:rFonts w:ascii="Book Antiqua" w:hAnsi="Book Antiqua"/>
          <w:color w:val="000000" w:themeColor="text1"/>
          <w:sz w:val="24"/>
          <w:szCs w:val="24"/>
        </w:rPr>
        <w:t xml:space="preserve">hepatocellular </w:t>
      </w:r>
      <w:r w:rsidR="009F5F25" w:rsidRPr="0050576F">
        <w:rPr>
          <w:rFonts w:ascii="Book Antiqua" w:hAnsi="Book Antiqua"/>
          <w:color w:val="000000" w:themeColor="text1"/>
          <w:sz w:val="24"/>
          <w:szCs w:val="24"/>
        </w:rPr>
        <w:t>carcinoma</w:t>
      </w:r>
      <w:r w:rsidR="0099760F" w:rsidRPr="0050576F">
        <w:rPr>
          <w:rFonts w:ascii="Book Antiqua" w:hAnsi="Book Antiqua" w:cs="Arial Unicode MS"/>
          <w:color w:val="000000" w:themeColor="text1"/>
          <w:sz w:val="24"/>
          <w:szCs w:val="24"/>
        </w:rPr>
        <w:t>.</w:t>
      </w:r>
      <w:bookmarkEnd w:id="28"/>
      <w:bookmarkEnd w:id="29"/>
    </w:p>
    <w:bookmarkEnd w:id="30"/>
    <w:bookmarkEnd w:id="31"/>
    <w:p w14:paraId="26FB7DD6" w14:textId="77777777" w:rsidR="00EB3C3C" w:rsidRPr="0050576F" w:rsidRDefault="00730055" w:rsidP="0050576F">
      <w:pPr>
        <w:snapToGrid w:val="0"/>
        <w:spacing w:line="360" w:lineRule="auto"/>
        <w:rPr>
          <w:rFonts w:ascii="Book Antiqua" w:hAnsi="Book Antiqua"/>
          <w:b/>
          <w:color w:val="000000" w:themeColor="text1"/>
          <w:kern w:val="0"/>
          <w:sz w:val="24"/>
          <w:szCs w:val="24"/>
          <w:u w:val="single"/>
        </w:rPr>
      </w:pPr>
      <w:r w:rsidRPr="0050576F">
        <w:rPr>
          <w:rFonts w:ascii="Book Antiqua" w:hAnsi="Book Antiqua"/>
          <w:b/>
          <w:color w:val="000000" w:themeColor="text1"/>
          <w:kern w:val="0"/>
          <w:sz w:val="24"/>
          <w:szCs w:val="24"/>
        </w:rPr>
        <w:br w:type="page"/>
      </w:r>
      <w:r w:rsidRPr="0050576F">
        <w:rPr>
          <w:rFonts w:ascii="Book Antiqua" w:eastAsia="Book Antiqua" w:hAnsi="Book Antiqua" w:cs="Book Antiqua"/>
          <w:b/>
          <w:color w:val="000000" w:themeColor="text1"/>
          <w:sz w:val="24"/>
          <w:szCs w:val="24"/>
          <w:u w:val="single"/>
        </w:rPr>
        <w:lastRenderedPageBreak/>
        <w:t>INTRODUCTION</w:t>
      </w:r>
    </w:p>
    <w:p w14:paraId="19175389" w14:textId="5127C537" w:rsidR="00EB3C3C" w:rsidRPr="0050576F" w:rsidRDefault="00730055" w:rsidP="0050576F">
      <w:pPr>
        <w:snapToGrid w:val="0"/>
        <w:spacing w:line="360" w:lineRule="auto"/>
        <w:rPr>
          <w:rFonts w:ascii="Book Antiqua" w:hAnsi="Book Antiqua"/>
          <w:color w:val="000000" w:themeColor="text1"/>
          <w:sz w:val="24"/>
          <w:szCs w:val="24"/>
        </w:rPr>
      </w:pPr>
      <w:bookmarkStart w:id="32" w:name="OLE_LINK465"/>
      <w:bookmarkStart w:id="33" w:name="OLE_LINK466"/>
      <w:bookmarkStart w:id="34" w:name="_Hlk39835915"/>
      <w:r w:rsidRPr="0050576F">
        <w:rPr>
          <w:rFonts w:ascii="Book Antiqua" w:hAnsi="Book Antiqua"/>
          <w:color w:val="000000" w:themeColor="text1"/>
          <w:sz w:val="24"/>
          <w:szCs w:val="24"/>
        </w:rPr>
        <w:t>Hepatocellular carcinoma</w:t>
      </w:r>
      <w:bookmarkEnd w:id="32"/>
      <w:bookmarkEnd w:id="33"/>
      <w:r w:rsidRPr="0050576F">
        <w:rPr>
          <w:rFonts w:ascii="Book Antiqua" w:hAnsi="Book Antiqua"/>
          <w:color w:val="000000" w:themeColor="text1"/>
          <w:sz w:val="24"/>
          <w:szCs w:val="24"/>
        </w:rPr>
        <w:t xml:space="preserve"> (HCC) is the fifth most common cancer and the third leading cause of death </w:t>
      </w:r>
      <w:r w:rsidR="00DB4913">
        <w:rPr>
          <w:rFonts w:ascii="Book Antiqua" w:hAnsi="Book Antiqua"/>
          <w:color w:val="000000" w:themeColor="text1"/>
          <w:sz w:val="24"/>
          <w:szCs w:val="24"/>
        </w:rPr>
        <w:t>due to</w:t>
      </w:r>
      <w:r w:rsidRPr="0050576F">
        <w:rPr>
          <w:rFonts w:ascii="Book Antiqua" w:hAnsi="Book Antiqua"/>
          <w:color w:val="000000" w:themeColor="text1"/>
          <w:sz w:val="24"/>
          <w:szCs w:val="24"/>
        </w:rPr>
        <w:t xml:space="preserve"> cancer worldwide</w:t>
      </w:r>
      <w:bookmarkEnd w:id="34"/>
      <w:r w:rsidRPr="0050576F">
        <w:rPr>
          <w:rFonts w:ascii="Book Antiqua" w:eastAsia="Times New Roman" w:hAnsi="Book Antiqua"/>
          <w:color w:val="000000" w:themeColor="text1"/>
          <w:sz w:val="24"/>
          <w:szCs w:val="24"/>
          <w:vertAlign w:val="superscript"/>
        </w:rPr>
        <w:t>[1]</w:t>
      </w:r>
      <w:r w:rsidRPr="0050576F">
        <w:rPr>
          <w:rFonts w:ascii="Book Antiqua" w:hAnsi="Book Antiqua"/>
          <w:color w:val="000000" w:themeColor="text1"/>
          <w:sz w:val="24"/>
          <w:szCs w:val="24"/>
        </w:rPr>
        <w:t xml:space="preserve">. In particular, approximately 50% of the total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 xml:space="preserve">HCC in the world </w:t>
      </w:r>
      <w:r w:rsidRPr="0050576F">
        <w:rPr>
          <w:rFonts w:ascii="Book Antiqua" w:eastAsia="MS Mincho" w:hAnsi="Book Antiqua"/>
          <w:color w:val="000000" w:themeColor="text1"/>
          <w:sz w:val="24"/>
          <w:szCs w:val="24"/>
          <w:lang w:eastAsia="ja-JP"/>
        </w:rPr>
        <w:t xml:space="preserve">are </w:t>
      </w:r>
      <w:r w:rsidRPr="0050576F">
        <w:rPr>
          <w:rFonts w:ascii="Book Antiqua" w:hAnsi="Book Antiqua"/>
          <w:color w:val="000000" w:themeColor="text1"/>
          <w:sz w:val="24"/>
          <w:szCs w:val="24"/>
        </w:rPr>
        <w:t>from China, owing to the highest ca</w:t>
      </w:r>
      <w:r w:rsidR="00254D4E" w:rsidRPr="0050576F">
        <w:rPr>
          <w:rFonts w:ascii="Book Antiqua" w:hAnsi="Book Antiqua"/>
          <w:color w:val="000000" w:themeColor="text1"/>
          <w:sz w:val="24"/>
          <w:szCs w:val="24"/>
        </w:rPr>
        <w:t>rrier prevalence of hepatitis B</w:t>
      </w:r>
      <w:r w:rsidRPr="0050576F">
        <w:rPr>
          <w:rFonts w:ascii="Book Antiqua" w:eastAsia="Times New Roman" w:hAnsi="Book Antiqua"/>
          <w:color w:val="000000" w:themeColor="text1"/>
          <w:sz w:val="24"/>
          <w:szCs w:val="24"/>
          <w:vertAlign w:val="superscript"/>
        </w:rPr>
        <w:t>[2-4]</w:t>
      </w:r>
      <w:r w:rsidRPr="0050576F">
        <w:rPr>
          <w:rFonts w:ascii="Book Antiqua" w:hAnsi="Book Antiqua"/>
          <w:color w:val="000000" w:themeColor="text1"/>
          <w:sz w:val="24"/>
          <w:szCs w:val="24"/>
        </w:rPr>
        <w:t>.</w:t>
      </w:r>
      <w:bookmarkStart w:id="35" w:name="_Hlk39835974"/>
      <w:r w:rsidRPr="0050576F">
        <w:rPr>
          <w:rFonts w:ascii="Book Antiqua" w:hAnsi="Book Antiqua"/>
          <w:color w:val="000000" w:themeColor="text1"/>
          <w:sz w:val="24"/>
          <w:szCs w:val="24"/>
        </w:rPr>
        <w:t xml:space="preserve"> Early diagnosis of HCC offers patients a bette</w:t>
      </w:r>
      <w:r w:rsidR="00254D4E" w:rsidRPr="0050576F">
        <w:rPr>
          <w:rFonts w:ascii="Book Antiqua" w:hAnsi="Book Antiqua"/>
          <w:color w:val="000000" w:themeColor="text1"/>
          <w:sz w:val="24"/>
          <w:szCs w:val="24"/>
        </w:rPr>
        <w:t>r chance for long-term survival</w:t>
      </w:r>
      <w:r w:rsidRPr="0050576F">
        <w:rPr>
          <w:rFonts w:ascii="Book Antiqua" w:eastAsia="Times New Roman" w:hAnsi="Book Antiqua"/>
          <w:color w:val="000000" w:themeColor="text1"/>
          <w:sz w:val="24"/>
          <w:szCs w:val="24"/>
          <w:vertAlign w:val="superscript"/>
        </w:rPr>
        <w:t>[5]</w:t>
      </w:r>
      <w:r w:rsidRPr="0050576F">
        <w:rPr>
          <w:rFonts w:ascii="Book Antiqua" w:hAnsi="Book Antiqua"/>
          <w:color w:val="000000" w:themeColor="text1"/>
          <w:sz w:val="24"/>
          <w:szCs w:val="24"/>
        </w:rPr>
        <w:t>. Although imaging technologies such as magnetic resonance imaging and ultrasonography</w:t>
      </w:r>
      <w:r w:rsidR="00DB4913">
        <w:rPr>
          <w:rFonts w:ascii="Book Antiqua" w:hAnsi="Book Antiqua"/>
          <w:color w:val="000000" w:themeColor="text1"/>
          <w:sz w:val="24"/>
          <w:szCs w:val="24"/>
        </w:rPr>
        <w:t>,</w:t>
      </w:r>
      <w:r w:rsidRPr="0050576F">
        <w:rPr>
          <w:rFonts w:ascii="Book Antiqua" w:hAnsi="Book Antiqua"/>
          <w:color w:val="000000" w:themeColor="text1"/>
          <w:sz w:val="24"/>
          <w:szCs w:val="24"/>
        </w:rPr>
        <w:t xml:space="preserve"> and serum biomarkers </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notably α-fetoprotein (AFP)</w:t>
      </w:r>
      <w:r w:rsidR="00373320" w:rsidRPr="0050576F">
        <w:rPr>
          <w:rFonts w:ascii="Book Antiqua" w:hAnsi="Book Antiqua"/>
          <w:color w:val="000000" w:themeColor="text1"/>
          <w:sz w:val="24"/>
          <w:szCs w:val="24"/>
        </w:rPr>
        <w:t>]</w:t>
      </w:r>
      <w:r w:rsidR="00B22342">
        <w:rPr>
          <w:rFonts w:ascii="Book Antiqua" w:hAnsi="Book Antiqua"/>
          <w:color w:val="000000" w:themeColor="text1"/>
          <w:sz w:val="24"/>
          <w:szCs w:val="24"/>
        </w:rPr>
        <w:t xml:space="preserve"> </w:t>
      </w:r>
      <w:r w:rsidRPr="0050576F">
        <w:rPr>
          <w:rFonts w:ascii="Book Antiqua" w:hAnsi="Book Antiqua"/>
          <w:color w:val="000000" w:themeColor="text1"/>
          <w:sz w:val="24"/>
          <w:szCs w:val="24"/>
        </w:rPr>
        <w:t>are widely use</w:t>
      </w:r>
      <w:r w:rsidR="00254D4E" w:rsidRPr="0050576F">
        <w:rPr>
          <w:rFonts w:ascii="Book Antiqua" w:hAnsi="Book Antiqua"/>
          <w:color w:val="000000" w:themeColor="text1"/>
          <w:sz w:val="24"/>
          <w:szCs w:val="24"/>
        </w:rPr>
        <w:t>d to diagnose HCC in the clinic</w:t>
      </w:r>
      <w:r w:rsidRPr="0050576F">
        <w:rPr>
          <w:rFonts w:ascii="Book Antiqua" w:eastAsia="Times New Roman" w:hAnsi="Book Antiqua"/>
          <w:color w:val="000000" w:themeColor="text1"/>
          <w:sz w:val="24"/>
          <w:szCs w:val="24"/>
          <w:vertAlign w:val="superscript"/>
        </w:rPr>
        <w:t>[6]</w:t>
      </w:r>
      <w:r w:rsidRPr="0050576F">
        <w:rPr>
          <w:rFonts w:ascii="Book Antiqua" w:hAnsi="Book Antiqua"/>
          <w:color w:val="000000" w:themeColor="text1"/>
          <w:sz w:val="24"/>
          <w:szCs w:val="24"/>
        </w:rPr>
        <w:t xml:space="preserve">, they are far from satisfactory because </w:t>
      </w:r>
      <w:r w:rsidRPr="0050576F">
        <w:rPr>
          <w:rFonts w:ascii="Book Antiqua" w:eastAsia="MS Mincho" w:hAnsi="Book Antiqua"/>
          <w:color w:val="000000" w:themeColor="text1"/>
          <w:sz w:val="24"/>
          <w:szCs w:val="24"/>
          <w:lang w:eastAsia="ja-JP"/>
        </w:rPr>
        <w:t xml:space="preserve">they </w:t>
      </w:r>
      <w:r w:rsidRPr="0050576F">
        <w:rPr>
          <w:rFonts w:ascii="Book Antiqua" w:hAnsi="Book Antiqua"/>
          <w:color w:val="000000" w:themeColor="text1"/>
          <w:sz w:val="24"/>
          <w:szCs w:val="24"/>
        </w:rPr>
        <w:t>lack sensitivity and specificity</w:t>
      </w:r>
      <w:bookmarkEnd w:id="35"/>
      <w:r w:rsidRPr="0050576F">
        <w:rPr>
          <w:rFonts w:ascii="Book Antiqua" w:eastAsia="Times New Roman" w:hAnsi="Book Antiqua"/>
          <w:color w:val="000000" w:themeColor="text1"/>
          <w:sz w:val="24"/>
          <w:szCs w:val="24"/>
          <w:vertAlign w:val="superscript"/>
        </w:rPr>
        <w:t>[7]</w:t>
      </w:r>
      <w:r w:rsidRPr="0050576F">
        <w:rPr>
          <w:rFonts w:ascii="Book Antiqua" w:hAnsi="Book Antiqua"/>
          <w:color w:val="000000" w:themeColor="text1"/>
          <w:sz w:val="24"/>
          <w:szCs w:val="24"/>
        </w:rPr>
        <w:t>. Therefore, there is an urgent and unmet desire for novel screening methods and new biomarkers.</w:t>
      </w:r>
    </w:p>
    <w:p w14:paraId="2EEC6B9D" w14:textId="3B08D8BD"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 xml:space="preserve">The emergence of metabolomics has </w:t>
      </w:r>
      <w:r w:rsidR="00DB4913">
        <w:rPr>
          <w:rFonts w:ascii="Book Antiqua" w:hAnsi="Book Antiqua"/>
          <w:color w:val="000000" w:themeColor="text1"/>
          <w:sz w:val="24"/>
          <w:szCs w:val="24"/>
        </w:rPr>
        <w:t>provided</w:t>
      </w:r>
      <w:r w:rsidRPr="0050576F">
        <w:rPr>
          <w:rFonts w:ascii="Book Antiqua" w:hAnsi="Book Antiqua"/>
          <w:color w:val="000000" w:themeColor="text1"/>
          <w:sz w:val="24"/>
          <w:szCs w:val="24"/>
        </w:rPr>
        <w:t xml:space="preserve"> a powerful tool for discovering novel biomarkers and revealing metabolic pathwa</w:t>
      </w:r>
      <w:r w:rsidR="00254D4E" w:rsidRPr="0050576F">
        <w:rPr>
          <w:rFonts w:ascii="Book Antiqua" w:hAnsi="Book Antiqua"/>
          <w:color w:val="000000" w:themeColor="text1"/>
          <w:sz w:val="24"/>
          <w:szCs w:val="24"/>
        </w:rPr>
        <w:t>ys of cancer and liver diseases</w:t>
      </w:r>
      <w:r w:rsidR="00254D4E" w:rsidRPr="0050576F">
        <w:rPr>
          <w:rFonts w:ascii="Book Antiqua" w:eastAsia="Times New Roman" w:hAnsi="Book Antiqua"/>
          <w:color w:val="000000" w:themeColor="text1"/>
          <w:sz w:val="24"/>
          <w:szCs w:val="24"/>
          <w:vertAlign w:val="superscript"/>
        </w:rPr>
        <w:t>[8,</w:t>
      </w:r>
      <w:r w:rsidRPr="0050576F">
        <w:rPr>
          <w:rFonts w:ascii="Book Antiqua" w:eastAsia="Times New Roman" w:hAnsi="Book Antiqua"/>
          <w:color w:val="000000" w:themeColor="text1"/>
          <w:sz w:val="24"/>
          <w:szCs w:val="24"/>
          <w:vertAlign w:val="superscript"/>
        </w:rPr>
        <w:t>9]</w:t>
      </w:r>
      <w:r w:rsidRPr="0050576F">
        <w:rPr>
          <w:rFonts w:ascii="Book Antiqua" w:hAnsi="Book Antiqua"/>
          <w:color w:val="000000" w:themeColor="text1"/>
          <w:sz w:val="24"/>
          <w:szCs w:val="24"/>
        </w:rPr>
        <w:t>. A metabolomics approach to screen individual metabolites or their co</w:t>
      </w:r>
      <w:r w:rsidR="00254D4E" w:rsidRPr="0050576F">
        <w:rPr>
          <w:rFonts w:ascii="Book Antiqua" w:hAnsi="Book Antiqua"/>
          <w:color w:val="000000" w:themeColor="text1"/>
          <w:sz w:val="24"/>
          <w:szCs w:val="24"/>
        </w:rPr>
        <w:t xml:space="preserve">mbinations for </w:t>
      </w:r>
      <w:r w:rsidR="00DB4913">
        <w:rPr>
          <w:rFonts w:ascii="Book Antiqua" w:hAnsi="Book Antiqua"/>
          <w:color w:val="000000" w:themeColor="text1"/>
          <w:sz w:val="24"/>
          <w:szCs w:val="24"/>
        </w:rPr>
        <w:t xml:space="preserve">the </w:t>
      </w:r>
      <w:r w:rsidR="00254D4E" w:rsidRPr="0050576F">
        <w:rPr>
          <w:rFonts w:ascii="Book Antiqua" w:hAnsi="Book Antiqua"/>
          <w:color w:val="000000" w:themeColor="text1"/>
          <w:sz w:val="24"/>
          <w:szCs w:val="24"/>
        </w:rPr>
        <w:t>diagnosis of HCC</w:t>
      </w:r>
      <w:r w:rsidRPr="0050576F">
        <w:rPr>
          <w:rFonts w:ascii="Book Antiqua" w:eastAsia="Times New Roman" w:hAnsi="Book Antiqua"/>
          <w:color w:val="000000" w:themeColor="text1"/>
          <w:sz w:val="24"/>
          <w:szCs w:val="24"/>
          <w:vertAlign w:val="superscript"/>
        </w:rPr>
        <w:t>[10]</w:t>
      </w:r>
      <w:r w:rsidRPr="0050576F">
        <w:rPr>
          <w:rFonts w:ascii="Book Antiqua" w:hAnsi="Book Antiqua"/>
          <w:color w:val="000000" w:themeColor="text1"/>
          <w:sz w:val="24"/>
          <w:szCs w:val="24"/>
        </w:rPr>
        <w:t xml:space="preserve"> identified a series of potential biomarkers including phenylalanyl-tryptophan, glycocholate, </w:t>
      </w:r>
      <w:r w:rsidRPr="00C7192D">
        <w:rPr>
          <w:rFonts w:ascii="Book Antiqua" w:hAnsi="Book Antiqua"/>
          <w:color w:val="000000" w:themeColor="text1"/>
          <w:sz w:val="24"/>
          <w:szCs w:val="24"/>
        </w:rPr>
        <w:t>concanavanine</w:t>
      </w:r>
      <w:r w:rsidRPr="0050576F">
        <w:rPr>
          <w:rFonts w:ascii="Book Antiqua" w:hAnsi="Book Antiqua"/>
          <w:color w:val="000000" w:themeColor="text1"/>
          <w:sz w:val="24"/>
          <w:szCs w:val="24"/>
        </w:rPr>
        <w:t xml:space="preserve"> succinic acid, bile acid, long chain fatty acid, and so on for future clinical application</w:t>
      </w:r>
      <w:r w:rsidR="00254D4E" w:rsidRPr="0050576F">
        <w:rPr>
          <w:rFonts w:ascii="Book Antiqua" w:eastAsia="Times New Roman" w:hAnsi="Book Antiqua"/>
          <w:color w:val="000000" w:themeColor="text1"/>
          <w:sz w:val="24"/>
          <w:szCs w:val="24"/>
          <w:vertAlign w:val="superscript"/>
        </w:rPr>
        <w:t>[5,7,</w:t>
      </w:r>
      <w:r w:rsidRPr="0050576F">
        <w:rPr>
          <w:rFonts w:ascii="Book Antiqua" w:eastAsia="Times New Roman" w:hAnsi="Book Antiqua"/>
          <w:color w:val="000000" w:themeColor="text1"/>
          <w:sz w:val="24"/>
          <w:szCs w:val="24"/>
          <w:vertAlign w:val="superscript"/>
        </w:rPr>
        <w:t>11]</w:t>
      </w:r>
      <w:r w:rsidRPr="0050576F">
        <w:rPr>
          <w:rFonts w:ascii="Book Antiqua" w:hAnsi="Book Antiqua"/>
          <w:color w:val="000000" w:themeColor="text1"/>
          <w:sz w:val="24"/>
          <w:szCs w:val="24"/>
        </w:rPr>
        <w:t>. However, none of these markers have thus far been validated for clinical applications. Metabolomics datasets commonly contain hundreds to thousands of variables</w:t>
      </w:r>
      <w:r w:rsidRPr="0050576F">
        <w:rPr>
          <w:rFonts w:ascii="Book Antiqua" w:eastAsia="MS Mincho" w:hAnsi="Book Antiqua"/>
          <w:color w:val="000000" w:themeColor="text1"/>
          <w:sz w:val="24"/>
          <w:szCs w:val="24"/>
          <w:lang w:eastAsia="ja-JP"/>
        </w:rPr>
        <w:t>;</w:t>
      </w:r>
      <w:r w:rsidR="004B17E3" w:rsidRPr="0050576F">
        <w:rPr>
          <w:rFonts w:ascii="Book Antiqua" w:eastAsia="MS Mincho" w:hAnsi="Book Antiqua"/>
          <w:color w:val="000000" w:themeColor="text1"/>
          <w:sz w:val="24"/>
          <w:szCs w:val="24"/>
          <w:lang w:eastAsia="ja-JP"/>
        </w:rPr>
        <w:t xml:space="preserve"> </w:t>
      </w:r>
      <w:r w:rsidRPr="0050576F">
        <w:rPr>
          <w:rFonts w:ascii="Book Antiqua" w:eastAsia="MS Mincho" w:hAnsi="Book Antiqua"/>
          <w:color w:val="000000" w:themeColor="text1"/>
          <w:sz w:val="24"/>
          <w:szCs w:val="24"/>
          <w:lang w:eastAsia="ja-JP"/>
        </w:rPr>
        <w:t xml:space="preserve">however, </w:t>
      </w:r>
      <w:r w:rsidRPr="0050576F">
        <w:rPr>
          <w:rFonts w:ascii="Book Antiqua" w:hAnsi="Book Antiqua"/>
          <w:color w:val="000000" w:themeColor="text1"/>
          <w:sz w:val="24"/>
          <w:szCs w:val="24"/>
        </w:rPr>
        <w:t xml:space="preserve">biomarkers </w:t>
      </w:r>
      <w:r w:rsidRPr="0050576F">
        <w:rPr>
          <w:rFonts w:ascii="Book Antiqua" w:eastAsia="MS Mincho" w:hAnsi="Book Antiqua"/>
          <w:color w:val="000000" w:themeColor="text1"/>
          <w:sz w:val="24"/>
          <w:szCs w:val="24"/>
          <w:lang w:eastAsia="ja-JP"/>
        </w:rPr>
        <w:t xml:space="preserve">are identified </w:t>
      </w:r>
      <w:r w:rsidRPr="0050576F">
        <w:rPr>
          <w:rFonts w:ascii="Book Antiqua" w:hAnsi="Book Antiqua"/>
          <w:color w:val="000000" w:themeColor="text1"/>
          <w:sz w:val="24"/>
          <w:szCs w:val="24"/>
        </w:rPr>
        <w:t xml:space="preserve">using conventional data processing methods such as </w:t>
      </w:r>
      <w:bookmarkStart w:id="36" w:name="OLE_LINK457"/>
      <w:bookmarkStart w:id="37" w:name="OLE_LINK458"/>
      <w:r w:rsidRPr="0050576F">
        <w:rPr>
          <w:rFonts w:ascii="Book Antiqua" w:hAnsi="Book Antiqua"/>
          <w:color w:val="000000" w:themeColor="text1"/>
          <w:sz w:val="24"/>
          <w:szCs w:val="24"/>
        </w:rPr>
        <w:t>principal component analysis</w:t>
      </w:r>
      <w:bookmarkEnd w:id="36"/>
      <w:bookmarkEnd w:id="37"/>
      <w:r w:rsidRPr="0050576F">
        <w:rPr>
          <w:rFonts w:ascii="Book Antiqua" w:hAnsi="Book Antiqua"/>
          <w:color w:val="000000" w:themeColor="text1"/>
          <w:sz w:val="24"/>
          <w:szCs w:val="24"/>
        </w:rPr>
        <w:t xml:space="preserve"> (PCA), </w:t>
      </w:r>
      <w:bookmarkStart w:id="38" w:name="OLE_LINK459"/>
      <w:bookmarkStart w:id="39" w:name="OLE_LINK460"/>
      <w:r w:rsidRPr="0050576F">
        <w:rPr>
          <w:rFonts w:ascii="Book Antiqua" w:hAnsi="Book Antiqua"/>
          <w:color w:val="000000" w:themeColor="text1"/>
          <w:sz w:val="24"/>
          <w:szCs w:val="24"/>
        </w:rPr>
        <w:t>partial least squares discriminant analysis</w:t>
      </w:r>
      <w:bookmarkEnd w:id="38"/>
      <w:bookmarkEnd w:id="39"/>
      <w:r w:rsidRPr="0050576F">
        <w:rPr>
          <w:rFonts w:ascii="Book Antiqua" w:hAnsi="Book Antiqua"/>
          <w:color w:val="000000" w:themeColor="text1"/>
          <w:sz w:val="24"/>
          <w:szCs w:val="24"/>
        </w:rPr>
        <w:t xml:space="preserve"> (PLS-DA), </w:t>
      </w:r>
      <w:bookmarkStart w:id="40" w:name="OLE_LINK461"/>
      <w:bookmarkStart w:id="41" w:name="OLE_LINK462"/>
      <w:r w:rsidRPr="0050576F">
        <w:rPr>
          <w:rFonts w:ascii="Book Antiqua" w:hAnsi="Book Antiqua"/>
          <w:color w:val="000000" w:themeColor="text1"/>
          <w:sz w:val="24"/>
          <w:szCs w:val="24"/>
        </w:rPr>
        <w:t>orthogonal partial least squares discriminant analysis</w:t>
      </w:r>
      <w:bookmarkEnd w:id="40"/>
      <w:bookmarkEnd w:id="41"/>
      <w:r w:rsidRPr="0050576F">
        <w:rPr>
          <w:rFonts w:ascii="Book Antiqua" w:hAnsi="Book Antiqua"/>
          <w:color w:val="000000" w:themeColor="text1"/>
          <w:sz w:val="24"/>
          <w:szCs w:val="24"/>
        </w:rPr>
        <w:t xml:space="preserve"> (OPLS-DA)</w:t>
      </w:r>
      <w:r w:rsidRPr="0050576F">
        <w:rPr>
          <w:rFonts w:ascii="Book Antiqua" w:eastAsia="MS Mincho" w:hAnsi="Book Antiqua"/>
          <w:color w:val="000000" w:themeColor="text1"/>
          <w:sz w:val="24"/>
          <w:szCs w:val="24"/>
          <w:lang w:eastAsia="ja-JP"/>
        </w:rPr>
        <w:t>,</w:t>
      </w:r>
      <w:r w:rsidR="00254D4E" w:rsidRPr="0050576F">
        <w:rPr>
          <w:rFonts w:ascii="Book Antiqua" w:hAnsi="Book Antiqua"/>
          <w:color w:val="000000" w:themeColor="text1"/>
          <w:sz w:val="24"/>
          <w:szCs w:val="24"/>
        </w:rPr>
        <w:t xml:space="preserve"> and binary logistic regression</w:t>
      </w:r>
      <w:r w:rsidR="00254D4E" w:rsidRPr="0050576F">
        <w:rPr>
          <w:rFonts w:ascii="Book Antiqua" w:eastAsia="Times New Roman" w:hAnsi="Book Antiqua"/>
          <w:color w:val="000000" w:themeColor="text1"/>
          <w:sz w:val="24"/>
          <w:szCs w:val="24"/>
          <w:vertAlign w:val="superscript"/>
        </w:rPr>
        <w:t>[11,</w:t>
      </w:r>
      <w:r w:rsidRPr="0050576F">
        <w:rPr>
          <w:rFonts w:ascii="Book Antiqua" w:eastAsia="Times New Roman" w:hAnsi="Book Antiqua"/>
          <w:color w:val="000000" w:themeColor="text1"/>
          <w:sz w:val="24"/>
          <w:szCs w:val="24"/>
          <w:vertAlign w:val="superscript"/>
        </w:rPr>
        <w:t>12]</w:t>
      </w:r>
      <w:r w:rsidRPr="0050576F">
        <w:rPr>
          <w:rFonts w:ascii="Book Antiqua" w:hAnsi="Book Antiqua"/>
          <w:color w:val="000000" w:themeColor="text1"/>
          <w:sz w:val="24"/>
          <w:szCs w:val="24"/>
        </w:rPr>
        <w:t>. With the advent of data processing technology to handle big data, it is incumbent upon researchers in this area to adopt advanced methods such as pattern recognition to seek new biomarkers and to establish mathematical models that facilitate screening for HCC.</w:t>
      </w:r>
    </w:p>
    <w:p w14:paraId="3EE92C65" w14:textId="3C25C4A0"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 xml:space="preserve">In previous studies, we established a pattern recognition metabolomics method based on sequential feature selection combined with </w:t>
      </w:r>
      <w:bookmarkStart w:id="42" w:name="OLE_LINK463"/>
      <w:bookmarkStart w:id="43" w:name="OLE_LINK464"/>
      <w:bookmarkStart w:id="44" w:name="OLE_LINK485"/>
      <w:r w:rsidRPr="0050576F">
        <w:rPr>
          <w:rFonts w:ascii="Book Antiqua" w:hAnsi="Book Antiqua"/>
          <w:color w:val="000000" w:themeColor="text1"/>
          <w:sz w:val="24"/>
          <w:szCs w:val="24"/>
        </w:rPr>
        <w:t>linear discriminant analysis</w:t>
      </w:r>
      <w:bookmarkEnd w:id="42"/>
      <w:bookmarkEnd w:id="43"/>
      <w:bookmarkEnd w:id="44"/>
      <w:r w:rsidRPr="0050576F">
        <w:rPr>
          <w:rFonts w:ascii="Book Antiqua" w:hAnsi="Book Antiqua"/>
          <w:color w:val="000000" w:themeColor="text1"/>
          <w:sz w:val="24"/>
          <w:szCs w:val="24"/>
        </w:rPr>
        <w:t xml:space="preserve"> (LDA) to evaluate the severity of fulminant hepatic failure and for </w:t>
      </w:r>
      <w:r w:rsidR="00DB4913">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differential diagnosis of </w:t>
      </w:r>
      <w:r w:rsidRPr="0050576F">
        <w:rPr>
          <w:rFonts w:ascii="Book Antiqua" w:hAnsi="Book Antiqua"/>
          <w:i/>
          <w:color w:val="000000" w:themeColor="text1"/>
          <w:sz w:val="24"/>
          <w:szCs w:val="24"/>
        </w:rPr>
        <w:t>Clostridium difficile</w:t>
      </w:r>
      <w:r w:rsidR="00254D4E" w:rsidRPr="0050576F">
        <w:rPr>
          <w:rFonts w:ascii="Book Antiqua" w:hAnsi="Book Antiqua"/>
          <w:color w:val="000000" w:themeColor="text1"/>
          <w:sz w:val="24"/>
          <w:szCs w:val="24"/>
        </w:rPr>
        <w:t xml:space="preserve"> infection</w:t>
      </w:r>
      <w:r w:rsidR="00254D4E" w:rsidRPr="0050576F">
        <w:rPr>
          <w:rFonts w:ascii="Book Antiqua" w:eastAsia="Times New Roman" w:hAnsi="Book Antiqua"/>
          <w:color w:val="000000" w:themeColor="text1"/>
          <w:sz w:val="24"/>
          <w:szCs w:val="24"/>
          <w:vertAlign w:val="superscript"/>
        </w:rPr>
        <w:t>[13,</w:t>
      </w:r>
      <w:r w:rsidRPr="0050576F">
        <w:rPr>
          <w:rFonts w:ascii="Book Antiqua" w:eastAsia="Times New Roman" w:hAnsi="Book Antiqua"/>
          <w:color w:val="000000" w:themeColor="text1"/>
          <w:sz w:val="24"/>
          <w:szCs w:val="24"/>
          <w:vertAlign w:val="superscript"/>
        </w:rPr>
        <w:t>14]</w:t>
      </w:r>
      <w:r w:rsidRPr="0050576F">
        <w:rPr>
          <w:rFonts w:ascii="Book Antiqua" w:hAnsi="Book Antiqua"/>
          <w:color w:val="000000" w:themeColor="text1"/>
          <w:sz w:val="24"/>
          <w:szCs w:val="24"/>
        </w:rPr>
        <w:t xml:space="preserve">. In </w:t>
      </w:r>
      <w:r w:rsidRPr="0050576F">
        <w:rPr>
          <w:rFonts w:ascii="Book Antiqua" w:hAnsi="Book Antiqua"/>
          <w:color w:val="000000" w:themeColor="text1"/>
          <w:sz w:val="24"/>
          <w:szCs w:val="24"/>
        </w:rPr>
        <w:lastRenderedPageBreak/>
        <w:t xml:space="preserve">the current study, ultra-performance liquid chromatography-mass spectroscopy (UPLC-MS) was used to characterize the serum metabolomes of </w:t>
      </w:r>
      <w:r w:rsidRPr="0050576F">
        <w:rPr>
          <w:rFonts w:ascii="Book Antiqua" w:eastAsia="MS Mincho" w:hAnsi="Book Antiqua"/>
          <w:color w:val="000000" w:themeColor="text1"/>
          <w:sz w:val="24"/>
          <w:szCs w:val="24"/>
          <w:lang w:eastAsia="ja-JP"/>
        </w:rPr>
        <w:t xml:space="preserve">patients with </w:t>
      </w:r>
      <w:r w:rsidRPr="0050576F">
        <w:rPr>
          <w:rFonts w:ascii="Book Antiqua" w:hAnsi="Book Antiqua"/>
          <w:color w:val="000000" w:themeColor="text1"/>
          <w:sz w:val="24"/>
          <w:szCs w:val="24"/>
        </w:rPr>
        <w:t>HCC</w:t>
      </w:r>
      <w:r w:rsidRPr="0050576F">
        <w:rPr>
          <w:rFonts w:ascii="Book Antiqua" w:eastAsia="MS Mincho" w:hAnsi="Book Antiqua"/>
          <w:color w:val="000000" w:themeColor="text1"/>
          <w:sz w:val="24"/>
          <w:szCs w:val="24"/>
          <w:lang w:eastAsia="ja-JP"/>
        </w:rPr>
        <w:t xml:space="preserve">, patients with </w:t>
      </w:r>
      <w:r w:rsidRPr="0050576F">
        <w:rPr>
          <w:rFonts w:ascii="Book Antiqua" w:hAnsi="Book Antiqua"/>
          <w:color w:val="000000" w:themeColor="text1"/>
          <w:sz w:val="24"/>
          <w:szCs w:val="24"/>
        </w:rPr>
        <w:t>cirrhosis</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healthy controls. Furthermore, the pattern recognition method developed herein was used to process multivaria</w:t>
      </w:r>
      <w:r w:rsidR="00DB4913">
        <w:rPr>
          <w:rFonts w:ascii="Book Antiqua" w:hAnsi="Book Antiqua"/>
          <w:color w:val="000000" w:themeColor="text1"/>
          <w:sz w:val="24"/>
          <w:szCs w:val="24"/>
        </w:rPr>
        <w:t>t</w:t>
      </w:r>
      <w:r w:rsidRPr="0050576F">
        <w:rPr>
          <w:rFonts w:ascii="Book Antiqua" w:hAnsi="Book Antiqua"/>
          <w:color w:val="000000" w:themeColor="text1"/>
          <w:sz w:val="24"/>
          <w:szCs w:val="24"/>
        </w:rPr>
        <w:t>e data with the aim of developing a novel metabolomics diagnos</w:t>
      </w:r>
      <w:r w:rsidR="00DB4913">
        <w:rPr>
          <w:rFonts w:ascii="Book Antiqua" w:hAnsi="Book Antiqua"/>
          <w:color w:val="000000" w:themeColor="text1"/>
          <w:sz w:val="24"/>
          <w:szCs w:val="24"/>
        </w:rPr>
        <w:t>tic</w:t>
      </w:r>
      <w:r w:rsidRPr="0050576F">
        <w:rPr>
          <w:rFonts w:ascii="Book Antiqua" w:hAnsi="Book Antiqua"/>
          <w:color w:val="000000" w:themeColor="text1"/>
          <w:sz w:val="24"/>
          <w:szCs w:val="24"/>
        </w:rPr>
        <w:t xml:space="preserve"> model and identifying novel biomarkers for HCC screening purposes.</w:t>
      </w:r>
    </w:p>
    <w:p w14:paraId="1258E7AD" w14:textId="77777777" w:rsidR="00EB3C3C" w:rsidRPr="0050576F" w:rsidRDefault="00EB3C3C" w:rsidP="0050576F">
      <w:pPr>
        <w:snapToGrid w:val="0"/>
        <w:spacing w:line="360" w:lineRule="auto"/>
        <w:rPr>
          <w:rFonts w:ascii="Book Antiqua" w:hAnsi="Book Antiqua"/>
          <w:b/>
          <w:color w:val="000000" w:themeColor="text1"/>
          <w:sz w:val="24"/>
          <w:szCs w:val="24"/>
        </w:rPr>
      </w:pPr>
    </w:p>
    <w:p w14:paraId="77BC882C" w14:textId="77777777" w:rsidR="00EB3C3C" w:rsidRPr="0050576F" w:rsidRDefault="00730055" w:rsidP="0050576F">
      <w:pPr>
        <w:snapToGrid w:val="0"/>
        <w:spacing w:line="360" w:lineRule="auto"/>
        <w:rPr>
          <w:rFonts w:ascii="Book Antiqua" w:hAnsi="Book Antiqua" w:cs="宋体"/>
          <w:color w:val="000000" w:themeColor="text1"/>
          <w:sz w:val="24"/>
          <w:szCs w:val="24"/>
          <w:u w:val="single"/>
        </w:rPr>
      </w:pPr>
      <w:r w:rsidRPr="0050576F">
        <w:rPr>
          <w:rFonts w:ascii="Book Antiqua" w:eastAsia="Book Antiqua" w:hAnsi="Book Antiqua" w:cs="Book Antiqua"/>
          <w:b/>
          <w:color w:val="000000" w:themeColor="text1"/>
          <w:sz w:val="24"/>
          <w:szCs w:val="24"/>
          <w:u w:val="single"/>
        </w:rPr>
        <w:t>MATERIALS AND METHODS</w:t>
      </w:r>
    </w:p>
    <w:p w14:paraId="16C10642" w14:textId="77777777" w:rsidR="00EB3C3C" w:rsidRPr="0050576F" w:rsidRDefault="00730055" w:rsidP="0050576F">
      <w:pPr>
        <w:widowControl/>
        <w:autoSpaceDE w:val="0"/>
        <w:autoSpaceDN w:val="0"/>
        <w:adjustRightInd w:val="0"/>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Patients and samples</w:t>
      </w:r>
    </w:p>
    <w:p w14:paraId="0619D8A3" w14:textId="2A31D6ED"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Between March and August 2016, samples from patients who met the inclusion criteria of HCC diagnosis set by the Ministry of Health</w:t>
      </w:r>
      <w:r w:rsidR="00DB4913">
        <w:rPr>
          <w:rFonts w:ascii="Book Antiqua" w:hAnsi="Book Antiqua"/>
          <w:color w:val="000000" w:themeColor="text1"/>
          <w:sz w:val="24"/>
          <w:szCs w:val="24"/>
        </w:rPr>
        <w:t xml:space="preserve"> </w:t>
      </w:r>
      <w:r w:rsidRPr="0050576F">
        <w:rPr>
          <w:rFonts w:ascii="Book Antiqua" w:hAnsi="Book Antiqua"/>
          <w:color w:val="000000" w:themeColor="text1"/>
          <w:kern w:val="0"/>
          <w:sz w:val="24"/>
          <w:szCs w:val="24"/>
        </w:rPr>
        <w:t>were collected</w:t>
      </w:r>
      <w:r w:rsidRPr="0050576F">
        <w:rPr>
          <w:rFonts w:ascii="Book Antiqua" w:hAnsi="Book Antiqua"/>
          <w:color w:val="000000" w:themeColor="text1"/>
          <w:sz w:val="24"/>
          <w:szCs w:val="24"/>
          <w:vertAlign w:val="superscript"/>
        </w:rPr>
        <w:t>[15]</w:t>
      </w:r>
      <w:r w:rsidRPr="0050576F">
        <w:rPr>
          <w:rFonts w:ascii="Book Antiqua" w:hAnsi="Book Antiqua"/>
          <w:color w:val="000000" w:themeColor="text1"/>
          <w:sz w:val="24"/>
          <w:szCs w:val="24"/>
        </w:rPr>
        <w:t>. HCC confirmation required histological evidence or two different imaging techniques, or the combination of one imaging technique and</w:t>
      </w:r>
      <w:r w:rsidR="00DB4913">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an AFP level </w:t>
      </w:r>
      <w:r w:rsidRPr="0050576F">
        <w:rPr>
          <w:rFonts w:ascii="Book Antiqua" w:eastAsia="MS Mincho" w:hAnsi="Book Antiqua"/>
          <w:color w:val="000000" w:themeColor="text1"/>
          <w:sz w:val="24"/>
          <w:szCs w:val="24"/>
          <w:lang w:eastAsia="ja-JP"/>
        </w:rPr>
        <w:t>of</w:t>
      </w:r>
      <w:r w:rsidR="009F5F25" w:rsidRPr="0050576F">
        <w:rPr>
          <w:rFonts w:ascii="Book Antiqua" w:eastAsia="MS Mincho" w:hAnsi="Book Antiqua"/>
          <w:color w:val="000000" w:themeColor="text1"/>
          <w:sz w:val="24"/>
          <w:szCs w:val="24"/>
          <w:lang w:eastAsia="ja-JP"/>
        </w:rPr>
        <w:t xml:space="preserve"> </w:t>
      </w:r>
      <w:r w:rsidRPr="0050576F">
        <w:rPr>
          <w:rFonts w:ascii="Book Antiqua" w:eastAsia="MS Mincho" w:hAnsi="Book Antiqua"/>
          <w:color w:val="000000" w:themeColor="text1"/>
          <w:sz w:val="24"/>
          <w:szCs w:val="24"/>
          <w:lang w:eastAsia="ja-JP"/>
        </w:rPr>
        <w:t>&gt;</w:t>
      </w:r>
      <w:r w:rsidR="009F5F25" w:rsidRPr="0050576F">
        <w:rPr>
          <w:rFonts w:ascii="Book Antiqua" w:eastAsia="MS Mincho" w:hAnsi="Book Antiqua"/>
          <w:color w:val="000000" w:themeColor="text1"/>
          <w:sz w:val="24"/>
          <w:szCs w:val="24"/>
          <w:lang w:eastAsia="ja-JP"/>
        </w:rPr>
        <w:t xml:space="preserve"> </w:t>
      </w:r>
      <w:r w:rsidRPr="0050576F">
        <w:rPr>
          <w:rFonts w:ascii="Book Antiqua" w:hAnsi="Book Antiqua"/>
          <w:color w:val="000000" w:themeColor="text1"/>
          <w:sz w:val="24"/>
          <w:szCs w:val="24"/>
        </w:rPr>
        <w:t>400 ng/m</w:t>
      </w:r>
      <w:r w:rsidR="009F5F25" w:rsidRPr="0050576F">
        <w:rPr>
          <w:rFonts w:ascii="Book Antiqua" w:hAnsi="Book Antiqua"/>
          <w:color w:val="000000" w:themeColor="text1"/>
          <w:sz w:val="24"/>
          <w:szCs w:val="24"/>
        </w:rPr>
        <w:t>L</w:t>
      </w:r>
      <w:r w:rsidRPr="0050576F">
        <w:rPr>
          <w:rFonts w:ascii="Book Antiqua" w:hAnsi="Book Antiqua"/>
          <w:color w:val="000000" w:themeColor="text1"/>
          <w:sz w:val="24"/>
          <w:szCs w:val="24"/>
        </w:rPr>
        <w:t xml:space="preserve">. Patients </w:t>
      </w:r>
      <w:r w:rsidRPr="0050576F">
        <w:rPr>
          <w:rFonts w:ascii="Book Antiqua" w:eastAsia="MS Mincho" w:hAnsi="Book Antiqua"/>
          <w:color w:val="000000" w:themeColor="text1"/>
          <w:sz w:val="24"/>
          <w:szCs w:val="24"/>
          <w:lang w:eastAsia="ja-JP"/>
        </w:rPr>
        <w:t>with c</w:t>
      </w:r>
      <w:r w:rsidRPr="0050576F">
        <w:rPr>
          <w:rFonts w:ascii="Book Antiqua" w:hAnsi="Book Antiqua"/>
          <w:color w:val="000000" w:themeColor="text1"/>
          <w:sz w:val="24"/>
          <w:szCs w:val="24"/>
        </w:rPr>
        <w:t>irrhosis me</w:t>
      </w:r>
      <w:r w:rsidRPr="0050576F">
        <w:rPr>
          <w:rFonts w:ascii="Book Antiqua" w:eastAsia="MS Mincho" w:hAnsi="Book Antiqua"/>
          <w:color w:val="000000" w:themeColor="text1"/>
          <w:sz w:val="24"/>
          <w:szCs w:val="24"/>
          <w:lang w:eastAsia="ja-JP"/>
        </w:rPr>
        <w:t>e</w:t>
      </w:r>
      <w:r w:rsidRPr="0050576F">
        <w:rPr>
          <w:rFonts w:ascii="Book Antiqua" w:hAnsi="Book Antiqua"/>
          <w:color w:val="000000" w:themeColor="text1"/>
          <w:sz w:val="24"/>
          <w:szCs w:val="24"/>
        </w:rPr>
        <w:t>t</w:t>
      </w:r>
      <w:r w:rsidRPr="0050576F">
        <w:rPr>
          <w:rFonts w:ascii="Book Antiqua" w:eastAsia="MS Mincho" w:hAnsi="Book Antiqua"/>
          <w:color w:val="000000" w:themeColor="text1"/>
          <w:sz w:val="24"/>
          <w:szCs w:val="24"/>
          <w:lang w:eastAsia="ja-JP"/>
        </w:rPr>
        <w:t>ing</w:t>
      </w:r>
      <w:r w:rsidRPr="0050576F">
        <w:rPr>
          <w:rFonts w:ascii="Book Antiqua" w:hAnsi="Book Antiqua"/>
          <w:color w:val="000000" w:themeColor="text1"/>
          <w:sz w:val="24"/>
          <w:szCs w:val="24"/>
        </w:rPr>
        <w:t xml:space="preserve"> t</w:t>
      </w:r>
      <w:r w:rsidR="00254D4E" w:rsidRPr="0050576F">
        <w:rPr>
          <w:rFonts w:ascii="Book Antiqua" w:hAnsi="Book Antiqua"/>
          <w:color w:val="000000" w:themeColor="text1"/>
          <w:sz w:val="24"/>
          <w:szCs w:val="24"/>
        </w:rPr>
        <w:t>he criteria described elsewhere</w:t>
      </w:r>
      <w:r w:rsidRPr="0050576F">
        <w:rPr>
          <w:rFonts w:ascii="Book Antiqua" w:eastAsia="Times New Roman" w:hAnsi="Book Antiqua"/>
          <w:color w:val="000000" w:themeColor="text1"/>
          <w:sz w:val="24"/>
          <w:szCs w:val="24"/>
          <w:vertAlign w:val="superscript"/>
        </w:rPr>
        <w:t>[16]</w:t>
      </w:r>
      <w:r w:rsidRPr="0050576F">
        <w:rPr>
          <w:rFonts w:ascii="Book Antiqua" w:hAnsi="Book Antiqua"/>
          <w:color w:val="000000" w:themeColor="text1"/>
          <w:sz w:val="24"/>
          <w:szCs w:val="24"/>
        </w:rPr>
        <w:t xml:space="preserve"> based on clinical manifestation</w:t>
      </w:r>
      <w:r w:rsidR="00DB4913">
        <w:rPr>
          <w:rFonts w:ascii="Book Antiqua" w:hAnsi="Book Antiqua"/>
          <w:color w:val="000000" w:themeColor="text1"/>
          <w:sz w:val="24"/>
          <w:szCs w:val="24"/>
        </w:rPr>
        <w:t>s</w:t>
      </w:r>
      <w:r w:rsidRPr="0050576F">
        <w:rPr>
          <w:rFonts w:ascii="Book Antiqua" w:hAnsi="Book Antiqua"/>
          <w:color w:val="000000" w:themeColor="text1"/>
          <w:sz w:val="24"/>
          <w:szCs w:val="24"/>
        </w:rPr>
        <w:t>, laboratory examination</w:t>
      </w:r>
      <w:r w:rsidR="00DB4913">
        <w:rPr>
          <w:rFonts w:ascii="Book Antiqua" w:hAnsi="Book Antiqua"/>
          <w:color w:val="000000" w:themeColor="text1"/>
          <w:sz w:val="24"/>
          <w:szCs w:val="24"/>
        </w:rPr>
        <w:t>s</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imaging results</w:t>
      </w:r>
      <w:r w:rsidRPr="0050576F">
        <w:rPr>
          <w:rFonts w:ascii="Book Antiqua" w:eastAsia="MS Mincho" w:hAnsi="Book Antiqua"/>
          <w:color w:val="000000" w:themeColor="text1"/>
          <w:sz w:val="24"/>
          <w:szCs w:val="24"/>
          <w:lang w:eastAsia="ja-JP"/>
        </w:rPr>
        <w:t xml:space="preserve"> were included</w:t>
      </w:r>
      <w:r w:rsidRPr="0050576F">
        <w:rPr>
          <w:rFonts w:ascii="Book Antiqua" w:hAnsi="Book Antiqua"/>
          <w:color w:val="000000" w:themeColor="text1"/>
          <w:sz w:val="24"/>
          <w:szCs w:val="24"/>
        </w:rPr>
        <w:t xml:space="preserve">. HCC patients (C group, </w:t>
      </w:r>
      <w:r w:rsidR="009F5F25" w:rsidRPr="0050576F">
        <w:rPr>
          <w:rFonts w:ascii="Book Antiqua" w:hAnsi="Book Antiqua"/>
          <w:i/>
          <w:iCs/>
          <w:color w:val="000000" w:themeColor="text1"/>
          <w:sz w:val="24"/>
          <w:szCs w:val="24"/>
        </w:rPr>
        <w:t>n</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30) all </w:t>
      </w:r>
      <w:r w:rsidR="00DB4913">
        <w:rPr>
          <w:rFonts w:ascii="Book Antiqua" w:hAnsi="Book Antiqua"/>
          <w:color w:val="000000" w:themeColor="text1"/>
          <w:sz w:val="24"/>
          <w:szCs w:val="24"/>
        </w:rPr>
        <w:t>had</w:t>
      </w:r>
      <w:r w:rsidRPr="0050576F">
        <w:rPr>
          <w:rFonts w:ascii="Book Antiqua" w:hAnsi="Book Antiqua"/>
          <w:color w:val="000000" w:themeColor="text1"/>
          <w:sz w:val="24"/>
          <w:szCs w:val="24"/>
        </w:rPr>
        <w:t xml:space="preserve"> cirrhosis, and cirrhosis patients without HCC were </w:t>
      </w:r>
      <w:r w:rsidR="00AA12F6">
        <w:rPr>
          <w:rFonts w:ascii="Book Antiqua" w:hAnsi="Book Antiqua"/>
          <w:color w:val="000000" w:themeColor="text1"/>
          <w:sz w:val="24"/>
          <w:szCs w:val="24"/>
        </w:rPr>
        <w:t xml:space="preserve">included in </w:t>
      </w:r>
      <w:r w:rsidRPr="0050576F">
        <w:rPr>
          <w:rFonts w:ascii="Book Antiqua" w:hAnsi="Book Antiqua"/>
          <w:color w:val="000000" w:themeColor="text1"/>
          <w:sz w:val="24"/>
          <w:szCs w:val="24"/>
        </w:rPr>
        <w:t>Y group (</w:t>
      </w:r>
      <w:r w:rsidR="009F5F25" w:rsidRPr="0050576F">
        <w:rPr>
          <w:rFonts w:ascii="Book Antiqua" w:hAnsi="Book Antiqua"/>
          <w:i/>
          <w:iCs/>
          <w:color w:val="000000" w:themeColor="text1"/>
          <w:sz w:val="24"/>
          <w:szCs w:val="24"/>
        </w:rPr>
        <w:t>n</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29). The Child-Pugh Score </w:t>
      </w:r>
      <w:r w:rsidR="00AA12F6">
        <w:rPr>
          <w:rFonts w:ascii="Book Antiqua" w:hAnsi="Book Antiqua"/>
          <w:color w:val="000000" w:themeColor="text1"/>
          <w:sz w:val="24"/>
          <w:szCs w:val="24"/>
        </w:rPr>
        <w:t>in patients in</w:t>
      </w:r>
      <w:r w:rsidRPr="0050576F">
        <w:rPr>
          <w:rFonts w:ascii="Book Antiqua" w:hAnsi="Book Antiqua"/>
          <w:color w:val="000000" w:themeColor="text1"/>
          <w:sz w:val="24"/>
          <w:szCs w:val="24"/>
        </w:rPr>
        <w:t xml:space="preserve"> </w:t>
      </w:r>
      <w:r w:rsidR="00D4519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C group and Y group patients </w:t>
      </w:r>
      <w:r w:rsidR="00D45196">
        <w:rPr>
          <w:rFonts w:ascii="Book Antiqua" w:hAnsi="Book Antiqua"/>
          <w:color w:val="000000" w:themeColor="text1"/>
          <w:sz w:val="24"/>
          <w:szCs w:val="24"/>
        </w:rPr>
        <w:t>was</w:t>
      </w:r>
      <w:r w:rsidRPr="0050576F">
        <w:rPr>
          <w:rFonts w:ascii="Book Antiqua" w:hAnsi="Book Antiqua"/>
          <w:color w:val="000000" w:themeColor="text1"/>
          <w:sz w:val="24"/>
          <w:szCs w:val="24"/>
        </w:rPr>
        <w:t xml:space="preserve"> A or B. Healthy controls (N group, </w:t>
      </w:r>
      <w:r w:rsidR="009F5F25" w:rsidRPr="0050576F">
        <w:rPr>
          <w:rFonts w:ascii="Book Antiqua" w:hAnsi="Book Antiqua"/>
          <w:i/>
          <w:iCs/>
          <w:color w:val="000000" w:themeColor="text1"/>
          <w:sz w:val="24"/>
          <w:szCs w:val="24"/>
        </w:rPr>
        <w:t>n</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31) were chosen from the general population. </w:t>
      </w:r>
      <w:r w:rsidRPr="0050576F">
        <w:rPr>
          <w:rFonts w:ascii="Book Antiqua" w:eastAsia="MS Mincho" w:hAnsi="Book Antiqua"/>
          <w:color w:val="000000" w:themeColor="text1"/>
          <w:sz w:val="24"/>
          <w:szCs w:val="24"/>
          <w:lang w:eastAsia="ja-JP"/>
        </w:rPr>
        <w:t xml:space="preserve">The </w:t>
      </w:r>
      <w:r w:rsidRPr="0050576F">
        <w:rPr>
          <w:rFonts w:ascii="Book Antiqua" w:hAnsi="Book Antiqua"/>
          <w:color w:val="000000" w:themeColor="text1"/>
          <w:sz w:val="24"/>
          <w:szCs w:val="24"/>
        </w:rPr>
        <w:t>exclusion criteria were Child-Pugh Score C patients, malignant neoplasm (except HCC for C group), metabolic diseases, autoimmune disease, excess alcohol consumption, and known history of toxic exposure. Whole blood samples (3-5</w:t>
      </w:r>
      <w:r w:rsidR="004B17E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mL) were collected on an empty stomach in the morning in BD Vacutainer</w:t>
      </w:r>
      <w:r w:rsidRPr="0050576F">
        <w:rPr>
          <w:rFonts w:ascii="Book Antiqua" w:hAnsi="Book Antiqua"/>
          <w:color w:val="000000" w:themeColor="text1"/>
          <w:sz w:val="24"/>
          <w:szCs w:val="24"/>
        </w:rPr>
        <w:sym w:font="Symbol" w:char="F0D2"/>
      </w:r>
      <w:r w:rsidRPr="0050576F">
        <w:rPr>
          <w:rFonts w:ascii="Book Antiqua" w:hAnsi="Book Antiqua"/>
          <w:color w:val="000000" w:themeColor="text1"/>
          <w:sz w:val="24"/>
          <w:szCs w:val="24"/>
        </w:rPr>
        <w:t xml:space="preserve"> blood specimen collection tubes (Weigao Group, Weihai, China). Whole blood samples were stored at 4</w:t>
      </w:r>
      <w:r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xml:space="preserve"> immediately after collection and were transported to the laboratory in &lt;</w:t>
      </w:r>
      <w:r w:rsidR="009F5F25"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30 min. After centrifugation at 3000</w:t>
      </w:r>
      <w:r w:rsidRPr="0050576F">
        <w:rPr>
          <w:rFonts w:ascii="Book Antiqua" w:eastAsia="MS Mincho" w:hAnsi="Book Antiqua"/>
          <w:color w:val="000000" w:themeColor="text1"/>
          <w:sz w:val="24"/>
          <w:szCs w:val="24"/>
          <w:lang w:eastAsia="ja-JP"/>
        </w:rPr>
        <w:t xml:space="preserve"> × </w:t>
      </w:r>
      <w:r w:rsidRPr="0050576F">
        <w:rPr>
          <w:rFonts w:ascii="Book Antiqua" w:hAnsi="Book Antiqua"/>
          <w:color w:val="000000" w:themeColor="text1"/>
          <w:sz w:val="24"/>
          <w:szCs w:val="24"/>
        </w:rPr>
        <w:t>g for 10 min at 4</w:t>
      </w:r>
      <w:r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a portion of the serum from the samples was used for biochemical assays and the remaining serum was aliquoted into fresh Eppendorf</w:t>
      </w:r>
      <w:r w:rsidRPr="0050576F">
        <w:rPr>
          <w:rFonts w:ascii="Book Antiqua" w:hAnsi="Book Antiqua"/>
          <w:color w:val="000000" w:themeColor="text1"/>
          <w:sz w:val="24"/>
          <w:szCs w:val="24"/>
        </w:rPr>
        <w:sym w:font="Symbol" w:char="F0D2"/>
      </w:r>
      <w:r w:rsidRPr="0050576F">
        <w:rPr>
          <w:rFonts w:ascii="Book Antiqua" w:hAnsi="Book Antiqua"/>
          <w:color w:val="000000" w:themeColor="text1"/>
          <w:sz w:val="24"/>
          <w:szCs w:val="24"/>
        </w:rPr>
        <w:t xml:space="preserve"> tubes and stored at </w:t>
      </w:r>
      <w:r w:rsidR="00B22342">
        <w:rPr>
          <w:rFonts w:ascii="Book Antiqua" w:hAnsi="Book Antiqua"/>
          <w:color w:val="000000" w:themeColor="text1"/>
          <w:sz w:val="24"/>
          <w:szCs w:val="24"/>
        </w:rPr>
        <w:t>-</w:t>
      </w:r>
      <w:r w:rsidRPr="0050576F">
        <w:rPr>
          <w:rFonts w:ascii="Book Antiqua" w:hAnsi="Book Antiqua"/>
          <w:color w:val="000000" w:themeColor="text1"/>
          <w:sz w:val="24"/>
          <w:szCs w:val="24"/>
        </w:rPr>
        <w:t>80</w:t>
      </w:r>
      <w:r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xml:space="preserve"> for metabolomic analysis. Fresh </w:t>
      </w:r>
      <w:r w:rsidR="00AA12F6" w:rsidRPr="0050576F">
        <w:rPr>
          <w:rFonts w:ascii="Book Antiqua" w:hAnsi="Book Antiqua"/>
          <w:color w:val="000000" w:themeColor="text1"/>
          <w:sz w:val="24"/>
          <w:szCs w:val="24"/>
        </w:rPr>
        <w:t xml:space="preserve">surgical </w:t>
      </w:r>
      <w:r w:rsidRPr="0050576F">
        <w:rPr>
          <w:rFonts w:ascii="Book Antiqua" w:hAnsi="Book Antiqua"/>
          <w:color w:val="000000" w:themeColor="text1"/>
          <w:sz w:val="24"/>
          <w:szCs w:val="24"/>
        </w:rPr>
        <w:t>tumor tissue samples were obtained from patients following informed consent.</w:t>
      </w:r>
    </w:p>
    <w:p w14:paraId="582AE2EC" w14:textId="77777777" w:rsidR="009F5F25" w:rsidRPr="0050576F" w:rsidRDefault="009F5F25" w:rsidP="0050576F">
      <w:pPr>
        <w:snapToGrid w:val="0"/>
        <w:spacing w:line="360" w:lineRule="auto"/>
        <w:rPr>
          <w:rFonts w:ascii="Book Antiqua" w:hAnsi="Book Antiqua"/>
          <w:color w:val="000000" w:themeColor="text1"/>
          <w:sz w:val="24"/>
          <w:szCs w:val="24"/>
        </w:rPr>
      </w:pPr>
    </w:p>
    <w:p w14:paraId="2898A3B5" w14:textId="0BA7DCA2" w:rsidR="00EB3C3C" w:rsidRPr="0050576F" w:rsidRDefault="00730055" w:rsidP="0050576F">
      <w:pPr>
        <w:snapToGrid w:val="0"/>
        <w:spacing w:line="360" w:lineRule="auto"/>
        <w:rPr>
          <w:rFonts w:ascii="Book Antiqua" w:hAnsi="Book Antiqua"/>
          <w:b/>
          <w:bCs/>
          <w:i/>
          <w:iCs/>
          <w:color w:val="000000" w:themeColor="text1"/>
          <w:sz w:val="24"/>
          <w:szCs w:val="24"/>
        </w:rPr>
      </w:pPr>
      <w:r w:rsidRPr="0050576F">
        <w:rPr>
          <w:rFonts w:ascii="Book Antiqua" w:hAnsi="Book Antiqua"/>
          <w:b/>
          <w:bCs/>
          <w:i/>
          <w:iCs/>
          <w:color w:val="000000" w:themeColor="text1"/>
          <w:sz w:val="24"/>
          <w:szCs w:val="24"/>
        </w:rPr>
        <w:t xml:space="preserve">Virology, </w:t>
      </w:r>
      <w:r w:rsidR="004B17E3" w:rsidRPr="0050576F">
        <w:rPr>
          <w:rFonts w:ascii="Book Antiqua" w:hAnsi="Book Antiqua"/>
          <w:b/>
          <w:bCs/>
          <w:i/>
          <w:iCs/>
          <w:color w:val="000000" w:themeColor="text1"/>
          <w:sz w:val="24"/>
          <w:szCs w:val="24"/>
        </w:rPr>
        <w:t xml:space="preserve">biochemical </w:t>
      </w:r>
      <w:r w:rsidRPr="0050576F">
        <w:rPr>
          <w:rFonts w:ascii="Book Antiqua" w:hAnsi="Book Antiqua"/>
          <w:b/>
          <w:bCs/>
          <w:i/>
          <w:iCs/>
          <w:color w:val="000000" w:themeColor="text1"/>
          <w:sz w:val="24"/>
          <w:szCs w:val="24"/>
        </w:rPr>
        <w:t>parameters</w:t>
      </w:r>
      <w:r w:rsidRPr="0050576F">
        <w:rPr>
          <w:rFonts w:ascii="Book Antiqua" w:eastAsia="MS Mincho" w:hAnsi="Book Antiqua"/>
          <w:b/>
          <w:bCs/>
          <w:i/>
          <w:iCs/>
          <w:color w:val="000000" w:themeColor="text1"/>
          <w:sz w:val="24"/>
          <w:szCs w:val="24"/>
          <w:lang w:eastAsia="ja-JP"/>
        </w:rPr>
        <w:t>,</w:t>
      </w:r>
      <w:r w:rsidRPr="0050576F">
        <w:rPr>
          <w:rFonts w:ascii="Book Antiqua" w:hAnsi="Book Antiqua"/>
          <w:b/>
          <w:bCs/>
          <w:i/>
          <w:iCs/>
          <w:color w:val="000000" w:themeColor="text1"/>
          <w:sz w:val="24"/>
          <w:szCs w:val="24"/>
        </w:rPr>
        <w:t xml:space="preserve"> and </w:t>
      </w:r>
      <w:r w:rsidR="004B17E3" w:rsidRPr="0050576F">
        <w:rPr>
          <w:rFonts w:ascii="Book Antiqua" w:hAnsi="Book Antiqua"/>
          <w:b/>
          <w:bCs/>
          <w:i/>
          <w:iCs/>
          <w:color w:val="000000" w:themeColor="text1"/>
          <w:sz w:val="24"/>
          <w:szCs w:val="24"/>
        </w:rPr>
        <w:t>histopathology assay</w:t>
      </w:r>
    </w:p>
    <w:p w14:paraId="02CD1CF7" w14:textId="16D2184E"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H</w:t>
      </w:r>
      <w:r w:rsidR="00AA12F6">
        <w:rPr>
          <w:rFonts w:ascii="Book Antiqua" w:hAnsi="Book Antiqua"/>
          <w:color w:val="000000" w:themeColor="text1"/>
          <w:sz w:val="24"/>
          <w:szCs w:val="24"/>
        </w:rPr>
        <w:t>epatitis B virus (H</w:t>
      </w:r>
      <w:r w:rsidRPr="0050576F">
        <w:rPr>
          <w:rFonts w:ascii="Book Antiqua" w:hAnsi="Book Antiqua"/>
          <w:color w:val="000000" w:themeColor="text1"/>
          <w:sz w:val="24"/>
          <w:szCs w:val="24"/>
        </w:rPr>
        <w:t>BV</w:t>
      </w:r>
      <w:r w:rsidR="00AA12F6">
        <w:rPr>
          <w:rFonts w:ascii="Book Antiqua" w:hAnsi="Book Antiqua"/>
          <w:color w:val="000000" w:themeColor="text1"/>
          <w:sz w:val="24"/>
          <w:szCs w:val="24"/>
        </w:rPr>
        <w:t>)</w:t>
      </w:r>
      <w:r w:rsidRPr="0050576F">
        <w:rPr>
          <w:rFonts w:ascii="Book Antiqua" w:hAnsi="Book Antiqua"/>
          <w:color w:val="000000" w:themeColor="text1"/>
          <w:sz w:val="24"/>
          <w:szCs w:val="24"/>
        </w:rPr>
        <w:t xml:space="preserve"> and HCV antigens and a biochemical panel including </w:t>
      </w:r>
      <w:r w:rsidR="00531E02" w:rsidRPr="00531E02">
        <w:rPr>
          <w:rFonts w:ascii="Book Antiqua" w:hAnsi="Book Antiqua"/>
          <w:color w:val="000000" w:themeColor="text1"/>
          <w:sz w:val="24"/>
          <w:szCs w:val="24"/>
        </w:rPr>
        <w:t>alanine aminotransferase, aspartate aminotransferase</w:t>
      </w:r>
      <w:r w:rsidRPr="0050576F">
        <w:rPr>
          <w:rFonts w:ascii="Book Antiqua" w:hAnsi="Book Antiqua"/>
          <w:color w:val="000000" w:themeColor="text1"/>
          <w:sz w:val="24"/>
          <w:szCs w:val="24"/>
        </w:rPr>
        <w:t xml:space="preserve">, </w:t>
      </w:r>
      <w:bookmarkStart w:id="45" w:name="OLE_LINK401"/>
      <w:bookmarkStart w:id="46" w:name="OLE_LINK402"/>
      <w:r w:rsidRPr="0050576F">
        <w:rPr>
          <w:rFonts w:ascii="Book Antiqua" w:hAnsi="Book Antiqua"/>
          <w:color w:val="000000" w:themeColor="text1"/>
          <w:sz w:val="24"/>
          <w:szCs w:val="24"/>
        </w:rPr>
        <w:t>glutamic-oxaloacetic transaminase</w:t>
      </w:r>
      <w:bookmarkEnd w:id="45"/>
      <w:bookmarkEnd w:id="46"/>
      <w:r w:rsidRPr="0050576F">
        <w:rPr>
          <w:rFonts w:ascii="Book Antiqua" w:hAnsi="Book Antiqua"/>
          <w:color w:val="000000" w:themeColor="text1"/>
          <w:sz w:val="24"/>
          <w:szCs w:val="24"/>
        </w:rPr>
        <w:t xml:space="preserve">, total bilirubin, direct bilirubin, total protein, and </w:t>
      </w:r>
      <w:bookmarkStart w:id="47" w:name="OLE_LINK405"/>
      <w:bookmarkStart w:id="48" w:name="OLE_LINK406"/>
      <w:r w:rsidRPr="0050576F">
        <w:rPr>
          <w:rFonts w:ascii="Book Antiqua" w:hAnsi="Book Antiqua"/>
          <w:color w:val="000000" w:themeColor="text1"/>
          <w:sz w:val="24"/>
          <w:szCs w:val="24"/>
        </w:rPr>
        <w:t>albumin</w:t>
      </w:r>
      <w:bookmarkEnd w:id="47"/>
      <w:bookmarkEnd w:id="48"/>
      <w:r w:rsidRPr="0050576F">
        <w:rPr>
          <w:rFonts w:ascii="Book Antiqua" w:hAnsi="Book Antiqua"/>
          <w:color w:val="000000" w:themeColor="text1"/>
          <w:sz w:val="24"/>
          <w:szCs w:val="24"/>
        </w:rPr>
        <w:t xml:space="preserve"> were assayed in the clinical laboratory. Histopathological samples were p</w:t>
      </w:r>
      <w:r w:rsidR="004B17E3" w:rsidRPr="0050576F">
        <w:rPr>
          <w:rFonts w:ascii="Book Antiqua" w:hAnsi="Book Antiqua"/>
          <w:color w:val="000000" w:themeColor="text1"/>
          <w:sz w:val="24"/>
          <w:szCs w:val="24"/>
        </w:rPr>
        <w:t>repared as described previously</w:t>
      </w:r>
      <w:r w:rsidRPr="0050576F">
        <w:rPr>
          <w:rFonts w:ascii="Book Antiqua" w:eastAsia="Times New Roman" w:hAnsi="Book Antiqua"/>
          <w:color w:val="000000" w:themeColor="text1"/>
          <w:sz w:val="24"/>
          <w:szCs w:val="24"/>
          <w:vertAlign w:val="superscript"/>
        </w:rPr>
        <w:t>[13]</w:t>
      </w:r>
      <w:r w:rsidRPr="0050576F">
        <w:rPr>
          <w:rFonts w:ascii="Book Antiqua" w:hAnsi="Book Antiqua"/>
          <w:color w:val="000000" w:themeColor="text1"/>
          <w:sz w:val="24"/>
          <w:szCs w:val="24"/>
        </w:rPr>
        <w:t>.</w:t>
      </w:r>
    </w:p>
    <w:p w14:paraId="11DCEAC7" w14:textId="77777777" w:rsidR="00EB3C3C" w:rsidRPr="0050576F" w:rsidRDefault="00EB3C3C" w:rsidP="0050576F">
      <w:pPr>
        <w:snapToGrid w:val="0"/>
        <w:spacing w:line="360" w:lineRule="auto"/>
        <w:rPr>
          <w:rFonts w:ascii="Book Antiqua" w:hAnsi="Book Antiqua"/>
          <w:color w:val="000000" w:themeColor="text1"/>
          <w:sz w:val="24"/>
          <w:szCs w:val="24"/>
        </w:rPr>
      </w:pPr>
    </w:p>
    <w:p w14:paraId="63278CDD" w14:textId="77777777" w:rsidR="00EB3C3C" w:rsidRPr="0050576F" w:rsidRDefault="00730055" w:rsidP="0050576F">
      <w:pPr>
        <w:widowControl/>
        <w:autoSpaceDE w:val="0"/>
        <w:autoSpaceDN w:val="0"/>
        <w:adjustRightInd w:val="0"/>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Chemicals and reagents</w:t>
      </w:r>
    </w:p>
    <w:p w14:paraId="7F53F072" w14:textId="060FCD05"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Acetonitrile and methanol (HPLC grade) were purchased from Merck (Darmstadt, Germany). Distilled water was purified using a Milli-Q system (Darmstadt, Germany). Fatty acids, amino acids, bile acid</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nucleotide standards were purchased from Sigma-Aldrich (St. Louis, MO, </w:t>
      </w:r>
      <w:bookmarkStart w:id="49" w:name="OLE_LINK407"/>
      <w:bookmarkStart w:id="50" w:name="OLE_LINK408"/>
      <w:r w:rsidR="00D10A3E" w:rsidRPr="0050576F">
        <w:rPr>
          <w:rFonts w:ascii="Book Antiqua" w:hAnsi="Book Antiqua"/>
          <w:color w:val="000000" w:themeColor="text1"/>
          <w:sz w:val="24"/>
          <w:szCs w:val="24"/>
        </w:rPr>
        <w:t>United States</w:t>
      </w:r>
      <w:bookmarkEnd w:id="49"/>
      <w:bookmarkEnd w:id="50"/>
      <w:r w:rsidRPr="0050576F">
        <w:rPr>
          <w:rFonts w:ascii="Book Antiqua" w:hAnsi="Book Antiqua"/>
          <w:color w:val="000000" w:themeColor="text1"/>
          <w:sz w:val="24"/>
          <w:szCs w:val="24"/>
        </w:rPr>
        <w:t xml:space="preserve">). Citric acid, pantothenic acid, and malonic acid were purchased from Supelco (Bellefonte, PA, </w:t>
      </w:r>
      <w:r w:rsidR="00D10A3E" w:rsidRPr="0050576F">
        <w:rPr>
          <w:rFonts w:ascii="Book Antiqua" w:hAnsi="Book Antiqua"/>
          <w:color w:val="000000" w:themeColor="text1"/>
          <w:sz w:val="24"/>
          <w:szCs w:val="24"/>
        </w:rPr>
        <w:t>United States</w:t>
      </w:r>
      <w:r w:rsidRPr="0050576F">
        <w:rPr>
          <w:rFonts w:ascii="Book Antiqua" w:hAnsi="Book Antiqua"/>
          <w:color w:val="000000" w:themeColor="text1"/>
          <w:sz w:val="24"/>
          <w:szCs w:val="24"/>
        </w:rPr>
        <w:t xml:space="preserve">). Lysophosphatidyl cholines (LysoPCs) and lysophosphatidyl ethanolamine were purchased from Avanti Polar Lipids, </w:t>
      </w:r>
      <w:r w:rsidRPr="0050576F">
        <w:rPr>
          <w:rFonts w:ascii="Book Antiqua" w:hAnsi="Book Antiqua"/>
          <w:iCs/>
          <w:color w:val="000000" w:themeColor="text1"/>
          <w:sz w:val="24"/>
          <w:szCs w:val="24"/>
        </w:rPr>
        <w:t>Inc</w:t>
      </w:r>
      <w:r w:rsidRPr="0050576F">
        <w:rPr>
          <w:rFonts w:ascii="Book Antiqua" w:hAnsi="Book Antiqua"/>
          <w:color w:val="000000" w:themeColor="text1"/>
          <w:sz w:val="24"/>
          <w:szCs w:val="24"/>
        </w:rPr>
        <w:t xml:space="preserve">. (AL, </w:t>
      </w:r>
      <w:r w:rsidR="00D10A3E" w:rsidRPr="0050576F">
        <w:rPr>
          <w:rFonts w:ascii="Book Antiqua" w:hAnsi="Book Antiqua"/>
          <w:color w:val="000000" w:themeColor="text1"/>
          <w:sz w:val="24"/>
          <w:szCs w:val="24"/>
        </w:rPr>
        <w:t>United States</w:t>
      </w:r>
      <w:r w:rsidRPr="0050576F">
        <w:rPr>
          <w:rFonts w:ascii="Book Antiqua" w:hAnsi="Book Antiqua"/>
          <w:color w:val="000000" w:themeColor="text1"/>
          <w:sz w:val="24"/>
          <w:szCs w:val="24"/>
        </w:rPr>
        <w:t>).</w:t>
      </w:r>
    </w:p>
    <w:p w14:paraId="523C3069" w14:textId="77777777" w:rsidR="00EB3C3C" w:rsidRPr="0050576F" w:rsidRDefault="00EB3C3C" w:rsidP="0050576F">
      <w:pPr>
        <w:snapToGrid w:val="0"/>
        <w:spacing w:line="360" w:lineRule="auto"/>
        <w:rPr>
          <w:rFonts w:ascii="Book Antiqua" w:hAnsi="Book Antiqua"/>
          <w:b/>
          <w:color w:val="000000" w:themeColor="text1"/>
          <w:kern w:val="0"/>
          <w:sz w:val="24"/>
          <w:szCs w:val="24"/>
        </w:rPr>
      </w:pPr>
    </w:p>
    <w:p w14:paraId="6A1A14AB" w14:textId="77777777" w:rsidR="00EB3C3C" w:rsidRPr="0050576F" w:rsidRDefault="00730055" w:rsidP="0050576F">
      <w:pPr>
        <w:widowControl/>
        <w:autoSpaceDE w:val="0"/>
        <w:autoSpaceDN w:val="0"/>
        <w:adjustRightInd w:val="0"/>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Sample preparation</w:t>
      </w:r>
    </w:p>
    <w:p w14:paraId="0597CCE0" w14:textId="14C837C7"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Prior to the assay, all samples were thawed on ice. Pooled aliquots (1</w:t>
      </w:r>
      <w:r w:rsidR="004B17E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μ</w:t>
      </w:r>
      <w:r w:rsidR="00DC2FC8" w:rsidRPr="0050576F">
        <w:rPr>
          <w:rFonts w:ascii="Book Antiqua" w:hAnsi="Book Antiqua"/>
          <w:color w:val="000000" w:themeColor="text1"/>
          <w:sz w:val="24"/>
          <w:szCs w:val="24"/>
        </w:rPr>
        <w:t>L</w:t>
      </w:r>
      <w:r w:rsidRPr="0050576F">
        <w:rPr>
          <w:rFonts w:ascii="Book Antiqua" w:hAnsi="Book Antiqua"/>
          <w:color w:val="000000" w:themeColor="text1"/>
          <w:sz w:val="24"/>
          <w:szCs w:val="24"/>
        </w:rPr>
        <w:t xml:space="preserve">) of each sample formed the </w:t>
      </w:r>
      <w:bookmarkStart w:id="51" w:name="OLE_LINK471"/>
      <w:bookmarkStart w:id="52" w:name="OLE_LINK472"/>
      <w:r w:rsidRPr="0050576F">
        <w:rPr>
          <w:rFonts w:ascii="Book Antiqua" w:hAnsi="Book Antiqua"/>
          <w:color w:val="000000" w:themeColor="text1"/>
          <w:sz w:val="24"/>
          <w:szCs w:val="24"/>
        </w:rPr>
        <w:t>quality control</w:t>
      </w:r>
      <w:bookmarkEnd w:id="51"/>
      <w:bookmarkEnd w:id="52"/>
      <w:r w:rsidRPr="0050576F">
        <w:rPr>
          <w:rFonts w:ascii="Book Antiqua" w:hAnsi="Book Antiqua"/>
          <w:color w:val="000000" w:themeColor="text1"/>
          <w:sz w:val="24"/>
          <w:szCs w:val="24"/>
        </w:rPr>
        <w:t xml:space="preserve"> (</w:t>
      </w:r>
      <w:bookmarkStart w:id="53" w:name="OLE_LINK411"/>
      <w:bookmarkStart w:id="54" w:name="OLE_LINK412"/>
      <w:r w:rsidRPr="0050576F">
        <w:rPr>
          <w:rFonts w:ascii="Book Antiqua" w:hAnsi="Book Antiqua"/>
          <w:color w:val="000000" w:themeColor="text1"/>
          <w:sz w:val="24"/>
          <w:szCs w:val="24"/>
        </w:rPr>
        <w:t>QC</w:t>
      </w:r>
      <w:bookmarkEnd w:id="53"/>
      <w:bookmarkEnd w:id="54"/>
      <w:r w:rsidRPr="0050576F">
        <w:rPr>
          <w:rFonts w:ascii="Book Antiqua" w:hAnsi="Book Antiqua"/>
          <w:color w:val="000000" w:themeColor="text1"/>
          <w:sz w:val="24"/>
          <w:szCs w:val="24"/>
        </w:rPr>
        <w:t>) sample. Metabolites in serum were extracted by methanol (serum/methanol (</w:t>
      </w:r>
      <w:r w:rsidR="00DC2FC8" w:rsidRPr="0050576F">
        <w:rPr>
          <w:rFonts w:ascii="Book Antiqua" w:hAnsi="Book Antiqua" w:cs="Garamond-Italic"/>
          <w:iCs/>
          <w:color w:val="000000" w:themeColor="text1"/>
          <w:sz w:val="24"/>
          <w:szCs w:val="24"/>
        </w:rPr>
        <w:t>V</w:t>
      </w:r>
      <w:r w:rsidR="00DC2FC8" w:rsidRPr="0050576F">
        <w:rPr>
          <w:rFonts w:ascii="Book Antiqua" w:hAnsi="Book Antiqua"/>
          <w:color w:val="000000" w:themeColor="text1"/>
          <w:sz w:val="24"/>
          <w:szCs w:val="24"/>
        </w:rPr>
        <w:t>/</w:t>
      </w:r>
      <w:r w:rsidR="00DC2FC8" w:rsidRPr="0050576F">
        <w:rPr>
          <w:rFonts w:ascii="Book Antiqua" w:hAnsi="Book Antiqua" w:cs="Garamond-Italic"/>
          <w:iCs/>
          <w:color w:val="000000" w:themeColor="text1"/>
          <w:sz w:val="24"/>
          <w:szCs w:val="24"/>
        </w:rPr>
        <w:t>V</w:t>
      </w:r>
      <w:r w:rsidRPr="0050576F">
        <w:rPr>
          <w:rFonts w:ascii="Book Antiqua" w:hAnsi="Book Antiqua"/>
          <w:color w:val="000000" w:themeColor="text1"/>
          <w:sz w:val="24"/>
          <w:szCs w:val="24"/>
        </w:rPr>
        <w:t xml:space="preserve">) = 1:3). The mixture (100 </w:t>
      </w:r>
      <w:bookmarkStart w:id="55" w:name="OLE_LINK413"/>
      <w:bookmarkStart w:id="56" w:name="OLE_LINK414"/>
      <w:r w:rsidRPr="0050576F">
        <w:rPr>
          <w:rFonts w:ascii="Book Antiqua" w:hAnsi="Book Antiqua"/>
          <w:color w:val="000000" w:themeColor="text1"/>
          <w:sz w:val="24"/>
          <w:szCs w:val="24"/>
        </w:rPr>
        <w:t>μ</w:t>
      </w:r>
      <w:r w:rsidR="00DC2FC8" w:rsidRPr="0050576F">
        <w:rPr>
          <w:rFonts w:ascii="Book Antiqua" w:hAnsi="Book Antiqua"/>
          <w:color w:val="000000" w:themeColor="text1"/>
          <w:sz w:val="24"/>
          <w:szCs w:val="24"/>
        </w:rPr>
        <w:t>L</w:t>
      </w:r>
      <w:bookmarkEnd w:id="55"/>
      <w:bookmarkEnd w:id="56"/>
      <w:r w:rsidRPr="0050576F">
        <w:rPr>
          <w:rFonts w:ascii="Book Antiqua" w:hAnsi="Book Antiqua"/>
          <w:color w:val="000000" w:themeColor="text1"/>
          <w:sz w:val="24"/>
          <w:szCs w:val="24"/>
        </w:rPr>
        <w:t>) was vortexed for 60</w:t>
      </w:r>
      <w:r w:rsidR="004B17E3" w:rsidRPr="0050576F">
        <w:rPr>
          <w:rFonts w:ascii="Book Antiqua" w:hAnsi="Book Antiqua"/>
          <w:color w:val="000000" w:themeColor="text1"/>
          <w:sz w:val="24"/>
          <w:szCs w:val="24"/>
        </w:rPr>
        <w:t xml:space="preserve"> s, and then centrifuged at 14</w:t>
      </w:r>
      <w:r w:rsidRPr="0050576F">
        <w:rPr>
          <w:rFonts w:ascii="Book Antiqua" w:hAnsi="Book Antiqua"/>
          <w:color w:val="000000" w:themeColor="text1"/>
          <w:sz w:val="24"/>
          <w:szCs w:val="24"/>
        </w:rPr>
        <w:t>000</w:t>
      </w:r>
      <w:r w:rsidRPr="0050576F">
        <w:rPr>
          <w:rFonts w:ascii="Book Antiqua" w:eastAsia="MS Mincho" w:hAnsi="Book Antiqua"/>
          <w:color w:val="000000" w:themeColor="text1"/>
          <w:sz w:val="24"/>
          <w:szCs w:val="24"/>
          <w:lang w:eastAsia="ja-JP"/>
        </w:rPr>
        <w:t xml:space="preserve"> × </w:t>
      </w:r>
      <w:r w:rsidRPr="00B22342">
        <w:rPr>
          <w:rFonts w:ascii="Book Antiqua" w:hAnsi="Book Antiqua"/>
          <w:i/>
          <w:color w:val="000000" w:themeColor="text1"/>
          <w:sz w:val="24"/>
          <w:szCs w:val="24"/>
        </w:rPr>
        <w:t>g</w:t>
      </w:r>
      <w:r w:rsidRPr="0050576F">
        <w:rPr>
          <w:rFonts w:ascii="Book Antiqua" w:hAnsi="Book Antiqua"/>
          <w:color w:val="000000" w:themeColor="text1"/>
          <w:sz w:val="24"/>
          <w:szCs w:val="24"/>
        </w:rPr>
        <w:t xml:space="preserve"> for 10 min at 4</w:t>
      </w:r>
      <w:r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Supernatants were dried by nitrogen flow and then re-dissolved in 100 μ</w:t>
      </w:r>
      <w:r w:rsidR="00D10A3E" w:rsidRPr="0050576F">
        <w:rPr>
          <w:rFonts w:ascii="Book Antiqua" w:hAnsi="Book Antiqua"/>
          <w:color w:val="000000" w:themeColor="text1"/>
          <w:sz w:val="24"/>
          <w:szCs w:val="24"/>
        </w:rPr>
        <w:t xml:space="preserve">L </w:t>
      </w:r>
      <w:r w:rsidRPr="0050576F">
        <w:rPr>
          <w:rFonts w:ascii="Book Antiqua" w:hAnsi="Book Antiqua"/>
          <w:color w:val="000000" w:themeColor="text1"/>
          <w:sz w:val="24"/>
          <w:szCs w:val="24"/>
        </w:rPr>
        <w:t>methanol. The mixt</w:t>
      </w:r>
      <w:r w:rsidR="004B17E3" w:rsidRPr="0050576F">
        <w:rPr>
          <w:rFonts w:ascii="Book Antiqua" w:hAnsi="Book Antiqua"/>
          <w:color w:val="000000" w:themeColor="text1"/>
          <w:sz w:val="24"/>
          <w:szCs w:val="24"/>
        </w:rPr>
        <w:t>ure was again centrifuged at 14</w:t>
      </w:r>
      <w:r w:rsidRPr="0050576F">
        <w:rPr>
          <w:rFonts w:ascii="Book Antiqua" w:hAnsi="Book Antiqua"/>
          <w:color w:val="000000" w:themeColor="text1"/>
          <w:sz w:val="24"/>
          <w:szCs w:val="24"/>
        </w:rPr>
        <w:t>000</w:t>
      </w:r>
      <w:r w:rsidRPr="0050576F">
        <w:rPr>
          <w:rFonts w:ascii="Book Antiqua" w:eastAsia="MS Mincho" w:hAnsi="Book Antiqua"/>
          <w:color w:val="000000" w:themeColor="text1"/>
          <w:sz w:val="24"/>
          <w:szCs w:val="24"/>
          <w:lang w:eastAsia="ja-JP"/>
        </w:rPr>
        <w:t xml:space="preserve"> ×</w:t>
      </w:r>
      <w:r w:rsidR="00B22342" w:rsidRPr="00B22342">
        <w:rPr>
          <w:rFonts w:ascii="Book Antiqua" w:hAnsi="Book Antiqua"/>
          <w:i/>
          <w:color w:val="000000" w:themeColor="text1"/>
          <w:sz w:val="24"/>
          <w:szCs w:val="24"/>
        </w:rPr>
        <w:t>g</w:t>
      </w:r>
      <w:r w:rsidRPr="0050576F">
        <w:rPr>
          <w:rFonts w:ascii="Book Antiqua" w:hAnsi="Book Antiqua"/>
          <w:color w:val="000000" w:themeColor="text1"/>
          <w:sz w:val="24"/>
          <w:szCs w:val="24"/>
        </w:rPr>
        <w:t xml:space="preserve"> for 5 min at 4</w:t>
      </w:r>
      <w:r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The resulting clear supernatant was transferred into UPLC vials and stored at 4</w:t>
      </w:r>
      <w:bookmarkStart w:id="57" w:name="OLE_LINK415"/>
      <w:bookmarkStart w:id="58" w:name="OLE_LINK416"/>
      <w:r w:rsidRPr="0050576F">
        <w:rPr>
          <w:rFonts w:ascii="宋体" w:hAnsi="宋体" w:cs="宋体" w:hint="eastAsia"/>
          <w:color w:val="000000" w:themeColor="text1"/>
          <w:sz w:val="24"/>
          <w:szCs w:val="24"/>
        </w:rPr>
        <w:t>℃</w:t>
      </w:r>
      <w:bookmarkEnd w:id="57"/>
      <w:bookmarkEnd w:id="58"/>
      <w:r w:rsidRPr="0050576F">
        <w:rPr>
          <w:rFonts w:ascii="Book Antiqua" w:hAnsi="Book Antiqua"/>
          <w:color w:val="000000" w:themeColor="text1"/>
          <w:sz w:val="24"/>
          <w:szCs w:val="24"/>
        </w:rPr>
        <w:t>.</w:t>
      </w:r>
    </w:p>
    <w:p w14:paraId="2B9B5E4E" w14:textId="77777777" w:rsidR="00EB3C3C" w:rsidRPr="0050576F" w:rsidRDefault="00EB3C3C" w:rsidP="0050576F">
      <w:pPr>
        <w:snapToGrid w:val="0"/>
        <w:spacing w:line="360" w:lineRule="auto"/>
        <w:rPr>
          <w:rFonts w:ascii="Book Antiqua" w:hAnsi="Book Antiqua"/>
          <w:b/>
          <w:color w:val="000000" w:themeColor="text1"/>
          <w:kern w:val="0"/>
          <w:sz w:val="24"/>
          <w:szCs w:val="24"/>
        </w:rPr>
      </w:pPr>
    </w:p>
    <w:p w14:paraId="027DA145" w14:textId="77777777" w:rsidR="00EB3C3C" w:rsidRPr="0050576F" w:rsidRDefault="00730055" w:rsidP="0050576F">
      <w:pPr>
        <w:widowControl/>
        <w:autoSpaceDE w:val="0"/>
        <w:autoSpaceDN w:val="0"/>
        <w:adjustRightInd w:val="0"/>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UPLC-MS assay</w:t>
      </w:r>
    </w:p>
    <w:p w14:paraId="2F6BC8F8" w14:textId="56C5A6E2" w:rsidR="00EB3C3C" w:rsidRPr="0050576F" w:rsidRDefault="004B17E3"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An aliquot (2 </w:t>
      </w:r>
      <w:r w:rsidR="00730055" w:rsidRPr="0050576F">
        <w:rPr>
          <w:rFonts w:ascii="Book Antiqua" w:hAnsi="Book Antiqua"/>
          <w:color w:val="000000" w:themeColor="text1"/>
          <w:sz w:val="24"/>
          <w:szCs w:val="24"/>
        </w:rPr>
        <w:t>μ</w:t>
      </w:r>
      <w:r w:rsidR="00DC2FC8" w:rsidRPr="0050576F">
        <w:rPr>
          <w:rFonts w:ascii="Book Antiqua" w:hAnsi="Book Antiqua"/>
          <w:color w:val="000000" w:themeColor="text1"/>
          <w:sz w:val="24"/>
          <w:szCs w:val="24"/>
        </w:rPr>
        <w:t>L</w:t>
      </w:r>
      <w:r w:rsidR="00730055" w:rsidRPr="0050576F">
        <w:rPr>
          <w:rFonts w:ascii="Book Antiqua" w:hAnsi="Book Antiqua"/>
          <w:color w:val="000000" w:themeColor="text1"/>
          <w:sz w:val="24"/>
          <w:szCs w:val="24"/>
        </w:rPr>
        <w:t>) of the clear supernatant obtained above was chromatographed on a Thermo Fisher Scientific UltiMate 3000 UPLC system using an ACQUITY UPLC BEH C18 analytical column (</w:t>
      </w:r>
      <w:r w:rsidR="00730055" w:rsidRPr="0050576F">
        <w:rPr>
          <w:rFonts w:ascii="Book Antiqua" w:hAnsi="Book Antiqua"/>
          <w:i/>
          <w:iCs/>
          <w:color w:val="000000" w:themeColor="text1"/>
          <w:sz w:val="24"/>
          <w:szCs w:val="24"/>
        </w:rPr>
        <w:t>i.d.</w:t>
      </w:r>
      <w:r w:rsidR="00730055" w:rsidRPr="0050576F">
        <w:rPr>
          <w:rFonts w:ascii="Book Antiqua" w:hAnsi="Book Antiqua"/>
          <w:color w:val="000000" w:themeColor="text1"/>
          <w:sz w:val="24"/>
          <w:szCs w:val="24"/>
        </w:rPr>
        <w:t xml:space="preserve"> 2.1 mm</w:t>
      </w:r>
      <w:r w:rsidR="00D10A3E"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w:t>
      </w:r>
      <w:r w:rsidR="00D10A3E"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100 mm, </w:t>
      </w:r>
      <w:r w:rsidR="00730055" w:rsidRPr="0050576F">
        <w:rPr>
          <w:rFonts w:ascii="Book Antiqua" w:hAnsi="Book Antiqua"/>
          <w:color w:val="000000" w:themeColor="text1"/>
          <w:sz w:val="24"/>
          <w:szCs w:val="24"/>
        </w:rPr>
        <w:lastRenderedPageBreak/>
        <w:t>particle size 1.7 mm, pore size 130 A˚). Mobile phase A and mobile phase B were water/formic acid (99.9:</w:t>
      </w:r>
      <w:r w:rsidR="00D10A3E"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0.1, </w:t>
      </w:r>
      <w:r w:rsidR="00DC2FC8" w:rsidRPr="0050576F">
        <w:rPr>
          <w:rFonts w:ascii="Book Antiqua" w:hAnsi="Book Antiqua" w:cs="Garamond-Italic"/>
          <w:iCs/>
          <w:color w:val="000000" w:themeColor="text1"/>
          <w:sz w:val="24"/>
          <w:szCs w:val="24"/>
        </w:rPr>
        <w:t>V</w:t>
      </w:r>
      <w:r w:rsidR="00730055" w:rsidRPr="0050576F">
        <w:rPr>
          <w:rFonts w:ascii="Book Antiqua" w:hAnsi="Book Antiqua"/>
          <w:color w:val="000000" w:themeColor="text1"/>
          <w:sz w:val="24"/>
          <w:szCs w:val="24"/>
        </w:rPr>
        <w:t>/</w:t>
      </w:r>
      <w:r w:rsidR="00DC2FC8" w:rsidRPr="0050576F">
        <w:rPr>
          <w:rFonts w:ascii="Book Antiqua" w:hAnsi="Book Antiqua" w:cs="Garamond-Italic"/>
          <w:iCs/>
          <w:color w:val="000000" w:themeColor="text1"/>
          <w:sz w:val="24"/>
          <w:szCs w:val="24"/>
        </w:rPr>
        <w:t>V</w:t>
      </w:r>
      <w:r w:rsidR="00730055" w:rsidRPr="0050576F">
        <w:rPr>
          <w:rFonts w:ascii="Book Antiqua" w:hAnsi="Book Antiqua"/>
          <w:color w:val="000000" w:themeColor="text1"/>
          <w:sz w:val="24"/>
          <w:szCs w:val="24"/>
        </w:rPr>
        <w:t>) and acetonitrile/formic acid (99.9:</w:t>
      </w:r>
      <w:r w:rsidR="00D10A3E"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0.1, </w:t>
      </w:r>
      <w:r w:rsidR="00DC2FC8" w:rsidRPr="0050576F">
        <w:rPr>
          <w:rFonts w:ascii="Book Antiqua" w:hAnsi="Book Antiqua" w:cs="Garamond-Italic"/>
          <w:iCs/>
          <w:color w:val="000000" w:themeColor="text1"/>
          <w:sz w:val="24"/>
          <w:szCs w:val="24"/>
        </w:rPr>
        <w:t>V</w:t>
      </w:r>
      <w:r w:rsidR="00DC2FC8" w:rsidRPr="0050576F">
        <w:rPr>
          <w:rFonts w:ascii="Book Antiqua" w:hAnsi="Book Antiqua"/>
          <w:color w:val="000000" w:themeColor="text1"/>
          <w:sz w:val="24"/>
          <w:szCs w:val="24"/>
        </w:rPr>
        <w:t>/</w:t>
      </w:r>
      <w:r w:rsidR="00DC2FC8" w:rsidRPr="0050576F">
        <w:rPr>
          <w:rFonts w:ascii="Book Antiqua" w:hAnsi="Book Antiqua" w:cs="Garamond-Italic"/>
          <w:iCs/>
          <w:color w:val="000000" w:themeColor="text1"/>
          <w:sz w:val="24"/>
          <w:szCs w:val="24"/>
        </w:rPr>
        <w:t>V</w:t>
      </w:r>
      <w:r w:rsidR="00730055" w:rsidRPr="0050576F">
        <w:rPr>
          <w:rFonts w:ascii="Book Antiqua" w:hAnsi="Book Antiqua"/>
          <w:color w:val="000000" w:themeColor="text1"/>
          <w:sz w:val="24"/>
          <w:szCs w:val="24"/>
        </w:rPr>
        <w:t>), respectively, and the flow rate was 200 μ</w:t>
      </w:r>
      <w:r w:rsidR="00DC2FC8" w:rsidRPr="0050576F">
        <w:rPr>
          <w:rFonts w:ascii="Book Antiqua" w:hAnsi="Book Antiqua"/>
          <w:color w:val="000000" w:themeColor="text1"/>
          <w:sz w:val="24"/>
          <w:szCs w:val="24"/>
        </w:rPr>
        <w:t>L</w:t>
      </w:r>
      <w:r w:rsidR="00730055" w:rsidRPr="0050576F">
        <w:rPr>
          <w:rFonts w:ascii="Book Antiqua" w:hAnsi="Book Antiqua"/>
          <w:color w:val="000000" w:themeColor="text1"/>
          <w:sz w:val="24"/>
          <w:szCs w:val="24"/>
        </w:rPr>
        <w:t>/min. A linear gradient was optimized as follows: the initial composition of the mobile phase was 95% A and 5% B; 0</w:t>
      </w:r>
      <w:r w:rsidR="00B23A2D">
        <w:rPr>
          <w:rFonts w:ascii="Book Antiqua" w:hAnsi="Book Antiqua"/>
          <w:color w:val="000000" w:themeColor="text1"/>
          <w:sz w:val="24"/>
          <w:szCs w:val="24"/>
        </w:rPr>
        <w:t>-</w:t>
      </w:r>
      <w:r w:rsidR="00730055" w:rsidRPr="0050576F">
        <w:rPr>
          <w:rFonts w:ascii="Book Antiqua" w:hAnsi="Book Antiqua"/>
          <w:color w:val="000000" w:themeColor="text1"/>
          <w:sz w:val="24"/>
          <w:szCs w:val="24"/>
        </w:rPr>
        <w:t>2 min, 95% A; 2</w:t>
      </w:r>
      <w:r w:rsidR="000C1F1C">
        <w:rPr>
          <w:rFonts w:ascii="Book Antiqua" w:hAnsi="Book Antiqua"/>
          <w:color w:val="000000" w:themeColor="text1"/>
          <w:sz w:val="24"/>
          <w:szCs w:val="24"/>
        </w:rPr>
        <w:t>-</w:t>
      </w:r>
      <w:r w:rsidR="00730055" w:rsidRPr="0050576F">
        <w:rPr>
          <w:rFonts w:ascii="Book Antiqua" w:hAnsi="Book Antiqua"/>
          <w:color w:val="000000" w:themeColor="text1"/>
          <w:sz w:val="24"/>
          <w:szCs w:val="24"/>
        </w:rPr>
        <w:t>9 min, 95</w:t>
      </w:r>
      <w:r w:rsidR="000C1F1C">
        <w:rPr>
          <w:rFonts w:ascii="Book Antiqua" w:hAnsi="Book Antiqua"/>
          <w:color w:val="000000" w:themeColor="text1"/>
          <w:sz w:val="24"/>
          <w:szCs w:val="24"/>
        </w:rPr>
        <w:t>%-</w:t>
      </w:r>
      <w:r w:rsidR="00730055" w:rsidRPr="0050576F">
        <w:rPr>
          <w:rFonts w:ascii="Book Antiqua" w:hAnsi="Book Antiqua"/>
          <w:color w:val="000000" w:themeColor="text1"/>
          <w:sz w:val="24"/>
          <w:szCs w:val="24"/>
        </w:rPr>
        <w:t>62% A; 9</w:t>
      </w:r>
      <w:r w:rsidR="000C1F1C">
        <w:rPr>
          <w:rFonts w:ascii="Book Antiqua" w:hAnsi="Book Antiqua"/>
          <w:color w:val="000000" w:themeColor="text1"/>
          <w:sz w:val="24"/>
          <w:szCs w:val="24"/>
        </w:rPr>
        <w:t>-</w:t>
      </w:r>
      <w:r w:rsidR="00730055" w:rsidRPr="0050576F">
        <w:rPr>
          <w:rFonts w:ascii="Book Antiqua" w:hAnsi="Book Antiqua"/>
          <w:color w:val="000000" w:themeColor="text1"/>
          <w:sz w:val="24"/>
          <w:szCs w:val="24"/>
        </w:rPr>
        <w:t>14 min, 62</w:t>
      </w:r>
      <w:r w:rsidR="00A33E5C">
        <w:rPr>
          <w:rFonts w:ascii="Book Antiqua" w:hAnsi="Book Antiqua"/>
          <w:color w:val="000000" w:themeColor="text1"/>
          <w:sz w:val="24"/>
          <w:szCs w:val="24"/>
        </w:rPr>
        <w:t>%</w:t>
      </w:r>
      <w:r w:rsidR="00730055" w:rsidRPr="0050576F">
        <w:rPr>
          <w:rFonts w:ascii="Book Antiqua" w:hAnsi="Book Antiqua"/>
          <w:color w:val="000000" w:themeColor="text1"/>
          <w:sz w:val="24"/>
          <w:szCs w:val="24"/>
        </w:rPr>
        <w:t>–32% A; 14</w:t>
      </w:r>
      <w:r w:rsidR="00B23A2D">
        <w:rPr>
          <w:rFonts w:ascii="Book Antiqua" w:hAnsi="Book Antiqua"/>
          <w:color w:val="000000" w:themeColor="text1"/>
          <w:sz w:val="24"/>
          <w:szCs w:val="24"/>
        </w:rPr>
        <w:t>-</w:t>
      </w:r>
      <w:r w:rsidR="00730055" w:rsidRPr="0050576F">
        <w:rPr>
          <w:rFonts w:ascii="Book Antiqua" w:hAnsi="Book Antiqua"/>
          <w:color w:val="000000" w:themeColor="text1"/>
          <w:sz w:val="24"/>
          <w:szCs w:val="24"/>
        </w:rPr>
        <w:t>22 min, 32</w:t>
      </w:r>
      <w:r w:rsidR="00B23A2D">
        <w:rPr>
          <w:rFonts w:ascii="Book Antiqua" w:hAnsi="Book Antiqua"/>
          <w:color w:val="000000" w:themeColor="text1"/>
          <w:sz w:val="24"/>
          <w:szCs w:val="24"/>
        </w:rPr>
        <w:t>%-</w:t>
      </w:r>
      <w:r w:rsidR="00730055" w:rsidRPr="0050576F">
        <w:rPr>
          <w:rFonts w:ascii="Book Antiqua" w:hAnsi="Book Antiqua"/>
          <w:color w:val="000000" w:themeColor="text1"/>
          <w:sz w:val="24"/>
          <w:szCs w:val="24"/>
        </w:rPr>
        <w:t>0% A; 22</w:t>
      </w:r>
      <w:r w:rsidR="00B23A2D">
        <w:rPr>
          <w:rFonts w:ascii="Book Antiqua" w:hAnsi="Book Antiqua"/>
          <w:color w:val="000000" w:themeColor="text1"/>
          <w:sz w:val="24"/>
          <w:szCs w:val="24"/>
        </w:rPr>
        <w:t>-</w:t>
      </w:r>
      <w:r w:rsidR="00730055" w:rsidRPr="0050576F">
        <w:rPr>
          <w:rFonts w:ascii="Book Antiqua" w:hAnsi="Book Antiqua"/>
          <w:color w:val="000000" w:themeColor="text1"/>
          <w:sz w:val="24"/>
          <w:szCs w:val="24"/>
        </w:rPr>
        <w:t>30 min, 0</w:t>
      </w:r>
      <w:r w:rsidR="00B23A2D">
        <w:rPr>
          <w:rFonts w:ascii="Book Antiqua" w:hAnsi="Book Antiqua"/>
          <w:color w:val="000000" w:themeColor="text1"/>
          <w:sz w:val="24"/>
          <w:szCs w:val="24"/>
        </w:rPr>
        <w:t>-</w:t>
      </w:r>
      <w:r w:rsidR="00730055" w:rsidRPr="0050576F">
        <w:rPr>
          <w:rFonts w:ascii="Book Antiqua" w:hAnsi="Book Antiqua"/>
          <w:color w:val="000000" w:themeColor="text1"/>
          <w:sz w:val="24"/>
          <w:szCs w:val="24"/>
        </w:rPr>
        <w:t>95% A. The column eluent was directed to the mass spectrometer for analyses.</w:t>
      </w:r>
    </w:p>
    <w:p w14:paraId="6B5E4C4D" w14:textId="4118A651"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 xml:space="preserve">Mass spectrometry was performed on a Thermo Fisher Scientific Q-Exactive Focus Mass Spectrometer operating in positive ion electrospray mode. The instrument parameters were set as follows: </w:t>
      </w:r>
      <w:r w:rsidR="00647A2E">
        <w:rPr>
          <w:rFonts w:ascii="Book Antiqua" w:hAnsi="Book Antiqua" w:hint="eastAsia"/>
          <w:color w:val="000000" w:themeColor="text1"/>
          <w:sz w:val="24"/>
          <w:szCs w:val="24"/>
        </w:rPr>
        <w:t>M</w:t>
      </w:r>
      <w:r w:rsidRPr="0050576F">
        <w:rPr>
          <w:rFonts w:ascii="Book Antiqua" w:hAnsi="Book Antiqua"/>
          <w:color w:val="000000" w:themeColor="text1"/>
          <w:sz w:val="24"/>
          <w:szCs w:val="24"/>
        </w:rPr>
        <w:t>ass range scanned from 50 to 1000, spray voltage was 4000</w:t>
      </w:r>
      <w:r w:rsidR="004B17E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V, atomization temperature was 300</w:t>
      </w:r>
      <w:r w:rsidR="00D10A3E" w:rsidRPr="0050576F">
        <w:rPr>
          <w:rFonts w:ascii="宋体" w:hAnsi="宋体" w:cs="宋体" w:hint="eastAsia"/>
          <w:color w:val="000000" w:themeColor="text1"/>
          <w:sz w:val="24"/>
          <w:szCs w:val="24"/>
        </w:rPr>
        <w:t>℃</w:t>
      </w:r>
      <w:r w:rsidRPr="0050576F">
        <w:rPr>
          <w:rFonts w:ascii="Book Antiqua" w:hAnsi="Book Antiqua"/>
          <w:color w:val="000000" w:themeColor="text1"/>
          <w:sz w:val="24"/>
          <w:szCs w:val="24"/>
        </w:rPr>
        <w:t>, nebulizer pressure was 45 bar, capillary temperature was 350</w:t>
      </w:r>
      <w:r w:rsidR="00D10A3E" w:rsidRPr="0050576F">
        <w:rPr>
          <w:rFonts w:ascii="宋体" w:hAnsi="宋体" w:cs="宋体" w:hint="eastAsia"/>
          <w:color w:val="000000" w:themeColor="text1"/>
          <w:sz w:val="24"/>
          <w:szCs w:val="24"/>
        </w:rPr>
        <w:t>℃</w:t>
      </w:r>
      <w:r w:rsidRPr="0050576F">
        <w:rPr>
          <w:rFonts w:ascii="Book Antiqua" w:eastAsia="MS Mincho" w:hAnsi="Book Antiqua" w:cs="Cambria Math"/>
          <w:color w:val="000000" w:themeColor="text1"/>
          <w:sz w:val="24"/>
          <w:szCs w:val="24"/>
          <w:lang w:eastAsia="ja-JP"/>
        </w:rPr>
        <w:t>,</w:t>
      </w:r>
      <w:r w:rsidRPr="0050576F">
        <w:rPr>
          <w:rFonts w:ascii="Book Antiqua" w:hAnsi="Book Antiqua"/>
          <w:color w:val="000000" w:themeColor="text1"/>
          <w:sz w:val="24"/>
          <w:szCs w:val="24"/>
        </w:rPr>
        <w:t xml:space="preserve"> and the capillary voltage was set to 4.00 kV; the sampling cone voltage was set to 35.0 V. The instrument parameters for MS/MS analysis were set at different collision energies according to the stability of metabolites (collision energy was set from 15 to 35 eV).</w:t>
      </w:r>
    </w:p>
    <w:p w14:paraId="1BA214B8" w14:textId="77777777"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 xml:space="preserve">Five injections of QC samples were performed to equilibrate the UPLC-MS systems prior to testing individual patient samples. QC samples were injected after every six patient samples at regular intervals throughout the analytical run. Patient samples were tested in a random </w:t>
      </w:r>
      <w:r w:rsidRPr="0050576F">
        <w:rPr>
          <w:rFonts w:ascii="Book Antiqua" w:eastAsia="MS Mincho" w:hAnsi="Book Antiqua"/>
          <w:color w:val="000000" w:themeColor="text1"/>
          <w:sz w:val="24"/>
          <w:szCs w:val="24"/>
          <w:lang w:eastAsia="ja-JP"/>
        </w:rPr>
        <w:t>manner</w:t>
      </w:r>
      <w:r w:rsidRPr="0050576F">
        <w:rPr>
          <w:rFonts w:ascii="Book Antiqua" w:hAnsi="Book Antiqua"/>
          <w:color w:val="000000" w:themeColor="text1"/>
          <w:sz w:val="24"/>
          <w:szCs w:val="24"/>
        </w:rPr>
        <w:t>.</w:t>
      </w:r>
    </w:p>
    <w:p w14:paraId="34019C4E" w14:textId="77777777" w:rsidR="00EB3C3C" w:rsidRPr="0050576F" w:rsidRDefault="00EB3C3C" w:rsidP="0050576F">
      <w:pPr>
        <w:snapToGrid w:val="0"/>
        <w:spacing w:line="360" w:lineRule="auto"/>
        <w:rPr>
          <w:rFonts w:ascii="Book Antiqua" w:hAnsi="Book Antiqua"/>
          <w:b/>
          <w:color w:val="000000" w:themeColor="text1"/>
          <w:kern w:val="0"/>
          <w:sz w:val="24"/>
          <w:szCs w:val="24"/>
        </w:rPr>
      </w:pPr>
    </w:p>
    <w:p w14:paraId="3CD61E6C" w14:textId="77777777" w:rsidR="00EB3C3C" w:rsidRPr="0050576F" w:rsidRDefault="00730055" w:rsidP="0050576F">
      <w:pPr>
        <w:widowControl/>
        <w:autoSpaceDE w:val="0"/>
        <w:autoSpaceDN w:val="0"/>
        <w:adjustRightInd w:val="0"/>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Data processing and statistical analysis</w:t>
      </w:r>
    </w:p>
    <w:p w14:paraId="7F662FDD" w14:textId="5139C608"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The raw UPLC-MS data of the sample</w:t>
      </w:r>
      <w:r w:rsidR="000F6891">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w</w:t>
      </w:r>
      <w:r w:rsidR="000F6891">
        <w:rPr>
          <w:rFonts w:ascii="Book Antiqua" w:hAnsi="Book Antiqua"/>
          <w:color w:val="000000" w:themeColor="text1"/>
          <w:sz w:val="24"/>
          <w:szCs w:val="24"/>
        </w:rPr>
        <w:t>ere</w:t>
      </w:r>
      <w:r w:rsidRPr="0050576F">
        <w:rPr>
          <w:rFonts w:ascii="Book Antiqua" w:hAnsi="Book Antiqua"/>
          <w:color w:val="000000" w:themeColor="text1"/>
          <w:sz w:val="24"/>
          <w:szCs w:val="24"/>
        </w:rPr>
        <w:t xml:space="preserve"> extracted using MZmine2.3 software and Xcalibur software (Thermo Fisher Scientific), which enabled detection, integration and normalization of the intensities of the peaks to the sum of peaks within the sample and to create a multivariate dataset containing the retention time, m/z</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relative abundances. The parameters were set as follows: </w:t>
      </w:r>
      <w:r w:rsidR="00647A2E">
        <w:rPr>
          <w:rFonts w:ascii="Book Antiqua" w:hAnsi="Book Antiqua" w:hint="eastAsia"/>
          <w:color w:val="000000" w:themeColor="text1"/>
          <w:sz w:val="24"/>
          <w:szCs w:val="24"/>
        </w:rPr>
        <w:t>R</w:t>
      </w:r>
      <w:r w:rsidRPr="0050576F">
        <w:rPr>
          <w:rFonts w:ascii="Book Antiqua" w:hAnsi="Book Antiqua"/>
          <w:color w:val="000000" w:themeColor="text1"/>
          <w:sz w:val="24"/>
          <w:szCs w:val="24"/>
        </w:rPr>
        <w:t xml:space="preserve">etention time ranging from 0 to 30 min, mass range m/z from 50 to 1000, </w:t>
      </w:r>
      <w:r w:rsidRPr="0050576F">
        <w:rPr>
          <w:rFonts w:ascii="Book Antiqua" w:eastAsia="MS Mincho" w:hAnsi="Book Antiqua"/>
          <w:color w:val="000000" w:themeColor="text1"/>
          <w:sz w:val="24"/>
          <w:szCs w:val="24"/>
          <w:lang w:eastAsia="ja-JP"/>
        </w:rPr>
        <w:t xml:space="preserve">and </w:t>
      </w:r>
      <w:r w:rsidRPr="0050576F">
        <w:rPr>
          <w:rFonts w:ascii="Book Antiqua" w:hAnsi="Book Antiqua"/>
          <w:color w:val="000000" w:themeColor="text1"/>
          <w:sz w:val="24"/>
          <w:szCs w:val="24"/>
        </w:rPr>
        <w:t>mass tolerance at 0.05 Da. For peak integration, peak width at 5% of the height was 1 s, peak-to-peak baseline noise was 0, peak intensity threshold was 100, and re</w:t>
      </w:r>
      <w:r w:rsidR="004B17E3" w:rsidRPr="0050576F">
        <w:rPr>
          <w:rFonts w:ascii="Book Antiqua" w:hAnsi="Book Antiqua"/>
          <w:color w:val="000000" w:themeColor="text1"/>
          <w:sz w:val="24"/>
          <w:szCs w:val="24"/>
        </w:rPr>
        <w:t>tention time window was 0.20 s</w:t>
      </w:r>
      <w:r w:rsidRPr="0050576F">
        <w:rPr>
          <w:rFonts w:ascii="Book Antiqua" w:hAnsi="Book Antiqua"/>
          <w:color w:val="000000" w:themeColor="text1"/>
          <w:sz w:val="24"/>
          <w:szCs w:val="24"/>
        </w:rPr>
        <w:t>.</w:t>
      </w:r>
    </w:p>
    <w:p w14:paraId="0E472235" w14:textId="7470E480" w:rsidR="00EB3C3C" w:rsidRPr="0050576F" w:rsidRDefault="000F6891" w:rsidP="0050576F">
      <w:pPr>
        <w:snapToGrid w:val="0"/>
        <w:spacing w:line="360" w:lineRule="auto"/>
        <w:ind w:firstLineChars="100" w:firstLine="240"/>
        <w:rPr>
          <w:rFonts w:ascii="Book Antiqua" w:hAnsi="Book Antiqua"/>
          <w:color w:val="000000" w:themeColor="text1"/>
          <w:sz w:val="24"/>
          <w:szCs w:val="24"/>
        </w:rPr>
      </w:pPr>
      <w:r>
        <w:rPr>
          <w:rFonts w:ascii="Book Antiqua" w:hAnsi="Book Antiqua"/>
          <w:color w:val="000000" w:themeColor="text1"/>
          <w:sz w:val="24"/>
          <w:szCs w:val="24"/>
        </w:rPr>
        <w:lastRenderedPageBreak/>
        <w:t>The s</w:t>
      </w:r>
      <w:r w:rsidR="00730055" w:rsidRPr="0050576F">
        <w:rPr>
          <w:rFonts w:ascii="Book Antiqua" w:hAnsi="Book Antiqua"/>
          <w:color w:val="000000" w:themeColor="text1"/>
          <w:sz w:val="24"/>
          <w:szCs w:val="24"/>
        </w:rPr>
        <w:t>tatistical analysis is shown in Figure</w:t>
      </w:r>
      <w:r w:rsidR="004B17E3"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1. In brief, we use</w:t>
      </w:r>
      <w:r w:rsidR="00730055" w:rsidRPr="0050576F">
        <w:rPr>
          <w:rFonts w:ascii="Book Antiqua" w:eastAsia="MS Mincho" w:hAnsi="Book Antiqua"/>
          <w:color w:val="000000" w:themeColor="text1"/>
          <w:sz w:val="24"/>
          <w:szCs w:val="24"/>
          <w:lang w:eastAsia="ja-JP"/>
        </w:rPr>
        <w:t>d</w:t>
      </w:r>
      <w:r w:rsidR="00730055" w:rsidRPr="0050576F">
        <w:rPr>
          <w:rFonts w:ascii="Book Antiqua" w:hAnsi="Book Antiqua"/>
          <w:color w:val="000000" w:themeColor="text1"/>
          <w:sz w:val="24"/>
          <w:szCs w:val="24"/>
        </w:rPr>
        <w:t xml:space="preserve"> SIMCA-P</w:t>
      </w:r>
      <w:r w:rsidR="00D10A3E"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+ 12.0 software (Umetrics, AB, Sweden) to perform PCA, PLS-DA, and OPLS-DA. Pattern recognition analysis based on sequential feature selection combined with LDA for diagnosis of HCC, and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Z test [for comparison of area under curve (AUC)] were performed using Matlab Version 8.1 (R2013a) software (Math</w:t>
      </w:r>
      <w:r>
        <w:rPr>
          <w:rFonts w:ascii="Book Antiqua" w:hAnsi="Book Antiqua"/>
          <w:color w:val="000000" w:themeColor="text1"/>
          <w:sz w:val="24"/>
          <w:szCs w:val="24"/>
        </w:rPr>
        <w:t>W</w:t>
      </w:r>
      <w:r w:rsidR="00730055" w:rsidRPr="0050576F">
        <w:rPr>
          <w:rFonts w:ascii="Book Antiqua" w:hAnsi="Book Antiqua"/>
          <w:color w:val="000000" w:themeColor="text1"/>
          <w:sz w:val="24"/>
          <w:szCs w:val="24"/>
        </w:rPr>
        <w:t>orks Inc</w:t>
      </w:r>
      <w:r>
        <w:rPr>
          <w:rFonts w:ascii="Book Antiqua" w:hAnsi="Book Antiqua"/>
          <w:color w:val="000000" w:themeColor="text1"/>
          <w:sz w:val="24"/>
          <w:szCs w:val="24"/>
        </w:rPr>
        <w:t>.</w:t>
      </w:r>
      <w:r w:rsidR="00730055" w:rsidRPr="0050576F">
        <w:rPr>
          <w:rFonts w:ascii="Book Antiqua" w:hAnsi="Book Antiqua"/>
          <w:color w:val="000000" w:themeColor="text1"/>
          <w:sz w:val="24"/>
          <w:szCs w:val="24"/>
        </w:rPr>
        <w:t>, Natick, MA, U</w:t>
      </w:r>
      <w:r w:rsidR="004B17E3" w:rsidRPr="0050576F">
        <w:rPr>
          <w:rFonts w:ascii="Book Antiqua" w:hAnsi="Book Antiqua"/>
          <w:color w:val="000000" w:themeColor="text1"/>
          <w:sz w:val="24"/>
          <w:szCs w:val="24"/>
        </w:rPr>
        <w:t>nited States</w:t>
      </w:r>
      <w:r w:rsidR="00730055" w:rsidRPr="0050576F">
        <w:rPr>
          <w:rFonts w:ascii="Book Antiqua" w:hAnsi="Book Antiqua"/>
          <w:color w:val="000000" w:themeColor="text1"/>
          <w:sz w:val="24"/>
          <w:szCs w:val="24"/>
        </w:rPr>
        <w:t xml:space="preserve">). One-way ANOVA,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Chi-square test</w:t>
      </w:r>
      <w:r w:rsidR="00730055" w:rsidRPr="0050576F">
        <w:rPr>
          <w:rFonts w:ascii="Book Antiqua" w:eastAsia="MS Mincho" w:hAnsi="Book Antiqua"/>
          <w:color w:val="000000" w:themeColor="text1"/>
          <w:sz w:val="24"/>
          <w:szCs w:val="24"/>
          <w:lang w:eastAsia="ja-JP"/>
        </w:rPr>
        <w:t>,</w:t>
      </w:r>
      <w:r w:rsidR="00730055" w:rsidRPr="0050576F">
        <w:rPr>
          <w:rFonts w:ascii="Book Antiqua" w:hAnsi="Book Antiqua"/>
          <w:color w:val="000000" w:themeColor="text1"/>
          <w:sz w:val="24"/>
          <w:szCs w:val="24"/>
        </w:rPr>
        <w:t xml:space="preserve"> and Kruskal–Wallis test were conducted </w:t>
      </w:r>
      <w:r w:rsidR="00730055" w:rsidRPr="0050576F">
        <w:rPr>
          <w:rFonts w:ascii="Book Antiqua" w:eastAsia="MS Mincho" w:hAnsi="Book Antiqua"/>
          <w:color w:val="000000" w:themeColor="text1"/>
          <w:sz w:val="24"/>
          <w:szCs w:val="24"/>
          <w:lang w:eastAsia="ja-JP"/>
        </w:rPr>
        <w:t xml:space="preserve">using </w:t>
      </w:r>
      <w:r w:rsidR="00730055" w:rsidRPr="0050576F">
        <w:rPr>
          <w:rFonts w:ascii="Book Antiqua" w:hAnsi="Book Antiqua"/>
          <w:color w:val="000000" w:themeColor="text1"/>
          <w:sz w:val="24"/>
          <w:szCs w:val="24"/>
        </w:rPr>
        <w:t xml:space="preserve">SPSS v16.0 software (SPSS </w:t>
      </w:r>
      <w:r w:rsidR="00730055" w:rsidRPr="0050576F">
        <w:rPr>
          <w:rFonts w:ascii="Book Antiqua" w:hAnsi="Book Antiqua"/>
          <w:iCs/>
          <w:color w:val="000000" w:themeColor="text1"/>
          <w:sz w:val="24"/>
          <w:szCs w:val="24"/>
        </w:rPr>
        <w:t>Inc.</w:t>
      </w:r>
      <w:r w:rsidR="00730055" w:rsidRPr="0050576F">
        <w:rPr>
          <w:rFonts w:ascii="Book Antiqua" w:hAnsi="Book Antiqua"/>
          <w:color w:val="000000" w:themeColor="text1"/>
          <w:sz w:val="24"/>
          <w:szCs w:val="24"/>
        </w:rPr>
        <w:t xml:space="preserve"> Chicago, IL, </w:t>
      </w:r>
      <w:r w:rsidR="00F677E7" w:rsidRPr="0050576F">
        <w:rPr>
          <w:rFonts w:ascii="Book Antiqua" w:hAnsi="Book Antiqua"/>
          <w:color w:val="000000" w:themeColor="text1"/>
          <w:sz w:val="24"/>
          <w:szCs w:val="24"/>
        </w:rPr>
        <w:t>United States</w:t>
      </w:r>
      <w:r w:rsidR="00730055" w:rsidRPr="0050576F">
        <w:rPr>
          <w:rFonts w:ascii="Book Antiqua" w:hAnsi="Book Antiqua"/>
          <w:color w:val="000000" w:themeColor="text1"/>
          <w:sz w:val="24"/>
          <w:szCs w:val="24"/>
        </w:rPr>
        <w:t xml:space="preserve">). Differences were considered statistically significant at </w:t>
      </w:r>
      <w:r w:rsidR="00730055" w:rsidRPr="0050576F">
        <w:rPr>
          <w:rFonts w:ascii="Book Antiqua" w:hAnsi="Book Antiqua"/>
          <w:i/>
          <w:color w:val="000000" w:themeColor="text1"/>
          <w:sz w:val="24"/>
          <w:szCs w:val="24"/>
        </w:rPr>
        <w:t xml:space="preserve">P </w:t>
      </w:r>
      <w:r w:rsidR="00730055" w:rsidRPr="0050576F">
        <w:rPr>
          <w:rFonts w:ascii="Book Antiqua" w:hAnsi="Book Antiqua"/>
          <w:color w:val="000000" w:themeColor="text1"/>
          <w:sz w:val="24"/>
          <w:szCs w:val="24"/>
        </w:rPr>
        <w:t>&lt; 0.05.</w:t>
      </w:r>
    </w:p>
    <w:p w14:paraId="59F7F48A" w14:textId="77777777" w:rsidR="00EB3C3C" w:rsidRPr="0050576F" w:rsidRDefault="00EB3C3C" w:rsidP="0050576F">
      <w:pPr>
        <w:snapToGrid w:val="0"/>
        <w:spacing w:line="360" w:lineRule="auto"/>
        <w:rPr>
          <w:rFonts w:ascii="Book Antiqua" w:hAnsi="Book Antiqua"/>
          <w:b/>
          <w:color w:val="000000" w:themeColor="text1"/>
          <w:kern w:val="0"/>
          <w:sz w:val="24"/>
          <w:szCs w:val="24"/>
        </w:rPr>
      </w:pPr>
    </w:p>
    <w:p w14:paraId="238CED66" w14:textId="77777777" w:rsidR="004B17E3"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bCs/>
          <w:i/>
          <w:color w:val="000000" w:themeColor="text1"/>
          <w:kern w:val="0"/>
          <w:sz w:val="24"/>
          <w:szCs w:val="24"/>
          <w:lang w:eastAsia="en-US"/>
        </w:rPr>
        <w:t>Marker identification</w:t>
      </w:r>
    </w:p>
    <w:p w14:paraId="186D2F32" w14:textId="49458D08"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MS Mincho" w:hAnsi="Book Antiqua"/>
          <w:color w:val="000000" w:themeColor="text1"/>
          <w:sz w:val="24"/>
          <w:szCs w:val="24"/>
          <w:lang w:eastAsia="ja-JP"/>
        </w:rPr>
        <w:t xml:space="preserve">The </w:t>
      </w:r>
      <w:r w:rsidRPr="0050576F">
        <w:rPr>
          <w:rFonts w:ascii="Book Antiqua" w:hAnsi="Book Antiqua"/>
          <w:color w:val="000000" w:themeColor="text1"/>
          <w:sz w:val="24"/>
          <w:szCs w:val="24"/>
        </w:rPr>
        <w:t xml:space="preserve">compounds </w:t>
      </w:r>
      <w:r w:rsidRPr="0050576F">
        <w:rPr>
          <w:rFonts w:ascii="Book Antiqua" w:eastAsia="MS Mincho" w:hAnsi="Book Antiqua"/>
          <w:color w:val="000000" w:themeColor="text1"/>
          <w:sz w:val="24"/>
          <w:szCs w:val="24"/>
          <w:lang w:eastAsia="ja-JP"/>
        </w:rPr>
        <w:t xml:space="preserve">were identified </w:t>
      </w:r>
      <w:r w:rsidRPr="0050576F">
        <w:rPr>
          <w:rFonts w:ascii="Book Antiqua" w:hAnsi="Book Antiqua"/>
          <w:color w:val="000000" w:themeColor="text1"/>
          <w:sz w:val="24"/>
          <w:szCs w:val="24"/>
        </w:rPr>
        <w:t xml:space="preserve">by searching </w:t>
      </w:r>
      <w:r w:rsidR="000F6891">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Human Metabolome Database (</w:t>
      </w:r>
      <w:r w:rsidRPr="005B291C">
        <w:rPr>
          <w:rFonts w:ascii="Book Antiqua" w:hAnsi="Book Antiqua"/>
          <w:sz w:val="24"/>
          <w:szCs w:val="24"/>
        </w:rPr>
        <w:t>http://hmdb.ca/</w:t>
      </w:r>
      <w:r w:rsidRPr="0050576F">
        <w:rPr>
          <w:rFonts w:ascii="Book Antiqua" w:hAnsi="Book Antiqua"/>
          <w:color w:val="000000" w:themeColor="text1"/>
          <w:sz w:val="24"/>
          <w:szCs w:val="24"/>
        </w:rPr>
        <w:t>), PubChem compound database (</w:t>
      </w:r>
      <w:r w:rsidRPr="005B291C">
        <w:rPr>
          <w:rFonts w:ascii="Book Antiqua" w:hAnsi="Book Antiqua"/>
          <w:sz w:val="24"/>
          <w:szCs w:val="24"/>
        </w:rPr>
        <w:t>http://www.ncbi.nlm.nih.gov</w:t>
      </w:r>
      <w:r w:rsidRPr="0050576F">
        <w:rPr>
          <w:rFonts w:ascii="Book Antiqua" w:hAnsi="Book Antiqua"/>
          <w:color w:val="000000" w:themeColor="text1"/>
          <w:sz w:val="24"/>
          <w:szCs w:val="24"/>
        </w:rPr>
        <w:t>)</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our own compound database that include</w:t>
      </w:r>
      <w:r w:rsidR="000F6891">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metabolites previously identified</w:t>
      </w:r>
      <w:r w:rsidRPr="0050576F">
        <w:rPr>
          <w:rFonts w:ascii="Book Antiqua" w:eastAsia="MS Mincho" w:hAnsi="Book Antiqua"/>
          <w:color w:val="000000" w:themeColor="text1"/>
          <w:sz w:val="24"/>
          <w:szCs w:val="24"/>
          <w:lang w:eastAsia="ja-JP"/>
        </w:rPr>
        <w:t xml:space="preserve"> by us</w:t>
      </w:r>
      <w:r w:rsidRPr="0050576F">
        <w:rPr>
          <w:rFonts w:ascii="Book Antiqua" w:hAnsi="Book Antiqua"/>
          <w:color w:val="000000" w:themeColor="text1"/>
          <w:sz w:val="24"/>
          <w:szCs w:val="24"/>
        </w:rPr>
        <w:t>. Finally, the compound w</w:t>
      </w:r>
      <w:r w:rsidR="000F6891">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verified by comparing the mass spectra and retention time of potential biomarkers with authentic standards (Supplementary Figure</w:t>
      </w:r>
      <w:r w:rsidR="004B17E3" w:rsidRPr="0050576F">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1</w:t>
      </w:r>
      <w:r w:rsidR="004B17E3" w:rsidRPr="0050576F">
        <w:rPr>
          <w:rFonts w:ascii="Book Antiqua" w:hAnsi="Book Antiqua"/>
          <w:color w:val="000000" w:themeColor="text1"/>
          <w:sz w:val="24"/>
          <w:szCs w:val="24"/>
        </w:rPr>
        <w:t>-</w:t>
      </w:r>
      <w:r w:rsidRPr="0050576F">
        <w:rPr>
          <w:rFonts w:ascii="Book Antiqua" w:hAnsi="Book Antiqua"/>
          <w:color w:val="000000" w:themeColor="text1"/>
          <w:sz w:val="24"/>
          <w:szCs w:val="24"/>
        </w:rPr>
        <w:t>5).</w:t>
      </w:r>
    </w:p>
    <w:p w14:paraId="2FB85B92" w14:textId="77777777" w:rsidR="00EB3C3C" w:rsidRPr="0050576F" w:rsidRDefault="00EB3C3C" w:rsidP="0050576F">
      <w:pPr>
        <w:snapToGrid w:val="0"/>
        <w:spacing w:line="360" w:lineRule="auto"/>
        <w:rPr>
          <w:rFonts w:ascii="Book Antiqua" w:hAnsi="Book Antiqua"/>
          <w:color w:val="000000" w:themeColor="text1"/>
          <w:sz w:val="24"/>
          <w:szCs w:val="24"/>
        </w:rPr>
      </w:pPr>
    </w:p>
    <w:p w14:paraId="4E9DB1AD" w14:textId="77777777" w:rsidR="00EB3C3C" w:rsidRPr="0050576F" w:rsidRDefault="00730055" w:rsidP="0050576F">
      <w:pPr>
        <w:snapToGrid w:val="0"/>
        <w:spacing w:line="360" w:lineRule="auto"/>
        <w:rPr>
          <w:rFonts w:ascii="Book Antiqua" w:hAnsi="Book Antiqua"/>
          <w:color w:val="000000" w:themeColor="text1"/>
          <w:sz w:val="24"/>
          <w:szCs w:val="24"/>
          <w:u w:val="single"/>
        </w:rPr>
      </w:pPr>
      <w:r w:rsidRPr="0050576F">
        <w:rPr>
          <w:rFonts w:ascii="Book Antiqua" w:eastAsia="Book Antiqua" w:hAnsi="Book Antiqua" w:cs="Book Antiqua"/>
          <w:b/>
          <w:color w:val="000000" w:themeColor="text1"/>
          <w:sz w:val="24"/>
          <w:szCs w:val="24"/>
          <w:u w:val="single"/>
        </w:rPr>
        <w:t>RESULTS</w:t>
      </w:r>
    </w:p>
    <w:p w14:paraId="12B6182F" w14:textId="77777777" w:rsidR="00EB3C3C" w:rsidRPr="0050576F" w:rsidRDefault="00730055" w:rsidP="0050576F">
      <w:pPr>
        <w:snapToGrid w:val="0"/>
        <w:spacing w:line="360" w:lineRule="auto"/>
        <w:rPr>
          <w:rFonts w:ascii="Book Antiqua" w:hAnsi="Book Antiqua"/>
          <w:b/>
          <w:bCs/>
          <w:color w:val="000000" w:themeColor="text1"/>
          <w:sz w:val="24"/>
          <w:szCs w:val="24"/>
        </w:rPr>
      </w:pPr>
      <w:r w:rsidRPr="0050576F">
        <w:rPr>
          <w:rFonts w:ascii="Book Antiqua" w:hAnsi="Book Antiqua"/>
          <w:b/>
          <w:bCs/>
          <w:i/>
          <w:color w:val="000000" w:themeColor="text1"/>
          <w:kern w:val="0"/>
          <w:sz w:val="24"/>
          <w:szCs w:val="24"/>
          <w:lang w:eastAsia="en-US"/>
        </w:rPr>
        <w:t>Study population and clinical characteristics</w:t>
      </w:r>
    </w:p>
    <w:p w14:paraId="6ECA90D9" w14:textId="3D6B68D5"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Demographic data and clinical characteristics of the subjects are shown in Table 1. Thirty patients with HCC (all with cirrhosis, C group), 29 patients with cirrhosis (all without HCC, Y group), and 31 healthy controls (N group) were enrolled. There w</w:t>
      </w:r>
      <w:r w:rsidR="000F6891">
        <w:rPr>
          <w:rFonts w:ascii="Book Antiqua" w:hAnsi="Book Antiqua"/>
          <w:color w:val="000000" w:themeColor="text1"/>
          <w:sz w:val="24"/>
          <w:szCs w:val="24"/>
        </w:rPr>
        <w:t>ere</w:t>
      </w:r>
      <w:r w:rsidRPr="0050576F">
        <w:rPr>
          <w:rFonts w:ascii="Book Antiqua" w:hAnsi="Book Antiqua"/>
          <w:color w:val="000000" w:themeColor="text1"/>
          <w:sz w:val="24"/>
          <w:szCs w:val="24"/>
        </w:rPr>
        <w:t xml:space="preserve"> no s</w:t>
      </w:r>
      <w:r w:rsidR="000F6891">
        <w:rPr>
          <w:rFonts w:ascii="Book Antiqua" w:hAnsi="Book Antiqua"/>
          <w:color w:val="000000" w:themeColor="text1"/>
          <w:sz w:val="24"/>
          <w:szCs w:val="24"/>
        </w:rPr>
        <w:t>ignificant</w:t>
      </w:r>
      <w:r w:rsidRPr="0050576F">
        <w:rPr>
          <w:rFonts w:ascii="Book Antiqua" w:hAnsi="Book Antiqua"/>
          <w:color w:val="000000" w:themeColor="text1"/>
          <w:sz w:val="24"/>
          <w:szCs w:val="24"/>
        </w:rPr>
        <w:t xml:space="preserve"> difference</w:t>
      </w:r>
      <w:r w:rsidR="000F6891">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in age and sex among the three groups, and </w:t>
      </w:r>
      <w:r w:rsidR="000F6891">
        <w:rPr>
          <w:rFonts w:ascii="Book Antiqua" w:hAnsi="Book Antiqua"/>
          <w:color w:val="000000" w:themeColor="text1"/>
          <w:sz w:val="24"/>
          <w:szCs w:val="24"/>
        </w:rPr>
        <w:t xml:space="preserve">no significant differences in the </w:t>
      </w:r>
      <w:r w:rsidRPr="0050576F">
        <w:rPr>
          <w:rFonts w:ascii="Book Antiqua" w:hAnsi="Book Antiqua"/>
          <w:color w:val="000000" w:themeColor="text1"/>
          <w:sz w:val="24"/>
          <w:szCs w:val="24"/>
        </w:rPr>
        <w:t xml:space="preserve">causes of liver injury and Child-Pugh Score between C group and Y group. </w:t>
      </w:r>
      <w:r w:rsidRPr="0050576F">
        <w:rPr>
          <w:rFonts w:ascii="Book Antiqua" w:eastAsia="MS Mincho" w:hAnsi="Book Antiqua"/>
          <w:color w:val="000000" w:themeColor="text1"/>
          <w:sz w:val="24"/>
          <w:szCs w:val="24"/>
          <w:lang w:eastAsia="ja-JP"/>
        </w:rPr>
        <w:t>The l</w:t>
      </w:r>
      <w:r w:rsidRPr="0050576F">
        <w:rPr>
          <w:rFonts w:ascii="Book Antiqua" w:hAnsi="Book Antiqua"/>
          <w:color w:val="000000" w:themeColor="text1"/>
          <w:sz w:val="24"/>
          <w:szCs w:val="24"/>
        </w:rPr>
        <w:t xml:space="preserve">evels of AFP, </w:t>
      </w:r>
      <w:r w:rsidR="000F6891">
        <w:rPr>
          <w:rFonts w:ascii="Book Antiqua" w:hAnsi="Book Antiqua"/>
          <w:color w:val="000000" w:themeColor="text1"/>
          <w:sz w:val="24"/>
          <w:szCs w:val="24"/>
        </w:rPr>
        <w:t>g</w:t>
      </w:r>
      <w:r w:rsidR="00D10A3E" w:rsidRPr="0050576F">
        <w:rPr>
          <w:rFonts w:ascii="Book Antiqua" w:hAnsi="Book Antiqua"/>
          <w:color w:val="000000" w:themeColor="text1"/>
          <w:sz w:val="24"/>
          <w:szCs w:val="24"/>
        </w:rPr>
        <w:t>lutamic-oxaloacetic transaminase</w:t>
      </w:r>
      <w:r w:rsidRPr="0050576F">
        <w:rPr>
          <w:rFonts w:ascii="Book Antiqua" w:hAnsi="Book Antiqua"/>
          <w:color w:val="000000" w:themeColor="text1"/>
          <w:sz w:val="24"/>
          <w:szCs w:val="24"/>
        </w:rPr>
        <w:t xml:space="preserve">, and </w:t>
      </w:r>
      <w:r w:rsidR="000F6891">
        <w:rPr>
          <w:rFonts w:ascii="Book Antiqua" w:hAnsi="Book Antiqua"/>
          <w:color w:val="000000" w:themeColor="text1"/>
          <w:sz w:val="24"/>
          <w:szCs w:val="24"/>
        </w:rPr>
        <w:t>a</w:t>
      </w:r>
      <w:r w:rsidR="00D10A3E" w:rsidRPr="0050576F">
        <w:rPr>
          <w:rFonts w:ascii="Book Antiqua" w:hAnsi="Book Antiqua"/>
          <w:color w:val="000000" w:themeColor="text1"/>
          <w:sz w:val="24"/>
          <w:szCs w:val="24"/>
        </w:rPr>
        <w:t>lanine aminotransferase</w:t>
      </w:r>
      <w:r w:rsidRPr="0050576F">
        <w:rPr>
          <w:rFonts w:ascii="Book Antiqua" w:hAnsi="Book Antiqua"/>
          <w:color w:val="000000" w:themeColor="text1"/>
          <w:sz w:val="24"/>
          <w:szCs w:val="24"/>
        </w:rPr>
        <w:t xml:space="preserve"> were relatively higher and </w:t>
      </w:r>
      <w:r w:rsidRPr="0050576F">
        <w:rPr>
          <w:rFonts w:ascii="Book Antiqua" w:eastAsia="MS Mincho" w:hAnsi="Book Antiqua"/>
          <w:color w:val="000000" w:themeColor="text1"/>
          <w:sz w:val="24"/>
          <w:szCs w:val="24"/>
          <w:lang w:eastAsia="ja-JP"/>
        </w:rPr>
        <w:t xml:space="preserve">the level </w:t>
      </w:r>
      <w:r w:rsidRPr="0050576F">
        <w:rPr>
          <w:rFonts w:ascii="Book Antiqua" w:hAnsi="Book Antiqua"/>
          <w:color w:val="000000" w:themeColor="text1"/>
          <w:sz w:val="24"/>
          <w:szCs w:val="24"/>
        </w:rPr>
        <w:t xml:space="preserve">of </w:t>
      </w:r>
      <w:r w:rsidR="00D10A3E" w:rsidRPr="0050576F">
        <w:rPr>
          <w:rFonts w:ascii="Book Antiqua" w:hAnsi="Book Antiqua"/>
          <w:color w:val="000000" w:themeColor="text1"/>
          <w:sz w:val="24"/>
          <w:szCs w:val="24"/>
        </w:rPr>
        <w:t>albumin</w:t>
      </w:r>
      <w:r w:rsidRPr="0050576F">
        <w:rPr>
          <w:rFonts w:ascii="Book Antiqua" w:hAnsi="Book Antiqua"/>
          <w:color w:val="000000" w:themeColor="text1"/>
          <w:sz w:val="24"/>
          <w:szCs w:val="24"/>
        </w:rPr>
        <w:t xml:space="preserve"> was relatively lower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 xml:space="preserve">HCC than in </w:t>
      </w:r>
      <w:r w:rsidRPr="0050576F">
        <w:rPr>
          <w:rFonts w:ascii="Book Antiqua" w:eastAsia="MS Mincho" w:hAnsi="Book Antiqua"/>
          <w:color w:val="000000" w:themeColor="text1"/>
          <w:sz w:val="24"/>
          <w:szCs w:val="24"/>
          <w:lang w:eastAsia="ja-JP"/>
        </w:rPr>
        <w:t>patients with cirrhosis and healthy controls</w:t>
      </w:r>
      <w:r w:rsidRPr="0050576F">
        <w:rPr>
          <w:rFonts w:ascii="Book Antiqua" w:hAnsi="Book Antiqua"/>
          <w:color w:val="000000" w:themeColor="text1"/>
          <w:sz w:val="24"/>
          <w:szCs w:val="24"/>
        </w:rPr>
        <w:t xml:space="preserve">. The histopathology results of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are shown in Supplementary Figure 6. We use</w:t>
      </w:r>
      <w:r w:rsidR="000F6891">
        <w:rPr>
          <w:rFonts w:ascii="Book Antiqua" w:hAnsi="Book Antiqua"/>
          <w:color w:val="000000" w:themeColor="text1"/>
          <w:sz w:val="24"/>
          <w:szCs w:val="24"/>
        </w:rPr>
        <w:t>d the</w:t>
      </w:r>
      <w:r w:rsidRPr="0050576F">
        <w:rPr>
          <w:rFonts w:ascii="Book Antiqua" w:hAnsi="Book Antiqua"/>
          <w:color w:val="000000" w:themeColor="text1"/>
          <w:sz w:val="24"/>
          <w:szCs w:val="24"/>
        </w:rPr>
        <w:t xml:space="preserve"> Chinese staging system to stage HCC</w:t>
      </w:r>
      <w:r w:rsidRPr="0050576F">
        <w:rPr>
          <w:rFonts w:ascii="Book Antiqua" w:hAnsi="Book Antiqua"/>
          <w:color w:val="000000" w:themeColor="text1"/>
          <w:sz w:val="24"/>
          <w:szCs w:val="24"/>
          <w:vertAlign w:val="superscript"/>
        </w:rPr>
        <w:t>[15]</w:t>
      </w:r>
      <w:r w:rsidRPr="0050576F">
        <w:rPr>
          <w:rFonts w:ascii="Book Antiqua" w:hAnsi="Book Antiqua"/>
          <w:color w:val="000000" w:themeColor="text1"/>
          <w:sz w:val="24"/>
          <w:szCs w:val="24"/>
        </w:rPr>
        <w:t>, a</w:t>
      </w:r>
      <w:r w:rsidR="000F6891">
        <w:rPr>
          <w:rFonts w:ascii="Book Antiqua" w:hAnsi="Book Antiqua"/>
          <w:color w:val="000000" w:themeColor="text1"/>
          <w:sz w:val="24"/>
          <w:szCs w:val="24"/>
        </w:rPr>
        <w:t xml:space="preserve">nd </w:t>
      </w:r>
      <w:r w:rsidRPr="0050576F">
        <w:rPr>
          <w:rFonts w:ascii="Book Antiqua" w:hAnsi="Book Antiqua"/>
          <w:color w:val="000000" w:themeColor="text1"/>
          <w:sz w:val="24"/>
          <w:szCs w:val="24"/>
        </w:rPr>
        <w:t xml:space="preserve">11 cases </w:t>
      </w:r>
      <w:r w:rsidRPr="0050576F">
        <w:rPr>
          <w:rFonts w:ascii="Book Antiqua" w:hAnsi="Book Antiqua"/>
          <w:color w:val="000000" w:themeColor="text1"/>
          <w:sz w:val="24"/>
          <w:szCs w:val="24"/>
        </w:rPr>
        <w:lastRenderedPageBreak/>
        <w:t xml:space="preserve">were </w:t>
      </w:r>
      <w:r w:rsidR="000F6891">
        <w:rPr>
          <w:rFonts w:ascii="Book Antiqua" w:hAnsi="Book Antiqua"/>
          <w:color w:val="000000" w:themeColor="text1"/>
          <w:sz w:val="24"/>
          <w:szCs w:val="24"/>
        </w:rPr>
        <w:t xml:space="preserve">stage </w:t>
      </w:r>
      <w:r w:rsidRPr="0050576F">
        <w:rPr>
          <w:rFonts w:ascii="宋体" w:hAnsi="宋体" w:cs="宋体" w:hint="eastAsia"/>
          <w:color w:val="000000" w:themeColor="text1"/>
          <w:sz w:val="24"/>
          <w:szCs w:val="24"/>
        </w:rPr>
        <w:t>Ⅲ</w:t>
      </w:r>
      <w:r w:rsidRPr="0050576F">
        <w:rPr>
          <w:rFonts w:ascii="Book Antiqua" w:hAnsi="Book Antiqua"/>
          <w:color w:val="000000" w:themeColor="text1"/>
          <w:sz w:val="24"/>
          <w:szCs w:val="24"/>
        </w:rPr>
        <w:t>a, 12 cases were</w:t>
      </w:r>
      <w:r w:rsidR="000F6891">
        <w:rPr>
          <w:rFonts w:ascii="Book Antiqua" w:hAnsi="Book Antiqua"/>
          <w:color w:val="000000" w:themeColor="text1"/>
          <w:sz w:val="24"/>
          <w:szCs w:val="24"/>
        </w:rPr>
        <w:t xml:space="preserve"> stage</w:t>
      </w:r>
      <w:r w:rsidRPr="0050576F">
        <w:rPr>
          <w:rFonts w:ascii="宋体" w:hAnsi="宋体" w:cs="宋体" w:hint="eastAsia"/>
          <w:color w:val="000000" w:themeColor="text1"/>
          <w:sz w:val="24"/>
          <w:szCs w:val="24"/>
        </w:rPr>
        <w:t>Ⅱ</w:t>
      </w:r>
      <w:r w:rsidRPr="0050576F">
        <w:rPr>
          <w:rFonts w:ascii="Book Antiqua" w:hAnsi="Book Antiqua"/>
          <w:color w:val="000000" w:themeColor="text1"/>
          <w:sz w:val="24"/>
          <w:szCs w:val="24"/>
        </w:rPr>
        <w:t xml:space="preserve">b, one case </w:t>
      </w:r>
      <w:r w:rsidR="000F6891">
        <w:rPr>
          <w:rFonts w:ascii="Book Antiqua" w:hAnsi="Book Antiqua"/>
          <w:color w:val="000000" w:themeColor="text1"/>
          <w:sz w:val="24"/>
          <w:szCs w:val="24"/>
        </w:rPr>
        <w:t>wa</w:t>
      </w:r>
      <w:r w:rsidR="00D45196">
        <w:rPr>
          <w:rFonts w:ascii="Book Antiqua" w:hAnsi="Book Antiqua"/>
          <w:color w:val="000000" w:themeColor="text1"/>
          <w:sz w:val="24"/>
          <w:szCs w:val="24"/>
        </w:rPr>
        <w:t xml:space="preserve">s </w:t>
      </w:r>
      <w:r w:rsidR="000F6891">
        <w:rPr>
          <w:rFonts w:ascii="Book Antiqua" w:hAnsi="Book Antiqua"/>
          <w:color w:val="000000" w:themeColor="text1"/>
          <w:sz w:val="24"/>
          <w:szCs w:val="24"/>
        </w:rPr>
        <w:t>stage</w:t>
      </w:r>
      <w:r w:rsidRPr="0050576F">
        <w:rPr>
          <w:rFonts w:ascii="宋体" w:hAnsi="宋体" w:cs="宋体" w:hint="eastAsia"/>
          <w:color w:val="000000" w:themeColor="text1"/>
          <w:sz w:val="24"/>
          <w:szCs w:val="24"/>
        </w:rPr>
        <w:t>Ⅱ</w:t>
      </w:r>
      <w:r w:rsidRPr="0050576F">
        <w:rPr>
          <w:rFonts w:ascii="Book Antiqua" w:hAnsi="Book Antiqua"/>
          <w:color w:val="000000" w:themeColor="text1"/>
          <w:sz w:val="24"/>
          <w:szCs w:val="24"/>
        </w:rPr>
        <w:t xml:space="preserve">a, 5 cases </w:t>
      </w:r>
      <w:r w:rsidR="000F6891">
        <w:rPr>
          <w:rFonts w:ascii="Book Antiqua" w:hAnsi="Book Antiqua"/>
          <w:color w:val="000000" w:themeColor="text1"/>
          <w:sz w:val="24"/>
          <w:szCs w:val="24"/>
        </w:rPr>
        <w:t>were stage</w:t>
      </w:r>
      <w:r w:rsidRPr="0050576F">
        <w:rPr>
          <w:rFonts w:ascii="宋体" w:hAnsi="宋体" w:cs="宋体" w:hint="eastAsia"/>
          <w:color w:val="000000" w:themeColor="text1"/>
          <w:sz w:val="24"/>
          <w:szCs w:val="24"/>
        </w:rPr>
        <w:t>Ⅰ</w:t>
      </w:r>
      <w:r w:rsidRPr="0050576F">
        <w:rPr>
          <w:rFonts w:ascii="Book Antiqua" w:hAnsi="Book Antiqua"/>
          <w:color w:val="000000" w:themeColor="text1"/>
          <w:sz w:val="24"/>
          <w:szCs w:val="24"/>
        </w:rPr>
        <w:t xml:space="preserve">b, </w:t>
      </w:r>
      <w:r w:rsidR="00D45196">
        <w:rPr>
          <w:rFonts w:ascii="Book Antiqua" w:hAnsi="Book Antiqua"/>
          <w:color w:val="000000" w:themeColor="text1"/>
          <w:sz w:val="24"/>
          <w:szCs w:val="24"/>
        </w:rPr>
        <w:t xml:space="preserve">and </w:t>
      </w:r>
      <w:r w:rsidRPr="0050576F">
        <w:rPr>
          <w:rFonts w:ascii="Book Antiqua" w:hAnsi="Book Antiqua"/>
          <w:color w:val="000000" w:themeColor="text1"/>
          <w:sz w:val="24"/>
          <w:szCs w:val="24"/>
        </w:rPr>
        <w:t xml:space="preserve">one case </w:t>
      </w:r>
      <w:r w:rsidR="000F6891">
        <w:rPr>
          <w:rFonts w:ascii="Book Antiqua" w:hAnsi="Book Antiqua"/>
          <w:color w:val="000000" w:themeColor="text1"/>
          <w:sz w:val="24"/>
          <w:szCs w:val="24"/>
        </w:rPr>
        <w:t>was stage</w:t>
      </w:r>
      <w:r w:rsidRPr="0050576F">
        <w:rPr>
          <w:rFonts w:ascii="宋体" w:hAnsi="宋体" w:cs="宋体" w:hint="eastAsia"/>
          <w:color w:val="000000" w:themeColor="text1"/>
          <w:sz w:val="24"/>
          <w:szCs w:val="24"/>
        </w:rPr>
        <w:t>Ⅰ</w:t>
      </w:r>
      <w:r w:rsidRPr="0050576F">
        <w:rPr>
          <w:rFonts w:ascii="Book Antiqua" w:hAnsi="Book Antiqua"/>
          <w:color w:val="000000" w:themeColor="text1"/>
          <w:sz w:val="24"/>
          <w:szCs w:val="24"/>
        </w:rPr>
        <w:t>a.</w:t>
      </w:r>
    </w:p>
    <w:p w14:paraId="6C23C380" w14:textId="77777777" w:rsidR="00EB3C3C" w:rsidRPr="0050576F" w:rsidRDefault="00EB3C3C" w:rsidP="0050576F">
      <w:pPr>
        <w:snapToGrid w:val="0"/>
        <w:spacing w:line="360" w:lineRule="auto"/>
        <w:rPr>
          <w:rFonts w:ascii="Book Antiqua" w:hAnsi="Book Antiqua"/>
          <w:color w:val="000000" w:themeColor="text1"/>
          <w:sz w:val="24"/>
          <w:szCs w:val="24"/>
        </w:rPr>
      </w:pPr>
    </w:p>
    <w:p w14:paraId="330FEA48" w14:textId="77777777" w:rsidR="00EB3C3C" w:rsidRPr="0050576F" w:rsidRDefault="00730055" w:rsidP="0050576F">
      <w:pPr>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Quality control of UPLC-MS assay</w:t>
      </w:r>
    </w:p>
    <w:p w14:paraId="049B8B7A" w14:textId="5D4AD0F1"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QC samples clustered compactly in the middle of the PCA score plot (Figure</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2A). The coefficient of variation (</w:t>
      </w:r>
      <w:bookmarkStart w:id="59" w:name="OLE_LINK417"/>
      <w:bookmarkStart w:id="60" w:name="OLE_LINK418"/>
      <w:r w:rsidRPr="0050576F">
        <w:rPr>
          <w:rFonts w:ascii="Book Antiqua" w:hAnsi="Book Antiqua"/>
          <w:color w:val="000000" w:themeColor="text1"/>
          <w:sz w:val="24"/>
          <w:szCs w:val="24"/>
        </w:rPr>
        <w:t>CV</w:t>
      </w:r>
      <w:bookmarkEnd w:id="59"/>
      <w:bookmarkEnd w:id="60"/>
      <w:r w:rsidRPr="0050576F">
        <w:rPr>
          <w:rFonts w:ascii="Book Antiqua" w:hAnsi="Book Antiqua"/>
          <w:color w:val="000000" w:themeColor="text1"/>
          <w:sz w:val="24"/>
          <w:szCs w:val="24"/>
        </w:rPr>
        <w:t>) of identified metabolites in QC samples ranged from 2.09% to 16.27% with a median CV of 7.83% (Table 2).</w:t>
      </w:r>
    </w:p>
    <w:p w14:paraId="5E426717" w14:textId="77777777" w:rsidR="00EB3C3C" w:rsidRPr="0050576F" w:rsidRDefault="00EB3C3C" w:rsidP="0050576F">
      <w:pPr>
        <w:snapToGrid w:val="0"/>
        <w:spacing w:line="360" w:lineRule="auto"/>
        <w:rPr>
          <w:rFonts w:ascii="Book Antiqua" w:hAnsi="Book Antiqua"/>
          <w:b/>
          <w:color w:val="000000" w:themeColor="text1"/>
          <w:sz w:val="24"/>
          <w:szCs w:val="24"/>
        </w:rPr>
      </w:pPr>
    </w:p>
    <w:p w14:paraId="3479B7CC" w14:textId="77777777" w:rsidR="00EB3C3C" w:rsidRPr="0050576F" w:rsidRDefault="00730055" w:rsidP="0050576F">
      <w:pPr>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Metabolic profiles of serum samples</w:t>
      </w:r>
    </w:p>
    <w:p w14:paraId="3C8CC9CD" w14:textId="4D0640AB"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MS Mincho" w:hAnsi="Book Antiqua"/>
          <w:color w:val="000000" w:themeColor="text1"/>
          <w:sz w:val="24"/>
          <w:szCs w:val="24"/>
          <w:lang w:eastAsia="ja-JP"/>
        </w:rPr>
        <w:t xml:space="preserve">Patients with </w:t>
      </w:r>
      <w:r w:rsidRPr="0050576F">
        <w:rPr>
          <w:rFonts w:ascii="Book Antiqua" w:hAnsi="Book Antiqua"/>
          <w:color w:val="000000" w:themeColor="text1"/>
          <w:sz w:val="24"/>
          <w:szCs w:val="24"/>
        </w:rPr>
        <w:t>HCC</w:t>
      </w:r>
      <w:r w:rsidRPr="0050576F">
        <w:rPr>
          <w:rFonts w:ascii="Book Antiqua" w:eastAsia="MS Mincho" w:hAnsi="Book Antiqua"/>
          <w:color w:val="000000" w:themeColor="text1"/>
          <w:sz w:val="24"/>
          <w:szCs w:val="24"/>
          <w:lang w:eastAsia="ja-JP"/>
        </w:rPr>
        <w:t xml:space="preserve">, patients with </w:t>
      </w:r>
      <w:r w:rsidRPr="0050576F">
        <w:rPr>
          <w:rFonts w:ascii="Book Antiqua" w:hAnsi="Book Antiqua"/>
          <w:color w:val="000000" w:themeColor="text1"/>
          <w:sz w:val="24"/>
          <w:szCs w:val="24"/>
        </w:rPr>
        <w:t>cirrhosis</w:t>
      </w:r>
      <w:r w:rsidRPr="0050576F">
        <w:rPr>
          <w:rFonts w:ascii="Book Antiqua" w:eastAsia="MS Mincho" w:hAnsi="Book Antiqua"/>
          <w:color w:val="000000" w:themeColor="text1"/>
          <w:sz w:val="24"/>
          <w:szCs w:val="24"/>
          <w:lang w:eastAsia="ja-JP"/>
        </w:rPr>
        <w:t xml:space="preserve">, </w:t>
      </w:r>
      <w:r w:rsidRPr="0050576F">
        <w:rPr>
          <w:rFonts w:ascii="Book Antiqua" w:hAnsi="Book Antiqua"/>
          <w:color w:val="000000" w:themeColor="text1"/>
          <w:sz w:val="24"/>
          <w:szCs w:val="24"/>
        </w:rPr>
        <w:t>and healthy controls showed no significant differences in the base peak intensity chromatogram (Supplementary Figure</w:t>
      </w:r>
      <w:r w:rsidR="0019083C"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7). The three groups intermixed with each other in the PCA score plot, although there was a tendency to separate along PC1 (Figure 2B). Characterization of metabolic differences among the three groups using PLS-DA and OPLS-DA showed that the three groups </w:t>
      </w:r>
      <w:r w:rsidR="003C1006">
        <w:rPr>
          <w:rFonts w:ascii="Book Antiqua" w:hAnsi="Book Antiqua"/>
          <w:color w:val="000000" w:themeColor="text1"/>
          <w:sz w:val="24"/>
          <w:szCs w:val="24"/>
        </w:rPr>
        <w:t xml:space="preserve">also </w:t>
      </w:r>
      <w:r w:rsidRPr="0050576F">
        <w:rPr>
          <w:rFonts w:ascii="Book Antiqua" w:hAnsi="Book Antiqua"/>
          <w:color w:val="000000" w:themeColor="text1"/>
          <w:sz w:val="24"/>
          <w:szCs w:val="24"/>
        </w:rPr>
        <w:t xml:space="preserve">intermixed with each other in the PLS-DA score plot (Supplementary Figure 8). </w:t>
      </w:r>
      <w:r w:rsidR="003C100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PLS-DA score plot of </w:t>
      </w:r>
      <w:r w:rsidR="003C100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HCC group </w:t>
      </w:r>
      <w:r w:rsidRPr="0050576F">
        <w:rPr>
          <w:rFonts w:ascii="Book Antiqua" w:hAnsi="Book Antiqua"/>
          <w:i/>
          <w:color w:val="000000" w:themeColor="text1"/>
          <w:sz w:val="24"/>
          <w:szCs w:val="24"/>
        </w:rPr>
        <w:t>vs</w:t>
      </w:r>
      <w:r w:rsidRPr="0050576F">
        <w:rPr>
          <w:rFonts w:ascii="Book Antiqua" w:hAnsi="Book Antiqua"/>
          <w:color w:val="000000" w:themeColor="text1"/>
          <w:sz w:val="24"/>
          <w:szCs w:val="24"/>
        </w:rPr>
        <w:t xml:space="preserve"> </w:t>
      </w:r>
      <w:r w:rsidR="003C100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cirrhosis group also intermixed with each other</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(Supplementary Figure 9). Validation plots of the PLS-DA models acquired through 20 permutation tests were used for cross-validation purposes (Supplementary Figure</w:t>
      </w:r>
      <w:r w:rsidR="006D7117" w:rsidRPr="0050576F">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10</w:t>
      </w:r>
      <w:r w:rsidR="006D7117" w:rsidRPr="0050576F">
        <w:rPr>
          <w:rFonts w:ascii="Book Antiqua" w:hAnsi="Book Antiqua"/>
          <w:color w:val="000000" w:themeColor="text1"/>
          <w:sz w:val="24"/>
          <w:szCs w:val="24"/>
        </w:rPr>
        <w:t xml:space="preserve"> and </w:t>
      </w:r>
      <w:r w:rsidRPr="0050576F">
        <w:rPr>
          <w:rFonts w:ascii="Book Antiqua" w:hAnsi="Book Antiqua"/>
          <w:color w:val="000000" w:themeColor="text1"/>
          <w:sz w:val="24"/>
          <w:szCs w:val="24"/>
        </w:rPr>
        <w:t xml:space="preserve">11). </w:t>
      </w:r>
      <w:r w:rsidR="004B51EE">
        <w:rPr>
          <w:rFonts w:ascii="Book Antiqua" w:hAnsi="Book Antiqua"/>
          <w:color w:val="000000" w:themeColor="text1"/>
          <w:sz w:val="24"/>
          <w:szCs w:val="24"/>
        </w:rPr>
        <w:t>A</w:t>
      </w:r>
      <w:r w:rsidRPr="0050576F">
        <w:rPr>
          <w:rFonts w:ascii="Book Antiqua" w:hAnsi="Book Antiqua"/>
          <w:color w:val="000000" w:themeColor="text1"/>
          <w:sz w:val="24"/>
          <w:szCs w:val="24"/>
        </w:rPr>
        <w:t xml:space="preserve">nalysis of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PLS-DA score plot for all three groups revealed that R2</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(0.0, 0.401)</w:t>
      </w:r>
      <w:r w:rsidRPr="0050576F">
        <w:rPr>
          <w:rFonts w:ascii="Book Antiqua" w:eastAsia="MS Mincho" w:hAnsi="Book Antiqua"/>
          <w:color w:val="000000" w:themeColor="text1"/>
          <w:sz w:val="24"/>
          <w:szCs w:val="24"/>
          <w:lang w:eastAsia="ja-JP"/>
        </w:rPr>
        <w:t xml:space="preserve"> and</w:t>
      </w:r>
      <w:r w:rsidRPr="0050576F">
        <w:rPr>
          <w:rFonts w:ascii="Book Antiqua" w:hAnsi="Book Antiqua"/>
          <w:color w:val="000000" w:themeColor="text1"/>
          <w:sz w:val="24"/>
          <w:szCs w:val="24"/>
        </w:rPr>
        <w:t xml:space="preserve"> Q2</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 (0.0, -0.35); cross-validation of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PLS-DA score plot of C group and Y group revealed that R2</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(0.0, 0.645)</w:t>
      </w:r>
      <w:r w:rsidRPr="0050576F">
        <w:rPr>
          <w:rFonts w:ascii="Book Antiqua" w:eastAsia="MS Mincho" w:hAnsi="Book Antiqua"/>
          <w:color w:val="000000" w:themeColor="text1"/>
          <w:sz w:val="24"/>
          <w:szCs w:val="24"/>
          <w:lang w:eastAsia="ja-JP"/>
        </w:rPr>
        <w:t xml:space="preserve"> and</w:t>
      </w:r>
      <w:r w:rsidRPr="0050576F">
        <w:rPr>
          <w:rFonts w:ascii="Book Antiqua" w:hAnsi="Book Antiqua"/>
          <w:color w:val="000000" w:themeColor="text1"/>
          <w:sz w:val="24"/>
          <w:szCs w:val="24"/>
        </w:rPr>
        <w:t xml:space="preserve"> Q2</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 (0.0, -0.507). </w:t>
      </w:r>
      <w:r w:rsidR="004B51EE">
        <w:rPr>
          <w:rFonts w:ascii="Book Antiqua" w:hAnsi="Book Antiqua"/>
          <w:color w:val="000000" w:themeColor="text1"/>
          <w:sz w:val="24"/>
          <w:szCs w:val="24"/>
        </w:rPr>
        <w:t>Although</w:t>
      </w:r>
      <w:r w:rsidRPr="0050576F">
        <w:rPr>
          <w:rFonts w:ascii="Book Antiqua" w:hAnsi="Book Antiqua"/>
          <w:color w:val="000000" w:themeColor="text1"/>
          <w:sz w:val="24"/>
          <w:szCs w:val="24"/>
        </w:rPr>
        <w:t xml:space="preserve"> the PLS-DA model showed intermixing of the three groups, they could be separated in the OPLS-DA model (Figure 3A). OPLS-DA score plots of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HCC group </w:t>
      </w:r>
      <w:r w:rsidRPr="0050576F">
        <w:rPr>
          <w:rFonts w:ascii="Book Antiqua" w:hAnsi="Book Antiqua"/>
          <w:i/>
          <w:color w:val="000000" w:themeColor="text1"/>
          <w:sz w:val="24"/>
          <w:szCs w:val="24"/>
        </w:rPr>
        <w:t>vs</w:t>
      </w:r>
      <w:r w:rsidRPr="0050576F">
        <w:rPr>
          <w:rFonts w:ascii="Book Antiqua" w:hAnsi="Book Antiqua"/>
          <w:color w:val="000000" w:themeColor="text1"/>
          <w:sz w:val="24"/>
          <w:szCs w:val="24"/>
        </w:rPr>
        <w:t xml:space="preserve"> healthy controls (Figure 3B),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cirrhosis group </w:t>
      </w:r>
      <w:r w:rsidRPr="0050576F">
        <w:rPr>
          <w:rFonts w:ascii="Book Antiqua" w:hAnsi="Book Antiqua"/>
          <w:i/>
          <w:color w:val="000000" w:themeColor="text1"/>
          <w:sz w:val="24"/>
          <w:szCs w:val="24"/>
        </w:rPr>
        <w:t>vs</w:t>
      </w:r>
      <w:r w:rsidRPr="0050576F">
        <w:rPr>
          <w:rFonts w:ascii="Book Antiqua" w:hAnsi="Book Antiqua"/>
          <w:color w:val="000000" w:themeColor="text1"/>
          <w:sz w:val="24"/>
          <w:szCs w:val="24"/>
        </w:rPr>
        <w:t xml:space="preserve"> healthy controls (Figure 3C), and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HCC group </w:t>
      </w:r>
      <w:r w:rsidRPr="0050576F">
        <w:rPr>
          <w:rFonts w:ascii="Book Antiqua" w:hAnsi="Book Antiqua"/>
          <w:i/>
          <w:color w:val="000000" w:themeColor="text1"/>
          <w:sz w:val="24"/>
          <w:szCs w:val="24"/>
        </w:rPr>
        <w:t>vs</w:t>
      </w:r>
      <w:r w:rsidRPr="0050576F">
        <w:rPr>
          <w:rFonts w:ascii="Book Antiqua" w:hAnsi="Book Antiqua"/>
          <w:color w:val="000000" w:themeColor="text1"/>
          <w:sz w:val="24"/>
          <w:szCs w:val="24"/>
        </w:rPr>
        <w:t xml:space="preserve">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cirrhosis group (Figure 3D) demonstrated very clear separation. However, </w:t>
      </w:r>
      <w:r w:rsidRPr="0050576F">
        <w:rPr>
          <w:rFonts w:ascii="Book Antiqua" w:eastAsia="MS Mincho" w:hAnsi="Book Antiqua"/>
          <w:color w:val="000000" w:themeColor="text1"/>
          <w:sz w:val="24"/>
          <w:szCs w:val="24"/>
          <w:lang w:eastAsia="ja-JP"/>
        </w:rPr>
        <w:t xml:space="preserve">the </w:t>
      </w:r>
      <w:r w:rsidRPr="0050576F">
        <w:rPr>
          <w:rFonts w:ascii="Book Antiqua" w:hAnsi="Book Antiqua"/>
          <w:color w:val="000000" w:themeColor="text1"/>
          <w:sz w:val="24"/>
          <w:szCs w:val="24"/>
        </w:rPr>
        <w:t>R2 and Q2 values were not high enough in the three OPLS-DA models.</w:t>
      </w:r>
    </w:p>
    <w:p w14:paraId="00269C43" w14:textId="77777777" w:rsidR="00EB3C3C" w:rsidRPr="0050576F" w:rsidRDefault="00EB3C3C" w:rsidP="0050576F">
      <w:pPr>
        <w:snapToGrid w:val="0"/>
        <w:spacing w:line="360" w:lineRule="auto"/>
        <w:rPr>
          <w:rFonts w:ascii="Book Antiqua" w:hAnsi="Book Antiqua"/>
          <w:color w:val="000000" w:themeColor="text1"/>
          <w:sz w:val="24"/>
          <w:szCs w:val="24"/>
        </w:rPr>
      </w:pPr>
    </w:p>
    <w:p w14:paraId="64456132" w14:textId="77777777" w:rsidR="00EB3C3C" w:rsidRPr="0050576F" w:rsidRDefault="00730055" w:rsidP="0050576F">
      <w:pPr>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Biomarkers for HCC</w:t>
      </w:r>
    </w:p>
    <w:p w14:paraId="54AEB778" w14:textId="0370CABD"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lastRenderedPageBreak/>
        <w:t xml:space="preserve">Potential biomarkers were characterized by variable importance in the projection values retrieved from the PLS-DA model combined with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Kruskal–Wallis test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Potential biomarkers were identified by a preliminary search of the HMDB and PubChem compound databases and verified by comparing the mass spectra and retention time of potential biomarkers with authentic standards. As shown in Table 2</w:t>
      </w:r>
      <w:r w:rsidR="00F677E7" w:rsidRPr="0050576F">
        <w:rPr>
          <w:rFonts w:ascii="Book Antiqua" w:hAnsi="Book Antiqua"/>
          <w:color w:val="000000" w:themeColor="text1"/>
          <w:sz w:val="24"/>
          <w:szCs w:val="24"/>
        </w:rPr>
        <w:t xml:space="preserve"> </w:t>
      </w:r>
      <w:r w:rsidR="009B15D7" w:rsidRPr="0050576F">
        <w:rPr>
          <w:rFonts w:ascii="Book Antiqua" w:hAnsi="Book Antiqua"/>
          <w:color w:val="000000" w:themeColor="text1"/>
          <w:sz w:val="24"/>
          <w:szCs w:val="24"/>
        </w:rPr>
        <w:t>and</w:t>
      </w:r>
      <w:r w:rsidR="00F677E7" w:rsidRPr="0050576F">
        <w:rPr>
          <w:rFonts w:ascii="Book Antiqua" w:hAnsi="Book Antiqua"/>
          <w:color w:val="000000" w:themeColor="text1"/>
          <w:sz w:val="24"/>
          <w:szCs w:val="24"/>
        </w:rPr>
        <w:t xml:space="preserve"> </w:t>
      </w:r>
      <w:r w:rsidR="009B15D7" w:rsidRPr="0050576F">
        <w:rPr>
          <w:rFonts w:ascii="Book Antiqua" w:hAnsi="Book Antiqua"/>
          <w:color w:val="000000" w:themeColor="text1"/>
          <w:sz w:val="24"/>
          <w:szCs w:val="24"/>
        </w:rPr>
        <w:t>Supplementary Figure 12</w:t>
      </w:r>
      <w:r w:rsidRPr="0050576F">
        <w:rPr>
          <w:rFonts w:ascii="Book Antiqua" w:hAnsi="Book Antiqua"/>
          <w:color w:val="000000" w:themeColor="text1"/>
          <w:sz w:val="24"/>
          <w:szCs w:val="24"/>
        </w:rPr>
        <w:t xml:space="preserve">,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levels of most metabolites, including proline, were lower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 xml:space="preserve">HCC than in healthy controls and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 xml:space="preserve">cirrhosis (Figure 4A). However, </w:t>
      </w:r>
      <w:r w:rsidR="004B51EE">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levels of glutamic acid, pyrrolidine</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damascenone were higher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than in healthy controls; glutamic acid, kynurenic acid, vanillic acid</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hydroxypurine (Figure 4B) were higher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than in patients</w:t>
      </w:r>
      <w:r w:rsidRPr="0050576F">
        <w:rPr>
          <w:rFonts w:ascii="Book Antiqua" w:eastAsia="MS Mincho" w:hAnsi="Book Antiqua"/>
          <w:color w:val="000000" w:themeColor="text1"/>
          <w:sz w:val="24"/>
          <w:szCs w:val="24"/>
          <w:lang w:eastAsia="ja-JP"/>
        </w:rPr>
        <w:t xml:space="preserve"> with </w:t>
      </w:r>
      <w:r w:rsidRPr="0050576F">
        <w:rPr>
          <w:rFonts w:ascii="Book Antiqua" w:hAnsi="Book Antiqua"/>
          <w:color w:val="000000" w:themeColor="text1"/>
          <w:sz w:val="24"/>
          <w:szCs w:val="24"/>
        </w:rPr>
        <w:t>cirrhosis.</w:t>
      </w:r>
    </w:p>
    <w:p w14:paraId="4DC16BEE" w14:textId="77777777" w:rsidR="00EB3C3C" w:rsidRPr="0050576F" w:rsidRDefault="00EB3C3C" w:rsidP="0050576F">
      <w:pPr>
        <w:snapToGrid w:val="0"/>
        <w:spacing w:line="360" w:lineRule="auto"/>
        <w:rPr>
          <w:rFonts w:ascii="Book Antiqua" w:hAnsi="Book Antiqua"/>
          <w:color w:val="000000" w:themeColor="text1"/>
          <w:sz w:val="24"/>
          <w:szCs w:val="24"/>
        </w:rPr>
      </w:pPr>
    </w:p>
    <w:p w14:paraId="10567489" w14:textId="77777777" w:rsidR="00EB3C3C" w:rsidRPr="0050576F" w:rsidRDefault="00730055" w:rsidP="0050576F">
      <w:pPr>
        <w:snapToGrid w:val="0"/>
        <w:spacing w:line="360" w:lineRule="auto"/>
        <w:rPr>
          <w:rFonts w:ascii="Book Antiqua" w:hAnsi="Book Antiqua"/>
          <w:b/>
          <w:bCs/>
          <w:i/>
          <w:color w:val="000000" w:themeColor="text1"/>
          <w:kern w:val="0"/>
          <w:sz w:val="24"/>
          <w:szCs w:val="24"/>
          <w:lang w:eastAsia="en-US"/>
        </w:rPr>
      </w:pPr>
      <w:r w:rsidRPr="0050576F">
        <w:rPr>
          <w:rFonts w:ascii="Book Antiqua" w:hAnsi="Book Antiqua"/>
          <w:b/>
          <w:bCs/>
          <w:i/>
          <w:color w:val="000000" w:themeColor="text1"/>
          <w:kern w:val="0"/>
          <w:sz w:val="24"/>
          <w:szCs w:val="24"/>
          <w:lang w:eastAsia="en-US"/>
        </w:rPr>
        <w:t>Pattern recognition for diagnosis of HCC</w:t>
      </w:r>
    </w:p>
    <w:p w14:paraId="5FC174E6" w14:textId="66953C14" w:rsidR="00EB3C3C" w:rsidRPr="0050576F" w:rsidRDefault="00730055" w:rsidP="0050576F">
      <w:pPr>
        <w:snapToGrid w:val="0"/>
        <w:spacing w:line="360" w:lineRule="auto"/>
        <w:rPr>
          <w:rFonts w:ascii="Book Antiqua" w:hAnsi="Book Antiqua"/>
          <w:b/>
          <w:color w:val="000000" w:themeColor="text1"/>
          <w:kern w:val="0"/>
          <w:sz w:val="24"/>
          <w:szCs w:val="24"/>
        </w:rPr>
      </w:pPr>
      <w:bookmarkStart w:id="61" w:name="_Hlk39610071"/>
      <w:r w:rsidRPr="0050576F">
        <w:rPr>
          <w:rFonts w:ascii="Book Antiqua" w:hAnsi="Book Antiqua"/>
          <w:color w:val="000000" w:themeColor="text1"/>
          <w:sz w:val="24"/>
          <w:szCs w:val="24"/>
        </w:rPr>
        <w:t xml:space="preserve">We intended to establish a PLS-DA model or OPLS-DA model with the aim of distinguishing </w:t>
      </w:r>
      <w:r w:rsidRPr="0050576F">
        <w:rPr>
          <w:rFonts w:ascii="Book Antiqua" w:eastAsia="MS Mincho" w:hAnsi="Book Antiqua"/>
          <w:color w:val="000000" w:themeColor="text1"/>
          <w:sz w:val="24"/>
          <w:szCs w:val="24"/>
          <w:lang w:eastAsia="ja-JP"/>
        </w:rPr>
        <w:t xml:space="preserve">patients with </w:t>
      </w:r>
      <w:r w:rsidRPr="0050576F">
        <w:rPr>
          <w:rFonts w:ascii="Book Antiqua" w:hAnsi="Book Antiqua"/>
          <w:color w:val="000000" w:themeColor="text1"/>
          <w:sz w:val="24"/>
          <w:szCs w:val="24"/>
        </w:rPr>
        <w:t>HCC from patients</w:t>
      </w:r>
      <w:r w:rsidRPr="0050576F">
        <w:rPr>
          <w:rFonts w:ascii="Book Antiqua" w:eastAsia="MS Mincho" w:hAnsi="Book Antiqua"/>
          <w:color w:val="000000" w:themeColor="text1"/>
          <w:sz w:val="24"/>
          <w:szCs w:val="24"/>
          <w:lang w:eastAsia="ja-JP"/>
        </w:rPr>
        <w:t xml:space="preserve"> with </w:t>
      </w:r>
      <w:r w:rsidRPr="0050576F">
        <w:rPr>
          <w:rFonts w:ascii="Book Antiqua" w:hAnsi="Book Antiqua"/>
          <w:color w:val="000000" w:themeColor="text1"/>
          <w:sz w:val="24"/>
          <w:szCs w:val="24"/>
        </w:rPr>
        <w:t xml:space="preserve">cirrhosis. However, </w:t>
      </w:r>
      <w:r w:rsidR="0012352C">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the metabolomes of HCC and cirrhosis are not very different, the efficiency of the models was not robust enough to discriminate the two groups using ordinary PLS-DA or OPLS-DA models. Therefore, we used pattern recognition, an advance data processing method, to achieve our aim. </w:t>
      </w:r>
      <w:bookmarkEnd w:id="61"/>
      <w:r w:rsidRPr="0050576F">
        <w:rPr>
          <w:rFonts w:ascii="Book Antiqua" w:hAnsi="Book Antiqua"/>
          <w:color w:val="000000" w:themeColor="text1"/>
          <w:sz w:val="24"/>
          <w:szCs w:val="24"/>
        </w:rPr>
        <w:t>To enable this, the dataset was randomly split into a training set and a validation set. The training set comprised 20 HCC samples and 20 cirrhosis samples, and the validation set comprised 10 HCC samples and nine cirrhosis samples. We used sequential feature selection to select the most suitable metabolites for constructing the best performing LDA model based on the training set. The validation set was used to confirm the reliability of the model for discriminating patients</w:t>
      </w:r>
      <w:r w:rsidRPr="0050576F">
        <w:rPr>
          <w:rFonts w:ascii="Book Antiqua" w:eastAsia="MS Mincho" w:hAnsi="Book Antiqua"/>
          <w:color w:val="000000" w:themeColor="text1"/>
          <w:sz w:val="24"/>
          <w:szCs w:val="24"/>
          <w:lang w:eastAsia="ja-JP"/>
        </w:rPr>
        <w:t xml:space="preserve"> with </w:t>
      </w:r>
      <w:r w:rsidRPr="0050576F">
        <w:rPr>
          <w:rFonts w:ascii="Book Antiqua" w:hAnsi="Book Antiqua"/>
          <w:color w:val="000000" w:themeColor="text1"/>
          <w:sz w:val="24"/>
          <w:szCs w:val="24"/>
        </w:rPr>
        <w:t>HCC from patients</w:t>
      </w:r>
      <w:r w:rsidRPr="0050576F">
        <w:rPr>
          <w:rFonts w:ascii="Book Antiqua" w:eastAsia="MS Mincho" w:hAnsi="Book Antiqua"/>
          <w:color w:val="000000" w:themeColor="text1"/>
          <w:sz w:val="24"/>
          <w:szCs w:val="24"/>
          <w:lang w:eastAsia="ja-JP"/>
        </w:rPr>
        <w:t xml:space="preserve"> with </w:t>
      </w:r>
      <w:r w:rsidRPr="0050576F">
        <w:rPr>
          <w:rFonts w:ascii="Book Antiqua" w:hAnsi="Book Antiqua"/>
          <w:color w:val="000000" w:themeColor="text1"/>
          <w:sz w:val="24"/>
          <w:szCs w:val="24"/>
        </w:rPr>
        <w:t>cirrhosis. When the metabolites hydroxypurine and proline</w:t>
      </w:r>
      <w:r w:rsidR="0012352C">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were included in the LDA model, a differential distribution pattern between HCC and cirrhosis began to emerge in the LDA plot (Figure 5). The leave-one-out cross-validation analysis provided accuracy, sensitivity, specificity, </w:t>
      </w:r>
      <w:r w:rsidR="0012352C">
        <w:rPr>
          <w:rFonts w:ascii="Book Antiqua" w:hAnsi="Book Antiqua"/>
          <w:color w:val="000000" w:themeColor="text1"/>
          <w:sz w:val="24"/>
          <w:szCs w:val="24"/>
        </w:rPr>
        <w:t xml:space="preserve">a </w:t>
      </w:r>
      <w:r w:rsidRPr="0050576F">
        <w:rPr>
          <w:rFonts w:ascii="Book Antiqua" w:hAnsi="Book Antiqua"/>
          <w:color w:val="000000" w:themeColor="text1"/>
          <w:sz w:val="24"/>
          <w:szCs w:val="24"/>
        </w:rPr>
        <w:t>positive predictive value</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w:t>
      </w:r>
      <w:r w:rsidR="0012352C">
        <w:rPr>
          <w:rFonts w:ascii="Book Antiqua" w:hAnsi="Book Antiqua"/>
          <w:color w:val="000000" w:themeColor="text1"/>
          <w:sz w:val="24"/>
          <w:szCs w:val="24"/>
        </w:rPr>
        <w:t xml:space="preserve">a </w:t>
      </w:r>
      <w:r w:rsidRPr="0050576F">
        <w:rPr>
          <w:rFonts w:ascii="Book Antiqua" w:hAnsi="Book Antiqua"/>
          <w:color w:val="000000" w:themeColor="text1"/>
          <w:sz w:val="24"/>
          <w:szCs w:val="24"/>
        </w:rPr>
        <w:lastRenderedPageBreak/>
        <w:t>negative predictive value of 95.00%, 100.00%, 90.00%, 0.91</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1.00</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for the training set, and 78.95%, 100.00%, 60.00%, 0.69</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1.00</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for the external validation set (Table 3). Validation of AFP as a biomarker to discriminate HCC and cirrhosis provided accuracy, sensitivity, specificity, </w:t>
      </w:r>
      <w:r w:rsidR="0012352C">
        <w:rPr>
          <w:rFonts w:ascii="Book Antiqua" w:hAnsi="Book Antiqua"/>
          <w:color w:val="000000" w:themeColor="text1"/>
          <w:sz w:val="24"/>
          <w:szCs w:val="24"/>
        </w:rPr>
        <w:t xml:space="preserve">a </w:t>
      </w:r>
      <w:r w:rsidRPr="0050576F">
        <w:rPr>
          <w:rFonts w:ascii="Book Antiqua" w:hAnsi="Book Antiqua"/>
          <w:color w:val="000000" w:themeColor="text1"/>
          <w:sz w:val="24"/>
          <w:szCs w:val="24"/>
        </w:rPr>
        <w:t>positive predictive value</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w:t>
      </w:r>
      <w:r w:rsidR="0012352C">
        <w:rPr>
          <w:rFonts w:ascii="Book Antiqua" w:hAnsi="Book Antiqua"/>
          <w:color w:val="000000" w:themeColor="text1"/>
          <w:sz w:val="24"/>
          <w:szCs w:val="24"/>
        </w:rPr>
        <w:t xml:space="preserve">a </w:t>
      </w:r>
      <w:r w:rsidRPr="0050576F">
        <w:rPr>
          <w:rFonts w:ascii="Book Antiqua" w:hAnsi="Book Antiqua"/>
          <w:color w:val="000000" w:themeColor="text1"/>
          <w:sz w:val="24"/>
          <w:szCs w:val="24"/>
        </w:rPr>
        <w:t>negative predictive value of 65.00%, 30.00%, 100.00%, 1.00 and 0.59</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for training samples, and 68.42%, 40.00%, 100.00%, 1.00 and 0.60</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respectively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for test samples. For </w:t>
      </w:r>
      <w:r w:rsidR="0012352C">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training samples, </w:t>
      </w:r>
      <w:r w:rsidR="0012352C">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AUC in the LDA model (AUC</w:t>
      </w:r>
      <w:r w:rsidRPr="0050576F">
        <w:rPr>
          <w:rFonts w:ascii="Book Antiqua" w:hAnsi="Book Antiqua"/>
          <w:color w:val="000000" w:themeColor="text1"/>
          <w:sz w:val="24"/>
          <w:szCs w:val="24"/>
          <w:vertAlign w:val="subscript"/>
        </w:rPr>
        <w:t>LDA</w:t>
      </w:r>
      <w:r w:rsidR="006D7117" w:rsidRPr="0050576F">
        <w:rPr>
          <w:rFonts w:ascii="Book Antiqua" w:hAnsi="Book Antiqua"/>
          <w:color w:val="000000" w:themeColor="text1"/>
          <w:sz w:val="24"/>
          <w:szCs w:val="24"/>
        </w:rPr>
        <w:t>) was 0.90 (95%</w:t>
      </w:r>
      <w:r w:rsidRPr="0050576F">
        <w:rPr>
          <w:rFonts w:ascii="Book Antiqua" w:hAnsi="Book Antiqua"/>
          <w:color w:val="000000" w:themeColor="text1"/>
          <w:sz w:val="24"/>
          <w:szCs w:val="24"/>
        </w:rPr>
        <w:t xml:space="preserve">CI: 0.81–0.99,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Figure 6A), and AUC</w:t>
      </w:r>
      <w:r w:rsidRPr="0050576F">
        <w:rPr>
          <w:rFonts w:ascii="Book Antiqua" w:hAnsi="Book Antiqua"/>
          <w:color w:val="000000" w:themeColor="text1"/>
          <w:sz w:val="24"/>
          <w:szCs w:val="24"/>
          <w:vertAlign w:val="subscript"/>
        </w:rPr>
        <w:t>AFP</w:t>
      </w:r>
      <w:r w:rsidR="006D7117" w:rsidRPr="0050576F">
        <w:rPr>
          <w:rFonts w:ascii="Book Antiqua" w:hAnsi="Book Antiqua"/>
          <w:color w:val="000000" w:themeColor="text1"/>
          <w:sz w:val="24"/>
          <w:szCs w:val="24"/>
        </w:rPr>
        <w:t xml:space="preserve"> was 0.69 (95%</w:t>
      </w:r>
      <w:r w:rsidRPr="0050576F">
        <w:rPr>
          <w:rFonts w:ascii="Book Antiqua" w:hAnsi="Book Antiqua"/>
          <w:color w:val="000000" w:themeColor="text1"/>
          <w:sz w:val="24"/>
          <w:szCs w:val="24"/>
        </w:rPr>
        <w:t xml:space="preserve">CI: 0.52–0.86,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Supplementary Figure</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w:t>
      </w:r>
      <w:r w:rsidR="009B15D7" w:rsidRPr="0050576F">
        <w:rPr>
          <w:rFonts w:ascii="Book Antiqua" w:hAnsi="Book Antiqua"/>
          <w:color w:val="000000" w:themeColor="text1"/>
          <w:sz w:val="24"/>
          <w:szCs w:val="24"/>
        </w:rPr>
        <w:t>3</w:t>
      </w:r>
      <w:r w:rsidRPr="0050576F">
        <w:rPr>
          <w:rFonts w:ascii="Book Antiqua" w:hAnsi="Book Antiqua"/>
          <w:color w:val="000000" w:themeColor="text1"/>
          <w:sz w:val="24"/>
          <w:szCs w:val="24"/>
        </w:rPr>
        <w:t>); AUC</w:t>
      </w:r>
      <w:r w:rsidRPr="0050576F">
        <w:rPr>
          <w:rFonts w:ascii="Book Antiqua" w:hAnsi="Book Antiqua"/>
          <w:color w:val="000000" w:themeColor="text1"/>
          <w:sz w:val="24"/>
          <w:szCs w:val="24"/>
          <w:vertAlign w:val="subscript"/>
        </w:rPr>
        <w:t>LDA</w:t>
      </w:r>
      <w:r w:rsidRPr="0050576F">
        <w:rPr>
          <w:rFonts w:ascii="Book Antiqua" w:hAnsi="Book Antiqua"/>
          <w:color w:val="000000" w:themeColor="text1"/>
          <w:sz w:val="24"/>
          <w:szCs w:val="24"/>
        </w:rPr>
        <w:t xml:space="preserve"> was significantly more than AUC</w:t>
      </w:r>
      <w:r w:rsidRPr="0050576F">
        <w:rPr>
          <w:rFonts w:ascii="Book Antiqua" w:hAnsi="Book Antiqua"/>
          <w:color w:val="000000" w:themeColor="text1"/>
          <w:sz w:val="24"/>
          <w:szCs w:val="24"/>
          <w:vertAlign w:val="subscript"/>
        </w:rPr>
        <w:t>AFP</w:t>
      </w:r>
      <w:r w:rsidRPr="0050576F">
        <w:rPr>
          <w:rFonts w:ascii="Book Antiqua" w:hAnsi="Book Antiqua"/>
          <w:color w:val="000000" w:themeColor="text1"/>
          <w:sz w:val="24"/>
          <w:szCs w:val="24"/>
        </w:rPr>
        <w:t xml:space="preserve">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0.05, </w:t>
      </w:r>
      <w:r w:rsidRPr="0050576F">
        <w:rPr>
          <w:rFonts w:ascii="Book Antiqua" w:hAnsi="Book Antiqua"/>
          <w:i/>
          <w:color w:val="000000" w:themeColor="text1"/>
          <w:sz w:val="24"/>
          <w:szCs w:val="24"/>
        </w:rPr>
        <w:t>Z</w:t>
      </w:r>
      <w:r w:rsidRPr="0050576F">
        <w:rPr>
          <w:rFonts w:ascii="Book Antiqua" w:hAnsi="Book Antiqua"/>
          <w:color w:val="000000" w:themeColor="text1"/>
          <w:sz w:val="24"/>
          <w:szCs w:val="24"/>
        </w:rPr>
        <w:t xml:space="preserve"> test). For validation samples, AUC</w:t>
      </w:r>
      <w:r w:rsidRPr="0050576F">
        <w:rPr>
          <w:rFonts w:ascii="Book Antiqua" w:hAnsi="Book Antiqua"/>
          <w:color w:val="000000" w:themeColor="text1"/>
          <w:sz w:val="24"/>
          <w:szCs w:val="24"/>
          <w:vertAlign w:val="subscript"/>
        </w:rPr>
        <w:t>LDA</w:t>
      </w:r>
      <w:r w:rsidR="006D7117" w:rsidRPr="0050576F">
        <w:rPr>
          <w:rFonts w:ascii="Book Antiqua" w:hAnsi="Book Antiqua"/>
          <w:color w:val="000000" w:themeColor="text1"/>
          <w:sz w:val="24"/>
          <w:szCs w:val="24"/>
        </w:rPr>
        <w:t xml:space="preserve"> was 0.84 (95%</w:t>
      </w:r>
      <w:r w:rsidRPr="0050576F">
        <w:rPr>
          <w:rFonts w:ascii="Book Antiqua" w:hAnsi="Book Antiqua"/>
          <w:color w:val="000000" w:themeColor="text1"/>
          <w:sz w:val="24"/>
          <w:szCs w:val="24"/>
        </w:rPr>
        <w:t xml:space="preserve">CI: 0.67–1.00,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Figure 6B), and AUC</w:t>
      </w:r>
      <w:r w:rsidRPr="0050576F">
        <w:rPr>
          <w:rFonts w:ascii="Book Antiqua" w:hAnsi="Book Antiqua"/>
          <w:color w:val="000000" w:themeColor="text1"/>
          <w:sz w:val="24"/>
          <w:szCs w:val="24"/>
          <w:vertAlign w:val="subscript"/>
        </w:rPr>
        <w:t>AFP</w:t>
      </w:r>
      <w:r w:rsidR="006D7117" w:rsidRPr="0050576F">
        <w:rPr>
          <w:rFonts w:ascii="Book Antiqua" w:hAnsi="Book Antiqua"/>
          <w:color w:val="000000" w:themeColor="text1"/>
          <w:sz w:val="24"/>
          <w:szCs w:val="24"/>
        </w:rPr>
        <w:t xml:space="preserve"> was 0.68 (95%</w:t>
      </w:r>
      <w:r w:rsidRPr="0050576F">
        <w:rPr>
          <w:rFonts w:ascii="Book Antiqua" w:hAnsi="Book Antiqua"/>
          <w:color w:val="000000" w:themeColor="text1"/>
          <w:sz w:val="24"/>
          <w:szCs w:val="24"/>
        </w:rPr>
        <w:t xml:space="preserve">CI: 0.41–0.94,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0.191, Supplementary Figure 1</w:t>
      </w:r>
      <w:r w:rsidR="009B15D7" w:rsidRPr="0050576F">
        <w:rPr>
          <w:rFonts w:ascii="Book Antiqua" w:hAnsi="Book Antiqua"/>
          <w:color w:val="000000" w:themeColor="text1"/>
          <w:sz w:val="24"/>
          <w:szCs w:val="24"/>
        </w:rPr>
        <w:t>4</w:t>
      </w:r>
      <w:r w:rsidRPr="0050576F">
        <w:rPr>
          <w:rFonts w:ascii="Book Antiqua" w:hAnsi="Book Antiqua"/>
          <w:color w:val="000000" w:themeColor="text1"/>
          <w:sz w:val="24"/>
          <w:szCs w:val="24"/>
        </w:rPr>
        <w:t>); AUC</w:t>
      </w:r>
      <w:r w:rsidRPr="0050576F">
        <w:rPr>
          <w:rFonts w:ascii="Book Antiqua" w:hAnsi="Book Antiqua"/>
          <w:color w:val="000000" w:themeColor="text1"/>
          <w:sz w:val="24"/>
          <w:szCs w:val="24"/>
          <w:vertAlign w:val="subscript"/>
        </w:rPr>
        <w:t>LDA</w:t>
      </w:r>
      <w:r w:rsidRPr="0050576F">
        <w:rPr>
          <w:rFonts w:ascii="Book Antiqua" w:hAnsi="Book Antiqua"/>
          <w:color w:val="000000" w:themeColor="text1"/>
          <w:sz w:val="24"/>
          <w:szCs w:val="24"/>
        </w:rPr>
        <w:t xml:space="preserve"> was significantly </w:t>
      </w:r>
      <w:r w:rsidRPr="0050576F">
        <w:rPr>
          <w:rFonts w:ascii="Book Antiqua" w:eastAsia="MS Mincho" w:hAnsi="Book Antiqua"/>
          <w:color w:val="000000" w:themeColor="text1"/>
          <w:sz w:val="24"/>
          <w:szCs w:val="24"/>
          <w:lang w:eastAsia="ja-JP"/>
        </w:rPr>
        <w:t>larger</w:t>
      </w:r>
      <w:r w:rsidRPr="0050576F">
        <w:rPr>
          <w:rFonts w:ascii="Book Antiqua" w:hAnsi="Book Antiqua"/>
          <w:color w:val="000000" w:themeColor="text1"/>
          <w:sz w:val="24"/>
          <w:szCs w:val="24"/>
        </w:rPr>
        <w:t xml:space="preserve"> than AUC</w:t>
      </w:r>
      <w:r w:rsidRPr="0050576F">
        <w:rPr>
          <w:rFonts w:ascii="Book Antiqua" w:hAnsi="Book Antiqua"/>
          <w:color w:val="000000" w:themeColor="text1"/>
          <w:sz w:val="24"/>
          <w:szCs w:val="24"/>
          <w:vertAlign w:val="subscript"/>
        </w:rPr>
        <w:t>AFP</w:t>
      </w:r>
      <w:r w:rsidRPr="0050576F">
        <w:rPr>
          <w:rFonts w:ascii="Book Antiqua" w:hAnsi="Book Antiqua"/>
          <w:color w:val="000000" w:themeColor="text1"/>
          <w:sz w:val="24"/>
          <w:szCs w:val="24"/>
        </w:rPr>
        <w:t xml:space="preserve"> (</w:t>
      </w:r>
      <w:r w:rsidRPr="0050576F">
        <w:rPr>
          <w:rFonts w:ascii="Book Antiqua" w:hAnsi="Book Antiqua"/>
          <w:i/>
          <w:color w:val="000000" w:themeColor="text1"/>
          <w:sz w:val="24"/>
          <w:szCs w:val="24"/>
        </w:rPr>
        <w:t>P</w:t>
      </w:r>
      <w:r w:rsidR="00F677E7" w:rsidRPr="0050576F">
        <w:rPr>
          <w:rFonts w:ascii="Book Antiqua" w:hAnsi="Book Antiqua"/>
          <w:i/>
          <w:color w:val="000000" w:themeColor="text1"/>
          <w:sz w:val="24"/>
          <w:szCs w:val="24"/>
        </w:rPr>
        <w:t xml:space="preserve">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0.05, </w:t>
      </w:r>
      <w:r w:rsidRPr="0050576F">
        <w:rPr>
          <w:rFonts w:ascii="Book Antiqua" w:hAnsi="Book Antiqua"/>
          <w:i/>
          <w:color w:val="000000" w:themeColor="text1"/>
          <w:sz w:val="24"/>
          <w:szCs w:val="24"/>
        </w:rPr>
        <w:t>Z</w:t>
      </w:r>
      <w:r w:rsidRPr="0050576F">
        <w:rPr>
          <w:rFonts w:ascii="Book Antiqua" w:hAnsi="Book Antiqua"/>
          <w:color w:val="000000" w:themeColor="text1"/>
          <w:sz w:val="24"/>
          <w:szCs w:val="24"/>
        </w:rPr>
        <w:t xml:space="preserve"> test).</w:t>
      </w:r>
    </w:p>
    <w:p w14:paraId="1BAE8030" w14:textId="77777777" w:rsidR="00EB3C3C" w:rsidRPr="0050576F" w:rsidRDefault="00EB3C3C" w:rsidP="0050576F">
      <w:pPr>
        <w:snapToGrid w:val="0"/>
        <w:spacing w:line="360" w:lineRule="auto"/>
        <w:rPr>
          <w:rFonts w:ascii="Book Antiqua" w:hAnsi="Book Antiqua"/>
          <w:b/>
          <w:color w:val="000000" w:themeColor="text1"/>
          <w:kern w:val="0"/>
          <w:sz w:val="24"/>
          <w:szCs w:val="24"/>
        </w:rPr>
      </w:pPr>
    </w:p>
    <w:p w14:paraId="107862BE" w14:textId="77777777" w:rsidR="00EB3C3C" w:rsidRPr="0050576F" w:rsidRDefault="00730055" w:rsidP="0050576F">
      <w:pPr>
        <w:snapToGrid w:val="0"/>
        <w:spacing w:line="360" w:lineRule="auto"/>
        <w:rPr>
          <w:rFonts w:ascii="Book Antiqua" w:hAnsi="Book Antiqua" w:cs="宋体"/>
          <w:color w:val="000000" w:themeColor="text1"/>
          <w:sz w:val="24"/>
          <w:szCs w:val="24"/>
          <w:u w:val="single"/>
        </w:rPr>
      </w:pPr>
      <w:r w:rsidRPr="0050576F">
        <w:rPr>
          <w:rFonts w:ascii="Book Antiqua" w:eastAsia="Book Antiqua" w:hAnsi="Book Antiqua" w:cs="Book Antiqua"/>
          <w:b/>
          <w:color w:val="000000" w:themeColor="text1"/>
          <w:sz w:val="24"/>
          <w:szCs w:val="24"/>
          <w:u w:val="single"/>
        </w:rPr>
        <w:t>DISCUSSION</w:t>
      </w:r>
    </w:p>
    <w:p w14:paraId="7570DA6D" w14:textId="7FB978E2"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In this study, the serum metabolomes of </w:t>
      </w:r>
      <w:r w:rsidRPr="0050576F">
        <w:rPr>
          <w:rFonts w:ascii="Book Antiqua" w:eastAsia="MS Mincho" w:hAnsi="Book Antiqua"/>
          <w:color w:val="000000" w:themeColor="text1"/>
          <w:sz w:val="24"/>
          <w:szCs w:val="24"/>
          <w:lang w:eastAsia="ja-JP"/>
        </w:rPr>
        <w:t xml:space="preserve">patients with </w:t>
      </w:r>
      <w:r w:rsidRPr="0050576F">
        <w:rPr>
          <w:rFonts w:ascii="Book Antiqua" w:hAnsi="Book Antiqua"/>
          <w:color w:val="000000" w:themeColor="text1"/>
          <w:sz w:val="24"/>
          <w:szCs w:val="24"/>
        </w:rPr>
        <w:t>HCC</w:t>
      </w:r>
      <w:r w:rsidRPr="0050576F">
        <w:rPr>
          <w:rFonts w:ascii="Book Antiqua" w:eastAsia="MS Mincho" w:hAnsi="Book Antiqua"/>
          <w:color w:val="000000" w:themeColor="text1"/>
          <w:sz w:val="24"/>
          <w:szCs w:val="24"/>
          <w:lang w:eastAsia="ja-JP"/>
        </w:rPr>
        <w:t xml:space="preserve">, patients with </w:t>
      </w:r>
      <w:r w:rsidRPr="0050576F">
        <w:rPr>
          <w:rFonts w:ascii="Book Antiqua" w:hAnsi="Book Antiqua"/>
          <w:color w:val="000000" w:themeColor="text1"/>
          <w:sz w:val="24"/>
          <w:szCs w:val="24"/>
        </w:rPr>
        <w:t>cirrhosis</w:t>
      </w:r>
      <w:r w:rsidRPr="0050576F">
        <w:rPr>
          <w:rFonts w:ascii="Book Antiqua" w:eastAsia="MS Mincho" w:hAnsi="Book Antiqua"/>
          <w:color w:val="000000" w:themeColor="text1"/>
          <w:sz w:val="24"/>
          <w:szCs w:val="24"/>
          <w:lang w:eastAsia="ja-JP"/>
        </w:rPr>
        <w:t xml:space="preserve">, </w:t>
      </w:r>
      <w:r w:rsidRPr="0050576F">
        <w:rPr>
          <w:rFonts w:ascii="Book Antiqua" w:hAnsi="Book Antiqua"/>
          <w:color w:val="000000" w:themeColor="text1"/>
          <w:sz w:val="24"/>
          <w:szCs w:val="24"/>
        </w:rPr>
        <w:t xml:space="preserve">and healthy controls were profiled by UPLC-MS </w:t>
      </w:r>
      <w:r w:rsidRPr="0050576F">
        <w:rPr>
          <w:rFonts w:ascii="Book Antiqua" w:eastAsia="MS Mincho" w:hAnsi="Book Antiqua"/>
          <w:color w:val="000000" w:themeColor="text1"/>
          <w:sz w:val="24"/>
          <w:szCs w:val="24"/>
          <w:lang w:eastAsia="ja-JP"/>
        </w:rPr>
        <w:t xml:space="preserve">to </w:t>
      </w:r>
      <w:r w:rsidRPr="0050576F">
        <w:rPr>
          <w:rFonts w:ascii="Book Antiqua" w:hAnsi="Book Antiqua"/>
          <w:color w:val="000000" w:themeColor="text1"/>
          <w:sz w:val="24"/>
          <w:szCs w:val="24"/>
        </w:rPr>
        <w:t xml:space="preserve">establish a metabolomics model for </w:t>
      </w:r>
      <w:r w:rsidR="00B066F2">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diagnosis of HCC. This approach not only enabled elucidation of HCC pathogenesis but also provided a mathematical model based on possible biomarkers for screening HCC.</w:t>
      </w:r>
    </w:p>
    <w:p w14:paraId="7C96EE49" w14:textId="21844D15" w:rsidR="00EB3C3C" w:rsidRPr="0050576F" w:rsidRDefault="00B066F2" w:rsidP="0050576F">
      <w:pPr>
        <w:snapToGrid w:val="0"/>
        <w:spacing w:line="360" w:lineRule="auto"/>
        <w:ind w:firstLineChars="100" w:firstLine="240"/>
        <w:rPr>
          <w:rFonts w:ascii="Book Antiqua" w:hAnsi="Book Antiqua"/>
          <w:color w:val="000000" w:themeColor="text1"/>
          <w:sz w:val="24"/>
          <w:szCs w:val="24"/>
        </w:rPr>
      </w:pPr>
      <w:r>
        <w:rPr>
          <w:rFonts w:ascii="Book Antiqua" w:hAnsi="Book Antiqua"/>
          <w:color w:val="000000" w:themeColor="text1"/>
          <w:sz w:val="24"/>
          <w:szCs w:val="24"/>
        </w:rPr>
        <w:t>The s</w:t>
      </w:r>
      <w:r w:rsidR="00730055" w:rsidRPr="0050576F">
        <w:rPr>
          <w:rFonts w:ascii="Book Antiqua" w:hAnsi="Book Antiqua"/>
          <w:color w:val="000000" w:themeColor="text1"/>
          <w:sz w:val="24"/>
          <w:szCs w:val="24"/>
        </w:rPr>
        <w:t>tability of metabolomics data and the comparability of demographic data are the two crucial issues that should be considere</w:t>
      </w:r>
      <w:r w:rsidR="00254D4E" w:rsidRPr="0050576F">
        <w:rPr>
          <w:rFonts w:ascii="Book Antiqua" w:hAnsi="Book Antiqua"/>
          <w:color w:val="000000" w:themeColor="text1"/>
          <w:sz w:val="24"/>
          <w:szCs w:val="24"/>
        </w:rPr>
        <w:t>d prior to statistical analysis</w:t>
      </w:r>
      <w:r w:rsidR="00730055" w:rsidRPr="0050576F">
        <w:rPr>
          <w:rFonts w:ascii="Book Antiqua" w:eastAsia="Times New Roman" w:hAnsi="Book Antiqua"/>
          <w:color w:val="000000" w:themeColor="text1"/>
          <w:sz w:val="24"/>
          <w:szCs w:val="24"/>
          <w:vertAlign w:val="superscript"/>
        </w:rPr>
        <w:t>[17]</w:t>
      </w:r>
      <w:r w:rsidR="00730055" w:rsidRPr="0050576F">
        <w:rPr>
          <w:rFonts w:ascii="Book Antiqua" w:hAnsi="Book Antiqua"/>
          <w:color w:val="000000" w:themeColor="text1"/>
          <w:sz w:val="24"/>
          <w:szCs w:val="24"/>
        </w:rPr>
        <w:t xml:space="preserve">. In this study, the reproducibility and stability of metabolomics data are reflected in the compact clustering of QC samples in the PCA score plot, as well as in the low CV of specific metabolites of the QC samples. There were no statistical differences in age and </w:t>
      </w:r>
      <w:r w:rsidR="00730055" w:rsidRPr="0050576F">
        <w:rPr>
          <w:rFonts w:ascii="Book Antiqua" w:eastAsia="MS Mincho" w:hAnsi="Book Antiqua"/>
          <w:color w:val="000000" w:themeColor="text1"/>
          <w:sz w:val="24"/>
          <w:szCs w:val="24"/>
          <w:lang w:eastAsia="ja-JP"/>
        </w:rPr>
        <w:t>sex</w:t>
      </w:r>
      <w:r w:rsidR="00730055" w:rsidRPr="0050576F">
        <w:rPr>
          <w:rFonts w:ascii="Book Antiqua" w:hAnsi="Book Antiqua"/>
          <w:color w:val="000000" w:themeColor="text1"/>
          <w:sz w:val="24"/>
          <w:szCs w:val="24"/>
        </w:rPr>
        <w:t xml:space="preserve"> among the </w:t>
      </w:r>
      <w:r w:rsidR="00730055" w:rsidRPr="0050576F">
        <w:rPr>
          <w:rFonts w:ascii="Book Antiqua" w:eastAsia="MS Mincho" w:hAnsi="Book Antiqua"/>
          <w:color w:val="000000" w:themeColor="text1"/>
          <w:sz w:val="24"/>
          <w:szCs w:val="24"/>
          <w:lang w:eastAsia="ja-JP"/>
        </w:rPr>
        <w:t xml:space="preserve">patients with </w:t>
      </w:r>
      <w:r w:rsidR="00730055" w:rsidRPr="0050576F">
        <w:rPr>
          <w:rFonts w:ascii="Book Antiqua" w:hAnsi="Book Antiqua"/>
          <w:color w:val="000000" w:themeColor="text1"/>
          <w:sz w:val="24"/>
          <w:szCs w:val="24"/>
        </w:rPr>
        <w:t>HCC</w:t>
      </w:r>
      <w:r w:rsidR="00730055" w:rsidRPr="0050576F">
        <w:rPr>
          <w:rFonts w:ascii="Book Antiqua" w:eastAsia="MS Mincho" w:hAnsi="Book Antiqua"/>
          <w:color w:val="000000" w:themeColor="text1"/>
          <w:sz w:val="24"/>
          <w:szCs w:val="24"/>
          <w:lang w:eastAsia="ja-JP"/>
        </w:rPr>
        <w:t xml:space="preserve">, patients with </w:t>
      </w:r>
      <w:r w:rsidR="00730055" w:rsidRPr="0050576F">
        <w:rPr>
          <w:rFonts w:ascii="Book Antiqua" w:hAnsi="Book Antiqua"/>
          <w:color w:val="000000" w:themeColor="text1"/>
          <w:sz w:val="24"/>
          <w:szCs w:val="24"/>
        </w:rPr>
        <w:t>cirrhosis</w:t>
      </w:r>
      <w:r w:rsidR="00730055" w:rsidRPr="0050576F">
        <w:rPr>
          <w:rFonts w:ascii="Book Antiqua" w:eastAsia="MS Mincho" w:hAnsi="Book Antiqua"/>
          <w:color w:val="000000" w:themeColor="text1"/>
          <w:sz w:val="24"/>
          <w:szCs w:val="24"/>
          <w:lang w:eastAsia="ja-JP"/>
        </w:rPr>
        <w:t xml:space="preserve">, </w:t>
      </w:r>
      <w:r w:rsidR="00730055" w:rsidRPr="0050576F">
        <w:rPr>
          <w:rFonts w:ascii="Book Antiqua" w:hAnsi="Book Antiqua"/>
          <w:color w:val="000000" w:themeColor="text1"/>
          <w:sz w:val="24"/>
          <w:szCs w:val="24"/>
        </w:rPr>
        <w:t xml:space="preserve">and healthy controls. Also, the constituent ratio of etiology of liver injury (pathogenesis) was comparable between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 xml:space="preserve">HCC and cirrhosis groups, all of which confirm the reliability of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UPLC-MS assay and optimal homogene</w:t>
      </w:r>
      <w:r w:rsidR="00254D4E" w:rsidRPr="0050576F">
        <w:rPr>
          <w:rFonts w:ascii="Book Antiqua" w:hAnsi="Book Antiqua"/>
          <w:color w:val="000000" w:themeColor="text1"/>
          <w:sz w:val="24"/>
          <w:szCs w:val="24"/>
        </w:rPr>
        <w:t>ity of baseline characteristics</w:t>
      </w:r>
      <w:r w:rsidR="00730055" w:rsidRPr="0050576F">
        <w:rPr>
          <w:rFonts w:ascii="Book Antiqua" w:eastAsia="Times New Roman" w:hAnsi="Book Antiqua"/>
          <w:color w:val="000000" w:themeColor="text1"/>
          <w:sz w:val="24"/>
          <w:szCs w:val="24"/>
          <w:vertAlign w:val="superscript"/>
        </w:rPr>
        <w:t>[9]</w:t>
      </w:r>
      <w:r w:rsidR="00730055" w:rsidRPr="0050576F">
        <w:rPr>
          <w:rFonts w:ascii="Book Antiqua" w:hAnsi="Book Antiqua"/>
          <w:color w:val="000000" w:themeColor="text1"/>
          <w:sz w:val="24"/>
          <w:szCs w:val="24"/>
        </w:rPr>
        <w:t>.</w:t>
      </w:r>
    </w:p>
    <w:p w14:paraId="5463A580" w14:textId="7E7B2C8C" w:rsidR="00EB3C3C" w:rsidRPr="0050576F" w:rsidRDefault="00B066F2" w:rsidP="0050576F">
      <w:pPr>
        <w:snapToGrid w:val="0"/>
        <w:spacing w:line="360" w:lineRule="auto"/>
        <w:ind w:firstLineChars="100" w:firstLine="240"/>
        <w:rPr>
          <w:rFonts w:ascii="Book Antiqua" w:hAnsi="Book Antiqua"/>
          <w:color w:val="000000" w:themeColor="text1"/>
          <w:sz w:val="24"/>
          <w:szCs w:val="24"/>
        </w:rPr>
      </w:pPr>
      <w:r>
        <w:rPr>
          <w:rFonts w:ascii="Book Antiqua" w:hAnsi="Book Antiqua"/>
          <w:color w:val="000000" w:themeColor="text1"/>
          <w:sz w:val="24"/>
          <w:szCs w:val="24"/>
        </w:rPr>
        <w:lastRenderedPageBreak/>
        <w:t>The l</w:t>
      </w:r>
      <w:r w:rsidR="00730055" w:rsidRPr="0050576F">
        <w:rPr>
          <w:rFonts w:ascii="Book Antiqua" w:hAnsi="Book Antiqua"/>
          <w:color w:val="000000" w:themeColor="text1"/>
          <w:sz w:val="24"/>
          <w:szCs w:val="24"/>
        </w:rPr>
        <w:t>iver is the principal organ for metabolism of carbohy</w:t>
      </w:r>
      <w:r w:rsidR="00254D4E" w:rsidRPr="0050576F">
        <w:rPr>
          <w:rFonts w:ascii="Book Antiqua" w:hAnsi="Book Antiqua"/>
          <w:color w:val="000000" w:themeColor="text1"/>
          <w:sz w:val="24"/>
          <w:szCs w:val="24"/>
        </w:rPr>
        <w:t>drates, lipid</w:t>
      </w:r>
      <w:r>
        <w:rPr>
          <w:rFonts w:ascii="Book Antiqua" w:hAnsi="Book Antiqua"/>
          <w:color w:val="000000" w:themeColor="text1"/>
          <w:sz w:val="24"/>
          <w:szCs w:val="24"/>
        </w:rPr>
        <w:t>s</w:t>
      </w:r>
      <w:r w:rsidR="00254D4E" w:rsidRPr="0050576F">
        <w:rPr>
          <w:rFonts w:ascii="Book Antiqua" w:hAnsi="Book Antiqua"/>
          <w:color w:val="000000" w:themeColor="text1"/>
          <w:sz w:val="24"/>
          <w:szCs w:val="24"/>
        </w:rPr>
        <w:t xml:space="preserve">, amino acids </w:t>
      </w:r>
      <w:r w:rsidR="006D7117" w:rsidRPr="0050576F">
        <w:rPr>
          <w:rFonts w:ascii="Book Antiqua" w:hAnsi="Book Antiqua"/>
          <w:i/>
          <w:iCs/>
          <w:color w:val="000000" w:themeColor="text1"/>
          <w:sz w:val="24"/>
          <w:szCs w:val="24"/>
        </w:rPr>
        <w:t>etc</w:t>
      </w:r>
      <w:r w:rsidR="00730055" w:rsidRPr="0050576F">
        <w:rPr>
          <w:rFonts w:ascii="Book Antiqua" w:eastAsia="Times New Roman" w:hAnsi="Book Antiqua"/>
          <w:color w:val="000000" w:themeColor="text1"/>
          <w:sz w:val="24"/>
          <w:szCs w:val="24"/>
          <w:vertAlign w:val="superscript"/>
        </w:rPr>
        <w:t>[18]</w:t>
      </w:r>
      <w:r w:rsidR="00730055" w:rsidRPr="0050576F">
        <w:rPr>
          <w:rFonts w:ascii="Book Antiqua" w:hAnsi="Book Antiqua"/>
          <w:color w:val="000000" w:themeColor="text1"/>
          <w:sz w:val="24"/>
          <w:szCs w:val="24"/>
        </w:rPr>
        <w:t>. Particularly in HCC, liver disease always results in a</w:t>
      </w:r>
      <w:r w:rsidR="00254D4E" w:rsidRPr="0050576F">
        <w:rPr>
          <w:rFonts w:ascii="Book Antiqua" w:hAnsi="Book Antiqua"/>
          <w:color w:val="000000" w:themeColor="text1"/>
          <w:sz w:val="24"/>
          <w:szCs w:val="24"/>
        </w:rPr>
        <w:t>pparent metabolic dysregulation</w:t>
      </w:r>
      <w:r w:rsidR="00730055" w:rsidRPr="0050576F">
        <w:rPr>
          <w:rFonts w:ascii="Book Antiqua" w:eastAsia="Times New Roman" w:hAnsi="Book Antiqua"/>
          <w:color w:val="000000" w:themeColor="text1"/>
          <w:sz w:val="24"/>
          <w:szCs w:val="24"/>
          <w:vertAlign w:val="superscript"/>
        </w:rPr>
        <w:t>[19]</w:t>
      </w:r>
      <w:r w:rsidR="00730055" w:rsidRPr="0050576F">
        <w:rPr>
          <w:rFonts w:ascii="Book Antiqua" w:hAnsi="Book Antiqua"/>
          <w:color w:val="000000" w:themeColor="text1"/>
          <w:sz w:val="24"/>
          <w:szCs w:val="24"/>
        </w:rPr>
        <w:t>, as in the case of glutamine addiction, a hallmark feature of HCC</w:t>
      </w:r>
      <w:r w:rsidR="00730055" w:rsidRPr="0050576F">
        <w:rPr>
          <w:rFonts w:ascii="Book Antiqua" w:eastAsia="Times New Roman" w:hAnsi="Book Antiqua"/>
          <w:color w:val="000000" w:themeColor="text1"/>
          <w:sz w:val="24"/>
          <w:szCs w:val="24"/>
          <w:vertAlign w:val="superscript"/>
        </w:rPr>
        <w:t>[20]</w:t>
      </w:r>
      <w:r w:rsidR="00730055" w:rsidRPr="0050576F">
        <w:rPr>
          <w:rFonts w:ascii="Book Antiqua" w:hAnsi="Book Antiqua"/>
          <w:color w:val="000000" w:themeColor="text1"/>
          <w:sz w:val="24"/>
          <w:szCs w:val="24"/>
        </w:rPr>
        <w:t xml:space="preserve">. The decrease in serum metabolites in patients </w:t>
      </w:r>
      <w:r w:rsidR="00730055" w:rsidRPr="0050576F">
        <w:rPr>
          <w:rFonts w:ascii="Book Antiqua" w:eastAsia="MS Mincho" w:hAnsi="Book Antiqua"/>
          <w:color w:val="000000" w:themeColor="text1"/>
          <w:sz w:val="24"/>
          <w:szCs w:val="24"/>
          <w:lang w:eastAsia="ja-JP"/>
        </w:rPr>
        <w:t xml:space="preserve">with </w:t>
      </w:r>
      <w:r w:rsidR="00730055" w:rsidRPr="0050576F">
        <w:rPr>
          <w:rFonts w:ascii="Book Antiqua" w:hAnsi="Book Antiqua"/>
          <w:color w:val="000000" w:themeColor="text1"/>
          <w:sz w:val="24"/>
          <w:szCs w:val="24"/>
        </w:rPr>
        <w:t xml:space="preserve">HCC is largely due to uptake and utilization of metabolites by the tumor to feed its malignant behavior, as in </w:t>
      </w:r>
      <w:r w:rsidR="00254D4E" w:rsidRPr="0050576F">
        <w:rPr>
          <w:rFonts w:ascii="Book Antiqua" w:hAnsi="Book Antiqua"/>
          <w:color w:val="000000" w:themeColor="text1"/>
          <w:sz w:val="24"/>
          <w:szCs w:val="24"/>
        </w:rPr>
        <w:t>the case of glutamine addiction</w:t>
      </w:r>
      <w:r w:rsidR="00730055" w:rsidRPr="0050576F">
        <w:rPr>
          <w:rFonts w:ascii="Book Antiqua" w:eastAsia="Times New Roman" w:hAnsi="Book Antiqua"/>
          <w:color w:val="000000" w:themeColor="text1"/>
          <w:sz w:val="24"/>
          <w:szCs w:val="24"/>
          <w:vertAlign w:val="superscript"/>
        </w:rPr>
        <w:t>[20]</w:t>
      </w:r>
      <w:r w:rsidR="00730055" w:rsidRPr="0050576F">
        <w:rPr>
          <w:rFonts w:ascii="Book Antiqua" w:hAnsi="Book Antiqua"/>
          <w:color w:val="000000" w:themeColor="text1"/>
          <w:sz w:val="24"/>
          <w:szCs w:val="24"/>
        </w:rPr>
        <w:t>. This is evident in HCC tissue that has 20</w:t>
      </w:r>
      <w:r w:rsidR="00730055" w:rsidRPr="0050576F">
        <w:rPr>
          <w:rFonts w:ascii="Book Antiqua" w:eastAsia="MS Mincho" w:hAnsi="Book Antiqua"/>
          <w:color w:val="000000" w:themeColor="text1"/>
          <w:sz w:val="24"/>
          <w:szCs w:val="24"/>
          <w:lang w:eastAsia="ja-JP"/>
        </w:rPr>
        <w:t xml:space="preserve"> times</w:t>
      </w:r>
      <w:r w:rsidR="00730055" w:rsidRPr="0050576F">
        <w:rPr>
          <w:rFonts w:ascii="Book Antiqua" w:hAnsi="Book Antiqua"/>
          <w:color w:val="000000" w:themeColor="text1"/>
          <w:sz w:val="24"/>
          <w:szCs w:val="24"/>
        </w:rPr>
        <w:t xml:space="preserve"> higher glutaminase 1 concentration than </w:t>
      </w:r>
      <w:r w:rsidR="00254D4E" w:rsidRPr="0050576F">
        <w:rPr>
          <w:rFonts w:ascii="Book Antiqua" w:hAnsi="Book Antiqua"/>
          <w:color w:val="000000" w:themeColor="text1"/>
          <w:sz w:val="24"/>
          <w:szCs w:val="24"/>
        </w:rPr>
        <w:t>normal liver tissue</w:t>
      </w:r>
      <w:r w:rsidR="00730055" w:rsidRPr="0050576F">
        <w:rPr>
          <w:rFonts w:ascii="Book Antiqua" w:eastAsia="Times New Roman" w:hAnsi="Book Antiqua"/>
          <w:color w:val="000000" w:themeColor="text1"/>
          <w:sz w:val="24"/>
          <w:szCs w:val="24"/>
          <w:vertAlign w:val="superscript"/>
        </w:rPr>
        <w:t>[21]</w:t>
      </w:r>
      <w:r w:rsidR="00730055" w:rsidRPr="0050576F">
        <w:rPr>
          <w:rFonts w:ascii="Book Antiqua" w:hAnsi="Book Antiqua"/>
          <w:color w:val="000000" w:themeColor="text1"/>
          <w:sz w:val="24"/>
          <w:szCs w:val="24"/>
        </w:rPr>
        <w:t>, leading to 10</w:t>
      </w:r>
      <w:r>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times faster consumption of glutamine resulting in diminished glutamine levels in the serum of patients </w:t>
      </w:r>
      <w:r w:rsidR="00730055" w:rsidRPr="0050576F">
        <w:rPr>
          <w:rFonts w:ascii="Book Antiqua" w:eastAsia="MS Mincho" w:hAnsi="Book Antiqua"/>
          <w:color w:val="000000" w:themeColor="text1"/>
          <w:sz w:val="24"/>
          <w:szCs w:val="24"/>
          <w:lang w:eastAsia="ja-JP"/>
        </w:rPr>
        <w:t xml:space="preserve">with </w:t>
      </w:r>
      <w:r w:rsidR="00730055" w:rsidRPr="0050576F">
        <w:rPr>
          <w:rFonts w:ascii="Book Antiqua" w:hAnsi="Book Antiqua"/>
          <w:color w:val="000000" w:themeColor="text1"/>
          <w:sz w:val="24"/>
          <w:szCs w:val="24"/>
        </w:rPr>
        <w:t xml:space="preserve">HCC. On the contrary, an increase in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 xml:space="preserve">concentration of serum metabolites in HCC may reflect tumor necrosis. The best illustration of this process is the increase in hydroxypurine in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 xml:space="preserve">serum of patients </w:t>
      </w:r>
      <w:r w:rsidR="00730055" w:rsidRPr="0050576F">
        <w:rPr>
          <w:rFonts w:ascii="Book Antiqua" w:eastAsia="MS Mincho" w:hAnsi="Book Antiqua"/>
          <w:color w:val="000000" w:themeColor="text1"/>
          <w:sz w:val="24"/>
          <w:szCs w:val="24"/>
          <w:lang w:eastAsia="ja-JP"/>
        </w:rPr>
        <w:t xml:space="preserve">with </w:t>
      </w:r>
      <w:r w:rsidR="00730055" w:rsidRPr="0050576F">
        <w:rPr>
          <w:rFonts w:ascii="Book Antiqua" w:hAnsi="Book Antiqua"/>
          <w:color w:val="000000" w:themeColor="text1"/>
          <w:sz w:val="24"/>
          <w:szCs w:val="24"/>
        </w:rPr>
        <w:t xml:space="preserve">HCC, likely due to </w:t>
      </w:r>
      <w:r>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release of nucleic acids from tumor tissues, which then metabolizes into hydroxypurine under necrotic conditions</w:t>
      </w:r>
      <w:r w:rsidR="00730055" w:rsidRPr="0050576F">
        <w:rPr>
          <w:rFonts w:ascii="Book Antiqua" w:eastAsia="Times New Roman" w:hAnsi="Book Antiqua"/>
          <w:color w:val="000000" w:themeColor="text1"/>
          <w:sz w:val="24"/>
          <w:szCs w:val="24"/>
          <w:vertAlign w:val="superscript"/>
        </w:rPr>
        <w:t>[22]</w:t>
      </w:r>
      <w:r w:rsidR="00730055" w:rsidRPr="0050576F">
        <w:rPr>
          <w:rFonts w:ascii="Book Antiqua" w:hAnsi="Book Antiqua"/>
          <w:color w:val="000000" w:themeColor="text1"/>
          <w:sz w:val="24"/>
          <w:szCs w:val="24"/>
        </w:rPr>
        <w:t>.</w:t>
      </w:r>
    </w:p>
    <w:p w14:paraId="25BAE79D" w14:textId="6C6044FF"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Our findings are in line with previous studies that demonstrated diminished levels of serum phospholipid metabolites in patients with liver diseases (including HCC, liver cirrhosis, hepatitis</w:t>
      </w:r>
      <w:r w:rsidRPr="0050576F">
        <w:rPr>
          <w:rFonts w:ascii="Book Antiqua" w:eastAsia="MS Mincho" w:hAnsi="Book Antiqua"/>
          <w:color w:val="000000" w:themeColor="text1"/>
          <w:sz w:val="24"/>
          <w:szCs w:val="24"/>
          <w:lang w:eastAsia="ja-JP"/>
        </w:rPr>
        <w:t>,</w:t>
      </w:r>
      <w:r w:rsidR="00254D4E" w:rsidRPr="0050576F">
        <w:rPr>
          <w:rFonts w:ascii="Book Antiqua" w:hAnsi="Book Antiqua"/>
          <w:color w:val="000000" w:themeColor="text1"/>
          <w:sz w:val="24"/>
          <w:szCs w:val="24"/>
        </w:rPr>
        <w:t xml:space="preserve"> and liver failure)</w:t>
      </w:r>
      <w:r w:rsidR="00254D4E" w:rsidRPr="0050576F">
        <w:rPr>
          <w:rFonts w:ascii="Book Antiqua" w:eastAsia="Times New Roman" w:hAnsi="Book Antiqua"/>
          <w:color w:val="000000" w:themeColor="text1"/>
          <w:sz w:val="24"/>
          <w:szCs w:val="24"/>
          <w:vertAlign w:val="superscript"/>
        </w:rPr>
        <w:t>[7,</w:t>
      </w:r>
      <w:r w:rsidRPr="0050576F">
        <w:rPr>
          <w:rFonts w:ascii="Book Antiqua" w:eastAsia="Times New Roman" w:hAnsi="Book Antiqua"/>
          <w:color w:val="000000" w:themeColor="text1"/>
          <w:sz w:val="24"/>
          <w:szCs w:val="24"/>
          <w:vertAlign w:val="superscript"/>
        </w:rPr>
        <w:t>9]</w:t>
      </w:r>
      <w:r w:rsidRPr="0050576F">
        <w:rPr>
          <w:rFonts w:ascii="Book Antiqua" w:hAnsi="Book Antiqua"/>
          <w:color w:val="000000" w:themeColor="text1"/>
          <w:sz w:val="24"/>
          <w:szCs w:val="24"/>
        </w:rPr>
        <w:t xml:space="preserve">. Indeed, through an untargeted metabolomics approach, we found significantly reduced amounts of phospholipid metabolites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Reduced serum LysoPC</w:t>
      </w:r>
      <w:r w:rsidRPr="0050576F">
        <w:rPr>
          <w:rFonts w:ascii="Book Antiqua" w:eastAsia="等线" w:hAnsi="Book Antiqua"/>
          <w:color w:val="000000" w:themeColor="text1"/>
          <w:sz w:val="24"/>
          <w:szCs w:val="24"/>
        </w:rPr>
        <w:t>, a molecule</w:t>
      </w:r>
      <w:r w:rsidRPr="0050576F">
        <w:rPr>
          <w:rFonts w:ascii="Book Antiqua" w:hAnsi="Book Antiqua"/>
          <w:color w:val="000000" w:themeColor="text1"/>
          <w:sz w:val="24"/>
          <w:szCs w:val="24"/>
        </w:rPr>
        <w:t xml:space="preserve"> associated with malignancies, autoimmune disease, inflammation</w:t>
      </w:r>
      <w:r w:rsidRPr="0050576F">
        <w:rPr>
          <w:rFonts w:ascii="Book Antiqua" w:eastAsia="MS Mincho" w:hAnsi="Book Antiqua"/>
          <w:color w:val="000000" w:themeColor="text1"/>
          <w:sz w:val="24"/>
          <w:szCs w:val="24"/>
          <w:lang w:eastAsia="ja-JP"/>
        </w:rPr>
        <w:t>,</w:t>
      </w:r>
      <w:r w:rsidR="00254D4E" w:rsidRPr="0050576F">
        <w:rPr>
          <w:rFonts w:ascii="Book Antiqua" w:hAnsi="Book Antiqua"/>
          <w:color w:val="000000" w:themeColor="text1"/>
          <w:sz w:val="24"/>
          <w:szCs w:val="24"/>
        </w:rPr>
        <w:t xml:space="preserve"> and cell signaling</w:t>
      </w:r>
      <w:r w:rsidRPr="0050576F">
        <w:rPr>
          <w:rFonts w:ascii="Book Antiqua" w:eastAsia="Times New Roman" w:hAnsi="Book Antiqua"/>
          <w:color w:val="000000" w:themeColor="text1"/>
          <w:sz w:val="24"/>
          <w:szCs w:val="24"/>
          <w:vertAlign w:val="superscript"/>
        </w:rPr>
        <w:t>[23]</w:t>
      </w:r>
      <w:r w:rsidRPr="0050576F">
        <w:rPr>
          <w:rFonts w:ascii="Book Antiqua" w:hAnsi="Book Antiqua"/>
          <w:color w:val="000000" w:themeColor="text1"/>
          <w:sz w:val="24"/>
          <w:szCs w:val="24"/>
        </w:rPr>
        <w:t>, is an indicator of liver injury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LysoPC correlates with model for end-stage liver disease score</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independently of age, </w:t>
      </w:r>
      <w:r w:rsidRPr="0050576F">
        <w:rPr>
          <w:rFonts w:ascii="Book Antiqua" w:eastAsia="MS Mincho" w:hAnsi="Book Antiqua"/>
          <w:color w:val="000000" w:themeColor="text1"/>
          <w:sz w:val="24"/>
          <w:szCs w:val="24"/>
          <w:lang w:eastAsia="ja-JP"/>
        </w:rPr>
        <w:t>sex,</w:t>
      </w:r>
      <w:r w:rsidRPr="0050576F">
        <w:rPr>
          <w:rFonts w:ascii="Book Antiqua" w:hAnsi="Book Antiqua"/>
          <w:color w:val="000000" w:themeColor="text1"/>
          <w:sz w:val="24"/>
          <w:szCs w:val="24"/>
        </w:rPr>
        <w:t xml:space="preserve"> and diet. </w:t>
      </w:r>
      <w:r w:rsidR="00B066F2">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the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in our cohort also ha</w:t>
      </w:r>
      <w:r w:rsidR="00B066F2">
        <w:rPr>
          <w:rFonts w:ascii="Book Antiqua" w:hAnsi="Book Antiqua"/>
          <w:color w:val="000000" w:themeColor="text1"/>
          <w:sz w:val="24"/>
          <w:szCs w:val="24"/>
        </w:rPr>
        <w:t>d</w:t>
      </w:r>
      <w:r w:rsidRPr="0050576F">
        <w:rPr>
          <w:rFonts w:ascii="Book Antiqua" w:hAnsi="Book Antiqua"/>
          <w:color w:val="000000" w:themeColor="text1"/>
          <w:sz w:val="24"/>
          <w:szCs w:val="24"/>
        </w:rPr>
        <w:t xml:space="preserve"> concurrent liver cirrhosis, the serum LysoPC of C group was lower than that of healthy controls. However, since the severity of liver injury was similar between C and Y groups, the serum LysoPC concentration was not significantly different between these groups. Low levels of LysoPC may be attributed to the inhibition of phospholipase A2 or LCAT activity or perturbed </w:t>
      </w:r>
      <w:r w:rsidR="00254D4E" w:rsidRPr="0050576F">
        <w:rPr>
          <w:rFonts w:ascii="Book Antiqua" w:hAnsi="Book Antiqua"/>
          <w:color w:val="000000" w:themeColor="text1"/>
          <w:sz w:val="24"/>
          <w:szCs w:val="24"/>
        </w:rPr>
        <w:t>LysoPC acyltransferase activity</w:t>
      </w:r>
      <w:r w:rsidRPr="0050576F">
        <w:rPr>
          <w:rFonts w:ascii="Book Antiqua" w:eastAsia="Times New Roman" w:hAnsi="Book Antiqua"/>
          <w:color w:val="000000" w:themeColor="text1"/>
          <w:sz w:val="24"/>
          <w:szCs w:val="24"/>
          <w:vertAlign w:val="superscript"/>
        </w:rPr>
        <w:t>[7]</w:t>
      </w:r>
      <w:r w:rsidRPr="0050576F">
        <w:rPr>
          <w:rFonts w:ascii="Book Antiqua" w:hAnsi="Book Antiqua"/>
          <w:color w:val="000000" w:themeColor="text1"/>
          <w:sz w:val="24"/>
          <w:szCs w:val="24"/>
        </w:rPr>
        <w:t>. More recently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based on studies from our group and others, it was postulated that excessive consumption of LysoPC results in an anti-inflammatory response, leading to low levels of </w:t>
      </w:r>
      <w:r w:rsidRPr="0050576F">
        <w:rPr>
          <w:rFonts w:ascii="Book Antiqua" w:hAnsi="Book Antiqua"/>
          <w:color w:val="000000" w:themeColor="text1"/>
          <w:sz w:val="24"/>
          <w:szCs w:val="24"/>
        </w:rPr>
        <w:lastRenderedPageBreak/>
        <w:t>serum</w:t>
      </w:r>
      <w:r w:rsidRPr="0050576F">
        <w:rPr>
          <w:rFonts w:ascii="Book Antiqua" w:eastAsia="等线" w:hAnsi="Book Antiqua"/>
          <w:color w:val="000000" w:themeColor="text1"/>
          <w:sz w:val="24"/>
          <w:szCs w:val="24"/>
        </w:rPr>
        <w:t xml:space="preserve"> and</w:t>
      </w:r>
      <w:r w:rsidRPr="0050576F">
        <w:rPr>
          <w:rFonts w:ascii="Book Antiqua" w:hAnsi="Book Antiqua"/>
          <w:color w:val="000000" w:themeColor="text1"/>
          <w:sz w:val="24"/>
          <w:szCs w:val="24"/>
        </w:rPr>
        <w:t xml:space="preserve"> severe immunosuppression in patients with liver diseases</w:t>
      </w:r>
      <w:r w:rsidR="00254D4E" w:rsidRPr="0050576F">
        <w:rPr>
          <w:rFonts w:ascii="Book Antiqua" w:eastAsia="Times New Roman" w:hAnsi="Book Antiqua"/>
          <w:color w:val="000000" w:themeColor="text1"/>
          <w:sz w:val="24"/>
          <w:szCs w:val="24"/>
          <w:vertAlign w:val="superscript"/>
        </w:rPr>
        <w:t>[9,</w:t>
      </w:r>
      <w:r w:rsidRPr="0050576F">
        <w:rPr>
          <w:rFonts w:ascii="Book Antiqua" w:eastAsia="Times New Roman" w:hAnsi="Book Antiqua"/>
          <w:color w:val="000000" w:themeColor="text1"/>
          <w:sz w:val="24"/>
          <w:szCs w:val="24"/>
          <w:vertAlign w:val="superscript"/>
        </w:rPr>
        <w:t>23]</w:t>
      </w:r>
      <w:r w:rsidRPr="0050576F">
        <w:rPr>
          <w:rFonts w:ascii="Book Antiqua" w:hAnsi="Book Antiqua"/>
          <w:color w:val="000000" w:themeColor="text1"/>
          <w:sz w:val="24"/>
          <w:szCs w:val="24"/>
        </w:rPr>
        <w:t>.</w:t>
      </w:r>
    </w:p>
    <w:p w14:paraId="51BC0FE2" w14:textId="515150AF"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 xml:space="preserve">The reduced levels of serum creatinine found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HCC in this study may be attributed to the diminished hepatic conversion of creatine to creatinine i</w:t>
      </w:r>
      <w:r w:rsidR="00254D4E" w:rsidRPr="0050576F">
        <w:rPr>
          <w:rFonts w:ascii="Book Antiqua" w:hAnsi="Book Antiqua"/>
          <w:color w:val="000000" w:themeColor="text1"/>
          <w:sz w:val="24"/>
          <w:szCs w:val="24"/>
        </w:rPr>
        <w:t>n patients with hepatic disease</w:t>
      </w:r>
      <w:r w:rsidRPr="0050576F">
        <w:rPr>
          <w:rFonts w:ascii="Book Antiqua" w:eastAsia="Times New Roman" w:hAnsi="Book Antiqua"/>
          <w:color w:val="000000" w:themeColor="text1"/>
          <w:sz w:val="24"/>
          <w:szCs w:val="24"/>
          <w:vertAlign w:val="superscript"/>
        </w:rPr>
        <w:t>[5]</w:t>
      </w:r>
      <w:r w:rsidRPr="0050576F">
        <w:rPr>
          <w:rFonts w:ascii="Book Antiqua" w:hAnsi="Book Antiqua"/>
          <w:color w:val="000000" w:themeColor="text1"/>
          <w:sz w:val="24"/>
          <w:szCs w:val="24"/>
        </w:rPr>
        <w:t>. Another reason may be the decrease in levels of serine and alanine, involved in the synthesis of creatine, in HCC</w:t>
      </w:r>
      <w:r w:rsidRPr="0050576F">
        <w:rPr>
          <w:rFonts w:ascii="Book Antiqua" w:eastAsia="Times New Roman" w:hAnsi="Book Antiqua"/>
          <w:color w:val="000000" w:themeColor="text1"/>
          <w:sz w:val="24"/>
          <w:szCs w:val="24"/>
          <w:vertAlign w:val="superscript"/>
        </w:rPr>
        <w:t>[5]</w:t>
      </w:r>
      <w:r w:rsidRPr="0050576F">
        <w:rPr>
          <w:rFonts w:ascii="Book Antiqua" w:hAnsi="Book Antiqua"/>
          <w:color w:val="000000" w:themeColor="text1"/>
          <w:sz w:val="24"/>
          <w:szCs w:val="24"/>
        </w:rPr>
        <w:t xml:space="preserve">. Down regulation of fatty acids was also found in patients </w:t>
      </w:r>
      <w:r w:rsidRPr="0050576F">
        <w:rPr>
          <w:rFonts w:ascii="Book Antiqua" w:eastAsia="MS Mincho" w:hAnsi="Book Antiqua"/>
          <w:color w:val="000000" w:themeColor="text1"/>
          <w:sz w:val="24"/>
          <w:szCs w:val="24"/>
          <w:lang w:eastAsia="ja-JP"/>
        </w:rPr>
        <w:t xml:space="preserve">with </w:t>
      </w:r>
      <w:r w:rsidRPr="0050576F">
        <w:rPr>
          <w:rFonts w:ascii="Book Antiqua" w:hAnsi="Book Antiqua"/>
          <w:color w:val="000000" w:themeColor="text1"/>
          <w:sz w:val="24"/>
          <w:szCs w:val="24"/>
        </w:rPr>
        <w:t xml:space="preserve">HCC compared with cirrhotic </w:t>
      </w:r>
      <w:r w:rsidR="00B066F2">
        <w:rPr>
          <w:rFonts w:ascii="Book Antiqua" w:hAnsi="Book Antiqua"/>
          <w:color w:val="000000" w:themeColor="text1"/>
          <w:sz w:val="24"/>
          <w:szCs w:val="24"/>
        </w:rPr>
        <w:t xml:space="preserve">patients </w:t>
      </w:r>
      <w:r w:rsidRPr="0050576F">
        <w:rPr>
          <w:rFonts w:ascii="Book Antiqua" w:hAnsi="Book Antiqua"/>
          <w:color w:val="000000" w:themeColor="text1"/>
          <w:sz w:val="24"/>
          <w:szCs w:val="24"/>
        </w:rPr>
        <w:t>and heathy controls. Fatty acids can be transported into the mitochondria for beta-oxidation to generate adenosine triphosphate (ATP) energy</w:t>
      </w:r>
      <w:r w:rsidRPr="0050576F">
        <w:rPr>
          <w:rFonts w:ascii="Book Antiqua" w:eastAsia="MS Mincho" w:hAnsi="Book Antiqua"/>
          <w:color w:val="000000" w:themeColor="text1"/>
          <w:sz w:val="24"/>
          <w:szCs w:val="24"/>
          <w:lang w:eastAsia="ja-JP"/>
        </w:rPr>
        <w:t>,</w:t>
      </w:r>
      <w:r w:rsidRPr="0050576F">
        <w:rPr>
          <w:rFonts w:ascii="Book Antiqua" w:hAnsi="Book Antiqua"/>
          <w:color w:val="000000" w:themeColor="text1"/>
          <w:sz w:val="24"/>
          <w:szCs w:val="24"/>
        </w:rPr>
        <w:t xml:space="preserve"> and its metabolism could be perturbed in pati</w:t>
      </w:r>
      <w:r w:rsidR="00254D4E" w:rsidRPr="0050576F">
        <w:rPr>
          <w:rFonts w:ascii="Book Antiqua" w:hAnsi="Book Antiqua"/>
          <w:color w:val="000000" w:themeColor="text1"/>
          <w:sz w:val="24"/>
          <w:szCs w:val="24"/>
        </w:rPr>
        <w:t>ents with chronic liver disease</w:t>
      </w:r>
      <w:r w:rsidRPr="0050576F">
        <w:rPr>
          <w:rFonts w:ascii="Book Antiqua" w:eastAsia="Times New Roman" w:hAnsi="Book Antiqua"/>
          <w:color w:val="000000" w:themeColor="text1"/>
          <w:sz w:val="24"/>
          <w:szCs w:val="24"/>
          <w:vertAlign w:val="superscript"/>
        </w:rPr>
        <w:t>[24]</w:t>
      </w:r>
      <w:r w:rsidRPr="0050576F">
        <w:rPr>
          <w:rFonts w:ascii="Book Antiqua" w:hAnsi="Book Antiqua"/>
          <w:color w:val="000000" w:themeColor="text1"/>
          <w:sz w:val="24"/>
          <w:szCs w:val="24"/>
        </w:rPr>
        <w:t xml:space="preserve">. Thus, we hypothesized that differential levels of metabolites in HCC may enable biomarker identification for </w:t>
      </w:r>
      <w:r w:rsidR="00B066F2">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diagnosis of HCC.</w:t>
      </w:r>
    </w:p>
    <w:p w14:paraId="21D43148" w14:textId="393A8D28" w:rsidR="00EB3C3C" w:rsidRPr="0050576F" w:rsidRDefault="00B066F2" w:rsidP="0050576F">
      <w:pPr>
        <w:snapToGrid w:val="0"/>
        <w:spacing w:line="360" w:lineRule="auto"/>
        <w:ind w:firstLineChars="100" w:firstLine="240"/>
        <w:rPr>
          <w:rFonts w:ascii="Book Antiqua" w:hAnsi="Book Antiqua"/>
          <w:color w:val="000000" w:themeColor="text1"/>
          <w:sz w:val="24"/>
          <w:szCs w:val="24"/>
        </w:rPr>
      </w:pPr>
      <w:r>
        <w:rPr>
          <w:rFonts w:ascii="Book Antiqua" w:hAnsi="Book Antiqua"/>
          <w:color w:val="000000" w:themeColor="text1"/>
          <w:sz w:val="24"/>
          <w:szCs w:val="24"/>
        </w:rPr>
        <w:t>As the</w:t>
      </w:r>
      <w:r w:rsidR="00730055" w:rsidRPr="0050576F">
        <w:rPr>
          <w:rFonts w:ascii="Book Antiqua" w:hAnsi="Book Antiqua"/>
          <w:color w:val="000000" w:themeColor="text1"/>
          <w:sz w:val="24"/>
          <w:szCs w:val="24"/>
        </w:rPr>
        <w:t xml:space="preserve"> PCA and PLS-DA models suffered from relatively poor efficiencies in our study and were overfit for the dataset, they were therefore unable to discriminate patients</w:t>
      </w:r>
      <w:r w:rsidR="00730055" w:rsidRPr="0050576F">
        <w:rPr>
          <w:rFonts w:ascii="Book Antiqua" w:eastAsia="MS Mincho" w:hAnsi="Book Antiqua"/>
          <w:color w:val="000000" w:themeColor="text1"/>
          <w:sz w:val="24"/>
          <w:szCs w:val="24"/>
          <w:lang w:eastAsia="ja-JP"/>
        </w:rPr>
        <w:t xml:space="preserve"> with </w:t>
      </w:r>
      <w:r w:rsidR="00730055" w:rsidRPr="0050576F">
        <w:rPr>
          <w:rFonts w:ascii="Book Antiqua" w:hAnsi="Book Antiqua"/>
          <w:color w:val="000000" w:themeColor="text1"/>
          <w:sz w:val="24"/>
          <w:szCs w:val="24"/>
        </w:rPr>
        <w:t>HCC from patients</w:t>
      </w:r>
      <w:r w:rsidR="00730055" w:rsidRPr="0050576F">
        <w:rPr>
          <w:rFonts w:ascii="Book Antiqua" w:eastAsia="MS Mincho" w:hAnsi="Book Antiqua"/>
          <w:color w:val="000000" w:themeColor="text1"/>
          <w:sz w:val="24"/>
          <w:szCs w:val="24"/>
          <w:lang w:eastAsia="ja-JP"/>
        </w:rPr>
        <w:t xml:space="preserve"> with </w:t>
      </w:r>
      <w:r w:rsidR="00730055" w:rsidRPr="0050576F">
        <w:rPr>
          <w:rFonts w:ascii="Book Antiqua" w:hAnsi="Book Antiqua"/>
          <w:color w:val="000000" w:themeColor="text1"/>
          <w:sz w:val="24"/>
          <w:szCs w:val="24"/>
        </w:rPr>
        <w:t xml:space="preserve">cirrhosis. Hence, a pattern recognition approach, based on sequential feature selection combined with LDA, was adopted to find the most suitable combination of biomarkers. This resulted in the generation of an LDA model for </w:t>
      </w:r>
      <w:r w:rsidR="005D27F6">
        <w:rPr>
          <w:rFonts w:ascii="Book Antiqua" w:hAnsi="Book Antiqua"/>
          <w:color w:val="000000" w:themeColor="text1"/>
          <w:sz w:val="24"/>
          <w:szCs w:val="24"/>
        </w:rPr>
        <w:t xml:space="preserve">the </w:t>
      </w:r>
      <w:r w:rsidR="00730055" w:rsidRPr="0050576F">
        <w:rPr>
          <w:rFonts w:ascii="Book Antiqua" w:hAnsi="Book Antiqua"/>
          <w:color w:val="000000" w:themeColor="text1"/>
          <w:sz w:val="24"/>
          <w:szCs w:val="24"/>
        </w:rPr>
        <w:t>diagnosis of HCC, which included two novel biomarkers, hydroxypurine and proline, highlighting the rapid growth and necrotic characteristics of HCC. As the accuracy, sensitivity, negative predictive value, and AUC</w:t>
      </w:r>
      <w:r w:rsidR="00730055" w:rsidRPr="0050576F">
        <w:rPr>
          <w:rFonts w:ascii="Book Antiqua" w:hAnsi="Book Antiqua"/>
          <w:color w:val="000000" w:themeColor="text1"/>
          <w:sz w:val="24"/>
          <w:szCs w:val="24"/>
          <w:vertAlign w:val="subscript"/>
        </w:rPr>
        <w:t>LDA</w:t>
      </w:r>
      <w:r w:rsidR="00730055" w:rsidRPr="0050576F">
        <w:rPr>
          <w:rFonts w:ascii="Book Antiqua" w:hAnsi="Book Antiqua"/>
          <w:color w:val="000000" w:themeColor="text1"/>
          <w:sz w:val="24"/>
          <w:szCs w:val="24"/>
        </w:rPr>
        <w:t xml:space="preserve"> were higher in the LDA model compared to th</w:t>
      </w:r>
      <w:r w:rsidR="005D27F6">
        <w:rPr>
          <w:rFonts w:ascii="Book Antiqua" w:hAnsi="Book Antiqua"/>
          <w:color w:val="000000" w:themeColor="text1"/>
          <w:sz w:val="24"/>
          <w:szCs w:val="24"/>
        </w:rPr>
        <w:t>ose in the</w:t>
      </w:r>
      <w:r w:rsidR="00730055" w:rsidRPr="0050576F">
        <w:rPr>
          <w:rFonts w:ascii="Book Antiqua" w:hAnsi="Book Antiqua"/>
          <w:color w:val="000000" w:themeColor="text1"/>
          <w:sz w:val="24"/>
          <w:szCs w:val="24"/>
        </w:rPr>
        <w:t xml:space="preserve"> AFP diagnostic model, the relatively better efficiency of the LDA model could ensure proper discrimination of patients </w:t>
      </w:r>
      <w:r w:rsidR="00730055" w:rsidRPr="0050576F">
        <w:rPr>
          <w:rFonts w:ascii="Book Antiqua" w:eastAsia="MS Mincho" w:hAnsi="Book Antiqua"/>
          <w:color w:val="000000" w:themeColor="text1"/>
          <w:sz w:val="24"/>
          <w:szCs w:val="24"/>
          <w:lang w:eastAsia="ja-JP"/>
        </w:rPr>
        <w:t xml:space="preserve">with </w:t>
      </w:r>
      <w:r w:rsidR="00730055" w:rsidRPr="0050576F">
        <w:rPr>
          <w:rFonts w:ascii="Book Antiqua" w:hAnsi="Book Antiqua"/>
          <w:color w:val="000000" w:themeColor="text1"/>
          <w:sz w:val="24"/>
          <w:szCs w:val="24"/>
        </w:rPr>
        <w:t>HCC. However, the specificity and positive predictive value of the LDA model were lower than those in the AFP diagnos</w:t>
      </w:r>
      <w:r w:rsidR="005D27F6">
        <w:rPr>
          <w:rFonts w:ascii="Book Antiqua" w:hAnsi="Book Antiqua"/>
          <w:color w:val="000000" w:themeColor="text1"/>
          <w:sz w:val="24"/>
          <w:szCs w:val="24"/>
        </w:rPr>
        <w:t>tic</w:t>
      </w:r>
      <w:r w:rsidR="00730055" w:rsidRPr="0050576F">
        <w:rPr>
          <w:rFonts w:ascii="Book Antiqua" w:hAnsi="Book Antiqua"/>
          <w:color w:val="000000" w:themeColor="text1"/>
          <w:sz w:val="24"/>
          <w:szCs w:val="24"/>
        </w:rPr>
        <w:t xml:space="preserve"> mode</w:t>
      </w:r>
      <w:r w:rsidR="005D27F6">
        <w:rPr>
          <w:rFonts w:ascii="Book Antiqua" w:hAnsi="Book Antiqua"/>
          <w:color w:val="000000" w:themeColor="text1"/>
          <w:sz w:val="24"/>
          <w:szCs w:val="24"/>
        </w:rPr>
        <w:t>l</w:t>
      </w:r>
      <w:r w:rsidR="00730055" w:rsidRPr="0050576F">
        <w:rPr>
          <w:rFonts w:ascii="Book Antiqua" w:hAnsi="Book Antiqua"/>
          <w:color w:val="000000" w:themeColor="text1"/>
          <w:sz w:val="24"/>
          <w:szCs w:val="24"/>
        </w:rPr>
        <w:t>, suggesting that AFP remains a useful biomarker for discriminating patients</w:t>
      </w:r>
      <w:r w:rsidR="00730055" w:rsidRPr="0050576F">
        <w:rPr>
          <w:rFonts w:ascii="Book Antiqua" w:eastAsia="MS Mincho" w:hAnsi="Book Antiqua"/>
          <w:color w:val="000000" w:themeColor="text1"/>
          <w:sz w:val="24"/>
          <w:szCs w:val="24"/>
          <w:lang w:eastAsia="ja-JP"/>
        </w:rPr>
        <w:t xml:space="preserve"> with </w:t>
      </w:r>
      <w:r w:rsidR="00730055" w:rsidRPr="0050576F">
        <w:rPr>
          <w:rFonts w:ascii="Book Antiqua" w:hAnsi="Book Antiqua"/>
          <w:color w:val="000000" w:themeColor="text1"/>
          <w:sz w:val="24"/>
          <w:szCs w:val="24"/>
        </w:rPr>
        <w:t xml:space="preserve">HCC from </w:t>
      </w:r>
      <w:r w:rsidR="005D27F6">
        <w:rPr>
          <w:rFonts w:ascii="Book Antiqua" w:hAnsi="Book Antiqua"/>
          <w:color w:val="000000" w:themeColor="text1"/>
          <w:sz w:val="24"/>
          <w:szCs w:val="24"/>
        </w:rPr>
        <w:t>those</w:t>
      </w:r>
      <w:r w:rsidR="00730055" w:rsidRPr="0050576F">
        <w:rPr>
          <w:rFonts w:ascii="Book Antiqua" w:eastAsia="MS Mincho" w:hAnsi="Book Antiqua"/>
          <w:color w:val="000000" w:themeColor="text1"/>
          <w:sz w:val="24"/>
          <w:szCs w:val="24"/>
          <w:lang w:eastAsia="ja-JP"/>
        </w:rPr>
        <w:t xml:space="preserve"> with </w:t>
      </w:r>
      <w:r w:rsidR="00730055" w:rsidRPr="0050576F">
        <w:rPr>
          <w:rFonts w:ascii="Book Antiqua" w:hAnsi="Book Antiqua"/>
          <w:color w:val="000000" w:themeColor="text1"/>
          <w:sz w:val="24"/>
          <w:szCs w:val="24"/>
        </w:rPr>
        <w:t>cirrhosis. If AFP levels reach the threshold of ≥</w:t>
      </w:r>
      <w:r w:rsidR="00F677E7"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400 ng/m</w:t>
      </w:r>
      <w:r w:rsidR="00F677E7" w:rsidRPr="0050576F">
        <w:rPr>
          <w:rFonts w:ascii="Book Antiqua" w:hAnsi="Book Antiqua"/>
          <w:color w:val="000000" w:themeColor="text1"/>
          <w:sz w:val="24"/>
          <w:szCs w:val="24"/>
        </w:rPr>
        <w:t>L</w:t>
      </w:r>
      <w:r w:rsidR="00730055" w:rsidRPr="0050576F">
        <w:rPr>
          <w:rFonts w:ascii="Book Antiqua" w:hAnsi="Book Antiqua"/>
          <w:color w:val="000000" w:themeColor="text1"/>
          <w:sz w:val="24"/>
          <w:szCs w:val="24"/>
          <w:vertAlign w:val="superscript"/>
        </w:rPr>
        <w:t>[15]</w:t>
      </w:r>
      <w:r w:rsidR="00730055" w:rsidRPr="0050576F">
        <w:rPr>
          <w:rFonts w:ascii="Book Antiqua" w:hAnsi="Book Antiqua"/>
          <w:color w:val="000000" w:themeColor="text1"/>
          <w:sz w:val="24"/>
          <w:szCs w:val="24"/>
        </w:rPr>
        <w:t xml:space="preserve">, patients are very likely to be diagnosed with HCC. Our results suggest that the two methods are complementary to each other, and the combination of the two approaches may offer better validation of diagnostic results. Further </w:t>
      </w:r>
      <w:r w:rsidR="005D27F6">
        <w:rPr>
          <w:rFonts w:ascii="Book Antiqua" w:hAnsi="Book Antiqua"/>
          <w:color w:val="000000" w:themeColor="text1"/>
          <w:sz w:val="24"/>
          <w:szCs w:val="24"/>
        </w:rPr>
        <w:t>mor</w:t>
      </w:r>
      <w:r w:rsidR="00D45196">
        <w:rPr>
          <w:rFonts w:ascii="Book Antiqua" w:hAnsi="Book Antiqua"/>
          <w:color w:val="000000" w:themeColor="text1"/>
          <w:sz w:val="24"/>
          <w:szCs w:val="24"/>
        </w:rPr>
        <w:t>e,</w:t>
      </w:r>
      <w:r w:rsidR="005D27F6" w:rsidRPr="0050576F">
        <w:rPr>
          <w:rFonts w:ascii="Book Antiqua" w:hAnsi="Book Antiqua"/>
          <w:color w:val="000000" w:themeColor="text1"/>
          <w:sz w:val="24"/>
          <w:szCs w:val="24"/>
        </w:rPr>
        <w:t xml:space="preserve"> </w:t>
      </w:r>
      <w:r w:rsidR="00730055" w:rsidRPr="0050576F">
        <w:rPr>
          <w:rFonts w:ascii="Book Antiqua" w:hAnsi="Book Antiqua"/>
          <w:color w:val="000000" w:themeColor="text1"/>
          <w:sz w:val="24"/>
          <w:szCs w:val="24"/>
        </w:rPr>
        <w:t xml:space="preserve">our findings indicated that pattern recognition analysis was better than </w:t>
      </w:r>
      <w:r w:rsidR="00730055" w:rsidRPr="0050576F">
        <w:rPr>
          <w:rFonts w:ascii="Book Antiqua" w:hAnsi="Book Antiqua"/>
          <w:color w:val="000000" w:themeColor="text1"/>
          <w:sz w:val="24"/>
          <w:szCs w:val="24"/>
        </w:rPr>
        <w:lastRenderedPageBreak/>
        <w:t>conventional multivariate statistical analysis for data processing.</w:t>
      </w:r>
    </w:p>
    <w:p w14:paraId="38A0BC64" w14:textId="087FD0DC" w:rsidR="00EB3C3C" w:rsidRPr="0050576F" w:rsidRDefault="00730055" w:rsidP="0050576F">
      <w:pPr>
        <w:snapToGrid w:val="0"/>
        <w:spacing w:line="360" w:lineRule="auto"/>
        <w:ind w:firstLineChars="100" w:firstLine="240"/>
        <w:rPr>
          <w:rFonts w:ascii="Book Antiqua" w:hAnsi="Book Antiqua"/>
          <w:color w:val="000000" w:themeColor="text1"/>
          <w:sz w:val="24"/>
          <w:szCs w:val="24"/>
        </w:rPr>
      </w:pPr>
      <w:r w:rsidRPr="0050576F">
        <w:rPr>
          <w:rFonts w:ascii="Book Antiqua" w:hAnsi="Book Antiqua"/>
          <w:color w:val="000000" w:themeColor="text1"/>
          <w:sz w:val="24"/>
          <w:szCs w:val="24"/>
        </w:rPr>
        <w:t>In conclusion, competitive access to nutrition and necrosis can be identified in HCC using a metabolomics model based on sequential feature selection combined with LDA, which may be a</w:t>
      </w:r>
      <w:r w:rsidR="006D7117" w:rsidRPr="0050576F">
        <w:rPr>
          <w:rFonts w:ascii="Book Antiqua" w:hAnsi="Book Antiqua"/>
          <w:color w:val="000000" w:themeColor="text1"/>
          <w:sz w:val="24"/>
          <w:szCs w:val="24"/>
        </w:rPr>
        <w:t>n</w:t>
      </w:r>
      <w:r w:rsidRPr="0050576F">
        <w:rPr>
          <w:rFonts w:ascii="Book Antiqua" w:hAnsi="Book Antiqua"/>
          <w:color w:val="000000" w:themeColor="text1"/>
          <w:sz w:val="24"/>
          <w:szCs w:val="24"/>
        </w:rPr>
        <w:t xml:space="preserve"> ideal method for novel biomarker discovery.</w:t>
      </w:r>
    </w:p>
    <w:p w14:paraId="09682099" w14:textId="77777777" w:rsidR="0099760F" w:rsidRPr="0050576F" w:rsidRDefault="0099760F" w:rsidP="0050576F">
      <w:pPr>
        <w:adjustRightInd w:val="0"/>
        <w:snapToGrid w:val="0"/>
        <w:spacing w:line="360" w:lineRule="auto"/>
        <w:rPr>
          <w:rFonts w:ascii="Book Antiqua" w:hAnsi="Book Antiqua"/>
          <w:b/>
          <w:color w:val="000000" w:themeColor="text1"/>
          <w:sz w:val="24"/>
          <w:szCs w:val="24"/>
          <w:u w:val="single"/>
        </w:rPr>
      </w:pPr>
      <w:bookmarkStart w:id="62" w:name="_Hlk27569419"/>
      <w:bookmarkStart w:id="63" w:name="_Hlk27141645"/>
    </w:p>
    <w:p w14:paraId="7AB74001" w14:textId="77777777" w:rsidR="00E75DB7" w:rsidRPr="0050576F" w:rsidRDefault="00E75DB7" w:rsidP="0050576F">
      <w:pPr>
        <w:widowControl/>
        <w:snapToGrid w:val="0"/>
        <w:spacing w:line="360" w:lineRule="auto"/>
        <w:rPr>
          <w:rFonts w:ascii="Book Antiqua" w:hAnsi="Book Antiqua"/>
          <w:b/>
          <w:color w:val="000000" w:themeColor="text1"/>
          <w:kern w:val="0"/>
          <w:sz w:val="24"/>
          <w:szCs w:val="24"/>
          <w:u w:val="single"/>
        </w:rPr>
      </w:pPr>
      <w:r w:rsidRPr="0050576F">
        <w:rPr>
          <w:rFonts w:ascii="Book Antiqua" w:hAnsi="Book Antiqua"/>
          <w:b/>
          <w:color w:val="000000" w:themeColor="text1"/>
          <w:kern w:val="0"/>
          <w:sz w:val="24"/>
          <w:szCs w:val="24"/>
          <w:u w:val="single"/>
        </w:rPr>
        <w:t>ARTICLE HIGHLIGHTS</w:t>
      </w:r>
    </w:p>
    <w:p w14:paraId="631F6FEE"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background</w:t>
      </w:r>
    </w:p>
    <w:bookmarkEnd w:id="62"/>
    <w:p w14:paraId="4815EA2F" w14:textId="7909BF01" w:rsidR="00E75DB7" w:rsidRPr="0050576F" w:rsidRDefault="00E75DB7"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Early diagnosis of </w:t>
      </w:r>
      <w:r w:rsidR="005D27F6">
        <w:rPr>
          <w:rFonts w:ascii="Book Antiqua" w:hAnsi="Book Antiqua"/>
          <w:color w:val="000000" w:themeColor="text1"/>
          <w:sz w:val="24"/>
          <w:szCs w:val="24"/>
        </w:rPr>
        <w:t>h</w:t>
      </w:r>
      <w:r w:rsidRPr="0050576F">
        <w:rPr>
          <w:rFonts w:ascii="Book Antiqua" w:hAnsi="Book Antiqua"/>
          <w:color w:val="000000" w:themeColor="text1"/>
          <w:sz w:val="24"/>
          <w:szCs w:val="24"/>
        </w:rPr>
        <w:t>epatocellular carcinoma (</w:t>
      </w:r>
      <w:bookmarkStart w:id="64" w:name="OLE_LINK419"/>
      <w:bookmarkStart w:id="65" w:name="OLE_LINK420"/>
      <w:r w:rsidRPr="0050576F">
        <w:rPr>
          <w:rFonts w:ascii="Book Antiqua" w:hAnsi="Book Antiqua"/>
          <w:color w:val="000000" w:themeColor="text1"/>
          <w:sz w:val="24"/>
          <w:szCs w:val="24"/>
        </w:rPr>
        <w:t>HCC</w:t>
      </w:r>
      <w:bookmarkEnd w:id="64"/>
      <w:bookmarkEnd w:id="65"/>
      <w:r w:rsidRPr="0050576F">
        <w:rPr>
          <w:rFonts w:ascii="Book Antiqua" w:hAnsi="Book Antiqua"/>
          <w:color w:val="000000" w:themeColor="text1"/>
          <w:sz w:val="24"/>
          <w:szCs w:val="24"/>
        </w:rPr>
        <w:t xml:space="preserve">) offers patients a better chance for long-term survival. The </w:t>
      </w:r>
      <w:r w:rsidR="005D27F6">
        <w:rPr>
          <w:rFonts w:ascii="Book Antiqua" w:hAnsi="Book Antiqua"/>
          <w:color w:val="000000" w:themeColor="text1"/>
          <w:sz w:val="24"/>
          <w:szCs w:val="24"/>
        </w:rPr>
        <w:t>current</w:t>
      </w:r>
      <w:r w:rsidRPr="0050576F">
        <w:rPr>
          <w:rFonts w:ascii="Book Antiqua" w:hAnsi="Book Antiqua"/>
          <w:color w:val="000000" w:themeColor="text1"/>
          <w:sz w:val="24"/>
          <w:szCs w:val="24"/>
        </w:rPr>
        <w:t xml:space="preserve"> biomarkers are far from satisfactory </w:t>
      </w:r>
      <w:r w:rsidR="005D27F6">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they lack sensitivity and specificity. The emergence of metabolomics has </w:t>
      </w:r>
      <w:r w:rsidR="005D27F6">
        <w:rPr>
          <w:rFonts w:ascii="Book Antiqua" w:hAnsi="Book Antiqua"/>
          <w:color w:val="000000" w:themeColor="text1"/>
          <w:sz w:val="24"/>
          <w:szCs w:val="24"/>
        </w:rPr>
        <w:t>provided</w:t>
      </w:r>
      <w:r w:rsidRPr="0050576F">
        <w:rPr>
          <w:rFonts w:ascii="Book Antiqua" w:hAnsi="Book Antiqua"/>
          <w:color w:val="000000" w:themeColor="text1"/>
          <w:sz w:val="24"/>
          <w:szCs w:val="24"/>
        </w:rPr>
        <w:t xml:space="preserve"> a powerful tool for discovering novel biomarkers. In previous studies, we established a pattern recognition metabolomics method based on sequential feature selection combined with linear discriminant analysis </w:t>
      </w:r>
      <w:r w:rsidR="005D27F6">
        <w:rPr>
          <w:rFonts w:ascii="Book Antiqua" w:hAnsi="Book Antiqua"/>
          <w:color w:val="000000" w:themeColor="text1"/>
          <w:sz w:val="24"/>
          <w:szCs w:val="24"/>
        </w:rPr>
        <w:t>for</w:t>
      </w:r>
      <w:r w:rsidRPr="0050576F">
        <w:rPr>
          <w:rFonts w:ascii="Book Antiqua" w:hAnsi="Book Antiqua"/>
          <w:color w:val="000000" w:themeColor="text1"/>
          <w:sz w:val="24"/>
          <w:szCs w:val="24"/>
        </w:rPr>
        <w:t> differential diagnos</w:t>
      </w:r>
      <w:r w:rsidR="005D27F6">
        <w:rPr>
          <w:rFonts w:ascii="Book Antiqua" w:hAnsi="Book Antiqua"/>
          <w:color w:val="000000" w:themeColor="text1"/>
          <w:sz w:val="24"/>
          <w:szCs w:val="24"/>
        </w:rPr>
        <w:t>is</w:t>
      </w:r>
      <w:r w:rsidRPr="0050576F">
        <w:rPr>
          <w:rFonts w:ascii="Book Antiqua" w:hAnsi="Book Antiqua"/>
          <w:color w:val="000000" w:themeColor="text1"/>
          <w:sz w:val="24"/>
          <w:szCs w:val="24"/>
        </w:rPr>
        <w:t>.</w:t>
      </w:r>
    </w:p>
    <w:p w14:paraId="0BC5D60F"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p>
    <w:p w14:paraId="3FB1ADC7"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motivation</w:t>
      </w:r>
    </w:p>
    <w:p w14:paraId="1E648B34" w14:textId="05F17CD5" w:rsidR="00E75DB7" w:rsidRPr="0050576F" w:rsidRDefault="00E75DB7"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There is an urgent and unmet desire for novel screening methods and new biomarkers for </w:t>
      </w:r>
      <w:r w:rsidR="005D27F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diagnosis of HCC. Whether the pattern recognition method mentioned above could be used to establish a metabolomics model for </w:t>
      </w:r>
      <w:r w:rsidR="005D27F6">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diagnosis of HCC is still unknown.</w:t>
      </w:r>
    </w:p>
    <w:p w14:paraId="123D108D" w14:textId="77777777"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p>
    <w:p w14:paraId="4BB0AFB6"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objectives</w:t>
      </w:r>
    </w:p>
    <w:p w14:paraId="5451C5B0" w14:textId="10792B2F"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We </w:t>
      </w:r>
      <w:r w:rsidR="005D27F6">
        <w:rPr>
          <w:rFonts w:ascii="Book Antiqua" w:hAnsi="Book Antiqua"/>
          <w:color w:val="000000" w:themeColor="text1"/>
          <w:sz w:val="24"/>
          <w:szCs w:val="24"/>
        </w:rPr>
        <w:t>aimed</w:t>
      </w:r>
      <w:r w:rsidRPr="0050576F">
        <w:rPr>
          <w:rFonts w:ascii="Book Antiqua" w:hAnsi="Book Antiqua"/>
          <w:color w:val="000000" w:themeColor="text1"/>
          <w:sz w:val="24"/>
          <w:szCs w:val="24"/>
        </w:rPr>
        <w:t xml:space="preserve"> to use the pattern recognition method to develop a metabolomics diagnos</w:t>
      </w:r>
      <w:r w:rsidR="005D27F6">
        <w:rPr>
          <w:rFonts w:ascii="Book Antiqua" w:hAnsi="Book Antiqua"/>
          <w:color w:val="000000" w:themeColor="text1"/>
          <w:sz w:val="24"/>
          <w:szCs w:val="24"/>
        </w:rPr>
        <w:t>tic</w:t>
      </w:r>
      <w:r w:rsidRPr="0050576F">
        <w:rPr>
          <w:rFonts w:ascii="Book Antiqua" w:hAnsi="Book Antiqua"/>
          <w:color w:val="000000" w:themeColor="text1"/>
          <w:sz w:val="24"/>
          <w:szCs w:val="24"/>
        </w:rPr>
        <w:t xml:space="preserve"> model and identify new biomarkers for HCC screening.</w:t>
      </w:r>
    </w:p>
    <w:p w14:paraId="6019D258" w14:textId="77777777"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p>
    <w:p w14:paraId="59A758E7"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methods</w:t>
      </w:r>
    </w:p>
    <w:p w14:paraId="040A7515" w14:textId="03453585" w:rsidR="00E75DB7" w:rsidRPr="0050576F" w:rsidRDefault="00E75DB7"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We used ultra-performance liquid chromatography-mass spectroscopy to characterize the serum metabolome of </w:t>
      </w:r>
      <w:r w:rsidR="00DC2FC8" w:rsidRPr="0050576F">
        <w:rPr>
          <w:rFonts w:ascii="Book Antiqua" w:hAnsi="Book Antiqua"/>
          <w:color w:val="000000" w:themeColor="text1"/>
          <w:sz w:val="24"/>
          <w:szCs w:val="24"/>
        </w:rPr>
        <w:t>HCC</w:t>
      </w:r>
      <w:r w:rsidRPr="0050576F">
        <w:rPr>
          <w:rFonts w:ascii="Book Antiqua" w:hAnsi="Book Antiqua"/>
          <w:color w:val="000000" w:themeColor="text1"/>
          <w:sz w:val="24"/>
          <w:szCs w:val="24"/>
        </w:rPr>
        <w:t xml:space="preserve"> and cirrhosis</w:t>
      </w:r>
      <w:r w:rsidR="005D27F6">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patients. </w:t>
      </w:r>
      <w:r w:rsidR="005D27F6">
        <w:rPr>
          <w:rFonts w:ascii="Book Antiqua" w:hAnsi="Book Antiqua"/>
          <w:color w:val="000000" w:themeColor="text1"/>
          <w:sz w:val="24"/>
          <w:szCs w:val="24"/>
        </w:rPr>
        <w:t>We</w:t>
      </w:r>
      <w:r w:rsidRPr="0050576F">
        <w:rPr>
          <w:rFonts w:ascii="Book Antiqua" w:hAnsi="Book Antiqua"/>
          <w:color w:val="000000" w:themeColor="text1"/>
          <w:sz w:val="24"/>
          <w:szCs w:val="24"/>
        </w:rPr>
        <w:t xml:space="preserve"> then process</w:t>
      </w:r>
      <w:r w:rsidR="005D27F6">
        <w:rPr>
          <w:rFonts w:ascii="Book Antiqua" w:hAnsi="Book Antiqua"/>
          <w:color w:val="000000" w:themeColor="text1"/>
          <w:sz w:val="24"/>
          <w:szCs w:val="24"/>
        </w:rPr>
        <w:t>ed</w:t>
      </w:r>
      <w:r w:rsidRPr="0050576F">
        <w:rPr>
          <w:rFonts w:ascii="Book Antiqua" w:hAnsi="Book Antiqua"/>
          <w:color w:val="000000" w:themeColor="text1"/>
          <w:sz w:val="24"/>
          <w:szCs w:val="24"/>
        </w:rPr>
        <w:t xml:space="preserve"> the multivariate data using sequential feature selection combined with linear discriminant analysis.</w:t>
      </w:r>
    </w:p>
    <w:p w14:paraId="203A4DF8" w14:textId="77777777"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p>
    <w:p w14:paraId="77CDE46E"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results</w:t>
      </w:r>
    </w:p>
    <w:p w14:paraId="30C138C9" w14:textId="4195082D" w:rsidR="00E75DB7" w:rsidRPr="0050576F" w:rsidRDefault="00E75DB7"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The concentrations of most metabolites, including proline, were lower in patients with </w:t>
      </w:r>
      <w:r w:rsidR="00465A95">
        <w:rPr>
          <w:rFonts w:ascii="Book Antiqua" w:hAnsi="Book Antiqua"/>
          <w:color w:val="000000" w:themeColor="text1"/>
          <w:sz w:val="24"/>
          <w:szCs w:val="24"/>
        </w:rPr>
        <w:t>HCC</w:t>
      </w:r>
      <w:r w:rsidRPr="0050576F">
        <w:rPr>
          <w:rFonts w:ascii="Book Antiqua" w:hAnsi="Book Antiqua"/>
          <w:color w:val="000000" w:themeColor="text1"/>
          <w:sz w:val="24"/>
          <w:szCs w:val="24"/>
        </w:rPr>
        <w:t>,</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whereas hydroxypurine levels were higher in the</w:t>
      </w:r>
      <w:r w:rsidR="00465A95">
        <w:rPr>
          <w:rFonts w:ascii="Book Antiqua" w:hAnsi="Book Antiqua"/>
          <w:color w:val="000000" w:themeColor="text1"/>
          <w:sz w:val="24"/>
          <w:szCs w:val="24"/>
        </w:rPr>
        <w:t>se patients</w:t>
      </w:r>
      <w:r w:rsidRPr="0050576F">
        <w:rPr>
          <w:rFonts w:ascii="Book Antiqua" w:hAnsi="Book Antiqua"/>
          <w:color w:val="000000" w:themeColor="text1"/>
          <w:sz w:val="24"/>
          <w:szCs w:val="24"/>
        </w:rPr>
        <w:t xml:space="preserve">. </w:t>
      </w:r>
      <w:r w:rsidR="00465A95">
        <w:rPr>
          <w:rFonts w:ascii="Book Antiqua" w:hAnsi="Book Antiqua"/>
          <w:color w:val="000000" w:themeColor="text1"/>
          <w:sz w:val="24"/>
          <w:szCs w:val="24"/>
        </w:rPr>
        <w:t>As</w:t>
      </w:r>
      <w:r w:rsidRPr="0050576F">
        <w:rPr>
          <w:rFonts w:ascii="Book Antiqua" w:hAnsi="Book Antiqua"/>
          <w:color w:val="000000" w:themeColor="text1"/>
          <w:sz w:val="24"/>
          <w:szCs w:val="24"/>
        </w:rPr>
        <w:t xml:space="preserve"> ordinary analysis models failed to discriminate hepatocellular carcinoma from cirrhosis, pattern recognition analysis was used to establish a pattern recognition model that included hydroxypurine and proline. The leave-one-out cross-validation accuracy and </w:t>
      </w:r>
      <w:r w:rsidR="00F677E7" w:rsidRPr="0050576F">
        <w:rPr>
          <w:rFonts w:ascii="Book Antiqua" w:hAnsi="Book Antiqua"/>
          <w:color w:val="000000" w:themeColor="text1"/>
          <w:sz w:val="24"/>
          <w:szCs w:val="24"/>
        </w:rPr>
        <w:t>area under curve (AUC)</w:t>
      </w:r>
      <w:r w:rsidR="006D7117" w:rsidRPr="0050576F">
        <w:rPr>
          <w:rFonts w:ascii="Book Antiqua" w:hAnsi="Book Antiqua"/>
          <w:color w:val="000000" w:themeColor="text1"/>
          <w:sz w:val="24"/>
          <w:szCs w:val="24"/>
        </w:rPr>
        <w:t xml:space="preserve"> were 95.00% and 0.90 (</w:t>
      </w:r>
      <w:r w:rsidRPr="0050576F">
        <w:rPr>
          <w:rFonts w:ascii="Book Antiqua" w:hAnsi="Book Antiqua"/>
          <w:color w:val="000000" w:themeColor="text1"/>
          <w:sz w:val="24"/>
          <w:szCs w:val="24"/>
        </w:rPr>
        <w:t>95% confidence interval</w:t>
      </w:r>
      <w:r w:rsidR="006D7117" w:rsidRPr="0050576F">
        <w:rPr>
          <w:rFonts w:ascii="Book Antiqua" w:hAnsi="Book Antiqua"/>
          <w:color w:val="000000" w:themeColor="text1"/>
          <w:sz w:val="24"/>
          <w:szCs w:val="24"/>
        </w:rPr>
        <w:t>: 0.81–0.99)</w:t>
      </w:r>
      <w:r w:rsidRPr="0050576F">
        <w:rPr>
          <w:rFonts w:ascii="Book Antiqua" w:hAnsi="Book Antiqua"/>
          <w:color w:val="000000" w:themeColor="text1"/>
          <w:sz w:val="24"/>
          <w:szCs w:val="24"/>
        </w:rPr>
        <w:t xml:space="preserve"> for the training set, respect</w:t>
      </w:r>
      <w:r w:rsidR="006D7117" w:rsidRPr="0050576F">
        <w:rPr>
          <w:rFonts w:ascii="Book Antiqua" w:hAnsi="Book Antiqua"/>
          <w:color w:val="000000" w:themeColor="text1"/>
          <w:sz w:val="24"/>
          <w:szCs w:val="24"/>
        </w:rPr>
        <w:t>ively, and 78.95% and 0.84 (95% confidence interval</w:t>
      </w:r>
      <w:r w:rsidRPr="0050576F">
        <w:rPr>
          <w:rFonts w:ascii="Book Antiqua" w:hAnsi="Book Antiqua"/>
          <w:color w:val="000000" w:themeColor="text1"/>
          <w:sz w:val="24"/>
          <w:szCs w:val="24"/>
        </w:rPr>
        <w:t xml:space="preserve">: 0.67–1.00) for the validation set, respectively. </w:t>
      </w:r>
      <w:r w:rsidR="00465A95">
        <w:rPr>
          <w:rFonts w:ascii="Book Antiqua" w:hAnsi="Book Antiqua"/>
          <w:color w:val="000000" w:themeColor="text1"/>
          <w:sz w:val="24"/>
          <w:szCs w:val="24"/>
        </w:rPr>
        <w:t xml:space="preserve">The </w:t>
      </w:r>
      <w:r w:rsidRPr="0050576F">
        <w:rPr>
          <w:rFonts w:ascii="Book Antiqua" w:hAnsi="Book Antiqua"/>
          <w:i/>
          <w:color w:val="000000" w:themeColor="text1"/>
          <w:sz w:val="24"/>
          <w:szCs w:val="24"/>
        </w:rPr>
        <w:t>Z</w:t>
      </w:r>
      <w:r w:rsidRPr="0050576F">
        <w:rPr>
          <w:rFonts w:ascii="Book Antiqua" w:hAnsi="Book Antiqua"/>
          <w:color w:val="000000" w:themeColor="text1"/>
          <w:sz w:val="24"/>
          <w:szCs w:val="24"/>
        </w:rPr>
        <w:t xml:space="preserve"> test revealed that the </w:t>
      </w:r>
      <w:bookmarkStart w:id="66" w:name="OLE_LINK425"/>
      <w:bookmarkStart w:id="67" w:name="OLE_LINK426"/>
      <w:r w:rsidR="00DC2FC8" w:rsidRPr="0050576F">
        <w:rPr>
          <w:rFonts w:ascii="Book Antiqua" w:hAnsi="Book Antiqua"/>
          <w:color w:val="000000" w:themeColor="text1"/>
          <w:sz w:val="24"/>
          <w:szCs w:val="24"/>
        </w:rPr>
        <w:t>AUC</w:t>
      </w:r>
      <w:r w:rsidRPr="0050576F">
        <w:rPr>
          <w:rFonts w:ascii="Book Antiqua" w:hAnsi="Book Antiqua"/>
          <w:color w:val="000000" w:themeColor="text1"/>
          <w:sz w:val="24"/>
          <w:szCs w:val="24"/>
        </w:rPr>
        <w:t xml:space="preserve"> </w:t>
      </w:r>
      <w:bookmarkEnd w:id="66"/>
      <w:bookmarkEnd w:id="67"/>
      <w:r w:rsidRPr="0050576F">
        <w:rPr>
          <w:rFonts w:ascii="Book Antiqua" w:hAnsi="Book Antiqua"/>
          <w:color w:val="000000" w:themeColor="text1"/>
          <w:sz w:val="24"/>
          <w:szCs w:val="24"/>
        </w:rPr>
        <w:t xml:space="preserve">of the model was significantly higher than </w:t>
      </w:r>
      <w:r w:rsidR="00465A95">
        <w:rPr>
          <w:rFonts w:ascii="Book Antiqua" w:hAnsi="Book Antiqua"/>
          <w:color w:val="000000" w:themeColor="text1"/>
          <w:sz w:val="24"/>
          <w:szCs w:val="24"/>
        </w:rPr>
        <w:t xml:space="preserve">the </w:t>
      </w:r>
      <w:r w:rsidR="00DC2FC8" w:rsidRPr="0050576F">
        <w:rPr>
          <w:rFonts w:ascii="Book Antiqua" w:hAnsi="Book Antiqua"/>
          <w:color w:val="000000" w:themeColor="text1"/>
          <w:sz w:val="24"/>
          <w:szCs w:val="24"/>
        </w:rPr>
        <w:t xml:space="preserve">AUC </w:t>
      </w:r>
      <w:r w:rsidRPr="0050576F">
        <w:rPr>
          <w:rFonts w:ascii="Book Antiqua" w:hAnsi="Book Antiqua"/>
          <w:color w:val="000000" w:themeColor="text1"/>
          <w:sz w:val="24"/>
          <w:szCs w:val="24"/>
        </w:rPr>
        <w:t>(</w:t>
      </w:r>
      <w:r w:rsidRPr="0050576F">
        <w:rPr>
          <w:rFonts w:ascii="Book Antiqua" w:hAnsi="Book Antiqua"/>
          <w:i/>
          <w:color w:val="000000" w:themeColor="text1"/>
          <w:sz w:val="24"/>
          <w:szCs w:val="24"/>
        </w:rPr>
        <w:t xml:space="preserve">P </w:t>
      </w:r>
      <w:r w:rsidRPr="0050576F">
        <w:rPr>
          <w:rFonts w:ascii="Book Antiqua" w:hAnsi="Book Antiqua"/>
          <w:color w:val="000000" w:themeColor="text1"/>
          <w:sz w:val="24"/>
          <w:szCs w:val="24"/>
        </w:rPr>
        <w:t>&lt;</w:t>
      </w:r>
      <w:r w:rsidR="00F677E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in both the training and validation sets.</w:t>
      </w:r>
    </w:p>
    <w:p w14:paraId="7FAC555A" w14:textId="77777777"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p>
    <w:p w14:paraId="115351D6"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conclusions</w:t>
      </w:r>
    </w:p>
    <w:p w14:paraId="44774733" w14:textId="54323FB0" w:rsidR="00E75DB7" w:rsidRPr="0050576F" w:rsidRDefault="00E75DB7"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Hydroxypurine and proline might be novel biomarkers for </w:t>
      </w:r>
      <w:r w:rsidR="00465A95">
        <w:rPr>
          <w:rFonts w:ascii="Book Antiqua" w:hAnsi="Book Antiqua"/>
          <w:color w:val="000000" w:themeColor="text1"/>
          <w:sz w:val="24"/>
          <w:szCs w:val="24"/>
        </w:rPr>
        <w:t>HCC</w:t>
      </w:r>
      <w:r w:rsidRPr="0050576F">
        <w:rPr>
          <w:rFonts w:ascii="Book Antiqua" w:hAnsi="Book Antiqua"/>
          <w:color w:val="000000" w:themeColor="text1"/>
          <w:sz w:val="24"/>
          <w:szCs w:val="24"/>
        </w:rPr>
        <w:t>, and the disease could be diagnosed by the metabolomics model based on pattern recognition.</w:t>
      </w:r>
    </w:p>
    <w:p w14:paraId="2EF33BCE" w14:textId="77777777"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p>
    <w:p w14:paraId="444A243A" w14:textId="77777777" w:rsidR="00E75DB7" w:rsidRPr="0050576F" w:rsidRDefault="00E75DB7" w:rsidP="0050576F">
      <w:pPr>
        <w:widowControl/>
        <w:adjustRightInd w:val="0"/>
        <w:snapToGrid w:val="0"/>
        <w:spacing w:line="360" w:lineRule="auto"/>
        <w:rPr>
          <w:rFonts w:ascii="Book Antiqua" w:hAnsi="Book Antiqua"/>
          <w:b/>
          <w:i/>
          <w:color w:val="000000" w:themeColor="text1"/>
          <w:sz w:val="24"/>
          <w:szCs w:val="24"/>
        </w:rPr>
      </w:pPr>
      <w:r w:rsidRPr="0050576F">
        <w:rPr>
          <w:rFonts w:ascii="Book Antiqua" w:hAnsi="Book Antiqua"/>
          <w:b/>
          <w:i/>
          <w:color w:val="000000" w:themeColor="text1"/>
          <w:sz w:val="24"/>
          <w:szCs w:val="24"/>
        </w:rPr>
        <w:t>Research perspectives</w:t>
      </w:r>
    </w:p>
    <w:bookmarkEnd w:id="63"/>
    <w:p w14:paraId="6B5CAF77" w14:textId="18A91F1F" w:rsidR="00E75DB7" w:rsidRPr="0050576F" w:rsidRDefault="00E75DB7" w:rsidP="0050576F">
      <w:pPr>
        <w:widowControl/>
        <w:adjustRightInd w:val="0"/>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This study </w:t>
      </w:r>
      <w:r w:rsidR="00465A95">
        <w:rPr>
          <w:rFonts w:ascii="Book Antiqua" w:hAnsi="Book Antiqua"/>
          <w:color w:val="000000" w:themeColor="text1"/>
          <w:sz w:val="24"/>
          <w:szCs w:val="24"/>
        </w:rPr>
        <w:t>determined</w:t>
      </w:r>
      <w:r w:rsidRPr="0050576F">
        <w:rPr>
          <w:rFonts w:ascii="Book Antiqua" w:hAnsi="Book Antiqua"/>
          <w:color w:val="000000" w:themeColor="text1"/>
          <w:sz w:val="24"/>
          <w:szCs w:val="24"/>
        </w:rPr>
        <w:t xml:space="preserve"> the applicability of the pattern recognition metabolomics </w:t>
      </w:r>
      <w:r w:rsidR="00DC2FC8" w:rsidRPr="0050576F">
        <w:rPr>
          <w:rFonts w:ascii="Book Antiqua" w:hAnsi="Book Antiqua"/>
          <w:color w:val="000000" w:themeColor="text1"/>
          <w:sz w:val="24"/>
          <w:szCs w:val="24"/>
        </w:rPr>
        <w:t xml:space="preserve">model for </w:t>
      </w:r>
      <w:r w:rsidR="00465A95">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diagnosis of HCC. </w:t>
      </w:r>
      <w:r w:rsidR="00465A95">
        <w:rPr>
          <w:rFonts w:ascii="Book Antiqua" w:hAnsi="Book Antiqua"/>
          <w:color w:val="000000" w:themeColor="text1"/>
          <w:sz w:val="24"/>
          <w:szCs w:val="24"/>
        </w:rPr>
        <w:t>T</w:t>
      </w:r>
      <w:r w:rsidRPr="0050576F">
        <w:rPr>
          <w:rFonts w:ascii="Book Antiqua" w:hAnsi="Book Antiqua"/>
          <w:color w:val="000000" w:themeColor="text1"/>
          <w:sz w:val="24"/>
          <w:szCs w:val="24"/>
        </w:rPr>
        <w:t>wo novel biomarkers</w:t>
      </w:r>
      <w:r w:rsidR="00465A95">
        <w:rPr>
          <w:rFonts w:ascii="Book Antiqua" w:hAnsi="Book Antiqua"/>
          <w:color w:val="000000" w:themeColor="text1"/>
          <w:sz w:val="24"/>
          <w:szCs w:val="24"/>
        </w:rPr>
        <w:t xml:space="preserve"> </w:t>
      </w:r>
      <w:r w:rsidRPr="0050576F">
        <w:rPr>
          <w:rFonts w:ascii="Book Antiqua" w:hAnsi="Book Antiqua"/>
          <w:color w:val="000000" w:themeColor="text1"/>
          <w:sz w:val="24"/>
          <w:szCs w:val="24"/>
        </w:rPr>
        <w:t>for HCC</w:t>
      </w:r>
      <w:r w:rsidR="00465A95">
        <w:rPr>
          <w:rFonts w:ascii="Book Antiqua" w:hAnsi="Book Antiqua"/>
          <w:color w:val="000000" w:themeColor="text1"/>
          <w:sz w:val="24"/>
          <w:szCs w:val="24"/>
        </w:rPr>
        <w:t xml:space="preserve"> were also found</w:t>
      </w:r>
      <w:r w:rsidRPr="0050576F">
        <w:rPr>
          <w:rFonts w:ascii="Book Antiqua" w:hAnsi="Book Antiqua"/>
          <w:color w:val="000000" w:themeColor="text1"/>
          <w:sz w:val="24"/>
          <w:szCs w:val="24"/>
        </w:rPr>
        <w:t xml:space="preserve">. Future studies should verify the validity of the model and the applicability of </w:t>
      </w:r>
      <w:r w:rsidR="00465A95">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biomarkers </w:t>
      </w:r>
      <w:r w:rsidR="00465A95">
        <w:rPr>
          <w:rFonts w:ascii="Book Antiqua" w:hAnsi="Book Antiqua"/>
          <w:color w:val="000000" w:themeColor="text1"/>
          <w:sz w:val="24"/>
          <w:szCs w:val="24"/>
        </w:rPr>
        <w:t>in the</w:t>
      </w:r>
      <w:r w:rsidRPr="0050576F">
        <w:rPr>
          <w:rFonts w:ascii="Book Antiqua" w:hAnsi="Book Antiqua"/>
          <w:color w:val="000000" w:themeColor="text1"/>
          <w:sz w:val="24"/>
          <w:szCs w:val="24"/>
        </w:rPr>
        <w:t xml:space="preserve"> early diagnosis of patients</w:t>
      </w:r>
      <w:r w:rsidR="00465A95">
        <w:rPr>
          <w:rFonts w:ascii="Book Antiqua" w:hAnsi="Book Antiqua"/>
          <w:color w:val="000000" w:themeColor="text1"/>
          <w:sz w:val="24"/>
          <w:szCs w:val="24"/>
        </w:rPr>
        <w:t xml:space="preserve"> with HCC</w:t>
      </w:r>
      <w:r w:rsidRPr="0050576F">
        <w:rPr>
          <w:rFonts w:ascii="Book Antiqua" w:hAnsi="Book Antiqua"/>
          <w:color w:val="000000" w:themeColor="text1"/>
          <w:sz w:val="24"/>
          <w:szCs w:val="24"/>
        </w:rPr>
        <w:t>.</w:t>
      </w:r>
    </w:p>
    <w:p w14:paraId="6C55FAD6" w14:textId="77777777" w:rsidR="000C00B0" w:rsidRPr="0050576F" w:rsidRDefault="000C00B0" w:rsidP="0050576F">
      <w:pPr>
        <w:widowControl/>
        <w:adjustRightInd w:val="0"/>
        <w:snapToGrid w:val="0"/>
        <w:spacing w:line="360" w:lineRule="auto"/>
        <w:rPr>
          <w:rFonts w:ascii="Book Antiqua" w:hAnsi="Book Antiqua"/>
          <w:color w:val="000000" w:themeColor="text1"/>
          <w:sz w:val="24"/>
          <w:szCs w:val="24"/>
        </w:rPr>
      </w:pPr>
    </w:p>
    <w:p w14:paraId="5BA2205C" w14:textId="5BBEB458" w:rsidR="00EB3C3C" w:rsidRPr="0050576F" w:rsidRDefault="000C00B0" w:rsidP="00B15A6B">
      <w:pPr>
        <w:autoSpaceDE w:val="0"/>
        <w:autoSpaceDN w:val="0"/>
        <w:adjustRightInd w:val="0"/>
        <w:snapToGrid w:val="0"/>
        <w:spacing w:line="360" w:lineRule="auto"/>
        <w:rPr>
          <w:rFonts w:ascii="Book Antiqua" w:hAnsi="Book Antiqua" w:cstheme="minorBidi"/>
          <w:sz w:val="24"/>
          <w:szCs w:val="24"/>
        </w:rPr>
      </w:pPr>
      <w:bookmarkStart w:id="68" w:name="OLE_LINK427"/>
      <w:bookmarkStart w:id="69" w:name="OLE_LINK428"/>
      <w:r w:rsidRPr="0050576F">
        <w:rPr>
          <w:rFonts w:ascii="Book Antiqua" w:hAnsi="Book Antiqua" w:cstheme="minorBidi"/>
          <w:b/>
          <w:sz w:val="24"/>
          <w:szCs w:val="24"/>
        </w:rPr>
        <w:t>REFERENCES</w:t>
      </w:r>
      <w:bookmarkEnd w:id="68"/>
      <w:bookmarkEnd w:id="69"/>
    </w:p>
    <w:p w14:paraId="2159613D" w14:textId="2241436A"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 </w:t>
      </w:r>
      <w:r w:rsidRPr="0050576F">
        <w:rPr>
          <w:rFonts w:ascii="Book Antiqua" w:hAnsi="Book Antiqua"/>
          <w:b/>
          <w:color w:val="000000" w:themeColor="text1"/>
          <w:sz w:val="24"/>
          <w:szCs w:val="24"/>
        </w:rPr>
        <w:t xml:space="preserve">Global Burden </w:t>
      </w:r>
      <w:r w:rsidR="006D7117" w:rsidRPr="0050576F">
        <w:rPr>
          <w:rFonts w:ascii="Book Antiqua" w:hAnsi="Book Antiqua"/>
          <w:b/>
          <w:color w:val="000000" w:themeColor="text1"/>
          <w:sz w:val="24"/>
          <w:szCs w:val="24"/>
        </w:rPr>
        <w:t>of Disease Cancer Collaboration</w:t>
      </w:r>
      <w:r w:rsidRPr="0050576F">
        <w:rPr>
          <w:rFonts w:ascii="Book Antiqua" w:hAnsi="Book Antiqua"/>
          <w:color w:val="000000" w:themeColor="text1"/>
          <w:sz w:val="24"/>
          <w:szCs w:val="24"/>
        </w:rPr>
        <w:t xml:space="preserve">, Fitzmaurice C, Dicker D, Pain A, Hamavid H, Moradi-Lakeh M, MacIntyre MF, Allen C, Hansen G, Woodbrook R, Wolfe C, Hamadeh RR, Moore A, Werdecker A, Gessner BD, Te Ao B, McMahon B, Karimkhani C, Yu C, Cooke GS, Schwebel DC, </w:t>
      </w:r>
      <w:r w:rsidRPr="0050576F">
        <w:rPr>
          <w:rFonts w:ascii="Book Antiqua" w:hAnsi="Book Antiqua"/>
          <w:color w:val="000000" w:themeColor="text1"/>
          <w:sz w:val="24"/>
          <w:szCs w:val="24"/>
        </w:rPr>
        <w:lastRenderedPageBreak/>
        <w:t xml:space="preserve">Carpenter DO, Pereira DM, Nash D, Kazi DS, De Leo D, Plass D, Ukwaja KN, Thurston GD, Yun Jin K, Simard EP, Mills E, Park EK, Catalá-López F, deVeber G, Gotay C, Khan G, Hosgood HD 3rd, Santos IS, Leasher JL, Singh J, Leigh J, Jonas JB, Sanabria J, Beardsley J, Jacobsen KH, Takahashi K, Franklin RC, Ronfani L, Montico M, Naldi L, Tonelli M, Geleijnse J, Petzold M, Shrime MG, Younis M, Yonemoto N, Breitborde N, Yip P, Pourmalek F, Lotufo PA, Esteghamati A, Hankey GJ, Ali R, Lunevicius R, Malekzadeh R, Dellavalle R, Weintraub R, Lucas R, Hay R, Rojas-Rueda D, Westerman R, Sepanlou SG, Nolte S, Patten S, Weichenthal S, Abera SF, Fereshtehnejad SM, Shiue I, Driscoll T, Vasankari T, Alsharif U, Rahimi-Movaghar V, Vlassov VV, Marcenes WS, Mekonnen W, Melaku YA, Yano Y, Artaman A, Campos I, MacLachlan J, Mueller U, Kim D, Trillini M, Eshrati B, Williams HC, Shibuya K, Dandona R, Murthy K, Cowie B, Amare AT, Antonio CA, Castañeda-Orjuela C, van Gool CH, Violante F, Oh IH, Deribe K, Soreide K, Knibbs L, Kereselidze M, Green M, Cardenas R, Roy N, Tillmann T, Li Y, Krueger H, Monasta L, Dey S, Sheikhbahaei S, Hafezi-Nejad N, Kumar GA, Sreeramareddy CT, Dandona L, Wang H, Vollset SE, Mokdad A, Salomon JA, Lozano R, Vos T, Forouzanfar M, Lopez A, Murray C, Naghavi M. The Global Burden of Cancer 2013. </w:t>
      </w:r>
      <w:r w:rsidRPr="0050576F">
        <w:rPr>
          <w:rFonts w:ascii="Book Antiqua" w:hAnsi="Book Antiqua"/>
          <w:i/>
          <w:color w:val="000000" w:themeColor="text1"/>
          <w:sz w:val="24"/>
          <w:szCs w:val="24"/>
        </w:rPr>
        <w:t>JAMA Oncol</w:t>
      </w:r>
      <w:r w:rsidRPr="0050576F">
        <w:rPr>
          <w:rFonts w:ascii="Book Antiqua" w:hAnsi="Book Antiqua"/>
          <w:color w:val="000000" w:themeColor="text1"/>
          <w:sz w:val="24"/>
          <w:szCs w:val="24"/>
        </w:rPr>
        <w:t xml:space="preserve"> 2015; </w:t>
      </w:r>
      <w:r w:rsidRPr="0050576F">
        <w:rPr>
          <w:rFonts w:ascii="Book Antiqua" w:hAnsi="Book Antiqua"/>
          <w:b/>
          <w:color w:val="000000" w:themeColor="text1"/>
          <w:sz w:val="24"/>
          <w:szCs w:val="24"/>
        </w:rPr>
        <w:t>1</w:t>
      </w:r>
      <w:r w:rsidRPr="0050576F">
        <w:rPr>
          <w:rFonts w:ascii="Book Antiqua" w:hAnsi="Book Antiqua"/>
          <w:color w:val="000000" w:themeColor="text1"/>
          <w:sz w:val="24"/>
          <w:szCs w:val="24"/>
        </w:rPr>
        <w:t>: 505-527 [PMID: 26181261 DOI: 10.1001/jamaoncol.2015.0735]</w:t>
      </w:r>
    </w:p>
    <w:p w14:paraId="7CF4214C"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 </w:t>
      </w:r>
      <w:r w:rsidRPr="0050576F">
        <w:rPr>
          <w:rFonts w:ascii="Book Antiqua" w:hAnsi="Book Antiqua"/>
          <w:b/>
          <w:color w:val="000000" w:themeColor="text1"/>
          <w:sz w:val="24"/>
          <w:szCs w:val="24"/>
        </w:rPr>
        <w:t>Chen W</w:t>
      </w:r>
      <w:r w:rsidRPr="0050576F">
        <w:rPr>
          <w:rFonts w:ascii="Book Antiqua" w:hAnsi="Book Antiqua"/>
          <w:color w:val="000000" w:themeColor="text1"/>
          <w:sz w:val="24"/>
          <w:szCs w:val="24"/>
        </w:rPr>
        <w:t xml:space="preserve">, Zheng R, Baade PD, Zhang S, Zeng H, Bray F, Jemal A, Yu XQ, He J. Cancer statistics in China, 2015. </w:t>
      </w:r>
      <w:r w:rsidRPr="0050576F">
        <w:rPr>
          <w:rFonts w:ascii="Book Antiqua" w:hAnsi="Book Antiqua"/>
          <w:i/>
          <w:color w:val="000000" w:themeColor="text1"/>
          <w:sz w:val="24"/>
          <w:szCs w:val="24"/>
        </w:rPr>
        <w:t>CA Cancer J Clin</w:t>
      </w:r>
      <w:r w:rsidRPr="0050576F">
        <w:rPr>
          <w:rFonts w:ascii="Book Antiqua" w:hAnsi="Book Antiqua"/>
          <w:color w:val="000000" w:themeColor="text1"/>
          <w:sz w:val="24"/>
          <w:szCs w:val="24"/>
        </w:rPr>
        <w:t xml:space="preserve"> 2016; </w:t>
      </w:r>
      <w:r w:rsidRPr="0050576F">
        <w:rPr>
          <w:rFonts w:ascii="Book Antiqua" w:hAnsi="Book Antiqua"/>
          <w:b/>
          <w:color w:val="000000" w:themeColor="text1"/>
          <w:sz w:val="24"/>
          <w:szCs w:val="24"/>
        </w:rPr>
        <w:t>66</w:t>
      </w:r>
      <w:r w:rsidRPr="0050576F">
        <w:rPr>
          <w:rFonts w:ascii="Book Antiqua" w:hAnsi="Book Antiqua"/>
          <w:color w:val="000000" w:themeColor="text1"/>
          <w:sz w:val="24"/>
          <w:szCs w:val="24"/>
        </w:rPr>
        <w:t>: 115-132 [PMID: 26808342 DOI: 10.3322/caac.21338]</w:t>
      </w:r>
    </w:p>
    <w:p w14:paraId="3CAE4D08"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3 </w:t>
      </w:r>
      <w:r w:rsidRPr="0050576F">
        <w:rPr>
          <w:rFonts w:ascii="Book Antiqua" w:hAnsi="Book Antiqua"/>
          <w:b/>
          <w:color w:val="000000" w:themeColor="text1"/>
          <w:sz w:val="24"/>
          <w:szCs w:val="24"/>
        </w:rPr>
        <w:t>Fu S</w:t>
      </w:r>
      <w:r w:rsidRPr="0050576F">
        <w:rPr>
          <w:rFonts w:ascii="Book Antiqua" w:hAnsi="Book Antiqua"/>
          <w:color w:val="000000" w:themeColor="text1"/>
          <w:sz w:val="24"/>
          <w:szCs w:val="24"/>
        </w:rPr>
        <w:t xml:space="preserve">, Li N, Zhou PC, Huang Y, Zhou RR, Fan XG. Detection of HBV DNA and antigens in HBsAg-positive patients with primary hepatocellular carcinoma. </w:t>
      </w:r>
      <w:r w:rsidRPr="0050576F">
        <w:rPr>
          <w:rFonts w:ascii="Book Antiqua" w:hAnsi="Book Antiqua"/>
          <w:i/>
          <w:color w:val="000000" w:themeColor="text1"/>
          <w:sz w:val="24"/>
          <w:szCs w:val="24"/>
        </w:rPr>
        <w:t>Clin Res Hepatol Gastroenterol</w:t>
      </w:r>
      <w:r w:rsidRPr="0050576F">
        <w:rPr>
          <w:rFonts w:ascii="Book Antiqua" w:hAnsi="Book Antiqua"/>
          <w:color w:val="000000" w:themeColor="text1"/>
          <w:sz w:val="24"/>
          <w:szCs w:val="24"/>
        </w:rPr>
        <w:t xml:space="preserve"> 2017; </w:t>
      </w:r>
      <w:r w:rsidRPr="0050576F">
        <w:rPr>
          <w:rFonts w:ascii="Book Antiqua" w:hAnsi="Book Antiqua"/>
          <w:b/>
          <w:color w:val="000000" w:themeColor="text1"/>
          <w:sz w:val="24"/>
          <w:szCs w:val="24"/>
        </w:rPr>
        <w:t>41</w:t>
      </w:r>
      <w:r w:rsidRPr="0050576F">
        <w:rPr>
          <w:rFonts w:ascii="Book Antiqua" w:hAnsi="Book Antiqua"/>
          <w:color w:val="000000" w:themeColor="text1"/>
          <w:sz w:val="24"/>
          <w:szCs w:val="24"/>
        </w:rPr>
        <w:t>: 415-423 [PMID: 28286056 DOI: 10.1016/j.clinre.2017.01.009]</w:t>
      </w:r>
    </w:p>
    <w:p w14:paraId="05CDFF75"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4 </w:t>
      </w:r>
      <w:r w:rsidRPr="0050576F">
        <w:rPr>
          <w:rFonts w:ascii="Book Antiqua" w:hAnsi="Book Antiqua"/>
          <w:b/>
          <w:color w:val="000000" w:themeColor="text1"/>
          <w:sz w:val="24"/>
          <w:szCs w:val="24"/>
        </w:rPr>
        <w:t>Xiao Y</w:t>
      </w:r>
      <w:r w:rsidRPr="0050576F">
        <w:rPr>
          <w:rFonts w:ascii="Book Antiqua" w:hAnsi="Book Antiqua"/>
          <w:color w:val="000000" w:themeColor="text1"/>
          <w:sz w:val="24"/>
          <w:szCs w:val="24"/>
        </w:rPr>
        <w:t xml:space="preserve">, Sun L, Fu Y, Huang Y, Zhou R, Hu X, Zhou P, Quan J, Li N, Fan XG. High mobility group box 1 promotes sorafenib resistance in HepG2 cells and in vivo. </w:t>
      </w:r>
      <w:r w:rsidRPr="0050576F">
        <w:rPr>
          <w:rFonts w:ascii="Book Antiqua" w:hAnsi="Book Antiqua"/>
          <w:i/>
          <w:color w:val="000000" w:themeColor="text1"/>
          <w:sz w:val="24"/>
          <w:szCs w:val="24"/>
        </w:rPr>
        <w:t>BMC Cancer</w:t>
      </w:r>
      <w:r w:rsidRPr="0050576F">
        <w:rPr>
          <w:rFonts w:ascii="Book Antiqua" w:hAnsi="Book Antiqua"/>
          <w:color w:val="000000" w:themeColor="text1"/>
          <w:sz w:val="24"/>
          <w:szCs w:val="24"/>
        </w:rPr>
        <w:t xml:space="preserve"> 2017; </w:t>
      </w:r>
      <w:r w:rsidRPr="0050576F">
        <w:rPr>
          <w:rFonts w:ascii="Book Antiqua" w:hAnsi="Book Antiqua"/>
          <w:b/>
          <w:color w:val="000000" w:themeColor="text1"/>
          <w:sz w:val="24"/>
          <w:szCs w:val="24"/>
        </w:rPr>
        <w:t>17</w:t>
      </w:r>
      <w:r w:rsidRPr="0050576F">
        <w:rPr>
          <w:rFonts w:ascii="Book Antiqua" w:hAnsi="Book Antiqua"/>
          <w:color w:val="000000" w:themeColor="text1"/>
          <w:sz w:val="24"/>
          <w:szCs w:val="24"/>
        </w:rPr>
        <w:t>: 857 [PMID: 29246127 DOI: 10.1186/s12885-017-3868-2]</w:t>
      </w:r>
    </w:p>
    <w:p w14:paraId="4ACDCCEC"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lastRenderedPageBreak/>
        <w:t xml:space="preserve">5 </w:t>
      </w:r>
      <w:r w:rsidRPr="0050576F">
        <w:rPr>
          <w:rFonts w:ascii="Book Antiqua" w:hAnsi="Book Antiqua"/>
          <w:b/>
          <w:color w:val="000000" w:themeColor="text1"/>
          <w:sz w:val="24"/>
          <w:szCs w:val="24"/>
        </w:rPr>
        <w:t>Chen T</w:t>
      </w:r>
      <w:r w:rsidRPr="0050576F">
        <w:rPr>
          <w:rFonts w:ascii="Book Antiqua" w:hAnsi="Book Antiqua"/>
          <w:color w:val="000000" w:themeColor="text1"/>
          <w:sz w:val="24"/>
          <w:szCs w:val="24"/>
        </w:rPr>
        <w:t xml:space="preserve">, Xie G, Wang X, Fan J, Qiu Y, Zheng X, Qi X, Cao Y, Su M, Wang X, Xu LX, Yen Y, Liu P, Jia W. Serum and urine metabolite profiling reveals potential biomarkers of human hepatocellular carcinoma. </w:t>
      </w:r>
      <w:r w:rsidRPr="0050576F">
        <w:rPr>
          <w:rFonts w:ascii="Book Antiqua" w:hAnsi="Book Antiqua"/>
          <w:i/>
          <w:color w:val="000000" w:themeColor="text1"/>
          <w:sz w:val="24"/>
          <w:szCs w:val="24"/>
        </w:rPr>
        <w:t>Mol Cell Proteomics</w:t>
      </w:r>
      <w:r w:rsidRPr="0050576F">
        <w:rPr>
          <w:rFonts w:ascii="Book Antiqua" w:hAnsi="Book Antiqua"/>
          <w:color w:val="000000" w:themeColor="text1"/>
          <w:sz w:val="24"/>
          <w:szCs w:val="24"/>
        </w:rPr>
        <w:t xml:space="preserve"> 2011; </w:t>
      </w:r>
      <w:r w:rsidRPr="0050576F">
        <w:rPr>
          <w:rFonts w:ascii="Book Antiqua" w:hAnsi="Book Antiqua"/>
          <w:b/>
          <w:color w:val="000000" w:themeColor="text1"/>
          <w:sz w:val="24"/>
          <w:szCs w:val="24"/>
        </w:rPr>
        <w:t>10</w:t>
      </w:r>
      <w:r w:rsidRPr="0050576F">
        <w:rPr>
          <w:rFonts w:ascii="Book Antiqua" w:hAnsi="Book Antiqua"/>
          <w:color w:val="000000" w:themeColor="text1"/>
          <w:sz w:val="24"/>
          <w:szCs w:val="24"/>
        </w:rPr>
        <w:t>: M110.004945 [PMID: 21518826 DOI: 10.1074/mcp.M110.004945]</w:t>
      </w:r>
    </w:p>
    <w:p w14:paraId="543B5406"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6 </w:t>
      </w:r>
      <w:r w:rsidRPr="0050576F">
        <w:rPr>
          <w:rFonts w:ascii="Book Antiqua" w:hAnsi="Book Antiqua"/>
          <w:b/>
          <w:color w:val="000000" w:themeColor="text1"/>
          <w:sz w:val="24"/>
          <w:szCs w:val="24"/>
        </w:rPr>
        <w:t>Ren B</w:t>
      </w:r>
      <w:r w:rsidRPr="0050576F">
        <w:rPr>
          <w:rFonts w:ascii="Book Antiqua" w:hAnsi="Book Antiqua"/>
          <w:color w:val="000000" w:themeColor="text1"/>
          <w:sz w:val="24"/>
          <w:szCs w:val="24"/>
        </w:rPr>
        <w:t xml:space="preserve">, Zou G, Xu F, Huang Y, Xu G, He J, Li Y, Zhu H, Yu P. Serum levels of anti-sperm-associated antigen 9 antibody are elevated in patients with hepatocellular carcinoma. </w:t>
      </w:r>
      <w:r w:rsidRPr="0050576F">
        <w:rPr>
          <w:rFonts w:ascii="Book Antiqua" w:hAnsi="Book Antiqua"/>
          <w:i/>
          <w:color w:val="000000" w:themeColor="text1"/>
          <w:sz w:val="24"/>
          <w:szCs w:val="24"/>
        </w:rPr>
        <w:t>Oncol Lett</w:t>
      </w:r>
      <w:r w:rsidRPr="0050576F">
        <w:rPr>
          <w:rFonts w:ascii="Book Antiqua" w:hAnsi="Book Antiqua"/>
          <w:color w:val="000000" w:themeColor="text1"/>
          <w:sz w:val="24"/>
          <w:szCs w:val="24"/>
        </w:rPr>
        <w:t xml:space="preserve"> 2017; </w:t>
      </w:r>
      <w:r w:rsidRPr="0050576F">
        <w:rPr>
          <w:rFonts w:ascii="Book Antiqua" w:hAnsi="Book Antiqua"/>
          <w:b/>
          <w:color w:val="000000" w:themeColor="text1"/>
          <w:sz w:val="24"/>
          <w:szCs w:val="24"/>
        </w:rPr>
        <w:t>14</w:t>
      </w:r>
      <w:r w:rsidRPr="0050576F">
        <w:rPr>
          <w:rFonts w:ascii="Book Antiqua" w:hAnsi="Book Antiqua"/>
          <w:color w:val="000000" w:themeColor="text1"/>
          <w:sz w:val="24"/>
          <w:szCs w:val="24"/>
        </w:rPr>
        <w:t>: 7608-7614 [PMID: 29344208 DOI: 10.3892/ol.2017.7152]</w:t>
      </w:r>
    </w:p>
    <w:p w14:paraId="03133F4D"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7 </w:t>
      </w:r>
      <w:r w:rsidRPr="0050576F">
        <w:rPr>
          <w:rFonts w:ascii="Book Antiqua" w:hAnsi="Book Antiqua"/>
          <w:b/>
          <w:color w:val="000000" w:themeColor="text1"/>
          <w:sz w:val="24"/>
          <w:szCs w:val="24"/>
        </w:rPr>
        <w:t>Wang B</w:t>
      </w:r>
      <w:r w:rsidRPr="0050576F">
        <w:rPr>
          <w:rFonts w:ascii="Book Antiqua" w:hAnsi="Book Antiqua"/>
          <w:color w:val="000000" w:themeColor="text1"/>
          <w:sz w:val="24"/>
          <w:szCs w:val="24"/>
        </w:rPr>
        <w:t xml:space="preserve">, Chen D, Chen Y, Hu Z, Cao M, Xie Q, Chen Y, Xu J, Zheng S, Li L. Metabonomic profiles discriminate hepatocellular carcinoma from liver cirrhosis by ultraperformance liquid chromatography-mass spectrometry. </w:t>
      </w:r>
      <w:r w:rsidRPr="0050576F">
        <w:rPr>
          <w:rFonts w:ascii="Book Antiqua" w:hAnsi="Book Antiqua"/>
          <w:i/>
          <w:color w:val="000000" w:themeColor="text1"/>
          <w:sz w:val="24"/>
          <w:szCs w:val="24"/>
        </w:rPr>
        <w:t>J Proteome Res</w:t>
      </w:r>
      <w:r w:rsidRPr="0050576F">
        <w:rPr>
          <w:rFonts w:ascii="Book Antiqua" w:hAnsi="Book Antiqua"/>
          <w:color w:val="000000" w:themeColor="text1"/>
          <w:sz w:val="24"/>
          <w:szCs w:val="24"/>
        </w:rPr>
        <w:t xml:space="preserve"> 2012; </w:t>
      </w:r>
      <w:r w:rsidRPr="0050576F">
        <w:rPr>
          <w:rFonts w:ascii="Book Antiqua" w:hAnsi="Book Antiqua"/>
          <w:b/>
          <w:color w:val="000000" w:themeColor="text1"/>
          <w:sz w:val="24"/>
          <w:szCs w:val="24"/>
        </w:rPr>
        <w:t>11</w:t>
      </w:r>
      <w:r w:rsidRPr="0050576F">
        <w:rPr>
          <w:rFonts w:ascii="Book Antiqua" w:hAnsi="Book Antiqua"/>
          <w:color w:val="000000" w:themeColor="text1"/>
          <w:sz w:val="24"/>
          <w:szCs w:val="24"/>
        </w:rPr>
        <w:t>: 1217-1227 [PMID: 22200553 DOI: 10.1021/pr2009252]</w:t>
      </w:r>
    </w:p>
    <w:p w14:paraId="14702DA4"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8 </w:t>
      </w:r>
      <w:r w:rsidRPr="0050576F">
        <w:rPr>
          <w:rFonts w:ascii="Book Antiqua" w:hAnsi="Book Antiqua"/>
          <w:b/>
          <w:color w:val="000000" w:themeColor="text1"/>
          <w:sz w:val="24"/>
          <w:szCs w:val="24"/>
        </w:rPr>
        <w:t>Peng F</w:t>
      </w:r>
      <w:r w:rsidRPr="0050576F">
        <w:rPr>
          <w:rFonts w:ascii="Book Antiqua" w:hAnsi="Book Antiqua"/>
          <w:color w:val="000000" w:themeColor="text1"/>
          <w:sz w:val="24"/>
          <w:szCs w:val="24"/>
        </w:rPr>
        <w:t xml:space="preserve">, Liu Y, He C, Kong Y, Ouyang Q, Xie X, Liu T, Liu Z, Peng J. Prediction of platinum-based chemotherapy efficacy in lung cancer based on LC-MS metabolomics approach. </w:t>
      </w:r>
      <w:r w:rsidRPr="0050576F">
        <w:rPr>
          <w:rFonts w:ascii="Book Antiqua" w:hAnsi="Book Antiqua"/>
          <w:i/>
          <w:color w:val="000000" w:themeColor="text1"/>
          <w:sz w:val="24"/>
          <w:szCs w:val="24"/>
        </w:rPr>
        <w:t>J Pharm Biomed Anal</w:t>
      </w:r>
      <w:r w:rsidRPr="0050576F">
        <w:rPr>
          <w:rFonts w:ascii="Book Antiqua" w:hAnsi="Book Antiqua"/>
          <w:color w:val="000000" w:themeColor="text1"/>
          <w:sz w:val="24"/>
          <w:szCs w:val="24"/>
        </w:rPr>
        <w:t xml:space="preserve"> 2018; </w:t>
      </w:r>
      <w:r w:rsidRPr="0050576F">
        <w:rPr>
          <w:rFonts w:ascii="Book Antiqua" w:hAnsi="Book Antiqua"/>
          <w:b/>
          <w:color w:val="000000" w:themeColor="text1"/>
          <w:sz w:val="24"/>
          <w:szCs w:val="24"/>
        </w:rPr>
        <w:t>154</w:t>
      </w:r>
      <w:r w:rsidRPr="0050576F">
        <w:rPr>
          <w:rFonts w:ascii="Book Antiqua" w:hAnsi="Book Antiqua"/>
          <w:color w:val="000000" w:themeColor="text1"/>
          <w:sz w:val="24"/>
          <w:szCs w:val="24"/>
        </w:rPr>
        <w:t>: 95-101 [PMID: 29544107 DOI: 10.1016/j.jpba.2018.02.051]</w:t>
      </w:r>
    </w:p>
    <w:p w14:paraId="2E9396B1"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9 </w:t>
      </w:r>
      <w:r w:rsidRPr="0050576F">
        <w:rPr>
          <w:rFonts w:ascii="Book Antiqua" w:hAnsi="Book Antiqua"/>
          <w:b/>
          <w:color w:val="000000" w:themeColor="text1"/>
          <w:sz w:val="24"/>
          <w:szCs w:val="24"/>
        </w:rPr>
        <w:t>Zhou P</w:t>
      </w:r>
      <w:r w:rsidRPr="0050576F">
        <w:rPr>
          <w:rFonts w:ascii="Book Antiqua" w:hAnsi="Book Antiqua"/>
          <w:color w:val="000000" w:themeColor="text1"/>
          <w:sz w:val="24"/>
          <w:szCs w:val="24"/>
        </w:rPr>
        <w:t xml:space="preserve">, Shao L, Zhao L, Lv G, Pan X, Zhang A, Li J, Zhou N, Chen D, Li L. Efficacy of Fluidized Bed Bioartificial Liver in Treating Fulminant Hepatic Failure in Pigs: A Metabolomics Study. </w:t>
      </w:r>
      <w:r w:rsidRPr="0050576F">
        <w:rPr>
          <w:rFonts w:ascii="Book Antiqua" w:hAnsi="Book Antiqua"/>
          <w:i/>
          <w:color w:val="000000" w:themeColor="text1"/>
          <w:sz w:val="24"/>
          <w:szCs w:val="24"/>
        </w:rPr>
        <w:t>Sci Rep</w:t>
      </w:r>
      <w:r w:rsidRPr="0050576F">
        <w:rPr>
          <w:rFonts w:ascii="Book Antiqua" w:hAnsi="Book Antiqua"/>
          <w:color w:val="000000" w:themeColor="text1"/>
          <w:sz w:val="24"/>
          <w:szCs w:val="24"/>
        </w:rPr>
        <w:t xml:space="preserve"> 2016; </w:t>
      </w:r>
      <w:r w:rsidRPr="0050576F">
        <w:rPr>
          <w:rFonts w:ascii="Book Antiqua" w:hAnsi="Book Antiqua"/>
          <w:b/>
          <w:color w:val="000000" w:themeColor="text1"/>
          <w:sz w:val="24"/>
          <w:szCs w:val="24"/>
        </w:rPr>
        <w:t>6</w:t>
      </w:r>
      <w:r w:rsidRPr="0050576F">
        <w:rPr>
          <w:rFonts w:ascii="Book Antiqua" w:hAnsi="Book Antiqua"/>
          <w:color w:val="000000" w:themeColor="text1"/>
          <w:sz w:val="24"/>
          <w:szCs w:val="24"/>
        </w:rPr>
        <w:t>: 26070 [PMID: 27194381 DOI: 10.1038/srep26070]</w:t>
      </w:r>
    </w:p>
    <w:p w14:paraId="6F08D1ED"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10 </w:t>
      </w:r>
      <w:r w:rsidRPr="0050576F">
        <w:rPr>
          <w:rFonts w:ascii="Book Antiqua" w:hAnsi="Book Antiqua"/>
          <w:b/>
          <w:color w:val="000000" w:themeColor="text1"/>
          <w:sz w:val="24"/>
          <w:szCs w:val="24"/>
        </w:rPr>
        <w:t>Wang X</w:t>
      </w:r>
      <w:r w:rsidRPr="0050576F">
        <w:rPr>
          <w:rFonts w:ascii="Book Antiqua" w:hAnsi="Book Antiqua"/>
          <w:color w:val="000000" w:themeColor="text1"/>
          <w:sz w:val="24"/>
          <w:szCs w:val="24"/>
        </w:rPr>
        <w:t xml:space="preserve">, Zhang A, Sun H. Power of metabolomics in diagnosis and biomarker discovery of hepatocellular carcinoma. </w:t>
      </w:r>
      <w:r w:rsidRPr="0050576F">
        <w:rPr>
          <w:rFonts w:ascii="Book Antiqua" w:hAnsi="Book Antiqua"/>
          <w:i/>
          <w:color w:val="000000" w:themeColor="text1"/>
          <w:sz w:val="24"/>
          <w:szCs w:val="24"/>
        </w:rPr>
        <w:t>Hepatology</w:t>
      </w:r>
      <w:r w:rsidRPr="0050576F">
        <w:rPr>
          <w:rFonts w:ascii="Book Antiqua" w:hAnsi="Book Antiqua"/>
          <w:color w:val="000000" w:themeColor="text1"/>
          <w:sz w:val="24"/>
          <w:szCs w:val="24"/>
        </w:rPr>
        <w:t xml:space="preserve"> 2013; </w:t>
      </w:r>
      <w:r w:rsidRPr="0050576F">
        <w:rPr>
          <w:rFonts w:ascii="Book Antiqua" w:hAnsi="Book Antiqua"/>
          <w:b/>
          <w:color w:val="000000" w:themeColor="text1"/>
          <w:sz w:val="24"/>
          <w:szCs w:val="24"/>
        </w:rPr>
        <w:t>57</w:t>
      </w:r>
      <w:r w:rsidRPr="0050576F">
        <w:rPr>
          <w:rFonts w:ascii="Book Antiqua" w:hAnsi="Book Antiqua"/>
          <w:color w:val="000000" w:themeColor="text1"/>
          <w:sz w:val="24"/>
          <w:szCs w:val="24"/>
        </w:rPr>
        <w:t>: 2072-2077 [PMID: 23150189 DOI: 10.1002/hep.26130]</w:t>
      </w:r>
    </w:p>
    <w:p w14:paraId="406A51D5"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11 </w:t>
      </w:r>
      <w:r w:rsidRPr="0050576F">
        <w:rPr>
          <w:rFonts w:ascii="Book Antiqua" w:hAnsi="Book Antiqua"/>
          <w:b/>
          <w:color w:val="000000" w:themeColor="text1"/>
          <w:sz w:val="24"/>
          <w:szCs w:val="24"/>
        </w:rPr>
        <w:t>Luo P</w:t>
      </w:r>
      <w:r w:rsidRPr="0050576F">
        <w:rPr>
          <w:rFonts w:ascii="Book Antiqua" w:hAnsi="Book Antiqua"/>
          <w:color w:val="000000" w:themeColor="text1"/>
          <w:sz w:val="24"/>
          <w:szCs w:val="24"/>
        </w:rPr>
        <w:t xml:space="preserve">, Yin P, Hua R, Tan Y, Li Z, Qiu G, Yin Z, Xie X, Wang X, Chen W, Zhou L, Wang X, Li Y, Chen H, Gao L, Lu X, Wu T, Wang H, Niu J, Xu G. A Large-scale, multicenter serum metabolite biomarker identification study for the early detection of hepatocellular carcinoma. </w:t>
      </w:r>
      <w:r w:rsidRPr="0050576F">
        <w:rPr>
          <w:rFonts w:ascii="Book Antiqua" w:hAnsi="Book Antiqua"/>
          <w:i/>
          <w:color w:val="000000" w:themeColor="text1"/>
          <w:sz w:val="24"/>
          <w:szCs w:val="24"/>
        </w:rPr>
        <w:t>Hepatology</w:t>
      </w:r>
      <w:r w:rsidRPr="0050576F">
        <w:rPr>
          <w:rFonts w:ascii="Book Antiqua" w:hAnsi="Book Antiqua"/>
          <w:color w:val="000000" w:themeColor="text1"/>
          <w:sz w:val="24"/>
          <w:szCs w:val="24"/>
        </w:rPr>
        <w:t xml:space="preserve"> 2018; </w:t>
      </w:r>
      <w:r w:rsidRPr="0050576F">
        <w:rPr>
          <w:rFonts w:ascii="Book Antiqua" w:hAnsi="Book Antiqua"/>
          <w:b/>
          <w:color w:val="000000" w:themeColor="text1"/>
          <w:sz w:val="24"/>
          <w:szCs w:val="24"/>
        </w:rPr>
        <w:t>67</w:t>
      </w:r>
      <w:r w:rsidRPr="0050576F">
        <w:rPr>
          <w:rFonts w:ascii="Book Antiqua" w:hAnsi="Book Antiqua"/>
          <w:color w:val="000000" w:themeColor="text1"/>
          <w:sz w:val="24"/>
          <w:szCs w:val="24"/>
        </w:rPr>
        <w:t>: 662-675 [PMID: 28960374 DOI: 10.1002/hep.29561]</w:t>
      </w:r>
    </w:p>
    <w:p w14:paraId="49D21F09"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12 </w:t>
      </w:r>
      <w:r w:rsidRPr="0050576F">
        <w:rPr>
          <w:rFonts w:ascii="Book Antiqua" w:hAnsi="Book Antiqua"/>
          <w:b/>
          <w:color w:val="000000" w:themeColor="text1"/>
          <w:sz w:val="24"/>
          <w:szCs w:val="24"/>
        </w:rPr>
        <w:t>Huang Q</w:t>
      </w:r>
      <w:r w:rsidRPr="0050576F">
        <w:rPr>
          <w:rFonts w:ascii="Book Antiqua" w:hAnsi="Book Antiqua"/>
          <w:color w:val="000000" w:themeColor="text1"/>
          <w:sz w:val="24"/>
          <w:szCs w:val="24"/>
        </w:rPr>
        <w:t xml:space="preserve">, Tan Y, Yin P, Ye G, Gao P, Lu X, Wang H, Xu G. Metabolic characterization of hepatocellular carcinoma using nontargeted tissue metabolomics. </w:t>
      </w:r>
      <w:r w:rsidRPr="0050576F">
        <w:rPr>
          <w:rFonts w:ascii="Book Antiqua" w:hAnsi="Book Antiqua"/>
          <w:i/>
          <w:color w:val="000000" w:themeColor="text1"/>
          <w:sz w:val="24"/>
          <w:szCs w:val="24"/>
        </w:rPr>
        <w:t>Cancer Res</w:t>
      </w:r>
      <w:r w:rsidRPr="0050576F">
        <w:rPr>
          <w:rFonts w:ascii="Book Antiqua" w:hAnsi="Book Antiqua"/>
          <w:color w:val="000000" w:themeColor="text1"/>
          <w:sz w:val="24"/>
          <w:szCs w:val="24"/>
        </w:rPr>
        <w:t xml:space="preserve"> 2013; </w:t>
      </w:r>
      <w:r w:rsidRPr="0050576F">
        <w:rPr>
          <w:rFonts w:ascii="Book Antiqua" w:hAnsi="Book Antiqua"/>
          <w:b/>
          <w:color w:val="000000" w:themeColor="text1"/>
          <w:sz w:val="24"/>
          <w:szCs w:val="24"/>
        </w:rPr>
        <w:t>73</w:t>
      </w:r>
      <w:r w:rsidRPr="0050576F">
        <w:rPr>
          <w:rFonts w:ascii="Book Antiqua" w:hAnsi="Book Antiqua"/>
          <w:color w:val="000000" w:themeColor="text1"/>
          <w:sz w:val="24"/>
          <w:szCs w:val="24"/>
        </w:rPr>
        <w:t xml:space="preserve">: 4992-5002 [PMID: 23824744 DOI: </w:t>
      </w:r>
      <w:r w:rsidRPr="0050576F">
        <w:rPr>
          <w:rFonts w:ascii="Book Antiqua" w:hAnsi="Book Antiqua"/>
          <w:color w:val="000000" w:themeColor="text1"/>
          <w:sz w:val="24"/>
          <w:szCs w:val="24"/>
        </w:rPr>
        <w:lastRenderedPageBreak/>
        <w:t>10.1158/0008-5472.CAN-13-0308]</w:t>
      </w:r>
    </w:p>
    <w:p w14:paraId="1CFD8120" w14:textId="78654C3B"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13 </w:t>
      </w:r>
      <w:r w:rsidRPr="0050576F">
        <w:rPr>
          <w:rFonts w:ascii="Book Antiqua" w:hAnsi="Book Antiqua"/>
          <w:b/>
          <w:color w:val="000000" w:themeColor="text1"/>
          <w:sz w:val="24"/>
          <w:szCs w:val="24"/>
        </w:rPr>
        <w:t>Zhou P,</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Li J, Shao L, Lv G, Zhao L, Huang H, Zhang A, Pan X, Liu W, Xie Q, Chen D, Guo Y, Hao S, Xu W, Li L. Dynamic Patterns of serum metabolites in fulminant hepatic failure pigs. </w:t>
      </w:r>
      <w:r w:rsidRPr="0050576F">
        <w:rPr>
          <w:rFonts w:ascii="Book Antiqua" w:hAnsi="Book Antiqua"/>
          <w:i/>
          <w:color w:val="000000" w:themeColor="text1"/>
          <w:sz w:val="24"/>
          <w:szCs w:val="24"/>
        </w:rPr>
        <w:t>M</w:t>
      </w:r>
      <w:r w:rsidR="00466FF2" w:rsidRPr="0050576F">
        <w:rPr>
          <w:rFonts w:ascii="Book Antiqua" w:hAnsi="Book Antiqua"/>
          <w:i/>
          <w:color w:val="000000" w:themeColor="text1"/>
          <w:sz w:val="24"/>
          <w:szCs w:val="24"/>
        </w:rPr>
        <w:t>etabolomics</w:t>
      </w:r>
      <w:r w:rsidRPr="0050576F">
        <w:rPr>
          <w:rFonts w:ascii="Book Antiqua" w:hAnsi="Book Antiqua"/>
          <w:color w:val="000000" w:themeColor="text1"/>
          <w:sz w:val="24"/>
          <w:szCs w:val="24"/>
        </w:rPr>
        <w:t xml:space="preserve"> 2012; </w:t>
      </w:r>
      <w:r w:rsidRPr="0050576F">
        <w:rPr>
          <w:rFonts w:ascii="Book Antiqua" w:hAnsi="Book Antiqua"/>
          <w:b/>
          <w:color w:val="000000" w:themeColor="text1"/>
          <w:sz w:val="24"/>
          <w:szCs w:val="24"/>
        </w:rPr>
        <w:t>8</w:t>
      </w:r>
      <w:r w:rsidRPr="0050576F">
        <w:rPr>
          <w:rFonts w:ascii="Book Antiqua" w:hAnsi="Book Antiqua"/>
          <w:color w:val="000000" w:themeColor="text1"/>
          <w:sz w:val="24"/>
          <w:szCs w:val="24"/>
        </w:rPr>
        <w:t>: 869-879</w:t>
      </w:r>
      <w:r w:rsidR="008954E6"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Pr="0050576F">
        <w:rPr>
          <w:rFonts w:ascii="Book Antiqua" w:hAnsi="Book Antiqua"/>
          <w:caps/>
          <w:color w:val="000000" w:themeColor="text1"/>
          <w:sz w:val="24"/>
          <w:szCs w:val="24"/>
        </w:rPr>
        <w:t>doi</w:t>
      </w:r>
      <w:r w:rsidRPr="0050576F">
        <w:rPr>
          <w:rFonts w:ascii="Book Antiqua" w:hAnsi="Book Antiqua"/>
          <w:color w:val="000000" w:themeColor="text1"/>
          <w:sz w:val="24"/>
          <w:szCs w:val="24"/>
        </w:rPr>
        <w:t>:</w:t>
      </w:r>
      <w:r w:rsidR="008954E6"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10.1007/s11306-011-0381-5]</w:t>
      </w:r>
    </w:p>
    <w:p w14:paraId="444F6ED5"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14 </w:t>
      </w:r>
      <w:r w:rsidRPr="0050576F">
        <w:rPr>
          <w:rFonts w:ascii="Book Antiqua" w:hAnsi="Book Antiqua"/>
          <w:b/>
          <w:color w:val="000000" w:themeColor="text1"/>
          <w:sz w:val="24"/>
          <w:szCs w:val="24"/>
        </w:rPr>
        <w:t>Zhou P</w:t>
      </w:r>
      <w:r w:rsidRPr="0050576F">
        <w:rPr>
          <w:rFonts w:ascii="Book Antiqua" w:hAnsi="Book Antiqua"/>
          <w:color w:val="000000" w:themeColor="text1"/>
          <w:sz w:val="24"/>
          <w:szCs w:val="24"/>
        </w:rPr>
        <w:t xml:space="preserve">, Zhou N, Shao L, Li J, Liu S, Meng X, Duan J, Xiong X, Huang X, Chen Y, Fan X, Zheng Y, Ma S, Li C, Wu A. Diagnosis of Clostridium difficile infection using an UPLC-MS based metabolomics method. </w:t>
      </w:r>
      <w:r w:rsidRPr="0050576F">
        <w:rPr>
          <w:rFonts w:ascii="Book Antiqua" w:hAnsi="Book Antiqua"/>
          <w:i/>
          <w:color w:val="000000" w:themeColor="text1"/>
          <w:sz w:val="24"/>
          <w:szCs w:val="24"/>
        </w:rPr>
        <w:t>Metabolomics</w:t>
      </w:r>
      <w:r w:rsidRPr="0050576F">
        <w:rPr>
          <w:rFonts w:ascii="Book Antiqua" w:hAnsi="Book Antiqua"/>
          <w:color w:val="000000" w:themeColor="text1"/>
          <w:sz w:val="24"/>
          <w:szCs w:val="24"/>
        </w:rPr>
        <w:t xml:space="preserve"> 2018; </w:t>
      </w:r>
      <w:r w:rsidRPr="0050576F">
        <w:rPr>
          <w:rFonts w:ascii="Book Antiqua" w:hAnsi="Book Antiqua"/>
          <w:b/>
          <w:color w:val="000000" w:themeColor="text1"/>
          <w:sz w:val="24"/>
          <w:szCs w:val="24"/>
        </w:rPr>
        <w:t>14</w:t>
      </w:r>
      <w:r w:rsidRPr="0050576F">
        <w:rPr>
          <w:rFonts w:ascii="Book Antiqua" w:hAnsi="Book Antiqua"/>
          <w:color w:val="000000" w:themeColor="text1"/>
          <w:sz w:val="24"/>
          <w:szCs w:val="24"/>
        </w:rPr>
        <w:t>: 102 [PMID: 30830376 DOI: 10.1007/s11306-018-1397-x]</w:t>
      </w:r>
    </w:p>
    <w:p w14:paraId="365BC2C9"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15 </w:t>
      </w:r>
      <w:r w:rsidRPr="0050576F">
        <w:rPr>
          <w:rFonts w:ascii="Book Antiqua" w:hAnsi="Book Antiqua"/>
          <w:b/>
          <w:color w:val="000000" w:themeColor="text1"/>
          <w:sz w:val="24"/>
          <w:szCs w:val="24"/>
        </w:rPr>
        <w:t>Zhou J</w:t>
      </w:r>
      <w:r w:rsidRPr="0050576F">
        <w:rPr>
          <w:rFonts w:ascii="Book Antiqua" w:hAnsi="Book Antiqua"/>
          <w:color w:val="000000" w:themeColor="text1"/>
          <w:sz w:val="24"/>
          <w:szCs w:val="24"/>
        </w:rPr>
        <w:t xml:space="preserve">, Sun HC, Wang Z, Cong WM, Wang JH, Zeng MS, Yang JM, Bie P, Liu LX, Wen TF, Han GH, Wang MQ, Liu RB, Lu LG, Ren ZG, Chen MS, Zeng ZC, Liang P, Liang CH, Chen M, Yan FH, Wang WP, Ji Y, Cheng WW, Dai CL, Jia WD, Li YM, Li YX, Liang J, Liu TS, Lv GY, Mao YL, Ren WX, Shi HC, Wang WT, Wang XY, Xing BC, Xu JM, Yang JY, Yang YF, Ye SL, Yin ZY, Zhang BH, Zhang SJ, Zhou WP, Zhu JY, Liu R, Shi YH, Xiao YS, Dai Z, Teng GJ, Cai JQ, Wang WL, Dong JH, Li Q, Shen F, Qin SK, Fan J. Guidelines for Diagnosis and Treatment of Primary Liver Cancer in China (2017 Edition). </w:t>
      </w:r>
      <w:r w:rsidRPr="0050576F">
        <w:rPr>
          <w:rFonts w:ascii="Book Antiqua" w:hAnsi="Book Antiqua"/>
          <w:i/>
          <w:color w:val="000000" w:themeColor="text1"/>
          <w:sz w:val="24"/>
          <w:szCs w:val="24"/>
        </w:rPr>
        <w:t>Liver Cancer</w:t>
      </w:r>
      <w:r w:rsidRPr="0050576F">
        <w:rPr>
          <w:rFonts w:ascii="Book Antiqua" w:hAnsi="Book Antiqua"/>
          <w:color w:val="000000" w:themeColor="text1"/>
          <w:sz w:val="24"/>
          <w:szCs w:val="24"/>
        </w:rPr>
        <w:t xml:space="preserve"> 2018; </w:t>
      </w:r>
      <w:r w:rsidRPr="0050576F">
        <w:rPr>
          <w:rFonts w:ascii="Book Antiqua" w:hAnsi="Book Antiqua"/>
          <w:b/>
          <w:color w:val="000000" w:themeColor="text1"/>
          <w:sz w:val="24"/>
          <w:szCs w:val="24"/>
        </w:rPr>
        <w:t>7</w:t>
      </w:r>
      <w:r w:rsidRPr="0050576F">
        <w:rPr>
          <w:rFonts w:ascii="Book Antiqua" w:hAnsi="Book Antiqua"/>
          <w:color w:val="000000" w:themeColor="text1"/>
          <w:sz w:val="24"/>
          <w:szCs w:val="24"/>
        </w:rPr>
        <w:t>: 235-260 [PMID: 30319983 DOI: 10.1159/000488035]</w:t>
      </w:r>
    </w:p>
    <w:p w14:paraId="794C77F3"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16 </w:t>
      </w:r>
      <w:r w:rsidRPr="0050576F">
        <w:rPr>
          <w:rFonts w:ascii="Book Antiqua" w:hAnsi="Book Antiqua"/>
          <w:b/>
          <w:color w:val="000000" w:themeColor="text1"/>
          <w:sz w:val="24"/>
          <w:szCs w:val="24"/>
        </w:rPr>
        <w:t>Qin N</w:t>
      </w:r>
      <w:r w:rsidRPr="0050576F">
        <w:rPr>
          <w:rFonts w:ascii="Book Antiqua" w:hAnsi="Book Antiqua"/>
          <w:color w:val="000000" w:themeColor="text1"/>
          <w:sz w:val="24"/>
          <w:szCs w:val="24"/>
        </w:rPr>
        <w:t xml:space="preserve">, Yang F, Li A, Prifti E, Chen Y, Shao L, Guo J, Le Chatelier E, Yao J, Wu L, Zhou J, Ni S, Liu L, Pons N, Batto JM, Kennedy SP, Leonard P, Yuan C, Ding W, Chen Y, Hu X, Zheng B, Qian G, Xu W, Ehrlich SD, Zheng S, Li L. Alterations of the human gut microbiome in liver cirrhosis. </w:t>
      </w:r>
      <w:r w:rsidRPr="0050576F">
        <w:rPr>
          <w:rFonts w:ascii="Book Antiqua" w:hAnsi="Book Antiqua"/>
          <w:i/>
          <w:color w:val="000000" w:themeColor="text1"/>
          <w:sz w:val="24"/>
          <w:szCs w:val="24"/>
        </w:rPr>
        <w:t>Nature</w:t>
      </w:r>
      <w:r w:rsidRPr="0050576F">
        <w:rPr>
          <w:rFonts w:ascii="Book Antiqua" w:hAnsi="Book Antiqua"/>
          <w:color w:val="000000" w:themeColor="text1"/>
          <w:sz w:val="24"/>
          <w:szCs w:val="24"/>
        </w:rPr>
        <w:t xml:space="preserve"> 2014; </w:t>
      </w:r>
      <w:r w:rsidRPr="0050576F">
        <w:rPr>
          <w:rFonts w:ascii="Book Antiqua" w:hAnsi="Book Antiqua"/>
          <w:b/>
          <w:color w:val="000000" w:themeColor="text1"/>
          <w:sz w:val="24"/>
          <w:szCs w:val="24"/>
        </w:rPr>
        <w:t>513</w:t>
      </w:r>
      <w:r w:rsidRPr="0050576F">
        <w:rPr>
          <w:rFonts w:ascii="Book Antiqua" w:hAnsi="Book Antiqua"/>
          <w:color w:val="000000" w:themeColor="text1"/>
          <w:sz w:val="24"/>
          <w:szCs w:val="24"/>
        </w:rPr>
        <w:t>: 59-64 [PMID: 25079328 DOI: 10.1038/nature13568]</w:t>
      </w:r>
    </w:p>
    <w:p w14:paraId="05A2AACE"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17 </w:t>
      </w:r>
      <w:r w:rsidRPr="0050576F">
        <w:rPr>
          <w:rFonts w:ascii="Book Antiqua" w:hAnsi="Book Antiqua"/>
          <w:b/>
          <w:color w:val="000000" w:themeColor="text1"/>
          <w:sz w:val="24"/>
          <w:szCs w:val="24"/>
        </w:rPr>
        <w:t>Chen E</w:t>
      </w:r>
      <w:r w:rsidRPr="0050576F">
        <w:rPr>
          <w:rFonts w:ascii="Book Antiqua" w:hAnsi="Book Antiqua"/>
          <w:color w:val="000000" w:themeColor="text1"/>
          <w:sz w:val="24"/>
          <w:szCs w:val="24"/>
        </w:rPr>
        <w:t xml:space="preserve">, Lu J, Chen D, Zhu D, Wang Y, Zhang Y, Zhou N, Wang J, Li J, Li L. Dynamic changes of plasma metabolites in pigs with GalN-induced acute liver failure using GC-MS and UPLC-MS. </w:t>
      </w:r>
      <w:r w:rsidRPr="0050576F">
        <w:rPr>
          <w:rFonts w:ascii="Book Antiqua" w:hAnsi="Book Antiqua"/>
          <w:i/>
          <w:color w:val="000000" w:themeColor="text1"/>
          <w:sz w:val="24"/>
          <w:szCs w:val="24"/>
        </w:rPr>
        <w:t>Biomed Pharmacother</w:t>
      </w:r>
      <w:r w:rsidRPr="0050576F">
        <w:rPr>
          <w:rFonts w:ascii="Book Antiqua" w:hAnsi="Book Antiqua"/>
          <w:color w:val="000000" w:themeColor="text1"/>
          <w:sz w:val="24"/>
          <w:szCs w:val="24"/>
        </w:rPr>
        <w:t xml:space="preserve"> 2017; </w:t>
      </w:r>
      <w:r w:rsidRPr="0050576F">
        <w:rPr>
          <w:rFonts w:ascii="Book Antiqua" w:hAnsi="Book Antiqua"/>
          <w:b/>
          <w:color w:val="000000" w:themeColor="text1"/>
          <w:sz w:val="24"/>
          <w:szCs w:val="24"/>
        </w:rPr>
        <w:t>93</w:t>
      </w:r>
      <w:r w:rsidRPr="0050576F">
        <w:rPr>
          <w:rFonts w:ascii="Book Antiqua" w:hAnsi="Book Antiqua"/>
          <w:color w:val="000000" w:themeColor="text1"/>
          <w:sz w:val="24"/>
          <w:szCs w:val="24"/>
        </w:rPr>
        <w:t>: 480-489 [PMID: 28668767 DOI: 10.1016/j.biopha.2017.06.049]</w:t>
      </w:r>
    </w:p>
    <w:p w14:paraId="4C7F4853"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18 </w:t>
      </w:r>
      <w:r w:rsidRPr="0050576F">
        <w:rPr>
          <w:rFonts w:ascii="Book Antiqua" w:hAnsi="Book Antiqua"/>
          <w:b/>
          <w:color w:val="000000" w:themeColor="text1"/>
          <w:sz w:val="24"/>
          <w:szCs w:val="24"/>
        </w:rPr>
        <w:t>Chen R</w:t>
      </w:r>
      <w:r w:rsidRPr="0050576F">
        <w:rPr>
          <w:rFonts w:ascii="Book Antiqua" w:hAnsi="Book Antiqua"/>
          <w:color w:val="000000" w:themeColor="text1"/>
          <w:sz w:val="24"/>
          <w:szCs w:val="24"/>
        </w:rPr>
        <w:t xml:space="preserve">, Zhu S, Fan XG, Wang H, Lotze MT, Zeh HJ 3rd, Billiar TR, Kang R, Tang D. High mobility group protein B1 controls liver cancer initiation through yes-associated protein -dependent aerobic glycolysis. </w:t>
      </w:r>
      <w:r w:rsidRPr="0050576F">
        <w:rPr>
          <w:rFonts w:ascii="Book Antiqua" w:hAnsi="Book Antiqua"/>
          <w:i/>
          <w:color w:val="000000" w:themeColor="text1"/>
          <w:sz w:val="24"/>
          <w:szCs w:val="24"/>
        </w:rPr>
        <w:t>Hepatology</w:t>
      </w:r>
      <w:r w:rsidRPr="0050576F">
        <w:rPr>
          <w:rFonts w:ascii="Book Antiqua" w:hAnsi="Book Antiqua"/>
          <w:color w:val="000000" w:themeColor="text1"/>
          <w:sz w:val="24"/>
          <w:szCs w:val="24"/>
        </w:rPr>
        <w:t xml:space="preserve"> 2018; </w:t>
      </w:r>
      <w:r w:rsidRPr="0050576F">
        <w:rPr>
          <w:rFonts w:ascii="Book Antiqua" w:hAnsi="Book Antiqua"/>
          <w:b/>
          <w:color w:val="000000" w:themeColor="text1"/>
          <w:sz w:val="24"/>
          <w:szCs w:val="24"/>
        </w:rPr>
        <w:t>67</w:t>
      </w:r>
      <w:r w:rsidRPr="0050576F">
        <w:rPr>
          <w:rFonts w:ascii="Book Antiqua" w:hAnsi="Book Antiqua"/>
          <w:color w:val="000000" w:themeColor="text1"/>
          <w:sz w:val="24"/>
          <w:szCs w:val="24"/>
        </w:rPr>
        <w:t>: 1823-1841 [PMID: 29149457 DOI: 10.1002/hep.29663]</w:t>
      </w:r>
    </w:p>
    <w:p w14:paraId="4A06676D"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lastRenderedPageBreak/>
        <w:t xml:space="preserve">19 </w:t>
      </w:r>
      <w:r w:rsidRPr="0050576F">
        <w:rPr>
          <w:rFonts w:ascii="Book Antiqua" w:hAnsi="Book Antiqua"/>
          <w:b/>
          <w:color w:val="000000" w:themeColor="text1"/>
          <w:sz w:val="24"/>
          <w:szCs w:val="24"/>
        </w:rPr>
        <w:t>Fitian AI</w:t>
      </w:r>
      <w:r w:rsidRPr="0050576F">
        <w:rPr>
          <w:rFonts w:ascii="Book Antiqua" w:hAnsi="Book Antiqua"/>
          <w:color w:val="000000" w:themeColor="text1"/>
          <w:sz w:val="24"/>
          <w:szCs w:val="24"/>
        </w:rPr>
        <w:t xml:space="preserve">, Cabrera R. Disease monitoring of hepatocellular carcinoma through metabolomics. </w:t>
      </w:r>
      <w:r w:rsidRPr="0050576F">
        <w:rPr>
          <w:rFonts w:ascii="Book Antiqua" w:hAnsi="Book Antiqua"/>
          <w:i/>
          <w:color w:val="000000" w:themeColor="text1"/>
          <w:sz w:val="24"/>
          <w:szCs w:val="24"/>
        </w:rPr>
        <w:t>World J Hepatol</w:t>
      </w:r>
      <w:r w:rsidRPr="0050576F">
        <w:rPr>
          <w:rFonts w:ascii="Book Antiqua" w:hAnsi="Book Antiqua"/>
          <w:color w:val="000000" w:themeColor="text1"/>
          <w:sz w:val="24"/>
          <w:szCs w:val="24"/>
        </w:rPr>
        <w:t xml:space="preserve"> 2017; </w:t>
      </w:r>
      <w:r w:rsidRPr="0050576F">
        <w:rPr>
          <w:rFonts w:ascii="Book Antiqua" w:hAnsi="Book Antiqua"/>
          <w:b/>
          <w:color w:val="000000" w:themeColor="text1"/>
          <w:sz w:val="24"/>
          <w:szCs w:val="24"/>
        </w:rPr>
        <w:t>9</w:t>
      </w:r>
      <w:r w:rsidRPr="0050576F">
        <w:rPr>
          <w:rFonts w:ascii="Book Antiqua" w:hAnsi="Book Antiqua"/>
          <w:color w:val="000000" w:themeColor="text1"/>
          <w:sz w:val="24"/>
          <w:szCs w:val="24"/>
        </w:rPr>
        <w:t>: 1-17 [PMID: 28105254 DOI: 10.4254/wjh.v9.i1.1]</w:t>
      </w:r>
    </w:p>
    <w:p w14:paraId="72BAA12D"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20 </w:t>
      </w:r>
      <w:r w:rsidRPr="0050576F">
        <w:rPr>
          <w:rFonts w:ascii="Book Antiqua" w:hAnsi="Book Antiqua"/>
          <w:b/>
          <w:color w:val="000000" w:themeColor="text1"/>
          <w:sz w:val="24"/>
          <w:szCs w:val="24"/>
        </w:rPr>
        <w:t>Wise DR</w:t>
      </w:r>
      <w:r w:rsidRPr="0050576F">
        <w:rPr>
          <w:rFonts w:ascii="Book Antiqua" w:hAnsi="Book Antiqua"/>
          <w:color w:val="000000" w:themeColor="text1"/>
          <w:sz w:val="24"/>
          <w:szCs w:val="24"/>
        </w:rPr>
        <w:t xml:space="preserve">, Thompson CB. Glutamine addiction: a new therapeutic target in cancer. </w:t>
      </w:r>
      <w:r w:rsidRPr="0050576F">
        <w:rPr>
          <w:rFonts w:ascii="Book Antiqua" w:hAnsi="Book Antiqua"/>
          <w:i/>
          <w:color w:val="000000" w:themeColor="text1"/>
          <w:sz w:val="24"/>
          <w:szCs w:val="24"/>
        </w:rPr>
        <w:t>Trends Biochem Sci</w:t>
      </w:r>
      <w:r w:rsidRPr="0050576F">
        <w:rPr>
          <w:rFonts w:ascii="Book Antiqua" w:hAnsi="Book Antiqua"/>
          <w:color w:val="000000" w:themeColor="text1"/>
          <w:sz w:val="24"/>
          <w:szCs w:val="24"/>
        </w:rPr>
        <w:t xml:space="preserve"> 2010; </w:t>
      </w:r>
      <w:r w:rsidRPr="0050576F">
        <w:rPr>
          <w:rFonts w:ascii="Book Antiqua" w:hAnsi="Book Antiqua"/>
          <w:b/>
          <w:color w:val="000000" w:themeColor="text1"/>
          <w:sz w:val="24"/>
          <w:szCs w:val="24"/>
        </w:rPr>
        <w:t>35</w:t>
      </w:r>
      <w:r w:rsidRPr="0050576F">
        <w:rPr>
          <w:rFonts w:ascii="Book Antiqua" w:hAnsi="Book Antiqua"/>
          <w:color w:val="000000" w:themeColor="text1"/>
          <w:sz w:val="24"/>
          <w:szCs w:val="24"/>
        </w:rPr>
        <w:t>: 427-433 [PMID: 20570523 DOI: 10.1016/j.tibs.2010.05.003]</w:t>
      </w:r>
    </w:p>
    <w:p w14:paraId="7CC640B7"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21 </w:t>
      </w:r>
      <w:r w:rsidRPr="0050576F">
        <w:rPr>
          <w:rFonts w:ascii="Book Antiqua" w:hAnsi="Book Antiqua"/>
          <w:b/>
          <w:color w:val="000000" w:themeColor="text1"/>
          <w:sz w:val="24"/>
          <w:szCs w:val="24"/>
        </w:rPr>
        <w:t>Tremosini S</w:t>
      </w:r>
      <w:r w:rsidRPr="0050576F">
        <w:rPr>
          <w:rFonts w:ascii="Book Antiqua" w:hAnsi="Book Antiqua"/>
          <w:color w:val="000000" w:themeColor="text1"/>
          <w:sz w:val="24"/>
          <w:szCs w:val="24"/>
        </w:rPr>
        <w:t xml:space="preserve">, Forner A, Boix L, Vilana R, Bianchi L, Reig M, Rimola J, Rodríguez-Lope C, Ayuso C, Solé M, Bruix J. Prospective validation of an immunohistochemical panel (glypican 3, heat shock protein 70 and glutamine synthetase) in liver biopsies for diagnosis of very early hepatocellular carcinoma. </w:t>
      </w:r>
      <w:r w:rsidRPr="0050576F">
        <w:rPr>
          <w:rFonts w:ascii="Book Antiqua" w:hAnsi="Book Antiqua"/>
          <w:i/>
          <w:color w:val="000000" w:themeColor="text1"/>
          <w:sz w:val="24"/>
          <w:szCs w:val="24"/>
        </w:rPr>
        <w:t>Gut</w:t>
      </w:r>
      <w:r w:rsidRPr="0050576F">
        <w:rPr>
          <w:rFonts w:ascii="Book Antiqua" w:hAnsi="Book Antiqua"/>
          <w:color w:val="000000" w:themeColor="text1"/>
          <w:sz w:val="24"/>
          <w:szCs w:val="24"/>
        </w:rPr>
        <w:t xml:space="preserve"> 2012; </w:t>
      </w:r>
      <w:r w:rsidRPr="0050576F">
        <w:rPr>
          <w:rFonts w:ascii="Book Antiqua" w:hAnsi="Book Antiqua"/>
          <w:b/>
          <w:color w:val="000000" w:themeColor="text1"/>
          <w:sz w:val="24"/>
          <w:szCs w:val="24"/>
        </w:rPr>
        <w:t>61</w:t>
      </w:r>
      <w:r w:rsidRPr="0050576F">
        <w:rPr>
          <w:rFonts w:ascii="Book Antiqua" w:hAnsi="Book Antiqua"/>
          <w:color w:val="000000" w:themeColor="text1"/>
          <w:sz w:val="24"/>
          <w:szCs w:val="24"/>
        </w:rPr>
        <w:t>: 1481-1487 [PMID: 22287594 DOI: 10.1136/gutjnl-2011-301862]</w:t>
      </w:r>
    </w:p>
    <w:p w14:paraId="5CADB8F8"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22 </w:t>
      </w:r>
      <w:r w:rsidRPr="0050576F">
        <w:rPr>
          <w:rFonts w:ascii="Book Antiqua" w:hAnsi="Book Antiqua"/>
          <w:b/>
          <w:color w:val="000000" w:themeColor="text1"/>
          <w:sz w:val="24"/>
          <w:szCs w:val="24"/>
        </w:rPr>
        <w:t>Howard SC</w:t>
      </w:r>
      <w:r w:rsidRPr="0050576F">
        <w:rPr>
          <w:rFonts w:ascii="Book Antiqua" w:hAnsi="Book Antiqua"/>
          <w:color w:val="000000" w:themeColor="text1"/>
          <w:sz w:val="24"/>
          <w:szCs w:val="24"/>
        </w:rPr>
        <w:t xml:space="preserve">, Jones DP, Pui CH. The tumor lysis syndrome. </w:t>
      </w:r>
      <w:r w:rsidRPr="0050576F">
        <w:rPr>
          <w:rFonts w:ascii="Book Antiqua" w:hAnsi="Book Antiqua"/>
          <w:i/>
          <w:color w:val="000000" w:themeColor="text1"/>
          <w:sz w:val="24"/>
          <w:szCs w:val="24"/>
        </w:rPr>
        <w:t>N Engl J Med</w:t>
      </w:r>
      <w:r w:rsidRPr="0050576F">
        <w:rPr>
          <w:rFonts w:ascii="Book Antiqua" w:hAnsi="Book Antiqua"/>
          <w:color w:val="000000" w:themeColor="text1"/>
          <w:sz w:val="24"/>
          <w:szCs w:val="24"/>
        </w:rPr>
        <w:t xml:space="preserve"> 2011; </w:t>
      </w:r>
      <w:r w:rsidRPr="0050576F">
        <w:rPr>
          <w:rFonts w:ascii="Book Antiqua" w:hAnsi="Book Antiqua"/>
          <w:b/>
          <w:color w:val="000000" w:themeColor="text1"/>
          <w:sz w:val="24"/>
          <w:szCs w:val="24"/>
        </w:rPr>
        <w:t>364</w:t>
      </w:r>
      <w:r w:rsidRPr="0050576F">
        <w:rPr>
          <w:rFonts w:ascii="Book Antiqua" w:hAnsi="Book Antiqua"/>
          <w:color w:val="000000" w:themeColor="text1"/>
          <w:sz w:val="24"/>
          <w:szCs w:val="24"/>
        </w:rPr>
        <w:t>: 1844-1854 [PMID: 21561350 DOI: 10.1056/NEJMra0904569]</w:t>
      </w:r>
    </w:p>
    <w:p w14:paraId="0F9DF21D" w14:textId="77777777"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23 </w:t>
      </w:r>
      <w:r w:rsidRPr="0050576F">
        <w:rPr>
          <w:rFonts w:ascii="Book Antiqua" w:hAnsi="Book Antiqua"/>
          <w:b/>
          <w:color w:val="000000" w:themeColor="text1"/>
          <w:sz w:val="24"/>
          <w:szCs w:val="24"/>
        </w:rPr>
        <w:t>McPhail MJW</w:t>
      </w:r>
      <w:r w:rsidRPr="0050576F">
        <w:rPr>
          <w:rFonts w:ascii="Book Antiqua" w:hAnsi="Book Antiqua"/>
          <w:color w:val="000000" w:themeColor="text1"/>
          <w:sz w:val="24"/>
          <w:szCs w:val="24"/>
        </w:rPr>
        <w:t xml:space="preserve">, Shawcross DL, Lewis MR, Coltart I, Want EJ, Antoniades CG, Veselkov K, Triantafyllou E, Patel V, Pop O, Gomez-Romero M, Kyriakides M, Zia R, Abeles RD, Crossey MME, Jassem W, O'Grady J, Heaton N, Auzinger G, Bernal W, Quaglia A, Coen M, Nicholson JK, Wendon JA, Holmes E, Taylor-Robinson SD. Multivariate metabotyping of plasma predicts survival in patients with decompensated cirrhosis. </w:t>
      </w:r>
      <w:r w:rsidRPr="0050576F">
        <w:rPr>
          <w:rFonts w:ascii="Book Antiqua" w:hAnsi="Book Antiqua"/>
          <w:i/>
          <w:color w:val="000000" w:themeColor="text1"/>
          <w:sz w:val="24"/>
          <w:szCs w:val="24"/>
        </w:rPr>
        <w:t>J Hepatol</w:t>
      </w:r>
      <w:r w:rsidRPr="0050576F">
        <w:rPr>
          <w:rFonts w:ascii="Book Antiqua" w:hAnsi="Book Antiqua"/>
          <w:color w:val="000000" w:themeColor="text1"/>
          <w:sz w:val="24"/>
          <w:szCs w:val="24"/>
        </w:rPr>
        <w:t xml:space="preserve"> 2016; </w:t>
      </w:r>
      <w:r w:rsidRPr="0050576F">
        <w:rPr>
          <w:rFonts w:ascii="Book Antiqua" w:hAnsi="Book Antiqua"/>
          <w:b/>
          <w:color w:val="000000" w:themeColor="text1"/>
          <w:sz w:val="24"/>
          <w:szCs w:val="24"/>
        </w:rPr>
        <w:t>64</w:t>
      </w:r>
      <w:r w:rsidRPr="0050576F">
        <w:rPr>
          <w:rFonts w:ascii="Book Antiqua" w:hAnsi="Book Antiqua"/>
          <w:color w:val="000000" w:themeColor="text1"/>
          <w:sz w:val="24"/>
          <w:szCs w:val="24"/>
        </w:rPr>
        <w:t>: 1058-1067 [PMID: 26795831 DOI: 10.1016/j.jhep.2016.01.003]</w:t>
      </w:r>
    </w:p>
    <w:p w14:paraId="7D7AF4B4" w14:textId="62D1A9BB" w:rsidR="000C00B0" w:rsidRPr="0050576F" w:rsidRDefault="000C00B0" w:rsidP="0050576F">
      <w:pPr>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24 </w:t>
      </w:r>
      <w:r w:rsidRPr="0050576F">
        <w:rPr>
          <w:rFonts w:ascii="Book Antiqua" w:hAnsi="Book Antiqua"/>
          <w:b/>
          <w:color w:val="000000" w:themeColor="text1"/>
          <w:sz w:val="24"/>
          <w:szCs w:val="24"/>
        </w:rPr>
        <w:t>Xiao JF</w:t>
      </w:r>
      <w:r w:rsidRPr="0050576F">
        <w:rPr>
          <w:rFonts w:ascii="Book Antiqua" w:hAnsi="Book Antiqua"/>
          <w:color w:val="000000" w:themeColor="text1"/>
          <w:sz w:val="24"/>
          <w:szCs w:val="24"/>
        </w:rPr>
        <w:t xml:space="preserve">, Varghese RS, Zhou B, Nezami Ranjbar MR, Zhao Y, Tsai TH, Di Poto C, Wang J, Goerlitz D, Luo Y, Cheema AK, Sarhan N, Soliman H, Tadesse MG, Ziada DH, Ressom HW. LC-MS based serum metabolomics for identification of hepatocellular carcinoma biomarkers in Egyptian cohort. </w:t>
      </w:r>
      <w:r w:rsidRPr="0050576F">
        <w:rPr>
          <w:rFonts w:ascii="Book Antiqua" w:hAnsi="Book Antiqua"/>
          <w:i/>
          <w:color w:val="000000" w:themeColor="text1"/>
          <w:sz w:val="24"/>
          <w:szCs w:val="24"/>
        </w:rPr>
        <w:t>J Proteome Res</w:t>
      </w:r>
      <w:r w:rsidRPr="0050576F">
        <w:rPr>
          <w:rFonts w:ascii="Book Antiqua" w:hAnsi="Book Antiqua"/>
          <w:color w:val="000000" w:themeColor="text1"/>
          <w:sz w:val="24"/>
          <w:szCs w:val="24"/>
        </w:rPr>
        <w:t xml:space="preserve"> 2012; </w:t>
      </w:r>
      <w:r w:rsidRPr="0050576F">
        <w:rPr>
          <w:rFonts w:ascii="Book Antiqua" w:hAnsi="Book Antiqua"/>
          <w:b/>
          <w:color w:val="000000" w:themeColor="text1"/>
          <w:sz w:val="24"/>
          <w:szCs w:val="24"/>
        </w:rPr>
        <w:t>11</w:t>
      </w:r>
      <w:r w:rsidRPr="0050576F">
        <w:rPr>
          <w:rFonts w:ascii="Book Antiqua" w:hAnsi="Book Antiqua"/>
          <w:color w:val="000000" w:themeColor="text1"/>
          <w:sz w:val="24"/>
          <w:szCs w:val="24"/>
        </w:rPr>
        <w:t>: 5914-5923 [PMID: 23078175 DOI: 10.1021/pr300673x]</w:t>
      </w:r>
    </w:p>
    <w:p w14:paraId="055D051E" w14:textId="77777777" w:rsidR="0086736D" w:rsidRPr="0050576F" w:rsidRDefault="0086736D" w:rsidP="0050576F">
      <w:pPr>
        <w:widowControl/>
        <w:snapToGrid w:val="0"/>
        <w:spacing w:line="360" w:lineRule="auto"/>
        <w:rPr>
          <w:rFonts w:ascii="Book Antiqua" w:hAnsi="Book Antiqua"/>
          <w:b/>
          <w:sz w:val="24"/>
          <w:szCs w:val="24"/>
        </w:rPr>
      </w:pPr>
      <w:r w:rsidRPr="0050576F">
        <w:rPr>
          <w:rFonts w:ascii="Book Antiqua" w:hAnsi="Book Antiqua"/>
          <w:b/>
          <w:sz w:val="24"/>
          <w:szCs w:val="24"/>
        </w:rPr>
        <w:br w:type="page"/>
      </w:r>
    </w:p>
    <w:p w14:paraId="328A8A84" w14:textId="20695E8D" w:rsidR="000C00B0" w:rsidRPr="0050576F" w:rsidRDefault="000C00B0" w:rsidP="0050576F">
      <w:pPr>
        <w:adjustRightInd w:val="0"/>
        <w:snapToGrid w:val="0"/>
        <w:spacing w:line="360" w:lineRule="auto"/>
        <w:rPr>
          <w:rFonts w:ascii="Book Antiqua" w:hAnsi="Book Antiqua"/>
          <w:b/>
          <w:sz w:val="24"/>
          <w:szCs w:val="24"/>
        </w:rPr>
      </w:pPr>
      <w:r w:rsidRPr="0050576F">
        <w:rPr>
          <w:rFonts w:ascii="Book Antiqua" w:hAnsi="Book Antiqua"/>
          <w:b/>
          <w:sz w:val="24"/>
          <w:szCs w:val="24"/>
        </w:rPr>
        <w:lastRenderedPageBreak/>
        <w:t>Footnotes</w:t>
      </w:r>
    </w:p>
    <w:p w14:paraId="07F0AE4B" w14:textId="3CC3F41A" w:rsidR="000C00B0" w:rsidRPr="0050576F" w:rsidRDefault="000C00B0" w:rsidP="0050576F">
      <w:pPr>
        <w:adjustRightInd w:val="0"/>
        <w:snapToGrid w:val="0"/>
        <w:spacing w:line="360" w:lineRule="auto"/>
        <w:rPr>
          <w:rFonts w:ascii="Book Antiqua" w:hAnsi="Book Antiqua" w:cstheme="minorHAnsi"/>
          <w:sz w:val="24"/>
          <w:szCs w:val="24"/>
        </w:rPr>
      </w:pPr>
      <w:r w:rsidRPr="0050576F">
        <w:rPr>
          <w:rFonts w:ascii="Book Antiqua" w:hAnsi="Book Antiqua"/>
          <w:b/>
          <w:color w:val="000000"/>
          <w:sz w:val="24"/>
          <w:szCs w:val="24"/>
          <w:lang w:val="hu-HU"/>
        </w:rPr>
        <w:t>Institutional review board statement:</w:t>
      </w:r>
      <w:r w:rsidRPr="0050576F">
        <w:rPr>
          <w:rFonts w:ascii="Book Antiqua" w:hAnsi="Book Antiqua"/>
          <w:color w:val="000000"/>
          <w:sz w:val="24"/>
          <w:szCs w:val="24"/>
          <w:lang w:val="hu-HU"/>
        </w:rPr>
        <w:t xml:space="preserve"> </w:t>
      </w:r>
      <w:r w:rsidRPr="0050576F">
        <w:rPr>
          <w:rFonts w:ascii="Book Antiqua" w:hAnsi="Book Antiqua" w:cstheme="minorHAnsi"/>
          <w:sz w:val="24"/>
          <w:szCs w:val="24"/>
        </w:rPr>
        <w:t>The study was approved by the Ethics Committee of Xiangya Hospital, Central South University</w:t>
      </w:r>
      <w:r w:rsidR="006D7117" w:rsidRPr="0050576F">
        <w:rPr>
          <w:rFonts w:ascii="Book Antiqua" w:hAnsi="Book Antiqua" w:cstheme="minorHAnsi"/>
          <w:sz w:val="24"/>
          <w:szCs w:val="24"/>
        </w:rPr>
        <w:t xml:space="preserve"> </w:t>
      </w:r>
      <w:r w:rsidRPr="0050576F">
        <w:rPr>
          <w:rFonts w:ascii="Book Antiqua" w:hAnsi="Book Antiqua" w:cstheme="minorHAnsi"/>
          <w:sz w:val="24"/>
          <w:szCs w:val="24"/>
        </w:rPr>
        <w:t>(Changsha, China).</w:t>
      </w:r>
    </w:p>
    <w:p w14:paraId="489ABC5F" w14:textId="77777777" w:rsidR="000C00B0" w:rsidRPr="0050576F" w:rsidRDefault="000C00B0" w:rsidP="0050576F">
      <w:pPr>
        <w:adjustRightInd w:val="0"/>
        <w:snapToGrid w:val="0"/>
        <w:spacing w:line="360" w:lineRule="auto"/>
        <w:rPr>
          <w:rFonts w:ascii="Book Antiqua" w:hAnsi="Book Antiqua" w:cstheme="minorBidi"/>
          <w:sz w:val="24"/>
          <w:szCs w:val="24"/>
        </w:rPr>
      </w:pPr>
    </w:p>
    <w:p w14:paraId="6726FB45" w14:textId="7D0CAE4C" w:rsidR="006D7117" w:rsidRPr="0050576F" w:rsidRDefault="006D7117" w:rsidP="0050576F">
      <w:pPr>
        <w:snapToGrid w:val="0"/>
        <w:spacing w:line="360" w:lineRule="auto"/>
        <w:rPr>
          <w:rFonts w:ascii="Book Antiqua" w:hAnsi="Book Antiqua"/>
          <w:sz w:val="24"/>
          <w:szCs w:val="24"/>
        </w:rPr>
      </w:pPr>
      <w:r w:rsidRPr="0050576F">
        <w:rPr>
          <w:rFonts w:ascii="Book Antiqua" w:hAnsi="Book Antiqua"/>
          <w:b/>
          <w:color w:val="000000"/>
          <w:sz w:val="24"/>
          <w:szCs w:val="24"/>
        </w:rPr>
        <w:t>Informed consent statement</w:t>
      </w:r>
      <w:r w:rsidRPr="0050576F">
        <w:rPr>
          <w:rFonts w:ascii="Book Antiqua" w:hAnsi="Book Antiqua"/>
          <w:b/>
          <w:bCs/>
          <w:iCs/>
          <w:sz w:val="24"/>
          <w:szCs w:val="24"/>
        </w:rPr>
        <w:t xml:space="preserve">: </w:t>
      </w:r>
      <w:r w:rsidRPr="0050576F">
        <w:rPr>
          <w:rFonts w:ascii="Book Antiqua" w:hAnsi="Book Antiqua"/>
          <w:sz w:val="24"/>
          <w:szCs w:val="24"/>
          <w:lang w:eastAsia="fr-FR"/>
        </w:rPr>
        <w:t>The patients gave informed consent.</w:t>
      </w:r>
    </w:p>
    <w:p w14:paraId="6E023E90" w14:textId="77777777" w:rsidR="006D7117" w:rsidRPr="0050576F" w:rsidRDefault="006D7117" w:rsidP="0050576F">
      <w:pPr>
        <w:adjustRightInd w:val="0"/>
        <w:snapToGrid w:val="0"/>
        <w:spacing w:line="360" w:lineRule="auto"/>
        <w:rPr>
          <w:rFonts w:ascii="Book Antiqua" w:hAnsi="Book Antiqua" w:cstheme="minorBidi"/>
          <w:b/>
          <w:sz w:val="24"/>
          <w:szCs w:val="24"/>
        </w:rPr>
      </w:pPr>
    </w:p>
    <w:p w14:paraId="7B5F49C9" w14:textId="309B83B8" w:rsidR="000C00B0" w:rsidRPr="0050576F" w:rsidRDefault="000C00B0" w:rsidP="0050576F">
      <w:pPr>
        <w:adjustRightInd w:val="0"/>
        <w:snapToGrid w:val="0"/>
        <w:spacing w:line="360" w:lineRule="auto"/>
        <w:rPr>
          <w:rFonts w:ascii="Book Antiqua" w:hAnsi="Book Antiqua" w:cstheme="minorBidi"/>
          <w:sz w:val="24"/>
          <w:szCs w:val="24"/>
        </w:rPr>
      </w:pPr>
      <w:r w:rsidRPr="0050576F">
        <w:rPr>
          <w:rFonts w:ascii="Book Antiqua" w:hAnsi="Book Antiqua" w:cstheme="minorBidi"/>
          <w:b/>
          <w:sz w:val="24"/>
          <w:szCs w:val="24"/>
          <w:lang w:val="hu-HU"/>
        </w:rPr>
        <w:t>Conflict-of-interest statement:</w:t>
      </w:r>
      <w:r w:rsidRPr="0050576F">
        <w:rPr>
          <w:rFonts w:ascii="Book Antiqua" w:hAnsi="Book Antiqua" w:cstheme="minorBidi"/>
          <w:sz w:val="24"/>
          <w:szCs w:val="24"/>
        </w:rPr>
        <w:t xml:space="preserve"> The authors have declared that no competing interests exist.</w:t>
      </w:r>
    </w:p>
    <w:p w14:paraId="5918EBB4" w14:textId="77777777" w:rsidR="000C00B0" w:rsidRPr="0050576F" w:rsidRDefault="000C00B0" w:rsidP="0050576F">
      <w:pPr>
        <w:adjustRightInd w:val="0"/>
        <w:snapToGrid w:val="0"/>
        <w:spacing w:line="360" w:lineRule="auto"/>
        <w:rPr>
          <w:rFonts w:ascii="Book Antiqua" w:hAnsi="Book Antiqua" w:cstheme="minorBidi"/>
          <w:sz w:val="24"/>
          <w:szCs w:val="24"/>
        </w:rPr>
      </w:pPr>
    </w:p>
    <w:p w14:paraId="119EAAD2" w14:textId="3A2D30E3" w:rsidR="000C00B0" w:rsidRPr="0050576F" w:rsidRDefault="000C00B0" w:rsidP="0050576F">
      <w:pPr>
        <w:adjustRightInd w:val="0"/>
        <w:snapToGrid w:val="0"/>
        <w:spacing w:line="360" w:lineRule="auto"/>
        <w:rPr>
          <w:rFonts w:ascii="Book Antiqua" w:hAnsi="Book Antiqua" w:cstheme="minorHAnsi"/>
          <w:sz w:val="24"/>
          <w:szCs w:val="24"/>
        </w:rPr>
      </w:pPr>
      <w:r w:rsidRPr="0050576F">
        <w:rPr>
          <w:rFonts w:ascii="Book Antiqua" w:hAnsi="Book Antiqua" w:cstheme="minorHAnsi"/>
          <w:b/>
          <w:sz w:val="24"/>
          <w:szCs w:val="24"/>
        </w:rPr>
        <w:t>Data sharing statement</w:t>
      </w:r>
      <w:r w:rsidRPr="0050576F">
        <w:rPr>
          <w:rFonts w:ascii="Book Antiqua" w:hAnsi="Book Antiqua" w:cstheme="minorHAnsi"/>
          <w:sz w:val="24"/>
          <w:szCs w:val="24"/>
        </w:rPr>
        <w:t xml:space="preserve">: Technical appendix, statistical code, and dataset available from the corresponding author at </w:t>
      </w:r>
      <w:r w:rsidRPr="0050576F">
        <w:rPr>
          <w:rFonts w:ascii="Book Antiqua" w:hAnsi="Book Antiqua" w:cstheme="minorHAnsi"/>
          <w:sz w:val="24"/>
          <w:szCs w:val="24"/>
          <w:u w:val="single"/>
        </w:rPr>
        <w:t>xgfan@hotmail.com.</w:t>
      </w:r>
    </w:p>
    <w:p w14:paraId="0F0BE514" w14:textId="77777777" w:rsidR="000C00B0" w:rsidRPr="0050576F" w:rsidRDefault="000C00B0" w:rsidP="0050576F">
      <w:pPr>
        <w:adjustRightInd w:val="0"/>
        <w:snapToGrid w:val="0"/>
        <w:spacing w:line="360" w:lineRule="auto"/>
        <w:rPr>
          <w:rFonts w:ascii="Book Antiqua" w:hAnsi="Book Antiqua" w:cstheme="minorHAnsi"/>
          <w:sz w:val="24"/>
          <w:szCs w:val="24"/>
        </w:rPr>
      </w:pPr>
    </w:p>
    <w:p w14:paraId="70A0013C" w14:textId="2D250C67" w:rsidR="006D7117" w:rsidRPr="0050576F" w:rsidRDefault="006D7117" w:rsidP="0050576F">
      <w:pPr>
        <w:tabs>
          <w:tab w:val="left" w:pos="9000"/>
        </w:tabs>
        <w:adjustRightInd w:val="0"/>
        <w:snapToGrid w:val="0"/>
        <w:spacing w:line="360" w:lineRule="auto"/>
        <w:rPr>
          <w:rFonts w:ascii="Book Antiqua" w:hAnsi="Book Antiqua"/>
          <w:sz w:val="24"/>
          <w:szCs w:val="24"/>
        </w:rPr>
      </w:pPr>
      <w:r w:rsidRPr="0050576F">
        <w:rPr>
          <w:rFonts w:ascii="Book Antiqua" w:hAnsi="Book Antiqua"/>
          <w:b/>
          <w:sz w:val="24"/>
          <w:szCs w:val="24"/>
        </w:rPr>
        <w:t xml:space="preserve">STROBE Statement: </w:t>
      </w:r>
      <w:r w:rsidRPr="0050576F">
        <w:rPr>
          <w:rFonts w:ascii="Book Antiqua" w:hAnsi="Book Antiqua"/>
          <w:sz w:val="24"/>
          <w:szCs w:val="24"/>
        </w:rPr>
        <w:t>The authors have read the STROBE Statement-checklist of items, and the manuscript was prepared and revised according to the STROBE Statement-checklist of items.</w:t>
      </w:r>
    </w:p>
    <w:p w14:paraId="7197F833" w14:textId="77777777" w:rsidR="0086736D" w:rsidRPr="0050576F" w:rsidRDefault="0086736D" w:rsidP="0050576F">
      <w:pPr>
        <w:adjustRightInd w:val="0"/>
        <w:snapToGrid w:val="0"/>
        <w:spacing w:line="360" w:lineRule="auto"/>
        <w:rPr>
          <w:rFonts w:ascii="Book Antiqua" w:hAnsi="Book Antiqua" w:cstheme="minorHAnsi"/>
          <w:sz w:val="24"/>
          <w:szCs w:val="24"/>
        </w:rPr>
      </w:pPr>
    </w:p>
    <w:p w14:paraId="4E01F9B6" w14:textId="77777777" w:rsidR="0086736D" w:rsidRPr="0050576F" w:rsidRDefault="0086736D" w:rsidP="0050576F">
      <w:pPr>
        <w:widowControl/>
        <w:adjustRightInd w:val="0"/>
        <w:snapToGrid w:val="0"/>
        <w:spacing w:line="360" w:lineRule="auto"/>
        <w:rPr>
          <w:rFonts w:ascii="Book Antiqua" w:hAnsi="Book Antiqua"/>
          <w:color w:val="000000"/>
          <w:kern w:val="0"/>
          <w:sz w:val="24"/>
          <w:szCs w:val="24"/>
          <w:lang w:val="hu-HU" w:eastAsia="en-US"/>
        </w:rPr>
      </w:pPr>
      <w:bookmarkStart w:id="70" w:name="OLE_LINK856"/>
      <w:r w:rsidRPr="0050576F">
        <w:rPr>
          <w:rFonts w:ascii="Book Antiqua" w:hAnsi="Book Antiqua"/>
          <w:b/>
          <w:color w:val="000000"/>
          <w:kern w:val="0"/>
          <w:sz w:val="24"/>
          <w:szCs w:val="24"/>
          <w:lang w:eastAsia="en-US"/>
        </w:rPr>
        <w:t>Open-Access:</w:t>
      </w:r>
      <w:r w:rsidRPr="0050576F">
        <w:rPr>
          <w:rFonts w:ascii="Book Antiqua" w:hAnsi="Book Antiqua"/>
          <w:color w:val="000000"/>
          <w:kern w:val="0"/>
          <w:sz w:val="24"/>
          <w:szCs w:val="24"/>
          <w:lang w:eastAsia="en-US"/>
        </w:rPr>
        <w:t xml:space="preserve"> </w:t>
      </w:r>
      <w:bookmarkStart w:id="71" w:name="OLE_LINK494"/>
      <w:bookmarkStart w:id="72" w:name="OLE_LINK495"/>
      <w:r w:rsidRPr="0050576F">
        <w:rPr>
          <w:rFonts w:ascii="Book Antiqua" w:hAnsi="Book Antiqua"/>
          <w:color w:val="000000"/>
          <w:kern w:val="0"/>
          <w:sz w:val="24"/>
          <w:szCs w:val="24"/>
          <w:lang w:eastAsia="en-US"/>
        </w:rPr>
        <w:t xml:space="preserve">This article is an open-access </w:t>
      </w:r>
      <w:r w:rsidRPr="0050576F">
        <w:rPr>
          <w:rFonts w:ascii="Book Antiqua" w:hAnsi="Book Antiqua"/>
          <w:kern w:val="0"/>
          <w:sz w:val="24"/>
          <w:szCs w:val="24"/>
          <w:lang w:eastAsia="en-US"/>
        </w:rPr>
        <w:t xml:space="preserve">article that was selected </w:t>
      </w:r>
      <w:r w:rsidRPr="0050576F">
        <w:rPr>
          <w:rFonts w:ascii="Book Antiqua" w:hAnsi="Book Antiqua"/>
          <w:color w:val="000000"/>
          <w:kern w:val="0"/>
          <w:sz w:val="24"/>
          <w:szCs w:val="24"/>
          <w:lang w:eastAsia="en-US"/>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71"/>
      <w:bookmarkEnd w:id="72"/>
    </w:p>
    <w:p w14:paraId="2F59B0E9" w14:textId="77777777" w:rsidR="000C00B0" w:rsidRPr="0050576F" w:rsidRDefault="000C00B0" w:rsidP="0050576F">
      <w:pPr>
        <w:adjustRightInd w:val="0"/>
        <w:snapToGrid w:val="0"/>
        <w:spacing w:line="360" w:lineRule="auto"/>
        <w:rPr>
          <w:rFonts w:ascii="Book Antiqua" w:hAnsi="Book Antiqua"/>
          <w:color w:val="000000"/>
          <w:sz w:val="24"/>
          <w:szCs w:val="24"/>
          <w:lang w:val="hu-HU"/>
        </w:rPr>
      </w:pPr>
    </w:p>
    <w:bookmarkEnd w:id="70"/>
    <w:p w14:paraId="64679D18" w14:textId="4EC050B2" w:rsidR="000C00B0" w:rsidRPr="0050576F" w:rsidRDefault="000C00B0" w:rsidP="0050576F">
      <w:pPr>
        <w:adjustRightInd w:val="0"/>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lang w:eastAsia="pl-PL"/>
        </w:rPr>
        <w:t xml:space="preserve">Manuscript source: </w:t>
      </w:r>
      <w:r w:rsidRPr="0050576F">
        <w:rPr>
          <w:rFonts w:ascii="Book Antiqua" w:hAnsi="Book Antiqua"/>
          <w:bCs/>
          <w:color w:val="000000" w:themeColor="text1"/>
          <w:sz w:val="24"/>
          <w:szCs w:val="24"/>
          <w:lang w:eastAsia="pl-PL"/>
        </w:rPr>
        <w:t>Unsolicited </w:t>
      </w:r>
      <w:r w:rsidR="006D7117" w:rsidRPr="0050576F">
        <w:rPr>
          <w:rFonts w:ascii="Book Antiqua" w:hAnsi="Book Antiqua"/>
          <w:bCs/>
          <w:color w:val="000000" w:themeColor="text1"/>
          <w:sz w:val="24"/>
          <w:szCs w:val="24"/>
          <w:lang w:eastAsia="pl-PL"/>
        </w:rPr>
        <w:t>manuscript</w:t>
      </w:r>
    </w:p>
    <w:p w14:paraId="56B72331" w14:textId="77777777" w:rsidR="000C00B0" w:rsidRPr="0050576F" w:rsidRDefault="000C00B0" w:rsidP="0050576F">
      <w:pPr>
        <w:snapToGrid w:val="0"/>
        <w:spacing w:line="360" w:lineRule="auto"/>
        <w:rPr>
          <w:rFonts w:ascii="Book Antiqua" w:hAnsi="Book Antiqua"/>
          <w:b/>
          <w:color w:val="000000" w:themeColor="text1"/>
          <w:sz w:val="24"/>
          <w:szCs w:val="24"/>
        </w:rPr>
      </w:pPr>
    </w:p>
    <w:p w14:paraId="4ACDF65A" w14:textId="40F7277E" w:rsidR="000C00B0" w:rsidRPr="0050576F" w:rsidRDefault="000C00B0"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 xml:space="preserve">Peer-review started: </w:t>
      </w:r>
      <w:r w:rsidRPr="0050576F">
        <w:rPr>
          <w:rFonts w:ascii="Book Antiqua" w:hAnsi="Book Antiqua"/>
          <w:color w:val="000000" w:themeColor="text1"/>
          <w:sz w:val="24"/>
          <w:szCs w:val="24"/>
        </w:rPr>
        <w:t xml:space="preserve">March </w:t>
      </w:r>
      <w:r w:rsidR="0086736D" w:rsidRPr="0050576F">
        <w:rPr>
          <w:rFonts w:ascii="Book Antiqua" w:hAnsi="Book Antiqua"/>
          <w:color w:val="000000" w:themeColor="text1"/>
          <w:sz w:val="24"/>
          <w:szCs w:val="24"/>
        </w:rPr>
        <w:t>19</w:t>
      </w:r>
      <w:r w:rsidRPr="0050576F">
        <w:rPr>
          <w:rFonts w:ascii="Book Antiqua" w:hAnsi="Book Antiqua"/>
          <w:color w:val="000000" w:themeColor="text1"/>
          <w:sz w:val="24"/>
          <w:szCs w:val="24"/>
        </w:rPr>
        <w:t>, 2020</w:t>
      </w:r>
    </w:p>
    <w:p w14:paraId="5A70B595" w14:textId="6C3313A2" w:rsidR="000C00B0" w:rsidRPr="0050576F" w:rsidRDefault="000C00B0"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 xml:space="preserve">First decision: </w:t>
      </w:r>
      <w:r w:rsidRPr="0050576F">
        <w:rPr>
          <w:rFonts w:ascii="Book Antiqua" w:hAnsi="Book Antiqua"/>
          <w:color w:val="000000" w:themeColor="text1"/>
          <w:sz w:val="24"/>
          <w:szCs w:val="24"/>
        </w:rPr>
        <w:t>April 1</w:t>
      </w:r>
      <w:r w:rsidR="0086736D" w:rsidRPr="0050576F">
        <w:rPr>
          <w:rFonts w:ascii="Book Antiqua" w:hAnsi="Book Antiqua"/>
          <w:color w:val="000000" w:themeColor="text1"/>
          <w:sz w:val="24"/>
          <w:szCs w:val="24"/>
        </w:rPr>
        <w:t>8</w:t>
      </w:r>
      <w:r w:rsidRPr="0050576F">
        <w:rPr>
          <w:rFonts w:ascii="Book Antiqua" w:hAnsi="Book Antiqua"/>
          <w:color w:val="000000" w:themeColor="text1"/>
          <w:sz w:val="24"/>
          <w:szCs w:val="24"/>
        </w:rPr>
        <w:t>, 2020</w:t>
      </w:r>
    </w:p>
    <w:p w14:paraId="30F2FBA2" w14:textId="21C1A438" w:rsidR="000C00B0" w:rsidRPr="0050576F" w:rsidRDefault="000C00B0"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Article in press:</w:t>
      </w:r>
      <w:r w:rsidR="00331EE1" w:rsidRPr="00331EE1">
        <w:rPr>
          <w:rFonts w:ascii="Book Antiqua" w:hAnsi="Book Antiqua" w:cs="Arial"/>
          <w:color w:val="000000"/>
          <w:sz w:val="24"/>
          <w:szCs w:val="24"/>
          <w:shd w:val="clear" w:color="auto" w:fill="FFFFFF"/>
        </w:rPr>
        <w:t xml:space="preserve"> </w:t>
      </w:r>
      <w:r w:rsidR="00331EE1" w:rsidRPr="00961308">
        <w:rPr>
          <w:rFonts w:ascii="Book Antiqua" w:hAnsi="Book Antiqua" w:cs="Arial"/>
          <w:color w:val="000000"/>
          <w:sz w:val="24"/>
          <w:szCs w:val="24"/>
          <w:shd w:val="clear" w:color="auto" w:fill="FFFFFF"/>
        </w:rPr>
        <w:t>July 22, 2020</w:t>
      </w:r>
    </w:p>
    <w:p w14:paraId="74AC3BE8" w14:textId="77777777" w:rsidR="000C00B0" w:rsidRPr="0050576F" w:rsidRDefault="000C00B0" w:rsidP="0050576F">
      <w:pPr>
        <w:snapToGrid w:val="0"/>
        <w:spacing w:line="360" w:lineRule="auto"/>
        <w:rPr>
          <w:rFonts w:ascii="Book Antiqua" w:hAnsi="Book Antiqua"/>
          <w:b/>
          <w:color w:val="000000" w:themeColor="text1"/>
          <w:sz w:val="24"/>
          <w:szCs w:val="24"/>
        </w:rPr>
      </w:pPr>
    </w:p>
    <w:p w14:paraId="0E832D1E" w14:textId="77777777" w:rsidR="000C00B0" w:rsidRPr="0050576F" w:rsidRDefault="000C00B0" w:rsidP="0050576F">
      <w:pPr>
        <w:adjustRightInd w:val="0"/>
        <w:snapToGrid w:val="0"/>
        <w:spacing w:line="360" w:lineRule="auto"/>
        <w:rPr>
          <w:rFonts w:ascii="Book Antiqua" w:eastAsia="微软雅黑" w:hAnsi="Book Antiqua" w:cs="宋体"/>
          <w:color w:val="000000" w:themeColor="text1"/>
          <w:sz w:val="24"/>
          <w:szCs w:val="24"/>
        </w:rPr>
      </w:pPr>
      <w:r w:rsidRPr="0050576F">
        <w:rPr>
          <w:rFonts w:ascii="Book Antiqua" w:hAnsi="Book Antiqua" w:cs="宋体"/>
          <w:b/>
          <w:color w:val="000000" w:themeColor="text1"/>
          <w:sz w:val="24"/>
          <w:szCs w:val="24"/>
        </w:rPr>
        <w:lastRenderedPageBreak/>
        <w:t xml:space="preserve">Specialty type: </w:t>
      </w:r>
      <w:r w:rsidRPr="0050576F">
        <w:rPr>
          <w:rFonts w:ascii="Book Antiqua" w:eastAsia="微软雅黑" w:hAnsi="Book Antiqua" w:cs="宋体"/>
          <w:color w:val="000000" w:themeColor="text1"/>
          <w:sz w:val="24"/>
          <w:szCs w:val="24"/>
        </w:rPr>
        <w:t>Gastroenterology and hepatology</w:t>
      </w:r>
    </w:p>
    <w:p w14:paraId="596698DC" w14:textId="77777777" w:rsidR="000C00B0" w:rsidRPr="0050576F" w:rsidRDefault="000C00B0" w:rsidP="0050576F">
      <w:pPr>
        <w:adjustRightInd w:val="0"/>
        <w:snapToGrid w:val="0"/>
        <w:spacing w:line="360" w:lineRule="auto"/>
        <w:rPr>
          <w:rFonts w:ascii="Book Antiqua" w:hAnsi="Book Antiqua" w:cs="宋体"/>
          <w:color w:val="000000" w:themeColor="text1"/>
          <w:sz w:val="24"/>
          <w:szCs w:val="24"/>
        </w:rPr>
      </w:pPr>
      <w:r w:rsidRPr="0050576F">
        <w:rPr>
          <w:rFonts w:ascii="Book Antiqua" w:hAnsi="Book Antiqua" w:cs="宋体"/>
          <w:b/>
          <w:color w:val="000000" w:themeColor="text1"/>
          <w:sz w:val="24"/>
          <w:szCs w:val="24"/>
        </w:rPr>
        <w:t xml:space="preserve">Country of origin: </w:t>
      </w:r>
      <w:r w:rsidRPr="0050576F">
        <w:rPr>
          <w:rFonts w:ascii="Book Antiqua" w:hAnsi="Book Antiqua"/>
          <w:color w:val="000000" w:themeColor="text1"/>
          <w:sz w:val="24"/>
          <w:szCs w:val="24"/>
        </w:rPr>
        <w:t>China</w:t>
      </w:r>
    </w:p>
    <w:p w14:paraId="50031C44" w14:textId="77777777" w:rsidR="000C00B0" w:rsidRPr="0050576F" w:rsidRDefault="000C00B0" w:rsidP="0050576F">
      <w:pPr>
        <w:adjustRightInd w:val="0"/>
        <w:snapToGrid w:val="0"/>
        <w:spacing w:line="360" w:lineRule="auto"/>
        <w:rPr>
          <w:rFonts w:ascii="Book Antiqua" w:hAnsi="Book Antiqua" w:cs="宋体"/>
          <w:b/>
          <w:color w:val="000000" w:themeColor="text1"/>
          <w:sz w:val="24"/>
          <w:szCs w:val="24"/>
        </w:rPr>
      </w:pPr>
      <w:r w:rsidRPr="0050576F">
        <w:rPr>
          <w:rFonts w:ascii="Book Antiqua" w:hAnsi="Book Antiqua" w:cs="宋体"/>
          <w:b/>
          <w:color w:val="000000" w:themeColor="text1"/>
          <w:sz w:val="24"/>
          <w:szCs w:val="24"/>
        </w:rPr>
        <w:t>Peer-review report classification</w:t>
      </w:r>
    </w:p>
    <w:p w14:paraId="22604F92" w14:textId="77777777" w:rsidR="000C00B0" w:rsidRPr="0050576F" w:rsidRDefault="000C00B0" w:rsidP="0050576F">
      <w:pPr>
        <w:adjustRightInd w:val="0"/>
        <w:snapToGrid w:val="0"/>
        <w:spacing w:line="360" w:lineRule="auto"/>
        <w:rPr>
          <w:rFonts w:ascii="Book Antiqua" w:hAnsi="Book Antiqua" w:cs="宋体"/>
          <w:color w:val="000000" w:themeColor="text1"/>
          <w:sz w:val="24"/>
          <w:szCs w:val="24"/>
        </w:rPr>
      </w:pPr>
      <w:r w:rsidRPr="0050576F">
        <w:rPr>
          <w:rFonts w:ascii="Book Antiqua" w:hAnsi="Book Antiqua" w:cs="宋体"/>
          <w:color w:val="000000" w:themeColor="text1"/>
          <w:sz w:val="24"/>
          <w:szCs w:val="24"/>
        </w:rPr>
        <w:t>Grade A (Excellent): 0</w:t>
      </w:r>
    </w:p>
    <w:p w14:paraId="63D958F9" w14:textId="2BB336FA" w:rsidR="000C00B0" w:rsidRPr="0050576F" w:rsidRDefault="000C00B0" w:rsidP="0050576F">
      <w:pPr>
        <w:adjustRightInd w:val="0"/>
        <w:snapToGrid w:val="0"/>
        <w:spacing w:line="360" w:lineRule="auto"/>
        <w:rPr>
          <w:rFonts w:ascii="Book Antiqua" w:hAnsi="Book Antiqua" w:cs="宋体"/>
          <w:color w:val="000000" w:themeColor="text1"/>
          <w:sz w:val="24"/>
          <w:szCs w:val="24"/>
        </w:rPr>
      </w:pPr>
      <w:r w:rsidRPr="0050576F">
        <w:rPr>
          <w:rFonts w:ascii="Book Antiqua" w:hAnsi="Book Antiqua" w:cs="宋体"/>
          <w:color w:val="000000" w:themeColor="text1"/>
          <w:sz w:val="24"/>
          <w:szCs w:val="24"/>
        </w:rPr>
        <w:t xml:space="preserve">Grade B (Very good): </w:t>
      </w:r>
      <w:r w:rsidR="0086736D" w:rsidRPr="0050576F">
        <w:rPr>
          <w:rFonts w:ascii="Book Antiqua" w:hAnsi="Book Antiqua" w:cs="宋体"/>
          <w:color w:val="000000" w:themeColor="text1"/>
          <w:sz w:val="24"/>
          <w:szCs w:val="24"/>
        </w:rPr>
        <w:t>0</w:t>
      </w:r>
    </w:p>
    <w:p w14:paraId="2437267E" w14:textId="14256510" w:rsidR="000C00B0" w:rsidRPr="0050576F" w:rsidRDefault="000C00B0" w:rsidP="0050576F">
      <w:pPr>
        <w:adjustRightInd w:val="0"/>
        <w:snapToGrid w:val="0"/>
        <w:spacing w:line="360" w:lineRule="auto"/>
        <w:rPr>
          <w:rFonts w:ascii="Book Antiqua" w:hAnsi="Book Antiqua" w:cs="宋体"/>
          <w:color w:val="000000" w:themeColor="text1"/>
          <w:sz w:val="24"/>
          <w:szCs w:val="24"/>
        </w:rPr>
      </w:pPr>
      <w:r w:rsidRPr="0050576F">
        <w:rPr>
          <w:rFonts w:ascii="Book Antiqua" w:hAnsi="Book Antiqua" w:cs="宋体"/>
          <w:color w:val="000000" w:themeColor="text1"/>
          <w:sz w:val="24"/>
          <w:szCs w:val="24"/>
        </w:rPr>
        <w:t xml:space="preserve">Grade C (Good): </w:t>
      </w:r>
      <w:r w:rsidR="0086736D" w:rsidRPr="0050576F">
        <w:rPr>
          <w:rFonts w:ascii="Book Antiqua" w:hAnsi="Book Antiqua" w:cs="宋体"/>
          <w:color w:val="000000" w:themeColor="text1"/>
          <w:sz w:val="24"/>
          <w:szCs w:val="24"/>
        </w:rPr>
        <w:t>C, C</w:t>
      </w:r>
    </w:p>
    <w:p w14:paraId="72CC8809" w14:textId="77777777" w:rsidR="000C00B0" w:rsidRPr="0050576F" w:rsidRDefault="000C00B0" w:rsidP="0050576F">
      <w:pPr>
        <w:adjustRightInd w:val="0"/>
        <w:snapToGrid w:val="0"/>
        <w:spacing w:line="360" w:lineRule="auto"/>
        <w:rPr>
          <w:rFonts w:ascii="Book Antiqua" w:hAnsi="Book Antiqua" w:cs="宋体"/>
          <w:color w:val="000000" w:themeColor="text1"/>
          <w:sz w:val="24"/>
          <w:szCs w:val="24"/>
        </w:rPr>
      </w:pPr>
      <w:r w:rsidRPr="0050576F">
        <w:rPr>
          <w:rFonts w:ascii="Book Antiqua" w:hAnsi="Book Antiqua" w:cs="宋体"/>
          <w:color w:val="000000" w:themeColor="text1"/>
          <w:sz w:val="24"/>
          <w:szCs w:val="24"/>
        </w:rPr>
        <w:t>Grade D (Fair): 0</w:t>
      </w:r>
    </w:p>
    <w:p w14:paraId="2B8BC06D" w14:textId="77777777" w:rsidR="000C00B0" w:rsidRPr="0050576F" w:rsidRDefault="000C00B0" w:rsidP="0050576F">
      <w:pPr>
        <w:adjustRightInd w:val="0"/>
        <w:snapToGrid w:val="0"/>
        <w:spacing w:line="360" w:lineRule="auto"/>
        <w:rPr>
          <w:rFonts w:ascii="Book Antiqua" w:eastAsia="等线" w:hAnsi="Book Antiqua"/>
          <w:color w:val="000000" w:themeColor="text1"/>
          <w:sz w:val="24"/>
          <w:szCs w:val="24"/>
          <w:lang w:val="hu-HU"/>
        </w:rPr>
      </w:pPr>
      <w:r w:rsidRPr="0050576F">
        <w:rPr>
          <w:rFonts w:ascii="Book Antiqua" w:hAnsi="Book Antiqua" w:cs="宋体"/>
          <w:color w:val="000000" w:themeColor="text1"/>
          <w:sz w:val="24"/>
          <w:szCs w:val="24"/>
        </w:rPr>
        <w:t>Grade E (Poor): 0</w:t>
      </w:r>
      <w:bookmarkStart w:id="73" w:name="_GoBack"/>
      <w:bookmarkEnd w:id="73"/>
    </w:p>
    <w:p w14:paraId="2B61D284" w14:textId="77777777" w:rsidR="000C00B0" w:rsidRPr="0050576F" w:rsidRDefault="000C00B0" w:rsidP="0050576F">
      <w:pPr>
        <w:snapToGrid w:val="0"/>
        <w:spacing w:line="360" w:lineRule="auto"/>
        <w:rPr>
          <w:rFonts w:ascii="Book Antiqua" w:hAnsi="Book Antiqua"/>
          <w:color w:val="000000" w:themeColor="text1"/>
          <w:sz w:val="24"/>
          <w:szCs w:val="24"/>
          <w:lang w:val="hu-HU"/>
        </w:rPr>
      </w:pPr>
    </w:p>
    <w:p w14:paraId="53D6492F" w14:textId="3B813CDF" w:rsidR="0086736D" w:rsidRPr="0050576F" w:rsidRDefault="000C00B0" w:rsidP="0050576F">
      <w:pPr>
        <w:snapToGrid w:val="0"/>
        <w:spacing w:line="360" w:lineRule="auto"/>
        <w:rPr>
          <w:rFonts w:ascii="Book Antiqua" w:hAnsi="Book Antiqua"/>
          <w:b/>
          <w:bCs/>
          <w:color w:val="000000" w:themeColor="text1"/>
          <w:sz w:val="24"/>
          <w:szCs w:val="24"/>
        </w:rPr>
      </w:pPr>
      <w:r w:rsidRPr="0050576F">
        <w:rPr>
          <w:rStyle w:val="ab"/>
          <w:rFonts w:ascii="Book Antiqua" w:hAnsi="Book Antiqua" w:cs="Arial"/>
          <w:bCs w:val="0"/>
          <w:noProof/>
          <w:color w:val="000000" w:themeColor="text1"/>
          <w:sz w:val="24"/>
          <w:szCs w:val="24"/>
        </w:rPr>
        <w:t xml:space="preserve">P-Reviewer: </w:t>
      </w:r>
      <w:r w:rsidR="0086736D" w:rsidRPr="0050576F">
        <w:rPr>
          <w:rFonts w:ascii="Book Antiqua" w:hAnsi="Book Antiqua"/>
          <w:color w:val="000000" w:themeColor="text1"/>
          <w:sz w:val="24"/>
          <w:szCs w:val="24"/>
        </w:rPr>
        <w:t>Lopez-Guerrero</w:t>
      </w:r>
      <w:r w:rsidRPr="0050576F">
        <w:rPr>
          <w:rFonts w:ascii="Book Antiqua" w:hAnsi="Book Antiqua"/>
          <w:color w:val="000000" w:themeColor="text1"/>
          <w:sz w:val="24"/>
          <w:szCs w:val="24"/>
        </w:rPr>
        <w:t xml:space="preserve"> </w:t>
      </w:r>
      <w:r w:rsidR="0086736D" w:rsidRPr="0050576F">
        <w:rPr>
          <w:rFonts w:ascii="Book Antiqua" w:hAnsi="Book Antiqua"/>
          <w:color w:val="000000" w:themeColor="text1"/>
          <w:sz w:val="24"/>
          <w:szCs w:val="24"/>
        </w:rPr>
        <w:t>J, Sallustio F</w:t>
      </w:r>
      <w:r w:rsidRPr="0050576F">
        <w:rPr>
          <w:rFonts w:ascii="Book Antiqua" w:hAnsi="Book Antiqua"/>
          <w:color w:val="000000" w:themeColor="text1"/>
          <w:sz w:val="24"/>
          <w:szCs w:val="24"/>
        </w:rPr>
        <w:t xml:space="preserve"> </w:t>
      </w:r>
      <w:r w:rsidRPr="0050576F">
        <w:rPr>
          <w:rFonts w:ascii="Book Antiqua" w:hAnsi="Book Antiqua"/>
          <w:b/>
          <w:bCs/>
          <w:color w:val="000000" w:themeColor="text1"/>
          <w:sz w:val="24"/>
          <w:szCs w:val="24"/>
        </w:rPr>
        <w:t xml:space="preserve">S-Editor: </w:t>
      </w:r>
      <w:r w:rsidR="0086736D" w:rsidRPr="0050576F">
        <w:rPr>
          <w:rFonts w:ascii="Book Antiqua" w:hAnsi="Book Antiqua"/>
          <w:color w:val="000000"/>
          <w:sz w:val="24"/>
          <w:szCs w:val="24"/>
        </w:rPr>
        <w:t>Zhang L</w:t>
      </w:r>
      <w:r w:rsidR="0086736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L-Editor:</w:t>
      </w:r>
      <w:r w:rsidR="008954E6" w:rsidRPr="0050576F">
        <w:rPr>
          <w:rFonts w:ascii="Book Antiqua" w:hAnsi="Book Antiqua"/>
          <w:b/>
          <w:bCs/>
          <w:color w:val="000000" w:themeColor="text1"/>
          <w:sz w:val="24"/>
          <w:szCs w:val="24"/>
        </w:rPr>
        <w:t xml:space="preserve"> </w:t>
      </w:r>
      <w:r w:rsidR="00465A95">
        <w:rPr>
          <w:rFonts w:ascii="Book Antiqua" w:hAnsi="Book Antiqua"/>
          <w:bCs/>
          <w:color w:val="000000" w:themeColor="text1"/>
          <w:sz w:val="24"/>
          <w:szCs w:val="24"/>
        </w:rPr>
        <w:t xml:space="preserve">Webster JR </w:t>
      </w:r>
      <w:r w:rsidRPr="0050576F">
        <w:rPr>
          <w:rFonts w:ascii="Book Antiqua" w:hAnsi="Book Antiqua"/>
          <w:b/>
          <w:bCs/>
          <w:color w:val="000000" w:themeColor="text1"/>
          <w:sz w:val="24"/>
          <w:szCs w:val="24"/>
        </w:rPr>
        <w:t>E-Editor:</w:t>
      </w:r>
      <w:r w:rsidR="00331EE1">
        <w:rPr>
          <w:rFonts w:ascii="Book Antiqua" w:hAnsi="Book Antiqua" w:hint="eastAsia"/>
          <w:b/>
          <w:bCs/>
          <w:color w:val="000000" w:themeColor="text1"/>
          <w:sz w:val="24"/>
          <w:szCs w:val="24"/>
        </w:rPr>
        <w:t xml:space="preserve"> </w:t>
      </w:r>
      <w:r w:rsidR="00331EE1" w:rsidRPr="00331EE1">
        <w:rPr>
          <w:rFonts w:ascii="Book Antiqua" w:hAnsi="Book Antiqua" w:hint="eastAsia"/>
          <w:bCs/>
          <w:color w:val="000000" w:themeColor="text1"/>
          <w:sz w:val="24"/>
          <w:szCs w:val="24"/>
        </w:rPr>
        <w:t>Wang LL</w:t>
      </w:r>
    </w:p>
    <w:p w14:paraId="569820FA" w14:textId="77777777" w:rsidR="0086736D" w:rsidRPr="0050576F" w:rsidRDefault="0086736D" w:rsidP="0050576F">
      <w:pPr>
        <w:widowControl/>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rPr>
        <w:br w:type="page"/>
      </w:r>
    </w:p>
    <w:p w14:paraId="05FF0688" w14:textId="77777777" w:rsidR="00E82FED" w:rsidRPr="0050576F" w:rsidRDefault="00E82FED" w:rsidP="0050576F">
      <w:pPr>
        <w:snapToGrid w:val="0"/>
        <w:spacing w:line="360" w:lineRule="auto"/>
        <w:rPr>
          <w:rFonts w:ascii="Book Antiqua" w:hAnsi="Book Antiqua"/>
          <w:b/>
          <w:bCs/>
          <w:color w:val="000000" w:themeColor="text1"/>
          <w:sz w:val="24"/>
          <w:szCs w:val="24"/>
        </w:rPr>
        <w:sectPr w:rsidR="00E82FED" w:rsidRPr="0050576F" w:rsidSect="0050576F">
          <w:footerReference w:type="default" r:id="rId11"/>
          <w:type w:val="continuous"/>
          <w:pgSz w:w="11907" w:h="16840"/>
          <w:pgMar w:top="1440" w:right="1800" w:bottom="1440" w:left="1800" w:header="709" w:footer="709" w:gutter="0"/>
          <w:cols w:space="0"/>
          <w:docGrid w:linePitch="190"/>
        </w:sectPr>
      </w:pPr>
    </w:p>
    <w:p w14:paraId="648B3A7D" w14:textId="626C89CD" w:rsidR="00EB3C3C" w:rsidRPr="0050576F" w:rsidRDefault="00730055" w:rsidP="0050576F">
      <w:pPr>
        <w:snapToGrid w:val="0"/>
        <w:spacing w:line="360" w:lineRule="auto"/>
        <w:rPr>
          <w:rFonts w:ascii="Book Antiqua" w:hAnsi="Book Antiqua" w:cs="宋体"/>
          <w:color w:val="000000" w:themeColor="text1"/>
          <w:sz w:val="24"/>
          <w:szCs w:val="24"/>
        </w:rPr>
      </w:pPr>
      <w:r w:rsidRPr="0050576F">
        <w:rPr>
          <w:rFonts w:ascii="Book Antiqua" w:eastAsia="Book Antiqua" w:hAnsi="Book Antiqua" w:cs="Book Antiqua"/>
          <w:b/>
          <w:color w:val="000000" w:themeColor="text1"/>
          <w:sz w:val="24"/>
          <w:szCs w:val="24"/>
        </w:rPr>
        <w:lastRenderedPageBreak/>
        <w:t>Figure Legends</w:t>
      </w:r>
    </w:p>
    <w:p w14:paraId="78EF7641" w14:textId="2B1BAACD" w:rsidR="00576DA8" w:rsidRPr="0050576F" w:rsidRDefault="00531E02" w:rsidP="0050576F">
      <w:pPr>
        <w:snapToGrid w:val="0"/>
        <w:spacing w:line="360" w:lineRule="auto"/>
        <w:rPr>
          <w:rFonts w:ascii="Book Antiqua" w:hAnsi="Book Antiqua" w:cs="宋体"/>
          <w:color w:val="000000" w:themeColor="text1"/>
          <w:sz w:val="24"/>
          <w:szCs w:val="24"/>
        </w:rPr>
      </w:pPr>
      <w:r w:rsidRPr="00531E02">
        <w:rPr>
          <w:noProof/>
        </w:rPr>
        <w:t xml:space="preserve"> </w:t>
      </w:r>
      <w:r>
        <w:rPr>
          <w:noProof/>
        </w:rPr>
        <w:drawing>
          <wp:inline distT="0" distB="0" distL="0" distR="0" wp14:anchorId="5F253C42" wp14:editId="1910E3C3">
            <wp:extent cx="5270500" cy="3892484"/>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0500" cy="3892484"/>
                    </a:xfrm>
                    <a:prstGeom prst="rect">
                      <a:avLst/>
                    </a:prstGeom>
                  </pic:spPr>
                </pic:pic>
              </a:graphicData>
            </a:graphic>
          </wp:inline>
        </w:drawing>
      </w:r>
    </w:p>
    <w:p w14:paraId="79B870F5" w14:textId="2FF0982B" w:rsidR="00EB3C3C" w:rsidRPr="0050576F" w:rsidRDefault="00730055" w:rsidP="0050576F">
      <w:pPr>
        <w:snapToGrid w:val="0"/>
        <w:spacing w:line="360" w:lineRule="auto"/>
        <w:rPr>
          <w:rFonts w:ascii="Book Antiqua" w:eastAsiaTheme="minorEastAsia" w:hAnsi="Book Antiqua" w:cstheme="minorBidi"/>
          <w:color w:val="000000" w:themeColor="text1"/>
          <w:sz w:val="24"/>
          <w:szCs w:val="24"/>
        </w:rPr>
      </w:pPr>
      <w:r w:rsidRPr="0050576F">
        <w:rPr>
          <w:rFonts w:ascii="Book Antiqua" w:hAnsi="Book Antiqua"/>
          <w:b/>
          <w:color w:val="000000" w:themeColor="text1"/>
          <w:sz w:val="24"/>
          <w:szCs w:val="24"/>
        </w:rPr>
        <w:t>Figure 1</w:t>
      </w:r>
      <w:r w:rsidR="0086736D"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Road map of data analysis.</w:t>
      </w:r>
      <w:r w:rsidR="0086736D" w:rsidRPr="0050576F">
        <w:rPr>
          <w:rFonts w:ascii="Book Antiqua" w:hAnsi="Book Antiqua"/>
          <w:b/>
          <w:color w:val="000000" w:themeColor="text1"/>
          <w:sz w:val="24"/>
          <w:szCs w:val="24"/>
        </w:rPr>
        <w:t xml:space="preserve"> </w:t>
      </w:r>
      <w:r w:rsidRPr="0050576F">
        <w:rPr>
          <w:rFonts w:ascii="Book Antiqua" w:eastAsiaTheme="minorEastAsia" w:hAnsi="Book Antiqua" w:cstheme="minorBidi"/>
          <w:color w:val="000000" w:themeColor="text1"/>
          <w:sz w:val="24"/>
          <w:szCs w:val="24"/>
        </w:rPr>
        <w:t>Road map of data analysis. Ordinary multivariate statistical analysis (</w:t>
      </w:r>
      <w:r w:rsidR="006D7117" w:rsidRPr="0050576F">
        <w:rPr>
          <w:rFonts w:ascii="Book Antiqua" w:eastAsiaTheme="minorEastAsia" w:hAnsi="Book Antiqua" w:cstheme="minorBidi"/>
          <w:color w:val="000000" w:themeColor="text1"/>
          <w:sz w:val="24"/>
          <w:szCs w:val="24"/>
        </w:rPr>
        <w:t>principal component analysis</w:t>
      </w:r>
      <w:r w:rsidRPr="0050576F">
        <w:rPr>
          <w:rFonts w:ascii="Book Antiqua" w:eastAsiaTheme="minorEastAsia" w:hAnsi="Book Antiqua" w:cstheme="minorBidi"/>
          <w:color w:val="000000" w:themeColor="text1"/>
          <w:sz w:val="24"/>
          <w:szCs w:val="24"/>
        </w:rPr>
        <w:t xml:space="preserve">, </w:t>
      </w:r>
      <w:r w:rsidR="006D7117" w:rsidRPr="0050576F">
        <w:rPr>
          <w:rFonts w:ascii="Book Antiqua" w:hAnsi="Book Antiqua"/>
          <w:color w:val="000000" w:themeColor="text1"/>
          <w:sz w:val="24"/>
          <w:szCs w:val="24"/>
        </w:rPr>
        <w:t>partial least squares discriminant analysis</w:t>
      </w:r>
      <w:r w:rsidRPr="0050576F">
        <w:rPr>
          <w:rFonts w:ascii="Book Antiqua" w:eastAsiaTheme="minorEastAsia" w:hAnsi="Book Antiqua" w:cstheme="minorBidi"/>
          <w:color w:val="000000" w:themeColor="text1"/>
          <w:sz w:val="24"/>
          <w:szCs w:val="24"/>
        </w:rPr>
        <w:t xml:space="preserve">, and </w:t>
      </w:r>
      <w:r w:rsidR="006D7117" w:rsidRPr="0050576F">
        <w:rPr>
          <w:rFonts w:ascii="Book Antiqua" w:hAnsi="Book Antiqua"/>
          <w:color w:val="000000" w:themeColor="text1"/>
          <w:sz w:val="24"/>
          <w:szCs w:val="24"/>
        </w:rPr>
        <w:t>orthogonal partial least squares discriminant analysis</w:t>
      </w:r>
      <w:r w:rsidRPr="0050576F">
        <w:rPr>
          <w:rFonts w:ascii="Book Antiqua" w:eastAsiaTheme="minorEastAsia" w:hAnsi="Book Antiqua" w:cstheme="minorBidi"/>
          <w:color w:val="000000" w:themeColor="text1"/>
          <w:sz w:val="24"/>
          <w:szCs w:val="24"/>
        </w:rPr>
        <w:t xml:space="preserve">) </w:t>
      </w:r>
      <w:r w:rsidRPr="0050576F">
        <w:rPr>
          <w:rFonts w:ascii="Book Antiqua" w:hAnsi="Book Antiqua" w:cstheme="minorBidi"/>
          <w:color w:val="000000" w:themeColor="text1"/>
          <w:sz w:val="24"/>
          <w:szCs w:val="24"/>
        </w:rPr>
        <w:t xml:space="preserve">were used </w:t>
      </w:r>
      <w:r w:rsidRPr="0050576F">
        <w:rPr>
          <w:rFonts w:ascii="Book Antiqua" w:eastAsiaTheme="minorEastAsia" w:hAnsi="Book Antiqua" w:cstheme="minorBidi"/>
          <w:color w:val="000000" w:themeColor="text1"/>
          <w:sz w:val="24"/>
          <w:szCs w:val="24"/>
        </w:rPr>
        <w:t>to describe the me</w:t>
      </w:r>
      <w:r w:rsidR="00465A95">
        <w:rPr>
          <w:rFonts w:ascii="Book Antiqua" w:eastAsiaTheme="minorEastAsia" w:hAnsi="Book Antiqua" w:cstheme="minorBidi"/>
          <w:color w:val="000000" w:themeColor="text1"/>
          <w:sz w:val="24"/>
          <w:szCs w:val="24"/>
        </w:rPr>
        <w:t>t</w:t>
      </w:r>
      <w:r w:rsidRPr="0050576F">
        <w:rPr>
          <w:rFonts w:ascii="Book Antiqua" w:eastAsiaTheme="minorEastAsia" w:hAnsi="Book Antiqua" w:cstheme="minorBidi"/>
          <w:color w:val="000000" w:themeColor="text1"/>
          <w:sz w:val="24"/>
          <w:szCs w:val="24"/>
        </w:rPr>
        <w:t>abolome</w:t>
      </w:r>
      <w:r w:rsidR="00465A95">
        <w:rPr>
          <w:rFonts w:ascii="Book Antiqua" w:eastAsiaTheme="minorEastAsia" w:hAnsi="Book Antiqua" w:cstheme="minorBidi"/>
          <w:color w:val="000000" w:themeColor="text1"/>
          <w:sz w:val="24"/>
          <w:szCs w:val="24"/>
        </w:rPr>
        <w:t xml:space="preserve"> </w:t>
      </w:r>
      <w:r w:rsidRPr="0050576F">
        <w:rPr>
          <w:rFonts w:ascii="Book Antiqua" w:eastAsiaTheme="minorEastAsia" w:hAnsi="Book Antiqua" w:cstheme="minorBidi"/>
          <w:color w:val="000000" w:themeColor="text1"/>
          <w:sz w:val="24"/>
          <w:szCs w:val="24"/>
        </w:rPr>
        <w:t>of the three group</w:t>
      </w:r>
      <w:r w:rsidR="00465A95">
        <w:rPr>
          <w:rFonts w:ascii="Book Antiqua" w:eastAsiaTheme="minorEastAsia" w:hAnsi="Book Antiqua" w:cstheme="minorBidi"/>
          <w:color w:val="000000" w:themeColor="text1"/>
          <w:sz w:val="24"/>
          <w:szCs w:val="24"/>
        </w:rPr>
        <w:t>s</w:t>
      </w:r>
      <w:r w:rsidRPr="0050576F">
        <w:rPr>
          <w:rFonts w:ascii="Book Antiqua" w:eastAsiaTheme="minorEastAsia" w:hAnsi="Book Antiqua" w:cstheme="minorBidi"/>
          <w:color w:val="000000" w:themeColor="text1"/>
          <w:sz w:val="24"/>
          <w:szCs w:val="24"/>
        </w:rPr>
        <w:t xml:space="preserve">. Pattern recognition analysis based on sequential feature selection combined with </w:t>
      </w:r>
      <w:r w:rsidR="006D7117" w:rsidRPr="0050576F">
        <w:rPr>
          <w:rFonts w:ascii="Book Antiqua" w:hAnsi="Book Antiqua"/>
          <w:color w:val="000000" w:themeColor="text1"/>
          <w:sz w:val="24"/>
          <w:szCs w:val="24"/>
        </w:rPr>
        <w:t>linear discriminant analysis</w:t>
      </w:r>
      <w:r w:rsidRPr="0050576F">
        <w:rPr>
          <w:rFonts w:ascii="Book Antiqua" w:eastAsiaTheme="minorEastAsia" w:hAnsi="Book Antiqua" w:cstheme="minorBidi"/>
          <w:color w:val="000000" w:themeColor="text1"/>
          <w:sz w:val="24"/>
          <w:szCs w:val="24"/>
        </w:rPr>
        <w:t xml:space="preserve"> were used to diagnose </w:t>
      </w:r>
      <w:r w:rsidR="006D7117" w:rsidRPr="0050576F">
        <w:rPr>
          <w:rFonts w:ascii="Book Antiqua" w:hAnsi="Book Antiqua"/>
          <w:color w:val="000000" w:themeColor="text1"/>
          <w:sz w:val="24"/>
          <w:szCs w:val="24"/>
        </w:rPr>
        <w:t>hepatocellular carcinoma</w:t>
      </w:r>
      <w:r w:rsidRPr="0050576F">
        <w:rPr>
          <w:rFonts w:ascii="Book Antiqua" w:eastAsiaTheme="minorEastAsia" w:hAnsi="Book Antiqua" w:cstheme="minorBidi"/>
          <w:color w:val="000000" w:themeColor="text1"/>
          <w:sz w:val="24"/>
          <w:szCs w:val="24"/>
        </w:rPr>
        <w:t xml:space="preserve">. </w:t>
      </w:r>
      <w:r w:rsidR="00465A95">
        <w:rPr>
          <w:rFonts w:ascii="Book Antiqua" w:eastAsiaTheme="minorEastAsia" w:hAnsi="Book Antiqua" w:cstheme="minorBidi"/>
          <w:color w:val="000000" w:themeColor="text1"/>
          <w:sz w:val="24"/>
          <w:szCs w:val="24"/>
        </w:rPr>
        <w:t xml:space="preserve">The </w:t>
      </w:r>
      <w:r w:rsidRPr="0050576F">
        <w:rPr>
          <w:rFonts w:ascii="Book Antiqua" w:eastAsiaTheme="minorEastAsia" w:hAnsi="Book Antiqua" w:cstheme="minorBidi"/>
          <w:color w:val="000000" w:themeColor="text1"/>
          <w:sz w:val="24"/>
          <w:szCs w:val="24"/>
        </w:rPr>
        <w:t>Kruskal–Wallis test w</w:t>
      </w:r>
      <w:r w:rsidR="00465A95">
        <w:rPr>
          <w:rFonts w:ascii="Book Antiqua" w:eastAsiaTheme="minorEastAsia" w:hAnsi="Book Antiqua" w:cstheme="minorBidi"/>
          <w:color w:val="000000" w:themeColor="text1"/>
          <w:sz w:val="24"/>
          <w:szCs w:val="24"/>
        </w:rPr>
        <w:t>as</w:t>
      </w:r>
      <w:r w:rsidRPr="0050576F">
        <w:rPr>
          <w:rFonts w:ascii="Book Antiqua" w:eastAsiaTheme="minorEastAsia" w:hAnsi="Book Antiqua" w:cstheme="minorBidi"/>
          <w:color w:val="000000" w:themeColor="text1"/>
          <w:sz w:val="24"/>
          <w:szCs w:val="24"/>
        </w:rPr>
        <w:t xml:space="preserve"> use</w:t>
      </w:r>
      <w:r w:rsidR="006D7117" w:rsidRPr="0050576F">
        <w:rPr>
          <w:rFonts w:ascii="Book Antiqua" w:eastAsiaTheme="minorEastAsia" w:hAnsi="Book Antiqua" w:cstheme="minorBidi"/>
          <w:color w:val="000000" w:themeColor="text1"/>
          <w:sz w:val="24"/>
          <w:szCs w:val="24"/>
        </w:rPr>
        <w:t>d</w:t>
      </w:r>
      <w:r w:rsidRPr="0050576F">
        <w:rPr>
          <w:rFonts w:ascii="Book Antiqua" w:eastAsiaTheme="minorEastAsia" w:hAnsi="Book Antiqua" w:cstheme="minorBidi"/>
          <w:color w:val="000000" w:themeColor="text1"/>
          <w:sz w:val="24"/>
          <w:szCs w:val="24"/>
        </w:rPr>
        <w:t xml:space="preserve"> to identify difference</w:t>
      </w:r>
      <w:r w:rsidR="00465A95">
        <w:rPr>
          <w:rFonts w:ascii="Book Antiqua" w:eastAsiaTheme="minorEastAsia" w:hAnsi="Book Antiqua" w:cstheme="minorBidi"/>
          <w:color w:val="000000" w:themeColor="text1"/>
          <w:sz w:val="24"/>
          <w:szCs w:val="24"/>
        </w:rPr>
        <w:t>s</w:t>
      </w:r>
      <w:r w:rsidRPr="0050576F">
        <w:rPr>
          <w:rFonts w:ascii="Book Antiqua" w:eastAsiaTheme="minorEastAsia" w:hAnsi="Book Antiqua" w:cstheme="minorBidi"/>
          <w:color w:val="000000" w:themeColor="text1"/>
          <w:sz w:val="24"/>
          <w:szCs w:val="24"/>
        </w:rPr>
        <w:t xml:space="preserve"> </w:t>
      </w:r>
      <w:r w:rsidR="00465A95">
        <w:rPr>
          <w:rFonts w:ascii="Book Antiqua" w:eastAsiaTheme="minorEastAsia" w:hAnsi="Book Antiqua" w:cstheme="minorBidi"/>
          <w:color w:val="000000" w:themeColor="text1"/>
          <w:sz w:val="24"/>
          <w:szCs w:val="24"/>
        </w:rPr>
        <w:t xml:space="preserve">in </w:t>
      </w:r>
      <w:r w:rsidRPr="0050576F">
        <w:rPr>
          <w:rFonts w:ascii="Book Antiqua" w:eastAsiaTheme="minorEastAsia" w:hAnsi="Book Antiqua" w:cstheme="minorBidi"/>
          <w:color w:val="000000" w:themeColor="text1"/>
          <w:sz w:val="24"/>
          <w:szCs w:val="24"/>
        </w:rPr>
        <w:t>metabolites.</w:t>
      </w:r>
      <w:bookmarkStart w:id="74" w:name="OLE_LINK455"/>
      <w:bookmarkStart w:id="75" w:name="OLE_LINK456"/>
      <w:bookmarkStart w:id="76" w:name="OLE_LINK467"/>
      <w:bookmarkStart w:id="77" w:name="OLE_LINK468"/>
      <w:r w:rsidR="006D7117" w:rsidRPr="0050576F">
        <w:rPr>
          <w:rFonts w:ascii="Book Antiqua" w:eastAsiaTheme="minorEastAsia" w:hAnsi="Book Antiqua" w:cstheme="minorBidi"/>
          <w:color w:val="000000" w:themeColor="text1"/>
          <w:sz w:val="24"/>
          <w:szCs w:val="24"/>
        </w:rPr>
        <w:t xml:space="preserve"> </w:t>
      </w:r>
      <w:r w:rsidR="000323A0" w:rsidRPr="0050576F">
        <w:rPr>
          <w:rFonts w:ascii="Book Antiqua" w:eastAsiaTheme="minorEastAsia" w:hAnsi="Book Antiqua" w:cstheme="minorBidi"/>
          <w:color w:val="000000" w:themeColor="text1"/>
          <w:sz w:val="24"/>
          <w:szCs w:val="24"/>
        </w:rPr>
        <w:t>PCA</w:t>
      </w:r>
      <w:bookmarkEnd w:id="74"/>
      <w:bookmarkEnd w:id="75"/>
      <w:r w:rsidR="000323A0" w:rsidRPr="0050576F">
        <w:rPr>
          <w:rFonts w:ascii="Book Antiqua" w:eastAsiaTheme="minorEastAsia" w:hAnsi="Book Antiqua" w:cstheme="minorBidi"/>
          <w:color w:val="000000" w:themeColor="text1"/>
          <w:sz w:val="24"/>
          <w:szCs w:val="24"/>
        </w:rPr>
        <w:t xml:space="preserve">: </w:t>
      </w:r>
      <w:r w:rsidR="000323A0" w:rsidRPr="0050576F">
        <w:rPr>
          <w:rFonts w:ascii="Book Antiqua" w:hAnsi="Book Antiqua"/>
          <w:color w:val="000000" w:themeColor="text1"/>
          <w:sz w:val="24"/>
          <w:szCs w:val="24"/>
        </w:rPr>
        <w:t>Principal component analysis</w:t>
      </w:r>
      <w:r w:rsidR="000323A0" w:rsidRPr="0050576F">
        <w:rPr>
          <w:rFonts w:ascii="Book Antiqua" w:eastAsiaTheme="minorEastAsia" w:hAnsi="Book Antiqua" w:cstheme="minorBidi"/>
          <w:color w:val="000000" w:themeColor="text1"/>
          <w:sz w:val="24"/>
          <w:szCs w:val="24"/>
        </w:rPr>
        <w:t>;</w:t>
      </w:r>
      <w:bookmarkEnd w:id="76"/>
      <w:bookmarkEnd w:id="77"/>
      <w:r w:rsidR="000323A0" w:rsidRPr="0050576F">
        <w:rPr>
          <w:rFonts w:ascii="Book Antiqua" w:eastAsiaTheme="minorEastAsia" w:hAnsi="Book Antiqua" w:cstheme="minorBidi"/>
          <w:color w:val="000000" w:themeColor="text1"/>
          <w:sz w:val="24"/>
          <w:szCs w:val="24"/>
        </w:rPr>
        <w:t xml:space="preserve"> PLS-DA: </w:t>
      </w:r>
      <w:r w:rsidR="000323A0" w:rsidRPr="0050576F">
        <w:rPr>
          <w:rFonts w:ascii="Book Antiqua" w:hAnsi="Book Antiqua"/>
          <w:color w:val="000000" w:themeColor="text1"/>
          <w:sz w:val="24"/>
          <w:szCs w:val="24"/>
        </w:rPr>
        <w:t>Partial least squares discriminant analysis;</w:t>
      </w:r>
      <w:r w:rsidR="000323A0" w:rsidRPr="0050576F">
        <w:rPr>
          <w:rFonts w:ascii="Book Antiqua" w:eastAsiaTheme="minorEastAsia" w:hAnsi="Book Antiqua" w:cstheme="minorBidi"/>
          <w:color w:val="000000" w:themeColor="text1"/>
          <w:sz w:val="24"/>
          <w:szCs w:val="24"/>
        </w:rPr>
        <w:t xml:space="preserve"> </w:t>
      </w:r>
      <w:bookmarkStart w:id="78" w:name="OLE_LINK473"/>
      <w:bookmarkStart w:id="79" w:name="OLE_LINK474"/>
      <w:r w:rsidR="000323A0" w:rsidRPr="0050576F">
        <w:rPr>
          <w:rFonts w:ascii="Book Antiqua" w:eastAsiaTheme="minorEastAsia" w:hAnsi="Book Antiqua" w:cstheme="minorBidi"/>
          <w:color w:val="000000" w:themeColor="text1"/>
          <w:sz w:val="24"/>
          <w:szCs w:val="24"/>
        </w:rPr>
        <w:t xml:space="preserve">OPLS-DA: </w:t>
      </w:r>
      <w:r w:rsidR="000323A0" w:rsidRPr="0050576F">
        <w:rPr>
          <w:rFonts w:ascii="Book Antiqua" w:hAnsi="Book Antiqua"/>
          <w:color w:val="000000" w:themeColor="text1"/>
          <w:sz w:val="24"/>
          <w:szCs w:val="24"/>
        </w:rPr>
        <w:t>Orthogonal partial least squares discriminant analysis</w:t>
      </w:r>
      <w:r w:rsidR="000323A0" w:rsidRPr="0050576F">
        <w:rPr>
          <w:rFonts w:ascii="Book Antiqua" w:eastAsiaTheme="minorEastAsia" w:hAnsi="Book Antiqua" w:cstheme="minorBidi"/>
          <w:color w:val="000000" w:themeColor="text1"/>
          <w:sz w:val="24"/>
          <w:szCs w:val="24"/>
        </w:rPr>
        <w:t>;</w:t>
      </w:r>
      <w:bookmarkEnd w:id="78"/>
      <w:bookmarkEnd w:id="79"/>
      <w:r w:rsidR="000323A0" w:rsidRPr="0050576F">
        <w:rPr>
          <w:rFonts w:ascii="Book Antiqua" w:eastAsiaTheme="minorEastAsia" w:hAnsi="Book Antiqua" w:cstheme="minorBidi"/>
          <w:color w:val="000000" w:themeColor="text1"/>
          <w:sz w:val="24"/>
          <w:szCs w:val="24"/>
        </w:rPr>
        <w:t xml:space="preserve"> </w:t>
      </w:r>
      <w:bookmarkStart w:id="80" w:name="OLE_LINK477"/>
      <w:bookmarkStart w:id="81" w:name="OLE_LINK478"/>
      <w:r w:rsidR="000323A0" w:rsidRPr="0050576F">
        <w:rPr>
          <w:rFonts w:ascii="Book Antiqua" w:eastAsiaTheme="minorEastAsia" w:hAnsi="Book Antiqua" w:cstheme="minorBidi"/>
          <w:color w:val="000000" w:themeColor="text1"/>
          <w:sz w:val="24"/>
          <w:szCs w:val="24"/>
        </w:rPr>
        <w:t xml:space="preserve">LDA: </w:t>
      </w:r>
      <w:r w:rsidR="000323A0" w:rsidRPr="0050576F">
        <w:rPr>
          <w:rFonts w:ascii="Book Antiqua" w:hAnsi="Book Antiqua"/>
          <w:color w:val="000000" w:themeColor="text1"/>
          <w:sz w:val="24"/>
          <w:szCs w:val="24"/>
        </w:rPr>
        <w:t>Linear discriminant analysis;</w:t>
      </w:r>
      <w:r w:rsidR="000323A0" w:rsidRPr="0050576F">
        <w:rPr>
          <w:rFonts w:ascii="Book Antiqua" w:eastAsiaTheme="minorEastAsia" w:hAnsi="Book Antiqua" w:cstheme="minorBidi"/>
          <w:color w:val="000000" w:themeColor="text1"/>
          <w:sz w:val="24"/>
          <w:szCs w:val="24"/>
        </w:rPr>
        <w:t xml:space="preserve"> HCC:</w:t>
      </w:r>
      <w:r w:rsidR="000323A0" w:rsidRPr="0050576F">
        <w:rPr>
          <w:rFonts w:ascii="Book Antiqua" w:hAnsi="Book Antiqua"/>
          <w:color w:val="000000" w:themeColor="text1"/>
          <w:sz w:val="24"/>
          <w:szCs w:val="24"/>
        </w:rPr>
        <w:t xml:space="preserve"> Hepatocellular carcinoma.</w:t>
      </w:r>
      <w:bookmarkEnd w:id="80"/>
      <w:bookmarkEnd w:id="81"/>
    </w:p>
    <w:p w14:paraId="33D25C58" w14:textId="77777777" w:rsidR="00EB3C3C" w:rsidRPr="0050576F" w:rsidRDefault="00EB3C3C" w:rsidP="0050576F">
      <w:pPr>
        <w:snapToGrid w:val="0"/>
        <w:spacing w:line="360" w:lineRule="auto"/>
        <w:rPr>
          <w:rFonts w:ascii="Book Antiqua" w:hAnsi="Book Antiqua"/>
          <w:b/>
          <w:color w:val="000000" w:themeColor="text1"/>
          <w:sz w:val="24"/>
          <w:szCs w:val="24"/>
        </w:rPr>
      </w:pPr>
    </w:p>
    <w:p w14:paraId="282D60D4" w14:textId="77777777" w:rsidR="00EB3C3C" w:rsidRPr="0050576F" w:rsidRDefault="00320ECC" w:rsidP="0050576F">
      <w:pPr>
        <w:snapToGrid w:val="0"/>
        <w:spacing w:line="360" w:lineRule="auto"/>
        <w:rPr>
          <w:rFonts w:ascii="Book Antiqua" w:hAnsi="Book Antiqua"/>
          <w:b/>
          <w:color w:val="000000" w:themeColor="text1"/>
          <w:sz w:val="24"/>
          <w:szCs w:val="24"/>
        </w:rPr>
      </w:pPr>
      <w:r w:rsidRPr="0050576F">
        <w:rPr>
          <w:rFonts w:ascii="Book Antiqua" w:hAnsi="Book Antiqua"/>
          <w:noProof/>
          <w:color w:val="000000" w:themeColor="text1"/>
          <w:sz w:val="24"/>
          <w:szCs w:val="24"/>
        </w:rPr>
        <w:lastRenderedPageBreak/>
        <w:drawing>
          <wp:inline distT="0" distB="0" distL="0" distR="0" wp14:anchorId="457123E6" wp14:editId="05751BEB">
            <wp:extent cx="5166159" cy="441791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516" cy="4423348"/>
                    </a:xfrm>
                    <a:prstGeom prst="rect">
                      <a:avLst/>
                    </a:prstGeom>
                    <a:noFill/>
                    <a:ln>
                      <a:noFill/>
                    </a:ln>
                  </pic:spPr>
                </pic:pic>
              </a:graphicData>
            </a:graphic>
          </wp:inline>
        </w:drawing>
      </w:r>
    </w:p>
    <w:p w14:paraId="7DE152A6" w14:textId="089CBE6E" w:rsidR="00320EC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color w:val="000000" w:themeColor="text1"/>
          <w:sz w:val="24"/>
          <w:szCs w:val="24"/>
        </w:rPr>
        <w:t>Figure 2</w:t>
      </w:r>
      <w:r w:rsidR="000323A0"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 xml:space="preserve">Principal component analysis. </w:t>
      </w:r>
      <w:r w:rsidRPr="0050576F">
        <w:rPr>
          <w:rFonts w:ascii="Book Antiqua" w:hAnsi="Book Antiqua"/>
          <w:color w:val="000000" w:themeColor="text1"/>
          <w:sz w:val="24"/>
          <w:szCs w:val="24"/>
        </w:rPr>
        <w:t>A</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The </w:t>
      </w:r>
      <w:r w:rsidR="006D7117" w:rsidRPr="0050576F">
        <w:rPr>
          <w:rFonts w:ascii="Book Antiqua" w:hAnsi="Book Antiqua"/>
          <w:color w:val="000000" w:themeColor="text1"/>
          <w:sz w:val="24"/>
          <w:szCs w:val="24"/>
        </w:rPr>
        <w:t>principal component analysis</w:t>
      </w:r>
      <w:r w:rsidRPr="0050576F">
        <w:rPr>
          <w:rFonts w:ascii="Book Antiqua" w:hAnsi="Book Antiqua"/>
          <w:color w:val="000000" w:themeColor="text1"/>
          <w:sz w:val="24"/>
          <w:szCs w:val="24"/>
        </w:rPr>
        <w:t xml:space="preserve"> score plot of all samples including </w:t>
      </w:r>
      <w:r w:rsidR="006D7117" w:rsidRPr="0050576F">
        <w:rPr>
          <w:rFonts w:ascii="Book Antiqua" w:hAnsi="Book Antiqua"/>
          <w:color w:val="000000" w:themeColor="text1"/>
          <w:sz w:val="24"/>
          <w:szCs w:val="24"/>
        </w:rPr>
        <w:t>quality control</w:t>
      </w:r>
      <w:r w:rsidRPr="0050576F">
        <w:rPr>
          <w:rFonts w:ascii="Book Antiqua" w:hAnsi="Book Antiqua"/>
          <w:color w:val="000000" w:themeColor="text1"/>
          <w:sz w:val="24"/>
          <w:szCs w:val="24"/>
        </w:rPr>
        <w:t xml:space="preserve"> samples. R2X</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0.134</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0.106</w:t>
      </w:r>
      <w:r w:rsidR="006D7117"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0323A0"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w:t>
      </w:r>
      <w:r w:rsidR="00F837A3" w:rsidRPr="0050576F">
        <w:rPr>
          <w:rFonts w:ascii="Book Antiqua" w:hAnsi="Book Antiqua"/>
          <w:color w:val="000000" w:themeColor="text1"/>
          <w:sz w:val="24"/>
          <w:szCs w:val="24"/>
        </w:rPr>
        <w:t xml:space="preserve">and </w:t>
      </w:r>
      <w:r w:rsidRPr="0050576F">
        <w:rPr>
          <w:rFonts w:ascii="Book Antiqua" w:hAnsi="Book Antiqua"/>
          <w:color w:val="000000" w:themeColor="text1"/>
          <w:sz w:val="24"/>
          <w:szCs w:val="24"/>
        </w:rPr>
        <w:t>B</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principal component analysis</w:t>
      </w:r>
      <w:r w:rsidRPr="0050576F">
        <w:rPr>
          <w:rFonts w:ascii="Book Antiqua" w:hAnsi="Book Antiqua"/>
          <w:color w:val="000000" w:themeColor="text1"/>
          <w:sz w:val="24"/>
          <w:szCs w:val="24"/>
        </w:rPr>
        <w:t xml:space="preserve"> scor</w:t>
      </w:r>
      <w:r w:rsidR="00F837A3" w:rsidRPr="0050576F">
        <w:rPr>
          <w:rFonts w:ascii="Book Antiqua" w:hAnsi="Book Antiqua"/>
          <w:color w:val="000000" w:themeColor="text1"/>
          <w:sz w:val="24"/>
          <w:szCs w:val="24"/>
        </w:rPr>
        <w:t>e plot of all three groups</w:t>
      </w:r>
      <w:r w:rsidR="00465A95">
        <w:rPr>
          <w:rFonts w:ascii="Book Antiqua" w:hAnsi="Book Antiqua"/>
          <w:color w:val="000000" w:themeColor="text1"/>
          <w:sz w:val="24"/>
          <w:szCs w:val="24"/>
        </w:rPr>
        <w:t>,</w:t>
      </w:r>
      <w:r w:rsidR="00F837A3" w:rsidRPr="0050576F">
        <w:rPr>
          <w:rFonts w:ascii="Book Antiqua" w:hAnsi="Book Antiqua"/>
          <w:color w:val="000000" w:themeColor="text1"/>
          <w:sz w:val="24"/>
          <w:szCs w:val="24"/>
        </w:rPr>
        <w:t xml:space="preserve"> hepatocellular carcinoma</w:t>
      </w:r>
      <w:r w:rsidRPr="0050576F">
        <w:rPr>
          <w:rFonts w:ascii="Book Antiqua" w:hAnsi="Book Antiqua"/>
          <w:color w:val="000000" w:themeColor="text1"/>
          <w:sz w:val="24"/>
          <w:szCs w:val="24"/>
        </w:rPr>
        <w:t xml:space="preserve"> </w:t>
      </w:r>
      <w:r w:rsidR="00465A95">
        <w:rPr>
          <w:rFonts w:ascii="Book Antiqua" w:hAnsi="Book Antiqua"/>
          <w:color w:val="000000" w:themeColor="text1"/>
          <w:sz w:val="24"/>
          <w:szCs w:val="24"/>
        </w:rPr>
        <w:t xml:space="preserve">group </w:t>
      </w:r>
      <w:r w:rsidRPr="0050576F">
        <w:rPr>
          <w:rFonts w:ascii="Book Antiqua" w:hAnsi="Book Antiqua"/>
          <w:color w:val="000000" w:themeColor="text1"/>
          <w:sz w:val="24"/>
          <w:szCs w:val="24"/>
        </w:rPr>
        <w:t>(C group) cirrhosis group (Y group), and health</w:t>
      </w:r>
      <w:r w:rsidR="00465A95">
        <w:rPr>
          <w:rFonts w:ascii="Book Antiqua" w:hAnsi="Book Antiqua"/>
          <w:color w:val="000000" w:themeColor="text1"/>
          <w:sz w:val="24"/>
          <w:szCs w:val="24"/>
        </w:rPr>
        <w:t>y</w:t>
      </w:r>
      <w:r w:rsidRPr="0050576F">
        <w:rPr>
          <w:rFonts w:ascii="Book Antiqua" w:hAnsi="Book Antiqua"/>
          <w:color w:val="000000" w:themeColor="text1"/>
          <w:sz w:val="24"/>
          <w:szCs w:val="24"/>
        </w:rPr>
        <w:t xml:space="preserve"> controls (N group). R2X</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0.139</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0.103</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0323A0" w:rsidRPr="0050576F">
        <w:rPr>
          <w:rFonts w:ascii="Book Antiqua" w:hAnsi="Book Antiqua"/>
          <w:color w:val="000000" w:themeColor="text1"/>
          <w:sz w:val="24"/>
          <w:szCs w:val="24"/>
        </w:rPr>
        <w:t xml:space="preserve"> QC: Quality control;</w:t>
      </w:r>
      <w:r w:rsidRPr="0050576F">
        <w:rPr>
          <w:rFonts w:ascii="Book Antiqua" w:hAnsi="Book Antiqua"/>
          <w:color w:val="000000" w:themeColor="text1"/>
          <w:sz w:val="24"/>
          <w:szCs w:val="24"/>
        </w:rPr>
        <w:t xml:space="preserve"> </w:t>
      </w:r>
      <w:r w:rsidR="000323A0" w:rsidRPr="0050576F">
        <w:rPr>
          <w:rFonts w:ascii="Book Antiqua" w:eastAsiaTheme="minorEastAsia" w:hAnsi="Book Antiqua" w:cstheme="minorBidi"/>
          <w:color w:val="000000" w:themeColor="text1"/>
          <w:sz w:val="24"/>
          <w:szCs w:val="24"/>
        </w:rPr>
        <w:t xml:space="preserve">PCA: </w:t>
      </w:r>
      <w:r w:rsidR="000323A0" w:rsidRPr="0050576F">
        <w:rPr>
          <w:rFonts w:ascii="Book Antiqua" w:hAnsi="Book Antiqua"/>
          <w:color w:val="000000" w:themeColor="text1"/>
          <w:sz w:val="24"/>
          <w:szCs w:val="24"/>
        </w:rPr>
        <w:t>Principal component analysis</w:t>
      </w:r>
      <w:r w:rsidR="000323A0" w:rsidRPr="0050576F">
        <w:rPr>
          <w:rFonts w:ascii="Book Antiqua" w:eastAsiaTheme="minorEastAsia" w:hAnsi="Book Antiqua" w:cstheme="minorBidi"/>
          <w:color w:val="000000" w:themeColor="text1"/>
          <w:sz w:val="24"/>
          <w:szCs w:val="24"/>
        </w:rPr>
        <w:t xml:space="preserve">; </w:t>
      </w:r>
      <w:bookmarkStart w:id="82" w:name="OLE_LINK475"/>
      <w:bookmarkStart w:id="83" w:name="OLE_LINK476"/>
      <w:r w:rsidR="000323A0" w:rsidRPr="0050576F">
        <w:rPr>
          <w:rFonts w:ascii="Book Antiqua" w:eastAsiaTheme="minorEastAsia" w:hAnsi="Book Antiqua" w:cstheme="minorBidi"/>
          <w:color w:val="000000" w:themeColor="text1"/>
          <w:sz w:val="24"/>
          <w:szCs w:val="24"/>
        </w:rPr>
        <w:t>HCC:</w:t>
      </w:r>
      <w:r w:rsidR="000323A0" w:rsidRPr="0050576F">
        <w:rPr>
          <w:rFonts w:ascii="Book Antiqua" w:hAnsi="Book Antiqua"/>
          <w:color w:val="000000" w:themeColor="text1"/>
          <w:sz w:val="24"/>
          <w:szCs w:val="24"/>
        </w:rPr>
        <w:t xml:space="preserve"> Hepatocellular carcinoma.</w:t>
      </w:r>
      <w:bookmarkEnd w:id="82"/>
      <w:bookmarkEnd w:id="83"/>
    </w:p>
    <w:p w14:paraId="482C9D8B" w14:textId="77777777" w:rsidR="00EB3C3C" w:rsidRPr="0050576F" w:rsidRDefault="00320ECC" w:rsidP="0050576F">
      <w:pPr>
        <w:snapToGrid w:val="0"/>
        <w:spacing w:line="360" w:lineRule="auto"/>
        <w:rPr>
          <w:rFonts w:ascii="Book Antiqua" w:hAnsi="Book Antiqua"/>
          <w:b/>
          <w:color w:val="000000" w:themeColor="text1"/>
          <w:sz w:val="24"/>
          <w:szCs w:val="24"/>
        </w:rPr>
      </w:pPr>
      <w:r w:rsidRPr="0050576F">
        <w:rPr>
          <w:rFonts w:ascii="Book Antiqua" w:hAnsi="Book Antiqua"/>
          <w:noProof/>
          <w:color w:val="000000" w:themeColor="text1"/>
          <w:sz w:val="24"/>
          <w:szCs w:val="24"/>
        </w:rPr>
        <w:lastRenderedPageBreak/>
        <w:drawing>
          <wp:inline distT="0" distB="0" distL="0" distR="0" wp14:anchorId="2C11CFF3" wp14:editId="73F5B5AD">
            <wp:extent cx="5345232" cy="566741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9683" cy="5703938"/>
                    </a:xfrm>
                    <a:prstGeom prst="rect">
                      <a:avLst/>
                    </a:prstGeom>
                    <a:noFill/>
                    <a:ln>
                      <a:noFill/>
                    </a:ln>
                  </pic:spPr>
                </pic:pic>
              </a:graphicData>
            </a:graphic>
          </wp:inline>
        </w:drawing>
      </w:r>
    </w:p>
    <w:p w14:paraId="3636979A" w14:textId="00423F68"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color w:val="000000" w:themeColor="text1"/>
          <w:sz w:val="24"/>
          <w:szCs w:val="24"/>
        </w:rPr>
        <w:t>Figure 3</w:t>
      </w:r>
      <w:r w:rsidR="00422F01"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 xml:space="preserve">Metabolic profiles of serum from </w:t>
      </w:r>
      <w:r w:rsidR="00F837A3" w:rsidRPr="0050576F">
        <w:rPr>
          <w:rFonts w:ascii="Book Antiqua" w:hAnsi="Book Antiqua"/>
          <w:b/>
          <w:color w:val="000000" w:themeColor="text1"/>
          <w:sz w:val="24"/>
          <w:szCs w:val="24"/>
        </w:rPr>
        <w:t>hepatocellular carcinoma</w:t>
      </w:r>
      <w:r w:rsidR="00717C73">
        <w:rPr>
          <w:rFonts w:ascii="Book Antiqua" w:hAnsi="Book Antiqua"/>
          <w:b/>
          <w:color w:val="000000" w:themeColor="text1"/>
          <w:sz w:val="24"/>
          <w:szCs w:val="24"/>
        </w:rPr>
        <w:t xml:space="preserve"> patients</w:t>
      </w:r>
      <w:r w:rsidRPr="0050576F">
        <w:rPr>
          <w:rFonts w:ascii="Book Antiqua" w:hAnsi="Book Antiqua"/>
          <w:b/>
          <w:color w:val="000000" w:themeColor="text1"/>
          <w:sz w:val="24"/>
          <w:szCs w:val="24"/>
        </w:rPr>
        <w:t xml:space="preserve">, cirrhosis </w:t>
      </w:r>
      <w:r w:rsidR="00717C73">
        <w:rPr>
          <w:rFonts w:ascii="Book Antiqua" w:hAnsi="Book Antiqua"/>
          <w:b/>
          <w:color w:val="000000" w:themeColor="text1"/>
          <w:sz w:val="24"/>
          <w:szCs w:val="24"/>
        </w:rPr>
        <w:t xml:space="preserve">patients </w:t>
      </w:r>
      <w:r w:rsidRPr="0050576F">
        <w:rPr>
          <w:rFonts w:ascii="Book Antiqua" w:hAnsi="Book Antiqua"/>
          <w:b/>
          <w:color w:val="000000" w:themeColor="text1"/>
          <w:sz w:val="24"/>
          <w:szCs w:val="24"/>
        </w:rPr>
        <w:t>and health</w:t>
      </w:r>
      <w:r w:rsidR="00717C73">
        <w:rPr>
          <w:rFonts w:ascii="Book Antiqua" w:hAnsi="Book Antiqua"/>
          <w:b/>
          <w:color w:val="000000" w:themeColor="text1"/>
          <w:sz w:val="24"/>
          <w:szCs w:val="24"/>
        </w:rPr>
        <w:t>y</w:t>
      </w:r>
      <w:r w:rsidRPr="0050576F">
        <w:rPr>
          <w:rFonts w:ascii="Book Antiqua" w:hAnsi="Book Antiqua"/>
          <w:b/>
          <w:color w:val="000000" w:themeColor="text1"/>
          <w:sz w:val="24"/>
          <w:szCs w:val="24"/>
        </w:rPr>
        <w:t xml:space="preserve"> controls. </w:t>
      </w:r>
      <w:r w:rsidRPr="0050576F">
        <w:rPr>
          <w:rFonts w:ascii="Book Antiqua" w:hAnsi="Book Antiqua"/>
          <w:color w:val="000000" w:themeColor="text1"/>
          <w:sz w:val="24"/>
          <w:szCs w:val="24"/>
        </w:rPr>
        <w:t>A</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The </w:t>
      </w:r>
      <w:r w:rsidR="00F837A3" w:rsidRPr="0050576F">
        <w:rPr>
          <w:rFonts w:ascii="Book Antiqua" w:hAnsi="Book Antiqua"/>
          <w:color w:val="000000" w:themeColor="text1"/>
          <w:sz w:val="24"/>
          <w:szCs w:val="24"/>
        </w:rPr>
        <w:t>orthogonal partial least squares discriminant analysis (</w:t>
      </w:r>
      <w:r w:rsidRPr="0050576F">
        <w:rPr>
          <w:rFonts w:ascii="Book Antiqua" w:hAnsi="Book Antiqua"/>
          <w:color w:val="000000" w:themeColor="text1"/>
          <w:sz w:val="24"/>
          <w:szCs w:val="24"/>
        </w:rPr>
        <w:t>OPLS-DA</w:t>
      </w:r>
      <w:r w:rsidR="00F837A3"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score plot </w:t>
      </w:r>
      <w:r w:rsidR="00717C73">
        <w:rPr>
          <w:rFonts w:ascii="Book Antiqua" w:hAnsi="Book Antiqua"/>
          <w:color w:val="000000" w:themeColor="text1"/>
          <w:sz w:val="24"/>
          <w:szCs w:val="24"/>
        </w:rPr>
        <w:t>for</w:t>
      </w:r>
      <w:r w:rsidRPr="0050576F">
        <w:rPr>
          <w:rFonts w:ascii="Book Antiqua" w:hAnsi="Book Antiqua"/>
          <w:color w:val="000000" w:themeColor="text1"/>
          <w:sz w:val="24"/>
          <w:szCs w:val="24"/>
        </w:rPr>
        <w:t xml:space="preserve"> all the three groups. Model efficiency: R2X</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0.370</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R2Y</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0.838</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0.467</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422F01"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B</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The OPLS-DA score plot of C group and N group. R2X</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0.187</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R2Y</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0.790</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0.603</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422F01"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The OPLS-DA score plot of Y group and N group. R2X</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0.559</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R2Y</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0.962</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0.696</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422F01"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00F837A3" w:rsidRPr="0050576F">
        <w:rPr>
          <w:rFonts w:ascii="Book Antiqua" w:hAnsi="Book Antiqua"/>
          <w:color w:val="000000" w:themeColor="text1"/>
          <w:sz w:val="24"/>
          <w:szCs w:val="24"/>
        </w:rPr>
        <w:t xml:space="preserve">and </w:t>
      </w:r>
      <w:r w:rsidRPr="0050576F">
        <w:rPr>
          <w:rFonts w:ascii="Book Antiqua" w:hAnsi="Book Antiqua"/>
          <w:color w:val="000000" w:themeColor="text1"/>
          <w:sz w:val="24"/>
          <w:szCs w:val="24"/>
        </w:rPr>
        <w:t>D</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The OPLS-DA score plot of C group and Y group.</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R2X</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0.274</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R2Y</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0.812</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 Q2</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0323A0"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0.358</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cum.</w:t>
      </w:r>
      <w:r w:rsidR="000323A0" w:rsidRPr="0050576F">
        <w:rPr>
          <w:rFonts w:ascii="Book Antiqua" w:eastAsiaTheme="minorEastAsia" w:hAnsi="Book Antiqua" w:cstheme="minorBidi"/>
          <w:color w:val="000000" w:themeColor="text1"/>
          <w:sz w:val="24"/>
          <w:szCs w:val="24"/>
        </w:rPr>
        <w:t xml:space="preserve"> OPLS-DA: </w:t>
      </w:r>
      <w:r w:rsidR="000323A0" w:rsidRPr="0050576F">
        <w:rPr>
          <w:rFonts w:ascii="Book Antiqua" w:hAnsi="Book Antiqua"/>
          <w:color w:val="000000" w:themeColor="text1"/>
          <w:sz w:val="24"/>
          <w:szCs w:val="24"/>
        </w:rPr>
        <w:t>Orthogonal partial least squares discriminant analysis</w:t>
      </w:r>
      <w:r w:rsidR="000323A0" w:rsidRPr="0050576F">
        <w:rPr>
          <w:rFonts w:ascii="Book Antiqua" w:eastAsiaTheme="minorEastAsia" w:hAnsi="Book Antiqua" w:cstheme="minorBidi"/>
          <w:color w:val="000000" w:themeColor="text1"/>
          <w:sz w:val="24"/>
          <w:szCs w:val="24"/>
        </w:rPr>
        <w:t>.</w:t>
      </w:r>
    </w:p>
    <w:p w14:paraId="0F7BF661" w14:textId="77777777" w:rsidR="00320ECC" w:rsidRPr="0050576F" w:rsidRDefault="00320ECC" w:rsidP="0050576F">
      <w:pPr>
        <w:snapToGrid w:val="0"/>
        <w:spacing w:line="360" w:lineRule="auto"/>
        <w:rPr>
          <w:rFonts w:ascii="Book Antiqua" w:hAnsi="Book Antiqua"/>
          <w:color w:val="000000" w:themeColor="text1"/>
          <w:sz w:val="24"/>
          <w:szCs w:val="24"/>
        </w:rPr>
      </w:pPr>
    </w:p>
    <w:p w14:paraId="21A7B038" w14:textId="77777777" w:rsidR="00EB3C3C" w:rsidRPr="0050576F" w:rsidRDefault="00320ECC" w:rsidP="0050576F">
      <w:pPr>
        <w:snapToGrid w:val="0"/>
        <w:spacing w:line="360" w:lineRule="auto"/>
        <w:rPr>
          <w:rFonts w:ascii="Book Antiqua" w:hAnsi="Book Antiqua"/>
          <w:color w:val="000000" w:themeColor="text1"/>
          <w:sz w:val="24"/>
          <w:szCs w:val="24"/>
        </w:rPr>
      </w:pPr>
      <w:r w:rsidRPr="0050576F">
        <w:rPr>
          <w:rFonts w:ascii="Book Antiqua" w:hAnsi="Book Antiqua"/>
          <w:noProof/>
          <w:color w:val="000000" w:themeColor="text1"/>
          <w:sz w:val="24"/>
          <w:szCs w:val="24"/>
        </w:rPr>
        <w:lastRenderedPageBreak/>
        <w:drawing>
          <wp:inline distT="0" distB="0" distL="0" distR="0" wp14:anchorId="7B006109" wp14:editId="30776B9C">
            <wp:extent cx="5222088" cy="212299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4681" cy="2124052"/>
                    </a:xfrm>
                    <a:prstGeom prst="rect">
                      <a:avLst/>
                    </a:prstGeom>
                    <a:noFill/>
                    <a:ln>
                      <a:noFill/>
                    </a:ln>
                  </pic:spPr>
                </pic:pic>
              </a:graphicData>
            </a:graphic>
          </wp:inline>
        </w:drawing>
      </w:r>
    </w:p>
    <w:p w14:paraId="3AB5235E" w14:textId="44693545" w:rsidR="00EB3C3C" w:rsidRPr="0050576F" w:rsidRDefault="00730055"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Figure 4.</w:t>
      </w:r>
      <w:r w:rsidR="00CD27EF"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 xml:space="preserve">The relative abundance of proline and hydroxypurine in </w:t>
      </w:r>
      <w:r w:rsidR="00F837A3" w:rsidRPr="0050576F">
        <w:rPr>
          <w:rFonts w:ascii="Book Antiqua" w:hAnsi="Book Antiqua"/>
          <w:b/>
          <w:color w:val="000000" w:themeColor="text1"/>
          <w:sz w:val="24"/>
          <w:szCs w:val="24"/>
        </w:rPr>
        <w:t>hepatocellular carcinoma</w:t>
      </w:r>
      <w:r w:rsidR="00717C73">
        <w:rPr>
          <w:rFonts w:ascii="Book Antiqua" w:hAnsi="Book Antiqua"/>
          <w:b/>
          <w:color w:val="000000" w:themeColor="text1"/>
          <w:sz w:val="24"/>
          <w:szCs w:val="24"/>
        </w:rPr>
        <w:t xml:space="preserve"> patients</w:t>
      </w:r>
      <w:r w:rsidRPr="0050576F">
        <w:rPr>
          <w:rFonts w:ascii="Book Antiqua" w:hAnsi="Book Antiqua"/>
          <w:b/>
          <w:color w:val="000000" w:themeColor="text1"/>
          <w:sz w:val="24"/>
          <w:szCs w:val="24"/>
        </w:rPr>
        <w:t xml:space="preserve">, cirrhosis </w:t>
      </w:r>
      <w:r w:rsidR="00717C73">
        <w:rPr>
          <w:rFonts w:ascii="Book Antiqua" w:hAnsi="Book Antiqua"/>
          <w:b/>
          <w:color w:val="000000" w:themeColor="text1"/>
          <w:sz w:val="24"/>
          <w:szCs w:val="24"/>
        </w:rPr>
        <w:t xml:space="preserve">patients </w:t>
      </w:r>
      <w:r w:rsidRPr="0050576F">
        <w:rPr>
          <w:rFonts w:ascii="Book Antiqua" w:hAnsi="Book Antiqua"/>
          <w:b/>
          <w:color w:val="000000" w:themeColor="text1"/>
          <w:sz w:val="24"/>
          <w:szCs w:val="24"/>
        </w:rPr>
        <w:t>and health</w:t>
      </w:r>
      <w:r w:rsidR="00717C73">
        <w:rPr>
          <w:rFonts w:ascii="Book Antiqua" w:hAnsi="Book Antiqua"/>
          <w:b/>
          <w:color w:val="000000" w:themeColor="text1"/>
          <w:sz w:val="24"/>
          <w:szCs w:val="24"/>
        </w:rPr>
        <w:t>y</w:t>
      </w:r>
      <w:r w:rsidRPr="0050576F">
        <w:rPr>
          <w:rFonts w:ascii="Book Antiqua" w:hAnsi="Book Antiqua"/>
          <w:b/>
          <w:color w:val="000000" w:themeColor="text1"/>
          <w:sz w:val="24"/>
          <w:szCs w:val="24"/>
        </w:rPr>
        <w:t xml:space="preserve"> controls.</w:t>
      </w:r>
      <w:r w:rsidR="00422F01" w:rsidRPr="0050576F">
        <w:rPr>
          <w:rFonts w:ascii="Book Antiqua" w:hAnsi="Book Antiqua"/>
          <w:b/>
          <w:color w:val="000000" w:themeColor="text1"/>
          <w:sz w:val="24"/>
          <w:szCs w:val="24"/>
        </w:rPr>
        <w:t xml:space="preserve"> </w:t>
      </w:r>
      <w:r w:rsidR="00422F01" w:rsidRPr="0050576F">
        <w:rPr>
          <w:rFonts w:ascii="Book Antiqua" w:hAnsi="Book Antiqua"/>
          <w:bCs/>
          <w:color w:val="000000" w:themeColor="text1"/>
          <w:sz w:val="24"/>
          <w:szCs w:val="24"/>
        </w:rPr>
        <w:t>A</w:t>
      </w:r>
      <w:r w:rsidR="00422F01"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Proline</w:t>
      </w:r>
      <w:r w:rsidR="00F837A3"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B</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Hydroxypurine.</w:t>
      </w:r>
      <w:r w:rsidR="00CD27EF" w:rsidRPr="0050576F">
        <w:rPr>
          <w:rFonts w:ascii="Book Antiqua" w:hAnsi="Book Antiqua"/>
          <w:color w:val="000000" w:themeColor="text1"/>
          <w:sz w:val="24"/>
          <w:szCs w:val="24"/>
        </w:rPr>
        <w:t xml:space="preserve"> </w:t>
      </w:r>
      <w:r w:rsidRPr="0050576F">
        <w:rPr>
          <w:rFonts w:ascii="Book Antiqua" w:hAnsi="Book Antiqua"/>
          <w:i/>
          <w:color w:val="000000" w:themeColor="text1"/>
          <w:sz w:val="24"/>
          <w:szCs w:val="24"/>
        </w:rPr>
        <w:t>P</w:t>
      </w:r>
      <w:r w:rsidR="00F837A3" w:rsidRPr="0050576F">
        <w:rPr>
          <w:rFonts w:ascii="Book Antiqua" w:hAnsi="Book Antiqua"/>
          <w:i/>
          <w:color w:val="000000" w:themeColor="text1"/>
          <w:sz w:val="24"/>
          <w:szCs w:val="24"/>
        </w:rPr>
        <w:t xml:space="preserve"> </w:t>
      </w:r>
      <w:r w:rsidR="00F837A3" w:rsidRPr="0050576F">
        <w:rPr>
          <w:rFonts w:ascii="Book Antiqua" w:hAnsi="Book Antiqua"/>
          <w:color w:val="000000" w:themeColor="text1"/>
          <w:sz w:val="24"/>
          <w:szCs w:val="24"/>
        </w:rPr>
        <w:t>&lt;</w:t>
      </w:r>
      <w:r w:rsidR="00422F01"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0.05 in Kruskal-Wallis test in all three comparison</w:t>
      </w:r>
      <w:r w:rsidR="00717C73">
        <w:rPr>
          <w:rFonts w:ascii="Book Antiqua" w:hAnsi="Book Antiqua"/>
          <w:color w:val="000000" w:themeColor="text1"/>
          <w:sz w:val="24"/>
          <w:szCs w:val="24"/>
        </w:rPr>
        <w:t>s</w:t>
      </w:r>
      <w:r w:rsidRPr="0050576F">
        <w:rPr>
          <w:rFonts w:ascii="Book Antiqua" w:hAnsi="Book Antiqua"/>
          <w:color w:val="000000" w:themeColor="text1"/>
          <w:sz w:val="24"/>
          <w:szCs w:val="24"/>
        </w:rPr>
        <w:t xml:space="preserve"> (C </w:t>
      </w:r>
      <w:r w:rsidR="00F837A3" w:rsidRPr="0050576F">
        <w:rPr>
          <w:rFonts w:ascii="Book Antiqua" w:hAnsi="Book Antiqua"/>
          <w:i/>
          <w:iCs/>
          <w:color w:val="000000" w:themeColor="text1"/>
          <w:sz w:val="24"/>
          <w:szCs w:val="24"/>
        </w:rPr>
        <w:t>vs</w:t>
      </w:r>
      <w:r w:rsidRPr="0050576F">
        <w:rPr>
          <w:rFonts w:ascii="Book Antiqua" w:hAnsi="Book Antiqua"/>
          <w:color w:val="000000" w:themeColor="text1"/>
          <w:sz w:val="24"/>
          <w:szCs w:val="24"/>
        </w:rPr>
        <w:t xml:space="preserve"> N, Y </w:t>
      </w:r>
      <w:r w:rsidR="00F837A3" w:rsidRPr="0050576F">
        <w:rPr>
          <w:rFonts w:ascii="Book Antiqua" w:hAnsi="Book Antiqua"/>
          <w:i/>
          <w:iCs/>
          <w:color w:val="000000" w:themeColor="text1"/>
          <w:sz w:val="24"/>
          <w:szCs w:val="24"/>
        </w:rPr>
        <w:t>vs</w:t>
      </w:r>
      <w:r w:rsidRPr="0050576F">
        <w:rPr>
          <w:rFonts w:ascii="Book Antiqua" w:hAnsi="Book Antiqua"/>
          <w:color w:val="000000" w:themeColor="text1"/>
          <w:sz w:val="24"/>
          <w:szCs w:val="24"/>
        </w:rPr>
        <w:t xml:space="preserve"> N, and C </w:t>
      </w:r>
      <w:r w:rsidR="00F837A3" w:rsidRPr="0050576F">
        <w:rPr>
          <w:rFonts w:ascii="Book Antiqua" w:hAnsi="Book Antiqua"/>
          <w:i/>
          <w:iCs/>
          <w:color w:val="000000" w:themeColor="text1"/>
          <w:sz w:val="24"/>
          <w:szCs w:val="24"/>
        </w:rPr>
        <w:t>vs</w:t>
      </w:r>
      <w:r w:rsidRPr="0050576F">
        <w:rPr>
          <w:rFonts w:ascii="Book Antiqua" w:hAnsi="Book Antiqua"/>
          <w:color w:val="000000" w:themeColor="text1"/>
          <w:sz w:val="24"/>
          <w:szCs w:val="24"/>
        </w:rPr>
        <w:t xml:space="preserve"> Y) of each metabolite.</w:t>
      </w:r>
    </w:p>
    <w:p w14:paraId="521AB200" w14:textId="77777777" w:rsidR="00EB3C3C" w:rsidRPr="0050576F" w:rsidRDefault="009B47A8" w:rsidP="0050576F">
      <w:pPr>
        <w:snapToGrid w:val="0"/>
        <w:spacing w:line="360" w:lineRule="auto"/>
        <w:rPr>
          <w:rFonts w:ascii="Book Antiqua" w:hAnsi="Book Antiqua"/>
          <w:color w:val="000000" w:themeColor="text1"/>
          <w:sz w:val="24"/>
          <w:szCs w:val="24"/>
        </w:rPr>
      </w:pPr>
      <w:r w:rsidRPr="0050576F">
        <w:rPr>
          <w:rFonts w:ascii="Book Antiqua" w:hAnsi="Book Antiqua"/>
          <w:noProof/>
          <w:color w:val="000000" w:themeColor="text1"/>
          <w:sz w:val="24"/>
          <w:szCs w:val="24"/>
        </w:rPr>
        <w:drawing>
          <wp:inline distT="0" distB="0" distL="0" distR="0" wp14:anchorId="496BFD9A" wp14:editId="6DBA94B8">
            <wp:extent cx="5523196" cy="5523196"/>
            <wp:effectExtent l="0" t="0" r="0" b="0"/>
            <wp:docPr id="1" name="图片 1" descr="C:\Users\pc\Desktop\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Figure 5.tif"/>
                    <pic:cNvPicPr>
                      <a:picLocks noChangeAspect="1" noChangeArrowheads="1"/>
                    </pic:cNvPicPr>
                  </pic:nvPicPr>
                  <pic:blipFill>
                    <a:blip r:embed="rId16"/>
                    <a:srcRect/>
                    <a:stretch>
                      <a:fillRect/>
                    </a:stretch>
                  </pic:blipFill>
                  <pic:spPr bwMode="auto">
                    <a:xfrm>
                      <a:off x="0" y="0"/>
                      <a:ext cx="5536571" cy="5536571"/>
                    </a:xfrm>
                    <a:prstGeom prst="rect">
                      <a:avLst/>
                    </a:prstGeom>
                    <a:noFill/>
                    <a:ln w="9525">
                      <a:noFill/>
                      <a:miter lim="800000"/>
                      <a:headEnd/>
                      <a:tailEnd/>
                    </a:ln>
                  </pic:spPr>
                </pic:pic>
              </a:graphicData>
            </a:graphic>
          </wp:inline>
        </w:drawing>
      </w:r>
    </w:p>
    <w:p w14:paraId="45C2197E" w14:textId="402BFA12"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color w:val="000000" w:themeColor="text1"/>
          <w:sz w:val="24"/>
          <w:szCs w:val="24"/>
        </w:rPr>
        <w:lastRenderedPageBreak/>
        <w:t>Figure 5</w:t>
      </w:r>
      <w:r w:rsidR="00422F01"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 xml:space="preserve">Pattern recognition for </w:t>
      </w:r>
      <w:r w:rsidR="00717C73">
        <w:rPr>
          <w:rFonts w:ascii="Book Antiqua" w:hAnsi="Book Antiqua"/>
          <w:b/>
          <w:color w:val="000000" w:themeColor="text1"/>
          <w:sz w:val="24"/>
          <w:szCs w:val="24"/>
        </w:rPr>
        <w:t xml:space="preserve">the </w:t>
      </w:r>
      <w:r w:rsidRPr="0050576F">
        <w:rPr>
          <w:rFonts w:ascii="Book Antiqua" w:hAnsi="Book Antiqua"/>
          <w:b/>
          <w:color w:val="000000" w:themeColor="text1"/>
          <w:sz w:val="24"/>
          <w:szCs w:val="24"/>
        </w:rPr>
        <w:t xml:space="preserve">diagnosis of </w:t>
      </w:r>
      <w:r w:rsidR="00F837A3" w:rsidRPr="0050576F">
        <w:rPr>
          <w:rFonts w:ascii="Book Antiqua" w:hAnsi="Book Antiqua"/>
          <w:b/>
          <w:color w:val="000000" w:themeColor="text1"/>
          <w:sz w:val="24"/>
          <w:szCs w:val="24"/>
        </w:rPr>
        <w:t>hepatocellular carcinoma</w:t>
      </w:r>
      <w:r w:rsidRPr="0050576F">
        <w:rPr>
          <w:rFonts w:ascii="Book Antiqua" w:hAnsi="Book Antiqua"/>
          <w:b/>
          <w:color w:val="000000" w:themeColor="text1"/>
          <w:sz w:val="24"/>
          <w:szCs w:val="24"/>
        </w:rPr>
        <w:t>.</w:t>
      </w:r>
      <w:r w:rsidR="00422F01" w:rsidRPr="0050576F">
        <w:rPr>
          <w:rFonts w:ascii="Book Antiqua" w:hAnsi="Book Antiqua"/>
          <w:b/>
          <w:color w:val="000000" w:themeColor="text1"/>
          <w:sz w:val="24"/>
          <w:szCs w:val="24"/>
        </w:rPr>
        <w:t xml:space="preserve"> </w:t>
      </w:r>
      <w:r w:rsidR="00717C73">
        <w:rPr>
          <w:rFonts w:ascii="Book Antiqua" w:hAnsi="Book Antiqua"/>
          <w:color w:val="000000" w:themeColor="text1"/>
          <w:sz w:val="24"/>
          <w:szCs w:val="24"/>
        </w:rPr>
        <w:t>P</w:t>
      </w:r>
      <w:r w:rsidRPr="0050576F">
        <w:rPr>
          <w:rFonts w:ascii="Book Antiqua" w:hAnsi="Book Antiqua"/>
          <w:color w:val="000000" w:themeColor="text1"/>
          <w:sz w:val="24"/>
          <w:szCs w:val="24"/>
        </w:rPr>
        <w:t xml:space="preserve">attern recognition analysis based on sequential feature selection combined with </w:t>
      </w:r>
      <w:r w:rsidR="00F837A3" w:rsidRPr="0050576F">
        <w:rPr>
          <w:rFonts w:ascii="Book Antiqua" w:hAnsi="Book Antiqua"/>
          <w:color w:val="000000" w:themeColor="text1"/>
          <w:sz w:val="24"/>
          <w:szCs w:val="24"/>
        </w:rPr>
        <w:t>linear discriminant analysis (</w:t>
      </w:r>
      <w:r w:rsidRPr="0050576F">
        <w:rPr>
          <w:rFonts w:ascii="Book Antiqua" w:hAnsi="Book Antiqua"/>
          <w:color w:val="000000" w:themeColor="text1"/>
          <w:sz w:val="24"/>
          <w:szCs w:val="24"/>
        </w:rPr>
        <w:t>LDA</w:t>
      </w:r>
      <w:r w:rsidR="00F837A3"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w:t>
      </w:r>
      <w:r w:rsidR="00717C73">
        <w:rPr>
          <w:rFonts w:ascii="Book Antiqua" w:hAnsi="Book Antiqua"/>
          <w:color w:val="000000" w:themeColor="text1"/>
          <w:sz w:val="24"/>
          <w:szCs w:val="24"/>
        </w:rPr>
        <w:t xml:space="preserve">was used </w:t>
      </w:r>
      <w:r w:rsidRPr="0050576F">
        <w:rPr>
          <w:rFonts w:ascii="Book Antiqua" w:hAnsi="Book Antiqua"/>
          <w:color w:val="000000" w:themeColor="text1"/>
          <w:sz w:val="24"/>
          <w:szCs w:val="24"/>
        </w:rPr>
        <w:t xml:space="preserve">to find </w:t>
      </w:r>
      <w:r w:rsidR="00717C73">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most suitable biomarkers for discriminating </w:t>
      </w:r>
      <w:r w:rsidR="00F837A3" w:rsidRPr="0050576F">
        <w:rPr>
          <w:rFonts w:ascii="Book Antiqua" w:hAnsi="Book Antiqua"/>
          <w:color w:val="000000" w:themeColor="text1"/>
          <w:sz w:val="24"/>
          <w:szCs w:val="24"/>
        </w:rPr>
        <w:t>hepatocellular carcinoma</w:t>
      </w:r>
      <w:r w:rsidRPr="0050576F">
        <w:rPr>
          <w:rFonts w:ascii="Book Antiqua" w:hAnsi="Book Antiqua"/>
          <w:color w:val="000000" w:themeColor="text1"/>
          <w:sz w:val="24"/>
          <w:szCs w:val="24"/>
        </w:rPr>
        <w:t xml:space="preserve"> </w:t>
      </w:r>
      <w:r w:rsidR="00717C73">
        <w:rPr>
          <w:rFonts w:ascii="Book Antiqua" w:hAnsi="Book Antiqua"/>
          <w:color w:val="000000" w:themeColor="text1"/>
          <w:sz w:val="24"/>
          <w:szCs w:val="24"/>
        </w:rPr>
        <w:t xml:space="preserve">patients </w:t>
      </w:r>
      <w:r w:rsidRPr="0050576F">
        <w:rPr>
          <w:rFonts w:ascii="Book Antiqua" w:hAnsi="Book Antiqua"/>
          <w:color w:val="000000" w:themeColor="text1"/>
          <w:sz w:val="24"/>
          <w:szCs w:val="24"/>
        </w:rPr>
        <w:t xml:space="preserve">from cirrhosis patients in the training set. The validation set was used to confirm the reliability of the model. Hydroxypurine and </w:t>
      </w:r>
      <w:r w:rsidR="0006777F" w:rsidRPr="0050576F">
        <w:rPr>
          <w:rFonts w:ascii="Book Antiqua" w:hAnsi="Book Antiqua"/>
          <w:color w:val="000000" w:themeColor="text1"/>
          <w:sz w:val="24"/>
          <w:szCs w:val="24"/>
        </w:rPr>
        <w:t>p</w:t>
      </w:r>
      <w:r w:rsidRPr="0050576F">
        <w:rPr>
          <w:rFonts w:ascii="Book Antiqua" w:hAnsi="Book Antiqua"/>
          <w:color w:val="000000" w:themeColor="text1"/>
          <w:sz w:val="24"/>
          <w:szCs w:val="24"/>
        </w:rPr>
        <w:t xml:space="preserve">roline were included in the LDA model. Function 1 and function 2 are the first two eigenvectors. </w:t>
      </w:r>
      <w:r w:rsidR="00F837A3" w:rsidRPr="0050576F">
        <w:rPr>
          <w:rFonts w:ascii="Book Antiqua" w:hAnsi="Book Antiqua"/>
          <w:color w:val="000000" w:themeColor="text1"/>
          <w:sz w:val="24"/>
          <w:szCs w:val="24"/>
        </w:rPr>
        <w:t>Hepatocellular carcinoma</w:t>
      </w:r>
      <w:r w:rsidRPr="0050576F">
        <w:rPr>
          <w:rFonts w:ascii="Book Antiqua" w:hAnsi="Book Antiqua"/>
          <w:color w:val="000000" w:themeColor="text1"/>
          <w:sz w:val="24"/>
          <w:szCs w:val="24"/>
        </w:rPr>
        <w:t xml:space="preserve"> samples and cirrhosis samples demonstrate</w:t>
      </w:r>
      <w:r w:rsidR="00717C73">
        <w:rPr>
          <w:rFonts w:ascii="Book Antiqua" w:hAnsi="Book Antiqua"/>
          <w:color w:val="000000" w:themeColor="text1"/>
          <w:sz w:val="24"/>
          <w:szCs w:val="24"/>
        </w:rPr>
        <w:t>d</w:t>
      </w:r>
      <w:r w:rsidRPr="0050576F">
        <w:rPr>
          <w:rFonts w:ascii="Book Antiqua" w:hAnsi="Book Antiqua"/>
          <w:color w:val="000000" w:themeColor="text1"/>
          <w:sz w:val="24"/>
          <w:szCs w:val="24"/>
        </w:rPr>
        <w:t xml:space="preserve"> diffe</w:t>
      </w:r>
      <w:r w:rsidR="00F837A3" w:rsidRPr="0050576F">
        <w:rPr>
          <w:rFonts w:ascii="Book Antiqua" w:hAnsi="Book Antiqua"/>
          <w:color w:val="000000" w:themeColor="text1"/>
          <w:sz w:val="24"/>
          <w:szCs w:val="24"/>
        </w:rPr>
        <w:t>rent distribution</w:t>
      </w:r>
      <w:r w:rsidR="00717C73">
        <w:rPr>
          <w:rFonts w:ascii="Book Antiqua" w:hAnsi="Book Antiqua"/>
          <w:color w:val="000000" w:themeColor="text1"/>
          <w:sz w:val="24"/>
          <w:szCs w:val="24"/>
        </w:rPr>
        <w:t>s in</w:t>
      </w:r>
      <w:r w:rsidR="00F837A3" w:rsidRPr="0050576F">
        <w:rPr>
          <w:rFonts w:ascii="Book Antiqua" w:hAnsi="Book Antiqua"/>
          <w:color w:val="000000" w:themeColor="text1"/>
          <w:sz w:val="24"/>
          <w:szCs w:val="24"/>
        </w:rPr>
        <w:t xml:space="preserve"> the LDA plot.</w:t>
      </w:r>
    </w:p>
    <w:p w14:paraId="4258C479" w14:textId="77777777" w:rsidR="00EB3C3C" w:rsidRPr="0050576F" w:rsidRDefault="00F824E5" w:rsidP="0050576F">
      <w:pPr>
        <w:snapToGrid w:val="0"/>
        <w:spacing w:line="360" w:lineRule="auto"/>
        <w:rPr>
          <w:rFonts w:ascii="Book Antiqua" w:hAnsi="Book Antiqua"/>
          <w:color w:val="000000" w:themeColor="text1"/>
          <w:sz w:val="24"/>
          <w:szCs w:val="24"/>
        </w:rPr>
      </w:pPr>
      <w:r w:rsidRPr="0050576F">
        <w:rPr>
          <w:rFonts w:ascii="Book Antiqua" w:hAnsi="Book Antiqua"/>
          <w:noProof/>
          <w:color w:val="000000" w:themeColor="text1"/>
          <w:sz w:val="24"/>
          <w:szCs w:val="24"/>
        </w:rPr>
        <w:drawing>
          <wp:inline distT="0" distB="0" distL="0" distR="0" wp14:anchorId="6F464B32" wp14:editId="2EA44EC0">
            <wp:extent cx="5247288" cy="2934031"/>
            <wp:effectExtent l="0" t="0" r="0" b="0"/>
            <wp:docPr id="6" name="图片 6" descr="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791" cy="2965066"/>
                    </a:xfrm>
                    <a:prstGeom prst="rect">
                      <a:avLst/>
                    </a:prstGeom>
                    <a:noFill/>
                    <a:ln>
                      <a:noFill/>
                    </a:ln>
                  </pic:spPr>
                </pic:pic>
              </a:graphicData>
            </a:graphic>
          </wp:inline>
        </w:drawing>
      </w:r>
    </w:p>
    <w:p w14:paraId="3BC6BA3F" w14:textId="1B91C438" w:rsidR="00254D4E" w:rsidRPr="0050576F" w:rsidRDefault="00730055" w:rsidP="0050576F">
      <w:pPr>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t>Figure 6</w:t>
      </w:r>
      <w:r w:rsidR="00422F01" w:rsidRPr="0050576F">
        <w:rPr>
          <w:rFonts w:ascii="Book Antiqua" w:hAnsi="Book Antiqua"/>
          <w:b/>
          <w:color w:val="000000" w:themeColor="text1"/>
          <w:sz w:val="24"/>
          <w:szCs w:val="24"/>
        </w:rPr>
        <w:t xml:space="preserve"> </w:t>
      </w:r>
      <w:r w:rsidRPr="0050576F">
        <w:rPr>
          <w:rFonts w:ascii="Book Antiqua" w:hAnsi="Book Antiqua"/>
          <w:b/>
          <w:color w:val="000000" w:themeColor="text1"/>
          <w:sz w:val="24"/>
          <w:szCs w:val="24"/>
        </w:rPr>
        <w:t>Receiver operating characteristic curve of the pattern recognition diagnos</w:t>
      </w:r>
      <w:r w:rsidR="00717C73">
        <w:rPr>
          <w:rFonts w:ascii="Book Antiqua" w:hAnsi="Book Antiqua"/>
          <w:b/>
          <w:color w:val="000000" w:themeColor="text1"/>
          <w:sz w:val="24"/>
          <w:szCs w:val="24"/>
        </w:rPr>
        <w:t>tic</w:t>
      </w:r>
      <w:r w:rsidRPr="0050576F">
        <w:rPr>
          <w:rFonts w:ascii="Book Antiqua" w:hAnsi="Book Antiqua"/>
          <w:b/>
          <w:color w:val="000000" w:themeColor="text1"/>
          <w:sz w:val="24"/>
          <w:szCs w:val="24"/>
        </w:rPr>
        <w:t xml:space="preserve"> model</w:t>
      </w:r>
      <w:r w:rsidR="00422F01" w:rsidRPr="0050576F">
        <w:rPr>
          <w:rFonts w:ascii="Book Antiqua" w:hAnsi="Book Antiqua"/>
          <w:b/>
          <w:color w:val="000000" w:themeColor="text1"/>
          <w:sz w:val="24"/>
          <w:szCs w:val="24"/>
        </w:rPr>
        <w:t xml:space="preserve">. </w:t>
      </w:r>
      <w:r w:rsidR="00422F01" w:rsidRPr="0050576F">
        <w:rPr>
          <w:rFonts w:ascii="Book Antiqua" w:hAnsi="Book Antiqua"/>
          <w:bCs/>
          <w:color w:val="000000" w:themeColor="text1"/>
          <w:sz w:val="24"/>
          <w:szCs w:val="24"/>
        </w:rPr>
        <w:t>A</w:t>
      </w:r>
      <w:r w:rsidR="00422F01"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 xml:space="preserve">Receiver operating characteristic curve for </w:t>
      </w:r>
      <w:r w:rsidR="00717C73">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training set of </w:t>
      </w:r>
      <w:r w:rsidR="00717C73">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linear discriminant analysis</w:t>
      </w:r>
      <w:r w:rsidRPr="0050576F">
        <w:rPr>
          <w:rFonts w:ascii="Book Antiqua" w:hAnsi="Book Antiqua"/>
          <w:color w:val="000000" w:themeColor="text1"/>
          <w:sz w:val="24"/>
          <w:szCs w:val="24"/>
        </w:rPr>
        <w:t xml:space="preserve"> model. </w:t>
      </w:r>
      <w:bookmarkStart w:id="84" w:name="OLE_LINK481"/>
      <w:bookmarkStart w:id="85" w:name="OLE_LINK482"/>
      <w:r w:rsidRPr="0050576F">
        <w:rPr>
          <w:rFonts w:ascii="Book Antiqua" w:hAnsi="Book Antiqua"/>
          <w:color w:val="000000" w:themeColor="text1"/>
          <w:sz w:val="24"/>
          <w:szCs w:val="24"/>
        </w:rPr>
        <w:t xml:space="preserve">Area </w:t>
      </w:r>
      <w:r w:rsidR="00F837A3" w:rsidRPr="0050576F">
        <w:rPr>
          <w:rFonts w:ascii="Book Antiqua" w:hAnsi="Book Antiqua"/>
          <w:color w:val="000000" w:themeColor="text1"/>
          <w:sz w:val="24"/>
          <w:szCs w:val="24"/>
        </w:rPr>
        <w:t xml:space="preserve">under </w:t>
      </w:r>
      <w:r w:rsidR="00AC48A4">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curve</w:t>
      </w:r>
      <w:bookmarkEnd w:id="84"/>
      <w:bookmarkEnd w:id="85"/>
      <w:r w:rsidR="00F837A3" w:rsidRPr="0050576F">
        <w:rPr>
          <w:rFonts w:ascii="Book Antiqua" w:hAnsi="Book Antiqua"/>
          <w:color w:val="000000" w:themeColor="text1"/>
          <w:sz w:val="24"/>
          <w:szCs w:val="24"/>
        </w:rPr>
        <w:t xml:space="preserve"> for </w:t>
      </w:r>
      <w:r w:rsidR="00717C73">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training set was 0.90 (95%</w:t>
      </w:r>
      <w:r w:rsidRPr="0050576F">
        <w:rPr>
          <w:rFonts w:ascii="Book Antiqua" w:hAnsi="Book Antiqua"/>
          <w:color w:val="000000" w:themeColor="text1"/>
          <w:sz w:val="24"/>
          <w:szCs w:val="24"/>
        </w:rPr>
        <w:t>CI: 0.81-0.99)</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B</w:t>
      </w:r>
      <w:r w:rsidR="00422F01" w:rsidRPr="0050576F">
        <w:rPr>
          <w:rFonts w:ascii="Book Antiqua" w:hAnsi="Book Antiqua"/>
          <w:color w:val="000000" w:themeColor="text1"/>
          <w:sz w:val="24"/>
          <w:szCs w:val="24"/>
        </w:rPr>
        <w:t>:</w:t>
      </w:r>
      <w:r w:rsidRPr="0050576F">
        <w:rPr>
          <w:rFonts w:ascii="Book Antiqua" w:hAnsi="Book Antiqua"/>
          <w:color w:val="000000" w:themeColor="text1"/>
          <w:sz w:val="24"/>
          <w:szCs w:val="24"/>
        </w:rPr>
        <w:t xml:space="preserve"> </w:t>
      </w:r>
      <w:r w:rsidR="00F837A3" w:rsidRPr="0050576F">
        <w:rPr>
          <w:rFonts w:ascii="Book Antiqua" w:hAnsi="Book Antiqua"/>
          <w:color w:val="000000" w:themeColor="text1"/>
          <w:sz w:val="24"/>
          <w:szCs w:val="24"/>
        </w:rPr>
        <w:t>Receiver operating characteristic</w:t>
      </w:r>
      <w:r w:rsidRPr="0050576F">
        <w:rPr>
          <w:rFonts w:ascii="Book Antiqua" w:hAnsi="Book Antiqua"/>
          <w:color w:val="000000" w:themeColor="text1"/>
          <w:sz w:val="24"/>
          <w:szCs w:val="24"/>
        </w:rPr>
        <w:t xml:space="preserve"> for </w:t>
      </w:r>
      <w:r w:rsidR="00717C73">
        <w:rPr>
          <w:rFonts w:ascii="Book Antiqua" w:hAnsi="Book Antiqua"/>
          <w:color w:val="000000" w:themeColor="text1"/>
          <w:sz w:val="24"/>
          <w:szCs w:val="24"/>
        </w:rPr>
        <w:t xml:space="preserve">the </w:t>
      </w:r>
      <w:r w:rsidRPr="0050576F">
        <w:rPr>
          <w:rFonts w:ascii="Book Antiqua" w:hAnsi="Book Antiqua"/>
          <w:color w:val="000000" w:themeColor="text1"/>
          <w:sz w:val="24"/>
          <w:szCs w:val="24"/>
        </w:rPr>
        <w:t xml:space="preserve">validation (test) set of </w:t>
      </w:r>
      <w:r w:rsidR="00717C73">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linear discriminant analysis</w:t>
      </w:r>
      <w:r w:rsidRPr="0050576F">
        <w:rPr>
          <w:rFonts w:ascii="Book Antiqua" w:hAnsi="Book Antiqua"/>
          <w:color w:val="000000" w:themeColor="text1"/>
          <w:sz w:val="24"/>
          <w:szCs w:val="24"/>
        </w:rPr>
        <w:t xml:space="preserve"> model. </w:t>
      </w:r>
      <w:r w:rsidR="00F837A3" w:rsidRPr="0050576F">
        <w:rPr>
          <w:rFonts w:ascii="Book Antiqua" w:hAnsi="Book Antiqua"/>
          <w:color w:val="000000" w:themeColor="text1"/>
          <w:sz w:val="24"/>
          <w:szCs w:val="24"/>
        </w:rPr>
        <w:t xml:space="preserve">Area under </w:t>
      </w:r>
      <w:r w:rsidR="00AC48A4">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 xml:space="preserve">curve </w:t>
      </w:r>
      <w:r w:rsidRPr="0050576F">
        <w:rPr>
          <w:rFonts w:ascii="Book Antiqua" w:hAnsi="Book Antiqua"/>
          <w:color w:val="000000" w:themeColor="text1"/>
          <w:sz w:val="24"/>
          <w:szCs w:val="24"/>
        </w:rPr>
        <w:t>fo</w:t>
      </w:r>
      <w:r w:rsidR="00F837A3" w:rsidRPr="0050576F">
        <w:rPr>
          <w:rFonts w:ascii="Book Antiqua" w:hAnsi="Book Antiqua"/>
          <w:color w:val="000000" w:themeColor="text1"/>
          <w:sz w:val="24"/>
          <w:szCs w:val="24"/>
        </w:rPr>
        <w:t xml:space="preserve">r </w:t>
      </w:r>
      <w:r w:rsidR="00717C73">
        <w:rPr>
          <w:rFonts w:ascii="Book Antiqua" w:hAnsi="Book Antiqua"/>
          <w:color w:val="000000" w:themeColor="text1"/>
          <w:sz w:val="24"/>
          <w:szCs w:val="24"/>
        </w:rPr>
        <w:t xml:space="preserve">the </w:t>
      </w:r>
      <w:r w:rsidR="00F837A3" w:rsidRPr="0050576F">
        <w:rPr>
          <w:rFonts w:ascii="Book Antiqua" w:hAnsi="Book Antiqua"/>
          <w:color w:val="000000" w:themeColor="text1"/>
          <w:sz w:val="24"/>
          <w:szCs w:val="24"/>
        </w:rPr>
        <w:t>validation set w</w:t>
      </w:r>
      <w:r w:rsidR="00717C73">
        <w:rPr>
          <w:rFonts w:ascii="Book Antiqua" w:hAnsi="Book Antiqua"/>
          <w:color w:val="000000" w:themeColor="text1"/>
          <w:sz w:val="24"/>
          <w:szCs w:val="24"/>
        </w:rPr>
        <w:t>as</w:t>
      </w:r>
      <w:r w:rsidR="00F837A3" w:rsidRPr="0050576F">
        <w:rPr>
          <w:rFonts w:ascii="Book Antiqua" w:hAnsi="Book Antiqua"/>
          <w:color w:val="000000" w:themeColor="text1"/>
          <w:sz w:val="24"/>
          <w:szCs w:val="24"/>
        </w:rPr>
        <w:t xml:space="preserve"> 0.84 (95%CI: 0.67-1.00).</w:t>
      </w:r>
    </w:p>
    <w:p w14:paraId="7BA676CE" w14:textId="77777777" w:rsidR="00422F01" w:rsidRPr="0050576F" w:rsidRDefault="00422F01" w:rsidP="0050576F">
      <w:pPr>
        <w:widowControl/>
        <w:snapToGrid w:val="0"/>
        <w:spacing w:line="360" w:lineRule="auto"/>
        <w:rPr>
          <w:rFonts w:ascii="Book Antiqua" w:hAnsi="Book Antiqua"/>
          <w:b/>
          <w:color w:val="000000" w:themeColor="text1"/>
          <w:sz w:val="24"/>
          <w:szCs w:val="24"/>
        </w:rPr>
      </w:pPr>
      <w:r w:rsidRPr="0050576F">
        <w:rPr>
          <w:rFonts w:ascii="Book Antiqua" w:hAnsi="Book Antiqua"/>
          <w:b/>
          <w:color w:val="000000" w:themeColor="text1"/>
          <w:sz w:val="24"/>
          <w:szCs w:val="24"/>
        </w:rPr>
        <w:br w:type="page"/>
      </w:r>
    </w:p>
    <w:p w14:paraId="51E3E26B" w14:textId="043D090F"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hAnsi="Book Antiqua"/>
          <w:b/>
          <w:color w:val="000000" w:themeColor="text1"/>
          <w:sz w:val="24"/>
          <w:szCs w:val="24"/>
        </w:rPr>
        <w:lastRenderedPageBreak/>
        <w:t>Table 1</w:t>
      </w:r>
      <w:r w:rsidR="00422F01" w:rsidRPr="0050576F">
        <w:rPr>
          <w:rFonts w:ascii="Book Antiqua" w:hAnsi="Book Antiqua"/>
          <w:b/>
          <w:color w:val="000000" w:themeColor="text1"/>
          <w:sz w:val="24"/>
          <w:szCs w:val="24"/>
        </w:rPr>
        <w:t xml:space="preserve"> </w:t>
      </w:r>
      <w:r w:rsidRPr="0050576F">
        <w:rPr>
          <w:rFonts w:ascii="Book Antiqua" w:hAnsi="Book Antiqua"/>
          <w:b/>
          <w:bCs/>
          <w:color w:val="000000" w:themeColor="text1"/>
          <w:sz w:val="24"/>
          <w:szCs w:val="24"/>
        </w:rPr>
        <w:t>General characteristics of patients and health</w:t>
      </w:r>
      <w:r w:rsidR="00717C73">
        <w:rPr>
          <w:rFonts w:ascii="Book Antiqua" w:hAnsi="Book Antiqua"/>
          <w:b/>
          <w:bCs/>
          <w:color w:val="000000" w:themeColor="text1"/>
          <w:sz w:val="24"/>
          <w:szCs w:val="24"/>
        </w:rPr>
        <w:t>y</w:t>
      </w:r>
      <w:r w:rsidRPr="0050576F">
        <w:rPr>
          <w:rFonts w:ascii="Book Antiqua" w:hAnsi="Book Antiqua"/>
          <w:b/>
          <w:bCs/>
          <w:color w:val="000000" w:themeColor="text1"/>
          <w:sz w:val="24"/>
          <w:szCs w:val="24"/>
        </w:rPr>
        <w:t xml:space="preserve"> controls</w:t>
      </w:r>
    </w:p>
    <w:tbl>
      <w:tblPr>
        <w:tblW w:w="10863" w:type="dxa"/>
        <w:tblInd w:w="-752" w:type="dxa"/>
        <w:tblLook w:val="04A0" w:firstRow="1" w:lastRow="0" w:firstColumn="1" w:lastColumn="0" w:noHBand="0" w:noVBand="1"/>
      </w:tblPr>
      <w:tblGrid>
        <w:gridCol w:w="2183"/>
        <w:gridCol w:w="1796"/>
        <w:gridCol w:w="2268"/>
        <w:gridCol w:w="1876"/>
        <w:gridCol w:w="1660"/>
        <w:gridCol w:w="1080"/>
      </w:tblGrid>
      <w:tr w:rsidR="00EB3C3C" w:rsidRPr="0050576F" w14:paraId="3D35C226" w14:textId="77777777" w:rsidTr="00A631FD">
        <w:trPr>
          <w:trHeight w:val="270"/>
        </w:trPr>
        <w:tc>
          <w:tcPr>
            <w:tcW w:w="3979" w:type="dxa"/>
            <w:gridSpan w:val="2"/>
            <w:tcBorders>
              <w:top w:val="single" w:sz="4" w:space="0" w:color="auto"/>
              <w:left w:val="nil"/>
              <w:bottom w:val="single" w:sz="4" w:space="0" w:color="auto"/>
              <w:right w:val="nil"/>
            </w:tcBorders>
            <w:noWrap/>
            <w:vAlign w:val="center"/>
          </w:tcPr>
          <w:p w14:paraId="2E72136A" w14:textId="77777777" w:rsidR="00EB3C3C" w:rsidRPr="0050576F" w:rsidRDefault="00730055" w:rsidP="0050576F">
            <w:pPr>
              <w:widowControl/>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rPr>
              <w:t>Characteristics</w:t>
            </w:r>
          </w:p>
        </w:tc>
        <w:tc>
          <w:tcPr>
            <w:tcW w:w="2268" w:type="dxa"/>
            <w:tcBorders>
              <w:top w:val="single" w:sz="4" w:space="0" w:color="auto"/>
              <w:left w:val="nil"/>
              <w:bottom w:val="single" w:sz="4" w:space="0" w:color="auto"/>
              <w:right w:val="nil"/>
            </w:tcBorders>
            <w:noWrap/>
            <w:vAlign w:val="center"/>
          </w:tcPr>
          <w:p w14:paraId="695F9C9A" w14:textId="25DA0653" w:rsidR="00EB3C3C" w:rsidRPr="0050576F" w:rsidRDefault="00730055" w:rsidP="0050576F">
            <w:pPr>
              <w:widowControl/>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rPr>
              <w:t>C (</w:t>
            </w:r>
            <w:r w:rsidR="00F837A3" w:rsidRPr="0050576F">
              <w:rPr>
                <w:rFonts w:ascii="Book Antiqua" w:hAnsi="Book Antiqua"/>
                <w:b/>
                <w:bCs/>
                <w:i/>
                <w:color w:val="000000" w:themeColor="text1"/>
                <w:sz w:val="24"/>
                <w:szCs w:val="24"/>
              </w:rPr>
              <w:t>n</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30)</w:t>
            </w:r>
          </w:p>
        </w:tc>
        <w:tc>
          <w:tcPr>
            <w:tcW w:w="1876" w:type="dxa"/>
            <w:tcBorders>
              <w:top w:val="single" w:sz="4" w:space="0" w:color="auto"/>
              <w:left w:val="nil"/>
              <w:bottom w:val="single" w:sz="4" w:space="0" w:color="auto"/>
              <w:right w:val="nil"/>
            </w:tcBorders>
            <w:noWrap/>
            <w:vAlign w:val="center"/>
          </w:tcPr>
          <w:p w14:paraId="1407AAA5" w14:textId="5AEBC93B" w:rsidR="00EB3C3C" w:rsidRPr="0050576F" w:rsidRDefault="00730055" w:rsidP="0050576F">
            <w:pPr>
              <w:widowControl/>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rPr>
              <w:t>Y (</w:t>
            </w:r>
            <w:r w:rsidR="00F837A3" w:rsidRPr="0050576F">
              <w:rPr>
                <w:rFonts w:ascii="Book Antiqua" w:hAnsi="Book Antiqua"/>
                <w:b/>
                <w:bCs/>
                <w:i/>
                <w:color w:val="000000" w:themeColor="text1"/>
                <w:sz w:val="24"/>
                <w:szCs w:val="24"/>
              </w:rPr>
              <w:t>n</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29)</w:t>
            </w:r>
          </w:p>
        </w:tc>
        <w:tc>
          <w:tcPr>
            <w:tcW w:w="1660" w:type="dxa"/>
            <w:tcBorders>
              <w:top w:val="single" w:sz="4" w:space="0" w:color="auto"/>
              <w:left w:val="nil"/>
              <w:bottom w:val="single" w:sz="4" w:space="0" w:color="auto"/>
              <w:right w:val="nil"/>
            </w:tcBorders>
            <w:noWrap/>
            <w:vAlign w:val="center"/>
          </w:tcPr>
          <w:p w14:paraId="052A4899" w14:textId="59E9BE92" w:rsidR="00EB3C3C" w:rsidRPr="0050576F" w:rsidRDefault="00730055" w:rsidP="0050576F">
            <w:pPr>
              <w:widowControl/>
              <w:snapToGrid w:val="0"/>
              <w:spacing w:line="360" w:lineRule="auto"/>
              <w:rPr>
                <w:rFonts w:ascii="Book Antiqua" w:hAnsi="Book Antiqua"/>
                <w:b/>
                <w:bCs/>
                <w:color w:val="000000" w:themeColor="text1"/>
                <w:sz w:val="24"/>
                <w:szCs w:val="24"/>
              </w:rPr>
            </w:pPr>
            <w:r w:rsidRPr="0050576F">
              <w:rPr>
                <w:rFonts w:ascii="Book Antiqua" w:hAnsi="Book Antiqua"/>
                <w:b/>
                <w:bCs/>
                <w:color w:val="000000" w:themeColor="text1"/>
                <w:sz w:val="24"/>
                <w:szCs w:val="24"/>
              </w:rPr>
              <w:t>N (</w:t>
            </w:r>
            <w:r w:rsidR="00F837A3" w:rsidRPr="0050576F">
              <w:rPr>
                <w:rFonts w:ascii="Book Antiqua" w:hAnsi="Book Antiqua"/>
                <w:b/>
                <w:bCs/>
                <w:i/>
                <w:color w:val="000000" w:themeColor="text1"/>
                <w:sz w:val="24"/>
                <w:szCs w:val="24"/>
              </w:rPr>
              <w:t>n</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w:t>
            </w:r>
            <w:r w:rsidR="00A631FD" w:rsidRPr="0050576F">
              <w:rPr>
                <w:rFonts w:ascii="Book Antiqua" w:hAnsi="Book Antiqua"/>
                <w:b/>
                <w:bCs/>
                <w:color w:val="000000" w:themeColor="text1"/>
                <w:sz w:val="24"/>
                <w:szCs w:val="24"/>
              </w:rPr>
              <w:t xml:space="preserve"> </w:t>
            </w:r>
            <w:r w:rsidRPr="0050576F">
              <w:rPr>
                <w:rFonts w:ascii="Book Antiqua" w:hAnsi="Book Antiqua"/>
                <w:b/>
                <w:bCs/>
                <w:color w:val="000000" w:themeColor="text1"/>
                <w:sz w:val="24"/>
                <w:szCs w:val="24"/>
              </w:rPr>
              <w:t>31)</w:t>
            </w:r>
          </w:p>
        </w:tc>
        <w:tc>
          <w:tcPr>
            <w:tcW w:w="1080" w:type="dxa"/>
            <w:tcBorders>
              <w:top w:val="single" w:sz="4" w:space="0" w:color="auto"/>
              <w:left w:val="nil"/>
              <w:bottom w:val="single" w:sz="4" w:space="0" w:color="auto"/>
              <w:right w:val="nil"/>
            </w:tcBorders>
            <w:noWrap/>
            <w:vAlign w:val="center"/>
          </w:tcPr>
          <w:p w14:paraId="422FC217" w14:textId="4BEB0377" w:rsidR="00EB3C3C" w:rsidRPr="0050576F" w:rsidRDefault="00730055" w:rsidP="0050576F">
            <w:pPr>
              <w:widowControl/>
              <w:snapToGrid w:val="0"/>
              <w:spacing w:line="360" w:lineRule="auto"/>
              <w:rPr>
                <w:rFonts w:ascii="Book Antiqua" w:hAnsi="Book Antiqua"/>
                <w:b/>
                <w:bCs/>
                <w:i/>
                <w:color w:val="000000" w:themeColor="text1"/>
                <w:sz w:val="24"/>
                <w:szCs w:val="24"/>
              </w:rPr>
            </w:pPr>
            <w:r w:rsidRPr="0050576F">
              <w:rPr>
                <w:rFonts w:ascii="Book Antiqua" w:hAnsi="Book Antiqua"/>
                <w:b/>
                <w:bCs/>
                <w:i/>
                <w:color w:val="000000" w:themeColor="text1"/>
                <w:sz w:val="24"/>
                <w:szCs w:val="24"/>
              </w:rPr>
              <w:t>P</w:t>
            </w:r>
            <w:r w:rsidR="00F837A3" w:rsidRPr="0050576F">
              <w:rPr>
                <w:rFonts w:ascii="Book Antiqua" w:hAnsi="Book Antiqua"/>
                <w:b/>
                <w:bCs/>
                <w:i/>
                <w:color w:val="000000" w:themeColor="text1"/>
                <w:sz w:val="24"/>
                <w:szCs w:val="24"/>
              </w:rPr>
              <w:t xml:space="preserve"> </w:t>
            </w:r>
            <w:r w:rsidR="00F837A3" w:rsidRPr="0050576F">
              <w:rPr>
                <w:rFonts w:ascii="Book Antiqua" w:hAnsi="Book Antiqua"/>
                <w:b/>
                <w:bCs/>
                <w:color w:val="000000" w:themeColor="text1"/>
                <w:sz w:val="24"/>
                <w:szCs w:val="24"/>
              </w:rPr>
              <w:t>value</w:t>
            </w:r>
          </w:p>
        </w:tc>
      </w:tr>
      <w:tr w:rsidR="00EB3C3C" w:rsidRPr="0050576F" w14:paraId="3D3463A9" w14:textId="77777777" w:rsidTr="00A631FD">
        <w:trPr>
          <w:trHeight w:val="270"/>
        </w:trPr>
        <w:tc>
          <w:tcPr>
            <w:tcW w:w="2183" w:type="dxa"/>
            <w:tcBorders>
              <w:top w:val="single" w:sz="4" w:space="0" w:color="auto"/>
              <w:left w:val="nil"/>
              <w:bottom w:val="nil"/>
              <w:right w:val="nil"/>
            </w:tcBorders>
            <w:noWrap/>
            <w:vAlign w:val="center"/>
          </w:tcPr>
          <w:p w14:paraId="526604D2" w14:textId="7740BDBA"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Sex</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(Male/Female)</w:t>
            </w:r>
          </w:p>
        </w:tc>
        <w:tc>
          <w:tcPr>
            <w:tcW w:w="1796" w:type="dxa"/>
            <w:tcBorders>
              <w:top w:val="single" w:sz="4" w:space="0" w:color="auto"/>
              <w:left w:val="nil"/>
              <w:bottom w:val="nil"/>
              <w:right w:val="nil"/>
            </w:tcBorders>
            <w:noWrap/>
            <w:vAlign w:val="center"/>
          </w:tcPr>
          <w:p w14:paraId="2ED3BE0A"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single" w:sz="4" w:space="0" w:color="auto"/>
              <w:left w:val="nil"/>
              <w:bottom w:val="nil"/>
              <w:right w:val="nil"/>
            </w:tcBorders>
            <w:noWrap/>
            <w:vAlign w:val="center"/>
          </w:tcPr>
          <w:p w14:paraId="0C2E3FA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25/5</w:t>
            </w:r>
          </w:p>
        </w:tc>
        <w:tc>
          <w:tcPr>
            <w:tcW w:w="1876" w:type="dxa"/>
            <w:tcBorders>
              <w:top w:val="single" w:sz="4" w:space="0" w:color="auto"/>
              <w:left w:val="nil"/>
              <w:bottom w:val="nil"/>
              <w:right w:val="nil"/>
            </w:tcBorders>
            <w:noWrap/>
            <w:vAlign w:val="center"/>
          </w:tcPr>
          <w:p w14:paraId="654BCD97"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21/8</w:t>
            </w:r>
          </w:p>
        </w:tc>
        <w:tc>
          <w:tcPr>
            <w:tcW w:w="1660" w:type="dxa"/>
            <w:tcBorders>
              <w:top w:val="single" w:sz="4" w:space="0" w:color="auto"/>
              <w:left w:val="nil"/>
              <w:bottom w:val="nil"/>
              <w:right w:val="nil"/>
            </w:tcBorders>
            <w:noWrap/>
            <w:vAlign w:val="center"/>
          </w:tcPr>
          <w:p w14:paraId="281B0C59"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25/6</w:t>
            </w:r>
          </w:p>
        </w:tc>
        <w:tc>
          <w:tcPr>
            <w:tcW w:w="1080" w:type="dxa"/>
            <w:tcBorders>
              <w:top w:val="single" w:sz="4" w:space="0" w:color="auto"/>
              <w:left w:val="nil"/>
              <w:bottom w:val="nil"/>
              <w:right w:val="nil"/>
            </w:tcBorders>
            <w:noWrap/>
            <w:vAlign w:val="center"/>
          </w:tcPr>
          <w:p w14:paraId="30B57ACA"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0.565</w:t>
            </w:r>
          </w:p>
        </w:tc>
      </w:tr>
      <w:tr w:rsidR="00EB3C3C" w:rsidRPr="0050576F" w14:paraId="3998CB00" w14:textId="77777777" w:rsidTr="00A631FD">
        <w:trPr>
          <w:trHeight w:val="270"/>
        </w:trPr>
        <w:tc>
          <w:tcPr>
            <w:tcW w:w="2183" w:type="dxa"/>
            <w:tcBorders>
              <w:top w:val="nil"/>
              <w:left w:val="nil"/>
              <w:bottom w:val="nil"/>
              <w:right w:val="nil"/>
            </w:tcBorders>
            <w:noWrap/>
            <w:vAlign w:val="center"/>
          </w:tcPr>
          <w:p w14:paraId="1DE020CA" w14:textId="14383403" w:rsidR="00EB3C3C" w:rsidRPr="0050576F" w:rsidRDefault="00F837A3" w:rsidP="00717C73">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Age (</w:t>
            </w:r>
            <w:r w:rsidR="00717C73">
              <w:rPr>
                <w:rFonts w:ascii="Book Antiqua" w:hAnsi="Book Antiqua"/>
                <w:color w:val="000000" w:themeColor="text1"/>
                <w:sz w:val="24"/>
                <w:szCs w:val="24"/>
              </w:rPr>
              <w:t>y</w:t>
            </w:r>
            <w:r w:rsidR="00730055" w:rsidRPr="0050576F">
              <w:rPr>
                <w:rFonts w:ascii="Book Antiqua" w:hAnsi="Book Antiqua"/>
                <w:color w:val="000000" w:themeColor="text1"/>
                <w:sz w:val="24"/>
                <w:szCs w:val="24"/>
              </w:rPr>
              <w:t>r)</w:t>
            </w:r>
          </w:p>
        </w:tc>
        <w:tc>
          <w:tcPr>
            <w:tcW w:w="1796" w:type="dxa"/>
            <w:tcBorders>
              <w:top w:val="nil"/>
              <w:left w:val="nil"/>
              <w:bottom w:val="nil"/>
              <w:right w:val="nil"/>
            </w:tcBorders>
            <w:noWrap/>
            <w:vAlign w:val="center"/>
          </w:tcPr>
          <w:p w14:paraId="3A56A96B"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29AE4504" w14:textId="27036D5E"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52.93</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11.01</w:t>
            </w:r>
          </w:p>
        </w:tc>
        <w:tc>
          <w:tcPr>
            <w:tcW w:w="1876" w:type="dxa"/>
            <w:tcBorders>
              <w:top w:val="nil"/>
              <w:left w:val="nil"/>
              <w:bottom w:val="nil"/>
              <w:right w:val="nil"/>
            </w:tcBorders>
            <w:noWrap/>
            <w:vAlign w:val="center"/>
          </w:tcPr>
          <w:p w14:paraId="1D9A6772" w14:textId="0663C6BA"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56.63</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9.15</w:t>
            </w:r>
          </w:p>
        </w:tc>
        <w:tc>
          <w:tcPr>
            <w:tcW w:w="1660" w:type="dxa"/>
            <w:tcBorders>
              <w:top w:val="nil"/>
              <w:left w:val="nil"/>
              <w:bottom w:val="nil"/>
              <w:right w:val="nil"/>
            </w:tcBorders>
            <w:noWrap/>
            <w:vAlign w:val="center"/>
          </w:tcPr>
          <w:p w14:paraId="477F54B5" w14:textId="4D4BB07F"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51.23</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11.79</w:t>
            </w:r>
          </w:p>
        </w:tc>
        <w:tc>
          <w:tcPr>
            <w:tcW w:w="1080" w:type="dxa"/>
            <w:tcBorders>
              <w:top w:val="nil"/>
              <w:left w:val="nil"/>
              <w:bottom w:val="nil"/>
              <w:right w:val="nil"/>
            </w:tcBorders>
            <w:noWrap/>
            <w:vAlign w:val="center"/>
          </w:tcPr>
          <w:p w14:paraId="7AE18ADA"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0.148</w:t>
            </w:r>
          </w:p>
        </w:tc>
      </w:tr>
      <w:tr w:rsidR="00EB3C3C" w:rsidRPr="0050576F" w14:paraId="5CFAA363" w14:textId="77777777" w:rsidTr="00A631FD">
        <w:trPr>
          <w:trHeight w:val="270"/>
        </w:trPr>
        <w:tc>
          <w:tcPr>
            <w:tcW w:w="2183" w:type="dxa"/>
            <w:vMerge w:val="restart"/>
            <w:tcBorders>
              <w:top w:val="nil"/>
              <w:left w:val="nil"/>
              <w:bottom w:val="nil"/>
              <w:right w:val="nil"/>
            </w:tcBorders>
            <w:vAlign w:val="center"/>
          </w:tcPr>
          <w:p w14:paraId="35B097F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Pathogens</w:t>
            </w:r>
          </w:p>
        </w:tc>
        <w:tc>
          <w:tcPr>
            <w:tcW w:w="1796" w:type="dxa"/>
            <w:tcBorders>
              <w:top w:val="nil"/>
              <w:left w:val="nil"/>
              <w:bottom w:val="nil"/>
              <w:right w:val="nil"/>
            </w:tcBorders>
            <w:noWrap/>
            <w:vAlign w:val="center"/>
          </w:tcPr>
          <w:p w14:paraId="52C1C354"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HBV</w:t>
            </w:r>
          </w:p>
        </w:tc>
        <w:tc>
          <w:tcPr>
            <w:tcW w:w="2268" w:type="dxa"/>
            <w:tcBorders>
              <w:top w:val="nil"/>
              <w:left w:val="nil"/>
              <w:bottom w:val="nil"/>
              <w:right w:val="nil"/>
            </w:tcBorders>
            <w:noWrap/>
            <w:vAlign w:val="center"/>
          </w:tcPr>
          <w:p w14:paraId="6E6F51FE"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25</w:t>
            </w:r>
          </w:p>
        </w:tc>
        <w:tc>
          <w:tcPr>
            <w:tcW w:w="1876" w:type="dxa"/>
            <w:tcBorders>
              <w:top w:val="nil"/>
              <w:left w:val="nil"/>
              <w:bottom w:val="nil"/>
              <w:right w:val="nil"/>
            </w:tcBorders>
            <w:noWrap/>
            <w:vAlign w:val="center"/>
          </w:tcPr>
          <w:p w14:paraId="3FA96D5E"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24</w:t>
            </w:r>
          </w:p>
        </w:tc>
        <w:tc>
          <w:tcPr>
            <w:tcW w:w="1660" w:type="dxa"/>
            <w:vMerge w:val="restart"/>
            <w:tcBorders>
              <w:top w:val="nil"/>
              <w:left w:val="nil"/>
              <w:bottom w:val="nil"/>
              <w:right w:val="nil"/>
            </w:tcBorders>
            <w:noWrap/>
            <w:vAlign w:val="center"/>
          </w:tcPr>
          <w:p w14:paraId="61D57ECC"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w:t>
            </w:r>
          </w:p>
        </w:tc>
        <w:tc>
          <w:tcPr>
            <w:tcW w:w="1080" w:type="dxa"/>
            <w:vMerge w:val="restart"/>
            <w:tcBorders>
              <w:top w:val="nil"/>
              <w:left w:val="nil"/>
              <w:bottom w:val="nil"/>
              <w:right w:val="nil"/>
            </w:tcBorders>
            <w:noWrap/>
            <w:vAlign w:val="center"/>
          </w:tcPr>
          <w:p w14:paraId="566E352B"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0.720</w:t>
            </w:r>
          </w:p>
        </w:tc>
      </w:tr>
      <w:tr w:rsidR="00EB3C3C" w:rsidRPr="0050576F" w14:paraId="2592CF8F" w14:textId="77777777" w:rsidTr="00A631FD">
        <w:trPr>
          <w:trHeight w:val="270"/>
        </w:trPr>
        <w:tc>
          <w:tcPr>
            <w:tcW w:w="2183" w:type="dxa"/>
            <w:vMerge/>
            <w:tcBorders>
              <w:top w:val="nil"/>
              <w:left w:val="nil"/>
              <w:bottom w:val="nil"/>
              <w:right w:val="nil"/>
            </w:tcBorders>
            <w:vAlign w:val="center"/>
          </w:tcPr>
          <w:p w14:paraId="165AF4F8"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796" w:type="dxa"/>
            <w:tcBorders>
              <w:top w:val="nil"/>
              <w:left w:val="nil"/>
              <w:bottom w:val="nil"/>
              <w:right w:val="nil"/>
            </w:tcBorders>
            <w:noWrap/>
            <w:vAlign w:val="center"/>
          </w:tcPr>
          <w:p w14:paraId="3A74861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HCV</w:t>
            </w:r>
          </w:p>
        </w:tc>
        <w:tc>
          <w:tcPr>
            <w:tcW w:w="2268" w:type="dxa"/>
            <w:tcBorders>
              <w:top w:val="nil"/>
              <w:left w:val="nil"/>
              <w:bottom w:val="nil"/>
              <w:right w:val="nil"/>
            </w:tcBorders>
            <w:noWrap/>
            <w:vAlign w:val="center"/>
          </w:tcPr>
          <w:p w14:paraId="234807F4"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w:t>
            </w:r>
          </w:p>
        </w:tc>
        <w:tc>
          <w:tcPr>
            <w:tcW w:w="1876" w:type="dxa"/>
            <w:tcBorders>
              <w:top w:val="nil"/>
              <w:left w:val="nil"/>
              <w:bottom w:val="nil"/>
              <w:right w:val="nil"/>
            </w:tcBorders>
            <w:noWrap/>
            <w:vAlign w:val="center"/>
          </w:tcPr>
          <w:p w14:paraId="1D65E3F3"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w:t>
            </w:r>
          </w:p>
        </w:tc>
        <w:tc>
          <w:tcPr>
            <w:tcW w:w="1660" w:type="dxa"/>
            <w:vMerge/>
            <w:tcBorders>
              <w:top w:val="nil"/>
              <w:left w:val="nil"/>
              <w:bottom w:val="nil"/>
              <w:right w:val="nil"/>
            </w:tcBorders>
            <w:vAlign w:val="center"/>
          </w:tcPr>
          <w:p w14:paraId="68E69F9E"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080" w:type="dxa"/>
            <w:vMerge/>
            <w:tcBorders>
              <w:top w:val="nil"/>
              <w:left w:val="nil"/>
              <w:bottom w:val="nil"/>
              <w:right w:val="nil"/>
            </w:tcBorders>
            <w:vAlign w:val="center"/>
          </w:tcPr>
          <w:p w14:paraId="72864F08"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r>
      <w:tr w:rsidR="00EB3C3C" w:rsidRPr="0050576F" w14:paraId="02BAE050" w14:textId="77777777" w:rsidTr="00A631FD">
        <w:trPr>
          <w:trHeight w:val="270"/>
        </w:trPr>
        <w:tc>
          <w:tcPr>
            <w:tcW w:w="2183" w:type="dxa"/>
            <w:vMerge/>
            <w:tcBorders>
              <w:top w:val="nil"/>
              <w:left w:val="nil"/>
              <w:bottom w:val="nil"/>
              <w:right w:val="nil"/>
            </w:tcBorders>
            <w:vAlign w:val="center"/>
          </w:tcPr>
          <w:p w14:paraId="0C3158ED"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796" w:type="dxa"/>
            <w:tcBorders>
              <w:top w:val="nil"/>
              <w:left w:val="nil"/>
              <w:bottom w:val="nil"/>
              <w:right w:val="nil"/>
            </w:tcBorders>
            <w:noWrap/>
            <w:vAlign w:val="center"/>
          </w:tcPr>
          <w:p w14:paraId="5C2D2382" w14:textId="156A1463"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HBV</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HCV</w:t>
            </w:r>
          </w:p>
        </w:tc>
        <w:tc>
          <w:tcPr>
            <w:tcW w:w="2268" w:type="dxa"/>
            <w:tcBorders>
              <w:top w:val="nil"/>
              <w:left w:val="nil"/>
              <w:bottom w:val="nil"/>
              <w:right w:val="nil"/>
            </w:tcBorders>
            <w:noWrap/>
            <w:vAlign w:val="center"/>
          </w:tcPr>
          <w:p w14:paraId="4AB820E5"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w:t>
            </w:r>
          </w:p>
        </w:tc>
        <w:tc>
          <w:tcPr>
            <w:tcW w:w="1876" w:type="dxa"/>
            <w:tcBorders>
              <w:top w:val="nil"/>
              <w:left w:val="nil"/>
              <w:bottom w:val="nil"/>
              <w:right w:val="nil"/>
            </w:tcBorders>
            <w:noWrap/>
            <w:vAlign w:val="center"/>
          </w:tcPr>
          <w:p w14:paraId="14D2D5E6"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w:t>
            </w:r>
          </w:p>
        </w:tc>
        <w:tc>
          <w:tcPr>
            <w:tcW w:w="1660" w:type="dxa"/>
            <w:vMerge/>
            <w:tcBorders>
              <w:top w:val="nil"/>
              <w:left w:val="nil"/>
              <w:bottom w:val="nil"/>
              <w:right w:val="nil"/>
            </w:tcBorders>
            <w:vAlign w:val="center"/>
          </w:tcPr>
          <w:p w14:paraId="776490D3"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080" w:type="dxa"/>
            <w:vMerge/>
            <w:tcBorders>
              <w:top w:val="nil"/>
              <w:left w:val="nil"/>
              <w:bottom w:val="nil"/>
              <w:right w:val="nil"/>
            </w:tcBorders>
            <w:vAlign w:val="center"/>
          </w:tcPr>
          <w:p w14:paraId="6814D84D"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r>
      <w:tr w:rsidR="00EB3C3C" w:rsidRPr="0050576F" w14:paraId="7FAB1301" w14:textId="77777777" w:rsidTr="00A631FD">
        <w:trPr>
          <w:trHeight w:val="270"/>
        </w:trPr>
        <w:tc>
          <w:tcPr>
            <w:tcW w:w="2183" w:type="dxa"/>
            <w:vMerge/>
            <w:tcBorders>
              <w:top w:val="nil"/>
              <w:left w:val="nil"/>
              <w:bottom w:val="nil"/>
              <w:right w:val="nil"/>
            </w:tcBorders>
            <w:vAlign w:val="center"/>
          </w:tcPr>
          <w:p w14:paraId="563C0479"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796" w:type="dxa"/>
            <w:tcBorders>
              <w:top w:val="nil"/>
              <w:left w:val="nil"/>
              <w:bottom w:val="nil"/>
              <w:right w:val="nil"/>
            </w:tcBorders>
            <w:noWrap/>
            <w:vAlign w:val="center"/>
          </w:tcPr>
          <w:p w14:paraId="578484A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None</w:t>
            </w:r>
          </w:p>
        </w:tc>
        <w:tc>
          <w:tcPr>
            <w:tcW w:w="2268" w:type="dxa"/>
            <w:tcBorders>
              <w:top w:val="nil"/>
              <w:left w:val="nil"/>
              <w:bottom w:val="nil"/>
              <w:right w:val="nil"/>
            </w:tcBorders>
            <w:noWrap/>
            <w:vAlign w:val="center"/>
          </w:tcPr>
          <w:p w14:paraId="11E0E9D6"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3</w:t>
            </w:r>
          </w:p>
        </w:tc>
        <w:tc>
          <w:tcPr>
            <w:tcW w:w="1876" w:type="dxa"/>
            <w:tcBorders>
              <w:top w:val="nil"/>
              <w:left w:val="nil"/>
              <w:bottom w:val="nil"/>
              <w:right w:val="nil"/>
            </w:tcBorders>
            <w:noWrap/>
            <w:vAlign w:val="center"/>
          </w:tcPr>
          <w:p w14:paraId="7C7765F2"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3</w:t>
            </w:r>
          </w:p>
        </w:tc>
        <w:tc>
          <w:tcPr>
            <w:tcW w:w="1660" w:type="dxa"/>
            <w:vMerge/>
            <w:tcBorders>
              <w:top w:val="nil"/>
              <w:left w:val="nil"/>
              <w:bottom w:val="nil"/>
              <w:right w:val="nil"/>
            </w:tcBorders>
            <w:vAlign w:val="center"/>
          </w:tcPr>
          <w:p w14:paraId="0B8EDF64"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080" w:type="dxa"/>
            <w:vMerge/>
            <w:tcBorders>
              <w:top w:val="nil"/>
              <w:left w:val="nil"/>
              <w:bottom w:val="nil"/>
              <w:right w:val="nil"/>
            </w:tcBorders>
            <w:vAlign w:val="center"/>
          </w:tcPr>
          <w:p w14:paraId="031CB727"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r>
      <w:tr w:rsidR="00EB3C3C" w:rsidRPr="0050576F" w14:paraId="0D415489" w14:textId="77777777" w:rsidTr="00A631FD">
        <w:trPr>
          <w:trHeight w:val="270"/>
        </w:trPr>
        <w:tc>
          <w:tcPr>
            <w:tcW w:w="2183" w:type="dxa"/>
            <w:vMerge w:val="restart"/>
            <w:tcBorders>
              <w:top w:val="nil"/>
              <w:left w:val="nil"/>
              <w:bottom w:val="nil"/>
              <w:right w:val="nil"/>
            </w:tcBorders>
            <w:noWrap/>
            <w:vAlign w:val="center"/>
          </w:tcPr>
          <w:p w14:paraId="61050446" w14:textId="219CE053"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AFP</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(ng/mL)</w:t>
            </w:r>
          </w:p>
        </w:tc>
        <w:tc>
          <w:tcPr>
            <w:tcW w:w="1796" w:type="dxa"/>
            <w:tcBorders>
              <w:top w:val="nil"/>
              <w:left w:val="nil"/>
              <w:bottom w:val="nil"/>
              <w:right w:val="nil"/>
            </w:tcBorders>
            <w:noWrap/>
            <w:vAlign w:val="center"/>
          </w:tcPr>
          <w:p w14:paraId="1881EC64" w14:textId="4A00093B"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&gt;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200</w:t>
            </w:r>
          </w:p>
        </w:tc>
        <w:tc>
          <w:tcPr>
            <w:tcW w:w="2268" w:type="dxa"/>
            <w:tcBorders>
              <w:top w:val="nil"/>
              <w:left w:val="nil"/>
              <w:bottom w:val="nil"/>
              <w:right w:val="nil"/>
            </w:tcBorders>
            <w:noWrap/>
            <w:vAlign w:val="center"/>
          </w:tcPr>
          <w:p w14:paraId="4B566E93"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11</w:t>
            </w:r>
          </w:p>
        </w:tc>
        <w:tc>
          <w:tcPr>
            <w:tcW w:w="1876" w:type="dxa"/>
            <w:tcBorders>
              <w:top w:val="nil"/>
              <w:left w:val="nil"/>
              <w:bottom w:val="nil"/>
              <w:right w:val="nil"/>
            </w:tcBorders>
            <w:noWrap/>
            <w:vAlign w:val="center"/>
          </w:tcPr>
          <w:p w14:paraId="4DDCEAB9"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w:t>
            </w:r>
          </w:p>
        </w:tc>
        <w:tc>
          <w:tcPr>
            <w:tcW w:w="1660" w:type="dxa"/>
            <w:vMerge w:val="restart"/>
            <w:tcBorders>
              <w:top w:val="nil"/>
              <w:left w:val="nil"/>
              <w:bottom w:val="nil"/>
              <w:right w:val="nil"/>
            </w:tcBorders>
            <w:noWrap/>
            <w:vAlign w:val="center"/>
          </w:tcPr>
          <w:p w14:paraId="2F259592"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w:t>
            </w:r>
          </w:p>
        </w:tc>
        <w:tc>
          <w:tcPr>
            <w:tcW w:w="1080" w:type="dxa"/>
            <w:vMerge w:val="restart"/>
            <w:tcBorders>
              <w:top w:val="nil"/>
              <w:left w:val="nil"/>
              <w:bottom w:val="nil"/>
              <w:right w:val="nil"/>
            </w:tcBorders>
            <w:noWrap/>
            <w:vAlign w:val="center"/>
          </w:tcPr>
          <w:p w14:paraId="4FE7DE20"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0.000</w:t>
            </w:r>
          </w:p>
        </w:tc>
      </w:tr>
      <w:tr w:rsidR="00EB3C3C" w:rsidRPr="0050576F" w14:paraId="5B7DD2DD" w14:textId="77777777" w:rsidTr="00A631FD">
        <w:trPr>
          <w:trHeight w:val="270"/>
        </w:trPr>
        <w:tc>
          <w:tcPr>
            <w:tcW w:w="2183" w:type="dxa"/>
            <w:vMerge/>
            <w:tcBorders>
              <w:top w:val="nil"/>
              <w:left w:val="nil"/>
              <w:bottom w:val="nil"/>
              <w:right w:val="nil"/>
            </w:tcBorders>
            <w:vAlign w:val="center"/>
          </w:tcPr>
          <w:p w14:paraId="1E54B642"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796" w:type="dxa"/>
            <w:tcBorders>
              <w:top w:val="nil"/>
              <w:left w:val="nil"/>
              <w:bottom w:val="nil"/>
              <w:right w:val="nil"/>
            </w:tcBorders>
            <w:noWrap/>
            <w:vAlign w:val="center"/>
          </w:tcPr>
          <w:p w14:paraId="32E0B514"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50-199</w:t>
            </w:r>
          </w:p>
        </w:tc>
        <w:tc>
          <w:tcPr>
            <w:tcW w:w="2268" w:type="dxa"/>
            <w:tcBorders>
              <w:top w:val="nil"/>
              <w:left w:val="nil"/>
              <w:bottom w:val="nil"/>
              <w:right w:val="nil"/>
            </w:tcBorders>
            <w:noWrap/>
            <w:vAlign w:val="center"/>
          </w:tcPr>
          <w:p w14:paraId="718F9575"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4</w:t>
            </w:r>
          </w:p>
        </w:tc>
        <w:tc>
          <w:tcPr>
            <w:tcW w:w="1876" w:type="dxa"/>
            <w:tcBorders>
              <w:top w:val="nil"/>
              <w:left w:val="nil"/>
              <w:bottom w:val="nil"/>
              <w:right w:val="nil"/>
            </w:tcBorders>
            <w:noWrap/>
            <w:vAlign w:val="center"/>
          </w:tcPr>
          <w:p w14:paraId="2C659780"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w:t>
            </w:r>
          </w:p>
        </w:tc>
        <w:tc>
          <w:tcPr>
            <w:tcW w:w="1660" w:type="dxa"/>
            <w:vMerge/>
            <w:tcBorders>
              <w:top w:val="nil"/>
              <w:left w:val="nil"/>
              <w:bottom w:val="nil"/>
              <w:right w:val="nil"/>
            </w:tcBorders>
            <w:vAlign w:val="center"/>
          </w:tcPr>
          <w:p w14:paraId="5071D5DA"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080" w:type="dxa"/>
            <w:vMerge/>
            <w:tcBorders>
              <w:top w:val="nil"/>
              <w:left w:val="nil"/>
              <w:bottom w:val="nil"/>
              <w:right w:val="nil"/>
            </w:tcBorders>
            <w:vAlign w:val="center"/>
          </w:tcPr>
          <w:p w14:paraId="3A25E98F"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r>
      <w:tr w:rsidR="00EB3C3C" w:rsidRPr="0050576F" w14:paraId="032738A9" w14:textId="77777777" w:rsidTr="00A631FD">
        <w:trPr>
          <w:trHeight w:val="270"/>
        </w:trPr>
        <w:tc>
          <w:tcPr>
            <w:tcW w:w="2183" w:type="dxa"/>
            <w:vMerge/>
            <w:tcBorders>
              <w:top w:val="nil"/>
              <w:left w:val="nil"/>
              <w:bottom w:val="nil"/>
              <w:right w:val="nil"/>
            </w:tcBorders>
            <w:vAlign w:val="center"/>
          </w:tcPr>
          <w:p w14:paraId="050F3FCE"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796" w:type="dxa"/>
            <w:tcBorders>
              <w:top w:val="nil"/>
              <w:left w:val="nil"/>
              <w:bottom w:val="nil"/>
              <w:right w:val="nil"/>
            </w:tcBorders>
            <w:noWrap/>
            <w:vAlign w:val="center"/>
          </w:tcPr>
          <w:p w14:paraId="350F7B4F" w14:textId="5000CE88"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&lt;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50</w:t>
            </w:r>
          </w:p>
        </w:tc>
        <w:tc>
          <w:tcPr>
            <w:tcW w:w="2268" w:type="dxa"/>
            <w:tcBorders>
              <w:top w:val="nil"/>
              <w:left w:val="nil"/>
              <w:bottom w:val="nil"/>
              <w:right w:val="nil"/>
            </w:tcBorders>
            <w:noWrap/>
            <w:vAlign w:val="center"/>
          </w:tcPr>
          <w:p w14:paraId="2DFA4564"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15</w:t>
            </w:r>
          </w:p>
        </w:tc>
        <w:tc>
          <w:tcPr>
            <w:tcW w:w="1876" w:type="dxa"/>
            <w:tcBorders>
              <w:top w:val="nil"/>
              <w:left w:val="nil"/>
              <w:bottom w:val="nil"/>
              <w:right w:val="nil"/>
            </w:tcBorders>
            <w:noWrap/>
            <w:vAlign w:val="center"/>
          </w:tcPr>
          <w:p w14:paraId="7544CFF0"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28</w:t>
            </w:r>
          </w:p>
        </w:tc>
        <w:tc>
          <w:tcPr>
            <w:tcW w:w="1660" w:type="dxa"/>
            <w:vMerge/>
            <w:tcBorders>
              <w:top w:val="nil"/>
              <w:left w:val="nil"/>
              <w:bottom w:val="nil"/>
              <w:right w:val="nil"/>
            </w:tcBorders>
            <w:vAlign w:val="center"/>
          </w:tcPr>
          <w:p w14:paraId="6BEA1662"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1080" w:type="dxa"/>
            <w:vMerge/>
            <w:tcBorders>
              <w:top w:val="nil"/>
              <w:left w:val="nil"/>
              <w:bottom w:val="nil"/>
              <w:right w:val="nil"/>
            </w:tcBorders>
            <w:vAlign w:val="center"/>
          </w:tcPr>
          <w:p w14:paraId="0E699289"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r>
      <w:tr w:rsidR="00EB3C3C" w:rsidRPr="0050576F" w14:paraId="7E2CEB8D" w14:textId="77777777" w:rsidTr="00A631FD">
        <w:trPr>
          <w:trHeight w:val="270"/>
        </w:trPr>
        <w:tc>
          <w:tcPr>
            <w:tcW w:w="2183" w:type="dxa"/>
            <w:tcBorders>
              <w:top w:val="nil"/>
              <w:left w:val="nil"/>
              <w:bottom w:val="nil"/>
              <w:right w:val="nil"/>
            </w:tcBorders>
            <w:noWrap/>
            <w:vAlign w:val="center"/>
          </w:tcPr>
          <w:p w14:paraId="12B5694A" w14:textId="1A569923"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ALT</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(U/L)</w:t>
            </w:r>
          </w:p>
        </w:tc>
        <w:tc>
          <w:tcPr>
            <w:tcW w:w="1796" w:type="dxa"/>
            <w:tcBorders>
              <w:top w:val="nil"/>
              <w:left w:val="nil"/>
              <w:bottom w:val="nil"/>
              <w:right w:val="nil"/>
            </w:tcBorders>
            <w:noWrap/>
            <w:vAlign w:val="center"/>
          </w:tcPr>
          <w:p w14:paraId="5494F0B5"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70E342C4" w14:textId="009ADC44"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162.32</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201.06</w:t>
            </w:r>
          </w:p>
        </w:tc>
        <w:tc>
          <w:tcPr>
            <w:tcW w:w="1876" w:type="dxa"/>
            <w:tcBorders>
              <w:top w:val="nil"/>
              <w:left w:val="nil"/>
              <w:bottom w:val="nil"/>
              <w:right w:val="nil"/>
            </w:tcBorders>
            <w:noWrap/>
            <w:vAlign w:val="center"/>
          </w:tcPr>
          <w:p w14:paraId="59855270" w14:textId="64BB2B32"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91.02</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156.39</w:t>
            </w:r>
          </w:p>
        </w:tc>
        <w:tc>
          <w:tcPr>
            <w:tcW w:w="1660" w:type="dxa"/>
            <w:tcBorders>
              <w:top w:val="nil"/>
              <w:left w:val="nil"/>
              <w:bottom w:val="nil"/>
              <w:right w:val="nil"/>
            </w:tcBorders>
            <w:noWrap/>
            <w:vAlign w:val="center"/>
          </w:tcPr>
          <w:p w14:paraId="6AB868A1" w14:textId="75BA4E1A"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20.34</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8.43</w:t>
            </w:r>
          </w:p>
        </w:tc>
        <w:tc>
          <w:tcPr>
            <w:tcW w:w="1080" w:type="dxa"/>
            <w:tcBorders>
              <w:top w:val="nil"/>
              <w:left w:val="nil"/>
              <w:bottom w:val="nil"/>
              <w:right w:val="nil"/>
            </w:tcBorders>
            <w:noWrap/>
            <w:vAlign w:val="center"/>
          </w:tcPr>
          <w:p w14:paraId="3F92CF7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0.000</w:t>
            </w:r>
          </w:p>
        </w:tc>
      </w:tr>
      <w:tr w:rsidR="00EB3C3C" w:rsidRPr="0050576F" w14:paraId="0E495BC4" w14:textId="77777777" w:rsidTr="00A631FD">
        <w:trPr>
          <w:trHeight w:val="270"/>
        </w:trPr>
        <w:tc>
          <w:tcPr>
            <w:tcW w:w="2183" w:type="dxa"/>
            <w:tcBorders>
              <w:top w:val="nil"/>
              <w:left w:val="nil"/>
              <w:bottom w:val="nil"/>
              <w:right w:val="nil"/>
            </w:tcBorders>
            <w:noWrap/>
            <w:vAlign w:val="center"/>
          </w:tcPr>
          <w:p w14:paraId="1C5587B2" w14:textId="073D840C"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AST</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(U/L)</w:t>
            </w:r>
          </w:p>
        </w:tc>
        <w:tc>
          <w:tcPr>
            <w:tcW w:w="1796" w:type="dxa"/>
            <w:tcBorders>
              <w:top w:val="nil"/>
              <w:left w:val="nil"/>
              <w:bottom w:val="nil"/>
              <w:right w:val="nil"/>
            </w:tcBorders>
            <w:noWrap/>
            <w:vAlign w:val="center"/>
          </w:tcPr>
          <w:p w14:paraId="18437ABA"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6FC7FAD9" w14:textId="6D9C9ABB"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146.35</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112.70</w:t>
            </w:r>
          </w:p>
        </w:tc>
        <w:tc>
          <w:tcPr>
            <w:tcW w:w="1876" w:type="dxa"/>
            <w:tcBorders>
              <w:top w:val="nil"/>
              <w:left w:val="nil"/>
              <w:bottom w:val="nil"/>
              <w:right w:val="nil"/>
            </w:tcBorders>
            <w:noWrap/>
            <w:vAlign w:val="center"/>
          </w:tcPr>
          <w:p w14:paraId="65EF4965" w14:textId="5398F77D"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114.49</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191.67</w:t>
            </w:r>
          </w:p>
        </w:tc>
        <w:tc>
          <w:tcPr>
            <w:tcW w:w="1660" w:type="dxa"/>
            <w:tcBorders>
              <w:top w:val="nil"/>
              <w:left w:val="nil"/>
              <w:bottom w:val="nil"/>
              <w:right w:val="nil"/>
            </w:tcBorders>
            <w:noWrap/>
            <w:vAlign w:val="center"/>
          </w:tcPr>
          <w:p w14:paraId="27DF9D8E" w14:textId="207471D9"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21.59</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4.51</w:t>
            </w:r>
          </w:p>
        </w:tc>
        <w:tc>
          <w:tcPr>
            <w:tcW w:w="1080" w:type="dxa"/>
            <w:tcBorders>
              <w:top w:val="nil"/>
              <w:left w:val="nil"/>
              <w:bottom w:val="nil"/>
              <w:right w:val="nil"/>
            </w:tcBorders>
            <w:noWrap/>
            <w:vAlign w:val="center"/>
          </w:tcPr>
          <w:p w14:paraId="48AC1FB6"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0.012</w:t>
            </w:r>
          </w:p>
        </w:tc>
      </w:tr>
      <w:tr w:rsidR="00EB3C3C" w:rsidRPr="0050576F" w14:paraId="3D1E0DE3" w14:textId="77777777" w:rsidTr="00A631FD">
        <w:trPr>
          <w:trHeight w:val="270"/>
        </w:trPr>
        <w:tc>
          <w:tcPr>
            <w:tcW w:w="2183" w:type="dxa"/>
            <w:tcBorders>
              <w:top w:val="nil"/>
              <w:left w:val="nil"/>
              <w:bottom w:val="nil"/>
              <w:right w:val="nil"/>
            </w:tcBorders>
            <w:noWrap/>
            <w:vAlign w:val="center"/>
          </w:tcPr>
          <w:p w14:paraId="2F522F18" w14:textId="5DFF79E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TBIL</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(μmol/L)</w:t>
            </w:r>
          </w:p>
        </w:tc>
        <w:tc>
          <w:tcPr>
            <w:tcW w:w="1796" w:type="dxa"/>
            <w:tcBorders>
              <w:top w:val="nil"/>
              <w:left w:val="nil"/>
              <w:bottom w:val="nil"/>
              <w:right w:val="nil"/>
            </w:tcBorders>
            <w:noWrap/>
            <w:vAlign w:val="center"/>
          </w:tcPr>
          <w:p w14:paraId="7EE56ABB"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423C7EEB" w14:textId="1F037C66"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39.21</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68.38</w:t>
            </w:r>
          </w:p>
        </w:tc>
        <w:tc>
          <w:tcPr>
            <w:tcW w:w="1876" w:type="dxa"/>
            <w:tcBorders>
              <w:top w:val="nil"/>
              <w:left w:val="nil"/>
              <w:bottom w:val="nil"/>
              <w:right w:val="nil"/>
            </w:tcBorders>
            <w:noWrap/>
            <w:vAlign w:val="center"/>
          </w:tcPr>
          <w:p w14:paraId="25DDE84C" w14:textId="4B8A189B"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40.87</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42.41</w:t>
            </w:r>
          </w:p>
        </w:tc>
        <w:tc>
          <w:tcPr>
            <w:tcW w:w="1660" w:type="dxa"/>
            <w:tcBorders>
              <w:top w:val="nil"/>
              <w:left w:val="nil"/>
              <w:bottom w:val="nil"/>
              <w:right w:val="nil"/>
            </w:tcBorders>
            <w:noWrap/>
            <w:vAlign w:val="center"/>
          </w:tcPr>
          <w:p w14:paraId="4D2566CD" w14:textId="7519BD90"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9.66</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2.66</w:t>
            </w:r>
          </w:p>
        </w:tc>
        <w:tc>
          <w:tcPr>
            <w:tcW w:w="1080" w:type="dxa"/>
            <w:tcBorders>
              <w:top w:val="nil"/>
              <w:left w:val="nil"/>
              <w:bottom w:val="nil"/>
              <w:right w:val="nil"/>
            </w:tcBorders>
            <w:noWrap/>
            <w:vAlign w:val="center"/>
          </w:tcPr>
          <w:p w14:paraId="2EE5B358"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0.015</w:t>
            </w:r>
          </w:p>
        </w:tc>
      </w:tr>
      <w:tr w:rsidR="00EB3C3C" w:rsidRPr="0050576F" w14:paraId="43B41789" w14:textId="77777777" w:rsidTr="00A631FD">
        <w:trPr>
          <w:trHeight w:val="270"/>
        </w:trPr>
        <w:tc>
          <w:tcPr>
            <w:tcW w:w="2183" w:type="dxa"/>
            <w:tcBorders>
              <w:top w:val="nil"/>
              <w:left w:val="nil"/>
              <w:bottom w:val="nil"/>
              <w:right w:val="nil"/>
            </w:tcBorders>
            <w:noWrap/>
            <w:vAlign w:val="center"/>
          </w:tcPr>
          <w:p w14:paraId="45078BEA" w14:textId="2CF47FF1"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DBIL</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(μmol/L)</w:t>
            </w:r>
          </w:p>
        </w:tc>
        <w:tc>
          <w:tcPr>
            <w:tcW w:w="1796" w:type="dxa"/>
            <w:tcBorders>
              <w:top w:val="nil"/>
              <w:left w:val="nil"/>
              <w:bottom w:val="nil"/>
              <w:right w:val="nil"/>
            </w:tcBorders>
            <w:noWrap/>
            <w:vAlign w:val="center"/>
          </w:tcPr>
          <w:p w14:paraId="4D8F70AA"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12E20FBD" w14:textId="0E719EC2"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17.91</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34.43</w:t>
            </w:r>
          </w:p>
        </w:tc>
        <w:tc>
          <w:tcPr>
            <w:tcW w:w="1876" w:type="dxa"/>
            <w:tcBorders>
              <w:top w:val="nil"/>
              <w:left w:val="nil"/>
              <w:bottom w:val="nil"/>
              <w:right w:val="nil"/>
            </w:tcBorders>
            <w:noWrap/>
            <w:vAlign w:val="center"/>
          </w:tcPr>
          <w:p w14:paraId="0582814F" w14:textId="6A356BB2"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17.90</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23.03</w:t>
            </w:r>
          </w:p>
        </w:tc>
        <w:tc>
          <w:tcPr>
            <w:tcW w:w="1660" w:type="dxa"/>
            <w:tcBorders>
              <w:top w:val="nil"/>
              <w:left w:val="nil"/>
              <w:bottom w:val="nil"/>
              <w:right w:val="nil"/>
            </w:tcBorders>
            <w:noWrap/>
            <w:vAlign w:val="center"/>
          </w:tcPr>
          <w:p w14:paraId="7AA75749" w14:textId="0CC8A9BE"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4.49</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1.38</w:t>
            </w:r>
          </w:p>
        </w:tc>
        <w:tc>
          <w:tcPr>
            <w:tcW w:w="1080" w:type="dxa"/>
            <w:tcBorders>
              <w:top w:val="nil"/>
              <w:left w:val="nil"/>
              <w:bottom w:val="nil"/>
              <w:right w:val="nil"/>
            </w:tcBorders>
            <w:noWrap/>
            <w:vAlign w:val="center"/>
          </w:tcPr>
          <w:p w14:paraId="00CC9671"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0.044</w:t>
            </w:r>
          </w:p>
        </w:tc>
      </w:tr>
      <w:tr w:rsidR="00EB3C3C" w:rsidRPr="0050576F" w14:paraId="5FD3F1E9" w14:textId="77777777" w:rsidTr="00A631FD">
        <w:trPr>
          <w:trHeight w:val="270"/>
        </w:trPr>
        <w:tc>
          <w:tcPr>
            <w:tcW w:w="2183" w:type="dxa"/>
            <w:tcBorders>
              <w:top w:val="nil"/>
              <w:left w:val="nil"/>
              <w:right w:val="nil"/>
            </w:tcBorders>
            <w:noWrap/>
            <w:vAlign w:val="center"/>
          </w:tcPr>
          <w:p w14:paraId="6EF7BC3C" w14:textId="3ADCFF0B"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TP</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(g/L)</w:t>
            </w:r>
          </w:p>
        </w:tc>
        <w:tc>
          <w:tcPr>
            <w:tcW w:w="1796" w:type="dxa"/>
            <w:tcBorders>
              <w:top w:val="nil"/>
              <w:left w:val="nil"/>
              <w:right w:val="nil"/>
            </w:tcBorders>
            <w:noWrap/>
            <w:vAlign w:val="center"/>
          </w:tcPr>
          <w:p w14:paraId="30FD2A75"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right w:val="nil"/>
            </w:tcBorders>
            <w:noWrap/>
            <w:vAlign w:val="center"/>
          </w:tcPr>
          <w:p w14:paraId="7B528A44" w14:textId="4A2042A9"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62.42</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10.95</w:t>
            </w:r>
          </w:p>
        </w:tc>
        <w:tc>
          <w:tcPr>
            <w:tcW w:w="1876" w:type="dxa"/>
            <w:tcBorders>
              <w:top w:val="nil"/>
              <w:left w:val="nil"/>
              <w:right w:val="nil"/>
            </w:tcBorders>
            <w:noWrap/>
            <w:vAlign w:val="center"/>
          </w:tcPr>
          <w:p w14:paraId="288F42A6" w14:textId="0426BFCD"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74.14</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8.05</w:t>
            </w:r>
          </w:p>
        </w:tc>
        <w:tc>
          <w:tcPr>
            <w:tcW w:w="1660" w:type="dxa"/>
            <w:tcBorders>
              <w:top w:val="nil"/>
              <w:left w:val="nil"/>
              <w:right w:val="nil"/>
            </w:tcBorders>
            <w:noWrap/>
            <w:vAlign w:val="center"/>
          </w:tcPr>
          <w:p w14:paraId="1AFC9C2B" w14:textId="5A5933E5"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72.31</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3.96</w:t>
            </w:r>
          </w:p>
        </w:tc>
        <w:tc>
          <w:tcPr>
            <w:tcW w:w="1080" w:type="dxa"/>
            <w:tcBorders>
              <w:top w:val="nil"/>
              <w:left w:val="nil"/>
              <w:right w:val="nil"/>
            </w:tcBorders>
            <w:noWrap/>
            <w:vAlign w:val="center"/>
          </w:tcPr>
          <w:p w14:paraId="67FFEA7F"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0.000</w:t>
            </w:r>
          </w:p>
        </w:tc>
      </w:tr>
      <w:tr w:rsidR="00EB3C3C" w:rsidRPr="0050576F" w14:paraId="2A0FAA9D" w14:textId="77777777" w:rsidTr="00A631FD">
        <w:trPr>
          <w:trHeight w:val="270"/>
        </w:trPr>
        <w:tc>
          <w:tcPr>
            <w:tcW w:w="2183" w:type="dxa"/>
            <w:tcBorders>
              <w:top w:val="nil"/>
              <w:left w:val="nil"/>
              <w:bottom w:val="nil"/>
              <w:right w:val="nil"/>
            </w:tcBorders>
            <w:noWrap/>
            <w:vAlign w:val="center"/>
          </w:tcPr>
          <w:p w14:paraId="60F46770" w14:textId="4B310F34"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ALB</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(g/L)</w:t>
            </w:r>
          </w:p>
        </w:tc>
        <w:tc>
          <w:tcPr>
            <w:tcW w:w="1796" w:type="dxa"/>
            <w:tcBorders>
              <w:top w:val="nil"/>
              <w:left w:val="nil"/>
              <w:bottom w:val="nil"/>
              <w:right w:val="nil"/>
            </w:tcBorders>
            <w:noWrap/>
            <w:vAlign w:val="center"/>
          </w:tcPr>
          <w:p w14:paraId="1B310DD4"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nil"/>
              <w:right w:val="nil"/>
            </w:tcBorders>
            <w:noWrap/>
            <w:vAlign w:val="center"/>
          </w:tcPr>
          <w:p w14:paraId="43EC4533" w14:textId="67BAF76B"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33.51</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6.30</w:t>
            </w:r>
          </w:p>
        </w:tc>
        <w:tc>
          <w:tcPr>
            <w:tcW w:w="1876" w:type="dxa"/>
            <w:tcBorders>
              <w:top w:val="nil"/>
              <w:left w:val="nil"/>
              <w:bottom w:val="nil"/>
              <w:right w:val="nil"/>
            </w:tcBorders>
            <w:noWrap/>
            <w:vAlign w:val="center"/>
          </w:tcPr>
          <w:p w14:paraId="5A277E6E" w14:textId="487F0683"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37.65</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7.64</w:t>
            </w:r>
          </w:p>
        </w:tc>
        <w:tc>
          <w:tcPr>
            <w:tcW w:w="1660" w:type="dxa"/>
            <w:tcBorders>
              <w:top w:val="nil"/>
              <w:left w:val="nil"/>
              <w:bottom w:val="nil"/>
              <w:right w:val="nil"/>
            </w:tcBorders>
            <w:noWrap/>
            <w:vAlign w:val="center"/>
          </w:tcPr>
          <w:p w14:paraId="382A380C" w14:textId="568FC88E"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45.36</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w:t>
            </w:r>
            <w:r w:rsidR="00A631FD"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2.62</w:t>
            </w:r>
          </w:p>
        </w:tc>
        <w:tc>
          <w:tcPr>
            <w:tcW w:w="1080" w:type="dxa"/>
            <w:tcBorders>
              <w:top w:val="nil"/>
              <w:left w:val="nil"/>
              <w:bottom w:val="nil"/>
              <w:right w:val="nil"/>
            </w:tcBorders>
            <w:noWrap/>
            <w:vAlign w:val="center"/>
          </w:tcPr>
          <w:p w14:paraId="46B50863"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0.000</w:t>
            </w:r>
          </w:p>
        </w:tc>
      </w:tr>
      <w:tr w:rsidR="00EB3C3C" w:rsidRPr="0050576F" w14:paraId="1A719EE0" w14:textId="77777777" w:rsidTr="00A631FD">
        <w:trPr>
          <w:trHeight w:val="270"/>
        </w:trPr>
        <w:tc>
          <w:tcPr>
            <w:tcW w:w="2183" w:type="dxa"/>
            <w:tcBorders>
              <w:top w:val="nil"/>
              <w:left w:val="nil"/>
              <w:bottom w:val="single" w:sz="4" w:space="0" w:color="auto"/>
              <w:right w:val="nil"/>
            </w:tcBorders>
            <w:noWrap/>
            <w:vAlign w:val="center"/>
          </w:tcPr>
          <w:p w14:paraId="36110B0C" w14:textId="443D017F"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 xml:space="preserve">Child-Pugh </w:t>
            </w:r>
            <w:r w:rsidR="003D3C70" w:rsidRPr="0050576F">
              <w:rPr>
                <w:rFonts w:ascii="Book Antiqua" w:hAnsi="Book Antiqua"/>
                <w:color w:val="000000" w:themeColor="text1"/>
                <w:sz w:val="24"/>
                <w:szCs w:val="24"/>
              </w:rPr>
              <w:t>s</w:t>
            </w:r>
            <w:r w:rsidRPr="0050576F">
              <w:rPr>
                <w:rFonts w:ascii="Book Antiqua" w:hAnsi="Book Antiqua"/>
                <w:color w:val="000000" w:themeColor="text1"/>
                <w:sz w:val="24"/>
                <w:szCs w:val="24"/>
              </w:rPr>
              <w:t>core</w:t>
            </w:r>
            <w:r w:rsidR="00F837A3" w:rsidRPr="0050576F">
              <w:rPr>
                <w:rFonts w:ascii="Book Antiqua" w:hAnsi="Book Antiqua"/>
                <w:color w:val="000000" w:themeColor="text1"/>
                <w:sz w:val="24"/>
                <w:szCs w:val="24"/>
              </w:rPr>
              <w:t xml:space="preserve"> </w:t>
            </w:r>
            <w:r w:rsidRPr="0050576F">
              <w:rPr>
                <w:rFonts w:ascii="Book Antiqua" w:hAnsi="Book Antiqua"/>
                <w:color w:val="000000" w:themeColor="text1"/>
                <w:sz w:val="24"/>
                <w:szCs w:val="24"/>
              </w:rPr>
              <w:t>(A/B)</w:t>
            </w:r>
          </w:p>
        </w:tc>
        <w:tc>
          <w:tcPr>
            <w:tcW w:w="1796" w:type="dxa"/>
            <w:tcBorders>
              <w:top w:val="nil"/>
              <w:left w:val="nil"/>
              <w:bottom w:val="single" w:sz="4" w:space="0" w:color="auto"/>
              <w:right w:val="nil"/>
            </w:tcBorders>
            <w:noWrap/>
            <w:vAlign w:val="center"/>
          </w:tcPr>
          <w:p w14:paraId="46E1A62C" w14:textId="77777777" w:rsidR="00EB3C3C" w:rsidRPr="0050576F" w:rsidRDefault="00EB3C3C" w:rsidP="0050576F">
            <w:pPr>
              <w:widowControl/>
              <w:snapToGrid w:val="0"/>
              <w:spacing w:line="360" w:lineRule="auto"/>
              <w:rPr>
                <w:rFonts w:ascii="Book Antiqua" w:hAnsi="Book Antiqua"/>
                <w:color w:val="000000" w:themeColor="text1"/>
                <w:sz w:val="24"/>
                <w:szCs w:val="24"/>
              </w:rPr>
            </w:pPr>
          </w:p>
        </w:tc>
        <w:tc>
          <w:tcPr>
            <w:tcW w:w="2268" w:type="dxa"/>
            <w:tcBorders>
              <w:top w:val="nil"/>
              <w:left w:val="nil"/>
              <w:bottom w:val="single" w:sz="4" w:space="0" w:color="auto"/>
              <w:right w:val="nil"/>
            </w:tcBorders>
            <w:noWrap/>
            <w:vAlign w:val="center"/>
          </w:tcPr>
          <w:p w14:paraId="59B0C584"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18/12</w:t>
            </w:r>
          </w:p>
        </w:tc>
        <w:tc>
          <w:tcPr>
            <w:tcW w:w="1876" w:type="dxa"/>
            <w:tcBorders>
              <w:top w:val="nil"/>
              <w:left w:val="nil"/>
              <w:bottom w:val="single" w:sz="4" w:space="0" w:color="auto"/>
              <w:right w:val="nil"/>
            </w:tcBorders>
            <w:noWrap/>
            <w:vAlign w:val="center"/>
          </w:tcPr>
          <w:p w14:paraId="6D96497E"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15/14</w:t>
            </w:r>
          </w:p>
        </w:tc>
        <w:tc>
          <w:tcPr>
            <w:tcW w:w="1660" w:type="dxa"/>
            <w:tcBorders>
              <w:top w:val="nil"/>
              <w:left w:val="nil"/>
              <w:bottom w:val="single" w:sz="4" w:space="0" w:color="auto"/>
              <w:right w:val="nil"/>
            </w:tcBorders>
            <w:noWrap/>
            <w:vAlign w:val="center"/>
          </w:tcPr>
          <w:p w14:paraId="398E603C"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w:t>
            </w:r>
          </w:p>
        </w:tc>
        <w:tc>
          <w:tcPr>
            <w:tcW w:w="1080" w:type="dxa"/>
            <w:tcBorders>
              <w:top w:val="nil"/>
              <w:left w:val="nil"/>
              <w:bottom w:val="single" w:sz="4" w:space="0" w:color="auto"/>
              <w:right w:val="nil"/>
            </w:tcBorders>
            <w:noWrap/>
            <w:vAlign w:val="center"/>
          </w:tcPr>
          <w:p w14:paraId="260EA235" w14:textId="77777777" w:rsidR="00EB3C3C" w:rsidRPr="0050576F" w:rsidRDefault="00730055" w:rsidP="0050576F">
            <w:pPr>
              <w:widowControl/>
              <w:snapToGrid w:val="0"/>
              <w:spacing w:line="360" w:lineRule="auto"/>
              <w:rPr>
                <w:rFonts w:ascii="Book Antiqua" w:hAnsi="Book Antiqua"/>
                <w:color w:val="000000" w:themeColor="text1"/>
                <w:sz w:val="24"/>
                <w:szCs w:val="24"/>
              </w:rPr>
            </w:pPr>
            <w:r w:rsidRPr="0050576F">
              <w:rPr>
                <w:rFonts w:ascii="Book Antiqua" w:hAnsi="Book Antiqua"/>
                <w:color w:val="000000" w:themeColor="text1"/>
                <w:sz w:val="24"/>
                <w:szCs w:val="24"/>
              </w:rPr>
              <w:t>0.353</w:t>
            </w:r>
          </w:p>
        </w:tc>
      </w:tr>
    </w:tbl>
    <w:p w14:paraId="090EB6FB" w14:textId="1A68341A" w:rsidR="00967F3B" w:rsidRPr="0050576F" w:rsidRDefault="00531E02" w:rsidP="0050576F">
      <w:pPr>
        <w:tabs>
          <w:tab w:val="left" w:pos="1789"/>
        </w:tabs>
        <w:snapToGrid w:val="0"/>
        <w:spacing w:line="360" w:lineRule="auto"/>
        <w:rPr>
          <w:rFonts w:ascii="Book Antiqua" w:hAnsi="Book Antiqua"/>
          <w:color w:val="000000" w:themeColor="text1"/>
          <w:sz w:val="24"/>
          <w:szCs w:val="24"/>
        </w:rPr>
        <w:sectPr w:rsidR="00967F3B" w:rsidRPr="0050576F" w:rsidSect="0050576F">
          <w:type w:val="continuous"/>
          <w:pgSz w:w="11900" w:h="16840"/>
          <w:pgMar w:top="1440" w:right="1800" w:bottom="1440" w:left="1800" w:header="720" w:footer="720" w:gutter="0"/>
          <w:cols w:space="0"/>
          <w:docGrid w:linePitch="286"/>
        </w:sectPr>
      </w:pPr>
      <w:r w:rsidRPr="00531E02">
        <w:rPr>
          <w:rFonts w:ascii="Book Antiqua" w:hAnsi="Book Antiqua"/>
          <w:color w:val="000000" w:themeColor="text1"/>
          <w:sz w:val="24"/>
          <w:szCs w:val="24"/>
        </w:rPr>
        <w:t>AFP: α-fetoprotein; ALB: Albumin; ALT: Alanine aminotransferase; AST: Aspartate aminotransferase; DBIL: Direct bilirubin; TBIL: Total bilirubin; TP: Total protein.</w:t>
      </w:r>
    </w:p>
    <w:p w14:paraId="13E8C621" w14:textId="3E498B9E" w:rsidR="00422F01" w:rsidRPr="0050576F" w:rsidRDefault="00967F3B" w:rsidP="0050576F">
      <w:pPr>
        <w:adjustRightInd w:val="0"/>
        <w:snapToGrid w:val="0"/>
        <w:spacing w:line="360" w:lineRule="auto"/>
        <w:rPr>
          <w:rFonts w:ascii="Book Antiqua" w:hAnsi="Book Antiqua"/>
          <w:color w:val="000000" w:themeColor="text1"/>
          <w:sz w:val="24"/>
          <w:szCs w:val="24"/>
        </w:rPr>
      </w:pPr>
      <w:r w:rsidRPr="0050576F">
        <w:rPr>
          <w:rFonts w:ascii="Book Antiqua" w:hAnsi="Book Antiqua"/>
          <w:b/>
          <w:color w:val="000000" w:themeColor="text1"/>
          <w:sz w:val="24"/>
          <w:szCs w:val="24"/>
        </w:rPr>
        <w:lastRenderedPageBreak/>
        <w:t xml:space="preserve">Table 2 </w:t>
      </w:r>
      <w:r w:rsidRPr="0050576F">
        <w:rPr>
          <w:rFonts w:ascii="Book Antiqua" w:hAnsi="Book Antiqua"/>
          <w:b/>
          <w:bCs/>
          <w:color w:val="000000" w:themeColor="text1"/>
          <w:sz w:val="24"/>
          <w:szCs w:val="24"/>
        </w:rPr>
        <w:t>Significantly altered metabolites</w:t>
      </w:r>
    </w:p>
    <w:tbl>
      <w:tblPr>
        <w:tblW w:w="12973" w:type="dxa"/>
        <w:tblInd w:w="95" w:type="dxa"/>
        <w:tblLayout w:type="fixed"/>
        <w:tblLook w:val="04A0" w:firstRow="1" w:lastRow="0" w:firstColumn="1" w:lastColumn="0" w:noHBand="0" w:noVBand="1"/>
      </w:tblPr>
      <w:tblGrid>
        <w:gridCol w:w="1315"/>
        <w:gridCol w:w="1368"/>
        <w:gridCol w:w="2010"/>
        <w:gridCol w:w="1260"/>
        <w:gridCol w:w="1260"/>
        <w:gridCol w:w="853"/>
        <w:gridCol w:w="1487"/>
        <w:gridCol w:w="1260"/>
        <w:gridCol w:w="1080"/>
        <w:gridCol w:w="1080"/>
      </w:tblGrid>
      <w:tr w:rsidR="00967F3B" w:rsidRPr="0050576F" w14:paraId="00C465CD" w14:textId="77777777" w:rsidTr="00967F3B">
        <w:trPr>
          <w:trHeight w:val="20"/>
        </w:trPr>
        <w:tc>
          <w:tcPr>
            <w:tcW w:w="1315" w:type="dxa"/>
            <w:vMerge w:val="restart"/>
            <w:tcBorders>
              <w:top w:val="single" w:sz="4" w:space="0" w:color="auto"/>
              <w:left w:val="nil"/>
              <w:bottom w:val="single" w:sz="4" w:space="0" w:color="auto"/>
              <w:right w:val="nil"/>
            </w:tcBorders>
            <w:vAlign w:val="center"/>
          </w:tcPr>
          <w:p w14:paraId="48C5107B"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Retention time</w:t>
            </w:r>
          </w:p>
        </w:tc>
        <w:tc>
          <w:tcPr>
            <w:tcW w:w="1368" w:type="dxa"/>
            <w:vMerge w:val="restart"/>
            <w:tcBorders>
              <w:top w:val="single" w:sz="4" w:space="0" w:color="auto"/>
              <w:left w:val="nil"/>
              <w:bottom w:val="single" w:sz="4" w:space="0" w:color="auto"/>
              <w:right w:val="nil"/>
            </w:tcBorders>
            <w:vAlign w:val="center"/>
          </w:tcPr>
          <w:p w14:paraId="4B161AD8"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m/z</w:t>
            </w:r>
          </w:p>
        </w:tc>
        <w:tc>
          <w:tcPr>
            <w:tcW w:w="2010" w:type="dxa"/>
            <w:vMerge w:val="restart"/>
            <w:tcBorders>
              <w:top w:val="single" w:sz="4" w:space="0" w:color="auto"/>
              <w:left w:val="nil"/>
              <w:bottom w:val="single" w:sz="4" w:space="0" w:color="auto"/>
              <w:right w:val="nil"/>
            </w:tcBorders>
            <w:vAlign w:val="center"/>
          </w:tcPr>
          <w:p w14:paraId="2A10BA58"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Metabolites</w:t>
            </w:r>
          </w:p>
        </w:tc>
        <w:tc>
          <w:tcPr>
            <w:tcW w:w="1260" w:type="dxa"/>
            <w:vMerge w:val="restart"/>
            <w:tcBorders>
              <w:top w:val="single" w:sz="4" w:space="0" w:color="auto"/>
              <w:left w:val="nil"/>
              <w:bottom w:val="single" w:sz="4" w:space="0" w:color="auto"/>
              <w:right w:val="nil"/>
            </w:tcBorders>
            <w:vAlign w:val="center"/>
          </w:tcPr>
          <w:p w14:paraId="5EC98EB2"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Adduction</w:t>
            </w:r>
          </w:p>
        </w:tc>
        <w:tc>
          <w:tcPr>
            <w:tcW w:w="1260" w:type="dxa"/>
            <w:vMerge w:val="restart"/>
            <w:tcBorders>
              <w:top w:val="single" w:sz="4" w:space="0" w:color="auto"/>
              <w:left w:val="nil"/>
              <w:right w:val="nil"/>
            </w:tcBorders>
          </w:tcPr>
          <w:p w14:paraId="75741C80"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Adduct mass</w:t>
            </w:r>
          </w:p>
        </w:tc>
        <w:tc>
          <w:tcPr>
            <w:tcW w:w="853" w:type="dxa"/>
            <w:vMerge w:val="restart"/>
            <w:tcBorders>
              <w:top w:val="single" w:sz="4" w:space="0" w:color="auto"/>
              <w:left w:val="nil"/>
              <w:bottom w:val="single" w:sz="4" w:space="0" w:color="auto"/>
              <w:right w:val="nil"/>
            </w:tcBorders>
            <w:vAlign w:val="center"/>
          </w:tcPr>
          <w:p w14:paraId="0276528A"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Delta ppm</w:t>
            </w:r>
          </w:p>
        </w:tc>
        <w:tc>
          <w:tcPr>
            <w:tcW w:w="1487" w:type="dxa"/>
            <w:tcBorders>
              <w:top w:val="single" w:sz="4" w:space="0" w:color="auto"/>
              <w:left w:val="nil"/>
              <w:right w:val="nil"/>
            </w:tcBorders>
            <w:vAlign w:val="center"/>
          </w:tcPr>
          <w:p w14:paraId="10492B50" w14:textId="77777777" w:rsidR="00967F3B" w:rsidRPr="0050576F" w:rsidRDefault="00967F3B" w:rsidP="0050576F">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Coefficient of Variation (%)</w:t>
            </w:r>
          </w:p>
        </w:tc>
        <w:tc>
          <w:tcPr>
            <w:tcW w:w="3420" w:type="dxa"/>
            <w:gridSpan w:val="3"/>
            <w:tcBorders>
              <w:top w:val="single" w:sz="4" w:space="0" w:color="auto"/>
              <w:left w:val="nil"/>
              <w:bottom w:val="single" w:sz="4" w:space="0" w:color="auto"/>
              <w:right w:val="nil"/>
            </w:tcBorders>
            <w:noWrap/>
            <w:vAlign w:val="center"/>
          </w:tcPr>
          <w:p w14:paraId="620F51DD" w14:textId="6004587D" w:rsidR="00967F3B" w:rsidRPr="0050576F" w:rsidRDefault="00967F3B" w:rsidP="00717C73">
            <w:pPr>
              <w:widowControl/>
              <w:snapToGrid w:val="0"/>
              <w:spacing w:line="360" w:lineRule="auto"/>
              <w:rPr>
                <w:rFonts w:ascii="Book Antiqua" w:eastAsia="等线" w:hAnsi="Book Antiqua"/>
                <w:b/>
                <w:bCs/>
                <w:sz w:val="24"/>
                <w:szCs w:val="24"/>
              </w:rPr>
            </w:pPr>
            <w:r w:rsidRPr="0050576F">
              <w:rPr>
                <w:rFonts w:ascii="Book Antiqua" w:eastAsia="等线" w:hAnsi="Book Antiqua"/>
                <w:b/>
                <w:bCs/>
                <w:sz w:val="24"/>
                <w:szCs w:val="24"/>
              </w:rPr>
              <w:t>Compar</w:t>
            </w:r>
            <w:r w:rsidR="00717C73">
              <w:rPr>
                <w:rFonts w:ascii="Book Antiqua" w:eastAsia="等线" w:hAnsi="Book Antiqua"/>
                <w:b/>
                <w:bCs/>
                <w:sz w:val="24"/>
                <w:szCs w:val="24"/>
              </w:rPr>
              <w:t>i</w:t>
            </w:r>
            <w:r w:rsidRPr="0050576F">
              <w:rPr>
                <w:rFonts w:ascii="Book Antiqua" w:eastAsia="等线" w:hAnsi="Book Antiqua"/>
                <w:b/>
                <w:bCs/>
                <w:sz w:val="24"/>
                <w:szCs w:val="24"/>
              </w:rPr>
              <w:t>son</w:t>
            </w:r>
          </w:p>
        </w:tc>
      </w:tr>
      <w:tr w:rsidR="00967F3B" w:rsidRPr="0050576F" w14:paraId="3E556D21" w14:textId="77777777" w:rsidTr="00967F3B">
        <w:trPr>
          <w:trHeight w:val="20"/>
        </w:trPr>
        <w:tc>
          <w:tcPr>
            <w:tcW w:w="1315" w:type="dxa"/>
            <w:vMerge/>
            <w:tcBorders>
              <w:top w:val="single" w:sz="4" w:space="0" w:color="auto"/>
              <w:left w:val="nil"/>
              <w:bottom w:val="single" w:sz="4" w:space="0" w:color="auto"/>
              <w:right w:val="nil"/>
            </w:tcBorders>
            <w:vAlign w:val="center"/>
          </w:tcPr>
          <w:p w14:paraId="09822D23"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1368" w:type="dxa"/>
            <w:vMerge/>
            <w:tcBorders>
              <w:top w:val="single" w:sz="4" w:space="0" w:color="auto"/>
              <w:left w:val="nil"/>
              <w:bottom w:val="single" w:sz="4" w:space="0" w:color="auto"/>
              <w:right w:val="nil"/>
            </w:tcBorders>
            <w:vAlign w:val="center"/>
          </w:tcPr>
          <w:p w14:paraId="620A4C04"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2010" w:type="dxa"/>
            <w:vMerge/>
            <w:tcBorders>
              <w:top w:val="single" w:sz="4" w:space="0" w:color="auto"/>
              <w:left w:val="nil"/>
              <w:bottom w:val="single" w:sz="4" w:space="0" w:color="auto"/>
              <w:right w:val="nil"/>
            </w:tcBorders>
            <w:vAlign w:val="center"/>
          </w:tcPr>
          <w:p w14:paraId="4013128D"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1260" w:type="dxa"/>
            <w:vMerge/>
            <w:tcBorders>
              <w:top w:val="single" w:sz="4" w:space="0" w:color="auto"/>
              <w:left w:val="nil"/>
              <w:bottom w:val="single" w:sz="4" w:space="0" w:color="auto"/>
              <w:right w:val="nil"/>
            </w:tcBorders>
            <w:vAlign w:val="center"/>
          </w:tcPr>
          <w:p w14:paraId="36BB8C55"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1260" w:type="dxa"/>
            <w:vMerge/>
            <w:tcBorders>
              <w:left w:val="nil"/>
              <w:bottom w:val="single" w:sz="4" w:space="0" w:color="auto"/>
              <w:right w:val="nil"/>
            </w:tcBorders>
          </w:tcPr>
          <w:p w14:paraId="54035BF0"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853" w:type="dxa"/>
            <w:vMerge/>
            <w:tcBorders>
              <w:top w:val="single" w:sz="4" w:space="0" w:color="auto"/>
              <w:left w:val="nil"/>
              <w:bottom w:val="single" w:sz="4" w:space="0" w:color="auto"/>
              <w:right w:val="nil"/>
            </w:tcBorders>
            <w:vAlign w:val="center"/>
          </w:tcPr>
          <w:p w14:paraId="1FEAF5D5" w14:textId="77777777" w:rsidR="00967F3B" w:rsidRPr="0050576F" w:rsidRDefault="00967F3B" w:rsidP="0050576F">
            <w:pPr>
              <w:widowControl/>
              <w:snapToGrid w:val="0"/>
              <w:spacing w:line="360" w:lineRule="auto"/>
              <w:rPr>
                <w:rFonts w:ascii="Book Antiqua" w:eastAsia="等线" w:hAnsi="Book Antiqua"/>
                <w:sz w:val="24"/>
                <w:szCs w:val="24"/>
              </w:rPr>
            </w:pPr>
          </w:p>
        </w:tc>
        <w:tc>
          <w:tcPr>
            <w:tcW w:w="1487" w:type="dxa"/>
            <w:tcBorders>
              <w:left w:val="nil"/>
              <w:bottom w:val="single" w:sz="4" w:space="0" w:color="auto"/>
              <w:right w:val="nil"/>
            </w:tcBorders>
            <w:noWrap/>
            <w:vAlign w:val="center"/>
          </w:tcPr>
          <w:p w14:paraId="13E5B89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3.52</w:t>
            </w:r>
          </w:p>
        </w:tc>
        <w:tc>
          <w:tcPr>
            <w:tcW w:w="1260" w:type="dxa"/>
            <w:tcBorders>
              <w:top w:val="single" w:sz="4" w:space="0" w:color="auto"/>
              <w:left w:val="nil"/>
              <w:bottom w:val="single" w:sz="4" w:space="0" w:color="auto"/>
              <w:right w:val="nil"/>
            </w:tcBorders>
            <w:vAlign w:val="center"/>
          </w:tcPr>
          <w:p w14:paraId="6EE6FB8D" w14:textId="4A1AD967" w:rsidR="00967F3B" w:rsidRPr="0050576F" w:rsidRDefault="00F837A3"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 xml:space="preserve">C </w:t>
            </w:r>
            <w:r w:rsidRPr="0050576F">
              <w:rPr>
                <w:rFonts w:ascii="Book Antiqua" w:eastAsia="等线" w:hAnsi="Book Antiqua"/>
                <w:i/>
                <w:sz w:val="24"/>
                <w:szCs w:val="24"/>
              </w:rPr>
              <w:t>vs</w:t>
            </w:r>
            <w:r w:rsidRPr="0050576F">
              <w:rPr>
                <w:rFonts w:ascii="Book Antiqua" w:eastAsia="等线" w:hAnsi="Book Antiqua"/>
                <w:sz w:val="24"/>
                <w:szCs w:val="24"/>
              </w:rPr>
              <w:t xml:space="preserve"> </w:t>
            </w:r>
            <w:r w:rsidR="00967F3B" w:rsidRPr="0050576F">
              <w:rPr>
                <w:rFonts w:ascii="Book Antiqua" w:eastAsia="等线" w:hAnsi="Book Antiqua"/>
                <w:sz w:val="24"/>
                <w:szCs w:val="24"/>
              </w:rPr>
              <w:t>N</w:t>
            </w:r>
          </w:p>
        </w:tc>
        <w:tc>
          <w:tcPr>
            <w:tcW w:w="1080" w:type="dxa"/>
            <w:tcBorders>
              <w:top w:val="single" w:sz="4" w:space="0" w:color="auto"/>
              <w:left w:val="nil"/>
              <w:bottom w:val="single" w:sz="4" w:space="0" w:color="auto"/>
              <w:right w:val="nil"/>
            </w:tcBorders>
            <w:vAlign w:val="center"/>
          </w:tcPr>
          <w:p w14:paraId="2E4D3EBE" w14:textId="0AF3F290" w:rsidR="00967F3B" w:rsidRPr="0050576F" w:rsidRDefault="00F837A3"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 xml:space="preserve">Y </w:t>
            </w:r>
            <w:r w:rsidRPr="0050576F">
              <w:rPr>
                <w:rFonts w:ascii="Book Antiqua" w:eastAsia="等线" w:hAnsi="Book Antiqua"/>
                <w:i/>
                <w:sz w:val="24"/>
                <w:szCs w:val="24"/>
              </w:rPr>
              <w:t>vs</w:t>
            </w:r>
            <w:r w:rsidRPr="0050576F">
              <w:rPr>
                <w:rFonts w:ascii="Book Antiqua" w:eastAsia="等线" w:hAnsi="Book Antiqua"/>
                <w:sz w:val="24"/>
                <w:szCs w:val="24"/>
              </w:rPr>
              <w:t xml:space="preserve"> </w:t>
            </w:r>
            <w:r w:rsidR="00967F3B" w:rsidRPr="0050576F">
              <w:rPr>
                <w:rFonts w:ascii="Book Antiqua" w:eastAsia="等线" w:hAnsi="Book Antiqua"/>
                <w:sz w:val="24"/>
                <w:szCs w:val="24"/>
              </w:rPr>
              <w:t>N</w:t>
            </w:r>
          </w:p>
        </w:tc>
        <w:tc>
          <w:tcPr>
            <w:tcW w:w="1080" w:type="dxa"/>
            <w:tcBorders>
              <w:top w:val="single" w:sz="4" w:space="0" w:color="auto"/>
              <w:left w:val="nil"/>
              <w:bottom w:val="single" w:sz="4" w:space="0" w:color="auto"/>
              <w:right w:val="nil"/>
            </w:tcBorders>
            <w:vAlign w:val="center"/>
          </w:tcPr>
          <w:p w14:paraId="646CD5DD" w14:textId="35EB6F28" w:rsidR="00967F3B" w:rsidRPr="0050576F" w:rsidRDefault="00F837A3"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 xml:space="preserve">C </w:t>
            </w:r>
            <w:r w:rsidRPr="0050576F">
              <w:rPr>
                <w:rFonts w:ascii="Book Antiqua" w:eastAsia="等线" w:hAnsi="Book Antiqua"/>
                <w:i/>
                <w:sz w:val="24"/>
                <w:szCs w:val="24"/>
              </w:rPr>
              <w:t>vs</w:t>
            </w:r>
            <w:r w:rsidRPr="0050576F">
              <w:rPr>
                <w:rFonts w:ascii="Book Antiqua" w:eastAsia="等线" w:hAnsi="Book Antiqua"/>
                <w:sz w:val="24"/>
                <w:szCs w:val="24"/>
              </w:rPr>
              <w:t xml:space="preserve"> </w:t>
            </w:r>
            <w:r w:rsidR="00967F3B" w:rsidRPr="0050576F">
              <w:rPr>
                <w:rFonts w:ascii="Book Antiqua" w:eastAsia="等线" w:hAnsi="Book Antiqua"/>
                <w:sz w:val="24"/>
                <w:szCs w:val="24"/>
              </w:rPr>
              <w:t>Y</w:t>
            </w:r>
          </w:p>
        </w:tc>
      </w:tr>
      <w:tr w:rsidR="00967F3B" w:rsidRPr="0050576F" w14:paraId="77AFAECA" w14:textId="77777777" w:rsidTr="00967F3B">
        <w:trPr>
          <w:trHeight w:val="20"/>
        </w:trPr>
        <w:tc>
          <w:tcPr>
            <w:tcW w:w="1315" w:type="dxa"/>
            <w:tcBorders>
              <w:top w:val="single" w:sz="4" w:space="0" w:color="auto"/>
              <w:left w:val="nil"/>
              <w:bottom w:val="nil"/>
              <w:right w:val="nil"/>
            </w:tcBorders>
            <w:vAlign w:val="center"/>
          </w:tcPr>
          <w:p w14:paraId="6E486FC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9.57</w:t>
            </w:r>
          </w:p>
        </w:tc>
        <w:tc>
          <w:tcPr>
            <w:tcW w:w="1368" w:type="dxa"/>
            <w:tcBorders>
              <w:top w:val="single" w:sz="4" w:space="0" w:color="auto"/>
              <w:left w:val="nil"/>
              <w:bottom w:val="nil"/>
              <w:right w:val="nil"/>
            </w:tcBorders>
            <w:vAlign w:val="center"/>
          </w:tcPr>
          <w:p w14:paraId="6BF497C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166.0862</w:t>
            </w:r>
          </w:p>
        </w:tc>
        <w:tc>
          <w:tcPr>
            <w:tcW w:w="2010" w:type="dxa"/>
            <w:tcBorders>
              <w:top w:val="single" w:sz="4" w:space="0" w:color="auto"/>
              <w:left w:val="nil"/>
              <w:bottom w:val="nil"/>
              <w:right w:val="nil"/>
            </w:tcBorders>
            <w:vAlign w:val="center"/>
          </w:tcPr>
          <w:p w14:paraId="21709F5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Phenylalanine</w:t>
            </w:r>
          </w:p>
        </w:tc>
        <w:tc>
          <w:tcPr>
            <w:tcW w:w="1260" w:type="dxa"/>
            <w:tcBorders>
              <w:top w:val="single" w:sz="4" w:space="0" w:color="auto"/>
              <w:left w:val="nil"/>
              <w:bottom w:val="nil"/>
              <w:right w:val="nil"/>
            </w:tcBorders>
            <w:vAlign w:val="center"/>
          </w:tcPr>
          <w:p w14:paraId="789E916B" w14:textId="32864791"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single" w:sz="4" w:space="0" w:color="auto"/>
              <w:left w:val="nil"/>
              <w:bottom w:val="nil"/>
              <w:right w:val="nil"/>
            </w:tcBorders>
          </w:tcPr>
          <w:p w14:paraId="763D9F8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166.0863</w:t>
            </w:r>
          </w:p>
        </w:tc>
        <w:tc>
          <w:tcPr>
            <w:tcW w:w="853" w:type="dxa"/>
            <w:tcBorders>
              <w:top w:val="single" w:sz="4" w:space="0" w:color="auto"/>
              <w:left w:val="nil"/>
              <w:bottom w:val="nil"/>
              <w:right w:val="nil"/>
            </w:tcBorders>
            <w:vAlign w:val="center"/>
          </w:tcPr>
          <w:p w14:paraId="351D8FA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single" w:sz="4" w:space="0" w:color="auto"/>
              <w:left w:val="nil"/>
              <w:bottom w:val="nil"/>
              <w:right w:val="nil"/>
            </w:tcBorders>
            <w:noWrap/>
            <w:vAlign w:val="center"/>
          </w:tcPr>
          <w:p w14:paraId="4A1CC78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8.36</w:t>
            </w:r>
          </w:p>
        </w:tc>
        <w:tc>
          <w:tcPr>
            <w:tcW w:w="1260" w:type="dxa"/>
            <w:vAlign w:val="center"/>
          </w:tcPr>
          <w:p w14:paraId="4D1F0897"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3A99697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2A6ECCB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7F344421" w14:textId="77777777" w:rsidTr="00967F3B">
        <w:trPr>
          <w:trHeight w:val="20"/>
        </w:trPr>
        <w:tc>
          <w:tcPr>
            <w:tcW w:w="1315" w:type="dxa"/>
            <w:tcBorders>
              <w:top w:val="nil"/>
              <w:left w:val="nil"/>
              <w:bottom w:val="nil"/>
              <w:right w:val="nil"/>
            </w:tcBorders>
            <w:vAlign w:val="center"/>
          </w:tcPr>
          <w:p w14:paraId="29D16B5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3.49</w:t>
            </w:r>
          </w:p>
        </w:tc>
        <w:tc>
          <w:tcPr>
            <w:tcW w:w="1368" w:type="dxa"/>
            <w:tcBorders>
              <w:top w:val="nil"/>
              <w:left w:val="nil"/>
              <w:bottom w:val="nil"/>
              <w:right w:val="nil"/>
            </w:tcBorders>
            <w:vAlign w:val="center"/>
          </w:tcPr>
          <w:p w14:paraId="620F376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118.0864</w:t>
            </w:r>
          </w:p>
        </w:tc>
        <w:tc>
          <w:tcPr>
            <w:tcW w:w="2010" w:type="dxa"/>
            <w:tcBorders>
              <w:top w:val="nil"/>
              <w:left w:val="nil"/>
              <w:bottom w:val="nil"/>
              <w:right w:val="nil"/>
            </w:tcBorders>
            <w:vAlign w:val="center"/>
          </w:tcPr>
          <w:p w14:paraId="7CCC511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Valine</w:t>
            </w:r>
          </w:p>
        </w:tc>
        <w:tc>
          <w:tcPr>
            <w:tcW w:w="1260" w:type="dxa"/>
            <w:tcBorders>
              <w:top w:val="nil"/>
              <w:left w:val="nil"/>
              <w:bottom w:val="nil"/>
              <w:right w:val="nil"/>
            </w:tcBorders>
            <w:vAlign w:val="center"/>
          </w:tcPr>
          <w:p w14:paraId="4550AD50" w14:textId="5EF1631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43159F9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118.0863</w:t>
            </w:r>
          </w:p>
        </w:tc>
        <w:tc>
          <w:tcPr>
            <w:tcW w:w="853" w:type="dxa"/>
            <w:tcBorders>
              <w:top w:val="nil"/>
              <w:left w:val="nil"/>
              <w:bottom w:val="nil"/>
              <w:right w:val="nil"/>
            </w:tcBorders>
            <w:vAlign w:val="center"/>
          </w:tcPr>
          <w:p w14:paraId="2F975EC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5D1C081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6.76</w:t>
            </w:r>
          </w:p>
        </w:tc>
        <w:tc>
          <w:tcPr>
            <w:tcW w:w="1260" w:type="dxa"/>
            <w:vAlign w:val="center"/>
          </w:tcPr>
          <w:p w14:paraId="176ED6E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23774DA" w14:textId="77777777" w:rsidR="00967F3B" w:rsidRPr="0050576F" w:rsidRDefault="00967F3B" w:rsidP="0050576F">
            <w:pPr>
              <w:snapToGrid w:val="0"/>
              <w:spacing w:line="360" w:lineRule="auto"/>
              <w:ind w:firstLineChars="100" w:firstLine="240"/>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748A7841"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1F2BDC2B" w14:textId="77777777" w:rsidTr="00967F3B">
        <w:trPr>
          <w:trHeight w:val="20"/>
        </w:trPr>
        <w:tc>
          <w:tcPr>
            <w:tcW w:w="1315" w:type="dxa"/>
            <w:tcBorders>
              <w:top w:val="nil"/>
              <w:left w:val="nil"/>
              <w:bottom w:val="nil"/>
              <w:right w:val="nil"/>
            </w:tcBorders>
            <w:vAlign w:val="center"/>
          </w:tcPr>
          <w:p w14:paraId="1326A33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6.63</w:t>
            </w:r>
          </w:p>
        </w:tc>
        <w:tc>
          <w:tcPr>
            <w:tcW w:w="1368" w:type="dxa"/>
            <w:tcBorders>
              <w:top w:val="nil"/>
              <w:left w:val="nil"/>
              <w:bottom w:val="nil"/>
              <w:right w:val="nil"/>
            </w:tcBorders>
            <w:vAlign w:val="center"/>
          </w:tcPr>
          <w:p w14:paraId="4C4F7CB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132.1019</w:t>
            </w:r>
          </w:p>
        </w:tc>
        <w:tc>
          <w:tcPr>
            <w:tcW w:w="2010" w:type="dxa"/>
            <w:tcBorders>
              <w:top w:val="nil"/>
              <w:left w:val="nil"/>
              <w:bottom w:val="nil"/>
              <w:right w:val="nil"/>
            </w:tcBorders>
            <w:vAlign w:val="center"/>
          </w:tcPr>
          <w:p w14:paraId="20708A9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Leucine</w:t>
            </w:r>
          </w:p>
        </w:tc>
        <w:tc>
          <w:tcPr>
            <w:tcW w:w="1260" w:type="dxa"/>
            <w:tcBorders>
              <w:top w:val="nil"/>
              <w:left w:val="nil"/>
              <w:bottom w:val="nil"/>
              <w:right w:val="nil"/>
            </w:tcBorders>
            <w:vAlign w:val="center"/>
          </w:tcPr>
          <w:p w14:paraId="1881A457" w14:textId="7BF68F09"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408A5D2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132.1019</w:t>
            </w:r>
          </w:p>
        </w:tc>
        <w:tc>
          <w:tcPr>
            <w:tcW w:w="853" w:type="dxa"/>
            <w:tcBorders>
              <w:top w:val="nil"/>
              <w:left w:val="nil"/>
              <w:bottom w:val="nil"/>
              <w:right w:val="nil"/>
            </w:tcBorders>
            <w:vAlign w:val="center"/>
          </w:tcPr>
          <w:p w14:paraId="17242F7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623E4FC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3.34</w:t>
            </w:r>
          </w:p>
        </w:tc>
        <w:tc>
          <w:tcPr>
            <w:tcW w:w="1260" w:type="dxa"/>
            <w:vAlign w:val="center"/>
          </w:tcPr>
          <w:p w14:paraId="0B86A9A9" w14:textId="77777777" w:rsidR="00967F3B" w:rsidRPr="0050576F" w:rsidRDefault="00967F3B" w:rsidP="0050576F">
            <w:pPr>
              <w:snapToGrid w:val="0"/>
              <w:spacing w:line="360" w:lineRule="auto"/>
              <w:ind w:firstLineChars="150" w:firstLine="360"/>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4827664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2A8A856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0EF8D61A" w14:textId="77777777" w:rsidTr="00967F3B">
        <w:trPr>
          <w:trHeight w:val="20"/>
        </w:trPr>
        <w:tc>
          <w:tcPr>
            <w:tcW w:w="1315" w:type="dxa"/>
            <w:tcBorders>
              <w:top w:val="nil"/>
              <w:left w:val="nil"/>
              <w:bottom w:val="nil"/>
              <w:right w:val="nil"/>
            </w:tcBorders>
            <w:vAlign w:val="center"/>
          </w:tcPr>
          <w:p w14:paraId="70AA0FB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3.58</w:t>
            </w:r>
          </w:p>
        </w:tc>
        <w:tc>
          <w:tcPr>
            <w:tcW w:w="1368" w:type="dxa"/>
            <w:tcBorders>
              <w:top w:val="nil"/>
              <w:left w:val="nil"/>
              <w:bottom w:val="nil"/>
              <w:right w:val="nil"/>
            </w:tcBorders>
            <w:vAlign w:val="center"/>
          </w:tcPr>
          <w:p w14:paraId="472B001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116.0708</w:t>
            </w:r>
          </w:p>
        </w:tc>
        <w:tc>
          <w:tcPr>
            <w:tcW w:w="2010" w:type="dxa"/>
            <w:tcBorders>
              <w:top w:val="nil"/>
              <w:left w:val="nil"/>
              <w:bottom w:val="nil"/>
              <w:right w:val="nil"/>
            </w:tcBorders>
            <w:vAlign w:val="center"/>
          </w:tcPr>
          <w:p w14:paraId="57AEFC7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Proline</w:t>
            </w:r>
          </w:p>
        </w:tc>
        <w:tc>
          <w:tcPr>
            <w:tcW w:w="1260" w:type="dxa"/>
            <w:tcBorders>
              <w:top w:val="nil"/>
              <w:left w:val="nil"/>
              <w:bottom w:val="nil"/>
              <w:right w:val="nil"/>
            </w:tcBorders>
            <w:vAlign w:val="center"/>
          </w:tcPr>
          <w:p w14:paraId="6F187570" w14:textId="1F0200B4"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185E2E7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116.0706</w:t>
            </w:r>
          </w:p>
        </w:tc>
        <w:tc>
          <w:tcPr>
            <w:tcW w:w="853" w:type="dxa"/>
            <w:tcBorders>
              <w:top w:val="nil"/>
              <w:left w:val="nil"/>
              <w:bottom w:val="nil"/>
              <w:right w:val="nil"/>
            </w:tcBorders>
            <w:vAlign w:val="center"/>
          </w:tcPr>
          <w:p w14:paraId="702970E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00DD60C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14.23</w:t>
            </w:r>
          </w:p>
        </w:tc>
        <w:tc>
          <w:tcPr>
            <w:tcW w:w="1260" w:type="dxa"/>
            <w:vAlign w:val="center"/>
          </w:tcPr>
          <w:p w14:paraId="47D68CB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0CE1C4FE"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C4F0828"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7B1C21D4" w14:textId="77777777" w:rsidTr="00967F3B">
        <w:trPr>
          <w:trHeight w:val="20"/>
        </w:trPr>
        <w:tc>
          <w:tcPr>
            <w:tcW w:w="1315" w:type="dxa"/>
            <w:tcBorders>
              <w:top w:val="nil"/>
              <w:left w:val="nil"/>
              <w:bottom w:val="nil"/>
              <w:right w:val="nil"/>
            </w:tcBorders>
            <w:vAlign w:val="center"/>
          </w:tcPr>
          <w:p w14:paraId="7B3A68A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5.42</w:t>
            </w:r>
          </w:p>
        </w:tc>
        <w:tc>
          <w:tcPr>
            <w:tcW w:w="1368" w:type="dxa"/>
            <w:tcBorders>
              <w:top w:val="nil"/>
              <w:left w:val="nil"/>
              <w:bottom w:val="nil"/>
              <w:right w:val="nil"/>
            </w:tcBorders>
            <w:vAlign w:val="center"/>
          </w:tcPr>
          <w:p w14:paraId="0ACEAEC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182.0811</w:t>
            </w:r>
          </w:p>
        </w:tc>
        <w:tc>
          <w:tcPr>
            <w:tcW w:w="2010" w:type="dxa"/>
            <w:tcBorders>
              <w:top w:val="nil"/>
              <w:left w:val="nil"/>
              <w:bottom w:val="nil"/>
              <w:right w:val="nil"/>
            </w:tcBorders>
            <w:vAlign w:val="center"/>
          </w:tcPr>
          <w:p w14:paraId="3613105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Tyrosine</w:t>
            </w:r>
          </w:p>
        </w:tc>
        <w:tc>
          <w:tcPr>
            <w:tcW w:w="1260" w:type="dxa"/>
            <w:tcBorders>
              <w:top w:val="nil"/>
              <w:left w:val="nil"/>
              <w:bottom w:val="nil"/>
              <w:right w:val="nil"/>
            </w:tcBorders>
            <w:vAlign w:val="center"/>
          </w:tcPr>
          <w:p w14:paraId="14666E24" w14:textId="32C50360"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89C05B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182.0812</w:t>
            </w:r>
          </w:p>
        </w:tc>
        <w:tc>
          <w:tcPr>
            <w:tcW w:w="853" w:type="dxa"/>
            <w:tcBorders>
              <w:top w:val="nil"/>
              <w:left w:val="nil"/>
              <w:bottom w:val="nil"/>
              <w:right w:val="nil"/>
            </w:tcBorders>
            <w:vAlign w:val="center"/>
          </w:tcPr>
          <w:p w14:paraId="5493FE8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4C98014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6.12</w:t>
            </w:r>
          </w:p>
        </w:tc>
        <w:tc>
          <w:tcPr>
            <w:tcW w:w="1260" w:type="dxa"/>
            <w:vAlign w:val="center"/>
          </w:tcPr>
          <w:p w14:paraId="7E757C72" w14:textId="77777777" w:rsidR="00967F3B" w:rsidRPr="0050576F" w:rsidRDefault="00967F3B" w:rsidP="0050576F">
            <w:pPr>
              <w:snapToGrid w:val="0"/>
              <w:spacing w:line="360" w:lineRule="auto"/>
              <w:rPr>
                <w:rFonts w:ascii="Book Antiqua" w:hAnsi="Book Antiqua"/>
                <w:sz w:val="24"/>
                <w:szCs w:val="24"/>
              </w:rPr>
            </w:pPr>
            <w:r w:rsidRPr="0050576F">
              <w:rPr>
                <w:rFonts w:ascii="Book Antiqua" w:eastAsia="等线" w:hAnsi="Book Antiqua"/>
                <w:sz w:val="24"/>
                <w:szCs w:val="24"/>
              </w:rPr>
              <w:t>NS</w:t>
            </w:r>
          </w:p>
        </w:tc>
        <w:tc>
          <w:tcPr>
            <w:tcW w:w="1080" w:type="dxa"/>
            <w:vAlign w:val="center"/>
          </w:tcPr>
          <w:p w14:paraId="7C340D1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73E6DF94"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4501E5F8" w14:textId="77777777" w:rsidTr="00967F3B">
        <w:trPr>
          <w:trHeight w:val="20"/>
        </w:trPr>
        <w:tc>
          <w:tcPr>
            <w:tcW w:w="1315" w:type="dxa"/>
            <w:tcBorders>
              <w:top w:val="nil"/>
              <w:left w:val="nil"/>
              <w:bottom w:val="nil"/>
              <w:right w:val="nil"/>
            </w:tcBorders>
            <w:vAlign w:val="center"/>
          </w:tcPr>
          <w:p w14:paraId="014AC5F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6.05</w:t>
            </w:r>
          </w:p>
        </w:tc>
        <w:tc>
          <w:tcPr>
            <w:tcW w:w="1368" w:type="dxa"/>
            <w:tcBorders>
              <w:top w:val="nil"/>
              <w:left w:val="nil"/>
              <w:bottom w:val="nil"/>
              <w:right w:val="nil"/>
            </w:tcBorders>
            <w:vAlign w:val="center"/>
          </w:tcPr>
          <w:p w14:paraId="2C9969A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132.1019</w:t>
            </w:r>
          </w:p>
        </w:tc>
        <w:tc>
          <w:tcPr>
            <w:tcW w:w="2010" w:type="dxa"/>
            <w:tcBorders>
              <w:top w:val="nil"/>
              <w:left w:val="nil"/>
              <w:bottom w:val="nil"/>
              <w:right w:val="nil"/>
            </w:tcBorders>
            <w:vAlign w:val="center"/>
          </w:tcPr>
          <w:p w14:paraId="1475F14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Isoleucine</w:t>
            </w:r>
          </w:p>
        </w:tc>
        <w:tc>
          <w:tcPr>
            <w:tcW w:w="1260" w:type="dxa"/>
            <w:tcBorders>
              <w:top w:val="nil"/>
              <w:left w:val="nil"/>
              <w:bottom w:val="nil"/>
              <w:right w:val="nil"/>
            </w:tcBorders>
            <w:vAlign w:val="center"/>
          </w:tcPr>
          <w:p w14:paraId="0BB4E63A" w14:textId="0BD2C58B"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5F1033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132.1019</w:t>
            </w:r>
          </w:p>
        </w:tc>
        <w:tc>
          <w:tcPr>
            <w:tcW w:w="853" w:type="dxa"/>
            <w:tcBorders>
              <w:top w:val="nil"/>
              <w:left w:val="nil"/>
              <w:bottom w:val="nil"/>
              <w:right w:val="nil"/>
            </w:tcBorders>
            <w:vAlign w:val="center"/>
          </w:tcPr>
          <w:p w14:paraId="7A1549C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1DBB618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3.37</w:t>
            </w:r>
          </w:p>
        </w:tc>
        <w:tc>
          <w:tcPr>
            <w:tcW w:w="1260" w:type="dxa"/>
            <w:vAlign w:val="center"/>
          </w:tcPr>
          <w:p w14:paraId="38987D63" w14:textId="77777777" w:rsidR="00967F3B" w:rsidRPr="0050576F" w:rsidRDefault="00967F3B" w:rsidP="0050576F">
            <w:pPr>
              <w:snapToGrid w:val="0"/>
              <w:spacing w:line="360" w:lineRule="auto"/>
              <w:rPr>
                <w:rFonts w:ascii="Book Antiqua" w:hAnsi="Book Antiqua"/>
                <w:sz w:val="24"/>
                <w:szCs w:val="24"/>
              </w:rPr>
            </w:pPr>
            <w:r w:rsidRPr="0050576F">
              <w:rPr>
                <w:rFonts w:ascii="Book Antiqua" w:eastAsia="等线" w:hAnsi="Book Antiqua"/>
                <w:sz w:val="24"/>
                <w:szCs w:val="24"/>
              </w:rPr>
              <w:t>NS</w:t>
            </w:r>
          </w:p>
        </w:tc>
        <w:tc>
          <w:tcPr>
            <w:tcW w:w="1080" w:type="dxa"/>
            <w:vAlign w:val="center"/>
          </w:tcPr>
          <w:p w14:paraId="4D0F0B8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553A9F6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2344195D" w14:textId="77777777" w:rsidTr="00967F3B">
        <w:trPr>
          <w:trHeight w:val="20"/>
        </w:trPr>
        <w:tc>
          <w:tcPr>
            <w:tcW w:w="1315" w:type="dxa"/>
            <w:tcBorders>
              <w:top w:val="nil"/>
              <w:left w:val="nil"/>
              <w:bottom w:val="nil"/>
              <w:right w:val="nil"/>
            </w:tcBorders>
            <w:vAlign w:val="center"/>
          </w:tcPr>
          <w:p w14:paraId="74E033B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4.89</w:t>
            </w:r>
          </w:p>
        </w:tc>
        <w:tc>
          <w:tcPr>
            <w:tcW w:w="1368" w:type="dxa"/>
            <w:tcBorders>
              <w:top w:val="nil"/>
              <w:left w:val="nil"/>
              <w:bottom w:val="nil"/>
              <w:right w:val="nil"/>
            </w:tcBorders>
            <w:vAlign w:val="center"/>
          </w:tcPr>
          <w:p w14:paraId="582D889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150.0583</w:t>
            </w:r>
          </w:p>
        </w:tc>
        <w:tc>
          <w:tcPr>
            <w:tcW w:w="2010" w:type="dxa"/>
            <w:tcBorders>
              <w:top w:val="nil"/>
              <w:left w:val="nil"/>
              <w:bottom w:val="nil"/>
              <w:right w:val="nil"/>
            </w:tcBorders>
            <w:vAlign w:val="center"/>
          </w:tcPr>
          <w:p w14:paraId="65DCF16C" w14:textId="21C38CA7" w:rsidR="00967F3B" w:rsidRPr="0050576F" w:rsidRDefault="00967F3B" w:rsidP="00717C73">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Methion</w:t>
            </w:r>
            <w:r w:rsidR="00717C73">
              <w:rPr>
                <w:rFonts w:ascii="Book Antiqua" w:eastAsia="等线" w:hAnsi="Book Antiqua"/>
                <w:sz w:val="24"/>
                <w:szCs w:val="24"/>
              </w:rPr>
              <w:t>i</w:t>
            </w:r>
            <w:r w:rsidRPr="0050576F">
              <w:rPr>
                <w:rFonts w:ascii="Book Antiqua" w:eastAsia="等线" w:hAnsi="Book Antiqua"/>
                <w:sz w:val="24"/>
                <w:szCs w:val="24"/>
              </w:rPr>
              <w:t>ne</w:t>
            </w:r>
          </w:p>
        </w:tc>
        <w:tc>
          <w:tcPr>
            <w:tcW w:w="1260" w:type="dxa"/>
            <w:tcBorders>
              <w:top w:val="nil"/>
              <w:left w:val="nil"/>
              <w:bottom w:val="nil"/>
              <w:right w:val="nil"/>
            </w:tcBorders>
            <w:vAlign w:val="center"/>
          </w:tcPr>
          <w:p w14:paraId="6826B8C3" w14:textId="5120E591"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08B0CB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150.0583</w:t>
            </w:r>
          </w:p>
        </w:tc>
        <w:tc>
          <w:tcPr>
            <w:tcW w:w="853" w:type="dxa"/>
            <w:tcBorders>
              <w:top w:val="nil"/>
              <w:left w:val="nil"/>
              <w:bottom w:val="nil"/>
              <w:right w:val="nil"/>
            </w:tcBorders>
            <w:vAlign w:val="center"/>
          </w:tcPr>
          <w:p w14:paraId="6172EC2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10DB0FD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9.28</w:t>
            </w:r>
          </w:p>
        </w:tc>
        <w:tc>
          <w:tcPr>
            <w:tcW w:w="1260" w:type="dxa"/>
            <w:vAlign w:val="center"/>
          </w:tcPr>
          <w:p w14:paraId="3EFBFD0E" w14:textId="77777777" w:rsidR="00967F3B" w:rsidRPr="0050576F" w:rsidRDefault="00967F3B" w:rsidP="0050576F">
            <w:pPr>
              <w:snapToGrid w:val="0"/>
              <w:spacing w:line="360" w:lineRule="auto"/>
              <w:rPr>
                <w:rFonts w:ascii="Book Antiqua" w:hAnsi="Book Antiqua"/>
                <w:sz w:val="24"/>
                <w:szCs w:val="24"/>
              </w:rPr>
            </w:pPr>
            <w:r w:rsidRPr="0050576F">
              <w:rPr>
                <w:rFonts w:ascii="Book Antiqua" w:eastAsia="等线" w:hAnsi="Book Antiqua"/>
                <w:sz w:val="24"/>
                <w:szCs w:val="24"/>
              </w:rPr>
              <w:t>NS</w:t>
            </w:r>
          </w:p>
        </w:tc>
        <w:tc>
          <w:tcPr>
            <w:tcW w:w="1080" w:type="dxa"/>
            <w:vAlign w:val="center"/>
          </w:tcPr>
          <w:p w14:paraId="6427DA4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67EDA79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31FE57D6" w14:textId="77777777" w:rsidTr="00967F3B">
        <w:trPr>
          <w:trHeight w:val="20"/>
        </w:trPr>
        <w:tc>
          <w:tcPr>
            <w:tcW w:w="1315" w:type="dxa"/>
            <w:tcBorders>
              <w:top w:val="nil"/>
              <w:left w:val="nil"/>
              <w:bottom w:val="nil"/>
              <w:right w:val="nil"/>
            </w:tcBorders>
            <w:vAlign w:val="center"/>
          </w:tcPr>
          <w:p w14:paraId="068DCAC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3.16</w:t>
            </w:r>
          </w:p>
        </w:tc>
        <w:tc>
          <w:tcPr>
            <w:tcW w:w="1368" w:type="dxa"/>
            <w:tcBorders>
              <w:top w:val="nil"/>
              <w:left w:val="nil"/>
              <w:bottom w:val="nil"/>
              <w:right w:val="nil"/>
            </w:tcBorders>
            <w:vAlign w:val="center"/>
          </w:tcPr>
          <w:p w14:paraId="08A8B41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156.0766</w:t>
            </w:r>
          </w:p>
        </w:tc>
        <w:tc>
          <w:tcPr>
            <w:tcW w:w="2010" w:type="dxa"/>
            <w:tcBorders>
              <w:top w:val="nil"/>
              <w:left w:val="nil"/>
              <w:bottom w:val="nil"/>
              <w:right w:val="nil"/>
            </w:tcBorders>
            <w:vAlign w:val="center"/>
          </w:tcPr>
          <w:p w14:paraId="4B10DB7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Histidine</w:t>
            </w:r>
          </w:p>
        </w:tc>
        <w:tc>
          <w:tcPr>
            <w:tcW w:w="1260" w:type="dxa"/>
            <w:tcBorders>
              <w:top w:val="nil"/>
              <w:left w:val="nil"/>
              <w:bottom w:val="nil"/>
              <w:right w:val="nil"/>
            </w:tcBorders>
            <w:vAlign w:val="center"/>
          </w:tcPr>
          <w:p w14:paraId="60C08EFE" w14:textId="6F0610B3"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563A7E8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156.0768</w:t>
            </w:r>
          </w:p>
        </w:tc>
        <w:tc>
          <w:tcPr>
            <w:tcW w:w="853" w:type="dxa"/>
            <w:tcBorders>
              <w:top w:val="nil"/>
              <w:left w:val="nil"/>
              <w:bottom w:val="nil"/>
              <w:right w:val="nil"/>
            </w:tcBorders>
            <w:vAlign w:val="center"/>
          </w:tcPr>
          <w:p w14:paraId="1D154CE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5534DCF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10.83</w:t>
            </w:r>
          </w:p>
        </w:tc>
        <w:tc>
          <w:tcPr>
            <w:tcW w:w="1260" w:type="dxa"/>
            <w:vAlign w:val="center"/>
          </w:tcPr>
          <w:p w14:paraId="680CCFE8"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E90E6A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27EC5ED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0894EB88" w14:textId="77777777" w:rsidTr="00967F3B">
        <w:trPr>
          <w:trHeight w:val="20"/>
        </w:trPr>
        <w:tc>
          <w:tcPr>
            <w:tcW w:w="1315" w:type="dxa"/>
            <w:tcBorders>
              <w:top w:val="nil"/>
              <w:left w:val="nil"/>
              <w:bottom w:val="nil"/>
              <w:right w:val="nil"/>
            </w:tcBorders>
            <w:vAlign w:val="center"/>
          </w:tcPr>
          <w:p w14:paraId="057C736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3.44</w:t>
            </w:r>
          </w:p>
        </w:tc>
        <w:tc>
          <w:tcPr>
            <w:tcW w:w="1368" w:type="dxa"/>
            <w:tcBorders>
              <w:top w:val="nil"/>
              <w:left w:val="nil"/>
              <w:bottom w:val="nil"/>
              <w:right w:val="nil"/>
            </w:tcBorders>
            <w:vAlign w:val="center"/>
          </w:tcPr>
          <w:p w14:paraId="1263F4E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148.0602</w:t>
            </w:r>
          </w:p>
        </w:tc>
        <w:tc>
          <w:tcPr>
            <w:tcW w:w="2010" w:type="dxa"/>
            <w:tcBorders>
              <w:top w:val="nil"/>
              <w:left w:val="nil"/>
              <w:bottom w:val="nil"/>
              <w:right w:val="nil"/>
            </w:tcBorders>
            <w:vAlign w:val="center"/>
          </w:tcPr>
          <w:p w14:paraId="1FB754D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Glutamic acid</w:t>
            </w:r>
          </w:p>
        </w:tc>
        <w:tc>
          <w:tcPr>
            <w:tcW w:w="1260" w:type="dxa"/>
            <w:tcBorders>
              <w:top w:val="nil"/>
              <w:left w:val="nil"/>
              <w:bottom w:val="nil"/>
              <w:right w:val="nil"/>
            </w:tcBorders>
            <w:vAlign w:val="center"/>
          </w:tcPr>
          <w:p w14:paraId="573F109A" w14:textId="77AB5D9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296CC2E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148.0604</w:t>
            </w:r>
          </w:p>
        </w:tc>
        <w:tc>
          <w:tcPr>
            <w:tcW w:w="853" w:type="dxa"/>
            <w:tcBorders>
              <w:top w:val="nil"/>
              <w:left w:val="nil"/>
              <w:bottom w:val="nil"/>
              <w:right w:val="nil"/>
            </w:tcBorders>
            <w:vAlign w:val="center"/>
          </w:tcPr>
          <w:p w14:paraId="4C7D10E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2.00</w:t>
            </w:r>
          </w:p>
        </w:tc>
        <w:tc>
          <w:tcPr>
            <w:tcW w:w="1487" w:type="dxa"/>
            <w:tcBorders>
              <w:top w:val="nil"/>
              <w:left w:val="nil"/>
              <w:bottom w:val="nil"/>
              <w:right w:val="nil"/>
            </w:tcBorders>
            <w:noWrap/>
            <w:vAlign w:val="center"/>
          </w:tcPr>
          <w:p w14:paraId="74FE154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6.38</w:t>
            </w:r>
          </w:p>
        </w:tc>
        <w:tc>
          <w:tcPr>
            <w:tcW w:w="1260" w:type="dxa"/>
            <w:vAlign w:val="center"/>
          </w:tcPr>
          <w:p w14:paraId="5282465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6AD053E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552F09B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r>
      <w:tr w:rsidR="00967F3B" w:rsidRPr="0050576F" w14:paraId="4CE5C793" w14:textId="77777777" w:rsidTr="00967F3B">
        <w:trPr>
          <w:trHeight w:val="20"/>
        </w:trPr>
        <w:tc>
          <w:tcPr>
            <w:tcW w:w="1315" w:type="dxa"/>
            <w:tcBorders>
              <w:top w:val="nil"/>
              <w:left w:val="nil"/>
              <w:bottom w:val="nil"/>
              <w:right w:val="nil"/>
            </w:tcBorders>
            <w:vAlign w:val="center"/>
          </w:tcPr>
          <w:p w14:paraId="541C746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3.32</w:t>
            </w:r>
          </w:p>
        </w:tc>
        <w:tc>
          <w:tcPr>
            <w:tcW w:w="1368" w:type="dxa"/>
            <w:tcBorders>
              <w:top w:val="nil"/>
              <w:left w:val="nil"/>
              <w:bottom w:val="nil"/>
              <w:right w:val="nil"/>
            </w:tcBorders>
            <w:vAlign w:val="center"/>
          </w:tcPr>
          <w:p w14:paraId="62AA95D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106.0502</w:t>
            </w:r>
          </w:p>
        </w:tc>
        <w:tc>
          <w:tcPr>
            <w:tcW w:w="2010" w:type="dxa"/>
            <w:tcBorders>
              <w:top w:val="nil"/>
              <w:left w:val="nil"/>
              <w:bottom w:val="nil"/>
              <w:right w:val="nil"/>
            </w:tcBorders>
            <w:vAlign w:val="center"/>
          </w:tcPr>
          <w:p w14:paraId="4544488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Serine</w:t>
            </w:r>
          </w:p>
        </w:tc>
        <w:tc>
          <w:tcPr>
            <w:tcW w:w="1260" w:type="dxa"/>
            <w:tcBorders>
              <w:top w:val="nil"/>
              <w:left w:val="nil"/>
              <w:bottom w:val="nil"/>
              <w:right w:val="nil"/>
            </w:tcBorders>
            <w:vAlign w:val="center"/>
          </w:tcPr>
          <w:p w14:paraId="67A0406E" w14:textId="1D3B31DA"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09D4BBC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106.0499</w:t>
            </w:r>
          </w:p>
        </w:tc>
        <w:tc>
          <w:tcPr>
            <w:tcW w:w="853" w:type="dxa"/>
            <w:tcBorders>
              <w:top w:val="nil"/>
              <w:left w:val="nil"/>
              <w:bottom w:val="nil"/>
              <w:right w:val="nil"/>
            </w:tcBorders>
            <w:vAlign w:val="center"/>
          </w:tcPr>
          <w:p w14:paraId="4135099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3.00</w:t>
            </w:r>
          </w:p>
        </w:tc>
        <w:tc>
          <w:tcPr>
            <w:tcW w:w="1487" w:type="dxa"/>
            <w:tcBorders>
              <w:top w:val="nil"/>
              <w:left w:val="nil"/>
              <w:bottom w:val="nil"/>
              <w:right w:val="nil"/>
            </w:tcBorders>
            <w:noWrap/>
            <w:vAlign w:val="center"/>
          </w:tcPr>
          <w:p w14:paraId="2ABD3A6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2.59</w:t>
            </w:r>
          </w:p>
        </w:tc>
        <w:tc>
          <w:tcPr>
            <w:tcW w:w="1260" w:type="dxa"/>
            <w:vAlign w:val="center"/>
          </w:tcPr>
          <w:p w14:paraId="38762768"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27D29E2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5609B15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15261AC3" w14:textId="77777777" w:rsidTr="00967F3B">
        <w:trPr>
          <w:trHeight w:val="20"/>
        </w:trPr>
        <w:tc>
          <w:tcPr>
            <w:tcW w:w="1315" w:type="dxa"/>
            <w:tcBorders>
              <w:top w:val="nil"/>
              <w:left w:val="nil"/>
              <w:bottom w:val="nil"/>
              <w:right w:val="nil"/>
            </w:tcBorders>
            <w:vAlign w:val="center"/>
          </w:tcPr>
          <w:p w14:paraId="2626323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3.38</w:t>
            </w:r>
          </w:p>
        </w:tc>
        <w:tc>
          <w:tcPr>
            <w:tcW w:w="1368" w:type="dxa"/>
            <w:tcBorders>
              <w:top w:val="nil"/>
              <w:left w:val="nil"/>
              <w:bottom w:val="nil"/>
              <w:right w:val="nil"/>
            </w:tcBorders>
            <w:vAlign w:val="center"/>
          </w:tcPr>
          <w:p w14:paraId="22620DD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147.0762</w:t>
            </w:r>
          </w:p>
        </w:tc>
        <w:tc>
          <w:tcPr>
            <w:tcW w:w="2010" w:type="dxa"/>
            <w:tcBorders>
              <w:top w:val="nil"/>
              <w:left w:val="nil"/>
              <w:bottom w:val="nil"/>
              <w:right w:val="nil"/>
            </w:tcBorders>
            <w:vAlign w:val="center"/>
          </w:tcPr>
          <w:p w14:paraId="26BA26C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Glutamine</w:t>
            </w:r>
          </w:p>
        </w:tc>
        <w:tc>
          <w:tcPr>
            <w:tcW w:w="1260" w:type="dxa"/>
            <w:tcBorders>
              <w:top w:val="nil"/>
              <w:left w:val="nil"/>
              <w:bottom w:val="nil"/>
              <w:right w:val="nil"/>
            </w:tcBorders>
            <w:vAlign w:val="center"/>
          </w:tcPr>
          <w:p w14:paraId="4E6F9908" w14:textId="6D364BE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2A4EACD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147.0764</w:t>
            </w:r>
          </w:p>
        </w:tc>
        <w:tc>
          <w:tcPr>
            <w:tcW w:w="853" w:type="dxa"/>
            <w:tcBorders>
              <w:top w:val="nil"/>
              <w:left w:val="nil"/>
              <w:bottom w:val="nil"/>
              <w:right w:val="nil"/>
            </w:tcBorders>
            <w:vAlign w:val="center"/>
          </w:tcPr>
          <w:p w14:paraId="27495AE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4431C6A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11.41</w:t>
            </w:r>
          </w:p>
        </w:tc>
        <w:tc>
          <w:tcPr>
            <w:tcW w:w="1260" w:type="dxa"/>
            <w:vAlign w:val="center"/>
          </w:tcPr>
          <w:p w14:paraId="449EFA57"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21F6B73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0E0A4FC"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546597A4" w14:textId="77777777" w:rsidTr="00967F3B">
        <w:trPr>
          <w:trHeight w:val="20"/>
        </w:trPr>
        <w:tc>
          <w:tcPr>
            <w:tcW w:w="1315" w:type="dxa"/>
            <w:tcBorders>
              <w:top w:val="nil"/>
              <w:left w:val="nil"/>
              <w:bottom w:val="nil"/>
              <w:right w:val="nil"/>
            </w:tcBorders>
            <w:vAlign w:val="center"/>
          </w:tcPr>
          <w:p w14:paraId="71DD5BB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3.44</w:t>
            </w:r>
          </w:p>
        </w:tc>
        <w:tc>
          <w:tcPr>
            <w:tcW w:w="1368" w:type="dxa"/>
            <w:tcBorders>
              <w:top w:val="nil"/>
              <w:left w:val="nil"/>
              <w:bottom w:val="nil"/>
              <w:right w:val="nil"/>
            </w:tcBorders>
            <w:vAlign w:val="center"/>
          </w:tcPr>
          <w:p w14:paraId="54137FA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90.0554</w:t>
            </w:r>
          </w:p>
        </w:tc>
        <w:tc>
          <w:tcPr>
            <w:tcW w:w="2010" w:type="dxa"/>
            <w:tcBorders>
              <w:top w:val="nil"/>
              <w:left w:val="nil"/>
              <w:bottom w:val="nil"/>
              <w:right w:val="nil"/>
            </w:tcBorders>
            <w:vAlign w:val="center"/>
          </w:tcPr>
          <w:p w14:paraId="0B13ED6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Alanine</w:t>
            </w:r>
          </w:p>
        </w:tc>
        <w:tc>
          <w:tcPr>
            <w:tcW w:w="1260" w:type="dxa"/>
            <w:tcBorders>
              <w:top w:val="nil"/>
              <w:left w:val="nil"/>
              <w:bottom w:val="nil"/>
              <w:right w:val="nil"/>
            </w:tcBorders>
            <w:vAlign w:val="center"/>
          </w:tcPr>
          <w:p w14:paraId="168643F5" w14:textId="54C3CEAD"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7E9DDC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90.0550</w:t>
            </w:r>
          </w:p>
        </w:tc>
        <w:tc>
          <w:tcPr>
            <w:tcW w:w="853" w:type="dxa"/>
            <w:tcBorders>
              <w:top w:val="nil"/>
              <w:left w:val="nil"/>
              <w:bottom w:val="nil"/>
              <w:right w:val="nil"/>
            </w:tcBorders>
            <w:vAlign w:val="center"/>
          </w:tcPr>
          <w:p w14:paraId="21EEEC7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5.00</w:t>
            </w:r>
          </w:p>
        </w:tc>
        <w:tc>
          <w:tcPr>
            <w:tcW w:w="1487" w:type="dxa"/>
            <w:tcBorders>
              <w:top w:val="nil"/>
              <w:left w:val="nil"/>
              <w:bottom w:val="nil"/>
              <w:right w:val="nil"/>
            </w:tcBorders>
            <w:noWrap/>
            <w:vAlign w:val="center"/>
          </w:tcPr>
          <w:p w14:paraId="65F2A01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12.28</w:t>
            </w:r>
          </w:p>
        </w:tc>
        <w:tc>
          <w:tcPr>
            <w:tcW w:w="1260" w:type="dxa"/>
            <w:vAlign w:val="center"/>
          </w:tcPr>
          <w:p w14:paraId="27F587A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161C29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6E73328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529492BD" w14:textId="77777777" w:rsidTr="00967F3B">
        <w:trPr>
          <w:trHeight w:val="20"/>
        </w:trPr>
        <w:tc>
          <w:tcPr>
            <w:tcW w:w="1315" w:type="dxa"/>
            <w:tcBorders>
              <w:top w:val="nil"/>
              <w:left w:val="nil"/>
              <w:bottom w:val="nil"/>
              <w:right w:val="nil"/>
            </w:tcBorders>
            <w:vAlign w:val="center"/>
          </w:tcPr>
          <w:p w14:paraId="5877568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5.43</w:t>
            </w:r>
          </w:p>
        </w:tc>
        <w:tc>
          <w:tcPr>
            <w:tcW w:w="1368" w:type="dxa"/>
            <w:tcBorders>
              <w:top w:val="nil"/>
              <w:left w:val="nil"/>
              <w:bottom w:val="nil"/>
              <w:right w:val="nil"/>
            </w:tcBorders>
            <w:vAlign w:val="center"/>
          </w:tcPr>
          <w:p w14:paraId="753E6A3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165.0546</w:t>
            </w:r>
          </w:p>
        </w:tc>
        <w:tc>
          <w:tcPr>
            <w:tcW w:w="2010" w:type="dxa"/>
            <w:tcBorders>
              <w:top w:val="nil"/>
              <w:left w:val="nil"/>
              <w:bottom w:val="nil"/>
              <w:right w:val="nil"/>
            </w:tcBorders>
            <w:vAlign w:val="center"/>
          </w:tcPr>
          <w:p w14:paraId="767E2B5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Hydroxycinnamic acid</w:t>
            </w:r>
          </w:p>
        </w:tc>
        <w:tc>
          <w:tcPr>
            <w:tcW w:w="1260" w:type="dxa"/>
            <w:tcBorders>
              <w:top w:val="nil"/>
              <w:left w:val="nil"/>
              <w:bottom w:val="nil"/>
              <w:right w:val="nil"/>
            </w:tcBorders>
            <w:vAlign w:val="center"/>
          </w:tcPr>
          <w:p w14:paraId="615123E2" w14:textId="0BDAD66D"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00DA846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165.0546</w:t>
            </w:r>
          </w:p>
        </w:tc>
        <w:tc>
          <w:tcPr>
            <w:tcW w:w="853" w:type="dxa"/>
            <w:tcBorders>
              <w:top w:val="nil"/>
              <w:left w:val="nil"/>
              <w:bottom w:val="nil"/>
              <w:right w:val="nil"/>
            </w:tcBorders>
            <w:vAlign w:val="center"/>
          </w:tcPr>
          <w:p w14:paraId="5A15003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72B6E1D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16.17</w:t>
            </w:r>
          </w:p>
        </w:tc>
        <w:tc>
          <w:tcPr>
            <w:tcW w:w="1260" w:type="dxa"/>
            <w:vAlign w:val="center"/>
          </w:tcPr>
          <w:p w14:paraId="6D0253C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0D544047"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74328E9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46BD7D80" w14:textId="77777777" w:rsidTr="00967F3B">
        <w:trPr>
          <w:trHeight w:val="20"/>
        </w:trPr>
        <w:tc>
          <w:tcPr>
            <w:tcW w:w="1315" w:type="dxa"/>
            <w:tcBorders>
              <w:top w:val="nil"/>
              <w:left w:val="nil"/>
              <w:bottom w:val="nil"/>
              <w:right w:val="nil"/>
            </w:tcBorders>
            <w:vAlign w:val="center"/>
          </w:tcPr>
          <w:p w14:paraId="28CE47E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lastRenderedPageBreak/>
              <w:t>5.43</w:t>
            </w:r>
          </w:p>
        </w:tc>
        <w:tc>
          <w:tcPr>
            <w:tcW w:w="1368" w:type="dxa"/>
            <w:tcBorders>
              <w:top w:val="nil"/>
              <w:left w:val="nil"/>
              <w:bottom w:val="nil"/>
              <w:right w:val="nil"/>
            </w:tcBorders>
            <w:vAlign w:val="center"/>
          </w:tcPr>
          <w:p w14:paraId="0CA8802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123.0442</w:t>
            </w:r>
          </w:p>
        </w:tc>
        <w:tc>
          <w:tcPr>
            <w:tcW w:w="2010" w:type="dxa"/>
            <w:tcBorders>
              <w:top w:val="nil"/>
              <w:left w:val="nil"/>
              <w:bottom w:val="nil"/>
              <w:right w:val="nil"/>
            </w:tcBorders>
            <w:vAlign w:val="center"/>
          </w:tcPr>
          <w:p w14:paraId="3749CE0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Benzoic acid</w:t>
            </w:r>
          </w:p>
        </w:tc>
        <w:tc>
          <w:tcPr>
            <w:tcW w:w="1260" w:type="dxa"/>
            <w:tcBorders>
              <w:top w:val="nil"/>
              <w:left w:val="nil"/>
              <w:bottom w:val="nil"/>
              <w:right w:val="nil"/>
            </w:tcBorders>
            <w:vAlign w:val="center"/>
          </w:tcPr>
          <w:p w14:paraId="2570FB25" w14:textId="4F4B9859"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7A5F7AC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123.0441</w:t>
            </w:r>
          </w:p>
        </w:tc>
        <w:tc>
          <w:tcPr>
            <w:tcW w:w="853" w:type="dxa"/>
            <w:tcBorders>
              <w:top w:val="nil"/>
              <w:left w:val="nil"/>
              <w:bottom w:val="nil"/>
              <w:right w:val="nil"/>
            </w:tcBorders>
            <w:vAlign w:val="center"/>
          </w:tcPr>
          <w:p w14:paraId="3BF70BC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0F8C7EB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10.11</w:t>
            </w:r>
          </w:p>
        </w:tc>
        <w:tc>
          <w:tcPr>
            <w:tcW w:w="1260" w:type="dxa"/>
            <w:vAlign w:val="center"/>
          </w:tcPr>
          <w:p w14:paraId="1BE69BC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78F41FCC"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4874DFE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65583318" w14:textId="77777777" w:rsidTr="00967F3B">
        <w:trPr>
          <w:trHeight w:val="20"/>
        </w:trPr>
        <w:tc>
          <w:tcPr>
            <w:tcW w:w="1315" w:type="dxa"/>
            <w:tcBorders>
              <w:top w:val="nil"/>
              <w:left w:val="nil"/>
              <w:bottom w:val="nil"/>
              <w:right w:val="nil"/>
            </w:tcBorders>
            <w:vAlign w:val="center"/>
          </w:tcPr>
          <w:p w14:paraId="6E846B4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9.57</w:t>
            </w:r>
          </w:p>
        </w:tc>
        <w:tc>
          <w:tcPr>
            <w:tcW w:w="1368" w:type="dxa"/>
            <w:tcBorders>
              <w:top w:val="nil"/>
              <w:left w:val="nil"/>
              <w:bottom w:val="nil"/>
              <w:right w:val="nil"/>
            </w:tcBorders>
            <w:vAlign w:val="center"/>
          </w:tcPr>
          <w:p w14:paraId="691412C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149.0596</w:t>
            </w:r>
          </w:p>
        </w:tc>
        <w:tc>
          <w:tcPr>
            <w:tcW w:w="2010" w:type="dxa"/>
            <w:tcBorders>
              <w:top w:val="nil"/>
              <w:left w:val="nil"/>
              <w:bottom w:val="nil"/>
              <w:right w:val="nil"/>
            </w:tcBorders>
            <w:vAlign w:val="center"/>
          </w:tcPr>
          <w:p w14:paraId="4220441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Cinnamic acid</w:t>
            </w:r>
          </w:p>
        </w:tc>
        <w:tc>
          <w:tcPr>
            <w:tcW w:w="1260" w:type="dxa"/>
            <w:tcBorders>
              <w:top w:val="nil"/>
              <w:left w:val="nil"/>
              <w:bottom w:val="nil"/>
              <w:right w:val="nil"/>
            </w:tcBorders>
            <w:vAlign w:val="center"/>
          </w:tcPr>
          <w:p w14:paraId="6AE1E9BE" w14:textId="4E9FC4CC"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77D11CB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149.0597</w:t>
            </w:r>
          </w:p>
        </w:tc>
        <w:tc>
          <w:tcPr>
            <w:tcW w:w="853" w:type="dxa"/>
            <w:tcBorders>
              <w:top w:val="nil"/>
              <w:left w:val="nil"/>
              <w:bottom w:val="nil"/>
              <w:right w:val="nil"/>
            </w:tcBorders>
            <w:vAlign w:val="center"/>
          </w:tcPr>
          <w:p w14:paraId="2C47EB6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5E1EB48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12.29</w:t>
            </w:r>
          </w:p>
        </w:tc>
        <w:tc>
          <w:tcPr>
            <w:tcW w:w="1260" w:type="dxa"/>
            <w:vAlign w:val="center"/>
          </w:tcPr>
          <w:p w14:paraId="5B01287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567938C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0383762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51C49F98" w14:textId="77777777" w:rsidTr="00967F3B">
        <w:trPr>
          <w:trHeight w:val="20"/>
        </w:trPr>
        <w:tc>
          <w:tcPr>
            <w:tcW w:w="1315" w:type="dxa"/>
            <w:tcBorders>
              <w:top w:val="nil"/>
              <w:left w:val="nil"/>
              <w:bottom w:val="nil"/>
              <w:right w:val="nil"/>
            </w:tcBorders>
            <w:vAlign w:val="center"/>
          </w:tcPr>
          <w:p w14:paraId="03AD0EC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24.40</w:t>
            </w:r>
          </w:p>
        </w:tc>
        <w:tc>
          <w:tcPr>
            <w:tcW w:w="1368" w:type="dxa"/>
            <w:tcBorders>
              <w:top w:val="nil"/>
              <w:left w:val="nil"/>
              <w:bottom w:val="nil"/>
              <w:right w:val="nil"/>
            </w:tcBorders>
            <w:vAlign w:val="center"/>
          </w:tcPr>
          <w:p w14:paraId="211C300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190.0497</w:t>
            </w:r>
          </w:p>
        </w:tc>
        <w:tc>
          <w:tcPr>
            <w:tcW w:w="2010" w:type="dxa"/>
            <w:tcBorders>
              <w:top w:val="nil"/>
              <w:left w:val="nil"/>
              <w:bottom w:val="nil"/>
              <w:right w:val="nil"/>
            </w:tcBorders>
            <w:vAlign w:val="center"/>
          </w:tcPr>
          <w:p w14:paraId="516B203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Kynurenic acid</w:t>
            </w:r>
          </w:p>
        </w:tc>
        <w:tc>
          <w:tcPr>
            <w:tcW w:w="1260" w:type="dxa"/>
            <w:tcBorders>
              <w:top w:val="nil"/>
              <w:left w:val="nil"/>
              <w:bottom w:val="nil"/>
              <w:right w:val="nil"/>
            </w:tcBorders>
            <w:vAlign w:val="center"/>
          </w:tcPr>
          <w:p w14:paraId="15BF7CC7" w14:textId="56574673"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6E22AAD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190.0499</w:t>
            </w:r>
          </w:p>
        </w:tc>
        <w:tc>
          <w:tcPr>
            <w:tcW w:w="853" w:type="dxa"/>
            <w:tcBorders>
              <w:top w:val="nil"/>
              <w:left w:val="nil"/>
              <w:bottom w:val="nil"/>
              <w:right w:val="nil"/>
            </w:tcBorders>
            <w:vAlign w:val="center"/>
          </w:tcPr>
          <w:p w14:paraId="4301F8E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3DB702F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6.51</w:t>
            </w:r>
          </w:p>
        </w:tc>
        <w:tc>
          <w:tcPr>
            <w:tcW w:w="1260" w:type="dxa"/>
            <w:vAlign w:val="center"/>
          </w:tcPr>
          <w:p w14:paraId="30FAD03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2113D20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06D723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r>
      <w:tr w:rsidR="00967F3B" w:rsidRPr="0050576F" w14:paraId="30A5F290" w14:textId="77777777" w:rsidTr="00967F3B">
        <w:trPr>
          <w:trHeight w:val="20"/>
        </w:trPr>
        <w:tc>
          <w:tcPr>
            <w:tcW w:w="1315" w:type="dxa"/>
            <w:tcBorders>
              <w:top w:val="nil"/>
              <w:left w:val="nil"/>
              <w:bottom w:val="nil"/>
              <w:right w:val="nil"/>
            </w:tcBorders>
            <w:vAlign w:val="center"/>
          </w:tcPr>
          <w:p w14:paraId="7F2B79B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26.39</w:t>
            </w:r>
          </w:p>
        </w:tc>
        <w:tc>
          <w:tcPr>
            <w:tcW w:w="1368" w:type="dxa"/>
            <w:tcBorders>
              <w:top w:val="nil"/>
              <w:left w:val="nil"/>
              <w:bottom w:val="nil"/>
              <w:right w:val="nil"/>
            </w:tcBorders>
            <w:vAlign w:val="center"/>
          </w:tcPr>
          <w:p w14:paraId="41E91FB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169.0495</w:t>
            </w:r>
          </w:p>
        </w:tc>
        <w:tc>
          <w:tcPr>
            <w:tcW w:w="2010" w:type="dxa"/>
            <w:tcBorders>
              <w:top w:val="nil"/>
              <w:left w:val="nil"/>
              <w:bottom w:val="nil"/>
              <w:right w:val="nil"/>
            </w:tcBorders>
            <w:vAlign w:val="center"/>
          </w:tcPr>
          <w:p w14:paraId="2773BA2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Vanillic acid</w:t>
            </w:r>
          </w:p>
        </w:tc>
        <w:tc>
          <w:tcPr>
            <w:tcW w:w="1260" w:type="dxa"/>
            <w:tcBorders>
              <w:top w:val="nil"/>
              <w:left w:val="nil"/>
              <w:bottom w:val="nil"/>
              <w:right w:val="nil"/>
            </w:tcBorders>
            <w:vAlign w:val="center"/>
          </w:tcPr>
          <w:p w14:paraId="1DB8525E" w14:textId="60A60796"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433C937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169.0495</w:t>
            </w:r>
          </w:p>
        </w:tc>
        <w:tc>
          <w:tcPr>
            <w:tcW w:w="853" w:type="dxa"/>
            <w:tcBorders>
              <w:top w:val="nil"/>
              <w:left w:val="nil"/>
              <w:bottom w:val="nil"/>
              <w:right w:val="nil"/>
            </w:tcBorders>
            <w:vAlign w:val="center"/>
          </w:tcPr>
          <w:p w14:paraId="05F2730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4134C1B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3.41</w:t>
            </w:r>
          </w:p>
        </w:tc>
        <w:tc>
          <w:tcPr>
            <w:tcW w:w="1260" w:type="dxa"/>
            <w:vAlign w:val="center"/>
          </w:tcPr>
          <w:p w14:paraId="1FF87D5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AEC859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7ECD9A5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r>
      <w:tr w:rsidR="00967F3B" w:rsidRPr="0050576F" w14:paraId="0BD76705" w14:textId="77777777" w:rsidTr="00967F3B">
        <w:trPr>
          <w:trHeight w:val="20"/>
        </w:trPr>
        <w:tc>
          <w:tcPr>
            <w:tcW w:w="1315" w:type="dxa"/>
            <w:tcBorders>
              <w:top w:val="nil"/>
              <w:left w:val="nil"/>
              <w:bottom w:val="nil"/>
              <w:right w:val="nil"/>
            </w:tcBorders>
            <w:vAlign w:val="center"/>
          </w:tcPr>
          <w:p w14:paraId="69574FC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13.83</w:t>
            </w:r>
          </w:p>
        </w:tc>
        <w:tc>
          <w:tcPr>
            <w:tcW w:w="1368" w:type="dxa"/>
            <w:tcBorders>
              <w:top w:val="nil"/>
              <w:left w:val="nil"/>
              <w:bottom w:val="nil"/>
              <w:right w:val="nil"/>
            </w:tcBorders>
            <w:vAlign w:val="center"/>
          </w:tcPr>
          <w:p w14:paraId="559BB05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239.0912</w:t>
            </w:r>
          </w:p>
        </w:tc>
        <w:tc>
          <w:tcPr>
            <w:tcW w:w="2010" w:type="dxa"/>
            <w:tcBorders>
              <w:top w:val="nil"/>
              <w:left w:val="nil"/>
              <w:bottom w:val="nil"/>
              <w:right w:val="nil"/>
            </w:tcBorders>
            <w:vAlign w:val="center"/>
          </w:tcPr>
          <w:p w14:paraId="50C83AB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Trimethoxycinnamic acid</w:t>
            </w:r>
          </w:p>
        </w:tc>
        <w:tc>
          <w:tcPr>
            <w:tcW w:w="1260" w:type="dxa"/>
            <w:tcBorders>
              <w:top w:val="nil"/>
              <w:left w:val="nil"/>
              <w:bottom w:val="nil"/>
              <w:right w:val="nil"/>
            </w:tcBorders>
            <w:vAlign w:val="center"/>
          </w:tcPr>
          <w:p w14:paraId="2C8255A7" w14:textId="63B41423"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1F1CBE3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239.0914</w:t>
            </w:r>
          </w:p>
        </w:tc>
        <w:tc>
          <w:tcPr>
            <w:tcW w:w="853" w:type="dxa"/>
            <w:tcBorders>
              <w:top w:val="nil"/>
              <w:left w:val="nil"/>
              <w:bottom w:val="nil"/>
              <w:right w:val="nil"/>
            </w:tcBorders>
            <w:vAlign w:val="center"/>
          </w:tcPr>
          <w:p w14:paraId="2CB9EF9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742942C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5.08</w:t>
            </w:r>
          </w:p>
        </w:tc>
        <w:tc>
          <w:tcPr>
            <w:tcW w:w="1260" w:type="dxa"/>
            <w:vAlign w:val="center"/>
          </w:tcPr>
          <w:p w14:paraId="6DF2CA37"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644939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5FDF128C"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2A3F9E71" w14:textId="77777777" w:rsidTr="00967F3B">
        <w:trPr>
          <w:trHeight w:val="20"/>
        </w:trPr>
        <w:tc>
          <w:tcPr>
            <w:tcW w:w="1315" w:type="dxa"/>
            <w:tcBorders>
              <w:top w:val="nil"/>
              <w:left w:val="nil"/>
              <w:bottom w:val="nil"/>
              <w:right w:val="nil"/>
            </w:tcBorders>
            <w:vAlign w:val="center"/>
          </w:tcPr>
          <w:p w14:paraId="6197DC5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18.85</w:t>
            </w:r>
          </w:p>
        </w:tc>
        <w:tc>
          <w:tcPr>
            <w:tcW w:w="1368" w:type="dxa"/>
            <w:tcBorders>
              <w:top w:val="nil"/>
              <w:left w:val="nil"/>
              <w:bottom w:val="nil"/>
              <w:right w:val="nil"/>
            </w:tcBorders>
            <w:vAlign w:val="center"/>
          </w:tcPr>
          <w:p w14:paraId="19ECF84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279.2318</w:t>
            </w:r>
          </w:p>
        </w:tc>
        <w:tc>
          <w:tcPr>
            <w:tcW w:w="2010" w:type="dxa"/>
            <w:tcBorders>
              <w:top w:val="nil"/>
              <w:left w:val="nil"/>
              <w:bottom w:val="nil"/>
              <w:right w:val="nil"/>
            </w:tcBorders>
            <w:vAlign w:val="center"/>
          </w:tcPr>
          <w:p w14:paraId="32FDB39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Linolenic acid</w:t>
            </w:r>
          </w:p>
        </w:tc>
        <w:tc>
          <w:tcPr>
            <w:tcW w:w="1260" w:type="dxa"/>
            <w:tcBorders>
              <w:top w:val="nil"/>
              <w:left w:val="nil"/>
              <w:bottom w:val="nil"/>
              <w:right w:val="nil"/>
            </w:tcBorders>
            <w:vAlign w:val="center"/>
          </w:tcPr>
          <w:p w14:paraId="49E005CB" w14:textId="4835BC34"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24B175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279.2319</w:t>
            </w:r>
          </w:p>
        </w:tc>
        <w:tc>
          <w:tcPr>
            <w:tcW w:w="853" w:type="dxa"/>
            <w:tcBorders>
              <w:top w:val="nil"/>
              <w:left w:val="nil"/>
              <w:bottom w:val="nil"/>
              <w:right w:val="nil"/>
            </w:tcBorders>
            <w:vAlign w:val="center"/>
          </w:tcPr>
          <w:p w14:paraId="05CB08E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5920298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11.26</w:t>
            </w:r>
          </w:p>
        </w:tc>
        <w:tc>
          <w:tcPr>
            <w:tcW w:w="1260" w:type="dxa"/>
            <w:vAlign w:val="center"/>
          </w:tcPr>
          <w:p w14:paraId="41E6FE8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55C082D9"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5568A2E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2DF2C8E0" w14:textId="77777777" w:rsidTr="00967F3B">
        <w:trPr>
          <w:trHeight w:val="20"/>
        </w:trPr>
        <w:tc>
          <w:tcPr>
            <w:tcW w:w="1315" w:type="dxa"/>
            <w:tcBorders>
              <w:top w:val="nil"/>
              <w:left w:val="nil"/>
              <w:bottom w:val="nil"/>
              <w:right w:val="nil"/>
            </w:tcBorders>
            <w:vAlign w:val="center"/>
          </w:tcPr>
          <w:p w14:paraId="65AE12F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3.10</w:t>
            </w:r>
          </w:p>
        </w:tc>
        <w:tc>
          <w:tcPr>
            <w:tcW w:w="1368" w:type="dxa"/>
            <w:tcBorders>
              <w:top w:val="nil"/>
              <w:left w:val="nil"/>
              <w:bottom w:val="nil"/>
              <w:right w:val="nil"/>
            </w:tcBorders>
            <w:vAlign w:val="center"/>
          </w:tcPr>
          <w:p w14:paraId="621982B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130.0862</w:t>
            </w:r>
          </w:p>
        </w:tc>
        <w:tc>
          <w:tcPr>
            <w:tcW w:w="2010" w:type="dxa"/>
            <w:tcBorders>
              <w:top w:val="nil"/>
              <w:left w:val="nil"/>
              <w:bottom w:val="nil"/>
              <w:right w:val="nil"/>
            </w:tcBorders>
            <w:vAlign w:val="center"/>
          </w:tcPr>
          <w:p w14:paraId="07B968A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Pipecolinic acid</w:t>
            </w:r>
          </w:p>
        </w:tc>
        <w:tc>
          <w:tcPr>
            <w:tcW w:w="1260" w:type="dxa"/>
            <w:tcBorders>
              <w:top w:val="nil"/>
              <w:left w:val="nil"/>
              <w:bottom w:val="nil"/>
              <w:right w:val="nil"/>
            </w:tcBorders>
            <w:vAlign w:val="center"/>
          </w:tcPr>
          <w:p w14:paraId="6EF16A6B" w14:textId="26AEE892"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E8C863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130.0863</w:t>
            </w:r>
          </w:p>
        </w:tc>
        <w:tc>
          <w:tcPr>
            <w:tcW w:w="853" w:type="dxa"/>
            <w:tcBorders>
              <w:top w:val="nil"/>
              <w:left w:val="nil"/>
              <w:bottom w:val="nil"/>
              <w:right w:val="nil"/>
            </w:tcBorders>
            <w:vAlign w:val="center"/>
          </w:tcPr>
          <w:p w14:paraId="3005522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572CA2A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10.58</w:t>
            </w:r>
          </w:p>
        </w:tc>
        <w:tc>
          <w:tcPr>
            <w:tcW w:w="1260" w:type="dxa"/>
            <w:vAlign w:val="center"/>
          </w:tcPr>
          <w:p w14:paraId="6668419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8A86FA1"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00CF5B6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11632ED3" w14:textId="77777777" w:rsidTr="00967F3B">
        <w:trPr>
          <w:trHeight w:val="20"/>
        </w:trPr>
        <w:tc>
          <w:tcPr>
            <w:tcW w:w="1315" w:type="dxa"/>
            <w:tcBorders>
              <w:top w:val="nil"/>
              <w:left w:val="nil"/>
              <w:bottom w:val="nil"/>
              <w:right w:val="nil"/>
            </w:tcBorders>
            <w:vAlign w:val="center"/>
          </w:tcPr>
          <w:p w14:paraId="56110B4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29.42</w:t>
            </w:r>
          </w:p>
        </w:tc>
        <w:tc>
          <w:tcPr>
            <w:tcW w:w="1368" w:type="dxa"/>
            <w:tcBorders>
              <w:top w:val="nil"/>
              <w:left w:val="nil"/>
              <w:bottom w:val="nil"/>
              <w:right w:val="nil"/>
            </w:tcBorders>
            <w:vAlign w:val="center"/>
          </w:tcPr>
          <w:p w14:paraId="66EA4FD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494.3235</w:t>
            </w:r>
          </w:p>
        </w:tc>
        <w:tc>
          <w:tcPr>
            <w:tcW w:w="2010" w:type="dxa"/>
            <w:tcBorders>
              <w:top w:val="nil"/>
              <w:left w:val="nil"/>
              <w:bottom w:val="nil"/>
              <w:right w:val="nil"/>
            </w:tcBorders>
            <w:vAlign w:val="center"/>
          </w:tcPr>
          <w:p w14:paraId="4606A1C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LysoPC 16:1</w:t>
            </w:r>
          </w:p>
        </w:tc>
        <w:tc>
          <w:tcPr>
            <w:tcW w:w="1260" w:type="dxa"/>
            <w:tcBorders>
              <w:top w:val="nil"/>
              <w:left w:val="nil"/>
              <w:bottom w:val="nil"/>
              <w:right w:val="nil"/>
            </w:tcBorders>
            <w:vAlign w:val="center"/>
          </w:tcPr>
          <w:p w14:paraId="07786C77" w14:textId="327537EB"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1E5D4A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494.3241</w:t>
            </w:r>
          </w:p>
        </w:tc>
        <w:tc>
          <w:tcPr>
            <w:tcW w:w="853" w:type="dxa"/>
            <w:tcBorders>
              <w:top w:val="nil"/>
              <w:left w:val="nil"/>
              <w:bottom w:val="nil"/>
              <w:right w:val="nil"/>
            </w:tcBorders>
            <w:vAlign w:val="center"/>
          </w:tcPr>
          <w:p w14:paraId="591C69E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3216BAB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4.32</w:t>
            </w:r>
          </w:p>
        </w:tc>
        <w:tc>
          <w:tcPr>
            <w:tcW w:w="1260" w:type="dxa"/>
            <w:vAlign w:val="center"/>
          </w:tcPr>
          <w:p w14:paraId="2D05365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3C01EB1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30A3A7A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3F4555AE" w14:textId="77777777" w:rsidTr="00967F3B">
        <w:trPr>
          <w:trHeight w:val="20"/>
        </w:trPr>
        <w:tc>
          <w:tcPr>
            <w:tcW w:w="1315" w:type="dxa"/>
            <w:tcBorders>
              <w:top w:val="nil"/>
              <w:left w:val="nil"/>
              <w:bottom w:val="nil"/>
              <w:right w:val="nil"/>
            </w:tcBorders>
            <w:vAlign w:val="center"/>
          </w:tcPr>
          <w:p w14:paraId="25080BE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22.87</w:t>
            </w:r>
          </w:p>
        </w:tc>
        <w:tc>
          <w:tcPr>
            <w:tcW w:w="1368" w:type="dxa"/>
            <w:tcBorders>
              <w:top w:val="nil"/>
              <w:left w:val="nil"/>
              <w:bottom w:val="nil"/>
              <w:right w:val="nil"/>
            </w:tcBorders>
            <w:vAlign w:val="center"/>
          </w:tcPr>
          <w:p w14:paraId="40BC653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542.3234</w:t>
            </w:r>
          </w:p>
        </w:tc>
        <w:tc>
          <w:tcPr>
            <w:tcW w:w="2010" w:type="dxa"/>
            <w:tcBorders>
              <w:top w:val="nil"/>
              <w:left w:val="nil"/>
              <w:bottom w:val="nil"/>
              <w:right w:val="nil"/>
            </w:tcBorders>
            <w:vAlign w:val="center"/>
          </w:tcPr>
          <w:p w14:paraId="1682FA52" w14:textId="65F7A2F4" w:rsidR="00967F3B" w:rsidRPr="0050576F" w:rsidRDefault="00967F3B" w:rsidP="00717C73">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LysoPC 20</w:t>
            </w:r>
            <w:r w:rsidR="00717C73">
              <w:rPr>
                <w:rFonts w:ascii="Book Antiqua" w:eastAsia="等线" w:hAnsi="Book Antiqua"/>
                <w:sz w:val="24"/>
                <w:szCs w:val="24"/>
                <w:lang w:val="en-GB"/>
              </w:rPr>
              <w:t>:</w:t>
            </w:r>
            <w:r w:rsidRPr="0050576F">
              <w:rPr>
                <w:rFonts w:ascii="Book Antiqua" w:eastAsia="等线" w:hAnsi="Book Antiqua"/>
                <w:sz w:val="24"/>
                <w:szCs w:val="24"/>
              </w:rPr>
              <w:t>5</w:t>
            </w:r>
          </w:p>
        </w:tc>
        <w:tc>
          <w:tcPr>
            <w:tcW w:w="1260" w:type="dxa"/>
            <w:tcBorders>
              <w:top w:val="nil"/>
              <w:left w:val="nil"/>
              <w:bottom w:val="nil"/>
              <w:right w:val="nil"/>
            </w:tcBorders>
            <w:vAlign w:val="center"/>
          </w:tcPr>
          <w:p w14:paraId="39C9D662" w14:textId="4C69DFAC"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0F32491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542.3241</w:t>
            </w:r>
          </w:p>
        </w:tc>
        <w:tc>
          <w:tcPr>
            <w:tcW w:w="853" w:type="dxa"/>
            <w:tcBorders>
              <w:top w:val="nil"/>
              <w:left w:val="nil"/>
              <w:bottom w:val="nil"/>
              <w:right w:val="nil"/>
            </w:tcBorders>
            <w:vAlign w:val="center"/>
          </w:tcPr>
          <w:p w14:paraId="172AC8E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5F692B3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3.09</w:t>
            </w:r>
          </w:p>
        </w:tc>
        <w:tc>
          <w:tcPr>
            <w:tcW w:w="1260" w:type="dxa"/>
            <w:vAlign w:val="center"/>
          </w:tcPr>
          <w:p w14:paraId="60AACD44"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13919B1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53F6D48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0F023B00" w14:textId="77777777" w:rsidTr="00967F3B">
        <w:trPr>
          <w:trHeight w:val="20"/>
        </w:trPr>
        <w:tc>
          <w:tcPr>
            <w:tcW w:w="1315" w:type="dxa"/>
            <w:tcBorders>
              <w:top w:val="nil"/>
              <w:left w:val="nil"/>
              <w:bottom w:val="nil"/>
              <w:right w:val="nil"/>
            </w:tcBorders>
            <w:vAlign w:val="center"/>
          </w:tcPr>
          <w:p w14:paraId="61F4C4F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17.33</w:t>
            </w:r>
          </w:p>
        </w:tc>
        <w:tc>
          <w:tcPr>
            <w:tcW w:w="1368" w:type="dxa"/>
            <w:tcBorders>
              <w:top w:val="nil"/>
              <w:left w:val="nil"/>
              <w:bottom w:val="nil"/>
              <w:right w:val="nil"/>
            </w:tcBorders>
            <w:vAlign w:val="center"/>
          </w:tcPr>
          <w:p w14:paraId="0635CA0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548.3705</w:t>
            </w:r>
          </w:p>
        </w:tc>
        <w:tc>
          <w:tcPr>
            <w:tcW w:w="2010" w:type="dxa"/>
            <w:tcBorders>
              <w:top w:val="nil"/>
              <w:left w:val="nil"/>
              <w:bottom w:val="nil"/>
              <w:right w:val="nil"/>
            </w:tcBorders>
            <w:vAlign w:val="center"/>
          </w:tcPr>
          <w:p w14:paraId="5894E14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LysoPC 20:2</w:t>
            </w:r>
          </w:p>
        </w:tc>
        <w:tc>
          <w:tcPr>
            <w:tcW w:w="1260" w:type="dxa"/>
            <w:tcBorders>
              <w:top w:val="nil"/>
              <w:left w:val="nil"/>
              <w:bottom w:val="nil"/>
              <w:right w:val="nil"/>
            </w:tcBorders>
            <w:vAlign w:val="center"/>
          </w:tcPr>
          <w:p w14:paraId="62948151" w14:textId="3D14BF4A"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7631F6A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548.3711</w:t>
            </w:r>
          </w:p>
        </w:tc>
        <w:tc>
          <w:tcPr>
            <w:tcW w:w="853" w:type="dxa"/>
            <w:tcBorders>
              <w:top w:val="nil"/>
              <w:left w:val="nil"/>
              <w:bottom w:val="nil"/>
              <w:right w:val="nil"/>
            </w:tcBorders>
            <w:vAlign w:val="center"/>
          </w:tcPr>
          <w:p w14:paraId="75D0A35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6017E4E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2.31</w:t>
            </w:r>
          </w:p>
        </w:tc>
        <w:tc>
          <w:tcPr>
            <w:tcW w:w="1260" w:type="dxa"/>
            <w:vAlign w:val="center"/>
          </w:tcPr>
          <w:p w14:paraId="0FB53BBA"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36C0FED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24FCBD98"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40249BBF" w14:textId="77777777" w:rsidTr="00967F3B">
        <w:trPr>
          <w:trHeight w:val="20"/>
        </w:trPr>
        <w:tc>
          <w:tcPr>
            <w:tcW w:w="1315" w:type="dxa"/>
            <w:tcBorders>
              <w:top w:val="nil"/>
              <w:left w:val="nil"/>
              <w:bottom w:val="nil"/>
              <w:right w:val="nil"/>
            </w:tcBorders>
            <w:vAlign w:val="center"/>
          </w:tcPr>
          <w:p w14:paraId="639E2D1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21.65</w:t>
            </w:r>
          </w:p>
        </w:tc>
        <w:tc>
          <w:tcPr>
            <w:tcW w:w="1368" w:type="dxa"/>
            <w:tcBorders>
              <w:top w:val="nil"/>
              <w:left w:val="nil"/>
              <w:bottom w:val="nil"/>
              <w:right w:val="nil"/>
            </w:tcBorders>
            <w:vAlign w:val="center"/>
          </w:tcPr>
          <w:p w14:paraId="4635A1A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550.3857</w:t>
            </w:r>
          </w:p>
        </w:tc>
        <w:tc>
          <w:tcPr>
            <w:tcW w:w="2010" w:type="dxa"/>
            <w:tcBorders>
              <w:top w:val="nil"/>
              <w:left w:val="nil"/>
              <w:bottom w:val="nil"/>
              <w:right w:val="nil"/>
            </w:tcBorders>
            <w:vAlign w:val="center"/>
          </w:tcPr>
          <w:p w14:paraId="12866D2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LysoPC 20:1</w:t>
            </w:r>
          </w:p>
        </w:tc>
        <w:tc>
          <w:tcPr>
            <w:tcW w:w="1260" w:type="dxa"/>
            <w:tcBorders>
              <w:top w:val="nil"/>
              <w:left w:val="nil"/>
              <w:bottom w:val="nil"/>
              <w:right w:val="nil"/>
            </w:tcBorders>
            <w:vAlign w:val="center"/>
          </w:tcPr>
          <w:p w14:paraId="4A15B4C7" w14:textId="49D89A15"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3DC500B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550.3867</w:t>
            </w:r>
          </w:p>
        </w:tc>
        <w:tc>
          <w:tcPr>
            <w:tcW w:w="853" w:type="dxa"/>
            <w:tcBorders>
              <w:top w:val="nil"/>
              <w:left w:val="nil"/>
              <w:bottom w:val="nil"/>
              <w:right w:val="nil"/>
            </w:tcBorders>
            <w:vAlign w:val="center"/>
          </w:tcPr>
          <w:p w14:paraId="49B894A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2.00</w:t>
            </w:r>
          </w:p>
        </w:tc>
        <w:tc>
          <w:tcPr>
            <w:tcW w:w="1487" w:type="dxa"/>
            <w:tcBorders>
              <w:top w:val="nil"/>
              <w:left w:val="nil"/>
              <w:bottom w:val="nil"/>
              <w:right w:val="nil"/>
            </w:tcBorders>
            <w:noWrap/>
            <w:vAlign w:val="center"/>
          </w:tcPr>
          <w:p w14:paraId="492C1C1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5.58</w:t>
            </w:r>
          </w:p>
        </w:tc>
        <w:tc>
          <w:tcPr>
            <w:tcW w:w="1260" w:type="dxa"/>
            <w:vAlign w:val="center"/>
          </w:tcPr>
          <w:p w14:paraId="3C3E927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786DA71"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B7705C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1795D4ED" w14:textId="77777777" w:rsidTr="00967F3B">
        <w:trPr>
          <w:trHeight w:val="20"/>
        </w:trPr>
        <w:tc>
          <w:tcPr>
            <w:tcW w:w="1315" w:type="dxa"/>
            <w:tcBorders>
              <w:top w:val="nil"/>
              <w:left w:val="nil"/>
              <w:bottom w:val="nil"/>
              <w:right w:val="nil"/>
            </w:tcBorders>
            <w:vAlign w:val="center"/>
          </w:tcPr>
          <w:p w14:paraId="5777D80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23.13</w:t>
            </w:r>
          </w:p>
        </w:tc>
        <w:tc>
          <w:tcPr>
            <w:tcW w:w="1368" w:type="dxa"/>
            <w:tcBorders>
              <w:top w:val="nil"/>
              <w:left w:val="nil"/>
              <w:bottom w:val="nil"/>
              <w:right w:val="nil"/>
            </w:tcBorders>
            <w:vAlign w:val="center"/>
          </w:tcPr>
          <w:p w14:paraId="2BA7AF7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468.3078</w:t>
            </w:r>
          </w:p>
        </w:tc>
        <w:tc>
          <w:tcPr>
            <w:tcW w:w="2010" w:type="dxa"/>
            <w:tcBorders>
              <w:top w:val="nil"/>
              <w:left w:val="nil"/>
              <w:bottom w:val="nil"/>
              <w:right w:val="nil"/>
            </w:tcBorders>
            <w:vAlign w:val="center"/>
          </w:tcPr>
          <w:p w14:paraId="5B02DB5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LysoPC 14:0</w:t>
            </w:r>
          </w:p>
        </w:tc>
        <w:tc>
          <w:tcPr>
            <w:tcW w:w="1260" w:type="dxa"/>
            <w:tcBorders>
              <w:top w:val="nil"/>
              <w:left w:val="nil"/>
              <w:bottom w:val="nil"/>
              <w:right w:val="nil"/>
            </w:tcBorders>
            <w:vAlign w:val="center"/>
          </w:tcPr>
          <w:p w14:paraId="17A58F85" w14:textId="1BD30B86"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457F9EE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468.3085</w:t>
            </w:r>
          </w:p>
        </w:tc>
        <w:tc>
          <w:tcPr>
            <w:tcW w:w="853" w:type="dxa"/>
            <w:tcBorders>
              <w:top w:val="nil"/>
              <w:left w:val="nil"/>
              <w:bottom w:val="nil"/>
              <w:right w:val="nil"/>
            </w:tcBorders>
            <w:vAlign w:val="center"/>
          </w:tcPr>
          <w:p w14:paraId="4C000FF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3971168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6.27</w:t>
            </w:r>
          </w:p>
        </w:tc>
        <w:tc>
          <w:tcPr>
            <w:tcW w:w="1260" w:type="dxa"/>
            <w:vAlign w:val="center"/>
          </w:tcPr>
          <w:p w14:paraId="427906F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380C083E"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0A5114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4198EC17" w14:textId="77777777" w:rsidTr="00967F3B">
        <w:trPr>
          <w:trHeight w:val="20"/>
        </w:trPr>
        <w:tc>
          <w:tcPr>
            <w:tcW w:w="1315" w:type="dxa"/>
            <w:tcBorders>
              <w:top w:val="nil"/>
              <w:left w:val="nil"/>
              <w:bottom w:val="nil"/>
              <w:right w:val="nil"/>
            </w:tcBorders>
            <w:vAlign w:val="center"/>
          </w:tcPr>
          <w:p w14:paraId="6A1637A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19.25</w:t>
            </w:r>
          </w:p>
        </w:tc>
        <w:tc>
          <w:tcPr>
            <w:tcW w:w="1368" w:type="dxa"/>
            <w:tcBorders>
              <w:top w:val="nil"/>
              <w:left w:val="nil"/>
              <w:bottom w:val="nil"/>
              <w:right w:val="nil"/>
            </w:tcBorders>
            <w:vAlign w:val="center"/>
          </w:tcPr>
          <w:p w14:paraId="7162CEC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478.2926</w:t>
            </w:r>
          </w:p>
        </w:tc>
        <w:tc>
          <w:tcPr>
            <w:tcW w:w="2010" w:type="dxa"/>
            <w:tcBorders>
              <w:top w:val="nil"/>
              <w:left w:val="nil"/>
              <w:bottom w:val="nil"/>
              <w:right w:val="nil"/>
            </w:tcBorders>
            <w:vAlign w:val="center"/>
          </w:tcPr>
          <w:p w14:paraId="76A457F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LysoPE 20:1</w:t>
            </w:r>
          </w:p>
        </w:tc>
        <w:tc>
          <w:tcPr>
            <w:tcW w:w="1260" w:type="dxa"/>
            <w:tcBorders>
              <w:top w:val="nil"/>
              <w:left w:val="nil"/>
              <w:bottom w:val="nil"/>
              <w:right w:val="nil"/>
            </w:tcBorders>
            <w:vAlign w:val="center"/>
          </w:tcPr>
          <w:p w14:paraId="19CFF301" w14:textId="34C26A0F"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59AA377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478.2928</w:t>
            </w:r>
          </w:p>
        </w:tc>
        <w:tc>
          <w:tcPr>
            <w:tcW w:w="853" w:type="dxa"/>
            <w:tcBorders>
              <w:top w:val="nil"/>
              <w:left w:val="nil"/>
              <w:bottom w:val="nil"/>
              <w:right w:val="nil"/>
            </w:tcBorders>
            <w:vAlign w:val="center"/>
          </w:tcPr>
          <w:p w14:paraId="721EC2B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2120FBA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8.72</w:t>
            </w:r>
          </w:p>
        </w:tc>
        <w:tc>
          <w:tcPr>
            <w:tcW w:w="1260" w:type="dxa"/>
            <w:vAlign w:val="center"/>
          </w:tcPr>
          <w:p w14:paraId="0963751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7909088"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100597B0"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0842CDB6" w14:textId="77777777" w:rsidTr="00967F3B">
        <w:trPr>
          <w:trHeight w:val="20"/>
        </w:trPr>
        <w:tc>
          <w:tcPr>
            <w:tcW w:w="1315" w:type="dxa"/>
            <w:tcBorders>
              <w:top w:val="nil"/>
              <w:left w:val="nil"/>
              <w:bottom w:val="nil"/>
              <w:right w:val="nil"/>
            </w:tcBorders>
            <w:vAlign w:val="center"/>
          </w:tcPr>
          <w:p w14:paraId="22A60E3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17.58</w:t>
            </w:r>
          </w:p>
        </w:tc>
        <w:tc>
          <w:tcPr>
            <w:tcW w:w="1368" w:type="dxa"/>
            <w:tcBorders>
              <w:top w:val="nil"/>
              <w:left w:val="nil"/>
              <w:bottom w:val="nil"/>
              <w:right w:val="nil"/>
            </w:tcBorders>
            <w:vAlign w:val="center"/>
          </w:tcPr>
          <w:p w14:paraId="577B2D7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181.0857</w:t>
            </w:r>
          </w:p>
        </w:tc>
        <w:tc>
          <w:tcPr>
            <w:tcW w:w="2010" w:type="dxa"/>
            <w:tcBorders>
              <w:top w:val="nil"/>
              <w:left w:val="nil"/>
              <w:bottom w:val="nil"/>
              <w:right w:val="nil"/>
            </w:tcBorders>
            <w:vAlign w:val="center"/>
          </w:tcPr>
          <w:p w14:paraId="2B8CFD6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Propylparaben</w:t>
            </w:r>
          </w:p>
        </w:tc>
        <w:tc>
          <w:tcPr>
            <w:tcW w:w="1260" w:type="dxa"/>
            <w:tcBorders>
              <w:top w:val="nil"/>
              <w:left w:val="nil"/>
              <w:bottom w:val="nil"/>
              <w:right w:val="nil"/>
            </w:tcBorders>
            <w:vAlign w:val="center"/>
          </w:tcPr>
          <w:p w14:paraId="5AE184CC" w14:textId="39286C6F"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18B06B0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181.0859</w:t>
            </w:r>
          </w:p>
        </w:tc>
        <w:tc>
          <w:tcPr>
            <w:tcW w:w="853" w:type="dxa"/>
            <w:tcBorders>
              <w:top w:val="nil"/>
              <w:left w:val="nil"/>
              <w:bottom w:val="nil"/>
              <w:right w:val="nil"/>
            </w:tcBorders>
            <w:vAlign w:val="center"/>
          </w:tcPr>
          <w:p w14:paraId="43072BC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0528817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6.39</w:t>
            </w:r>
          </w:p>
        </w:tc>
        <w:tc>
          <w:tcPr>
            <w:tcW w:w="1260" w:type="dxa"/>
            <w:vAlign w:val="center"/>
          </w:tcPr>
          <w:p w14:paraId="7DFC515A"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53C9EBB2"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0463EB34"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08382880" w14:textId="77777777" w:rsidTr="00967F3B">
        <w:trPr>
          <w:trHeight w:val="20"/>
        </w:trPr>
        <w:tc>
          <w:tcPr>
            <w:tcW w:w="1315" w:type="dxa"/>
            <w:tcBorders>
              <w:top w:val="nil"/>
              <w:left w:val="nil"/>
              <w:bottom w:val="nil"/>
              <w:right w:val="nil"/>
            </w:tcBorders>
            <w:vAlign w:val="center"/>
          </w:tcPr>
          <w:p w14:paraId="05DA6BDA"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5.42</w:t>
            </w:r>
          </w:p>
        </w:tc>
        <w:tc>
          <w:tcPr>
            <w:tcW w:w="1368" w:type="dxa"/>
            <w:tcBorders>
              <w:top w:val="nil"/>
              <w:left w:val="nil"/>
              <w:bottom w:val="nil"/>
              <w:right w:val="nil"/>
            </w:tcBorders>
            <w:vAlign w:val="center"/>
          </w:tcPr>
          <w:p w14:paraId="27684E8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136.0756</w:t>
            </w:r>
          </w:p>
        </w:tc>
        <w:tc>
          <w:tcPr>
            <w:tcW w:w="2010" w:type="dxa"/>
            <w:tcBorders>
              <w:top w:val="nil"/>
              <w:left w:val="nil"/>
              <w:bottom w:val="nil"/>
              <w:right w:val="nil"/>
            </w:tcBorders>
            <w:vAlign w:val="center"/>
          </w:tcPr>
          <w:p w14:paraId="6799840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Acetylarylamine</w:t>
            </w:r>
          </w:p>
        </w:tc>
        <w:tc>
          <w:tcPr>
            <w:tcW w:w="1260" w:type="dxa"/>
            <w:tcBorders>
              <w:top w:val="nil"/>
              <w:left w:val="nil"/>
              <w:bottom w:val="nil"/>
              <w:right w:val="nil"/>
            </w:tcBorders>
            <w:vAlign w:val="center"/>
          </w:tcPr>
          <w:p w14:paraId="076C0653" w14:textId="203A057C"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563B4D9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136.0757</w:t>
            </w:r>
          </w:p>
        </w:tc>
        <w:tc>
          <w:tcPr>
            <w:tcW w:w="853" w:type="dxa"/>
            <w:tcBorders>
              <w:top w:val="nil"/>
              <w:left w:val="nil"/>
              <w:bottom w:val="nil"/>
              <w:right w:val="nil"/>
            </w:tcBorders>
            <w:vAlign w:val="center"/>
          </w:tcPr>
          <w:p w14:paraId="3C1C262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1EF02B31"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2.59</w:t>
            </w:r>
          </w:p>
        </w:tc>
        <w:tc>
          <w:tcPr>
            <w:tcW w:w="1260" w:type="dxa"/>
            <w:vAlign w:val="center"/>
          </w:tcPr>
          <w:p w14:paraId="7EB5B0C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B4C4C37"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5914A62E"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0A627E98" w14:textId="77777777" w:rsidTr="00967F3B">
        <w:trPr>
          <w:trHeight w:val="20"/>
        </w:trPr>
        <w:tc>
          <w:tcPr>
            <w:tcW w:w="1315" w:type="dxa"/>
            <w:tcBorders>
              <w:top w:val="nil"/>
              <w:left w:val="nil"/>
              <w:bottom w:val="nil"/>
              <w:right w:val="nil"/>
            </w:tcBorders>
            <w:vAlign w:val="center"/>
          </w:tcPr>
          <w:p w14:paraId="6D767EA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18.20</w:t>
            </w:r>
          </w:p>
        </w:tc>
        <w:tc>
          <w:tcPr>
            <w:tcW w:w="1368" w:type="dxa"/>
            <w:tcBorders>
              <w:top w:val="nil"/>
              <w:left w:val="nil"/>
              <w:bottom w:val="nil"/>
              <w:right w:val="nil"/>
            </w:tcBorders>
            <w:vAlign w:val="center"/>
          </w:tcPr>
          <w:p w14:paraId="75E5C9C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127.0390</w:t>
            </w:r>
          </w:p>
        </w:tc>
        <w:tc>
          <w:tcPr>
            <w:tcW w:w="2010" w:type="dxa"/>
            <w:tcBorders>
              <w:top w:val="nil"/>
              <w:left w:val="nil"/>
              <w:bottom w:val="nil"/>
              <w:right w:val="nil"/>
            </w:tcBorders>
            <w:vAlign w:val="center"/>
          </w:tcPr>
          <w:p w14:paraId="0B7B7E2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Trihydroxybenzene</w:t>
            </w:r>
          </w:p>
        </w:tc>
        <w:tc>
          <w:tcPr>
            <w:tcW w:w="1260" w:type="dxa"/>
            <w:tcBorders>
              <w:top w:val="nil"/>
              <w:left w:val="nil"/>
              <w:bottom w:val="nil"/>
              <w:right w:val="nil"/>
            </w:tcBorders>
            <w:vAlign w:val="center"/>
          </w:tcPr>
          <w:p w14:paraId="1BA2D544" w14:textId="7CAB8A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50DC4F4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127.0390</w:t>
            </w:r>
          </w:p>
        </w:tc>
        <w:tc>
          <w:tcPr>
            <w:tcW w:w="853" w:type="dxa"/>
            <w:tcBorders>
              <w:top w:val="nil"/>
              <w:left w:val="nil"/>
              <w:bottom w:val="nil"/>
              <w:right w:val="nil"/>
            </w:tcBorders>
            <w:vAlign w:val="center"/>
          </w:tcPr>
          <w:p w14:paraId="2EDAD5E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0.00</w:t>
            </w:r>
          </w:p>
        </w:tc>
        <w:tc>
          <w:tcPr>
            <w:tcW w:w="1487" w:type="dxa"/>
            <w:tcBorders>
              <w:top w:val="nil"/>
              <w:left w:val="nil"/>
              <w:bottom w:val="nil"/>
              <w:right w:val="nil"/>
            </w:tcBorders>
            <w:noWrap/>
            <w:vAlign w:val="center"/>
          </w:tcPr>
          <w:p w14:paraId="1C4DAB3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13.83</w:t>
            </w:r>
          </w:p>
        </w:tc>
        <w:tc>
          <w:tcPr>
            <w:tcW w:w="1260" w:type="dxa"/>
            <w:vAlign w:val="center"/>
          </w:tcPr>
          <w:p w14:paraId="6AAED0D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F8FDE11"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5D4710F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r>
      <w:tr w:rsidR="00967F3B" w:rsidRPr="0050576F" w14:paraId="3ACF51A2" w14:textId="77777777" w:rsidTr="00967F3B">
        <w:trPr>
          <w:trHeight w:val="20"/>
        </w:trPr>
        <w:tc>
          <w:tcPr>
            <w:tcW w:w="1315" w:type="dxa"/>
            <w:tcBorders>
              <w:top w:val="nil"/>
              <w:left w:val="nil"/>
              <w:bottom w:val="nil"/>
              <w:right w:val="nil"/>
            </w:tcBorders>
            <w:vAlign w:val="center"/>
          </w:tcPr>
          <w:p w14:paraId="7F9F3CC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22.22</w:t>
            </w:r>
          </w:p>
        </w:tc>
        <w:tc>
          <w:tcPr>
            <w:tcW w:w="1368" w:type="dxa"/>
            <w:tcBorders>
              <w:top w:val="nil"/>
              <w:left w:val="nil"/>
              <w:bottom w:val="nil"/>
              <w:right w:val="nil"/>
            </w:tcBorders>
            <w:vAlign w:val="center"/>
          </w:tcPr>
          <w:p w14:paraId="1AEC451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191.1428</w:t>
            </w:r>
          </w:p>
        </w:tc>
        <w:tc>
          <w:tcPr>
            <w:tcW w:w="2010" w:type="dxa"/>
            <w:tcBorders>
              <w:top w:val="nil"/>
              <w:left w:val="nil"/>
              <w:bottom w:val="nil"/>
              <w:right w:val="nil"/>
            </w:tcBorders>
            <w:vAlign w:val="center"/>
          </w:tcPr>
          <w:p w14:paraId="7522407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Damascenone</w:t>
            </w:r>
          </w:p>
        </w:tc>
        <w:tc>
          <w:tcPr>
            <w:tcW w:w="1260" w:type="dxa"/>
            <w:tcBorders>
              <w:top w:val="nil"/>
              <w:left w:val="nil"/>
              <w:bottom w:val="nil"/>
              <w:right w:val="nil"/>
            </w:tcBorders>
            <w:vAlign w:val="center"/>
          </w:tcPr>
          <w:p w14:paraId="3E100446" w14:textId="02F3D7F1"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0780D2C4"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191.1430</w:t>
            </w:r>
          </w:p>
        </w:tc>
        <w:tc>
          <w:tcPr>
            <w:tcW w:w="853" w:type="dxa"/>
            <w:tcBorders>
              <w:top w:val="nil"/>
              <w:left w:val="nil"/>
              <w:bottom w:val="nil"/>
              <w:right w:val="nil"/>
            </w:tcBorders>
            <w:vAlign w:val="center"/>
          </w:tcPr>
          <w:p w14:paraId="74225AC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6502741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10.02</w:t>
            </w:r>
          </w:p>
        </w:tc>
        <w:tc>
          <w:tcPr>
            <w:tcW w:w="1260" w:type="dxa"/>
            <w:vAlign w:val="center"/>
          </w:tcPr>
          <w:p w14:paraId="2A2D704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2C3A05C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48FD5C6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51AD58E6" w14:textId="77777777" w:rsidTr="00967F3B">
        <w:trPr>
          <w:trHeight w:val="20"/>
        </w:trPr>
        <w:tc>
          <w:tcPr>
            <w:tcW w:w="1315" w:type="dxa"/>
            <w:tcBorders>
              <w:top w:val="nil"/>
              <w:left w:val="nil"/>
              <w:bottom w:val="nil"/>
              <w:right w:val="nil"/>
            </w:tcBorders>
            <w:vAlign w:val="center"/>
          </w:tcPr>
          <w:p w14:paraId="3E7B88B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10.70</w:t>
            </w:r>
          </w:p>
        </w:tc>
        <w:tc>
          <w:tcPr>
            <w:tcW w:w="1368" w:type="dxa"/>
            <w:tcBorders>
              <w:top w:val="nil"/>
              <w:left w:val="nil"/>
              <w:bottom w:val="nil"/>
              <w:right w:val="nil"/>
            </w:tcBorders>
            <w:vAlign w:val="center"/>
          </w:tcPr>
          <w:p w14:paraId="2439D98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181.0718</w:t>
            </w:r>
          </w:p>
        </w:tc>
        <w:tc>
          <w:tcPr>
            <w:tcW w:w="2010" w:type="dxa"/>
            <w:tcBorders>
              <w:top w:val="nil"/>
              <w:left w:val="nil"/>
              <w:bottom w:val="nil"/>
              <w:right w:val="nil"/>
            </w:tcBorders>
            <w:vAlign w:val="center"/>
          </w:tcPr>
          <w:p w14:paraId="5A5A2D1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Myoinositol</w:t>
            </w:r>
          </w:p>
        </w:tc>
        <w:tc>
          <w:tcPr>
            <w:tcW w:w="1260" w:type="dxa"/>
            <w:tcBorders>
              <w:top w:val="nil"/>
              <w:left w:val="nil"/>
              <w:bottom w:val="nil"/>
              <w:right w:val="nil"/>
            </w:tcBorders>
            <w:vAlign w:val="center"/>
          </w:tcPr>
          <w:p w14:paraId="507F9AAD" w14:textId="7BA83295"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4A5DACD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181.0707</w:t>
            </w:r>
          </w:p>
        </w:tc>
        <w:tc>
          <w:tcPr>
            <w:tcW w:w="853" w:type="dxa"/>
            <w:tcBorders>
              <w:top w:val="nil"/>
              <w:left w:val="nil"/>
              <w:bottom w:val="nil"/>
              <w:right w:val="nil"/>
            </w:tcBorders>
            <w:vAlign w:val="center"/>
          </w:tcPr>
          <w:p w14:paraId="06BCDE0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6.00</w:t>
            </w:r>
          </w:p>
        </w:tc>
        <w:tc>
          <w:tcPr>
            <w:tcW w:w="1487" w:type="dxa"/>
            <w:tcBorders>
              <w:top w:val="nil"/>
              <w:left w:val="nil"/>
              <w:bottom w:val="nil"/>
              <w:right w:val="nil"/>
            </w:tcBorders>
            <w:noWrap/>
            <w:vAlign w:val="center"/>
          </w:tcPr>
          <w:p w14:paraId="169F245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8.55</w:t>
            </w:r>
          </w:p>
        </w:tc>
        <w:tc>
          <w:tcPr>
            <w:tcW w:w="1260" w:type="dxa"/>
            <w:vAlign w:val="center"/>
          </w:tcPr>
          <w:p w14:paraId="7241D6FF"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62E1FA1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1243E4C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706537AF" w14:textId="77777777" w:rsidTr="00967F3B">
        <w:trPr>
          <w:trHeight w:val="20"/>
        </w:trPr>
        <w:tc>
          <w:tcPr>
            <w:tcW w:w="1315" w:type="dxa"/>
            <w:tcBorders>
              <w:top w:val="nil"/>
              <w:left w:val="nil"/>
              <w:bottom w:val="nil"/>
              <w:right w:val="nil"/>
            </w:tcBorders>
            <w:vAlign w:val="center"/>
          </w:tcPr>
          <w:p w14:paraId="023853E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lastRenderedPageBreak/>
              <w:t>4.88</w:t>
            </w:r>
          </w:p>
        </w:tc>
        <w:tc>
          <w:tcPr>
            <w:tcW w:w="1368" w:type="dxa"/>
            <w:tcBorders>
              <w:top w:val="nil"/>
              <w:left w:val="nil"/>
              <w:bottom w:val="nil"/>
              <w:right w:val="nil"/>
            </w:tcBorders>
            <w:vAlign w:val="center"/>
          </w:tcPr>
          <w:p w14:paraId="45F6E742"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137.0457</w:t>
            </w:r>
          </w:p>
        </w:tc>
        <w:tc>
          <w:tcPr>
            <w:tcW w:w="2010" w:type="dxa"/>
            <w:tcBorders>
              <w:top w:val="nil"/>
              <w:left w:val="nil"/>
              <w:bottom w:val="nil"/>
              <w:right w:val="nil"/>
            </w:tcBorders>
            <w:vAlign w:val="center"/>
          </w:tcPr>
          <w:p w14:paraId="2C12A6DF"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Hydroxypurine</w:t>
            </w:r>
          </w:p>
        </w:tc>
        <w:tc>
          <w:tcPr>
            <w:tcW w:w="1260" w:type="dxa"/>
            <w:tcBorders>
              <w:top w:val="nil"/>
              <w:left w:val="nil"/>
              <w:bottom w:val="nil"/>
              <w:right w:val="nil"/>
            </w:tcBorders>
            <w:vAlign w:val="center"/>
          </w:tcPr>
          <w:p w14:paraId="629885F6" w14:textId="48D04412"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10581D1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137.0458</w:t>
            </w:r>
          </w:p>
        </w:tc>
        <w:tc>
          <w:tcPr>
            <w:tcW w:w="853" w:type="dxa"/>
            <w:tcBorders>
              <w:top w:val="nil"/>
              <w:left w:val="nil"/>
              <w:bottom w:val="nil"/>
              <w:right w:val="nil"/>
            </w:tcBorders>
            <w:vAlign w:val="center"/>
          </w:tcPr>
          <w:p w14:paraId="1F61A6D9"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w:t>
            </w:r>
          </w:p>
        </w:tc>
        <w:tc>
          <w:tcPr>
            <w:tcW w:w="1487" w:type="dxa"/>
            <w:tcBorders>
              <w:top w:val="nil"/>
              <w:left w:val="nil"/>
              <w:bottom w:val="nil"/>
              <w:right w:val="nil"/>
            </w:tcBorders>
            <w:noWrap/>
            <w:vAlign w:val="center"/>
          </w:tcPr>
          <w:p w14:paraId="004A86F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9.74</w:t>
            </w:r>
          </w:p>
        </w:tc>
        <w:tc>
          <w:tcPr>
            <w:tcW w:w="1260" w:type="dxa"/>
            <w:vAlign w:val="center"/>
          </w:tcPr>
          <w:p w14:paraId="4629353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35EB0CE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155B735B"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r>
      <w:tr w:rsidR="00967F3B" w:rsidRPr="0050576F" w14:paraId="62FA8126" w14:textId="77777777" w:rsidTr="00967F3B">
        <w:trPr>
          <w:trHeight w:val="20"/>
        </w:trPr>
        <w:tc>
          <w:tcPr>
            <w:tcW w:w="1315" w:type="dxa"/>
            <w:tcBorders>
              <w:top w:val="nil"/>
              <w:left w:val="nil"/>
              <w:bottom w:val="nil"/>
              <w:right w:val="nil"/>
            </w:tcBorders>
            <w:vAlign w:val="center"/>
          </w:tcPr>
          <w:p w14:paraId="7616154E"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3.48</w:t>
            </w:r>
          </w:p>
        </w:tc>
        <w:tc>
          <w:tcPr>
            <w:tcW w:w="1368" w:type="dxa"/>
            <w:tcBorders>
              <w:top w:val="nil"/>
              <w:left w:val="nil"/>
              <w:bottom w:val="nil"/>
              <w:right w:val="nil"/>
            </w:tcBorders>
            <w:vAlign w:val="center"/>
          </w:tcPr>
          <w:p w14:paraId="483C3E5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114.0664</w:t>
            </w:r>
          </w:p>
        </w:tc>
        <w:tc>
          <w:tcPr>
            <w:tcW w:w="2010" w:type="dxa"/>
            <w:tcBorders>
              <w:top w:val="nil"/>
              <w:left w:val="nil"/>
              <w:bottom w:val="nil"/>
              <w:right w:val="nil"/>
            </w:tcBorders>
            <w:vAlign w:val="center"/>
          </w:tcPr>
          <w:p w14:paraId="4A310DF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Creatinine</w:t>
            </w:r>
          </w:p>
        </w:tc>
        <w:tc>
          <w:tcPr>
            <w:tcW w:w="1260" w:type="dxa"/>
            <w:tcBorders>
              <w:top w:val="nil"/>
              <w:left w:val="nil"/>
              <w:bottom w:val="nil"/>
              <w:right w:val="nil"/>
            </w:tcBorders>
            <w:vAlign w:val="center"/>
          </w:tcPr>
          <w:p w14:paraId="56F27016" w14:textId="6AAF7EF9"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nil"/>
              <w:right w:val="nil"/>
            </w:tcBorders>
          </w:tcPr>
          <w:p w14:paraId="2DC2D94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114.0662</w:t>
            </w:r>
          </w:p>
        </w:tc>
        <w:tc>
          <w:tcPr>
            <w:tcW w:w="853" w:type="dxa"/>
            <w:tcBorders>
              <w:top w:val="nil"/>
              <w:left w:val="nil"/>
              <w:bottom w:val="nil"/>
              <w:right w:val="nil"/>
            </w:tcBorders>
            <w:vAlign w:val="center"/>
          </w:tcPr>
          <w:p w14:paraId="2716581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2.00</w:t>
            </w:r>
          </w:p>
        </w:tc>
        <w:tc>
          <w:tcPr>
            <w:tcW w:w="1487" w:type="dxa"/>
            <w:tcBorders>
              <w:top w:val="nil"/>
              <w:left w:val="nil"/>
              <w:bottom w:val="nil"/>
              <w:right w:val="nil"/>
            </w:tcBorders>
            <w:noWrap/>
            <w:vAlign w:val="center"/>
          </w:tcPr>
          <w:p w14:paraId="1F3EB91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7.83</w:t>
            </w:r>
          </w:p>
        </w:tc>
        <w:tc>
          <w:tcPr>
            <w:tcW w:w="1260" w:type="dxa"/>
            <w:vAlign w:val="center"/>
          </w:tcPr>
          <w:p w14:paraId="444F3A1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vAlign w:val="center"/>
          </w:tcPr>
          <w:p w14:paraId="2E744791"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vAlign w:val="center"/>
          </w:tcPr>
          <w:p w14:paraId="3DEA5CE5"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729468E7" w14:textId="77777777" w:rsidTr="00967F3B">
        <w:trPr>
          <w:trHeight w:val="20"/>
        </w:trPr>
        <w:tc>
          <w:tcPr>
            <w:tcW w:w="1315" w:type="dxa"/>
            <w:tcBorders>
              <w:top w:val="nil"/>
              <w:left w:val="nil"/>
              <w:right w:val="nil"/>
            </w:tcBorders>
            <w:vAlign w:val="center"/>
          </w:tcPr>
          <w:p w14:paraId="3F398557"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3.82</w:t>
            </w:r>
          </w:p>
        </w:tc>
        <w:tc>
          <w:tcPr>
            <w:tcW w:w="1368" w:type="dxa"/>
            <w:tcBorders>
              <w:top w:val="nil"/>
              <w:left w:val="nil"/>
              <w:right w:val="nil"/>
            </w:tcBorders>
            <w:vAlign w:val="center"/>
          </w:tcPr>
          <w:p w14:paraId="1CBD4215"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72.0815</w:t>
            </w:r>
          </w:p>
        </w:tc>
        <w:tc>
          <w:tcPr>
            <w:tcW w:w="2010" w:type="dxa"/>
            <w:tcBorders>
              <w:top w:val="nil"/>
              <w:left w:val="nil"/>
              <w:right w:val="nil"/>
            </w:tcBorders>
            <w:vAlign w:val="center"/>
          </w:tcPr>
          <w:p w14:paraId="239CF38D"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Pyrrolidine</w:t>
            </w:r>
          </w:p>
        </w:tc>
        <w:tc>
          <w:tcPr>
            <w:tcW w:w="1260" w:type="dxa"/>
            <w:tcBorders>
              <w:top w:val="nil"/>
              <w:left w:val="nil"/>
              <w:right w:val="nil"/>
            </w:tcBorders>
            <w:vAlign w:val="center"/>
          </w:tcPr>
          <w:p w14:paraId="57382C7B" w14:textId="48E6B109"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right w:val="nil"/>
            </w:tcBorders>
          </w:tcPr>
          <w:p w14:paraId="210F56BB"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72.0808</w:t>
            </w:r>
          </w:p>
        </w:tc>
        <w:tc>
          <w:tcPr>
            <w:tcW w:w="853" w:type="dxa"/>
            <w:tcBorders>
              <w:top w:val="nil"/>
              <w:left w:val="nil"/>
              <w:right w:val="nil"/>
            </w:tcBorders>
            <w:vAlign w:val="center"/>
          </w:tcPr>
          <w:p w14:paraId="647F1AEC"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10.00</w:t>
            </w:r>
          </w:p>
        </w:tc>
        <w:tc>
          <w:tcPr>
            <w:tcW w:w="1487" w:type="dxa"/>
            <w:tcBorders>
              <w:top w:val="nil"/>
              <w:left w:val="nil"/>
              <w:right w:val="nil"/>
            </w:tcBorders>
            <w:noWrap/>
            <w:vAlign w:val="center"/>
          </w:tcPr>
          <w:p w14:paraId="7B38CB8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2.09</w:t>
            </w:r>
          </w:p>
        </w:tc>
        <w:tc>
          <w:tcPr>
            <w:tcW w:w="1260" w:type="dxa"/>
            <w:vAlign w:val="center"/>
          </w:tcPr>
          <w:p w14:paraId="4CE4637D"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70C998D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U</w:t>
            </w:r>
          </w:p>
        </w:tc>
        <w:tc>
          <w:tcPr>
            <w:tcW w:w="1080" w:type="dxa"/>
            <w:vAlign w:val="center"/>
          </w:tcPr>
          <w:p w14:paraId="00F92F33"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r w:rsidR="00967F3B" w:rsidRPr="0050576F" w14:paraId="097F4133" w14:textId="77777777" w:rsidTr="00967F3B">
        <w:trPr>
          <w:trHeight w:val="20"/>
        </w:trPr>
        <w:tc>
          <w:tcPr>
            <w:tcW w:w="1315" w:type="dxa"/>
            <w:tcBorders>
              <w:top w:val="nil"/>
              <w:left w:val="nil"/>
              <w:bottom w:val="single" w:sz="4" w:space="0" w:color="auto"/>
              <w:right w:val="nil"/>
            </w:tcBorders>
            <w:vAlign w:val="center"/>
          </w:tcPr>
          <w:p w14:paraId="42895AA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11.71</w:t>
            </w:r>
          </w:p>
        </w:tc>
        <w:tc>
          <w:tcPr>
            <w:tcW w:w="1368" w:type="dxa"/>
            <w:tcBorders>
              <w:top w:val="nil"/>
              <w:left w:val="nil"/>
              <w:bottom w:val="single" w:sz="4" w:space="0" w:color="auto"/>
              <w:right w:val="nil"/>
            </w:tcBorders>
            <w:vAlign w:val="center"/>
          </w:tcPr>
          <w:p w14:paraId="2A67C443"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195.0875</w:t>
            </w:r>
          </w:p>
        </w:tc>
        <w:tc>
          <w:tcPr>
            <w:tcW w:w="2010" w:type="dxa"/>
            <w:tcBorders>
              <w:top w:val="nil"/>
              <w:left w:val="nil"/>
              <w:bottom w:val="single" w:sz="4" w:space="0" w:color="auto"/>
              <w:right w:val="nil"/>
            </w:tcBorders>
            <w:vAlign w:val="center"/>
          </w:tcPr>
          <w:p w14:paraId="69E1010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Methyl  lucopyranoside</w:t>
            </w:r>
          </w:p>
        </w:tc>
        <w:tc>
          <w:tcPr>
            <w:tcW w:w="1260" w:type="dxa"/>
            <w:tcBorders>
              <w:top w:val="nil"/>
              <w:left w:val="nil"/>
              <w:bottom w:val="single" w:sz="4" w:space="0" w:color="auto"/>
              <w:right w:val="nil"/>
            </w:tcBorders>
            <w:vAlign w:val="center"/>
          </w:tcPr>
          <w:p w14:paraId="77F13657" w14:textId="253DDF01"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M</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w:t>
            </w:r>
            <w:r w:rsidR="00F837A3" w:rsidRPr="0050576F">
              <w:rPr>
                <w:rFonts w:ascii="Book Antiqua" w:eastAsia="等线" w:hAnsi="Book Antiqua"/>
                <w:sz w:val="24"/>
                <w:szCs w:val="24"/>
              </w:rPr>
              <w:t xml:space="preserve"> </w:t>
            </w:r>
            <w:r w:rsidRPr="0050576F">
              <w:rPr>
                <w:rFonts w:ascii="Book Antiqua" w:eastAsia="等线" w:hAnsi="Book Antiqua"/>
                <w:sz w:val="24"/>
                <w:szCs w:val="24"/>
              </w:rPr>
              <w:t>H</w:t>
            </w:r>
          </w:p>
        </w:tc>
        <w:tc>
          <w:tcPr>
            <w:tcW w:w="1260" w:type="dxa"/>
            <w:tcBorders>
              <w:top w:val="nil"/>
              <w:left w:val="nil"/>
              <w:bottom w:val="single" w:sz="4" w:space="0" w:color="auto"/>
              <w:right w:val="nil"/>
            </w:tcBorders>
          </w:tcPr>
          <w:p w14:paraId="7BBEAEC6"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195.0863</w:t>
            </w:r>
          </w:p>
        </w:tc>
        <w:tc>
          <w:tcPr>
            <w:tcW w:w="853" w:type="dxa"/>
            <w:tcBorders>
              <w:top w:val="nil"/>
              <w:left w:val="nil"/>
              <w:bottom w:val="single" w:sz="4" w:space="0" w:color="auto"/>
              <w:right w:val="nil"/>
            </w:tcBorders>
            <w:vAlign w:val="center"/>
          </w:tcPr>
          <w:p w14:paraId="5D43D5D8"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6.00</w:t>
            </w:r>
          </w:p>
        </w:tc>
        <w:tc>
          <w:tcPr>
            <w:tcW w:w="1487" w:type="dxa"/>
            <w:tcBorders>
              <w:top w:val="nil"/>
              <w:left w:val="nil"/>
              <w:bottom w:val="single" w:sz="4" w:space="0" w:color="auto"/>
              <w:right w:val="nil"/>
            </w:tcBorders>
            <w:noWrap/>
            <w:vAlign w:val="center"/>
          </w:tcPr>
          <w:p w14:paraId="0E6F9950" w14:textId="77777777" w:rsidR="00967F3B" w:rsidRPr="0050576F" w:rsidRDefault="00967F3B" w:rsidP="0050576F">
            <w:pPr>
              <w:widowControl/>
              <w:snapToGrid w:val="0"/>
              <w:spacing w:line="360" w:lineRule="auto"/>
              <w:rPr>
                <w:rFonts w:ascii="Book Antiqua" w:eastAsia="等线" w:hAnsi="Book Antiqua"/>
                <w:sz w:val="24"/>
                <w:szCs w:val="24"/>
              </w:rPr>
            </w:pPr>
            <w:r w:rsidRPr="0050576F">
              <w:rPr>
                <w:rFonts w:ascii="Book Antiqua" w:eastAsia="等线" w:hAnsi="Book Antiqua"/>
                <w:sz w:val="24"/>
                <w:szCs w:val="24"/>
              </w:rPr>
              <w:t>12.43</w:t>
            </w:r>
          </w:p>
        </w:tc>
        <w:tc>
          <w:tcPr>
            <w:tcW w:w="1260" w:type="dxa"/>
            <w:tcBorders>
              <w:bottom w:val="single" w:sz="4" w:space="0" w:color="auto"/>
            </w:tcBorders>
            <w:vAlign w:val="center"/>
          </w:tcPr>
          <w:p w14:paraId="6A593D5E"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D</w:t>
            </w:r>
          </w:p>
        </w:tc>
        <w:tc>
          <w:tcPr>
            <w:tcW w:w="1080" w:type="dxa"/>
            <w:tcBorders>
              <w:bottom w:val="single" w:sz="4" w:space="0" w:color="auto"/>
            </w:tcBorders>
            <w:vAlign w:val="center"/>
          </w:tcPr>
          <w:p w14:paraId="7C943EE6"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c>
          <w:tcPr>
            <w:tcW w:w="1080" w:type="dxa"/>
            <w:tcBorders>
              <w:bottom w:val="single" w:sz="4" w:space="0" w:color="auto"/>
            </w:tcBorders>
            <w:vAlign w:val="center"/>
          </w:tcPr>
          <w:p w14:paraId="5E3DF224" w14:textId="77777777" w:rsidR="00967F3B" w:rsidRPr="0050576F" w:rsidRDefault="00967F3B" w:rsidP="0050576F">
            <w:pPr>
              <w:snapToGrid w:val="0"/>
              <w:spacing w:line="360" w:lineRule="auto"/>
              <w:rPr>
                <w:rFonts w:ascii="Book Antiqua" w:eastAsia="等线" w:hAnsi="Book Antiqua"/>
                <w:sz w:val="24"/>
                <w:szCs w:val="24"/>
              </w:rPr>
            </w:pPr>
            <w:r w:rsidRPr="0050576F">
              <w:rPr>
                <w:rFonts w:ascii="Book Antiqua" w:eastAsia="等线" w:hAnsi="Book Antiqua"/>
                <w:sz w:val="24"/>
                <w:szCs w:val="24"/>
              </w:rPr>
              <w:t>NS</w:t>
            </w:r>
          </w:p>
        </w:tc>
      </w:tr>
    </w:tbl>
    <w:p w14:paraId="77F39D21" w14:textId="727179D9" w:rsidR="00EB3C3C" w:rsidRPr="0050576F" w:rsidRDefault="00730055" w:rsidP="0050576F">
      <w:pPr>
        <w:adjustRightInd w:val="0"/>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LysoPC</w:t>
      </w:r>
      <w:r w:rsidR="00967F3B" w:rsidRPr="0050576F">
        <w:rPr>
          <w:rFonts w:ascii="Book Antiqua" w:eastAsia="等线" w:hAnsi="Book Antiqua"/>
          <w:color w:val="000000" w:themeColor="text1"/>
          <w:sz w:val="24"/>
          <w:szCs w:val="24"/>
        </w:rPr>
        <w:t>:</w:t>
      </w:r>
      <w:r w:rsidRPr="0050576F">
        <w:rPr>
          <w:rFonts w:ascii="Book Antiqua" w:eastAsia="等线" w:hAnsi="Book Antiqua"/>
          <w:color w:val="000000" w:themeColor="text1"/>
          <w:sz w:val="24"/>
          <w:szCs w:val="24"/>
        </w:rPr>
        <w:t xml:space="preserve"> Lysophosphatidyl choline; LysoPE</w:t>
      </w:r>
      <w:r w:rsidR="00967F3B" w:rsidRPr="0050576F">
        <w:rPr>
          <w:rFonts w:ascii="Book Antiqua" w:eastAsia="等线" w:hAnsi="Book Antiqua"/>
          <w:color w:val="000000" w:themeColor="text1"/>
          <w:sz w:val="24"/>
          <w:szCs w:val="24"/>
        </w:rPr>
        <w:t>:</w:t>
      </w:r>
      <w:r w:rsidRPr="0050576F">
        <w:rPr>
          <w:rFonts w:ascii="Book Antiqua" w:eastAsia="等线" w:hAnsi="Book Antiqua"/>
          <w:color w:val="000000" w:themeColor="text1"/>
          <w:sz w:val="24"/>
          <w:szCs w:val="24"/>
        </w:rPr>
        <w:t xml:space="preserve"> Lysophosphatidyl ethanolamine;</w:t>
      </w:r>
      <w:r w:rsidR="00EA5854" w:rsidRPr="0050576F">
        <w:rPr>
          <w:rFonts w:ascii="Book Antiqua" w:eastAsia="等线" w:hAnsi="Book Antiqua"/>
          <w:color w:val="000000" w:themeColor="text1"/>
          <w:sz w:val="24"/>
          <w:szCs w:val="24"/>
        </w:rPr>
        <w:t xml:space="preserve"> </w:t>
      </w:r>
      <w:r w:rsidRPr="0050576F">
        <w:rPr>
          <w:rFonts w:ascii="Book Antiqua" w:eastAsia="等线" w:hAnsi="Book Antiqua"/>
          <w:color w:val="000000" w:themeColor="text1"/>
          <w:sz w:val="24"/>
          <w:szCs w:val="24"/>
        </w:rPr>
        <w:t>U</w:t>
      </w:r>
      <w:r w:rsidR="00967F3B" w:rsidRPr="0050576F">
        <w:rPr>
          <w:rFonts w:ascii="Book Antiqua" w:eastAsia="等线" w:hAnsi="Book Antiqua"/>
          <w:color w:val="000000" w:themeColor="text1"/>
          <w:sz w:val="24"/>
          <w:szCs w:val="24"/>
        </w:rPr>
        <w:t>:</w:t>
      </w:r>
      <w:r w:rsidRPr="0050576F">
        <w:rPr>
          <w:rFonts w:ascii="Book Antiqua" w:eastAsia="等线" w:hAnsi="Book Antiqua"/>
          <w:color w:val="000000" w:themeColor="text1"/>
          <w:sz w:val="24"/>
          <w:szCs w:val="24"/>
        </w:rPr>
        <w:t xml:space="preserve"> </w:t>
      </w:r>
      <w:r w:rsidR="00F837A3" w:rsidRPr="0050576F">
        <w:rPr>
          <w:rFonts w:ascii="Book Antiqua" w:eastAsia="等线" w:hAnsi="Book Antiqua"/>
          <w:color w:val="000000" w:themeColor="text1"/>
          <w:sz w:val="24"/>
          <w:szCs w:val="24"/>
        </w:rPr>
        <w:t>Upregulated</w:t>
      </w:r>
      <w:r w:rsidRPr="0050576F">
        <w:rPr>
          <w:rFonts w:ascii="Book Antiqua" w:eastAsia="等线" w:hAnsi="Book Antiqua"/>
          <w:color w:val="000000" w:themeColor="text1"/>
          <w:sz w:val="24"/>
          <w:szCs w:val="24"/>
        </w:rPr>
        <w:t>; D</w:t>
      </w:r>
      <w:r w:rsidR="00967F3B" w:rsidRPr="0050576F">
        <w:rPr>
          <w:rFonts w:ascii="Book Antiqua" w:eastAsia="等线" w:hAnsi="Book Antiqua"/>
          <w:color w:val="000000" w:themeColor="text1"/>
          <w:sz w:val="24"/>
          <w:szCs w:val="24"/>
        </w:rPr>
        <w:t>:</w:t>
      </w:r>
      <w:r w:rsidRPr="0050576F">
        <w:rPr>
          <w:rFonts w:ascii="Book Antiqua" w:eastAsia="等线" w:hAnsi="Book Antiqua"/>
          <w:color w:val="000000" w:themeColor="text1"/>
          <w:sz w:val="24"/>
          <w:szCs w:val="24"/>
        </w:rPr>
        <w:t xml:space="preserve"> </w:t>
      </w:r>
      <w:r w:rsidR="00F837A3" w:rsidRPr="0050576F">
        <w:rPr>
          <w:rFonts w:ascii="Book Antiqua" w:eastAsia="等线" w:hAnsi="Book Antiqua"/>
          <w:color w:val="000000" w:themeColor="text1"/>
          <w:sz w:val="24"/>
          <w:szCs w:val="24"/>
        </w:rPr>
        <w:t>Decreased</w:t>
      </w:r>
      <w:r w:rsidRPr="0050576F">
        <w:rPr>
          <w:rFonts w:ascii="Book Antiqua" w:eastAsia="等线" w:hAnsi="Book Antiqua"/>
          <w:color w:val="000000" w:themeColor="text1"/>
          <w:sz w:val="24"/>
          <w:szCs w:val="24"/>
        </w:rPr>
        <w:t>; NS</w:t>
      </w:r>
      <w:r w:rsidR="00967F3B" w:rsidRPr="0050576F">
        <w:rPr>
          <w:rFonts w:ascii="Book Antiqua" w:eastAsia="等线" w:hAnsi="Book Antiqua"/>
          <w:color w:val="000000" w:themeColor="text1"/>
          <w:sz w:val="24"/>
          <w:szCs w:val="24"/>
        </w:rPr>
        <w:t>:</w:t>
      </w:r>
      <w:r w:rsidR="00F837A3" w:rsidRPr="0050576F">
        <w:rPr>
          <w:rFonts w:ascii="Book Antiqua" w:eastAsia="等线" w:hAnsi="Book Antiqua"/>
          <w:color w:val="000000" w:themeColor="text1"/>
          <w:sz w:val="24"/>
          <w:szCs w:val="24"/>
        </w:rPr>
        <w:t xml:space="preserve"> No statistical difference.</w:t>
      </w:r>
    </w:p>
    <w:p w14:paraId="7EF8B543" w14:textId="264EBE48" w:rsidR="00EB3C3C" w:rsidRPr="0050576F" w:rsidRDefault="00967F3B"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br w:type="page"/>
      </w:r>
    </w:p>
    <w:p w14:paraId="21504C39" w14:textId="683364FF" w:rsidR="00EB3C3C" w:rsidRPr="0050576F" w:rsidRDefault="00F837A3" w:rsidP="0050576F">
      <w:pPr>
        <w:snapToGrid w:val="0"/>
        <w:spacing w:line="360" w:lineRule="auto"/>
        <w:rPr>
          <w:rFonts w:ascii="Book Antiqua" w:eastAsia="等线" w:hAnsi="Book Antiqua"/>
          <w:b/>
          <w:color w:val="000000" w:themeColor="text1"/>
          <w:sz w:val="24"/>
          <w:szCs w:val="24"/>
        </w:rPr>
      </w:pPr>
      <w:r w:rsidRPr="0050576F">
        <w:rPr>
          <w:rFonts w:ascii="Book Antiqua" w:hAnsi="Book Antiqua"/>
          <w:b/>
          <w:color w:val="000000" w:themeColor="text1"/>
          <w:sz w:val="24"/>
          <w:szCs w:val="24"/>
        </w:rPr>
        <w:lastRenderedPageBreak/>
        <w:t>Table 3</w:t>
      </w:r>
      <w:r w:rsidR="00730055" w:rsidRPr="0050576F">
        <w:rPr>
          <w:rFonts w:ascii="Book Antiqua" w:hAnsi="Book Antiqua"/>
          <w:b/>
          <w:color w:val="000000" w:themeColor="text1"/>
          <w:sz w:val="24"/>
          <w:szCs w:val="24"/>
        </w:rPr>
        <w:t xml:space="preserve"> </w:t>
      </w:r>
      <w:r w:rsidR="00730055" w:rsidRPr="0050576F">
        <w:rPr>
          <w:rFonts w:ascii="Book Antiqua" w:eastAsia="等线" w:hAnsi="Book Antiqua"/>
          <w:b/>
          <w:color w:val="000000" w:themeColor="text1"/>
          <w:sz w:val="24"/>
          <w:szCs w:val="24"/>
        </w:rPr>
        <w:t>The</w:t>
      </w:r>
      <w:r w:rsidRPr="0050576F">
        <w:rPr>
          <w:rFonts w:ascii="Book Antiqua" w:eastAsia="等线" w:hAnsi="Book Antiqua"/>
          <w:b/>
          <w:color w:val="000000" w:themeColor="text1"/>
          <w:sz w:val="24"/>
          <w:szCs w:val="24"/>
        </w:rPr>
        <w:t xml:space="preserve"> efficiency of </w:t>
      </w:r>
      <w:r w:rsidR="00B36B5D">
        <w:rPr>
          <w:rFonts w:ascii="Book Antiqua" w:eastAsia="等线" w:hAnsi="Book Antiqua"/>
          <w:b/>
          <w:color w:val="000000" w:themeColor="text1"/>
          <w:sz w:val="24"/>
          <w:szCs w:val="24"/>
        </w:rPr>
        <w:t xml:space="preserve">the </w:t>
      </w:r>
      <w:r w:rsidRPr="0050576F">
        <w:rPr>
          <w:rFonts w:ascii="Book Antiqua" w:eastAsia="等线" w:hAnsi="Book Antiqua"/>
          <w:b/>
          <w:color w:val="000000" w:themeColor="text1"/>
          <w:sz w:val="24"/>
          <w:szCs w:val="24"/>
        </w:rPr>
        <w:t>diagnos</w:t>
      </w:r>
      <w:r w:rsidR="00B36B5D">
        <w:rPr>
          <w:rFonts w:ascii="Book Antiqua" w:eastAsia="等线" w:hAnsi="Book Antiqua"/>
          <w:b/>
          <w:color w:val="000000" w:themeColor="text1"/>
          <w:sz w:val="24"/>
          <w:szCs w:val="24"/>
        </w:rPr>
        <w:t>tic</w:t>
      </w:r>
      <w:r w:rsidRPr="0050576F">
        <w:rPr>
          <w:rFonts w:ascii="Book Antiqua" w:eastAsia="等线" w:hAnsi="Book Antiqua"/>
          <w:b/>
          <w:color w:val="000000" w:themeColor="text1"/>
          <w:sz w:val="24"/>
          <w:szCs w:val="24"/>
        </w:rPr>
        <w:t xml:space="preserve"> model</w:t>
      </w:r>
    </w:p>
    <w:tbl>
      <w:tblPr>
        <w:tblW w:w="13960" w:type="dxa"/>
        <w:tblLook w:val="04A0" w:firstRow="1" w:lastRow="0" w:firstColumn="1" w:lastColumn="0" w:noHBand="0" w:noVBand="1"/>
      </w:tblPr>
      <w:tblGrid>
        <w:gridCol w:w="1364"/>
        <w:gridCol w:w="2381"/>
        <w:gridCol w:w="1288"/>
        <w:gridCol w:w="1409"/>
        <w:gridCol w:w="1424"/>
        <w:gridCol w:w="1333"/>
        <w:gridCol w:w="1406"/>
        <w:gridCol w:w="2131"/>
        <w:gridCol w:w="1224"/>
      </w:tblGrid>
      <w:tr w:rsidR="00EB3C3C" w:rsidRPr="0050576F" w14:paraId="581150C4" w14:textId="77777777" w:rsidTr="00967F3B">
        <w:trPr>
          <w:trHeight w:val="1017"/>
        </w:trPr>
        <w:tc>
          <w:tcPr>
            <w:tcW w:w="3745" w:type="dxa"/>
            <w:gridSpan w:val="2"/>
            <w:tcBorders>
              <w:top w:val="single" w:sz="4" w:space="0" w:color="auto"/>
              <w:left w:val="nil"/>
              <w:bottom w:val="single" w:sz="4" w:space="0" w:color="auto"/>
              <w:right w:val="nil"/>
            </w:tcBorders>
            <w:vAlign w:val="center"/>
          </w:tcPr>
          <w:p w14:paraId="2088E26D"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Model</w:t>
            </w:r>
          </w:p>
        </w:tc>
        <w:tc>
          <w:tcPr>
            <w:tcW w:w="1288" w:type="dxa"/>
            <w:tcBorders>
              <w:top w:val="single" w:sz="4" w:space="0" w:color="auto"/>
              <w:left w:val="nil"/>
              <w:bottom w:val="single" w:sz="4" w:space="0" w:color="auto"/>
              <w:right w:val="nil"/>
            </w:tcBorders>
            <w:vAlign w:val="bottom"/>
          </w:tcPr>
          <w:p w14:paraId="3E634085"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Accuracy (%)</w:t>
            </w:r>
          </w:p>
        </w:tc>
        <w:tc>
          <w:tcPr>
            <w:tcW w:w="1409" w:type="dxa"/>
            <w:tcBorders>
              <w:top w:val="single" w:sz="4" w:space="0" w:color="auto"/>
              <w:left w:val="nil"/>
              <w:bottom w:val="single" w:sz="4" w:space="0" w:color="auto"/>
              <w:right w:val="nil"/>
            </w:tcBorders>
            <w:vAlign w:val="bottom"/>
          </w:tcPr>
          <w:p w14:paraId="00AF0EC1"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Sensitivity (%)</w:t>
            </w:r>
          </w:p>
        </w:tc>
        <w:tc>
          <w:tcPr>
            <w:tcW w:w="1424" w:type="dxa"/>
            <w:tcBorders>
              <w:top w:val="single" w:sz="4" w:space="0" w:color="auto"/>
              <w:left w:val="nil"/>
              <w:bottom w:val="single" w:sz="4" w:space="0" w:color="auto"/>
              <w:right w:val="nil"/>
            </w:tcBorders>
            <w:vAlign w:val="bottom"/>
          </w:tcPr>
          <w:p w14:paraId="56D5ACD2"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Specificity (%)</w:t>
            </w:r>
          </w:p>
        </w:tc>
        <w:tc>
          <w:tcPr>
            <w:tcW w:w="1333" w:type="dxa"/>
            <w:tcBorders>
              <w:top w:val="single" w:sz="4" w:space="0" w:color="auto"/>
              <w:left w:val="nil"/>
              <w:bottom w:val="single" w:sz="4" w:space="0" w:color="auto"/>
              <w:right w:val="nil"/>
            </w:tcBorders>
            <w:vAlign w:val="bottom"/>
          </w:tcPr>
          <w:p w14:paraId="5E53E2A8"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Positive predictive value</w:t>
            </w:r>
          </w:p>
        </w:tc>
        <w:tc>
          <w:tcPr>
            <w:tcW w:w="1406" w:type="dxa"/>
            <w:tcBorders>
              <w:top w:val="single" w:sz="4" w:space="0" w:color="auto"/>
              <w:left w:val="nil"/>
              <w:bottom w:val="single" w:sz="4" w:space="0" w:color="auto"/>
              <w:right w:val="nil"/>
            </w:tcBorders>
            <w:vAlign w:val="bottom"/>
          </w:tcPr>
          <w:p w14:paraId="532B41B0" w14:textId="77777777" w:rsidR="00EB3C3C" w:rsidRPr="0050576F" w:rsidRDefault="00730055"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Negative predictive value</w:t>
            </w:r>
          </w:p>
        </w:tc>
        <w:tc>
          <w:tcPr>
            <w:tcW w:w="2131" w:type="dxa"/>
            <w:tcBorders>
              <w:top w:val="single" w:sz="4" w:space="0" w:color="auto"/>
              <w:left w:val="nil"/>
              <w:bottom w:val="single" w:sz="4" w:space="0" w:color="auto"/>
              <w:right w:val="nil"/>
            </w:tcBorders>
            <w:vAlign w:val="bottom"/>
          </w:tcPr>
          <w:p w14:paraId="3D83E40A" w14:textId="736F2F63" w:rsidR="00EB3C3C" w:rsidRPr="0050576F" w:rsidRDefault="00F837A3" w:rsidP="0050576F">
            <w:pPr>
              <w:widowControl/>
              <w:snapToGrid w:val="0"/>
              <w:spacing w:line="360" w:lineRule="auto"/>
              <w:rPr>
                <w:rFonts w:ascii="Book Antiqua" w:eastAsia="等线" w:hAnsi="Book Antiqua"/>
                <w:b/>
                <w:bCs/>
                <w:color w:val="000000" w:themeColor="text1"/>
                <w:sz w:val="24"/>
                <w:szCs w:val="24"/>
              </w:rPr>
            </w:pPr>
            <w:r w:rsidRPr="0050576F">
              <w:rPr>
                <w:rFonts w:ascii="Book Antiqua" w:eastAsia="等线" w:hAnsi="Book Antiqua"/>
                <w:b/>
                <w:bCs/>
                <w:color w:val="000000" w:themeColor="text1"/>
                <w:sz w:val="24"/>
                <w:szCs w:val="24"/>
              </w:rPr>
              <w:t>ROC-AUC</w:t>
            </w:r>
            <w:r w:rsidR="003D3C70">
              <w:rPr>
                <w:rFonts w:ascii="Book Antiqua" w:eastAsia="等线" w:hAnsi="Book Antiqua"/>
                <w:b/>
                <w:bCs/>
                <w:color w:val="000000" w:themeColor="text1"/>
                <w:sz w:val="24"/>
                <w:szCs w:val="24"/>
              </w:rPr>
              <w:t xml:space="preserve"> </w:t>
            </w:r>
            <w:r w:rsidRPr="0050576F">
              <w:rPr>
                <w:rFonts w:ascii="Book Antiqua" w:eastAsia="等线" w:hAnsi="Book Antiqua"/>
                <w:b/>
                <w:bCs/>
                <w:color w:val="000000" w:themeColor="text1"/>
                <w:sz w:val="24"/>
                <w:szCs w:val="24"/>
              </w:rPr>
              <w:t>(95%</w:t>
            </w:r>
            <w:r w:rsidR="00730055" w:rsidRPr="0050576F">
              <w:rPr>
                <w:rFonts w:ascii="Book Antiqua" w:eastAsia="等线" w:hAnsi="Book Antiqua"/>
                <w:b/>
                <w:bCs/>
                <w:color w:val="000000" w:themeColor="text1"/>
                <w:sz w:val="24"/>
                <w:szCs w:val="24"/>
              </w:rPr>
              <w:t>CI)</w:t>
            </w:r>
          </w:p>
        </w:tc>
        <w:tc>
          <w:tcPr>
            <w:tcW w:w="1224" w:type="dxa"/>
            <w:tcBorders>
              <w:top w:val="single" w:sz="4" w:space="0" w:color="auto"/>
              <w:left w:val="nil"/>
              <w:bottom w:val="single" w:sz="4" w:space="0" w:color="auto"/>
              <w:right w:val="nil"/>
            </w:tcBorders>
            <w:noWrap/>
            <w:vAlign w:val="bottom"/>
          </w:tcPr>
          <w:p w14:paraId="07D02B14" w14:textId="796B0BF6" w:rsidR="00EB3C3C" w:rsidRPr="0050576F" w:rsidRDefault="00730055" w:rsidP="0050576F">
            <w:pPr>
              <w:widowControl/>
              <w:snapToGrid w:val="0"/>
              <w:spacing w:line="360" w:lineRule="auto"/>
              <w:rPr>
                <w:rFonts w:ascii="Book Antiqua" w:eastAsia="等线" w:hAnsi="Book Antiqua"/>
                <w:b/>
                <w:bCs/>
                <w:i/>
                <w:color w:val="000000" w:themeColor="text1"/>
                <w:sz w:val="24"/>
                <w:szCs w:val="24"/>
              </w:rPr>
            </w:pPr>
            <w:r w:rsidRPr="0050576F">
              <w:rPr>
                <w:rFonts w:ascii="Book Antiqua" w:eastAsia="等线" w:hAnsi="Book Antiqua"/>
                <w:b/>
                <w:bCs/>
                <w:i/>
                <w:color w:val="000000" w:themeColor="text1"/>
                <w:sz w:val="24"/>
                <w:szCs w:val="24"/>
              </w:rPr>
              <w:t>P</w:t>
            </w:r>
            <w:r w:rsidR="00F837A3" w:rsidRPr="0050576F">
              <w:rPr>
                <w:rFonts w:ascii="Book Antiqua" w:eastAsia="等线" w:hAnsi="Book Antiqua"/>
                <w:b/>
                <w:bCs/>
                <w:color w:val="000000" w:themeColor="text1"/>
                <w:sz w:val="24"/>
                <w:szCs w:val="24"/>
              </w:rPr>
              <w:t xml:space="preserve"> value</w:t>
            </w:r>
          </w:p>
        </w:tc>
      </w:tr>
      <w:tr w:rsidR="00EB3C3C" w:rsidRPr="0050576F" w14:paraId="37D01094" w14:textId="77777777" w:rsidTr="00967F3B">
        <w:trPr>
          <w:trHeight w:val="339"/>
        </w:trPr>
        <w:tc>
          <w:tcPr>
            <w:tcW w:w="1364" w:type="dxa"/>
            <w:vMerge w:val="restart"/>
            <w:tcBorders>
              <w:top w:val="single" w:sz="4" w:space="0" w:color="auto"/>
              <w:left w:val="nil"/>
              <w:bottom w:val="nil"/>
              <w:right w:val="nil"/>
            </w:tcBorders>
            <w:vAlign w:val="center"/>
          </w:tcPr>
          <w:p w14:paraId="2B545961"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Training set</w:t>
            </w:r>
          </w:p>
        </w:tc>
        <w:tc>
          <w:tcPr>
            <w:tcW w:w="2381" w:type="dxa"/>
            <w:tcBorders>
              <w:top w:val="single" w:sz="4" w:space="0" w:color="auto"/>
              <w:left w:val="nil"/>
              <w:bottom w:val="nil"/>
              <w:right w:val="nil"/>
            </w:tcBorders>
            <w:noWrap/>
            <w:vAlign w:val="bottom"/>
          </w:tcPr>
          <w:p w14:paraId="5DF5A079"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LDA</w:t>
            </w:r>
          </w:p>
        </w:tc>
        <w:tc>
          <w:tcPr>
            <w:tcW w:w="1288" w:type="dxa"/>
            <w:tcBorders>
              <w:top w:val="single" w:sz="4" w:space="0" w:color="auto"/>
              <w:left w:val="nil"/>
              <w:bottom w:val="nil"/>
              <w:right w:val="nil"/>
            </w:tcBorders>
            <w:vAlign w:val="bottom"/>
          </w:tcPr>
          <w:p w14:paraId="331A31AD" w14:textId="0B08BD0F"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95.00</w:t>
            </w:r>
          </w:p>
        </w:tc>
        <w:tc>
          <w:tcPr>
            <w:tcW w:w="1409" w:type="dxa"/>
            <w:tcBorders>
              <w:top w:val="single" w:sz="4" w:space="0" w:color="auto"/>
              <w:left w:val="nil"/>
              <w:bottom w:val="nil"/>
              <w:right w:val="nil"/>
            </w:tcBorders>
            <w:vAlign w:val="bottom"/>
          </w:tcPr>
          <w:p w14:paraId="0EF08D05" w14:textId="26249225"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100.00</w:t>
            </w:r>
          </w:p>
        </w:tc>
        <w:tc>
          <w:tcPr>
            <w:tcW w:w="1424" w:type="dxa"/>
            <w:tcBorders>
              <w:top w:val="single" w:sz="4" w:space="0" w:color="auto"/>
              <w:left w:val="nil"/>
              <w:bottom w:val="nil"/>
              <w:right w:val="nil"/>
            </w:tcBorders>
            <w:vAlign w:val="bottom"/>
          </w:tcPr>
          <w:p w14:paraId="3D5EC41F" w14:textId="156A58F8"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90.00</w:t>
            </w:r>
          </w:p>
        </w:tc>
        <w:tc>
          <w:tcPr>
            <w:tcW w:w="1333" w:type="dxa"/>
            <w:tcBorders>
              <w:top w:val="single" w:sz="4" w:space="0" w:color="auto"/>
              <w:left w:val="nil"/>
              <w:bottom w:val="nil"/>
              <w:right w:val="nil"/>
            </w:tcBorders>
            <w:vAlign w:val="bottom"/>
          </w:tcPr>
          <w:p w14:paraId="7796A1CA" w14:textId="3E63E976"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0.91</w:t>
            </w:r>
          </w:p>
        </w:tc>
        <w:tc>
          <w:tcPr>
            <w:tcW w:w="1406" w:type="dxa"/>
            <w:tcBorders>
              <w:top w:val="single" w:sz="4" w:space="0" w:color="auto"/>
              <w:left w:val="nil"/>
              <w:bottom w:val="nil"/>
              <w:right w:val="nil"/>
            </w:tcBorders>
            <w:vAlign w:val="bottom"/>
          </w:tcPr>
          <w:p w14:paraId="68C9BBFD" w14:textId="2B9A8A5C"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w:t>
            </w:r>
          </w:p>
        </w:tc>
        <w:tc>
          <w:tcPr>
            <w:tcW w:w="2131" w:type="dxa"/>
            <w:tcBorders>
              <w:top w:val="single" w:sz="4" w:space="0" w:color="auto"/>
              <w:left w:val="nil"/>
              <w:bottom w:val="nil"/>
              <w:right w:val="nil"/>
            </w:tcBorders>
            <w:vAlign w:val="bottom"/>
          </w:tcPr>
          <w:p w14:paraId="1E3DD19F"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0.90 (0.81-0.99)</w:t>
            </w:r>
          </w:p>
        </w:tc>
        <w:tc>
          <w:tcPr>
            <w:tcW w:w="1224" w:type="dxa"/>
            <w:vMerge w:val="restart"/>
            <w:tcBorders>
              <w:top w:val="single" w:sz="4" w:space="0" w:color="auto"/>
              <w:left w:val="nil"/>
              <w:bottom w:val="nil"/>
              <w:right w:val="nil"/>
            </w:tcBorders>
            <w:noWrap/>
            <w:vAlign w:val="center"/>
          </w:tcPr>
          <w:p w14:paraId="449F8C24" w14:textId="1AB6D59B"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&lt;</w:t>
            </w:r>
            <w:r w:rsidR="00F837A3" w:rsidRPr="0050576F">
              <w:rPr>
                <w:rFonts w:ascii="Book Antiqua" w:eastAsia="等线" w:hAnsi="Book Antiqua"/>
                <w:color w:val="000000" w:themeColor="text1"/>
                <w:sz w:val="24"/>
                <w:szCs w:val="24"/>
              </w:rPr>
              <w:t xml:space="preserve"> </w:t>
            </w:r>
            <w:r w:rsidRPr="0050576F">
              <w:rPr>
                <w:rFonts w:ascii="Book Antiqua" w:eastAsia="等线" w:hAnsi="Book Antiqua"/>
                <w:color w:val="000000" w:themeColor="text1"/>
                <w:sz w:val="24"/>
                <w:szCs w:val="24"/>
              </w:rPr>
              <w:t>0.05</w:t>
            </w:r>
          </w:p>
        </w:tc>
      </w:tr>
      <w:tr w:rsidR="00EB3C3C" w:rsidRPr="0050576F" w14:paraId="69CBAE48" w14:textId="77777777" w:rsidTr="00967F3B">
        <w:trPr>
          <w:trHeight w:val="339"/>
        </w:trPr>
        <w:tc>
          <w:tcPr>
            <w:tcW w:w="1364" w:type="dxa"/>
            <w:vMerge/>
            <w:tcBorders>
              <w:top w:val="nil"/>
              <w:left w:val="nil"/>
              <w:right w:val="nil"/>
            </w:tcBorders>
            <w:vAlign w:val="center"/>
          </w:tcPr>
          <w:p w14:paraId="4418CCE4" w14:textId="77777777" w:rsidR="00EB3C3C" w:rsidRPr="0050576F" w:rsidRDefault="00EB3C3C" w:rsidP="0050576F">
            <w:pPr>
              <w:widowControl/>
              <w:snapToGrid w:val="0"/>
              <w:spacing w:line="360" w:lineRule="auto"/>
              <w:rPr>
                <w:rFonts w:ascii="Book Antiqua" w:eastAsia="等线" w:hAnsi="Book Antiqua"/>
                <w:color w:val="000000" w:themeColor="text1"/>
                <w:sz w:val="24"/>
                <w:szCs w:val="24"/>
              </w:rPr>
            </w:pPr>
          </w:p>
        </w:tc>
        <w:tc>
          <w:tcPr>
            <w:tcW w:w="2381" w:type="dxa"/>
            <w:tcBorders>
              <w:top w:val="nil"/>
              <w:left w:val="nil"/>
              <w:bottom w:val="nil"/>
              <w:right w:val="nil"/>
            </w:tcBorders>
            <w:noWrap/>
            <w:vAlign w:val="bottom"/>
          </w:tcPr>
          <w:p w14:paraId="0679197A"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AFP</w:t>
            </w:r>
          </w:p>
        </w:tc>
        <w:tc>
          <w:tcPr>
            <w:tcW w:w="1288" w:type="dxa"/>
            <w:tcBorders>
              <w:top w:val="nil"/>
              <w:left w:val="nil"/>
              <w:bottom w:val="nil"/>
              <w:right w:val="nil"/>
            </w:tcBorders>
            <w:noWrap/>
            <w:vAlign w:val="bottom"/>
          </w:tcPr>
          <w:p w14:paraId="6ED31E35" w14:textId="46D031B4"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65.00</w:t>
            </w:r>
          </w:p>
        </w:tc>
        <w:tc>
          <w:tcPr>
            <w:tcW w:w="1409" w:type="dxa"/>
            <w:tcBorders>
              <w:top w:val="nil"/>
              <w:left w:val="nil"/>
              <w:bottom w:val="nil"/>
              <w:right w:val="nil"/>
            </w:tcBorders>
            <w:noWrap/>
            <w:vAlign w:val="bottom"/>
          </w:tcPr>
          <w:p w14:paraId="343ABCA2" w14:textId="302FF766"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30.00</w:t>
            </w:r>
          </w:p>
        </w:tc>
        <w:tc>
          <w:tcPr>
            <w:tcW w:w="1424" w:type="dxa"/>
            <w:tcBorders>
              <w:top w:val="nil"/>
              <w:left w:val="nil"/>
              <w:bottom w:val="nil"/>
              <w:right w:val="nil"/>
            </w:tcBorders>
            <w:noWrap/>
            <w:vAlign w:val="bottom"/>
          </w:tcPr>
          <w:p w14:paraId="4C63638D" w14:textId="6150D382"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100.00</w:t>
            </w:r>
          </w:p>
        </w:tc>
        <w:tc>
          <w:tcPr>
            <w:tcW w:w="1333" w:type="dxa"/>
            <w:tcBorders>
              <w:top w:val="nil"/>
              <w:left w:val="nil"/>
              <w:bottom w:val="nil"/>
              <w:right w:val="nil"/>
            </w:tcBorders>
            <w:noWrap/>
            <w:vAlign w:val="bottom"/>
          </w:tcPr>
          <w:p w14:paraId="1BEEE3C1" w14:textId="371F4AD7"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w:t>
            </w:r>
          </w:p>
        </w:tc>
        <w:tc>
          <w:tcPr>
            <w:tcW w:w="1406" w:type="dxa"/>
            <w:tcBorders>
              <w:top w:val="nil"/>
              <w:left w:val="nil"/>
              <w:bottom w:val="nil"/>
              <w:right w:val="nil"/>
            </w:tcBorders>
            <w:noWrap/>
            <w:vAlign w:val="bottom"/>
          </w:tcPr>
          <w:p w14:paraId="36A41A30" w14:textId="2F1510B5"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0.59</w:t>
            </w:r>
          </w:p>
        </w:tc>
        <w:tc>
          <w:tcPr>
            <w:tcW w:w="2131" w:type="dxa"/>
            <w:tcBorders>
              <w:top w:val="nil"/>
              <w:left w:val="nil"/>
              <w:bottom w:val="nil"/>
              <w:right w:val="nil"/>
            </w:tcBorders>
            <w:noWrap/>
            <w:vAlign w:val="bottom"/>
          </w:tcPr>
          <w:p w14:paraId="508D6A52"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0.69 (0.52-0.86)</w:t>
            </w:r>
          </w:p>
        </w:tc>
        <w:tc>
          <w:tcPr>
            <w:tcW w:w="1224" w:type="dxa"/>
            <w:vMerge/>
            <w:tcBorders>
              <w:top w:val="nil"/>
              <w:left w:val="nil"/>
              <w:right w:val="nil"/>
            </w:tcBorders>
            <w:vAlign w:val="center"/>
          </w:tcPr>
          <w:p w14:paraId="5C349F2F" w14:textId="77777777" w:rsidR="00EB3C3C" w:rsidRPr="0050576F" w:rsidRDefault="00EB3C3C" w:rsidP="0050576F">
            <w:pPr>
              <w:widowControl/>
              <w:snapToGrid w:val="0"/>
              <w:spacing w:line="360" w:lineRule="auto"/>
              <w:rPr>
                <w:rFonts w:ascii="Book Antiqua" w:eastAsia="等线" w:hAnsi="Book Antiqua"/>
                <w:color w:val="000000" w:themeColor="text1"/>
                <w:sz w:val="24"/>
                <w:szCs w:val="24"/>
              </w:rPr>
            </w:pPr>
          </w:p>
        </w:tc>
      </w:tr>
      <w:tr w:rsidR="00EB3C3C" w:rsidRPr="0050576F" w14:paraId="152375BE" w14:textId="77777777" w:rsidTr="00967F3B">
        <w:trPr>
          <w:trHeight w:val="339"/>
        </w:trPr>
        <w:tc>
          <w:tcPr>
            <w:tcW w:w="1364" w:type="dxa"/>
            <w:vMerge w:val="restart"/>
            <w:tcBorders>
              <w:top w:val="nil"/>
              <w:left w:val="nil"/>
              <w:bottom w:val="single" w:sz="4" w:space="0" w:color="auto"/>
              <w:right w:val="nil"/>
            </w:tcBorders>
            <w:vAlign w:val="center"/>
          </w:tcPr>
          <w:p w14:paraId="45E9E2B0"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Validation set</w:t>
            </w:r>
          </w:p>
        </w:tc>
        <w:tc>
          <w:tcPr>
            <w:tcW w:w="2381" w:type="dxa"/>
            <w:tcBorders>
              <w:top w:val="nil"/>
              <w:left w:val="nil"/>
              <w:right w:val="nil"/>
            </w:tcBorders>
            <w:vAlign w:val="bottom"/>
          </w:tcPr>
          <w:p w14:paraId="38AA4E4F"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LDA</w:t>
            </w:r>
          </w:p>
        </w:tc>
        <w:tc>
          <w:tcPr>
            <w:tcW w:w="1288" w:type="dxa"/>
            <w:tcBorders>
              <w:top w:val="nil"/>
              <w:left w:val="nil"/>
              <w:right w:val="nil"/>
            </w:tcBorders>
            <w:vAlign w:val="bottom"/>
          </w:tcPr>
          <w:p w14:paraId="788AF467" w14:textId="3CF61AF4"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78.95</w:t>
            </w:r>
          </w:p>
        </w:tc>
        <w:tc>
          <w:tcPr>
            <w:tcW w:w="1409" w:type="dxa"/>
            <w:tcBorders>
              <w:top w:val="nil"/>
              <w:left w:val="nil"/>
              <w:right w:val="nil"/>
            </w:tcBorders>
            <w:vAlign w:val="bottom"/>
          </w:tcPr>
          <w:p w14:paraId="05CF0D1B" w14:textId="5768DC4A"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100.00</w:t>
            </w:r>
          </w:p>
        </w:tc>
        <w:tc>
          <w:tcPr>
            <w:tcW w:w="1424" w:type="dxa"/>
            <w:tcBorders>
              <w:top w:val="nil"/>
              <w:left w:val="nil"/>
              <w:right w:val="nil"/>
            </w:tcBorders>
            <w:vAlign w:val="bottom"/>
          </w:tcPr>
          <w:p w14:paraId="733677AF" w14:textId="450A79F1"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60.00</w:t>
            </w:r>
          </w:p>
        </w:tc>
        <w:tc>
          <w:tcPr>
            <w:tcW w:w="1333" w:type="dxa"/>
            <w:tcBorders>
              <w:top w:val="nil"/>
              <w:left w:val="nil"/>
              <w:right w:val="nil"/>
            </w:tcBorders>
            <w:vAlign w:val="bottom"/>
          </w:tcPr>
          <w:p w14:paraId="0B9A5B3B" w14:textId="64DF6511"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0.69</w:t>
            </w:r>
          </w:p>
        </w:tc>
        <w:tc>
          <w:tcPr>
            <w:tcW w:w="1406" w:type="dxa"/>
            <w:tcBorders>
              <w:top w:val="nil"/>
              <w:left w:val="nil"/>
              <w:right w:val="nil"/>
            </w:tcBorders>
            <w:vAlign w:val="bottom"/>
          </w:tcPr>
          <w:p w14:paraId="3BAA9437" w14:textId="59E1F5F2"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w:t>
            </w:r>
          </w:p>
        </w:tc>
        <w:tc>
          <w:tcPr>
            <w:tcW w:w="2131" w:type="dxa"/>
            <w:tcBorders>
              <w:top w:val="nil"/>
              <w:left w:val="nil"/>
              <w:right w:val="nil"/>
            </w:tcBorders>
            <w:vAlign w:val="bottom"/>
          </w:tcPr>
          <w:p w14:paraId="1A04DB26" w14:textId="2BCD42BA"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0.84</w:t>
            </w:r>
            <w:r w:rsidR="00F837A3" w:rsidRPr="0050576F">
              <w:rPr>
                <w:rFonts w:ascii="Book Antiqua" w:eastAsia="等线" w:hAnsi="Book Antiqua"/>
                <w:color w:val="000000" w:themeColor="text1"/>
                <w:sz w:val="24"/>
                <w:szCs w:val="24"/>
              </w:rPr>
              <w:t xml:space="preserve"> </w:t>
            </w:r>
            <w:r w:rsidRPr="0050576F">
              <w:rPr>
                <w:rFonts w:ascii="Book Antiqua" w:eastAsia="等线" w:hAnsi="Book Antiqua"/>
                <w:color w:val="000000" w:themeColor="text1"/>
                <w:sz w:val="24"/>
                <w:szCs w:val="24"/>
              </w:rPr>
              <w:t>(0.67-1.00)</w:t>
            </w:r>
          </w:p>
        </w:tc>
        <w:tc>
          <w:tcPr>
            <w:tcW w:w="1224" w:type="dxa"/>
            <w:vMerge w:val="restart"/>
            <w:tcBorders>
              <w:top w:val="nil"/>
              <w:left w:val="nil"/>
              <w:bottom w:val="single" w:sz="4" w:space="0" w:color="auto"/>
              <w:right w:val="nil"/>
            </w:tcBorders>
            <w:noWrap/>
            <w:vAlign w:val="center"/>
          </w:tcPr>
          <w:p w14:paraId="4757FA20" w14:textId="732D4AE3"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&lt;</w:t>
            </w:r>
            <w:r w:rsidR="00F837A3" w:rsidRPr="0050576F">
              <w:rPr>
                <w:rFonts w:ascii="Book Antiqua" w:eastAsia="等线" w:hAnsi="Book Antiqua"/>
                <w:color w:val="000000" w:themeColor="text1"/>
                <w:sz w:val="24"/>
                <w:szCs w:val="24"/>
              </w:rPr>
              <w:t xml:space="preserve"> </w:t>
            </w:r>
            <w:r w:rsidRPr="0050576F">
              <w:rPr>
                <w:rFonts w:ascii="Book Antiqua" w:eastAsia="等线" w:hAnsi="Book Antiqua"/>
                <w:color w:val="000000" w:themeColor="text1"/>
                <w:sz w:val="24"/>
                <w:szCs w:val="24"/>
              </w:rPr>
              <w:t>0.05</w:t>
            </w:r>
          </w:p>
        </w:tc>
      </w:tr>
      <w:tr w:rsidR="00EB3C3C" w:rsidRPr="0050576F" w14:paraId="2CA04081" w14:textId="77777777" w:rsidTr="00967F3B">
        <w:trPr>
          <w:trHeight w:val="339"/>
        </w:trPr>
        <w:tc>
          <w:tcPr>
            <w:tcW w:w="1364" w:type="dxa"/>
            <w:vMerge/>
            <w:tcBorders>
              <w:top w:val="nil"/>
              <w:left w:val="nil"/>
              <w:bottom w:val="single" w:sz="4" w:space="0" w:color="auto"/>
              <w:right w:val="nil"/>
            </w:tcBorders>
            <w:vAlign w:val="center"/>
          </w:tcPr>
          <w:p w14:paraId="0C68C4E1" w14:textId="77777777" w:rsidR="00EB3C3C" w:rsidRPr="0050576F" w:rsidRDefault="00EB3C3C" w:rsidP="0050576F">
            <w:pPr>
              <w:widowControl/>
              <w:snapToGrid w:val="0"/>
              <w:spacing w:line="360" w:lineRule="auto"/>
              <w:rPr>
                <w:rFonts w:ascii="Book Antiqua" w:eastAsia="等线" w:hAnsi="Book Antiqua"/>
                <w:color w:val="000000" w:themeColor="text1"/>
                <w:sz w:val="24"/>
                <w:szCs w:val="24"/>
              </w:rPr>
            </w:pPr>
          </w:p>
        </w:tc>
        <w:tc>
          <w:tcPr>
            <w:tcW w:w="2381" w:type="dxa"/>
            <w:tcBorders>
              <w:top w:val="nil"/>
              <w:left w:val="nil"/>
              <w:bottom w:val="single" w:sz="4" w:space="0" w:color="auto"/>
              <w:right w:val="nil"/>
            </w:tcBorders>
            <w:noWrap/>
            <w:vAlign w:val="bottom"/>
          </w:tcPr>
          <w:p w14:paraId="2A55B0D3"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AFP</w:t>
            </w:r>
          </w:p>
        </w:tc>
        <w:tc>
          <w:tcPr>
            <w:tcW w:w="1288" w:type="dxa"/>
            <w:tcBorders>
              <w:top w:val="nil"/>
              <w:left w:val="nil"/>
              <w:bottom w:val="single" w:sz="4" w:space="0" w:color="auto"/>
              <w:right w:val="nil"/>
            </w:tcBorders>
            <w:noWrap/>
            <w:vAlign w:val="bottom"/>
          </w:tcPr>
          <w:p w14:paraId="346D5443" w14:textId="452738C5"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68.42</w:t>
            </w:r>
          </w:p>
        </w:tc>
        <w:tc>
          <w:tcPr>
            <w:tcW w:w="1409" w:type="dxa"/>
            <w:tcBorders>
              <w:top w:val="nil"/>
              <w:left w:val="nil"/>
              <w:bottom w:val="single" w:sz="4" w:space="0" w:color="auto"/>
              <w:right w:val="nil"/>
            </w:tcBorders>
            <w:vAlign w:val="bottom"/>
          </w:tcPr>
          <w:p w14:paraId="61465E5D" w14:textId="73144283"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40.00</w:t>
            </w:r>
          </w:p>
        </w:tc>
        <w:tc>
          <w:tcPr>
            <w:tcW w:w="1424" w:type="dxa"/>
            <w:tcBorders>
              <w:top w:val="nil"/>
              <w:left w:val="nil"/>
              <w:bottom w:val="single" w:sz="4" w:space="0" w:color="auto"/>
              <w:right w:val="nil"/>
            </w:tcBorders>
            <w:vAlign w:val="bottom"/>
          </w:tcPr>
          <w:p w14:paraId="639EEF53" w14:textId="76D5D8BD"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100.00</w:t>
            </w:r>
          </w:p>
        </w:tc>
        <w:tc>
          <w:tcPr>
            <w:tcW w:w="1333" w:type="dxa"/>
            <w:tcBorders>
              <w:top w:val="nil"/>
              <w:left w:val="nil"/>
              <w:bottom w:val="single" w:sz="4" w:space="0" w:color="auto"/>
              <w:right w:val="nil"/>
            </w:tcBorders>
            <w:noWrap/>
            <w:vAlign w:val="bottom"/>
          </w:tcPr>
          <w:p w14:paraId="63501F50" w14:textId="05BB9A34"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1.00</w:t>
            </w:r>
          </w:p>
        </w:tc>
        <w:tc>
          <w:tcPr>
            <w:tcW w:w="1406" w:type="dxa"/>
            <w:tcBorders>
              <w:top w:val="nil"/>
              <w:left w:val="nil"/>
              <w:bottom w:val="single" w:sz="4" w:space="0" w:color="auto"/>
              <w:right w:val="nil"/>
            </w:tcBorders>
            <w:vAlign w:val="bottom"/>
          </w:tcPr>
          <w:p w14:paraId="13CE29F0" w14:textId="756BA5DA" w:rsidR="00EB3C3C" w:rsidRPr="0050576F" w:rsidRDefault="00F837A3"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0.60</w:t>
            </w:r>
          </w:p>
        </w:tc>
        <w:tc>
          <w:tcPr>
            <w:tcW w:w="2131" w:type="dxa"/>
            <w:tcBorders>
              <w:top w:val="nil"/>
              <w:left w:val="nil"/>
              <w:bottom w:val="single" w:sz="4" w:space="0" w:color="auto"/>
              <w:right w:val="nil"/>
            </w:tcBorders>
            <w:vAlign w:val="bottom"/>
          </w:tcPr>
          <w:p w14:paraId="672BA8E9" w14:textId="77777777" w:rsidR="00EB3C3C" w:rsidRPr="0050576F" w:rsidRDefault="00730055" w:rsidP="0050576F">
            <w:pPr>
              <w:widowControl/>
              <w:snapToGrid w:val="0"/>
              <w:spacing w:line="360" w:lineRule="auto"/>
              <w:rPr>
                <w:rFonts w:ascii="Book Antiqua" w:eastAsia="等线" w:hAnsi="Book Antiqua"/>
                <w:color w:val="000000" w:themeColor="text1"/>
                <w:sz w:val="24"/>
                <w:szCs w:val="24"/>
              </w:rPr>
            </w:pPr>
            <w:r w:rsidRPr="0050576F">
              <w:rPr>
                <w:rFonts w:ascii="Book Antiqua" w:eastAsia="等线" w:hAnsi="Book Antiqua"/>
                <w:color w:val="000000" w:themeColor="text1"/>
                <w:sz w:val="24"/>
                <w:szCs w:val="24"/>
              </w:rPr>
              <w:t>0.68 (0.41-0.94)</w:t>
            </w:r>
          </w:p>
        </w:tc>
        <w:tc>
          <w:tcPr>
            <w:tcW w:w="1224" w:type="dxa"/>
            <w:vMerge/>
            <w:tcBorders>
              <w:top w:val="nil"/>
              <w:left w:val="nil"/>
              <w:bottom w:val="single" w:sz="4" w:space="0" w:color="auto"/>
              <w:right w:val="nil"/>
            </w:tcBorders>
            <w:vAlign w:val="center"/>
          </w:tcPr>
          <w:p w14:paraId="10FBF2DA" w14:textId="77777777" w:rsidR="00EB3C3C" w:rsidRPr="0050576F" w:rsidRDefault="00EB3C3C" w:rsidP="0050576F">
            <w:pPr>
              <w:widowControl/>
              <w:snapToGrid w:val="0"/>
              <w:spacing w:line="360" w:lineRule="auto"/>
              <w:rPr>
                <w:rFonts w:ascii="Book Antiqua" w:eastAsia="等线" w:hAnsi="Book Antiqua"/>
                <w:color w:val="000000" w:themeColor="text1"/>
                <w:sz w:val="24"/>
                <w:szCs w:val="24"/>
              </w:rPr>
            </w:pPr>
          </w:p>
        </w:tc>
      </w:tr>
    </w:tbl>
    <w:p w14:paraId="1AD76E41" w14:textId="38335719" w:rsidR="00EB3C3C" w:rsidRPr="0050576F" w:rsidRDefault="00730055" w:rsidP="0050576F">
      <w:pPr>
        <w:snapToGrid w:val="0"/>
        <w:spacing w:line="360" w:lineRule="auto"/>
        <w:rPr>
          <w:rFonts w:ascii="Book Antiqua" w:hAnsi="Book Antiqua"/>
          <w:color w:val="000000" w:themeColor="text1"/>
          <w:sz w:val="24"/>
          <w:szCs w:val="24"/>
        </w:rPr>
      </w:pPr>
      <w:r w:rsidRPr="0050576F">
        <w:rPr>
          <w:rFonts w:ascii="Book Antiqua" w:eastAsia="等线" w:hAnsi="Book Antiqua"/>
          <w:color w:val="000000" w:themeColor="text1"/>
          <w:sz w:val="24"/>
          <w:szCs w:val="24"/>
        </w:rPr>
        <w:t>LDA</w:t>
      </w:r>
      <w:r w:rsidR="00967F3B" w:rsidRPr="0050576F">
        <w:rPr>
          <w:rFonts w:ascii="Book Antiqua" w:eastAsia="等线" w:hAnsi="Book Antiqua"/>
          <w:color w:val="000000" w:themeColor="text1"/>
          <w:sz w:val="24"/>
          <w:szCs w:val="24"/>
        </w:rPr>
        <w:t xml:space="preserve">: </w:t>
      </w:r>
      <w:r w:rsidR="00F837A3" w:rsidRPr="0050576F">
        <w:rPr>
          <w:rFonts w:ascii="Book Antiqua" w:eastAsia="等线" w:hAnsi="Book Antiqua"/>
          <w:color w:val="000000" w:themeColor="text1"/>
          <w:sz w:val="24"/>
          <w:szCs w:val="24"/>
        </w:rPr>
        <w:t xml:space="preserve">Linear </w:t>
      </w:r>
      <w:r w:rsidRPr="0050576F">
        <w:rPr>
          <w:rFonts w:ascii="Book Antiqua" w:eastAsia="等线" w:hAnsi="Book Antiqua"/>
          <w:color w:val="000000" w:themeColor="text1"/>
          <w:sz w:val="24"/>
          <w:szCs w:val="24"/>
        </w:rPr>
        <w:t>discriminant analysis; ROC</w:t>
      </w:r>
      <w:r w:rsidR="00967F3B" w:rsidRPr="0050576F">
        <w:rPr>
          <w:rFonts w:ascii="Book Antiqua" w:eastAsia="等线" w:hAnsi="Book Antiqua"/>
          <w:color w:val="000000" w:themeColor="text1"/>
          <w:sz w:val="24"/>
          <w:szCs w:val="24"/>
        </w:rPr>
        <w:t>:</w:t>
      </w:r>
      <w:r w:rsidR="0006777F" w:rsidRPr="0050576F">
        <w:rPr>
          <w:rFonts w:ascii="Book Antiqua" w:eastAsia="等线" w:hAnsi="Book Antiqua"/>
          <w:color w:val="000000" w:themeColor="text1"/>
          <w:sz w:val="24"/>
          <w:szCs w:val="24"/>
        </w:rPr>
        <w:t xml:space="preserve"> </w:t>
      </w:r>
      <w:r w:rsidR="00F837A3" w:rsidRPr="0050576F">
        <w:rPr>
          <w:rFonts w:ascii="Book Antiqua" w:eastAsia="等线" w:hAnsi="Book Antiqua"/>
          <w:color w:val="000000" w:themeColor="text1"/>
          <w:sz w:val="24"/>
          <w:szCs w:val="24"/>
        </w:rPr>
        <w:t xml:space="preserve">Receiver </w:t>
      </w:r>
      <w:r w:rsidRPr="0050576F">
        <w:rPr>
          <w:rFonts w:ascii="Book Antiqua" w:eastAsia="等线" w:hAnsi="Book Antiqua"/>
          <w:color w:val="000000" w:themeColor="text1"/>
          <w:sz w:val="24"/>
          <w:szCs w:val="24"/>
        </w:rPr>
        <w:t>operating characteristic curve; AUC</w:t>
      </w:r>
      <w:r w:rsidR="00967F3B" w:rsidRPr="0050576F">
        <w:rPr>
          <w:rFonts w:ascii="Book Antiqua" w:eastAsia="等线" w:hAnsi="Book Antiqua"/>
          <w:color w:val="000000" w:themeColor="text1"/>
          <w:sz w:val="24"/>
          <w:szCs w:val="24"/>
        </w:rPr>
        <w:t>:</w:t>
      </w:r>
      <w:r w:rsidRPr="0050576F">
        <w:rPr>
          <w:rFonts w:ascii="Book Antiqua" w:eastAsia="等线" w:hAnsi="Book Antiqua"/>
          <w:color w:val="000000" w:themeColor="text1"/>
          <w:sz w:val="24"/>
          <w:szCs w:val="24"/>
        </w:rPr>
        <w:t xml:space="preserve"> </w:t>
      </w:r>
      <w:r w:rsidR="00F837A3" w:rsidRPr="0050576F">
        <w:rPr>
          <w:rFonts w:ascii="Book Antiqua" w:eastAsia="等线" w:hAnsi="Book Antiqua"/>
          <w:color w:val="000000" w:themeColor="text1"/>
          <w:sz w:val="24"/>
          <w:szCs w:val="24"/>
        </w:rPr>
        <w:t>Area under curve.</w:t>
      </w:r>
    </w:p>
    <w:sectPr w:rsidR="00EB3C3C" w:rsidRPr="0050576F" w:rsidSect="0050576F">
      <w:type w:val="continuous"/>
      <w:pgSz w:w="16840" w:h="11900" w:orient="landscape"/>
      <w:pgMar w:top="1440" w:right="1800" w:bottom="1440" w:left="1800" w:header="720" w:footer="720" w:gutter="0"/>
      <w:cols w:space="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C9F3E" w14:textId="77777777" w:rsidR="007F7E28" w:rsidRDefault="007F7E28">
      <w:r>
        <w:separator/>
      </w:r>
    </w:p>
  </w:endnote>
  <w:endnote w:type="continuationSeparator" w:id="0">
    <w:p w14:paraId="3E95D9FB" w14:textId="77777777" w:rsidR="007F7E28" w:rsidRDefault="007F7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3" w:usb1="00000000" w:usb2="00000000" w:usb3="00000000" w:csb0="00000001" w:csb1="00000000"/>
  </w:font>
  <w:font w:name="MinionPro-Regular">
    <w:altName w:val="MS Gothic"/>
    <w:panose1 w:val="02040503050306020203"/>
    <w:charset w:val="00"/>
    <w:family w:val="auto"/>
    <w:pitch w:val="default"/>
    <w:sig w:usb0="00000000" w:usb1="00000000" w:usb2="00000010" w:usb3="00000000" w:csb0="00020001" w:csb1="00000000"/>
  </w:font>
  <w:font w:name="EuclidSymbol">
    <w:altName w:val="Times New Roman"/>
    <w:charset w:val="00"/>
    <w:family w:val="roman"/>
    <w:pitch w:val="default"/>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Italic">
    <w:altName w:val="Times New Roman"/>
    <w:charset w:val="00"/>
    <w:family w:val="roman"/>
    <w:pitch w:val="default"/>
    <w:sig w:usb0="00000000" w:usb1="00000000" w:usb2="00000000" w:usb3="00000000" w:csb0="00000001" w:csb1="00000000"/>
  </w:font>
  <w:font w:name="TimesNewRoman">
    <w:altName w:val="Times New Roman"/>
    <w:charset w:val="00"/>
    <w:family w:val="roman"/>
    <w:pitch w:val="default"/>
    <w:sig w:usb0="00000000"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Garamond-Italic">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175740"/>
      <w:docPartObj>
        <w:docPartGallery w:val="Page Numbers (Bottom of Page)"/>
        <w:docPartUnique/>
      </w:docPartObj>
    </w:sdtPr>
    <w:sdtEndPr/>
    <w:sdtContent>
      <w:sdt>
        <w:sdtPr>
          <w:id w:val="-1769616900"/>
          <w:docPartObj>
            <w:docPartGallery w:val="Page Numbers (Top of Page)"/>
            <w:docPartUnique/>
          </w:docPartObj>
        </w:sdtPr>
        <w:sdtEndPr/>
        <w:sdtContent>
          <w:p w14:paraId="145707C7" w14:textId="3C07F9A9" w:rsidR="005B291C" w:rsidRDefault="005B291C">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F6409E">
              <w:rPr>
                <w:b/>
                <w:bCs/>
                <w:noProof/>
              </w:rPr>
              <w:t>22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F6409E">
              <w:rPr>
                <w:b/>
                <w:bCs/>
                <w:noProof/>
              </w:rPr>
              <w:t>32</w:t>
            </w:r>
            <w:r>
              <w:rPr>
                <w:b/>
                <w:bCs/>
                <w:sz w:val="24"/>
                <w:szCs w:val="24"/>
              </w:rPr>
              <w:fldChar w:fldCharType="end"/>
            </w:r>
          </w:p>
        </w:sdtContent>
      </w:sdt>
    </w:sdtContent>
  </w:sdt>
  <w:p w14:paraId="3542B7C1" w14:textId="77777777" w:rsidR="005B291C" w:rsidRDefault="005B291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FD0A0" w14:textId="77777777" w:rsidR="007F7E28" w:rsidRDefault="007F7E28">
      <w:r>
        <w:separator/>
      </w:r>
    </w:p>
  </w:footnote>
  <w:footnote w:type="continuationSeparator" w:id="0">
    <w:p w14:paraId="1F1F7A72" w14:textId="77777777" w:rsidR="007F7E28" w:rsidRDefault="007F7E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C47971"/>
    <w:multiLevelType w:val="multilevel"/>
    <w:tmpl w:val="4EC47971"/>
    <w:lvl w:ilvl="0">
      <w:numFmt w:val="bullet"/>
      <w:lvlText w:val=""/>
      <w:lvlJc w:val="left"/>
      <w:pPr>
        <w:ind w:left="360" w:hanging="360"/>
      </w:pPr>
      <w:rPr>
        <w:rFonts w:ascii="Wingdings" w:eastAsia="宋体"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637F471D"/>
    <w:multiLevelType w:val="multilevel"/>
    <w:tmpl w:val="637F471D"/>
    <w:lvl w:ilvl="0">
      <w:start w:val="1"/>
      <w:numFmt w:val="upperLetter"/>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nsid w:val="67E34A47"/>
    <w:multiLevelType w:val="multilevel"/>
    <w:tmpl w:val="67E34A47"/>
    <w:lvl w:ilvl="0">
      <w:start w:val="1"/>
      <w:numFmt w:val="upperLetter"/>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1C96673C-95E9-4FD0-AF19-B2C8892686EF}" w:val=" ADDIN NE.Ref.{1C96673C-95E9-4FD0-AF19-B2C8892686EF}&lt;Citation&gt;&lt;Group&gt;&lt;References&gt;&lt;Item&gt;&lt;ID&gt;406&lt;/ID&gt;&lt;UID&gt;{1C1E1550-B65E-456E-8317-C685C6CAF028}&lt;/UID&gt;&lt;Title&gt;High mobility group protein B1 controls liver cancer initiation through yes-associated protein -dependent aerobic glycolysis&lt;/Title&gt;&lt;Template&gt;Journal Article&lt;/Template&gt;&lt;Star&gt;0&lt;/Star&gt;&lt;Tag&gt;0&lt;/Tag&gt;&lt;Author&gt;Chen, R; Zhu, S; Fan, X G; Wang, H; Lotze, M T; Zeh, HJ Rd; Billiar, T R; Kang, R; Tang, D&lt;/Author&gt;&lt;Year&gt;2018&lt;/Year&gt;&lt;Details&gt;&lt;_accession_num&gt;29149457&lt;/_accession_num&gt;&lt;_author_adr&gt;Third Affiliated Hospital, Center for DAMP Biology, Key Laboratory for Major Obstetric Diseases of Guangdong Province, Key Laboratory of Reproduction and Genetics of Guangdong Higher Education Institutes, Protein Modification and Degradation Laboratory, Guangzhou Medical University, Guangzhou, China.; Department of Infectious Diseases and State Key Laboratory of Viral Hepatitis, Xiangya Hospital, Central South University, Changsha, China.; Third Affiliated Hospital, Center for DAMP Biology, Key Laboratory for Major Obstetric Diseases of Guangdong Province, Key Laboratory of Reproduction and Genetics of Guangdong Higher Education Institutes, Protein Modification and Degradation Laboratory, Guangzhou Medical University, Guangzhou, China.; Department of Infectious Diseases and State Key Laboratory of Viral Hepatitis, Xiangya Hospital, Central South University, Changsha, China.; Laboratory of Emergency Medicine, North Shore University Hospital, Manhasset, NY.; Feinstein Institute for Medical Research, Manhasset, NY.; Department of Surgery, University of Pittsburgh, Pittsburgh, PA.; Department of Surgery, University of Pittsburgh, Pittsburgh, PA.; Department of Surgery, University of Pittsburgh, Pittsburgh, PA.; Department of Surgery, University of Pittsburgh, Pittsburgh, PA.; Third Affiliated Hospital, Center for DAMP Biology, Key Laboratory for Major Obstetric Diseases of Guangdong Province, Key Laboratory of Reproduction and Genetics of Guangdong Higher Education Institutes, Protein Modification and Degradation Laboratory, Guangzhou Medical University, Guangzhou, China.&lt;/_author_adr&gt;&lt;_collection_scope&gt;SCI;SCIE;&lt;/_collection_scope&gt;&lt;_created&gt;62568545&lt;/_created&gt;&lt;_date&gt;2018-05-01&lt;/_date&gt;&lt;_date_display&gt;2018 May&lt;/_date_display&gt;&lt;_doi&gt;10.1002/hep.29663&lt;/_doi&gt;&lt;_impact_factor&gt;  14.971&lt;/_impact_factor&gt;&lt;_isbn&gt;1527-3350 (Electronic); 0270-9139 (Linking)&lt;/_isbn&gt;&lt;_issue&gt;5&lt;/_issue&gt;&lt;_journal&gt;Hepatology&lt;/_journal&gt;&lt;_language&gt;eng&lt;/_language&gt;&lt;_modified&gt;63022255&lt;/_modified&gt;&lt;_ori_publication&gt;(c) 2017 by the American Association for the Study of Liver Diseases.&lt;/_ori_publication&gt;&lt;_pages&gt;1823-1841&lt;/_pages&gt;&lt;_tertiary_title&gt;Hepatology (Baltimore, Md.)&lt;/_tertiary_title&gt;&lt;_type_work&gt;Journal Article&lt;/_type_work&gt;&lt;_url&gt;http://www.ncbi.nlm.nih.gov/entrez/query.fcgi?cmd=Retrieve&amp;amp;db=pubmed&amp;amp;dopt=Abstract&amp;amp;list_uids=29149457&amp;amp;query_hl=1&lt;/_url&gt;&lt;_volume&gt;67&lt;/_volume&gt;&lt;/Details&gt;&lt;Extra&gt;&lt;DBUID&gt;{D047F0F8-9D2B-410D-A235-89035676B7E9}&lt;/DBUID&gt;&lt;/Extra&gt;&lt;/Item&gt;&lt;/References&gt;&lt;/Group&gt;&lt;/Citation&gt;_x000a_"/>
    <w:docVar w:name="NE.Ref{36DF5C38-5100-4CA9-AD66-2CD65EE24716}" w:val=" ADDIN NE.Ref.{36DF5C38-5100-4CA9-AD66-2CD65EE24716}&lt;Citation&gt;&lt;Group&gt;&lt;References&gt;&lt;Item&gt;&lt;ID&gt;631&lt;/ID&gt;&lt;UID&gt;{67F2E10A-8228-4EAF-AC1D-52ADA7B57385}&lt;/UID&gt;&lt;Title&gt;Guidelines for Diagnosis and Treatment of Primary Liver Cancer in China (2017 Edition)&lt;/Title&gt;&lt;Template&gt;Journal Article&lt;/Template&gt;&lt;Star&gt;0&lt;/Star&gt;&lt;Tag&gt;0&lt;/Tag&gt;&lt;Author&gt;Zhou, J; Sun, H C; Wang, Z; Cong, W M; Wang, J H; Zeng, M S; Yang, J M; Bie, P; Liu, L X; Wen, T F; Han, G H; Wang, M Q; Liu, R B; Lu, L G; Ren, Z G; Chen, M S; Zeng, Z C; Liang, P; Liang, C H; Chen, M; Yan, F H; Wang, W P; Ji, Y; Cheng, W W; Dai, C L; Jia, W D; Li, Y M; Li, Y X; Liang, J; Liu, T S; Lv, G Y; Mao, Y L; Ren, W X; Shi, H C; Wang, W T; Wang, X Y; Xing, B C; Xu, J M; Yang, J Y; Yang, Y F; Ye, S L; Yin, Z Y; Zhang, B H; Zhang, S J; Zhou, W P; Zhu, J Y; Liu, R; Shi, Y H; Xiao, Y S; Dai, Z; Teng, G J; Cai, J Q; Wang, W L; Dong, J H; Li, Q; Shen, F; Qin, S K; Fan, J&lt;/Author&gt;&lt;Year&gt;2018&lt;/Year&gt;&lt;Details&gt;&lt;_accession_num&gt;30319983&lt;/_accession_num&gt;&lt;_author_adr&gt;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Pathology, the Eastern Hepatobiliary Surgery Hospital, Second Military Medical University, Shanghai, China.; Department of Interventional Radiology, Zhongshan Hospital, Fudan University, Shanghai, China.; Department of Radiology, Zhongshan Hospital, Fudan University, Shanghai, China.; Department of Hepatic Surgery, the Eastern Hepatobiliary Surgery Hospital, Second Military Medical University, Shanghai, China.; Institute of Hepatobiliary Surgery, Southwest Hospital, Third Military Medical University, Chongqing, China.; Department of General Surgery, the First Affiliated Hospital of Harbin Medical University, Harbin, China.; Department of Liver Surgery, West China Hospital of Sichuan University, Chengdu,  China.; Department of Liver Diseases and Digestive Interventional Radiology, Xijing Hospital, Fourth Military Medical University, Xi&amp;apos;an, China.; Department of Interventional Radiology, Chinese PLA General Hospital, Beijing, China.; Department of Interventional Radiology, the Tumor Hospital of Harbin Medical University, Harbin, China.; Department of Interventional Oncology, Guangdong General Hospital, Guangdong Academy of Medical Sciences, Guangzhou, China.; Department of Liver Surgery &amp;amp;amp; Transplantation, Liver Cancer Institute, Zhongshan  Hospital, Fudan University, Key Laboratory of Carcinogenesis and Cancer Invasion, Ministry of Education, Fudan University, Shanghai, China.; Department of Hepatobiliary Surgery, Sun Yat-sen University Cancer Center, Guangzhou, China.; Department of Radiation Oncology, Zhongshan Hospital, Fudan University, Shanghai, China.; Department of Interventional Ultrasound, Chinese PLA General Hospital, Beijing, China.; Department of Radiology, Guangdong General Hospital, Guangdong Academy of Medical Sciences, Guangzhou, China.; Editorial Department of Chinese Journal of Digestive Surgery, Chongqing, China.; Department of Radiology, Ruijin Hospital Affiliated to Shanghai Jiaotong University School of Medicine, Shanghai, China.; Department of Ultrasound, Zhongshan Hospital, Fudan University, Shanghai, China.; Department of Pathology, Zhongshan Hospital, Fudan University, Shanghai, China.; Department of integrated treatment, Tumor Hospital of Fudan University, Shanghai, China.; Department of Hepatobiliary and Spleenary Surgery, the Affiliated Shengjing Hospital, China Medical University, Shenyang, China.; Department of Hepatic Surgery, Affiliated Provincial Hospital, Anhui Medical University, Hefei, China.; Department of Nuclear Medicine, the First Hospital of China Medical University, Shenyang, China.; Department of Radiation Oncology, National Cancer Center/Cancer Hospital, Chinese Academy of Medical Sciences and Peking Union Medical College, Beijing, China.; Department of Oncology, Peking University International Hospital, Beijing, China.; Department of Oncology, Zhongshan Hospital, Fudan University, Shanghai, China.; Department of General Surgery, the First Hospital of Jilin University, Jilin, China.; Department of Liver Surgery, Peking Union Medical College (PUMC) Hospital, PUMC and Chinese Academy of Medical Sciences, Beijing, China.; Department of Interventional Radiology, the First Affiliated Hospital of Xinjiang Medical University, Urumqi, China.; Department of Nuclear Medicine, Zhongshan Hospital, Fudan University, Shanghai, China.; Department of Liver Surgery, West China Hospital of Sichuan University, Chengdu,  China.; Department of Liver Surgery &amp;amp;amp; Transplantation, Liver Cancer Institute, Zhongshan  Hospital, Fudan University, Key Laboratory of Carcinogenesis and Cancer Invasion, Ministry of Education, Fudan University, Shanghai, China.; Department of Hepato-Pancreato-Biliary Surgery, Peking University Cancer Hospital and Institute, Beijing, China.; Department of Gastrointestinal Oncology, Affiliated Hospital Cancer Center, Academy of Military Medical Sciences, Beijing, China.; Department of Interventional Oncology, the First Affiliated Hospital, Sun Yat-sen University, Guangzhou, China.; Department of Hepatic Surgery and Interventional Radiology, Eastern Hepatobiliary Surgery Hospital, Second Military Medical University, Shanghai, China.; Department of Liver Surgery &amp;amp;amp; Transplantation, Liver Cancer Institute, Zhongshan  Hospital, Fudan University, Key Laboratory of Carcinogenesis and Cancer Invasion, Ministry of Education, Fudan University, Shanghai, China.; Department of Hepatobiliary Surgery, Zhongshan Hospital of Xiamen University, Xiamen, China.; Department of Liver Surgery &amp;amp;amp; Transplantation, Liver Cancer Institute, Zhongshan  Hospital, Fudan University, Key Laboratory of Carcinogenesis and Cancer Invasion, Ministry of Education, Fudan University, Shanghai, China.; Department of Hepatobiliary and Pancreatic Surgery, the First Affiliated Hospital of Zhengzhou University, Zhengzhou, China.; Department of Hepatic Surgery, the Eastern Hepatobiliary Surgery Hospital, Second Military Medical University, Shanghai, China.; Department of Hepatobiliary Surgery, Peking University People&amp;apos;s Hospital, Beijing, China.; Department of Interventional Radiology, Zhongshan Hospital,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Radiology, Zhongda Hospital, Medical School, Southeast University,  Nanjing, China.; Department of Abdominal Surgical Oncology, Cancer Hospital, Chinese Academy of Medical Sciences and Peking Union Medical College, Beijing, China.; Department of Hepatobiliary and Pancreatic Surgery, First Affiliated Hospital, School of Medicine, Zhejiang University, Hangzhou, China.; Department of Hepatobiliary and Pancreas Surgery, Beijing Tsinghua Changgung Hospital (BTCH), School of Clinical Medicine, Tsinghua University, Beijing, China.; Department of Hepatobiliary Surgery, Tianjin Medical University Cancer Institute  and Hospital, Tianjin, China.; Department of Hepatic Surgery, the Eastern Hepatobiliary Surgery Hospital, Second Military Medical University, Shanghai, China.; Department of Medical Oncology, PLA Cancer Center, Nanjing Bayi Hospital, Nanjing, China.; Department of Liver Surgery &amp;amp;amp; Transplantation, Liver Cancer Institute, Zhongshan  Hospital, Fudan University, Key Laboratory of Carcinogenesis and Cancer Invasion, Ministry of Education, Fudan University, Shanghai, China.&lt;/_author_adr&gt;&lt;_date_display&gt;2018 Sep&lt;/_date_display&gt;&lt;_date&gt;2018-09-01&lt;/_date&gt;&lt;_doi&gt;10.1159/000488035&lt;/_doi&gt;&lt;_isbn&gt;2235-1795 (Print); 1664-5553 (Linking)&lt;/_isbn&gt;&lt;_issue&gt;3&lt;/_issue&gt;&lt;_journal&gt;Liver Cancer&lt;/_journal&gt;&lt;_keywords&gt;Cancer; Carcinoma; China; Diagnosis; Liver; Treatment&lt;/_keywords&gt;&lt;_language&gt;eng&lt;/_language&gt;&lt;_pages&gt;235-260&lt;/_pages&gt;&lt;_tertiary_title&gt;Liver cancer&lt;/_tertiary_title&gt;&lt;_type_work&gt;Journal Article&lt;/_type_work&gt;&lt;_url&gt;http://www.ncbi.nlm.nih.gov/entrez/query.fcgi?cmd=Retrieve&amp;amp;db=pubmed&amp;amp;dopt=Abstract&amp;amp;list_uids=30319983&amp;amp;query_hl=1&lt;/_url&gt;&lt;_volume&gt;7&lt;/_volume&gt;&lt;_created&gt;63225287&lt;/_created&gt;&lt;_modified&gt;63225288&lt;/_modified&gt;&lt;_db_updated&gt;PubMed&lt;/_db_updated&gt;&lt;_impact_factor&gt;   5.944&lt;/_impact_factor&gt;&lt;/Details&gt;&lt;Extra&gt;&lt;DBUID&gt;{D047F0F8-9D2B-410D-A235-89035676B7E9}&lt;/DBUID&gt;&lt;/Extra&gt;&lt;/Item&gt;&lt;/References&gt;&lt;/Group&gt;&lt;/Citation&gt;_x000a_"/>
    <w:docVar w:name="NE.Ref{493630F0-BB98-42B7-AD80-CAEA7B00D959}" w:val=" ADDIN NE.Ref.{493630F0-BB98-42B7-AD80-CAEA7B00D959}&lt;Citation&gt;&lt;Group&gt;&lt;References&gt;&lt;Item&gt;&lt;ID&gt;405&lt;/ID&gt;&lt;UID&gt;{B7746D2E-A526-4E21-87F2-04585A7E9EDB}&lt;/UID&gt;&lt;Title&gt;Serum levels of anti-sperm-associated antigen 9 antibody are elevated in patients with hepatocellular carcinoma&lt;/Title&gt;&lt;Template&gt;Journal Article&lt;/Template&gt;&lt;Star&gt;0&lt;/Star&gt;&lt;Tag&gt;0&lt;/Tag&gt;&lt;Author&gt;Ren, B; Zou, G; Xu, F; Huang, Y; Xu, G; He, J; Li, Y; Zhu, H; Yu, P&lt;/Author&gt;&lt;Year&gt;2017&lt;/Year&gt;&lt;Details&gt;&lt;_accession_num&gt;29344208&lt;/_accession_num&gt;&lt;_author_adr&gt;Clinical Laboratory, Hunan Provincial Second People&amp;apos;s Hospital, Changsha, Hunan 410007, P.R. China.; Clinical Medical School, Hunan University of Chinese Medicine, Changsha, Hunan 410007, P.R. China.; Department of Immunology, School of Basic Medicine, Central South University, Changsha, Hunan 410078, P.R. China.; Clinical Laboratory, Hunan Provincial Second People&amp;apos;s Hospital, Changsha, Hunan 410007, P.R. China.; Clinical Medical School, Hunan University of Chinese Medicine, Changsha, Hunan 410007, P.R. China.; Department of Immunology, School of Basic Medicine, Central South University, Changsha, Hunan 410078, P.R. China.; Clinical Laboratory, Hunan Provincial Second People&amp;apos;s Hospital, Changsha, Hunan 410007, P.R. China.; Clinical Medical School, Hunan University of Chinese Medicine, Changsha, Hunan 410007, P.R. China.; Clinical Medical School, Hunan University of Chinese Medicine, Changsha, Hunan 410007, P.R. China.; Clinical Medical School, Hunan University of Chinese Medicine, Changsha, Hunan 410007, P.R. China.; Department of Immunology, School of Basic Medicine, Central South University, Changsha, Hunan 410078, P.R. China.; Clinical Laboratory, Hunan Provincial Second People&amp;apos;s Hospital, Changsha, Hunan 410007, P.R. China.; Clinical Medical School, Hunan University of Chinese Medicine, Changsha, Hunan 410007, P.R. China.; Department of Immunology, School of Basic Medicine, Central South University, Changsha, Hunan 410078, P.R. China.; Clinical Medical School, Hunan University of Chinese Medicine, Changsha, Hunan 410007, P.R. China.; Department of Immunology, School of Basic Medicine, Central South University, Changsha, Hunan 410078, P.R. China.; Clinical Medical School, Hunan University of Chinese Medicine, Changsha, Hunan 410007, P.R. China.; Department of Immunology, School of Basic Medicine, Central South University, Changsha, Hunan 410078, P.R. China.; Department of Immunology, School of Basic Medicine, Central South University, Changsha, Hunan 410078, P.R. China.&lt;/_author_adr&gt;&lt;_collection_scope&gt;SCIE;&lt;/_collection_scope&gt;&lt;_created&gt;62568545&lt;/_created&gt;&lt;_date&gt;2017-12-01&lt;/_date&gt;&lt;_date_display&gt;2017 Dec&lt;/_date_display&gt;&lt;_doi&gt;10.3892/ol.2017.7152&lt;/_doi&gt;&lt;_impact_factor&gt;   1.871&lt;/_impact_factor&gt;&lt;_isbn&gt;1792-1074 (Print); 1792-1074 (Linking)&lt;/_isbn&gt;&lt;_issue&gt;6&lt;/_issue&gt;&lt;_journal&gt;Oncol Lett&lt;/_journal&gt;&lt;_keywords&gt;autoantibody; biomarker; diagnosis; hepatocellular carcinoma; sperm-associated antigen 9&lt;/_keywords&gt;&lt;_language&gt;eng&lt;/_language&gt;&lt;_modified&gt;62568545&lt;/_modified&gt;&lt;_pages&gt;7608-7614&lt;/_pages&gt;&lt;_tertiary_title&gt;Oncology letters&lt;/_tertiary_title&gt;&lt;_type_work&gt;Journal Article&lt;/_type_work&gt;&lt;_url&gt;http://www.ncbi.nlm.nih.gov/entrez/query.fcgi?cmd=Retrieve&amp;amp;db=pubmed&amp;amp;dopt=Abstract&amp;amp;list_uids=29344208&amp;amp;query_hl=1&lt;/_url&gt;&lt;_volume&gt;14&lt;/_volume&gt;&lt;/Details&gt;&lt;Extra&gt;&lt;DBUID&gt;{D047F0F8-9D2B-410D-A235-89035676B7E9}&lt;/DBUID&gt;&lt;/Extra&gt;&lt;/Item&gt;&lt;/References&gt;&lt;/Group&gt;&lt;/Citation&gt;_x000a_"/>
    <w:docVar w:name="NE.Ref{4F1ADA2E-814B-4755-A66A-8C6E9AE9229F}" w:val=" ADDIN NE.Ref.{4F1ADA2E-814B-4755-A66A-8C6E9AE9229F}&lt;Citation&gt;&lt;Group&gt;&lt;References&gt;&lt;Item&gt;&lt;ID&gt;446&lt;/ID&gt;&lt;UID&gt;{0788B449-6CF4-4840-BAEE-474C36FD3F7F}&lt;/UID&gt;&lt;Title&gt;A Large-scale, multicenter serum metabolite biomarker identification study for the early detection of hepatocellular carcinoma&lt;/Title&gt;&lt;Template&gt;Journal Article&lt;/Template&gt;&lt;Star&gt;0&lt;/Star&gt;&lt;Tag&gt;0&lt;/Tag&gt;&lt;Author&gt;Luo, Ping; Yin, Peiyuan; Hua, Rui; Tan, Yexiong; Li, Zaifang; Qiu, Gaokun; Yin, Zhenyu; Xie, Xingwang; Wang, Xiaomei; Chen, Wenbin; Zhou, Lina; Wang, Xiaolin; Li, Yanli; Chen, Hongsong; Gao, Ling; Lu, Xin; Wu, Tangchun; Wang, Hongyang; Niu, Junqi; Xu, Guowang&lt;/Author&gt;&lt;Year&gt;2018&lt;/Year&gt;&lt;Details&gt;&lt;_accessed&gt;62629673&lt;/_accessed&gt;&lt;_accession_num&gt;28960374&lt;/_accession_num&gt;&lt;_author_adr&gt;CAS Key Laboratory of Separation Science for Analytical Chemistry, Dalian Institute of Chemical Physics, Chinese Academy of Sciences, Dalian, China.; University of Chinese Academy of Sciences, Beijing, China.; CAS Key Laboratory of Separation Science for Analytical Chemistry, Dalian Institute of Chemical Physics, Chinese Academy of Sciences, Dalian, China.; Department of Hepatology, First Hospital, Jilin University, Changchun, Jilin, China.; International Cooperation Laboratory on Signal Transduction, Eastern Hepatobiliary Surgery Institute, The Second Military Medical University, Shanghai, China.; CAS Key Laboratory of Separation Science for Analytical Chemistry, Dalian Institute of Chemical Physics, Chinese Academy of Sciences, Dalian, China.; University of Chinese Academy of Sciences, Beijing, China.; MOE Key Laboratory of Environment and Health, School of Public Health, Tongji Medical College, Huazhong University of Science &amp;amp;amp; Technology, Wuhan, Hubei, China.; Zhongshan Hospital of Xiamen University, Xiamen, China.; Peking University People&amp;apos;s Hospital, Beijing, China.; Department of Hepatology, First Hospital, Jilin University, Changchun, Jilin, China.; Shangdong Provincial Hospital Affiliated to Shandong University, Jinan, China.; CAS Key Laboratory of Separation Science for Analytical Chemistry, Dalian Institute of Chemical Physics, Chinese Academy of Sciences, Dalian, China.; CAS Key Laboratory of Separation Science for Analytical Chemistry, Dalian Institute of Chemical Physics, Chinese Academy of Sciences, Dalian, China.; CAS Key Laboratory of Separation Science for Analytical Chemistry, Dalian Institute of Chemical Physics, Chinese Academy of Sciences, Dalian, China.; Peking University People&amp;apos;s Hospital, Beijing, China.; Shangdong Provincial Hospital Affiliated to Shandong University, Jinan, China.; CAS Key Laboratory of Separation Science for Analytical Chemistry, Dalian Institute of Chemical Physics, Chinese Academy of Sciences, Dalian, China.; MOE Key Laboratory of Environment and Health, School of Public Health, Tongji Medical College, Huazhong University of Science &amp;amp;amp; Technology, Wuhan, Hubei, China.; International Cooperation Laboratory on Signal Transduction, Eastern Hepatobiliary Surgery Institute, The Second Military Medical University, Shanghai, China.; Department of Hepatology, First Hospital, Jilin University, Changchun, Jilin, China.; CAS Key Laboratory of Separation Science for Analytical Chemistry, Dalian Institute of Chemical Physics, Chinese Academy of Sciences, Dalian, China.&lt;/_author_adr&gt;&lt;_collection_scope&gt;SCI;SCIE;&lt;/_collection_scope&gt;&lt;_created&gt;62568545&lt;/_created&gt;&lt;_date&gt;2017-09-28&lt;/_date&gt;&lt;_date_display&gt;2017 Sep 28&lt;/_date_display&gt;&lt;_db_updated&gt;CrossRef&lt;/_db_updated&gt;&lt;_doi&gt;10.1002/hep.29561&lt;/_doi&gt;&lt;_impact_factor&gt;  14.971&lt;/_impact_factor&gt;&lt;_isbn&gt;1527-3350 (Electronic); 0270-9139 (Linking)&lt;/_isbn&gt;&lt;_issue&gt;2&lt;/_issue&gt;&lt;_journal&gt;Hepatology&lt;/_journal&gt;&lt;_language&gt;eng&lt;/_language&gt;&lt;_modified&gt;62629673&lt;/_modified&gt;&lt;_ori_publication&gt;(c) 2017 The Authors. Hepatology published by Wiley Periodicals, Inc., on behalf _x000d__x000a_      of the American Association for the Study of Liver Diseases.&lt;/_ori_publication&gt;&lt;_pages&gt;662-675&lt;/_pages&gt;&lt;_tertiary_title&gt;Hepatology&lt;/_tertiary_title&gt;&lt;_type_work&gt;Journal Article&lt;/_type_work&gt;&lt;_url&gt;http://doi.wiley.com/10.1002/hep.29561_x000d__x000a_https://onlinelibrary.wiley.com/doi/full/10.1002/hep.29561&lt;/_url&gt;&lt;_volume&gt;67&lt;/_volume&gt;&lt;/Details&gt;&lt;Extra&gt;&lt;DBUID&gt;{D047F0F8-9D2B-410D-A235-89035676B7E9}&lt;/DBUID&gt;&lt;/Extra&gt;&lt;/Item&gt;&lt;/References&gt;&lt;/Group&gt;&lt;Group&gt;&lt;References&gt;&lt;Item&gt;&lt;ID&gt;396&lt;/ID&gt;&lt;UID&gt;{1EBEF81C-1972-45B7-BF64-214C1E6728DF}&lt;/UID&gt;&lt;Title&gt;Metabolic characterization of hepatocellular carcinoma using nontargeted tissue metabolomics&lt;/Title&gt;&lt;Template&gt;Journal Article&lt;/Template&gt;&lt;Star&gt;0&lt;/Star&gt;&lt;Tag&gt;0&lt;/Tag&gt;&lt;Author&gt;Huang, Q; Tan, Y; Yin, P; Ye, G; Gao, P; Lu, X; Wang, H; Xu, G&lt;/Author&gt;&lt;Year&gt;2013&lt;/Year&gt;&lt;Details&gt;&lt;_accession_num&gt;23824744&lt;/_accession_num&gt;&lt;_author_adr&gt;CAS Key Laboratory of Separation Science for Analytical Chemistry, Dalian Institute of Chemical Physics, Chinese Academy of Sciences, Dalian, China.&lt;/_author_adr&gt;&lt;_collection_scope&gt;SCI;SCIE;&lt;/_collection_scope&gt;&lt;_created&gt;62568545&lt;/_created&gt;&lt;_date&gt;2013-08-15&lt;/_date&gt;&lt;_date_display&gt;2013 Aug 15&lt;/_date_display&gt;&lt;_doi&gt;10.1158/0008-5472.CAN-13-0308&lt;/_doi&gt;&lt;_impact_factor&gt;   8.378&lt;/_impact_factor&gt;&lt;_isbn&gt;1538-7445 (Electronic); 0008-5472 (Linking)&lt;/_isbn&gt;&lt;_issue&gt;16&lt;/_issue&gt;&lt;_journal&gt;Cancer Res&lt;/_journal&gt;&lt;_keywords&gt;Adult; Aged; Antioxidants/metabolism; Betaine/metabolism; Carcinoma, Hepatocellular/genetics/*metabolism; Carnitine/analogs &amp;amp;amp; derivatives/genetics/metabolism; Citric Acid Cycle; Fatty Acid Desaturases/genetics/metabolism; Fatty Acids, Unsaturated/genetics/metabolism; Female; Gluconeogenesis; Glutathione/genetics/metabolism; Glycolysis; Hepatitis, Chronic/genetics/metabolism; Humans; Liver Cirrhosis/genetics/metabolism; Liver Neoplasms/genetics/*metabolism; Male; Metabolome/*genetics; Metabolomics/methods; Middle Aged; Phospholipases A2/genetics/metabolism&lt;/_keywords&gt;&lt;_language&gt;eng&lt;/_language&gt;&lt;_modified&gt;62572977&lt;/_modified&gt;&lt;_pages&gt;4992-5002&lt;/_pages&gt;&lt;_tertiary_title&gt;Cancer research&lt;/_tertiary_title&gt;&lt;_type_work&gt;Journal Article; Research Support, Non-U.S. Gov&amp;apos;t&lt;/_type_work&gt;&lt;_url&gt;http://www.ncbi.nlm.nih.gov/entrez/query.fcgi?cmd=Retrieve&amp;amp;db=pubmed&amp;amp;dopt=Abstract&amp;amp;list_uids=23824744&amp;amp;query_hl=1&lt;/_url&gt;&lt;_volume&gt;73&lt;/_volume&gt;&lt;/Details&gt;&lt;Extra&gt;&lt;DBUID&gt;{D047F0F8-9D2B-410D-A235-89035676B7E9}&lt;/DBUID&gt;&lt;/Extra&gt;&lt;/Item&gt;&lt;/References&gt;&lt;/Group&gt;&lt;/Citation&gt;_x000a_"/>
    <w:docVar w:name="NE.Ref{6513BFEE-4345-45BF-B327-929E1534505D}" w:val=" ADDIN NE.Ref.{6513BFEE-4345-45BF-B327-929E1534505D}&lt;Citation&gt;&lt;Group&gt;&lt;References&gt;&lt;Item&gt;&lt;ID&gt;410&lt;/ID&gt;&lt;UID&gt;{D0348888-DCC3-403A-AD7B-C0675DE4EA59}&lt;/UID&gt;&lt;Title&gt;??????????????????¨¬????????????????????¨¬????????????????????????????????????¨¬????????????????????¨¬???????(2017????????????????¡ì???????????)&lt;/Title&gt;&lt;Template&gt;Journal Article&lt;/Template&gt;&lt;Star&gt;0&lt;/Star&gt;&lt;Tag&gt;0&lt;/Tag&gt;&lt;Author&gt;????????????????????????????¡ì??????????????????????????¡ì??????????????????????????????¡ì???????????????????????????????¡ì??????????????????&lt;/Author&gt;&lt;Year&gt;2017&lt;/Year&gt;&lt;Details&gt;&lt;_db_provider&gt;??????????????????????¡ì?????????????????????????¨¬????????????????????¨¬?????????????????????????????¨¬????????????????????¨¬???????????????&lt;/_db_provider&gt;&lt;_doi&gt;10.3760/cma.j.issn.1007-3418.2017.12.002&lt;/_doi&gt;&lt;_isbn&gt;1007-3418&lt;/_isbn&gt;&lt;_issue&gt;12&lt;/_issue&gt;&lt;_journal&gt;??????????????????????¡ì??????????????????????¨¬????????????????????¨¬????????????&lt;/_journal&gt;&lt;_keywords&gt;???,???????; ????; ????????????????????¡§????????; ??????????????????¨¬????????????????????¨¬???????; Carcinoma,hepatocellular; Diagnosis; Therapeutics; Standard&lt;/_keywords&gt;&lt;_language&gt;chi&lt;/_language&gt;&lt;_pages&gt;886-895&lt;/_pages&gt;&lt;_tertiary_title&gt;Chinese Journal of Hepatology&lt;/_tertiary_title&gt;&lt;_translated_title&gt;Diagnosis, management, and treatment of hepatocellular carcinoma (V2017)&lt;/_translated_title&gt;&lt;_url&gt;http://d.oldg.wanfangdata.com.cn/Periodical_zhgzbzz201712002.aspx&lt;/_url&gt;&lt;_volume&gt;25&lt;/_volume&gt;&lt;_created&gt;62223423&lt;/_created&gt;&lt;_modified&gt;62223423&lt;/_modified&gt;&lt;_db_updated&gt;Wanfangdata&lt;/_db_updated&gt;&lt;_collection_scope&gt;??????????????????¡ì????????????????????;????????????;CSCD;&lt;/_collection_scope&gt;&lt;_translated_author&gt;Zhong, Huarenmingongheguoweishenghejihuashengyuweiyuanhuiyizhengyiguanju&lt;/_translated_author&gt;&lt;/Details&gt;&lt;Extra&gt;&lt;DBUID&gt;{F96A950B-833F-4880-A151-76DA2D6A2879}&lt;/DBUID&gt;&lt;/Extra&gt;&lt;/Item&gt;&lt;/References&gt;&lt;/Group&gt;&lt;/Citation&gt;_x000a_"/>
    <w:docVar w:name="NE.Ref{66116F4F-3E89-4DFC-836F-E46E1F4FFBF3}" w:val=" ADDIN NE.Ref.{66116F4F-3E89-4DFC-836F-E46E1F4FFBF3}&lt;Citation&gt;&lt;Group&gt;&lt;References&gt;&lt;Item&gt;&lt;ID&gt;398&lt;/ID&gt;&lt;UID&gt;{FC43F11F-0B2B-406C-92A9-40398DFC32FE}&lt;/UID&gt;&lt;Title&gt;Metabonomic profiles discriminate hepatocellular carcinoma from liver cirrhosis by ultraperformance liquid chromatography-mass spectrometry&lt;/Title&gt;&lt;Template&gt;Journal Article&lt;/Template&gt;&lt;Star&gt;0&lt;/Star&gt;&lt;Tag&gt;0&lt;/Tag&gt;&lt;Author&gt;Wang, B; Chen, D; Chen, Y; Hu, Z; Cao, M; Xie, Q; Chen, Y; Xu, J; Zheng, S; Li, L&lt;/Author&gt;&lt;Year&gt;2012&lt;/Year&gt;&lt;Details&gt;&lt;_accession_num&gt;22200553&lt;/_accession_num&gt;&lt;_author_adr&gt;State Key Laboratory for Diagnosis and Treatment of Infectious Diseases, The First Affiliated Hospital, College of Medicine, Zhejiang University , 79 Qing-chun Road, Hangzhou 310003, PR China.&lt;/_author_adr&gt;&lt;_collection_scope&gt;SCI;SCIE;&lt;/_collection_scope&gt;&lt;_created&gt;62568545&lt;/_created&gt;&lt;_date&gt;2012-02-03&lt;/_date&gt;&lt;_date_display&gt;2012 Feb 3&lt;/_date_display&gt;&lt;_doi&gt;10.1021/pr2009252&lt;/_doi&gt;&lt;_impact_factor&gt;   3.780&lt;/_impact_factor&gt;&lt;_isbn&gt;1535-3907 (Electronic); 1535-3893 (Linking)&lt;/_isbn&gt;&lt;_issue&gt;2&lt;/_issue&gt;&lt;_journal&gt;J Proteome Res&lt;/_journal&gt;&lt;_keywords&gt;Adult; Aged; Biomarkers/blood/metabolism; Carcinoma, Hepatocellular/diagnosis/*metabolism; Case-Control Studies; Chromatography, High Pressure Liquid/methods; Diagnosis, Differential; Discriminant Analysis; Female; Humans; Liver Cirrhosis/diagnosis/*metabolism; Liver Neoplasms/diagnosis/*metabolism; Male; Mass Spectrometry/methods; *Metabolome; Metabolomics/*methods; Middle Aged; Principal Component Analysis; Sensitivity and Specificity&lt;/_keywords&gt;&lt;_language&gt;eng&lt;/_language&gt;&lt;_modified&gt;62572932&lt;/_modified&gt;&lt;_pages&gt;1217-27&lt;/_pages&gt;&lt;_tertiary_title&gt;Journal of proteome research&lt;/_tertiary_title&gt;&lt;_type_work&gt;Journal Article; Research Support, Non-U.S. Gov&amp;apos;t&lt;/_type_work&gt;&lt;_url&gt;http://www.ncbi.nlm.nih.gov/entrez/query.fcgi?cmd=Retrieve&amp;amp;db=pubmed&amp;amp;dopt=Abstract&amp;amp;list_uids=22200553&amp;amp;query_hl=1&lt;/_url&gt;&lt;_volume&gt;11&lt;/_volume&gt;&lt;/Details&gt;&lt;Extra&gt;&lt;DBUID&gt;{D047F0F8-9D2B-410D-A235-89035676B7E9}&lt;/DBUID&gt;&lt;/Extra&gt;&lt;/Item&gt;&lt;/References&gt;&lt;/Group&gt;&lt;/Citation&gt;_x000a_"/>
    <w:docVar w:name="NE.Ref{72B40DDE-C54F-4F86-BEFA-A2DC62289B0F}" w:val=" ADDIN NE.Ref.{72B40DDE-C54F-4F86-BEFA-A2DC62289B0F}&lt;Citation&gt;&lt;Group&gt;&lt;References&gt;&lt;Item&gt;&lt;ID&gt;401&lt;/ID&gt;&lt;UID&gt;{81102BAF-C482-42C8-821D-7660A05964F0}&lt;/UID&gt;&lt;Title&gt;The Global Burden of Cancer 2013&lt;/Title&gt;&lt;Template&gt;Journal Article&lt;/Template&gt;&lt;Star&gt;0&lt;/Star&gt;&lt;Tag&gt;0&lt;/Tag&gt;&lt;Author&gt;Fitzmaurice, C; Dicker, D; Pain, A; Hamavid, H; Moradi-Lakeh, M; MacIntyre, M F; Allen, C; Hansen, G; Woodbrook, R; Wolfe, C; Hamadeh, R R; Moore, A; Werdecker, A; Gessner, B D; Te, Ao B; McMahon, B; Karimkhani, C; Yu, C; Cooke, G S; Schwebel, D C; Carpenter, D O; Pereira, D M; Nash, D; Kazi, D S; De Leo, D; Plass, D; Ukwaja, K N; Thurston, G D; Yun, Jin K; Simard, E P; Mills, E; Park, E K; Catala-Lopez, F; DeVeber, G; Gotay, C; Khan, G; Hosgood, HD Rd; Santos, I S; Leasher, J L; Singh, J; Leigh, J; Jonas, J B; Sanabria, J; Beardsley, J; Jacobsen, K H; Takahashi, K; Franklin, R C; Ronfani, L; Montico, M; Naldi, L; Tonelli, M; Geleijnse, J; Petzold, M; Shrime, M G; Younis, M; Yonemoto, N; Breitborde, N; Yip, P; Pourmalek, F; Lotufo, P A; Esteghamati, A; Hankey, G J; Ali, R; Lunevicius, R; Malekzadeh, R; Dellavalle, R; Weintraub, R; Lucas, R; Hay, R; Rojas-Rueda, D; Westerman, R; Sepanlou, S G; Nolte, S; Patten, S; Weichenthal, S; Abera, S F; Fereshtehnejad, S M; Shiue, I; Driscoll, T; Vasankari, T; Alsharif, U; Rahimi-Movaghar, V; Vlassov, V V; Marcenes, W S; Mekonnen, W; Melaku, Y A; Yano, Y; Artaman, A; Campos, I; MacLachlan, J; Mueller, U; Kim, D; Trillini, M; Eshrati, B; Williams, H C; Shibuya, K; Dandona, R; Murthy, K; Cowie, B; Amare, A T; Antonio, C A; Castaneda-Orjuela, C; van Gool, C H; Violante, F; Oh, I H; Deribe, K; Soreide, K; Knibbs, L; Kereselidze, M; Green, M; Cardenas, R; Roy, N; Tillmann, T; Li, Y; Krueger, H; Monasta, L; Dey, S; Sheikhbahaei, S; Hafezi-Nejad, N; Kumar, G A; Sreeramareddy, C T; Dandona, L; Wang, H; Vollset, S E; Mokdad, A; Salomon, J A; Lozano, R; Vos, T; Forouzanfar, M; Lopez, A; Murray, C; Naghavi, M&lt;/Author&gt;&lt;Year&gt;2015&lt;/Year&gt;&lt;Details&gt;&lt;_accession_num&gt;26181261&lt;/_accession_num&gt;&lt;_author_adr&gt;Division of Hematology, Department of Medicine, University of Washington, Seattle2Institute for Health Metrics and Evaluation, University of Washington, Seattle.; Institute for Health Metrics and Evaluation, University of Washington, Seattle.; Institute for Health Metrics and Evaluation, University of Washington, Seattle.; Institute for Health Metrics and Evaluation, University of Washington, Seattle.; Institute for Health Metrics and Evaluation, University of Washington, Seattle3Gastrointestinal and Liver Disease Research Center, Iran University of Medical Sciences, Tehran, Iran.; Institute for Health Metrics and Evaluation, University of Washington, Seattle.; Institute for Health Metrics and Evaluation, University of Washington, Seattle.; Institute for Health Metrics and Evaluation, University of Washington, Seattle.; Institute for Health Metrics and Evaluation, University of Washington, Seattle.; King&amp;apos;s College London, London, England.; Arabian Gulf University, Manama, Bahrain.; University of North Texas, Denton.; Institute of Medical Sociology and Social Medicine, Marburg, Germany.; Agence de Medecine Preventive, Paris, France.; Department of Biostatistics and Epidemiology, School of Public Health and Psychosocial Studies, Auckland University of Technology, Auckland, New Zealand.; Liver Disease and Hepatitis Program, Alaska Native Tribal Health Consortium, Anchorage, Alaska.; College of Physicians and Surgeons, Columbia University, New York, New York.; Department of Epidemiology and Biostatistics, School of Public Health, Wuhan University, Wuhan, China.; Imperial College London, London, England.; Department of Psychology, University of Alabama at Birmingham, Birmingham, Alabama.; Institute for Health and the Environment, University at Albany, Rensselaer, New York.; Laboratorio de Farmacognosia, Departamento de Ciencias Quimicas, Faculdade de Farmacia, University do Porto, REQUIMTE/LAQV, Porto, Portugal.; School of Public Health, Hunter College Campus, City University of New York, New  York.; University of California, San Francisco.; Griffith University, Brisbane, Australia.; Federal Environment Agency Section on Exposure Assessment and Environmental Health Indicators, Berlin, Germany.; Department of Internal Medicine, Federal Teaching Hospital, Abakaliki, Nigeria.; Nelson Institute of Environmental Medicine, New York University School of Medicine, Tuxedo, New York.; Faculty of Chinese Medicine, Southern University College, Johor, Malaysia.; Rollins School of Public Health, Emory University, Atlanta, Georgia.; University of Ottawa, Ottawa, Ontario, Canada.; Department of Medical Humanities and Social Medicine, Kosin University College of Medicine, Busan, South Korea.; Division of Pharmacoepidemiology and Pharmacovigilance, Spanish Medicines and Healthcare Products Agency (AEMPS), Ministry of Health, Madrid, Spain.; University of Toronto, Toronto, Ontario, Canada.; School of Population and Public Health, University of British Columbia, Vancouver, British Columbia, Canada.; Department of Microbiology &amp;amp;amp; Immunology, College of Medicine and Health Sciences, United Arab Emirates University, Al-Ain, United Arab Emirates.; Albert Einstein College of Medicine, Bronx, New York.; Centre for Clinical and Epidemiological Research, University of Sao Paulo, Sao Paulo, Brazil.; Nova Southeastern University, Fort Lauderdale, Florida.; Division of Clinical Immunology and Rheumatology, University of Alabama at Birmingham, Birmingham, Alabama.; University of Sydney, Sydney, Australia.; Department of Ophthalmology, University of Heidelberg, Mannheim, Germany.; Department of Surgery, Case Western Reserve University, Cleveland, Ohio38Nutrition and Preventive Medicine, Chicago Medical School at Cancer Treatment Centers of America, Rosalind Franklin University, Chicago, Illinois.; Nuffield Department of Medicine, Oxford University, Ho Chi Minh City, Vietnam.; Department of Global and Community Health, George Mason University, Fairfax, Virginia.; Department of Environmental Epidemiology, University of Occupational and Environmental Health, Kitakyushu, Japan.; College of Public Health, Medical and Veterinary Sciences, James Cook University, Townsville, Australia.; Institute for Maternal and Child Health IRCCS Burlo Garofolo, Trieste, Italy.; Institute for Maternal and Child Health IRCCS Burlo Garofolo, Trieste, Italy.; Azienda Ospedaliera papa Giovanni XXIII, Bergamo, Italy.; University of Calgary, Calgary, Alberta, Canada.; Division of Human Nutrition, Wageningen University, Wageningen, the Netherlands.; Centre for Applied Biostatistics, Sahlgrenska Academy, University of Gothenburg,  Gothenburg, Sweden48School of Public Health, University of the Witwatersrand, Johannesburg, South Africa.; Harvard University, Boston, Massachusetts.; Jackson State University, Jackson, Mississippi.; National Center of Neurology and Psychiatry, Kodira, Japan.; University of Arizona, Tucson.; The University of Hong Kong, Hong Kong, China.; Faculty of Medicine, University of British Columbia, Vancouver, British Columbia, Canada.; Centre for Clinical and Epidemiological Research, University of Sao Paulo, Sao Paulo, Brazil.; Endocrinology and Metabolism Research Center, Tehran University of Medical Sciences, Tehran, Iran.; School of Medicine and Pharmacology, University of Western Australia, School of Medicine and Pharmacology, Perth, Australia.; Nuffield Department of Population Health, University of Oxford, Oxford, England.; Department of Neuropsychopharmacology, Aintree University Hospital NHS Foundation Trust, Liverpool, England.; Digestive Disease Research Institute, Tehran University of Medical Sciences, Tehran, Iran.; Veterans Affairs Eastern Colorado Health Care System, Denver61Department of Dermatology, University of Colorado School of Medicine, Denver.; University of Melbourne, Melbourne, Australia63Royal Children&amp;apos;s Hospital, Melbourne, Australia.; National Centre for Epidemiology and Population Health, Research School of Population Health, The Australian National University, Canberra, Australia.; International Foundation for Dermatology, London, England.; Centre of Research in Environmental Epidemiology (CREAL), Barcelona, Spain.; University of Marburg, Marburg, Germany.; Digestive Diseases Research Institute, Shariati Hospital, Tehran, Iran.; Charite University Medicine Berlin, Berlin, Germany.; Department of Community Health Sciences, University of Calgary, Calgary, Alberta, Canada.; Air Health Science Division, Health Canada, Ottawa, Ontario, Canada.; College of Health Sciences, Mekelle University, Mekelle, Ethiopia.; Department of Neurobiology Care Sciences and Society (NVS), Karolinska Institutet, Stockholm, Sweden.; Northumbria University, Newcastle upon Tyne, England75University of Edinburgh, Edinburgh, Scotland.; Sydney School of Public Health, University of Sydney, Sydney, Australia.; UKK Institute for Health Promotion Research, Tampere, Finland.; Charite-Universitatsmedizin Berlin, Berlin, Germany.; Sina Trauma and Surgery Research Center, Tehran University of Medical Sciences, Tehran, Iran.; National Research University Higher School of Economics, Moscow, Russia.; Barts and The London School of Medicine and Dentistry, University of London, London, England.; School of Public Health, Addis Ababa University, Addis Ababa, Ethiopia.; College of Health Sciences, School of Public Health, Mekelle University, Mekelle, Ethiopia.; Department of Preventive Medicine, Northwestern University, Chicago, Illinois.; Windsor, Ontario, Canada.; Harvard University, Boston, Massachusetts.; Victorian Infectious Diseases Reference Laboratory (VIDRL), The Peter Doherty Institute for Infection and Immunity, WHO Collaborating Centre for Viral Hepatitis, Melbourne, Australia.; Philipps-University Marburg, Marburg, Germany.; Department of Health Sciences, Northeastern University, Boston, Massachusetts.; Mario Negri Institute for pharmacological Research, Ranica, Italy.; Arak University of Medical Sciences and Health Affairs, Arak, Iran.; University of Nottingham, Nottingham, England.; University of Tokyo, Tokyo, Japan.; Public Health Foundation of India, National Capital Region, India.; Public Health Foundation of India, National Capital Region, India.; Victorian Infectious Diseases Reference Laboratory (VIDRL), The Peter Doherty Institute for Infection and Immunity, WHO Collaborating Centre for Viral Hepatitis, Melbourne, Australia.; Department of Epidemiology, University of Groningen, Groningen, the Netherlands.; University of the Philippines Manila, College of Public Health, Manila, Philippines.; Colombian National Health Observatory Instituto Nacional de Salud, Bogota, Colombia.; National Institute for Public Health and the Environment, Bilthoven, the Netherlands.; Department of Medical and Surgical Sciences, University of Bologna, Bologna, Italy.; Kyung Hee University, Seoul, South Korea.; School of Public Health, Addis Ababa University, Addis Ababa, Ethiopia100Brighton and Sussex Medical School, Brighton, England.; Department of Gastrointestinal Surgery, Stavanger University Hospital, Stavanger, Norway102University of Bergen, Stavanger, Norway.; Department of Clinical Medicine, The University of Queensland, Brisbane, Australia.; National Centre for Diseases Control and Public Health, Tbilisi, Georgia.; University of Sheffield, Sheffield, England.; Universidad Autonoma Metropolitana, Mexico City, Mexico.; Department of Public Health Sciences, Karolinska Institutet, Mumbai, India.; University College London, London, England.; Genentech Inc, San Francisco, California.; School of Population and Public Health, University of British Columbia, Vancouver, British Columbia, Canada.; Institute for Maternal and Child Health IRCCS Burlo Garofolo, Trieste, Italy.; Indian Institute of Public Health, National Capital Region, India.; Endocrinology and Metabolism Research Center, Tehran University of Medical Sciences, Tehran, Iran.; Endocrinology and Metabolism Research Center, Tehran University of Medical Sciences, Tehran, Iran.; Public Health Foundation of India, National Capital Region, India.; Faculty of Medicine and Health Sciences, Universiti Tunku Abdul Rahman Selangor,  Malaysia.; Institute for Health Metrics and Evaluation, University of Washington, Seattle93Public Health Foundation of India, National Capital Region, India.; Institute for Health Metrics and Evaluation, University of Washington, Seattle.; Department of Global Public Health and Primary Care, University of Bergen, Bergen, Norway113Norwegian Institute of Public Health, Bergen, Norway.; Institute for Health Metrics and Evaluation, University of Washington, Seattle.; Harvard University, Boston, Massachusetts.; Institute for Health Metrics and Evaluation, University of Washington, Seattle115National Institute of Public Health, Cuernavaca, Mexico.; Institute for Health Metrics and Evaluation, University of Washington, Seattle.; Institute for Health Metrics and Evaluation, University of Washington, Seattle.; School of Population and Global Health, University of Melbourne, Melbourne, Australia.; Institute for Health Metrics and Evaluation, University of Washington, Seattle.; Institute for Health Metrics and Evaluation, University of Washington, Seattle.&lt;/_author_adr&gt;&lt;_collection_scope&gt;SCIE;&lt;/_collection_scope&gt;&lt;_created&gt;62568545&lt;/_created&gt;&lt;_date&gt;2015-07-01&lt;/_date&gt;&lt;_date_display&gt;2015 Jul&lt;/_date_display&gt;&lt;_doi&gt;10.1001/jamaoncol.2015.0735&lt;/_doi&gt;&lt;_impact_factor&gt;  22.416&lt;/_impact_factor&gt;&lt;_isbn&gt;2374-2445 (Electronic); 2374-2437 (Linking)&lt;/_isbn&gt;&lt;_issue&gt;4&lt;/_issue&gt;&lt;_journal&gt;JAMA Oncol&lt;/_journal&gt;&lt;_keywords&gt;Adolescent; Adult; Age Distribution; Age Factors; Aged; Aged, 80 and over; Child; Child, Preschool; Disability Evaluation; Female; *Global Health; Humans; Incidence; Life Expectancy; Male; Middle Aged; Neoplasms/diagnosis/*epidemiology/mortality; Prevalence; Prognosis; Risk Factors; Sex Distribution; Sex Factors; Time Factors; Young Adult&lt;/_keywords&gt;&lt;_language&gt;eng&lt;/_language&gt;&lt;_modified&gt;62568545&lt;/_modified&gt;&lt;_pages&gt;505-27&lt;/_pages&gt;&lt;_tertiary_title&gt;JAMA oncology&lt;/_tertiary_title&gt;&lt;_type_work&gt;Journal Article; Research Support, N.I.H., Extramural; Research Support, Non-U.S. Gov&amp;apos;t; Video-Audio Media&lt;/_type_work&gt;&lt;_url&gt;http://www.ncbi.nlm.nih.gov/entrez/query.fcgi?cmd=Retrieve&amp;amp;db=pubmed&amp;amp;dopt=Abstract&amp;amp;list_uids=26181261&amp;amp;query_hl=1&lt;/_url&gt;&lt;_volume&gt;1&lt;/_volume&gt;&lt;/Details&gt;&lt;Extra&gt;&lt;DBUID&gt;{D047F0F8-9D2B-410D-A235-89035676B7E9}&lt;/DBUID&gt;&lt;/Extra&gt;&lt;/Item&gt;&lt;/References&gt;&lt;/Group&gt;&lt;/Citation&gt;_x000a_"/>
    <w:docVar w:name="NE.Ref{72D23145-203C-4F7D-B798-0CF7045396A7}" w:val=" ADDIN NE.Ref.{72D23145-203C-4F7D-B798-0CF7045396A7}&lt;Citation&gt;&lt;Group&gt;&lt;References&gt;&lt;Item&gt;&lt;ID&gt;402&lt;/ID&gt;&lt;UID&gt;{8C9B7275-3DB9-46DD-A120-58375B04530D}&lt;/UID&gt;&lt;Title&gt;The tumor lysis syndrome&lt;/Title&gt;&lt;Template&gt;Journal Article&lt;/Template&gt;&lt;Star&gt;0&lt;/Star&gt;&lt;Tag&gt;0&lt;/Tag&gt;&lt;Author&gt;Howard, S C; Jones, D P; Pui, C H&lt;/Author&gt;&lt;Year&gt;2011&lt;/Year&gt;&lt;Details&gt;&lt;_accession_num&gt;21561350&lt;/_accession_num&gt;&lt;_author_adr&gt;Department of Oncology and International Outreach Program, St. Jude Children&amp;apos;s Research Hospital, Memphis, TN 38105-2794, USA. scott.howard@stjude.org&lt;/_author_adr&gt;&lt;_created&gt;62568545&lt;/_created&gt;&lt;_date&gt;2011-05-12&lt;/_date&gt;&lt;_date_display&gt;2011 May 12&lt;/_date_display&gt;&lt;_doi&gt;10.1056/NEJMra0904569&lt;/_doi&gt;&lt;_impact_factor&gt;  70.670&lt;/_impact_factor&gt;&lt;_isbn&gt;1533-4406 (Electronic); 0028-4793 (Linking)&lt;/_isbn&gt;&lt;_issue&gt;19&lt;/_issue&gt;&lt;_journal&gt;N Engl J Med&lt;/_journal&gt;&lt;_keywords&gt;Acute Kidney Injury/etiology/therapy; Child; Humans; Male; Risk Assessment; Tumor Lysis Syndrome/complications/physiopathology/prevention &amp;amp;amp; control/*therapy&lt;/_keywords&gt;&lt;_language&gt;eng&lt;/_language&gt;&lt;_modified&gt;62568545&lt;/_modified&gt;&lt;_pages&gt;1844-54&lt;/_pages&gt;&lt;_tertiary_title&gt;The New England journal of medicine&lt;/_tertiary_title&gt;&lt;_type_work&gt;Case Reports; Journal Article; Research Support, N.I.H., Extramural; Research Support, Non-U.S. Gov&amp;apos;t; Review&lt;/_type_work&gt;&lt;_url&gt;http://www.ncbi.nlm.nih.gov/entrez/query.fcgi?cmd=Retrieve&amp;amp;db=pubmed&amp;amp;dopt=Abstract&amp;amp;list_uids=21561350&amp;amp;query_hl=1&lt;/_url&gt;&lt;_volume&gt;364&lt;/_volume&gt;&lt;/Details&gt;&lt;Extra&gt;&lt;DBUID&gt;{D047F0F8-9D2B-410D-A235-89035676B7E9}&lt;/DBUID&gt;&lt;/Extra&gt;&lt;/Item&gt;&lt;/References&gt;&lt;/Group&gt;&lt;/Citation&gt;_x000a_"/>
    <w:docVar w:name="NE.Ref{744AD8C8-826A-4197-BEF3-62E95CAF33D4}" w:val=" ADDIN NE.Ref.{744AD8C8-826A-4197-BEF3-62E95CAF33D4}&lt;Citation&gt;&lt;Group&gt;&lt;References&gt;&lt;Item&gt;&lt;ID&gt;414&lt;/ID&gt;&lt;UID&gt;{998025EF-68BB-4594-8B43-32B8DC75AFA0}&lt;/UID&gt;&lt;Title&gt;Dynamic Patterns of serum metabolites in fulminant hepatic failure pigs&lt;/Title&gt;&lt;Template&gt;Journal Article&lt;/Template&gt;&lt;Star&gt;0&lt;/Star&gt;&lt;Tag&gt;0&lt;/Tag&gt;&lt;Author&gt;Zhou, Pengcheng; Li, Jianzhou; Shao, Li; Lv, Guoliang; Zhao, Lifu; Huang, Haijun; Zhang, Anye; Pan, Xiaoping; Liu, Wei; Xie, Qing; Chen, Deying; Guo, Yongzheng; Hao, Shaorui; Xu, Wei; Li, Lanjuan&lt;/Author&gt;&lt;Year&gt;2012&lt;/Year&gt;&lt;Details&gt;&lt;_alternate_title&gt;Metabolomics&lt;/_alternate_title&gt;&lt;_collection_scope&gt;SCIE;&lt;/_collection_scope&gt;&lt;_created&gt;62568545&lt;/_created&gt;&lt;_date&gt;2012-01-01&lt;/_date&gt;&lt;_date_display&gt;2012&lt;/_date_display&gt;&lt;_doi&gt;10.1007/s11306-011-0381-5&lt;/_doi&gt;&lt;_impact_factor&gt;   3.167&lt;/_impact_factor&gt;&lt;_isbn&gt;1573-3890&lt;/_isbn&gt;&lt;_issue&gt;5&lt;/_issue&gt;&lt;_journal&gt;Metabolomics&lt;/_journal&gt;&lt;_modified&gt;62573562&lt;/_modified&gt;&lt;_number&gt;Zhou2012&lt;/_number&gt;&lt;_pages&gt;869-879&lt;/_pages&gt;&lt;_url&gt;https://doi.org/10.1007/s11306-011-0381-5&lt;/_url&gt;&lt;_volume&gt;8&lt;/_volume&gt;&lt;/Details&gt;&lt;Extra&gt;&lt;DBUID&gt;{D047F0F8-9D2B-410D-A235-89035676B7E9}&lt;/DBUID&gt;&lt;/Extra&gt;&lt;/Item&gt;&lt;/References&gt;&lt;/Group&gt;&lt;Group&gt;&lt;References&gt;&lt;Item&gt;&lt;ID&gt;537&lt;/ID&gt;&lt;UID&gt;{CABB9799-CC84-455A-A721-8285133488CD}&lt;/UID&gt;&lt;Title&gt;Diagnosis of Clostridium difficile infection using an UPLC-MS based metabolomics method&lt;/Title&gt;&lt;Template&gt;Journal Article&lt;/Template&gt;&lt;Star&gt;0&lt;/Star&gt;&lt;Tag&gt;0&lt;/Tag&gt;&lt;Author&gt;Zhou, Pengcheng; Zhou, Ning; Shao, Li; Li, Jianzhou; Liu, Sidi; Meng, Xiujuan; Duan, Juping; Xiong, Xinrui; Huang, Xun; Chen, Yuhua; Fan, Xuegong; Zheng, Yixiang; Ma, Shujuan; Li, Chunhui; Wu, Anhua&lt;/Author&gt;&lt;Year&gt;2018&lt;/Year&gt;&lt;Details&gt;&lt;_accession_num&gt;WOS:000439523400002&lt;/_accession_num&gt;&lt;_cited_count&gt;0&lt;/_cited_count&gt;&lt;_collection_scope&gt;SCIE;&lt;/_collection_scope&gt;&lt;_created&gt;62573592&lt;/_created&gt;&lt;_date_display&gt;2018, AUG 2018&lt;/_date_display&gt;&lt;_db_provider&gt;ISI&lt;/_db_provider&gt;&lt;_db_updated&gt;Web of Science-All&lt;/_db_updated&gt;&lt;_doi&gt;10.1007/s11306-018-1397-x&lt;/_doi&gt;&lt;_impact_factor&gt;   3.167&lt;/_impact_factor&gt;&lt;_isbn&gt;1573-3882&lt;/_isbn&gt;&lt;_issue&gt;1028&lt;/_issue&gt;&lt;_journal&gt;METABOLOMICS&lt;/_journal&gt;&lt;_modified&gt;62573595&lt;/_modified&gt;&lt;_url&gt;http://gateway.isiknowledge.com/gateway/Gateway.cgi?GWVersion=2&amp;amp;SrcAuth=AegeanSoftware&amp;amp;SrcApp=NoteExpress&amp;amp;DestLinkType=FullRecord&amp;amp;DestApp=WOS&amp;amp;KeyUT=000439523400002&lt;/_url&gt;&lt;_volume&gt;14&lt;/_volume&gt;&lt;/Details&gt;&lt;Extra&gt;&lt;DBUID&gt;{D047F0F8-9D2B-410D-A235-89035676B7E9}&lt;/DBUID&gt;&lt;/Extra&gt;&lt;/Item&gt;&lt;/References&gt;&lt;/Group&gt;&lt;/Citation&gt;_x000a_"/>
    <w:docVar w:name="NE.Ref{765A4A9E-C13E-44FE-B6B9-D3BF5495361D}" w:val=" ADDIN NE.Ref.{765A4A9E-C13E-44FE-B6B9-D3BF5495361D}&lt;Citation&gt;&lt;Group&gt;&lt;References&gt;&lt;Item&gt;&lt;ID&gt;407&lt;/ID&gt;&lt;UID&gt;{B58F97AB-424F-4ED1-8B16-0C118E2A289F}&lt;/UID&gt;&lt;Title&gt;Dynamic changes of plasma metabolites in pigs with GalN-induced acute liver failure using GC-MS and UPLC-MS&lt;/Title&gt;&lt;Template&gt;Journal Article&lt;/Template&gt;&lt;Star&gt;0&lt;/Star&gt;&lt;Tag&gt;0&lt;/Tag&gt;&lt;Author&gt;Chen, E; Lu, J; Chen, D; Zhu, D; Wang, Y; Zhang, Y; Zhou, N; Wang, J; Li, J; Li, L&lt;/Author&gt;&lt;Year&gt;2017&lt;/Year&gt;&lt;Details&gt;&lt;_accession_num&gt;28668767&lt;/_accession_num&gt;&lt;_author_adr&gt;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State Key Laboratory for Diagnosis and Treatment of Infectious Diseases, Collaborative Innovation Center for Diagnosis and Treatment of Infectious Diseases, The First Affiliated Hospital, School of Medicine, Zhejiang University, Hangzhou 310003, China. Electronic address: ljli@zju.edu.cn.&lt;/_author_adr&gt;&lt;_collection_scope&gt;SCI;SCIE;&lt;/_collection_scope&gt;&lt;_created&gt;62568545&lt;/_created&gt;&lt;_date&gt;2017-09-01&lt;/_date&gt;&lt;_date_display&gt;2017 Sep&lt;/_date_display&gt;&lt;_doi&gt;10.1016/j.biopha.2017.06.049&lt;/_doi&gt;&lt;_impact_factor&gt;   3.743&lt;/_impact_factor&gt;&lt;_isbn&gt;1950-6007 (Electronic); 0753-3322 (Linking)&lt;/_isbn&gt;&lt;_journal&gt;Biomed Pharmacother&lt;/_journal&gt;&lt;_keywords&gt;Acute liver failure; Biomarkers; GC-MS; Metabolomics; UPLC-MS&lt;/_keywords&gt;&lt;_language&gt;eng&lt;/_language&gt;&lt;_modified&gt;62572964&lt;/_modified&gt;&lt;_ori_publication&gt;Copyright (c) 2017 Elsevier Masson SAS. All rights reserved.&lt;/_ori_publication&gt;&lt;_pages&gt;480-489&lt;/_pages&gt;&lt;_tertiary_title&gt;Biomedicine &amp;amp;amp; pharmacotherapy = Biomedecine &amp;amp;amp; pharmacotherapie&lt;/_tertiary_title&gt;&lt;_type_work&gt;Journal Article&lt;/_type_work&gt;&lt;_url&gt;http://www.ncbi.nlm.nih.gov/entrez/query.fcgi?cmd=Retrieve&amp;amp;db=pubmed&amp;amp;dopt=Abstract&amp;amp;list_uids=28668767&amp;amp;query_hl=1&lt;/_url&gt;&lt;_volume&gt;93&lt;/_volume&gt;&lt;/Details&gt;&lt;Extra&gt;&lt;DBUID&gt;{D047F0F8-9D2B-410D-A235-89035676B7E9}&lt;/DBUID&gt;&lt;/Extra&gt;&lt;/Item&gt;&lt;/References&gt;&lt;/Group&gt;&lt;/Citation&gt;_x000a_"/>
    <w:docVar w:name="NE.Ref{7E7996BC-2E2B-48FA-9B88-3D166C6BA517}" w:val=" ADDIN NE.Ref.{7E7996BC-2E2B-48FA-9B88-3D166C6BA517}&lt;Citation&gt;&lt;Group&gt;&lt;References&gt;&lt;Item&gt;&lt;ID&gt;404&lt;/ID&gt;&lt;UID&gt;{8E51CEC9-26B0-498C-8CAC-E7BAF488F34D}&lt;/UID&gt;&lt;Title&gt;Serum and urine metabolite profiling reveals potential biomarkers of human hepatocellular carcinoma&lt;/Title&gt;&lt;Template&gt;Journal Article&lt;/Template&gt;&lt;Star&gt;0&lt;/Star&gt;&lt;Tag&gt;0&lt;/Tag&gt;&lt;Author&gt;Chen, T; Xie, G; Wang, X; Fan, J; Qiu, Y; Zheng, X; Qi, X; Cao, Y; Su, M; Wang, X; Xu, L X; Yen, Y; Liu, P; Jia, W&lt;/Author&gt;&lt;Year&gt;2011&lt;/Year&gt;&lt;Details&gt;&lt;_accession_num&gt;21518826&lt;/_accession_num&gt;&lt;_author_adr&gt;Ministry of Education Key Laboratory of Systems Biomedicine, Shanghai Center for  Systems Biomedicine, Shanghai Jiao Tong University, Shanghai 200240, China.&lt;/_author_adr&gt;&lt;_collection_scope&gt;SCI;SCIE;&lt;/_collection_scope&gt;&lt;_created&gt;62568545&lt;/_created&gt;&lt;_date&gt;2011-07-01&lt;/_date&gt;&lt;_date_display&gt;2011 Jul&lt;/_date_display&gt;&lt;_doi&gt;10.1074/mcp.M110.004945&lt;/_doi&gt;&lt;_impact_factor&gt;   4.828&lt;/_impact_factor&gt;&lt;_isbn&gt;1535-9484 (Electronic); 1535-9476 (Linking)&lt;/_isbn&gt;&lt;_issue&gt;7&lt;/_issue&gt;&lt;_journal&gt;Mol Cell Proteomics&lt;/_journal&gt;&lt;_keywords&gt;Adolescent; Adult; Aged; Bile Acids and Salts/blood/urine; Biomarkers, Tumor/*blood/urine; Carcinoma, Hepatocellular/*blood/diagnosis/urine; Case-Control Studies; Female; Humans; Liver Neoplasms/*blood/diagnosis/urine; Male; *Metabolome; Middle Aged; Neoplasm Staging; Principal Component Analysis; Young Adult; alpha-Fetoproteins/metabolism/urine&lt;/_keywords&gt;&lt;_language&gt;eng&lt;/_language&gt;&lt;_modified&gt;62572932&lt;/_modified&gt;&lt;_pages&gt;M110.004945&lt;/_pages&gt;&lt;_tertiary_title&gt;Molecular &amp;amp;amp; cellular proteomics : MCP&lt;/_tertiary_title&gt;&lt;_type_work&gt;Journal Article; Research Support, Non-U.S. Gov&amp;apos;t&lt;/_type_work&gt;&lt;_url&gt;http://www.ncbi.nlm.nih.gov/entrez/query.fcgi?cmd=Retrieve&amp;amp;db=pubmed&amp;amp;dopt=Abstract&amp;amp;list_uids=21518826&amp;amp;query_hl=1&lt;/_url&gt;&lt;_volume&gt;10&lt;/_volume&gt;&lt;/Details&gt;&lt;Extra&gt;&lt;DBUID&gt;{D047F0F8-9D2B-410D-A235-89035676B7E9}&lt;/DBUID&gt;&lt;/Extra&gt;&lt;/Item&gt;&lt;/References&gt;&lt;/Group&gt;&lt;/Citation&gt;_x000a_"/>
    <w:docVar w:name="NE.Ref{82D7FA37-27E9-49BC-8F76-AF7CA311DFA9}" w:val=" ADDIN NE.Ref.{82D7FA37-27E9-49BC-8F76-AF7CA311DFA9}"/>
    <w:docVar w:name="NE.Ref{84BB12DE-8ED4-45F3-A0DD-7B5AE2B2AFC6}" w:val=" ADDIN NE.Ref.{84BB12DE-8ED4-45F3-A0DD-7B5AE2B2AFC6}&lt;Citation&gt;&lt;Group&gt;&lt;References&gt;&lt;Item&gt;&lt;ID&gt;412&lt;/ID&gt;&lt;UID&gt;{B5941F0B-62A5-4085-9A42-657179CD42D6}&lt;/UID&gt;&lt;Title&gt;Prospective validation of an immunohistochemical panel (glypican 3, heat shock protein 70 and glutamine synthetase) in liver biopsies for diagnosis of very early hepatocellular carcinoma&lt;/Title&gt;&lt;Template&gt;Journal Article&lt;/Template&gt;&lt;Star&gt;0&lt;/Star&gt;&lt;Tag&gt;0&lt;/Tag&gt;&lt;Author&gt;Tremosini, S; Forner, A; Boix, L; Vilana, R; Bianchi, L; Reig, M; Rimola, J; Rodriguez-Lope, C; Ayuso, C; Sole, M; Bruix, J&lt;/Author&gt;&lt;Year&gt;2012&lt;/Year&gt;&lt;Details&gt;&lt;_accession_num&gt;22287594&lt;/_accession_num&gt;&lt;_author_adr&gt;Liver Unit, Barcelona Clinic Liver Cancer (BCLC) Group, Hospital Clinic Barcelona, IDIBAPS, University of Barcelona, Spain.&lt;/_author_adr&gt;&lt;_collection_scope&gt;SCI;SCIE;&lt;/_collection_scope&gt;&lt;_created&gt;62568545&lt;/_created&gt;&lt;_date&gt;2012-10-01&lt;/_date&gt;&lt;_date_display&gt;2012 Oct&lt;/_date_display&gt;&lt;_doi&gt;10.1136/gutjnl-2011-301862&lt;/_doi&gt;&lt;_impact_factor&gt;  17.943&lt;/_impact_factor&gt;&lt;_isbn&gt;1468-3288 (Electronic); 0017-5749 (Linking)&lt;/_isbn&gt;&lt;_issue&gt;10&lt;/_issue&gt;&lt;_journal&gt;Gut&lt;/_journal&gt;&lt;_keywords&gt;Aged; Biomarkers, Tumor/*metabolism; Biopsy, Fine-Needle; Carcinoma, Hepatocellular/*diagnosis/diagnostic imaging/metabolism; Early Detection of Cancer/*methods; Female; Glutamate-Ammonia Ligase/*metabolism; Glypicans/*metabolism; HSP70 Heat-Shock Proteins/*metabolism; Humans; Liver/diagnostic imaging/metabolism/pathology; Liver Neoplasms/*diagnosis/diagnostic imaging/metabolism; Male; Middle Aged; Prospective Studies; Sensitivity and Specificity; Ultrasonography&lt;/_keywords&gt;&lt;_language&gt;eng&lt;/_language&gt;&lt;_modified&gt;62568545&lt;/_modified&gt;&lt;_pages&gt;1481-7&lt;/_pages&gt;&lt;_tertiary_title&gt;Gut&lt;/_tertiary_title&gt;&lt;_type_work&gt;Journal Article; Research Support, Non-U.S. Gov&amp;apos;t; Validation Studies&lt;/_type_work&gt;&lt;_url&gt;http://www.ncbi.nlm.nih.gov/entrez/query.fcgi?cmd=Retrieve&amp;amp;db=pubmed&amp;amp;dopt=Abstract&amp;amp;list_uids=22287594&amp;amp;query_hl=1&lt;/_url&gt;&lt;_volume&gt;61&lt;/_volume&gt;&lt;/Details&gt;&lt;Extra&gt;&lt;DBUID&gt;{D047F0F8-9D2B-410D-A235-89035676B7E9}&lt;/DBUID&gt;&lt;/Extra&gt;&lt;/Item&gt;&lt;/References&gt;&lt;/Group&gt;&lt;/Citation&gt;_x000a_"/>
    <w:docVar w:name="NE.Ref{8A0E096C-3F8A-497E-ABD7-9A6D382BB074}" w:val=" ADDIN NE.Ref.{8A0E096C-3F8A-497E-ABD7-9A6D382BB074}&lt;Citation&gt;&lt;Group&gt;&lt;References&gt;&lt;Item&gt;&lt;ID&gt;413&lt;/ID&gt;&lt;UID&gt;{BE4B7DDA-4ADB-42BB-8AD5-CBED942D61E1}&lt;/UID&gt;&lt;Title&gt;Glutamine addiction: a new therapeutic target in cancer&lt;/Title&gt;&lt;Template&gt;Journal Article&lt;/Template&gt;&lt;Star&gt;0&lt;/Star&gt;&lt;Tag&gt;0&lt;/Tag&gt;&lt;Author&gt;Wise, D R; Thompson, C B&lt;/Author&gt;&lt;Year&gt;2010&lt;/Year&gt;&lt;Details&gt;&lt;_accession_num&gt;20570523&lt;/_accession_num&gt;&lt;_author_adr&gt;Department of Cancer Biology, Abramson Cancer Center, University of Pennsylvania, Room 450, BRB II/III, 421 Curie Boulevard, Philadelphia, PA 19104-6160, USA.&lt;/_author_adr&gt;&lt;_collection_scope&gt;SCI;SCIE;&lt;/_collection_scope&gt;&lt;_created&gt;62568545&lt;/_created&gt;&lt;_date&gt;2010-08-01&lt;/_date&gt;&lt;_date_display&gt;2010 Aug&lt;/_date_display&gt;&lt;_doi&gt;10.1016/j.tibs.2010.05.003&lt;/_doi&gt;&lt;_impact_factor&gt;  16.889&lt;/_impact_factor&gt;&lt;_isbn&gt;0968-0004 (Print); 0968-0004 (Linking)&lt;/_isbn&gt;&lt;_issue&gt;8&lt;/_issue&gt;&lt;_journal&gt;Trends Biochem Sci&lt;/_journal&gt;&lt;_keywords&gt;Animals; Glutamine/antagonists &amp;amp;amp; inhibitors/blood/*metabolism; Humans; Mitochondria/metabolism; *Molecular Targeted Therapy; NADP/metabolism; Neoplasms/*drug therapy/*metabolism/pathology; Nucleotides/metabolism; Protein Biosynthesis; TOR Serine-Threonine Kinases/metabolism&lt;/_keywords&gt;&lt;_language&gt;eng&lt;/_language&gt;&lt;_modified&gt;62629668&lt;/_modified&gt;&lt;_ori_publication&gt;Copyright 2010 Elsevier Ltd. All rights reserved.&lt;/_ori_publication&gt;&lt;_pages&gt;427-33&lt;/_pages&gt;&lt;_tertiary_title&gt;Trends in biochemical sciences&lt;/_tertiary_title&gt;&lt;_type_work&gt;Journal Article; Research Support, N.I.H., Extramural; Review&lt;/_type_work&gt;&lt;_url&gt;http://www.ncbi.nlm.nih.gov/entrez/query.fcgi?cmd=Retrieve&amp;amp;db=pubmed&amp;amp;dopt=Abstract&amp;amp;list_uids=20570523&amp;amp;query_hl=1&lt;/_url&gt;&lt;_volume&gt;35&lt;/_volume&gt;&lt;/Details&gt;&lt;Extra&gt;&lt;DBUID&gt;{D047F0F8-9D2B-410D-A235-89035676B7E9}&lt;/DBUID&gt;&lt;/Extra&gt;&lt;/Item&gt;&lt;/References&gt;&lt;/Group&gt;&lt;/Citation&gt;_x000a_"/>
    <w:docVar w:name="NE.Ref{91CA395C-934F-4D0A-A97C-C464565778FE}" w:val=" ADDIN NE.Ref.{91CA395C-934F-4D0A-A97C-C464565778FE}&lt;Citation&gt;&lt;Group&gt;&lt;References&gt;&lt;Item&gt;&lt;ID&gt;411&lt;/ID&gt;&lt;UID&gt;{EBC11BAB-B3B2-45B5-8BD1-E1B20336EF42}&lt;/UID&gt;&lt;Title&gt;Alterations of the human gut microbiome in liver cirrhosis&lt;/Title&gt;&lt;Template&gt;Journal Article&lt;/Template&gt;&lt;Star&gt;0&lt;/Star&gt;&lt;Tag&gt;0&lt;/Tag&gt;&lt;Author&gt;Qin, N; Yang, F; Li, A; Prifti, E; Chen, Y; Shao, L; Guo, J; Le Chatelier, E; Yao, J; Wu, L; Zhou, J; Ni, S; Liu, L; Pons, N; Batto, J M; Kennedy, S P; Leonard, P; Yuan, C; Ding, W; Chen, Y; Hu, X; Zheng, B; Qian, G; Xu, W; Ehrlich, S D; Zheng, S; Li, L&lt;/Author&gt;&lt;Year&gt;2014&lt;/Year&gt;&lt;Details&gt;&lt;_accession_num&gt;25079328&lt;/_accession_num&gt;&lt;_author_adr&gt;1] State Key Laboratory for Diagnosis and Treatment of Infectious Disease, The First Affiliated Hospital, College of Medicine, Zhejiang University, 310003 Hangzhou, China [2] Collaborative Innovation Center for Diagnosis and Treatment of Infectious Diseases, Zhejiang University, 310003 Hangzhou, China [3].; 1] State Key Laboratory for Diagnosis and Treatment of Infectious Disease, The First Affiliated Hospital, College of Medicine, Zhejiang University, 310003 Hangzhou, China [2].; 1] State Key Laboratory for Diagnosis and Treatment of Infectious Disease, The First Affiliated Hospital, College of Medicine, Zhejiang University, 310003 Hangzhou, China [2].; 1] Metagenopolis, Institut National de la Recherche Agronomique, 78350 Jouy en Josas, France [2].; 1] State Key Laboratory for Diagnosis and Treatment of Infectious Disease, The First Affiliated Hospital, College of Medicine, Zhejiang University, 310003 Hangzhou, China [2].; 1] State Key Laboratory for Diagnosis and Treatment of Infectious Disease, The First Affiliated Hospital, College of Medicine, Zhejiang University, 310003 Hangzhou, China [2] Collaborative Innovation Center for Diagnosis and Treatment of Infectious Diseases, Zhejiang University, 310003 Hangzhou, China [3].; State Key Laboratory for Diagnosis and Treatment of Infectious Disease, The First Affiliated Hospital, College of Medicine, Zhejiang University, 310003 Hangzhou, China.; Metagenopolis, Institut National de la Recherche Agronomique, 78350 Jouy en Josas, France.; 1] State Key Laboratory for Diagnosis and Treatment of Infectious Disease, The First Affiliated Hospital, College of Medicine, Zhejiang University, 310003 Hangzhou, China [2] Collaborative Innovation Center for Diagnosis and Treatment of Infectious Diseases,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Metagenopolis, Institut National de la Recherche Agronomique, 78350 Jouy en Josas, France.; Metagenopolis, Institut National de la Recherche Agronomique, 78350 Jouy en Josas, France.; Metagenopolis, Institut National de la Recherche Agronomique, 78350 Jouy en Josas, France.; Metagenopolis, Institut National de la Recherche Agronomique, 78350 Jouy en Josas, France.;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1] State Key Laboratory for Diagnosis and Treatment of Infectious Disease, The First Affiliated Hospital, College of Medicine, Zhejiang University, 310003 Hangzhou, China [2] Collaborative Innovation Center for Diagnosis and Treatment of Infectious Diseases, Zhejiang University, 310003 Hangzhou, China.; State Key Laboratory for Diagnosis and Treatment of Infectious Disease, The First Affiliated Hospital, College of Medicine, Zhejiang University, 310003 Hangzhou, China.; State Key Laboratory for Diagnosis and Treatment of Infectious Disease, The First Affiliated Hospital, College of Medicine, Zhejiang University, 310003 Hangzhou, China.; 1] Metagenopolis, Institut National de la Recherche Agronomique, 78350 Jouy en Josas, France [2] King&amp;apos;s College London, Centre for Host-Microbiome Interactions, Dental Institute Central Office, Guy&amp;apos;s Hospital, London Bridge, London SE1 9RT, UK.; 1] Collaborative Innovation Center for Diagnosis and Treatment of Infectious Diseases, Zhejiang University, 310003 Hangzhou, China [2] Key Laboratory of Combined Multi-organ Transplantation, Ministry of Public Health, the First Affiliated Hospital, Zhejiang University, 310003 Hangzhou, China.; 1] State Key Laboratory for Diagnosis and Treatment of Infectious Disease, The First Affiliated Hospital, College of Medicine, Zhejiang University, 310003 Hangzhou, China [2] Collaborative Innovation Center for Diagnosis and Treatment of Infectious Diseases, Zhejiang University, 310003 Hangzhou, China.&lt;/_author_adr&gt;&lt;_collection_scope&gt;SCI;SCIE;&lt;/_collection_scope&gt;&lt;_created&gt;62568545&lt;/_created&gt;&lt;_date&gt;2014-09-04&lt;/_date&gt;&lt;_date_display&gt;2014 Sep 4&lt;/_date_display&gt;&lt;_doi&gt;10.1038/nature13568&lt;/_doi&gt;&lt;_impact_factor&gt;  43.070&lt;/_impact_factor&gt;&lt;_isbn&gt;1476-4687 (Electronic); 0028-0836 (Linking)&lt;/_isbn&gt;&lt;_issue&gt;7516&lt;/_issue&gt;&lt;_journal&gt;Nature&lt;/_journal&gt;&lt;_keywords&gt;Case-Control Studies; Chronic Disease; Diabetes Mellitus, Type 2/microbiology; Feces/microbiology; Gastrointestinal Tract/*microbiology; Genetic Markers/genetics; Health; Humans; Inflammatory Bowel Diseases/microbiology; Liver Cirrhosis/*diagnosis/*microbiology; *Metagenomics; Microbiota/*genetics/*physiology; Mouth/microbiology; Phylogeny; Reproducibility of Results&lt;/_keywords&gt;&lt;_language&gt;eng&lt;/_language&gt;&lt;_modified&gt;62572977&lt;/_modified&gt;&lt;_pages&gt;59-64&lt;/_pages&gt;&lt;_tertiary_title&gt;Nature&lt;/_tertiary_title&gt;&lt;_type_work&gt;Journal Article; Research Support, Non-U.S. Gov&amp;apos;t&lt;/_type_work&gt;&lt;_url&gt;http://www.ncbi.nlm.nih.gov/entrez/query.fcgi?cmd=Retrieve&amp;amp;db=pubmed&amp;amp;dopt=Abstract&amp;amp;list_uids=25079328&amp;amp;query_hl=1&lt;/_url&gt;&lt;_volume&gt;513&lt;/_volume&gt;&lt;/Details&gt;&lt;Extra&gt;&lt;DBUID&gt;{D047F0F8-9D2B-410D-A235-89035676B7E9}&lt;/DBUID&gt;&lt;/Extra&gt;&lt;/Item&gt;&lt;/References&gt;&lt;/Group&gt;&lt;/Citation&gt;_x000a_"/>
    <w:docVar w:name="NE.Ref{95B1A152-8EF4-4666-B0CC-5CD19CBA839B}" w:val=" ADDIN NE.Ref.{95B1A152-8EF4-4666-B0CC-5CD19CBA839B}&lt;Citation&gt;&lt;Group&gt;&lt;References&gt;&lt;Item&gt;&lt;ID&gt;409&lt;/ID&gt;&lt;UID&gt;{C6C77451-D95A-43D3-A0AB-AA0A5F85D44F}&lt;/UID&gt;&lt;Title&gt;Prediction of platinum-based chemotherapy efficacy in lung cancer based on LC-MS  metabolomics approach&lt;/Title&gt;&lt;Template&gt;Journal Article&lt;/Template&gt;&lt;Star&gt;0&lt;/Star&gt;&lt;Tag&gt;0&lt;/Tag&gt;&lt;Author&gt;Peng, F; Liu, Y; He, C; Kong, Y; Ouyang, Q; Xie, X; Liu, T; Liu, Z; Peng, J&lt;/Author&gt;&lt;Year&gt;2018&lt;/Year&gt;&lt;Details&gt;&lt;_accession_num&gt;29544107&lt;/_accession_num&gt;&lt;_author_adr&gt;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Hunan Provincial Tumor Hospital, The Affiliated Tumor Hospital of Xiangya Medical School of Central South University, Changsha, Hunan, 410013, PR China.; 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Department of Clinical Pharmacology, Xiangya Hospital, Central South University,  410078, Changsha, PR China; Institute of Clinical Pharmacology, Hunan Key Laboratory of Pharmacogenetics, Central South University, Changsha, Hunan, 410078, PR China. Electronic address: jingbopeng@csu.edu.cn.&lt;/_author_adr&gt;&lt;_created&gt;62568545&lt;/_created&gt;&lt;_date&gt;2018-02-23&lt;/_date&gt;&lt;_date_display&gt;2018 Feb 23&lt;/_date_display&gt;&lt;_doi&gt;10.1016/j.jpba.2018.02.051&lt;/_doi&gt;&lt;_impact_factor&gt;   2.983&lt;/_impact_factor&gt;&lt;_isbn&gt;1873-264X (Electronic); 0731-7085 (Linking)&lt;/_isbn&gt;&lt;_journal&gt;J Pharm Biomed Anal&lt;/_journal&gt;&lt;_keywords&gt;Biomarker; Chemotherapy efficacy; LC-MS; Lung cancer; Metabolomics; Platinum&lt;/_keywords&gt;&lt;_language&gt;eng&lt;/_language&gt;&lt;_modified&gt;62629687&lt;/_modified&gt;&lt;_ori_publication&gt;Copyright (c) 2018 Elsevier B.V. All rights reserved.&lt;/_ori_publication&gt;&lt;_pages&gt;95-101&lt;/_pages&gt;&lt;_tertiary_title&gt;Journal of pharmaceutical and biomedical analysis&lt;/_tertiary_title&gt;&lt;_type_work&gt;Journal Article&lt;/_type_work&gt;&lt;_url&gt;http://www.ncbi.nlm.nih.gov/entrez/query.fcgi?cmd=Retrieve&amp;amp;db=pubmed&amp;amp;dopt=Abstract&amp;amp;list_uids=29544107&amp;amp;query_hl=1&lt;/_url&gt;&lt;_volume&gt;154&lt;/_volume&gt;&lt;/Details&gt;&lt;Extra&gt;&lt;DBUID&gt;{D047F0F8-9D2B-410D-A235-89035676B7E9}&lt;/DBUID&gt;&lt;/Extra&gt;&lt;/Item&gt;&lt;/References&gt;&lt;/Group&gt;&lt;Group&gt;&lt;References&gt;&lt;Item&gt;&lt;ID&gt;394&lt;/ID&gt;&lt;UID&gt;{BD7B935A-4F86-4B23-AA56-C32A6D8DED90}&lt;/UID&gt;&lt;Title&gt;Efficacy of Fluidized Bed Bioartificial Liver in Treating Fulminant Hepatic Failure in Pigs: A Metabolomics Study&lt;/Title&gt;&lt;Template&gt;Journal Article&lt;/Template&gt;&lt;Star&gt;0&lt;/Star&gt;&lt;Tag&gt;0&lt;/Tag&gt;&lt;Author&gt;Zhou, P; Shao, L; Zhao, L; Lv, G; Pan, X; Zhang, A; Li, J; Zhou, N; Chen, D; Li, L&lt;/Author&gt;&lt;Year&gt;2016&lt;/Year&gt;&lt;Details&gt;&lt;_accession_num&gt;27194381&lt;/_accession_num&gt;&lt;_author_adr&gt;State Key Laboratory for Diagnosis and Treatment of Infectious Diseases, Collaborative Innovation Center for Diagnosis and Treatment of Infectious Diseases, The First Affiliated Hospital, School of Medicine, Zhejiang University, Hangzhou, Zhejiang 310003, P.R. China.; Xiangya Hospital, Central South University, Changsha, Hunan 410008,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lt;/_author_adr&gt;&lt;_created&gt;62568545&lt;/_created&gt;&lt;_date&gt;2016-05-19&lt;/_date&gt;&lt;_date_display&gt;2016 May 19&lt;/_date_display&gt;&lt;_doi&gt;10.1038/srep26070&lt;/_doi&gt;&lt;_impact_factor&gt;   4.011&lt;/_impact_factor&gt;&lt;_isbn&gt;2045-2322 (Electronic); 2045-2322 (Linking)&lt;/_isbn&gt;&lt;_journal&gt;Sci Rep&lt;/_journal&gt;&lt;_keywords&gt;Animals; Cell Transplantation/adverse effects/*methods; Cells, Immobilized/metabolism; Chromatography, Liquid; Disease Models, Animal; Liver Failure, Acute/chemically induced/*therapy; *Liver, Artificial; Mass Spectrometry; *Metabolomics; Serum/chemistry; Survival Analysis; Swine; Treatment Outcome&lt;/_keywords&gt;&lt;_language&gt;eng&lt;/_language&gt;&lt;_modified&gt;62629675&lt;/_modified&gt;&lt;_pages&gt;26070&lt;/_pages&gt;&lt;_tertiary_title&gt;Scientific reports&lt;/_tertiary_title&gt;&lt;_type_work&gt;Journal Article; Research Support, Non-U.S. Gov&amp;apos;t&lt;/_type_work&gt;&lt;_url&gt;http://www.ncbi.nlm.nih.gov/entrez/query.fcgi?cmd=Retrieve&amp;amp;db=pubmed&amp;amp;dopt=Abstract&amp;amp;list_uids=27194381&amp;amp;query_hl=1&lt;/_url&gt;&lt;_volume&gt;6&lt;/_volume&gt;&lt;/Details&gt;&lt;Extra&gt;&lt;DBUID&gt;{D047F0F8-9D2B-410D-A235-89035676B7E9}&lt;/DBUID&gt;&lt;/Extra&gt;&lt;/Item&gt;&lt;/References&gt;&lt;/Group&gt;&lt;/Citation&gt;_x000a_"/>
    <w:docVar w:name="NE.Ref{A02C18E8-9753-4E5F-89DC-1700032A771C}" w:val=" ADDIN NE.Ref.{A02C18E8-9753-4E5F-89DC-1700032A771C}&lt;Citation&gt;&lt;Group&gt;&lt;References&gt;&lt;Item&gt;&lt;ID&gt;404&lt;/ID&gt;&lt;UID&gt;{8E51CEC9-26B0-498C-8CAC-E7BAF488F34D}&lt;/UID&gt;&lt;Title&gt;Serum and urine metabolite profiling reveals potential biomarkers of human hepatocellular carcinoma&lt;/Title&gt;&lt;Template&gt;Journal Article&lt;/Template&gt;&lt;Star&gt;0&lt;/Star&gt;&lt;Tag&gt;0&lt;/Tag&gt;&lt;Author&gt;Chen, T; Xie, G; Wang, X; Fan, J; Qiu, Y; Zheng, X; Qi, X; Cao, Y; Su, M; Wang, X; Xu, L X; Yen, Y; Liu, P; Jia, W&lt;/Author&gt;&lt;Year&gt;2011&lt;/Year&gt;&lt;Details&gt;&lt;_accession_num&gt;21518826&lt;/_accession_num&gt;&lt;_author_adr&gt;Ministry of Education Key Laboratory of Systems Biomedicine, Shanghai Center for  Systems Biomedicine, Shanghai Jiao Tong University, Shanghai 200240, China.&lt;/_author_adr&gt;&lt;_collection_scope&gt;SCI;SCIE;&lt;/_collection_scope&gt;&lt;_created&gt;62568545&lt;/_created&gt;&lt;_date&gt;2011-07-01&lt;/_date&gt;&lt;_date_display&gt;2011 Jul&lt;/_date_display&gt;&lt;_doi&gt;10.1074/mcp.M110.004945&lt;/_doi&gt;&lt;_impact_factor&gt;   4.828&lt;/_impact_factor&gt;&lt;_isbn&gt;1535-9484 (Electronic); 1535-9476 (Linking)&lt;/_isbn&gt;&lt;_issue&gt;7&lt;/_issue&gt;&lt;_journal&gt;Mol Cell Proteomics&lt;/_journal&gt;&lt;_keywords&gt;Adolescent; Adult; Aged; Bile Acids and Salts/blood/urine; Biomarkers, Tumor/*blood/urine; Carcinoma, Hepatocellular/*blood/diagnosis/urine; Case-Control Studies; Female; Humans; Liver Neoplasms/*blood/diagnosis/urine; Male; *Metabolome; Middle Aged; Neoplasm Staging; Principal Component Analysis; Young Adult; alpha-Fetoproteins/metabolism/urine&lt;/_keywords&gt;&lt;_language&gt;eng&lt;/_language&gt;&lt;_modified&gt;62572932&lt;/_modified&gt;&lt;_pages&gt;M110.004945&lt;/_pages&gt;&lt;_tertiary_title&gt;Molecular &amp;amp;amp; cellular proteomics : MCP&lt;/_tertiary_title&gt;&lt;_type_work&gt;Journal Article; Research Support, Non-U.S. Gov&amp;apos;t&lt;/_type_work&gt;&lt;_url&gt;http://www.ncbi.nlm.nih.gov/entrez/query.fcgi?cmd=Retrieve&amp;amp;db=pubmed&amp;amp;dopt=Abstract&amp;amp;list_uids=21518826&amp;amp;query_hl=1&lt;/_url&gt;&lt;_volume&gt;10&lt;/_volume&gt;&lt;/Details&gt;&lt;Extra&gt;&lt;DBUID&gt;{D047F0F8-9D2B-410D-A235-89035676B7E9}&lt;/DBUID&gt;&lt;/Extra&gt;&lt;/Item&gt;&lt;/References&gt;&lt;/Group&gt;&lt;/Citation&gt;_x000a_"/>
    <w:docVar w:name="NE.Ref{A850874B-5F7F-4DFB-B498-AE06F85F5BE9}" w:val=" ADDIN NE.Ref.{A850874B-5F7F-4DFB-B498-AE06F85F5BE9}&lt;Citation&gt;&lt;Group&gt;&lt;References&gt;&lt;Item&gt;&lt;ID&gt;408&lt;/ID&gt;&lt;UID&gt;{07FEFA17-1A07-46F4-8790-772486FE5156}&lt;/UID&gt;&lt;Title&gt;Disease monitoring of hepatocellular carcinoma through metabolomics&lt;/Title&gt;&lt;Template&gt;Journal Article&lt;/Template&gt;&lt;Star&gt;0&lt;/Star&gt;&lt;Tag&gt;0&lt;/Tag&gt;&lt;Author&gt;Fitian, A I; Cabrera, R&lt;/Author&gt;&lt;Year&gt;2017&lt;/Year&gt;&lt;Details&gt;&lt;_accession_num&gt;28105254&lt;/_accession_num&gt;&lt;_author_adr&gt;Asem I Fitian, School of Medicine, Virginia Commonwealth University, Richmond, VA 23298, United States.; Asem I Fitian, School of Medicine, Virginia Commonwealth University, Richmond, VA 23298, United States.&lt;/_author_adr&gt;&lt;_created&gt;62568545&lt;/_created&gt;&lt;_date&gt;2017-01-08&lt;/_date&gt;&lt;_date_display&gt;2017 Jan 8&lt;/_date_display&gt;&lt;_doi&gt;10.4254/wjh.v9.i1.1&lt;/_doi&gt;&lt;_isbn&gt;1948-5182 (Print)&lt;/_isbn&gt;&lt;_issue&gt;1&lt;/_issue&gt;&lt;_journal&gt;World J Hepatol&lt;/_journal&gt;&lt;_keywords&gt;Biomarkers; Chromatography/mass spectrometry; Cirrhosis; Hepatocellular carcinoma; Metabolic profiling; Metabolomics; Noninvasive biomarkers&lt;/_keywords&gt;&lt;_language&gt;eng&lt;/_language&gt;&lt;_modified&gt;62572930&lt;/_modified&gt;&lt;_pages&gt;1-17&lt;/_pages&gt;&lt;_tertiary_title&gt;World journal of hepatology&lt;/_tertiary_title&gt;&lt;_type_work&gt;Journal Article; Review&lt;/_type_work&gt;&lt;_url&gt;http://www.ncbi.nlm.nih.gov/entrez/query.fcgi?cmd=Retrieve&amp;amp;db=pubmed&amp;amp;dopt=Abstract&amp;amp;list_uids=28105254&amp;amp;query_hl=1&lt;/_url&gt;&lt;_volume&gt;9&lt;/_volume&gt;&lt;/Details&gt;&lt;Extra&gt;&lt;DBUID&gt;{D047F0F8-9D2B-410D-A235-89035676B7E9}&lt;/DBUID&gt;&lt;/Extra&gt;&lt;/Item&gt;&lt;/References&gt;&lt;/Group&gt;&lt;/Citation&gt;_x000a_"/>
    <w:docVar w:name="NE.Ref{A8C44F64-A16F-47DE-8658-7D21E2996805}" w:val=" ADDIN NE.Ref.{A8C44F64-A16F-47DE-8658-7D21E2996805}&lt;Citation&gt;&lt;Group&gt;&lt;References&gt;&lt;Item&gt;&lt;ID&gt;394&lt;/ID&gt;&lt;UID&gt;{BD7B935A-4F86-4B23-AA56-C32A6D8DED90}&lt;/UID&gt;&lt;Title&gt;Efficacy of Fluidized Bed Bioartificial Liver in Treating Fulminant Hepatic Failure in Pigs: A Metabolomics Study&lt;/Title&gt;&lt;Template&gt;Journal Article&lt;/Template&gt;&lt;Star&gt;0&lt;/Star&gt;&lt;Tag&gt;0&lt;/Tag&gt;&lt;Author&gt;Zhou, P; Shao, L; Zhao, L; Lv, G; Pan, X; Zhang, A; Li, J; Zhou, N; Chen, D; Li, L&lt;/Author&gt;&lt;Year&gt;2016&lt;/Year&gt;&lt;Details&gt;&lt;_accession_num&gt;27194381&lt;/_accession_num&gt;&lt;_author_adr&gt;State Key Laboratory for Diagnosis and Treatment of Infectious Diseases, Collaborative Innovation Center for Diagnosis and Treatment of Infectious Diseases, The First Affiliated Hospital, School of Medicine, Zhejiang University, Hangzhou, Zhejiang 310003, P.R. China.; Xiangya Hospital, Central South University, Changsha, Hunan 410008,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lt;/_author_adr&gt;&lt;_created&gt;62568545&lt;/_created&gt;&lt;_date&gt;2016-05-19&lt;/_date&gt;&lt;_date_display&gt;2016 May 19&lt;/_date_display&gt;&lt;_doi&gt;10.1038/srep26070&lt;/_doi&gt;&lt;_impact_factor&gt;   4.011&lt;/_impact_factor&gt;&lt;_isbn&gt;2045-2322 (Electronic); 2045-2322 (Linking)&lt;/_isbn&gt;&lt;_journal&gt;Sci Rep&lt;/_journal&gt;&lt;_keywords&gt;Animals; Cell Transplantation/adverse effects/*methods; Cells, Immobilized/metabolism; Chromatography, Liquid; Disease Models, Animal; Liver Failure, Acute/chemically induced/*therapy; *Liver, Artificial; Mass Spectrometry; *Metabolomics; Serum/chemistry; Survival Analysis; Swine; Treatment Outcome&lt;/_keywords&gt;&lt;_language&gt;eng&lt;/_language&gt;&lt;_modified&gt;62629675&lt;/_modified&gt;&lt;_pages&gt;26070&lt;/_pages&gt;&lt;_tertiary_title&gt;Scientific reports&lt;/_tertiary_title&gt;&lt;_type_work&gt;Journal Article; Research Support, Non-U.S. Gov&amp;apos;t&lt;/_type_work&gt;&lt;_url&gt;http://www.ncbi.nlm.nih.gov/entrez/query.fcgi?cmd=Retrieve&amp;amp;db=pubmed&amp;amp;dopt=Abstract&amp;amp;list_uids=27194381&amp;amp;query_hl=1&lt;/_url&gt;&lt;_volume&gt;6&lt;/_volume&gt;&lt;/Details&gt;&lt;Extra&gt;&lt;DBUID&gt;{D047F0F8-9D2B-410D-A235-89035676B7E9}&lt;/DBUID&gt;&lt;/Extra&gt;&lt;/Item&gt;&lt;/References&gt;&lt;/Group&gt;&lt;/Citation&gt;_x000a_"/>
    <w:docVar w:name="NE.Ref{AE593851-E0B3-405F-BD9C-113C8401D648}" w:val=" ADDIN NE.Ref.{AE593851-E0B3-405F-BD9C-113C8401D648}&lt;Citation&gt;&lt;Group&gt;&lt;References&gt;&lt;Item&gt;&lt;ID&gt;414&lt;/ID&gt;&lt;UID&gt;{998025EF-68BB-4594-8B43-32B8DC75AFA0}&lt;/UID&gt;&lt;Title&gt;Dynamic Patterns of serum metabolites in fulminant hepatic failure pigs&lt;/Title&gt;&lt;Template&gt;Journal Article&lt;/Template&gt;&lt;Star&gt;0&lt;/Star&gt;&lt;Tag&gt;0&lt;/Tag&gt;&lt;Author&gt;Zhou, Pengcheng; Li, Jianzhou; Shao, Li; Lv, Guoliang; Zhao, Lifu; Huang, Haijun; Zhang, Anye; Pan, Xiaoping; Liu, Wei; Xie, Qing; Chen, Deying; Guo, Yongzheng; Hao, Shaorui; Xu, Wei; Li, Lanjuan&lt;/Author&gt;&lt;Year&gt;2012&lt;/Year&gt;&lt;Details&gt;&lt;_alternate_title&gt;Metabolomics&lt;/_alternate_title&gt;&lt;_collection_scope&gt;SCIE;&lt;/_collection_scope&gt;&lt;_created&gt;62568545&lt;/_created&gt;&lt;_date&gt;2012-01-01&lt;/_date&gt;&lt;_date_display&gt;2012&lt;/_date_display&gt;&lt;_doi&gt;10.1007/s11306-011-0381-5&lt;/_doi&gt;&lt;_impact_factor&gt;   3.167&lt;/_impact_factor&gt;&lt;_isbn&gt;1573-3890&lt;/_isbn&gt;&lt;_issue&gt;5&lt;/_issue&gt;&lt;_journal&gt;Metabolomics&lt;/_journal&gt;&lt;_modified&gt;62573562&lt;/_modified&gt;&lt;_number&gt;Zhou2012&lt;/_number&gt;&lt;_pages&gt;869-879&lt;/_pages&gt;&lt;_url&gt;https://doi.org/10.1007/s11306-011-0381-5&lt;/_url&gt;&lt;_volume&gt;8&lt;/_volume&gt;&lt;/Details&gt;&lt;Extra&gt;&lt;DBUID&gt;{D047F0F8-9D2B-410D-A235-89035676B7E9}&lt;/DBUID&gt;&lt;/Extra&gt;&lt;/Item&gt;&lt;/References&gt;&lt;/Group&gt;&lt;/Citation&gt;_x000a_"/>
    <w:docVar w:name="NE.Ref{B4FF6C26-3C81-4928-AE07-7B16E83BB058}" w:val=" ADDIN NE.Ref.{B4FF6C26-3C81-4928-AE07-7B16E83BB058}&lt;Citation&gt;&lt;Group&gt;&lt;References&gt;&lt;Item&gt;&lt;ID&gt;392&lt;/ID&gt;&lt;UID&gt;{3A79B2C1-71D3-41EF-94D1-8EC2902E0FDD}&lt;/UID&gt;&lt;Title&gt;Cancer statistics in China, 2015&lt;/Title&gt;&lt;Template&gt;Journal Article&lt;/Template&gt;&lt;Star&gt;0&lt;/Star&gt;&lt;Tag&gt;0&lt;/Tag&gt;&lt;Author&gt;Chen, W; Zheng, R; Baade, P D; Zhang, S; Zeng, H; Bray, F; Jemal, A; Yu, X Q; He, J&lt;/Author&gt;&lt;Year&gt;2016&lt;/Year&gt;&lt;Details&gt;&lt;_accession_num&gt;26808342&lt;/_accession_num&gt;&lt;_author_adr&gt;Deputy Director, National Office for Cancer Prevention and Control, National Cancer Center, Beijing, China.; Associate Researcher, National Office for Cancer Prevention and Control, National Cancer Center, Beijing, China.; Senior Research Fellow, Cancer Council Queensland, Brisbane, Queensland, Australia.; Associate Professor, National Office for Cancer Prevention and Control, National  Cancer Center, Beijing, China.; Associate Professor, National Office for Cancer Prevention and Control, National  Cancer Center, Beijing, China.; Head, Section of Cancer Surveillance, International Agency for Research on Cancer, Lyon, France.; Vice President, Surveillance and Health Services Research Program, American Cancer Society, Atlanta, GA.; Research Fellow, Cancer Council New South Wales, Sydney, New South Wales, Australia.; Adjunct Lecturer, Sydney School of Public Health, University of Sydney, Sydney, New South Wales, Australia.; Director, National Cancer Center, Beijing, China.&lt;/_author_adr&gt;&lt;_created&gt;62568545&lt;/_created&gt;&lt;_date&gt;2016-03-01&lt;/_date&gt;&lt;_date_display&gt;2016 Mar-Apr&lt;/_date_display&gt;&lt;_doi&gt;10.3322/caac.21338&lt;/_doi&gt;&lt;_impact_factor&gt; 223.679&lt;/_impact_factor&gt;&lt;_isbn&gt;1542-4863 (Electronic); 0007-9235 (Linking)&lt;/_isbn&gt;&lt;_issue&gt;2&lt;/_issue&gt;&lt;_journal&gt;CA Cancer J Clin&lt;/_journal&gt;&lt;_keywords&gt;Adult; Aged; China/epidemiology; Esophageal Neoplasms/epidemiology; Female; Humans; Incidence; Liver Neoplasms/epidemiology; Lung Neoplasms/epidemiology; Male; Middle Aged; Neoplasms/diagnosis/*epidemiology/mortality; Prevalence; Risk Factors; Rural Population/*statistics &amp;amp;amp; numerical data; Sex Distribution; Stomach Neoplasms/epidemiology; Survival Rate; Urban Population/*statistics &amp;amp;amp; numerical dataChina; cancer; health disparities; incidence; mortality; survival; trends&lt;/_keywords&gt;&lt;_language&gt;eng&lt;/_language&gt;&lt;_modified&gt;62629677&lt;/_modified&gt;&lt;_ori_publication&gt;(c) 2016 American Cancer Society.&lt;/_ori_publication&gt;&lt;_pages&gt;115-32&lt;/_pages&gt;&lt;_tertiary_title&gt;CA: a cancer journal for clinicians&lt;/_tertiary_title&gt;&lt;_type_work&gt;Journal Article; Multicenter Study; Research Support, Non-U.S. Gov&amp;apos;t&lt;/_type_work&gt;&lt;_url&gt;http://www.ncbi.nlm.nih.gov/entrez/query.fcgi?cmd=Retrieve&amp;amp;db=pubmed&amp;amp;dopt=Abstract&amp;amp;list_uids=26808342&amp;amp;query_hl=1&lt;/_url&gt;&lt;_volume&gt;66&lt;/_volume&gt;&lt;/Details&gt;&lt;Extra&gt;&lt;DBUID&gt;{D047F0F8-9D2B-410D-A235-89035676B7E9}&lt;/DBUID&gt;&lt;/Extra&gt;&lt;/Item&gt;&lt;/References&gt;&lt;/Group&gt;&lt;Group&gt;&lt;References&gt;&lt;Item&gt;&lt;ID&gt;393&lt;/ID&gt;&lt;UID&gt;{0819E661-D1D2-4AFB-9441-670550406834}&lt;/UID&gt;&lt;Title&gt;Detection of HBV DNA and antigens in HBsAg-positive patients with primary hepatocellular carcinoma&lt;/Title&gt;&lt;Template&gt;Journal Article&lt;/Template&gt;&lt;Star&gt;0&lt;/Star&gt;&lt;Tag&gt;0&lt;/Tag&gt;&lt;Author&gt;Fu, S; Li, N; Zhou, P C; Huang, Y; Zhou, R R; Fan, X G&lt;/Author&gt;&lt;Year&gt;2017&lt;/Year&gt;&lt;Details&gt;&lt;_accession_num&gt;28286056&lt;/_accession_num&gt;&lt;_author_adr&gt;Department of Infectious Diseases, Key Laboratory of Viral Hepatitis of Hunan Province, Xiangya Hospital, Central South University, PO Box 410008, Changsha, China.; Department of Blood Transfusion, Xiangya Hospital, Central South University, Changsha, China.; Department of Infectious Diseases, Key Laboratory of Viral Hepatitis of Hunan Province, Xiangya Hospital, Central South University, PO Box 410008, Changsha, China.; Department of Infectious Diseases, Key Laboratory of Viral Hepatitis of Hunan Province, Xiangya Hospital, Central South University, PO Box 410008, Changsha, China.; Department of Infectious Diseases, Key Laboratory of Viral Hepatitis of Hunan Province, Xiangya Hospital, Central South University, PO Box 410008, Changsha, China. Electronic address: rr_xy1234@126.com.; Department of Infectious Diseases, Key Laboratory of Viral Hepatitis of Hunan Province, Xiangya Hospital, Central South University, PO Box 410008, Changsha, China. Electronic address: xgfan@hotmail.com.&lt;/_author_adr&gt;&lt;_created&gt;62568545&lt;/_created&gt;&lt;_date&gt;2017-09-01&lt;/_date&gt;&lt;_date_display&gt;2017 Sep&lt;/_date_display&gt;&lt;_doi&gt;10.1016/j.clinre.2017.01.009&lt;/_doi&gt;&lt;_impact_factor&gt;   2.807&lt;/_impact_factor&gt;&lt;_isbn&gt;2210-741X (Electronic); 2210-7401 (Linking)&lt;/_isbn&gt;&lt;_issue&gt;4&lt;/_issue&gt;&lt;_journal&gt;Clin Res Hepatol Gastroenterol&lt;/_journal&gt;&lt;_language&gt;eng&lt;/_language&gt;&lt;_modified&gt;62568546&lt;/_modified&gt;&lt;_ori_publication&gt;Copyright (c) 2017 Elsevier Masson SAS. All rights reserved.&lt;/_ori_publication&gt;&lt;_pages&gt;415-423&lt;/_pages&gt;&lt;_tertiary_title&gt;Clinics and research in hepatology and gastroenterology&lt;/_tertiary_title&gt;&lt;_type_work&gt;Journal Article&lt;/_type_work&gt;&lt;_url&gt;http://www.ncbi.nlm.nih.gov/entrez/query.fcgi?cmd=Retrieve&amp;amp;db=pubmed&amp;amp;dopt=Abstract&amp;amp;list_uids=28286056&amp;amp;query_hl=1&lt;/_url&gt;&lt;_volume&gt;41&lt;/_volume&gt;&lt;/Details&gt;&lt;Extra&gt;&lt;DBUID&gt;{D047F0F8-9D2B-410D-A235-89035676B7E9}&lt;/DBUID&gt;&lt;/Extra&gt;&lt;/Item&gt;&lt;/References&gt;&lt;/Group&gt;&lt;Group&gt;&lt;References&gt;&lt;Item&gt;&lt;ID&gt;395&lt;/ID&gt;&lt;UID&gt;{CBAD4BBE-CCC5-4A2B-90E3-55407544EE76}&lt;/UID&gt;&lt;Title&gt;High mobility group box 1 promotes sorafenib resistance in HepG2 cells and in vivo&lt;/Title&gt;&lt;Template&gt;Journal Article&lt;/Template&gt;&lt;Star&gt;0&lt;/Star&gt;&lt;Tag&gt;0&lt;/Tag&gt;&lt;Author&gt;Xiao, Y; Sun, L; Fu, Y; Huang, Y; Zhou, R; Hu, X; Zhou, P; Quan, J; Li, N; Fan, X G&lt;/Author&gt;&lt;Year&gt;2017&lt;/Year&gt;&lt;Details&gt;&lt;_accession_num&gt;29246127&lt;/_accession_num&gt;&lt;_author_adr&gt;Hunan Key Laboratory of Viral Hepatitis, Department of Infectious Diseases, Xiangya Hospital, Central South University, Changsha, 410008, China.; Center for Molecular Medicine, Xiangya Hospital, Key Laboratory of Molecular Radiation Oncology of Hunan Province, Central South University, Changsha, 410008, China.; Hunan Key Laboratory of Viral Hepatitis, Department of Infectious Diseases, Xiangya Hospital, Central South University, Changsha, 410008, China.; Hunan Key Laboratory of Viral Hepatitis, Department of Infectious Diseases, Xiangya Hospital, Central South University, Changsha, 410008, China.; Hunan Key Laboratory of Viral Hepatitis, Department of Infectious Diseases, Xiangya Hospital, Central South University, Changsha, 410008, China.; Hunan Key Laboratory of Viral Hepatitis, Department of Infectious Diseases, Xiangya Hospital, Central South University, Changsha, 410008, China.; Hunan Key Laboratory of Viral Hepatitis, Department of Infectious Diseases, Xiangya Hospital, Central South University, Changsha, 410008, China.; Hunan Key Laboratory of Viral Hepatitis, Department of Infectious Diseases, Xiangya Hospital, Central South University, Changsha, 410008, China.; Department of Blood Transfusion, Xiangya Hospital, Central South University, Changsha, 410008, China. nxli@hotmail.com.; Hunan Key Laboratory of Viral Hepatitis, Department of Infectious Diseases, Xiangya Hospital, Central South University, Changsha, 410008, China. xgfan@hotmail.com.&lt;/_author_adr&gt;&lt;_collection_scope&gt;SCIE;&lt;/_collection_scope&gt;&lt;_created&gt;62568545&lt;/_created&gt;&lt;_date&gt;2017-12-15&lt;/_date&gt;&lt;_date_display&gt;2017 Dec 15&lt;/_date_display&gt;&lt;_doi&gt;10.1186/s12885-017-3868-2&lt;/_doi&gt;&lt;_impact_factor&gt;   2.933&lt;/_impact_factor&gt;&lt;_isbn&gt;1471-2407 (Electronic); 1471-2407 (Linking)&lt;/_isbn&gt;&lt;_issue&gt;1&lt;/_issue&gt;&lt;_journal&gt;BMC Cancer&lt;/_journal&gt;&lt;_keywords&gt;HCC; HMGB1; Mitochondria; Sorafenib resistance&lt;/_keywords&gt;&lt;_language&gt;eng&lt;/_language&gt;&lt;_modified&gt;62568545&lt;/_modified&gt;&lt;_pages&gt;857&lt;/_pages&gt;&lt;_tertiary_title&gt;BMC cancer&lt;/_tertiary_title&gt;&lt;_type_work&gt;Journal Article&lt;/_type_work&gt;&lt;_url&gt;http://www.ncbi.nlm.nih.gov/entrez/query.fcgi?cmd=Retrieve&amp;amp;db=pubmed&amp;amp;dopt=Abstract&amp;amp;list_uids=29246127&amp;amp;query_hl=1&lt;/_url&gt;&lt;_volume&gt;17&lt;/_volume&gt;&lt;/Details&gt;&lt;Extra&gt;&lt;DBUID&gt;{D047F0F8-9D2B-410D-A235-89035676B7E9}&lt;/DBUID&gt;&lt;/Extra&gt;&lt;/Item&gt;&lt;/References&gt;&lt;/Group&gt;&lt;/Citation&gt;_x000a_"/>
    <w:docVar w:name="NE.Ref{C31D2991-FD16-4E12-A4AF-4A57BEC27D76}" w:val=" ADDIN NE.Ref.{C31D2991-FD16-4E12-A4AF-4A57BEC27D76}&lt;Citation&gt;&lt;Group&gt;&lt;References&gt;&lt;Item&gt;&lt;ID&gt;404&lt;/ID&gt;&lt;UID&gt;{8E51CEC9-26B0-498C-8CAC-E7BAF488F34D}&lt;/UID&gt;&lt;Title&gt;Serum and urine metabolite profiling reveals potential biomarkers of human hepatocellular carcinoma&lt;/Title&gt;&lt;Template&gt;Journal Article&lt;/Template&gt;&lt;Star&gt;0&lt;/Star&gt;&lt;Tag&gt;0&lt;/Tag&gt;&lt;Author&gt;Chen, T; Xie, G; Wang, X; Fan, J; Qiu, Y; Zheng, X; Qi, X; Cao, Y; Su, M; Wang, X; Xu, L X; Yen, Y; Liu, P; Jia, W&lt;/Author&gt;&lt;Year&gt;2011&lt;/Year&gt;&lt;Details&gt;&lt;_accession_num&gt;21518826&lt;/_accession_num&gt;&lt;_author_adr&gt;Ministry of Education Key Laboratory of Systems Biomedicine, Shanghai Center for  Systems Biomedicine, Shanghai Jiao Tong University, Shanghai 200240, China.&lt;/_author_adr&gt;&lt;_collection_scope&gt;SCI;SCIE;&lt;/_collection_scope&gt;&lt;_created&gt;62568545&lt;/_created&gt;&lt;_date&gt;2011-07-01&lt;/_date&gt;&lt;_date_display&gt;2011 Jul&lt;/_date_display&gt;&lt;_doi&gt;10.1074/mcp.M110.004945&lt;/_doi&gt;&lt;_impact_factor&gt;   4.828&lt;/_impact_factor&gt;&lt;_isbn&gt;1535-9484 (Electronic); 1535-9476 (Linking)&lt;/_isbn&gt;&lt;_issue&gt;7&lt;/_issue&gt;&lt;_journal&gt;Mol Cell Proteomics&lt;/_journal&gt;&lt;_keywords&gt;Adolescent; Adult; Aged; Bile Acids and Salts/blood/urine; Biomarkers, Tumor/*blood/urine; Carcinoma, Hepatocellular/*blood/diagnosis/urine; Case-Control Studies; Female; Humans; Liver Neoplasms/*blood/diagnosis/urine; Male; *Metabolome; Middle Aged; Neoplasm Staging; Principal Component Analysis; Young Adult; alpha-Fetoproteins/metabolism/urine&lt;/_keywords&gt;&lt;_language&gt;eng&lt;/_language&gt;&lt;_modified&gt;62572932&lt;/_modified&gt;&lt;_pages&gt;M110.004945&lt;/_pages&gt;&lt;_tertiary_title&gt;Molecular &amp;amp;amp; cellular proteomics : MCP&lt;/_tertiary_title&gt;&lt;_type_work&gt;Journal Article; Research Support, Non-U.S. Gov&amp;apos;t&lt;/_type_work&gt;&lt;_url&gt;http://www.ncbi.nlm.nih.gov/entrez/query.fcgi?cmd=Retrieve&amp;amp;db=pubmed&amp;amp;dopt=Abstract&amp;amp;list_uids=21518826&amp;amp;query_hl=1&lt;/_url&gt;&lt;_volume&gt;10&lt;/_volume&gt;&lt;/Details&gt;&lt;Extra&gt;&lt;DBUID&gt;{D047F0F8-9D2B-410D-A235-89035676B7E9}&lt;/DBUID&gt;&lt;/Extra&gt;&lt;/Item&gt;&lt;/References&gt;&lt;/Group&gt;&lt;/Citation&gt;_x000a_"/>
    <w:docVar w:name="NE.Ref{C904AAA9-22FE-40A2-A114-3ABEF87BB7ED}" w:val=" ADDIN NE.Ref.{C904AAA9-22FE-40A2-A114-3ABEF87BB7ED}&lt;Citation&gt;&lt;Group&gt;&lt;References&gt;&lt;Item&gt;&lt;ID&gt;538&lt;/ID&gt;&lt;UID&gt;{3994B9B9-3EAD-470C-804A-047C3E42C9DD}&lt;/UID&gt;&lt;Title&gt;Multivariate metabotyping of plasma predicts survival in patients with decompensated cirrhosis&lt;/Title&gt;&lt;Template&gt;Journal Article&lt;/Template&gt;&lt;Star&gt;0&lt;/Star&gt;&lt;Tag&gt;0&lt;/Tag&gt;&lt;Author&gt;McPhail, MJW; Shawcross, D L; Lewis, M R; Coltart, I; Want, E J; Antoniades, C G; Veselkov, K; Triantafyllou, E; Patel, V; Pop, O; Gomez-Romero, M; Kyriakides, M; Zia, R; Abeles, R D; Crossey, MME; Jassem, W; O&amp;apos;Grady, J; Heaton, N; Auzinger, G; Bernal, W; Quaglia, A; Coen, M; Nicholson, J K; Wendon, J A; Holmes, E; Taylor-Robinson, S D&lt;/Author&gt;&lt;Year&gt;2016&lt;/Year&gt;&lt;Details&gt;&lt;_accession_num&gt;26795831&lt;/_accession_num&gt;&lt;_author_adr&gt;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Division of Digestive Health, Department of Surgery and Cancer, Faculty of Medicine, Imperial College London, 10th Floor QEQM Wing, St Mary&amp;apos;s Hospital Campus, South Wharf Street, London NW1 2NY, United Kingdom.; Computational and Systems Medicine, Department of Surgery and Cancer, Faculty of  Medicine, Imperial College London, Sir Alexander Fleming Building, Exhibition Road, South Kensington, London SW7 2AZ, United Kingdom.; Division of Digestive Health, Department of Surgery and Cancer, Faculty of Medicine, Imperial College London, 10th Floor QEQM Wing, St Mary&amp;apos;s Hospital Campus, South Wharf Street, London NW1 2NY, United Kingdom.; Computational and Systems Medicine, Department of Surgery and Cancer, Faculty of  Medicine, Imperial College London, Sir Alexander Fleming Building, Exhibition Road, South Kensington, London SW7 2AZ, United Kingdom.; 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Electronic address: e.holmes@imperial.ac.uk.; Division of Digestive Health, Department of Surgery and Cancer, Faculty of Medicine, Imperial College London, 10th Floor QEQM Wing, St Mary&amp;apos;s Hospital Campus, South Wharf Street, London NW1 2NY, United Kingdom.&lt;/_author_adr&gt;&lt;_collection_scope&gt;SCI;SCIE&lt;/_collection_scope&gt;&lt;_created&gt;62629676&lt;/_created&gt;&lt;_date&gt;2016-05-01&lt;/_date&gt;&lt;_date_display&gt;2016 May&lt;/_date_display&gt;&lt;_db_updated&gt;PubMed&lt;/_db_updated&gt;&lt;_doi&gt;10.1016/j.jhep.2016.01.003&lt;/_doi&gt;&lt;_impact_factor&gt;  18.946&lt;/_impact_factor&gt;&lt;_isbn&gt;1600-0641 (Electronic); 0168-8278 (Linking)&lt;/_isbn&gt;&lt;_issue&gt;5&lt;/_issue&gt;&lt;_journal&gt;J Hepatol&lt;/_journal&gt;&lt;_keywords&gt;Adult; Aged; Biomarkers/blood; Biopsy; Cell Death; Cytokines/*blood; Female; Follow-Up Studies; Humans; Immunohistochemistry; Liver/metabolism/*pathology; Liver Cirrhosis/*blood/mortality/pathology; Male; Metabolomics/*methods; Middle Aged; Retrospective Studies; Survival Rate/trends; Time Factors; United Kingdom/epidemiology; Young AdultAcute on chronic liver failure; Metabolic profiling; Metabolomics; Metabonomics; Outcome prediction; Personalised medicine&lt;/_keywords&gt;&lt;_language&gt;eng&lt;/_language&gt;&lt;_modified&gt;62629677&lt;/_modified&gt;&lt;_ori_publication&gt;Copyright (c) 2016 European Association for the Study of the Liver. Published by _x000d__x000a_      Elsevier B.V. All rights reserved.&lt;/_ori_publication&gt;&lt;_pages&gt;1058-1067&lt;/_pages&gt;&lt;_tertiary_title&gt;Journal of hepatology&lt;/_tertiary_title&gt;&lt;_type_work&gt;Journal Article; Research Support, Non-U.S. Gov&amp;apos;t&lt;/_type_work&gt;&lt;_url&gt;http://www.ncbi.nlm.nih.gov/entrez/query.fcgi?cmd=Retrieve&amp;amp;db=pubmed&amp;amp;dopt=Abstract&amp;amp;list_uids=26795831&amp;amp;query_hl=1&lt;/_url&gt;&lt;_volume&gt;64&lt;/_volume&gt;&lt;/Details&gt;&lt;Extra&gt;&lt;DBUID&gt;{D047F0F8-9D2B-410D-A235-89035676B7E9}&lt;/DBUID&gt;&lt;/Extra&gt;&lt;/Item&gt;&lt;/References&gt;&lt;/Group&gt;&lt;/Citation&gt;_x000a_"/>
    <w:docVar w:name="NE.Ref{C9B48A6D-80B4-491E-8038-030D6DF1B3B2}" w:val=" ADDIN NE.Ref.{C9B48A6D-80B4-491E-8038-030D6DF1B3B2}&lt;Citation&gt;&lt;Group&gt;&lt;References&gt;&lt;Item&gt;&lt;ID&gt;410&lt;/ID&gt;&lt;UID&gt;{D0348888-DCC3-403A-AD7B-C0675DE4EA59}&lt;/UID&gt;&lt;Title&gt;??????????????????¨¬????????????????????¨¬????????????????????????????????????¨¬????????????????????¨¬???????(2017????????????????¡ì???????????)&lt;/Title&gt;&lt;Template&gt;Journal Article&lt;/Template&gt;&lt;Star&gt;0&lt;/Star&gt;&lt;Tag&gt;0&lt;/Tag&gt;&lt;Author&gt;????????????????????????????¡ì??????????????????????????¡ì??????????????????????????????¡ì???????????????????????????????¡ì??????????????????&lt;/Author&gt;&lt;Year&gt;2017&lt;/Year&gt;&lt;Details&gt;&lt;_db_provider&gt;??????????????????????¡ì?????????????????????????¨¬????????????????????¨¬?????????????????????????????¨¬????????????????????¨¬???????????????&lt;/_db_provider&gt;&lt;_doi&gt;10.3760/cma.j.issn.1007-3418.2017.12.002&lt;/_doi&gt;&lt;_isbn&gt;1007-3418&lt;/_isbn&gt;&lt;_issue&gt;12&lt;/_issue&gt;&lt;_journal&gt;??????????????????????¡ì??????????????????????¨¬????????????????????¨¬????????????&lt;/_journal&gt;&lt;_keywords&gt;???,???????; ????; ????????????????????¡§????????; ??????????????????¨¬????????????????????¨¬???????; Carcinoma,hepatocellular; Diagnosis; Therapeutics; Standard&lt;/_keywords&gt;&lt;_language&gt;chi&lt;/_language&gt;&lt;_pages&gt;886-895&lt;/_pages&gt;&lt;_tertiary_title&gt;Chinese Journal of Hepatology&lt;/_tertiary_title&gt;&lt;_translated_title&gt;Diagnosis, management, and treatment of hepatocellular carcinoma (V2017)&lt;/_translated_title&gt;&lt;_url&gt;http://d.oldg.wanfangdata.com.cn/Periodical_zhgzbzz201712002.aspx&lt;/_url&gt;&lt;_volume&gt;25&lt;/_volume&gt;&lt;_created&gt;62223423&lt;/_created&gt;&lt;_modified&gt;62223423&lt;/_modified&gt;&lt;_db_updated&gt;Wanfangdata&lt;/_db_updated&gt;&lt;_collection_scope&gt;??????????????????¡ì????????????????????;????????????;CSCD;&lt;/_collection_scope&gt;&lt;_translated_author&gt;Zhong, Huarenmingongheguoweishenghejihuashengyuweiyuanhuiyizhengyiguanju&lt;/_translated_author&gt;&lt;/Details&gt;&lt;Extra&gt;&lt;DBUID&gt;{F96A950B-833F-4880-A151-76DA2D6A2879}&lt;/DBUID&gt;&lt;/Extra&gt;&lt;/Item&gt;&lt;/References&gt;&lt;/Group&gt;&lt;/Citation&gt;_x000a_"/>
    <w:docVar w:name="NE.Ref{CD09731F-6A1B-4F06-8F09-A45C906DA14B}" w:val=" ADDIN NE.Ref.{CD09731F-6A1B-4F06-8F09-A45C906DA14B}&lt;Citation&gt;&lt;Group&gt;&lt;References&gt;&lt;Item&gt;&lt;ID&gt;398&lt;/ID&gt;&lt;UID&gt;{FC43F11F-0B2B-406C-92A9-40398DFC32FE}&lt;/UID&gt;&lt;Title&gt;Metabonomic profiles discriminate hepatocellular carcinoma from liver cirrhosis by ultraperformance liquid chromatography-mass spectrometry&lt;/Title&gt;&lt;Template&gt;Journal Article&lt;/Template&gt;&lt;Star&gt;0&lt;/Star&gt;&lt;Tag&gt;0&lt;/Tag&gt;&lt;Author&gt;Wang, B; Chen, D; Chen, Y; Hu, Z; Cao, M; Xie, Q; Chen, Y; Xu, J; Zheng, S; Li, L&lt;/Author&gt;&lt;Year&gt;2012&lt;/Year&gt;&lt;Details&gt;&lt;_accession_num&gt;22200553&lt;/_accession_num&gt;&lt;_author_adr&gt;State Key Laboratory for Diagnosis and Treatment of Infectious Diseases, The First Affiliated Hospital, College of Medicine, Zhejiang University , 79 Qing-chun Road, Hangzhou 310003, PR China.&lt;/_author_adr&gt;&lt;_collection_scope&gt;SCI;SCIE;&lt;/_collection_scope&gt;&lt;_created&gt;62568545&lt;/_created&gt;&lt;_date&gt;2012-02-03&lt;/_date&gt;&lt;_date_display&gt;2012 Feb 3&lt;/_date_display&gt;&lt;_doi&gt;10.1021/pr2009252&lt;/_doi&gt;&lt;_impact_factor&gt;   3.780&lt;/_impact_factor&gt;&lt;_isbn&gt;1535-3907 (Electronic); 1535-3893 (Linking)&lt;/_isbn&gt;&lt;_issue&gt;2&lt;/_issue&gt;&lt;_journal&gt;J Proteome Res&lt;/_journal&gt;&lt;_keywords&gt;Adult; Aged; Biomarkers/blood/metabolism; Carcinoma, Hepatocellular/diagnosis/*metabolism; Case-Control Studies; Chromatography, High Pressure Liquid/methods; Diagnosis, Differential; Discriminant Analysis; Female; Humans; Liver Cirrhosis/diagnosis/*metabolism; Liver Neoplasms/diagnosis/*metabolism; Male; Mass Spectrometry/methods; *Metabolome; Metabolomics/*methods; Middle Aged; Principal Component Analysis; Sensitivity and Specificity&lt;/_keywords&gt;&lt;_language&gt;eng&lt;/_language&gt;&lt;_modified&gt;62572932&lt;/_modified&gt;&lt;_pages&gt;1217-27&lt;/_pages&gt;&lt;_tertiary_title&gt;Journal of proteome research&lt;/_tertiary_title&gt;&lt;_type_work&gt;Journal Article; Research Support, Non-U.S. Gov&amp;apos;t&lt;/_type_work&gt;&lt;_url&gt;http://www.ncbi.nlm.nih.gov/entrez/query.fcgi?cmd=Retrieve&amp;amp;db=pubmed&amp;amp;dopt=Abstract&amp;amp;list_uids=22200553&amp;amp;query_hl=1&lt;/_url&gt;&lt;_volume&gt;11&lt;/_volume&gt;&lt;/Details&gt;&lt;Extra&gt;&lt;DBUID&gt;{D047F0F8-9D2B-410D-A235-89035676B7E9}&lt;/DBUID&gt;&lt;/Extra&gt;&lt;/Item&gt;&lt;/References&gt;&lt;/Group&gt;&lt;Group&gt;&lt;References&gt;&lt;Item&gt;&lt;ID&gt;394&lt;/ID&gt;&lt;UID&gt;{BD7B935A-4F86-4B23-AA56-C32A6D8DED90}&lt;/UID&gt;&lt;Title&gt;Efficacy of Fluidized Bed Bioartificial Liver in Treating Fulminant Hepatic Failure in Pigs: A Metabolomics Study&lt;/Title&gt;&lt;Template&gt;Journal Article&lt;/Template&gt;&lt;Star&gt;0&lt;/Star&gt;&lt;Tag&gt;0&lt;/Tag&gt;&lt;Author&gt;Zhou, P; Shao, L; Zhao, L; Lv, G; Pan, X; Zhang, A; Li, J; Zhou, N; Chen, D; Li, L&lt;/Author&gt;&lt;Year&gt;2016&lt;/Year&gt;&lt;Details&gt;&lt;_accession_num&gt;27194381&lt;/_accession_num&gt;&lt;_author_adr&gt;State Key Laboratory for Diagnosis and Treatment of Infectious Diseases, Collaborative Innovation Center for Diagnosis and Treatment of Infectious Diseases, The First Affiliated Hospital, School of Medicine, Zhejiang University, Hangzhou, Zhejiang 310003, P.R. China.; Xiangya Hospital, Central South University, Changsha, Hunan 410008,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lt;/_author_adr&gt;&lt;_created&gt;62568545&lt;/_created&gt;&lt;_date&gt;2016-05-19&lt;/_date&gt;&lt;_date_display&gt;2016 May 19&lt;/_date_display&gt;&lt;_doi&gt;10.1038/srep26070&lt;/_doi&gt;&lt;_impact_factor&gt;   4.011&lt;/_impact_factor&gt;&lt;_isbn&gt;2045-2322 (Electronic); 2045-2322 (Linking)&lt;/_isbn&gt;&lt;_journal&gt;Sci Rep&lt;/_journal&gt;&lt;_keywords&gt;Animals; Cell Transplantation/adverse effects/*methods; Cells, Immobilized/metabolism; Chromatography, Liquid; Disease Models, Animal; Liver Failure, Acute/chemically induced/*therapy; *Liver, Artificial; Mass Spectrometry; *Metabolomics; Serum/chemistry; Survival Analysis; Swine; Treatment Outcome&lt;/_keywords&gt;&lt;_language&gt;eng&lt;/_language&gt;&lt;_modified&gt;62629675&lt;/_modified&gt;&lt;_pages&gt;26070&lt;/_pages&gt;&lt;_tertiary_title&gt;Scientific reports&lt;/_tertiary_title&gt;&lt;_type_work&gt;Journal Article; Research Support, Non-U.S. Gov&amp;apos;t&lt;/_type_work&gt;&lt;_url&gt;http://www.ncbi.nlm.nih.gov/entrez/query.fcgi?cmd=Retrieve&amp;amp;db=pubmed&amp;amp;dopt=Abstract&amp;amp;list_uids=27194381&amp;amp;query_hl=1&lt;/_url&gt;&lt;_volume&gt;6&lt;/_volume&gt;&lt;/Details&gt;&lt;Extra&gt;&lt;DBUID&gt;{D047F0F8-9D2B-410D-A235-89035676B7E9}&lt;/DBUID&gt;&lt;/Extra&gt;&lt;/Item&gt;&lt;/References&gt;&lt;/Group&gt;&lt;/Citation&gt;_x000a_"/>
    <w:docVar w:name="NE.Ref{CEDE49A0-6C76-4736-8420-081B3A84EE5E}" w:val=" ADDIN NE.Ref.{CEDE49A0-6C76-4736-8420-081B3A84EE5E}&lt;Citation&gt;&lt;Group&gt;&lt;References&gt;&lt;Item&gt;&lt;ID&gt;398&lt;/ID&gt;&lt;UID&gt;{FC43F11F-0B2B-406C-92A9-40398DFC32FE}&lt;/UID&gt;&lt;Title&gt;Metabonomic profiles discriminate hepatocellular carcinoma from liver cirrhosis by ultraperformance liquid chromatography-mass spectrometry&lt;/Title&gt;&lt;Template&gt;Journal Article&lt;/Template&gt;&lt;Star&gt;0&lt;/Star&gt;&lt;Tag&gt;0&lt;/Tag&gt;&lt;Author&gt;Wang, B; Chen, D; Chen, Y; Hu, Z; Cao, M; Xie, Q; Chen, Y; Xu, J; Zheng, S; Li, L&lt;/Author&gt;&lt;Year&gt;2012&lt;/Year&gt;&lt;Details&gt;&lt;_accession_num&gt;22200553&lt;/_accession_num&gt;&lt;_author_adr&gt;State Key Laboratory for Diagnosis and Treatment of Infectious Diseases, The First Affiliated Hospital, College of Medicine, Zhejiang University , 79 Qing-chun Road, Hangzhou 310003, PR China.&lt;/_author_adr&gt;&lt;_collection_scope&gt;SCI;SCIE;&lt;/_collection_scope&gt;&lt;_created&gt;62568545&lt;/_created&gt;&lt;_date&gt;2012-02-03&lt;/_date&gt;&lt;_date_display&gt;2012 Feb 3&lt;/_date_display&gt;&lt;_doi&gt;10.1021/pr2009252&lt;/_doi&gt;&lt;_impact_factor&gt;   3.780&lt;/_impact_factor&gt;&lt;_isbn&gt;1535-3907 (Electronic); 1535-3893 (Linking)&lt;/_isbn&gt;&lt;_issue&gt;2&lt;/_issue&gt;&lt;_journal&gt;J Proteome Res&lt;/_journal&gt;&lt;_keywords&gt;Adult; Aged; Biomarkers/blood/metabolism; Carcinoma, Hepatocellular/diagnosis/*metabolism; Case-Control Studies; Chromatography, High Pressure Liquid/methods; Diagnosis, Differential; Discriminant Analysis; Female; Humans; Liver Cirrhosis/diagnosis/*metabolism; Liver Neoplasms/diagnosis/*metabolism; Male; Mass Spectrometry/methods; *Metabolome; Metabolomics/*methods; Middle Aged; Principal Component Analysis; Sensitivity and Specificity&lt;/_keywords&gt;&lt;_language&gt;eng&lt;/_language&gt;&lt;_modified&gt;62572932&lt;/_modified&gt;&lt;_pages&gt;1217-27&lt;/_pages&gt;&lt;_tertiary_title&gt;Journal of proteome research&lt;/_tertiary_title&gt;&lt;_type_work&gt;Journal Article; Research Support, Non-U.S. Gov&amp;apos;t&lt;/_type_work&gt;&lt;_url&gt;http://www.ncbi.nlm.nih.gov/entrez/query.fcgi?cmd=Retrieve&amp;amp;db=pubmed&amp;amp;dopt=Abstract&amp;amp;list_uids=22200553&amp;amp;query_hl=1&lt;/_url&gt;&lt;_volume&gt;11&lt;/_volume&gt;&lt;/Details&gt;&lt;Extra&gt;&lt;DBUID&gt;{D047F0F8-9D2B-410D-A235-89035676B7E9}&lt;/DBUID&gt;&lt;/Extra&gt;&lt;/Item&gt;&lt;/References&gt;&lt;/Group&gt;&lt;/Citation&gt;_x000a_"/>
    <w:docVar w:name="NE.Ref{D37321BD-A190-45BB-A944-A3B5A45CD726}" w:val=" ADDIN NE.Ref.{D37321BD-A190-45BB-A944-A3B5A45CD726}&lt;Citation&gt;&lt;Group&gt;&lt;References&gt;&lt;Item&gt;&lt;ID&gt;413&lt;/ID&gt;&lt;UID&gt;{BE4B7DDA-4ADB-42BB-8AD5-CBED942D61E1}&lt;/UID&gt;&lt;Title&gt;Glutamine addiction: a new therapeutic target in cancer&lt;/Title&gt;&lt;Template&gt;Journal Article&lt;/Template&gt;&lt;Star&gt;0&lt;/Star&gt;&lt;Tag&gt;0&lt;/Tag&gt;&lt;Author&gt;Wise, D R; Thompson, C B&lt;/Author&gt;&lt;Year&gt;2010&lt;/Year&gt;&lt;Details&gt;&lt;_accession_num&gt;20570523&lt;/_accession_num&gt;&lt;_author_adr&gt;Department of Cancer Biology, Abramson Cancer Center, University of Pennsylvania, Room 450, BRB II/III, 421 Curie Boulevard, Philadelphia, PA 19104-6160, USA.&lt;/_author_adr&gt;&lt;_collection_scope&gt;SCI;SCIE;&lt;/_collection_scope&gt;&lt;_created&gt;62568545&lt;/_created&gt;&lt;_date&gt;2010-08-01&lt;/_date&gt;&lt;_date_display&gt;2010 Aug&lt;/_date_display&gt;&lt;_doi&gt;10.1016/j.tibs.2010.05.003&lt;/_doi&gt;&lt;_impact_factor&gt;  16.889&lt;/_impact_factor&gt;&lt;_isbn&gt;0968-0004 (Print); 0968-0004 (Linking)&lt;/_isbn&gt;&lt;_issue&gt;8&lt;/_issue&gt;&lt;_journal&gt;Trends Biochem Sci&lt;/_journal&gt;&lt;_keywords&gt;Animals; Glutamine/antagonists &amp;amp;amp; inhibitors/blood/*metabolism; Humans; Mitochondria/metabolism; *Molecular Targeted Therapy; NADP/metabolism; Neoplasms/*drug therapy/*metabolism/pathology; Nucleotides/metabolism; Protein Biosynthesis; TOR Serine-Threonine Kinases/metabolism&lt;/_keywords&gt;&lt;_language&gt;eng&lt;/_language&gt;&lt;_modified&gt;62629668&lt;/_modified&gt;&lt;_ori_publication&gt;Copyright 2010 Elsevier Ltd. All rights reserved.&lt;/_ori_publication&gt;&lt;_pages&gt;427-33&lt;/_pages&gt;&lt;_tertiary_title&gt;Trends in biochemical sciences&lt;/_tertiary_title&gt;&lt;_type_work&gt;Journal Article; Research Support, N.I.H., Extramural; Review&lt;/_type_work&gt;&lt;_url&gt;http://www.ncbi.nlm.nih.gov/entrez/query.fcgi?cmd=Retrieve&amp;amp;db=pubmed&amp;amp;dopt=Abstract&amp;amp;list_uids=20570523&amp;amp;query_hl=1&lt;/_url&gt;&lt;_volume&gt;35&lt;/_volume&gt;&lt;/Details&gt;&lt;Extra&gt;&lt;DBUID&gt;{D047F0F8-9D2B-410D-A235-89035676B7E9}&lt;/DBUID&gt;&lt;/Extra&gt;&lt;/Item&gt;&lt;/References&gt;&lt;/Group&gt;&lt;/Citation&gt;_x000a_"/>
    <w:docVar w:name="NE.Ref{E8B26AFB-6D23-4AA4-A8DC-2C23CB1F2F78}" w:val=" ADDIN NE.Ref.{E8B26AFB-6D23-4AA4-A8DC-2C23CB1F2F78}&lt;Citation&gt;&lt;Group&gt;&lt;References&gt;&lt;Item&gt;&lt;ID&gt;631&lt;/ID&gt;&lt;UID&gt;{67F2E10A-8228-4EAF-AC1D-52ADA7B57385}&lt;/UID&gt;&lt;Title&gt;Guidelines for Diagnosis and Treatment of Primary Liver Cancer in China (2017 Edition)&lt;/Title&gt;&lt;Template&gt;Journal Article&lt;/Template&gt;&lt;Star&gt;0&lt;/Star&gt;&lt;Tag&gt;0&lt;/Tag&gt;&lt;Author&gt;Zhou, J; Sun, H C; Wang, Z; Cong, W M; Wang, J H; Zeng, M S; Yang, J M; Bie, P; Liu, L X; Wen, T F; Han, G H; Wang, M Q; Liu, R B; Lu, L G; Ren, Z G; Chen, M S; Zeng, Z C; Liang, P; Liang, C H; Chen, M; Yan, F H; Wang, W P; Ji, Y; Cheng, W W; Dai, C L; Jia, W D; Li, Y M; Li, Y X; Liang, J; Liu, T S; Lv, G Y; Mao, Y L; Ren, W X; Shi, H C; Wang, W T; Wang, X Y; Xing, B C; Xu, J M; Yang, J Y; Yang, Y F; Ye, S L; Yin, Z Y; Zhang, B H; Zhang, S J; Zhou, W P; Zhu, J Y; Liu, R; Shi, Y H; Xiao, Y S; Dai, Z; Teng, G J; Cai, J Q; Wang, W L; Dong, J H; Li, Q; Shen, F; Qin, S K; Fan, J&lt;/Author&gt;&lt;Year&gt;2018&lt;/Year&gt;&lt;Details&gt;&lt;_accession_num&gt;30319983&lt;/_accession_num&gt;&lt;_author_adr&gt;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Pathology, the Eastern Hepatobiliary Surgery Hospital, Second Military Medical University, Shanghai, China.; Department of Interventional Radiology, Zhongshan Hospital, Fudan University, Shanghai, China.; Department of Radiology, Zhongshan Hospital, Fudan University, Shanghai, China.; Department of Hepatic Surgery, the Eastern Hepatobiliary Surgery Hospital, Second Military Medical University, Shanghai, China.; Institute of Hepatobiliary Surgery, Southwest Hospital, Third Military Medical University, Chongqing, China.; Department of General Surgery, the First Affiliated Hospital of Harbin Medical University, Harbin, China.; Department of Liver Surgery, West China Hospital of Sichuan University, Chengdu,  China.; Department of Liver Diseases and Digestive Interventional Radiology, Xijing Hospital, Fourth Military Medical University, Xi&amp;apos;an, China.; Department of Interventional Radiology, Chinese PLA General Hospital, Beijing, China.; Department of Interventional Radiology, the Tumor Hospital of Harbin Medical University, Harbin, China.; Department of Interventional Oncology, Guangdong General Hospital, Guangdong Academy of Medical Sciences, Guangzhou, China.; Department of Liver Surgery &amp;amp;amp; Transplantation, Liver Cancer Institute, Zhongshan  Hospital, Fudan University, Key Laboratory of Carcinogenesis and Cancer Invasion, Ministry of Education, Fudan University, Shanghai, China.; Department of Hepatobiliary Surgery, Sun Yat-sen University Cancer Center, Guangzhou, China.; Department of Radiation Oncology, Zhongshan Hospital, Fudan University, Shanghai, China.; Department of Interventional Ultrasound, Chinese PLA General Hospital, Beijing, China.; Department of Radiology, Guangdong General Hospital, Guangdong Academy of Medical Sciences, Guangzhou, China.; Editorial Department of Chinese Journal of Digestive Surgery, Chongqing, China.; Department of Radiology, Ruijin Hospital Affiliated to Shanghai Jiaotong University School of Medicine, Shanghai, China.; Department of Ultrasound, Zhongshan Hospital, Fudan University, Shanghai, China.; Department of Pathology, Zhongshan Hospital, Fudan University, Shanghai, China.; Department of integrated treatment, Tumor Hospital of Fudan University, Shanghai, China.; Department of Hepatobiliary and Spleenary Surgery, the Affiliated Shengjing Hospital, China Medical University, Shenyang, China.; Department of Hepatic Surgery, Affiliated Provincial Hospital, Anhui Medical University, Hefei, China.; Department of Nuclear Medicine, the First Hospital of China Medical University, Shenyang, China.; Department of Radiation Oncology, National Cancer Center/Cancer Hospital, Chinese Academy of Medical Sciences and Peking Union Medical College, Beijing, China.; Department of Oncology, Peking University International Hospital, Beijing, China.; Department of Oncology, Zhongshan Hospital, Fudan University, Shanghai, China.; Department of General Surgery, the First Hospital of Jilin University, Jilin, China.; Department of Liver Surgery, Peking Union Medical College (PUMC) Hospital, PUMC and Chinese Academy of Medical Sciences, Beijing, China.; Department of Interventional Radiology, the First Affiliated Hospital of Xinjiang Medical University, Urumqi, China.; Department of Nuclear Medicine, Zhongshan Hospital, Fudan University, Shanghai, China.; Department of Liver Surgery, West China Hospital of Sichuan University, Chengdu,  China.; Department of Liver Surgery &amp;amp;amp; Transplantation, Liver Cancer Institute, Zhongshan  Hospital, Fudan University, Key Laboratory of Carcinogenesis and Cancer Invasion, Ministry of Education, Fudan University, Shanghai, China.; Department of Hepato-Pancreato-Biliary Surgery, Peking University Cancer Hospital and Institute, Beijing, China.; Department of Gastrointestinal Oncology, Affiliated Hospital Cancer Center, Academy of Military Medical Sciences, Beijing, China.; Department of Interventional Oncology, the First Affiliated Hospital, Sun Yat-sen University, Guangzhou, China.; Department of Hepatic Surgery and Interventional Radiology, Eastern Hepatobiliary Surgery Hospital, Second Military Medical University, Shanghai, China.; Department of Liver Surgery &amp;amp;amp; Transplantation, Liver Cancer Institute, Zhongshan  Hospital, Fudan University, Key Laboratory of Carcinogenesis and Cancer Invasion, Ministry of Education, Fudan University, Shanghai, China.; Department of Hepatobiliary Surgery, Zhongshan Hospital of Xiamen University, Xiamen, China.; Department of Liver Surgery &amp;amp;amp; Transplantation, Liver Cancer Institute, Zhongshan  Hospital, Fudan University, Key Laboratory of Carcinogenesis and Cancer Invasion, Ministry of Education, Fudan University, Shanghai, China.; Department of Hepatobiliary and Pancreatic Surgery, the First Affiliated Hospital of Zhengzhou University, Zhengzhou, China.; Department of Hepatic Surgery, the Eastern Hepatobiliary Surgery Hospital, Second Military Medical University, Shanghai, China.; Department of Hepatobiliary Surgery, Peking University People&amp;apos;s Hospital, Beijing, China.; Department of Interventional Radiology, Zhongshan Hospital,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Liver Surgery &amp;amp;amp; Transplantation, Liver Cancer Institute, Zhongshan  Hospital, Fudan University, Key Laboratory of Carcinogenesis and Cancer Invasion, Ministry of Education, Fudan University, Shanghai, China.; Department of Radiology, Zhongda Hospital, Medical School, Southeast University,  Nanjing, China.; Department of Abdominal Surgical Oncology, Cancer Hospital, Chinese Academy of Medical Sciences and Peking Union Medical College, Beijing, China.; Department of Hepatobiliary and Pancreatic Surgery, First Affiliated Hospital, School of Medicine, Zhejiang University, Hangzhou, China.; Department of Hepatobiliary and Pancreas Surgery, Beijing Tsinghua Changgung Hospital (BTCH), School of Clinical Medicine, Tsinghua University, Beijing, China.; Department of Hepatobiliary Surgery, Tianjin Medical University Cancer Institute  and Hospital, Tianjin, China.; Department of Hepatic Surgery, the Eastern Hepatobiliary Surgery Hospital, Second Military Medical University, Shanghai, China.; Department of Medical Oncology, PLA Cancer Center, Nanjing Bayi Hospital, Nanjing, China.; Department of Liver Surgery &amp;amp;amp; Transplantation, Liver Cancer Institute, Zhongshan  Hospital, Fudan University, Key Laboratory of Carcinogenesis and Cancer Invasion, Ministry of Education, Fudan University, Shanghai, China.&lt;/_author_adr&gt;&lt;_date_display&gt;2018 Sep&lt;/_date_display&gt;&lt;_date&gt;2018-09-01&lt;/_date&gt;&lt;_doi&gt;10.1159/000488035&lt;/_doi&gt;&lt;_isbn&gt;2235-1795 (Print); 1664-5553 (Linking)&lt;/_isbn&gt;&lt;_issue&gt;3&lt;/_issue&gt;&lt;_journal&gt;Liver Cancer&lt;/_journal&gt;&lt;_keywords&gt;Cancer; Carcinoma; China; Diagnosis; Liver; Treatment&lt;/_keywords&gt;&lt;_language&gt;eng&lt;/_language&gt;&lt;_pages&gt;235-260&lt;/_pages&gt;&lt;_tertiary_title&gt;Liver cancer&lt;/_tertiary_title&gt;&lt;_type_work&gt;Journal Article&lt;/_type_work&gt;&lt;_url&gt;http://www.ncbi.nlm.nih.gov/entrez/query.fcgi?cmd=Retrieve&amp;amp;db=pubmed&amp;amp;dopt=Abstract&amp;amp;list_uids=30319983&amp;amp;query_hl=1&lt;/_url&gt;&lt;_volume&gt;7&lt;/_volume&gt;&lt;_created&gt;63225287&lt;/_created&gt;&lt;_modified&gt;63225288&lt;/_modified&gt;&lt;_db_updated&gt;PubMed&lt;/_db_updated&gt;&lt;_impact_factor&gt;   5.944&lt;/_impact_factor&gt;&lt;/Details&gt;&lt;Extra&gt;&lt;DBUID&gt;{D047F0F8-9D2B-410D-A235-89035676B7E9}&lt;/DBUID&gt;&lt;/Extra&gt;&lt;/Item&gt;&lt;/References&gt;&lt;/Group&gt;&lt;/Citation&gt;_x000a_"/>
    <w:docVar w:name="NE.Ref{EBF4D8C9-D9EA-4A7E-8093-5BDB865AEC73}" w:val=" ADDIN NE.Ref.{EBF4D8C9-D9EA-4A7E-8093-5BDB865AEC73}&lt;Citation&gt;&lt;Group&gt;&lt;References&gt;&lt;Item&gt;&lt;ID&gt;400&lt;/ID&gt;&lt;UID&gt;{AAA08F8D-B498-43AB-9825-66360459BDAB}&lt;/UID&gt;&lt;Title&gt;Power of metabolomics in diagnosis and biomarker discovery of hepatocellular carcinoma&lt;/Title&gt;&lt;Template&gt;Journal Article&lt;/Template&gt;&lt;Star&gt;0&lt;/Star&gt;&lt;Tag&gt;0&lt;/Tag&gt;&lt;Author&gt;Wang, X; Zhang, A; Sun, H&lt;/Author&gt;&lt;Year&gt;2013&lt;/Year&gt;&lt;Details&gt;&lt;_accession_num&gt;23150189&lt;/_accession_num&gt;&lt;_author_adr&gt;National TCM Key Lab of Serum Pharmacochemistry, Heilongjiang University of Chinese Medicine, and Key Pharmacometabolomics Platform of Chinese Medicines, Harbin, China. xijunwangls@126.com&lt;/_author_adr&gt;&lt;_collection_scope&gt;SCI;SCIE;&lt;/_collection_scope&gt;&lt;_created&gt;62568545&lt;/_created&gt;&lt;_date&gt;2013-05-01&lt;/_date&gt;&lt;_date_display&gt;2013 May&lt;/_date_display&gt;&lt;_doi&gt;10.1002/hep.26130&lt;/_doi&gt;&lt;_impact_factor&gt;  14.971&lt;/_impact_factor&gt;&lt;_isbn&gt;1527-3350 (Electronic); 0270-9139 (Linking)&lt;/_isbn&gt;&lt;_issue&gt;5&lt;/_issue&gt;&lt;_journal&gt;Hepatology&lt;/_journal&gt;&lt;_keywords&gt;Biomarkers, Tumor/*metabolism; Carcinoma, Hepatocellular/*diagnosis/metabolism; Early Diagnosis; Humans; Liver Neoplasms/*diagnosis/metabolism; Metabolomics/*methods; Phenotype; Sensitivity and Specificity&lt;/_keywords&gt;&lt;_language&gt;eng&lt;/_language&gt;&lt;_modified&gt;62629673&lt;/_modified&gt;&lt;_ori_publication&gt;Copyright (c) 2012 American Association for the Study of Liver Diseases.&lt;/_ori_publication&gt;&lt;_pages&gt;2072-7&lt;/_pages&gt;&lt;_tertiary_title&gt;Hepatology (Baltimore, Md.)&lt;/_tertiary_title&gt;&lt;_type_work&gt;Journal Article; Research Support, Non-U.S. Gov&amp;apos;t; Review&lt;/_type_work&gt;&lt;_url&gt;http://www.ncbi.nlm.nih.gov/entrez/query.fcgi?cmd=Retrieve&amp;amp;db=pubmed&amp;amp;dopt=Abstract&amp;amp;list_uids=23150189&amp;amp;query_hl=1&lt;/_url&gt;&lt;_volume&gt;57&lt;/_volume&gt;&lt;/Details&gt;&lt;Extra&gt;&lt;DBUID&gt;{D047F0F8-9D2B-410D-A235-89035676B7E9}&lt;/DBUID&gt;&lt;/Extra&gt;&lt;/Item&gt;&lt;/References&gt;&lt;/Group&gt;&lt;/Citation&gt;_x000a_"/>
    <w:docVar w:name="NE.Ref{F24819EA-C68C-452C-986A-2576B5433D1C}" w:val=" ADDIN NE.Ref.{F24819EA-C68C-452C-986A-2576B5433D1C}&lt;Citation&gt;&lt;Group&gt;&lt;References&gt;&lt;Item&gt;&lt;ID&gt;538&lt;/ID&gt;&lt;UID&gt;{3994B9B9-3EAD-470C-804A-047C3E42C9DD}&lt;/UID&gt;&lt;Title&gt;Multivariate metabotyping of plasma predicts survival in patients with decompensated cirrhosis&lt;/Title&gt;&lt;Template&gt;Journal Article&lt;/Template&gt;&lt;Star&gt;0&lt;/Star&gt;&lt;Tag&gt;0&lt;/Tag&gt;&lt;Author&gt;McPhail, MJW; Shawcross, D L; Lewis, M R; Coltart, I; Want, E J; Antoniades, C G; Veselkov, K; Triantafyllou, E; Patel, V; Pop, O; Gomez-Romero, M; Kyriakides, M; Zia, R; Abeles, R D; Crossey, MME; Jassem, W; O&amp;apos;Grady, J; Heaton, N; Auzinger, G; Bernal, W; Quaglia, A; Coen, M; Nicholson, J K; Wendon, J A; Holmes, E; Taylor-Robinson, S D&lt;/Author&gt;&lt;Year&gt;2016&lt;/Year&gt;&lt;Details&gt;&lt;_accession_num&gt;26795831&lt;/_accession_num&gt;&lt;_author_adr&gt;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Division of Digestive Health, Department of Surgery and Cancer, Faculty of Medicine, Imperial College London, 10th Floor QEQM Wing, St Mary&amp;apos;s Hospital Campus, South Wharf Street, London NW1 2NY, United Kingdom.; Computational and Systems Medicine, Department of Surgery and Cancer, Faculty of  Medicine, Imperial College London, Sir Alexander Fleming Building, Exhibition Road, South Kensington, London SW7 2AZ, United Kingdom.; Division of Digestive Health, Department of Surgery and Cancer, Faculty of Medicine, Imperial College London, 10th Floor QEQM Wing, St Mary&amp;apos;s Hospital Campus, South Wharf Street, London NW1 2NY, United Kingdom.; Computational and Systems Medicine, Department of Surgery and Cancer, Faculty of  Medicine, Imperial College London, Sir Alexander Fleming Building, Exhibition Road, South Kensington, London SW7 2AZ, United Kingdom.; 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Division of Digestive Health, Department of Surgery and Cancer, Faculty of Medicine, Imperial College London, 10th Floor QEQM Wing, St Mary&amp;apos;s Hospital Campus, South Wharf Street, London NW1 2NY,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Computational and Systems Medicine, Department of Surgery and Cancer, Faculty of  Medicine, Imperial College London, Sir Alexander Fleming Building, Exhibition Road, South Kensington, London SW7 2AZ, United Kingdom.; Institute of Liver Studies, King&amp;apos;s College Hospital, Denmark Hill, London SE19 2RS, United Kingdom.; Computational and Systems Medicine, Department of Surgery and Cancer, Faculty of  Medicine, Imperial College London, Sir Alexander Fleming Building, Exhibition Road, South Kensington, London SW7 2AZ, United Kingdom. Electronic address: e.holmes@imperial.ac.uk.; Division of Digestive Health, Department of Surgery and Cancer, Faculty of Medicine, Imperial College London, 10th Floor QEQM Wing, St Mary&amp;apos;s Hospital Campus, South Wharf Street, London NW1 2NY, United Kingdom.&lt;/_author_adr&gt;&lt;_collection_scope&gt;SCI;SCIE&lt;/_collection_scope&gt;&lt;_created&gt;62629676&lt;/_created&gt;&lt;_date&gt;2016-05-01&lt;/_date&gt;&lt;_date_display&gt;2016 May&lt;/_date_display&gt;&lt;_db_updated&gt;PubMed&lt;/_db_updated&gt;&lt;_doi&gt;10.1016/j.jhep.2016.01.003&lt;/_doi&gt;&lt;_impact_factor&gt;  18.946&lt;/_impact_factor&gt;&lt;_isbn&gt;1600-0641 (Electronic); 0168-8278 (Linking)&lt;/_isbn&gt;&lt;_issue&gt;5&lt;/_issue&gt;&lt;_journal&gt;J Hepatol&lt;/_journal&gt;&lt;_keywords&gt;Adult; Aged; Biomarkers/blood; Biopsy; Cell Death; Cytokines/*blood; Female; Follow-Up Studies; Humans; Immunohistochemistry; Liver/metabolism/*pathology; Liver Cirrhosis/*blood/mortality/pathology; Male; Metabolomics/*methods; Middle Aged; Retrospective Studies; Survival Rate/trends; Time Factors; United Kingdom/epidemiology; Young AdultAcute on chronic liver failure; Metabolic profiling; Metabolomics; Metabonomics; Outcome prediction; Personalised medicine&lt;/_keywords&gt;&lt;_language&gt;eng&lt;/_language&gt;&lt;_modified&gt;62629677&lt;/_modified&gt;&lt;_ori_publication&gt;Copyright (c) 2016 European Association for the Study of the Liver. Published by _x000d__x000a_      Elsevier B.V. All rights reserved.&lt;/_ori_publication&gt;&lt;_pages&gt;1058-1067&lt;/_pages&gt;&lt;_tertiary_title&gt;Journal of hepatology&lt;/_tertiary_title&gt;&lt;_type_work&gt;Journal Article; Research Support, Non-U.S. Gov&amp;apos;t&lt;/_type_work&gt;&lt;_url&gt;http://www.ncbi.nlm.nih.gov/entrez/query.fcgi?cmd=Retrieve&amp;amp;db=pubmed&amp;amp;dopt=Abstract&amp;amp;list_uids=26795831&amp;amp;query_hl=1&lt;/_url&gt;&lt;_volume&gt;64&lt;/_volume&gt;&lt;/Details&gt;&lt;Extra&gt;&lt;DBUID&gt;{D047F0F8-9D2B-410D-A235-89035676B7E9}&lt;/DBUID&gt;&lt;/Extra&gt;&lt;/Item&gt;&lt;/References&gt;&lt;/Group&gt;&lt;Group&gt;&lt;References&gt;&lt;Item&gt;&lt;ID&gt;394&lt;/ID&gt;&lt;UID&gt;{BD7B935A-4F86-4B23-AA56-C32A6D8DED90}&lt;/UID&gt;&lt;Title&gt;Efficacy of Fluidized Bed Bioartificial Liver in Treating Fulminant Hepatic Failure in Pigs: A Metabolomics Study&lt;/Title&gt;&lt;Template&gt;Journal Article&lt;/Template&gt;&lt;Star&gt;0&lt;/Star&gt;&lt;Tag&gt;0&lt;/Tag&gt;&lt;Author&gt;Zhou, P; Shao, L; Zhao, L; Lv, G; Pan, X; Zhang, A; Li, J; Zhou, N; Chen, D; Li, L&lt;/Author&gt;&lt;Year&gt;2016&lt;/Year&gt;&lt;Details&gt;&lt;_accession_num&gt;27194381&lt;/_accession_num&gt;&lt;_author_adr&gt;State Key Laboratory for Diagnosis and Treatment of Infectious Diseases, Collaborative Innovation Center for Diagnosis and Treatment of Infectious Diseases, The First Affiliated Hospital, School of Medicine, Zhejiang University, Hangzhou, Zhejiang 310003, P.R. China.; Xiangya Hospital, Central South University, Changsha, Hunan 410008,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 State Key Laboratory for Diagnosis and Treatment of Infectious Diseases, Collaborative Innovation Center for Diagnosis and Treatment of Infectious Diseases, The First Affiliated Hospital, School of Medicine, Zhejiang University, Hangzhou, Zhejiang 310003, P.R. China.&lt;/_author_adr&gt;&lt;_created&gt;62568545&lt;/_created&gt;&lt;_date&gt;2016-05-19&lt;/_date&gt;&lt;_date_display&gt;2016 May 19&lt;/_date_display&gt;&lt;_doi&gt;10.1038/srep26070&lt;/_doi&gt;&lt;_impact_factor&gt;   4.011&lt;/_impact_factor&gt;&lt;_isbn&gt;2045-2322 (Electronic); 2045-2322 (Linking)&lt;/_isbn&gt;&lt;_journal&gt;Sci Rep&lt;/_journal&gt;&lt;_keywords&gt;Animals; Cell Transplantation/adverse effects/*methods; Cells, Immobilized/metabolism; Chromatography, Liquid; Disease Models, Animal; Liver Failure, Acute/chemically induced/*therapy; *Liver, Artificial; Mass Spectrometry; *Metabolomics; Serum/chemistry; Survival Analysis; Swine; Treatment Outcome&lt;/_keywords&gt;&lt;_language&gt;eng&lt;/_language&gt;&lt;_modified&gt;62629675&lt;/_modified&gt;&lt;_pages&gt;26070&lt;/_pages&gt;&lt;_tertiary_title&gt;Scientific reports&lt;/_tertiary_title&gt;&lt;_type_work&gt;Journal Article; Research Support, Non-U.S. Gov&amp;apos;t&lt;/_type_work&gt;&lt;_url&gt;http://www.ncbi.nlm.nih.gov/entrez/query.fcgi?cmd=Retrieve&amp;amp;db=pubmed&amp;amp;dopt=Abstract&amp;amp;list_uids=27194381&amp;amp;query_hl=1&lt;/_url&gt;&lt;_volume&gt;6&lt;/_volume&gt;&lt;/Details&gt;&lt;Extra&gt;&lt;DBUID&gt;{D047F0F8-9D2B-410D-A235-89035676B7E9}&lt;/DBUID&gt;&lt;/Extra&gt;&lt;/Item&gt;&lt;/References&gt;&lt;/Group&gt;&lt;/Citation&gt;_x000a_"/>
    <w:docVar w:name="NE.Ref{F5AEA184-34C2-4164-A610-096D1E955733}" w:val=" ADDIN NE.Ref.{F5AEA184-34C2-4164-A610-096D1E955733}&lt;Citation&gt;&lt;Group&gt;&lt;References&gt;&lt;Item&gt;&lt;ID&gt;420&lt;/ID&gt;&lt;UID&gt;{A4D3B3E0-2B93-4804-AA96-319B53B06C14}&lt;/UID&gt;&lt;Title&gt;LC-MS based serum metabolomics for identification of hepatocellular carcinoma biomarkers in Egyptian cohort&lt;/Title&gt;&lt;Template&gt;Journal Article&lt;/Template&gt;&lt;Star&gt;0&lt;/Star&gt;&lt;Tag&gt;0&lt;/Tag&gt;&lt;Author&gt;Xiao, J F; Varghese, R S; Zhou, B; Nezami, Ranjbar MR; Zhao, Y; Tsai, T H; Di Poto, C; Wang, J; Goerlitz, D; Luo, Y; Cheema, A K; Sarhan, N; Soliman, H; Tadesse, M G; Ziada, D H; Ressom, H W&lt;/Author&gt;&lt;Year&gt;2012&lt;/Year&gt;&lt;Details&gt;&lt;_accessed&gt;62629679&lt;/_accessed&gt;&lt;_accession_num&gt;23078175&lt;/_accession_num&gt;&lt;_author_adr&gt;Department of Oncology, Lombardi Comprehensive Cancer Center, Georgetown University Medical Center, Washington, DC 20057, United States.&lt;/_author_adr&gt;&lt;_collection_scope&gt;SCI;SCIE;&lt;/_collection_scope&gt;&lt;_created&gt;62568545&lt;/_created&gt;&lt;_date&gt;2012-12-07&lt;/_date&gt;&lt;_date_display&gt;2012 Dec 7&lt;/_date_display&gt;&lt;_doi&gt;10.1021/pr300673x&lt;/_doi&gt;&lt;_impact_factor&gt;   3.780&lt;/_impact_factor&gt;&lt;_isbn&gt;1535-3907 (Electronic); 1535-3893 (Linking)&lt;/_isbn&gt;&lt;_issue&gt;12&lt;/_issue&gt;&lt;_journal&gt;J Proteome Res&lt;/_journal&gt;&lt;_keywords&gt;Biomarkers, Tumor/*blood; Carcinoma, Hepatocellular/*diagnosis/metabolism; Case-Control Studies; Chromatography, Liquid/*methods; Computational Biology/methods; Egypt; Female; Humans; Liver Cirrhosis/diagnosis/metabolism; Liver Neoplasms/*diagnosis/metabolism; Male; Metabolome; Metabolomics/*methods; Middle Aged; Neoplasm Staging/methods; Spectrometry, Mass, Matrix-Assisted Laser Desorption-Ionization/*methods&lt;/_keywords&gt;&lt;_language&gt;eng&lt;/_language&gt;&lt;_modified&gt;62572932&lt;/_modified&gt;&lt;_pages&gt;5914-23&lt;/_pages&gt;&lt;_tertiary_title&gt;Journal of proteome research&lt;/_tertiary_title&gt;&lt;_type_work&gt;Journal Article; Research Support, N.I.H., Extramural&lt;/_type_work&gt;&lt;_url&gt;http://www.ncbi.nlm.nih.gov/entrez/query.fcgi?cmd=Retrieve&amp;amp;db=pubmed&amp;amp;dopt=Abstract&amp;amp;list_uids=23078175&amp;amp;query_hl=1&lt;/_url&gt;&lt;_volume&gt;11&lt;/_volume&gt;&lt;/Details&gt;&lt;Extra&gt;&lt;DBUID&gt;{D047F0F8-9D2B-410D-A235-89035676B7E9}&lt;/DBUID&gt;&lt;/Extra&gt;&lt;/Item&gt;&lt;/References&gt;&lt;/Group&gt;&lt;/Citation&gt;_x000a_"/>
    <w:docVar w:name="NE.Ref{F66DD257-FA04-4B4B-B42B-674590E63701}" w:val=" ADDIN NE.Ref.{F66DD257-FA04-4B4B-B42B-674590E63701}&lt;Citation&gt;&lt;Group&gt;&lt;References&gt;&lt;Item&gt;&lt;ID&gt;398&lt;/ID&gt;&lt;UID&gt;{FC43F11F-0B2B-406C-92A9-40398DFC32FE}&lt;/UID&gt;&lt;Title&gt;Metabonomic profiles discriminate hepatocellular carcinoma from liver cirrhosis by ultraperformance liquid chromatography-mass spectrometry&lt;/Title&gt;&lt;Template&gt;Journal Article&lt;/Template&gt;&lt;Star&gt;0&lt;/Star&gt;&lt;Tag&gt;0&lt;/Tag&gt;&lt;Author&gt;Wang, B; Chen, D; Chen, Y; Hu, Z; Cao, M; Xie, Q; Chen, Y; Xu, J; Zheng, S; Li, L&lt;/Author&gt;&lt;Year&gt;2012&lt;/Year&gt;&lt;Details&gt;&lt;_accession_num&gt;22200553&lt;/_accession_num&gt;&lt;_author_adr&gt;State Key Laboratory for Diagnosis and Treatment of Infectious Diseases, The First Affiliated Hospital, College of Medicine, Zhejiang University , 79 Qing-chun Road, Hangzhou 310003, PR China.&lt;/_author_adr&gt;&lt;_collection_scope&gt;SCI;SCIE;&lt;/_collection_scope&gt;&lt;_created&gt;62568545&lt;/_created&gt;&lt;_date&gt;2012-02-03&lt;/_date&gt;&lt;_date_display&gt;2012 Feb 3&lt;/_date_display&gt;&lt;_doi&gt;10.1021/pr2009252&lt;/_doi&gt;&lt;_impact_factor&gt;   3.780&lt;/_impact_factor&gt;&lt;_isbn&gt;1535-3907 (Electronic); 1535-3893 (Linking)&lt;/_isbn&gt;&lt;_issue&gt;2&lt;/_issue&gt;&lt;_journal&gt;J Proteome Res&lt;/_journal&gt;&lt;_keywords&gt;Adult; Aged; Biomarkers/blood/metabolism; Carcinoma, Hepatocellular/diagnosis/*metabolism; Case-Control Studies; Chromatography, High Pressure Liquid/methods; Diagnosis, Differential; Discriminant Analysis; Female; Humans; Liver Cirrhosis/diagnosis/*metabolism; Liver Neoplasms/diagnosis/*metabolism; Male; Mass Spectrometry/methods; *Metabolome; Metabolomics/*methods; Middle Aged; Principal Component Analysis; Sensitivity and Specificity&lt;/_keywords&gt;&lt;_language&gt;eng&lt;/_language&gt;&lt;_modified&gt;62572932&lt;/_modified&gt;&lt;_pages&gt;1217-27&lt;/_pages&gt;&lt;_tertiary_title&gt;Journal of proteome research&lt;/_tertiary_title&gt;&lt;_type_work&gt;Journal Article; Research Support, Non-U.S. Gov&amp;apos;t&lt;/_type_work&gt;&lt;_url&gt;http://www.ncbi.nlm.nih.gov/entrez/query.fcgi?cmd=Retrieve&amp;amp;db=pubmed&amp;amp;dopt=Abstract&amp;amp;list_uids=22200553&amp;amp;query_hl=1&lt;/_url&gt;&lt;_volume&gt;11&lt;/_volume&gt;&lt;/Details&gt;&lt;Extra&gt;&lt;DBUID&gt;{D047F0F8-9D2B-410D-A235-89035676B7E9}&lt;/DBUID&gt;&lt;/Extra&gt;&lt;/Item&gt;&lt;/References&gt;&lt;/Group&gt;&lt;Group&gt;&lt;References&gt;&lt;Item&gt;&lt;ID&gt;404&lt;/ID&gt;&lt;UID&gt;{8E51CEC9-26B0-498C-8CAC-E7BAF488F34D}&lt;/UID&gt;&lt;Title&gt;Serum and urine metabolite profiling reveals potential biomarkers of human hepatocellular carcinoma&lt;/Title&gt;&lt;Template&gt;Journal Article&lt;/Template&gt;&lt;Star&gt;0&lt;/Star&gt;&lt;Tag&gt;0&lt;/Tag&gt;&lt;Author&gt;Chen, T; Xie, G; Wang, X; Fan, J; Qiu, Y; Zheng, X; Qi, X; Cao, Y; Su, M; Wang, X; Xu, L X; Yen, Y; Liu, P; Jia, W&lt;/Author&gt;&lt;Year&gt;2011&lt;/Year&gt;&lt;Details&gt;&lt;_accession_num&gt;21518826&lt;/_accession_num&gt;&lt;_author_adr&gt;Ministry of Education Key Laboratory of Systems Biomedicine, Shanghai Center for  Systems Biomedicine, Shanghai Jiao Tong University, Shanghai 200240, China.&lt;/_author_adr&gt;&lt;_collection_scope&gt;SCI;SCIE;&lt;/_collection_scope&gt;&lt;_created&gt;62568545&lt;/_created&gt;&lt;_date&gt;2011-07-01&lt;/_date&gt;&lt;_date_display&gt;2011 Jul&lt;/_date_display&gt;&lt;_doi&gt;10.1074/mcp.M110.004945&lt;/_doi&gt;&lt;_impact_factor&gt;   4.828&lt;/_impact_factor&gt;&lt;_isbn&gt;1535-9484 (Electronic); 1535-9476 (Linking)&lt;/_isbn&gt;&lt;_issue&gt;7&lt;/_issue&gt;&lt;_journal&gt;Mol Cell Proteomics&lt;/_journal&gt;&lt;_keywords&gt;Adolescent; Adult; Aged; Bile Acids and Salts/blood/urine; Biomarkers, Tumor/*blood/urine; Carcinoma, Hepatocellular/*blood/diagnosis/urine; Case-Control Studies; Female; Humans; Liver Neoplasms/*blood/diagnosis/urine; Male; *Metabolome; Middle Aged; Neoplasm Staging; Principal Component Analysis; Young Adult; alpha-Fetoproteins/metabolism/urine&lt;/_keywords&gt;&lt;_language&gt;eng&lt;/_language&gt;&lt;_modified&gt;62572932&lt;/_modified&gt;&lt;_pages&gt;M110.004945&lt;/_pages&gt;&lt;_tertiary_title&gt;Molecular &amp;amp;amp; cellular proteomics : MCP&lt;/_tertiary_title&gt;&lt;_type_work&gt;Journal Article; Research Support, Non-U.S. Gov&amp;apos;t&lt;/_type_work&gt;&lt;_url&gt;http://www.ncbi.nlm.nih.gov/entrez/query.fcgi?cmd=Retrieve&amp;amp;db=pubmed&amp;amp;dopt=Abstract&amp;amp;list_uids=21518826&amp;amp;query_hl=1&lt;/_url&gt;&lt;_volume&gt;10&lt;/_volume&gt;&lt;/Details&gt;&lt;Extra&gt;&lt;DBUID&gt;{D047F0F8-9D2B-410D-A235-89035676B7E9}&lt;/DBUID&gt;&lt;/Extra&gt;&lt;/Item&gt;&lt;/References&gt;&lt;/Group&gt;&lt;Group&gt;&lt;References&gt;&lt;Item&gt;&lt;ID&gt;446&lt;/ID&gt;&lt;UID&gt;{0788B449-6CF4-4840-BAEE-474C36FD3F7F}&lt;/UID&gt;&lt;Title&gt;A Large-scale, multicenter serum metabolite biomarker identification study for the early detection of hepatocellular carcinoma&lt;/Title&gt;&lt;Template&gt;Journal Article&lt;/Template&gt;&lt;Star&gt;0&lt;/Star&gt;&lt;Tag&gt;0&lt;/Tag&gt;&lt;Author&gt;Luo, Ping; Yin, Peiyuan; Hua, Rui; Tan, Yexiong; Li, Zaifang; Qiu, Gaokun; Yin, Zhenyu; Xie, Xingwang; Wang, Xiaomei; Chen, Wenbin; Zhou, Lina; Wang, Xiaolin; Li, Yanli; Chen, Hongsong; Gao, Ling; Lu, Xin; Wu, Tangchun; Wang, Hongyang; Niu, Junqi; Xu, Guowang&lt;/Author&gt;&lt;Year&gt;2018&lt;/Year&gt;&lt;Details&gt;&lt;_accessed&gt;62629673&lt;/_accessed&gt;&lt;_accession_num&gt;28960374&lt;/_accession_num&gt;&lt;_author_adr&gt;CAS Key Laboratory of Separation Science for Analytical Chemistry, Dalian Institute of Chemical Physics, Chinese Academy of Sciences, Dalian, China.; University of Chinese Academy of Sciences, Beijing, China.; CAS Key Laboratory of Separation Science for Analytical Chemistry, Dalian Institute of Chemical Physics, Chinese Academy of Sciences, Dalian, China.; Department of Hepatology, First Hospital, Jilin University, Changchun, Jilin, China.; International Cooperation Laboratory on Signal Transduction, Eastern Hepatobiliary Surgery Institute, The Second Military Medical University, Shanghai, China.; CAS Key Laboratory of Separation Science for Analytical Chemistry, Dalian Institute of Chemical Physics, Chinese Academy of Sciences, Dalian, China.; University of Chinese Academy of Sciences, Beijing, China.; MOE Key Laboratory of Environment and Health, School of Public Health, Tongji Medical College, Huazhong University of Science &amp;amp;amp; Technology, Wuhan, Hubei, China.; Zhongshan Hospital of Xiamen University, Xiamen, China.; Peking University People&amp;apos;s Hospital, Beijing, China.; Department of Hepatology, First Hospital, Jilin University, Changchun, Jilin, China.; Shangdong Provincial Hospital Affiliated to Shandong University, Jinan, China.; CAS Key Laboratory of Separation Science for Analytical Chemistry, Dalian Institute of Chemical Physics, Chinese Academy of Sciences, Dalian, China.; CAS Key Laboratory of Separation Science for Analytical Chemistry, Dalian Institute of Chemical Physics, Chinese Academy of Sciences, Dalian, China.; CAS Key Laboratory of Separation Science for Analytical Chemistry, Dalian Institute of Chemical Physics, Chinese Academy of Sciences, Dalian, China.; Peking University People&amp;apos;s Hospital, Beijing, China.; Shangdong Provincial Hospital Affiliated to Shandong University, Jinan, China.; CAS Key Laboratory of Separation Science for Analytical Chemistry, Dalian Institute of Chemical Physics, Chinese Academy of Sciences, Dalian, China.; MOE Key Laboratory of Environment and Health, School of Public Health, Tongji Medical College, Huazhong University of Science &amp;amp;amp; Technology, Wuhan, Hubei, China.; International Cooperation Laboratory on Signal Transduction, Eastern Hepatobiliary Surgery Institute, The Second Military Medical University, Shanghai, China.; Department of Hepatology, First Hospital, Jilin University, Changchun, Jilin, China.; CAS Key Laboratory of Separation Science for Analytical Chemistry, Dalian Institute of Chemical Physics, Chinese Academy of Sciences, Dalian, China.&lt;/_author_adr&gt;&lt;_collection_scope&gt;SCI;SCIE;&lt;/_collection_scope&gt;&lt;_created&gt;62568545&lt;/_created&gt;&lt;_date&gt;2017-09-28&lt;/_date&gt;&lt;_date_display&gt;2017 Sep 28&lt;/_date_display&gt;&lt;_db_updated&gt;CrossRef&lt;/_db_updated&gt;&lt;_doi&gt;10.1002/hep.29561&lt;/_doi&gt;&lt;_impact_factor&gt;  14.971&lt;/_impact_factor&gt;&lt;_isbn&gt;1527-3350 (Electronic); 0270-9139 (Linking)&lt;/_isbn&gt;&lt;_issue&gt;2&lt;/_issue&gt;&lt;_journal&gt;Hepatology&lt;/_journal&gt;&lt;_language&gt;eng&lt;/_language&gt;&lt;_modified&gt;62629673&lt;/_modified&gt;&lt;_ori_publication&gt;(c) 2017 The Authors. Hepatology published by Wiley Periodicals, Inc., on behalf _x000d__x000a_      of the American Association for the Study of Liver Diseases.&lt;/_ori_publication&gt;&lt;_pages&gt;662-675&lt;/_pages&gt;&lt;_tertiary_title&gt;Hepatology&lt;/_tertiary_title&gt;&lt;_type_work&gt;Journal Article&lt;/_type_work&gt;&lt;_url&gt;http://doi.wiley.com/10.1002/hep.29561_x000d__x000a_https://onlinelibrary.wiley.com/doi/full/10.1002/hep.29561&lt;/_url&gt;&lt;_volume&gt;67&lt;/_volume&gt;&lt;/Details&gt;&lt;Extra&gt;&lt;DBUID&gt;{D047F0F8-9D2B-410D-A235-89035676B7E9}&lt;/DBUID&gt;&lt;/Extra&gt;&lt;/Item&gt;&lt;/References&gt;&lt;/Group&gt;&lt;/Citation&gt;_x000a_"/>
    <w:docVar w:name="ne_docsoft" w:val="MSWord"/>
    <w:docVar w:name="ne_docversion" w:val="NoteExpress 2.0"/>
    <w:docVar w:name="ne_stylename" w:val="World J Gastroenterology"/>
  </w:docVars>
  <w:rsids>
    <w:rsidRoot w:val="00172A27"/>
    <w:rsid w:val="000047B0"/>
    <w:rsid w:val="000323A0"/>
    <w:rsid w:val="0004443D"/>
    <w:rsid w:val="00045495"/>
    <w:rsid w:val="00065125"/>
    <w:rsid w:val="0006777F"/>
    <w:rsid w:val="00081428"/>
    <w:rsid w:val="00087FBE"/>
    <w:rsid w:val="00090744"/>
    <w:rsid w:val="000A346F"/>
    <w:rsid w:val="000B6C33"/>
    <w:rsid w:val="000C00B0"/>
    <w:rsid w:val="000C1F1C"/>
    <w:rsid w:val="000F006F"/>
    <w:rsid w:val="000F56C1"/>
    <w:rsid w:val="000F6891"/>
    <w:rsid w:val="0010448D"/>
    <w:rsid w:val="00112620"/>
    <w:rsid w:val="0012352C"/>
    <w:rsid w:val="001548B7"/>
    <w:rsid w:val="00154B93"/>
    <w:rsid w:val="00167C3C"/>
    <w:rsid w:val="0017090D"/>
    <w:rsid w:val="001727C0"/>
    <w:rsid w:val="00172A27"/>
    <w:rsid w:val="001733FF"/>
    <w:rsid w:val="00176772"/>
    <w:rsid w:val="00180BF1"/>
    <w:rsid w:val="0019083C"/>
    <w:rsid w:val="001A2A00"/>
    <w:rsid w:val="001B28CA"/>
    <w:rsid w:val="001B4549"/>
    <w:rsid w:val="001B48C4"/>
    <w:rsid w:val="001B52E6"/>
    <w:rsid w:val="001C0E58"/>
    <w:rsid w:val="001C18CF"/>
    <w:rsid w:val="001C544D"/>
    <w:rsid w:val="001C5A45"/>
    <w:rsid w:val="001C7BDF"/>
    <w:rsid w:val="001D18FF"/>
    <w:rsid w:val="002123DE"/>
    <w:rsid w:val="00232769"/>
    <w:rsid w:val="00236AE9"/>
    <w:rsid w:val="002419D2"/>
    <w:rsid w:val="0024284C"/>
    <w:rsid w:val="00254D4E"/>
    <w:rsid w:val="002750D4"/>
    <w:rsid w:val="002771FB"/>
    <w:rsid w:val="002A5BAB"/>
    <w:rsid w:val="002C50FF"/>
    <w:rsid w:val="002C7184"/>
    <w:rsid w:val="002D07E9"/>
    <w:rsid w:val="002D111A"/>
    <w:rsid w:val="002D4F89"/>
    <w:rsid w:val="002E7DDC"/>
    <w:rsid w:val="002E7EAE"/>
    <w:rsid w:val="002F45CC"/>
    <w:rsid w:val="002F5189"/>
    <w:rsid w:val="00301F50"/>
    <w:rsid w:val="00312BE8"/>
    <w:rsid w:val="00320ECC"/>
    <w:rsid w:val="00331EE1"/>
    <w:rsid w:val="003438BE"/>
    <w:rsid w:val="00346930"/>
    <w:rsid w:val="00357CB0"/>
    <w:rsid w:val="00357DEA"/>
    <w:rsid w:val="00373320"/>
    <w:rsid w:val="00380439"/>
    <w:rsid w:val="0038622D"/>
    <w:rsid w:val="00390F79"/>
    <w:rsid w:val="003931AB"/>
    <w:rsid w:val="003B304F"/>
    <w:rsid w:val="003B6241"/>
    <w:rsid w:val="003B62CE"/>
    <w:rsid w:val="003C1006"/>
    <w:rsid w:val="003C30BB"/>
    <w:rsid w:val="003D3C70"/>
    <w:rsid w:val="003E118A"/>
    <w:rsid w:val="003E1231"/>
    <w:rsid w:val="003F232F"/>
    <w:rsid w:val="003F70C3"/>
    <w:rsid w:val="0041066B"/>
    <w:rsid w:val="004179DA"/>
    <w:rsid w:val="00422F01"/>
    <w:rsid w:val="004231B7"/>
    <w:rsid w:val="0042592D"/>
    <w:rsid w:val="00454CAE"/>
    <w:rsid w:val="00455E75"/>
    <w:rsid w:val="004621FA"/>
    <w:rsid w:val="00463E94"/>
    <w:rsid w:val="00465A95"/>
    <w:rsid w:val="004666BF"/>
    <w:rsid w:val="00466FF2"/>
    <w:rsid w:val="00477C9C"/>
    <w:rsid w:val="00485060"/>
    <w:rsid w:val="0048517B"/>
    <w:rsid w:val="004870D6"/>
    <w:rsid w:val="0049766E"/>
    <w:rsid w:val="004A3385"/>
    <w:rsid w:val="004A65A9"/>
    <w:rsid w:val="004B17E3"/>
    <w:rsid w:val="004B51EE"/>
    <w:rsid w:val="004E322D"/>
    <w:rsid w:val="004F098E"/>
    <w:rsid w:val="0050576F"/>
    <w:rsid w:val="00506A2F"/>
    <w:rsid w:val="00513CFB"/>
    <w:rsid w:val="00516042"/>
    <w:rsid w:val="00531E02"/>
    <w:rsid w:val="0053795B"/>
    <w:rsid w:val="005434EC"/>
    <w:rsid w:val="00551672"/>
    <w:rsid w:val="005562AA"/>
    <w:rsid w:val="0056002A"/>
    <w:rsid w:val="00563854"/>
    <w:rsid w:val="00576DA8"/>
    <w:rsid w:val="005A3BAB"/>
    <w:rsid w:val="005A57A6"/>
    <w:rsid w:val="005B2555"/>
    <w:rsid w:val="005B291C"/>
    <w:rsid w:val="005B3CCB"/>
    <w:rsid w:val="005B742A"/>
    <w:rsid w:val="005C41EA"/>
    <w:rsid w:val="005D27F6"/>
    <w:rsid w:val="005D6081"/>
    <w:rsid w:val="005E27C2"/>
    <w:rsid w:val="005F1B29"/>
    <w:rsid w:val="005F4693"/>
    <w:rsid w:val="006056D8"/>
    <w:rsid w:val="00612738"/>
    <w:rsid w:val="0062472A"/>
    <w:rsid w:val="006303D6"/>
    <w:rsid w:val="006324F9"/>
    <w:rsid w:val="00633A43"/>
    <w:rsid w:val="00647A2E"/>
    <w:rsid w:val="0065454E"/>
    <w:rsid w:val="00660B57"/>
    <w:rsid w:val="00670CB9"/>
    <w:rsid w:val="006750EC"/>
    <w:rsid w:val="0067595C"/>
    <w:rsid w:val="00680C76"/>
    <w:rsid w:val="0068155B"/>
    <w:rsid w:val="00684B7B"/>
    <w:rsid w:val="006A03A2"/>
    <w:rsid w:val="006A11D2"/>
    <w:rsid w:val="006B30F7"/>
    <w:rsid w:val="006D03B5"/>
    <w:rsid w:val="006D4E4D"/>
    <w:rsid w:val="006D7117"/>
    <w:rsid w:val="006E2046"/>
    <w:rsid w:val="006E4769"/>
    <w:rsid w:val="006F4E9A"/>
    <w:rsid w:val="00704438"/>
    <w:rsid w:val="007069F2"/>
    <w:rsid w:val="00713C2A"/>
    <w:rsid w:val="00717C73"/>
    <w:rsid w:val="00730055"/>
    <w:rsid w:val="00733713"/>
    <w:rsid w:val="007459C5"/>
    <w:rsid w:val="00753EEE"/>
    <w:rsid w:val="007779DE"/>
    <w:rsid w:val="00782654"/>
    <w:rsid w:val="0078625D"/>
    <w:rsid w:val="007B5688"/>
    <w:rsid w:val="007C4478"/>
    <w:rsid w:val="007D2AA8"/>
    <w:rsid w:val="007D4E9F"/>
    <w:rsid w:val="007F273B"/>
    <w:rsid w:val="007F6413"/>
    <w:rsid w:val="007F7E28"/>
    <w:rsid w:val="00804CCD"/>
    <w:rsid w:val="00812078"/>
    <w:rsid w:val="00813D4E"/>
    <w:rsid w:val="00824450"/>
    <w:rsid w:val="00855353"/>
    <w:rsid w:val="00856676"/>
    <w:rsid w:val="008615CD"/>
    <w:rsid w:val="008639B6"/>
    <w:rsid w:val="0086736D"/>
    <w:rsid w:val="00882C89"/>
    <w:rsid w:val="008903DA"/>
    <w:rsid w:val="008906B2"/>
    <w:rsid w:val="008954E6"/>
    <w:rsid w:val="008A2C57"/>
    <w:rsid w:val="008B6201"/>
    <w:rsid w:val="008B7DBA"/>
    <w:rsid w:val="008C0A84"/>
    <w:rsid w:val="008C2938"/>
    <w:rsid w:val="008C7284"/>
    <w:rsid w:val="008E6EC9"/>
    <w:rsid w:val="00906233"/>
    <w:rsid w:val="0092105D"/>
    <w:rsid w:val="00922CB6"/>
    <w:rsid w:val="00931EA0"/>
    <w:rsid w:val="009409F2"/>
    <w:rsid w:val="00942847"/>
    <w:rsid w:val="00961813"/>
    <w:rsid w:val="0096279D"/>
    <w:rsid w:val="00967F3B"/>
    <w:rsid w:val="00974A81"/>
    <w:rsid w:val="00981C59"/>
    <w:rsid w:val="00990709"/>
    <w:rsid w:val="00993C1F"/>
    <w:rsid w:val="0099760F"/>
    <w:rsid w:val="009A2FDC"/>
    <w:rsid w:val="009A5937"/>
    <w:rsid w:val="009B15D7"/>
    <w:rsid w:val="009B47A8"/>
    <w:rsid w:val="009B64D7"/>
    <w:rsid w:val="009C2799"/>
    <w:rsid w:val="009C399E"/>
    <w:rsid w:val="009C5EBF"/>
    <w:rsid w:val="009C7D71"/>
    <w:rsid w:val="009D7F63"/>
    <w:rsid w:val="009F03AA"/>
    <w:rsid w:val="009F5F25"/>
    <w:rsid w:val="00A166FC"/>
    <w:rsid w:val="00A16B79"/>
    <w:rsid w:val="00A17ADF"/>
    <w:rsid w:val="00A23ECC"/>
    <w:rsid w:val="00A26EA7"/>
    <w:rsid w:val="00A33E5C"/>
    <w:rsid w:val="00A3501D"/>
    <w:rsid w:val="00A407C4"/>
    <w:rsid w:val="00A4470C"/>
    <w:rsid w:val="00A631FD"/>
    <w:rsid w:val="00AA12F6"/>
    <w:rsid w:val="00AA17F5"/>
    <w:rsid w:val="00AA2ADE"/>
    <w:rsid w:val="00AC48A4"/>
    <w:rsid w:val="00AD0C16"/>
    <w:rsid w:val="00AE2056"/>
    <w:rsid w:val="00AE386F"/>
    <w:rsid w:val="00B00456"/>
    <w:rsid w:val="00B066F2"/>
    <w:rsid w:val="00B15A6B"/>
    <w:rsid w:val="00B22342"/>
    <w:rsid w:val="00B23A2D"/>
    <w:rsid w:val="00B3201F"/>
    <w:rsid w:val="00B36B5D"/>
    <w:rsid w:val="00B53B8B"/>
    <w:rsid w:val="00B570DA"/>
    <w:rsid w:val="00BA3770"/>
    <w:rsid w:val="00BA45E4"/>
    <w:rsid w:val="00BA4D73"/>
    <w:rsid w:val="00BA61C2"/>
    <w:rsid w:val="00BB1083"/>
    <w:rsid w:val="00BB5182"/>
    <w:rsid w:val="00BC0436"/>
    <w:rsid w:val="00BD2373"/>
    <w:rsid w:val="00BE06B0"/>
    <w:rsid w:val="00BE4062"/>
    <w:rsid w:val="00BE7FBB"/>
    <w:rsid w:val="00BF2067"/>
    <w:rsid w:val="00BF27DC"/>
    <w:rsid w:val="00C229A5"/>
    <w:rsid w:val="00C3684F"/>
    <w:rsid w:val="00C422CD"/>
    <w:rsid w:val="00C438D9"/>
    <w:rsid w:val="00C67E4A"/>
    <w:rsid w:val="00C7192D"/>
    <w:rsid w:val="00C7643F"/>
    <w:rsid w:val="00C85918"/>
    <w:rsid w:val="00CA17DA"/>
    <w:rsid w:val="00CA4E6A"/>
    <w:rsid w:val="00CA5B92"/>
    <w:rsid w:val="00CA76B4"/>
    <w:rsid w:val="00CB548E"/>
    <w:rsid w:val="00CC21A9"/>
    <w:rsid w:val="00CC2812"/>
    <w:rsid w:val="00CD0BAD"/>
    <w:rsid w:val="00CD27EF"/>
    <w:rsid w:val="00CF22FE"/>
    <w:rsid w:val="00D10A3E"/>
    <w:rsid w:val="00D334B4"/>
    <w:rsid w:val="00D37752"/>
    <w:rsid w:val="00D45196"/>
    <w:rsid w:val="00D458D4"/>
    <w:rsid w:val="00D52704"/>
    <w:rsid w:val="00D627CC"/>
    <w:rsid w:val="00D6367E"/>
    <w:rsid w:val="00D66A8B"/>
    <w:rsid w:val="00D76CD0"/>
    <w:rsid w:val="00D85162"/>
    <w:rsid w:val="00D95891"/>
    <w:rsid w:val="00DA1110"/>
    <w:rsid w:val="00DB4913"/>
    <w:rsid w:val="00DB7440"/>
    <w:rsid w:val="00DC2FC8"/>
    <w:rsid w:val="00DD323C"/>
    <w:rsid w:val="00DD4297"/>
    <w:rsid w:val="00E02C82"/>
    <w:rsid w:val="00E123F7"/>
    <w:rsid w:val="00E23921"/>
    <w:rsid w:val="00E35887"/>
    <w:rsid w:val="00E37E98"/>
    <w:rsid w:val="00E46D05"/>
    <w:rsid w:val="00E47E8F"/>
    <w:rsid w:val="00E52794"/>
    <w:rsid w:val="00E75DB7"/>
    <w:rsid w:val="00E77D31"/>
    <w:rsid w:val="00E80E83"/>
    <w:rsid w:val="00E82FED"/>
    <w:rsid w:val="00E95378"/>
    <w:rsid w:val="00EA341A"/>
    <w:rsid w:val="00EA5854"/>
    <w:rsid w:val="00EB3734"/>
    <w:rsid w:val="00EB3C3C"/>
    <w:rsid w:val="00EB6130"/>
    <w:rsid w:val="00EB7906"/>
    <w:rsid w:val="00ED1905"/>
    <w:rsid w:val="00EF5F1B"/>
    <w:rsid w:val="00EF69EB"/>
    <w:rsid w:val="00F06141"/>
    <w:rsid w:val="00F2341B"/>
    <w:rsid w:val="00F2794C"/>
    <w:rsid w:val="00F30CDA"/>
    <w:rsid w:val="00F32416"/>
    <w:rsid w:val="00F368C2"/>
    <w:rsid w:val="00F41AA1"/>
    <w:rsid w:val="00F42349"/>
    <w:rsid w:val="00F54672"/>
    <w:rsid w:val="00F60E3B"/>
    <w:rsid w:val="00F610FD"/>
    <w:rsid w:val="00F6409E"/>
    <w:rsid w:val="00F677E7"/>
    <w:rsid w:val="00F7644F"/>
    <w:rsid w:val="00F808E2"/>
    <w:rsid w:val="00F81F3F"/>
    <w:rsid w:val="00F824E5"/>
    <w:rsid w:val="00F837A3"/>
    <w:rsid w:val="00F92ED6"/>
    <w:rsid w:val="00FA45C5"/>
    <w:rsid w:val="07723791"/>
    <w:rsid w:val="08881C0E"/>
    <w:rsid w:val="11A86326"/>
    <w:rsid w:val="22A90607"/>
    <w:rsid w:val="25B56FB1"/>
    <w:rsid w:val="28851296"/>
    <w:rsid w:val="2AB25798"/>
    <w:rsid w:val="2BB50CFE"/>
    <w:rsid w:val="38F82BC2"/>
    <w:rsid w:val="39482ED8"/>
    <w:rsid w:val="3A0C68D4"/>
    <w:rsid w:val="3B3F41E7"/>
    <w:rsid w:val="3FDE35A4"/>
    <w:rsid w:val="3FF32212"/>
    <w:rsid w:val="4023250B"/>
    <w:rsid w:val="42F06079"/>
    <w:rsid w:val="441B4083"/>
    <w:rsid w:val="4699545A"/>
    <w:rsid w:val="49AD2118"/>
    <w:rsid w:val="4BCC3D95"/>
    <w:rsid w:val="5005476A"/>
    <w:rsid w:val="539419DD"/>
    <w:rsid w:val="54AA7C64"/>
    <w:rsid w:val="58FD0489"/>
    <w:rsid w:val="5BB00E8E"/>
    <w:rsid w:val="5E341E3D"/>
    <w:rsid w:val="68894B80"/>
    <w:rsid w:val="69D25FD4"/>
    <w:rsid w:val="75FC5026"/>
    <w:rsid w:val="78105A68"/>
    <w:rsid w:val="797701EB"/>
    <w:rsid w:val="79EA6A4A"/>
    <w:rsid w:val="7AA35ED3"/>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1352C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qFormat="1"/>
    <w:lsdException w:name="heading 3" w:semiHidden="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qFormat="1"/>
    <w:lsdException w:name="header" w:semiHidden="0" w:qFormat="1"/>
    <w:lsdException w:name="footer" w:semiHidden="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qFormat="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qFormat="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0" w:unhideWhenUsed="0" w:qFormat="1"/>
    <w:lsdException w:name="annotation subject"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semiHidden="0" w:unhideWhenUsed="0"/>
    <w:lsdException w:name="Table Subtle 2" w:locked="1"/>
    <w:lsdException w:name="Table Web 1" w:locked="1"/>
    <w:lsdException w:name="Table Web 2" w:locked="1" w:semiHidden="0" w:unhideWhenUsed="0"/>
    <w:lsdException w:name="Table Web 3" w:locked="1" w:semiHidden="0" w:unhideWhenUsed="0"/>
    <w:lsdException w:name="Balloon Text" w:qFormat="1"/>
    <w:lsdException w:name="Table Grid" w:semiHidden="0" w:uiPriority="0" w:unhideWhenUsed="0"/>
    <w:lsdException w:name="Table Theme" w:locked="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hidden/>
    <w:qFormat/>
    <w:rsid w:val="006750EC"/>
    <w:pPr>
      <w:widowControl w:val="0"/>
      <w:jc w:val="both"/>
    </w:pPr>
    <w:rPr>
      <w:rFonts w:ascii="Calibri" w:hAnsi="Calibri"/>
      <w:kern w:val="2"/>
      <w:sz w:val="21"/>
      <w:szCs w:val="22"/>
    </w:rPr>
  </w:style>
  <w:style w:type="paragraph" w:styleId="2">
    <w:name w:val="heading 2"/>
    <w:basedOn w:val="a"/>
    <w:next w:val="a"/>
    <w:link w:val="2Char"/>
    <w:uiPriority w:val="99"/>
    <w:qFormat/>
    <w:rsid w:val="006750EC"/>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Char"/>
    <w:uiPriority w:val="99"/>
    <w:qFormat/>
    <w:rsid w:val="006750E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6750EC"/>
    <w:rPr>
      <w:sz w:val="24"/>
      <w:szCs w:val="24"/>
    </w:rPr>
  </w:style>
  <w:style w:type="paragraph" w:styleId="a4">
    <w:name w:val="Balloon Text"/>
    <w:basedOn w:val="a"/>
    <w:link w:val="Char0"/>
    <w:uiPriority w:val="99"/>
    <w:semiHidden/>
    <w:qFormat/>
    <w:rsid w:val="006750EC"/>
    <w:rPr>
      <w:rFonts w:ascii="Lucida Grande" w:hAnsi="Lucida Grande" w:cs="Lucida Grande"/>
      <w:sz w:val="18"/>
      <w:szCs w:val="18"/>
    </w:rPr>
  </w:style>
  <w:style w:type="paragraph" w:styleId="a5">
    <w:name w:val="footer"/>
    <w:basedOn w:val="a"/>
    <w:link w:val="Char1"/>
    <w:uiPriority w:val="99"/>
    <w:qFormat/>
    <w:rsid w:val="006750EC"/>
    <w:pPr>
      <w:tabs>
        <w:tab w:val="center" w:pos="4153"/>
        <w:tab w:val="right" w:pos="8306"/>
      </w:tabs>
      <w:snapToGrid w:val="0"/>
      <w:jc w:val="left"/>
    </w:pPr>
    <w:rPr>
      <w:sz w:val="18"/>
      <w:szCs w:val="18"/>
    </w:rPr>
  </w:style>
  <w:style w:type="paragraph" w:styleId="a6">
    <w:name w:val="header"/>
    <w:basedOn w:val="a"/>
    <w:link w:val="Char2"/>
    <w:uiPriority w:val="99"/>
    <w:qFormat/>
    <w:rsid w:val="006750EC"/>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qFormat/>
    <w:rsid w:val="006750EC"/>
    <w:rPr>
      <w:b/>
      <w:bCs/>
      <w:sz w:val="20"/>
      <w:szCs w:val="20"/>
    </w:rPr>
  </w:style>
  <w:style w:type="character" w:styleId="a8">
    <w:name w:val="Hyperlink"/>
    <w:basedOn w:val="a0"/>
    <w:uiPriority w:val="99"/>
    <w:qFormat/>
    <w:rsid w:val="006750EC"/>
    <w:rPr>
      <w:rFonts w:cs="Times New Roman"/>
      <w:color w:val="0000FF"/>
      <w:u w:val="single"/>
    </w:rPr>
  </w:style>
  <w:style w:type="character" w:styleId="a9">
    <w:name w:val="annotation reference"/>
    <w:basedOn w:val="a0"/>
    <w:uiPriority w:val="99"/>
    <w:semiHidden/>
    <w:qFormat/>
    <w:rsid w:val="006750EC"/>
    <w:rPr>
      <w:rFonts w:cs="Times New Roman"/>
      <w:sz w:val="18"/>
    </w:rPr>
  </w:style>
  <w:style w:type="character" w:customStyle="1" w:styleId="2Char">
    <w:name w:val="标题 2 Char"/>
    <w:basedOn w:val="a0"/>
    <w:link w:val="2"/>
    <w:uiPriority w:val="99"/>
    <w:qFormat/>
    <w:locked/>
    <w:rsid w:val="006750EC"/>
    <w:rPr>
      <w:rFonts w:ascii="宋体" w:eastAsia="宋体" w:hAnsi="宋体" w:cs="宋体"/>
      <w:b/>
      <w:bCs/>
      <w:kern w:val="0"/>
      <w:sz w:val="36"/>
      <w:szCs w:val="36"/>
    </w:rPr>
  </w:style>
  <w:style w:type="character" w:customStyle="1" w:styleId="3Char">
    <w:name w:val="标题 3 Char"/>
    <w:basedOn w:val="a0"/>
    <w:link w:val="3"/>
    <w:uiPriority w:val="99"/>
    <w:qFormat/>
    <w:locked/>
    <w:rsid w:val="006750EC"/>
    <w:rPr>
      <w:rFonts w:ascii="Calibri" w:eastAsia="宋体" w:hAnsi="Calibri" w:cs="Times New Roman"/>
      <w:b/>
      <w:bCs/>
      <w:sz w:val="32"/>
      <w:szCs w:val="32"/>
    </w:rPr>
  </w:style>
  <w:style w:type="character" w:customStyle="1" w:styleId="Char">
    <w:name w:val="批注文字 Char"/>
    <w:basedOn w:val="a0"/>
    <w:link w:val="a3"/>
    <w:uiPriority w:val="99"/>
    <w:qFormat/>
    <w:locked/>
    <w:rsid w:val="006750EC"/>
    <w:rPr>
      <w:rFonts w:ascii="Calibri" w:eastAsia="宋体" w:hAnsi="Calibri" w:cs="Times New Roman"/>
      <w:sz w:val="24"/>
      <w:szCs w:val="24"/>
    </w:rPr>
  </w:style>
  <w:style w:type="character" w:customStyle="1" w:styleId="Char0">
    <w:name w:val="批注框文本 Char"/>
    <w:basedOn w:val="a0"/>
    <w:link w:val="a4"/>
    <w:uiPriority w:val="99"/>
    <w:semiHidden/>
    <w:qFormat/>
    <w:locked/>
    <w:rsid w:val="006750EC"/>
    <w:rPr>
      <w:rFonts w:ascii="Lucida Grande" w:eastAsia="宋体" w:hAnsi="Lucida Grande" w:cs="Lucida Grande"/>
      <w:sz w:val="18"/>
      <w:szCs w:val="18"/>
    </w:rPr>
  </w:style>
  <w:style w:type="character" w:customStyle="1" w:styleId="Char1">
    <w:name w:val="页脚 Char"/>
    <w:basedOn w:val="a0"/>
    <w:link w:val="a5"/>
    <w:uiPriority w:val="99"/>
    <w:qFormat/>
    <w:locked/>
    <w:rsid w:val="006750EC"/>
    <w:rPr>
      <w:rFonts w:cs="Times New Roman"/>
      <w:sz w:val="18"/>
      <w:szCs w:val="18"/>
    </w:rPr>
  </w:style>
  <w:style w:type="character" w:customStyle="1" w:styleId="Char2">
    <w:name w:val="页眉 Char"/>
    <w:basedOn w:val="a0"/>
    <w:link w:val="a6"/>
    <w:uiPriority w:val="99"/>
    <w:qFormat/>
    <w:locked/>
    <w:rsid w:val="006750EC"/>
    <w:rPr>
      <w:rFonts w:cs="Times New Roman"/>
      <w:sz w:val="18"/>
      <w:szCs w:val="18"/>
    </w:rPr>
  </w:style>
  <w:style w:type="character" w:customStyle="1" w:styleId="Char3">
    <w:name w:val="批注主题 Char"/>
    <w:basedOn w:val="Char"/>
    <w:link w:val="a7"/>
    <w:uiPriority w:val="99"/>
    <w:semiHidden/>
    <w:qFormat/>
    <w:locked/>
    <w:rsid w:val="006750EC"/>
    <w:rPr>
      <w:rFonts w:ascii="Calibri" w:eastAsia="宋体" w:hAnsi="Calibri" w:cs="Times New Roman"/>
      <w:b/>
      <w:bCs/>
      <w:sz w:val="20"/>
      <w:szCs w:val="20"/>
    </w:rPr>
  </w:style>
  <w:style w:type="character" w:customStyle="1" w:styleId="fontstyle01">
    <w:name w:val="fontstyle01"/>
    <w:uiPriority w:val="99"/>
    <w:qFormat/>
    <w:rsid w:val="006750EC"/>
    <w:rPr>
      <w:rFonts w:ascii="MinionPro-Regular" w:hAnsi="MinionPro-Regular"/>
      <w:color w:val="000000"/>
      <w:sz w:val="20"/>
    </w:rPr>
  </w:style>
  <w:style w:type="character" w:customStyle="1" w:styleId="fontstyle21">
    <w:name w:val="fontstyle21"/>
    <w:uiPriority w:val="99"/>
    <w:qFormat/>
    <w:rsid w:val="006750EC"/>
    <w:rPr>
      <w:rFonts w:ascii="EuclidSymbol" w:hAnsi="EuclidSymbol"/>
      <w:color w:val="000000"/>
      <w:sz w:val="20"/>
    </w:rPr>
  </w:style>
  <w:style w:type="character" w:customStyle="1" w:styleId="ft">
    <w:name w:val="ft"/>
    <w:uiPriority w:val="99"/>
    <w:qFormat/>
    <w:rsid w:val="006750EC"/>
  </w:style>
  <w:style w:type="character" w:customStyle="1" w:styleId="apple-converted-space">
    <w:name w:val="apple-converted-space"/>
    <w:basedOn w:val="a0"/>
    <w:uiPriority w:val="99"/>
    <w:qFormat/>
    <w:rsid w:val="006750EC"/>
    <w:rPr>
      <w:rFonts w:cs="Times New Roman"/>
    </w:rPr>
  </w:style>
  <w:style w:type="character" w:customStyle="1" w:styleId="high-light">
    <w:name w:val="high-light"/>
    <w:basedOn w:val="a0"/>
    <w:uiPriority w:val="99"/>
    <w:qFormat/>
    <w:rsid w:val="006750EC"/>
    <w:rPr>
      <w:rFonts w:cs="Times New Roman"/>
    </w:rPr>
  </w:style>
  <w:style w:type="paragraph" w:customStyle="1" w:styleId="FAAuthorInfoSubtitle">
    <w:name w:val="FA_Author_Info_Subtitle"/>
    <w:basedOn w:val="a"/>
    <w:uiPriority w:val="99"/>
    <w:qFormat/>
    <w:rsid w:val="006750EC"/>
    <w:pPr>
      <w:widowControl/>
      <w:spacing w:before="120" w:after="60" w:line="480" w:lineRule="auto"/>
      <w:jc w:val="left"/>
    </w:pPr>
    <w:rPr>
      <w:rFonts w:ascii="Times" w:hAnsi="Times"/>
      <w:b/>
      <w:kern w:val="0"/>
      <w:sz w:val="24"/>
      <w:szCs w:val="20"/>
      <w:lang w:eastAsia="en-US"/>
    </w:rPr>
  </w:style>
  <w:style w:type="character" w:customStyle="1" w:styleId="fontstyle11">
    <w:name w:val="fontstyle11"/>
    <w:uiPriority w:val="99"/>
    <w:qFormat/>
    <w:rsid w:val="006750EC"/>
    <w:rPr>
      <w:rFonts w:ascii="Italic" w:hAnsi="Italic"/>
      <w:i/>
      <w:color w:val="000000"/>
      <w:sz w:val="24"/>
    </w:rPr>
  </w:style>
  <w:style w:type="character" w:customStyle="1" w:styleId="fontstyle31">
    <w:name w:val="fontstyle31"/>
    <w:uiPriority w:val="99"/>
    <w:rsid w:val="006750EC"/>
    <w:rPr>
      <w:rFonts w:ascii="TimesNewRoman" w:hAnsi="TimesNewRoman"/>
      <w:color w:val="000000"/>
      <w:sz w:val="24"/>
    </w:rPr>
  </w:style>
  <w:style w:type="paragraph" w:customStyle="1" w:styleId="para">
    <w:name w:val="para"/>
    <w:basedOn w:val="a"/>
    <w:uiPriority w:val="99"/>
    <w:qFormat/>
    <w:rsid w:val="006750EC"/>
    <w:pPr>
      <w:widowControl/>
      <w:spacing w:before="100" w:beforeAutospacing="1" w:after="100" w:afterAutospacing="1"/>
      <w:jc w:val="left"/>
    </w:pPr>
    <w:rPr>
      <w:rFonts w:ascii="宋体" w:hAnsi="宋体" w:cs="宋体"/>
      <w:kern w:val="0"/>
      <w:sz w:val="24"/>
      <w:szCs w:val="24"/>
    </w:rPr>
  </w:style>
  <w:style w:type="paragraph" w:customStyle="1" w:styleId="Pa28">
    <w:name w:val="Pa28"/>
    <w:basedOn w:val="a"/>
    <w:next w:val="a"/>
    <w:uiPriority w:val="99"/>
    <w:rsid w:val="0099760F"/>
    <w:pPr>
      <w:widowControl/>
      <w:autoSpaceDE w:val="0"/>
      <w:autoSpaceDN w:val="0"/>
      <w:adjustRightInd w:val="0"/>
      <w:spacing w:line="241" w:lineRule="atLeast"/>
      <w:jc w:val="left"/>
    </w:pPr>
    <w:rPr>
      <w:rFonts w:ascii="Times New Roman" w:hAnsi="Times New Roman"/>
      <w:kern w:val="0"/>
      <w:sz w:val="24"/>
      <w:szCs w:val="24"/>
      <w:lang w:val="fr-FR" w:eastAsia="fr-FR"/>
    </w:rPr>
  </w:style>
  <w:style w:type="paragraph" w:styleId="aa">
    <w:name w:val="List Paragraph"/>
    <w:basedOn w:val="a"/>
    <w:uiPriority w:val="34"/>
    <w:qFormat/>
    <w:rsid w:val="00E82FED"/>
    <w:pPr>
      <w:widowControl/>
      <w:spacing w:after="200" w:line="276" w:lineRule="auto"/>
      <w:ind w:left="720"/>
      <w:contextualSpacing/>
      <w:jc w:val="left"/>
    </w:pPr>
    <w:rPr>
      <w:kern w:val="0"/>
      <w:sz w:val="22"/>
      <w:lang w:val="fr-FR" w:eastAsia="en-US"/>
    </w:rPr>
  </w:style>
  <w:style w:type="character" w:styleId="ab">
    <w:name w:val="Strong"/>
    <w:uiPriority w:val="22"/>
    <w:qFormat/>
    <w:rsid w:val="00E82FED"/>
    <w:rPr>
      <w:b/>
      <w:bCs/>
    </w:rPr>
  </w:style>
  <w:style w:type="character" w:customStyle="1" w:styleId="1">
    <w:name w:val="未处理的提及1"/>
    <w:basedOn w:val="a0"/>
    <w:uiPriority w:val="99"/>
    <w:semiHidden/>
    <w:unhideWhenUsed/>
    <w:rsid w:val="0017090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qFormat="1"/>
    <w:lsdException w:name="heading 3" w:semiHidden="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qFormat="1"/>
    <w:lsdException w:name="header" w:semiHidden="0" w:qFormat="1"/>
    <w:lsdException w:name="footer" w:semiHidden="0" w:qFormat="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qFormat="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1" w:qFormat="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semiHidden="0" w:qFormat="1"/>
    <w:lsdException w:name="FollowedHyperlink" w:locked="1"/>
    <w:lsdException w:name="Strong" w:semiHidden="0" w:uiPriority="22" w:unhideWhenUsed="0" w:qFormat="1"/>
    <w:lsdException w:name="Emphasis" w:semiHidden="0" w:uiPriority="0" w:unhideWhenUsed="0"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0" w:unhideWhenUsed="0" w:qFormat="1"/>
    <w:lsdException w:name="annotation subject" w:qFormat="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semiHidden="0" w:unhideWhenUsed="0"/>
    <w:lsdException w:name="Table Subtle 2" w:locked="1"/>
    <w:lsdException w:name="Table Web 1" w:locked="1"/>
    <w:lsdException w:name="Table Web 2" w:locked="1" w:semiHidden="0" w:unhideWhenUsed="0"/>
    <w:lsdException w:name="Table Web 3" w:locked="1" w:semiHidden="0" w:unhideWhenUsed="0"/>
    <w:lsdException w:name="Balloon Text" w:qFormat="1"/>
    <w:lsdException w:name="Table Grid" w:semiHidden="0" w:uiPriority="0" w:unhideWhenUsed="0"/>
    <w:lsdException w:name="Table Theme" w:locked="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hidden/>
    <w:qFormat/>
    <w:rsid w:val="006750EC"/>
    <w:pPr>
      <w:widowControl w:val="0"/>
      <w:jc w:val="both"/>
    </w:pPr>
    <w:rPr>
      <w:rFonts w:ascii="Calibri" w:hAnsi="Calibri"/>
      <w:kern w:val="2"/>
      <w:sz w:val="21"/>
      <w:szCs w:val="22"/>
    </w:rPr>
  </w:style>
  <w:style w:type="paragraph" w:styleId="2">
    <w:name w:val="heading 2"/>
    <w:basedOn w:val="a"/>
    <w:next w:val="a"/>
    <w:link w:val="2Char"/>
    <w:uiPriority w:val="99"/>
    <w:qFormat/>
    <w:rsid w:val="006750EC"/>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
    <w:next w:val="a"/>
    <w:link w:val="3Char"/>
    <w:uiPriority w:val="99"/>
    <w:qFormat/>
    <w:rsid w:val="006750E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qFormat/>
    <w:rsid w:val="006750EC"/>
    <w:rPr>
      <w:sz w:val="24"/>
      <w:szCs w:val="24"/>
    </w:rPr>
  </w:style>
  <w:style w:type="paragraph" w:styleId="a4">
    <w:name w:val="Balloon Text"/>
    <w:basedOn w:val="a"/>
    <w:link w:val="Char0"/>
    <w:uiPriority w:val="99"/>
    <w:semiHidden/>
    <w:qFormat/>
    <w:rsid w:val="006750EC"/>
    <w:rPr>
      <w:rFonts w:ascii="Lucida Grande" w:hAnsi="Lucida Grande" w:cs="Lucida Grande"/>
      <w:sz w:val="18"/>
      <w:szCs w:val="18"/>
    </w:rPr>
  </w:style>
  <w:style w:type="paragraph" w:styleId="a5">
    <w:name w:val="footer"/>
    <w:basedOn w:val="a"/>
    <w:link w:val="Char1"/>
    <w:uiPriority w:val="99"/>
    <w:qFormat/>
    <w:rsid w:val="006750EC"/>
    <w:pPr>
      <w:tabs>
        <w:tab w:val="center" w:pos="4153"/>
        <w:tab w:val="right" w:pos="8306"/>
      </w:tabs>
      <w:snapToGrid w:val="0"/>
      <w:jc w:val="left"/>
    </w:pPr>
    <w:rPr>
      <w:sz w:val="18"/>
      <w:szCs w:val="18"/>
    </w:rPr>
  </w:style>
  <w:style w:type="paragraph" w:styleId="a6">
    <w:name w:val="header"/>
    <w:basedOn w:val="a"/>
    <w:link w:val="Char2"/>
    <w:uiPriority w:val="99"/>
    <w:qFormat/>
    <w:rsid w:val="006750EC"/>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uiPriority w:val="99"/>
    <w:semiHidden/>
    <w:qFormat/>
    <w:rsid w:val="006750EC"/>
    <w:rPr>
      <w:b/>
      <w:bCs/>
      <w:sz w:val="20"/>
      <w:szCs w:val="20"/>
    </w:rPr>
  </w:style>
  <w:style w:type="character" w:styleId="a8">
    <w:name w:val="Hyperlink"/>
    <w:basedOn w:val="a0"/>
    <w:uiPriority w:val="99"/>
    <w:qFormat/>
    <w:rsid w:val="006750EC"/>
    <w:rPr>
      <w:rFonts w:cs="Times New Roman"/>
      <w:color w:val="0000FF"/>
      <w:u w:val="single"/>
    </w:rPr>
  </w:style>
  <w:style w:type="character" w:styleId="a9">
    <w:name w:val="annotation reference"/>
    <w:basedOn w:val="a0"/>
    <w:uiPriority w:val="99"/>
    <w:semiHidden/>
    <w:qFormat/>
    <w:rsid w:val="006750EC"/>
    <w:rPr>
      <w:rFonts w:cs="Times New Roman"/>
      <w:sz w:val="18"/>
    </w:rPr>
  </w:style>
  <w:style w:type="character" w:customStyle="1" w:styleId="2Char">
    <w:name w:val="标题 2 Char"/>
    <w:basedOn w:val="a0"/>
    <w:link w:val="2"/>
    <w:uiPriority w:val="99"/>
    <w:qFormat/>
    <w:locked/>
    <w:rsid w:val="006750EC"/>
    <w:rPr>
      <w:rFonts w:ascii="宋体" w:eastAsia="宋体" w:hAnsi="宋体" w:cs="宋体"/>
      <w:b/>
      <w:bCs/>
      <w:kern w:val="0"/>
      <w:sz w:val="36"/>
      <w:szCs w:val="36"/>
    </w:rPr>
  </w:style>
  <w:style w:type="character" w:customStyle="1" w:styleId="3Char">
    <w:name w:val="标题 3 Char"/>
    <w:basedOn w:val="a0"/>
    <w:link w:val="3"/>
    <w:uiPriority w:val="99"/>
    <w:qFormat/>
    <w:locked/>
    <w:rsid w:val="006750EC"/>
    <w:rPr>
      <w:rFonts w:ascii="Calibri" w:eastAsia="宋体" w:hAnsi="Calibri" w:cs="Times New Roman"/>
      <w:b/>
      <w:bCs/>
      <w:sz w:val="32"/>
      <w:szCs w:val="32"/>
    </w:rPr>
  </w:style>
  <w:style w:type="character" w:customStyle="1" w:styleId="Char">
    <w:name w:val="批注文字 Char"/>
    <w:basedOn w:val="a0"/>
    <w:link w:val="a3"/>
    <w:uiPriority w:val="99"/>
    <w:qFormat/>
    <w:locked/>
    <w:rsid w:val="006750EC"/>
    <w:rPr>
      <w:rFonts w:ascii="Calibri" w:eastAsia="宋体" w:hAnsi="Calibri" w:cs="Times New Roman"/>
      <w:sz w:val="24"/>
      <w:szCs w:val="24"/>
    </w:rPr>
  </w:style>
  <w:style w:type="character" w:customStyle="1" w:styleId="Char0">
    <w:name w:val="批注框文本 Char"/>
    <w:basedOn w:val="a0"/>
    <w:link w:val="a4"/>
    <w:uiPriority w:val="99"/>
    <w:semiHidden/>
    <w:qFormat/>
    <w:locked/>
    <w:rsid w:val="006750EC"/>
    <w:rPr>
      <w:rFonts w:ascii="Lucida Grande" w:eastAsia="宋体" w:hAnsi="Lucida Grande" w:cs="Lucida Grande"/>
      <w:sz w:val="18"/>
      <w:szCs w:val="18"/>
    </w:rPr>
  </w:style>
  <w:style w:type="character" w:customStyle="1" w:styleId="Char1">
    <w:name w:val="页脚 Char"/>
    <w:basedOn w:val="a0"/>
    <w:link w:val="a5"/>
    <w:uiPriority w:val="99"/>
    <w:qFormat/>
    <w:locked/>
    <w:rsid w:val="006750EC"/>
    <w:rPr>
      <w:rFonts w:cs="Times New Roman"/>
      <w:sz w:val="18"/>
      <w:szCs w:val="18"/>
    </w:rPr>
  </w:style>
  <w:style w:type="character" w:customStyle="1" w:styleId="Char2">
    <w:name w:val="页眉 Char"/>
    <w:basedOn w:val="a0"/>
    <w:link w:val="a6"/>
    <w:uiPriority w:val="99"/>
    <w:qFormat/>
    <w:locked/>
    <w:rsid w:val="006750EC"/>
    <w:rPr>
      <w:rFonts w:cs="Times New Roman"/>
      <w:sz w:val="18"/>
      <w:szCs w:val="18"/>
    </w:rPr>
  </w:style>
  <w:style w:type="character" w:customStyle="1" w:styleId="Char3">
    <w:name w:val="批注主题 Char"/>
    <w:basedOn w:val="Char"/>
    <w:link w:val="a7"/>
    <w:uiPriority w:val="99"/>
    <w:semiHidden/>
    <w:qFormat/>
    <w:locked/>
    <w:rsid w:val="006750EC"/>
    <w:rPr>
      <w:rFonts w:ascii="Calibri" w:eastAsia="宋体" w:hAnsi="Calibri" w:cs="Times New Roman"/>
      <w:b/>
      <w:bCs/>
      <w:sz w:val="20"/>
      <w:szCs w:val="20"/>
    </w:rPr>
  </w:style>
  <w:style w:type="character" w:customStyle="1" w:styleId="fontstyle01">
    <w:name w:val="fontstyle01"/>
    <w:uiPriority w:val="99"/>
    <w:qFormat/>
    <w:rsid w:val="006750EC"/>
    <w:rPr>
      <w:rFonts w:ascii="MinionPro-Regular" w:hAnsi="MinionPro-Regular"/>
      <w:color w:val="000000"/>
      <w:sz w:val="20"/>
    </w:rPr>
  </w:style>
  <w:style w:type="character" w:customStyle="1" w:styleId="fontstyle21">
    <w:name w:val="fontstyle21"/>
    <w:uiPriority w:val="99"/>
    <w:qFormat/>
    <w:rsid w:val="006750EC"/>
    <w:rPr>
      <w:rFonts w:ascii="EuclidSymbol" w:hAnsi="EuclidSymbol"/>
      <w:color w:val="000000"/>
      <w:sz w:val="20"/>
    </w:rPr>
  </w:style>
  <w:style w:type="character" w:customStyle="1" w:styleId="ft">
    <w:name w:val="ft"/>
    <w:uiPriority w:val="99"/>
    <w:qFormat/>
    <w:rsid w:val="006750EC"/>
  </w:style>
  <w:style w:type="character" w:customStyle="1" w:styleId="apple-converted-space">
    <w:name w:val="apple-converted-space"/>
    <w:basedOn w:val="a0"/>
    <w:uiPriority w:val="99"/>
    <w:qFormat/>
    <w:rsid w:val="006750EC"/>
    <w:rPr>
      <w:rFonts w:cs="Times New Roman"/>
    </w:rPr>
  </w:style>
  <w:style w:type="character" w:customStyle="1" w:styleId="high-light">
    <w:name w:val="high-light"/>
    <w:basedOn w:val="a0"/>
    <w:uiPriority w:val="99"/>
    <w:qFormat/>
    <w:rsid w:val="006750EC"/>
    <w:rPr>
      <w:rFonts w:cs="Times New Roman"/>
    </w:rPr>
  </w:style>
  <w:style w:type="paragraph" w:customStyle="1" w:styleId="FAAuthorInfoSubtitle">
    <w:name w:val="FA_Author_Info_Subtitle"/>
    <w:basedOn w:val="a"/>
    <w:uiPriority w:val="99"/>
    <w:qFormat/>
    <w:rsid w:val="006750EC"/>
    <w:pPr>
      <w:widowControl/>
      <w:spacing w:before="120" w:after="60" w:line="480" w:lineRule="auto"/>
      <w:jc w:val="left"/>
    </w:pPr>
    <w:rPr>
      <w:rFonts w:ascii="Times" w:hAnsi="Times"/>
      <w:b/>
      <w:kern w:val="0"/>
      <w:sz w:val="24"/>
      <w:szCs w:val="20"/>
      <w:lang w:eastAsia="en-US"/>
    </w:rPr>
  </w:style>
  <w:style w:type="character" w:customStyle="1" w:styleId="fontstyle11">
    <w:name w:val="fontstyle11"/>
    <w:uiPriority w:val="99"/>
    <w:qFormat/>
    <w:rsid w:val="006750EC"/>
    <w:rPr>
      <w:rFonts w:ascii="Italic" w:hAnsi="Italic"/>
      <w:i/>
      <w:color w:val="000000"/>
      <w:sz w:val="24"/>
    </w:rPr>
  </w:style>
  <w:style w:type="character" w:customStyle="1" w:styleId="fontstyle31">
    <w:name w:val="fontstyle31"/>
    <w:uiPriority w:val="99"/>
    <w:rsid w:val="006750EC"/>
    <w:rPr>
      <w:rFonts w:ascii="TimesNewRoman" w:hAnsi="TimesNewRoman"/>
      <w:color w:val="000000"/>
      <w:sz w:val="24"/>
    </w:rPr>
  </w:style>
  <w:style w:type="paragraph" w:customStyle="1" w:styleId="para">
    <w:name w:val="para"/>
    <w:basedOn w:val="a"/>
    <w:uiPriority w:val="99"/>
    <w:qFormat/>
    <w:rsid w:val="006750EC"/>
    <w:pPr>
      <w:widowControl/>
      <w:spacing w:before="100" w:beforeAutospacing="1" w:after="100" w:afterAutospacing="1"/>
      <w:jc w:val="left"/>
    </w:pPr>
    <w:rPr>
      <w:rFonts w:ascii="宋体" w:hAnsi="宋体" w:cs="宋体"/>
      <w:kern w:val="0"/>
      <w:sz w:val="24"/>
      <w:szCs w:val="24"/>
    </w:rPr>
  </w:style>
  <w:style w:type="paragraph" w:customStyle="1" w:styleId="Pa28">
    <w:name w:val="Pa28"/>
    <w:basedOn w:val="a"/>
    <w:next w:val="a"/>
    <w:uiPriority w:val="99"/>
    <w:rsid w:val="0099760F"/>
    <w:pPr>
      <w:widowControl/>
      <w:autoSpaceDE w:val="0"/>
      <w:autoSpaceDN w:val="0"/>
      <w:adjustRightInd w:val="0"/>
      <w:spacing w:line="241" w:lineRule="atLeast"/>
      <w:jc w:val="left"/>
    </w:pPr>
    <w:rPr>
      <w:rFonts w:ascii="Times New Roman" w:hAnsi="Times New Roman"/>
      <w:kern w:val="0"/>
      <w:sz w:val="24"/>
      <w:szCs w:val="24"/>
      <w:lang w:val="fr-FR" w:eastAsia="fr-FR"/>
    </w:rPr>
  </w:style>
  <w:style w:type="paragraph" w:styleId="aa">
    <w:name w:val="List Paragraph"/>
    <w:basedOn w:val="a"/>
    <w:uiPriority w:val="34"/>
    <w:qFormat/>
    <w:rsid w:val="00E82FED"/>
    <w:pPr>
      <w:widowControl/>
      <w:spacing w:after="200" w:line="276" w:lineRule="auto"/>
      <w:ind w:left="720"/>
      <w:contextualSpacing/>
      <w:jc w:val="left"/>
    </w:pPr>
    <w:rPr>
      <w:kern w:val="0"/>
      <w:sz w:val="22"/>
      <w:lang w:val="fr-FR" w:eastAsia="en-US"/>
    </w:rPr>
  </w:style>
  <w:style w:type="character" w:styleId="ab">
    <w:name w:val="Strong"/>
    <w:uiPriority w:val="22"/>
    <w:qFormat/>
    <w:rsid w:val="00E82FED"/>
    <w:rPr>
      <w:b/>
      <w:bCs/>
    </w:rPr>
  </w:style>
  <w:style w:type="character" w:customStyle="1" w:styleId="1">
    <w:name w:val="未处理的提及1"/>
    <w:basedOn w:val="a0"/>
    <w:uiPriority w:val="99"/>
    <w:semiHidden/>
    <w:unhideWhenUsed/>
    <w:rsid w:val="001709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5181">
      <w:bodyDiv w:val="1"/>
      <w:marLeft w:val="0"/>
      <w:marRight w:val="0"/>
      <w:marTop w:val="0"/>
      <w:marBottom w:val="0"/>
      <w:divBdr>
        <w:top w:val="none" w:sz="0" w:space="0" w:color="auto"/>
        <w:left w:val="none" w:sz="0" w:space="0" w:color="auto"/>
        <w:bottom w:val="none" w:sz="0" w:space="0" w:color="auto"/>
        <w:right w:val="none" w:sz="0" w:space="0" w:color="auto"/>
      </w:divBdr>
    </w:div>
    <w:div w:id="42482553">
      <w:bodyDiv w:val="1"/>
      <w:marLeft w:val="0"/>
      <w:marRight w:val="0"/>
      <w:marTop w:val="0"/>
      <w:marBottom w:val="0"/>
      <w:divBdr>
        <w:top w:val="none" w:sz="0" w:space="0" w:color="auto"/>
        <w:left w:val="none" w:sz="0" w:space="0" w:color="auto"/>
        <w:bottom w:val="none" w:sz="0" w:space="0" w:color="auto"/>
        <w:right w:val="none" w:sz="0" w:space="0" w:color="auto"/>
      </w:divBdr>
    </w:div>
    <w:div w:id="985668512">
      <w:bodyDiv w:val="1"/>
      <w:marLeft w:val="0"/>
      <w:marRight w:val="0"/>
      <w:marTop w:val="0"/>
      <w:marBottom w:val="0"/>
      <w:divBdr>
        <w:top w:val="none" w:sz="0" w:space="0" w:color="auto"/>
        <w:left w:val="none" w:sz="0" w:space="0" w:color="auto"/>
        <w:bottom w:val="none" w:sz="0" w:space="0" w:color="auto"/>
        <w:right w:val="none" w:sz="0" w:space="0" w:color="auto"/>
      </w:divBdr>
    </w:div>
    <w:div w:id="1267469435">
      <w:bodyDiv w:val="1"/>
      <w:marLeft w:val="0"/>
      <w:marRight w:val="0"/>
      <w:marTop w:val="0"/>
      <w:marBottom w:val="0"/>
      <w:divBdr>
        <w:top w:val="none" w:sz="0" w:space="0" w:color="auto"/>
        <w:left w:val="none" w:sz="0" w:space="0" w:color="auto"/>
        <w:bottom w:val="none" w:sz="0" w:space="0" w:color="auto"/>
        <w:right w:val="none" w:sz="0" w:space="0" w:color="auto"/>
      </w:divBdr>
    </w:div>
    <w:div w:id="1415587638">
      <w:bodyDiv w:val="1"/>
      <w:marLeft w:val="0"/>
      <w:marRight w:val="0"/>
      <w:marTop w:val="0"/>
      <w:marBottom w:val="0"/>
      <w:divBdr>
        <w:top w:val="none" w:sz="0" w:space="0" w:color="auto"/>
        <w:left w:val="none" w:sz="0" w:space="0" w:color="auto"/>
        <w:bottom w:val="none" w:sz="0" w:space="0" w:color="auto"/>
        <w:right w:val="none" w:sz="0" w:space="0" w:color="auto"/>
      </w:divBdr>
    </w:div>
    <w:div w:id="14194066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tif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tiff"/><Relationship Id="rId2" Type="http://schemas.openxmlformats.org/officeDocument/2006/relationships/customXml" Target="../customXml/item2.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4.tiff"/><Relationship Id="rId10" Type="http://schemas.openxmlformats.org/officeDocument/2006/relationships/hyperlink" Target="https://www.wjgnet.com/1007-9327/full/v26/i31/4607.ht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DF39A4-9A84-475B-8B56-AE74C847D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6868</Words>
  <Characters>39148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Lenovo (Beijing) Limited</Company>
  <LinksUpToDate>false</LinksUpToDate>
  <CharactersWithSpaces>45925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User</dc:creator>
  <dc:description>NE.Rep</dc:description>
  <cp:lastModifiedBy>Lenovo</cp:lastModifiedBy>
  <cp:revision>2</cp:revision>
  <dcterms:created xsi:type="dcterms:W3CDTF">2020-08-20T03:00:00Z</dcterms:created>
  <dcterms:modified xsi:type="dcterms:W3CDTF">2020-08-20T03:00:00Z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2052-11.3.0.9221</vt:lpwstr>
  </property>
</Properties>
</file>