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2157F01" w14:textId="77777777" w:rsidR="009D0DBE" w:rsidRPr="00E65AD0" w:rsidRDefault="00921B00" w:rsidP="00E65AD0">
      <w:pPr>
        <w:adjustRightInd w:val="0"/>
        <w:snapToGrid w:val="0"/>
        <w:spacing w:after="0" w:line="360" w:lineRule="auto"/>
        <w:rPr>
          <w:rFonts w:ascii="Book Antiqua" w:hAnsi="Book Antiqua"/>
          <w:b/>
          <w:bCs/>
        </w:rPr>
      </w:pPr>
      <w:r w:rsidRPr="00E65AD0">
        <w:rPr>
          <w:rFonts w:ascii="Book Antiqua" w:eastAsia="Times New Roman" w:hAnsi="Book Antiqua"/>
          <w:b/>
          <w:bCs/>
        </w:rPr>
        <w:t xml:space="preserve">Name of Journal: </w:t>
      </w:r>
      <w:r w:rsidRPr="00E65AD0">
        <w:rPr>
          <w:rFonts w:ascii="Book Antiqua" w:eastAsia="Times New Roman" w:hAnsi="Book Antiqua"/>
          <w:i/>
          <w:iCs/>
        </w:rPr>
        <w:t>World Journal of Gastroenterology</w:t>
      </w:r>
    </w:p>
    <w:p w14:paraId="1DB62BD2" w14:textId="77777777" w:rsidR="009D0DBE" w:rsidRPr="00E65AD0" w:rsidRDefault="00921B00" w:rsidP="00E65AD0">
      <w:pPr>
        <w:adjustRightInd w:val="0"/>
        <w:snapToGrid w:val="0"/>
        <w:spacing w:after="0" w:line="360" w:lineRule="auto"/>
        <w:rPr>
          <w:rFonts w:ascii="Book Antiqua" w:eastAsia="宋体" w:hAnsi="Book Antiqua"/>
          <w:b/>
          <w:bCs/>
          <w:i/>
          <w:iCs/>
          <w:lang w:eastAsia="zh-CN"/>
        </w:rPr>
      </w:pPr>
      <w:r w:rsidRPr="00E65AD0">
        <w:rPr>
          <w:rFonts w:ascii="Book Antiqua" w:hAnsi="Book Antiqua" w:cs="Arial"/>
          <w:b/>
          <w:bCs/>
        </w:rPr>
        <w:t xml:space="preserve">Manuscript NO: </w:t>
      </w:r>
      <w:r w:rsidRPr="00E65AD0">
        <w:rPr>
          <w:rFonts w:ascii="Book Antiqua" w:eastAsia="宋体" w:hAnsi="Book Antiqua" w:cs="Arial"/>
          <w:lang w:eastAsia="zh-CN"/>
        </w:rPr>
        <w:t>55448</w:t>
      </w:r>
    </w:p>
    <w:p w14:paraId="70BBE4B0" w14:textId="77777777" w:rsidR="009D0DBE" w:rsidRPr="00E65AD0" w:rsidRDefault="00921B00" w:rsidP="00E65AD0">
      <w:pPr>
        <w:adjustRightInd w:val="0"/>
        <w:snapToGrid w:val="0"/>
        <w:spacing w:after="0" w:line="360" w:lineRule="auto"/>
        <w:rPr>
          <w:rFonts w:ascii="Book Antiqua" w:eastAsia="幼圆" w:hAnsi="Book Antiqua"/>
          <w:b/>
          <w:bCs/>
          <w:i/>
          <w:iCs/>
        </w:rPr>
      </w:pPr>
      <w:r w:rsidRPr="00E65AD0">
        <w:rPr>
          <w:rFonts w:ascii="Book Antiqua" w:hAnsi="Book Antiqua"/>
          <w:b/>
          <w:bCs/>
          <w:shd w:val="clear" w:color="auto" w:fill="FFFFFF"/>
        </w:rPr>
        <w:t>Manuscript Type</w:t>
      </w:r>
      <w:r w:rsidRPr="00E65AD0">
        <w:rPr>
          <w:rFonts w:ascii="Book Antiqua" w:hAnsi="Book Antiqua"/>
          <w:b/>
          <w:bCs/>
        </w:rPr>
        <w:t xml:space="preserve">: </w:t>
      </w:r>
      <w:r w:rsidRPr="00E65AD0">
        <w:rPr>
          <w:rFonts w:ascii="Book Antiqua" w:hAnsi="Book Antiqua"/>
        </w:rPr>
        <w:t>ORIGINAL ARTICLE</w:t>
      </w:r>
    </w:p>
    <w:p w14:paraId="73412620" w14:textId="77777777" w:rsidR="009D0DBE" w:rsidRPr="00E65AD0" w:rsidRDefault="00921B00" w:rsidP="00E65AD0">
      <w:pPr>
        <w:autoSpaceDE w:val="0"/>
        <w:autoSpaceDN w:val="0"/>
        <w:adjustRightInd w:val="0"/>
        <w:snapToGrid w:val="0"/>
        <w:spacing w:after="0" w:line="360" w:lineRule="auto"/>
        <w:rPr>
          <w:rFonts w:ascii="Book Antiqua" w:eastAsia="宋体" w:hAnsi="Book Antiqua"/>
          <w:b/>
          <w:bCs/>
        </w:rPr>
      </w:pPr>
      <w:r w:rsidRPr="00E65AD0">
        <w:rPr>
          <w:rFonts w:ascii="Book Antiqua" w:hAnsi="Book Antiqua"/>
          <w:b/>
          <w:bCs/>
        </w:rPr>
        <w:t xml:space="preserve"> </w:t>
      </w:r>
    </w:p>
    <w:p w14:paraId="256092F0" w14:textId="77777777" w:rsidR="009D0DBE" w:rsidRPr="00E65AD0" w:rsidRDefault="00921B00" w:rsidP="00E65AD0">
      <w:pPr>
        <w:adjustRightInd w:val="0"/>
        <w:snapToGrid w:val="0"/>
        <w:spacing w:after="0" w:line="360" w:lineRule="auto"/>
        <w:rPr>
          <w:rFonts w:ascii="Book Antiqua" w:eastAsia="宋体" w:hAnsi="Book Antiqua"/>
          <w:b/>
          <w:bCs/>
          <w:i/>
          <w:iCs/>
          <w:kern w:val="2"/>
          <w:lang w:eastAsia="zh-CN"/>
        </w:rPr>
      </w:pPr>
      <w:r w:rsidRPr="00E65AD0">
        <w:rPr>
          <w:rFonts w:ascii="Book Antiqua" w:eastAsia="幼圆" w:hAnsi="Book Antiqua"/>
          <w:b/>
          <w:bCs/>
          <w:i/>
          <w:iCs/>
        </w:rPr>
        <w:t>Observational Study</w:t>
      </w:r>
    </w:p>
    <w:p w14:paraId="04F1B7AA" w14:textId="77777777" w:rsidR="009D0DBE" w:rsidRPr="00E65AD0" w:rsidRDefault="00921B00" w:rsidP="00E65AD0">
      <w:pPr>
        <w:snapToGrid w:val="0"/>
        <w:spacing w:after="0" w:line="360" w:lineRule="auto"/>
        <w:rPr>
          <w:rFonts w:ascii="Book Antiqua" w:hAnsi="Book Antiqua"/>
          <w:b/>
          <w:lang w:val="en-GB"/>
        </w:rPr>
      </w:pPr>
      <w:r w:rsidRPr="00E65AD0">
        <w:rPr>
          <w:rFonts w:ascii="Book Antiqua" w:hAnsi="Book Antiqua"/>
          <w:b/>
          <w:i/>
          <w:lang w:val="en-GB"/>
        </w:rPr>
        <w:t xml:space="preserve">Helicobacter </w:t>
      </w:r>
      <w:r w:rsidR="002D1A0E" w:rsidRPr="00E65AD0">
        <w:rPr>
          <w:rFonts w:ascii="Book Antiqua" w:hAnsi="Book Antiqua"/>
          <w:b/>
          <w:i/>
          <w:lang w:val="en-GB"/>
        </w:rPr>
        <w:t>pylori</w:t>
      </w:r>
      <w:r w:rsidRPr="00E65AD0">
        <w:rPr>
          <w:rFonts w:ascii="Book Antiqua" w:hAnsi="Book Antiqua"/>
          <w:b/>
          <w:lang w:val="en-GB"/>
        </w:rPr>
        <w:t>-induced inflammation masks the underlying presence of low-grade dysplasia on gastric lesions</w:t>
      </w:r>
    </w:p>
    <w:p w14:paraId="481FAA42" w14:textId="77777777" w:rsidR="009D0DBE" w:rsidRPr="00E65AD0" w:rsidRDefault="009D0DBE" w:rsidP="00E65AD0">
      <w:pPr>
        <w:snapToGrid w:val="0"/>
        <w:spacing w:after="0" w:line="360" w:lineRule="auto"/>
        <w:rPr>
          <w:rFonts w:ascii="Book Antiqua" w:eastAsia="宋体" w:hAnsi="Book Antiqua"/>
          <w:lang w:eastAsia="zh-CN"/>
        </w:rPr>
      </w:pPr>
    </w:p>
    <w:p w14:paraId="01D373FB" w14:textId="77777777" w:rsidR="009D0DBE" w:rsidRPr="00E65AD0" w:rsidRDefault="00921B00" w:rsidP="00E65AD0">
      <w:pPr>
        <w:snapToGrid w:val="0"/>
        <w:spacing w:after="0" w:line="360" w:lineRule="auto"/>
        <w:rPr>
          <w:rFonts w:ascii="Book Antiqua" w:eastAsia="宋体" w:hAnsi="Book Antiqua"/>
          <w:lang w:eastAsia="zh-CN"/>
        </w:rPr>
      </w:pPr>
      <w:r w:rsidRPr="00E65AD0">
        <w:rPr>
          <w:rFonts w:ascii="Book Antiqua" w:hAnsi="Book Antiqua"/>
        </w:rPr>
        <w:t>Panarese</w:t>
      </w:r>
      <w:r w:rsidRPr="00E65AD0">
        <w:rPr>
          <w:rFonts w:ascii="Book Antiqua" w:eastAsia="宋体" w:hAnsi="Book Antiqua"/>
          <w:lang w:eastAsia="zh-CN"/>
        </w:rPr>
        <w:t xml:space="preserve"> A </w:t>
      </w:r>
      <w:r w:rsidRPr="00E65AD0">
        <w:rPr>
          <w:rFonts w:ascii="Book Antiqua" w:eastAsia="宋体" w:hAnsi="Book Antiqua"/>
          <w:i/>
          <w:lang w:eastAsia="zh-CN"/>
        </w:rPr>
        <w:t>et al</w:t>
      </w:r>
      <w:r w:rsidRPr="00E65AD0">
        <w:rPr>
          <w:rFonts w:ascii="Book Antiqua" w:eastAsia="宋体" w:hAnsi="Book Antiqua"/>
          <w:lang w:eastAsia="zh-CN"/>
        </w:rPr>
        <w:t xml:space="preserve">. </w:t>
      </w:r>
      <w:bookmarkStart w:id="0" w:name="OLE_LINK26"/>
      <w:r w:rsidRPr="00E65AD0">
        <w:rPr>
          <w:rFonts w:ascii="Book Antiqua" w:eastAsia="宋体" w:hAnsi="Book Antiqua"/>
          <w:lang w:eastAsia="zh-CN"/>
        </w:rPr>
        <w:t xml:space="preserve">Dysplasia detection after </w:t>
      </w:r>
      <w:r w:rsidRPr="00E65AD0">
        <w:rPr>
          <w:rFonts w:ascii="Book Antiqua" w:hAnsi="Book Antiqua"/>
          <w:i/>
          <w:lang w:val="en-GB"/>
        </w:rPr>
        <w:t>H.</w:t>
      </w:r>
      <w:r w:rsidRPr="00E65AD0">
        <w:rPr>
          <w:rFonts w:ascii="Book Antiqua" w:eastAsia="宋体" w:hAnsi="Book Antiqua"/>
          <w:i/>
          <w:lang w:val="en-GB" w:eastAsia="zh-CN"/>
        </w:rPr>
        <w:t xml:space="preserve"> </w:t>
      </w:r>
      <w:r w:rsidR="002D1A0E" w:rsidRPr="00E65AD0">
        <w:rPr>
          <w:rFonts w:ascii="Book Antiqua" w:hAnsi="Book Antiqua"/>
          <w:i/>
          <w:lang w:val="en-GB"/>
        </w:rPr>
        <w:t>pylori</w:t>
      </w:r>
      <w:r w:rsidRPr="00E65AD0">
        <w:rPr>
          <w:rFonts w:ascii="Book Antiqua" w:eastAsia="宋体" w:hAnsi="Book Antiqua"/>
          <w:lang w:eastAsia="zh-CN"/>
        </w:rPr>
        <w:t xml:space="preserve"> eradication</w:t>
      </w:r>
      <w:bookmarkEnd w:id="0"/>
    </w:p>
    <w:p w14:paraId="28151B08" w14:textId="77777777" w:rsidR="009D0DBE" w:rsidRPr="00E65AD0" w:rsidRDefault="009D0DBE" w:rsidP="00E65AD0">
      <w:pPr>
        <w:snapToGrid w:val="0"/>
        <w:spacing w:after="0" w:line="360" w:lineRule="auto"/>
        <w:rPr>
          <w:rFonts w:ascii="Book Antiqua" w:eastAsia="宋体" w:hAnsi="Book Antiqua"/>
          <w:lang w:eastAsia="zh-CN"/>
        </w:rPr>
      </w:pPr>
    </w:p>
    <w:p w14:paraId="4CBADA40" w14:textId="77777777" w:rsidR="009D0DBE" w:rsidRPr="00E65AD0" w:rsidRDefault="00921B00" w:rsidP="00E65AD0">
      <w:pPr>
        <w:snapToGrid w:val="0"/>
        <w:spacing w:after="0" w:line="360" w:lineRule="auto"/>
        <w:rPr>
          <w:rFonts w:ascii="Book Antiqua" w:hAnsi="Book Antiqua"/>
        </w:rPr>
      </w:pPr>
      <w:r w:rsidRPr="00E65AD0">
        <w:rPr>
          <w:rFonts w:ascii="Book Antiqua" w:hAnsi="Book Antiqua"/>
        </w:rPr>
        <w:t xml:space="preserve">Alba </w:t>
      </w:r>
      <w:bookmarkStart w:id="1" w:name="OLE_LINK3"/>
      <w:r w:rsidRPr="00E65AD0">
        <w:rPr>
          <w:rFonts w:ascii="Book Antiqua" w:hAnsi="Book Antiqua"/>
        </w:rPr>
        <w:t>Panarese</w:t>
      </w:r>
      <w:bookmarkEnd w:id="1"/>
      <w:r w:rsidRPr="00E65AD0">
        <w:rPr>
          <w:rFonts w:ascii="Book Antiqua" w:hAnsi="Book Antiqua"/>
        </w:rPr>
        <w:t>, Giovanni Galatola, Raffaele Armentano, Pedro Pimentel-Nunes, Enzo Ierardi, Maria Lucia Caruso, Francesco Pesce, Marco Vincenzo Lenti, Valeria Palmitessa, Sergio Coletta, Endrit Shahini</w:t>
      </w:r>
    </w:p>
    <w:p w14:paraId="375399A6" w14:textId="77777777" w:rsidR="009D0DBE" w:rsidRPr="00E65AD0" w:rsidRDefault="009D0DBE" w:rsidP="00E65AD0">
      <w:pPr>
        <w:snapToGrid w:val="0"/>
        <w:spacing w:after="0" w:line="360" w:lineRule="auto"/>
        <w:rPr>
          <w:rFonts w:ascii="Book Antiqua" w:eastAsia="宋体" w:hAnsi="Book Antiqua"/>
          <w:lang w:val="en-GB" w:eastAsia="zh-CN"/>
        </w:rPr>
      </w:pPr>
    </w:p>
    <w:p w14:paraId="1D3A4B53"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t xml:space="preserve">Alba </w:t>
      </w:r>
      <w:proofErr w:type="spellStart"/>
      <w:r w:rsidRPr="00E65AD0">
        <w:rPr>
          <w:rFonts w:ascii="Book Antiqua" w:hAnsi="Book Antiqua"/>
          <w:b/>
          <w:lang w:val="en-GB"/>
        </w:rPr>
        <w:t>Panarese</w:t>
      </w:r>
      <w:proofErr w:type="spellEnd"/>
      <w:r w:rsidRPr="00E65AD0">
        <w:rPr>
          <w:rFonts w:ascii="Book Antiqua" w:hAnsi="Book Antiqua"/>
          <w:b/>
          <w:lang w:val="en-GB"/>
        </w:rPr>
        <w:t xml:space="preserve">, </w:t>
      </w:r>
      <w:proofErr w:type="spellStart"/>
      <w:r w:rsidRPr="00E65AD0">
        <w:rPr>
          <w:rFonts w:ascii="Book Antiqua" w:hAnsi="Book Antiqua"/>
          <w:b/>
          <w:lang w:val="en-GB"/>
        </w:rPr>
        <w:t>Endrit</w:t>
      </w:r>
      <w:proofErr w:type="spellEnd"/>
      <w:r w:rsidRPr="00E65AD0">
        <w:rPr>
          <w:rFonts w:ascii="Book Antiqua" w:hAnsi="Book Antiqua"/>
          <w:b/>
          <w:lang w:val="en-GB"/>
        </w:rPr>
        <w:t xml:space="preserve"> </w:t>
      </w:r>
      <w:proofErr w:type="spellStart"/>
      <w:r w:rsidRPr="00E65AD0">
        <w:rPr>
          <w:rFonts w:ascii="Book Antiqua" w:hAnsi="Book Antiqua"/>
          <w:b/>
          <w:lang w:val="en-GB"/>
        </w:rPr>
        <w:t>Shahini</w:t>
      </w:r>
      <w:proofErr w:type="spellEnd"/>
      <w:r w:rsidRPr="00E65AD0">
        <w:rPr>
          <w:rFonts w:ascii="Book Antiqua" w:hAnsi="Book Antiqua"/>
          <w:b/>
          <w:lang w:val="en-GB"/>
        </w:rPr>
        <w:t>,</w:t>
      </w:r>
      <w:r w:rsidRPr="00E65AD0">
        <w:rPr>
          <w:rFonts w:ascii="Book Antiqua" w:hAnsi="Book Antiqua"/>
          <w:lang w:val="en-GB"/>
        </w:rPr>
        <w:t xml:space="preserve"> Department of Gastroenterology and Digestive Endoscopy, National Institute of Gastroenterology "S De </w:t>
      </w:r>
      <w:proofErr w:type="spellStart"/>
      <w:r w:rsidRPr="00E65AD0">
        <w:rPr>
          <w:rFonts w:ascii="Book Antiqua" w:hAnsi="Book Antiqua"/>
          <w:lang w:val="en-GB"/>
        </w:rPr>
        <w:t>Bellis</w:t>
      </w:r>
      <w:proofErr w:type="spellEnd"/>
      <w:r w:rsidRPr="00E65AD0">
        <w:rPr>
          <w:rFonts w:ascii="Book Antiqua" w:hAnsi="Book Antiqua"/>
          <w:lang w:val="en-GB"/>
        </w:rPr>
        <w:t xml:space="preserve">", Research Hospital, </w:t>
      </w:r>
      <w:proofErr w:type="spellStart"/>
      <w:r w:rsidRPr="00E65AD0">
        <w:rPr>
          <w:rFonts w:ascii="Book Antiqua" w:hAnsi="Book Antiqua"/>
          <w:lang w:val="en-GB"/>
        </w:rPr>
        <w:t>Castellana</w:t>
      </w:r>
      <w:proofErr w:type="spellEnd"/>
      <w:r w:rsidRPr="00E65AD0">
        <w:rPr>
          <w:rFonts w:ascii="Book Antiqua" w:hAnsi="Book Antiqua"/>
          <w:lang w:val="en-GB"/>
        </w:rPr>
        <w:t xml:space="preserve"> </w:t>
      </w:r>
      <w:proofErr w:type="spellStart"/>
      <w:r w:rsidRPr="00E65AD0">
        <w:rPr>
          <w:rFonts w:ascii="Book Antiqua" w:hAnsi="Book Antiqua"/>
          <w:lang w:val="en-GB"/>
        </w:rPr>
        <w:t>Grotte</w:t>
      </w:r>
      <w:proofErr w:type="spellEnd"/>
      <w:r w:rsidRPr="00E65AD0">
        <w:rPr>
          <w:rFonts w:ascii="Book Antiqua" w:eastAsia="宋体" w:hAnsi="Book Antiqua"/>
          <w:lang w:val="en-GB" w:eastAsia="zh-CN"/>
        </w:rPr>
        <w:t xml:space="preserve"> 70013</w:t>
      </w:r>
      <w:r w:rsidRPr="00E65AD0">
        <w:rPr>
          <w:rFonts w:ascii="Book Antiqua" w:hAnsi="Book Antiqua"/>
          <w:lang w:val="en-GB"/>
        </w:rPr>
        <w:t>, Italy</w:t>
      </w:r>
    </w:p>
    <w:p w14:paraId="606876B5" w14:textId="77777777" w:rsidR="009D0DBE" w:rsidRPr="00E65AD0" w:rsidRDefault="009D0DBE" w:rsidP="00E65AD0">
      <w:pPr>
        <w:snapToGrid w:val="0"/>
        <w:spacing w:after="0" w:line="360" w:lineRule="auto"/>
        <w:rPr>
          <w:rFonts w:ascii="Book Antiqua" w:eastAsia="宋体" w:hAnsi="Book Antiqua"/>
          <w:lang w:val="en-GB" w:eastAsia="zh-CN"/>
        </w:rPr>
      </w:pPr>
    </w:p>
    <w:p w14:paraId="229EE981" w14:textId="77777777" w:rsidR="009D0DBE" w:rsidRPr="00E65AD0" w:rsidRDefault="00921B00" w:rsidP="00E65AD0">
      <w:pPr>
        <w:snapToGrid w:val="0"/>
        <w:spacing w:after="0" w:line="360" w:lineRule="auto"/>
        <w:rPr>
          <w:rFonts w:ascii="Book Antiqua" w:hAnsi="Book Antiqua"/>
          <w:lang w:val="en-GB"/>
        </w:rPr>
      </w:pPr>
      <w:proofErr w:type="spellStart"/>
      <w:r w:rsidRPr="00E65AD0">
        <w:rPr>
          <w:rFonts w:ascii="Book Antiqua" w:hAnsi="Book Antiqua"/>
          <w:b/>
          <w:lang w:val="en-GB"/>
        </w:rPr>
        <w:t>Endrit</w:t>
      </w:r>
      <w:proofErr w:type="spellEnd"/>
      <w:r w:rsidRPr="00E65AD0">
        <w:rPr>
          <w:rFonts w:ascii="Book Antiqua" w:hAnsi="Book Antiqua"/>
          <w:b/>
          <w:lang w:val="en-GB"/>
        </w:rPr>
        <w:t xml:space="preserve"> </w:t>
      </w:r>
      <w:proofErr w:type="spellStart"/>
      <w:r w:rsidRPr="00E65AD0">
        <w:rPr>
          <w:rFonts w:ascii="Book Antiqua" w:hAnsi="Book Antiqua"/>
          <w:b/>
          <w:lang w:val="en-GB"/>
        </w:rPr>
        <w:t>Shahini</w:t>
      </w:r>
      <w:proofErr w:type="spellEnd"/>
      <w:r w:rsidRPr="00E65AD0">
        <w:rPr>
          <w:rFonts w:ascii="Book Antiqua" w:hAnsi="Book Antiqua"/>
          <w:b/>
          <w:lang w:val="en-GB"/>
        </w:rPr>
        <w:t>,</w:t>
      </w:r>
      <w:r w:rsidRPr="00E65AD0">
        <w:rPr>
          <w:rFonts w:ascii="Book Antiqua" w:hAnsi="Book Antiqua"/>
          <w:lang w:val="en-GB"/>
        </w:rPr>
        <w:t xml:space="preserve"> Giovanni </w:t>
      </w:r>
      <w:proofErr w:type="spellStart"/>
      <w:r w:rsidRPr="00E65AD0">
        <w:rPr>
          <w:rFonts w:ascii="Book Antiqua" w:hAnsi="Book Antiqua"/>
          <w:lang w:val="en-GB"/>
        </w:rPr>
        <w:t>Galatola</w:t>
      </w:r>
      <w:proofErr w:type="spellEnd"/>
      <w:r w:rsidRPr="00E65AD0">
        <w:rPr>
          <w:rFonts w:ascii="Book Antiqua" w:hAnsi="Book Antiqua"/>
          <w:lang w:val="en-GB"/>
        </w:rPr>
        <w:t xml:space="preserve"> Gastroenterology Unit, Institute for Cancer Research and Treatment, </w:t>
      </w:r>
      <w:bookmarkStart w:id="2" w:name="OLE_LINK5"/>
      <w:bookmarkStart w:id="3" w:name="OLE_LINK4"/>
      <w:r w:rsidRPr="00E65AD0">
        <w:rPr>
          <w:rFonts w:ascii="Book Antiqua" w:hAnsi="Book Antiqua"/>
          <w:lang w:val="en-GB"/>
        </w:rPr>
        <w:t>Turin</w:t>
      </w:r>
      <w:bookmarkEnd w:id="2"/>
      <w:r w:rsidR="00F66055" w:rsidRPr="00E65AD0">
        <w:rPr>
          <w:rFonts w:ascii="Book Antiqua" w:eastAsia="宋体" w:hAnsi="Book Antiqua"/>
          <w:lang w:val="en-GB" w:eastAsia="zh-CN"/>
        </w:rPr>
        <w:t xml:space="preserve"> 10121</w:t>
      </w:r>
      <w:r w:rsidRPr="00E65AD0">
        <w:rPr>
          <w:rFonts w:ascii="Book Antiqua" w:hAnsi="Book Antiqua"/>
          <w:lang w:val="en-GB"/>
        </w:rPr>
        <w:t>, Italy</w:t>
      </w:r>
      <w:bookmarkEnd w:id="3"/>
    </w:p>
    <w:p w14:paraId="4570B4FB" w14:textId="77777777" w:rsidR="009D0DBE" w:rsidRPr="00E65AD0" w:rsidRDefault="009D0DBE" w:rsidP="00E65AD0">
      <w:pPr>
        <w:snapToGrid w:val="0"/>
        <w:spacing w:after="0" w:line="360" w:lineRule="auto"/>
        <w:rPr>
          <w:rFonts w:ascii="Book Antiqua" w:eastAsia="宋体" w:hAnsi="Book Antiqua"/>
          <w:lang w:val="en-GB" w:eastAsia="zh-CN"/>
        </w:rPr>
      </w:pPr>
    </w:p>
    <w:p w14:paraId="0FDBE717" w14:textId="77777777" w:rsidR="009D0DBE" w:rsidRPr="00E65AD0" w:rsidRDefault="00921B00" w:rsidP="00E65AD0">
      <w:pPr>
        <w:snapToGrid w:val="0"/>
        <w:spacing w:after="0" w:line="360" w:lineRule="auto"/>
        <w:rPr>
          <w:rFonts w:ascii="Book Antiqua" w:hAnsi="Book Antiqua"/>
          <w:lang w:val="en-GB"/>
        </w:rPr>
      </w:pPr>
      <w:proofErr w:type="spellStart"/>
      <w:r w:rsidRPr="00E65AD0">
        <w:rPr>
          <w:rFonts w:ascii="Book Antiqua" w:hAnsi="Book Antiqua"/>
          <w:b/>
          <w:lang w:val="en-GB"/>
        </w:rPr>
        <w:t>Raffaele</w:t>
      </w:r>
      <w:proofErr w:type="spellEnd"/>
      <w:r w:rsidRPr="00E65AD0">
        <w:rPr>
          <w:rFonts w:ascii="Book Antiqua" w:hAnsi="Book Antiqua"/>
          <w:b/>
          <w:lang w:val="en-GB"/>
        </w:rPr>
        <w:t xml:space="preserve"> </w:t>
      </w:r>
      <w:proofErr w:type="spellStart"/>
      <w:r w:rsidRPr="00E65AD0">
        <w:rPr>
          <w:rFonts w:ascii="Book Antiqua" w:hAnsi="Book Antiqua"/>
          <w:b/>
          <w:lang w:val="en-GB"/>
        </w:rPr>
        <w:t>Armentano</w:t>
      </w:r>
      <w:proofErr w:type="spellEnd"/>
      <w:r w:rsidRPr="00E65AD0">
        <w:rPr>
          <w:rFonts w:ascii="Book Antiqua" w:hAnsi="Book Antiqua"/>
          <w:b/>
          <w:lang w:val="en-GB"/>
        </w:rPr>
        <w:t>, Maria Lucia Caruso,</w:t>
      </w:r>
      <w:r w:rsidRPr="00E65AD0">
        <w:rPr>
          <w:rFonts w:ascii="Book Antiqua" w:hAnsi="Book Antiqua"/>
          <w:lang w:val="en-GB"/>
        </w:rPr>
        <w:t xml:space="preserve"> Sergio Coletta Department of Clinical Pathology, National Institute of Gastroenterology "S De </w:t>
      </w:r>
      <w:proofErr w:type="spellStart"/>
      <w:r w:rsidRPr="00E65AD0">
        <w:rPr>
          <w:rFonts w:ascii="Book Antiqua" w:hAnsi="Book Antiqua"/>
          <w:lang w:val="en-GB"/>
        </w:rPr>
        <w:t>Bellis</w:t>
      </w:r>
      <w:proofErr w:type="spellEnd"/>
      <w:r w:rsidRPr="00E65AD0">
        <w:rPr>
          <w:rFonts w:ascii="Book Antiqua" w:hAnsi="Book Antiqua"/>
          <w:lang w:val="en-GB"/>
        </w:rPr>
        <w:t xml:space="preserve">", Research Hospital, </w:t>
      </w:r>
      <w:proofErr w:type="spellStart"/>
      <w:r w:rsidRPr="00E65AD0">
        <w:rPr>
          <w:rFonts w:ascii="Book Antiqua" w:hAnsi="Book Antiqua"/>
          <w:lang w:val="en-GB"/>
        </w:rPr>
        <w:t>Castellana</w:t>
      </w:r>
      <w:proofErr w:type="spellEnd"/>
      <w:r w:rsidRPr="00E65AD0">
        <w:rPr>
          <w:rFonts w:ascii="Book Antiqua" w:hAnsi="Book Antiqua"/>
          <w:lang w:val="en-GB"/>
        </w:rPr>
        <w:t xml:space="preserve"> </w:t>
      </w:r>
      <w:proofErr w:type="spellStart"/>
      <w:r w:rsidRPr="00E65AD0">
        <w:rPr>
          <w:rFonts w:ascii="Book Antiqua" w:hAnsi="Book Antiqua"/>
          <w:lang w:val="en-GB"/>
        </w:rPr>
        <w:t>Grotte</w:t>
      </w:r>
      <w:proofErr w:type="spellEnd"/>
      <w:r w:rsidR="00F66055" w:rsidRPr="00E65AD0">
        <w:rPr>
          <w:rFonts w:ascii="Book Antiqua" w:eastAsia="宋体" w:hAnsi="Book Antiqua"/>
          <w:lang w:val="en-GB" w:eastAsia="zh-CN"/>
        </w:rPr>
        <w:t xml:space="preserve"> 70013</w:t>
      </w:r>
      <w:r w:rsidRPr="00E65AD0">
        <w:rPr>
          <w:rFonts w:ascii="Book Antiqua" w:hAnsi="Book Antiqua"/>
          <w:lang w:val="en-GB"/>
        </w:rPr>
        <w:t>, Italy</w:t>
      </w:r>
    </w:p>
    <w:p w14:paraId="023D1209" w14:textId="77777777" w:rsidR="009D0DBE" w:rsidRPr="00E65AD0" w:rsidRDefault="009D0DBE" w:rsidP="00E65AD0">
      <w:pPr>
        <w:snapToGrid w:val="0"/>
        <w:spacing w:after="0" w:line="360" w:lineRule="auto"/>
        <w:rPr>
          <w:rFonts w:ascii="Book Antiqua" w:eastAsia="宋体" w:hAnsi="Book Antiqua"/>
          <w:lang w:val="en-GB" w:eastAsia="zh-CN"/>
        </w:rPr>
      </w:pPr>
    </w:p>
    <w:p w14:paraId="7BE98AFA" w14:textId="77777777" w:rsidR="00F66055" w:rsidRPr="00E65AD0" w:rsidRDefault="00921B00" w:rsidP="00E65AD0">
      <w:pPr>
        <w:snapToGrid w:val="0"/>
        <w:spacing w:after="0" w:line="360" w:lineRule="auto"/>
        <w:rPr>
          <w:rFonts w:ascii="Book Antiqua" w:eastAsia="宋体" w:hAnsi="Book Antiqua"/>
          <w:lang w:val="en-GB" w:eastAsia="zh-CN"/>
        </w:rPr>
      </w:pPr>
      <w:bookmarkStart w:id="4" w:name="OLE_LINK6"/>
      <w:r w:rsidRPr="00E65AD0">
        <w:rPr>
          <w:rFonts w:ascii="Book Antiqua" w:hAnsi="Book Antiqua"/>
          <w:b/>
          <w:lang w:val="en-GB"/>
        </w:rPr>
        <w:t>Pedro Pimentel-</w:t>
      </w:r>
      <w:proofErr w:type="spellStart"/>
      <w:r w:rsidRPr="00E65AD0">
        <w:rPr>
          <w:rFonts w:ascii="Book Antiqua" w:hAnsi="Book Antiqua"/>
          <w:b/>
          <w:lang w:val="en-GB"/>
        </w:rPr>
        <w:t>Nunes</w:t>
      </w:r>
      <w:proofErr w:type="spellEnd"/>
      <w:r w:rsidRPr="00E65AD0">
        <w:rPr>
          <w:rFonts w:ascii="Book Antiqua" w:hAnsi="Book Antiqua"/>
          <w:b/>
          <w:lang w:val="en-GB"/>
        </w:rPr>
        <w:t>,</w:t>
      </w:r>
      <w:bookmarkEnd w:id="4"/>
      <w:r w:rsidRPr="00E65AD0">
        <w:rPr>
          <w:rFonts w:ascii="Book Antiqua" w:hAnsi="Book Antiqua"/>
          <w:b/>
          <w:lang w:val="en-GB"/>
        </w:rPr>
        <w:t xml:space="preserve"> </w:t>
      </w:r>
      <w:proofErr w:type="spellStart"/>
      <w:r w:rsidRPr="00E65AD0">
        <w:rPr>
          <w:rFonts w:ascii="Book Antiqua" w:hAnsi="Book Antiqua"/>
          <w:lang w:val="en-GB"/>
        </w:rPr>
        <w:t>Center</w:t>
      </w:r>
      <w:proofErr w:type="spellEnd"/>
      <w:r w:rsidRPr="00E65AD0">
        <w:rPr>
          <w:rFonts w:ascii="Book Antiqua" w:hAnsi="Book Antiqua"/>
          <w:lang w:val="en-GB"/>
        </w:rPr>
        <w:t xml:space="preserve"> for Research in Health Technologies and Information Systems, Faculty of Medicine, Porto</w:t>
      </w:r>
      <w:r w:rsidR="00F66055" w:rsidRPr="00E65AD0">
        <w:rPr>
          <w:rFonts w:ascii="Book Antiqua" w:eastAsia="宋体" w:hAnsi="Book Antiqua"/>
          <w:lang w:val="en-GB" w:eastAsia="zh-CN"/>
        </w:rPr>
        <w:t xml:space="preserve"> 4200072</w:t>
      </w:r>
      <w:r w:rsidR="00F66055" w:rsidRPr="00E65AD0">
        <w:rPr>
          <w:rFonts w:ascii="Book Antiqua" w:hAnsi="Book Antiqua"/>
          <w:lang w:val="en-GB"/>
        </w:rPr>
        <w:t>, Portugal</w:t>
      </w:r>
    </w:p>
    <w:p w14:paraId="4985A35D" w14:textId="77777777" w:rsidR="00F66055" w:rsidRPr="00E65AD0" w:rsidRDefault="00F66055" w:rsidP="00E65AD0">
      <w:pPr>
        <w:snapToGrid w:val="0"/>
        <w:spacing w:after="0" w:line="360" w:lineRule="auto"/>
        <w:rPr>
          <w:rFonts w:ascii="Book Antiqua" w:eastAsia="宋体" w:hAnsi="Book Antiqua"/>
          <w:lang w:val="en-GB" w:eastAsia="zh-CN"/>
        </w:rPr>
      </w:pPr>
    </w:p>
    <w:p w14:paraId="26D91202" w14:textId="77777777" w:rsidR="009D0DBE" w:rsidRPr="00E65AD0" w:rsidRDefault="00F66055" w:rsidP="00E65AD0">
      <w:pPr>
        <w:snapToGrid w:val="0"/>
        <w:spacing w:after="0" w:line="360" w:lineRule="auto"/>
        <w:rPr>
          <w:rFonts w:ascii="Book Antiqua" w:hAnsi="Book Antiqua"/>
          <w:lang w:val="en-GB"/>
        </w:rPr>
      </w:pPr>
      <w:r w:rsidRPr="00E65AD0">
        <w:rPr>
          <w:rFonts w:ascii="Book Antiqua" w:hAnsi="Book Antiqua"/>
          <w:b/>
          <w:lang w:val="en-GB"/>
        </w:rPr>
        <w:t>Pedro Pimentel-Nunes,</w:t>
      </w:r>
      <w:r w:rsidRPr="00E65AD0">
        <w:rPr>
          <w:rFonts w:ascii="Book Antiqua" w:eastAsia="宋体" w:hAnsi="Book Antiqua"/>
          <w:b/>
          <w:lang w:val="en-GB" w:eastAsia="zh-CN"/>
        </w:rPr>
        <w:t xml:space="preserve"> </w:t>
      </w:r>
      <w:r w:rsidR="00921B00" w:rsidRPr="00E65AD0">
        <w:rPr>
          <w:rFonts w:ascii="Book Antiqua" w:hAnsi="Book Antiqua"/>
          <w:lang w:val="en-GB"/>
        </w:rPr>
        <w:t>Surgery and Physiology Department, Faculty of Medicine of the University of Porto, Porto</w:t>
      </w:r>
      <w:r w:rsidRPr="00E65AD0">
        <w:rPr>
          <w:rFonts w:ascii="Book Antiqua" w:eastAsia="宋体" w:hAnsi="Book Antiqua"/>
          <w:lang w:val="en-GB" w:eastAsia="zh-CN"/>
        </w:rPr>
        <w:t xml:space="preserve"> 4200072</w:t>
      </w:r>
      <w:r w:rsidR="00921B00" w:rsidRPr="00E65AD0">
        <w:rPr>
          <w:rFonts w:ascii="Book Antiqua" w:hAnsi="Book Antiqua"/>
          <w:lang w:val="en-GB"/>
        </w:rPr>
        <w:t>, Portugal</w:t>
      </w:r>
    </w:p>
    <w:p w14:paraId="7094ADCA" w14:textId="77777777" w:rsidR="009D0DBE" w:rsidRPr="00E65AD0" w:rsidRDefault="009D0DBE" w:rsidP="00E65AD0">
      <w:pPr>
        <w:snapToGrid w:val="0"/>
        <w:spacing w:after="0" w:line="360" w:lineRule="auto"/>
        <w:rPr>
          <w:rFonts w:ascii="Book Antiqua" w:eastAsia="宋体" w:hAnsi="Book Antiqua"/>
          <w:lang w:val="en-GB" w:eastAsia="zh-CN"/>
        </w:rPr>
      </w:pPr>
    </w:p>
    <w:p w14:paraId="12DC2123" w14:textId="77777777" w:rsidR="009D0DBE" w:rsidRPr="00E65AD0" w:rsidRDefault="00921B00" w:rsidP="00E65AD0">
      <w:pPr>
        <w:snapToGrid w:val="0"/>
        <w:spacing w:after="0" w:line="360" w:lineRule="auto"/>
        <w:rPr>
          <w:rFonts w:ascii="Book Antiqua" w:hAnsi="Book Antiqua"/>
          <w:lang w:val="en-GB"/>
        </w:rPr>
      </w:pPr>
      <w:proofErr w:type="spellStart"/>
      <w:r w:rsidRPr="00E65AD0">
        <w:rPr>
          <w:rFonts w:ascii="Book Antiqua" w:hAnsi="Book Antiqua"/>
          <w:b/>
          <w:lang w:val="en-GB"/>
        </w:rPr>
        <w:lastRenderedPageBreak/>
        <w:t>Enzo</w:t>
      </w:r>
      <w:proofErr w:type="spellEnd"/>
      <w:r w:rsidRPr="00E65AD0">
        <w:rPr>
          <w:rFonts w:ascii="Book Antiqua" w:hAnsi="Book Antiqua"/>
          <w:b/>
          <w:lang w:val="en-GB"/>
        </w:rPr>
        <w:t xml:space="preserve"> </w:t>
      </w:r>
      <w:proofErr w:type="spellStart"/>
      <w:r w:rsidRPr="00E65AD0">
        <w:rPr>
          <w:rFonts w:ascii="Book Antiqua" w:hAnsi="Book Antiqua"/>
          <w:b/>
          <w:lang w:val="en-GB"/>
        </w:rPr>
        <w:t>Ierardi</w:t>
      </w:r>
      <w:proofErr w:type="spellEnd"/>
      <w:r w:rsidRPr="00E65AD0">
        <w:rPr>
          <w:rFonts w:ascii="Book Antiqua" w:hAnsi="Book Antiqua"/>
          <w:b/>
          <w:lang w:val="en-GB"/>
        </w:rPr>
        <w:t>,</w:t>
      </w:r>
      <w:r w:rsidRPr="00E65AD0">
        <w:rPr>
          <w:rFonts w:ascii="Book Antiqua" w:hAnsi="Book Antiqua"/>
          <w:lang w:val="en-GB"/>
        </w:rPr>
        <w:t xml:space="preserve"> Department of Emergency and Organ Transplantation, University of Bari, Bari</w:t>
      </w:r>
      <w:r w:rsidR="00F66055" w:rsidRPr="00E65AD0">
        <w:rPr>
          <w:rFonts w:ascii="Book Antiqua" w:eastAsia="宋体" w:hAnsi="Book Antiqua"/>
          <w:lang w:val="en-GB" w:eastAsia="zh-CN"/>
        </w:rPr>
        <w:t xml:space="preserve"> 70124</w:t>
      </w:r>
      <w:r w:rsidRPr="00E65AD0">
        <w:rPr>
          <w:rFonts w:ascii="Book Antiqua" w:hAnsi="Book Antiqua"/>
          <w:lang w:val="en-GB"/>
        </w:rPr>
        <w:t>, Italy</w:t>
      </w:r>
    </w:p>
    <w:p w14:paraId="21EFEDD8" w14:textId="77777777" w:rsidR="009D0DBE" w:rsidRPr="00E65AD0" w:rsidRDefault="009D0DBE" w:rsidP="00E65AD0">
      <w:pPr>
        <w:snapToGrid w:val="0"/>
        <w:spacing w:after="0" w:line="360" w:lineRule="auto"/>
        <w:rPr>
          <w:rFonts w:ascii="Book Antiqua" w:eastAsia="宋体" w:hAnsi="Book Antiqua"/>
          <w:lang w:val="en-GB" w:eastAsia="zh-CN"/>
        </w:rPr>
      </w:pPr>
    </w:p>
    <w:p w14:paraId="0C843ECE"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t xml:space="preserve">Francesco </w:t>
      </w:r>
      <w:proofErr w:type="spellStart"/>
      <w:r w:rsidRPr="00E65AD0">
        <w:rPr>
          <w:rFonts w:ascii="Book Antiqua" w:hAnsi="Book Antiqua"/>
          <w:b/>
          <w:lang w:val="en-GB"/>
        </w:rPr>
        <w:t>Pesce</w:t>
      </w:r>
      <w:proofErr w:type="spellEnd"/>
      <w:r w:rsidRPr="00E65AD0">
        <w:rPr>
          <w:rFonts w:ascii="Book Antiqua" w:hAnsi="Book Antiqua"/>
          <w:b/>
          <w:lang w:val="en-GB"/>
        </w:rPr>
        <w:t>,</w:t>
      </w:r>
      <w:r w:rsidRPr="00E65AD0">
        <w:rPr>
          <w:rFonts w:ascii="Book Antiqua" w:hAnsi="Book Antiqua"/>
          <w:lang w:val="en-GB"/>
        </w:rPr>
        <w:t xml:space="preserve"> Nephrology </w:t>
      </w:r>
      <w:r w:rsidRPr="00EF103A">
        <w:rPr>
          <w:rFonts w:ascii="Book Antiqua" w:hAnsi="Book Antiqua"/>
          <w:caps/>
          <w:lang w:val="en-GB"/>
        </w:rPr>
        <w:t>s</w:t>
      </w:r>
      <w:r w:rsidRPr="00E65AD0">
        <w:rPr>
          <w:rFonts w:ascii="Book Antiqua" w:hAnsi="Book Antiqua"/>
          <w:lang w:val="en-GB"/>
        </w:rPr>
        <w:t>ection, Department of Emergency and Organ Transplantation, University of Bari, Bari</w:t>
      </w:r>
      <w:r w:rsidR="00F66055" w:rsidRPr="00E65AD0">
        <w:rPr>
          <w:rFonts w:ascii="Book Antiqua" w:eastAsia="宋体" w:hAnsi="Book Antiqua"/>
          <w:lang w:val="en-GB" w:eastAsia="zh-CN"/>
        </w:rPr>
        <w:t xml:space="preserve"> 70124</w:t>
      </w:r>
      <w:r w:rsidRPr="00E65AD0">
        <w:rPr>
          <w:rFonts w:ascii="Book Antiqua" w:hAnsi="Book Antiqua"/>
          <w:lang w:val="en-GB"/>
        </w:rPr>
        <w:t>, Italy</w:t>
      </w:r>
    </w:p>
    <w:p w14:paraId="486A1550" w14:textId="77777777" w:rsidR="009D0DBE" w:rsidRPr="00E65AD0" w:rsidRDefault="009D0DBE" w:rsidP="00E65AD0">
      <w:pPr>
        <w:snapToGrid w:val="0"/>
        <w:spacing w:after="0" w:line="360" w:lineRule="auto"/>
        <w:rPr>
          <w:rFonts w:ascii="Book Antiqua" w:eastAsia="宋体" w:hAnsi="Book Antiqua"/>
          <w:lang w:val="en-GB" w:eastAsia="zh-CN"/>
        </w:rPr>
      </w:pPr>
    </w:p>
    <w:p w14:paraId="28C08BE9"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t xml:space="preserve">Marco Vincenzo </w:t>
      </w:r>
      <w:proofErr w:type="spellStart"/>
      <w:r w:rsidRPr="00E65AD0">
        <w:rPr>
          <w:rFonts w:ascii="Book Antiqua" w:hAnsi="Book Antiqua"/>
          <w:b/>
          <w:lang w:val="en-GB"/>
        </w:rPr>
        <w:t>Lenti</w:t>
      </w:r>
      <w:proofErr w:type="spellEnd"/>
      <w:r w:rsidRPr="00E65AD0">
        <w:rPr>
          <w:rFonts w:ascii="Book Antiqua" w:hAnsi="Book Antiqua"/>
          <w:b/>
          <w:lang w:val="en-GB"/>
        </w:rPr>
        <w:t>,</w:t>
      </w:r>
      <w:r w:rsidRPr="00E65AD0">
        <w:rPr>
          <w:rFonts w:ascii="Book Antiqua" w:hAnsi="Book Antiqua"/>
          <w:lang w:val="en-GB"/>
        </w:rPr>
        <w:t xml:space="preserve"> First Department of Internal Medicine, San Matteo Hospital Foundation, University of Pavia, Pavia</w:t>
      </w:r>
      <w:r w:rsidR="00F66055" w:rsidRPr="00E65AD0">
        <w:rPr>
          <w:rFonts w:ascii="Book Antiqua" w:eastAsia="宋体" w:hAnsi="Book Antiqua"/>
          <w:lang w:val="en-GB" w:eastAsia="zh-CN"/>
        </w:rPr>
        <w:t xml:space="preserve"> 27100</w:t>
      </w:r>
      <w:r w:rsidRPr="00E65AD0">
        <w:rPr>
          <w:rFonts w:ascii="Book Antiqua" w:hAnsi="Book Antiqua"/>
          <w:lang w:val="en-GB"/>
        </w:rPr>
        <w:t>, Italy</w:t>
      </w:r>
    </w:p>
    <w:p w14:paraId="7DC4280E" w14:textId="77777777" w:rsidR="009D0DBE" w:rsidRPr="00E65AD0" w:rsidRDefault="009D0DBE" w:rsidP="00E65AD0">
      <w:pPr>
        <w:snapToGrid w:val="0"/>
        <w:spacing w:after="0" w:line="360" w:lineRule="auto"/>
        <w:rPr>
          <w:rFonts w:ascii="Book Antiqua" w:eastAsia="宋体" w:hAnsi="Book Antiqua"/>
          <w:b/>
          <w:lang w:val="en-GB" w:eastAsia="zh-CN"/>
        </w:rPr>
      </w:pPr>
    </w:p>
    <w:p w14:paraId="6941AD0D"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b/>
          <w:lang w:val="en-GB"/>
        </w:rPr>
        <w:t xml:space="preserve">Valeria </w:t>
      </w:r>
      <w:proofErr w:type="spellStart"/>
      <w:r w:rsidRPr="00E65AD0">
        <w:rPr>
          <w:rFonts w:ascii="Book Antiqua" w:hAnsi="Book Antiqua"/>
          <w:b/>
          <w:lang w:val="en-GB"/>
        </w:rPr>
        <w:t>Palmitessa</w:t>
      </w:r>
      <w:proofErr w:type="spellEnd"/>
      <w:r w:rsidRPr="00E65AD0">
        <w:rPr>
          <w:rFonts w:ascii="Book Antiqua" w:hAnsi="Book Antiqua"/>
          <w:b/>
          <w:lang w:val="en-GB"/>
        </w:rPr>
        <w:t xml:space="preserve">, </w:t>
      </w:r>
      <w:r w:rsidRPr="00E65AD0">
        <w:rPr>
          <w:rFonts w:ascii="Book Antiqua" w:hAnsi="Book Antiqua" w:cs="Segoe UI"/>
          <w:shd w:val="clear" w:color="auto" w:fill="FFFFFF"/>
          <w:lang w:val="en-GB"/>
        </w:rPr>
        <w:t>Laboratory of Microbiology and Virology, National In</w:t>
      </w:r>
      <w:r w:rsidR="00A95A51" w:rsidRPr="00E65AD0">
        <w:rPr>
          <w:rFonts w:ascii="Book Antiqua" w:hAnsi="Book Antiqua" w:cs="Segoe UI"/>
          <w:shd w:val="clear" w:color="auto" w:fill="FFFFFF"/>
          <w:lang w:val="en-GB"/>
        </w:rPr>
        <w:t>stitute of Gastroenterology "S</w:t>
      </w:r>
      <w:r w:rsidR="00A95A51" w:rsidRPr="00E65AD0">
        <w:rPr>
          <w:rFonts w:ascii="Book Antiqua" w:eastAsia="宋体" w:hAnsi="Book Antiqua" w:cs="Segoe UI"/>
          <w:shd w:val="clear" w:color="auto" w:fill="FFFFFF"/>
          <w:lang w:val="en-GB" w:eastAsia="zh-CN"/>
        </w:rPr>
        <w:t xml:space="preserve"> </w:t>
      </w:r>
      <w:r w:rsidRPr="00E65AD0">
        <w:rPr>
          <w:rFonts w:ascii="Book Antiqua" w:hAnsi="Book Antiqua" w:cs="Segoe UI"/>
          <w:shd w:val="clear" w:color="auto" w:fill="FFFFFF"/>
          <w:lang w:val="en-GB"/>
        </w:rPr>
        <w:t xml:space="preserve">De </w:t>
      </w:r>
      <w:proofErr w:type="spellStart"/>
      <w:r w:rsidRPr="00E65AD0">
        <w:rPr>
          <w:rFonts w:ascii="Book Antiqua" w:hAnsi="Book Antiqua" w:cs="Segoe UI"/>
          <w:shd w:val="clear" w:color="auto" w:fill="FFFFFF"/>
          <w:lang w:val="en-GB"/>
        </w:rPr>
        <w:t>Bellis</w:t>
      </w:r>
      <w:proofErr w:type="spellEnd"/>
      <w:r w:rsidRPr="00E65AD0">
        <w:rPr>
          <w:rFonts w:ascii="Book Antiqua" w:hAnsi="Book Antiqua" w:cs="Segoe UI"/>
          <w:shd w:val="clear" w:color="auto" w:fill="FFFFFF"/>
          <w:lang w:val="en-GB"/>
        </w:rPr>
        <w:t xml:space="preserve">", Research Hospital, </w:t>
      </w:r>
      <w:proofErr w:type="spellStart"/>
      <w:r w:rsidRPr="00E65AD0">
        <w:rPr>
          <w:rFonts w:ascii="Book Antiqua" w:hAnsi="Book Antiqua"/>
          <w:lang w:val="en-GB"/>
        </w:rPr>
        <w:t>Castellana</w:t>
      </w:r>
      <w:proofErr w:type="spellEnd"/>
      <w:r w:rsidRPr="00E65AD0">
        <w:rPr>
          <w:rFonts w:ascii="Book Antiqua" w:hAnsi="Book Antiqua"/>
          <w:lang w:val="en-GB"/>
        </w:rPr>
        <w:t xml:space="preserve"> </w:t>
      </w:r>
      <w:proofErr w:type="spellStart"/>
      <w:r w:rsidRPr="00E65AD0">
        <w:rPr>
          <w:rFonts w:ascii="Book Antiqua" w:hAnsi="Book Antiqua"/>
          <w:lang w:val="en-GB"/>
        </w:rPr>
        <w:t>Grotte</w:t>
      </w:r>
      <w:proofErr w:type="spellEnd"/>
      <w:r w:rsidR="00F66055" w:rsidRPr="00E65AD0">
        <w:rPr>
          <w:rFonts w:ascii="Book Antiqua" w:eastAsia="宋体" w:hAnsi="Book Antiqua"/>
          <w:lang w:val="en-GB" w:eastAsia="zh-CN"/>
        </w:rPr>
        <w:t xml:space="preserve"> 70013</w:t>
      </w:r>
      <w:r w:rsidRPr="00E65AD0">
        <w:rPr>
          <w:rFonts w:ascii="Book Antiqua" w:hAnsi="Book Antiqua"/>
          <w:lang w:val="en-GB"/>
        </w:rPr>
        <w:t>, Italy</w:t>
      </w:r>
    </w:p>
    <w:p w14:paraId="1798B141" w14:textId="77777777" w:rsidR="009D0DBE" w:rsidRPr="00E65AD0" w:rsidRDefault="009D0DBE" w:rsidP="00E65AD0">
      <w:pPr>
        <w:snapToGrid w:val="0"/>
        <w:spacing w:after="0" w:line="360" w:lineRule="auto"/>
        <w:rPr>
          <w:rFonts w:ascii="Book Antiqua" w:eastAsia="宋体" w:hAnsi="Book Antiqua"/>
          <w:lang w:val="en-GB" w:eastAsia="zh-CN"/>
        </w:rPr>
      </w:pPr>
    </w:p>
    <w:p w14:paraId="57D4C2CF" w14:textId="77777777" w:rsidR="004E5420" w:rsidRPr="00E65AD0" w:rsidRDefault="00A95A51" w:rsidP="00E65AD0">
      <w:pPr>
        <w:adjustRightInd w:val="0"/>
        <w:snapToGrid w:val="0"/>
        <w:spacing w:after="0" w:line="360" w:lineRule="auto"/>
        <w:rPr>
          <w:rFonts w:ascii="Book Antiqua" w:hAnsi="Book Antiqua"/>
          <w:color w:val="000000"/>
        </w:rPr>
      </w:pPr>
      <w:r w:rsidRPr="00E65AD0">
        <w:rPr>
          <w:rFonts w:ascii="Book Antiqua" w:hAnsi="Book Antiqua"/>
          <w:b/>
          <w:bCs/>
          <w:color w:val="000000"/>
        </w:rPr>
        <w:t>Author contributions:</w:t>
      </w:r>
      <w:r w:rsidR="004E5420" w:rsidRPr="00E65AD0">
        <w:rPr>
          <w:rFonts w:ascii="Book Antiqua" w:eastAsia="宋体" w:hAnsi="Book Antiqua"/>
          <w:b/>
          <w:bCs/>
          <w:color w:val="000000"/>
          <w:lang w:eastAsia="zh-CN"/>
        </w:rPr>
        <w:t xml:space="preserve"> </w:t>
      </w:r>
      <w:bookmarkStart w:id="5" w:name="OLE_LINK9"/>
      <w:r w:rsidR="004E5420" w:rsidRPr="00E65AD0">
        <w:rPr>
          <w:rFonts w:ascii="Book Antiqua" w:eastAsia="宋体" w:hAnsi="Book Antiqua"/>
          <w:bCs/>
          <w:color w:val="000000"/>
          <w:lang w:eastAsia="zh-CN"/>
        </w:rPr>
        <w:t>Panarese A</w:t>
      </w:r>
      <w:bookmarkEnd w:id="5"/>
      <w:r w:rsidR="004E5420" w:rsidRPr="00E65AD0">
        <w:rPr>
          <w:rFonts w:ascii="Book Antiqua" w:eastAsia="宋体" w:hAnsi="Book Antiqua"/>
          <w:bCs/>
          <w:color w:val="000000"/>
          <w:lang w:eastAsia="zh-CN"/>
        </w:rPr>
        <w:t xml:space="preserve"> and Shahini E </w:t>
      </w:r>
      <w:r w:rsidR="004E5420" w:rsidRPr="00E65AD0">
        <w:rPr>
          <w:rFonts w:ascii="Book Antiqua" w:hAnsi="Book Antiqua"/>
          <w:color w:val="000000"/>
        </w:rPr>
        <w:t>w</w:t>
      </w:r>
      <w:r w:rsidR="004E5420" w:rsidRPr="00E65AD0">
        <w:rPr>
          <w:rFonts w:ascii="Book Antiqua" w:eastAsia="宋体" w:hAnsi="Book Antiqua"/>
          <w:color w:val="000000"/>
          <w:lang w:eastAsia="zh-CN"/>
        </w:rPr>
        <w:t>ere</w:t>
      </w:r>
      <w:r w:rsidR="004E5420" w:rsidRPr="00E65AD0">
        <w:rPr>
          <w:rFonts w:ascii="Book Antiqua" w:hAnsi="Book Antiqua"/>
          <w:color w:val="000000"/>
        </w:rPr>
        <w:t xml:space="preserve"> the guarantor and designed the study;</w:t>
      </w:r>
      <w:r w:rsidR="004E5420" w:rsidRPr="00E65AD0">
        <w:rPr>
          <w:rFonts w:ascii="Book Antiqua" w:hAnsi="Book Antiqua"/>
          <w:b/>
          <w:bCs/>
          <w:color w:val="000000"/>
        </w:rPr>
        <w:t xml:space="preserve"> </w:t>
      </w:r>
      <w:r w:rsidR="004E5420" w:rsidRPr="00E65AD0">
        <w:rPr>
          <w:rFonts w:ascii="Book Antiqua" w:eastAsia="宋体" w:hAnsi="Book Antiqua"/>
          <w:bCs/>
          <w:color w:val="000000"/>
          <w:lang w:eastAsia="zh-CN"/>
        </w:rPr>
        <w:t xml:space="preserve">Panarese A, Palmitessa V, Coletta S, and Shahini E </w:t>
      </w:r>
      <w:r w:rsidR="004E5420" w:rsidRPr="00E65AD0">
        <w:rPr>
          <w:rFonts w:ascii="Book Antiqua" w:hAnsi="Book Antiqua"/>
          <w:color w:val="000000"/>
        </w:rPr>
        <w:t>participated in the acquisition, analysis, and interpretation of the data</w:t>
      </w:r>
      <w:r w:rsidR="004E5420" w:rsidRPr="00E65AD0">
        <w:rPr>
          <w:rFonts w:ascii="Book Antiqua" w:eastAsia="宋体" w:hAnsi="Book Antiqua"/>
          <w:color w:val="000000"/>
          <w:lang w:eastAsia="zh-CN"/>
        </w:rPr>
        <w:t xml:space="preserve">; </w:t>
      </w:r>
      <w:r w:rsidR="004E5420" w:rsidRPr="00E65AD0">
        <w:rPr>
          <w:rFonts w:ascii="Book Antiqua" w:eastAsia="宋体" w:hAnsi="Book Antiqua"/>
          <w:bCs/>
          <w:color w:val="000000"/>
          <w:lang w:eastAsia="zh-CN"/>
        </w:rPr>
        <w:t xml:space="preserve">Panarese A and Shahini E </w:t>
      </w:r>
      <w:r w:rsidR="004E5420" w:rsidRPr="00E65AD0">
        <w:rPr>
          <w:rFonts w:ascii="Book Antiqua" w:hAnsi="Book Antiqua"/>
          <w:color w:val="000000"/>
        </w:rPr>
        <w:t xml:space="preserve">drafted the initial manuscript; </w:t>
      </w:r>
      <w:r w:rsidR="00EF103A" w:rsidRPr="00E65AD0">
        <w:rPr>
          <w:rFonts w:ascii="Book Antiqua" w:hAnsi="Book Antiqua"/>
          <w:lang w:val="en-GB"/>
        </w:rPr>
        <w:t>a</w:t>
      </w:r>
      <w:r w:rsidR="004E5420" w:rsidRPr="00E65AD0">
        <w:rPr>
          <w:rFonts w:ascii="Book Antiqua" w:hAnsi="Book Antiqua"/>
          <w:lang w:val="en-GB"/>
        </w:rPr>
        <w:t>ll authors</w:t>
      </w:r>
      <w:r w:rsidR="004E5420" w:rsidRPr="00E65AD0">
        <w:rPr>
          <w:rFonts w:ascii="Book Antiqua" w:eastAsia="宋体" w:hAnsi="Book Antiqua"/>
          <w:lang w:val="en-GB" w:eastAsia="zh-CN"/>
        </w:rPr>
        <w:t xml:space="preserve"> </w:t>
      </w:r>
      <w:r w:rsidR="004E5420" w:rsidRPr="00E65AD0">
        <w:rPr>
          <w:rFonts w:ascii="Book Antiqua" w:hAnsi="Book Antiqua"/>
          <w:color w:val="000000"/>
        </w:rPr>
        <w:t>revised the article critically for important intellectual content.</w:t>
      </w:r>
    </w:p>
    <w:p w14:paraId="184261E2" w14:textId="77777777" w:rsidR="004E5420" w:rsidRPr="00E65AD0" w:rsidRDefault="004E5420" w:rsidP="00E65AD0">
      <w:pPr>
        <w:snapToGrid w:val="0"/>
        <w:spacing w:after="0" w:line="360" w:lineRule="auto"/>
        <w:rPr>
          <w:rFonts w:ascii="Book Antiqua" w:eastAsia="宋体" w:hAnsi="Book Antiqua"/>
          <w:lang w:eastAsia="zh-CN"/>
        </w:rPr>
      </w:pPr>
    </w:p>
    <w:p w14:paraId="45B1D70B" w14:textId="77777777" w:rsidR="009D0DBE" w:rsidRPr="00E65AD0" w:rsidRDefault="004E5420" w:rsidP="00E65AD0">
      <w:pPr>
        <w:snapToGrid w:val="0"/>
        <w:spacing w:after="0" w:line="360" w:lineRule="auto"/>
        <w:rPr>
          <w:rStyle w:val="af3"/>
          <w:rFonts w:ascii="Book Antiqua" w:eastAsia="宋体" w:hAnsi="Book Antiqua" w:cs="Book Antiqua"/>
          <w:bCs/>
          <w:u w:val="single"/>
          <w:lang w:eastAsia="zh-CN"/>
        </w:rPr>
      </w:pPr>
      <w:r w:rsidRPr="00E65AD0">
        <w:rPr>
          <w:rFonts w:ascii="Book Antiqua" w:hAnsi="Book Antiqua"/>
          <w:b/>
          <w:bCs/>
          <w:color w:val="000000"/>
        </w:rPr>
        <w:t>Corresponding author:</w:t>
      </w:r>
      <w:r w:rsidRPr="00E65AD0">
        <w:rPr>
          <w:rFonts w:ascii="Book Antiqua" w:hAnsi="Book Antiqua"/>
          <w:color w:val="000000"/>
        </w:rPr>
        <w:t xml:space="preserve"> </w:t>
      </w:r>
      <w:r w:rsidR="00921B00" w:rsidRPr="00E65AD0">
        <w:rPr>
          <w:rFonts w:ascii="Book Antiqua" w:hAnsi="Book Antiqua"/>
          <w:b/>
          <w:lang w:val="en-GB"/>
        </w:rPr>
        <w:t xml:space="preserve">Alba </w:t>
      </w:r>
      <w:proofErr w:type="spellStart"/>
      <w:r w:rsidR="00921B00" w:rsidRPr="00E65AD0">
        <w:rPr>
          <w:rFonts w:ascii="Book Antiqua" w:hAnsi="Book Antiqua"/>
          <w:b/>
          <w:lang w:val="en-GB"/>
        </w:rPr>
        <w:t>Panarese</w:t>
      </w:r>
      <w:proofErr w:type="spellEnd"/>
      <w:r w:rsidR="00921B00" w:rsidRPr="00E65AD0">
        <w:rPr>
          <w:rFonts w:ascii="Book Antiqua" w:hAnsi="Book Antiqua"/>
          <w:b/>
          <w:lang w:val="en-GB"/>
        </w:rPr>
        <w:t xml:space="preserve">, MD, </w:t>
      </w:r>
      <w:r w:rsidR="00E83E39" w:rsidRPr="00E65AD0">
        <w:rPr>
          <w:rFonts w:ascii="Book Antiqua" w:hAnsi="Book Antiqua"/>
          <w:b/>
          <w:lang w:val="en-GB"/>
        </w:rPr>
        <w:t>Chief Doctor,</w:t>
      </w:r>
      <w:r w:rsidR="002F5B86">
        <w:rPr>
          <w:rFonts w:ascii="Book Antiqua" w:hAnsi="Book Antiqua"/>
          <w:b/>
          <w:lang w:val="en-GB"/>
        </w:rPr>
        <w:t xml:space="preserve"> </w:t>
      </w:r>
      <w:r w:rsidR="00E83E39" w:rsidRPr="00E65AD0">
        <w:rPr>
          <w:rFonts w:ascii="Book Antiqua" w:hAnsi="Book Antiqua"/>
          <w:b/>
          <w:lang w:val="en-GB"/>
        </w:rPr>
        <w:t>Research Scientist</w:t>
      </w:r>
      <w:r w:rsidR="00E83E39" w:rsidRPr="00E65AD0">
        <w:rPr>
          <w:rFonts w:ascii="Book Antiqua" w:eastAsia="宋体" w:hAnsi="Book Antiqua"/>
          <w:b/>
          <w:lang w:val="en-GB" w:eastAsia="zh-CN"/>
        </w:rPr>
        <w:t>,</w:t>
      </w:r>
      <w:r w:rsidR="002F5B86">
        <w:rPr>
          <w:rFonts w:ascii="Book Antiqua" w:eastAsia="宋体" w:hAnsi="Book Antiqua"/>
          <w:b/>
          <w:lang w:val="en-GB" w:eastAsia="zh-CN"/>
        </w:rPr>
        <w:t xml:space="preserve"> </w:t>
      </w:r>
      <w:r w:rsidR="00921B00" w:rsidRPr="00E65AD0">
        <w:rPr>
          <w:rFonts w:ascii="Book Antiqua" w:hAnsi="Book Antiqua"/>
          <w:lang w:val="en-GB"/>
        </w:rPr>
        <w:t xml:space="preserve">Department of Gastroenterology and Digestive Endoscopy, National Institute of Gastroenterology "S De Bellis", Research Hospital, </w:t>
      </w:r>
      <w:bookmarkStart w:id="6" w:name="OLE_LINK10"/>
      <w:r w:rsidR="00921B00" w:rsidRPr="00E65AD0">
        <w:rPr>
          <w:rFonts w:ascii="Book Antiqua" w:hAnsi="Book Antiqua"/>
          <w:lang w:val="en-GB"/>
        </w:rPr>
        <w:t xml:space="preserve">Via </w:t>
      </w:r>
      <w:proofErr w:type="spellStart"/>
      <w:r w:rsidR="00921B00" w:rsidRPr="00E65AD0">
        <w:rPr>
          <w:rFonts w:ascii="Book Antiqua" w:hAnsi="Book Antiqua"/>
          <w:lang w:val="en-GB"/>
        </w:rPr>
        <w:t>Turi</w:t>
      </w:r>
      <w:proofErr w:type="spellEnd"/>
      <w:r w:rsidR="00921B00" w:rsidRPr="00E65AD0">
        <w:rPr>
          <w:rFonts w:ascii="Book Antiqua" w:hAnsi="Book Antiqua"/>
          <w:lang w:val="en-GB"/>
        </w:rPr>
        <w:t xml:space="preserve"> n. 27</w:t>
      </w:r>
      <w:bookmarkEnd w:id="6"/>
      <w:r w:rsidR="002D1A0E" w:rsidRPr="00E65AD0">
        <w:rPr>
          <w:rFonts w:ascii="Book Antiqua" w:hAnsi="Book Antiqua"/>
          <w:lang w:val="en-GB"/>
        </w:rPr>
        <w:t>,</w:t>
      </w:r>
      <w:r w:rsidR="002D1A0E" w:rsidRPr="00E65AD0">
        <w:rPr>
          <w:rFonts w:ascii="Book Antiqua" w:eastAsia="宋体" w:hAnsi="Book Antiqua"/>
          <w:lang w:val="en-GB" w:eastAsia="zh-CN"/>
        </w:rPr>
        <w:t xml:space="preserve"> </w:t>
      </w:r>
      <w:proofErr w:type="spellStart"/>
      <w:r w:rsidRPr="00E65AD0">
        <w:rPr>
          <w:rFonts w:ascii="Book Antiqua" w:hAnsi="Book Antiqua"/>
          <w:lang w:val="en-GB"/>
        </w:rPr>
        <w:t>Castellana</w:t>
      </w:r>
      <w:proofErr w:type="spellEnd"/>
      <w:r w:rsidRPr="00E65AD0">
        <w:rPr>
          <w:rFonts w:ascii="Book Antiqua" w:eastAsia="宋体" w:hAnsi="Book Antiqua"/>
          <w:lang w:val="en-GB" w:eastAsia="zh-CN"/>
        </w:rPr>
        <w:t xml:space="preserve"> </w:t>
      </w:r>
      <w:proofErr w:type="spellStart"/>
      <w:r w:rsidRPr="00E65AD0">
        <w:rPr>
          <w:rFonts w:ascii="Book Antiqua" w:hAnsi="Book Antiqua"/>
          <w:lang w:val="en-GB"/>
        </w:rPr>
        <w:t>Grotte</w:t>
      </w:r>
      <w:proofErr w:type="spellEnd"/>
      <w:r w:rsidRPr="00E65AD0">
        <w:rPr>
          <w:rFonts w:ascii="Book Antiqua" w:hAnsi="Book Antiqua"/>
          <w:lang w:val="en-GB"/>
        </w:rPr>
        <w:t xml:space="preserve"> 70013</w:t>
      </w:r>
      <w:r w:rsidR="002D1A0E" w:rsidRPr="00E65AD0">
        <w:rPr>
          <w:rFonts w:ascii="Book Antiqua" w:eastAsia="宋体" w:hAnsi="Book Antiqua"/>
          <w:lang w:val="en-GB" w:eastAsia="zh-CN"/>
        </w:rPr>
        <w:t xml:space="preserve">, </w:t>
      </w:r>
      <w:r w:rsidRPr="00E65AD0">
        <w:rPr>
          <w:rFonts w:ascii="Book Antiqua" w:hAnsi="Book Antiqua"/>
          <w:lang w:val="en-GB"/>
        </w:rPr>
        <w:t>Italy</w:t>
      </w:r>
      <w:r w:rsidRPr="00E65AD0">
        <w:rPr>
          <w:rFonts w:ascii="Book Antiqua" w:eastAsia="宋体" w:hAnsi="Book Antiqua"/>
          <w:lang w:val="en-GB" w:eastAsia="zh-CN"/>
        </w:rPr>
        <w:t>.</w:t>
      </w:r>
      <w:r w:rsidR="00921B00" w:rsidRPr="00E65AD0">
        <w:rPr>
          <w:rFonts w:ascii="Book Antiqua" w:hAnsi="Book Antiqua"/>
          <w:lang w:val="en-GB"/>
        </w:rPr>
        <w:t xml:space="preserve"> </w:t>
      </w:r>
      <w:hyperlink r:id="rId10" w:history="1">
        <w:r w:rsidR="00921B00" w:rsidRPr="00E65AD0">
          <w:rPr>
            <w:rStyle w:val="af3"/>
            <w:rFonts w:ascii="Book Antiqua" w:hAnsi="Book Antiqua" w:cs="Book Antiqua"/>
            <w:bCs/>
            <w:u w:val="single"/>
          </w:rPr>
          <w:t>alba.panarese@irccsdebellis.it</w:t>
        </w:r>
      </w:hyperlink>
    </w:p>
    <w:p w14:paraId="5293A6D3" w14:textId="77777777" w:rsidR="002D1A0E" w:rsidRPr="00E65AD0" w:rsidRDefault="002D1A0E" w:rsidP="00E65AD0">
      <w:pPr>
        <w:snapToGrid w:val="0"/>
        <w:spacing w:after="0" w:line="360" w:lineRule="auto"/>
        <w:rPr>
          <w:rStyle w:val="af3"/>
          <w:rFonts w:ascii="Book Antiqua" w:eastAsia="宋体" w:hAnsi="Book Antiqua" w:cs="Book Antiqua"/>
          <w:bCs/>
          <w:u w:val="single"/>
          <w:lang w:eastAsia="zh-CN"/>
        </w:rPr>
      </w:pPr>
    </w:p>
    <w:p w14:paraId="0573C0BA" w14:textId="77777777" w:rsidR="002D1A0E" w:rsidRPr="00E65AD0" w:rsidRDefault="002D1A0E" w:rsidP="00E65AD0">
      <w:pPr>
        <w:adjustRightInd w:val="0"/>
        <w:snapToGrid w:val="0"/>
        <w:spacing w:after="0" w:line="360" w:lineRule="auto"/>
        <w:rPr>
          <w:rFonts w:ascii="Book Antiqua" w:eastAsia="宋体" w:hAnsi="Book Antiqua"/>
          <w:b/>
          <w:bCs/>
          <w:color w:val="000000"/>
          <w:lang w:eastAsia="zh-CN"/>
        </w:rPr>
      </w:pPr>
      <w:r w:rsidRPr="00E65AD0">
        <w:rPr>
          <w:rFonts w:ascii="Book Antiqua" w:hAnsi="Book Antiqua"/>
          <w:b/>
          <w:bCs/>
          <w:color w:val="000000"/>
        </w:rPr>
        <w:t xml:space="preserve">Received: </w:t>
      </w:r>
      <w:r w:rsidRPr="00E65AD0">
        <w:rPr>
          <w:rFonts w:ascii="Book Antiqua" w:hAnsi="Book Antiqua"/>
          <w:color w:val="000000"/>
        </w:rPr>
        <w:t>March 1</w:t>
      </w:r>
      <w:r w:rsidRPr="00E65AD0">
        <w:rPr>
          <w:rFonts w:ascii="Book Antiqua" w:eastAsia="宋体" w:hAnsi="Book Antiqua"/>
          <w:color w:val="000000"/>
          <w:lang w:eastAsia="zh-CN"/>
        </w:rPr>
        <w:t>8</w:t>
      </w:r>
      <w:r w:rsidRPr="00E65AD0">
        <w:rPr>
          <w:rFonts w:ascii="Book Antiqua" w:hAnsi="Book Antiqua"/>
          <w:color w:val="000000"/>
        </w:rPr>
        <w:t>, 20</w:t>
      </w:r>
      <w:r w:rsidRPr="00E65AD0">
        <w:rPr>
          <w:rFonts w:ascii="Book Antiqua" w:eastAsia="宋体" w:hAnsi="Book Antiqua"/>
          <w:color w:val="000000"/>
          <w:lang w:eastAsia="zh-CN"/>
        </w:rPr>
        <w:t>20</w:t>
      </w:r>
    </w:p>
    <w:p w14:paraId="44B54B67" w14:textId="77777777" w:rsidR="002D1A0E" w:rsidRPr="00E65AD0" w:rsidRDefault="002D1A0E" w:rsidP="00E65AD0">
      <w:pPr>
        <w:adjustRightInd w:val="0"/>
        <w:snapToGrid w:val="0"/>
        <w:spacing w:after="0" w:line="360" w:lineRule="auto"/>
        <w:rPr>
          <w:rFonts w:ascii="Book Antiqua" w:eastAsia="宋体" w:hAnsi="Book Antiqua"/>
          <w:b/>
          <w:bCs/>
          <w:color w:val="000000"/>
          <w:lang w:eastAsia="zh-CN"/>
        </w:rPr>
      </w:pPr>
      <w:r w:rsidRPr="00E65AD0">
        <w:rPr>
          <w:rFonts w:ascii="Book Antiqua" w:hAnsi="Book Antiqua"/>
          <w:b/>
          <w:bCs/>
          <w:color w:val="000000"/>
        </w:rPr>
        <w:t xml:space="preserve">Revised: </w:t>
      </w:r>
      <w:r w:rsidRPr="00E65AD0">
        <w:rPr>
          <w:rFonts w:ascii="Book Antiqua" w:eastAsia="宋体" w:hAnsi="Book Antiqua"/>
          <w:color w:val="000000"/>
          <w:lang w:eastAsia="zh-CN"/>
        </w:rPr>
        <w:t>June</w:t>
      </w:r>
      <w:r w:rsidRPr="00E65AD0">
        <w:rPr>
          <w:rFonts w:ascii="Book Antiqua" w:hAnsi="Book Antiqua"/>
          <w:color w:val="000000"/>
        </w:rPr>
        <w:t xml:space="preserve"> </w:t>
      </w:r>
      <w:r w:rsidRPr="00E65AD0">
        <w:rPr>
          <w:rFonts w:ascii="Book Antiqua" w:eastAsia="宋体" w:hAnsi="Book Antiqua"/>
          <w:color w:val="000000"/>
          <w:lang w:eastAsia="zh-CN"/>
        </w:rPr>
        <w:t>20</w:t>
      </w:r>
      <w:r w:rsidRPr="00E65AD0">
        <w:rPr>
          <w:rFonts w:ascii="Book Antiqua" w:hAnsi="Book Antiqua"/>
          <w:color w:val="000000"/>
        </w:rPr>
        <w:t>, 20</w:t>
      </w:r>
      <w:r w:rsidRPr="00E65AD0">
        <w:rPr>
          <w:rFonts w:ascii="Book Antiqua" w:eastAsia="宋体" w:hAnsi="Book Antiqua"/>
          <w:color w:val="000000"/>
          <w:lang w:eastAsia="zh-CN"/>
        </w:rPr>
        <w:t>20</w:t>
      </w:r>
    </w:p>
    <w:p w14:paraId="7A1A9238" w14:textId="5811C4B7" w:rsidR="002D1A0E" w:rsidRPr="00E65AD0" w:rsidRDefault="002D1A0E" w:rsidP="00E65AD0">
      <w:pPr>
        <w:adjustRightInd w:val="0"/>
        <w:snapToGrid w:val="0"/>
        <w:spacing w:after="0" w:line="360" w:lineRule="auto"/>
        <w:rPr>
          <w:rFonts w:ascii="Book Antiqua" w:hAnsi="Book Antiqua"/>
          <w:b/>
          <w:bCs/>
          <w:color w:val="000000"/>
        </w:rPr>
      </w:pPr>
      <w:r w:rsidRPr="00E65AD0">
        <w:rPr>
          <w:rFonts w:ascii="Book Antiqua" w:hAnsi="Book Antiqua"/>
          <w:b/>
          <w:bCs/>
          <w:color w:val="000000"/>
        </w:rPr>
        <w:t xml:space="preserve">Accepted: </w:t>
      </w:r>
      <w:r w:rsidR="00C77503" w:rsidRPr="00C77503">
        <w:rPr>
          <w:rFonts w:ascii="Book Antiqua" w:hAnsi="Book Antiqua"/>
          <w:color w:val="000000"/>
        </w:rPr>
        <w:t>June 30, 2020</w:t>
      </w:r>
    </w:p>
    <w:p w14:paraId="68686C72" w14:textId="708FCE45" w:rsidR="009D0DBE" w:rsidRPr="007A4A5B" w:rsidRDefault="002D1A0E" w:rsidP="00E65AD0">
      <w:pPr>
        <w:adjustRightInd w:val="0"/>
        <w:snapToGrid w:val="0"/>
        <w:spacing w:after="0" w:line="360" w:lineRule="auto"/>
        <w:rPr>
          <w:rFonts w:ascii="Book Antiqua" w:eastAsia="宋体" w:hAnsi="Book Antiqua" w:hint="eastAsia"/>
          <w:b/>
          <w:bCs/>
          <w:color w:val="000000"/>
          <w:lang w:eastAsia="zh-CN"/>
        </w:rPr>
      </w:pPr>
      <w:r w:rsidRPr="00E65AD0">
        <w:rPr>
          <w:rFonts w:ascii="Book Antiqua" w:hAnsi="Book Antiqua"/>
          <w:b/>
          <w:bCs/>
          <w:color w:val="000000"/>
        </w:rPr>
        <w:t>Published online:</w:t>
      </w:r>
      <w:r w:rsidR="007A4A5B">
        <w:rPr>
          <w:rFonts w:ascii="Book Antiqua" w:eastAsia="宋体" w:hAnsi="Book Antiqua" w:hint="eastAsia"/>
          <w:b/>
          <w:bCs/>
          <w:color w:val="000000"/>
          <w:lang w:eastAsia="zh-CN"/>
        </w:rPr>
        <w:t xml:space="preserve"> </w:t>
      </w:r>
      <w:r w:rsidR="007A4A5B" w:rsidRPr="007A4A5B">
        <w:rPr>
          <w:rFonts w:ascii="Book Antiqua" w:eastAsia="宋体" w:hAnsi="Book Antiqua"/>
          <w:bCs/>
          <w:color w:val="000000"/>
          <w:lang w:eastAsia="zh-CN"/>
        </w:rPr>
        <w:t>July 14, 2020</w:t>
      </w:r>
    </w:p>
    <w:p w14:paraId="0915463B" w14:textId="77777777" w:rsidR="009D0DBE" w:rsidRPr="00E65AD0" w:rsidRDefault="00921B00" w:rsidP="00E65AD0">
      <w:pPr>
        <w:snapToGrid w:val="0"/>
        <w:spacing w:after="0" w:line="360" w:lineRule="auto"/>
        <w:rPr>
          <w:rFonts w:ascii="Book Antiqua" w:hAnsi="Book Antiqua"/>
          <w:lang w:val="en-GB"/>
        </w:rPr>
      </w:pPr>
      <w:bookmarkStart w:id="7" w:name="OLE_LINK7"/>
      <w:bookmarkStart w:id="8" w:name="OLE_LINK8"/>
      <w:r w:rsidRPr="00E65AD0">
        <w:rPr>
          <w:rFonts w:ascii="Book Antiqua" w:hAnsi="Book Antiqua"/>
          <w:lang w:val="en-GB"/>
        </w:rPr>
        <w:br w:type="page"/>
      </w:r>
    </w:p>
    <w:bookmarkEnd w:id="7"/>
    <w:bookmarkEnd w:id="8"/>
    <w:p w14:paraId="1033FFBB" w14:textId="77777777" w:rsidR="009D0DBE" w:rsidRPr="00E65AD0" w:rsidRDefault="00921B00" w:rsidP="00E65AD0">
      <w:pPr>
        <w:snapToGrid w:val="0"/>
        <w:spacing w:after="0" w:line="360" w:lineRule="auto"/>
        <w:rPr>
          <w:rFonts w:ascii="Book Antiqua" w:hAnsi="Book Antiqua"/>
          <w:b/>
          <w:lang w:val="en-GB"/>
        </w:rPr>
      </w:pPr>
      <w:r w:rsidRPr="00E65AD0">
        <w:rPr>
          <w:rFonts w:ascii="Book Antiqua" w:hAnsi="Book Antiqua"/>
          <w:b/>
          <w:lang w:val="en-GB"/>
        </w:rPr>
        <w:lastRenderedPageBreak/>
        <w:t>Abstract</w:t>
      </w:r>
    </w:p>
    <w:p w14:paraId="35E6688C"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BACKGROUND</w:t>
      </w:r>
    </w:p>
    <w:p w14:paraId="6345A4DD"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i/>
          <w:lang w:val="en-GB"/>
        </w:rPr>
        <w:t xml:space="preserve">Helicobacter </w:t>
      </w:r>
      <w:r w:rsidR="002D1A0E" w:rsidRPr="00E65AD0">
        <w:rPr>
          <w:rFonts w:ascii="Book Antiqua" w:hAnsi="Book Antiqua"/>
          <w:i/>
          <w:lang w:val="en-GB"/>
        </w:rPr>
        <w:t>pylori</w:t>
      </w:r>
      <w:r w:rsidRPr="00E65AD0">
        <w:rPr>
          <w:rFonts w:ascii="Book Antiqua" w:hAnsi="Book Antiqua"/>
          <w:i/>
          <w:lang w:val="en-GB"/>
        </w:rPr>
        <w:t xml:space="preserve"> (H.</w:t>
      </w:r>
      <w:r w:rsidRPr="00E65AD0">
        <w:rPr>
          <w:rFonts w:ascii="Book Antiqua" w:eastAsia="宋体" w:hAnsi="Book Antiqua"/>
          <w:i/>
          <w:lang w:val="en-GB" w:eastAsia="zh-CN"/>
        </w:rPr>
        <w:t xml:space="preserve"> </w:t>
      </w:r>
      <w:r w:rsidR="002D1A0E" w:rsidRPr="00E65AD0">
        <w:rPr>
          <w:rFonts w:ascii="Book Antiqua" w:hAnsi="Book Antiqua"/>
          <w:i/>
          <w:lang w:val="en-GB"/>
        </w:rPr>
        <w:t>pylori</w:t>
      </w:r>
      <w:r w:rsidRPr="00E65AD0">
        <w:rPr>
          <w:rFonts w:ascii="Book Antiqua" w:hAnsi="Book Antiqua"/>
          <w:i/>
          <w:lang w:val="en-GB"/>
        </w:rPr>
        <w:t>)</w:t>
      </w:r>
      <w:r w:rsidRPr="00E65AD0">
        <w:rPr>
          <w:rFonts w:ascii="Book Antiqua" w:hAnsi="Book Antiqua"/>
          <w:lang w:val="en-GB"/>
        </w:rPr>
        <w:t xml:space="preserve"> infection has been associated with a long-term risk of </w:t>
      </w:r>
      <w:r w:rsidR="00EA4854" w:rsidRPr="00E65AD0">
        <w:rPr>
          <w:rFonts w:ascii="Book Antiqua" w:hAnsi="Book Antiqua"/>
          <w:lang w:val="en-GB"/>
        </w:rPr>
        <w:t xml:space="preserve">precancerous gastric conditions </w:t>
      </w:r>
      <w:r w:rsidRPr="00E65AD0">
        <w:rPr>
          <w:rFonts w:ascii="Book Antiqua" w:hAnsi="Book Antiqua"/>
          <w:lang w:val="en-GB"/>
        </w:rPr>
        <w:t xml:space="preserve">(PGC) even after </w:t>
      </w:r>
      <w:r w:rsidR="002D1A0E" w:rsidRPr="00E65AD0">
        <w:rPr>
          <w:rFonts w:ascii="Book Antiqua" w:hAnsi="Book Antiqua"/>
          <w:i/>
          <w:lang w:val="en-GB"/>
        </w:rPr>
        <w:t>H. pylori</w:t>
      </w:r>
      <w:r w:rsidR="002D1A0E" w:rsidRPr="00E65AD0">
        <w:rPr>
          <w:rFonts w:ascii="Book Antiqua" w:hAnsi="Book Antiqua"/>
          <w:lang w:val="en-GB"/>
        </w:rPr>
        <w:t xml:space="preserve"> </w:t>
      </w:r>
      <w:r w:rsidRPr="00E65AD0">
        <w:rPr>
          <w:rFonts w:ascii="Book Antiqua" w:hAnsi="Book Antiqua"/>
          <w:lang w:val="en-GB"/>
        </w:rPr>
        <w:t xml:space="preserve">eradication. </w:t>
      </w:r>
    </w:p>
    <w:p w14:paraId="01D2A29B" w14:textId="77777777" w:rsidR="009D0DBE" w:rsidRPr="00E65AD0" w:rsidRDefault="009D0DBE" w:rsidP="00E65AD0">
      <w:pPr>
        <w:snapToGrid w:val="0"/>
        <w:spacing w:after="0" w:line="360" w:lineRule="auto"/>
        <w:rPr>
          <w:rFonts w:ascii="Book Antiqua" w:eastAsia="宋体" w:hAnsi="Book Antiqua"/>
          <w:lang w:val="en-GB" w:eastAsia="zh-CN"/>
        </w:rPr>
      </w:pPr>
    </w:p>
    <w:p w14:paraId="08B4D281"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AIM</w:t>
      </w:r>
    </w:p>
    <w:p w14:paraId="1BFC4934"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To investigate the efficacy of High-Resolution White-Light End</w:t>
      </w:r>
      <w:r w:rsidR="002D1A0E" w:rsidRPr="00E65AD0">
        <w:rPr>
          <w:rFonts w:ascii="Book Antiqua" w:hAnsi="Book Antiqua"/>
          <w:lang w:val="en-GB"/>
        </w:rPr>
        <w:t>oscopy</w:t>
      </w:r>
      <w:r w:rsidR="002D1A0E" w:rsidRPr="00E65AD0">
        <w:rPr>
          <w:rFonts w:ascii="Book Antiqua" w:eastAsia="宋体" w:hAnsi="Book Antiqua"/>
          <w:lang w:val="en-GB" w:eastAsia="zh-CN"/>
        </w:rPr>
        <w:t xml:space="preserve"> </w:t>
      </w:r>
      <w:r w:rsidR="002D1A0E" w:rsidRPr="00E65AD0">
        <w:rPr>
          <w:rFonts w:ascii="Book Antiqua" w:hAnsi="Book Antiqua"/>
          <w:lang w:val="en-GB"/>
        </w:rPr>
        <w:t>with Narrow-Band Imaging</w:t>
      </w:r>
      <w:r w:rsidRPr="00E65AD0">
        <w:rPr>
          <w:rFonts w:ascii="Book Antiqua" w:hAnsi="Book Antiqua"/>
          <w:lang w:val="en-GB"/>
        </w:rPr>
        <w:t xml:space="preserve"> in detecting PGC, before/after </w:t>
      </w:r>
      <w:r w:rsidR="002D1A0E" w:rsidRPr="00E65AD0">
        <w:rPr>
          <w:rFonts w:ascii="Book Antiqua" w:hAnsi="Book Antiqua"/>
          <w:i/>
          <w:lang w:val="en-GB"/>
        </w:rPr>
        <w:t>H. pylori</w:t>
      </w:r>
      <w:r w:rsidR="002D1A0E" w:rsidRPr="00E65AD0">
        <w:rPr>
          <w:rFonts w:ascii="Book Antiqua" w:hAnsi="Book Antiqua"/>
          <w:lang w:val="en-GB"/>
        </w:rPr>
        <w:t xml:space="preserve"> </w:t>
      </w:r>
      <w:r w:rsidRPr="00E65AD0">
        <w:rPr>
          <w:rFonts w:ascii="Book Antiqua" w:hAnsi="Book Antiqua"/>
          <w:lang w:val="en-GB"/>
        </w:rPr>
        <w:t>eradication.</w:t>
      </w:r>
    </w:p>
    <w:p w14:paraId="38910C0D" w14:textId="77777777" w:rsidR="009D0DBE" w:rsidRPr="00E65AD0" w:rsidRDefault="009D0DBE" w:rsidP="00E65AD0">
      <w:pPr>
        <w:snapToGrid w:val="0"/>
        <w:spacing w:after="0" w:line="360" w:lineRule="auto"/>
        <w:rPr>
          <w:rFonts w:ascii="Book Antiqua" w:eastAsia="宋体" w:hAnsi="Book Antiqua"/>
          <w:lang w:val="en-GB" w:eastAsia="zh-CN"/>
        </w:rPr>
      </w:pPr>
    </w:p>
    <w:p w14:paraId="2F8813D8"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METHODS </w:t>
      </w:r>
    </w:p>
    <w:p w14:paraId="126E21C9"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We studied 85 consecutive patients with </w:t>
      </w:r>
      <w:r w:rsidR="002D1A0E" w:rsidRPr="00E65AD0">
        <w:rPr>
          <w:rFonts w:ascii="Book Antiqua" w:hAnsi="Book Antiqua"/>
          <w:i/>
          <w:lang w:val="en-GB"/>
        </w:rPr>
        <w:t>H.</w:t>
      </w:r>
      <w:r w:rsidR="002D1A0E" w:rsidRPr="00E65AD0">
        <w:rPr>
          <w:rFonts w:ascii="Book Antiqua" w:eastAsia="宋体" w:hAnsi="Book Antiqua"/>
          <w:i/>
          <w:lang w:val="en-GB" w:eastAsia="zh-CN"/>
        </w:rPr>
        <w:t xml:space="preserve"> </w:t>
      </w:r>
      <w:r w:rsidR="002D1A0E" w:rsidRPr="00E65AD0">
        <w:rPr>
          <w:rFonts w:ascii="Book Antiqua" w:hAnsi="Book Antiqua"/>
          <w:i/>
          <w:lang w:val="en-GB"/>
        </w:rPr>
        <w:t>pylori</w:t>
      </w:r>
      <w:r w:rsidRPr="00E65AD0">
        <w:rPr>
          <w:rFonts w:ascii="Book Antiqua" w:hAnsi="Book Antiqua"/>
          <w:lang w:val="en-GB"/>
        </w:rPr>
        <w:t xml:space="preserve">-related gastritis with/without PGC before and 6 </w:t>
      </w:r>
      <w:proofErr w:type="spellStart"/>
      <w:r w:rsidRPr="00E65AD0">
        <w:rPr>
          <w:rFonts w:ascii="Book Antiqua" w:hAnsi="Book Antiqua"/>
          <w:lang w:val="en-GB"/>
        </w:rPr>
        <w:t>mo</w:t>
      </w:r>
      <w:proofErr w:type="spellEnd"/>
      <w:r w:rsidRPr="00E65AD0">
        <w:rPr>
          <w:rFonts w:ascii="Book Antiqua" w:hAnsi="Book Antiqua"/>
          <w:lang w:val="en-GB"/>
        </w:rPr>
        <w:t xml:space="preserve"> after proven </w:t>
      </w:r>
      <w:r w:rsidR="002D1A0E" w:rsidRPr="00E65AD0">
        <w:rPr>
          <w:rFonts w:ascii="Book Antiqua" w:hAnsi="Book Antiqua"/>
          <w:i/>
          <w:lang w:val="en-GB"/>
        </w:rPr>
        <w:t>H. pylori</w:t>
      </w:r>
      <w:r w:rsidR="002D1A0E" w:rsidRPr="00E65AD0">
        <w:rPr>
          <w:rFonts w:ascii="Book Antiqua" w:hAnsi="Book Antiqua"/>
          <w:lang w:val="en-GB"/>
        </w:rPr>
        <w:t xml:space="preserve"> </w:t>
      </w:r>
      <w:r w:rsidRPr="00E65AD0">
        <w:rPr>
          <w:rFonts w:ascii="Book Antiqua" w:hAnsi="Book Antiqua"/>
          <w:lang w:val="en-GB"/>
        </w:rPr>
        <w:t xml:space="preserve">eradication. Kimura-Takemoto modified and </w:t>
      </w:r>
      <w:bookmarkStart w:id="9" w:name="OLE_LINK12"/>
      <w:r w:rsidR="002D1C57" w:rsidRPr="00E65AD0">
        <w:rPr>
          <w:rFonts w:ascii="Book Antiqua" w:hAnsi="Book Antiqua"/>
          <w:lang w:val="en-GB"/>
        </w:rPr>
        <w:t xml:space="preserve">endoscopic grading </w:t>
      </w:r>
      <w:r w:rsidRPr="00E65AD0">
        <w:rPr>
          <w:rFonts w:ascii="Book Antiqua" w:hAnsi="Book Antiqua"/>
          <w:lang w:val="en-GB"/>
        </w:rPr>
        <w:t>o</w:t>
      </w:r>
      <w:r w:rsidR="002D1A0E" w:rsidRPr="00E65AD0">
        <w:rPr>
          <w:rFonts w:ascii="Book Antiqua" w:hAnsi="Book Antiqua"/>
          <w:lang w:val="en-GB"/>
        </w:rPr>
        <w:t xml:space="preserve">f </w:t>
      </w:r>
      <w:r w:rsidR="002D1C57" w:rsidRPr="00E65AD0">
        <w:rPr>
          <w:rFonts w:ascii="Book Antiqua" w:hAnsi="Book Antiqua"/>
          <w:lang w:val="en-GB"/>
        </w:rPr>
        <w:t>gastric intestinal metaplasia</w:t>
      </w:r>
      <w:bookmarkEnd w:id="9"/>
      <w:r w:rsidR="002D1C57" w:rsidRPr="00E65AD0">
        <w:rPr>
          <w:rFonts w:ascii="Book Antiqua" w:hAnsi="Book Antiqua"/>
          <w:lang w:val="en-GB"/>
        </w:rPr>
        <w:t xml:space="preserve"> </w:t>
      </w:r>
      <w:r w:rsidRPr="00E65AD0">
        <w:rPr>
          <w:rFonts w:ascii="Book Antiqua" w:hAnsi="Book Antiqua"/>
          <w:lang w:val="en-GB"/>
        </w:rPr>
        <w:t xml:space="preserve">classifications, were applied to assess the endoscopic extension of atrophy and </w:t>
      </w:r>
      <w:r w:rsidR="00EA4854" w:rsidRPr="00E65AD0">
        <w:rPr>
          <w:rFonts w:ascii="Book Antiqua" w:hAnsi="Book Antiqua"/>
          <w:lang w:val="en-GB"/>
        </w:rPr>
        <w:t>intestinal metaplasia</w:t>
      </w:r>
      <w:r w:rsidRPr="00E65AD0">
        <w:rPr>
          <w:rFonts w:ascii="Book Antiqua" w:hAnsi="Book Antiqua"/>
          <w:lang w:val="en-GB"/>
        </w:rPr>
        <w:t xml:space="preserve">. The histological result was considered to be the gold standard. The Sydney System, the </w:t>
      </w:r>
      <w:bookmarkStart w:id="10" w:name="OLE_LINK15"/>
      <w:bookmarkStart w:id="11" w:name="OLE_LINK16"/>
      <w:r w:rsidRPr="00E65AD0">
        <w:rPr>
          <w:rFonts w:ascii="Book Antiqua" w:hAnsi="Book Antiqua"/>
          <w:lang w:val="en-GB"/>
        </w:rPr>
        <w:t>Operative-Link on Gastritis-Assessment</w:t>
      </w:r>
      <w:bookmarkEnd w:id="10"/>
      <w:bookmarkEnd w:id="11"/>
      <w:r w:rsidRPr="00E65AD0">
        <w:rPr>
          <w:rFonts w:ascii="Book Antiqua" w:hAnsi="Book Antiqua"/>
          <w:lang w:val="en-GB"/>
        </w:rPr>
        <w:t>, and the Operative-Link o</w:t>
      </w:r>
      <w:r w:rsidR="00FC703C" w:rsidRPr="00E65AD0">
        <w:rPr>
          <w:rFonts w:ascii="Book Antiqua" w:hAnsi="Book Antiqua"/>
          <w:lang w:val="en-GB"/>
        </w:rPr>
        <w:t>n Gastric-Intestinal Metaplasia</w:t>
      </w:r>
      <w:r w:rsidR="00FC703C" w:rsidRPr="00E65AD0">
        <w:rPr>
          <w:rFonts w:ascii="Book Antiqua" w:eastAsia="宋体" w:hAnsi="Book Antiqua"/>
          <w:lang w:val="en-GB" w:eastAsia="zh-CN"/>
        </w:rPr>
        <w:t xml:space="preserve"> </w:t>
      </w:r>
      <w:r w:rsidRPr="00E65AD0">
        <w:rPr>
          <w:rFonts w:ascii="Book Antiqua" w:hAnsi="Book Antiqua"/>
          <w:lang w:val="en-GB"/>
        </w:rPr>
        <w:t xml:space="preserve">were used for defining histological gastritis, atrophy and </w:t>
      </w:r>
      <w:r w:rsidR="00EA4854" w:rsidRPr="00E65AD0">
        <w:rPr>
          <w:rFonts w:ascii="Book Antiqua" w:hAnsi="Book Antiqua"/>
          <w:lang w:val="en-GB"/>
        </w:rPr>
        <w:t>intestinal metaplasia</w:t>
      </w:r>
      <w:r w:rsidRPr="00E65AD0">
        <w:rPr>
          <w:rFonts w:ascii="Book Antiqua" w:hAnsi="Book Antiqua"/>
          <w:lang w:val="en-GB"/>
        </w:rPr>
        <w:t xml:space="preserve">, whereas dysplasia was graded according to </w:t>
      </w:r>
      <w:r w:rsidR="00FC703C" w:rsidRPr="00E65AD0">
        <w:rPr>
          <w:rFonts w:ascii="Book Antiqua" w:hAnsi="Book Antiqua"/>
          <w:lang w:val="en-GB"/>
        </w:rPr>
        <w:t>World Health Organization</w:t>
      </w:r>
      <w:r w:rsidRPr="00E65AD0">
        <w:rPr>
          <w:rFonts w:ascii="Book Antiqua" w:hAnsi="Book Antiqua"/>
          <w:lang w:val="en-GB"/>
        </w:rPr>
        <w:t xml:space="preserve"> classification. </w:t>
      </w:r>
      <w:bookmarkStart w:id="12" w:name="OLE_LINK13"/>
      <w:r w:rsidRPr="00E65AD0">
        <w:rPr>
          <w:rFonts w:ascii="Book Antiqua" w:hAnsi="Book Antiqua"/>
          <w:lang w:val="en-GB"/>
        </w:rPr>
        <w:t xml:space="preserve">Serum </w:t>
      </w:r>
      <w:r w:rsidR="002D1C57" w:rsidRPr="00E65AD0">
        <w:rPr>
          <w:rFonts w:ascii="Book Antiqua" w:hAnsi="Book Antiqua"/>
          <w:lang w:val="en-GB"/>
        </w:rPr>
        <w:t>anti</w:t>
      </w:r>
      <w:r w:rsidRPr="00E65AD0">
        <w:rPr>
          <w:rFonts w:ascii="Book Antiqua" w:hAnsi="Book Antiqua"/>
          <w:lang w:val="en-GB"/>
        </w:rPr>
        <w:t>-</w:t>
      </w:r>
      <w:r w:rsidR="002D1C57" w:rsidRPr="00E65AD0">
        <w:rPr>
          <w:rFonts w:ascii="Book Antiqua" w:hAnsi="Book Antiqua"/>
          <w:lang w:val="en-GB"/>
        </w:rPr>
        <w:t>parietal cell antibody</w:t>
      </w:r>
      <w:bookmarkEnd w:id="12"/>
      <w:r w:rsidR="002D1C57" w:rsidRPr="00E65AD0">
        <w:rPr>
          <w:rFonts w:ascii="Book Antiqua" w:hAnsi="Book Antiqua"/>
          <w:lang w:val="en-GB"/>
        </w:rPr>
        <w:t xml:space="preserve"> </w:t>
      </w:r>
      <w:r w:rsidR="00FC703C" w:rsidRPr="00E65AD0">
        <w:rPr>
          <w:rFonts w:ascii="Book Antiqua" w:hAnsi="Book Antiqua"/>
          <w:lang w:val="en-GB"/>
        </w:rPr>
        <w:t xml:space="preserve">and </w:t>
      </w:r>
      <w:bookmarkStart w:id="13" w:name="OLE_LINK14"/>
      <w:r w:rsidR="002D1C57" w:rsidRPr="00E65AD0">
        <w:rPr>
          <w:rFonts w:ascii="Book Antiqua" w:hAnsi="Book Antiqua"/>
          <w:lang w:val="en-GB"/>
        </w:rPr>
        <w:t>anti-intrinsic factor</w:t>
      </w:r>
      <w:bookmarkEnd w:id="13"/>
      <w:r w:rsidR="00FC703C" w:rsidRPr="00E65AD0">
        <w:rPr>
          <w:rFonts w:ascii="Book Antiqua" w:eastAsia="宋体" w:hAnsi="Book Antiqua"/>
          <w:lang w:val="en-GB" w:eastAsia="zh-CN"/>
        </w:rPr>
        <w:t xml:space="preserve"> </w:t>
      </w:r>
      <w:r w:rsidRPr="00E65AD0">
        <w:rPr>
          <w:rFonts w:ascii="Book Antiqua" w:hAnsi="Book Antiqua"/>
          <w:lang w:val="en-GB"/>
        </w:rPr>
        <w:t xml:space="preserve">were measured when </w:t>
      </w:r>
      <w:r w:rsidR="00EA4854" w:rsidRPr="00E65AD0">
        <w:rPr>
          <w:rFonts w:ascii="Book Antiqua" w:hAnsi="Book Antiqua"/>
          <w:lang w:val="en-GB"/>
        </w:rPr>
        <w:t xml:space="preserve">autoimmune atrophic gastritis </w:t>
      </w:r>
      <w:r w:rsidRPr="00E65AD0">
        <w:rPr>
          <w:rFonts w:ascii="Book Antiqua" w:hAnsi="Book Antiqua"/>
          <w:lang w:val="en-GB"/>
        </w:rPr>
        <w:t>was suspected.</w:t>
      </w:r>
    </w:p>
    <w:p w14:paraId="2612C71B" w14:textId="77777777" w:rsidR="009D0DBE" w:rsidRPr="00E65AD0" w:rsidRDefault="009D0DBE" w:rsidP="00E65AD0">
      <w:pPr>
        <w:snapToGrid w:val="0"/>
        <w:spacing w:after="0" w:line="360" w:lineRule="auto"/>
        <w:rPr>
          <w:rFonts w:ascii="Book Antiqua" w:hAnsi="Book Antiqua"/>
          <w:lang w:val="en-GB"/>
        </w:rPr>
      </w:pPr>
    </w:p>
    <w:p w14:paraId="396D1B4B"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RESULTS </w:t>
      </w:r>
    </w:p>
    <w:p w14:paraId="29BCE6D6"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After </w:t>
      </w:r>
      <w:r w:rsidR="002D1A0E" w:rsidRPr="00E65AD0">
        <w:rPr>
          <w:rFonts w:ascii="Book Antiqua" w:hAnsi="Book Antiqua"/>
          <w:i/>
          <w:lang w:val="en-GB"/>
        </w:rPr>
        <w:t xml:space="preserve">H. </w:t>
      </w:r>
      <w:r w:rsidR="00FC703C" w:rsidRPr="00E65AD0">
        <w:rPr>
          <w:rFonts w:ascii="Book Antiqua" w:hAnsi="Book Antiqua"/>
          <w:i/>
          <w:lang w:val="en-GB"/>
        </w:rPr>
        <w:t>pylori</w:t>
      </w:r>
      <w:r w:rsidR="00FC703C" w:rsidRPr="00E65AD0">
        <w:rPr>
          <w:rFonts w:ascii="Book Antiqua" w:hAnsi="Book Antiqua"/>
          <w:lang w:val="en-GB"/>
        </w:rPr>
        <w:t xml:space="preserve"> </w:t>
      </w:r>
      <w:r w:rsidRPr="00E65AD0">
        <w:rPr>
          <w:rFonts w:ascii="Book Antiqua" w:hAnsi="Book Antiqua"/>
          <w:lang w:val="en-GB"/>
        </w:rPr>
        <w:t>eradication histological signs of mononuclear/polymorphonuclear cell infiltration and Mucosal Associated Lympho</w:t>
      </w:r>
      <w:r w:rsidR="00FC703C" w:rsidRPr="00E65AD0">
        <w:rPr>
          <w:rFonts w:ascii="Book Antiqua" w:hAnsi="Book Antiqua"/>
          <w:lang w:val="en-GB"/>
        </w:rPr>
        <w:t>id Tissue</w:t>
      </w:r>
      <w:r w:rsidRPr="00E65AD0">
        <w:rPr>
          <w:rFonts w:ascii="Book Antiqua" w:hAnsi="Book Antiqua"/>
          <w:lang w:val="en-GB"/>
        </w:rPr>
        <w:t xml:space="preserve">-hyperplasia, disappeared or decreased in 100% and 96.5% of patients respectively, whereas the </w:t>
      </w:r>
      <w:r w:rsidR="00FC703C" w:rsidRPr="00E65AD0">
        <w:rPr>
          <w:rFonts w:ascii="Book Antiqua" w:hAnsi="Book Antiqua"/>
          <w:lang w:val="en-GB"/>
        </w:rPr>
        <w:t>Operative-Link on Gastritis-Assessment</w:t>
      </w:r>
      <w:r w:rsidRPr="00E65AD0">
        <w:rPr>
          <w:rFonts w:ascii="Book Antiqua" w:hAnsi="Book Antiqua"/>
          <w:lang w:val="en-GB"/>
        </w:rPr>
        <w:t xml:space="preserve"> and </w:t>
      </w:r>
      <w:r w:rsidR="00FC703C" w:rsidRPr="00E65AD0">
        <w:rPr>
          <w:rFonts w:ascii="Book Antiqua" w:hAnsi="Book Antiqua"/>
          <w:lang w:val="en-GB"/>
        </w:rPr>
        <w:t>Operative-Link on Gastric-Intestinal Metaplasia</w:t>
      </w:r>
      <w:r w:rsidRPr="00E65AD0">
        <w:rPr>
          <w:rFonts w:ascii="Book Antiqua" w:hAnsi="Book Antiqua"/>
          <w:lang w:val="en-GB"/>
        </w:rPr>
        <w:t xml:space="preserve"> stages did </w:t>
      </w:r>
      <w:r w:rsidR="00FC703C" w:rsidRPr="00E65AD0">
        <w:rPr>
          <w:rFonts w:ascii="Book Antiqua" w:hAnsi="Book Antiqua"/>
          <w:lang w:val="en-GB"/>
        </w:rPr>
        <w:t>not change. Low-Grade Dysplasia</w:t>
      </w:r>
      <w:r w:rsidRPr="00E65AD0">
        <w:rPr>
          <w:rFonts w:ascii="Book Antiqua" w:hAnsi="Book Antiqua"/>
          <w:lang w:val="en-GB"/>
        </w:rPr>
        <w:t xml:space="preserve"> prevalence was similar on random biopsies before and after </w:t>
      </w:r>
      <w:r w:rsidR="002D1A0E" w:rsidRPr="00E65AD0">
        <w:rPr>
          <w:rFonts w:ascii="Book Antiqua" w:hAnsi="Book Antiqua"/>
          <w:i/>
          <w:lang w:val="en-GB"/>
        </w:rPr>
        <w:t xml:space="preserve">H. </w:t>
      </w:r>
      <w:r w:rsidR="00FC703C" w:rsidRPr="00E65AD0">
        <w:rPr>
          <w:rFonts w:ascii="Book Antiqua" w:hAnsi="Book Antiqua"/>
          <w:i/>
          <w:lang w:val="en-GB"/>
        </w:rPr>
        <w:t>pylori</w:t>
      </w:r>
      <w:r w:rsidR="00FC703C" w:rsidRPr="00E65AD0">
        <w:rPr>
          <w:rFonts w:ascii="Book Antiqua" w:hAnsi="Book Antiqua"/>
          <w:lang w:val="en-GB"/>
        </w:rPr>
        <w:t xml:space="preserve"> </w:t>
      </w:r>
      <w:r w:rsidRPr="00E65AD0">
        <w:rPr>
          <w:rFonts w:ascii="Book Antiqua" w:hAnsi="Book Antiqua"/>
          <w:lang w:val="en-GB"/>
        </w:rPr>
        <w:t xml:space="preserve">eradication (17.6% </w:t>
      </w:r>
      <w:r w:rsidR="00FC703C" w:rsidRPr="00E65AD0">
        <w:rPr>
          <w:rFonts w:ascii="Book Antiqua" w:hAnsi="Book Antiqua"/>
          <w:i/>
          <w:lang w:val="en-GB"/>
        </w:rPr>
        <w:t>vs</w:t>
      </w:r>
      <w:r w:rsidRPr="00E65AD0">
        <w:rPr>
          <w:rFonts w:ascii="Book Antiqua" w:hAnsi="Book Antiqua"/>
          <w:lang w:val="en-GB"/>
        </w:rPr>
        <w:t xml:space="preserve"> 10.6%,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0.19), but increased in patie</w:t>
      </w:r>
      <w:r w:rsidR="00FC703C" w:rsidRPr="00E65AD0">
        <w:rPr>
          <w:rFonts w:ascii="Book Antiqua" w:hAnsi="Book Antiqua"/>
          <w:lang w:val="en-GB"/>
        </w:rPr>
        <w:t xml:space="preserve">nts with visible lesions (0% </w:t>
      </w:r>
      <w:r w:rsidR="00FC703C" w:rsidRPr="00E65AD0">
        <w:rPr>
          <w:rFonts w:ascii="Book Antiqua" w:hAnsi="Book Antiqua"/>
          <w:i/>
          <w:lang w:val="en-GB"/>
        </w:rPr>
        <w:t>vs</w:t>
      </w:r>
      <w:r w:rsidRPr="00E65AD0">
        <w:rPr>
          <w:rFonts w:ascii="Book Antiqua" w:hAnsi="Book Antiqua"/>
          <w:i/>
          <w:lang w:val="en-GB"/>
        </w:rPr>
        <w:t xml:space="preserve"> </w:t>
      </w:r>
      <w:r w:rsidRPr="00E65AD0">
        <w:rPr>
          <w:rFonts w:ascii="Book Antiqua" w:hAnsi="Book Antiqua"/>
          <w:lang w:val="en-GB"/>
        </w:rPr>
        <w:t xml:space="preserve">22.4%,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&lt;</w:t>
      </w:r>
      <w:r w:rsidR="00FC703C" w:rsidRPr="00E65AD0">
        <w:rPr>
          <w:rFonts w:ascii="Book Antiqua" w:eastAsia="宋体" w:hAnsi="Book Antiqua"/>
          <w:lang w:val="en-GB" w:eastAsia="zh-CN"/>
        </w:rPr>
        <w:t xml:space="preserve"> </w:t>
      </w:r>
      <w:r w:rsidRPr="00E65AD0">
        <w:rPr>
          <w:rFonts w:ascii="Book Antiqua" w:hAnsi="Book Antiqua"/>
          <w:lang w:val="en-GB"/>
        </w:rPr>
        <w:t xml:space="preserve">0.0001). At a multivariate analysis, the </w:t>
      </w:r>
      <w:r w:rsidRPr="00E65AD0">
        <w:rPr>
          <w:rFonts w:ascii="Book Antiqua" w:hAnsi="Book Antiqua"/>
          <w:lang w:val="en-GB"/>
        </w:rPr>
        <w:lastRenderedPageBreak/>
        <w:t xml:space="preserve">probability for detecting dysplasia after resolution of </w:t>
      </w:r>
      <w:r w:rsidR="002D1A0E" w:rsidRPr="00E65AD0">
        <w:rPr>
          <w:rFonts w:ascii="Book Antiqua" w:hAnsi="Book Antiqua"/>
          <w:i/>
          <w:lang w:val="en-GB"/>
        </w:rPr>
        <w:t xml:space="preserve">H. </w:t>
      </w:r>
      <w:r w:rsidR="00FC703C" w:rsidRPr="00E65AD0">
        <w:rPr>
          <w:rFonts w:ascii="Book Antiqua" w:hAnsi="Book Antiqua"/>
          <w:i/>
          <w:lang w:val="en-GB"/>
        </w:rPr>
        <w:t>pylori</w:t>
      </w:r>
      <w:r w:rsidRPr="00E65AD0">
        <w:rPr>
          <w:rFonts w:ascii="Book Antiqua" w:hAnsi="Book Antiqua"/>
          <w:lang w:val="en-GB"/>
        </w:rPr>
        <w:t xml:space="preserve">-related active inflammation was higher in patients with regression or reduction of </w:t>
      </w:r>
      <w:r w:rsidR="00FC703C" w:rsidRPr="00E65AD0">
        <w:rPr>
          <w:rFonts w:ascii="Book Antiqua" w:hAnsi="Book Antiqua"/>
          <w:lang w:val="en-GB"/>
        </w:rPr>
        <w:t>Mucosal Associated Lymphoid Tissue</w:t>
      </w:r>
      <w:r w:rsidRPr="00E65AD0">
        <w:rPr>
          <w:rFonts w:ascii="Book Antiqua" w:hAnsi="Book Antiqua"/>
          <w:lang w:val="en-GB"/>
        </w:rPr>
        <w:t xml:space="preserve"> hyperplasia, greater alcohol consumption, and </w:t>
      </w:r>
      <w:r w:rsidR="0079038B" w:rsidRPr="00E65AD0">
        <w:rPr>
          <w:rFonts w:ascii="Book Antiqua" w:hAnsi="Book Antiqua"/>
          <w:lang w:val="en-GB"/>
        </w:rPr>
        <w:t>anti-parietal cell antibody</w:t>
      </w:r>
      <w:r w:rsidRPr="00E65AD0">
        <w:rPr>
          <w:rFonts w:ascii="Book Antiqua" w:hAnsi="Book Antiqua"/>
          <w:lang w:val="en-GB"/>
        </w:rPr>
        <w:t xml:space="preserve"> and/or </w:t>
      </w:r>
      <w:r w:rsidR="002D1C57" w:rsidRPr="00E65AD0">
        <w:rPr>
          <w:rFonts w:ascii="Book Antiqua" w:hAnsi="Book Antiqua"/>
          <w:lang w:val="en-GB"/>
        </w:rPr>
        <w:t xml:space="preserve">anti-intrinsic factor </w:t>
      </w:r>
      <w:r w:rsidRPr="00E65AD0">
        <w:rPr>
          <w:rFonts w:ascii="Book Antiqua" w:hAnsi="Book Antiqua"/>
          <w:lang w:val="en-GB"/>
        </w:rPr>
        <w:t>positivity [</w:t>
      </w:r>
      <w:r w:rsidR="00FC703C" w:rsidRPr="00E65AD0">
        <w:rPr>
          <w:rFonts w:ascii="Book Antiqua" w:hAnsi="Book Antiqua"/>
          <w:lang w:val="en-GB"/>
        </w:rPr>
        <w:t xml:space="preserve">odds ratio </w:t>
      </w:r>
      <w:r w:rsidR="00FC703C" w:rsidRPr="00E65AD0">
        <w:rPr>
          <w:rFonts w:ascii="Book Antiqua" w:eastAsia="宋体" w:hAnsi="Book Antiqua"/>
          <w:lang w:val="en-GB" w:eastAsia="zh-CN"/>
        </w:rPr>
        <w:t>(</w:t>
      </w:r>
      <w:r w:rsidRPr="00E65AD0">
        <w:rPr>
          <w:rFonts w:ascii="Book Antiqua" w:hAnsi="Book Antiqua"/>
          <w:lang w:val="en-GB"/>
        </w:rPr>
        <w:t>OR</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3.88,</w:t>
      </w:r>
      <w:r w:rsidR="00FC703C" w:rsidRPr="00E65AD0">
        <w:rPr>
          <w:rFonts w:ascii="Book Antiqua" w:eastAsia="宋体" w:hAnsi="Book Antiqua"/>
          <w:lang w:val="en-GB" w:eastAsia="zh-CN"/>
        </w:rPr>
        <w:t xml:space="preserve"> </w:t>
      </w:r>
      <w:r w:rsidR="00263452" w:rsidRPr="00E65AD0">
        <w:rPr>
          <w:rFonts w:ascii="Book Antiqua" w:eastAsia="宋体" w:hAnsi="Book Antiqua"/>
          <w:lang w:val="en-GB" w:eastAsia="zh-CN"/>
        </w:rPr>
        <w:t xml:space="preserve">95% </w:t>
      </w:r>
      <w:r w:rsidR="00FC703C" w:rsidRPr="00E65AD0">
        <w:rPr>
          <w:rFonts w:ascii="Book Antiqua" w:eastAsia="宋体" w:hAnsi="Book Antiqua"/>
          <w:lang w:val="en-GB" w:eastAsia="zh-CN"/>
        </w:rPr>
        <w:t>confidence interval (</w:t>
      </w:r>
      <w:r w:rsidRPr="00E65AD0">
        <w:rPr>
          <w:rFonts w:ascii="Book Antiqua" w:hAnsi="Book Antiqua"/>
          <w:lang w:val="en-GB"/>
        </w:rPr>
        <w:t>CI</w:t>
      </w:r>
      <w:r w:rsidR="00FC703C" w:rsidRPr="00E65AD0">
        <w:rPr>
          <w:rFonts w:ascii="Book Antiqua" w:eastAsia="宋体" w:hAnsi="Book Antiqua"/>
          <w:lang w:val="en-GB" w:eastAsia="zh-CN"/>
        </w:rPr>
        <w:t xml:space="preserve">): </w:t>
      </w:r>
      <w:r w:rsidR="00E12444">
        <w:rPr>
          <w:rFonts w:ascii="Book Antiqua" w:hAnsi="Book Antiqua"/>
          <w:lang w:val="en-GB"/>
        </w:rPr>
        <w:t>1.31-11.49</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0.01; OR</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3.10,</w:t>
      </w:r>
      <w:r w:rsidR="00FC703C" w:rsidRPr="00E65AD0">
        <w:rPr>
          <w:rFonts w:ascii="Book Antiqua" w:eastAsia="宋体" w:hAnsi="Book Antiqua"/>
          <w:lang w:val="en-GB" w:eastAsia="zh-CN"/>
        </w:rPr>
        <w:t xml:space="preserve">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FC703C" w:rsidRPr="00E65AD0">
        <w:rPr>
          <w:rFonts w:ascii="Book Antiqua" w:eastAsia="宋体" w:hAnsi="Book Antiqua"/>
          <w:lang w:val="en-GB" w:eastAsia="zh-CN"/>
        </w:rPr>
        <w:t xml:space="preserve">: </w:t>
      </w:r>
      <w:r w:rsidR="0073187A">
        <w:rPr>
          <w:rFonts w:ascii="Book Antiqua" w:hAnsi="Book Antiqua"/>
          <w:lang w:val="en-GB"/>
        </w:rPr>
        <w:t>1.05-9.12</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0.04 and OR</w:t>
      </w:r>
      <w:r w:rsidR="00FC703C" w:rsidRPr="00E65AD0">
        <w:rPr>
          <w:rFonts w:ascii="Book Antiqua" w:eastAsia="宋体" w:hAnsi="Book Antiqua"/>
          <w:lang w:val="en-GB" w:eastAsia="zh-CN"/>
        </w:rPr>
        <w:t xml:space="preserve"> </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lang w:val="en-GB"/>
        </w:rPr>
        <w:t>5.47,</w:t>
      </w:r>
      <w:r w:rsidR="00FC703C" w:rsidRPr="00E65AD0">
        <w:rPr>
          <w:rFonts w:ascii="Book Antiqua" w:eastAsia="宋体" w:hAnsi="Book Antiqua"/>
          <w:lang w:val="en-GB" w:eastAsia="zh-CN"/>
        </w:rPr>
        <w:t xml:space="preserve">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FC703C" w:rsidRPr="00E65AD0">
        <w:rPr>
          <w:rFonts w:ascii="Book Antiqua" w:eastAsia="宋体" w:hAnsi="Book Antiqua"/>
          <w:lang w:val="en-GB" w:eastAsia="zh-CN"/>
        </w:rPr>
        <w:t xml:space="preserve">: </w:t>
      </w:r>
      <w:r w:rsidR="00E12444">
        <w:rPr>
          <w:rFonts w:ascii="Book Antiqua" w:hAnsi="Book Antiqua"/>
          <w:lang w:val="en-GB"/>
        </w:rPr>
        <w:t>1.33-22.39</w:t>
      </w:r>
      <w:r w:rsidRPr="00E65AD0">
        <w:rPr>
          <w:rFonts w:ascii="Book Antiqua" w:hAnsi="Book Antiqua"/>
          <w:lang w:val="en-GB"/>
        </w:rPr>
        <w:t>,</w:t>
      </w:r>
      <w:r w:rsidR="00FC703C" w:rsidRPr="00E65AD0">
        <w:rPr>
          <w:rFonts w:ascii="Book Antiqua" w:eastAsia="宋体" w:hAnsi="Book Antiqua"/>
          <w:lang w:val="en-GB" w:eastAsia="zh-CN"/>
        </w:rPr>
        <w:t xml:space="preserve"> </w:t>
      </w:r>
      <w:r w:rsidRPr="00E65AD0">
        <w:rPr>
          <w:rFonts w:ascii="Book Antiqua" w:hAnsi="Book Antiqua"/>
          <w:i/>
          <w:caps/>
          <w:lang w:val="en-GB"/>
        </w:rPr>
        <w:t>p</w:t>
      </w:r>
      <w:r w:rsidR="00FC703C" w:rsidRPr="00E65AD0">
        <w:rPr>
          <w:rFonts w:ascii="Book Antiqua" w:eastAsia="宋体" w:hAnsi="Book Antiqua"/>
          <w:lang w:val="en-GB" w:eastAsia="zh-CN"/>
        </w:rPr>
        <w:t xml:space="preserve"> </w:t>
      </w:r>
      <w:r w:rsidRPr="00E65AD0">
        <w:rPr>
          <w:rFonts w:ascii="Book Antiqua" w:hAnsi="Book Antiqua"/>
          <w:lang w:val="en-GB"/>
        </w:rPr>
        <w:t>&lt;</w:t>
      </w:r>
      <w:r w:rsidR="00FC703C" w:rsidRPr="00E65AD0">
        <w:rPr>
          <w:rFonts w:ascii="Book Antiqua" w:eastAsia="宋体" w:hAnsi="Book Antiqua"/>
          <w:lang w:val="en-GB" w:eastAsia="zh-CN"/>
        </w:rPr>
        <w:t xml:space="preserve"> </w:t>
      </w:r>
      <w:r w:rsidRPr="00E65AD0">
        <w:rPr>
          <w:rFonts w:ascii="Book Antiqua" w:hAnsi="Book Antiqua"/>
          <w:lang w:val="en-GB"/>
        </w:rPr>
        <w:t>0.04, respectively].</w:t>
      </w:r>
    </w:p>
    <w:p w14:paraId="4EF06A5F" w14:textId="77777777" w:rsidR="009D0DBE" w:rsidRPr="00E65AD0" w:rsidRDefault="009D0DBE" w:rsidP="00E65AD0">
      <w:pPr>
        <w:snapToGrid w:val="0"/>
        <w:spacing w:after="0" w:line="360" w:lineRule="auto"/>
        <w:rPr>
          <w:rFonts w:ascii="Book Antiqua" w:eastAsia="宋体" w:hAnsi="Book Antiqua"/>
          <w:lang w:val="en-GB" w:eastAsia="zh-CN"/>
        </w:rPr>
      </w:pPr>
    </w:p>
    <w:p w14:paraId="782D950D"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CONCLUSION</w:t>
      </w:r>
    </w:p>
    <w:p w14:paraId="07BC0C10" w14:textId="77777777" w:rsidR="009D0DBE" w:rsidRPr="00E65AD0" w:rsidRDefault="002D1A0E" w:rsidP="00E65AD0">
      <w:pPr>
        <w:snapToGrid w:val="0"/>
        <w:spacing w:after="0" w:line="360" w:lineRule="auto"/>
        <w:rPr>
          <w:rFonts w:ascii="Book Antiqua" w:hAnsi="Book Antiqua"/>
          <w:lang w:val="en-GB"/>
        </w:rPr>
      </w:pPr>
      <w:r w:rsidRPr="00E65AD0">
        <w:rPr>
          <w:rFonts w:ascii="Book Antiqua" w:hAnsi="Book Antiqua"/>
          <w:lang w:val="en-GB"/>
        </w:rPr>
        <w:t>High-Resolution White-Light Endoscopy</w:t>
      </w:r>
      <w:r w:rsidR="00921B00" w:rsidRPr="00E65AD0">
        <w:rPr>
          <w:rFonts w:ascii="Book Antiqua" w:hAnsi="Book Antiqua"/>
          <w:lang w:val="en-GB"/>
        </w:rPr>
        <w:t xml:space="preserve"> with </w:t>
      </w:r>
      <w:r w:rsidRPr="00E65AD0">
        <w:rPr>
          <w:rFonts w:ascii="Book Antiqua" w:hAnsi="Book Antiqua"/>
          <w:lang w:val="en-GB"/>
        </w:rPr>
        <w:t>Narrow-Band Imaging</w:t>
      </w:r>
      <w:r w:rsidR="00921B00" w:rsidRPr="00E65AD0">
        <w:rPr>
          <w:rFonts w:ascii="Book Antiqua" w:hAnsi="Book Antiqua"/>
          <w:lang w:val="en-GB"/>
        </w:rPr>
        <w:t xml:space="preserve"> allows an accurate diagnosis of </w:t>
      </w:r>
      <w:r w:rsidR="00FC703C" w:rsidRPr="00E65AD0">
        <w:rPr>
          <w:rFonts w:ascii="Book Antiqua" w:hAnsi="Book Antiqua"/>
          <w:lang w:val="en-GB"/>
        </w:rPr>
        <w:t>Low-Grade Dysplasia</w:t>
      </w:r>
      <w:r w:rsidR="00921B00" w:rsidRPr="00E65AD0">
        <w:rPr>
          <w:rFonts w:ascii="Book Antiqua" w:hAnsi="Book Antiqua"/>
          <w:lang w:val="en-GB"/>
        </w:rPr>
        <w:t xml:space="preserve"> on visible lesions after regression of </w:t>
      </w:r>
      <w:r w:rsidRPr="00E65AD0">
        <w:rPr>
          <w:rFonts w:ascii="Book Antiqua" w:hAnsi="Book Antiqua"/>
          <w:i/>
          <w:lang w:val="en-GB"/>
        </w:rPr>
        <w:t xml:space="preserve">H. </w:t>
      </w:r>
      <w:r w:rsidR="00FC703C" w:rsidRPr="00E65AD0">
        <w:rPr>
          <w:rFonts w:ascii="Book Antiqua" w:hAnsi="Book Antiqua"/>
          <w:i/>
          <w:lang w:val="en-GB"/>
        </w:rPr>
        <w:t>pylori</w:t>
      </w:r>
      <w:r w:rsidR="00921B00" w:rsidRPr="00E65AD0">
        <w:rPr>
          <w:rFonts w:ascii="Book Antiqua" w:hAnsi="Book Antiqua"/>
          <w:lang w:val="en-GB"/>
        </w:rPr>
        <w:t>-induced chronic gastritis. Patients with an overlap between autoimmune/</w:t>
      </w:r>
      <w:r w:rsidRPr="00E65AD0">
        <w:rPr>
          <w:rFonts w:ascii="Book Antiqua" w:hAnsi="Book Antiqua"/>
          <w:i/>
          <w:lang w:val="en-GB"/>
        </w:rPr>
        <w:t xml:space="preserve">H. </w:t>
      </w:r>
      <w:r w:rsidR="00FC703C" w:rsidRPr="00E65AD0">
        <w:rPr>
          <w:rFonts w:ascii="Book Antiqua" w:hAnsi="Book Antiqua"/>
          <w:i/>
          <w:lang w:val="en-GB"/>
        </w:rPr>
        <w:t>pylori</w:t>
      </w:r>
      <w:r w:rsidR="00921B00" w:rsidRPr="00E65AD0">
        <w:rPr>
          <w:rFonts w:ascii="Book Antiqua" w:hAnsi="Book Antiqua"/>
          <w:lang w:val="en-GB"/>
        </w:rPr>
        <w:t xml:space="preserve">-induced gastritis may require more extensive gastric mapping. </w:t>
      </w:r>
    </w:p>
    <w:p w14:paraId="54276A7F" w14:textId="77777777" w:rsidR="009D0DBE" w:rsidRPr="00E65AD0" w:rsidRDefault="009D0DBE" w:rsidP="00E65AD0">
      <w:pPr>
        <w:snapToGrid w:val="0"/>
        <w:spacing w:after="0" w:line="360" w:lineRule="auto"/>
        <w:rPr>
          <w:rFonts w:ascii="Book Antiqua" w:eastAsia="宋体" w:hAnsi="Book Antiqua"/>
          <w:lang w:val="en-GB" w:eastAsia="zh-CN"/>
        </w:rPr>
      </w:pPr>
    </w:p>
    <w:p w14:paraId="072D7C2E" w14:textId="77777777" w:rsidR="009D0DBE" w:rsidRPr="00E65AD0" w:rsidRDefault="00921B00" w:rsidP="00E65AD0">
      <w:pPr>
        <w:snapToGrid w:val="0"/>
        <w:spacing w:after="0" w:line="360" w:lineRule="auto"/>
        <w:rPr>
          <w:rFonts w:ascii="Book Antiqua" w:eastAsia="宋体" w:hAnsi="Book Antiqua"/>
          <w:lang w:val="en-GB" w:eastAsia="zh-CN"/>
        </w:rPr>
      </w:pPr>
      <w:r w:rsidRPr="00E65AD0">
        <w:rPr>
          <w:rFonts w:ascii="Book Antiqua" w:hAnsi="Book Antiqua"/>
          <w:b/>
          <w:lang w:val="en-GB"/>
        </w:rPr>
        <w:t>Key</w:t>
      </w:r>
      <w:r w:rsidRPr="00E65AD0">
        <w:rPr>
          <w:rFonts w:ascii="Book Antiqua" w:eastAsia="宋体" w:hAnsi="Book Antiqua"/>
          <w:b/>
          <w:lang w:val="en-GB" w:eastAsia="zh-CN"/>
        </w:rPr>
        <w:t xml:space="preserve"> </w:t>
      </w:r>
      <w:r w:rsidRPr="00E65AD0">
        <w:rPr>
          <w:rFonts w:ascii="Book Antiqua" w:hAnsi="Book Antiqua"/>
          <w:b/>
          <w:lang w:val="en-GB"/>
        </w:rPr>
        <w:t>words:</w:t>
      </w:r>
      <w:r w:rsidRPr="00E65AD0">
        <w:rPr>
          <w:rFonts w:ascii="Book Antiqua" w:hAnsi="Book Antiqua"/>
          <w:lang w:val="en-GB"/>
        </w:rPr>
        <w:t xml:space="preserve"> Autoimmune gastritis</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Dysplasia</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Diagnosis</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Malignancy</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 xml:space="preserve">Gastric </w:t>
      </w:r>
      <w:r w:rsidRPr="00E65AD0">
        <w:rPr>
          <w:rFonts w:ascii="Book Antiqua" w:hAnsi="Book Antiqua"/>
          <w:lang w:val="en-GB"/>
        </w:rPr>
        <w:t>cancer</w:t>
      </w:r>
      <w:r w:rsidR="00FC703C" w:rsidRPr="00E65AD0">
        <w:rPr>
          <w:rFonts w:ascii="Book Antiqua" w:eastAsia="宋体" w:hAnsi="Book Antiqua"/>
          <w:lang w:val="en-GB" w:eastAsia="zh-CN"/>
        </w:rPr>
        <w:t>;</w:t>
      </w:r>
      <w:r w:rsidRPr="00E65AD0">
        <w:rPr>
          <w:rFonts w:ascii="Book Antiqua" w:hAnsi="Book Antiqua"/>
          <w:lang w:val="en-GB"/>
        </w:rPr>
        <w:t xml:space="preserve"> </w:t>
      </w:r>
      <w:r w:rsidR="00FC703C" w:rsidRPr="00E65AD0">
        <w:rPr>
          <w:rFonts w:ascii="Book Antiqua" w:hAnsi="Book Antiqua"/>
          <w:lang w:val="en-GB"/>
        </w:rPr>
        <w:t>Symptoms</w:t>
      </w:r>
      <w:r w:rsidR="00FC703C" w:rsidRPr="00E65AD0">
        <w:rPr>
          <w:rFonts w:ascii="Book Antiqua" w:eastAsia="宋体" w:hAnsi="Book Antiqua"/>
          <w:lang w:val="en-GB" w:eastAsia="zh-CN"/>
        </w:rPr>
        <w:t>;</w:t>
      </w:r>
      <w:r w:rsidR="00FC703C" w:rsidRPr="00E65AD0">
        <w:rPr>
          <w:rFonts w:ascii="Book Antiqua" w:hAnsi="Book Antiqua"/>
          <w:lang w:val="en-GB"/>
        </w:rPr>
        <w:t xml:space="preserve"> Signs</w:t>
      </w:r>
    </w:p>
    <w:p w14:paraId="7701B5B8" w14:textId="77777777" w:rsidR="009D0DBE" w:rsidRPr="00E65AD0" w:rsidRDefault="009D0DBE" w:rsidP="00E65AD0">
      <w:pPr>
        <w:snapToGrid w:val="0"/>
        <w:spacing w:after="0" w:line="360" w:lineRule="auto"/>
        <w:rPr>
          <w:rFonts w:ascii="Book Antiqua" w:eastAsia="宋体" w:hAnsi="Book Antiqua"/>
          <w:lang w:val="en-GB" w:eastAsia="zh-CN"/>
        </w:rPr>
      </w:pPr>
    </w:p>
    <w:p w14:paraId="5A0CDBAC" w14:textId="260ECE09" w:rsidR="007A4A5B" w:rsidRPr="007A4A5B" w:rsidRDefault="00EA4854" w:rsidP="007A4A5B">
      <w:pPr>
        <w:adjustRightInd w:val="0"/>
        <w:snapToGrid w:val="0"/>
        <w:spacing w:after="0" w:line="360" w:lineRule="auto"/>
        <w:rPr>
          <w:rFonts w:ascii="Book Antiqua" w:eastAsia="宋体" w:hAnsi="Book Antiqua" w:cs="Arial" w:hint="eastAsia"/>
          <w:lang w:eastAsia="zh-CN"/>
        </w:rPr>
      </w:pPr>
      <w:r w:rsidRPr="00E65AD0">
        <w:rPr>
          <w:rFonts w:ascii="Book Antiqua" w:hAnsi="Book Antiqua"/>
        </w:rPr>
        <w:t>Panarese</w:t>
      </w:r>
      <w:r w:rsidRPr="00E65AD0">
        <w:rPr>
          <w:rFonts w:ascii="Book Antiqua" w:eastAsia="宋体" w:hAnsi="Book Antiqua"/>
          <w:lang w:eastAsia="zh-CN"/>
        </w:rPr>
        <w:t xml:space="preserve"> A</w:t>
      </w:r>
      <w:r w:rsidRPr="00E65AD0">
        <w:rPr>
          <w:rFonts w:ascii="Book Antiqua" w:hAnsi="Book Antiqua"/>
        </w:rPr>
        <w:t>, Galatola</w:t>
      </w:r>
      <w:r w:rsidRPr="00E65AD0">
        <w:rPr>
          <w:rFonts w:ascii="Book Antiqua" w:eastAsia="宋体" w:hAnsi="Book Antiqua"/>
          <w:lang w:eastAsia="zh-CN"/>
        </w:rPr>
        <w:t xml:space="preserve"> G</w:t>
      </w:r>
      <w:r w:rsidRPr="00E65AD0">
        <w:rPr>
          <w:rFonts w:ascii="Book Antiqua" w:hAnsi="Book Antiqua"/>
        </w:rPr>
        <w:t>, Armentano</w:t>
      </w:r>
      <w:r w:rsidRPr="00E65AD0">
        <w:rPr>
          <w:rFonts w:ascii="Book Antiqua" w:eastAsia="宋体" w:hAnsi="Book Antiqua"/>
          <w:lang w:eastAsia="zh-CN"/>
        </w:rPr>
        <w:t xml:space="preserve"> R</w:t>
      </w:r>
      <w:r w:rsidRPr="00E65AD0">
        <w:rPr>
          <w:rFonts w:ascii="Book Antiqua" w:hAnsi="Book Antiqua"/>
        </w:rPr>
        <w:t>, Pimentel-Nunes</w:t>
      </w:r>
      <w:r w:rsidRPr="00E65AD0">
        <w:rPr>
          <w:rFonts w:ascii="Book Antiqua" w:eastAsia="宋体" w:hAnsi="Book Antiqua"/>
          <w:lang w:eastAsia="zh-CN"/>
        </w:rPr>
        <w:t xml:space="preserve"> P</w:t>
      </w:r>
      <w:r w:rsidRPr="00E65AD0">
        <w:rPr>
          <w:rFonts w:ascii="Book Antiqua" w:hAnsi="Book Antiqua"/>
        </w:rPr>
        <w:t>, Ierardi</w:t>
      </w:r>
      <w:r w:rsidRPr="00E65AD0">
        <w:rPr>
          <w:rFonts w:ascii="Book Antiqua" w:eastAsia="宋体" w:hAnsi="Book Antiqua"/>
          <w:lang w:eastAsia="zh-CN"/>
        </w:rPr>
        <w:t xml:space="preserve"> E</w:t>
      </w:r>
      <w:r w:rsidRPr="00E65AD0">
        <w:rPr>
          <w:rFonts w:ascii="Book Antiqua" w:hAnsi="Book Antiqua"/>
        </w:rPr>
        <w:t>, Caruso</w:t>
      </w:r>
      <w:r w:rsidRPr="00E65AD0">
        <w:rPr>
          <w:rFonts w:ascii="Book Antiqua" w:eastAsia="宋体" w:hAnsi="Book Antiqua"/>
          <w:lang w:eastAsia="zh-CN"/>
        </w:rPr>
        <w:t xml:space="preserve"> ML</w:t>
      </w:r>
      <w:r w:rsidRPr="00E65AD0">
        <w:rPr>
          <w:rFonts w:ascii="Book Antiqua" w:hAnsi="Book Antiqua"/>
        </w:rPr>
        <w:t>, Pesce</w:t>
      </w:r>
      <w:r w:rsidRPr="00E65AD0">
        <w:rPr>
          <w:rFonts w:ascii="Book Antiqua" w:eastAsia="宋体" w:hAnsi="Book Antiqua"/>
          <w:lang w:eastAsia="zh-CN"/>
        </w:rPr>
        <w:t xml:space="preserve"> F</w:t>
      </w:r>
      <w:r w:rsidRPr="00E65AD0">
        <w:rPr>
          <w:rFonts w:ascii="Book Antiqua" w:hAnsi="Book Antiqua"/>
        </w:rPr>
        <w:t>, Lenti</w:t>
      </w:r>
      <w:r w:rsidRPr="00E65AD0">
        <w:rPr>
          <w:rFonts w:ascii="Book Antiqua" w:eastAsia="宋体" w:hAnsi="Book Antiqua"/>
          <w:lang w:eastAsia="zh-CN"/>
        </w:rPr>
        <w:t xml:space="preserve"> MV</w:t>
      </w:r>
      <w:r w:rsidRPr="00E65AD0">
        <w:rPr>
          <w:rFonts w:ascii="Book Antiqua" w:hAnsi="Book Antiqua"/>
        </w:rPr>
        <w:t>, Palmitessa</w:t>
      </w:r>
      <w:r w:rsidRPr="00E65AD0">
        <w:rPr>
          <w:rFonts w:ascii="Book Antiqua" w:eastAsia="宋体" w:hAnsi="Book Antiqua"/>
          <w:lang w:eastAsia="zh-CN"/>
        </w:rPr>
        <w:t xml:space="preserve"> V</w:t>
      </w:r>
      <w:r w:rsidRPr="00E65AD0">
        <w:rPr>
          <w:rFonts w:ascii="Book Antiqua" w:hAnsi="Book Antiqua"/>
        </w:rPr>
        <w:t>, Coletta</w:t>
      </w:r>
      <w:r w:rsidRPr="00E65AD0">
        <w:rPr>
          <w:rFonts w:ascii="Book Antiqua" w:eastAsia="宋体" w:hAnsi="Book Antiqua"/>
          <w:lang w:eastAsia="zh-CN"/>
        </w:rPr>
        <w:t xml:space="preserve"> S</w:t>
      </w:r>
      <w:r w:rsidRPr="00E65AD0">
        <w:rPr>
          <w:rFonts w:ascii="Book Antiqua" w:hAnsi="Book Antiqua"/>
        </w:rPr>
        <w:t>, Shahini</w:t>
      </w:r>
      <w:r w:rsidRPr="00E65AD0">
        <w:rPr>
          <w:rFonts w:ascii="Book Antiqua" w:eastAsia="宋体" w:hAnsi="Book Antiqua"/>
          <w:lang w:eastAsia="zh-CN"/>
        </w:rPr>
        <w:t xml:space="preserve"> E. </w:t>
      </w:r>
      <w:r w:rsidRPr="00E65AD0">
        <w:rPr>
          <w:rFonts w:ascii="Book Antiqua" w:hAnsi="Book Antiqua"/>
          <w:i/>
          <w:lang w:val="en-GB"/>
        </w:rPr>
        <w:t>Helicobacter pylori</w:t>
      </w:r>
      <w:r w:rsidRPr="00E65AD0">
        <w:rPr>
          <w:rFonts w:ascii="Book Antiqua" w:hAnsi="Book Antiqua"/>
          <w:lang w:val="en-GB"/>
        </w:rPr>
        <w:t>-induced inflammation masks the underlying presence of low-grade dysplasia on gastric lesions</w:t>
      </w:r>
      <w:r w:rsidRPr="00E65AD0">
        <w:rPr>
          <w:rFonts w:ascii="Book Antiqua" w:eastAsia="宋体" w:hAnsi="Book Antiqua"/>
          <w:lang w:val="en-GB" w:eastAsia="zh-CN"/>
        </w:rPr>
        <w:t xml:space="preserve">. </w:t>
      </w:r>
      <w:r w:rsidRPr="00E65AD0">
        <w:rPr>
          <w:rFonts w:ascii="Book Antiqua" w:hAnsi="Book Antiqua"/>
          <w:i/>
          <w:iCs/>
          <w:color w:val="000000"/>
        </w:rPr>
        <w:t>World J Gastroenterol</w:t>
      </w:r>
      <w:r w:rsidRPr="00E65AD0">
        <w:rPr>
          <w:rFonts w:ascii="Book Antiqua" w:hAnsi="Book Antiqua"/>
          <w:color w:val="000000"/>
        </w:rPr>
        <w:t xml:space="preserve"> </w:t>
      </w:r>
      <w:r w:rsidR="007A4A5B" w:rsidRPr="00311E97">
        <w:rPr>
          <w:rFonts w:ascii="Book Antiqua" w:hAnsi="Book Antiqua" w:cs="Arial"/>
        </w:rPr>
        <w:t xml:space="preserve">2020; 26(26): </w:t>
      </w:r>
      <w:r w:rsidR="007A4A5B">
        <w:rPr>
          <w:rFonts w:ascii="Book Antiqua" w:hAnsi="Book Antiqua" w:cs="Arial" w:hint="eastAsia"/>
          <w:lang w:eastAsia="zh-CN"/>
        </w:rPr>
        <w:t>3</w:t>
      </w:r>
      <w:r w:rsidR="007A4A5B">
        <w:rPr>
          <w:rFonts w:ascii="Book Antiqua" w:eastAsia="宋体" w:hAnsi="Book Antiqua" w:cs="Arial" w:hint="eastAsia"/>
          <w:lang w:eastAsia="zh-CN"/>
        </w:rPr>
        <w:t>834</w:t>
      </w:r>
      <w:r w:rsidR="007A4A5B" w:rsidRPr="00311E97">
        <w:rPr>
          <w:rFonts w:ascii="Book Antiqua" w:hAnsi="Book Antiqua" w:cs="Arial"/>
        </w:rPr>
        <w:t>-</w:t>
      </w:r>
      <w:r w:rsidR="007A4A5B">
        <w:rPr>
          <w:rFonts w:ascii="Book Antiqua" w:hAnsi="Book Antiqua" w:cs="Arial" w:hint="eastAsia"/>
          <w:lang w:eastAsia="zh-CN"/>
        </w:rPr>
        <w:t>3</w:t>
      </w:r>
      <w:r w:rsidR="007A4A5B">
        <w:rPr>
          <w:rFonts w:ascii="Book Antiqua" w:eastAsia="宋体" w:hAnsi="Book Antiqua" w:cs="Arial" w:hint="eastAsia"/>
          <w:lang w:eastAsia="zh-CN"/>
        </w:rPr>
        <w:t>850</w:t>
      </w:r>
    </w:p>
    <w:p w14:paraId="3A5438FD" w14:textId="69379546" w:rsidR="007A4A5B" w:rsidRDefault="007A4A5B" w:rsidP="007A4A5B">
      <w:pPr>
        <w:adjustRightInd w:val="0"/>
        <w:snapToGrid w:val="0"/>
        <w:spacing w:after="0" w:line="360" w:lineRule="auto"/>
        <w:rPr>
          <w:rFonts w:ascii="Book Antiqua" w:hAnsi="Book Antiqua" w:cs="Arial" w:hint="eastAsia"/>
          <w:lang w:eastAsia="zh-CN"/>
        </w:rPr>
      </w:pPr>
      <w:r w:rsidRPr="00311E97">
        <w:rPr>
          <w:rFonts w:ascii="Book Antiqua" w:hAnsi="Book Antiqua" w:cs="Arial"/>
          <w:b/>
        </w:rPr>
        <w:t>URL:</w:t>
      </w:r>
      <w:r w:rsidRPr="00311E97">
        <w:rPr>
          <w:rFonts w:ascii="Book Antiqua" w:hAnsi="Book Antiqua" w:cs="Arial"/>
        </w:rPr>
        <w:t xml:space="preserve"> https://www.wjgnet.com/1007-9327/full/v26/i26/</w:t>
      </w:r>
      <w:r>
        <w:rPr>
          <w:rFonts w:ascii="Book Antiqua" w:hAnsi="Book Antiqua" w:cs="Arial" w:hint="eastAsia"/>
          <w:lang w:eastAsia="zh-CN"/>
        </w:rPr>
        <w:t>3</w:t>
      </w:r>
      <w:r>
        <w:rPr>
          <w:rFonts w:ascii="Book Antiqua" w:eastAsia="宋体" w:hAnsi="Book Antiqua" w:cs="Arial" w:hint="eastAsia"/>
          <w:lang w:eastAsia="zh-CN"/>
        </w:rPr>
        <w:t>834</w:t>
      </w:r>
      <w:r w:rsidRPr="00311E97">
        <w:rPr>
          <w:rFonts w:ascii="Book Antiqua" w:hAnsi="Book Antiqua" w:cs="Arial"/>
        </w:rPr>
        <w:t>.htm</w:t>
      </w:r>
    </w:p>
    <w:p w14:paraId="17A538DA" w14:textId="4CFF5E3D" w:rsidR="00EA4854" w:rsidRPr="00E65AD0" w:rsidRDefault="007A4A5B" w:rsidP="007A4A5B">
      <w:pPr>
        <w:snapToGrid w:val="0"/>
        <w:spacing w:after="0" w:line="360" w:lineRule="auto"/>
        <w:rPr>
          <w:rFonts w:ascii="Book Antiqua" w:hAnsi="Book Antiqua"/>
        </w:rPr>
      </w:pPr>
      <w:r w:rsidRPr="00311E97">
        <w:rPr>
          <w:rFonts w:ascii="Book Antiqua" w:hAnsi="Book Antiqua" w:cs="Arial"/>
          <w:b/>
        </w:rPr>
        <w:t>DOI:</w:t>
      </w:r>
      <w:r w:rsidRPr="00311E97">
        <w:rPr>
          <w:rFonts w:ascii="Book Antiqua" w:hAnsi="Book Antiqua" w:cs="Arial"/>
        </w:rPr>
        <w:t xml:space="preserve"> https://dx.doi.org/10.3748/wjg.v26.i26.</w:t>
      </w:r>
      <w:r>
        <w:rPr>
          <w:rFonts w:ascii="Book Antiqua" w:hAnsi="Book Antiqua" w:cs="Arial" w:hint="eastAsia"/>
          <w:lang w:eastAsia="zh-CN"/>
        </w:rPr>
        <w:t>3</w:t>
      </w:r>
      <w:r>
        <w:rPr>
          <w:rFonts w:ascii="Book Antiqua" w:eastAsia="宋体" w:hAnsi="Book Antiqua" w:cs="Arial" w:hint="eastAsia"/>
          <w:lang w:eastAsia="zh-CN"/>
        </w:rPr>
        <w:t>834</w:t>
      </w:r>
    </w:p>
    <w:p w14:paraId="3882B0FA" w14:textId="77777777" w:rsidR="00EA4854" w:rsidRPr="00E65AD0" w:rsidRDefault="00EA4854" w:rsidP="00E65AD0">
      <w:pPr>
        <w:snapToGrid w:val="0"/>
        <w:spacing w:after="0" w:line="360" w:lineRule="auto"/>
        <w:rPr>
          <w:rFonts w:ascii="Book Antiqua" w:eastAsia="宋体" w:hAnsi="Book Antiqua"/>
          <w:lang w:val="en-GB" w:eastAsia="zh-CN"/>
        </w:rPr>
      </w:pPr>
    </w:p>
    <w:p w14:paraId="08CC3FFD" w14:textId="77777777" w:rsidR="009D0DBE" w:rsidRPr="00E65AD0" w:rsidRDefault="00921B00" w:rsidP="00E65AD0">
      <w:pPr>
        <w:snapToGrid w:val="0"/>
        <w:spacing w:after="0" w:line="360" w:lineRule="auto"/>
        <w:rPr>
          <w:rFonts w:ascii="Book Antiqua" w:eastAsia="宋体" w:hAnsi="Book Antiqua"/>
          <w:lang w:val="en-GB" w:eastAsia="zh-CN"/>
        </w:rPr>
      </w:pPr>
      <w:r w:rsidRPr="00E65AD0">
        <w:rPr>
          <w:rFonts w:ascii="Book Antiqua" w:hAnsi="Book Antiqua"/>
          <w:b/>
          <w:lang w:val="en-GB"/>
        </w:rPr>
        <w:t>Core tip</w:t>
      </w:r>
      <w:r w:rsidRPr="00E65AD0">
        <w:rPr>
          <w:rFonts w:ascii="Book Antiqua" w:eastAsia="宋体" w:hAnsi="Book Antiqua"/>
          <w:b/>
          <w:lang w:val="en-GB" w:eastAsia="zh-CN"/>
        </w:rPr>
        <w:t xml:space="preserve">: </w:t>
      </w:r>
      <w:bookmarkStart w:id="14" w:name="OLE_LINK27"/>
      <w:r w:rsidRPr="00E65AD0">
        <w:rPr>
          <w:rFonts w:ascii="Book Antiqua" w:hAnsi="Book Antiqua"/>
          <w:i/>
          <w:lang w:val="en-GB"/>
        </w:rPr>
        <w:t xml:space="preserve">Helicobacter </w:t>
      </w:r>
      <w:r w:rsidR="002D1A0E" w:rsidRPr="00E65AD0">
        <w:rPr>
          <w:rFonts w:ascii="Book Antiqua" w:hAnsi="Book Antiqua"/>
          <w:i/>
          <w:lang w:val="en-GB"/>
        </w:rPr>
        <w:t>pylori</w:t>
      </w:r>
      <w:r w:rsidRPr="00E65AD0">
        <w:rPr>
          <w:rFonts w:ascii="Book Antiqua" w:hAnsi="Book Antiqua"/>
          <w:lang w:val="en-GB"/>
        </w:rPr>
        <w:t xml:space="preserve"> (</w:t>
      </w:r>
      <w:r w:rsidR="002D1A0E" w:rsidRPr="00E65AD0">
        <w:rPr>
          <w:rFonts w:ascii="Book Antiqua" w:hAnsi="Book Antiqua"/>
          <w:i/>
          <w:lang w:val="en-GB"/>
        </w:rPr>
        <w:t xml:space="preserve">H. </w:t>
      </w:r>
      <w:r w:rsidR="00EA4854" w:rsidRPr="00E65AD0">
        <w:rPr>
          <w:rFonts w:ascii="Book Antiqua" w:hAnsi="Book Antiqua"/>
          <w:i/>
          <w:lang w:val="en-GB"/>
        </w:rPr>
        <w:t>pylori</w:t>
      </w:r>
      <w:r w:rsidRPr="00E65AD0">
        <w:rPr>
          <w:rFonts w:ascii="Book Antiqua" w:hAnsi="Book Antiqua"/>
          <w:lang w:val="en-GB"/>
        </w:rPr>
        <w:t xml:space="preserve">) infection is commonly responsible for </w:t>
      </w:r>
      <w:bookmarkStart w:id="15" w:name="OLE_LINK11"/>
      <w:r w:rsidR="00EA4854" w:rsidRPr="00E65AD0">
        <w:rPr>
          <w:rFonts w:ascii="Book Antiqua" w:hAnsi="Book Antiqua"/>
          <w:lang w:val="en-GB"/>
        </w:rPr>
        <w:t>precancerous gastric conditions</w:t>
      </w:r>
      <w:bookmarkEnd w:id="15"/>
      <w:r w:rsidRPr="00E65AD0">
        <w:rPr>
          <w:rFonts w:ascii="Book Antiqua" w:hAnsi="Book Antiqua"/>
          <w:lang w:val="en-GB"/>
        </w:rPr>
        <w:t xml:space="preserve">. Heterogeneous long-term endoscopic follow-up studies (2-16 years), have shown conflicting results on the efficacy of </w:t>
      </w:r>
      <w:r w:rsidR="002D1A0E" w:rsidRPr="00E65AD0">
        <w:rPr>
          <w:rFonts w:ascii="Book Antiqua" w:hAnsi="Book Antiqua"/>
          <w:i/>
          <w:lang w:val="en-GB"/>
        </w:rPr>
        <w:t xml:space="preserve">H. </w:t>
      </w:r>
      <w:r w:rsidR="00EA4854" w:rsidRPr="00E65AD0">
        <w:rPr>
          <w:rFonts w:ascii="Book Antiqua" w:hAnsi="Book Antiqua"/>
          <w:i/>
          <w:lang w:val="en-GB"/>
        </w:rPr>
        <w:t xml:space="preserve">pylori </w:t>
      </w:r>
      <w:r w:rsidRPr="00E65AD0">
        <w:rPr>
          <w:rFonts w:ascii="Book Antiqua" w:hAnsi="Book Antiqua"/>
          <w:lang w:val="en-GB"/>
        </w:rPr>
        <w:t xml:space="preserve">eradication in reducing the prevalence and histological progression of advanced </w:t>
      </w:r>
      <w:r w:rsidR="00EA4854" w:rsidRPr="00E65AD0">
        <w:rPr>
          <w:rFonts w:ascii="Book Antiqua" w:hAnsi="Book Antiqua"/>
          <w:lang w:val="en-GB"/>
        </w:rPr>
        <w:t>precancerous gastric conditions</w:t>
      </w:r>
      <w:r w:rsidRPr="00E65AD0">
        <w:rPr>
          <w:rFonts w:ascii="Book Antiqua" w:hAnsi="Book Antiqua"/>
          <w:lang w:val="en-GB"/>
        </w:rPr>
        <w:t xml:space="preserve">. High-Resolution white-light endoscopy </w:t>
      </w:r>
      <w:r w:rsidRPr="00E65AD0">
        <w:rPr>
          <w:rFonts w:ascii="Book Antiqua" w:hAnsi="Book Antiqua"/>
          <w:lang w:val="en-US"/>
        </w:rPr>
        <w:t xml:space="preserve">combined </w:t>
      </w:r>
      <w:r w:rsidRPr="00E65AD0">
        <w:rPr>
          <w:rFonts w:ascii="Book Antiqua" w:hAnsi="Book Antiqua"/>
          <w:lang w:val="en-GB"/>
        </w:rPr>
        <w:t xml:space="preserve">with narrow-band imaging </w:t>
      </w:r>
      <w:r w:rsidRPr="00E65AD0">
        <w:rPr>
          <w:rFonts w:ascii="Book Antiqua" w:hAnsi="Book Antiqua"/>
          <w:lang w:val="en-US"/>
        </w:rPr>
        <w:t xml:space="preserve">allows for a more accurate </w:t>
      </w:r>
      <w:r w:rsidRPr="00E65AD0">
        <w:rPr>
          <w:rFonts w:ascii="Book Antiqua" w:hAnsi="Book Antiqua"/>
          <w:lang w:val="en-US"/>
        </w:rPr>
        <w:lastRenderedPageBreak/>
        <w:t xml:space="preserve">diagnosis of gastric low-grade dysplasia when performed soon after </w:t>
      </w:r>
      <w:r w:rsidR="002D1A0E" w:rsidRPr="00E65AD0">
        <w:rPr>
          <w:rFonts w:ascii="Book Antiqua" w:hAnsi="Book Antiqua"/>
          <w:i/>
          <w:lang w:val="en-GB"/>
        </w:rPr>
        <w:t xml:space="preserve">H. </w:t>
      </w:r>
      <w:r w:rsidR="00EA4854" w:rsidRPr="00E65AD0">
        <w:rPr>
          <w:rFonts w:ascii="Book Antiqua" w:hAnsi="Book Antiqua"/>
          <w:i/>
          <w:lang w:val="en-GB"/>
        </w:rPr>
        <w:t xml:space="preserve">pylori </w:t>
      </w:r>
      <w:r w:rsidRPr="00E65AD0">
        <w:rPr>
          <w:rFonts w:ascii="Book Antiqua" w:hAnsi="Book Antiqua"/>
          <w:lang w:val="en-GB"/>
        </w:rPr>
        <w:t>eradication.</w:t>
      </w:r>
      <w:r w:rsidRPr="00E65AD0">
        <w:rPr>
          <w:rFonts w:ascii="Book Antiqua" w:hAnsi="Book Antiqua"/>
          <w:lang w:val="en-US"/>
        </w:rPr>
        <w:t xml:space="preserve"> </w:t>
      </w:r>
      <w:r w:rsidRPr="00E65AD0">
        <w:rPr>
          <w:rFonts w:ascii="Book Antiqua" w:hAnsi="Book Antiqua"/>
          <w:lang w:val="en-GB"/>
        </w:rPr>
        <w:t>Subjects with an overlap between autoimmune and</w:t>
      </w:r>
      <w:r w:rsidRPr="00E65AD0">
        <w:rPr>
          <w:rFonts w:ascii="Book Antiqua" w:hAnsi="Book Antiqua"/>
          <w:i/>
          <w:lang w:val="en-GB"/>
        </w:rPr>
        <w:t xml:space="preserve"> </w:t>
      </w:r>
      <w:r w:rsidR="002D1A0E" w:rsidRPr="00E65AD0">
        <w:rPr>
          <w:rFonts w:ascii="Book Antiqua" w:hAnsi="Book Antiqua"/>
          <w:i/>
          <w:lang w:val="en-GB"/>
        </w:rPr>
        <w:t xml:space="preserve">H. </w:t>
      </w:r>
      <w:r w:rsidR="00EA4854" w:rsidRPr="00E65AD0">
        <w:rPr>
          <w:rFonts w:ascii="Book Antiqua" w:hAnsi="Book Antiqua"/>
          <w:i/>
          <w:lang w:val="en-GB"/>
        </w:rPr>
        <w:t>pylori</w:t>
      </w:r>
      <w:r w:rsidRPr="00E65AD0">
        <w:rPr>
          <w:rFonts w:ascii="Book Antiqua" w:hAnsi="Book Antiqua"/>
          <w:lang w:val="en-GB"/>
        </w:rPr>
        <w:t>-induced chronic gastritis should be considered to be at a higher risk for more severe gastric injury and they may require more extensive gastric mapping.</w:t>
      </w:r>
    </w:p>
    <w:bookmarkEnd w:id="14"/>
    <w:p w14:paraId="1EBF863C" w14:textId="77777777" w:rsidR="00EA4854" w:rsidRPr="00E65AD0" w:rsidRDefault="00EA4854" w:rsidP="00E65AD0">
      <w:pPr>
        <w:snapToGrid w:val="0"/>
        <w:spacing w:after="0" w:line="360" w:lineRule="auto"/>
        <w:rPr>
          <w:rFonts w:ascii="Book Antiqua" w:hAnsi="Book Antiqua"/>
          <w:lang w:val="en-US"/>
        </w:rPr>
      </w:pPr>
      <w:r w:rsidRPr="00E65AD0">
        <w:rPr>
          <w:rFonts w:ascii="Book Antiqua" w:hAnsi="Book Antiqua"/>
          <w:lang w:val="en-US"/>
        </w:rPr>
        <w:br w:type="page"/>
      </w:r>
    </w:p>
    <w:p w14:paraId="348D5D8D" w14:textId="77777777" w:rsidR="00EA4854" w:rsidRPr="00E65AD0" w:rsidRDefault="00EA4854" w:rsidP="00E65AD0">
      <w:pPr>
        <w:snapToGrid w:val="0"/>
        <w:spacing w:after="0" w:line="360" w:lineRule="auto"/>
        <w:rPr>
          <w:rFonts w:ascii="Book Antiqua" w:hAnsi="Book Antiqua"/>
        </w:rPr>
      </w:pPr>
      <w:r w:rsidRPr="00E65AD0">
        <w:rPr>
          <w:rFonts w:ascii="Book Antiqua" w:hAnsi="Book Antiqua"/>
          <w:b/>
          <w:bCs/>
          <w:color w:val="000000"/>
          <w:u w:val="single"/>
        </w:rPr>
        <w:lastRenderedPageBreak/>
        <w:t>INTRODUCTION</w:t>
      </w:r>
    </w:p>
    <w:p w14:paraId="2E4AB514"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i/>
          <w:lang w:val="en-GB"/>
        </w:rPr>
        <w:t xml:space="preserve">Helicobacter </w:t>
      </w:r>
      <w:r w:rsidR="002D1A0E" w:rsidRPr="00E65AD0">
        <w:rPr>
          <w:rFonts w:ascii="Book Antiqua" w:hAnsi="Book Antiqua"/>
          <w:i/>
          <w:lang w:val="en-GB"/>
        </w:rPr>
        <w:t>pylori</w:t>
      </w:r>
      <w:r w:rsidRPr="00E65AD0">
        <w:rPr>
          <w:rFonts w:ascii="Book Antiqua" w:hAnsi="Book Antiqua"/>
          <w:lang w:val="en-GB"/>
        </w:rPr>
        <w:t xml:space="preserve"> (</w:t>
      </w:r>
      <w:r w:rsidR="002D1A0E" w:rsidRPr="00E65AD0">
        <w:rPr>
          <w:rFonts w:ascii="Book Antiqua" w:hAnsi="Book Antiqua"/>
          <w:i/>
          <w:lang w:val="en-GB"/>
        </w:rPr>
        <w:t xml:space="preserve">H. </w:t>
      </w:r>
      <w:r w:rsidR="00EA4854" w:rsidRPr="00E65AD0">
        <w:rPr>
          <w:rFonts w:ascii="Book Antiqua" w:hAnsi="Book Antiqua"/>
          <w:i/>
          <w:lang w:val="en-GB"/>
        </w:rPr>
        <w:t>pylori</w:t>
      </w:r>
      <w:r w:rsidRPr="00E65AD0">
        <w:rPr>
          <w:rFonts w:ascii="Book Antiqua" w:hAnsi="Book Antiqua"/>
          <w:lang w:val="en-GB"/>
        </w:rPr>
        <w:t xml:space="preserve">) infection has been associated with </w:t>
      </w:r>
      <w:r w:rsidR="00EA4854" w:rsidRPr="00E65AD0">
        <w:rPr>
          <w:rFonts w:ascii="Book Antiqua" w:hAnsi="Book Antiqua"/>
          <w:lang w:val="en-GB"/>
        </w:rPr>
        <w:t xml:space="preserve">premalignant gastric conditions </w:t>
      </w:r>
      <w:r w:rsidRPr="00E65AD0">
        <w:rPr>
          <w:rFonts w:ascii="Book Antiqua" w:hAnsi="Book Antiqua"/>
          <w:lang w:val="en-GB"/>
        </w:rPr>
        <w:t xml:space="preserve">(PGC), such as chronic atrophic gastritis and </w:t>
      </w:r>
      <w:r w:rsidR="00EA4854" w:rsidRPr="00E65AD0">
        <w:rPr>
          <w:rFonts w:ascii="Book Antiqua" w:hAnsi="Book Antiqua"/>
          <w:lang w:val="en-GB"/>
        </w:rPr>
        <w:t xml:space="preserve">intestinal metaplasia </w:t>
      </w:r>
      <w:r w:rsidRPr="00E65AD0">
        <w:rPr>
          <w:rFonts w:ascii="Book Antiqua" w:hAnsi="Book Antiqua"/>
          <w:lang w:val="en-GB"/>
        </w:rPr>
        <w:t xml:space="preserve">(IM), which are strongly associated with dysplasia and Lauren intestinal-type of </w:t>
      </w:r>
      <w:r w:rsidR="00EA4854" w:rsidRPr="00E65AD0">
        <w:rPr>
          <w:rFonts w:ascii="Book Antiqua" w:hAnsi="Book Antiqua"/>
          <w:lang w:val="en-GB"/>
        </w:rPr>
        <w:t xml:space="preserve">gastric carcinoma </w:t>
      </w:r>
      <w:r w:rsidRPr="00E65AD0">
        <w:rPr>
          <w:rFonts w:ascii="Book Antiqua" w:hAnsi="Book Antiqua"/>
          <w:lang w:val="en-GB"/>
        </w:rPr>
        <w:t>(GC</w:t>
      </w:r>
      <w:proofErr w:type="gramStart"/>
      <w:r w:rsidRPr="00E65AD0">
        <w:rPr>
          <w:rFonts w:ascii="Book Antiqua" w:hAnsi="Book Antiqua"/>
          <w:lang w:val="en-GB"/>
        </w:rPr>
        <w:t>)</w:t>
      </w:r>
      <w:r w:rsidRPr="00E65AD0">
        <w:rPr>
          <w:rFonts w:ascii="Book Antiqua" w:hAnsi="Book Antiqua"/>
          <w:vertAlign w:val="superscript"/>
          <w:lang w:val="en-GB"/>
        </w:rPr>
        <w:t>[</w:t>
      </w:r>
      <w:proofErr w:type="gramEnd"/>
      <w:r w:rsidRPr="00E65AD0">
        <w:rPr>
          <w:rFonts w:ascii="Book Antiqua" w:hAnsi="Book Antiqua"/>
          <w:vertAlign w:val="superscript"/>
          <w:lang w:val="en-GB"/>
        </w:rPr>
        <w:t>1-7]</w:t>
      </w:r>
      <w:r w:rsidRPr="00E65AD0">
        <w:rPr>
          <w:rFonts w:ascii="Book Antiqua" w:hAnsi="Book Antiqua"/>
          <w:lang w:val="en-GB"/>
        </w:rPr>
        <w:t xml:space="preserve">. Autoimmune </w:t>
      </w:r>
      <w:r w:rsidR="00EA4854" w:rsidRPr="00E65AD0">
        <w:rPr>
          <w:rFonts w:ascii="Book Antiqua" w:hAnsi="Book Antiqua"/>
          <w:lang w:val="en-GB"/>
        </w:rPr>
        <w:t xml:space="preserve">atrophic gastritis </w:t>
      </w:r>
      <w:r w:rsidRPr="00E65AD0">
        <w:rPr>
          <w:rFonts w:ascii="Book Antiqua" w:hAnsi="Book Antiqua"/>
          <w:lang w:val="en-GB"/>
        </w:rPr>
        <w:t xml:space="preserve">(AAG) is </w:t>
      </w:r>
      <w:r w:rsidRPr="00E65AD0">
        <w:rPr>
          <w:rFonts w:ascii="Book Antiqua" w:eastAsia="Calibri" w:hAnsi="Book Antiqua"/>
          <w:lang w:val="en-GB" w:eastAsia="ar-SA"/>
        </w:rPr>
        <w:t>responsible</w:t>
      </w:r>
      <w:r w:rsidRPr="00E65AD0">
        <w:rPr>
          <w:rFonts w:ascii="Book Antiqua" w:hAnsi="Book Antiqua"/>
          <w:lang w:val="en-GB"/>
        </w:rPr>
        <w:t xml:space="preserve"> for progressive mucosal atrophy (antrum-sparing) with or without </w:t>
      </w:r>
      <w:proofErr w:type="gramStart"/>
      <w:r w:rsidRPr="00E65AD0">
        <w:rPr>
          <w:rFonts w:ascii="Book Antiqua" w:hAnsi="Book Antiqua"/>
          <w:lang w:val="en-GB"/>
        </w:rPr>
        <w:t>IM</w:t>
      </w:r>
      <w:r w:rsidRPr="00E65AD0">
        <w:rPr>
          <w:rFonts w:ascii="Book Antiqua" w:hAnsi="Book Antiqua"/>
          <w:vertAlign w:val="superscript"/>
          <w:lang w:val="en-GB"/>
        </w:rPr>
        <w:t>[</w:t>
      </w:r>
      <w:proofErr w:type="gramEnd"/>
      <w:r w:rsidRPr="00E65AD0">
        <w:rPr>
          <w:rFonts w:ascii="Book Antiqua" w:hAnsi="Book Antiqua"/>
          <w:vertAlign w:val="superscript"/>
          <w:lang w:val="en-GB"/>
        </w:rPr>
        <w:t>8]</w:t>
      </w:r>
      <w:r w:rsidRPr="00E65AD0">
        <w:rPr>
          <w:rFonts w:ascii="Book Antiqua" w:hAnsi="Book Antiqua"/>
          <w:lang w:val="en-GB"/>
        </w:rPr>
        <w:t xml:space="preserve">. Many studies have attributed gastric carcinogenesis to both genetic predisposition and </w:t>
      </w:r>
      <w:r w:rsidR="002D1A0E" w:rsidRPr="00E65AD0">
        <w:rPr>
          <w:rFonts w:ascii="Book Antiqua" w:hAnsi="Book Antiqua"/>
          <w:i/>
          <w:lang w:val="en-GB"/>
        </w:rPr>
        <w:t xml:space="preserve">H. </w:t>
      </w:r>
      <w:r w:rsidR="00EA4854" w:rsidRPr="00E65AD0">
        <w:rPr>
          <w:rFonts w:ascii="Book Antiqua" w:hAnsi="Book Antiqua"/>
          <w:i/>
          <w:lang w:val="en-GB"/>
        </w:rPr>
        <w:t>pylori</w:t>
      </w:r>
      <w:r w:rsidRPr="00E65AD0">
        <w:rPr>
          <w:rFonts w:ascii="Book Antiqua" w:hAnsi="Book Antiqua"/>
          <w:lang w:val="en-GB"/>
        </w:rPr>
        <w:t xml:space="preserve">-induced gastric </w:t>
      </w:r>
      <w:proofErr w:type="gramStart"/>
      <w:r w:rsidRPr="00E65AD0">
        <w:rPr>
          <w:rFonts w:ascii="Book Antiqua" w:hAnsi="Book Antiqua"/>
          <w:lang w:val="en-GB"/>
        </w:rPr>
        <w:t>inflammation</w:t>
      </w:r>
      <w:r w:rsidRPr="00E65AD0">
        <w:rPr>
          <w:rFonts w:ascii="Book Antiqua" w:hAnsi="Book Antiqua"/>
          <w:vertAlign w:val="superscript"/>
          <w:lang w:val="en-GB"/>
        </w:rPr>
        <w:t>[</w:t>
      </w:r>
      <w:proofErr w:type="gramEnd"/>
      <w:r w:rsidRPr="00E65AD0">
        <w:rPr>
          <w:rFonts w:ascii="Book Antiqua" w:hAnsi="Book Antiqua"/>
          <w:vertAlign w:val="superscript"/>
          <w:lang w:val="en-GB"/>
        </w:rPr>
        <w:t>9-13]</w:t>
      </w:r>
      <w:r w:rsidRPr="00E65AD0">
        <w:rPr>
          <w:rFonts w:ascii="Book Antiqua" w:hAnsi="Book Antiqua"/>
          <w:lang w:val="en-GB"/>
        </w:rPr>
        <w:t xml:space="preserve">. </w:t>
      </w:r>
      <w:r w:rsidR="002D1A0E" w:rsidRPr="00E65AD0">
        <w:rPr>
          <w:rFonts w:ascii="Book Antiqua" w:hAnsi="Book Antiqua"/>
          <w:i/>
          <w:lang w:val="en-GB"/>
        </w:rPr>
        <w:t xml:space="preserve">H. </w:t>
      </w:r>
      <w:r w:rsidR="00EA4854" w:rsidRPr="00E65AD0">
        <w:rPr>
          <w:rFonts w:ascii="Book Antiqua" w:hAnsi="Book Antiqua"/>
          <w:i/>
          <w:lang w:val="en-GB"/>
        </w:rPr>
        <w:t>pylori</w:t>
      </w:r>
      <w:r w:rsidR="00EA4854" w:rsidRPr="00E65AD0">
        <w:rPr>
          <w:rFonts w:ascii="Book Antiqua" w:hAnsi="Book Antiqua"/>
          <w:lang w:val="en-GB"/>
        </w:rPr>
        <w:t xml:space="preserve"> </w:t>
      </w:r>
      <w:r w:rsidRPr="00E65AD0">
        <w:rPr>
          <w:rFonts w:ascii="Book Antiqua" w:hAnsi="Book Antiqua"/>
          <w:lang w:val="en-GB"/>
        </w:rPr>
        <w:t>strains possessing higher cytotoxicity that infect genetically predisposed subjects have been considered responsible for more severe degrees of inflammation and rapid progression to intestinal-type GC</w:t>
      </w:r>
      <w:r w:rsidRPr="00E65AD0">
        <w:rPr>
          <w:rFonts w:ascii="Book Antiqua" w:hAnsi="Book Antiqua"/>
          <w:vertAlign w:val="superscript"/>
          <w:lang w:val="en-GB"/>
        </w:rPr>
        <w:t>[14-20]</w:t>
      </w:r>
      <w:r w:rsidRPr="00E65AD0">
        <w:rPr>
          <w:rFonts w:ascii="Book Antiqua" w:hAnsi="Book Antiqua"/>
          <w:lang w:val="en-GB"/>
        </w:rPr>
        <w:t>.</w:t>
      </w:r>
      <w:r w:rsidRPr="00E65AD0">
        <w:rPr>
          <w:rFonts w:ascii="Book Antiqua" w:hAnsi="Book Antiqua"/>
          <w:vertAlign w:val="superscript"/>
          <w:lang w:val="en-GB"/>
        </w:rPr>
        <w:t xml:space="preserve"> </w:t>
      </w:r>
      <w:r w:rsidRPr="00E65AD0">
        <w:rPr>
          <w:rFonts w:ascii="Book Antiqua" w:hAnsi="Book Antiqua"/>
          <w:lang w:val="en-GB"/>
        </w:rPr>
        <w:t xml:space="preserve">Nowadays, PGC detection and surveillance are considered a cost-effective strategy for the prevention of high-grade dysplasia and GC only in intermediate or high-risk </w:t>
      </w:r>
      <w:proofErr w:type="gramStart"/>
      <w:r w:rsidRPr="00E65AD0">
        <w:rPr>
          <w:rFonts w:ascii="Book Antiqua" w:hAnsi="Book Antiqua"/>
          <w:lang w:val="en-GB"/>
        </w:rPr>
        <w:t>populations</w:t>
      </w:r>
      <w:r w:rsidRPr="00E65AD0">
        <w:rPr>
          <w:rFonts w:ascii="Book Antiqua" w:hAnsi="Book Antiqua"/>
          <w:vertAlign w:val="superscript"/>
          <w:lang w:val="en-GB"/>
        </w:rPr>
        <w:t>[</w:t>
      </w:r>
      <w:proofErr w:type="gramEnd"/>
      <w:r w:rsidRPr="00E65AD0">
        <w:rPr>
          <w:rFonts w:ascii="Book Antiqua" w:hAnsi="Book Antiqua"/>
          <w:vertAlign w:val="superscript"/>
          <w:lang w:val="en-GB"/>
        </w:rPr>
        <w:t>7]</w:t>
      </w:r>
      <w:r w:rsidRPr="00E65AD0">
        <w:rPr>
          <w:rFonts w:ascii="Book Antiqua" w:hAnsi="Book Antiqua"/>
          <w:lang w:val="en-GB"/>
        </w:rPr>
        <w:t xml:space="preserve">. Heterogeneous long-term endoscopic follow-up studies, with a duration of between 2-16 years, have shown conflicting results on the efficacy of </w:t>
      </w:r>
      <w:r w:rsidR="002D1A0E" w:rsidRPr="00E65AD0">
        <w:rPr>
          <w:rFonts w:ascii="Book Antiqua" w:hAnsi="Book Antiqua"/>
          <w:i/>
          <w:lang w:val="en-GB"/>
        </w:rPr>
        <w:t xml:space="preserve">H. </w:t>
      </w:r>
      <w:r w:rsidR="00EA4854" w:rsidRPr="00E65AD0">
        <w:rPr>
          <w:rFonts w:ascii="Book Antiqua" w:hAnsi="Book Antiqua"/>
          <w:i/>
          <w:lang w:val="en-GB"/>
        </w:rPr>
        <w:t>pylori</w:t>
      </w:r>
      <w:r w:rsidR="00EA4854" w:rsidRPr="00E65AD0">
        <w:rPr>
          <w:rFonts w:ascii="Book Antiqua" w:hAnsi="Book Antiqua"/>
          <w:lang w:val="en-GB"/>
        </w:rPr>
        <w:t xml:space="preserve"> </w:t>
      </w:r>
      <w:r w:rsidRPr="00E65AD0">
        <w:rPr>
          <w:rFonts w:ascii="Book Antiqua" w:hAnsi="Book Antiqua"/>
          <w:lang w:val="en-GB"/>
        </w:rPr>
        <w:t xml:space="preserve">eradication in reducing the prevalence and histological progression of advanced PGC, and in decreasing GC </w:t>
      </w:r>
      <w:proofErr w:type="gramStart"/>
      <w:r w:rsidRPr="00E65AD0">
        <w:rPr>
          <w:rFonts w:ascii="Book Antiqua" w:hAnsi="Book Antiqua"/>
          <w:lang w:val="en-GB"/>
        </w:rPr>
        <w:t>incidence</w:t>
      </w:r>
      <w:r w:rsidRPr="00E65AD0">
        <w:rPr>
          <w:rFonts w:ascii="Book Antiqua" w:hAnsi="Book Antiqua"/>
          <w:vertAlign w:val="superscript"/>
          <w:lang w:val="en-GB"/>
        </w:rPr>
        <w:t>[</w:t>
      </w:r>
      <w:proofErr w:type="gramEnd"/>
      <w:r w:rsidRPr="00E65AD0">
        <w:rPr>
          <w:rFonts w:ascii="Book Antiqua" w:hAnsi="Book Antiqua"/>
          <w:vertAlign w:val="superscript"/>
          <w:lang w:val="en-GB"/>
        </w:rPr>
        <w:t>3,21-25]</w:t>
      </w:r>
      <w:r w:rsidRPr="00E65AD0">
        <w:rPr>
          <w:rFonts w:ascii="Book Antiqua" w:hAnsi="Book Antiqua"/>
          <w:lang w:val="en-GB"/>
        </w:rPr>
        <w:t xml:space="preserve">. The current European guidelines recommend </w:t>
      </w:r>
      <w:r w:rsidR="002D1A0E" w:rsidRPr="00E65AD0">
        <w:rPr>
          <w:rFonts w:ascii="Book Antiqua" w:hAnsi="Book Antiqua"/>
          <w:i/>
          <w:lang w:val="en-GB"/>
        </w:rPr>
        <w:t xml:space="preserve">H. </w:t>
      </w:r>
      <w:r w:rsidR="00EA4854" w:rsidRPr="00E65AD0">
        <w:rPr>
          <w:rFonts w:ascii="Book Antiqua" w:hAnsi="Book Antiqua"/>
          <w:i/>
          <w:lang w:val="en-GB"/>
        </w:rPr>
        <w:t>pylori</w:t>
      </w:r>
      <w:r w:rsidR="00EA4854" w:rsidRPr="00E65AD0">
        <w:rPr>
          <w:rFonts w:ascii="Book Antiqua" w:hAnsi="Book Antiqua"/>
          <w:lang w:val="en-GB"/>
        </w:rPr>
        <w:t xml:space="preserve"> </w:t>
      </w:r>
      <w:r w:rsidRPr="00E65AD0">
        <w:rPr>
          <w:rFonts w:ascii="Book Antiqua" w:hAnsi="Book Antiqua"/>
          <w:lang w:val="en-GB"/>
        </w:rPr>
        <w:t xml:space="preserve">eradication in high-risk </w:t>
      </w:r>
      <w:proofErr w:type="gramStart"/>
      <w:r w:rsidRPr="00E65AD0">
        <w:rPr>
          <w:rFonts w:ascii="Book Antiqua" w:hAnsi="Book Antiqua"/>
          <w:lang w:val="en-GB"/>
        </w:rPr>
        <w:t>subjects</w:t>
      </w:r>
      <w:r w:rsidRPr="00E65AD0">
        <w:rPr>
          <w:rFonts w:ascii="Book Antiqua" w:hAnsi="Book Antiqua"/>
          <w:vertAlign w:val="superscript"/>
          <w:lang w:val="en-GB"/>
        </w:rPr>
        <w:t>[</w:t>
      </w:r>
      <w:proofErr w:type="gramEnd"/>
      <w:r w:rsidRPr="00E65AD0">
        <w:rPr>
          <w:rFonts w:ascii="Book Antiqua" w:hAnsi="Book Antiqua"/>
          <w:vertAlign w:val="superscript"/>
          <w:lang w:val="en-GB"/>
        </w:rPr>
        <w:t>7,22,26,27]</w:t>
      </w:r>
      <w:r w:rsidRPr="00E65AD0">
        <w:rPr>
          <w:rFonts w:ascii="Book Antiqua" w:hAnsi="Book Antiqua"/>
          <w:lang w:val="en-GB"/>
        </w:rPr>
        <w:t xml:space="preserve">. Nevertheless, even after </w:t>
      </w:r>
      <w:r w:rsidR="002D1A0E" w:rsidRPr="00E65AD0">
        <w:rPr>
          <w:rFonts w:ascii="Book Antiqua" w:hAnsi="Book Antiqua"/>
          <w:i/>
          <w:lang w:val="en-GB"/>
        </w:rPr>
        <w:t xml:space="preserve">H. </w:t>
      </w:r>
      <w:r w:rsidR="00EA4854" w:rsidRPr="00E65AD0">
        <w:rPr>
          <w:rFonts w:ascii="Book Antiqua" w:hAnsi="Book Antiqua"/>
          <w:i/>
          <w:lang w:val="en-GB"/>
        </w:rPr>
        <w:t>pylori</w:t>
      </w:r>
      <w:r w:rsidR="00EA4854" w:rsidRPr="00E65AD0">
        <w:rPr>
          <w:rFonts w:ascii="Book Antiqua" w:hAnsi="Book Antiqua"/>
          <w:lang w:val="en-GB"/>
        </w:rPr>
        <w:t xml:space="preserve"> </w:t>
      </w:r>
      <w:r w:rsidRPr="00E65AD0">
        <w:rPr>
          <w:rFonts w:ascii="Book Antiqua" w:hAnsi="Book Antiqua"/>
          <w:lang w:val="en-GB"/>
        </w:rPr>
        <w:t xml:space="preserve">eradication, the risk for PGC may remain or even increase in patients undergoing long-term </w:t>
      </w:r>
      <w:proofErr w:type="gramStart"/>
      <w:r w:rsidRPr="00E65AD0">
        <w:rPr>
          <w:rFonts w:ascii="Book Antiqua" w:hAnsi="Book Antiqua"/>
          <w:lang w:val="en-GB"/>
        </w:rPr>
        <w:t>surveillance</w:t>
      </w:r>
      <w:r w:rsidRPr="00E65AD0">
        <w:rPr>
          <w:rFonts w:ascii="Book Antiqua" w:hAnsi="Book Antiqua"/>
          <w:vertAlign w:val="superscript"/>
          <w:lang w:val="en-GB"/>
        </w:rPr>
        <w:t>[</w:t>
      </w:r>
      <w:proofErr w:type="gramEnd"/>
      <w:r w:rsidRPr="00E65AD0">
        <w:rPr>
          <w:rFonts w:ascii="Book Antiqua" w:hAnsi="Book Antiqua"/>
          <w:vertAlign w:val="superscript"/>
          <w:lang w:val="en-GB"/>
        </w:rPr>
        <w:t>3,22]</w:t>
      </w:r>
      <w:r w:rsidRPr="00E65AD0">
        <w:rPr>
          <w:rFonts w:ascii="Book Antiqua" w:hAnsi="Book Antiqua"/>
          <w:lang w:val="en-GB"/>
        </w:rPr>
        <w:t xml:space="preserve">. </w:t>
      </w:r>
    </w:p>
    <w:p w14:paraId="0311855B" w14:textId="77777777" w:rsidR="009D0DBE" w:rsidRPr="00E65AD0" w:rsidRDefault="00921B00" w:rsidP="00E65AD0">
      <w:pPr>
        <w:snapToGrid w:val="0"/>
        <w:spacing w:after="0" w:line="360" w:lineRule="auto"/>
        <w:ind w:firstLineChars="100" w:firstLine="240"/>
        <w:rPr>
          <w:rFonts w:ascii="Book Antiqua" w:hAnsi="Book Antiqua"/>
          <w:lang w:val="en-US"/>
        </w:rPr>
      </w:pPr>
      <w:r w:rsidRPr="00E65AD0">
        <w:rPr>
          <w:rFonts w:ascii="Book Antiqua" w:hAnsi="Book Antiqua"/>
          <w:lang w:val="en-GB"/>
        </w:rPr>
        <w:t xml:space="preserve">A high-quality upper endoscopy should include at least five non-targeted biopsies at the lesser and greater curvatures of the antrum-corpus and at the </w:t>
      </w:r>
      <w:bookmarkStart w:id="16" w:name="OLE_LINK17"/>
      <w:r w:rsidRPr="00E65AD0">
        <w:rPr>
          <w:rFonts w:ascii="Book Antiqua" w:hAnsi="Book Antiqua"/>
          <w:i/>
          <w:iCs/>
          <w:lang w:val="en-GB"/>
        </w:rPr>
        <w:t>incisura angularis</w:t>
      </w:r>
      <w:bookmarkEnd w:id="16"/>
      <w:r w:rsidRPr="00E65AD0">
        <w:rPr>
          <w:rFonts w:ascii="Book Antiqua" w:hAnsi="Book Antiqua"/>
          <w:lang w:val="en-GB"/>
        </w:rPr>
        <w:t xml:space="preserve"> for </w:t>
      </w:r>
      <w:r w:rsidR="002D1A0E" w:rsidRPr="00E65AD0">
        <w:rPr>
          <w:rFonts w:ascii="Book Antiqua" w:hAnsi="Book Antiqua"/>
          <w:i/>
          <w:lang w:val="en-GB"/>
        </w:rPr>
        <w:t xml:space="preserve">H. </w:t>
      </w:r>
      <w:r w:rsidR="002D1C57" w:rsidRPr="00E65AD0">
        <w:rPr>
          <w:rFonts w:ascii="Book Antiqua" w:hAnsi="Book Antiqua"/>
          <w:i/>
          <w:lang w:val="en-GB"/>
        </w:rPr>
        <w:t>pylori</w:t>
      </w:r>
      <w:r w:rsidR="002D1C57" w:rsidRPr="00E65AD0">
        <w:rPr>
          <w:rFonts w:ascii="Book Antiqua" w:hAnsi="Book Antiqua"/>
          <w:lang w:val="en-GB"/>
        </w:rPr>
        <w:t xml:space="preserve"> </w:t>
      </w:r>
      <w:r w:rsidRPr="00E65AD0">
        <w:rPr>
          <w:rFonts w:ascii="Book Antiqua" w:hAnsi="Book Antiqua"/>
          <w:lang w:val="en-GB"/>
        </w:rPr>
        <w:t>infection diagnosis and the optimal detection and staging of advanced PGC, which are randomly distributed across the stomach</w:t>
      </w:r>
      <w:r w:rsidRPr="00E65AD0">
        <w:rPr>
          <w:rFonts w:ascii="Book Antiqua" w:hAnsi="Book Antiqua"/>
          <w:vertAlign w:val="superscript"/>
          <w:lang w:val="en-GB"/>
        </w:rPr>
        <w:t>[7,28,29]</w:t>
      </w:r>
      <w:r w:rsidRPr="00E65AD0">
        <w:rPr>
          <w:rFonts w:ascii="Book Antiqua" w:hAnsi="Book Antiqua"/>
          <w:lang w:val="en-GB"/>
        </w:rPr>
        <w:t xml:space="preserve">. Additional targeted biopsies of any visible lesions are recommended, since </w:t>
      </w:r>
      <w:r w:rsidR="002D1C57" w:rsidRPr="00E65AD0">
        <w:rPr>
          <w:rFonts w:ascii="Book Antiqua" w:hAnsi="Book Antiqua"/>
          <w:lang w:val="en-GB"/>
        </w:rPr>
        <w:t>low-grade dysplasia</w:t>
      </w:r>
      <w:r w:rsidRPr="00E65AD0">
        <w:rPr>
          <w:rFonts w:ascii="Book Antiqua" w:hAnsi="Book Antiqua"/>
          <w:lang w:val="en-GB"/>
        </w:rPr>
        <w:t xml:space="preserve"> (LGD) and </w:t>
      </w:r>
      <w:r w:rsidR="002D1C57" w:rsidRPr="00E65AD0">
        <w:rPr>
          <w:rFonts w:ascii="Book Antiqua" w:hAnsi="Book Antiqua"/>
          <w:lang w:val="en-GB"/>
        </w:rPr>
        <w:t>high-grade dysplasia</w:t>
      </w:r>
      <w:r w:rsidRPr="00E65AD0">
        <w:rPr>
          <w:rFonts w:ascii="Book Antiqua" w:hAnsi="Book Antiqua"/>
          <w:lang w:val="en-GB"/>
        </w:rPr>
        <w:t xml:space="preserve"> (HGD) may appear as endoscopically evident, depressed, flat, or raised lesions</w:t>
      </w:r>
      <w:r w:rsidRPr="00E65AD0">
        <w:rPr>
          <w:rFonts w:ascii="Book Antiqua" w:hAnsi="Book Antiqua"/>
          <w:vertAlign w:val="superscript"/>
          <w:lang w:val="en-GB"/>
        </w:rPr>
        <w:t>[7,28,29]</w:t>
      </w:r>
      <w:r w:rsidRPr="00E65AD0">
        <w:rPr>
          <w:rFonts w:ascii="Book Antiqua" w:hAnsi="Book Antiqua"/>
          <w:lang w:val="en-GB"/>
        </w:rPr>
        <w:t>.</w:t>
      </w:r>
    </w:p>
    <w:p w14:paraId="5235934E" w14:textId="77777777" w:rsidR="009D0DBE" w:rsidRPr="00E65AD0" w:rsidRDefault="00921B00" w:rsidP="00E65AD0">
      <w:pPr>
        <w:snapToGrid w:val="0"/>
        <w:spacing w:after="0" w:line="360" w:lineRule="auto"/>
        <w:ind w:firstLineChars="100" w:firstLine="240"/>
        <w:rPr>
          <w:rFonts w:ascii="Book Antiqua" w:hAnsi="Book Antiqua"/>
          <w:shd w:val="clear" w:color="auto" w:fill="FFFF00"/>
          <w:lang w:val="en-GB"/>
        </w:rPr>
      </w:pPr>
      <w:r w:rsidRPr="00E65AD0">
        <w:rPr>
          <w:rFonts w:ascii="Book Antiqua" w:hAnsi="Book Antiqua"/>
          <w:lang w:val="en-GB"/>
        </w:rPr>
        <w:t xml:space="preserve">The Sydney System, the Operative-Link on Gastritis-Assessment (OLGA) and the Operative-Link on Gastric-Intestinal Metaplasia (OLGIM) </w:t>
      </w:r>
      <w:r w:rsidRPr="00E65AD0">
        <w:rPr>
          <w:rFonts w:ascii="Book Antiqua" w:hAnsi="Book Antiqua"/>
          <w:lang w:val="en-GB"/>
        </w:rPr>
        <w:lastRenderedPageBreak/>
        <w:t xml:space="preserve">classifications are commonly used to evaluate the histological inflammation and activity due to mononuclear and polymorphonuclear cells infiltration, as well as atrophy and IM, whereas dysplasia is commonly graded according to the </w:t>
      </w:r>
      <w:r w:rsidR="00FC703C" w:rsidRPr="00E65AD0">
        <w:rPr>
          <w:rFonts w:ascii="Book Antiqua" w:hAnsi="Book Antiqua"/>
          <w:lang w:val="en-GB"/>
        </w:rPr>
        <w:t>World Health Organization</w:t>
      </w:r>
      <w:r w:rsidRPr="00E65AD0">
        <w:rPr>
          <w:rFonts w:ascii="Book Antiqua" w:hAnsi="Book Antiqua"/>
          <w:lang w:val="en-GB"/>
        </w:rPr>
        <w:t xml:space="preserve"> classification</w:t>
      </w:r>
      <w:r w:rsidRPr="00E65AD0">
        <w:rPr>
          <w:rFonts w:ascii="Book Antiqua" w:hAnsi="Book Antiqua"/>
          <w:vertAlign w:val="superscript"/>
          <w:lang w:val="en-GB"/>
        </w:rPr>
        <w:t>[30,31]</w:t>
      </w:r>
      <w:r w:rsidRPr="00E65AD0">
        <w:rPr>
          <w:rFonts w:ascii="Book Antiqua" w:hAnsi="Book Antiqua"/>
          <w:lang w:val="en-GB"/>
        </w:rPr>
        <w:t xml:space="preserve">. During </w:t>
      </w:r>
      <w:r w:rsidR="002D1C57" w:rsidRPr="00E65AD0">
        <w:rPr>
          <w:rFonts w:ascii="Book Antiqua" w:hAnsi="Book Antiqua"/>
          <w:lang w:val="en-GB"/>
        </w:rPr>
        <w:t>white-light endoscopy</w:t>
      </w:r>
      <w:r w:rsidRPr="00E65AD0">
        <w:rPr>
          <w:rFonts w:ascii="Book Antiqua" w:hAnsi="Book Antiqua"/>
          <w:lang w:val="en-GB"/>
        </w:rPr>
        <w:t xml:space="preserve"> (WLE), the Kimura-Takemoto modified classification has been used to assess the extension of </w:t>
      </w:r>
      <w:proofErr w:type="gramStart"/>
      <w:r w:rsidRPr="00E65AD0">
        <w:rPr>
          <w:rFonts w:ascii="Book Antiqua" w:hAnsi="Book Antiqua"/>
          <w:lang w:val="en-GB"/>
        </w:rPr>
        <w:t>atrophy</w:t>
      </w:r>
      <w:r w:rsidRPr="00E65AD0">
        <w:rPr>
          <w:rFonts w:ascii="Book Antiqua" w:hAnsi="Book Antiqua"/>
          <w:vertAlign w:val="superscript"/>
          <w:lang w:val="en-GB"/>
        </w:rPr>
        <w:t>[</w:t>
      </w:r>
      <w:proofErr w:type="gramEnd"/>
      <w:r w:rsidRPr="00E65AD0">
        <w:rPr>
          <w:rFonts w:ascii="Book Antiqua" w:hAnsi="Book Antiqua"/>
          <w:vertAlign w:val="superscript"/>
          <w:lang w:val="en-GB"/>
        </w:rPr>
        <w:t>32]</w:t>
      </w:r>
      <w:r w:rsidRPr="00E65AD0">
        <w:rPr>
          <w:rFonts w:ascii="Book Antiqua" w:hAnsi="Book Antiqua"/>
          <w:lang w:val="en-GB"/>
        </w:rPr>
        <w:t xml:space="preserve">. Several studies showed that </w:t>
      </w:r>
      <w:r w:rsidR="002D1C57" w:rsidRPr="00E65AD0">
        <w:rPr>
          <w:rFonts w:ascii="Book Antiqua" w:hAnsi="Book Antiqua"/>
          <w:lang w:val="en-GB"/>
        </w:rPr>
        <w:t xml:space="preserve">magnification chromoendoscopy </w:t>
      </w:r>
      <w:r w:rsidRPr="00E65AD0">
        <w:rPr>
          <w:rFonts w:ascii="Book Antiqua" w:hAnsi="Book Antiqua"/>
          <w:lang w:val="en-GB"/>
        </w:rPr>
        <w:t xml:space="preserve">(CE) and </w:t>
      </w:r>
      <w:r w:rsidR="002D1C57" w:rsidRPr="00E65AD0">
        <w:rPr>
          <w:rFonts w:ascii="Book Antiqua" w:hAnsi="Book Antiqua"/>
          <w:lang w:val="en-GB"/>
        </w:rPr>
        <w:t>narrow-band imaging</w:t>
      </w:r>
      <w:r w:rsidRPr="00E65AD0">
        <w:rPr>
          <w:rFonts w:ascii="Book Antiqua" w:hAnsi="Book Antiqua"/>
          <w:lang w:val="en-GB"/>
        </w:rPr>
        <w:t xml:space="preserve"> (NBI) with or without magnification performed by expert endoscopists could be more accurate than WLE alone in diagnosing PGC, although random biopsies may detect PGC otherwise undetectable by NBI targeted biopsies. Thus, a combination of both random-WLE and targeted-NBI biopsies is suggested as the most </w:t>
      </w:r>
      <w:proofErr w:type="gramStart"/>
      <w:r w:rsidRPr="00E65AD0">
        <w:rPr>
          <w:rFonts w:ascii="Book Antiqua" w:hAnsi="Book Antiqua"/>
          <w:lang w:val="en-GB"/>
        </w:rPr>
        <w:t>accurate</w:t>
      </w:r>
      <w:r w:rsidRPr="00E65AD0">
        <w:rPr>
          <w:rFonts w:ascii="Book Antiqua" w:hAnsi="Book Antiqua"/>
          <w:vertAlign w:val="superscript"/>
          <w:lang w:val="en-GB"/>
        </w:rPr>
        <w:t>[</w:t>
      </w:r>
      <w:proofErr w:type="gramEnd"/>
      <w:r w:rsidRPr="00E65AD0">
        <w:rPr>
          <w:rFonts w:ascii="Book Antiqua" w:hAnsi="Book Antiqua"/>
          <w:vertAlign w:val="superscript"/>
          <w:lang w:val="en-GB"/>
        </w:rPr>
        <w:t>29,33-37]</w:t>
      </w:r>
      <w:r w:rsidRPr="00E65AD0">
        <w:rPr>
          <w:rFonts w:ascii="Book Antiqua" w:hAnsi="Book Antiqua"/>
          <w:lang w:val="en-GB"/>
        </w:rPr>
        <w:t xml:space="preserve">. More recent some investigators created and validated a simplified NBI classification, with magnification </w:t>
      </w:r>
      <w:r w:rsidR="002D1C57" w:rsidRPr="00E65AD0">
        <w:rPr>
          <w:rFonts w:ascii="Book Antiqua" w:eastAsia="宋体" w:hAnsi="Book Antiqua"/>
          <w:lang w:val="en-GB" w:eastAsia="zh-CN"/>
        </w:rPr>
        <w:t>[</w:t>
      </w:r>
      <w:r w:rsidRPr="00E65AD0">
        <w:rPr>
          <w:rFonts w:ascii="Book Antiqua" w:hAnsi="Book Antiqua"/>
          <w:lang w:val="en-GB"/>
        </w:rPr>
        <w:t>(</w:t>
      </w:r>
      <w:r w:rsidR="002D1C57" w:rsidRPr="00E65AD0">
        <w:rPr>
          <w:rFonts w:ascii="Book Antiqua" w:hAnsi="Book Antiqua"/>
          <w:lang w:val="en-GB"/>
        </w:rPr>
        <w:t>endoscopic grading of gastric intestinal metaplasia</w:t>
      </w:r>
      <w:r w:rsidR="0079038B" w:rsidRPr="00E65AD0">
        <w:rPr>
          <w:rFonts w:ascii="Book Antiqua" w:eastAsia="宋体" w:hAnsi="Book Antiqua"/>
          <w:lang w:val="en-GB" w:eastAsia="zh-CN"/>
        </w:rPr>
        <w:t xml:space="preserve"> (</w:t>
      </w:r>
      <w:r w:rsidRPr="00E65AD0">
        <w:rPr>
          <w:rFonts w:ascii="Book Antiqua" w:hAnsi="Book Antiqua"/>
          <w:lang w:val="en-GB"/>
        </w:rPr>
        <w:t>EGGIM)</w:t>
      </w:r>
      <w:r w:rsidR="002D1C57" w:rsidRPr="00E65AD0">
        <w:rPr>
          <w:rFonts w:ascii="Book Antiqua" w:eastAsia="宋体" w:hAnsi="Book Antiqua"/>
          <w:lang w:val="en-GB" w:eastAsia="zh-CN"/>
        </w:rPr>
        <w:t>]</w:t>
      </w:r>
      <w:r w:rsidRPr="00E65AD0">
        <w:rPr>
          <w:rFonts w:ascii="Book Antiqua" w:hAnsi="Book Antiqua"/>
          <w:lang w:val="en-GB"/>
        </w:rPr>
        <w:t>, using reproducible NBI features (based on endoscopic mucosal and vascular patterns)</w:t>
      </w:r>
      <w:r w:rsidRPr="00E65AD0">
        <w:rPr>
          <w:rFonts w:ascii="Book Antiqua" w:hAnsi="Book Antiqua"/>
          <w:vertAlign w:val="superscript"/>
          <w:lang w:val="en-GB"/>
        </w:rPr>
        <w:t>[29]</w:t>
      </w:r>
      <w:r w:rsidRPr="00E65AD0">
        <w:rPr>
          <w:rFonts w:ascii="Book Antiqua" w:hAnsi="Book Antiqua"/>
          <w:lang w:val="en-GB"/>
        </w:rPr>
        <w:t xml:space="preserve"> of the whole gastric mucosa,</w:t>
      </w:r>
      <w:r w:rsidRPr="00E65AD0">
        <w:rPr>
          <w:rFonts w:ascii="Book Antiqua" w:hAnsi="Book Antiqua"/>
          <w:vertAlign w:val="superscript"/>
          <w:lang w:val="en-GB"/>
        </w:rPr>
        <w:t xml:space="preserve"> </w:t>
      </w:r>
      <w:r w:rsidRPr="00E65AD0">
        <w:rPr>
          <w:rFonts w:ascii="Book Antiqua" w:hAnsi="Book Antiqua"/>
          <w:lang w:val="en-GB"/>
        </w:rPr>
        <w:t xml:space="preserve">with an accuracy (resulting from a multicentre study) of 73%, 87% and 92%, for </w:t>
      </w:r>
      <w:r w:rsidR="002D1A0E" w:rsidRPr="00E65AD0">
        <w:rPr>
          <w:rFonts w:ascii="Book Antiqua" w:hAnsi="Book Antiqua"/>
          <w:i/>
          <w:lang w:val="en-GB"/>
        </w:rPr>
        <w:t xml:space="preserve">H. </w:t>
      </w:r>
      <w:r w:rsidR="0079038B" w:rsidRPr="00E65AD0">
        <w:rPr>
          <w:rFonts w:ascii="Book Antiqua" w:hAnsi="Book Antiqua"/>
          <w:i/>
          <w:lang w:val="en-GB"/>
        </w:rPr>
        <w:t>pylori</w:t>
      </w:r>
      <w:r w:rsidRPr="00E65AD0">
        <w:rPr>
          <w:rFonts w:ascii="Book Antiqua" w:hAnsi="Book Antiqua"/>
          <w:lang w:val="en-GB"/>
        </w:rPr>
        <w:t>-infection, IM and dysplasia diagnosis, respectively</w:t>
      </w:r>
      <w:r w:rsidRPr="00E65AD0">
        <w:rPr>
          <w:rFonts w:ascii="Book Antiqua" w:hAnsi="Book Antiqua"/>
          <w:vertAlign w:val="superscript"/>
          <w:lang w:val="en-GB"/>
        </w:rPr>
        <w:t>[37]</w:t>
      </w:r>
      <w:r w:rsidRPr="00E65AD0">
        <w:rPr>
          <w:rFonts w:ascii="Book Antiqua" w:hAnsi="Book Antiqua"/>
          <w:lang w:val="en-GB"/>
        </w:rPr>
        <w:t>.</w:t>
      </w:r>
    </w:p>
    <w:p w14:paraId="6C60E75C"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For patients with an indefinite diagnosis for dysplasia, or with dysplasia resulting from random biopsies without endoscopic evidence of visible lesions, the current guidelines suggest an “immediate” endoscopic reassessment with </w:t>
      </w:r>
      <w:r w:rsidR="0079038B" w:rsidRPr="00E65AD0">
        <w:rPr>
          <w:rFonts w:ascii="Book Antiqua" w:hAnsi="Book Antiqua"/>
          <w:lang w:val="en-GB"/>
        </w:rPr>
        <w:t>high-resolution endoscopy</w:t>
      </w:r>
      <w:r w:rsidRPr="00E65AD0">
        <w:rPr>
          <w:rFonts w:ascii="Book Antiqua" w:hAnsi="Book Antiqua"/>
          <w:lang w:val="en-GB"/>
        </w:rPr>
        <w:t xml:space="preserve"> with NBI to exclude LGD or HGD on missed visible </w:t>
      </w:r>
      <w:proofErr w:type="gramStart"/>
      <w:r w:rsidRPr="00E65AD0">
        <w:rPr>
          <w:rFonts w:ascii="Book Antiqua" w:hAnsi="Book Antiqua"/>
          <w:lang w:val="en-GB"/>
        </w:rPr>
        <w:t>lesions</w:t>
      </w:r>
      <w:r w:rsidRPr="00E65AD0">
        <w:rPr>
          <w:rFonts w:ascii="Book Antiqua" w:hAnsi="Book Antiqua"/>
          <w:vertAlign w:val="superscript"/>
          <w:lang w:val="en-GB"/>
        </w:rPr>
        <w:t>[</w:t>
      </w:r>
      <w:proofErr w:type="gramEnd"/>
      <w:r w:rsidRPr="00E65AD0">
        <w:rPr>
          <w:rFonts w:ascii="Book Antiqua" w:hAnsi="Book Antiqua"/>
          <w:vertAlign w:val="superscript"/>
          <w:lang w:val="en-GB"/>
        </w:rPr>
        <w:t>7]</w:t>
      </w:r>
      <w:r w:rsidR="00CB0693" w:rsidRPr="00E65AD0">
        <w:rPr>
          <w:rFonts w:ascii="Book Antiqua" w:hAnsi="Book Antiqua"/>
          <w:lang w:val="en-GB"/>
        </w:rPr>
        <w:t xml:space="preserve">. </w:t>
      </w:r>
      <w:r w:rsidRPr="00E65AD0">
        <w:rPr>
          <w:rFonts w:ascii="Book Antiqua" w:hAnsi="Book Antiqua"/>
          <w:lang w:val="en-GB"/>
        </w:rPr>
        <w:t>This procedure revises what was indicated in previous guidelines</w:t>
      </w:r>
      <w:r w:rsidRPr="00E65AD0">
        <w:rPr>
          <w:rFonts w:ascii="Book Antiqua" w:hAnsi="Book Antiqua"/>
          <w:vertAlign w:val="superscript"/>
          <w:lang w:val="en-GB"/>
        </w:rPr>
        <w:t>[28]</w:t>
      </w:r>
      <w:r w:rsidRPr="00E65AD0">
        <w:rPr>
          <w:rFonts w:ascii="Book Antiqua" w:hAnsi="Book Antiqua"/>
          <w:lang w:val="en-GB"/>
        </w:rPr>
        <w:t>, which advised, in such an event, a delayed endoscopic follow-up within one year after the diagnosis</w:t>
      </w:r>
      <w:r w:rsidRPr="00E65AD0">
        <w:rPr>
          <w:rFonts w:ascii="Book Antiqua" w:hAnsi="Book Antiqua"/>
          <w:vertAlign w:val="superscript"/>
          <w:lang w:val="en-GB"/>
        </w:rPr>
        <w:t>[7,28]</w:t>
      </w:r>
      <w:r w:rsidRPr="00E65AD0">
        <w:rPr>
          <w:rFonts w:ascii="Book Antiqua" w:hAnsi="Book Antiqua"/>
          <w:lang w:val="en-GB"/>
        </w:rPr>
        <w:t>.</w:t>
      </w:r>
    </w:p>
    <w:p w14:paraId="5C98A4F6"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On these premises, supposing that dysplastic lesions might be missed on the background of an active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related gastritis, we focused on the assessment of the combined diagnostic performance of </w:t>
      </w:r>
      <w:r w:rsidR="0079038B" w:rsidRPr="00E65AD0">
        <w:rPr>
          <w:rFonts w:ascii="Book Antiqua" w:hAnsi="Book Antiqua"/>
          <w:lang w:val="en-GB"/>
        </w:rPr>
        <w:t>high-resolution white-light endoscopy</w:t>
      </w:r>
      <w:r w:rsidR="002D1A0E" w:rsidRPr="00E65AD0">
        <w:rPr>
          <w:rFonts w:ascii="Book Antiqua" w:hAnsi="Book Antiqua"/>
          <w:lang w:val="en-GB"/>
        </w:rPr>
        <w:t xml:space="preserve"> </w:t>
      </w:r>
      <w:r w:rsidR="002D1A0E" w:rsidRPr="00E65AD0">
        <w:rPr>
          <w:rFonts w:ascii="Book Antiqua" w:eastAsia="宋体" w:hAnsi="Book Antiqua"/>
          <w:lang w:val="en-GB" w:eastAsia="zh-CN"/>
        </w:rPr>
        <w:t>(</w:t>
      </w:r>
      <w:r w:rsidRPr="00E65AD0">
        <w:rPr>
          <w:rFonts w:ascii="Book Antiqua" w:hAnsi="Book Antiqua"/>
          <w:lang w:val="en-GB"/>
        </w:rPr>
        <w:t>HR-WLE</w:t>
      </w:r>
      <w:r w:rsidR="002D1A0E" w:rsidRPr="00E65AD0">
        <w:rPr>
          <w:rFonts w:ascii="Book Antiqua" w:eastAsia="宋体" w:hAnsi="Book Antiqua"/>
          <w:lang w:val="en-GB" w:eastAsia="zh-CN"/>
        </w:rPr>
        <w:t>)</w:t>
      </w:r>
      <w:r w:rsidRPr="00E65AD0">
        <w:rPr>
          <w:rFonts w:ascii="Book Antiqua" w:hAnsi="Book Antiqua"/>
          <w:lang w:val="en-GB"/>
        </w:rPr>
        <w:t xml:space="preserve"> with NBI in detecting PGC, before and 6 </w:t>
      </w:r>
      <w:proofErr w:type="spellStart"/>
      <w:r w:rsidRPr="00E65AD0">
        <w:rPr>
          <w:rFonts w:ascii="Book Antiqua" w:hAnsi="Book Antiqua"/>
          <w:lang w:val="en-GB"/>
        </w:rPr>
        <w:t>mo</w:t>
      </w:r>
      <w:proofErr w:type="spellEnd"/>
      <w:r w:rsidRPr="00E65AD0">
        <w:rPr>
          <w:rFonts w:ascii="Book Antiqua" w:hAnsi="Book Antiqua"/>
          <w:lang w:val="en-GB"/>
        </w:rPr>
        <w:t xml:space="preserve"> after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eradication (primary end-point). As a secondary aim we considered </w:t>
      </w:r>
      <w:r w:rsidRPr="00E65AD0">
        <w:rPr>
          <w:rFonts w:ascii="Book Antiqua" w:hAnsi="Book Antiqua"/>
          <w:lang w:val="en-GB"/>
        </w:rPr>
        <w:lastRenderedPageBreak/>
        <w:t>some clinical factors, autoimmune laboratory markers, and histopathological features as potential co-factors for the development of dysplastic lesions.</w:t>
      </w:r>
    </w:p>
    <w:p w14:paraId="66FD6AF9" w14:textId="77777777" w:rsidR="009D0DBE" w:rsidRPr="00E65AD0" w:rsidRDefault="009D0DBE" w:rsidP="00E65AD0">
      <w:pPr>
        <w:snapToGrid w:val="0"/>
        <w:spacing w:after="0" w:line="360" w:lineRule="auto"/>
        <w:rPr>
          <w:rFonts w:ascii="Book Antiqua" w:hAnsi="Book Antiqua"/>
          <w:lang w:val="en-GB"/>
        </w:rPr>
      </w:pPr>
    </w:p>
    <w:p w14:paraId="22FDCB18" w14:textId="77777777" w:rsidR="0079038B" w:rsidRPr="00E65AD0" w:rsidRDefault="0079038B" w:rsidP="00E65AD0">
      <w:pPr>
        <w:adjustRightInd w:val="0"/>
        <w:snapToGrid w:val="0"/>
        <w:spacing w:after="0" w:line="360" w:lineRule="auto"/>
        <w:rPr>
          <w:rFonts w:ascii="Book Antiqua" w:hAnsi="Book Antiqua"/>
          <w:b/>
          <w:bCs/>
          <w:color w:val="000000"/>
          <w:u w:val="single"/>
        </w:rPr>
      </w:pPr>
      <w:r w:rsidRPr="00E65AD0">
        <w:rPr>
          <w:rFonts w:ascii="Book Antiqua" w:hAnsi="Book Antiqua"/>
          <w:b/>
          <w:bCs/>
          <w:color w:val="000000"/>
          <w:u w:val="single"/>
        </w:rPr>
        <w:t>MATERIALS AND METHODS</w:t>
      </w:r>
    </w:p>
    <w:p w14:paraId="7D651C20" w14:textId="77777777" w:rsidR="0079038B" w:rsidRPr="00E65AD0" w:rsidRDefault="00921B00" w:rsidP="00E65AD0">
      <w:pPr>
        <w:snapToGrid w:val="0"/>
        <w:spacing w:after="0" w:line="360" w:lineRule="auto"/>
        <w:rPr>
          <w:rFonts w:ascii="Book Antiqua" w:eastAsia="宋体" w:hAnsi="Book Antiqua"/>
          <w:b/>
          <w:i/>
          <w:lang w:val="en-GB" w:eastAsia="zh-CN"/>
        </w:rPr>
      </w:pPr>
      <w:r w:rsidRPr="00E65AD0">
        <w:rPr>
          <w:rFonts w:ascii="Book Antiqua" w:hAnsi="Book Antiqua"/>
          <w:b/>
          <w:i/>
          <w:lang w:val="en-GB"/>
        </w:rPr>
        <w:t xml:space="preserve">Study design, patient selection and endoscopic follow-up </w:t>
      </w:r>
    </w:p>
    <w:p w14:paraId="2AF4F19C"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lang w:val="en-GB"/>
        </w:rPr>
        <w:t xml:space="preserve">This is an observational, prospective study performed at the tertiary care </w:t>
      </w:r>
      <w:proofErr w:type="spellStart"/>
      <w:r w:rsidRPr="00E65AD0">
        <w:rPr>
          <w:rFonts w:ascii="Book Antiqua" w:hAnsi="Book Antiqua"/>
          <w:lang w:val="en-GB"/>
        </w:rPr>
        <w:t>center</w:t>
      </w:r>
      <w:proofErr w:type="spellEnd"/>
      <w:r w:rsidRPr="00E65AD0">
        <w:rPr>
          <w:rFonts w:ascii="Book Antiqua" w:hAnsi="Book Antiqua"/>
          <w:lang w:val="en-GB"/>
        </w:rPr>
        <w:t xml:space="preserve"> of the National I</w:t>
      </w:r>
      <w:r w:rsidR="0079038B" w:rsidRPr="00E65AD0">
        <w:rPr>
          <w:rFonts w:ascii="Book Antiqua" w:hAnsi="Book Antiqua"/>
          <w:lang w:val="en-GB"/>
        </w:rPr>
        <w:t>nstitute of Gastroenterology “S</w:t>
      </w:r>
      <w:r w:rsidRPr="00E65AD0">
        <w:rPr>
          <w:rFonts w:ascii="Book Antiqua" w:hAnsi="Book Antiqua"/>
          <w:lang w:val="en-GB"/>
        </w:rPr>
        <w:t xml:space="preserve"> De </w:t>
      </w:r>
      <w:proofErr w:type="spellStart"/>
      <w:r w:rsidRPr="00E65AD0">
        <w:rPr>
          <w:rFonts w:ascii="Book Antiqua" w:hAnsi="Book Antiqua"/>
          <w:lang w:val="en-GB"/>
        </w:rPr>
        <w:t>Bellis</w:t>
      </w:r>
      <w:proofErr w:type="spellEnd"/>
      <w:r w:rsidRPr="00E65AD0">
        <w:rPr>
          <w:rFonts w:ascii="Book Antiqua" w:hAnsi="Book Antiqua"/>
          <w:lang w:val="en-GB"/>
        </w:rPr>
        <w:t>” (</w:t>
      </w:r>
      <w:proofErr w:type="spellStart"/>
      <w:r w:rsidRPr="00E65AD0">
        <w:rPr>
          <w:rFonts w:ascii="Book Antiqua" w:hAnsi="Book Antiqua"/>
          <w:lang w:val="en-GB"/>
        </w:rPr>
        <w:t>Castellana</w:t>
      </w:r>
      <w:proofErr w:type="spellEnd"/>
      <w:r w:rsidRPr="00E65AD0">
        <w:rPr>
          <w:rFonts w:ascii="Book Antiqua" w:hAnsi="Book Antiqua"/>
          <w:lang w:val="en-GB"/>
        </w:rPr>
        <w:t xml:space="preserve"> </w:t>
      </w:r>
      <w:proofErr w:type="spellStart"/>
      <w:r w:rsidRPr="00E65AD0">
        <w:rPr>
          <w:rFonts w:ascii="Book Antiqua" w:hAnsi="Book Antiqua"/>
          <w:lang w:val="en-GB"/>
        </w:rPr>
        <w:t>Grotte</w:t>
      </w:r>
      <w:proofErr w:type="spellEnd"/>
      <w:r w:rsidRPr="00E65AD0">
        <w:rPr>
          <w:rFonts w:ascii="Book Antiqua" w:hAnsi="Book Antiqua"/>
          <w:lang w:val="en-GB"/>
        </w:rPr>
        <w:t xml:space="preserve">, Bari, Italy). Our research was carried out in compliance with the Declaration of Helsinki and with routine clinical practice (Clinical Trial Gov number NCT03917836). All the procedures received local ethics committee approval (Protocol 67/18/CT, 140/18/CE). All patients gave their written informed consent to take part in the study. </w:t>
      </w:r>
    </w:p>
    <w:p w14:paraId="11E5BC6D"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From June 2017 to April 2019, we enrolled 85 consecutive subjects, from a cohort study of 156 outpatients, who underwent high-resolution gastroscopies with/without NBI using the Olympus </w:t>
      </w:r>
      <w:proofErr w:type="spellStart"/>
      <w:r w:rsidRPr="00E65AD0">
        <w:rPr>
          <w:rFonts w:ascii="Book Antiqua" w:hAnsi="Book Antiqua"/>
          <w:lang w:val="en-GB"/>
        </w:rPr>
        <w:t>Evis</w:t>
      </w:r>
      <w:proofErr w:type="spellEnd"/>
      <w:r w:rsidRPr="00E65AD0">
        <w:rPr>
          <w:rFonts w:ascii="Book Antiqua" w:hAnsi="Book Antiqua"/>
          <w:lang w:val="en-GB"/>
        </w:rPr>
        <w:t xml:space="preserve"> </w:t>
      </w:r>
      <w:proofErr w:type="spellStart"/>
      <w:r w:rsidRPr="00E65AD0">
        <w:rPr>
          <w:rFonts w:ascii="Book Antiqua" w:hAnsi="Book Antiqua"/>
          <w:lang w:val="en-GB"/>
        </w:rPr>
        <w:t>Exera</w:t>
      </w:r>
      <w:proofErr w:type="spellEnd"/>
      <w:r w:rsidRPr="00E65AD0">
        <w:rPr>
          <w:rFonts w:ascii="Book Antiqua" w:hAnsi="Book Antiqua"/>
          <w:lang w:val="en-GB"/>
        </w:rPr>
        <w:t xml:space="preserve"> III processor® and Olympus GIF-HQ190® instruments (Olympus Tokyo, Japan</w:t>
      </w:r>
      <w:r w:rsidR="00CB0693" w:rsidRPr="00E65AD0">
        <w:rPr>
          <w:rFonts w:ascii="Book Antiqua" w:hAnsi="Book Antiqua"/>
          <w:lang w:val="en-GB"/>
        </w:rPr>
        <w:t xml:space="preserve">). </w:t>
      </w:r>
      <w:r w:rsidRPr="00E65AD0">
        <w:rPr>
          <w:rFonts w:ascii="Book Antiqua" w:hAnsi="Book Antiqua"/>
          <w:lang w:val="en-GB"/>
        </w:rPr>
        <w:t xml:space="preserve">Figure 1 shows the inclusion and exclusion of enrolment steps. </w:t>
      </w:r>
    </w:p>
    <w:p w14:paraId="357A5167"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For patients with suspected AAG, </w:t>
      </w:r>
      <w:r w:rsidR="0079038B" w:rsidRPr="00E65AD0">
        <w:rPr>
          <w:rFonts w:ascii="Book Antiqua" w:hAnsi="Book Antiqua"/>
          <w:lang w:val="en-GB"/>
        </w:rPr>
        <w:t>anti-parietal cell antibody</w:t>
      </w:r>
      <w:r w:rsidRPr="00E65AD0">
        <w:rPr>
          <w:rFonts w:ascii="Book Antiqua" w:hAnsi="Book Antiqua"/>
          <w:lang w:val="en-GB"/>
        </w:rPr>
        <w:t xml:space="preserve"> (APCA) and </w:t>
      </w:r>
      <w:r w:rsidR="002D1C57" w:rsidRPr="00E65AD0">
        <w:rPr>
          <w:rFonts w:ascii="Book Antiqua" w:hAnsi="Book Antiqua"/>
          <w:lang w:val="en-GB"/>
        </w:rPr>
        <w:t>anti-intrinsic factor</w:t>
      </w:r>
      <w:r w:rsidRPr="00E65AD0">
        <w:rPr>
          <w:rFonts w:ascii="Book Antiqua" w:hAnsi="Book Antiqua"/>
          <w:lang w:val="en-GB"/>
        </w:rPr>
        <w:t xml:space="preserve"> (AIF) were measured in serum using ind</w:t>
      </w:r>
      <w:r w:rsidR="0079038B" w:rsidRPr="00E65AD0">
        <w:rPr>
          <w:rFonts w:ascii="Book Antiqua" w:hAnsi="Book Antiqua"/>
          <w:lang w:val="en-GB"/>
        </w:rPr>
        <w:t>irect immunofluorescence method</w:t>
      </w:r>
      <w:r w:rsidR="0079038B" w:rsidRPr="00E65AD0">
        <w:rPr>
          <w:rFonts w:ascii="Book Antiqua" w:eastAsia="宋体" w:hAnsi="Book Antiqua"/>
          <w:lang w:val="en-GB" w:eastAsia="zh-CN"/>
        </w:rPr>
        <w:t xml:space="preserve"> </w:t>
      </w:r>
      <w:r w:rsidRPr="00E65AD0">
        <w:rPr>
          <w:rFonts w:ascii="Book Antiqua" w:hAnsi="Book Antiqua"/>
          <w:lang w:val="en-GB"/>
        </w:rPr>
        <w:t xml:space="preserve">and </w:t>
      </w:r>
      <w:proofErr w:type="spellStart"/>
      <w:r w:rsidRPr="00E65AD0">
        <w:rPr>
          <w:rFonts w:ascii="Book Antiqua" w:hAnsi="Book Antiqua"/>
          <w:lang w:val="en-GB"/>
        </w:rPr>
        <w:t>immunoenzimatic</w:t>
      </w:r>
      <w:proofErr w:type="spellEnd"/>
      <w:r w:rsidRPr="00E65AD0">
        <w:rPr>
          <w:rFonts w:ascii="Book Antiqua" w:hAnsi="Book Antiqua"/>
          <w:lang w:val="en-GB"/>
        </w:rPr>
        <w:t xml:space="preserve"> assay respectively. APCA antibo</w:t>
      </w:r>
      <w:r w:rsidR="0079038B" w:rsidRPr="00E65AD0">
        <w:rPr>
          <w:rFonts w:ascii="Book Antiqua" w:hAnsi="Book Antiqua"/>
          <w:lang w:val="en-GB"/>
        </w:rPr>
        <w:t>dies were detected by NOVA Lite</w:t>
      </w:r>
      <w:r w:rsidRPr="00E65AD0">
        <w:rPr>
          <w:rFonts w:ascii="Book Antiqua" w:hAnsi="Book Antiqua"/>
          <w:lang w:val="en-GB"/>
        </w:rPr>
        <w:t xml:space="preserve">® Stomach Kit (Inova Diagnostics, San Diego, </w:t>
      </w:r>
      <w:r w:rsidR="0079038B" w:rsidRPr="00E65AD0">
        <w:rPr>
          <w:rFonts w:ascii="Book Antiqua" w:eastAsia="宋体" w:hAnsi="Book Antiqua"/>
          <w:lang w:val="en-GB" w:eastAsia="zh-CN"/>
        </w:rPr>
        <w:t xml:space="preserve">CA, </w:t>
      </w:r>
      <w:r w:rsidRPr="00E65AD0">
        <w:rPr>
          <w:rFonts w:ascii="Book Antiqua" w:hAnsi="Book Antiqua"/>
          <w:lang w:val="en-GB"/>
        </w:rPr>
        <w:t xml:space="preserve">United States) and AIF antibodies were detected by an automated assay using a Beckman Coulter </w:t>
      </w:r>
      <w:proofErr w:type="spellStart"/>
      <w:r w:rsidRPr="00E65AD0">
        <w:rPr>
          <w:rFonts w:ascii="Book Antiqua" w:hAnsi="Book Antiqua"/>
          <w:lang w:val="en-GB"/>
        </w:rPr>
        <w:t>Unicel</w:t>
      </w:r>
      <w:proofErr w:type="spellEnd"/>
      <w:r w:rsidRPr="00E65AD0">
        <w:rPr>
          <w:rFonts w:ascii="Book Antiqua" w:hAnsi="Book Antiqua"/>
          <w:lang w:val="en-GB"/>
        </w:rPr>
        <w:t xml:space="preserve"> DXI 800 (Beckman Coulter Inc., Fullerton, CA</w:t>
      </w:r>
      <w:r w:rsidR="0079038B" w:rsidRPr="00E65AD0">
        <w:rPr>
          <w:rFonts w:ascii="Book Antiqua" w:eastAsia="宋体" w:hAnsi="Book Antiqua"/>
          <w:lang w:val="en-GB" w:eastAsia="zh-CN"/>
        </w:rPr>
        <w:t>,</w:t>
      </w:r>
      <w:r w:rsidR="0079038B" w:rsidRPr="00E65AD0">
        <w:rPr>
          <w:rFonts w:ascii="Book Antiqua" w:hAnsi="Book Antiqua"/>
          <w:lang w:val="en-GB"/>
        </w:rPr>
        <w:t xml:space="preserve"> United States</w:t>
      </w:r>
      <w:r w:rsidRPr="00E65AD0">
        <w:rPr>
          <w:rFonts w:ascii="Book Antiqua" w:hAnsi="Book Antiqua"/>
          <w:lang w:val="en-GB"/>
        </w:rPr>
        <w:t xml:space="preserve">). </w:t>
      </w:r>
    </w:p>
    <w:p w14:paraId="3091B1EA"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The endoscopic procedures were performed by two expert endoscopists (more than 200 HRE-NBI per year), one of whom (AP) was present during all procedures as either operator or supervisor. The statistical review of this study was executed by an experienced biomedical statistician. Based on previously published </w:t>
      </w:r>
      <w:proofErr w:type="gramStart"/>
      <w:r w:rsidRPr="00E65AD0">
        <w:rPr>
          <w:rFonts w:ascii="Book Antiqua" w:hAnsi="Book Antiqua"/>
          <w:lang w:val="en-GB"/>
        </w:rPr>
        <w:t>data</w:t>
      </w:r>
      <w:r w:rsidRPr="00E65AD0">
        <w:rPr>
          <w:rFonts w:ascii="Book Antiqua" w:hAnsi="Book Antiqua"/>
          <w:vertAlign w:val="superscript"/>
          <w:lang w:val="en-GB"/>
        </w:rPr>
        <w:t>[</w:t>
      </w:r>
      <w:proofErr w:type="gramEnd"/>
      <w:r w:rsidRPr="00E65AD0">
        <w:rPr>
          <w:rFonts w:ascii="Book Antiqua" w:hAnsi="Book Antiqua"/>
          <w:vertAlign w:val="superscript"/>
          <w:lang w:val="en-GB"/>
        </w:rPr>
        <w:t>38]</w:t>
      </w:r>
      <w:r w:rsidRPr="00E65AD0">
        <w:rPr>
          <w:rFonts w:ascii="Book Antiqua" w:hAnsi="Book Antiqua"/>
          <w:lang w:val="en-GB"/>
        </w:rPr>
        <w:t xml:space="preserve">, we calculated the sample size for the analysis of the primary outcome using the function ss2x2 implemented in the package exact2x2. We examined that 48 patients (24 controls and 24 treated) would </w:t>
      </w:r>
      <w:r w:rsidRPr="00E65AD0">
        <w:rPr>
          <w:rFonts w:ascii="Book Antiqua" w:hAnsi="Book Antiqua"/>
          <w:lang w:val="en-GB"/>
        </w:rPr>
        <w:lastRenderedPageBreak/>
        <w:t>yield a power of 0.82 at a significance level of 0.05. Therefore, we aimed at enrolling at least 48 patients. The study was completed when the 85 enrolled subjects had been endoscopically reassessed with HR-WLE and NBI, and with gastric biopsy samples according to the Sydney System</w:t>
      </w:r>
      <w:r w:rsidRPr="00E65AD0">
        <w:rPr>
          <w:rFonts w:ascii="Book Antiqua" w:hAnsi="Book Antiqua"/>
          <w:vertAlign w:val="superscript"/>
          <w:lang w:val="en-GB"/>
        </w:rPr>
        <w:t>[28]</w:t>
      </w:r>
      <w:r w:rsidRPr="00E65AD0">
        <w:rPr>
          <w:rFonts w:ascii="Book Antiqua" w:hAnsi="Book Antiqua"/>
          <w:lang w:val="en-GB"/>
        </w:rPr>
        <w:t xml:space="preserve">, 6 </w:t>
      </w:r>
      <w:proofErr w:type="spellStart"/>
      <w:r w:rsidRPr="00E65AD0">
        <w:rPr>
          <w:rFonts w:ascii="Book Antiqua" w:hAnsi="Book Antiqua"/>
          <w:lang w:val="en-GB"/>
        </w:rPr>
        <w:t>mo</w:t>
      </w:r>
      <w:proofErr w:type="spellEnd"/>
      <w:r w:rsidRPr="00E65AD0">
        <w:rPr>
          <w:rFonts w:ascii="Book Antiqua" w:hAnsi="Book Antiqua"/>
          <w:lang w:val="en-GB"/>
        </w:rPr>
        <w:t xml:space="preserve"> after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eradication confirmed by </w:t>
      </w:r>
      <w:r w:rsidRPr="0073187A">
        <w:rPr>
          <w:rFonts w:ascii="Book Antiqua" w:hAnsi="Book Antiqua"/>
          <w:vertAlign w:val="superscript"/>
          <w:lang w:val="en-GB"/>
        </w:rPr>
        <w:t>13</w:t>
      </w:r>
      <w:r w:rsidRPr="00E65AD0">
        <w:rPr>
          <w:rFonts w:ascii="Book Antiqua" w:hAnsi="Book Antiqua"/>
          <w:lang w:val="en-GB"/>
        </w:rPr>
        <w:t>C-</w:t>
      </w:r>
      <w:r w:rsidR="0079038B" w:rsidRPr="00E65AD0">
        <w:rPr>
          <w:rFonts w:ascii="Book Antiqua" w:hAnsi="Book Antiqua"/>
          <w:lang w:val="en-GB"/>
        </w:rPr>
        <w:t>urea breath</w:t>
      </w:r>
      <w:r w:rsidRPr="00E65AD0">
        <w:rPr>
          <w:rFonts w:ascii="Book Antiqua" w:hAnsi="Book Antiqua"/>
          <w:lang w:val="en-GB"/>
        </w:rPr>
        <w:t>-</w:t>
      </w:r>
      <w:r w:rsidR="0079038B" w:rsidRPr="00E65AD0">
        <w:rPr>
          <w:rFonts w:ascii="Book Antiqua" w:hAnsi="Book Antiqua"/>
          <w:lang w:val="en-GB"/>
        </w:rPr>
        <w:t xml:space="preserve">test </w:t>
      </w:r>
      <w:r w:rsidRPr="00E65AD0">
        <w:rPr>
          <w:rFonts w:ascii="Book Antiqua" w:hAnsi="Book Antiqua"/>
          <w:lang w:val="en-GB"/>
        </w:rPr>
        <w:t>(</w:t>
      </w:r>
      <w:r w:rsidRPr="0073187A">
        <w:rPr>
          <w:rFonts w:ascii="Book Antiqua" w:hAnsi="Book Antiqua"/>
          <w:vertAlign w:val="superscript"/>
          <w:lang w:val="en-GB"/>
        </w:rPr>
        <w:t>13</w:t>
      </w:r>
      <w:r w:rsidRPr="00E65AD0">
        <w:rPr>
          <w:rFonts w:ascii="Book Antiqua" w:hAnsi="Book Antiqua"/>
          <w:lang w:val="en-GB"/>
        </w:rPr>
        <w:t xml:space="preserve">C-UBT), in order to identify the diagnostic yield of HR-WLE with NBI in detecting PGC, during this short surveillance time. </w:t>
      </w:r>
    </w:p>
    <w:p w14:paraId="60631B26" w14:textId="77777777" w:rsidR="009D0DBE" w:rsidRPr="00E65AD0" w:rsidRDefault="00921B00" w:rsidP="00E65AD0">
      <w:pPr>
        <w:snapToGrid w:val="0"/>
        <w:spacing w:after="0" w:line="360" w:lineRule="auto"/>
        <w:ind w:firstLineChars="100" w:firstLine="240"/>
        <w:rPr>
          <w:rFonts w:ascii="Book Antiqua" w:eastAsia="宋体" w:hAnsi="Book Antiqua"/>
          <w:lang w:val="en-GB" w:eastAsia="zh-CN"/>
        </w:rPr>
      </w:pPr>
      <w:r w:rsidRPr="0073187A">
        <w:rPr>
          <w:rFonts w:ascii="Book Antiqua" w:hAnsi="Book Antiqua"/>
          <w:vertAlign w:val="superscript"/>
          <w:lang w:val="en-GB"/>
        </w:rPr>
        <w:t>13</w:t>
      </w:r>
      <w:r w:rsidRPr="00E65AD0">
        <w:rPr>
          <w:rFonts w:ascii="Book Antiqua" w:hAnsi="Book Antiqua"/>
          <w:lang w:val="en-GB"/>
        </w:rPr>
        <w:t xml:space="preserve">C urea breath test was performed under the following conditions: an 8-h fast, mouth washing before dosing, administration of 75 mg </w:t>
      </w:r>
      <w:r w:rsidRPr="00754EC2">
        <w:rPr>
          <w:rFonts w:ascii="Book Antiqua" w:hAnsi="Book Antiqua"/>
          <w:vertAlign w:val="superscript"/>
          <w:lang w:val="en-GB"/>
        </w:rPr>
        <w:t>13</w:t>
      </w:r>
      <w:r w:rsidRPr="00E65AD0">
        <w:rPr>
          <w:rFonts w:ascii="Book Antiqua" w:hAnsi="Book Antiqua"/>
          <w:lang w:val="en-GB"/>
        </w:rPr>
        <w:t>C urea in a water solution, collection of breath samples in two 10-m</w:t>
      </w:r>
      <w:r w:rsidR="0079038B" w:rsidRPr="00E65AD0">
        <w:rPr>
          <w:rFonts w:ascii="Book Antiqua" w:eastAsia="宋体" w:hAnsi="Book Antiqua"/>
          <w:lang w:val="en-GB" w:eastAsia="zh-CN"/>
        </w:rPr>
        <w:t>L</w:t>
      </w:r>
      <w:r w:rsidRPr="00E65AD0">
        <w:rPr>
          <w:rFonts w:ascii="Book Antiqua" w:hAnsi="Book Antiqua"/>
          <w:lang w:val="en-GB"/>
        </w:rPr>
        <w:t xml:space="preserve"> glass-sample containers, (at baseline and 20 min) and subjects in a sitting position. The breath samples were </w:t>
      </w:r>
      <w:proofErr w:type="spellStart"/>
      <w:r w:rsidRPr="00E65AD0">
        <w:rPr>
          <w:rFonts w:ascii="Book Antiqua" w:hAnsi="Book Antiqua"/>
          <w:lang w:val="en-GB"/>
        </w:rPr>
        <w:t>analyzed</w:t>
      </w:r>
      <w:proofErr w:type="spellEnd"/>
      <w:r w:rsidRPr="00E65AD0">
        <w:rPr>
          <w:rFonts w:ascii="Book Antiqua" w:hAnsi="Book Antiqua"/>
          <w:lang w:val="en-GB"/>
        </w:rPr>
        <w:t xml:space="preserve"> by gas-chromatography-mass spectrometry (GC-MS; ABCA </w:t>
      </w:r>
      <w:proofErr w:type="spellStart"/>
      <w:r w:rsidRPr="00E65AD0">
        <w:rPr>
          <w:rFonts w:ascii="Book Antiqua" w:hAnsi="Book Antiqua"/>
          <w:lang w:val="en-GB"/>
        </w:rPr>
        <w:t>Sercon</w:t>
      </w:r>
      <w:proofErr w:type="spellEnd"/>
      <w:r w:rsidRPr="00E65AD0">
        <w:rPr>
          <w:rFonts w:ascii="Book Antiqua" w:hAnsi="Book Antiqua"/>
          <w:lang w:val="en-GB"/>
        </w:rPr>
        <w:t xml:space="preserve"> Gateway, U</w:t>
      </w:r>
      <w:r w:rsidR="0079038B" w:rsidRPr="00E65AD0">
        <w:rPr>
          <w:rFonts w:ascii="Book Antiqua" w:eastAsia="宋体" w:hAnsi="Book Antiqua"/>
          <w:lang w:val="en-GB" w:eastAsia="zh-CN"/>
        </w:rPr>
        <w:t xml:space="preserve">nited </w:t>
      </w:r>
      <w:r w:rsidRPr="00E65AD0">
        <w:rPr>
          <w:rFonts w:ascii="Book Antiqua" w:hAnsi="Book Antiqua"/>
          <w:lang w:val="en-GB"/>
        </w:rPr>
        <w:t>K</w:t>
      </w:r>
      <w:r w:rsidR="0079038B" w:rsidRPr="00E65AD0">
        <w:rPr>
          <w:rFonts w:ascii="Book Antiqua" w:eastAsia="宋体" w:hAnsi="Book Antiqua"/>
          <w:lang w:val="en-GB" w:eastAsia="zh-CN"/>
        </w:rPr>
        <w:t>ingdom</w:t>
      </w:r>
      <w:r w:rsidRPr="00E65AD0">
        <w:rPr>
          <w:rFonts w:ascii="Book Antiqua" w:hAnsi="Book Antiqua"/>
          <w:lang w:val="en-GB"/>
        </w:rPr>
        <w:t xml:space="preserve">).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infection was considered present if the difference in </w:t>
      </w:r>
      <w:r w:rsidRPr="003C2CC7">
        <w:rPr>
          <w:rFonts w:ascii="Book Antiqua" w:hAnsi="Book Antiqua"/>
          <w:vertAlign w:val="superscript"/>
          <w:lang w:val="en-GB"/>
        </w:rPr>
        <w:t>13</w:t>
      </w:r>
      <w:r w:rsidRPr="00E65AD0">
        <w:rPr>
          <w:rFonts w:ascii="Book Antiqua" w:hAnsi="Book Antiqua"/>
          <w:lang w:val="en-GB"/>
        </w:rPr>
        <w:t>C/</w:t>
      </w:r>
      <w:r w:rsidRPr="003C2CC7">
        <w:rPr>
          <w:rFonts w:ascii="Book Antiqua" w:hAnsi="Book Antiqua"/>
          <w:vertAlign w:val="superscript"/>
          <w:lang w:val="en-GB"/>
        </w:rPr>
        <w:t>12</w:t>
      </w:r>
      <w:r w:rsidRPr="00E65AD0">
        <w:rPr>
          <w:rFonts w:ascii="Book Antiqua" w:hAnsi="Book Antiqua"/>
          <w:lang w:val="en-GB"/>
        </w:rPr>
        <w:t>C between baseline value and 20-min</w:t>
      </w:r>
      <w:r w:rsidR="0079038B" w:rsidRPr="00E65AD0">
        <w:rPr>
          <w:rFonts w:ascii="Book Antiqua" w:hAnsi="Book Antiqua"/>
          <w:lang w:val="en-GB"/>
        </w:rPr>
        <w:t xml:space="preserve"> value exceeded 40/00. </w:t>
      </w:r>
    </w:p>
    <w:p w14:paraId="55156309"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Inclusion criteria were as follows: patients ≥</w:t>
      </w:r>
      <w:r w:rsidR="0079038B" w:rsidRPr="00E65AD0">
        <w:rPr>
          <w:rFonts w:ascii="Book Antiqua" w:eastAsia="宋体" w:hAnsi="Book Antiqua"/>
          <w:lang w:val="en-GB" w:eastAsia="zh-CN"/>
        </w:rPr>
        <w:t xml:space="preserve"> </w:t>
      </w:r>
      <w:r w:rsidRPr="00E65AD0">
        <w:rPr>
          <w:rFonts w:ascii="Book Antiqua" w:hAnsi="Book Antiqua"/>
          <w:lang w:val="en-GB"/>
        </w:rPr>
        <w:t xml:space="preserve">18 years undergoing upper gastrointestinal endoscopy for </w:t>
      </w:r>
      <w:r w:rsidR="002D1A0E" w:rsidRPr="00E65AD0">
        <w:rPr>
          <w:rFonts w:ascii="Book Antiqua" w:hAnsi="Book Antiqua"/>
          <w:i/>
          <w:lang w:val="en-GB"/>
        </w:rPr>
        <w:t xml:space="preserve">H. </w:t>
      </w:r>
      <w:r w:rsidR="0079038B" w:rsidRPr="00E65AD0">
        <w:rPr>
          <w:rFonts w:ascii="Book Antiqua" w:hAnsi="Book Antiqua"/>
          <w:i/>
          <w:lang w:val="en-GB"/>
        </w:rPr>
        <w:t>pylori</w:t>
      </w:r>
      <w:r w:rsidRPr="00E65AD0">
        <w:rPr>
          <w:rFonts w:ascii="Book Antiqua" w:hAnsi="Book Antiqua"/>
          <w:lang w:val="en-GB"/>
        </w:rPr>
        <w:t>-related chronic symptoms (</w:t>
      </w:r>
      <w:r w:rsidRPr="00E65AD0">
        <w:rPr>
          <w:rFonts w:ascii="Book Antiqua" w:hAnsi="Book Antiqua"/>
          <w:i/>
          <w:lang w:val="en-GB"/>
        </w:rPr>
        <w:t>i.e.</w:t>
      </w:r>
      <w:r w:rsidRPr="00E65AD0">
        <w:rPr>
          <w:rFonts w:ascii="Book Antiqua" w:hAnsi="Book Antiqua"/>
          <w:lang w:val="en-GB"/>
        </w:rPr>
        <w:t xml:space="preserve"> recurrent abdominal pain, dyspepsia, or unexplained </w:t>
      </w:r>
      <w:proofErr w:type="spellStart"/>
      <w:r w:rsidRPr="00E65AD0">
        <w:rPr>
          <w:rFonts w:ascii="Book Antiqua" w:hAnsi="Book Antiqua"/>
          <w:lang w:val="en-GB"/>
        </w:rPr>
        <w:t>anemia</w:t>
      </w:r>
      <w:proofErr w:type="spellEnd"/>
      <w:r w:rsidRPr="00E65AD0">
        <w:rPr>
          <w:rFonts w:ascii="Book Antiqua" w:hAnsi="Book Antiqua"/>
          <w:lang w:val="en-GB"/>
        </w:rPr>
        <w:t xml:space="preserve">), with positivity to </w:t>
      </w:r>
      <w:r w:rsidRPr="0073187A">
        <w:rPr>
          <w:rFonts w:ascii="Book Antiqua" w:hAnsi="Book Antiqua"/>
          <w:vertAlign w:val="superscript"/>
          <w:lang w:val="en-GB"/>
        </w:rPr>
        <w:t>13</w:t>
      </w:r>
      <w:r w:rsidRPr="00E65AD0">
        <w:rPr>
          <w:rFonts w:ascii="Book Antiqua" w:hAnsi="Book Antiqua"/>
          <w:lang w:val="en-GB"/>
        </w:rPr>
        <w:t xml:space="preserve">C-UBT and with a histological diagnosis of </w:t>
      </w:r>
      <w:r w:rsidR="002D1A0E" w:rsidRPr="00E65AD0">
        <w:rPr>
          <w:rFonts w:ascii="Book Antiqua" w:hAnsi="Book Antiqua"/>
          <w:i/>
          <w:lang w:val="en-GB"/>
        </w:rPr>
        <w:t xml:space="preserve">H. </w:t>
      </w:r>
      <w:r w:rsidR="0079038B" w:rsidRPr="00E65AD0">
        <w:rPr>
          <w:rFonts w:ascii="Book Antiqua" w:hAnsi="Book Antiqua"/>
          <w:i/>
          <w:lang w:val="en-GB"/>
        </w:rPr>
        <w:t>pylori</w:t>
      </w:r>
      <w:r w:rsidRPr="00E65AD0">
        <w:rPr>
          <w:rFonts w:ascii="Book Antiqua" w:hAnsi="Book Antiqua"/>
          <w:lang w:val="en-GB"/>
        </w:rPr>
        <w:t xml:space="preserve">-related gastritis with/without PGC. </w:t>
      </w:r>
    </w:p>
    <w:p w14:paraId="30852F21"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Exclusion criteria were as follows: </w:t>
      </w:r>
      <w:r w:rsidR="0079038B" w:rsidRPr="00E65AD0">
        <w:rPr>
          <w:rFonts w:ascii="Book Antiqua" w:hAnsi="Book Antiqua"/>
          <w:lang w:val="en-GB"/>
        </w:rPr>
        <w:t xml:space="preserve">Past </w:t>
      </w:r>
      <w:r w:rsidRPr="00E65AD0">
        <w:rPr>
          <w:rFonts w:ascii="Book Antiqua" w:hAnsi="Book Antiqua"/>
          <w:lang w:val="en-GB"/>
        </w:rPr>
        <w:t xml:space="preserve">GC or gastric related surgery, impossibility to perform at least five biopsies during endoscopy, relevant comorbidities (cardiac, respiratory, chronic renal insufficiency, chronic liver disease, and psychiatric conditions), anticoagulant therapy/coagulation disorders, non-steroidal anti-inflammatory drugs and/or long-term proton pump inhibitors users, and active smoking habit. Autoimmune co-morbidities were not considered as exclusion criteria. </w:t>
      </w:r>
    </w:p>
    <w:p w14:paraId="006DDD2F"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A history of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infection was investigated on the basis of medical records or a face-to-face clinical examination. During each procedure the qualified endoscopists performed the biopsies according to the study protocol to ascertain or confirm </w:t>
      </w:r>
      <w:r w:rsidR="002D1A0E" w:rsidRPr="00E65AD0">
        <w:rPr>
          <w:rFonts w:ascii="Book Antiqua" w:hAnsi="Book Antiqua"/>
          <w:i/>
          <w:lang w:val="en-GB"/>
        </w:rPr>
        <w:t xml:space="preserve">H. </w:t>
      </w:r>
      <w:r w:rsidR="0079038B" w:rsidRPr="00E65AD0">
        <w:rPr>
          <w:rFonts w:ascii="Book Antiqua" w:hAnsi="Book Antiqua"/>
          <w:i/>
          <w:lang w:val="en-GB"/>
        </w:rPr>
        <w:t>pylori</w:t>
      </w:r>
      <w:r w:rsidR="0079038B" w:rsidRPr="00E65AD0">
        <w:rPr>
          <w:rFonts w:ascii="Book Antiqua" w:hAnsi="Book Antiqua"/>
          <w:lang w:val="en-GB"/>
        </w:rPr>
        <w:t xml:space="preserve"> </w:t>
      </w:r>
      <w:r w:rsidRPr="00E65AD0">
        <w:rPr>
          <w:rFonts w:ascii="Book Antiqua" w:hAnsi="Book Antiqua"/>
          <w:lang w:val="en-GB"/>
        </w:rPr>
        <w:t xml:space="preserve">presence and its related histological </w:t>
      </w:r>
      <w:r w:rsidRPr="00E65AD0">
        <w:rPr>
          <w:rFonts w:ascii="Book Antiqua" w:hAnsi="Book Antiqua"/>
          <w:lang w:val="en-GB"/>
        </w:rPr>
        <w:lastRenderedPageBreak/>
        <w:t xml:space="preserve">alterations. All visible gastric lesions were initially evaluated by HR-WLE with NBI. In detail, we performed at least five random biopsies using HR-WLE with NBI, followed by targeted biopsies on endoscopically evident lesions, suggestive of IM or </w:t>
      </w:r>
      <w:proofErr w:type="gramStart"/>
      <w:r w:rsidRPr="00E65AD0">
        <w:rPr>
          <w:rFonts w:ascii="Book Antiqua" w:hAnsi="Book Antiqua"/>
          <w:lang w:val="en-GB"/>
        </w:rPr>
        <w:t>dysplasia</w:t>
      </w:r>
      <w:r w:rsidRPr="00E65AD0">
        <w:rPr>
          <w:rFonts w:ascii="Book Antiqua" w:hAnsi="Book Antiqua"/>
          <w:vertAlign w:val="superscript"/>
          <w:lang w:val="en-GB"/>
        </w:rPr>
        <w:t>[</w:t>
      </w:r>
      <w:proofErr w:type="gramEnd"/>
      <w:r w:rsidRPr="00E65AD0">
        <w:rPr>
          <w:rFonts w:ascii="Book Antiqua" w:hAnsi="Book Antiqua"/>
          <w:vertAlign w:val="superscript"/>
          <w:lang w:val="en-GB"/>
        </w:rPr>
        <w:t>28]</w:t>
      </w:r>
      <w:r w:rsidRPr="00E65AD0">
        <w:rPr>
          <w:rFonts w:ascii="Book Antiqua" w:hAnsi="Book Antiqua"/>
          <w:lang w:val="en-GB"/>
        </w:rPr>
        <w:t xml:space="preserve">. Furthermore, at least five different images were acquired during gastroscopy by a single expert observer, who was blind to the final histology, and who predicted the diagnosis of normal mucosa, atrophy, IM, or dysplasia using the </w:t>
      </w:r>
      <w:r w:rsidR="00272ABF" w:rsidRPr="00E65AD0">
        <w:rPr>
          <w:rFonts w:ascii="Book Antiqua" w:hAnsi="Book Antiqua"/>
          <w:lang w:val="en-GB"/>
        </w:rPr>
        <w:t>EGGIM</w:t>
      </w:r>
      <w:r w:rsidRPr="00E65AD0">
        <w:rPr>
          <w:rFonts w:ascii="Book Antiqua" w:hAnsi="Book Antiqua"/>
          <w:lang w:val="en-GB"/>
        </w:rPr>
        <w:t xml:space="preserve"> classification according to Pimentel-Nunes </w:t>
      </w:r>
      <w:r w:rsidRPr="00E65AD0">
        <w:rPr>
          <w:rFonts w:ascii="Book Antiqua" w:hAnsi="Book Antiqua"/>
          <w:i/>
          <w:lang w:val="en-GB"/>
        </w:rPr>
        <w:t xml:space="preserve">et </w:t>
      </w:r>
      <w:proofErr w:type="gramStart"/>
      <w:r w:rsidRPr="00E65AD0">
        <w:rPr>
          <w:rFonts w:ascii="Book Antiqua" w:hAnsi="Book Antiqua"/>
          <w:i/>
          <w:lang w:val="en-GB"/>
        </w:rPr>
        <w:t>al</w:t>
      </w:r>
      <w:r w:rsidRPr="00E65AD0">
        <w:rPr>
          <w:rFonts w:ascii="Book Antiqua" w:hAnsi="Book Antiqua"/>
          <w:vertAlign w:val="superscript"/>
          <w:lang w:val="en-GB"/>
        </w:rPr>
        <w:t>[</w:t>
      </w:r>
      <w:proofErr w:type="gramEnd"/>
      <w:r w:rsidRPr="00E65AD0">
        <w:rPr>
          <w:rFonts w:ascii="Book Antiqua" w:hAnsi="Book Antiqua"/>
          <w:vertAlign w:val="superscript"/>
          <w:lang w:val="en-GB"/>
        </w:rPr>
        <w:t>29]</w:t>
      </w:r>
      <w:r w:rsidRPr="00E65AD0">
        <w:rPr>
          <w:rFonts w:ascii="Book Antiqua" w:hAnsi="Book Antiqua"/>
          <w:lang w:val="en-GB"/>
        </w:rPr>
        <w:t>.</w:t>
      </w:r>
    </w:p>
    <w:p w14:paraId="11CAFF89" w14:textId="77777777" w:rsidR="009D0DBE" w:rsidRPr="00E65AD0" w:rsidRDefault="009D0DBE" w:rsidP="00E65AD0">
      <w:pPr>
        <w:snapToGrid w:val="0"/>
        <w:spacing w:after="0" w:line="360" w:lineRule="auto"/>
        <w:rPr>
          <w:rFonts w:ascii="Book Antiqua" w:hAnsi="Book Antiqua"/>
          <w:lang w:val="en-GB"/>
        </w:rPr>
      </w:pPr>
    </w:p>
    <w:p w14:paraId="33B9EBBC" w14:textId="77777777" w:rsidR="009D0DBE" w:rsidRPr="00E65AD0" w:rsidRDefault="00921B00" w:rsidP="00E65AD0">
      <w:pPr>
        <w:snapToGrid w:val="0"/>
        <w:spacing w:after="0" w:line="360" w:lineRule="auto"/>
        <w:rPr>
          <w:rFonts w:ascii="Book Antiqua" w:hAnsi="Book Antiqua"/>
          <w:b/>
          <w:i/>
          <w:lang w:val="en-US"/>
        </w:rPr>
      </w:pPr>
      <w:r w:rsidRPr="00E65AD0">
        <w:rPr>
          <w:rFonts w:ascii="Book Antiqua" w:hAnsi="Book Antiqua"/>
          <w:b/>
          <w:i/>
          <w:lang w:val="en-GB"/>
        </w:rPr>
        <w:t>Histopathological characteristics</w:t>
      </w:r>
    </w:p>
    <w:p w14:paraId="7E955CC7"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The histological result was considered as the gold standard for the diagnosis of dysplasia and IM; all gastric biopsy specimens were independently assessed by two expert gastrointestinal pathologists (MLC and RA). The Sydney System, and the OLGA and OLGIM systems assessment were used for histological staging of gastritis</w:t>
      </w:r>
      <w:r w:rsidRPr="00E65AD0">
        <w:rPr>
          <w:rFonts w:ascii="Book Antiqua" w:hAnsi="Book Antiqua"/>
          <w:vertAlign w:val="superscript"/>
          <w:lang w:val="en-GB"/>
        </w:rPr>
        <w:t>[30,31,39]</w:t>
      </w:r>
      <w:r w:rsidRPr="00E65AD0">
        <w:rPr>
          <w:rFonts w:ascii="Book Antiqua" w:hAnsi="Book Antiqua"/>
          <w:lang w:val="en-GB"/>
        </w:rPr>
        <w:t xml:space="preserve">; the following diagnostic categories were considered for the evaluation of dysplasia according to the </w:t>
      </w:r>
      <w:r w:rsidR="00FC703C" w:rsidRPr="00E65AD0">
        <w:rPr>
          <w:rFonts w:ascii="Book Antiqua" w:hAnsi="Book Antiqua"/>
          <w:lang w:val="en-GB"/>
        </w:rPr>
        <w:t>World Health Organization</w:t>
      </w:r>
      <w:r w:rsidRPr="00E65AD0">
        <w:rPr>
          <w:rFonts w:ascii="Book Antiqua" w:hAnsi="Book Antiqua"/>
          <w:lang w:val="en-GB"/>
        </w:rPr>
        <w:t xml:space="preserve"> classification: negative for intraepithelial neoplasia/dysplasia, indefinite for intraepithelial neoplasia/dysplasia, low-grade intraepithelial neoplasia/dysplasia, high-grade intraepithelial neoplasia/dysplasia and intra-mucosal invasive neoplasia/intra-mucosal carcinoma</w:t>
      </w:r>
      <w:r w:rsidRPr="00E65AD0">
        <w:rPr>
          <w:rFonts w:ascii="Book Antiqua" w:hAnsi="Book Antiqua"/>
          <w:vertAlign w:val="superscript"/>
          <w:lang w:val="en-GB"/>
        </w:rPr>
        <w:t>[39]</w:t>
      </w:r>
      <w:r w:rsidRPr="00E65AD0">
        <w:rPr>
          <w:rFonts w:ascii="Book Antiqua" w:hAnsi="Book Antiqua"/>
          <w:lang w:val="en-GB"/>
        </w:rPr>
        <w:t xml:space="preserve">. In all patients,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was assessed by a prior negative result of </w:t>
      </w:r>
      <w:r w:rsidRPr="00005530">
        <w:rPr>
          <w:rFonts w:ascii="Book Antiqua" w:hAnsi="Book Antiqua"/>
          <w:vertAlign w:val="superscript"/>
          <w:lang w:val="en-GB"/>
        </w:rPr>
        <w:t>13</w:t>
      </w:r>
      <w:r w:rsidRPr="00E65AD0">
        <w:rPr>
          <w:rFonts w:ascii="Book Antiqua" w:hAnsi="Book Antiqua"/>
          <w:lang w:val="en-GB"/>
        </w:rPr>
        <w:t>C-UBT and confirmed by histology.</w:t>
      </w:r>
    </w:p>
    <w:p w14:paraId="43153FCF" w14:textId="77777777" w:rsidR="009D0DBE" w:rsidRPr="00E65AD0" w:rsidRDefault="009D0DBE" w:rsidP="00E65AD0">
      <w:pPr>
        <w:snapToGrid w:val="0"/>
        <w:spacing w:after="0" w:line="360" w:lineRule="auto"/>
        <w:rPr>
          <w:rFonts w:ascii="Book Antiqua" w:hAnsi="Book Antiqua"/>
          <w:lang w:val="en-GB"/>
        </w:rPr>
      </w:pPr>
    </w:p>
    <w:p w14:paraId="213DADA9" w14:textId="77777777" w:rsidR="009D0DBE" w:rsidRPr="00E65AD0" w:rsidRDefault="00921B00" w:rsidP="00E65AD0">
      <w:pPr>
        <w:snapToGrid w:val="0"/>
        <w:spacing w:after="0" w:line="360" w:lineRule="auto"/>
        <w:rPr>
          <w:rFonts w:ascii="Book Antiqua" w:hAnsi="Book Antiqua"/>
          <w:b/>
          <w:i/>
          <w:lang w:val="en-US"/>
        </w:rPr>
      </w:pPr>
      <w:r w:rsidRPr="00E65AD0">
        <w:rPr>
          <w:rFonts w:ascii="Book Antiqua" w:hAnsi="Book Antiqua"/>
          <w:b/>
          <w:i/>
          <w:lang w:val="en-GB"/>
        </w:rPr>
        <w:t>Statistical analysis</w:t>
      </w:r>
    </w:p>
    <w:p w14:paraId="563BEE7B"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Normal distribution of continuous variables was assessed with the Shapiro-Wilk test and data were expressed as mean and </w:t>
      </w:r>
      <w:r w:rsidRPr="00E65AD0">
        <w:rPr>
          <w:rFonts w:ascii="Book Antiqua" w:eastAsia="宋体" w:hAnsi="Book Antiqua" w:cs="Segoe UI"/>
          <w:lang w:val="en-GB"/>
        </w:rPr>
        <w:t>±</w:t>
      </w:r>
      <w:r w:rsidRPr="00E65AD0">
        <w:rPr>
          <w:rFonts w:ascii="Book Antiqua" w:eastAsia="宋体" w:hAnsi="Book Antiqua"/>
          <w:lang w:val="en-GB"/>
        </w:rPr>
        <w:t xml:space="preserve"> </w:t>
      </w:r>
      <w:r w:rsidR="00263452" w:rsidRPr="00E65AD0">
        <w:rPr>
          <w:rFonts w:ascii="Book Antiqua" w:eastAsia="宋体" w:hAnsi="Book Antiqua"/>
          <w:lang w:val="en-GB" w:eastAsia="zh-CN"/>
        </w:rPr>
        <w:t>SD</w:t>
      </w:r>
      <w:r w:rsidRPr="00E65AD0">
        <w:rPr>
          <w:rFonts w:ascii="Book Antiqua" w:hAnsi="Book Antiqua"/>
          <w:lang w:val="en-GB"/>
        </w:rPr>
        <w:t xml:space="preserve">. Categorical variables were reported as percentages and compared using the </w:t>
      </w:r>
      <w:r w:rsidR="00263452" w:rsidRPr="00E65AD0">
        <w:rPr>
          <w:rFonts w:ascii="Book Antiqua" w:hAnsi="Book Antiqua"/>
          <w:i/>
          <w:lang w:val="en-GB"/>
        </w:rPr>
        <w:t>χ</w:t>
      </w:r>
      <w:r w:rsidR="00263452" w:rsidRPr="00E65AD0">
        <w:rPr>
          <w:rFonts w:ascii="Book Antiqua" w:eastAsia="宋体" w:hAnsi="Book Antiqua"/>
          <w:vertAlign w:val="superscript"/>
          <w:lang w:val="en-GB" w:eastAsia="zh-CN"/>
        </w:rPr>
        <w:t>2</w:t>
      </w:r>
      <w:r w:rsidRPr="00E65AD0">
        <w:rPr>
          <w:rFonts w:ascii="Book Antiqua" w:hAnsi="Book Antiqua"/>
          <w:lang w:val="en-GB"/>
        </w:rPr>
        <w:t xml:space="preserve"> test or Fisher’s exact test, when needed. The probability of detecting gastric dysplasia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was evaluated using univariate and multivariate logistic regression analyses. The association between each explanatory variable and the outcome (detection of dysplasia) was tested using the likelihood ratio test. </w:t>
      </w:r>
      <w:r w:rsidRPr="00E65AD0">
        <w:rPr>
          <w:rFonts w:ascii="Book Antiqua" w:hAnsi="Book Antiqua"/>
          <w:lang w:val="en-GB"/>
        </w:rPr>
        <w:lastRenderedPageBreak/>
        <w:t xml:space="preserve">For each variable included in the multivariate model, we calculated both unadjusted and adjusted odds ratios (OR), with their 95% confidence intervals (CI), and the level of significance (using the likelihood ratio test). Statistical significance was set at </w:t>
      </w:r>
      <w:r w:rsidRPr="00E65AD0">
        <w:rPr>
          <w:rFonts w:ascii="Book Antiqua" w:hAnsi="Book Antiqua"/>
          <w:i/>
          <w:lang w:val="en-GB"/>
        </w:rPr>
        <w:t>P</w:t>
      </w:r>
      <w:r w:rsidR="00263452" w:rsidRPr="00E65AD0">
        <w:rPr>
          <w:rFonts w:ascii="Book Antiqua" w:eastAsia="宋体" w:hAnsi="Book Antiqua"/>
          <w:i/>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0.05. All statistical analyses were performed using SPSS 23.0 software (SPSS, Chicago, IL, United States) and R version 3.4.3 (http://www.R-project.org/).</w:t>
      </w:r>
    </w:p>
    <w:p w14:paraId="5438C677" w14:textId="77777777" w:rsidR="009D0DBE" w:rsidRPr="00E65AD0" w:rsidRDefault="009D0DBE" w:rsidP="00E65AD0">
      <w:pPr>
        <w:snapToGrid w:val="0"/>
        <w:spacing w:after="0" w:line="360" w:lineRule="auto"/>
        <w:rPr>
          <w:rFonts w:ascii="Book Antiqua" w:hAnsi="Book Antiqua"/>
          <w:lang w:val="en-GB"/>
        </w:rPr>
      </w:pPr>
    </w:p>
    <w:p w14:paraId="21229EA5" w14:textId="77777777" w:rsidR="00263452" w:rsidRPr="00E65AD0" w:rsidRDefault="00263452" w:rsidP="00E65AD0">
      <w:pPr>
        <w:adjustRightInd w:val="0"/>
        <w:snapToGrid w:val="0"/>
        <w:spacing w:after="0" w:line="360" w:lineRule="auto"/>
        <w:rPr>
          <w:rFonts w:ascii="Book Antiqua" w:hAnsi="Book Antiqua"/>
          <w:b/>
          <w:bCs/>
          <w:color w:val="000000"/>
          <w:u w:val="single"/>
        </w:rPr>
      </w:pPr>
      <w:r w:rsidRPr="00E65AD0">
        <w:rPr>
          <w:rFonts w:ascii="Book Antiqua" w:hAnsi="Book Antiqua"/>
          <w:b/>
          <w:bCs/>
          <w:color w:val="000000"/>
          <w:u w:val="single"/>
        </w:rPr>
        <w:t>RESULTS</w:t>
      </w:r>
    </w:p>
    <w:p w14:paraId="482CEA7F"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The clinical characteristics of the 85 enrolled patients are described in Table 1. At baseline, the majority of patients (71.8%) had an extensive endoscopic atrophic gastritis (pan-atrophy, corpus-predominant or antrum-predominant atrophy), and the minority (22.4%) had focal antrum atrophy (Table 2</w:t>
      </w:r>
      <w:proofErr w:type="gramStart"/>
      <w:r w:rsidRPr="00E65AD0">
        <w:rPr>
          <w:rFonts w:ascii="Book Antiqua" w:hAnsi="Book Antiqua"/>
          <w:lang w:val="en-GB"/>
        </w:rPr>
        <w:t>)</w:t>
      </w:r>
      <w:r w:rsidRPr="00E65AD0">
        <w:rPr>
          <w:rFonts w:ascii="Book Antiqua" w:hAnsi="Book Antiqua"/>
          <w:vertAlign w:val="superscript"/>
          <w:lang w:val="en-GB"/>
        </w:rPr>
        <w:t>[</w:t>
      </w:r>
      <w:proofErr w:type="gramEnd"/>
      <w:r w:rsidRPr="00E65AD0">
        <w:rPr>
          <w:rFonts w:ascii="Book Antiqua" w:hAnsi="Book Antiqua"/>
          <w:vertAlign w:val="superscript"/>
          <w:lang w:val="en-GB"/>
        </w:rPr>
        <w:t>32]</w:t>
      </w:r>
      <w:r w:rsidRPr="00E65AD0">
        <w:rPr>
          <w:rFonts w:ascii="Book Antiqua" w:hAnsi="Book Antiqua"/>
          <w:lang w:val="en-GB"/>
        </w:rPr>
        <w:t xml:space="preserve">. The patients with a less advanced degree (0-2 and 3-4) of the EGGIM scale were 80%; histological gastritis was moderate/severe and mild in 77.6% and 22.4% of the patients respectively; 45.8% of patients also had </w:t>
      </w:r>
      <w:r w:rsidR="00263452" w:rsidRPr="00E65AD0">
        <w:rPr>
          <w:rFonts w:ascii="Book Antiqua" w:hAnsi="Book Antiqua"/>
          <w:lang w:val="en-GB"/>
        </w:rPr>
        <w:t>mucosal associated lymphoid tissue</w:t>
      </w:r>
      <w:r w:rsidR="00263452" w:rsidRPr="00E65AD0">
        <w:rPr>
          <w:rFonts w:ascii="Book Antiqua" w:eastAsia="宋体" w:hAnsi="Book Antiqua"/>
          <w:lang w:val="en-GB" w:eastAsia="zh-CN"/>
        </w:rPr>
        <w:t xml:space="preserve"> (</w:t>
      </w:r>
      <w:r w:rsidRPr="00E65AD0">
        <w:rPr>
          <w:rFonts w:ascii="Book Antiqua" w:hAnsi="Book Antiqua"/>
          <w:lang w:val="en-GB"/>
        </w:rPr>
        <w:t>MALT</w:t>
      </w:r>
      <w:r w:rsidR="00263452" w:rsidRPr="00E65AD0">
        <w:rPr>
          <w:rFonts w:ascii="Book Antiqua" w:eastAsia="宋体" w:hAnsi="Book Antiqua"/>
          <w:lang w:val="en-GB" w:eastAsia="zh-CN"/>
        </w:rPr>
        <w:t>)</w:t>
      </w:r>
      <w:r w:rsidRPr="00E65AD0">
        <w:rPr>
          <w:rFonts w:ascii="Book Antiqua" w:hAnsi="Book Antiqua"/>
          <w:lang w:val="en-GB"/>
        </w:rPr>
        <w:t xml:space="preserve"> hyperplasia (Table 2). Fifteen patients (17.6%) had LGD on random biopsies. Among the 49 patients with histological pan-atrophy or corpus-predominant atrophy, 11 (22.4%) tested positive for APCA and/or for AIF antibodies. In 100% of the cases the histological mononuclear and polymorphonuclear cell infiltration disappeared or decreased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Additionally, the proportion of patients with mild and moderate/severe grades of MALT hyperplasia significantly decreased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w:t>
      </w:r>
      <w:r w:rsidR="00263452" w:rsidRPr="00E65AD0">
        <w:rPr>
          <w:rFonts w:ascii="Book Antiqua" w:hAnsi="Book Antiqua"/>
          <w:lang w:val="en-GB"/>
        </w:rPr>
        <w:t xml:space="preserve">ication (29.4% </w:t>
      </w:r>
      <w:r w:rsidR="00263452" w:rsidRPr="00E65AD0">
        <w:rPr>
          <w:rFonts w:ascii="Book Antiqua" w:hAnsi="Book Antiqua"/>
          <w:i/>
          <w:lang w:val="en-GB"/>
        </w:rPr>
        <w:t>vs</w:t>
      </w:r>
      <w:r w:rsidRPr="00E65AD0">
        <w:rPr>
          <w:rFonts w:ascii="Book Antiqua" w:hAnsi="Book Antiqua"/>
          <w:lang w:val="en-GB"/>
        </w:rPr>
        <w:t xml:space="preserve"> 3.5%,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0.001 and 16.4% </w:t>
      </w:r>
      <w:r w:rsidR="00263452" w:rsidRPr="00E65AD0">
        <w:rPr>
          <w:rFonts w:ascii="Book Antiqua" w:hAnsi="Book Antiqua"/>
          <w:i/>
          <w:lang w:val="en-GB"/>
        </w:rPr>
        <w:t>vs</w:t>
      </w:r>
      <w:r w:rsidRPr="00E65AD0">
        <w:rPr>
          <w:rFonts w:ascii="Book Antiqua" w:hAnsi="Book Antiqua"/>
          <w:lang w:val="en-GB"/>
        </w:rPr>
        <w:t xml:space="preserve"> 0%,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respectively; Table 2). Nevertheless, the proportion of OLGA, OLGIM stages, and that of patients with histological diagnosis of LGD on random biopsies did not significantly change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eradication (17.6% </w:t>
      </w:r>
      <w:r w:rsidR="00263452" w:rsidRPr="00E65AD0">
        <w:rPr>
          <w:rFonts w:ascii="Book Antiqua" w:hAnsi="Book Antiqua"/>
          <w:i/>
          <w:lang w:val="en-GB"/>
        </w:rPr>
        <w:t>vs</w:t>
      </w:r>
      <w:r w:rsidRPr="00E65AD0">
        <w:rPr>
          <w:rFonts w:ascii="Book Antiqua" w:hAnsi="Book Antiqua"/>
          <w:lang w:val="en-GB"/>
        </w:rPr>
        <w:t xml:space="preserve"> 10.6%,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0.19) (Table 2 and Figure 2). The detection of LGD on visible lesions significantly increased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eradication (0% </w:t>
      </w:r>
      <w:r w:rsidR="00263452" w:rsidRPr="00E65AD0">
        <w:rPr>
          <w:rFonts w:ascii="Book Antiqua" w:hAnsi="Book Antiqua"/>
          <w:i/>
          <w:lang w:val="en-GB"/>
        </w:rPr>
        <w:t>vs</w:t>
      </w:r>
      <w:r w:rsidRPr="00E65AD0">
        <w:rPr>
          <w:rFonts w:ascii="Book Antiqua" w:hAnsi="Book Antiqua"/>
          <w:lang w:val="en-GB"/>
        </w:rPr>
        <w:t xml:space="preserve"> 22.3%,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Table 2). Among the 9 patients who showed LGD on random biopsies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only 2 (22.2%) had already had a diagnosis of LGD on random biopsies before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Among the 6 patients with LGD </w:t>
      </w:r>
      <w:r w:rsidRPr="00E65AD0">
        <w:rPr>
          <w:rFonts w:ascii="Book Antiqua" w:hAnsi="Book Antiqua"/>
          <w:lang w:val="en-GB"/>
        </w:rPr>
        <w:lastRenderedPageBreak/>
        <w:t xml:space="preserve">on random and visible lesion biopsies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two (33.3%) were negative for LGD before eradication. Furthermore, the proportion of the 13 patients with a new diagnosis of LGD only on visible lesions was significantly higher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disappearance (0% </w:t>
      </w:r>
      <w:r w:rsidR="00263452" w:rsidRPr="00E65AD0">
        <w:rPr>
          <w:rFonts w:ascii="Book Antiqua" w:hAnsi="Book Antiqua"/>
          <w:i/>
          <w:lang w:val="en-GB"/>
        </w:rPr>
        <w:t>vs</w:t>
      </w:r>
      <w:r w:rsidRPr="00E65AD0">
        <w:rPr>
          <w:rFonts w:ascii="Book Antiqua" w:hAnsi="Book Antiqua"/>
          <w:lang w:val="en-GB"/>
        </w:rPr>
        <w:t xml:space="preserve"> 15.3%</w:t>
      </w:r>
      <w:r w:rsidR="00263452" w:rsidRPr="00E65AD0">
        <w:rPr>
          <w:rFonts w:ascii="Book Antiqua" w:eastAsia="宋体" w:hAnsi="Book Antiqua"/>
          <w:lang w:val="en-GB" w:eastAsia="zh-CN"/>
        </w:rPr>
        <w:t>,</w:t>
      </w:r>
      <w:r w:rsidRPr="00E65AD0">
        <w:rPr>
          <w:rFonts w:ascii="Book Antiqua" w:hAnsi="Book Antiqua"/>
          <w:lang w:val="en-GB"/>
        </w:rPr>
        <w:t xml:space="preserv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and in 6 of them (46.1%) LGD was not detected before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w:t>
      </w:r>
    </w:p>
    <w:p w14:paraId="7E2CD9B5"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The characteristics of the 19 subjects in whom LGD was detected on visible lesions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 xml:space="preserve">eradication are shown in Supplementary </w:t>
      </w:r>
      <w:r w:rsidR="00263452" w:rsidRPr="00E65AD0">
        <w:rPr>
          <w:rFonts w:ascii="Book Antiqua" w:hAnsi="Book Antiqua"/>
          <w:lang w:val="en-GB"/>
        </w:rPr>
        <w:t xml:space="preserve">Table </w:t>
      </w:r>
      <w:r w:rsidRPr="00E65AD0">
        <w:rPr>
          <w:rFonts w:ascii="Book Antiqua" w:hAnsi="Book Antiqua"/>
          <w:lang w:val="en-GB"/>
        </w:rPr>
        <w:t xml:space="preserve">1. In details, 11 subjects (57.9%) were male, and in 8 patients (42.1%) LGD was missed before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Five patients (26.3%) had APCA and/or AIF positivity. Comparison of the patients with or without LGD (</w:t>
      </w:r>
      <w:r w:rsidRPr="00E65AD0">
        <w:rPr>
          <w:rFonts w:ascii="Book Antiqua" w:hAnsi="Book Antiqua"/>
          <w:i/>
          <w:lang w:val="en-GB"/>
        </w:rPr>
        <w:t>n</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28 </w:t>
      </w:r>
      <w:r w:rsidR="00263452" w:rsidRPr="00E65AD0">
        <w:rPr>
          <w:rFonts w:ascii="Book Antiqua" w:hAnsi="Book Antiqua"/>
          <w:i/>
          <w:lang w:val="en-GB"/>
        </w:rPr>
        <w:t>vs</w:t>
      </w:r>
      <w:r w:rsidRPr="00E65AD0">
        <w:rPr>
          <w:rFonts w:ascii="Book Antiqua" w:hAnsi="Book Antiqua"/>
          <w:lang w:val="en-GB"/>
        </w:rPr>
        <w:t xml:space="preserve"> </w:t>
      </w:r>
      <w:r w:rsidRPr="00E65AD0">
        <w:rPr>
          <w:rFonts w:ascii="Book Antiqua" w:hAnsi="Book Antiqua"/>
          <w:i/>
          <w:lang w:val="en-GB"/>
        </w:rPr>
        <w:t>n</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57 respectively)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is shown in Table 3. In patients with LGD, the age was older (60.9</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8.2 </w:t>
      </w:r>
      <w:r w:rsidR="00263452" w:rsidRPr="00E65AD0">
        <w:rPr>
          <w:rFonts w:ascii="Book Antiqua" w:hAnsi="Book Antiqua"/>
          <w:i/>
          <w:lang w:val="en-GB"/>
        </w:rPr>
        <w:t>vs</w:t>
      </w:r>
      <w:r w:rsidRPr="00E65AD0">
        <w:rPr>
          <w:rFonts w:ascii="Book Antiqua" w:hAnsi="Book Antiqua"/>
          <w:i/>
          <w:lang w:val="en-GB"/>
        </w:rPr>
        <w:t xml:space="preserve"> </w:t>
      </w:r>
      <w:r w:rsidRPr="00E65AD0">
        <w:rPr>
          <w:rFonts w:ascii="Book Antiqua" w:hAnsi="Book Antiqua"/>
          <w:lang w:val="en-GB"/>
        </w:rPr>
        <w:t>53.7</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13.4 years,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0.01), there were more alcohol </w:t>
      </w:r>
      <w:r w:rsidR="00263452" w:rsidRPr="00E65AD0">
        <w:rPr>
          <w:rFonts w:ascii="Book Antiqua" w:hAnsi="Book Antiqua"/>
          <w:lang w:val="en-GB"/>
        </w:rPr>
        <w:t xml:space="preserve">users or past smokers (53.6% </w:t>
      </w:r>
      <w:r w:rsidR="00263452" w:rsidRPr="00E65AD0">
        <w:rPr>
          <w:rFonts w:ascii="Book Antiqua" w:hAnsi="Book Antiqua"/>
          <w:i/>
          <w:lang w:val="en-GB"/>
        </w:rPr>
        <w:t>vs</w:t>
      </w:r>
      <w:r w:rsidRPr="00E65AD0">
        <w:rPr>
          <w:rFonts w:ascii="Book Antiqua" w:hAnsi="Book Antiqua"/>
          <w:lang w:val="en-GB"/>
        </w:rPr>
        <w:t xml:space="preserve"> 21.1%,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0.002 and 35.7% </w:t>
      </w:r>
      <w:r w:rsidR="00263452" w:rsidRPr="00E65AD0">
        <w:rPr>
          <w:rFonts w:ascii="Book Antiqua" w:hAnsi="Book Antiqua"/>
          <w:i/>
          <w:lang w:val="en-GB"/>
        </w:rPr>
        <w:t>vs</w:t>
      </w:r>
      <w:r w:rsidRPr="00E65AD0">
        <w:rPr>
          <w:rFonts w:ascii="Book Antiqua" w:hAnsi="Book Antiqua"/>
          <w:lang w:val="en-GB"/>
        </w:rPr>
        <w:t xml:space="preserve"> 3.5%,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0.001, respectively), there was a higher proportion of APCA and/or AI</w:t>
      </w:r>
      <w:r w:rsidR="00263452" w:rsidRPr="00E65AD0">
        <w:rPr>
          <w:rFonts w:ascii="Book Antiqua" w:hAnsi="Book Antiqua"/>
          <w:lang w:val="en-GB"/>
        </w:rPr>
        <w:t xml:space="preserve">F antibody positivity (28.6% </w:t>
      </w:r>
      <w:r w:rsidR="00263452" w:rsidRPr="00E65AD0">
        <w:rPr>
          <w:rFonts w:ascii="Book Antiqua" w:hAnsi="Book Antiqua"/>
          <w:i/>
          <w:lang w:val="en-GB"/>
        </w:rPr>
        <w:t>vs</w:t>
      </w:r>
      <w:r w:rsidRPr="00E65AD0">
        <w:rPr>
          <w:rFonts w:ascii="Book Antiqua" w:hAnsi="Book Antiqua"/>
          <w:lang w:val="en-GB"/>
        </w:rPr>
        <w:t xml:space="preserve"> 7%,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0.02), there were more familial cases </w:t>
      </w:r>
      <w:r w:rsidR="00263452" w:rsidRPr="00E65AD0">
        <w:rPr>
          <w:rFonts w:ascii="Book Antiqua" w:hAnsi="Book Antiqua"/>
          <w:lang w:val="en-GB"/>
        </w:rPr>
        <w:t xml:space="preserve">of GC (14.3% </w:t>
      </w:r>
      <w:r w:rsidR="00263452" w:rsidRPr="00E65AD0">
        <w:rPr>
          <w:rFonts w:ascii="Book Antiqua" w:hAnsi="Book Antiqua"/>
          <w:i/>
          <w:lang w:val="en-GB"/>
        </w:rPr>
        <w:t>vs</w:t>
      </w:r>
      <w:r w:rsidRPr="00E65AD0">
        <w:rPr>
          <w:rFonts w:ascii="Book Antiqua" w:hAnsi="Book Antiqua"/>
          <w:lang w:val="en-GB"/>
        </w:rPr>
        <w:t xml:space="preserve"> 0%,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and more advanced stages of OLGA and OLGIM, both at the baseline and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for both). When we compared the histological characteristics of the 28 patients with LGD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we observed that the moderate/severe grades of gastritis and MALT hyperplasia significantly regressed during surveillance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and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0.004, respectively), whereas OLGA stages were similar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0.76; Supplementary Table 2). A higher prevalence of OLGIM stages 3-4 was observed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but it did not reach the level of sta</w:t>
      </w:r>
      <w:r w:rsidR="00263452" w:rsidRPr="00E65AD0">
        <w:rPr>
          <w:rFonts w:ascii="Book Antiqua" w:hAnsi="Book Antiqua"/>
          <w:lang w:val="en-GB"/>
        </w:rPr>
        <w:t xml:space="preserve">tistical significance (57.1% </w:t>
      </w:r>
      <w:r w:rsidR="00263452" w:rsidRPr="00E65AD0">
        <w:rPr>
          <w:rFonts w:ascii="Book Antiqua" w:hAnsi="Book Antiqua"/>
          <w:i/>
          <w:lang w:val="en-GB"/>
        </w:rPr>
        <w:t>vs</w:t>
      </w:r>
      <w:r w:rsidRPr="00E65AD0">
        <w:rPr>
          <w:rFonts w:ascii="Book Antiqua" w:hAnsi="Book Antiqua"/>
          <w:lang w:val="en-GB"/>
        </w:rPr>
        <w:t xml:space="preserve"> 75%,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0.16). </w:t>
      </w:r>
    </w:p>
    <w:p w14:paraId="19A8F136"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As shown in Supplementary Table 3, in patients without LGD after </w:t>
      </w:r>
      <w:r w:rsidR="002D1A0E" w:rsidRPr="00E65AD0">
        <w:rPr>
          <w:rFonts w:ascii="Book Antiqua" w:hAnsi="Book Antiqua"/>
          <w:i/>
          <w:lang w:val="en-GB"/>
        </w:rPr>
        <w:t xml:space="preserve">H. </w:t>
      </w:r>
      <w:r w:rsidR="00263452" w:rsidRPr="00E65AD0">
        <w:rPr>
          <w:rFonts w:ascii="Book Antiqua" w:hAnsi="Book Antiqua"/>
          <w:i/>
          <w:lang w:val="en-GB"/>
        </w:rPr>
        <w:t>pylori</w:t>
      </w:r>
      <w:r w:rsidR="00263452" w:rsidRPr="00E65AD0">
        <w:rPr>
          <w:rFonts w:ascii="Book Antiqua" w:hAnsi="Book Antiqua"/>
          <w:lang w:val="en-GB"/>
        </w:rPr>
        <w:t xml:space="preserve"> </w:t>
      </w:r>
      <w:r w:rsidRPr="00E65AD0">
        <w:rPr>
          <w:rFonts w:ascii="Book Antiqua" w:hAnsi="Book Antiqua"/>
          <w:lang w:val="en-GB"/>
        </w:rPr>
        <w:t>eradication only gastritis significantly improved at the follow-up endoscopy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Pr="00E65AD0">
        <w:rPr>
          <w:rFonts w:ascii="Book Antiqua" w:hAnsi="Book Antiqua"/>
          <w:lang w:val="en-GB"/>
        </w:rPr>
        <w:t xml:space="preserve">0.001). Table 4 shows the results of the linear regression analysis. According to the multivariate analysis adjusted for age, alcohol use, MALT hyperplasia regression/reduction and for APCA and/or AIF antibody presence, the probability for detecting gastric LGD, randomly or on visible lesions after eradication of </w:t>
      </w:r>
      <w:r w:rsidR="002D1A0E" w:rsidRPr="00E65AD0">
        <w:rPr>
          <w:rFonts w:ascii="Book Antiqua" w:hAnsi="Book Antiqua"/>
          <w:i/>
          <w:lang w:val="en-GB"/>
        </w:rPr>
        <w:t xml:space="preserve">H. </w:t>
      </w:r>
      <w:r w:rsidR="00263452" w:rsidRPr="00E65AD0">
        <w:rPr>
          <w:rFonts w:ascii="Book Antiqua" w:hAnsi="Book Antiqua"/>
          <w:i/>
          <w:lang w:val="en-GB"/>
        </w:rPr>
        <w:t>pylori</w:t>
      </w:r>
      <w:r w:rsidRPr="00E65AD0">
        <w:rPr>
          <w:rFonts w:ascii="Book Antiqua" w:hAnsi="Book Antiqua"/>
          <w:lang w:val="en-GB"/>
        </w:rPr>
        <w:t xml:space="preserve">, was significantly higher in patients with </w:t>
      </w:r>
      <w:r w:rsidRPr="00E65AD0">
        <w:rPr>
          <w:rFonts w:ascii="Book Antiqua" w:hAnsi="Book Antiqua"/>
          <w:lang w:val="en-GB"/>
        </w:rPr>
        <w:lastRenderedPageBreak/>
        <w:t>regression</w:t>
      </w:r>
      <w:r w:rsidR="00263452" w:rsidRPr="00E65AD0">
        <w:rPr>
          <w:rFonts w:ascii="Book Antiqua" w:hAnsi="Book Antiqua"/>
          <w:lang w:val="en-GB"/>
        </w:rPr>
        <w:t xml:space="preserve">/reduction of MALT hyperplasia </w:t>
      </w:r>
      <w:r w:rsidR="00263452" w:rsidRPr="00E65AD0">
        <w:rPr>
          <w:rFonts w:ascii="Book Antiqua" w:eastAsia="宋体" w:hAnsi="Book Antiqua"/>
          <w:lang w:val="en-GB" w:eastAsia="zh-CN"/>
        </w:rPr>
        <w:t>(</w:t>
      </w:r>
      <w:r w:rsidRPr="00E65AD0">
        <w:rPr>
          <w:rFonts w:ascii="Book Antiqua" w:hAnsi="Book Antiqua"/>
          <w:lang w:val="en-GB"/>
        </w:rPr>
        <w:t>OR</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3.10,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263452" w:rsidRPr="00E65AD0">
        <w:rPr>
          <w:rFonts w:ascii="Book Antiqua" w:eastAsia="宋体" w:hAnsi="Book Antiqua"/>
          <w:lang w:val="en-GB" w:eastAsia="zh-CN"/>
        </w:rPr>
        <w:t xml:space="preserve">: </w:t>
      </w:r>
      <w:r w:rsidR="00263452" w:rsidRPr="00E65AD0">
        <w:rPr>
          <w:rFonts w:ascii="Book Antiqua" w:hAnsi="Book Antiqua"/>
          <w:lang w:val="en-GB"/>
        </w:rPr>
        <w:t>1.05-9.12</w:t>
      </w:r>
      <w:r w:rsidRPr="00E65AD0">
        <w:rPr>
          <w:rFonts w:ascii="Book Antiqua" w:hAnsi="Book Antiqua"/>
          <w:lang w:val="en-GB"/>
        </w:rPr>
        <w:t xml:space="preserv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0.04</w:t>
      </w:r>
      <w:r w:rsidR="00263452" w:rsidRPr="00E65AD0">
        <w:rPr>
          <w:rFonts w:ascii="Book Antiqua" w:eastAsia="宋体" w:hAnsi="Book Antiqua"/>
          <w:lang w:val="en-GB" w:eastAsia="zh-CN"/>
        </w:rPr>
        <w:t>)</w:t>
      </w:r>
      <w:r w:rsidRPr="00E65AD0">
        <w:rPr>
          <w:rFonts w:ascii="Book Antiqua" w:hAnsi="Book Antiqua"/>
          <w:lang w:val="en-GB"/>
        </w:rPr>
        <w:t xml:space="preserve">, alcohol consumption </w:t>
      </w:r>
      <w:r w:rsidR="00263452" w:rsidRPr="00E65AD0">
        <w:rPr>
          <w:rFonts w:ascii="Book Antiqua" w:eastAsia="宋体" w:hAnsi="Book Antiqua"/>
          <w:lang w:val="en-GB" w:eastAsia="zh-CN"/>
        </w:rPr>
        <w:t>(</w:t>
      </w:r>
      <w:r w:rsidRPr="00E65AD0">
        <w:rPr>
          <w:rFonts w:ascii="Book Antiqua" w:hAnsi="Book Antiqua"/>
          <w:lang w:val="en-GB"/>
        </w:rPr>
        <w:t>OR</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 xml:space="preserve">3.88,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263452" w:rsidRPr="00E65AD0">
        <w:rPr>
          <w:rFonts w:ascii="Book Antiqua" w:eastAsia="宋体" w:hAnsi="Book Antiqua"/>
          <w:lang w:val="en-GB" w:eastAsia="zh-CN"/>
        </w:rPr>
        <w:t xml:space="preserve">: </w:t>
      </w:r>
      <w:r w:rsidR="007C62EA" w:rsidRPr="00E65AD0">
        <w:rPr>
          <w:rFonts w:ascii="Book Antiqua" w:hAnsi="Book Antiqua"/>
          <w:lang w:val="en-GB"/>
        </w:rPr>
        <w:t>1</w:t>
      </w:r>
      <w:r w:rsidR="00263452" w:rsidRPr="00E65AD0">
        <w:rPr>
          <w:rFonts w:ascii="Book Antiqua" w:hAnsi="Book Antiqua"/>
          <w:lang w:val="en-GB"/>
        </w:rPr>
        <w:t>.31-11.49</w:t>
      </w:r>
      <w:r w:rsidRPr="00E65AD0">
        <w:rPr>
          <w:rFonts w:ascii="Book Antiqua" w:hAnsi="Book Antiqua"/>
          <w:lang w:val="en-GB"/>
        </w:rPr>
        <w:t xml:space="preserv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00263452" w:rsidRPr="00E65AD0">
        <w:rPr>
          <w:rFonts w:ascii="Book Antiqua" w:hAnsi="Book Antiqua"/>
          <w:lang w:val="en-GB"/>
        </w:rPr>
        <w:t>0.01</w:t>
      </w:r>
      <w:r w:rsidR="00263452" w:rsidRPr="00E65AD0">
        <w:rPr>
          <w:rFonts w:ascii="Book Antiqua" w:eastAsia="宋体" w:hAnsi="Book Antiqua"/>
          <w:lang w:val="en-GB" w:eastAsia="zh-CN"/>
        </w:rPr>
        <w:t>)</w:t>
      </w:r>
      <w:r w:rsidRPr="00E65AD0">
        <w:rPr>
          <w:rFonts w:ascii="Book Antiqua" w:hAnsi="Book Antiqua"/>
          <w:lang w:val="en-GB"/>
        </w:rPr>
        <w:t xml:space="preserve">, and APCA and/or AIF antibody positivity </w:t>
      </w:r>
      <w:r w:rsidR="00263452" w:rsidRPr="00E65AD0">
        <w:rPr>
          <w:rFonts w:ascii="Book Antiqua" w:eastAsia="宋体" w:hAnsi="Book Antiqua"/>
          <w:lang w:val="en-GB" w:eastAsia="zh-CN"/>
        </w:rPr>
        <w:t>(</w:t>
      </w:r>
      <w:r w:rsidRPr="00E65AD0">
        <w:rPr>
          <w:rFonts w:ascii="Book Antiqua" w:hAnsi="Book Antiqua"/>
          <w:lang w:val="en-GB"/>
        </w:rPr>
        <w:t>OR</w:t>
      </w:r>
      <w:r w:rsidR="00263452" w:rsidRPr="00E65AD0">
        <w:rPr>
          <w:rFonts w:ascii="Book Antiqua" w:eastAsia="宋体" w:hAnsi="Book Antiqua"/>
          <w:lang w:val="en-GB" w:eastAsia="zh-CN"/>
        </w:rPr>
        <w:t xml:space="preserve"> </w:t>
      </w:r>
      <w:r w:rsidRPr="00E65AD0">
        <w:rPr>
          <w:rFonts w:ascii="Book Antiqua" w:hAnsi="Book Antiqua"/>
          <w:lang w:val="en-GB"/>
        </w:rPr>
        <w:t>=</w:t>
      </w:r>
      <w:r w:rsidR="00263452" w:rsidRPr="00E65AD0">
        <w:rPr>
          <w:rFonts w:ascii="Book Antiqua" w:eastAsia="宋体" w:hAnsi="Book Antiqua"/>
          <w:lang w:val="en-GB" w:eastAsia="zh-CN"/>
        </w:rPr>
        <w:t xml:space="preserve"> </w:t>
      </w:r>
      <w:r w:rsidRPr="00E65AD0">
        <w:rPr>
          <w:rFonts w:ascii="Book Antiqua" w:hAnsi="Book Antiqua"/>
          <w:lang w:val="en-GB"/>
        </w:rPr>
        <w:t xml:space="preserve">5.47, </w:t>
      </w:r>
      <w:r w:rsidR="00263452" w:rsidRPr="00E65AD0">
        <w:rPr>
          <w:rFonts w:ascii="Book Antiqua" w:eastAsia="宋体" w:hAnsi="Book Antiqua"/>
          <w:lang w:val="en-GB" w:eastAsia="zh-CN"/>
        </w:rPr>
        <w:t>95%</w:t>
      </w:r>
      <w:r w:rsidR="00263452" w:rsidRPr="00E65AD0">
        <w:rPr>
          <w:rFonts w:ascii="Book Antiqua" w:hAnsi="Book Antiqua"/>
          <w:lang w:val="en-GB"/>
        </w:rPr>
        <w:t>CI</w:t>
      </w:r>
      <w:r w:rsidR="00263452" w:rsidRPr="00E65AD0">
        <w:rPr>
          <w:rFonts w:ascii="Book Antiqua" w:eastAsia="宋体" w:hAnsi="Book Antiqua"/>
          <w:lang w:val="en-GB" w:eastAsia="zh-CN"/>
        </w:rPr>
        <w:t xml:space="preserve">: </w:t>
      </w:r>
      <w:r w:rsidR="00263452" w:rsidRPr="00E65AD0">
        <w:rPr>
          <w:rFonts w:ascii="Book Antiqua" w:hAnsi="Book Antiqua"/>
          <w:lang w:val="en-GB"/>
        </w:rPr>
        <w:t>1.33-22.39</w:t>
      </w:r>
      <w:r w:rsidRPr="00E65AD0">
        <w:rPr>
          <w:rFonts w:ascii="Book Antiqua" w:hAnsi="Book Antiqua"/>
          <w:lang w:val="en-GB"/>
        </w:rPr>
        <w:t xml:space="preserve">, </w:t>
      </w:r>
      <w:r w:rsidRPr="00E65AD0">
        <w:rPr>
          <w:rFonts w:ascii="Book Antiqua" w:hAnsi="Book Antiqua"/>
          <w:i/>
          <w:caps/>
          <w:lang w:val="en-GB"/>
        </w:rPr>
        <w:t>p</w:t>
      </w:r>
      <w:r w:rsidR="00263452" w:rsidRPr="00E65AD0">
        <w:rPr>
          <w:rFonts w:ascii="Book Antiqua" w:eastAsia="宋体" w:hAnsi="Book Antiqua"/>
          <w:lang w:val="en-GB" w:eastAsia="zh-CN"/>
        </w:rPr>
        <w:t xml:space="preserve"> </w:t>
      </w:r>
      <w:r w:rsidRPr="00E65AD0">
        <w:rPr>
          <w:rFonts w:ascii="Book Antiqua" w:hAnsi="Book Antiqua"/>
          <w:lang w:val="en-GB"/>
        </w:rPr>
        <w:t>&lt;</w:t>
      </w:r>
      <w:r w:rsidR="00263452" w:rsidRPr="00E65AD0">
        <w:rPr>
          <w:rFonts w:ascii="Book Antiqua" w:eastAsia="宋体" w:hAnsi="Book Antiqua"/>
          <w:lang w:val="en-GB" w:eastAsia="zh-CN"/>
        </w:rPr>
        <w:t xml:space="preserve"> </w:t>
      </w:r>
      <w:r w:rsidR="00263452" w:rsidRPr="00E65AD0">
        <w:rPr>
          <w:rFonts w:ascii="Book Antiqua" w:hAnsi="Book Antiqua"/>
          <w:lang w:val="en-GB"/>
        </w:rPr>
        <w:t>0.04</w:t>
      </w:r>
      <w:r w:rsidR="00263452" w:rsidRPr="00E65AD0">
        <w:rPr>
          <w:rFonts w:ascii="Book Antiqua" w:eastAsia="宋体" w:hAnsi="Book Antiqua"/>
          <w:lang w:val="en-GB" w:eastAsia="zh-CN"/>
        </w:rPr>
        <w:t>)</w:t>
      </w:r>
      <w:r w:rsidRPr="00E65AD0">
        <w:rPr>
          <w:rFonts w:ascii="Book Antiqua" w:hAnsi="Book Antiqua"/>
          <w:lang w:val="en-GB"/>
        </w:rPr>
        <w:t>.</w:t>
      </w:r>
    </w:p>
    <w:p w14:paraId="013A7339" w14:textId="77777777" w:rsidR="009D0DBE" w:rsidRPr="00E65AD0" w:rsidRDefault="009D0DBE" w:rsidP="00E65AD0">
      <w:pPr>
        <w:snapToGrid w:val="0"/>
        <w:spacing w:after="0" w:line="360" w:lineRule="auto"/>
        <w:rPr>
          <w:rFonts w:ascii="Book Antiqua" w:hAnsi="Book Antiqua"/>
          <w:lang w:val="en-GB"/>
        </w:rPr>
      </w:pPr>
    </w:p>
    <w:p w14:paraId="3A62F393" w14:textId="77777777" w:rsidR="007C62EA" w:rsidRPr="00E65AD0" w:rsidRDefault="007C62EA" w:rsidP="00E65AD0">
      <w:pPr>
        <w:snapToGrid w:val="0"/>
        <w:spacing w:after="0" w:line="360" w:lineRule="auto"/>
        <w:rPr>
          <w:rFonts w:ascii="Book Antiqua" w:hAnsi="Book Antiqua"/>
        </w:rPr>
      </w:pPr>
      <w:r w:rsidRPr="00E65AD0">
        <w:rPr>
          <w:rFonts w:ascii="Book Antiqua" w:hAnsi="Book Antiqua"/>
          <w:b/>
          <w:bCs/>
          <w:color w:val="000000"/>
          <w:u w:val="single"/>
        </w:rPr>
        <w:t>DISCUSSION</w:t>
      </w:r>
    </w:p>
    <w:p w14:paraId="01272C25" w14:textId="77777777" w:rsidR="009D0DBE" w:rsidRPr="00E65AD0" w:rsidRDefault="00921B00" w:rsidP="00E65AD0">
      <w:pPr>
        <w:snapToGrid w:val="0"/>
        <w:spacing w:after="0" w:line="360" w:lineRule="auto"/>
        <w:rPr>
          <w:rFonts w:ascii="Book Antiqua" w:hAnsi="Book Antiqua"/>
          <w:lang w:val="en-US"/>
        </w:rPr>
      </w:pPr>
      <w:r w:rsidRPr="00E65AD0">
        <w:rPr>
          <w:rFonts w:ascii="Book Antiqua" w:hAnsi="Book Antiqua"/>
          <w:lang w:val="en-GB"/>
        </w:rPr>
        <w:t xml:space="preserve">Our study shows that HR-WLE in combination with NBI can diagnose gastric LGD on visible lesions with the highest accuracy after regression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-induced signs of active infection (Figures 3 and 4). This suggests that, in high-risk subjects without alarm features for malignancy, non-invasive tests should be used for prior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identification, and a high-quality upper endoscopy to identify dysplastic lesions </w:t>
      </w:r>
      <w:r w:rsidRPr="00E65AD0">
        <w:rPr>
          <w:rFonts w:ascii="Book Antiqua" w:eastAsia="Calibri" w:hAnsi="Book Antiqua"/>
          <w:lang w:val="en-GB" w:eastAsia="ar-SA"/>
        </w:rPr>
        <w:t>should</w:t>
      </w:r>
      <w:r w:rsidRPr="00E65AD0">
        <w:rPr>
          <w:rFonts w:ascii="Book Antiqua" w:hAnsi="Book Antiqua"/>
          <w:lang w:val="en-GB"/>
        </w:rPr>
        <w:t xml:space="preserve"> be postponed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has been achieved. This strategy could be useful for yielding a higher dysplasia detection rate and for better defining cancer risk and surveillance time.</w:t>
      </w:r>
    </w:p>
    <w:p w14:paraId="56D528EF"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Despite conflicting evidence,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is presently advised in high-risk subjects for its potential to reduce GC incidence and induce regression of inflammation and atrophic </w:t>
      </w:r>
      <w:proofErr w:type="gramStart"/>
      <w:r w:rsidRPr="00E65AD0">
        <w:rPr>
          <w:rFonts w:ascii="Book Antiqua" w:hAnsi="Book Antiqua"/>
          <w:lang w:val="en-GB"/>
        </w:rPr>
        <w:t>gastritis</w:t>
      </w:r>
      <w:r w:rsidRPr="00E65AD0">
        <w:rPr>
          <w:rFonts w:ascii="Book Antiqua" w:hAnsi="Book Antiqua"/>
          <w:vertAlign w:val="superscript"/>
          <w:lang w:val="en-GB"/>
        </w:rPr>
        <w:t>[</w:t>
      </w:r>
      <w:proofErr w:type="gramEnd"/>
      <w:r w:rsidRPr="00E65AD0">
        <w:rPr>
          <w:rFonts w:ascii="Book Antiqua" w:hAnsi="Book Antiqua"/>
          <w:vertAlign w:val="superscript"/>
          <w:lang w:val="en-GB"/>
        </w:rPr>
        <w:t>7,22-27,40]</w:t>
      </w:r>
      <w:r w:rsidRPr="00E65AD0">
        <w:rPr>
          <w:rFonts w:ascii="Book Antiqua" w:hAnsi="Book Antiqua"/>
          <w:lang w:val="en-GB"/>
        </w:rPr>
        <w:t>. Originally, the use of WLE alone provided a weak association between endoscopic and histological findings in diagnosing PGC, probably due to the inefficient technology of endoscopy imaging</w:t>
      </w:r>
      <w:r w:rsidRPr="00E65AD0">
        <w:rPr>
          <w:rFonts w:ascii="Book Antiqua" w:hAnsi="Book Antiqua"/>
          <w:vertAlign w:val="superscript"/>
          <w:lang w:val="en-GB"/>
        </w:rPr>
        <w:t>[41-43]</w:t>
      </w:r>
      <w:r w:rsidRPr="00E65AD0">
        <w:rPr>
          <w:rFonts w:ascii="Book Antiqua" w:hAnsi="Book Antiqua"/>
          <w:lang w:val="en-GB"/>
        </w:rPr>
        <w:t>; recent studies have instead shown that the use of HR-WLE allows for a high concordance accuracy for this purpose</w:t>
      </w:r>
      <w:r w:rsidRPr="00E65AD0">
        <w:rPr>
          <w:rFonts w:ascii="Book Antiqua" w:hAnsi="Book Antiqua"/>
          <w:vertAlign w:val="superscript"/>
          <w:lang w:val="en-GB"/>
        </w:rPr>
        <w:t>[7,</w:t>
      </w:r>
      <w:r w:rsidR="00242B5F" w:rsidRPr="00E65AD0">
        <w:rPr>
          <w:rFonts w:ascii="Book Antiqua" w:eastAsia="宋体" w:hAnsi="Book Antiqua"/>
          <w:vertAlign w:val="superscript"/>
          <w:lang w:val="en-GB" w:eastAsia="zh-CN"/>
        </w:rPr>
        <w:t>36</w:t>
      </w:r>
      <w:r w:rsidRPr="00E65AD0">
        <w:rPr>
          <w:rFonts w:ascii="Book Antiqua" w:hAnsi="Book Antiqua"/>
          <w:vertAlign w:val="superscript"/>
          <w:lang w:val="en-GB"/>
        </w:rPr>
        <w:t>]</w:t>
      </w:r>
      <w:r w:rsidRPr="00E65AD0">
        <w:rPr>
          <w:rFonts w:ascii="Book Antiqua" w:hAnsi="Book Antiqua"/>
          <w:lang w:val="en-GB"/>
        </w:rPr>
        <w:t>. There is strong evidence that virtual chromoendoscopy should be used for the diagnosis of PGC because of its better performance compared to HR-</w:t>
      </w:r>
      <w:proofErr w:type="gramStart"/>
      <w:r w:rsidRPr="00E65AD0">
        <w:rPr>
          <w:rFonts w:ascii="Book Antiqua" w:hAnsi="Book Antiqua"/>
          <w:lang w:val="en-GB"/>
        </w:rPr>
        <w:t>WLE</w:t>
      </w:r>
      <w:r w:rsidRPr="00E65AD0">
        <w:rPr>
          <w:rFonts w:ascii="Book Antiqua" w:hAnsi="Book Antiqua"/>
          <w:vertAlign w:val="superscript"/>
          <w:lang w:val="en-GB"/>
        </w:rPr>
        <w:t>[</w:t>
      </w:r>
      <w:proofErr w:type="gramEnd"/>
      <w:r w:rsidRPr="00E65AD0">
        <w:rPr>
          <w:rFonts w:ascii="Book Antiqua" w:hAnsi="Book Antiqua"/>
          <w:vertAlign w:val="superscript"/>
          <w:lang w:val="en-GB"/>
        </w:rPr>
        <w:t>34</w:t>
      </w:r>
      <w:r w:rsidR="007C62EA" w:rsidRPr="00E65AD0">
        <w:rPr>
          <w:rFonts w:ascii="Book Antiqua" w:eastAsia="宋体" w:hAnsi="Book Antiqua"/>
          <w:vertAlign w:val="superscript"/>
          <w:lang w:val="en-GB" w:eastAsia="zh-CN"/>
        </w:rPr>
        <w:t>-</w:t>
      </w:r>
      <w:r w:rsidRPr="00E65AD0">
        <w:rPr>
          <w:rFonts w:ascii="Book Antiqua" w:hAnsi="Book Antiqua"/>
          <w:vertAlign w:val="superscript"/>
          <w:lang w:val="en-GB"/>
        </w:rPr>
        <w:t>37,4</w:t>
      </w:r>
      <w:r w:rsidR="00242B5F" w:rsidRPr="00E65AD0">
        <w:rPr>
          <w:rFonts w:ascii="Book Antiqua" w:eastAsia="宋体" w:hAnsi="Book Antiqua"/>
          <w:vertAlign w:val="superscript"/>
          <w:lang w:val="en-GB" w:eastAsia="zh-CN"/>
        </w:rPr>
        <w:t>4</w:t>
      </w:r>
      <w:r w:rsidRPr="00E65AD0">
        <w:rPr>
          <w:rFonts w:ascii="Book Antiqua" w:hAnsi="Book Antiqua"/>
          <w:vertAlign w:val="superscript"/>
          <w:lang w:val="en-GB"/>
        </w:rPr>
        <w:t>]</w:t>
      </w:r>
      <w:r w:rsidRPr="00E65AD0">
        <w:rPr>
          <w:rFonts w:ascii="Book Antiqua" w:hAnsi="Book Antiqua"/>
          <w:lang w:val="en-GB"/>
        </w:rPr>
        <w:t xml:space="preserve">. </w:t>
      </w:r>
      <w:proofErr w:type="spellStart"/>
      <w:r w:rsidRPr="00E65AD0">
        <w:rPr>
          <w:rFonts w:ascii="Book Antiqua" w:hAnsi="Book Antiqua"/>
          <w:lang w:val="en-GB"/>
        </w:rPr>
        <w:t>Capelle</w:t>
      </w:r>
      <w:proofErr w:type="spellEnd"/>
      <w:r w:rsidRPr="00E65AD0">
        <w:rPr>
          <w:rFonts w:ascii="Book Antiqua" w:hAnsi="Book Antiqua"/>
          <w:lang w:val="en-GB"/>
        </w:rPr>
        <w:t xml:space="preserve"> </w:t>
      </w:r>
      <w:r w:rsidRPr="00E65AD0">
        <w:rPr>
          <w:rFonts w:ascii="Book Antiqua" w:hAnsi="Book Antiqua"/>
          <w:i/>
          <w:lang w:val="en-GB"/>
        </w:rPr>
        <w:t>et al</w:t>
      </w:r>
      <w:r w:rsidR="007C62EA" w:rsidRPr="00E65AD0">
        <w:rPr>
          <w:rFonts w:ascii="Book Antiqua" w:eastAsia="宋体" w:hAnsi="Book Antiqua"/>
          <w:vertAlign w:val="superscript"/>
          <w:lang w:val="en-GB" w:eastAsia="zh-CN"/>
        </w:rPr>
        <w:t>[33]</w:t>
      </w:r>
      <w:r w:rsidRPr="00E65AD0">
        <w:rPr>
          <w:rFonts w:ascii="Book Antiqua" w:hAnsi="Book Antiqua"/>
          <w:lang w:val="en-GB"/>
        </w:rPr>
        <w:t xml:space="preserve"> studied high-risk patients with IM or dysplasia undergoing endoscopic surveillance 2.0 years (range 0.8–21.1) and 1.9 years (range 0.2–5.2) respectively after the initial diagnosis and showed a slightly better diagnostic yield for the detection of adv</w:t>
      </w:r>
      <w:r w:rsidR="007C62EA" w:rsidRPr="00E65AD0">
        <w:rPr>
          <w:rFonts w:ascii="Book Antiqua" w:hAnsi="Book Antiqua"/>
          <w:lang w:val="en-GB"/>
        </w:rPr>
        <w:t xml:space="preserve">anced PGC using HRE with NBI </w:t>
      </w:r>
      <w:r w:rsidR="007C62EA" w:rsidRPr="00E65AD0">
        <w:rPr>
          <w:rFonts w:ascii="Book Antiqua" w:hAnsi="Book Antiqua"/>
          <w:i/>
          <w:lang w:val="en-GB"/>
        </w:rPr>
        <w:t>vs</w:t>
      </w:r>
      <w:r w:rsidRPr="00E65AD0">
        <w:rPr>
          <w:rFonts w:ascii="Book Antiqua" w:hAnsi="Book Antiqua"/>
          <w:i/>
          <w:lang w:val="en-GB"/>
        </w:rPr>
        <w:t xml:space="preserve"> </w:t>
      </w:r>
      <w:r w:rsidRPr="00E65AD0">
        <w:rPr>
          <w:rFonts w:ascii="Book Antiqua" w:hAnsi="Book Antiqua"/>
          <w:lang w:val="en-GB"/>
        </w:rPr>
        <w:t>HR-WLE</w:t>
      </w:r>
      <w:r w:rsidRPr="00E65AD0">
        <w:rPr>
          <w:rFonts w:ascii="Book Antiqua" w:hAnsi="Book Antiqua"/>
          <w:vertAlign w:val="superscript"/>
          <w:lang w:val="en-GB"/>
        </w:rPr>
        <w:t>[33]</w:t>
      </w:r>
      <w:r w:rsidRPr="00E65AD0">
        <w:rPr>
          <w:rFonts w:ascii="Book Antiqua" w:hAnsi="Book Antiqua"/>
          <w:lang w:val="en-GB"/>
        </w:rPr>
        <w:t xml:space="preserve">. Conventional CE with the application of dyes has been associated with the highest PGC detection accuracy as compared to virtual chromoendoscopy although procedural time is considerably </w:t>
      </w:r>
      <w:proofErr w:type="gramStart"/>
      <w:r w:rsidRPr="00E65AD0">
        <w:rPr>
          <w:rFonts w:ascii="Book Antiqua" w:hAnsi="Book Antiqua"/>
          <w:lang w:val="en-GB"/>
        </w:rPr>
        <w:t>longer</w:t>
      </w:r>
      <w:r w:rsidRPr="00E65AD0">
        <w:rPr>
          <w:rFonts w:ascii="Book Antiqua" w:hAnsi="Book Antiqua"/>
          <w:vertAlign w:val="superscript"/>
          <w:lang w:val="en-GB"/>
        </w:rPr>
        <w:t>[</w:t>
      </w:r>
      <w:proofErr w:type="gramEnd"/>
      <w:r w:rsidRPr="00E65AD0">
        <w:rPr>
          <w:rFonts w:ascii="Book Antiqua" w:hAnsi="Book Antiqua"/>
          <w:vertAlign w:val="superscript"/>
          <w:lang w:val="en-GB"/>
        </w:rPr>
        <w:t>4</w:t>
      </w:r>
      <w:r w:rsidR="00242B5F" w:rsidRPr="00E65AD0">
        <w:rPr>
          <w:rFonts w:ascii="Book Antiqua" w:eastAsia="宋体" w:hAnsi="Book Antiqua"/>
          <w:vertAlign w:val="superscript"/>
          <w:lang w:val="en-GB" w:eastAsia="zh-CN"/>
        </w:rPr>
        <w:t>5</w:t>
      </w:r>
      <w:r w:rsidRPr="00E65AD0">
        <w:rPr>
          <w:rFonts w:ascii="Book Antiqua" w:hAnsi="Book Antiqua"/>
          <w:vertAlign w:val="superscript"/>
          <w:lang w:val="en-GB"/>
        </w:rPr>
        <w:t>-</w:t>
      </w:r>
      <w:r w:rsidRPr="00E65AD0">
        <w:rPr>
          <w:rFonts w:ascii="Book Antiqua" w:hAnsi="Book Antiqua"/>
          <w:vertAlign w:val="superscript"/>
          <w:lang w:val="en-GB"/>
        </w:rPr>
        <w:lastRenderedPageBreak/>
        <w:t>4</w:t>
      </w:r>
      <w:r w:rsidR="00242B5F" w:rsidRPr="00E65AD0">
        <w:rPr>
          <w:rFonts w:ascii="Book Antiqua" w:eastAsia="宋体" w:hAnsi="Book Antiqua"/>
          <w:vertAlign w:val="superscript"/>
          <w:lang w:val="en-GB" w:eastAsia="zh-CN"/>
        </w:rPr>
        <w:t>7</w:t>
      </w:r>
      <w:r w:rsidRPr="00E65AD0">
        <w:rPr>
          <w:rFonts w:ascii="Book Antiqua" w:hAnsi="Book Antiqua"/>
          <w:vertAlign w:val="superscript"/>
          <w:lang w:val="en-GB"/>
        </w:rPr>
        <w:t>]</w:t>
      </w:r>
      <w:r w:rsidRPr="00E65AD0">
        <w:rPr>
          <w:rFonts w:ascii="Book Antiqua" w:hAnsi="Book Antiqua"/>
          <w:lang w:val="en-GB"/>
        </w:rPr>
        <w:t xml:space="preserve">. As a result of such evidence, the updated version of the European guidelines suggests that a high-quality endoscopy requires the use of </w:t>
      </w:r>
      <w:proofErr w:type="gramStart"/>
      <w:r w:rsidRPr="00E65AD0">
        <w:rPr>
          <w:rFonts w:ascii="Book Antiqua" w:hAnsi="Book Antiqua"/>
          <w:lang w:val="en-GB"/>
        </w:rPr>
        <w:t>NBI</w:t>
      </w:r>
      <w:r w:rsidRPr="00E65AD0">
        <w:rPr>
          <w:rFonts w:ascii="Book Antiqua" w:hAnsi="Book Antiqua"/>
          <w:vertAlign w:val="superscript"/>
          <w:lang w:val="en-GB"/>
        </w:rPr>
        <w:t>[</w:t>
      </w:r>
      <w:proofErr w:type="gramEnd"/>
      <w:r w:rsidRPr="00E65AD0">
        <w:rPr>
          <w:rFonts w:ascii="Book Antiqua" w:hAnsi="Book Antiqua"/>
          <w:vertAlign w:val="superscript"/>
          <w:lang w:val="en-GB"/>
        </w:rPr>
        <w:t>7]</w:t>
      </w:r>
      <w:r w:rsidRPr="00E65AD0">
        <w:rPr>
          <w:rFonts w:ascii="Book Antiqua" w:hAnsi="Book Antiqua"/>
          <w:lang w:val="en-GB"/>
        </w:rPr>
        <w:t>.</w:t>
      </w:r>
    </w:p>
    <w:p w14:paraId="4A903A15"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In our study, the histological signs of active gastritis and MALT hyperplasia disappeared or decreased in 100% and 96.5% of patients with or without PGC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00CB0693" w:rsidRPr="00E65AD0">
        <w:rPr>
          <w:rFonts w:ascii="Book Antiqua" w:hAnsi="Book Antiqua"/>
          <w:lang w:val="en-GB"/>
        </w:rPr>
        <w:t>eradication, respectively.</w:t>
      </w:r>
      <w:r w:rsidRPr="00E65AD0">
        <w:rPr>
          <w:rFonts w:ascii="Book Antiqua" w:hAnsi="Book Antiqua"/>
          <w:lang w:val="en-GB"/>
        </w:rPr>
        <w:t xml:space="preserve"> The overall prevalence of LGD on random biopsies at a 6-mo</w:t>
      </w:r>
      <w:r w:rsidR="007C62EA" w:rsidRPr="00E65AD0">
        <w:rPr>
          <w:rFonts w:ascii="Book Antiqua" w:hAnsi="Book Antiqua"/>
          <w:lang w:val="en-GB"/>
        </w:rPr>
        <w:t xml:space="preserve"> interval was similar (17.6% </w:t>
      </w:r>
      <w:r w:rsidR="007C62EA" w:rsidRPr="00E65AD0">
        <w:rPr>
          <w:rFonts w:ascii="Book Antiqua" w:hAnsi="Book Antiqua"/>
          <w:i/>
          <w:lang w:val="en-GB"/>
        </w:rPr>
        <w:t>vs</w:t>
      </w:r>
      <w:r w:rsidRPr="00E65AD0">
        <w:rPr>
          <w:rFonts w:ascii="Book Antiqua" w:hAnsi="Book Antiqua"/>
          <w:i/>
          <w:lang w:val="en-GB"/>
        </w:rPr>
        <w:t xml:space="preserve"> </w:t>
      </w:r>
      <w:r w:rsidRPr="00E65AD0">
        <w:rPr>
          <w:rFonts w:ascii="Book Antiqua" w:hAnsi="Book Antiqua"/>
          <w:lang w:val="en-GB"/>
        </w:rPr>
        <w:t xml:space="preserve">10.6%). Nevertheless, among the patients with newly diagnosed LGD on visible lesions, the percentage of endoscopically missed dysplasia was 42.1% before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when active gastritis was present. Unexpectedly, at the baseline 26.3% of such patients (5/19) had an overlapping AAG with APCA and/or AIF positivity. This prevalence rose to 28.6% (8/28 patients) when we considered the total patients with dysplasia, and the percentage of this positivity did not change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w:t>
      </w:r>
      <w:r w:rsidRPr="00E65AD0">
        <w:rPr>
          <w:rFonts w:ascii="Book Antiqua" w:hAnsi="Book Antiqua"/>
          <w:i/>
          <w:caps/>
          <w:lang w:val="en-GB"/>
        </w:rPr>
        <w:t>p</w:t>
      </w:r>
      <w:r w:rsidR="007C62EA" w:rsidRPr="00E65AD0">
        <w:rPr>
          <w:rFonts w:ascii="Book Antiqua" w:eastAsia="宋体" w:hAnsi="Book Antiqua"/>
          <w:lang w:val="en-GB" w:eastAsia="zh-CN"/>
        </w:rPr>
        <w:t xml:space="preserve"> </w:t>
      </w:r>
      <w:r w:rsidRPr="00E65AD0">
        <w:rPr>
          <w:rFonts w:ascii="Book Antiqua" w:hAnsi="Book Antiqua"/>
          <w:lang w:val="en-GB"/>
        </w:rPr>
        <w:t>=</w:t>
      </w:r>
      <w:r w:rsidR="007C62EA" w:rsidRPr="00E65AD0">
        <w:rPr>
          <w:rFonts w:ascii="Book Antiqua" w:eastAsia="宋体" w:hAnsi="Book Antiqua"/>
          <w:lang w:val="en-GB" w:eastAsia="zh-CN"/>
        </w:rPr>
        <w:t xml:space="preserve"> </w:t>
      </w:r>
      <w:r w:rsidRPr="00E65AD0">
        <w:rPr>
          <w:rFonts w:ascii="Book Antiqua" w:hAnsi="Book Antiqua"/>
          <w:lang w:val="en-GB"/>
        </w:rPr>
        <w:t xml:space="preserve">1.0, data not shown). We observed an almost doubled prevalence of gastric LGD on biopsies performed randomly or on visible lesions before and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disappearance (17.6% </w:t>
      </w:r>
      <w:r w:rsidR="007C62EA" w:rsidRPr="00E65AD0">
        <w:rPr>
          <w:rFonts w:ascii="Book Antiqua" w:hAnsi="Book Antiqua"/>
          <w:i/>
          <w:lang w:val="en-GB"/>
        </w:rPr>
        <w:t>vs</w:t>
      </w:r>
      <w:r w:rsidRPr="00E65AD0">
        <w:rPr>
          <w:rFonts w:ascii="Book Antiqua" w:hAnsi="Book Antiqua"/>
          <w:lang w:val="en-GB"/>
        </w:rPr>
        <w:t xml:space="preserve"> 32.9% respectively). A similar prevalence was found in another study from two referral </w:t>
      </w:r>
      <w:proofErr w:type="spellStart"/>
      <w:r w:rsidRPr="00E65AD0">
        <w:rPr>
          <w:rFonts w:ascii="Book Antiqua" w:hAnsi="Book Antiqua"/>
          <w:lang w:val="en-GB"/>
        </w:rPr>
        <w:t>centers</w:t>
      </w:r>
      <w:proofErr w:type="spellEnd"/>
      <w:r w:rsidRPr="00E65AD0">
        <w:rPr>
          <w:rFonts w:ascii="Book Antiqua" w:hAnsi="Book Antiqua"/>
          <w:lang w:val="en-GB"/>
        </w:rPr>
        <w:t xml:space="preserve"> using NBI endoscopy, in which dysplasia was detected in 28/85 (33%) and 38/85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positive patients (45%</w:t>
      </w:r>
      <w:proofErr w:type="gramStart"/>
      <w:r w:rsidRPr="00E65AD0">
        <w:rPr>
          <w:rFonts w:ascii="Book Antiqua" w:hAnsi="Book Antiqua"/>
          <w:lang w:val="en-GB"/>
        </w:rPr>
        <w:t>)</w:t>
      </w:r>
      <w:r w:rsidRPr="00E65AD0">
        <w:rPr>
          <w:rFonts w:ascii="Book Antiqua" w:hAnsi="Book Antiqua"/>
          <w:vertAlign w:val="superscript"/>
          <w:lang w:val="en-GB"/>
        </w:rPr>
        <w:t>[</w:t>
      </w:r>
      <w:proofErr w:type="gramEnd"/>
      <w:r w:rsidRPr="00E65AD0">
        <w:rPr>
          <w:rFonts w:ascii="Book Antiqua" w:hAnsi="Book Antiqua"/>
          <w:vertAlign w:val="superscript"/>
          <w:lang w:val="en-GB"/>
        </w:rPr>
        <w:t>37]</w:t>
      </w:r>
      <w:r w:rsidRPr="00E65AD0">
        <w:rPr>
          <w:rFonts w:ascii="Book Antiqua" w:hAnsi="Book Antiqua"/>
          <w:lang w:val="en-GB"/>
        </w:rPr>
        <w:t xml:space="preserve">. </w:t>
      </w:r>
    </w:p>
    <w:p w14:paraId="1A111418"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Patients with LGD were older and showed more advanced OLGA and OLGIM stages as compared to those without LGD, at baseline as well as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The prevalence of OLGIM stages 3-4 showed a tendency to increase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only in patients with dysplasia, from 57.1% to 75%. </w:t>
      </w:r>
    </w:p>
    <w:p w14:paraId="1C3C95BE"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The higher prevalence of LGD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could depend on the presence of more severe and extensive mucosal atrophy and IM at baseline in our high-risk subgroup of patients rather than disease progression itself, considering the short interval of endoscopic surveillance of our study. In this scenario, the background of active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inflammation is likely to play a confounding role that may have hampered the accurate detection of gastric dysplasia. Nevertheless, the unexpected high baseline prevalence of </w:t>
      </w:r>
      <w:r w:rsidRPr="00E65AD0">
        <w:rPr>
          <w:rFonts w:ascii="Book Antiqua" w:hAnsi="Book Antiqua"/>
          <w:lang w:val="en-GB"/>
        </w:rPr>
        <w:lastRenderedPageBreak/>
        <w:t>dysplasia may be partially justified by the concomitant presence of AAG in a considerable number of our patients, in accordance with results from a recent study showing that in the presence of AAG the risk of developing more advanced stages on long-term follow-up is greater in patients with more severe gastric lesions</w:t>
      </w:r>
      <w:r w:rsidRPr="00E65AD0">
        <w:rPr>
          <w:rFonts w:ascii="Book Antiqua" w:hAnsi="Book Antiqua"/>
          <w:vertAlign w:val="superscript"/>
          <w:lang w:val="en-GB"/>
        </w:rPr>
        <w:t>[8]</w:t>
      </w:r>
      <w:r w:rsidR="00CB0693" w:rsidRPr="00E65AD0">
        <w:rPr>
          <w:rFonts w:ascii="Book Antiqua" w:hAnsi="Book Antiqua"/>
          <w:lang w:val="en-GB"/>
        </w:rPr>
        <w:t>.</w:t>
      </w:r>
      <w:r w:rsidR="00CB0693" w:rsidRPr="00E65AD0">
        <w:rPr>
          <w:rFonts w:ascii="Book Antiqua" w:eastAsia="宋体" w:hAnsi="Book Antiqua"/>
          <w:lang w:val="en-GB" w:eastAsia="zh-CN"/>
        </w:rPr>
        <w:t xml:space="preserve"> </w:t>
      </w:r>
      <w:r w:rsidRPr="00E65AD0">
        <w:rPr>
          <w:rFonts w:ascii="Book Antiqua" w:hAnsi="Book Antiqua"/>
          <w:lang w:val="en-GB"/>
        </w:rPr>
        <w:t xml:space="preserve">The overlap between autoimmune and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-induced chronic gastritis may presumably be associated with a more severe gastric injury, especially in older subjects.</w:t>
      </w:r>
    </w:p>
    <w:p w14:paraId="5B495644"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At a multivariate analysis, the probability for detecting gastric dysplasia after resolution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-related active inflammation was significantly higher in older patients with regression or reduction of MALT hyperplasia, greater alcohol consumption, and APCA and/or AIF positivity. Therefore, MALT hyperplasia with active gastritis, whether induced or not by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could be an additional confounding factor influencing the detection of PGC, and, particularly, LGD in high-risk patients (Table 4).</w:t>
      </w:r>
    </w:p>
    <w:p w14:paraId="277F4A0B"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The prevalence of autoimmune diseases (24.7%) in our patients showed a tendency to increase am</w:t>
      </w:r>
      <w:r w:rsidR="007C62EA" w:rsidRPr="00E65AD0">
        <w:rPr>
          <w:rFonts w:ascii="Book Antiqua" w:hAnsi="Book Antiqua"/>
          <w:lang w:val="en-GB"/>
        </w:rPr>
        <w:t xml:space="preserve">ong patients with LGD (35.7% </w:t>
      </w:r>
      <w:r w:rsidR="007C62EA" w:rsidRPr="00E65AD0">
        <w:rPr>
          <w:rFonts w:ascii="Book Antiqua" w:hAnsi="Book Antiqua"/>
          <w:i/>
          <w:lang w:val="en-GB"/>
        </w:rPr>
        <w:t>vs</w:t>
      </w:r>
      <w:r w:rsidRPr="00E65AD0">
        <w:rPr>
          <w:rFonts w:ascii="Book Antiqua" w:hAnsi="Book Antiqua"/>
          <w:lang w:val="en-GB"/>
        </w:rPr>
        <w:t xml:space="preserve"> 17.5% in those without LGD, </w:t>
      </w:r>
      <w:r w:rsidRPr="00E65AD0">
        <w:rPr>
          <w:rFonts w:ascii="Book Antiqua" w:hAnsi="Book Antiqua"/>
          <w:i/>
          <w:caps/>
          <w:lang w:val="en-GB"/>
        </w:rPr>
        <w:t>p</w:t>
      </w:r>
      <w:r w:rsidR="007C62EA" w:rsidRPr="00E65AD0">
        <w:rPr>
          <w:rFonts w:ascii="Book Antiqua" w:eastAsia="宋体" w:hAnsi="Book Antiqua"/>
          <w:lang w:val="en-GB" w:eastAsia="zh-CN"/>
        </w:rPr>
        <w:t xml:space="preserve"> </w:t>
      </w:r>
      <w:r w:rsidRPr="00E65AD0">
        <w:rPr>
          <w:rFonts w:ascii="Book Antiqua" w:hAnsi="Book Antiqua"/>
          <w:lang w:val="en-GB"/>
        </w:rPr>
        <w:t>=</w:t>
      </w:r>
      <w:r w:rsidR="007C62EA" w:rsidRPr="00E65AD0">
        <w:rPr>
          <w:rFonts w:ascii="Book Antiqua" w:eastAsia="宋体" w:hAnsi="Book Antiqua"/>
          <w:lang w:val="en-GB" w:eastAsia="zh-CN"/>
        </w:rPr>
        <w:t xml:space="preserve"> </w:t>
      </w:r>
      <w:r w:rsidRPr="00E65AD0">
        <w:rPr>
          <w:rFonts w:ascii="Book Antiqua" w:hAnsi="Book Antiqua"/>
          <w:lang w:val="en-GB"/>
        </w:rPr>
        <w:t xml:space="preserve">0.06 by </w:t>
      </w:r>
      <w:r w:rsidRPr="00E65AD0">
        <w:rPr>
          <w:rFonts w:ascii="Book Antiqua" w:hAnsi="Book Antiqua"/>
          <w:i/>
          <w:lang w:val="en-GB"/>
        </w:rPr>
        <w:t>χ</w:t>
      </w:r>
      <w:r w:rsidRPr="00E65AD0">
        <w:rPr>
          <w:rFonts w:ascii="Book Antiqua" w:hAnsi="Book Antiqua"/>
          <w:vertAlign w:val="superscript"/>
          <w:lang w:val="en-GB"/>
        </w:rPr>
        <w:t>2</w:t>
      </w:r>
      <w:r w:rsidRPr="00E65AD0">
        <w:rPr>
          <w:rFonts w:ascii="Book Antiqua" w:hAnsi="Book Antiqua"/>
          <w:lang w:val="en-GB"/>
        </w:rPr>
        <w:t xml:space="preserve"> test). Since autoimmune disorders are linked to the presence of DRB1 and DQB1 haplotypes our finding may suggest a reciprocal role between the genetics of immune response and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chronic infection.</w:t>
      </w:r>
    </w:p>
    <w:p w14:paraId="59484B95"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Our results are in full accordance with the current European recommendations, which suggest to perform an endoscopic reassessment with HRE-NBI as soon as possible after dysplasia is diagnosed in the “apparent” absence of endoscopically visible lesions, to search for malignancy on misdiagnosed </w:t>
      </w:r>
      <w:proofErr w:type="gramStart"/>
      <w:r w:rsidRPr="00E65AD0">
        <w:rPr>
          <w:rFonts w:ascii="Book Antiqua" w:hAnsi="Book Antiqua"/>
          <w:lang w:val="en-GB"/>
        </w:rPr>
        <w:t>lesions</w:t>
      </w:r>
      <w:r w:rsidRPr="00E65AD0">
        <w:rPr>
          <w:rFonts w:ascii="Book Antiqua" w:hAnsi="Book Antiqua"/>
          <w:vertAlign w:val="superscript"/>
          <w:lang w:val="en-GB"/>
        </w:rPr>
        <w:t>[</w:t>
      </w:r>
      <w:proofErr w:type="gramEnd"/>
      <w:r w:rsidRPr="00E65AD0">
        <w:rPr>
          <w:rFonts w:ascii="Book Antiqua" w:hAnsi="Book Antiqua"/>
          <w:vertAlign w:val="superscript"/>
          <w:lang w:val="en-GB"/>
        </w:rPr>
        <w:t>7,27,4</w:t>
      </w:r>
      <w:r w:rsidR="00242B5F" w:rsidRPr="00E65AD0">
        <w:rPr>
          <w:rFonts w:ascii="Book Antiqua" w:eastAsia="宋体" w:hAnsi="Book Antiqua"/>
          <w:vertAlign w:val="superscript"/>
          <w:lang w:val="en-GB" w:eastAsia="zh-CN"/>
        </w:rPr>
        <w:t>8</w:t>
      </w:r>
      <w:r w:rsidRPr="00E65AD0">
        <w:rPr>
          <w:rFonts w:ascii="Book Antiqua" w:hAnsi="Book Antiqua"/>
          <w:vertAlign w:val="superscript"/>
          <w:lang w:val="en-GB"/>
        </w:rPr>
        <w:t>]</w:t>
      </w:r>
      <w:r w:rsidRPr="00E65AD0">
        <w:rPr>
          <w:rFonts w:ascii="Book Antiqua" w:hAnsi="Book Antiqua"/>
          <w:lang w:val="en-GB"/>
        </w:rPr>
        <w:t xml:space="preserve">. Where the presence of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active gastritis without alarming features for malignancy is suspected, considering the present lack of clinical recommendations on the diagnosis and surveillance of PGC</w:t>
      </w:r>
      <w:r w:rsidRPr="00E65AD0">
        <w:rPr>
          <w:rFonts w:ascii="Book Antiqua" w:hAnsi="Book Antiqua"/>
          <w:vertAlign w:val="superscript"/>
          <w:lang w:val="en-GB"/>
        </w:rPr>
        <w:t>[7]</w:t>
      </w:r>
      <w:r w:rsidRPr="00E65AD0">
        <w:rPr>
          <w:rFonts w:ascii="Book Antiqua" w:hAnsi="Book Antiqua"/>
          <w:lang w:val="en-GB"/>
        </w:rPr>
        <w:t xml:space="preserve">, our study suggests that the best diagnostic workout in symptomatic patients should entail performing prior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non-invasive tests, thus increasing the probability of detecting LGD on visible lesions at an endoscopy carried out soon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has been achieved. </w:t>
      </w:r>
    </w:p>
    <w:p w14:paraId="458866D3"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lastRenderedPageBreak/>
        <w:t xml:space="preserve">There are some limitations to our study. The sample size is relatively small, although all endoscopies were performed in a standardized way by using the same biopsy protocol and technical procedures and with the presence of the same endoscopist throughout the study. The hypothesis that LGD could have progressed into visible lesions is unlikely due to our short 6-mo follow-up </w:t>
      </w:r>
      <w:proofErr w:type="gramStart"/>
      <w:r w:rsidRPr="00E65AD0">
        <w:rPr>
          <w:rFonts w:ascii="Book Antiqua" w:hAnsi="Book Antiqua"/>
          <w:lang w:val="en-GB"/>
        </w:rPr>
        <w:t>interval</w:t>
      </w:r>
      <w:r w:rsidRPr="00E65AD0">
        <w:rPr>
          <w:rFonts w:ascii="Book Antiqua" w:hAnsi="Book Antiqua"/>
          <w:vertAlign w:val="superscript"/>
          <w:lang w:val="en-GB"/>
        </w:rPr>
        <w:t>[</w:t>
      </w:r>
      <w:proofErr w:type="gramEnd"/>
      <w:r w:rsidRPr="00E65AD0">
        <w:rPr>
          <w:rFonts w:ascii="Book Antiqua" w:hAnsi="Book Antiqua"/>
          <w:vertAlign w:val="superscript"/>
          <w:lang w:val="en-GB"/>
        </w:rPr>
        <w:t>7]</w:t>
      </w:r>
      <w:r w:rsidRPr="00E65AD0">
        <w:rPr>
          <w:rFonts w:ascii="Book Antiqua" w:hAnsi="Book Antiqua"/>
          <w:lang w:val="en-GB"/>
        </w:rPr>
        <w:t xml:space="preserve">: the risk of PGC progression has indeed been demonstrated to increase only on long-term follow-up (2-16 years), after eradication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vertAlign w:val="superscript"/>
          <w:lang w:val="en-GB"/>
        </w:rPr>
        <w:t>[22-25,40]</w:t>
      </w:r>
      <w:r w:rsidRPr="00E65AD0">
        <w:rPr>
          <w:rFonts w:ascii="Book Antiqua" w:hAnsi="Book Antiqua"/>
          <w:lang w:val="en-GB"/>
        </w:rPr>
        <w:t xml:space="preserve">. Our results may help explain the heterogeneous findings of a possible increased PGC prevalence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in long-term surveillance studies, as this might be due to a misdiagnosis at initial endoscopic examination.</w:t>
      </w:r>
    </w:p>
    <w:p w14:paraId="1CDD825F" w14:textId="77777777" w:rsidR="009D0DBE" w:rsidRPr="00E65AD0" w:rsidRDefault="00921B00" w:rsidP="00E65AD0">
      <w:pPr>
        <w:snapToGrid w:val="0"/>
        <w:spacing w:after="0" w:line="360" w:lineRule="auto"/>
        <w:ind w:firstLineChars="100" w:firstLine="240"/>
        <w:rPr>
          <w:rFonts w:ascii="Book Antiqua" w:hAnsi="Book Antiqua"/>
          <w:lang w:val="en-GB"/>
        </w:rPr>
      </w:pPr>
      <w:r w:rsidRPr="00E65AD0">
        <w:rPr>
          <w:rFonts w:ascii="Book Antiqua" w:hAnsi="Book Antiqua"/>
          <w:lang w:val="en-GB"/>
        </w:rPr>
        <w:t xml:space="preserve">In conclusion, HR-WLE with NBI can be more accurate in diagnosing LGD on visible lesions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has been achieved, probably due to the disappearance of the underlying confounding effects of inflammatory and mucosal lymphoproliferative changes induced by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chronic active infection. Elderly patients and those with autoimmune diseases could be at higher risk for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chronic infection. An effective and cost-effective strategy to diagnose LGD with the highest accuracy should entail a high-quality upper endoscopy performed soon after eradication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infection, detected by prior non-invasive tests.</w:t>
      </w:r>
    </w:p>
    <w:p w14:paraId="78DF488E" w14:textId="77777777" w:rsidR="009D0DBE" w:rsidRPr="00E65AD0" w:rsidRDefault="009D0DBE" w:rsidP="00E65AD0">
      <w:pPr>
        <w:snapToGrid w:val="0"/>
        <w:spacing w:after="0" w:line="360" w:lineRule="auto"/>
        <w:rPr>
          <w:rFonts w:ascii="Book Antiqua" w:hAnsi="Book Antiqua"/>
          <w:lang w:val="en-GB"/>
        </w:rPr>
      </w:pPr>
    </w:p>
    <w:p w14:paraId="28EF6BD2" w14:textId="77777777" w:rsidR="007C62EA" w:rsidRPr="00E65AD0" w:rsidRDefault="007C62EA" w:rsidP="00E65AD0">
      <w:pPr>
        <w:adjustRightInd w:val="0"/>
        <w:snapToGrid w:val="0"/>
        <w:spacing w:after="0" w:line="360" w:lineRule="auto"/>
        <w:rPr>
          <w:rFonts w:ascii="Book Antiqua" w:hAnsi="Book Antiqua"/>
          <w:b/>
          <w:bCs/>
          <w:color w:val="000000"/>
          <w:u w:val="single"/>
        </w:rPr>
      </w:pPr>
      <w:r w:rsidRPr="00E65AD0">
        <w:rPr>
          <w:rFonts w:ascii="Book Antiqua" w:hAnsi="Book Antiqua"/>
          <w:b/>
          <w:bCs/>
          <w:color w:val="000000"/>
          <w:u w:val="single"/>
        </w:rPr>
        <w:t>ARTICLE HIGHLIGHTS</w:t>
      </w:r>
    </w:p>
    <w:p w14:paraId="04081110"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background</w:t>
      </w:r>
    </w:p>
    <w:p w14:paraId="44834803"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i/>
          <w:lang w:val="en-GB"/>
        </w:rPr>
        <w:t xml:space="preserve">Helicobacter </w:t>
      </w:r>
      <w:r w:rsidR="002D1A0E" w:rsidRPr="00E65AD0">
        <w:rPr>
          <w:rFonts w:ascii="Book Antiqua" w:hAnsi="Book Antiqua"/>
          <w:i/>
          <w:lang w:val="en-GB"/>
        </w:rPr>
        <w:t>pylori</w:t>
      </w:r>
      <w:r w:rsidRPr="00E65AD0">
        <w:rPr>
          <w:rFonts w:ascii="Book Antiqua" w:hAnsi="Book Antiqua"/>
          <w:i/>
          <w:lang w:val="en-GB"/>
        </w:rPr>
        <w:t xml:space="preserve">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i/>
          <w:lang w:val="en-GB"/>
        </w:rPr>
        <w:t>)</w:t>
      </w:r>
      <w:r w:rsidRPr="00E65AD0">
        <w:rPr>
          <w:rFonts w:ascii="Book Antiqua" w:hAnsi="Book Antiqua"/>
          <w:lang w:val="en-GB"/>
        </w:rPr>
        <w:t xml:space="preserve"> infection is frequently responsible for </w:t>
      </w:r>
      <w:r w:rsidR="00EA4854" w:rsidRPr="00E65AD0">
        <w:rPr>
          <w:rFonts w:ascii="Book Antiqua" w:hAnsi="Book Antiqua"/>
          <w:lang w:val="en-GB"/>
        </w:rPr>
        <w:t>precancerous gastric conditions</w:t>
      </w:r>
      <w:r w:rsidRPr="00E65AD0">
        <w:rPr>
          <w:rFonts w:ascii="Book Antiqua" w:hAnsi="Book Antiqua"/>
          <w:lang w:val="en-GB"/>
        </w:rPr>
        <w:t xml:space="preserve"> (PGC) and the long-term risk of PGC may even progress after </w:t>
      </w:r>
      <w:r w:rsidR="002D1A0E" w:rsidRPr="00E65AD0">
        <w:rPr>
          <w:rFonts w:ascii="Book Antiqua" w:hAnsi="Book Antiqua"/>
          <w:i/>
          <w:lang w:val="en-GB"/>
        </w:rPr>
        <w:t xml:space="preserve">H. </w:t>
      </w:r>
      <w:r w:rsidR="007C62EA" w:rsidRPr="00E65AD0">
        <w:rPr>
          <w:rFonts w:ascii="Book Antiqua" w:hAnsi="Book Antiqua"/>
          <w:i/>
          <w:lang w:val="en-GB"/>
        </w:rPr>
        <w:t xml:space="preserve">pylori </w:t>
      </w:r>
      <w:r w:rsidRPr="00E65AD0">
        <w:rPr>
          <w:rFonts w:ascii="Book Antiqua" w:hAnsi="Book Antiqua"/>
          <w:lang w:val="en-GB"/>
        </w:rPr>
        <w:t xml:space="preserve">eradication. </w:t>
      </w:r>
    </w:p>
    <w:p w14:paraId="7B6E7394" w14:textId="77777777" w:rsidR="009D0DBE" w:rsidRPr="00E65AD0" w:rsidRDefault="009D0DBE" w:rsidP="00E65AD0">
      <w:pPr>
        <w:snapToGrid w:val="0"/>
        <w:spacing w:after="0" w:line="360" w:lineRule="auto"/>
        <w:rPr>
          <w:rFonts w:ascii="Book Antiqua" w:hAnsi="Book Antiqua"/>
          <w:lang w:val="en-GB"/>
        </w:rPr>
      </w:pPr>
    </w:p>
    <w:p w14:paraId="5754E276"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motivation</w:t>
      </w:r>
    </w:p>
    <w:p w14:paraId="6E809FB5"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Heterogeneous long-term endoscopic follow-up studies (2-16 years) have shown conflicting results on the efficacy of </w:t>
      </w:r>
      <w:r w:rsidR="002D1A0E" w:rsidRPr="00E65AD0">
        <w:rPr>
          <w:rFonts w:ascii="Book Antiqua" w:hAnsi="Book Antiqua"/>
          <w:i/>
          <w:lang w:val="en-GB"/>
        </w:rPr>
        <w:t xml:space="preserve">H. </w:t>
      </w:r>
      <w:r w:rsidR="007C62EA" w:rsidRPr="00E65AD0">
        <w:rPr>
          <w:rFonts w:ascii="Book Antiqua" w:hAnsi="Book Antiqua"/>
          <w:i/>
          <w:lang w:val="en-GB"/>
        </w:rPr>
        <w:t xml:space="preserve">pylori </w:t>
      </w:r>
      <w:r w:rsidRPr="00E65AD0">
        <w:rPr>
          <w:rFonts w:ascii="Book Antiqua" w:hAnsi="Book Antiqua"/>
          <w:lang w:val="en-GB"/>
        </w:rPr>
        <w:t xml:space="preserve">eradication in reducing the prevalence and histological progression of advanced PGC. Moreover, </w:t>
      </w:r>
      <w:r w:rsidRPr="00E65AD0">
        <w:rPr>
          <w:rFonts w:ascii="Book Antiqua" w:hAnsi="Book Antiqua"/>
          <w:lang w:val="en-GB"/>
        </w:rPr>
        <w:lastRenderedPageBreak/>
        <w:t xml:space="preserve">High-Resolution White-Light Endoscopy (HR-WLE) in combination with </w:t>
      </w:r>
      <w:r w:rsidR="007C62EA" w:rsidRPr="00E65AD0">
        <w:rPr>
          <w:rFonts w:ascii="Book Antiqua" w:hAnsi="Book Antiqua"/>
          <w:lang w:val="en-GB"/>
        </w:rPr>
        <w:t>narrow-band imaging</w:t>
      </w:r>
      <w:r w:rsidRPr="00E65AD0">
        <w:rPr>
          <w:rFonts w:ascii="Book Antiqua" w:hAnsi="Book Antiqua"/>
          <w:lang w:val="en-GB"/>
        </w:rPr>
        <w:t xml:space="preserve"> (NBI) is effective in detecting PGC and determines the timing and mode of endoscopic surveillance.</w:t>
      </w:r>
    </w:p>
    <w:p w14:paraId="577BD099" w14:textId="77777777" w:rsidR="009D0DBE" w:rsidRPr="00E65AD0" w:rsidRDefault="009D0DBE" w:rsidP="00E65AD0">
      <w:pPr>
        <w:snapToGrid w:val="0"/>
        <w:spacing w:after="0" w:line="360" w:lineRule="auto"/>
        <w:rPr>
          <w:rFonts w:ascii="Book Antiqua" w:hAnsi="Book Antiqua"/>
          <w:lang w:val="en-GB"/>
        </w:rPr>
      </w:pPr>
    </w:p>
    <w:p w14:paraId="43FE6283" w14:textId="77777777" w:rsidR="00247E88" w:rsidRPr="00E65AD0" w:rsidRDefault="00921B00" w:rsidP="00E65AD0">
      <w:pPr>
        <w:snapToGrid w:val="0"/>
        <w:spacing w:after="0" w:line="360" w:lineRule="auto"/>
        <w:rPr>
          <w:rFonts w:ascii="Book Antiqua" w:eastAsia="宋体" w:hAnsi="Book Antiqua"/>
          <w:b/>
          <w:i/>
          <w:lang w:val="en-GB" w:eastAsia="zh-CN"/>
        </w:rPr>
      </w:pPr>
      <w:r w:rsidRPr="00E65AD0">
        <w:rPr>
          <w:rFonts w:ascii="Book Antiqua" w:hAnsi="Book Antiqua"/>
          <w:b/>
          <w:i/>
          <w:lang w:val="en-GB"/>
        </w:rPr>
        <w:t>Research objectives</w:t>
      </w:r>
    </w:p>
    <w:p w14:paraId="111608C5" w14:textId="77777777" w:rsidR="009D0DBE" w:rsidRPr="00E65AD0" w:rsidRDefault="00921B00" w:rsidP="00E65AD0">
      <w:pPr>
        <w:snapToGrid w:val="0"/>
        <w:spacing w:after="0" w:line="360" w:lineRule="auto"/>
        <w:rPr>
          <w:rFonts w:ascii="Book Antiqua" w:eastAsia="宋体" w:hAnsi="Book Antiqua"/>
          <w:b/>
          <w:i/>
          <w:lang w:val="en-GB" w:eastAsia="zh-CN"/>
        </w:rPr>
      </w:pPr>
      <w:r w:rsidRPr="00E65AD0">
        <w:rPr>
          <w:rFonts w:ascii="Book Antiqua" w:hAnsi="Book Antiqua"/>
          <w:lang w:val="en-GB"/>
        </w:rPr>
        <w:t xml:space="preserve">To assess the efficacy of HR-WLE with NBI in detecting PGC, before and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at a short-term interval.</w:t>
      </w:r>
    </w:p>
    <w:p w14:paraId="155B247E" w14:textId="77777777" w:rsidR="009D0DBE" w:rsidRPr="00E65AD0" w:rsidRDefault="009D0DBE" w:rsidP="00E65AD0">
      <w:pPr>
        <w:snapToGrid w:val="0"/>
        <w:spacing w:after="0" w:line="360" w:lineRule="auto"/>
        <w:rPr>
          <w:rFonts w:ascii="Book Antiqua" w:eastAsia="宋体" w:hAnsi="Book Antiqua"/>
          <w:i/>
          <w:lang w:val="en-GB" w:eastAsia="zh-CN"/>
        </w:rPr>
      </w:pPr>
    </w:p>
    <w:p w14:paraId="6493AEB8"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methods</w:t>
      </w:r>
    </w:p>
    <w:p w14:paraId="10A2A47C"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We evaluated 85 consecutive patients with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-related gastritis with/without PGC at baseline and 6 </w:t>
      </w:r>
      <w:proofErr w:type="spellStart"/>
      <w:r w:rsidRPr="00E65AD0">
        <w:rPr>
          <w:rFonts w:ascii="Book Antiqua" w:hAnsi="Book Antiqua"/>
          <w:lang w:val="en-GB"/>
        </w:rPr>
        <w:t>mo</w:t>
      </w:r>
      <w:proofErr w:type="spellEnd"/>
      <w:r w:rsidRPr="00E65AD0">
        <w:rPr>
          <w:rFonts w:ascii="Book Antiqua" w:hAnsi="Book Antiqua"/>
          <w:lang w:val="en-GB"/>
        </w:rPr>
        <w:t xml:space="preserve"> after proven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eradication. The Operati</w:t>
      </w:r>
      <w:r w:rsidR="007C62EA" w:rsidRPr="00E65AD0">
        <w:rPr>
          <w:rFonts w:ascii="Book Antiqua" w:hAnsi="Book Antiqua"/>
          <w:lang w:val="en-GB"/>
        </w:rPr>
        <w:t>ve-Link on Gastritis-Assessment</w:t>
      </w:r>
      <w:r w:rsidRPr="00E65AD0">
        <w:rPr>
          <w:rFonts w:ascii="Book Antiqua" w:hAnsi="Book Antiqua"/>
          <w:lang w:val="en-GB"/>
        </w:rPr>
        <w:t xml:space="preserve"> and Operative-Link o</w:t>
      </w:r>
      <w:r w:rsidR="007C62EA" w:rsidRPr="00E65AD0">
        <w:rPr>
          <w:rFonts w:ascii="Book Antiqua" w:hAnsi="Book Antiqua"/>
          <w:lang w:val="en-GB"/>
        </w:rPr>
        <w:t>n Gastric-Intestinal Metaplasia</w:t>
      </w:r>
      <w:r w:rsidR="007C62EA" w:rsidRPr="00E65AD0">
        <w:rPr>
          <w:rFonts w:ascii="Book Antiqua" w:eastAsia="宋体" w:hAnsi="Book Antiqua"/>
          <w:lang w:val="en-GB" w:eastAsia="zh-CN"/>
        </w:rPr>
        <w:t xml:space="preserve"> </w:t>
      </w:r>
      <w:r w:rsidRPr="00E65AD0">
        <w:rPr>
          <w:rFonts w:ascii="Book Antiqua" w:hAnsi="Book Antiqua"/>
          <w:lang w:val="en-GB"/>
        </w:rPr>
        <w:t xml:space="preserve">have been used as gold standards for histological definition of gastritis, atrophy and </w:t>
      </w:r>
      <w:r w:rsidR="007C62EA" w:rsidRPr="00E65AD0">
        <w:rPr>
          <w:rFonts w:ascii="Book Antiqua" w:hAnsi="Book Antiqua"/>
          <w:lang w:val="en-GB"/>
        </w:rPr>
        <w:t>intestinal metaplasia</w:t>
      </w:r>
      <w:r w:rsidRPr="00E65AD0">
        <w:rPr>
          <w:rFonts w:ascii="Book Antiqua" w:hAnsi="Book Antiqua"/>
          <w:lang w:val="en-GB"/>
        </w:rPr>
        <w:t>. Serum anti-</w:t>
      </w:r>
      <w:r w:rsidR="007C62EA" w:rsidRPr="00E65AD0">
        <w:rPr>
          <w:rFonts w:ascii="Book Antiqua" w:hAnsi="Book Antiqua"/>
          <w:lang w:val="en-GB"/>
        </w:rPr>
        <w:t>parietal cell antibody</w:t>
      </w:r>
      <w:r w:rsidRPr="00E65AD0">
        <w:rPr>
          <w:rFonts w:ascii="Book Antiqua" w:hAnsi="Book Antiqua"/>
          <w:lang w:val="en-GB"/>
        </w:rPr>
        <w:t xml:space="preserve"> and </w:t>
      </w:r>
      <w:r w:rsidR="002D1C57" w:rsidRPr="00E65AD0">
        <w:rPr>
          <w:rFonts w:ascii="Book Antiqua" w:hAnsi="Book Antiqua"/>
          <w:lang w:val="en-GB"/>
        </w:rPr>
        <w:t>anti-intrinsic factor</w:t>
      </w:r>
      <w:r w:rsidRPr="00E65AD0">
        <w:rPr>
          <w:rFonts w:ascii="Book Antiqua" w:hAnsi="Book Antiqua"/>
          <w:lang w:val="en-GB"/>
        </w:rPr>
        <w:t xml:space="preserve"> were measured when </w:t>
      </w:r>
      <w:r w:rsidR="007C62EA" w:rsidRPr="00E65AD0">
        <w:rPr>
          <w:rFonts w:ascii="Book Antiqua" w:hAnsi="Book Antiqua"/>
          <w:lang w:val="en-GB"/>
        </w:rPr>
        <w:t>autoimmune atrophic gastritis</w:t>
      </w:r>
      <w:r w:rsidRPr="00E65AD0">
        <w:rPr>
          <w:rFonts w:ascii="Book Antiqua" w:hAnsi="Book Antiqua"/>
          <w:lang w:val="en-GB"/>
        </w:rPr>
        <w:t xml:space="preserve"> was suspected.</w:t>
      </w:r>
    </w:p>
    <w:p w14:paraId="4A8CE224" w14:textId="77777777" w:rsidR="009D0DBE" w:rsidRPr="00E65AD0" w:rsidRDefault="009D0DBE" w:rsidP="00E65AD0">
      <w:pPr>
        <w:snapToGrid w:val="0"/>
        <w:spacing w:after="0" w:line="360" w:lineRule="auto"/>
        <w:rPr>
          <w:rFonts w:ascii="Book Antiqua" w:hAnsi="Book Antiqua"/>
          <w:lang w:val="en-GB"/>
        </w:rPr>
      </w:pPr>
    </w:p>
    <w:p w14:paraId="19CC68A8"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results</w:t>
      </w:r>
    </w:p>
    <w:p w14:paraId="51D7A5E2" w14:textId="77777777" w:rsidR="009D0DBE" w:rsidRPr="00E65AD0" w:rsidRDefault="00921B00" w:rsidP="00E65AD0">
      <w:pPr>
        <w:snapToGrid w:val="0"/>
        <w:spacing w:after="0" w:line="360" w:lineRule="auto"/>
        <w:rPr>
          <w:rFonts w:ascii="Book Antiqua" w:hAnsi="Book Antiqua"/>
          <w:lang w:val="en-US"/>
        </w:rPr>
      </w:pPr>
      <w:r w:rsidRPr="00E65AD0">
        <w:rPr>
          <w:rFonts w:ascii="Book Antiqua" w:hAnsi="Book Antiqua"/>
          <w:lang w:val="en-US"/>
        </w:rPr>
        <w:t xml:space="preserve">HR-WLE in combination with NBI allows for a more accurate diagnosis of gastric low-grade dysplasia (LGD) when performed soon after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 xml:space="preserve">eradication, due to regression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-induced signs of inflammation.</w:t>
      </w:r>
      <w:r w:rsidRPr="00E65AD0">
        <w:rPr>
          <w:rFonts w:ascii="Book Antiqua" w:hAnsi="Book Antiqua"/>
          <w:lang w:val="en-US"/>
        </w:rPr>
        <w:t xml:space="preserve"> Furthermore, </w:t>
      </w:r>
      <w:r w:rsidRPr="00E65AD0">
        <w:rPr>
          <w:rFonts w:ascii="Book Antiqua" w:hAnsi="Book Antiqua"/>
          <w:lang w:val="en-GB"/>
        </w:rPr>
        <w:t xml:space="preserve">we observed an unexpected high prevalence of autoimmune disorders, suggesting an interaction between the genetics of immune response and </w:t>
      </w:r>
      <w:r w:rsidR="002D1A0E" w:rsidRPr="00E65AD0">
        <w:rPr>
          <w:rFonts w:ascii="Book Antiqua" w:hAnsi="Book Antiqua"/>
          <w:i/>
          <w:lang w:val="en-GB"/>
        </w:rPr>
        <w:t xml:space="preserve">H. </w:t>
      </w:r>
      <w:r w:rsidR="007C62EA" w:rsidRPr="00E65AD0">
        <w:rPr>
          <w:rFonts w:ascii="Book Antiqua" w:hAnsi="Book Antiqua"/>
          <w:i/>
          <w:lang w:val="en-GB"/>
        </w:rPr>
        <w:t xml:space="preserve">pylori </w:t>
      </w:r>
      <w:r w:rsidRPr="00E65AD0">
        <w:rPr>
          <w:rFonts w:ascii="Book Antiqua" w:hAnsi="Book Antiqua"/>
          <w:lang w:val="en-GB"/>
        </w:rPr>
        <w:t xml:space="preserve">chronic infection, especially in relation to the risk of </w:t>
      </w:r>
      <w:r w:rsidRPr="00E65AD0">
        <w:rPr>
          <w:rFonts w:ascii="Book Antiqua" w:hAnsi="Book Antiqua"/>
          <w:lang w:val="en-US"/>
        </w:rPr>
        <w:t>LGD development.</w:t>
      </w:r>
    </w:p>
    <w:p w14:paraId="5903B96C" w14:textId="77777777" w:rsidR="009D0DBE" w:rsidRPr="00E65AD0" w:rsidRDefault="009D0DBE" w:rsidP="00E65AD0">
      <w:pPr>
        <w:snapToGrid w:val="0"/>
        <w:spacing w:after="0" w:line="360" w:lineRule="auto"/>
        <w:rPr>
          <w:rFonts w:ascii="Book Antiqua" w:eastAsia="宋体" w:hAnsi="Book Antiqua"/>
          <w:i/>
          <w:lang w:val="en-GB" w:eastAsia="zh-CN"/>
        </w:rPr>
      </w:pPr>
    </w:p>
    <w:p w14:paraId="7EED5AC4"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conclusions</w:t>
      </w:r>
    </w:p>
    <w:p w14:paraId="72C01F0A"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t xml:space="preserve">HR-WLE with NBI allows an accurate diagnosis of gastric LGD on visible lesions after regression of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-induced signs of active infection, especially in high-risk subjects. Patients with overlap between autoimmune </w:t>
      </w:r>
      <w:r w:rsidRPr="00E65AD0">
        <w:rPr>
          <w:rFonts w:ascii="Book Antiqua" w:hAnsi="Book Antiqua"/>
          <w:lang w:val="en-GB"/>
        </w:rPr>
        <w:lastRenderedPageBreak/>
        <w:t xml:space="preserve">and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 xml:space="preserve">-induced chronic gastritis may require more extensive gastric mapping. </w:t>
      </w:r>
    </w:p>
    <w:p w14:paraId="4F73BCFD" w14:textId="77777777" w:rsidR="009D0DBE" w:rsidRPr="00E65AD0" w:rsidRDefault="009D0DBE" w:rsidP="00E65AD0">
      <w:pPr>
        <w:snapToGrid w:val="0"/>
        <w:spacing w:after="0" w:line="360" w:lineRule="auto"/>
        <w:rPr>
          <w:rFonts w:ascii="Book Antiqua" w:eastAsia="宋体" w:hAnsi="Book Antiqua"/>
          <w:i/>
          <w:lang w:val="en-GB" w:eastAsia="zh-CN"/>
        </w:rPr>
      </w:pPr>
    </w:p>
    <w:p w14:paraId="26262794" w14:textId="77777777" w:rsidR="009D0DBE" w:rsidRPr="00E65AD0" w:rsidRDefault="00921B00" w:rsidP="00E65AD0">
      <w:pPr>
        <w:snapToGrid w:val="0"/>
        <w:spacing w:after="0" w:line="360" w:lineRule="auto"/>
        <w:rPr>
          <w:rFonts w:ascii="Book Antiqua" w:hAnsi="Book Antiqua"/>
          <w:b/>
          <w:i/>
          <w:lang w:val="en-GB"/>
        </w:rPr>
      </w:pPr>
      <w:r w:rsidRPr="00E65AD0">
        <w:rPr>
          <w:rFonts w:ascii="Book Antiqua" w:hAnsi="Book Antiqua"/>
          <w:b/>
          <w:i/>
          <w:lang w:val="en-GB"/>
        </w:rPr>
        <w:t>Research perspectives</w:t>
      </w:r>
    </w:p>
    <w:p w14:paraId="20C9214C"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US"/>
        </w:rPr>
        <w:t xml:space="preserve">Our findings will appeal to both clinical gastroenterologists and endoscopists, and stimulate the development of more accurate and cost-effective strategies for identifying patients with </w:t>
      </w:r>
      <w:r w:rsidR="002D1A0E" w:rsidRPr="00E65AD0">
        <w:rPr>
          <w:rFonts w:ascii="Book Antiqua" w:hAnsi="Book Antiqua"/>
          <w:i/>
          <w:lang w:val="en-GB"/>
        </w:rPr>
        <w:t xml:space="preserve">H. </w:t>
      </w:r>
      <w:r w:rsidR="007C62EA" w:rsidRPr="00E65AD0">
        <w:rPr>
          <w:rFonts w:ascii="Book Antiqua" w:hAnsi="Book Antiqua"/>
          <w:i/>
          <w:lang w:val="en-GB"/>
        </w:rPr>
        <w:t>pylori</w:t>
      </w:r>
      <w:r w:rsidR="007C62EA" w:rsidRPr="00E65AD0">
        <w:rPr>
          <w:rFonts w:ascii="Book Antiqua" w:hAnsi="Book Antiqua"/>
          <w:lang w:val="en-GB"/>
        </w:rPr>
        <w:t xml:space="preserve"> </w:t>
      </w:r>
      <w:r w:rsidRPr="00E65AD0">
        <w:rPr>
          <w:rFonts w:ascii="Book Antiqua" w:hAnsi="Book Antiqua"/>
          <w:lang w:val="en-GB"/>
        </w:rPr>
        <w:t>infection who are at risk of gastric cancer.</w:t>
      </w:r>
      <w:r w:rsidRPr="00E65AD0">
        <w:rPr>
          <w:rFonts w:ascii="Book Antiqua" w:hAnsi="Book Antiqua"/>
          <w:lang w:val="en-US"/>
        </w:rPr>
        <w:t xml:space="preserve"> </w:t>
      </w:r>
      <w:r w:rsidRPr="00E65AD0">
        <w:rPr>
          <w:rFonts w:ascii="Book Antiqua" w:hAnsi="Book Antiqua"/>
          <w:lang w:val="en-GB"/>
        </w:rPr>
        <w:t xml:space="preserve">Subjects with an overlap between autoimmune and </w:t>
      </w:r>
      <w:r w:rsidR="002D1A0E" w:rsidRPr="00E65AD0">
        <w:rPr>
          <w:rFonts w:ascii="Book Antiqua" w:hAnsi="Book Antiqua"/>
          <w:i/>
          <w:lang w:val="en-GB"/>
        </w:rPr>
        <w:t xml:space="preserve">H. </w:t>
      </w:r>
      <w:r w:rsidR="007C62EA" w:rsidRPr="00E65AD0">
        <w:rPr>
          <w:rFonts w:ascii="Book Antiqua" w:hAnsi="Book Antiqua"/>
          <w:i/>
          <w:lang w:val="en-GB"/>
        </w:rPr>
        <w:t>pylori</w:t>
      </w:r>
      <w:r w:rsidRPr="00E65AD0">
        <w:rPr>
          <w:rFonts w:ascii="Book Antiqua" w:hAnsi="Book Antiqua"/>
          <w:lang w:val="en-GB"/>
        </w:rPr>
        <w:t>-induced chronic gastritis should be considered to be at a</w:t>
      </w:r>
      <w:r w:rsidR="005672CA">
        <w:rPr>
          <w:rFonts w:ascii="Book Antiqua" w:hAnsi="Book Antiqua"/>
          <w:lang w:val="en-GB"/>
        </w:rPr>
        <w:t xml:space="preserve"> </w:t>
      </w:r>
      <w:r w:rsidRPr="00E65AD0">
        <w:rPr>
          <w:rFonts w:ascii="Book Antiqua" w:hAnsi="Book Antiqua"/>
          <w:lang w:val="en-GB"/>
        </w:rPr>
        <w:t>higher risk of more severe gastric injury.</w:t>
      </w:r>
    </w:p>
    <w:p w14:paraId="5F0F33DA" w14:textId="77777777" w:rsidR="009D0DBE" w:rsidRPr="00E65AD0" w:rsidRDefault="009D0DBE" w:rsidP="00E65AD0">
      <w:pPr>
        <w:snapToGrid w:val="0"/>
        <w:spacing w:after="0" w:line="360" w:lineRule="auto"/>
        <w:rPr>
          <w:rFonts w:ascii="Book Antiqua" w:eastAsia="宋体" w:hAnsi="Book Antiqua"/>
          <w:lang w:val="en-GB" w:eastAsia="zh-CN"/>
        </w:rPr>
      </w:pPr>
    </w:p>
    <w:p w14:paraId="65452AD4" w14:textId="77777777" w:rsidR="007C62EA" w:rsidRPr="00E65AD0" w:rsidRDefault="007C62EA" w:rsidP="00E65AD0">
      <w:pPr>
        <w:adjustRightInd w:val="0"/>
        <w:snapToGrid w:val="0"/>
        <w:spacing w:after="0" w:line="360" w:lineRule="auto"/>
        <w:rPr>
          <w:rFonts w:ascii="Book Antiqua" w:eastAsia="宋体" w:hAnsi="Book Antiqua"/>
          <w:b/>
          <w:bCs/>
          <w:color w:val="000000"/>
          <w:lang w:eastAsia="zh-CN"/>
        </w:rPr>
      </w:pPr>
      <w:r w:rsidRPr="00E65AD0">
        <w:rPr>
          <w:rFonts w:ascii="Book Antiqua" w:hAnsi="Book Antiqua"/>
          <w:b/>
          <w:bCs/>
          <w:color w:val="000000"/>
        </w:rPr>
        <w:t>REFERENCES</w:t>
      </w:r>
    </w:p>
    <w:p w14:paraId="2988F1CA"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 </w:t>
      </w:r>
      <w:r w:rsidRPr="00E65AD0">
        <w:rPr>
          <w:rFonts w:ascii="Book Antiqua" w:hAnsi="Book Antiqua"/>
          <w:b/>
          <w:bCs/>
        </w:rPr>
        <w:t>Correa P</w:t>
      </w:r>
      <w:r w:rsidRPr="00E65AD0">
        <w:rPr>
          <w:rFonts w:ascii="Book Antiqua" w:hAnsi="Book Antiqua"/>
        </w:rPr>
        <w:t xml:space="preserve">. Human gastric carcinogenesis: a multistep and multifactorial process--First American Cancer Society Award Lecture on Cancer Epidemiology and Prevention. </w:t>
      </w:r>
      <w:r w:rsidRPr="00E65AD0">
        <w:rPr>
          <w:rFonts w:ascii="Book Antiqua" w:hAnsi="Book Antiqua"/>
          <w:i/>
          <w:iCs/>
        </w:rPr>
        <w:t>Cancer Res</w:t>
      </w:r>
      <w:r w:rsidRPr="00E65AD0">
        <w:rPr>
          <w:rFonts w:ascii="Book Antiqua" w:hAnsi="Book Antiqua"/>
        </w:rPr>
        <w:t xml:space="preserve"> 1992; </w:t>
      </w:r>
      <w:r w:rsidRPr="00E65AD0">
        <w:rPr>
          <w:rFonts w:ascii="Book Antiqua" w:hAnsi="Book Antiqua"/>
          <w:b/>
          <w:bCs/>
        </w:rPr>
        <w:t>52</w:t>
      </w:r>
      <w:r w:rsidRPr="00E65AD0">
        <w:rPr>
          <w:rFonts w:ascii="Book Antiqua" w:hAnsi="Book Antiqua"/>
        </w:rPr>
        <w:t>: 6735-6740 [PMID: 1458460]</w:t>
      </w:r>
    </w:p>
    <w:p w14:paraId="05B0A60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 </w:t>
      </w:r>
      <w:r w:rsidRPr="00E65AD0">
        <w:rPr>
          <w:rFonts w:ascii="Book Antiqua" w:hAnsi="Book Antiqua"/>
          <w:b/>
          <w:bCs/>
        </w:rPr>
        <w:t>Correa P</w:t>
      </w:r>
      <w:r w:rsidRPr="00E65AD0">
        <w:rPr>
          <w:rFonts w:ascii="Book Antiqua" w:hAnsi="Book Antiqua"/>
        </w:rPr>
        <w:t xml:space="preserve">, Haenszel W, Cuello C, Tannenbaum S, Archer M. A model for gastric cancer epidemiology. </w:t>
      </w:r>
      <w:r w:rsidRPr="00E65AD0">
        <w:rPr>
          <w:rFonts w:ascii="Book Antiqua" w:hAnsi="Book Antiqua"/>
          <w:i/>
          <w:iCs/>
        </w:rPr>
        <w:t>Lancet</w:t>
      </w:r>
      <w:r w:rsidRPr="00E65AD0">
        <w:rPr>
          <w:rFonts w:ascii="Book Antiqua" w:hAnsi="Book Antiqua"/>
        </w:rPr>
        <w:t xml:space="preserve"> 1975; </w:t>
      </w:r>
      <w:r w:rsidRPr="00E65AD0">
        <w:rPr>
          <w:rFonts w:ascii="Book Antiqua" w:hAnsi="Book Antiqua"/>
          <w:b/>
          <w:bCs/>
        </w:rPr>
        <w:t>2</w:t>
      </w:r>
      <w:r w:rsidRPr="00E65AD0">
        <w:rPr>
          <w:rFonts w:ascii="Book Antiqua" w:hAnsi="Book Antiqua"/>
        </w:rPr>
        <w:t>: 58-60 [PMID: 49653 DOI: 10.1016/s0140-6736(75)90498-5]</w:t>
      </w:r>
    </w:p>
    <w:p w14:paraId="64DD431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 </w:t>
      </w:r>
      <w:r w:rsidRPr="00E65AD0">
        <w:rPr>
          <w:rFonts w:ascii="Book Antiqua" w:hAnsi="Book Antiqua"/>
          <w:b/>
          <w:bCs/>
        </w:rPr>
        <w:t>Mera RM</w:t>
      </w:r>
      <w:r w:rsidRPr="00E65AD0">
        <w:rPr>
          <w:rFonts w:ascii="Book Antiqua" w:hAnsi="Book Antiqua"/>
        </w:rPr>
        <w:t xml:space="preserve">, Bravo LE, Camargo MC, Bravo JC, Delgado AG, Romero-Gallo J, Yepez MC, Realpe JL, Schneider BG, Morgan DR, Peek RM Jr, Correa P, Wilson KT, Piazuelo MB. Dynamics of </w:t>
      </w:r>
      <w:r w:rsidRPr="00E65AD0">
        <w:rPr>
          <w:rFonts w:ascii="Book Antiqua" w:hAnsi="Book Antiqua"/>
          <w:i/>
          <w:iCs/>
        </w:rPr>
        <w:t>Helicobacter pylori</w:t>
      </w:r>
      <w:r w:rsidRPr="00E65AD0">
        <w:rPr>
          <w:rFonts w:ascii="Book Antiqua" w:hAnsi="Book Antiqua"/>
        </w:rPr>
        <w:t xml:space="preserve"> infection as a determinant of progression of gastric precancerous lesions: 16-year follow-up of an eradication trial. </w:t>
      </w:r>
      <w:r w:rsidRPr="00E65AD0">
        <w:rPr>
          <w:rFonts w:ascii="Book Antiqua" w:hAnsi="Book Antiqua"/>
          <w:i/>
          <w:iCs/>
        </w:rPr>
        <w:t>Gut</w:t>
      </w:r>
      <w:r w:rsidRPr="00E65AD0">
        <w:rPr>
          <w:rFonts w:ascii="Book Antiqua" w:hAnsi="Book Antiqua"/>
        </w:rPr>
        <w:t xml:space="preserve"> 2018; </w:t>
      </w:r>
      <w:r w:rsidRPr="00E65AD0">
        <w:rPr>
          <w:rFonts w:ascii="Book Antiqua" w:hAnsi="Book Antiqua"/>
          <w:b/>
          <w:bCs/>
        </w:rPr>
        <w:t>67</w:t>
      </w:r>
      <w:r w:rsidRPr="00E65AD0">
        <w:rPr>
          <w:rFonts w:ascii="Book Antiqua" w:hAnsi="Book Antiqua"/>
        </w:rPr>
        <w:t>: 1239-1246 [PMID: 28647684 DOI: 10.1136/gutjnl-2016-311685]</w:t>
      </w:r>
    </w:p>
    <w:p w14:paraId="176485B5"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 </w:t>
      </w:r>
      <w:r w:rsidRPr="00E65AD0">
        <w:rPr>
          <w:rFonts w:ascii="Book Antiqua" w:hAnsi="Book Antiqua"/>
          <w:b/>
          <w:bCs/>
        </w:rPr>
        <w:t>Ihamäki T</w:t>
      </w:r>
      <w:r w:rsidRPr="00E65AD0">
        <w:rPr>
          <w:rFonts w:ascii="Book Antiqua" w:hAnsi="Book Antiqua"/>
        </w:rPr>
        <w:t xml:space="preserve">, Saukkonen M, Siurala M. Long-term observation of subjects with normal mucosa and with superficial gastritis: results of 23--27 years' follow-up examinations. </w:t>
      </w:r>
      <w:r w:rsidRPr="00E65AD0">
        <w:rPr>
          <w:rFonts w:ascii="Book Antiqua" w:hAnsi="Book Antiqua"/>
          <w:i/>
          <w:iCs/>
        </w:rPr>
        <w:t>Scand J Gastroenterol</w:t>
      </w:r>
      <w:r w:rsidRPr="00E65AD0">
        <w:rPr>
          <w:rFonts w:ascii="Book Antiqua" w:hAnsi="Book Antiqua"/>
        </w:rPr>
        <w:t xml:space="preserve"> 1978; </w:t>
      </w:r>
      <w:r w:rsidRPr="00E65AD0">
        <w:rPr>
          <w:rFonts w:ascii="Book Antiqua" w:hAnsi="Book Antiqua"/>
          <w:b/>
          <w:bCs/>
        </w:rPr>
        <w:t>13</w:t>
      </w:r>
      <w:r w:rsidRPr="00E65AD0">
        <w:rPr>
          <w:rFonts w:ascii="Book Antiqua" w:hAnsi="Book Antiqua"/>
        </w:rPr>
        <w:t>: 771-775 [PMID: 725497 DOI: 10.3109/00365527809182189]</w:t>
      </w:r>
    </w:p>
    <w:p w14:paraId="066A1FE3"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5 </w:t>
      </w:r>
      <w:r w:rsidRPr="00E65AD0">
        <w:rPr>
          <w:rFonts w:ascii="Book Antiqua" w:hAnsi="Book Antiqua"/>
          <w:b/>
          <w:bCs/>
        </w:rPr>
        <w:t>Carneiro F</w:t>
      </w:r>
      <w:r w:rsidRPr="00E65AD0">
        <w:rPr>
          <w:rFonts w:ascii="Book Antiqua" w:hAnsi="Book Antiqua"/>
        </w:rPr>
        <w:t xml:space="preserve">, Machado JC, David L, Reis C, Nogueira AM, Sobrinho-Simões M. Current thoughts on the histopathogenesis of gastric cancer. </w:t>
      </w:r>
      <w:r w:rsidRPr="00E65AD0">
        <w:rPr>
          <w:rFonts w:ascii="Book Antiqua" w:hAnsi="Book Antiqua"/>
          <w:i/>
          <w:iCs/>
        </w:rPr>
        <w:t xml:space="preserve">Eur J Cancer </w:t>
      </w:r>
      <w:r w:rsidRPr="00E65AD0">
        <w:rPr>
          <w:rFonts w:ascii="Book Antiqua" w:hAnsi="Book Antiqua"/>
          <w:i/>
          <w:iCs/>
        </w:rPr>
        <w:lastRenderedPageBreak/>
        <w:t>Prev</w:t>
      </w:r>
      <w:r w:rsidRPr="00E65AD0">
        <w:rPr>
          <w:rFonts w:ascii="Book Antiqua" w:hAnsi="Book Antiqua"/>
        </w:rPr>
        <w:t xml:space="preserve"> 2001; </w:t>
      </w:r>
      <w:r w:rsidRPr="00E65AD0">
        <w:rPr>
          <w:rFonts w:ascii="Book Antiqua" w:hAnsi="Book Antiqua"/>
          <w:b/>
          <w:bCs/>
        </w:rPr>
        <w:t>10</w:t>
      </w:r>
      <w:r w:rsidRPr="00E65AD0">
        <w:rPr>
          <w:rFonts w:ascii="Book Antiqua" w:hAnsi="Book Antiqua"/>
        </w:rPr>
        <w:t>: 101-102 [PMID: 11263582 DOI: 10.1097/00008469-200102000-00013]</w:t>
      </w:r>
    </w:p>
    <w:p w14:paraId="3056049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6 </w:t>
      </w:r>
      <w:r w:rsidRPr="00E65AD0">
        <w:rPr>
          <w:rFonts w:ascii="Book Antiqua" w:hAnsi="Book Antiqua"/>
          <w:b/>
          <w:bCs/>
        </w:rPr>
        <w:t>de Vries AC</w:t>
      </w:r>
      <w:r w:rsidRPr="00E65AD0">
        <w:rPr>
          <w:rFonts w:ascii="Book Antiqua" w:hAnsi="Book Antiqua"/>
        </w:rPr>
        <w:t xml:space="preserve">, van Grieken NC, Looman CW, Casparie MK, de Vries E, Meijer GA, Kuipers EJ. Gastric cancer risk in patients with premalignant gastric lesions: a nationwide cohort study in the Netherlands. </w:t>
      </w:r>
      <w:r w:rsidRPr="00E65AD0">
        <w:rPr>
          <w:rFonts w:ascii="Book Antiqua" w:hAnsi="Book Antiqua"/>
          <w:i/>
          <w:iCs/>
        </w:rPr>
        <w:t>Gastroenterology</w:t>
      </w:r>
      <w:r w:rsidRPr="00E65AD0">
        <w:rPr>
          <w:rFonts w:ascii="Book Antiqua" w:hAnsi="Book Antiqua"/>
        </w:rPr>
        <w:t xml:space="preserve"> 2008; </w:t>
      </w:r>
      <w:r w:rsidRPr="00E65AD0">
        <w:rPr>
          <w:rFonts w:ascii="Book Antiqua" w:hAnsi="Book Antiqua"/>
          <w:b/>
          <w:bCs/>
        </w:rPr>
        <w:t>134</w:t>
      </w:r>
      <w:r w:rsidRPr="00E65AD0">
        <w:rPr>
          <w:rFonts w:ascii="Book Antiqua" w:hAnsi="Book Antiqua"/>
        </w:rPr>
        <w:t>: 945-952 [PMID: 18395075 DOI: 10.1053/j.gastro.2008.01.071]</w:t>
      </w:r>
    </w:p>
    <w:p w14:paraId="6EFB908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7 </w:t>
      </w:r>
      <w:r w:rsidRPr="00E65AD0">
        <w:rPr>
          <w:rFonts w:ascii="Book Antiqua" w:hAnsi="Book Antiqua"/>
          <w:b/>
          <w:bCs/>
        </w:rPr>
        <w:t>Pimentel-Nunes P</w:t>
      </w:r>
      <w:r w:rsidRPr="00E65AD0">
        <w:rPr>
          <w:rFonts w:ascii="Book Antiqua" w:hAnsi="Book Antiqua"/>
        </w:rPr>
        <w:t xml:space="preserve">, Libânio D, Marcos-Pinto R, Areia M, Leja M, Esposito G, Garrido M, Kikuste I, Megraud F, Matysiak-Budnik T, Annibale B, Dumonceau JM, Barros R, Fléjou JF, Carneiro F, van Hooft JE, Kuipers EJ, Dinis-Ribeiro M. Management of epithelial precancerous conditions and lesions in the stomach (MAPS II): European Society of Gastrointestinal Endoscopy (ESGE), European Helicobacter and Microbiota Study Group (EHMSG), European Society of Pathology (ESP), and Sociedade Portuguesa de Endoscopia Digestiva (SPED) guideline update 2019. </w:t>
      </w:r>
      <w:r w:rsidRPr="00E65AD0">
        <w:rPr>
          <w:rFonts w:ascii="Book Antiqua" w:hAnsi="Book Antiqua"/>
          <w:i/>
          <w:iCs/>
        </w:rPr>
        <w:t>Endoscopy</w:t>
      </w:r>
      <w:r w:rsidRPr="00E65AD0">
        <w:rPr>
          <w:rFonts w:ascii="Book Antiqua" w:hAnsi="Book Antiqua"/>
        </w:rPr>
        <w:t xml:space="preserve"> 2019; </w:t>
      </w:r>
      <w:r w:rsidRPr="00E65AD0">
        <w:rPr>
          <w:rFonts w:ascii="Book Antiqua" w:hAnsi="Book Antiqua"/>
          <w:b/>
          <w:bCs/>
        </w:rPr>
        <w:t>51</w:t>
      </w:r>
      <w:r w:rsidRPr="00E65AD0">
        <w:rPr>
          <w:rFonts w:ascii="Book Antiqua" w:hAnsi="Book Antiqua"/>
        </w:rPr>
        <w:t>: 365-388 [PMID: 30841008 DOI: 10.1055/a-0859-1883]</w:t>
      </w:r>
    </w:p>
    <w:p w14:paraId="43E4DCFE"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8 </w:t>
      </w:r>
      <w:r w:rsidRPr="00E65AD0">
        <w:rPr>
          <w:rFonts w:ascii="Book Antiqua" w:hAnsi="Book Antiqua"/>
          <w:b/>
          <w:bCs/>
        </w:rPr>
        <w:t>Miceli E</w:t>
      </w:r>
      <w:r w:rsidRPr="00E65AD0">
        <w:rPr>
          <w:rFonts w:ascii="Book Antiqua" w:hAnsi="Book Antiqua"/>
        </w:rPr>
        <w:t xml:space="preserve">, Vanoli A, Lenti MV, Klersy C, Di Stefano M, Luinetti O, Caccia Dominioni C, Pisati M, Staiani M, Gentile A, Capuano F, Arpa G, Paulli M, Corazza GR, Di Sabatino A. Natural history of autoimmune atrophic gastritis: a prospective, single centre, long-term experience. </w:t>
      </w:r>
      <w:r w:rsidRPr="00E65AD0">
        <w:rPr>
          <w:rFonts w:ascii="Book Antiqua" w:hAnsi="Book Antiqua"/>
          <w:i/>
          <w:iCs/>
        </w:rPr>
        <w:t>Aliment Pharmacol Ther</w:t>
      </w:r>
      <w:r w:rsidRPr="00E65AD0">
        <w:rPr>
          <w:rFonts w:ascii="Book Antiqua" w:hAnsi="Book Antiqua"/>
        </w:rPr>
        <w:t xml:space="preserve"> 2019; </w:t>
      </w:r>
      <w:r w:rsidRPr="00E65AD0">
        <w:rPr>
          <w:rFonts w:ascii="Book Antiqua" w:hAnsi="Book Antiqua"/>
          <w:b/>
          <w:bCs/>
        </w:rPr>
        <w:t>50</w:t>
      </w:r>
      <w:r w:rsidRPr="00E65AD0">
        <w:rPr>
          <w:rFonts w:ascii="Book Antiqua" w:hAnsi="Book Antiqua"/>
        </w:rPr>
        <w:t>: 1172-1180 [PMID: 31621927 DOI: 10.1111/apt.15540]</w:t>
      </w:r>
    </w:p>
    <w:p w14:paraId="3DFED49D"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9 </w:t>
      </w:r>
      <w:r w:rsidRPr="00E65AD0">
        <w:rPr>
          <w:rFonts w:ascii="Book Antiqua" w:hAnsi="Book Antiqua"/>
          <w:b/>
          <w:bCs/>
        </w:rPr>
        <w:t>Wang P</w:t>
      </w:r>
      <w:r w:rsidRPr="00E65AD0">
        <w:rPr>
          <w:rFonts w:ascii="Book Antiqua" w:hAnsi="Book Antiqua"/>
        </w:rPr>
        <w:t xml:space="preserve">, Xia HH, Zhang JY, Dai LP, Xu XQ, Wang KJ. Association of interleukin-1 gene polymorphisms with gastric cancer: a meta-analysis. </w:t>
      </w:r>
      <w:r w:rsidRPr="00E65AD0">
        <w:rPr>
          <w:rFonts w:ascii="Book Antiqua" w:hAnsi="Book Antiqua"/>
          <w:i/>
          <w:iCs/>
        </w:rPr>
        <w:t>Int J Cancer</w:t>
      </w:r>
      <w:r w:rsidRPr="00E65AD0">
        <w:rPr>
          <w:rFonts w:ascii="Book Antiqua" w:hAnsi="Book Antiqua"/>
        </w:rPr>
        <w:t xml:space="preserve"> 2007; </w:t>
      </w:r>
      <w:r w:rsidRPr="00E65AD0">
        <w:rPr>
          <w:rFonts w:ascii="Book Antiqua" w:hAnsi="Book Antiqua"/>
          <w:b/>
          <w:bCs/>
        </w:rPr>
        <w:t>120</w:t>
      </w:r>
      <w:r w:rsidRPr="00E65AD0">
        <w:rPr>
          <w:rFonts w:ascii="Book Antiqua" w:hAnsi="Book Antiqua"/>
        </w:rPr>
        <w:t>: 552-562 [PMID: 17096351 DOI: 10.1002/ijc.22353]</w:t>
      </w:r>
    </w:p>
    <w:p w14:paraId="742F6ACA"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10 </w:t>
      </w:r>
      <w:r w:rsidRPr="00E65AD0">
        <w:rPr>
          <w:rFonts w:ascii="Book Antiqua" w:hAnsi="Book Antiqua"/>
          <w:b/>
          <w:bCs/>
        </w:rPr>
        <w:t>Camargo MC</w:t>
      </w:r>
      <w:r w:rsidRPr="00E65AD0">
        <w:rPr>
          <w:rFonts w:ascii="Book Antiqua" w:hAnsi="Book Antiqua"/>
        </w:rPr>
        <w:t xml:space="preserve">, Mera R, Correa P, Peek RM Jr, Fontham ET, Goodman KJ, Piazuelo MB, Sicinschi L, Zabaleta J, Schneider BG. Interleukin-1beta and interleukin-1 receptor antagonist gene polymorphisms and gastric cancer: a meta-analysis. </w:t>
      </w:r>
      <w:r w:rsidRPr="00E65AD0">
        <w:rPr>
          <w:rFonts w:ascii="Book Antiqua" w:hAnsi="Book Antiqua"/>
          <w:i/>
          <w:iCs/>
        </w:rPr>
        <w:t>Cancer Epidemiol Biomarkers Prev</w:t>
      </w:r>
      <w:r w:rsidRPr="00E65AD0">
        <w:rPr>
          <w:rFonts w:ascii="Book Antiqua" w:hAnsi="Book Antiqua"/>
        </w:rPr>
        <w:t xml:space="preserve"> 2006; </w:t>
      </w:r>
      <w:r w:rsidRPr="00E65AD0">
        <w:rPr>
          <w:rFonts w:ascii="Book Antiqua" w:hAnsi="Book Antiqua"/>
          <w:b/>
          <w:bCs/>
        </w:rPr>
        <w:t>15</w:t>
      </w:r>
      <w:r w:rsidRPr="00E65AD0">
        <w:rPr>
          <w:rFonts w:ascii="Book Antiqua" w:hAnsi="Book Antiqua"/>
        </w:rPr>
        <w:t>: 1674-1687 [PMID: 16985030 DOI: 10.1158/1055-9965.EPI-06-0189]</w:t>
      </w:r>
    </w:p>
    <w:p w14:paraId="5A20CCD4"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11 </w:t>
      </w:r>
      <w:r w:rsidRPr="00E65AD0">
        <w:rPr>
          <w:rFonts w:ascii="Book Antiqua" w:hAnsi="Book Antiqua"/>
          <w:b/>
          <w:bCs/>
        </w:rPr>
        <w:t>Hnatyszyn A</w:t>
      </w:r>
      <w:r w:rsidRPr="00E65AD0">
        <w:rPr>
          <w:rFonts w:ascii="Book Antiqua" w:hAnsi="Book Antiqua"/>
        </w:rPr>
        <w:t xml:space="preserve">, Wielgus K, Kaczmarek-Rys M, Skrzypczak-Zielinska M, Szalata M, Mikolajczyk-Stecyna J, Stanczyk J, Dziuba I, Mikstacki A, Slomski R. Interleukin-1 gene polymorphisms in chronic gastritis patients infected </w:t>
      </w:r>
      <w:r w:rsidRPr="00E65AD0">
        <w:rPr>
          <w:rFonts w:ascii="Book Antiqua" w:hAnsi="Book Antiqua"/>
        </w:rPr>
        <w:lastRenderedPageBreak/>
        <w:t xml:space="preserve">with Helicobacter pylori as risk factors of gastric cancer development. </w:t>
      </w:r>
      <w:r w:rsidRPr="00E65AD0">
        <w:rPr>
          <w:rFonts w:ascii="Book Antiqua" w:hAnsi="Book Antiqua"/>
          <w:i/>
          <w:iCs/>
        </w:rPr>
        <w:t>Arch Immunol Ther Exp (Warsz)</w:t>
      </w:r>
      <w:r w:rsidRPr="00E65AD0">
        <w:rPr>
          <w:rFonts w:ascii="Book Antiqua" w:hAnsi="Book Antiqua"/>
        </w:rPr>
        <w:t xml:space="preserve"> 2013; </w:t>
      </w:r>
      <w:r w:rsidRPr="00E65AD0">
        <w:rPr>
          <w:rFonts w:ascii="Book Antiqua" w:hAnsi="Book Antiqua"/>
          <w:b/>
          <w:bCs/>
        </w:rPr>
        <w:t>61</w:t>
      </w:r>
      <w:r w:rsidRPr="00E65AD0">
        <w:rPr>
          <w:rFonts w:ascii="Book Antiqua" w:hAnsi="Book Antiqua"/>
        </w:rPr>
        <w:t>: 503-512 [PMID: 23995914 DOI: 10.1007/s00005-013-0245-y]</w:t>
      </w:r>
    </w:p>
    <w:p w14:paraId="375ECE30"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12 </w:t>
      </w:r>
      <w:r w:rsidRPr="00E65AD0">
        <w:rPr>
          <w:rFonts w:ascii="Book Antiqua" w:hAnsi="Book Antiqua"/>
          <w:b/>
          <w:bCs/>
        </w:rPr>
        <w:t>Xue H</w:t>
      </w:r>
      <w:r w:rsidRPr="00E65AD0">
        <w:rPr>
          <w:rFonts w:ascii="Book Antiqua" w:hAnsi="Book Antiqua"/>
        </w:rPr>
        <w:t xml:space="preserve">, Lin B, Ni P, Xu H, Huang G. Interleukin-1B and interleukin-1 RN polymorphisms and gastric carcinoma risk: a meta-analysis. </w:t>
      </w:r>
      <w:r w:rsidRPr="00E65AD0">
        <w:rPr>
          <w:rFonts w:ascii="Book Antiqua" w:hAnsi="Book Antiqua"/>
          <w:i/>
          <w:iCs/>
        </w:rPr>
        <w:t>J Gastroenterol Hepatol</w:t>
      </w:r>
      <w:r w:rsidRPr="00E65AD0">
        <w:rPr>
          <w:rFonts w:ascii="Book Antiqua" w:hAnsi="Book Antiqua"/>
        </w:rPr>
        <w:t xml:space="preserve"> 2010; </w:t>
      </w:r>
      <w:r w:rsidRPr="00E65AD0">
        <w:rPr>
          <w:rFonts w:ascii="Book Antiqua" w:hAnsi="Book Antiqua"/>
          <w:b/>
          <w:bCs/>
        </w:rPr>
        <w:t>25</w:t>
      </w:r>
      <w:r w:rsidRPr="00E65AD0">
        <w:rPr>
          <w:rFonts w:ascii="Book Antiqua" w:hAnsi="Book Antiqua"/>
        </w:rPr>
        <w:t>: 1604-1617 [PMID: 20880168 DOI: 10.1111/j.1440-1746.2010.06428.x]</w:t>
      </w:r>
    </w:p>
    <w:p w14:paraId="4B18D3DD"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13 </w:t>
      </w:r>
      <w:r w:rsidRPr="00E65AD0">
        <w:rPr>
          <w:rFonts w:ascii="Book Antiqua" w:hAnsi="Book Antiqua"/>
          <w:b/>
          <w:bCs/>
        </w:rPr>
        <w:t>Loh M</w:t>
      </w:r>
      <w:r w:rsidRPr="00E65AD0">
        <w:rPr>
          <w:rFonts w:ascii="Book Antiqua" w:hAnsi="Book Antiqua"/>
        </w:rPr>
        <w:t xml:space="preserve">, Koh KX, Yeo BH, Song CM, Chia KS, Zhu F, Yeoh KG, Hill J, Iacopetta B, Soong R. Meta-analysis of genetic polymorphisms and gastric cancer risk: variability in associations according to race. </w:t>
      </w:r>
      <w:r w:rsidRPr="00E65AD0">
        <w:rPr>
          <w:rFonts w:ascii="Book Antiqua" w:hAnsi="Book Antiqua"/>
          <w:i/>
          <w:iCs/>
        </w:rPr>
        <w:t>Eur J Cancer</w:t>
      </w:r>
      <w:r w:rsidRPr="00E65AD0">
        <w:rPr>
          <w:rFonts w:ascii="Book Antiqua" w:hAnsi="Book Antiqua"/>
        </w:rPr>
        <w:t xml:space="preserve"> 2009; </w:t>
      </w:r>
      <w:r w:rsidRPr="00E65AD0">
        <w:rPr>
          <w:rFonts w:ascii="Book Antiqua" w:hAnsi="Book Antiqua"/>
          <w:b/>
          <w:bCs/>
        </w:rPr>
        <w:t>45</w:t>
      </w:r>
      <w:r w:rsidRPr="00E65AD0">
        <w:rPr>
          <w:rFonts w:ascii="Book Antiqua" w:hAnsi="Book Antiqua"/>
        </w:rPr>
        <w:t>: 2562-2568 [PMID: 19375306 DOI: 10.1016/j.ejca.2009.03.017]</w:t>
      </w:r>
    </w:p>
    <w:p w14:paraId="1284A99E"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14 </w:t>
      </w:r>
      <w:r w:rsidRPr="00E65AD0">
        <w:rPr>
          <w:rFonts w:ascii="Book Antiqua" w:hAnsi="Book Antiqua"/>
          <w:b/>
          <w:bCs/>
        </w:rPr>
        <w:t>Figueiredo C</w:t>
      </w:r>
      <w:r w:rsidRPr="00E65AD0">
        <w:rPr>
          <w:rFonts w:ascii="Book Antiqua" w:hAnsi="Book Antiqua"/>
        </w:rPr>
        <w:t xml:space="preserve">, Machado JC, Pharoah P, Seruca R, Sousa S, Carvalho R, Capelinha AF, Quint W, Caldas C, van Doorn LJ, Carneiro F, Sobrinho-Simões M. Helicobacter pylori and interleukin 1 genotyping: an opportunity to identify high-risk individuals for gastric carcinoma. </w:t>
      </w:r>
      <w:r w:rsidRPr="00E65AD0">
        <w:rPr>
          <w:rFonts w:ascii="Book Antiqua" w:hAnsi="Book Antiqua"/>
          <w:i/>
          <w:iCs/>
        </w:rPr>
        <w:t>J Natl Cancer Inst</w:t>
      </w:r>
      <w:r w:rsidRPr="00E65AD0">
        <w:rPr>
          <w:rFonts w:ascii="Book Antiqua" w:hAnsi="Book Antiqua"/>
        </w:rPr>
        <w:t xml:space="preserve"> 2002; </w:t>
      </w:r>
      <w:r w:rsidRPr="00E65AD0">
        <w:rPr>
          <w:rFonts w:ascii="Book Antiqua" w:hAnsi="Book Antiqua"/>
          <w:b/>
          <w:bCs/>
        </w:rPr>
        <w:t>94</w:t>
      </w:r>
      <w:r w:rsidRPr="00E65AD0">
        <w:rPr>
          <w:rFonts w:ascii="Book Antiqua" w:hAnsi="Book Antiqua"/>
        </w:rPr>
        <w:t>: 1680-1687 [PMID: 12441323 DOI: 10.1093/jnci/94.22.1680]</w:t>
      </w:r>
    </w:p>
    <w:p w14:paraId="066BCE3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15 </w:t>
      </w:r>
      <w:r w:rsidRPr="00E65AD0">
        <w:rPr>
          <w:rFonts w:ascii="Book Antiqua" w:hAnsi="Book Antiqua"/>
          <w:b/>
          <w:bCs/>
        </w:rPr>
        <w:t>Amieva MR</w:t>
      </w:r>
      <w:r w:rsidRPr="00E65AD0">
        <w:rPr>
          <w:rFonts w:ascii="Book Antiqua" w:hAnsi="Book Antiqua"/>
        </w:rPr>
        <w:t xml:space="preserve">, El-Omar EM. Host-bacterial interactions in Helicobacter pylori infection. </w:t>
      </w:r>
      <w:r w:rsidRPr="00E65AD0">
        <w:rPr>
          <w:rFonts w:ascii="Book Antiqua" w:hAnsi="Book Antiqua"/>
          <w:i/>
          <w:iCs/>
        </w:rPr>
        <w:t>Gastroenterology</w:t>
      </w:r>
      <w:r w:rsidRPr="00E65AD0">
        <w:rPr>
          <w:rFonts w:ascii="Book Antiqua" w:hAnsi="Book Antiqua"/>
        </w:rPr>
        <w:t xml:space="preserve"> 2008; </w:t>
      </w:r>
      <w:r w:rsidRPr="00E65AD0">
        <w:rPr>
          <w:rFonts w:ascii="Book Antiqua" w:hAnsi="Book Antiqua"/>
          <w:b/>
          <w:bCs/>
        </w:rPr>
        <w:t>134</w:t>
      </w:r>
      <w:r w:rsidRPr="00E65AD0">
        <w:rPr>
          <w:rFonts w:ascii="Book Antiqua" w:hAnsi="Book Antiqua"/>
        </w:rPr>
        <w:t>: 306-323 [PMID: 18166359 DOI: 10.1053/j.gastro.2007.11.009]</w:t>
      </w:r>
    </w:p>
    <w:p w14:paraId="70D205B0"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16 </w:t>
      </w:r>
      <w:r w:rsidRPr="00E65AD0">
        <w:rPr>
          <w:rFonts w:ascii="Book Antiqua" w:hAnsi="Book Antiqua"/>
          <w:b/>
          <w:bCs/>
        </w:rPr>
        <w:t>Machado JC</w:t>
      </w:r>
      <w:r w:rsidRPr="00E65AD0">
        <w:rPr>
          <w:rFonts w:ascii="Book Antiqua" w:hAnsi="Book Antiqua"/>
        </w:rPr>
        <w:t xml:space="preserve">, Figueiredo C, Canedo P, Pharoah P, Carvalho R, Nabais S, Castro Alves C, Campos ML, Van Doorn LJ, Caldas C, Seruca R, Carneiro F, Sobrinho-Simões M. A proinflammatory genetic profile increases the risk for chronic atrophic gastritis and gastric carcinoma. </w:t>
      </w:r>
      <w:r w:rsidRPr="00E65AD0">
        <w:rPr>
          <w:rFonts w:ascii="Book Antiqua" w:hAnsi="Book Antiqua"/>
          <w:i/>
          <w:iCs/>
        </w:rPr>
        <w:t>Gastroenterology</w:t>
      </w:r>
      <w:r w:rsidRPr="00E65AD0">
        <w:rPr>
          <w:rFonts w:ascii="Book Antiqua" w:hAnsi="Book Antiqua"/>
        </w:rPr>
        <w:t xml:space="preserve"> 2003; </w:t>
      </w:r>
      <w:r w:rsidRPr="00E65AD0">
        <w:rPr>
          <w:rFonts w:ascii="Book Antiqua" w:hAnsi="Book Antiqua"/>
          <w:b/>
          <w:bCs/>
        </w:rPr>
        <w:t>125</w:t>
      </w:r>
      <w:r w:rsidRPr="00E65AD0">
        <w:rPr>
          <w:rFonts w:ascii="Book Antiqua" w:hAnsi="Book Antiqua"/>
        </w:rPr>
        <w:t>: 364-371 [PMID: 12891537 DOI: 10.1016/s0016-5085(03)00899-0]</w:t>
      </w:r>
    </w:p>
    <w:p w14:paraId="4431339D"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17 </w:t>
      </w:r>
      <w:r w:rsidRPr="00E65AD0">
        <w:rPr>
          <w:rFonts w:ascii="Book Antiqua" w:hAnsi="Book Antiqua"/>
          <w:b/>
          <w:bCs/>
        </w:rPr>
        <w:t>Huang JQ</w:t>
      </w:r>
      <w:r w:rsidRPr="00E65AD0">
        <w:rPr>
          <w:rFonts w:ascii="Book Antiqua" w:hAnsi="Book Antiqua"/>
        </w:rPr>
        <w:t xml:space="preserve">, Zheng GF, Sumanac K, Irvine EJ, Hunt RH. Meta-analysis of the relationship between cagA seropositivity and gastric cancer. </w:t>
      </w:r>
      <w:r w:rsidRPr="00E65AD0">
        <w:rPr>
          <w:rFonts w:ascii="Book Antiqua" w:hAnsi="Book Antiqua"/>
          <w:i/>
          <w:iCs/>
        </w:rPr>
        <w:t>Gastroenterology</w:t>
      </w:r>
      <w:r w:rsidRPr="00E65AD0">
        <w:rPr>
          <w:rFonts w:ascii="Book Antiqua" w:hAnsi="Book Antiqua"/>
        </w:rPr>
        <w:t xml:space="preserve"> 2003; </w:t>
      </w:r>
      <w:r w:rsidRPr="00E65AD0">
        <w:rPr>
          <w:rFonts w:ascii="Book Antiqua" w:hAnsi="Book Antiqua"/>
          <w:b/>
          <w:bCs/>
        </w:rPr>
        <w:t>125</w:t>
      </w:r>
      <w:r w:rsidRPr="00E65AD0">
        <w:rPr>
          <w:rFonts w:ascii="Book Antiqua" w:hAnsi="Book Antiqua"/>
        </w:rPr>
        <w:t>: 1636-1644 [PMID: 14724815 DOI: 10.1053/j.gastro.2003.08.033]</w:t>
      </w:r>
    </w:p>
    <w:p w14:paraId="2E95DF7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18 </w:t>
      </w:r>
      <w:r w:rsidRPr="00E65AD0">
        <w:rPr>
          <w:rFonts w:ascii="Book Antiqua" w:hAnsi="Book Antiqua"/>
          <w:b/>
          <w:bCs/>
        </w:rPr>
        <w:t>Palli D</w:t>
      </w:r>
      <w:r w:rsidRPr="00E65AD0">
        <w:rPr>
          <w:rFonts w:ascii="Book Antiqua" w:hAnsi="Book Antiqua"/>
        </w:rPr>
        <w:t xml:space="preserve">, Masala G, Del Giudice G, Plebani M, Basso D, Berti D, Numans ME, Ceroti M, Peeters PH, Bueno de Mesquita HB, Buchner FL, Clavel-Chapelon F, Boutron-Ruault MC, Krogh V, Saieva C, Vineis P, Panico S, </w:t>
      </w:r>
      <w:r w:rsidRPr="00E65AD0">
        <w:rPr>
          <w:rFonts w:ascii="Book Antiqua" w:hAnsi="Book Antiqua"/>
        </w:rPr>
        <w:lastRenderedPageBreak/>
        <w:t xml:space="preserve">Tumino R, Nyrén O, Simán H, Berglund G, Hallmans G, Sanchez MJ, Larrãnaga N, Barricarte A, Navarro C, Quiros JR, Key T, Allen N, Bingham S, Khaw KT, Boeing H, Weikert C, Linseisen J, Nagel G, Overvad K, Thomsen RW, Tjonneland A, Olsen A, Trichoupoulou A, Trichopoulos D, Arvaniti A, Pera G, Kaaks R, Jenab M, Ferrari P, Nesi G, Carneiro F, Riboli E, Gonzalez CA. CagA+ Helicobacter pylori infection and gastric cancer risk in the EPIC-EURGAST study. </w:t>
      </w:r>
      <w:r w:rsidRPr="00E65AD0">
        <w:rPr>
          <w:rFonts w:ascii="Book Antiqua" w:hAnsi="Book Antiqua"/>
          <w:i/>
          <w:iCs/>
        </w:rPr>
        <w:t>Int J Cancer</w:t>
      </w:r>
      <w:r w:rsidRPr="00E65AD0">
        <w:rPr>
          <w:rFonts w:ascii="Book Antiqua" w:hAnsi="Book Antiqua"/>
        </w:rPr>
        <w:t xml:space="preserve"> 2007; </w:t>
      </w:r>
      <w:r w:rsidRPr="00E65AD0">
        <w:rPr>
          <w:rFonts w:ascii="Book Antiqua" w:hAnsi="Book Antiqua"/>
          <w:b/>
          <w:bCs/>
        </w:rPr>
        <w:t>120</w:t>
      </w:r>
      <w:r w:rsidRPr="00E65AD0">
        <w:rPr>
          <w:rFonts w:ascii="Book Antiqua" w:hAnsi="Book Antiqua"/>
        </w:rPr>
        <w:t>: 859-867 [PMID: 17131317 DOI: 10.1002/ijc.22435]</w:t>
      </w:r>
    </w:p>
    <w:p w14:paraId="46AB5C88"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19 </w:t>
      </w:r>
      <w:r w:rsidRPr="00E65AD0">
        <w:rPr>
          <w:rFonts w:ascii="Book Antiqua" w:hAnsi="Book Antiqua"/>
          <w:b/>
          <w:bCs/>
        </w:rPr>
        <w:t>Basso D</w:t>
      </w:r>
      <w:r w:rsidRPr="00E65AD0">
        <w:rPr>
          <w:rFonts w:ascii="Book Antiqua" w:hAnsi="Book Antiqua"/>
        </w:rPr>
        <w:t xml:space="preserve">, Zambon CF, Letley DP, Stranges A, Marchet A, Rhead JL, Schiavon S, Guariso G, Ceroti M, Nitti D, Rugge M, Plebani M, Atherton JC. Clinical relevance of Helicobacter pylori cagA and vacA gene polymorphisms. </w:t>
      </w:r>
      <w:r w:rsidRPr="00E65AD0">
        <w:rPr>
          <w:rFonts w:ascii="Book Antiqua" w:hAnsi="Book Antiqua"/>
          <w:i/>
          <w:iCs/>
        </w:rPr>
        <w:t>Gastroenterology</w:t>
      </w:r>
      <w:r w:rsidRPr="00E65AD0">
        <w:rPr>
          <w:rFonts w:ascii="Book Antiqua" w:hAnsi="Book Antiqua"/>
        </w:rPr>
        <w:t xml:space="preserve"> 2008; </w:t>
      </w:r>
      <w:r w:rsidRPr="00E65AD0">
        <w:rPr>
          <w:rFonts w:ascii="Book Antiqua" w:hAnsi="Book Antiqua"/>
          <w:b/>
          <w:bCs/>
        </w:rPr>
        <w:t>135</w:t>
      </w:r>
      <w:r w:rsidRPr="00E65AD0">
        <w:rPr>
          <w:rFonts w:ascii="Book Antiqua" w:hAnsi="Book Antiqua"/>
        </w:rPr>
        <w:t>: 91-99 [PMID: 18474244 DOI: 10.1053/j.gastro.2008.03.041]</w:t>
      </w:r>
    </w:p>
    <w:p w14:paraId="3709A7FF"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20 </w:t>
      </w:r>
      <w:r w:rsidRPr="00E65AD0">
        <w:rPr>
          <w:rFonts w:ascii="Book Antiqua" w:hAnsi="Book Antiqua"/>
          <w:b/>
          <w:bCs/>
        </w:rPr>
        <w:t>Rizzato C</w:t>
      </w:r>
      <w:r w:rsidRPr="00E65AD0">
        <w:rPr>
          <w:rFonts w:ascii="Book Antiqua" w:hAnsi="Book Antiqua"/>
        </w:rPr>
        <w:t xml:space="preserve">, Kato I, Plummer M, Muñoz N, Stein A, Jan van Doorn L, Franceschi S, Canzian F. Risk of advanced gastric precancerous lesions in Helicobacter pylori infected subjects is influenced by ABO blood group and cagA status. </w:t>
      </w:r>
      <w:r w:rsidRPr="00E65AD0">
        <w:rPr>
          <w:rFonts w:ascii="Book Antiqua" w:hAnsi="Book Antiqua"/>
          <w:i/>
          <w:iCs/>
        </w:rPr>
        <w:t>Int J Cancer</w:t>
      </w:r>
      <w:r w:rsidRPr="00E65AD0">
        <w:rPr>
          <w:rFonts w:ascii="Book Antiqua" w:hAnsi="Book Antiqua"/>
        </w:rPr>
        <w:t xml:space="preserve"> 2013; </w:t>
      </w:r>
      <w:r w:rsidRPr="00E65AD0">
        <w:rPr>
          <w:rFonts w:ascii="Book Antiqua" w:hAnsi="Book Antiqua"/>
          <w:b/>
          <w:bCs/>
        </w:rPr>
        <w:t>133</w:t>
      </w:r>
      <w:r w:rsidRPr="00E65AD0">
        <w:rPr>
          <w:rFonts w:ascii="Book Antiqua" w:hAnsi="Book Antiqua"/>
        </w:rPr>
        <w:t>: 315-322 [PMID: 23319424 DOI: 10.1002/ijc.28019]</w:t>
      </w:r>
    </w:p>
    <w:p w14:paraId="087EAC45"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21 </w:t>
      </w:r>
      <w:r w:rsidRPr="00E65AD0">
        <w:rPr>
          <w:rFonts w:ascii="Book Antiqua" w:hAnsi="Book Antiqua"/>
          <w:b/>
          <w:bCs/>
        </w:rPr>
        <w:t>Lee YC</w:t>
      </w:r>
      <w:r w:rsidRPr="00E65AD0">
        <w:rPr>
          <w:rFonts w:ascii="Book Antiqua" w:hAnsi="Book Antiqua"/>
        </w:rPr>
        <w:t xml:space="preserve">, Chen TH, Chiu HM, Shun CT, Chiang H, Liu TY, Wu MS, Lin JT. The benefit of mass eradication of Helicobacter pylori infection: a community-based study of gastric cancer prevention. </w:t>
      </w:r>
      <w:r w:rsidRPr="00E65AD0">
        <w:rPr>
          <w:rFonts w:ascii="Book Antiqua" w:hAnsi="Book Antiqua"/>
          <w:i/>
          <w:iCs/>
        </w:rPr>
        <w:t>Gut</w:t>
      </w:r>
      <w:r w:rsidRPr="00E65AD0">
        <w:rPr>
          <w:rFonts w:ascii="Book Antiqua" w:hAnsi="Book Antiqua"/>
        </w:rPr>
        <w:t xml:space="preserve"> 2013; </w:t>
      </w:r>
      <w:r w:rsidRPr="00E65AD0">
        <w:rPr>
          <w:rFonts w:ascii="Book Antiqua" w:hAnsi="Book Antiqua"/>
          <w:b/>
          <w:bCs/>
        </w:rPr>
        <w:t>62</w:t>
      </w:r>
      <w:r w:rsidRPr="00E65AD0">
        <w:rPr>
          <w:rFonts w:ascii="Book Antiqua" w:hAnsi="Book Antiqua"/>
        </w:rPr>
        <w:t>: 676-682 [PMID: 22698649 DOI: 10.1136/gutjnl-2012-302240]</w:t>
      </w:r>
    </w:p>
    <w:p w14:paraId="7EA3833E"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22 </w:t>
      </w:r>
      <w:r w:rsidRPr="00E65AD0">
        <w:rPr>
          <w:rFonts w:ascii="Book Antiqua" w:hAnsi="Book Antiqua"/>
          <w:b/>
          <w:bCs/>
        </w:rPr>
        <w:t>Leung WK</w:t>
      </w:r>
      <w:r w:rsidRPr="00E65AD0">
        <w:rPr>
          <w:rFonts w:ascii="Book Antiqua" w:hAnsi="Book Antiqua"/>
        </w:rPr>
        <w:t xml:space="preserve">, Lin SR, Ching JY, To KF, Ng EK, Chan FK, Lau JY, Sung JJ. Factors predicting progression of gastric intestinal metaplasia: results of a randomised trial on Helicobacter pylori eradication. </w:t>
      </w:r>
      <w:r w:rsidRPr="00E65AD0">
        <w:rPr>
          <w:rFonts w:ascii="Book Antiqua" w:hAnsi="Book Antiqua"/>
          <w:i/>
          <w:iCs/>
        </w:rPr>
        <w:t>Gut</w:t>
      </w:r>
      <w:r w:rsidRPr="00E65AD0">
        <w:rPr>
          <w:rFonts w:ascii="Book Antiqua" w:hAnsi="Book Antiqua"/>
        </w:rPr>
        <w:t xml:space="preserve"> 2004; </w:t>
      </w:r>
      <w:r w:rsidRPr="00E65AD0">
        <w:rPr>
          <w:rFonts w:ascii="Book Antiqua" w:hAnsi="Book Antiqua"/>
          <w:b/>
          <w:bCs/>
        </w:rPr>
        <w:t>53</w:t>
      </w:r>
      <w:r w:rsidRPr="00E65AD0">
        <w:rPr>
          <w:rFonts w:ascii="Book Antiqua" w:hAnsi="Book Antiqua"/>
        </w:rPr>
        <w:t>: 1244-1249 [PMID: 15306578 DOI: 10.1136/gut.2003.034629]</w:t>
      </w:r>
    </w:p>
    <w:p w14:paraId="61EED9DB"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23 </w:t>
      </w:r>
      <w:r w:rsidRPr="00E65AD0">
        <w:rPr>
          <w:rFonts w:ascii="Book Antiqua" w:hAnsi="Book Antiqua"/>
          <w:b/>
          <w:bCs/>
        </w:rPr>
        <w:t>You WC</w:t>
      </w:r>
      <w:r w:rsidRPr="00E65AD0">
        <w:rPr>
          <w:rFonts w:ascii="Book Antiqua" w:hAnsi="Book Antiqua"/>
        </w:rPr>
        <w:t xml:space="preserve">, Brown LM, Zhang L, Li JY, Jin ML, Chang YS, Ma JL, Pan KF, Liu WD, Hu Y, Crystal-Mansour S, Pee D, Blot WJ, Fraumeni JF Jr, Xu GW, Gail MH. Randomized double-blind factorial trial of three treatments to reduce the prevalence of precancerous gastric lesions. </w:t>
      </w:r>
      <w:r w:rsidRPr="00E65AD0">
        <w:rPr>
          <w:rFonts w:ascii="Book Antiqua" w:hAnsi="Book Antiqua"/>
          <w:i/>
          <w:iCs/>
        </w:rPr>
        <w:t>J Natl Cancer Inst</w:t>
      </w:r>
      <w:r w:rsidRPr="00E65AD0">
        <w:rPr>
          <w:rFonts w:ascii="Book Antiqua" w:hAnsi="Book Antiqua"/>
        </w:rPr>
        <w:t xml:space="preserve"> 2006; </w:t>
      </w:r>
      <w:r w:rsidRPr="00E65AD0">
        <w:rPr>
          <w:rFonts w:ascii="Book Antiqua" w:hAnsi="Book Antiqua"/>
          <w:b/>
          <w:bCs/>
        </w:rPr>
        <w:t>98</w:t>
      </w:r>
      <w:r w:rsidRPr="00E65AD0">
        <w:rPr>
          <w:rFonts w:ascii="Book Antiqua" w:hAnsi="Book Antiqua"/>
        </w:rPr>
        <w:t>: 974-983 [PMID: 16849680 DOI: 10.1093/jnci/djj264]</w:t>
      </w:r>
    </w:p>
    <w:p w14:paraId="23289BF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lastRenderedPageBreak/>
        <w:t xml:space="preserve">24 </w:t>
      </w:r>
      <w:r w:rsidRPr="00E65AD0">
        <w:rPr>
          <w:rFonts w:ascii="Book Antiqua" w:hAnsi="Book Antiqua"/>
          <w:b/>
          <w:bCs/>
        </w:rPr>
        <w:t>Wong BC</w:t>
      </w:r>
      <w:r w:rsidRPr="00E65AD0">
        <w:rPr>
          <w:rFonts w:ascii="Book Antiqua" w:hAnsi="Book Antiqua"/>
        </w:rPr>
        <w:t xml:space="preserve">, Lam SK, Wong WM, Chen JS, Zheng TT, Feng RE, Lai KC, Hu WH, Yuen ST, Leung SY, Fong DY, Ho J, Ching CK, Chen JS; China Gastric Cancer Study Group. Helicobacter pylori eradication to prevent gastric cancer in a high-risk region of China: a randomized controlled trial. </w:t>
      </w:r>
      <w:r w:rsidRPr="00E65AD0">
        <w:rPr>
          <w:rFonts w:ascii="Book Antiqua" w:hAnsi="Book Antiqua"/>
          <w:i/>
          <w:iCs/>
        </w:rPr>
        <w:t>JAMA</w:t>
      </w:r>
      <w:r w:rsidRPr="00E65AD0">
        <w:rPr>
          <w:rFonts w:ascii="Book Antiqua" w:hAnsi="Book Antiqua"/>
        </w:rPr>
        <w:t xml:space="preserve"> 2004; </w:t>
      </w:r>
      <w:r w:rsidRPr="00E65AD0">
        <w:rPr>
          <w:rFonts w:ascii="Book Antiqua" w:hAnsi="Book Antiqua"/>
          <w:b/>
          <w:bCs/>
        </w:rPr>
        <w:t>291</w:t>
      </w:r>
      <w:r w:rsidRPr="00E65AD0">
        <w:rPr>
          <w:rFonts w:ascii="Book Antiqua" w:hAnsi="Book Antiqua"/>
        </w:rPr>
        <w:t>: 187-194 [PMID: 14722144 DOI: 10.1001/jama.291.2.187]</w:t>
      </w:r>
    </w:p>
    <w:p w14:paraId="67F46B2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25 </w:t>
      </w:r>
      <w:r w:rsidRPr="00E65AD0">
        <w:rPr>
          <w:rFonts w:ascii="Book Antiqua" w:hAnsi="Book Antiqua"/>
          <w:b/>
          <w:bCs/>
        </w:rPr>
        <w:t>Chen HN</w:t>
      </w:r>
      <w:r w:rsidRPr="00E65AD0">
        <w:rPr>
          <w:rFonts w:ascii="Book Antiqua" w:hAnsi="Book Antiqua"/>
        </w:rPr>
        <w:t xml:space="preserve">, Wang Z, Li X, Zhou ZG. Helicobacter pylori eradication cannot reduce the risk of gastric cancer in patients with intestinal metaplasia and dysplasia: evidence from a meta-analysis. </w:t>
      </w:r>
      <w:r w:rsidRPr="00E65AD0">
        <w:rPr>
          <w:rFonts w:ascii="Book Antiqua" w:hAnsi="Book Antiqua"/>
          <w:i/>
          <w:iCs/>
        </w:rPr>
        <w:t>Gastric Cancer</w:t>
      </w:r>
      <w:r w:rsidRPr="00E65AD0">
        <w:rPr>
          <w:rFonts w:ascii="Book Antiqua" w:hAnsi="Book Antiqua"/>
        </w:rPr>
        <w:t xml:space="preserve"> 2016; </w:t>
      </w:r>
      <w:r w:rsidRPr="00E65AD0">
        <w:rPr>
          <w:rFonts w:ascii="Book Antiqua" w:hAnsi="Book Antiqua"/>
          <w:b/>
          <w:bCs/>
        </w:rPr>
        <w:t>19</w:t>
      </w:r>
      <w:r w:rsidRPr="00E65AD0">
        <w:rPr>
          <w:rFonts w:ascii="Book Antiqua" w:hAnsi="Book Antiqua"/>
        </w:rPr>
        <w:t>: 166-175 [PMID: 25609452 DOI: 10.1007/s10120-015-0462-7]</w:t>
      </w:r>
    </w:p>
    <w:p w14:paraId="26BEE2BA"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26 </w:t>
      </w:r>
      <w:r w:rsidRPr="00E65AD0">
        <w:rPr>
          <w:rFonts w:ascii="Book Antiqua" w:hAnsi="Book Antiqua"/>
          <w:b/>
          <w:bCs/>
        </w:rPr>
        <w:t>Chey WD</w:t>
      </w:r>
      <w:r w:rsidRPr="00E65AD0">
        <w:rPr>
          <w:rFonts w:ascii="Book Antiqua" w:hAnsi="Book Antiqua"/>
        </w:rPr>
        <w:t xml:space="preserve">, Wong BC; Practice Parameters Committee of the American College of Gastroenterology. American College of Gastroenterology guideline on the management of Helicobacter pylori infection. </w:t>
      </w:r>
      <w:r w:rsidRPr="00E65AD0">
        <w:rPr>
          <w:rFonts w:ascii="Book Antiqua" w:hAnsi="Book Antiqua"/>
          <w:i/>
          <w:iCs/>
        </w:rPr>
        <w:t>Am J Gastroenterol</w:t>
      </w:r>
      <w:r w:rsidRPr="00E65AD0">
        <w:rPr>
          <w:rFonts w:ascii="Book Antiqua" w:hAnsi="Book Antiqua"/>
        </w:rPr>
        <w:t xml:space="preserve"> 2007; </w:t>
      </w:r>
      <w:r w:rsidRPr="00E65AD0">
        <w:rPr>
          <w:rFonts w:ascii="Book Antiqua" w:hAnsi="Book Antiqua"/>
          <w:b/>
          <w:bCs/>
        </w:rPr>
        <w:t>102</w:t>
      </w:r>
      <w:r w:rsidRPr="00E65AD0">
        <w:rPr>
          <w:rFonts w:ascii="Book Antiqua" w:hAnsi="Book Antiqua"/>
        </w:rPr>
        <w:t>: 1808-1825 [PMID: 17608775 DOI: 10.1111/j.1572-0241.2007.01393.x]</w:t>
      </w:r>
    </w:p>
    <w:p w14:paraId="040CB837"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27 </w:t>
      </w:r>
      <w:r w:rsidRPr="00E65AD0">
        <w:rPr>
          <w:rFonts w:ascii="Book Antiqua" w:hAnsi="Book Antiqua"/>
          <w:b/>
          <w:bCs/>
        </w:rPr>
        <w:t>Malfertheiner P</w:t>
      </w:r>
      <w:r w:rsidRPr="00E65AD0">
        <w:rPr>
          <w:rFonts w:ascii="Book Antiqua" w:hAnsi="Book Antiqua"/>
        </w:rPr>
        <w:t xml:space="preserve">, Megraud F, O'Morain CA, Gisbert JP, Kuipers EJ, Axon AT, Bazzoli F, Gasbarrini A, Atherton J, Graham DY, Hunt R, Moayyedi P, Rokkas T, Rugge M, Selgrad M, Suerbaum S, Sugano K, El-Omar EM; European Helicobacter and Microbiota Study Group and Consensus panel. Management of Helicobacter pylori infection-the Maastricht V/Florence Consensus Report. </w:t>
      </w:r>
      <w:r w:rsidRPr="00E65AD0">
        <w:rPr>
          <w:rFonts w:ascii="Book Antiqua" w:hAnsi="Book Antiqua"/>
          <w:i/>
          <w:iCs/>
        </w:rPr>
        <w:t>Gut</w:t>
      </w:r>
      <w:r w:rsidRPr="00E65AD0">
        <w:rPr>
          <w:rFonts w:ascii="Book Antiqua" w:hAnsi="Book Antiqua"/>
        </w:rPr>
        <w:t xml:space="preserve"> 2017; </w:t>
      </w:r>
      <w:r w:rsidRPr="00E65AD0">
        <w:rPr>
          <w:rFonts w:ascii="Book Antiqua" w:hAnsi="Book Antiqua"/>
          <w:b/>
          <w:bCs/>
        </w:rPr>
        <w:t>66</w:t>
      </w:r>
      <w:r w:rsidRPr="00E65AD0">
        <w:rPr>
          <w:rFonts w:ascii="Book Antiqua" w:hAnsi="Book Antiqua"/>
        </w:rPr>
        <w:t>: 6-30 [PMID: 27707777 DOI: 10.1136/gutjnl-2016-312288]</w:t>
      </w:r>
    </w:p>
    <w:p w14:paraId="7703C3C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28 </w:t>
      </w:r>
      <w:r w:rsidRPr="00E65AD0">
        <w:rPr>
          <w:rFonts w:ascii="Book Antiqua" w:hAnsi="Book Antiqua"/>
          <w:b/>
          <w:bCs/>
        </w:rPr>
        <w:t>Dinis-Ribeiro M</w:t>
      </w:r>
      <w:r w:rsidRPr="00E65AD0">
        <w:rPr>
          <w:rFonts w:ascii="Book Antiqua" w:hAnsi="Book Antiqua"/>
        </w:rPr>
        <w:t xml:space="preserve">, Areia M, de Vries AC, Marcos-Pinto R, Monteiro-Soares M, O'Connor A, Pereira C, Pimentel-Nunes P, Correia R, Ensari A, Dumonceau JM, Machado JC, Macedo G, Malfertheiner P, Matysiak-Budnik T, Megraud F, Miki K, O'Morain C, Peek RM, Ponchon T, Ristimaki A, Rembacken B, Carneiro F, Kuipers EJ; European Society of Gastrointestinal Endoscopy; European Helicobacter Study Group; European Society of Pathology; Sociedade Portuguesa de Endoscopia Digestiva. Management of precancerous conditions and lesions in the stomach (MAPS): guideline from the European Society of Gastrointestinal Endoscopy (ESGE), European Helicobacter Study Group (EHSG), European Society of Pathology (ESP), and </w:t>
      </w:r>
      <w:r w:rsidRPr="00E65AD0">
        <w:rPr>
          <w:rFonts w:ascii="Book Antiqua" w:hAnsi="Book Antiqua"/>
        </w:rPr>
        <w:lastRenderedPageBreak/>
        <w:t xml:space="preserve">the Sociedade Portuguesa de Endoscopia Digestiva (SPED). </w:t>
      </w:r>
      <w:r w:rsidRPr="00E65AD0">
        <w:rPr>
          <w:rFonts w:ascii="Book Antiqua" w:hAnsi="Book Antiqua"/>
          <w:i/>
          <w:iCs/>
        </w:rPr>
        <w:t>Endoscopy</w:t>
      </w:r>
      <w:r w:rsidRPr="00E65AD0">
        <w:rPr>
          <w:rFonts w:ascii="Book Antiqua" w:hAnsi="Book Antiqua"/>
        </w:rPr>
        <w:t xml:space="preserve"> 2012; </w:t>
      </w:r>
      <w:r w:rsidRPr="00E65AD0">
        <w:rPr>
          <w:rFonts w:ascii="Book Antiqua" w:hAnsi="Book Antiqua"/>
          <w:b/>
          <w:bCs/>
        </w:rPr>
        <w:t>44</w:t>
      </w:r>
      <w:r w:rsidRPr="00E65AD0">
        <w:rPr>
          <w:rFonts w:ascii="Book Antiqua" w:hAnsi="Book Antiqua"/>
        </w:rPr>
        <w:t>: 74-94 [PMID: 22198778 DOI: 10.1055/s-0031-1291491]</w:t>
      </w:r>
    </w:p>
    <w:p w14:paraId="6679E901"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29 </w:t>
      </w:r>
      <w:r w:rsidRPr="00E65AD0">
        <w:rPr>
          <w:rFonts w:ascii="Book Antiqua" w:hAnsi="Book Antiqua"/>
          <w:b/>
          <w:bCs/>
        </w:rPr>
        <w:t>Pimentel-Nunes P</w:t>
      </w:r>
      <w:r w:rsidRPr="00E65AD0">
        <w:rPr>
          <w:rFonts w:ascii="Book Antiqua" w:hAnsi="Book Antiqua"/>
        </w:rPr>
        <w:t xml:space="preserve">, Libânio D, Lage J, Abrantes D, Coimbra M, Esposito G, Hormozdi D, Pepper M, Drasovean S, White JR, Dobru D, Buxbaum J, Ragunath K, Annibale B, Dinis-Ribeiro M. A multicenter prospective study of the real-time use of narrow-band imaging in the diagnosis of premalignant gastric conditions and lesions. </w:t>
      </w:r>
      <w:r w:rsidRPr="00E65AD0">
        <w:rPr>
          <w:rFonts w:ascii="Book Antiqua" w:hAnsi="Book Antiqua"/>
          <w:i/>
          <w:iCs/>
        </w:rPr>
        <w:t>Endoscopy</w:t>
      </w:r>
      <w:r w:rsidRPr="00E65AD0">
        <w:rPr>
          <w:rFonts w:ascii="Book Antiqua" w:hAnsi="Book Antiqua"/>
        </w:rPr>
        <w:t xml:space="preserve"> 2016; </w:t>
      </w:r>
      <w:r w:rsidRPr="00E65AD0">
        <w:rPr>
          <w:rFonts w:ascii="Book Antiqua" w:hAnsi="Book Antiqua"/>
          <w:b/>
          <w:bCs/>
        </w:rPr>
        <w:t>48</w:t>
      </w:r>
      <w:r w:rsidRPr="00E65AD0">
        <w:rPr>
          <w:rFonts w:ascii="Book Antiqua" w:hAnsi="Book Antiqua"/>
        </w:rPr>
        <w:t>: 723-730 [PMID: 27280384 DOI: 10.1055/s-0042-108435]</w:t>
      </w:r>
    </w:p>
    <w:p w14:paraId="6DECAB3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30 </w:t>
      </w:r>
      <w:r w:rsidRPr="00E65AD0">
        <w:rPr>
          <w:rFonts w:ascii="Book Antiqua" w:hAnsi="Book Antiqua"/>
          <w:b/>
          <w:bCs/>
        </w:rPr>
        <w:t>Dixon MF</w:t>
      </w:r>
      <w:r w:rsidRPr="00E65AD0">
        <w:rPr>
          <w:rFonts w:ascii="Book Antiqua" w:hAnsi="Book Antiqua"/>
        </w:rPr>
        <w:t xml:space="preserve">, Genta RM, Yardley JH, Correa P. Classification and grading of gastritis. The updated Sydney System. International Workshop on the Histopathology of Gastritis, Houston 1994. </w:t>
      </w:r>
      <w:r w:rsidRPr="00E65AD0">
        <w:rPr>
          <w:rFonts w:ascii="Book Antiqua" w:hAnsi="Book Antiqua"/>
          <w:i/>
          <w:iCs/>
        </w:rPr>
        <w:t>Am J Surg Pathol</w:t>
      </w:r>
      <w:r w:rsidRPr="00E65AD0">
        <w:rPr>
          <w:rFonts w:ascii="Book Antiqua" w:hAnsi="Book Antiqua"/>
        </w:rPr>
        <w:t xml:space="preserve"> 1996; </w:t>
      </w:r>
      <w:r w:rsidRPr="00E65AD0">
        <w:rPr>
          <w:rFonts w:ascii="Book Antiqua" w:hAnsi="Book Antiqua"/>
          <w:b/>
          <w:bCs/>
        </w:rPr>
        <w:t>20</w:t>
      </w:r>
      <w:r w:rsidRPr="00E65AD0">
        <w:rPr>
          <w:rFonts w:ascii="Book Antiqua" w:hAnsi="Book Antiqua"/>
        </w:rPr>
        <w:t>: 1161-1181 [PMID: 8827022 DOI: 10.1097/00000478-199610000-00001]</w:t>
      </w:r>
    </w:p>
    <w:p w14:paraId="2B708338"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31 </w:t>
      </w:r>
      <w:r w:rsidRPr="00E65AD0">
        <w:rPr>
          <w:rFonts w:ascii="Book Antiqua" w:hAnsi="Book Antiqua"/>
          <w:b/>
          <w:bCs/>
        </w:rPr>
        <w:t>Lahner E</w:t>
      </w:r>
      <w:r w:rsidRPr="00E65AD0">
        <w:rPr>
          <w:rFonts w:ascii="Book Antiqua" w:hAnsi="Book Antiqua"/>
        </w:rPr>
        <w:t xml:space="preserve">, Zagari RM, Zullo A, Di Sabatino A, Meggio A, Cesaro P, Lenti MV, Annibale B, Corazza GR. Chronic atrophic gastritis: Natural history, diagnosis and therapeutic management. A position paper by the Italian Society of Hospital Gastroenterologists and Digestive Endoscopists [AIGO], the Italian Society of Digestive Endoscopy [SIED], the Italian Society of Gastroenterology [SIGE], and the Italian Society of Internal Medicine [SIMI]. </w:t>
      </w:r>
      <w:r w:rsidRPr="00E65AD0">
        <w:rPr>
          <w:rFonts w:ascii="Book Antiqua" w:hAnsi="Book Antiqua"/>
          <w:i/>
          <w:iCs/>
        </w:rPr>
        <w:t>Dig Liver Dis</w:t>
      </w:r>
      <w:r w:rsidRPr="00E65AD0">
        <w:rPr>
          <w:rFonts w:ascii="Book Antiqua" w:hAnsi="Book Antiqua"/>
        </w:rPr>
        <w:t xml:space="preserve"> 2019; </w:t>
      </w:r>
      <w:r w:rsidRPr="00E65AD0">
        <w:rPr>
          <w:rFonts w:ascii="Book Antiqua" w:hAnsi="Book Antiqua"/>
          <w:b/>
          <w:bCs/>
        </w:rPr>
        <w:t>51</w:t>
      </w:r>
      <w:r w:rsidRPr="00E65AD0">
        <w:rPr>
          <w:rFonts w:ascii="Book Antiqua" w:hAnsi="Book Antiqua"/>
        </w:rPr>
        <w:t>: 1621-1632 [PMID: 31635944 DOI: 10.1016/j.dld.2019.09.016]</w:t>
      </w:r>
    </w:p>
    <w:p w14:paraId="1666BE1C" w14:textId="77777777" w:rsidR="00177CCF" w:rsidRPr="00E65AD0" w:rsidRDefault="00177CCF" w:rsidP="00E65AD0">
      <w:pPr>
        <w:snapToGrid w:val="0"/>
        <w:spacing w:after="0" w:line="360" w:lineRule="auto"/>
        <w:rPr>
          <w:rFonts w:ascii="Book Antiqua" w:eastAsia="宋体" w:hAnsi="Book Antiqua"/>
          <w:lang w:eastAsia="zh-CN"/>
        </w:rPr>
      </w:pPr>
      <w:r w:rsidRPr="00E65AD0">
        <w:rPr>
          <w:rFonts w:ascii="Book Antiqua" w:hAnsi="Book Antiqua"/>
        </w:rPr>
        <w:t>32</w:t>
      </w:r>
      <w:r w:rsidRPr="00E65AD0">
        <w:rPr>
          <w:rFonts w:ascii="Book Antiqua" w:eastAsia="宋体" w:hAnsi="Book Antiqua"/>
          <w:lang w:eastAsia="zh-CN"/>
        </w:rPr>
        <w:t xml:space="preserve"> </w:t>
      </w:r>
      <w:r w:rsidRPr="00E65AD0">
        <w:rPr>
          <w:rFonts w:ascii="Book Antiqua" w:hAnsi="Book Antiqua"/>
          <w:b/>
          <w:bCs/>
        </w:rPr>
        <w:t>Kimura</w:t>
      </w:r>
      <w:r w:rsidRPr="00E65AD0">
        <w:rPr>
          <w:rFonts w:ascii="Book Antiqua" w:eastAsia="宋体" w:hAnsi="Book Antiqua"/>
          <w:b/>
          <w:bCs/>
          <w:lang w:eastAsia="zh-CN"/>
        </w:rPr>
        <w:t xml:space="preserve"> K</w:t>
      </w:r>
      <w:r w:rsidRPr="00E65AD0">
        <w:rPr>
          <w:rFonts w:ascii="Book Antiqua" w:hAnsi="Book Antiqua"/>
          <w:b/>
          <w:bCs/>
        </w:rPr>
        <w:t>,</w:t>
      </w:r>
      <w:r w:rsidR="00CB0693" w:rsidRPr="00E65AD0">
        <w:rPr>
          <w:rFonts w:ascii="Book Antiqua" w:eastAsia="宋体" w:hAnsi="Book Antiqua"/>
          <w:lang w:eastAsia="zh-CN"/>
        </w:rPr>
        <w:t xml:space="preserve"> </w:t>
      </w:r>
      <w:r w:rsidRPr="00E65AD0">
        <w:rPr>
          <w:rFonts w:ascii="Book Antiqua" w:hAnsi="Book Antiqua"/>
        </w:rPr>
        <w:t>Takemoto</w:t>
      </w:r>
      <w:r w:rsidRPr="00E65AD0">
        <w:rPr>
          <w:rFonts w:ascii="Book Antiqua" w:eastAsia="宋体" w:hAnsi="Book Antiqua"/>
          <w:lang w:eastAsia="zh-CN"/>
        </w:rPr>
        <w:t xml:space="preserve"> T</w:t>
      </w:r>
      <w:r w:rsidRPr="00E65AD0">
        <w:rPr>
          <w:rFonts w:ascii="Book Antiqua" w:hAnsi="Book Antiqua"/>
        </w:rPr>
        <w:t xml:space="preserve">. </w:t>
      </w:r>
      <w:bookmarkStart w:id="17" w:name="OLE_LINK23"/>
      <w:bookmarkStart w:id="18" w:name="OLE_LINK24"/>
      <w:r w:rsidRPr="00E65AD0">
        <w:rPr>
          <w:rFonts w:ascii="Book Antiqua" w:hAnsi="Book Antiqua"/>
        </w:rPr>
        <w:t>An Endoscopic Recognition of the Atrophic Border and its Significance in Chronic Gastritis</w:t>
      </w:r>
      <w:bookmarkEnd w:id="17"/>
      <w:bookmarkEnd w:id="18"/>
      <w:r w:rsidRPr="00E65AD0">
        <w:rPr>
          <w:rFonts w:ascii="Book Antiqua" w:hAnsi="Book Antiqua"/>
        </w:rPr>
        <w:t xml:space="preserve">. </w:t>
      </w:r>
      <w:r w:rsidRPr="00E65AD0">
        <w:rPr>
          <w:rFonts w:ascii="Book Antiqua" w:hAnsi="Book Antiqua"/>
          <w:i/>
        </w:rPr>
        <w:t>Endoscopy</w:t>
      </w:r>
      <w:r w:rsidRPr="00E65AD0">
        <w:rPr>
          <w:rFonts w:ascii="Book Antiqua" w:hAnsi="Book Antiqua"/>
        </w:rPr>
        <w:t xml:space="preserve"> 1969; </w:t>
      </w:r>
      <w:r w:rsidRPr="00E65AD0">
        <w:rPr>
          <w:rFonts w:ascii="Book Antiqua" w:eastAsia="宋体" w:hAnsi="Book Antiqua"/>
          <w:b/>
          <w:lang w:eastAsia="zh-CN"/>
        </w:rPr>
        <w:t>1</w:t>
      </w:r>
      <w:r w:rsidRPr="00E65AD0">
        <w:rPr>
          <w:rFonts w:ascii="Book Antiqua" w:hAnsi="Book Antiqua"/>
        </w:rPr>
        <w:t>: 87-97</w:t>
      </w:r>
      <w:r w:rsidRPr="00E65AD0">
        <w:rPr>
          <w:rFonts w:ascii="Book Antiqua" w:eastAsia="宋体" w:hAnsi="Book Antiqua"/>
          <w:lang w:eastAsia="zh-CN"/>
        </w:rPr>
        <w:t xml:space="preserve"> [DOI: 10.1055/s-0028-1098086]</w:t>
      </w:r>
    </w:p>
    <w:p w14:paraId="7E97E593"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33 </w:t>
      </w:r>
      <w:r w:rsidRPr="00E65AD0">
        <w:rPr>
          <w:rFonts w:ascii="Book Antiqua" w:hAnsi="Book Antiqua"/>
          <w:b/>
          <w:bCs/>
        </w:rPr>
        <w:t>Capelle LG</w:t>
      </w:r>
      <w:r w:rsidRPr="00E65AD0">
        <w:rPr>
          <w:rFonts w:ascii="Book Antiqua" w:hAnsi="Book Antiqua"/>
        </w:rPr>
        <w:t xml:space="preserve">, Haringsma J, de Vries AC, Steyerberg EW, Biermann K, van Dekken H, Kuipers EJ. Narrow band imaging for the detection of gastric intestinal metaplasia and dysplasia during surveillance endoscopy. </w:t>
      </w:r>
      <w:r w:rsidRPr="00E65AD0">
        <w:rPr>
          <w:rFonts w:ascii="Book Antiqua" w:hAnsi="Book Antiqua"/>
          <w:i/>
          <w:iCs/>
        </w:rPr>
        <w:t>Dig Dis Sci</w:t>
      </w:r>
      <w:r w:rsidRPr="00E65AD0">
        <w:rPr>
          <w:rFonts w:ascii="Book Antiqua" w:hAnsi="Book Antiqua"/>
        </w:rPr>
        <w:t xml:space="preserve"> 2010; </w:t>
      </w:r>
      <w:r w:rsidRPr="00E65AD0">
        <w:rPr>
          <w:rFonts w:ascii="Book Antiqua" w:hAnsi="Book Antiqua"/>
          <w:b/>
          <w:bCs/>
        </w:rPr>
        <w:t>55</w:t>
      </w:r>
      <w:r w:rsidRPr="00E65AD0">
        <w:rPr>
          <w:rFonts w:ascii="Book Antiqua" w:hAnsi="Book Antiqua"/>
        </w:rPr>
        <w:t>: 3442-3448 [PMID: 20393882 DOI: 10.1007/s10620-010-1189-2]</w:t>
      </w:r>
    </w:p>
    <w:p w14:paraId="244F3B74"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34 </w:t>
      </w:r>
      <w:r w:rsidRPr="00E65AD0">
        <w:rPr>
          <w:rFonts w:ascii="Book Antiqua" w:hAnsi="Book Antiqua"/>
          <w:b/>
          <w:bCs/>
        </w:rPr>
        <w:t>Panteris V</w:t>
      </w:r>
      <w:r w:rsidRPr="00E65AD0">
        <w:rPr>
          <w:rFonts w:ascii="Book Antiqua" w:hAnsi="Book Antiqua"/>
        </w:rPr>
        <w:t xml:space="preserve">, Nikolopoulou S, Lountou A, Triantafillidis JK. Diagnostic capabilities of high-definition white light endoscopy for the diagnosis of gastric intestinal metaplasia and correlation with histologic and clinical data. </w:t>
      </w:r>
      <w:r w:rsidRPr="00E65AD0">
        <w:rPr>
          <w:rFonts w:ascii="Book Antiqua" w:hAnsi="Book Antiqua"/>
          <w:i/>
          <w:iCs/>
        </w:rPr>
        <w:lastRenderedPageBreak/>
        <w:t>Eur J Gastroenterol Hepatol</w:t>
      </w:r>
      <w:r w:rsidRPr="00E65AD0">
        <w:rPr>
          <w:rFonts w:ascii="Book Antiqua" w:hAnsi="Book Antiqua"/>
        </w:rPr>
        <w:t xml:space="preserve"> 2014; </w:t>
      </w:r>
      <w:r w:rsidRPr="00E65AD0">
        <w:rPr>
          <w:rFonts w:ascii="Book Antiqua" w:hAnsi="Book Antiqua"/>
          <w:b/>
          <w:bCs/>
        </w:rPr>
        <w:t>26</w:t>
      </w:r>
      <w:r w:rsidRPr="00E65AD0">
        <w:rPr>
          <w:rFonts w:ascii="Book Antiqua" w:hAnsi="Book Antiqua"/>
        </w:rPr>
        <w:t>: 594-601 [PMID: 24743505 DOI: 10.1097/MEG.0000000000000097]</w:t>
      </w:r>
    </w:p>
    <w:p w14:paraId="0EA89F25"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35 </w:t>
      </w:r>
      <w:r w:rsidRPr="00E65AD0">
        <w:rPr>
          <w:rFonts w:ascii="Book Antiqua" w:hAnsi="Book Antiqua"/>
          <w:b/>
          <w:bCs/>
        </w:rPr>
        <w:t>Ezoe Y</w:t>
      </w:r>
      <w:r w:rsidRPr="00E65AD0">
        <w:rPr>
          <w:rFonts w:ascii="Book Antiqua" w:hAnsi="Book Antiqua"/>
        </w:rPr>
        <w:t xml:space="preserve">, Muto M, Uedo N, Doyama H, Yao K, Oda I, Kaneko K, Kawahara Y, Yokoi C, Sugiura Y, Ishikawa H, Takeuchi Y, Kaneko Y, Saito Y. Magnifying narrowband imaging is more accurate than conventional white-light imaging in diagnosis of gastric mucosal cancer. </w:t>
      </w:r>
      <w:r w:rsidRPr="00E65AD0">
        <w:rPr>
          <w:rFonts w:ascii="Book Antiqua" w:hAnsi="Book Antiqua"/>
          <w:i/>
          <w:iCs/>
        </w:rPr>
        <w:t>Gastroenterology</w:t>
      </w:r>
      <w:r w:rsidRPr="00E65AD0">
        <w:rPr>
          <w:rFonts w:ascii="Book Antiqua" w:hAnsi="Book Antiqua"/>
        </w:rPr>
        <w:t xml:space="preserve"> 2011; </w:t>
      </w:r>
      <w:r w:rsidRPr="00E65AD0">
        <w:rPr>
          <w:rFonts w:ascii="Book Antiqua" w:hAnsi="Book Antiqua"/>
          <w:b/>
          <w:bCs/>
        </w:rPr>
        <w:t>141</w:t>
      </w:r>
      <w:r w:rsidRPr="00E65AD0">
        <w:rPr>
          <w:rFonts w:ascii="Book Antiqua" w:hAnsi="Book Antiqua"/>
        </w:rPr>
        <w:t>: 2017-2025.e3 [PMID: 21856268 DOI: 10.1053/j.gastro.2011.08.007]</w:t>
      </w:r>
    </w:p>
    <w:p w14:paraId="75EE054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36 </w:t>
      </w:r>
      <w:r w:rsidRPr="00E65AD0">
        <w:rPr>
          <w:rFonts w:ascii="Book Antiqua" w:hAnsi="Book Antiqua"/>
          <w:b/>
          <w:bCs/>
        </w:rPr>
        <w:t>Ang TL</w:t>
      </w:r>
      <w:r w:rsidRPr="00E65AD0">
        <w:rPr>
          <w:rFonts w:ascii="Book Antiqua" w:hAnsi="Book Antiqua"/>
        </w:rPr>
        <w:t xml:space="preserve">, Pittayanon R, Lau JY, Rerknimitr R, Ho SH, Singh R, Kwek AB, Ang DS, Chiu PW, Luk S, Goh KL, Ong JP, Tan JY, Teo EK, Fock KM. A multicenter randomized comparison between high-definition white light endoscopy and narrow band imaging for detection of gastric lesions. </w:t>
      </w:r>
      <w:r w:rsidRPr="00E65AD0">
        <w:rPr>
          <w:rFonts w:ascii="Book Antiqua" w:hAnsi="Book Antiqua"/>
          <w:i/>
          <w:iCs/>
        </w:rPr>
        <w:t>Eur J Gastroenterol Hepatol</w:t>
      </w:r>
      <w:r w:rsidRPr="00E65AD0">
        <w:rPr>
          <w:rFonts w:ascii="Book Antiqua" w:hAnsi="Book Antiqua"/>
        </w:rPr>
        <w:t xml:space="preserve"> 2015; </w:t>
      </w:r>
      <w:r w:rsidRPr="00E65AD0">
        <w:rPr>
          <w:rFonts w:ascii="Book Antiqua" w:hAnsi="Book Antiqua"/>
          <w:b/>
          <w:bCs/>
        </w:rPr>
        <w:t>27</w:t>
      </w:r>
      <w:r w:rsidRPr="00E65AD0">
        <w:rPr>
          <w:rFonts w:ascii="Book Antiqua" w:hAnsi="Book Antiqua"/>
        </w:rPr>
        <w:t>: 1473-1478 [PMID: 26426836 DOI: 10.1097/MEG.0000000000000478]</w:t>
      </w:r>
    </w:p>
    <w:p w14:paraId="474DC03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37 </w:t>
      </w:r>
      <w:r w:rsidRPr="00E65AD0">
        <w:rPr>
          <w:rFonts w:ascii="Book Antiqua" w:hAnsi="Book Antiqua"/>
          <w:b/>
          <w:bCs/>
        </w:rPr>
        <w:t>Pimentel-Nunes P</w:t>
      </w:r>
      <w:r w:rsidRPr="00E65AD0">
        <w:rPr>
          <w:rFonts w:ascii="Book Antiqua" w:hAnsi="Book Antiqua"/>
        </w:rPr>
        <w:t xml:space="preserve">, Dinis-Ribeiro M, Soares JB, Marcos-Pinto R, Santos C, Rolanda C, Bastos RP, Areia M, Afonso L, Bergman J, Sharma P, Gotoda T, Henrique R, Moreira-Dias L. A multicenter validation of an endoscopic classification with narrow band imaging for gastric precancerous and cancerous lesions. </w:t>
      </w:r>
      <w:r w:rsidRPr="00E65AD0">
        <w:rPr>
          <w:rFonts w:ascii="Book Antiqua" w:hAnsi="Book Antiqua"/>
          <w:i/>
          <w:iCs/>
        </w:rPr>
        <w:t>Endoscopy</w:t>
      </w:r>
      <w:r w:rsidRPr="00E65AD0">
        <w:rPr>
          <w:rFonts w:ascii="Book Antiqua" w:hAnsi="Book Antiqua"/>
        </w:rPr>
        <w:t xml:space="preserve"> 2012; </w:t>
      </w:r>
      <w:r w:rsidRPr="00E65AD0">
        <w:rPr>
          <w:rFonts w:ascii="Book Antiqua" w:hAnsi="Book Antiqua"/>
          <w:b/>
          <w:bCs/>
        </w:rPr>
        <w:t>44</w:t>
      </w:r>
      <w:r w:rsidRPr="00E65AD0">
        <w:rPr>
          <w:rFonts w:ascii="Book Antiqua" w:hAnsi="Book Antiqua"/>
        </w:rPr>
        <w:t>: 236-246 [PMID: 22294194 DOI: 10.1055/s-0031-1291537]</w:t>
      </w:r>
    </w:p>
    <w:p w14:paraId="0CD42A8B" w14:textId="77777777" w:rsidR="00177CCF" w:rsidRPr="00E65AD0" w:rsidRDefault="00177CCF" w:rsidP="00E65AD0">
      <w:pPr>
        <w:snapToGrid w:val="0"/>
        <w:spacing w:after="0" w:line="360" w:lineRule="auto"/>
        <w:rPr>
          <w:rFonts w:ascii="Book Antiqua" w:eastAsia="宋体" w:hAnsi="Book Antiqua"/>
          <w:lang w:eastAsia="zh-CN"/>
        </w:rPr>
      </w:pPr>
      <w:r w:rsidRPr="00E65AD0">
        <w:rPr>
          <w:rFonts w:ascii="Book Antiqua" w:hAnsi="Book Antiqua"/>
        </w:rPr>
        <w:t xml:space="preserve">38 </w:t>
      </w:r>
      <w:r w:rsidRPr="00E65AD0">
        <w:rPr>
          <w:rFonts w:ascii="Book Antiqua" w:hAnsi="Book Antiqua"/>
          <w:b/>
          <w:bCs/>
        </w:rPr>
        <w:t>Panarese A,</w:t>
      </w:r>
      <w:r w:rsidRPr="00E65AD0">
        <w:rPr>
          <w:rFonts w:ascii="Book Antiqua" w:hAnsi="Book Antiqua"/>
        </w:rPr>
        <w:t xml:space="preserve"> Shahini E, Pesce F, Caruso ML. Detection of lesions in Helicobacter Pylori gastritis before and after eradication by expert endoscopists. </w:t>
      </w:r>
      <w:r w:rsidRPr="00E65AD0">
        <w:rPr>
          <w:rFonts w:ascii="Book Antiqua" w:hAnsi="Book Antiqua"/>
          <w:i/>
        </w:rPr>
        <w:t xml:space="preserve">UEG </w:t>
      </w:r>
      <w:r w:rsidRPr="000169A0">
        <w:rPr>
          <w:rFonts w:ascii="Book Antiqua" w:hAnsi="Book Antiqua"/>
          <w:i/>
          <w:caps/>
        </w:rPr>
        <w:t>j</w:t>
      </w:r>
      <w:r w:rsidR="000169A0">
        <w:rPr>
          <w:rFonts w:ascii="Book Antiqua" w:hAnsi="Book Antiqua"/>
          <w:i/>
        </w:rPr>
        <w:t xml:space="preserve"> </w:t>
      </w:r>
      <w:r w:rsidRPr="00E65AD0">
        <w:rPr>
          <w:rFonts w:ascii="Book Antiqua" w:hAnsi="Book Antiqua"/>
        </w:rPr>
        <w:t xml:space="preserve">2018; </w:t>
      </w:r>
      <w:r w:rsidRPr="00E65AD0">
        <w:rPr>
          <w:rFonts w:ascii="Book Antiqua" w:hAnsi="Book Antiqua"/>
          <w:b/>
        </w:rPr>
        <w:t>6</w:t>
      </w:r>
      <w:r w:rsidRPr="00E65AD0">
        <w:rPr>
          <w:rFonts w:ascii="Book Antiqua" w:hAnsi="Book Antiqua"/>
        </w:rPr>
        <w:t>: A734</w:t>
      </w:r>
    </w:p>
    <w:p w14:paraId="4270D62F"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39 </w:t>
      </w:r>
      <w:r w:rsidRPr="00E65AD0">
        <w:rPr>
          <w:rFonts w:ascii="Book Antiqua" w:hAnsi="Book Antiqua"/>
          <w:b/>
          <w:bCs/>
        </w:rPr>
        <w:t>Yue H</w:t>
      </w:r>
      <w:r w:rsidRPr="00E65AD0">
        <w:rPr>
          <w:rFonts w:ascii="Book Antiqua" w:hAnsi="Book Antiqua"/>
        </w:rPr>
        <w:t xml:space="preserve">, Shan L, Bin L. The significance of OLGA and OLGIM staging systems in the risk assessment of gastric cancer: a systematic review and meta-analysis. </w:t>
      </w:r>
      <w:r w:rsidRPr="00E65AD0">
        <w:rPr>
          <w:rFonts w:ascii="Book Antiqua" w:hAnsi="Book Antiqua"/>
          <w:i/>
          <w:iCs/>
        </w:rPr>
        <w:t>Gastric Cancer</w:t>
      </w:r>
      <w:r w:rsidRPr="00E65AD0">
        <w:rPr>
          <w:rFonts w:ascii="Book Antiqua" w:hAnsi="Book Antiqua"/>
        </w:rPr>
        <w:t xml:space="preserve"> 2018; </w:t>
      </w:r>
      <w:r w:rsidRPr="00E65AD0">
        <w:rPr>
          <w:rFonts w:ascii="Book Antiqua" w:hAnsi="Book Antiqua"/>
          <w:b/>
          <w:bCs/>
        </w:rPr>
        <w:t>21</w:t>
      </w:r>
      <w:r w:rsidRPr="00E65AD0">
        <w:rPr>
          <w:rFonts w:ascii="Book Antiqua" w:hAnsi="Book Antiqua"/>
        </w:rPr>
        <w:t>: 579-587 [PMID: 29460004 DOI: 10.1007/s10120-018-0812-3]</w:t>
      </w:r>
    </w:p>
    <w:p w14:paraId="7DD5B20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40 </w:t>
      </w:r>
      <w:r w:rsidRPr="00E65AD0">
        <w:rPr>
          <w:rFonts w:ascii="Book Antiqua" w:hAnsi="Book Antiqua"/>
          <w:b/>
          <w:bCs/>
        </w:rPr>
        <w:t>Kapadia CR</w:t>
      </w:r>
      <w:r w:rsidRPr="00E65AD0">
        <w:rPr>
          <w:rFonts w:ascii="Book Antiqua" w:hAnsi="Book Antiqua"/>
        </w:rPr>
        <w:t xml:space="preserve">. Gastric atrophy, metaplasia, and dysplasia: a clinical perspective. </w:t>
      </w:r>
      <w:r w:rsidRPr="00E65AD0">
        <w:rPr>
          <w:rFonts w:ascii="Book Antiqua" w:hAnsi="Book Antiqua"/>
          <w:i/>
          <w:iCs/>
        </w:rPr>
        <w:t>J Clin Gastroenterol</w:t>
      </w:r>
      <w:r w:rsidRPr="00E65AD0">
        <w:rPr>
          <w:rFonts w:ascii="Book Antiqua" w:hAnsi="Book Antiqua"/>
        </w:rPr>
        <w:t xml:space="preserve"> 2003; </w:t>
      </w:r>
      <w:r w:rsidRPr="00E65AD0">
        <w:rPr>
          <w:rFonts w:ascii="Book Antiqua" w:hAnsi="Book Antiqua"/>
          <w:b/>
          <w:bCs/>
        </w:rPr>
        <w:t>36</w:t>
      </w:r>
      <w:r w:rsidRPr="00E65AD0">
        <w:rPr>
          <w:rFonts w:ascii="Book Antiqua" w:hAnsi="Book Antiqua"/>
        </w:rPr>
        <w:t>: S29-36; discussion S61-2 [PMID: 12702963 DOI: 10.1097/00004836-200305001-00006]</w:t>
      </w:r>
    </w:p>
    <w:p w14:paraId="0A1C628F"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lastRenderedPageBreak/>
        <w:t xml:space="preserve">41 </w:t>
      </w:r>
      <w:r w:rsidRPr="00E65AD0">
        <w:rPr>
          <w:rFonts w:ascii="Book Antiqua" w:hAnsi="Book Antiqua"/>
          <w:b/>
          <w:bCs/>
        </w:rPr>
        <w:t>Carpenter HA</w:t>
      </w:r>
      <w:r w:rsidRPr="00E65AD0">
        <w:rPr>
          <w:rFonts w:ascii="Book Antiqua" w:hAnsi="Book Antiqua"/>
        </w:rPr>
        <w:t xml:space="preserve">, Talley NJ. Gastroscopy is incomplete without biopsy: clinical relevance of distinguishing gastropathy from gastritis. </w:t>
      </w:r>
      <w:r w:rsidRPr="00E65AD0">
        <w:rPr>
          <w:rFonts w:ascii="Book Antiqua" w:hAnsi="Book Antiqua"/>
          <w:i/>
          <w:iCs/>
        </w:rPr>
        <w:t>Gastroenterology</w:t>
      </w:r>
      <w:r w:rsidRPr="00E65AD0">
        <w:rPr>
          <w:rFonts w:ascii="Book Antiqua" w:hAnsi="Book Antiqua"/>
        </w:rPr>
        <w:t xml:space="preserve"> 1995; </w:t>
      </w:r>
      <w:r w:rsidRPr="00E65AD0">
        <w:rPr>
          <w:rFonts w:ascii="Book Antiqua" w:hAnsi="Book Antiqua"/>
          <w:b/>
          <w:bCs/>
        </w:rPr>
        <w:t>108</w:t>
      </w:r>
      <w:r w:rsidRPr="00E65AD0">
        <w:rPr>
          <w:rFonts w:ascii="Book Antiqua" w:hAnsi="Book Antiqua"/>
        </w:rPr>
        <w:t>: 917-924 [PMID: 7875496 DOI: 10.1016/0016-5085(95)90468-9]</w:t>
      </w:r>
    </w:p>
    <w:p w14:paraId="7DFDC683"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42 </w:t>
      </w:r>
      <w:r w:rsidRPr="00E65AD0">
        <w:rPr>
          <w:rFonts w:ascii="Book Antiqua" w:hAnsi="Book Antiqua"/>
          <w:b/>
          <w:bCs/>
        </w:rPr>
        <w:t>Redéen S</w:t>
      </w:r>
      <w:r w:rsidRPr="00E65AD0">
        <w:rPr>
          <w:rFonts w:ascii="Book Antiqua" w:hAnsi="Book Antiqua"/>
        </w:rPr>
        <w:t xml:space="preserve">, Petersson F, Jönsson KA, Borch K. Relationship of gastroscopic features to histological findings in gastritis and Helicobacter pylori infection in a general population sample. </w:t>
      </w:r>
      <w:r w:rsidRPr="00E65AD0">
        <w:rPr>
          <w:rFonts w:ascii="Book Antiqua" w:hAnsi="Book Antiqua"/>
          <w:i/>
          <w:iCs/>
        </w:rPr>
        <w:t>Endoscopy</w:t>
      </w:r>
      <w:r w:rsidRPr="00E65AD0">
        <w:rPr>
          <w:rFonts w:ascii="Book Antiqua" w:hAnsi="Book Antiqua"/>
        </w:rPr>
        <w:t xml:space="preserve"> 2003; </w:t>
      </w:r>
      <w:r w:rsidRPr="00E65AD0">
        <w:rPr>
          <w:rFonts w:ascii="Book Antiqua" w:hAnsi="Book Antiqua"/>
          <w:b/>
          <w:bCs/>
        </w:rPr>
        <w:t>35</w:t>
      </w:r>
      <w:r w:rsidRPr="00E65AD0">
        <w:rPr>
          <w:rFonts w:ascii="Book Antiqua" w:hAnsi="Book Antiqua"/>
        </w:rPr>
        <w:t>: 946-950 [PMID: 14606018 DOI: 10.1055/s-2003-43479]</w:t>
      </w:r>
    </w:p>
    <w:p w14:paraId="0BB58322"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43 </w:t>
      </w:r>
      <w:r w:rsidRPr="00E65AD0">
        <w:rPr>
          <w:rFonts w:ascii="Book Antiqua" w:hAnsi="Book Antiqua"/>
          <w:b/>
          <w:bCs/>
        </w:rPr>
        <w:t>Eshmuratov A</w:t>
      </w:r>
      <w:r w:rsidRPr="00E65AD0">
        <w:rPr>
          <w:rFonts w:ascii="Book Antiqua" w:hAnsi="Book Antiqua"/>
        </w:rPr>
        <w:t xml:space="preserve">, Nah JC, Kim N, Lee HS, Lee HE, Lee BH, Uhm MS, Park YS, Lee DH, Jung HC, Song IS. The correlation of endoscopic and histological diagnosis of gastric atrophy. </w:t>
      </w:r>
      <w:r w:rsidRPr="00E65AD0">
        <w:rPr>
          <w:rFonts w:ascii="Book Antiqua" w:hAnsi="Book Antiqua"/>
          <w:i/>
          <w:iCs/>
        </w:rPr>
        <w:t>Dig Dis Sci</w:t>
      </w:r>
      <w:r w:rsidRPr="00E65AD0">
        <w:rPr>
          <w:rFonts w:ascii="Book Antiqua" w:hAnsi="Book Antiqua"/>
        </w:rPr>
        <w:t xml:space="preserve"> 2010; </w:t>
      </w:r>
      <w:r w:rsidRPr="00E65AD0">
        <w:rPr>
          <w:rFonts w:ascii="Book Antiqua" w:hAnsi="Book Antiqua"/>
          <w:b/>
          <w:bCs/>
        </w:rPr>
        <w:t>55</w:t>
      </w:r>
      <w:r w:rsidRPr="00E65AD0">
        <w:rPr>
          <w:rFonts w:ascii="Book Antiqua" w:hAnsi="Book Antiqua"/>
        </w:rPr>
        <w:t>: 1364-1375 [PMID: 19629687 DOI: 10.1007/s10620-009-0891-4]</w:t>
      </w:r>
    </w:p>
    <w:p w14:paraId="4D74666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44 </w:t>
      </w:r>
      <w:r w:rsidRPr="00E65AD0">
        <w:rPr>
          <w:rFonts w:ascii="Book Antiqua" w:hAnsi="Book Antiqua"/>
          <w:b/>
          <w:bCs/>
        </w:rPr>
        <w:t>Buxbaum JL</w:t>
      </w:r>
      <w:r w:rsidRPr="00E65AD0">
        <w:rPr>
          <w:rFonts w:ascii="Book Antiqua" w:hAnsi="Book Antiqua"/>
        </w:rPr>
        <w:t xml:space="preserve">, Hormozdi D, Dinis-Ribeiro M, Lane C, Dias-Silva D, Sahakian A, Jayaram P, Pimentel-Nunes P, Shue D, Pepper M, Cho D, Laine L. Narrow-band imaging versus white light versus mapping biopsy for gastric intestinal metaplasia: a prospective blinded trial. </w:t>
      </w:r>
      <w:r w:rsidRPr="00E65AD0">
        <w:rPr>
          <w:rFonts w:ascii="Book Antiqua" w:hAnsi="Book Antiqua"/>
          <w:i/>
          <w:iCs/>
        </w:rPr>
        <w:t>Gastrointest Endosc</w:t>
      </w:r>
      <w:r w:rsidRPr="00E65AD0">
        <w:rPr>
          <w:rFonts w:ascii="Book Antiqua" w:hAnsi="Book Antiqua"/>
        </w:rPr>
        <w:t xml:space="preserve"> 2017; </w:t>
      </w:r>
      <w:r w:rsidRPr="00E65AD0">
        <w:rPr>
          <w:rFonts w:ascii="Book Antiqua" w:hAnsi="Book Antiqua"/>
          <w:b/>
          <w:bCs/>
        </w:rPr>
        <w:t>86</w:t>
      </w:r>
      <w:r w:rsidRPr="00E65AD0">
        <w:rPr>
          <w:rFonts w:ascii="Book Antiqua" w:hAnsi="Book Antiqua"/>
        </w:rPr>
        <w:t>: 857-865 [PMID: 28366441 DOI: 10.1016/j.gie.2017.03.1528]</w:t>
      </w:r>
    </w:p>
    <w:p w14:paraId="058A2A7C"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45 </w:t>
      </w:r>
      <w:r w:rsidRPr="00E65AD0">
        <w:rPr>
          <w:rFonts w:ascii="Book Antiqua" w:hAnsi="Book Antiqua"/>
          <w:b/>
          <w:bCs/>
        </w:rPr>
        <w:t>Areia M</w:t>
      </w:r>
      <w:r w:rsidRPr="00E65AD0">
        <w:rPr>
          <w:rFonts w:ascii="Book Antiqua" w:hAnsi="Book Antiqua"/>
        </w:rPr>
        <w:t xml:space="preserve">, Amaro P, Dinis-Ribeiro M, Cipriano MA, Marinho C, Costa-Pereira A, Lopes C, Moreira-Dias L, Romãozinho JM, Gouveia H, Freitas D, Leitão MC. External validation of a classification for methylene blue magnification chromoendoscopy in premalignant gastric lesions. </w:t>
      </w:r>
      <w:r w:rsidRPr="00E65AD0">
        <w:rPr>
          <w:rFonts w:ascii="Book Antiqua" w:hAnsi="Book Antiqua"/>
          <w:i/>
          <w:iCs/>
        </w:rPr>
        <w:t>Gastrointest Endosc</w:t>
      </w:r>
      <w:r w:rsidRPr="00E65AD0">
        <w:rPr>
          <w:rFonts w:ascii="Book Antiqua" w:hAnsi="Book Antiqua"/>
        </w:rPr>
        <w:t xml:space="preserve"> 2008; </w:t>
      </w:r>
      <w:r w:rsidRPr="00E65AD0">
        <w:rPr>
          <w:rFonts w:ascii="Book Antiqua" w:hAnsi="Book Antiqua"/>
          <w:b/>
          <w:bCs/>
        </w:rPr>
        <w:t>67</w:t>
      </w:r>
      <w:r w:rsidRPr="00E65AD0">
        <w:rPr>
          <w:rFonts w:ascii="Book Antiqua" w:hAnsi="Book Antiqua"/>
        </w:rPr>
        <w:t>: 1011-1018 [PMID: 18178207 DOI: 10.1016/j.gie.2007.08.044]</w:t>
      </w:r>
    </w:p>
    <w:p w14:paraId="208C8415"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46 </w:t>
      </w:r>
      <w:r w:rsidRPr="00E65AD0">
        <w:rPr>
          <w:rFonts w:ascii="Book Antiqua" w:hAnsi="Book Antiqua"/>
          <w:b/>
          <w:bCs/>
        </w:rPr>
        <w:t>Tanaka K</w:t>
      </w:r>
      <w:r w:rsidRPr="00E65AD0">
        <w:rPr>
          <w:rFonts w:ascii="Book Antiqua" w:hAnsi="Book Antiqua"/>
        </w:rPr>
        <w:t xml:space="preserve">, Toyoda H, Kadowaki S, Hamada Y, Kosaka R, Matsuzaki S, Shiraishi T, Imoto I, Takei Y. Surface pattern classification by enhanced-magnification endoscopy for identifying early gastric cancers. </w:t>
      </w:r>
      <w:r w:rsidRPr="00E65AD0">
        <w:rPr>
          <w:rFonts w:ascii="Book Antiqua" w:hAnsi="Book Antiqua"/>
          <w:i/>
          <w:iCs/>
        </w:rPr>
        <w:t>Gastrointest Endosc</w:t>
      </w:r>
      <w:r w:rsidRPr="00E65AD0">
        <w:rPr>
          <w:rFonts w:ascii="Book Antiqua" w:hAnsi="Book Antiqua"/>
        </w:rPr>
        <w:t xml:space="preserve"> 2008; </w:t>
      </w:r>
      <w:r w:rsidRPr="00E65AD0">
        <w:rPr>
          <w:rFonts w:ascii="Book Antiqua" w:hAnsi="Book Antiqua"/>
          <w:b/>
          <w:bCs/>
        </w:rPr>
        <w:t>67</w:t>
      </w:r>
      <w:r w:rsidRPr="00E65AD0">
        <w:rPr>
          <w:rFonts w:ascii="Book Antiqua" w:hAnsi="Book Antiqua"/>
        </w:rPr>
        <w:t>: 430-437 [PMID: 18294504 DOI: 10.1016/j.gie.2007.10.042]</w:t>
      </w:r>
    </w:p>
    <w:p w14:paraId="49B3D379"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47 </w:t>
      </w:r>
      <w:r w:rsidRPr="00E65AD0">
        <w:rPr>
          <w:rFonts w:ascii="Book Antiqua" w:hAnsi="Book Antiqua"/>
          <w:b/>
          <w:bCs/>
        </w:rPr>
        <w:t>Zhao Z</w:t>
      </w:r>
      <w:r w:rsidRPr="00E65AD0">
        <w:rPr>
          <w:rFonts w:ascii="Book Antiqua" w:hAnsi="Book Antiqua"/>
        </w:rPr>
        <w:t xml:space="preserve">, Yin Z, Wang S, Wang J, Bai B, Qiu Z, Zhao Q. Meta-analysis: The diagnostic efficacy of chromoendoscopy for early gastric cancer and premalignant gastric lesions. </w:t>
      </w:r>
      <w:r w:rsidRPr="00E65AD0">
        <w:rPr>
          <w:rFonts w:ascii="Book Antiqua" w:hAnsi="Book Antiqua"/>
          <w:i/>
          <w:iCs/>
        </w:rPr>
        <w:t>J Gastroenterol Hepatol</w:t>
      </w:r>
      <w:r w:rsidRPr="00E65AD0">
        <w:rPr>
          <w:rFonts w:ascii="Book Antiqua" w:hAnsi="Book Antiqua"/>
        </w:rPr>
        <w:t xml:space="preserve"> 2016; </w:t>
      </w:r>
      <w:r w:rsidRPr="00E65AD0">
        <w:rPr>
          <w:rFonts w:ascii="Book Antiqua" w:hAnsi="Book Antiqua"/>
          <w:b/>
          <w:bCs/>
        </w:rPr>
        <w:t>31</w:t>
      </w:r>
      <w:r w:rsidRPr="00E65AD0">
        <w:rPr>
          <w:rFonts w:ascii="Book Antiqua" w:hAnsi="Book Antiqua"/>
        </w:rPr>
        <w:t>: 1539-1545 [PMID: 26860924 DOI: 10.1111/jgh.13313]</w:t>
      </w:r>
    </w:p>
    <w:p w14:paraId="12C4AB7E" w14:textId="77777777" w:rsidR="00177CCF" w:rsidRPr="00E65AD0" w:rsidRDefault="00177CCF" w:rsidP="00E65AD0">
      <w:pPr>
        <w:snapToGrid w:val="0"/>
        <w:spacing w:after="0" w:line="360" w:lineRule="auto"/>
        <w:rPr>
          <w:rFonts w:ascii="Book Antiqua" w:hAnsi="Book Antiqua"/>
        </w:rPr>
      </w:pPr>
      <w:r w:rsidRPr="00E65AD0">
        <w:rPr>
          <w:rFonts w:ascii="Book Antiqua" w:hAnsi="Book Antiqua"/>
        </w:rPr>
        <w:t xml:space="preserve">48 </w:t>
      </w:r>
      <w:r w:rsidRPr="00E65AD0">
        <w:rPr>
          <w:rFonts w:ascii="Book Antiqua" w:hAnsi="Book Antiqua"/>
          <w:b/>
          <w:bCs/>
        </w:rPr>
        <w:t>Lim H</w:t>
      </w:r>
      <w:r w:rsidRPr="00E65AD0">
        <w:rPr>
          <w:rFonts w:ascii="Book Antiqua" w:hAnsi="Book Antiqua"/>
        </w:rPr>
        <w:t xml:space="preserve">, Jung HY, Park YS, Na HK, Ahn JY, Choi JY, Lee JH, Kim MY, Choi KS, Kim DH, Choi KD, Song HJ, Lee GH, Kim JH. Discrepancy between </w:t>
      </w:r>
      <w:r w:rsidRPr="00E65AD0">
        <w:rPr>
          <w:rFonts w:ascii="Book Antiqua" w:hAnsi="Book Antiqua"/>
        </w:rPr>
        <w:lastRenderedPageBreak/>
        <w:t xml:space="preserve">endoscopic forceps biopsy and endoscopic resection in gastric epithelial neoplasia. </w:t>
      </w:r>
      <w:r w:rsidRPr="00E65AD0">
        <w:rPr>
          <w:rFonts w:ascii="Book Antiqua" w:hAnsi="Book Antiqua"/>
          <w:i/>
          <w:iCs/>
        </w:rPr>
        <w:t>Surg Endosc</w:t>
      </w:r>
      <w:r w:rsidRPr="00E65AD0">
        <w:rPr>
          <w:rFonts w:ascii="Book Antiqua" w:hAnsi="Book Antiqua"/>
        </w:rPr>
        <w:t xml:space="preserve"> 2014; </w:t>
      </w:r>
      <w:r w:rsidRPr="00E65AD0">
        <w:rPr>
          <w:rFonts w:ascii="Book Antiqua" w:hAnsi="Book Antiqua"/>
          <w:b/>
          <w:bCs/>
        </w:rPr>
        <w:t>28</w:t>
      </w:r>
      <w:r w:rsidRPr="00E65AD0">
        <w:rPr>
          <w:rFonts w:ascii="Book Antiqua" w:hAnsi="Book Antiqua"/>
        </w:rPr>
        <w:t>: 1256-1262 [PMID: 24310738 DOI: 10.1007/s00464-013-3316-6]</w:t>
      </w:r>
    </w:p>
    <w:p w14:paraId="1DF3AEC8" w14:textId="77777777" w:rsidR="00177CCF" w:rsidRPr="00E65AD0" w:rsidRDefault="00177CCF" w:rsidP="00E65AD0">
      <w:pPr>
        <w:adjustRightInd w:val="0"/>
        <w:snapToGrid w:val="0"/>
        <w:spacing w:after="0" w:line="360" w:lineRule="auto"/>
        <w:rPr>
          <w:rFonts w:ascii="Book Antiqua" w:eastAsia="宋体" w:hAnsi="Book Antiqua"/>
          <w:b/>
          <w:bCs/>
          <w:color w:val="000000"/>
          <w:lang w:eastAsia="zh-CN"/>
        </w:rPr>
      </w:pPr>
    </w:p>
    <w:p w14:paraId="2884F65D" w14:textId="77777777" w:rsidR="00177CCF" w:rsidRPr="00E65AD0" w:rsidRDefault="00177CCF" w:rsidP="00E65AD0">
      <w:pPr>
        <w:snapToGrid w:val="0"/>
        <w:spacing w:after="0" w:line="360" w:lineRule="auto"/>
        <w:rPr>
          <w:rFonts w:ascii="Book Antiqua" w:eastAsia="宋体" w:hAnsi="Book Antiqua"/>
          <w:lang w:val="en-GB" w:eastAsia="zh-CN"/>
        </w:rPr>
      </w:pPr>
      <w:r w:rsidRPr="00E65AD0">
        <w:rPr>
          <w:rFonts w:ascii="Book Antiqua" w:eastAsia="宋体" w:hAnsi="Book Antiqua"/>
          <w:lang w:val="en-GB" w:eastAsia="zh-CN"/>
        </w:rPr>
        <w:br w:type="page"/>
      </w:r>
    </w:p>
    <w:p w14:paraId="0FEC211C" w14:textId="77777777" w:rsidR="006B1857" w:rsidRPr="00E65AD0" w:rsidRDefault="006B1857" w:rsidP="00E65AD0">
      <w:pPr>
        <w:adjustRightInd w:val="0"/>
        <w:snapToGrid w:val="0"/>
        <w:spacing w:after="0" w:line="360" w:lineRule="auto"/>
        <w:rPr>
          <w:rFonts w:ascii="Book Antiqua" w:hAnsi="Book Antiqua"/>
          <w:b/>
          <w:bCs/>
        </w:rPr>
      </w:pPr>
      <w:r w:rsidRPr="00E65AD0">
        <w:rPr>
          <w:rFonts w:ascii="Book Antiqua" w:hAnsi="Book Antiqua"/>
          <w:b/>
          <w:bCs/>
        </w:rPr>
        <w:lastRenderedPageBreak/>
        <w:t>Footnotes</w:t>
      </w:r>
    </w:p>
    <w:p w14:paraId="70BEE20C" w14:textId="77777777" w:rsidR="006B1857" w:rsidRPr="00E65AD0" w:rsidRDefault="006B1857" w:rsidP="00E65AD0">
      <w:pPr>
        <w:adjustRightInd w:val="0"/>
        <w:snapToGrid w:val="0"/>
        <w:spacing w:after="0" w:line="360" w:lineRule="auto"/>
        <w:rPr>
          <w:rFonts w:ascii="Book Antiqua" w:eastAsia="宋体" w:hAnsi="Book Antiqua"/>
          <w:lang w:val="en-GB" w:eastAsia="zh-CN"/>
        </w:rPr>
      </w:pPr>
      <w:r w:rsidRPr="00E65AD0">
        <w:rPr>
          <w:rFonts w:ascii="Book Antiqua" w:hAnsi="Book Antiqua"/>
          <w:b/>
          <w:bCs/>
          <w:color w:val="000000"/>
        </w:rPr>
        <w:t xml:space="preserve">Institutional review board statement: </w:t>
      </w:r>
      <w:r w:rsidRPr="00E65AD0">
        <w:rPr>
          <w:rFonts w:ascii="Book Antiqua" w:hAnsi="Book Antiqua" w:cs="TimesNewRomanPS-BoldItalicMT"/>
          <w:color w:val="000000"/>
        </w:rPr>
        <w:t xml:space="preserve">The study was reviewed and approved by the </w:t>
      </w:r>
      <w:r w:rsidRPr="00E65AD0">
        <w:rPr>
          <w:rFonts w:ascii="Book Antiqua" w:hAnsi="Book Antiqua"/>
          <w:lang w:val="en-GB"/>
        </w:rPr>
        <w:t>Committees on Ethics of Italy State National Institute of Gastroenterology “S</w:t>
      </w:r>
      <w:r w:rsidRPr="00E65AD0">
        <w:rPr>
          <w:rFonts w:ascii="Book Antiqua" w:eastAsia="宋体" w:hAnsi="Book Antiqua"/>
          <w:lang w:val="en-GB" w:eastAsia="zh-CN"/>
        </w:rPr>
        <w:t xml:space="preserve"> </w:t>
      </w:r>
      <w:r w:rsidRPr="00E65AD0">
        <w:rPr>
          <w:rFonts w:ascii="Book Antiqua" w:hAnsi="Book Antiqua"/>
          <w:lang w:val="en-GB"/>
        </w:rPr>
        <w:t>De Bellis”.</w:t>
      </w:r>
    </w:p>
    <w:p w14:paraId="65F2CD02" w14:textId="77777777" w:rsidR="006B1857" w:rsidRPr="00E65AD0" w:rsidRDefault="006B1857" w:rsidP="00E65AD0">
      <w:pPr>
        <w:adjustRightInd w:val="0"/>
        <w:snapToGrid w:val="0"/>
        <w:spacing w:after="0" w:line="360" w:lineRule="auto"/>
        <w:rPr>
          <w:rFonts w:ascii="Book Antiqua" w:eastAsia="宋体" w:hAnsi="Book Antiqua"/>
          <w:b/>
          <w:bCs/>
          <w:color w:val="000000"/>
          <w:lang w:eastAsia="zh-CN"/>
        </w:rPr>
      </w:pPr>
    </w:p>
    <w:p w14:paraId="2EAFC03C" w14:textId="77777777" w:rsidR="006B1857" w:rsidRPr="00E65AD0" w:rsidRDefault="006B1857" w:rsidP="00E65AD0">
      <w:pPr>
        <w:adjustRightInd w:val="0"/>
        <w:snapToGrid w:val="0"/>
        <w:spacing w:after="0" w:line="360" w:lineRule="auto"/>
        <w:rPr>
          <w:rFonts w:ascii="Book Antiqua" w:hAnsi="Book Antiqua" w:cs="宋体"/>
          <w:b/>
          <w:bCs/>
          <w:color w:val="000000"/>
        </w:rPr>
      </w:pPr>
      <w:r w:rsidRPr="00E65AD0">
        <w:rPr>
          <w:rFonts w:ascii="Book Antiqua" w:hAnsi="Book Antiqua"/>
          <w:b/>
          <w:bCs/>
          <w:color w:val="000000"/>
        </w:rPr>
        <w:t xml:space="preserve">Informed consent statement: </w:t>
      </w:r>
      <w:r w:rsidRPr="00E65AD0">
        <w:rPr>
          <w:rFonts w:ascii="Book Antiqua" w:hAnsi="Book Antiqua"/>
          <w:lang w:val="en-GB"/>
        </w:rPr>
        <w:t>Patients details have been removed from these case descriptions to ensure anonymity.</w:t>
      </w:r>
    </w:p>
    <w:p w14:paraId="276E96F7" w14:textId="77777777" w:rsidR="006B1857" w:rsidRPr="00E65AD0" w:rsidRDefault="006B1857" w:rsidP="00E65AD0">
      <w:pPr>
        <w:autoSpaceDE w:val="0"/>
        <w:autoSpaceDN w:val="0"/>
        <w:adjustRightInd w:val="0"/>
        <w:snapToGrid w:val="0"/>
        <w:spacing w:after="0" w:line="360" w:lineRule="auto"/>
        <w:rPr>
          <w:rFonts w:ascii="Book Antiqua" w:hAnsi="Book Antiqua"/>
          <w:color w:val="000000"/>
        </w:rPr>
      </w:pPr>
      <w:r w:rsidRPr="00E65AD0">
        <w:rPr>
          <w:rFonts w:ascii="Book Antiqua" w:hAnsi="Book Antiqua"/>
          <w:color w:val="000000"/>
        </w:rPr>
        <w:t xml:space="preserve"> </w:t>
      </w:r>
    </w:p>
    <w:p w14:paraId="58A23B0D" w14:textId="77777777" w:rsidR="006B1857" w:rsidRPr="00E65AD0" w:rsidRDefault="006B1857" w:rsidP="00E65AD0">
      <w:pPr>
        <w:autoSpaceDE w:val="0"/>
        <w:autoSpaceDN w:val="0"/>
        <w:adjustRightInd w:val="0"/>
        <w:snapToGrid w:val="0"/>
        <w:spacing w:after="0" w:line="360" w:lineRule="auto"/>
        <w:rPr>
          <w:rFonts w:ascii="Book Antiqua" w:hAnsi="Book Antiqua" w:cs="TimesNewRomanPS-BoldItalicMT"/>
          <w:color w:val="000000"/>
          <w:kern w:val="2"/>
        </w:rPr>
      </w:pPr>
      <w:r w:rsidRPr="00E65AD0">
        <w:rPr>
          <w:rFonts w:ascii="Book Antiqua" w:hAnsi="Book Antiqua"/>
          <w:b/>
          <w:bCs/>
          <w:color w:val="000000"/>
        </w:rPr>
        <w:t>Conflict-of-interest statement</w:t>
      </w:r>
      <w:r w:rsidRPr="00E65AD0">
        <w:rPr>
          <w:rFonts w:ascii="Book Antiqua" w:hAnsi="Book Antiqua" w:cs="TimesNewRomanPS-BoldItalicMT"/>
          <w:b/>
          <w:bCs/>
          <w:color w:val="000000"/>
        </w:rPr>
        <w:t xml:space="preserve">: </w:t>
      </w:r>
      <w:r w:rsidRPr="00E65AD0">
        <w:rPr>
          <w:rFonts w:ascii="Book Antiqua" w:hAnsi="Book Antiqua" w:cs="TimesNewRomanPS-BoldItalicMT"/>
          <w:color w:val="000000"/>
        </w:rPr>
        <w:t>There are no conflicts of interest to report.</w:t>
      </w:r>
    </w:p>
    <w:p w14:paraId="62C039D6" w14:textId="77777777" w:rsidR="006B1857" w:rsidRPr="00E65AD0" w:rsidRDefault="006B1857" w:rsidP="00E65AD0">
      <w:pPr>
        <w:autoSpaceDE w:val="0"/>
        <w:autoSpaceDN w:val="0"/>
        <w:adjustRightInd w:val="0"/>
        <w:snapToGrid w:val="0"/>
        <w:spacing w:after="0" w:line="360" w:lineRule="auto"/>
        <w:rPr>
          <w:rFonts w:ascii="Book Antiqua" w:hAnsi="Book Antiqua" w:cs="TimesNewRomanPS-BoldItalicMT"/>
          <w:b/>
          <w:bCs/>
          <w:color w:val="000000"/>
        </w:rPr>
      </w:pPr>
      <w:r w:rsidRPr="00E65AD0">
        <w:rPr>
          <w:rFonts w:ascii="Book Antiqua" w:hAnsi="Book Antiqua" w:cs="TimesNewRomanPS-BoldItalicMT"/>
          <w:b/>
          <w:bCs/>
          <w:color w:val="000000"/>
        </w:rPr>
        <w:t xml:space="preserve"> </w:t>
      </w:r>
    </w:p>
    <w:p w14:paraId="0377B7F6" w14:textId="77777777" w:rsidR="006B1857" w:rsidRPr="00E65AD0" w:rsidRDefault="006B1857" w:rsidP="00E65AD0">
      <w:pPr>
        <w:autoSpaceDE w:val="0"/>
        <w:autoSpaceDN w:val="0"/>
        <w:adjustRightInd w:val="0"/>
        <w:snapToGrid w:val="0"/>
        <w:spacing w:after="0" w:line="360" w:lineRule="auto"/>
        <w:rPr>
          <w:rFonts w:ascii="Book Antiqua" w:hAnsi="Book Antiqua" w:cs="宋体"/>
          <w:color w:val="000000"/>
        </w:rPr>
      </w:pPr>
      <w:r w:rsidRPr="00E65AD0">
        <w:rPr>
          <w:rFonts w:ascii="Book Antiqua" w:hAnsi="Book Antiqua"/>
          <w:b/>
          <w:bCs/>
          <w:color w:val="000000"/>
        </w:rPr>
        <w:t>Data sharing statement</w:t>
      </w:r>
      <w:r w:rsidRPr="00E65AD0">
        <w:rPr>
          <w:rFonts w:ascii="Book Antiqua" w:hAnsi="Book Antiqua" w:cs="TimesNewRomanPS-BoldItalicMT"/>
          <w:b/>
          <w:bCs/>
          <w:color w:val="000000"/>
        </w:rPr>
        <w:t>:</w:t>
      </w:r>
      <w:r w:rsidRPr="00E65AD0">
        <w:rPr>
          <w:rFonts w:ascii="Book Antiqua" w:eastAsia="Times New Roman" w:hAnsi="Book Antiqua"/>
          <w:color w:val="000000"/>
        </w:rPr>
        <w:t xml:space="preserve"> </w:t>
      </w:r>
      <w:r w:rsidRPr="00E65AD0">
        <w:rPr>
          <w:rFonts w:ascii="Book Antiqua" w:hAnsi="Book Antiqua"/>
          <w:color w:val="000000"/>
        </w:rPr>
        <w:t>No additional data are available.</w:t>
      </w:r>
    </w:p>
    <w:p w14:paraId="22D91D74" w14:textId="77777777" w:rsidR="006B1857" w:rsidRPr="00E65AD0" w:rsidRDefault="006B1857" w:rsidP="00E65AD0">
      <w:pPr>
        <w:adjustRightInd w:val="0"/>
        <w:snapToGrid w:val="0"/>
        <w:spacing w:after="0" w:line="360" w:lineRule="auto"/>
        <w:rPr>
          <w:rFonts w:ascii="Book Antiqua" w:hAnsi="Book Antiqua"/>
          <w:color w:val="000000"/>
        </w:rPr>
      </w:pPr>
      <w:r w:rsidRPr="00E65AD0">
        <w:rPr>
          <w:rFonts w:ascii="Book Antiqua" w:hAnsi="Book Antiqua"/>
          <w:color w:val="000000"/>
        </w:rPr>
        <w:t xml:space="preserve"> </w:t>
      </w:r>
    </w:p>
    <w:p w14:paraId="7E4BB0BF" w14:textId="77777777" w:rsidR="006B1857" w:rsidRPr="00E65AD0" w:rsidRDefault="006B1857" w:rsidP="00E65AD0">
      <w:pPr>
        <w:adjustRightInd w:val="0"/>
        <w:snapToGrid w:val="0"/>
        <w:spacing w:after="0" w:line="360" w:lineRule="auto"/>
        <w:rPr>
          <w:rFonts w:ascii="Book Antiqua" w:hAnsi="Book Antiqua"/>
          <w:bCs/>
          <w:color w:val="000000"/>
        </w:rPr>
      </w:pPr>
      <w:r w:rsidRPr="00E65AD0">
        <w:rPr>
          <w:rFonts w:ascii="Book Antiqua" w:hAnsi="Book Antiqua"/>
          <w:b/>
          <w:bCs/>
          <w:color w:val="000000"/>
        </w:rPr>
        <w:t>STROBE statement:</w:t>
      </w:r>
      <w:r w:rsidRPr="00E65AD0">
        <w:rPr>
          <w:rFonts w:ascii="Book Antiqua" w:hAnsi="Book Antiqua"/>
        </w:rPr>
        <w:t xml:space="preserve"> </w:t>
      </w:r>
      <w:r w:rsidRPr="00E65AD0">
        <w:rPr>
          <w:rFonts w:ascii="Book Antiqua" w:hAnsi="Book Antiqua"/>
          <w:bCs/>
          <w:color w:val="000000"/>
        </w:rPr>
        <w:t>The authors have read the STROBE Statement-checklist of items, and the manuscript was prepared and revised according to the STROBE Statement-checklist of items.</w:t>
      </w:r>
    </w:p>
    <w:p w14:paraId="38C885C6" w14:textId="77777777" w:rsidR="006B1857" w:rsidRPr="00E65AD0" w:rsidRDefault="006B1857" w:rsidP="00E65AD0">
      <w:pPr>
        <w:adjustRightInd w:val="0"/>
        <w:snapToGrid w:val="0"/>
        <w:spacing w:after="0" w:line="360" w:lineRule="auto"/>
        <w:rPr>
          <w:rFonts w:ascii="Book Antiqua" w:hAnsi="Book Antiqua"/>
          <w:b/>
          <w:bCs/>
          <w:color w:val="000000"/>
        </w:rPr>
      </w:pPr>
      <w:r w:rsidRPr="00E65AD0">
        <w:rPr>
          <w:rFonts w:ascii="Book Antiqua" w:hAnsi="Book Antiqua"/>
          <w:b/>
          <w:bCs/>
          <w:color w:val="000000"/>
        </w:rPr>
        <w:t xml:space="preserve"> </w:t>
      </w:r>
    </w:p>
    <w:p w14:paraId="7FC0D677" w14:textId="77777777" w:rsidR="006B1857" w:rsidRPr="00E65AD0" w:rsidRDefault="006B1857" w:rsidP="00E65AD0">
      <w:pPr>
        <w:adjustRightInd w:val="0"/>
        <w:snapToGrid w:val="0"/>
        <w:spacing w:after="0" w:line="360" w:lineRule="auto"/>
        <w:rPr>
          <w:rFonts w:ascii="Book Antiqua" w:hAnsi="Book Antiqua"/>
          <w:color w:val="000000"/>
        </w:rPr>
      </w:pPr>
      <w:r w:rsidRPr="00E65AD0">
        <w:rPr>
          <w:rFonts w:ascii="Book Antiqua" w:hAnsi="Book Antiqua"/>
          <w:b/>
          <w:bCs/>
          <w:color w:val="000000"/>
        </w:rPr>
        <w:t>Open-Access:</w:t>
      </w:r>
      <w:r w:rsidRPr="00E65AD0">
        <w:rPr>
          <w:rFonts w:ascii="Book Antiqua" w:hAnsi="Book Antiqua"/>
          <w:color w:val="000000"/>
        </w:rPr>
        <w:t xml:space="preserve"> This article is an open-access </w:t>
      </w:r>
      <w:r w:rsidRPr="00E65AD0">
        <w:rPr>
          <w:rFonts w:ascii="Book Antiqua" w:hAnsi="Book Antiqua"/>
        </w:rPr>
        <w:t xml:space="preserve">article that was selected </w:t>
      </w:r>
      <w:r w:rsidRPr="00E65AD0">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F095C2" w14:textId="77777777" w:rsidR="006B1857" w:rsidRPr="00E65AD0" w:rsidRDefault="006B1857" w:rsidP="00E65AD0">
      <w:pPr>
        <w:adjustRightInd w:val="0"/>
        <w:snapToGrid w:val="0"/>
        <w:spacing w:after="0" w:line="360" w:lineRule="auto"/>
        <w:rPr>
          <w:rFonts w:ascii="Book Antiqua" w:hAnsi="Book Antiqua"/>
          <w:color w:val="000000"/>
        </w:rPr>
      </w:pPr>
      <w:r w:rsidRPr="00E65AD0">
        <w:rPr>
          <w:rFonts w:ascii="Book Antiqua" w:hAnsi="Book Antiqua"/>
          <w:color w:val="000000"/>
        </w:rPr>
        <w:t xml:space="preserve"> </w:t>
      </w:r>
    </w:p>
    <w:p w14:paraId="5FADF723" w14:textId="77777777" w:rsidR="006B1857" w:rsidRPr="00E65AD0" w:rsidRDefault="006B1857" w:rsidP="00E65AD0">
      <w:pPr>
        <w:adjustRightInd w:val="0"/>
        <w:snapToGrid w:val="0"/>
        <w:spacing w:after="0" w:line="360" w:lineRule="auto"/>
        <w:rPr>
          <w:rFonts w:ascii="Book Antiqua" w:hAnsi="Book Antiqua"/>
          <w:color w:val="000000"/>
        </w:rPr>
      </w:pPr>
      <w:r w:rsidRPr="00E65AD0">
        <w:rPr>
          <w:rFonts w:ascii="Book Antiqua" w:hAnsi="Book Antiqua"/>
          <w:b/>
          <w:bCs/>
          <w:color w:val="000000"/>
        </w:rPr>
        <w:t xml:space="preserve">Manuscript source: </w:t>
      </w:r>
      <w:r w:rsidRPr="00E65AD0">
        <w:rPr>
          <w:rFonts w:ascii="Book Antiqua" w:hAnsi="Book Antiqua"/>
          <w:color w:val="000000"/>
        </w:rPr>
        <w:t>Invited manuscript</w:t>
      </w:r>
    </w:p>
    <w:p w14:paraId="2FEED461" w14:textId="77777777" w:rsidR="006B1857" w:rsidRPr="00E65AD0" w:rsidRDefault="006B1857" w:rsidP="00E65AD0">
      <w:pPr>
        <w:adjustRightInd w:val="0"/>
        <w:snapToGrid w:val="0"/>
        <w:spacing w:after="0" w:line="360" w:lineRule="auto"/>
        <w:rPr>
          <w:rFonts w:ascii="Book Antiqua" w:eastAsia="宋体" w:hAnsi="Book Antiqua"/>
          <w:b/>
          <w:bCs/>
          <w:color w:val="000000"/>
          <w:lang w:eastAsia="zh-CN"/>
        </w:rPr>
      </w:pPr>
      <w:r w:rsidRPr="00E65AD0">
        <w:rPr>
          <w:rFonts w:ascii="Book Antiqua" w:hAnsi="Book Antiqua"/>
          <w:b/>
          <w:bCs/>
          <w:color w:val="000000"/>
        </w:rPr>
        <w:t xml:space="preserve"> </w:t>
      </w:r>
    </w:p>
    <w:p w14:paraId="78565ED5" w14:textId="77777777" w:rsidR="006B1857" w:rsidRPr="00E65AD0" w:rsidRDefault="006B1857" w:rsidP="00E65AD0">
      <w:pPr>
        <w:adjustRightInd w:val="0"/>
        <w:snapToGrid w:val="0"/>
        <w:spacing w:after="0" w:line="360" w:lineRule="auto"/>
        <w:rPr>
          <w:rFonts w:ascii="Book Antiqua" w:eastAsia="宋体" w:hAnsi="Book Antiqua"/>
          <w:b/>
          <w:bCs/>
          <w:lang w:eastAsia="zh-CN"/>
        </w:rPr>
      </w:pPr>
      <w:r w:rsidRPr="00E65AD0">
        <w:rPr>
          <w:rFonts w:ascii="Book Antiqua" w:hAnsi="Book Antiqua"/>
          <w:b/>
          <w:bCs/>
        </w:rPr>
        <w:t xml:space="preserve">Peer-review started: </w:t>
      </w:r>
      <w:r w:rsidRPr="00E65AD0">
        <w:rPr>
          <w:rFonts w:ascii="Book Antiqua" w:hAnsi="Book Antiqua"/>
        </w:rPr>
        <w:t>March 1</w:t>
      </w:r>
      <w:r w:rsidRPr="00E65AD0">
        <w:rPr>
          <w:rFonts w:ascii="Book Antiqua" w:eastAsia="宋体" w:hAnsi="Book Antiqua"/>
          <w:lang w:eastAsia="zh-CN"/>
        </w:rPr>
        <w:t>8</w:t>
      </w:r>
      <w:r w:rsidRPr="00E65AD0">
        <w:rPr>
          <w:rFonts w:ascii="Book Antiqua" w:hAnsi="Book Antiqua"/>
        </w:rPr>
        <w:t>, 20</w:t>
      </w:r>
      <w:r w:rsidRPr="00E65AD0">
        <w:rPr>
          <w:rFonts w:ascii="Book Antiqua" w:eastAsia="宋体" w:hAnsi="Book Antiqua"/>
          <w:lang w:eastAsia="zh-CN"/>
        </w:rPr>
        <w:t>20</w:t>
      </w:r>
    </w:p>
    <w:p w14:paraId="24810A2A" w14:textId="77777777" w:rsidR="006B1857" w:rsidRPr="00E65AD0" w:rsidRDefault="006B1857" w:rsidP="00E65AD0">
      <w:pPr>
        <w:adjustRightInd w:val="0"/>
        <w:snapToGrid w:val="0"/>
        <w:spacing w:after="0" w:line="360" w:lineRule="auto"/>
        <w:rPr>
          <w:rFonts w:ascii="Book Antiqua" w:eastAsia="宋体" w:hAnsi="Book Antiqua"/>
          <w:b/>
          <w:bCs/>
          <w:lang w:eastAsia="zh-CN"/>
        </w:rPr>
      </w:pPr>
      <w:r w:rsidRPr="00E65AD0">
        <w:rPr>
          <w:rFonts w:ascii="Book Antiqua" w:hAnsi="Book Antiqua"/>
          <w:b/>
          <w:bCs/>
        </w:rPr>
        <w:t xml:space="preserve">First decision: </w:t>
      </w:r>
      <w:r w:rsidRPr="00E65AD0">
        <w:rPr>
          <w:rFonts w:ascii="Book Antiqua" w:eastAsia="宋体" w:hAnsi="Book Antiqua"/>
          <w:lang w:eastAsia="zh-CN"/>
        </w:rPr>
        <w:t>May</w:t>
      </w:r>
      <w:r w:rsidRPr="00E65AD0">
        <w:rPr>
          <w:rFonts w:ascii="Book Antiqua" w:hAnsi="Book Antiqua"/>
        </w:rPr>
        <w:t xml:space="preserve"> </w:t>
      </w:r>
      <w:r w:rsidRPr="00E65AD0">
        <w:rPr>
          <w:rFonts w:ascii="Book Antiqua" w:eastAsia="宋体" w:hAnsi="Book Antiqua"/>
          <w:lang w:eastAsia="zh-CN"/>
        </w:rPr>
        <w:t>21</w:t>
      </w:r>
      <w:r w:rsidRPr="00E65AD0">
        <w:rPr>
          <w:rFonts w:ascii="Book Antiqua" w:hAnsi="Book Antiqua"/>
        </w:rPr>
        <w:t>, 20</w:t>
      </w:r>
      <w:r w:rsidRPr="00E65AD0">
        <w:rPr>
          <w:rFonts w:ascii="Book Antiqua" w:eastAsia="宋体" w:hAnsi="Book Antiqua"/>
          <w:lang w:eastAsia="zh-CN"/>
        </w:rPr>
        <w:t>20</w:t>
      </w:r>
    </w:p>
    <w:p w14:paraId="056FBF9C" w14:textId="3EACD74E" w:rsidR="006B1857" w:rsidRPr="007A4A5B" w:rsidRDefault="006B1857" w:rsidP="00E65AD0">
      <w:pPr>
        <w:adjustRightInd w:val="0"/>
        <w:snapToGrid w:val="0"/>
        <w:spacing w:after="0" w:line="360" w:lineRule="auto"/>
        <w:rPr>
          <w:rFonts w:ascii="Book Antiqua" w:eastAsia="宋体" w:hAnsi="Book Antiqua" w:hint="eastAsia"/>
          <w:b/>
          <w:bCs/>
          <w:lang w:eastAsia="zh-CN"/>
        </w:rPr>
      </w:pPr>
      <w:r w:rsidRPr="00E65AD0">
        <w:rPr>
          <w:rFonts w:ascii="Book Antiqua" w:hAnsi="Book Antiqua"/>
          <w:b/>
          <w:bCs/>
        </w:rPr>
        <w:t>Article in press:</w:t>
      </w:r>
      <w:r w:rsidR="007A4A5B">
        <w:rPr>
          <w:rFonts w:ascii="Book Antiqua" w:eastAsia="宋体" w:hAnsi="Book Antiqua" w:hint="eastAsia"/>
          <w:b/>
          <w:bCs/>
          <w:lang w:eastAsia="zh-CN"/>
        </w:rPr>
        <w:t xml:space="preserve"> </w:t>
      </w:r>
      <w:r w:rsidR="007A4A5B" w:rsidRPr="007A4A5B">
        <w:rPr>
          <w:rFonts w:ascii="Book Antiqua" w:eastAsia="宋体" w:hAnsi="Book Antiqua"/>
          <w:bCs/>
          <w:lang w:eastAsia="zh-CN"/>
        </w:rPr>
        <w:t>June 30, 2020</w:t>
      </w:r>
    </w:p>
    <w:p w14:paraId="2B1668B0" w14:textId="77777777" w:rsidR="006B1857" w:rsidRPr="00E65AD0" w:rsidRDefault="006B1857" w:rsidP="00E65AD0">
      <w:pPr>
        <w:adjustRightInd w:val="0"/>
        <w:snapToGrid w:val="0"/>
        <w:spacing w:after="0" w:line="360" w:lineRule="auto"/>
        <w:rPr>
          <w:rFonts w:ascii="Book Antiqua" w:hAnsi="Book Antiqua"/>
          <w:b/>
          <w:bCs/>
        </w:rPr>
      </w:pPr>
      <w:r w:rsidRPr="00E65AD0">
        <w:rPr>
          <w:rFonts w:ascii="Book Antiqua" w:hAnsi="Book Antiqua"/>
          <w:b/>
          <w:bCs/>
        </w:rPr>
        <w:t xml:space="preserve"> </w:t>
      </w:r>
    </w:p>
    <w:p w14:paraId="15BAF770" w14:textId="77777777" w:rsidR="006B1857" w:rsidRPr="00E65AD0" w:rsidRDefault="006B1857" w:rsidP="00E65AD0">
      <w:pPr>
        <w:adjustRightInd w:val="0"/>
        <w:snapToGrid w:val="0"/>
        <w:spacing w:after="0" w:line="360" w:lineRule="auto"/>
        <w:rPr>
          <w:rFonts w:ascii="Book Antiqua" w:eastAsia="微软雅黑" w:hAnsi="Book Antiqua"/>
        </w:rPr>
      </w:pPr>
      <w:r w:rsidRPr="00E65AD0">
        <w:rPr>
          <w:rFonts w:ascii="Book Antiqua" w:hAnsi="Book Antiqua"/>
          <w:b/>
          <w:bCs/>
        </w:rPr>
        <w:t xml:space="preserve">Specialty type: </w:t>
      </w:r>
      <w:r w:rsidRPr="00E65AD0">
        <w:rPr>
          <w:rFonts w:ascii="Book Antiqua" w:eastAsia="微软雅黑" w:hAnsi="Book Antiqua"/>
        </w:rPr>
        <w:t>Gastroenterology and hepatology</w:t>
      </w:r>
    </w:p>
    <w:p w14:paraId="40B352D0" w14:textId="77777777" w:rsidR="006B1857" w:rsidRPr="00E65AD0" w:rsidRDefault="006B1857" w:rsidP="00E65AD0">
      <w:pPr>
        <w:adjustRightInd w:val="0"/>
        <w:snapToGrid w:val="0"/>
        <w:spacing w:after="0" w:line="360" w:lineRule="auto"/>
        <w:rPr>
          <w:rFonts w:ascii="Book Antiqua" w:eastAsia="宋体" w:hAnsi="Book Antiqua"/>
        </w:rPr>
      </w:pPr>
      <w:r w:rsidRPr="00E65AD0">
        <w:rPr>
          <w:rFonts w:ascii="Book Antiqua" w:hAnsi="Book Antiqua"/>
          <w:b/>
          <w:bCs/>
        </w:rPr>
        <w:lastRenderedPageBreak/>
        <w:t xml:space="preserve">Country/Territory of origin: </w:t>
      </w:r>
      <w:r w:rsidRPr="00E65AD0">
        <w:rPr>
          <w:rFonts w:ascii="Book Antiqua" w:hAnsi="Book Antiqua"/>
        </w:rPr>
        <w:t>Italy</w:t>
      </w:r>
    </w:p>
    <w:p w14:paraId="3A7CC836" w14:textId="77777777" w:rsidR="006B1857" w:rsidRPr="00E65AD0" w:rsidRDefault="006B1857" w:rsidP="00E65AD0">
      <w:pPr>
        <w:adjustRightInd w:val="0"/>
        <w:snapToGrid w:val="0"/>
        <w:spacing w:after="0" w:line="360" w:lineRule="auto"/>
        <w:rPr>
          <w:rFonts w:ascii="Book Antiqua" w:eastAsia="宋体" w:hAnsi="Book Antiqua"/>
          <w:b/>
          <w:bCs/>
          <w:lang w:eastAsia="zh-CN"/>
        </w:rPr>
      </w:pPr>
      <w:r w:rsidRPr="00E65AD0">
        <w:rPr>
          <w:rFonts w:ascii="Book Antiqua" w:hAnsi="Book Antiqua"/>
          <w:b/>
          <w:bCs/>
        </w:rPr>
        <w:t>Peer-review report’s scientific quality classification</w:t>
      </w:r>
    </w:p>
    <w:p w14:paraId="60198081" w14:textId="77777777" w:rsidR="006B1857" w:rsidRPr="00E65AD0" w:rsidRDefault="006B1857" w:rsidP="00E65AD0">
      <w:pPr>
        <w:adjustRightInd w:val="0"/>
        <w:snapToGrid w:val="0"/>
        <w:spacing w:after="0" w:line="360" w:lineRule="auto"/>
        <w:rPr>
          <w:rFonts w:ascii="Book Antiqua" w:hAnsi="Book Antiqua"/>
        </w:rPr>
      </w:pPr>
      <w:r w:rsidRPr="00E65AD0">
        <w:rPr>
          <w:rFonts w:ascii="Book Antiqua" w:hAnsi="Book Antiqua"/>
        </w:rPr>
        <w:t>Grade A (Excellent): 0</w:t>
      </w:r>
    </w:p>
    <w:p w14:paraId="4D63BA3E" w14:textId="77777777" w:rsidR="006B1857" w:rsidRPr="00E65AD0" w:rsidRDefault="006B1857" w:rsidP="00E65AD0">
      <w:pPr>
        <w:adjustRightInd w:val="0"/>
        <w:snapToGrid w:val="0"/>
        <w:spacing w:after="0" w:line="360" w:lineRule="auto"/>
        <w:rPr>
          <w:rFonts w:ascii="Book Antiqua" w:eastAsia="宋体" w:hAnsi="Book Antiqua"/>
          <w:lang w:eastAsia="zh-CN"/>
        </w:rPr>
      </w:pPr>
      <w:r w:rsidRPr="00E65AD0">
        <w:rPr>
          <w:rFonts w:ascii="Book Antiqua" w:hAnsi="Book Antiqua"/>
        </w:rPr>
        <w:t xml:space="preserve">Grade B (Very good): </w:t>
      </w:r>
      <w:r w:rsidRPr="00E65AD0">
        <w:rPr>
          <w:rFonts w:ascii="Book Antiqua" w:eastAsia="宋体" w:hAnsi="Book Antiqua"/>
          <w:lang w:eastAsia="zh-CN"/>
        </w:rPr>
        <w:t>B, B, B</w:t>
      </w:r>
    </w:p>
    <w:p w14:paraId="05ECAD26" w14:textId="77777777" w:rsidR="006B1857" w:rsidRPr="00E65AD0" w:rsidRDefault="006B1857" w:rsidP="00E65AD0">
      <w:pPr>
        <w:adjustRightInd w:val="0"/>
        <w:snapToGrid w:val="0"/>
        <w:spacing w:after="0" w:line="360" w:lineRule="auto"/>
        <w:rPr>
          <w:rFonts w:ascii="Book Antiqua" w:eastAsia="宋体" w:hAnsi="Book Antiqua"/>
          <w:lang w:eastAsia="zh-CN"/>
        </w:rPr>
      </w:pPr>
      <w:r w:rsidRPr="00E65AD0">
        <w:rPr>
          <w:rFonts w:ascii="Book Antiqua" w:hAnsi="Book Antiqua"/>
        </w:rPr>
        <w:t xml:space="preserve">Grade C (Good): </w:t>
      </w:r>
      <w:r w:rsidRPr="00E65AD0">
        <w:rPr>
          <w:rFonts w:ascii="Book Antiqua" w:eastAsia="宋体" w:hAnsi="Book Antiqua"/>
          <w:lang w:eastAsia="zh-CN"/>
        </w:rPr>
        <w:t>0</w:t>
      </w:r>
    </w:p>
    <w:p w14:paraId="63BB4F5D" w14:textId="77777777" w:rsidR="006B1857" w:rsidRPr="00E65AD0" w:rsidRDefault="006B1857" w:rsidP="00E65AD0">
      <w:pPr>
        <w:adjustRightInd w:val="0"/>
        <w:snapToGrid w:val="0"/>
        <w:spacing w:after="0" w:line="360" w:lineRule="auto"/>
        <w:rPr>
          <w:rFonts w:ascii="Book Antiqua" w:hAnsi="Book Antiqua"/>
        </w:rPr>
      </w:pPr>
      <w:r w:rsidRPr="00E65AD0">
        <w:rPr>
          <w:rFonts w:ascii="Book Antiqua" w:hAnsi="Book Antiqua"/>
        </w:rPr>
        <w:t>Grade D (Fair): 0</w:t>
      </w:r>
    </w:p>
    <w:p w14:paraId="23E08458" w14:textId="77777777" w:rsidR="006B1857" w:rsidRPr="00E65AD0" w:rsidRDefault="006B1857" w:rsidP="00E65AD0">
      <w:pPr>
        <w:adjustRightInd w:val="0"/>
        <w:snapToGrid w:val="0"/>
        <w:spacing w:after="0" w:line="360" w:lineRule="auto"/>
        <w:rPr>
          <w:rFonts w:ascii="Book Antiqua" w:eastAsia="等线" w:hAnsi="Book Antiqua"/>
        </w:rPr>
      </w:pPr>
      <w:r w:rsidRPr="00E65AD0">
        <w:rPr>
          <w:rFonts w:ascii="Book Antiqua" w:hAnsi="Book Antiqua"/>
        </w:rPr>
        <w:t>Grade E (Poor): 0</w:t>
      </w:r>
    </w:p>
    <w:p w14:paraId="7741EA79" w14:textId="77777777" w:rsidR="006B1857" w:rsidRPr="00E65AD0" w:rsidRDefault="006B1857" w:rsidP="00E65AD0">
      <w:pPr>
        <w:adjustRightInd w:val="0"/>
        <w:snapToGrid w:val="0"/>
        <w:spacing w:after="0" w:line="360" w:lineRule="auto"/>
        <w:rPr>
          <w:rFonts w:ascii="Book Antiqua" w:eastAsia="宋体" w:hAnsi="Book Antiqua"/>
          <w:b/>
          <w:bCs/>
          <w:color w:val="000000"/>
        </w:rPr>
      </w:pPr>
      <w:r w:rsidRPr="00E65AD0">
        <w:rPr>
          <w:rFonts w:ascii="Book Antiqua" w:hAnsi="Book Antiqua"/>
          <w:b/>
          <w:bCs/>
          <w:color w:val="000000"/>
        </w:rPr>
        <w:t xml:space="preserve"> </w:t>
      </w:r>
      <w:bookmarkStart w:id="19" w:name="_GoBack"/>
      <w:bookmarkEnd w:id="19"/>
    </w:p>
    <w:p w14:paraId="36CD213D" w14:textId="337A84BE" w:rsidR="00AE0787" w:rsidRPr="007A4A5B" w:rsidRDefault="006B1857" w:rsidP="00E65AD0">
      <w:pPr>
        <w:adjustRightInd w:val="0"/>
        <w:snapToGrid w:val="0"/>
        <w:spacing w:after="0" w:line="360" w:lineRule="auto"/>
        <w:rPr>
          <w:rFonts w:ascii="Book Antiqua" w:eastAsia="宋体" w:hAnsi="Book Antiqua" w:hint="eastAsia"/>
          <w:b/>
          <w:bCs/>
          <w:color w:val="000000"/>
          <w:lang w:eastAsia="zh-CN"/>
        </w:rPr>
      </w:pPr>
      <w:r w:rsidRPr="00E65AD0">
        <w:rPr>
          <w:rFonts w:ascii="Book Antiqua" w:hAnsi="Book Antiqua"/>
          <w:b/>
          <w:bCs/>
          <w:color w:val="000000"/>
        </w:rPr>
        <w:t xml:space="preserve">P-Reviewer: </w:t>
      </w:r>
      <w:r w:rsidRPr="00E65AD0">
        <w:rPr>
          <w:rFonts w:ascii="Book Antiqua" w:hAnsi="Book Antiqua"/>
          <w:color w:val="000000"/>
        </w:rPr>
        <w:t>Balaban</w:t>
      </w:r>
      <w:r w:rsidRPr="00E65AD0">
        <w:rPr>
          <w:rFonts w:ascii="Book Antiqua" w:eastAsia="宋体" w:hAnsi="Book Antiqua"/>
          <w:color w:val="000000"/>
          <w:lang w:eastAsia="zh-CN"/>
        </w:rPr>
        <w:t xml:space="preserve"> DV, </w:t>
      </w:r>
      <w:r w:rsidRPr="00E65AD0">
        <w:rPr>
          <w:rFonts w:ascii="Book Antiqua" w:hAnsi="Book Antiqua"/>
          <w:bCs/>
          <w:color w:val="000000"/>
        </w:rPr>
        <w:t>Inal</w:t>
      </w:r>
      <w:r w:rsidRPr="00E65AD0">
        <w:rPr>
          <w:rFonts w:ascii="Book Antiqua" w:eastAsia="宋体" w:hAnsi="Book Antiqua"/>
          <w:bCs/>
          <w:color w:val="000000"/>
          <w:lang w:eastAsia="zh-CN"/>
        </w:rPr>
        <w:t xml:space="preserve"> V, Sintusek P</w:t>
      </w:r>
      <w:r w:rsidRPr="00E65AD0">
        <w:rPr>
          <w:rFonts w:ascii="Book Antiqua" w:eastAsia="宋体" w:hAnsi="Book Antiqua"/>
          <w:b/>
          <w:bCs/>
          <w:color w:val="000000"/>
          <w:lang w:eastAsia="zh-CN"/>
        </w:rPr>
        <w:t xml:space="preserve"> </w:t>
      </w:r>
      <w:r w:rsidRPr="00E65AD0">
        <w:rPr>
          <w:rFonts w:ascii="Book Antiqua" w:hAnsi="Book Antiqua"/>
          <w:b/>
          <w:bCs/>
          <w:color w:val="000000"/>
        </w:rPr>
        <w:t>S-Editor:</w:t>
      </w:r>
      <w:r w:rsidRPr="00E65AD0">
        <w:rPr>
          <w:rFonts w:ascii="Book Antiqua" w:hAnsi="Book Antiqua"/>
          <w:color w:val="000000"/>
        </w:rPr>
        <w:t xml:space="preserve"> </w:t>
      </w:r>
      <w:r w:rsidRPr="00E65AD0">
        <w:rPr>
          <w:rFonts w:ascii="Book Antiqua" w:eastAsia="宋体" w:hAnsi="Book Antiqua"/>
          <w:color w:val="000000"/>
          <w:lang w:eastAsia="zh-CN"/>
        </w:rPr>
        <w:t>Zhang L</w:t>
      </w:r>
      <w:r w:rsidRPr="00E65AD0">
        <w:rPr>
          <w:rFonts w:ascii="Book Antiqua" w:hAnsi="Book Antiqua"/>
          <w:color w:val="000000"/>
        </w:rPr>
        <w:t xml:space="preserve"> </w:t>
      </w:r>
      <w:r w:rsidRPr="00E65AD0">
        <w:rPr>
          <w:rFonts w:ascii="Book Antiqua" w:hAnsi="Book Antiqua"/>
          <w:b/>
          <w:bCs/>
          <w:color w:val="000000"/>
        </w:rPr>
        <w:t>L-Editor:</w:t>
      </w:r>
      <w:r w:rsidR="007A4A5B">
        <w:rPr>
          <w:rFonts w:ascii="Book Antiqua" w:eastAsia="宋体" w:hAnsi="Book Antiqua" w:hint="eastAsia"/>
          <w:b/>
          <w:bCs/>
          <w:color w:val="000000"/>
          <w:lang w:eastAsia="zh-CN"/>
        </w:rPr>
        <w:t xml:space="preserve"> </w:t>
      </w:r>
      <w:r w:rsidR="007A4A5B" w:rsidRPr="007A4A5B">
        <w:rPr>
          <w:rFonts w:ascii="Book Antiqua" w:eastAsia="宋体" w:hAnsi="Book Antiqua" w:hint="eastAsia"/>
          <w:bCs/>
          <w:color w:val="000000"/>
          <w:lang w:eastAsia="zh-CN"/>
        </w:rPr>
        <w:t>A</w:t>
      </w:r>
      <w:r w:rsidRPr="00E65AD0">
        <w:rPr>
          <w:rFonts w:ascii="Book Antiqua" w:hAnsi="Book Antiqua"/>
          <w:color w:val="000000"/>
        </w:rPr>
        <w:t xml:space="preserve"> </w:t>
      </w:r>
      <w:r w:rsidRPr="00E65AD0">
        <w:rPr>
          <w:rFonts w:ascii="Book Antiqua" w:hAnsi="Book Antiqua"/>
          <w:b/>
          <w:bCs/>
          <w:color w:val="000000"/>
        </w:rPr>
        <w:t>E-Editor:</w:t>
      </w:r>
      <w:r w:rsidR="007A4A5B">
        <w:rPr>
          <w:rFonts w:ascii="Book Antiqua" w:eastAsia="宋体" w:hAnsi="Book Antiqua" w:hint="eastAsia"/>
          <w:b/>
          <w:bCs/>
          <w:color w:val="000000"/>
          <w:lang w:eastAsia="zh-CN"/>
        </w:rPr>
        <w:t xml:space="preserve"> </w:t>
      </w:r>
      <w:r w:rsidR="007A4A5B" w:rsidRPr="007A4A5B">
        <w:rPr>
          <w:rFonts w:ascii="Book Antiqua" w:eastAsia="宋体" w:hAnsi="Book Antiqua"/>
          <w:bCs/>
          <w:color w:val="000000"/>
          <w:lang w:eastAsia="zh-CN"/>
        </w:rPr>
        <w:t>Zhang YL</w:t>
      </w:r>
    </w:p>
    <w:p w14:paraId="7680EF9B" w14:textId="77777777" w:rsidR="00AE0787" w:rsidRPr="00E65AD0" w:rsidRDefault="00AE0787" w:rsidP="00E65AD0">
      <w:pPr>
        <w:snapToGrid w:val="0"/>
        <w:spacing w:after="0" w:line="360" w:lineRule="auto"/>
        <w:rPr>
          <w:rFonts w:ascii="Book Antiqua" w:hAnsi="Book Antiqua"/>
          <w:b/>
          <w:bCs/>
          <w:color w:val="000000"/>
        </w:rPr>
      </w:pPr>
      <w:r w:rsidRPr="00E65AD0">
        <w:rPr>
          <w:rFonts w:ascii="Book Antiqua" w:hAnsi="Book Antiqua"/>
          <w:b/>
          <w:bCs/>
          <w:color w:val="000000"/>
        </w:rPr>
        <w:br w:type="page"/>
      </w:r>
    </w:p>
    <w:p w14:paraId="4B751454" w14:textId="77777777" w:rsidR="00AE0787" w:rsidRPr="00E65AD0" w:rsidRDefault="00AE0787" w:rsidP="00E65AD0">
      <w:pPr>
        <w:snapToGrid w:val="0"/>
        <w:spacing w:after="0" w:line="360" w:lineRule="auto"/>
        <w:rPr>
          <w:rFonts w:ascii="Book Antiqua" w:hAnsi="Book Antiqua"/>
        </w:rPr>
      </w:pPr>
      <w:r w:rsidRPr="00E65AD0">
        <w:rPr>
          <w:rFonts w:ascii="Book Antiqua" w:hAnsi="Book Antiqua"/>
          <w:b/>
          <w:bCs/>
        </w:rPr>
        <w:lastRenderedPageBreak/>
        <w:t>Figure Legends</w:t>
      </w:r>
    </w:p>
    <w:p w14:paraId="6599C0A4" w14:textId="77777777" w:rsidR="00AE0787" w:rsidRPr="00E65AD0" w:rsidRDefault="00F5112E" w:rsidP="00E65AD0">
      <w:pPr>
        <w:snapToGrid w:val="0"/>
        <w:spacing w:after="0" w:line="360" w:lineRule="auto"/>
        <w:rPr>
          <w:rFonts w:ascii="Book Antiqua" w:eastAsia="宋体" w:hAnsi="Book Antiqua"/>
          <w:b/>
          <w:lang w:val="en-US" w:eastAsia="zh-CN"/>
        </w:rPr>
      </w:pPr>
      <w:r>
        <w:rPr>
          <w:noProof/>
          <w:lang w:val="en-US" w:eastAsia="zh-CN"/>
        </w:rPr>
        <w:drawing>
          <wp:inline distT="0" distB="0" distL="0" distR="0" wp14:anchorId="602239E2" wp14:editId="1C137423">
            <wp:extent cx="5270500" cy="452247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4522470"/>
                    </a:xfrm>
                    <a:prstGeom prst="rect">
                      <a:avLst/>
                    </a:prstGeom>
                  </pic:spPr>
                </pic:pic>
              </a:graphicData>
            </a:graphic>
          </wp:inline>
        </w:drawing>
      </w:r>
    </w:p>
    <w:p w14:paraId="56804385" w14:textId="77777777" w:rsidR="00AE0787" w:rsidRPr="00E65AD0" w:rsidRDefault="00AE0787" w:rsidP="00E65AD0">
      <w:pPr>
        <w:snapToGrid w:val="0"/>
        <w:spacing w:after="0" w:line="360" w:lineRule="auto"/>
        <w:rPr>
          <w:rFonts w:ascii="Book Antiqua" w:hAnsi="Book Antiqua"/>
          <w:lang w:val="en-US"/>
        </w:rPr>
      </w:pPr>
      <w:r w:rsidRPr="00E65AD0">
        <w:rPr>
          <w:rFonts w:ascii="Book Antiqua" w:hAnsi="Book Antiqua"/>
          <w:b/>
          <w:lang w:val="en-US"/>
        </w:rPr>
        <w:t>Figure 1</w:t>
      </w:r>
      <w:r w:rsidRPr="00E65AD0">
        <w:rPr>
          <w:rFonts w:ascii="Book Antiqua" w:eastAsia="宋体" w:hAnsi="Book Antiqua"/>
          <w:b/>
          <w:lang w:val="en-US" w:eastAsia="zh-CN"/>
        </w:rPr>
        <w:t xml:space="preserve"> </w:t>
      </w:r>
      <w:r w:rsidRPr="00E65AD0">
        <w:rPr>
          <w:rFonts w:ascii="Book Antiqua" w:hAnsi="Book Antiqua"/>
          <w:b/>
          <w:lang w:val="en-US"/>
        </w:rPr>
        <w:t>Flow diagram of patient’s selection.</w:t>
      </w:r>
      <w:r w:rsidRPr="00E65AD0">
        <w:rPr>
          <w:rFonts w:ascii="Book Antiqua" w:hAnsi="Book Antiqua"/>
          <w:lang w:val="en-US"/>
        </w:rPr>
        <w:t xml:space="preserve"> </w:t>
      </w:r>
      <w:bookmarkStart w:id="20" w:name="OLE_LINK25"/>
      <w:r w:rsidRPr="00E65AD0">
        <w:rPr>
          <w:rFonts w:ascii="Book Antiqua" w:hAnsi="Book Antiqua"/>
          <w:i/>
          <w:lang w:val="en-US"/>
        </w:rPr>
        <w:t>H. pylori</w:t>
      </w:r>
      <w:bookmarkEnd w:id="20"/>
      <w:r w:rsidRPr="00E65AD0">
        <w:rPr>
          <w:rFonts w:ascii="Book Antiqua" w:eastAsia="宋体" w:hAnsi="Book Antiqua"/>
          <w:lang w:val="en-US" w:eastAsia="zh-CN"/>
        </w:rPr>
        <w:t>:</w:t>
      </w:r>
      <w:r w:rsidRPr="00E65AD0">
        <w:rPr>
          <w:rFonts w:ascii="Book Antiqua" w:hAnsi="Book Antiqua"/>
          <w:lang w:val="en-US"/>
        </w:rPr>
        <w:t xml:space="preserve"> </w:t>
      </w:r>
      <w:r w:rsidRPr="00E65AD0">
        <w:rPr>
          <w:rFonts w:ascii="Book Antiqua" w:hAnsi="Book Antiqua"/>
          <w:i/>
          <w:lang w:val="en-US"/>
        </w:rPr>
        <w:t>Helicobacter</w:t>
      </w:r>
      <w:r w:rsidRPr="00E65AD0">
        <w:rPr>
          <w:rFonts w:ascii="Book Antiqua" w:hAnsi="Book Antiqua"/>
          <w:lang w:val="en-US"/>
        </w:rPr>
        <w:t xml:space="preserve"> </w:t>
      </w:r>
      <w:r w:rsidRPr="00E65AD0">
        <w:rPr>
          <w:rFonts w:ascii="Book Antiqua" w:hAnsi="Book Antiqua"/>
          <w:i/>
          <w:lang w:val="en-US"/>
        </w:rPr>
        <w:t>pylori</w:t>
      </w:r>
      <w:r w:rsidRPr="00E65AD0">
        <w:rPr>
          <w:rFonts w:ascii="Book Antiqua" w:hAnsi="Book Antiqua"/>
          <w:lang w:val="en-US"/>
        </w:rPr>
        <w:t>; NSAIDs</w:t>
      </w:r>
      <w:r w:rsidRPr="00E65AD0">
        <w:rPr>
          <w:rFonts w:ascii="Book Antiqua" w:eastAsia="宋体" w:hAnsi="Book Antiqua"/>
          <w:lang w:val="en-US" w:eastAsia="zh-CN"/>
        </w:rPr>
        <w:t>:</w:t>
      </w:r>
      <w:r w:rsidRPr="00E65AD0">
        <w:rPr>
          <w:rFonts w:ascii="Book Antiqua" w:hAnsi="Book Antiqua"/>
          <w:lang w:val="en-US"/>
        </w:rPr>
        <w:t xml:space="preserve"> Non-steroidal anti-inflammatory drugs; PPI</w:t>
      </w:r>
      <w:r w:rsidRPr="00E65AD0">
        <w:rPr>
          <w:rFonts w:ascii="Book Antiqua" w:eastAsia="宋体" w:hAnsi="Book Antiqua"/>
          <w:lang w:val="en-US" w:eastAsia="zh-CN"/>
        </w:rPr>
        <w:t>:</w:t>
      </w:r>
      <w:r w:rsidRPr="00E65AD0">
        <w:rPr>
          <w:rFonts w:ascii="Book Antiqua" w:hAnsi="Book Antiqua"/>
          <w:lang w:val="en-US"/>
        </w:rPr>
        <w:t xml:space="preserve"> Proton pump inhibitor; HR-WLE</w:t>
      </w:r>
      <w:r w:rsidRPr="00E65AD0">
        <w:rPr>
          <w:rFonts w:ascii="Book Antiqua" w:eastAsia="宋体" w:hAnsi="Book Antiqua"/>
          <w:lang w:val="en-US" w:eastAsia="zh-CN"/>
        </w:rPr>
        <w:t>:</w:t>
      </w:r>
      <w:r w:rsidRPr="00E65AD0">
        <w:rPr>
          <w:rFonts w:ascii="Book Antiqua" w:hAnsi="Book Antiqua"/>
          <w:lang w:val="en-US"/>
        </w:rPr>
        <w:t xml:space="preserve"> High resolution-white light endoscopy; NBI</w:t>
      </w:r>
      <w:r w:rsidRPr="00E65AD0">
        <w:rPr>
          <w:rFonts w:ascii="Book Antiqua" w:eastAsia="宋体" w:hAnsi="Book Antiqua"/>
          <w:lang w:val="en-US" w:eastAsia="zh-CN"/>
        </w:rPr>
        <w:t>:</w:t>
      </w:r>
      <w:r w:rsidRPr="00E65AD0">
        <w:rPr>
          <w:rFonts w:ascii="Book Antiqua" w:hAnsi="Book Antiqua"/>
          <w:lang w:val="en-US"/>
        </w:rPr>
        <w:t xml:space="preserve"> Narrow band imaging; PGC</w:t>
      </w:r>
      <w:r w:rsidRPr="00E65AD0">
        <w:rPr>
          <w:rFonts w:ascii="Book Antiqua" w:eastAsia="宋体" w:hAnsi="Book Antiqua"/>
          <w:lang w:val="en-US" w:eastAsia="zh-CN"/>
        </w:rPr>
        <w:t>:</w:t>
      </w:r>
      <w:r w:rsidRPr="00E65AD0">
        <w:rPr>
          <w:rFonts w:ascii="Book Antiqua" w:hAnsi="Book Antiqua"/>
          <w:lang w:val="en-US"/>
        </w:rPr>
        <w:t xml:space="preserve"> </w:t>
      </w:r>
      <w:r w:rsidRPr="00E65AD0">
        <w:rPr>
          <w:rFonts w:ascii="Book Antiqua" w:hAnsi="Book Antiqua"/>
          <w:lang w:val="en-GB"/>
        </w:rPr>
        <w:t>Precancerous gastric conditions</w:t>
      </w:r>
      <w:r w:rsidRPr="00E65AD0">
        <w:rPr>
          <w:rFonts w:ascii="Book Antiqua" w:hAnsi="Book Antiqua"/>
          <w:lang w:val="en-US"/>
        </w:rPr>
        <w:t xml:space="preserve">. </w:t>
      </w:r>
    </w:p>
    <w:p w14:paraId="11AB2D65" w14:textId="77777777" w:rsidR="009938DB" w:rsidRPr="00E65AD0" w:rsidRDefault="009938DB" w:rsidP="00E65AD0">
      <w:pPr>
        <w:snapToGrid w:val="0"/>
        <w:spacing w:after="0" w:line="360" w:lineRule="auto"/>
        <w:rPr>
          <w:rFonts w:ascii="Book Antiqua" w:hAnsi="Book Antiqua"/>
        </w:rPr>
      </w:pPr>
      <w:r w:rsidRPr="00E65AD0">
        <w:rPr>
          <w:rFonts w:ascii="Book Antiqua" w:hAnsi="Book Antiqua"/>
        </w:rPr>
        <w:br w:type="page"/>
      </w:r>
    </w:p>
    <w:p w14:paraId="6EF93AA1" w14:textId="77777777" w:rsidR="00AE0787" w:rsidRPr="00E65AD0" w:rsidRDefault="000418A1" w:rsidP="00E65AD0">
      <w:pPr>
        <w:snapToGrid w:val="0"/>
        <w:spacing w:after="0" w:line="360" w:lineRule="auto"/>
        <w:rPr>
          <w:rFonts w:ascii="Book Antiqua" w:hAnsi="Book Antiqua"/>
        </w:rPr>
      </w:pPr>
      <w:r w:rsidRPr="00E65AD0">
        <w:rPr>
          <w:rFonts w:ascii="Book Antiqua" w:hAnsi="Book Antiqua"/>
          <w:noProof/>
          <w:lang w:val="en-US" w:eastAsia="zh-CN"/>
        </w:rPr>
        <w:lastRenderedPageBreak/>
        <w:drawing>
          <wp:inline distT="0" distB="0" distL="0" distR="0" wp14:anchorId="315B1ECF" wp14:editId="0FB9B89A">
            <wp:extent cx="5270500" cy="2228215"/>
            <wp:effectExtent l="0" t="0" r="635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2228215"/>
                    </a:xfrm>
                    <a:prstGeom prst="rect">
                      <a:avLst/>
                    </a:prstGeom>
                  </pic:spPr>
                </pic:pic>
              </a:graphicData>
            </a:graphic>
          </wp:inline>
        </w:drawing>
      </w:r>
    </w:p>
    <w:p w14:paraId="6A4B2281" w14:textId="77777777" w:rsidR="00AE0787" w:rsidRPr="00E65AD0" w:rsidRDefault="00AE0787" w:rsidP="00E65AD0">
      <w:pPr>
        <w:snapToGrid w:val="0"/>
        <w:spacing w:after="0" w:line="360" w:lineRule="auto"/>
        <w:rPr>
          <w:rFonts w:ascii="Book Antiqua" w:eastAsia="宋体" w:hAnsi="Book Antiqua"/>
          <w:lang w:val="en-GB" w:eastAsia="zh-CN"/>
        </w:rPr>
      </w:pPr>
      <w:r w:rsidRPr="00E65AD0">
        <w:rPr>
          <w:rFonts w:ascii="Book Antiqua" w:hAnsi="Book Antiqua"/>
          <w:b/>
          <w:lang w:val="en-GB"/>
        </w:rPr>
        <w:t>Figure 2</w:t>
      </w:r>
      <w:r w:rsidR="000418A1" w:rsidRPr="00E65AD0">
        <w:rPr>
          <w:rFonts w:ascii="Book Antiqua" w:eastAsia="宋体" w:hAnsi="Book Antiqua"/>
          <w:b/>
          <w:lang w:val="en-GB" w:eastAsia="zh-CN"/>
        </w:rPr>
        <w:t xml:space="preserve"> </w:t>
      </w:r>
      <w:r w:rsidRPr="00E65AD0">
        <w:rPr>
          <w:rFonts w:ascii="Book Antiqua" w:hAnsi="Book Antiqua"/>
          <w:b/>
          <w:lang w:val="en-GB"/>
        </w:rPr>
        <w:t xml:space="preserve">Prevalence of </w:t>
      </w:r>
      <w:r w:rsidR="000418A1" w:rsidRPr="00E65AD0">
        <w:rPr>
          <w:rFonts w:ascii="Book Antiqua" w:hAnsi="Book Antiqua"/>
          <w:b/>
          <w:lang w:val="en-GB"/>
        </w:rPr>
        <w:t>Operative Link on Gastritis Assessment</w:t>
      </w:r>
      <w:r w:rsidRPr="00E65AD0">
        <w:rPr>
          <w:rFonts w:ascii="Book Antiqua" w:hAnsi="Book Antiqua"/>
          <w:b/>
          <w:lang w:val="en-GB"/>
        </w:rPr>
        <w:t xml:space="preserve">, endoscopic grading of gastric intestinal metaplasia, and Operative Link on Gastric Intestinal Metaplasia scores, respectively in the 85 patients before and after </w:t>
      </w:r>
      <w:r w:rsidRPr="00E65AD0">
        <w:rPr>
          <w:rFonts w:ascii="Book Antiqua" w:hAnsi="Book Antiqua"/>
          <w:b/>
          <w:i/>
          <w:lang w:val="en-GB"/>
        </w:rPr>
        <w:t>Helicobacter pylori</w:t>
      </w:r>
      <w:r w:rsidRPr="00E65AD0">
        <w:rPr>
          <w:rFonts w:ascii="Book Antiqua" w:hAnsi="Book Antiqua"/>
          <w:b/>
          <w:lang w:val="en-GB"/>
        </w:rPr>
        <w:t xml:space="preserve"> eradication.</w:t>
      </w:r>
      <w:r w:rsidR="000418A1" w:rsidRPr="00E65AD0">
        <w:rPr>
          <w:rFonts w:ascii="Book Antiqua" w:eastAsia="宋体" w:hAnsi="Book Antiqua"/>
          <w:b/>
          <w:lang w:val="en-GB" w:eastAsia="zh-CN"/>
        </w:rPr>
        <w:t xml:space="preserve"> </w:t>
      </w:r>
      <w:r w:rsidR="000418A1" w:rsidRPr="00E65AD0">
        <w:rPr>
          <w:rFonts w:ascii="Book Antiqua" w:hAnsi="Book Antiqua"/>
          <w:lang w:val="en-GB"/>
        </w:rPr>
        <w:t>OLGA</w:t>
      </w:r>
      <w:r w:rsidR="000418A1" w:rsidRPr="00E65AD0">
        <w:rPr>
          <w:rFonts w:ascii="Book Antiqua" w:eastAsia="宋体" w:hAnsi="Book Antiqua"/>
          <w:lang w:val="en-GB" w:eastAsia="zh-CN"/>
        </w:rPr>
        <w:t xml:space="preserve">: </w:t>
      </w:r>
      <w:r w:rsidR="000418A1" w:rsidRPr="00E65AD0">
        <w:rPr>
          <w:rFonts w:ascii="Book Antiqua" w:hAnsi="Book Antiqua"/>
          <w:lang w:val="en-GB"/>
        </w:rPr>
        <w:t>Operative Link on Gastritis Assessment</w:t>
      </w:r>
      <w:r w:rsidR="000418A1" w:rsidRPr="00E65AD0">
        <w:rPr>
          <w:rFonts w:ascii="Book Antiqua" w:eastAsia="宋体" w:hAnsi="Book Antiqua"/>
          <w:lang w:val="en-GB" w:eastAsia="zh-CN"/>
        </w:rPr>
        <w:t xml:space="preserve">; </w:t>
      </w:r>
      <w:r w:rsidR="000418A1" w:rsidRPr="00E65AD0">
        <w:rPr>
          <w:rFonts w:ascii="Book Antiqua" w:hAnsi="Book Antiqua"/>
          <w:lang w:val="en-GB"/>
        </w:rPr>
        <w:t>EGGIM</w:t>
      </w:r>
      <w:r w:rsidR="000418A1" w:rsidRPr="00E65AD0">
        <w:rPr>
          <w:rFonts w:ascii="Book Antiqua" w:eastAsia="宋体" w:hAnsi="Book Antiqua"/>
          <w:lang w:val="en-GB" w:eastAsia="zh-CN"/>
        </w:rPr>
        <w:t xml:space="preserve">: </w:t>
      </w:r>
      <w:r w:rsidR="000418A1" w:rsidRPr="00E65AD0">
        <w:rPr>
          <w:rFonts w:ascii="Book Antiqua" w:hAnsi="Book Antiqua"/>
          <w:lang w:val="en-GB"/>
        </w:rPr>
        <w:t>Endoscopic grading of gastric intestinal metaplasia</w:t>
      </w:r>
      <w:r w:rsidR="000418A1" w:rsidRPr="00E65AD0">
        <w:rPr>
          <w:rFonts w:ascii="Book Antiqua" w:eastAsia="宋体" w:hAnsi="Book Antiqua"/>
          <w:lang w:val="en-GB" w:eastAsia="zh-CN"/>
        </w:rPr>
        <w:t xml:space="preserve">; </w:t>
      </w:r>
      <w:r w:rsidR="000418A1" w:rsidRPr="00E65AD0">
        <w:rPr>
          <w:rFonts w:ascii="Book Antiqua" w:hAnsi="Book Antiqua"/>
          <w:lang w:val="en-GB"/>
        </w:rPr>
        <w:t>OLGIM</w:t>
      </w:r>
      <w:r w:rsidR="000418A1" w:rsidRPr="00E65AD0">
        <w:rPr>
          <w:rFonts w:ascii="Book Antiqua" w:eastAsia="宋体" w:hAnsi="Book Antiqua"/>
          <w:lang w:val="en-GB" w:eastAsia="zh-CN"/>
        </w:rPr>
        <w:t xml:space="preserve">: </w:t>
      </w:r>
      <w:r w:rsidR="000418A1" w:rsidRPr="00E65AD0">
        <w:rPr>
          <w:rFonts w:ascii="Book Antiqua" w:hAnsi="Book Antiqua"/>
          <w:lang w:val="en-GB"/>
        </w:rPr>
        <w:t>Operative Link on Gastric Intestinal Metaplasia</w:t>
      </w:r>
      <w:r w:rsidR="000418A1" w:rsidRPr="00E65AD0">
        <w:rPr>
          <w:rFonts w:ascii="Book Antiqua" w:eastAsia="宋体" w:hAnsi="Book Antiqua"/>
          <w:lang w:val="en-GB" w:eastAsia="zh-CN"/>
        </w:rPr>
        <w:t>.</w:t>
      </w:r>
    </w:p>
    <w:p w14:paraId="5F779DFB" w14:textId="77777777" w:rsidR="009938DB" w:rsidRPr="00E65AD0" w:rsidRDefault="009938DB" w:rsidP="00E65AD0">
      <w:pPr>
        <w:snapToGrid w:val="0"/>
        <w:spacing w:after="0" w:line="360" w:lineRule="auto"/>
        <w:rPr>
          <w:rFonts w:ascii="Book Antiqua" w:hAnsi="Book Antiqua"/>
          <w:lang w:val="en-GB"/>
        </w:rPr>
      </w:pPr>
      <w:r w:rsidRPr="00E65AD0">
        <w:rPr>
          <w:rFonts w:ascii="Book Antiqua" w:hAnsi="Book Antiqua"/>
          <w:lang w:val="en-GB"/>
        </w:rPr>
        <w:br w:type="page"/>
      </w:r>
    </w:p>
    <w:p w14:paraId="0AF48E56" w14:textId="77777777" w:rsidR="00AE0787" w:rsidRPr="00E65AD0" w:rsidRDefault="009938DB" w:rsidP="00E65AD0">
      <w:pPr>
        <w:snapToGrid w:val="0"/>
        <w:spacing w:after="0" w:line="360" w:lineRule="auto"/>
        <w:rPr>
          <w:rFonts w:ascii="Book Antiqua" w:hAnsi="Book Antiqua"/>
          <w:lang w:val="en-GB"/>
        </w:rPr>
      </w:pPr>
      <w:r w:rsidRPr="00E65AD0">
        <w:rPr>
          <w:rFonts w:ascii="Book Antiqua" w:hAnsi="Book Antiqua"/>
          <w:noProof/>
          <w:lang w:val="en-US" w:eastAsia="zh-CN"/>
        </w:rPr>
        <w:lastRenderedPageBreak/>
        <w:drawing>
          <wp:inline distT="0" distB="0" distL="0" distR="0" wp14:anchorId="62EBB7C5" wp14:editId="07F5F9E1">
            <wp:extent cx="5270500" cy="1483360"/>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1483360"/>
                    </a:xfrm>
                    <a:prstGeom prst="rect">
                      <a:avLst/>
                    </a:prstGeom>
                  </pic:spPr>
                </pic:pic>
              </a:graphicData>
            </a:graphic>
          </wp:inline>
        </w:drawing>
      </w:r>
    </w:p>
    <w:p w14:paraId="63053F26" w14:textId="77777777" w:rsidR="00AE0787" w:rsidRPr="00E65AD0" w:rsidRDefault="00AE0787" w:rsidP="00E65AD0">
      <w:pPr>
        <w:snapToGrid w:val="0"/>
        <w:spacing w:after="0" w:line="360" w:lineRule="auto"/>
        <w:rPr>
          <w:rFonts w:ascii="Book Antiqua" w:eastAsia="宋体" w:hAnsi="Book Antiqua"/>
          <w:b/>
          <w:lang w:val="en-GB" w:eastAsia="zh-CN"/>
        </w:rPr>
      </w:pPr>
      <w:r w:rsidRPr="00E65AD0">
        <w:rPr>
          <w:rFonts w:ascii="Book Antiqua" w:hAnsi="Book Antiqua"/>
          <w:b/>
          <w:lang w:val="en-GB"/>
        </w:rPr>
        <w:t>Figure 3</w:t>
      </w:r>
      <w:r w:rsidR="009938DB" w:rsidRPr="00E65AD0">
        <w:rPr>
          <w:rFonts w:ascii="Book Antiqua" w:eastAsia="宋体" w:hAnsi="Book Antiqua"/>
          <w:b/>
          <w:lang w:val="en-GB" w:eastAsia="zh-CN"/>
        </w:rPr>
        <w:t xml:space="preserve"> </w:t>
      </w:r>
      <w:r w:rsidR="009938DB" w:rsidRPr="00E65AD0">
        <w:rPr>
          <w:rFonts w:ascii="Book Antiqua" w:hAnsi="Book Antiqua"/>
          <w:b/>
          <w:lang w:val="en-GB"/>
        </w:rPr>
        <w:t xml:space="preserve">Gastric </w:t>
      </w:r>
      <w:r w:rsidR="000418A1" w:rsidRPr="00E65AD0">
        <w:rPr>
          <w:rFonts w:ascii="Book Antiqua" w:hAnsi="Book Antiqua"/>
          <w:b/>
          <w:lang w:val="en-GB"/>
        </w:rPr>
        <w:t>white-light endoscopy</w:t>
      </w:r>
      <w:r w:rsidR="000418A1" w:rsidRPr="00E65AD0">
        <w:rPr>
          <w:rFonts w:ascii="Book Antiqua" w:eastAsia="宋体" w:hAnsi="Book Antiqua"/>
          <w:b/>
          <w:lang w:val="en-GB" w:eastAsia="zh-CN"/>
        </w:rPr>
        <w:t xml:space="preserve">, </w:t>
      </w:r>
      <w:r w:rsidR="00856885" w:rsidRPr="00E65AD0">
        <w:rPr>
          <w:rFonts w:ascii="Book Antiqua" w:hAnsi="Book Antiqua"/>
          <w:b/>
          <w:lang w:val="en-GB"/>
        </w:rPr>
        <w:t>narrow band imaging</w:t>
      </w:r>
      <w:r w:rsidR="000418A1" w:rsidRPr="00E65AD0">
        <w:rPr>
          <w:rFonts w:ascii="Book Antiqua" w:eastAsia="宋体" w:hAnsi="Book Antiqua"/>
          <w:b/>
          <w:lang w:val="en-GB" w:eastAsia="zh-CN"/>
        </w:rPr>
        <w:t xml:space="preserve"> and</w:t>
      </w:r>
      <w:r w:rsidR="000418A1" w:rsidRPr="00E65AD0">
        <w:rPr>
          <w:rFonts w:ascii="Book Antiqua" w:hAnsi="Book Antiqua"/>
          <w:lang w:val="en-GB"/>
        </w:rPr>
        <w:t xml:space="preserve"> </w:t>
      </w:r>
      <w:r w:rsidR="000418A1" w:rsidRPr="00E65AD0">
        <w:rPr>
          <w:rFonts w:ascii="Book Antiqua" w:hAnsi="Book Antiqua"/>
          <w:b/>
          <w:lang w:val="en-GB"/>
        </w:rPr>
        <w:t>histological evaluation</w:t>
      </w:r>
      <w:r w:rsidR="009938DB" w:rsidRPr="00E65AD0">
        <w:rPr>
          <w:rFonts w:ascii="Book Antiqua" w:eastAsia="宋体" w:hAnsi="Book Antiqua"/>
          <w:b/>
          <w:lang w:val="en-GB" w:eastAsia="zh-CN"/>
        </w:rPr>
        <w:t xml:space="preserve"> before </w:t>
      </w:r>
      <w:r w:rsidR="009938DB" w:rsidRPr="00E65AD0">
        <w:rPr>
          <w:rFonts w:ascii="Book Antiqua" w:eastAsia="宋体" w:hAnsi="Book Antiqua"/>
          <w:b/>
          <w:i/>
          <w:lang w:val="en-GB" w:eastAsia="zh-CN"/>
        </w:rPr>
        <w:t xml:space="preserve">Helicobacter pylori </w:t>
      </w:r>
      <w:r w:rsidR="009938DB" w:rsidRPr="00E65AD0">
        <w:rPr>
          <w:rFonts w:ascii="Book Antiqua" w:eastAsia="宋体" w:hAnsi="Book Antiqua"/>
          <w:b/>
          <w:lang w:val="en-GB" w:eastAsia="zh-CN"/>
        </w:rPr>
        <w:t>eradication</w:t>
      </w:r>
      <w:r w:rsidR="00856885" w:rsidRPr="00E65AD0">
        <w:rPr>
          <w:rFonts w:ascii="Book Antiqua" w:eastAsia="宋体" w:hAnsi="Book Antiqua"/>
          <w:lang w:val="en-GB" w:eastAsia="zh-CN"/>
        </w:rPr>
        <w:t xml:space="preserve">. </w:t>
      </w:r>
      <w:r w:rsidR="009938DB" w:rsidRPr="00E65AD0">
        <w:rPr>
          <w:rFonts w:ascii="Book Antiqua" w:hAnsi="Book Antiqua"/>
          <w:lang w:val="en-GB"/>
        </w:rPr>
        <w:t>A</w:t>
      </w:r>
      <w:r w:rsidR="009938DB" w:rsidRPr="00E65AD0">
        <w:rPr>
          <w:rFonts w:ascii="Book Antiqua" w:eastAsia="宋体" w:hAnsi="Book Antiqua"/>
          <w:lang w:val="en-GB" w:eastAsia="zh-CN"/>
        </w:rPr>
        <w:t xml:space="preserve">, </w:t>
      </w:r>
      <w:r w:rsidR="009938DB" w:rsidRPr="00E65AD0">
        <w:rPr>
          <w:rFonts w:ascii="Book Antiqua" w:hAnsi="Book Antiqua"/>
          <w:lang w:val="en-GB"/>
        </w:rPr>
        <w:t>B</w:t>
      </w:r>
      <w:r w:rsidR="009938DB" w:rsidRPr="00E65AD0">
        <w:rPr>
          <w:rFonts w:ascii="Book Antiqua" w:eastAsia="宋体" w:hAnsi="Book Antiqua"/>
          <w:lang w:val="en-GB" w:eastAsia="zh-CN"/>
        </w:rPr>
        <w:t>:</w:t>
      </w:r>
      <w:r w:rsidRPr="00E65AD0">
        <w:rPr>
          <w:rFonts w:ascii="Book Antiqua" w:hAnsi="Book Antiqua"/>
          <w:lang w:val="en-GB"/>
        </w:rPr>
        <w:t xml:space="preserve"> Gastritis during </w:t>
      </w:r>
      <w:r w:rsidR="009938DB" w:rsidRPr="00E65AD0">
        <w:rPr>
          <w:rFonts w:ascii="Book Antiqua" w:hAnsi="Book Antiqua"/>
          <w:lang w:val="en-GB"/>
        </w:rPr>
        <w:t>white-light endoscopy</w:t>
      </w:r>
      <w:r w:rsidRPr="00E65AD0">
        <w:rPr>
          <w:rFonts w:ascii="Book Antiqua" w:hAnsi="Book Antiqua"/>
          <w:lang w:val="en-GB"/>
        </w:rPr>
        <w:t xml:space="preserve"> and </w:t>
      </w:r>
      <w:r w:rsidR="009938DB" w:rsidRPr="00E65AD0">
        <w:rPr>
          <w:rFonts w:ascii="Book Antiqua" w:hAnsi="Book Antiqua"/>
          <w:lang w:val="en-GB"/>
        </w:rPr>
        <w:t xml:space="preserve">narrow band imaging </w:t>
      </w:r>
      <w:r w:rsidRPr="00E65AD0">
        <w:rPr>
          <w:rFonts w:ascii="Book Antiqua" w:hAnsi="Book Antiqua"/>
          <w:lang w:val="en-GB"/>
        </w:rPr>
        <w:t xml:space="preserve">assessment of corpus before </w:t>
      </w:r>
      <w:r w:rsidRPr="00E65AD0">
        <w:rPr>
          <w:rFonts w:ascii="Book Antiqua" w:hAnsi="Book Antiqua"/>
          <w:i/>
          <w:iCs/>
          <w:lang w:val="en-GB"/>
        </w:rPr>
        <w:t>Helicobacter</w:t>
      </w:r>
      <w:r w:rsidRPr="00E65AD0">
        <w:rPr>
          <w:rFonts w:ascii="Book Antiqua" w:hAnsi="Book Antiqua"/>
          <w:i/>
          <w:lang w:val="en-GB"/>
        </w:rPr>
        <w:t xml:space="preserve"> pylori</w:t>
      </w:r>
      <w:r w:rsidR="009938DB" w:rsidRPr="00E65AD0">
        <w:rPr>
          <w:rFonts w:ascii="Book Antiqua" w:hAnsi="Book Antiqua"/>
          <w:lang w:val="en-GB"/>
        </w:rPr>
        <w:t xml:space="preserve"> eradication</w:t>
      </w:r>
      <w:r w:rsidR="009938DB" w:rsidRPr="00E65AD0">
        <w:rPr>
          <w:rFonts w:ascii="Book Antiqua" w:eastAsia="宋体" w:hAnsi="Book Antiqua"/>
          <w:lang w:val="en-GB" w:eastAsia="zh-CN"/>
        </w:rPr>
        <w:t>;</w:t>
      </w:r>
      <w:r w:rsidR="009938DB" w:rsidRPr="00E65AD0">
        <w:rPr>
          <w:rFonts w:ascii="Book Antiqua" w:hAnsi="Book Antiqua"/>
          <w:lang w:val="en-GB"/>
        </w:rPr>
        <w:t xml:space="preserve"> </w:t>
      </w:r>
      <w:r w:rsidR="009938DB" w:rsidRPr="00E65AD0">
        <w:rPr>
          <w:rFonts w:ascii="Book Antiqua" w:eastAsia="宋体" w:hAnsi="Book Antiqua"/>
          <w:lang w:val="en-GB" w:eastAsia="zh-CN"/>
        </w:rPr>
        <w:t xml:space="preserve">and </w:t>
      </w:r>
      <w:r w:rsidR="009938DB" w:rsidRPr="00E65AD0">
        <w:rPr>
          <w:rFonts w:ascii="Book Antiqua" w:hAnsi="Book Antiqua"/>
          <w:lang w:val="en-GB"/>
        </w:rPr>
        <w:t>C</w:t>
      </w:r>
      <w:r w:rsidR="009938DB" w:rsidRPr="00E65AD0">
        <w:rPr>
          <w:rFonts w:ascii="Book Antiqua" w:eastAsia="宋体" w:hAnsi="Book Antiqua"/>
          <w:lang w:val="en-GB" w:eastAsia="zh-CN"/>
        </w:rPr>
        <w:t>:</w:t>
      </w:r>
      <w:r w:rsidRPr="00E65AD0">
        <w:rPr>
          <w:rFonts w:ascii="Book Antiqua" w:hAnsi="Book Antiqua"/>
          <w:lang w:val="en-GB"/>
        </w:rPr>
        <w:t xml:space="preserve"> Histological evaluation: moderately atrophic chronically active gast</w:t>
      </w:r>
      <w:r w:rsidR="009938DB" w:rsidRPr="00E65AD0">
        <w:rPr>
          <w:rFonts w:ascii="Book Antiqua" w:hAnsi="Book Antiqua"/>
          <w:lang w:val="en-GB"/>
        </w:rPr>
        <w:t xml:space="preserve">ritis with </w:t>
      </w:r>
      <w:proofErr w:type="spellStart"/>
      <w:r w:rsidR="009938DB" w:rsidRPr="00E65AD0">
        <w:rPr>
          <w:rFonts w:ascii="Book Antiqua" w:hAnsi="Book Antiqua"/>
          <w:lang w:val="en-GB"/>
        </w:rPr>
        <w:t>lymphoplasmacellular</w:t>
      </w:r>
      <w:proofErr w:type="spellEnd"/>
      <w:r w:rsidR="009938DB" w:rsidRPr="00E65AD0">
        <w:rPr>
          <w:rFonts w:ascii="Book Antiqua" w:eastAsia="宋体" w:hAnsi="Book Antiqua"/>
          <w:lang w:val="en-GB" w:eastAsia="zh-CN"/>
        </w:rPr>
        <w:t xml:space="preserve"> </w:t>
      </w:r>
      <w:r w:rsidRPr="00E65AD0">
        <w:rPr>
          <w:rFonts w:ascii="Book Antiqua" w:hAnsi="Book Antiqua"/>
          <w:lang w:val="en-GB"/>
        </w:rPr>
        <w:t xml:space="preserve">infiltration of the lamina propria and foveolar epithelium hyperplasia (fundus before </w:t>
      </w:r>
      <w:r w:rsidRPr="00E65AD0">
        <w:rPr>
          <w:rFonts w:ascii="Book Antiqua" w:hAnsi="Book Antiqua"/>
          <w:i/>
          <w:iCs/>
          <w:lang w:val="en-GB"/>
        </w:rPr>
        <w:t>Helicobacter</w:t>
      </w:r>
      <w:r w:rsidRPr="00E65AD0">
        <w:rPr>
          <w:rFonts w:ascii="Book Antiqua" w:hAnsi="Book Antiqua"/>
          <w:lang w:val="en-GB"/>
        </w:rPr>
        <w:t xml:space="preserve"> </w:t>
      </w:r>
      <w:r w:rsidRPr="00E65AD0">
        <w:rPr>
          <w:rFonts w:ascii="Book Antiqua" w:hAnsi="Book Antiqua"/>
          <w:i/>
          <w:lang w:val="en-GB"/>
        </w:rPr>
        <w:t>pylori</w:t>
      </w:r>
      <w:r w:rsidRPr="00E65AD0">
        <w:rPr>
          <w:rFonts w:ascii="Book Antiqua" w:hAnsi="Book Antiqua"/>
          <w:lang w:val="en-GB"/>
        </w:rPr>
        <w:t xml:space="preserve"> eradication. Sections of 3 microns </w:t>
      </w:r>
      <w:proofErr w:type="spellStart"/>
      <w:r w:rsidRPr="00E65AD0">
        <w:rPr>
          <w:rFonts w:ascii="Book Antiqua" w:hAnsi="Book Antiqua"/>
          <w:lang w:val="en-GB"/>
        </w:rPr>
        <w:t>colored</w:t>
      </w:r>
      <w:proofErr w:type="spellEnd"/>
      <w:r w:rsidRPr="00E65AD0">
        <w:rPr>
          <w:rFonts w:ascii="Book Antiqua" w:hAnsi="Book Antiqua"/>
          <w:lang w:val="en-GB"/>
        </w:rPr>
        <w:t xml:space="preserve"> with </w:t>
      </w:r>
      <w:proofErr w:type="spellStart"/>
      <w:r w:rsidRPr="00E65AD0">
        <w:rPr>
          <w:rFonts w:ascii="Book Antiqua" w:hAnsi="Book Antiqua"/>
          <w:lang w:val="en-GB"/>
        </w:rPr>
        <w:t>Hematoxylin</w:t>
      </w:r>
      <w:proofErr w:type="spellEnd"/>
      <w:r w:rsidRPr="00E65AD0">
        <w:rPr>
          <w:rFonts w:ascii="Book Antiqua" w:hAnsi="Book Antiqua"/>
          <w:lang w:val="en-GB"/>
        </w:rPr>
        <w:t xml:space="preserve"> Eosin and Giemsa respectively. </w:t>
      </w:r>
      <w:r w:rsidRPr="00E65AD0">
        <w:rPr>
          <w:rFonts w:ascii="Book Antiqua" w:hAnsi="Book Antiqua"/>
        </w:rPr>
        <w:t xml:space="preserve">Magnifications: </w:t>
      </w:r>
      <w:r w:rsidR="009938DB" w:rsidRPr="00E65AD0">
        <w:rPr>
          <w:rFonts w:ascii="Book Antiqua" w:hAnsi="Book Antiqua"/>
        </w:rPr>
        <w:t>×</w:t>
      </w:r>
      <w:r w:rsidR="009938DB" w:rsidRPr="00E65AD0">
        <w:rPr>
          <w:rFonts w:ascii="Book Antiqua" w:eastAsia="宋体" w:hAnsi="Book Antiqua"/>
          <w:lang w:eastAsia="zh-CN"/>
        </w:rPr>
        <w:t xml:space="preserve"> </w:t>
      </w:r>
      <w:r w:rsidRPr="00E65AD0">
        <w:rPr>
          <w:rFonts w:ascii="Book Antiqua" w:hAnsi="Book Antiqua"/>
        </w:rPr>
        <w:t xml:space="preserve">10). </w:t>
      </w:r>
    </w:p>
    <w:p w14:paraId="5B5480B3" w14:textId="77777777" w:rsidR="009938DB" w:rsidRPr="00E65AD0" w:rsidRDefault="009938DB" w:rsidP="00E65AD0">
      <w:pPr>
        <w:snapToGrid w:val="0"/>
        <w:spacing w:after="0" w:line="360" w:lineRule="auto"/>
        <w:rPr>
          <w:rFonts w:ascii="Book Antiqua" w:hAnsi="Book Antiqua"/>
          <w:lang w:val="en-GB"/>
        </w:rPr>
      </w:pPr>
      <w:r w:rsidRPr="00E65AD0">
        <w:rPr>
          <w:rFonts w:ascii="Book Antiqua" w:hAnsi="Book Antiqua"/>
          <w:lang w:val="en-GB"/>
        </w:rPr>
        <w:br w:type="page"/>
      </w:r>
    </w:p>
    <w:p w14:paraId="53DA4272" w14:textId="77777777" w:rsidR="000D224E" w:rsidRPr="00E65AD0" w:rsidRDefault="000D224E" w:rsidP="00E65AD0">
      <w:pPr>
        <w:snapToGrid w:val="0"/>
        <w:spacing w:after="0" w:line="360" w:lineRule="auto"/>
        <w:rPr>
          <w:rFonts w:ascii="Book Antiqua" w:eastAsia="宋体" w:hAnsi="Book Antiqua"/>
          <w:b/>
          <w:lang w:val="en-GB" w:eastAsia="zh-CN"/>
        </w:rPr>
      </w:pPr>
      <w:r w:rsidRPr="00E65AD0">
        <w:rPr>
          <w:rFonts w:ascii="Book Antiqua" w:eastAsia="宋体" w:hAnsi="Book Antiqua"/>
          <w:b/>
          <w:noProof/>
          <w:lang w:val="en-US" w:eastAsia="zh-CN"/>
        </w:rPr>
        <w:lastRenderedPageBreak/>
        <w:drawing>
          <wp:inline distT="0" distB="0" distL="0" distR="0" wp14:anchorId="027FE324" wp14:editId="7F398A9B">
            <wp:extent cx="5270500" cy="38036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3803650"/>
                    </a:xfrm>
                    <a:prstGeom prst="rect">
                      <a:avLst/>
                    </a:prstGeom>
                  </pic:spPr>
                </pic:pic>
              </a:graphicData>
            </a:graphic>
          </wp:inline>
        </w:drawing>
      </w:r>
    </w:p>
    <w:p w14:paraId="7733ED12" w14:textId="77777777" w:rsidR="00C36D14" w:rsidRPr="000C0FC3" w:rsidRDefault="00AE0787" w:rsidP="00E65AD0">
      <w:pPr>
        <w:snapToGrid w:val="0"/>
        <w:spacing w:after="0" w:line="360" w:lineRule="auto"/>
        <w:rPr>
          <w:rFonts w:ascii="Book Antiqua" w:eastAsia="宋体" w:hAnsi="Book Antiqua"/>
          <w:b/>
          <w:lang w:val="en-GB" w:eastAsia="zh-CN"/>
        </w:rPr>
      </w:pPr>
      <w:r w:rsidRPr="00E65AD0">
        <w:rPr>
          <w:rFonts w:ascii="Book Antiqua" w:hAnsi="Book Antiqua"/>
          <w:b/>
          <w:lang w:val="en-GB"/>
        </w:rPr>
        <w:t>Figure 4</w:t>
      </w:r>
      <w:r w:rsidR="000D224E" w:rsidRPr="00E65AD0">
        <w:rPr>
          <w:rFonts w:ascii="Book Antiqua" w:eastAsia="宋体" w:hAnsi="Book Antiqua"/>
          <w:b/>
          <w:lang w:val="en-GB" w:eastAsia="zh-CN"/>
        </w:rPr>
        <w:t xml:space="preserve"> </w:t>
      </w:r>
      <w:r w:rsidR="000D224E" w:rsidRPr="00E65AD0">
        <w:rPr>
          <w:rFonts w:ascii="Book Antiqua" w:hAnsi="Book Antiqua"/>
          <w:b/>
          <w:lang w:val="en-GB"/>
        </w:rPr>
        <w:t>Gastric narrow band imaging</w:t>
      </w:r>
      <w:r w:rsidR="000D224E" w:rsidRPr="00E65AD0">
        <w:rPr>
          <w:rFonts w:ascii="Book Antiqua" w:eastAsia="宋体" w:hAnsi="Book Antiqua"/>
          <w:b/>
          <w:lang w:val="en-GB" w:eastAsia="zh-CN"/>
        </w:rPr>
        <w:t xml:space="preserve"> and</w:t>
      </w:r>
      <w:r w:rsidR="000D224E" w:rsidRPr="00E65AD0">
        <w:rPr>
          <w:rFonts w:ascii="Book Antiqua" w:hAnsi="Book Antiqua"/>
          <w:lang w:val="en-GB"/>
        </w:rPr>
        <w:t xml:space="preserve"> </w:t>
      </w:r>
      <w:r w:rsidR="000D224E" w:rsidRPr="00E65AD0">
        <w:rPr>
          <w:rFonts w:ascii="Book Antiqua" w:hAnsi="Book Antiqua"/>
          <w:b/>
          <w:lang w:val="en-GB"/>
        </w:rPr>
        <w:t>histological evaluation</w:t>
      </w:r>
      <w:r w:rsidR="000D224E" w:rsidRPr="00E65AD0">
        <w:rPr>
          <w:rFonts w:ascii="Book Antiqua" w:eastAsia="宋体" w:hAnsi="Book Antiqua"/>
          <w:b/>
          <w:lang w:val="en-GB" w:eastAsia="zh-CN"/>
        </w:rPr>
        <w:t xml:space="preserve"> after </w:t>
      </w:r>
      <w:r w:rsidR="000D224E" w:rsidRPr="00E65AD0">
        <w:rPr>
          <w:rFonts w:ascii="Book Antiqua" w:eastAsia="宋体" w:hAnsi="Book Antiqua"/>
          <w:b/>
          <w:i/>
          <w:lang w:val="en-GB" w:eastAsia="zh-CN"/>
        </w:rPr>
        <w:t xml:space="preserve">Helicobacter pylori </w:t>
      </w:r>
      <w:r w:rsidR="000D224E" w:rsidRPr="00E65AD0">
        <w:rPr>
          <w:rFonts w:ascii="Book Antiqua" w:eastAsia="宋体" w:hAnsi="Book Antiqua"/>
          <w:b/>
          <w:lang w:val="en-GB" w:eastAsia="zh-CN"/>
        </w:rPr>
        <w:t>eradication</w:t>
      </w:r>
      <w:r w:rsidR="000D224E" w:rsidRPr="00E65AD0">
        <w:rPr>
          <w:rFonts w:ascii="Book Antiqua" w:eastAsia="宋体" w:hAnsi="Book Antiqua"/>
          <w:lang w:val="en-GB" w:eastAsia="zh-CN"/>
        </w:rPr>
        <w:t>.</w:t>
      </w:r>
      <w:r w:rsidR="000D224E" w:rsidRPr="00E65AD0">
        <w:rPr>
          <w:rFonts w:ascii="Book Antiqua" w:eastAsia="宋体" w:hAnsi="Book Antiqua"/>
          <w:b/>
          <w:lang w:val="en-GB" w:eastAsia="zh-CN"/>
        </w:rPr>
        <w:t xml:space="preserve"> </w:t>
      </w:r>
      <w:r w:rsidR="000418A1" w:rsidRPr="00E65AD0">
        <w:rPr>
          <w:rFonts w:ascii="Book Antiqua" w:hAnsi="Book Antiqua"/>
          <w:lang w:val="en-GB"/>
        </w:rPr>
        <w:t>A</w:t>
      </w:r>
      <w:r w:rsidR="000418A1" w:rsidRPr="00E65AD0">
        <w:rPr>
          <w:rFonts w:ascii="Book Antiqua" w:eastAsia="宋体" w:hAnsi="Book Antiqua"/>
          <w:lang w:val="en-GB" w:eastAsia="zh-CN"/>
        </w:rPr>
        <w:t>:</w:t>
      </w:r>
      <w:r w:rsidR="000418A1" w:rsidRPr="00E65AD0">
        <w:rPr>
          <w:rFonts w:ascii="Book Antiqua" w:hAnsi="Book Antiqua"/>
          <w:lang w:val="en-GB"/>
        </w:rPr>
        <w:t xml:space="preserve"> Low-grade dysplasia</w:t>
      </w:r>
      <w:r w:rsidRPr="00E65AD0">
        <w:rPr>
          <w:rFonts w:ascii="Book Antiqua" w:hAnsi="Book Antiqua"/>
          <w:lang w:val="en-GB"/>
        </w:rPr>
        <w:t xml:space="preserve"> on flat lesion during </w:t>
      </w:r>
      <w:r w:rsidR="000418A1" w:rsidRPr="00E65AD0">
        <w:rPr>
          <w:rFonts w:ascii="Book Antiqua" w:hAnsi="Book Antiqua"/>
          <w:lang w:val="en-GB"/>
        </w:rPr>
        <w:t>narrow band imaging</w:t>
      </w:r>
      <w:r w:rsidRPr="00E65AD0">
        <w:rPr>
          <w:rFonts w:ascii="Book Antiqua" w:hAnsi="Book Antiqua"/>
          <w:lang w:val="en-GB"/>
        </w:rPr>
        <w:t xml:space="preserve"> assessment of corpus after </w:t>
      </w:r>
      <w:r w:rsidRPr="00E65AD0">
        <w:rPr>
          <w:rFonts w:ascii="Book Antiqua" w:hAnsi="Book Antiqua"/>
          <w:i/>
          <w:iCs/>
          <w:lang w:val="en-GB"/>
        </w:rPr>
        <w:t xml:space="preserve">Helicobacter pylori </w:t>
      </w:r>
      <w:r w:rsidR="000418A1" w:rsidRPr="00E65AD0">
        <w:rPr>
          <w:rFonts w:ascii="Book Antiqua" w:hAnsi="Book Antiqua"/>
          <w:lang w:val="en-GB"/>
        </w:rPr>
        <w:t>eradication</w:t>
      </w:r>
      <w:r w:rsidR="000418A1" w:rsidRPr="00E65AD0">
        <w:rPr>
          <w:rFonts w:ascii="Book Antiqua" w:eastAsia="宋体" w:hAnsi="Book Antiqua"/>
          <w:lang w:val="en-GB" w:eastAsia="zh-CN"/>
        </w:rPr>
        <w:t>;</w:t>
      </w:r>
      <w:r w:rsidR="000418A1" w:rsidRPr="00E65AD0">
        <w:rPr>
          <w:rFonts w:ascii="Book Antiqua" w:hAnsi="Book Antiqua"/>
          <w:lang w:val="en-GB"/>
        </w:rPr>
        <w:t xml:space="preserve"> B</w:t>
      </w:r>
      <w:r w:rsidR="000418A1" w:rsidRPr="00E65AD0">
        <w:rPr>
          <w:rFonts w:ascii="Book Antiqua" w:eastAsia="宋体" w:hAnsi="Book Antiqua"/>
          <w:lang w:val="en-GB" w:eastAsia="zh-CN"/>
        </w:rPr>
        <w:t>:</w:t>
      </w:r>
      <w:r w:rsidRPr="00E65AD0">
        <w:rPr>
          <w:rFonts w:ascii="Book Antiqua" w:hAnsi="Book Antiqua"/>
          <w:lang w:val="en-GB"/>
        </w:rPr>
        <w:t xml:space="preserve"> Histological appearance: inactive chronically mild atrophic gastritis with intestinal metaplasia and low-grade dysplasia on intestinal metaplastic epithelium (fundus after </w:t>
      </w:r>
      <w:r w:rsidRPr="00E65AD0">
        <w:rPr>
          <w:rFonts w:ascii="Book Antiqua" w:hAnsi="Book Antiqua"/>
          <w:i/>
          <w:iCs/>
          <w:lang w:val="en-GB"/>
        </w:rPr>
        <w:t>Helicobacter</w:t>
      </w:r>
      <w:r w:rsidRPr="00E65AD0">
        <w:rPr>
          <w:rFonts w:ascii="Book Antiqua" w:hAnsi="Book Antiqua"/>
          <w:i/>
          <w:lang w:val="en-GB"/>
        </w:rPr>
        <w:t xml:space="preserve"> pylori</w:t>
      </w:r>
      <w:r w:rsidRPr="00E65AD0">
        <w:rPr>
          <w:rFonts w:ascii="Book Antiqua" w:hAnsi="Book Antiqua"/>
          <w:lang w:val="en-GB"/>
        </w:rPr>
        <w:t xml:space="preserve"> eradication)</w:t>
      </w:r>
      <w:r w:rsidR="000418A1" w:rsidRPr="00E65AD0">
        <w:rPr>
          <w:rFonts w:ascii="Book Antiqua" w:eastAsia="宋体" w:hAnsi="Book Antiqua"/>
          <w:lang w:val="en-GB" w:eastAsia="zh-CN"/>
        </w:rPr>
        <w:t>;</w:t>
      </w:r>
      <w:r w:rsidR="000418A1" w:rsidRPr="00E65AD0">
        <w:rPr>
          <w:rFonts w:ascii="Book Antiqua" w:hAnsi="Book Antiqua"/>
          <w:lang w:val="en-GB"/>
        </w:rPr>
        <w:t xml:space="preserve"> C</w:t>
      </w:r>
      <w:r w:rsidR="000418A1" w:rsidRPr="00E65AD0">
        <w:rPr>
          <w:rFonts w:ascii="Book Antiqua" w:eastAsia="宋体" w:hAnsi="Book Antiqua"/>
          <w:lang w:val="en-GB" w:eastAsia="zh-CN"/>
        </w:rPr>
        <w:t xml:space="preserve">: </w:t>
      </w:r>
      <w:r w:rsidRPr="00E65AD0">
        <w:rPr>
          <w:rFonts w:ascii="Book Antiqua" w:hAnsi="Book Antiqua"/>
          <w:lang w:val="en-GB"/>
        </w:rPr>
        <w:t xml:space="preserve">Low-grade dysplasia aspect of antrum on visible lesion during </w:t>
      </w:r>
      <w:r w:rsidR="000418A1" w:rsidRPr="00E65AD0">
        <w:rPr>
          <w:rFonts w:ascii="Book Antiqua" w:hAnsi="Book Antiqua"/>
          <w:lang w:val="en-GB"/>
        </w:rPr>
        <w:t>narrow band imaging</w:t>
      </w:r>
      <w:r w:rsidRPr="00E65AD0">
        <w:rPr>
          <w:rFonts w:ascii="Book Antiqua" w:hAnsi="Book Antiqua"/>
          <w:lang w:val="en-GB"/>
        </w:rPr>
        <w:t xml:space="preserve"> assessment after </w:t>
      </w:r>
      <w:r w:rsidRPr="00E65AD0">
        <w:rPr>
          <w:rFonts w:ascii="Book Antiqua" w:hAnsi="Book Antiqua"/>
          <w:i/>
          <w:iCs/>
          <w:lang w:val="en-GB"/>
        </w:rPr>
        <w:t xml:space="preserve">Helicobacter pylori </w:t>
      </w:r>
      <w:r w:rsidR="000418A1" w:rsidRPr="00E65AD0">
        <w:rPr>
          <w:rFonts w:ascii="Book Antiqua" w:hAnsi="Book Antiqua"/>
          <w:lang w:val="en-GB"/>
        </w:rPr>
        <w:t>eradication</w:t>
      </w:r>
      <w:r w:rsidR="000418A1" w:rsidRPr="00E65AD0">
        <w:rPr>
          <w:rFonts w:ascii="Book Antiqua" w:eastAsia="宋体" w:hAnsi="Book Antiqua"/>
          <w:lang w:val="en-GB" w:eastAsia="zh-CN"/>
        </w:rPr>
        <w:t>;</w:t>
      </w:r>
      <w:r w:rsidR="000418A1" w:rsidRPr="00E65AD0">
        <w:rPr>
          <w:rFonts w:ascii="Book Antiqua" w:hAnsi="Book Antiqua"/>
          <w:lang w:val="en-GB"/>
        </w:rPr>
        <w:t xml:space="preserve"> </w:t>
      </w:r>
      <w:r w:rsidR="000418A1" w:rsidRPr="00E65AD0">
        <w:rPr>
          <w:rFonts w:ascii="Book Antiqua" w:eastAsia="宋体" w:hAnsi="Book Antiqua"/>
          <w:lang w:val="en-GB" w:eastAsia="zh-CN"/>
        </w:rPr>
        <w:t xml:space="preserve">and </w:t>
      </w:r>
      <w:r w:rsidR="000418A1" w:rsidRPr="00E65AD0">
        <w:rPr>
          <w:rFonts w:ascii="Book Antiqua" w:hAnsi="Book Antiqua"/>
          <w:lang w:val="en-GB"/>
        </w:rPr>
        <w:t>D</w:t>
      </w:r>
      <w:r w:rsidR="000418A1" w:rsidRPr="00E65AD0">
        <w:rPr>
          <w:rFonts w:ascii="Book Antiqua" w:eastAsia="宋体" w:hAnsi="Book Antiqua"/>
          <w:lang w:val="en-GB" w:eastAsia="zh-CN"/>
        </w:rPr>
        <w:t>:</w:t>
      </w:r>
      <w:r w:rsidRPr="00E65AD0">
        <w:rPr>
          <w:rFonts w:ascii="Book Antiqua" w:hAnsi="Book Antiqua"/>
          <w:lang w:val="en-GB"/>
        </w:rPr>
        <w:t xml:space="preserve"> Histological appearance: inactive chronically moderate atrophic gastritis with intestinal metaplasia and low-grade dysplasia on intestinal metaplastic epithelium (antrum after </w:t>
      </w:r>
      <w:r w:rsidRPr="00E65AD0">
        <w:rPr>
          <w:rFonts w:ascii="Book Antiqua" w:hAnsi="Book Antiqua"/>
          <w:i/>
          <w:iCs/>
          <w:lang w:val="en-GB"/>
        </w:rPr>
        <w:t>Helicobacter</w:t>
      </w:r>
      <w:r w:rsidRPr="00E65AD0">
        <w:rPr>
          <w:rFonts w:ascii="Book Antiqua" w:hAnsi="Book Antiqua"/>
          <w:i/>
          <w:lang w:val="en-GB"/>
        </w:rPr>
        <w:t xml:space="preserve"> pylori </w:t>
      </w:r>
      <w:r w:rsidRPr="00E65AD0">
        <w:rPr>
          <w:rFonts w:ascii="Book Antiqua" w:hAnsi="Book Antiqua"/>
          <w:lang w:val="en-GB"/>
        </w:rPr>
        <w:t xml:space="preserve">eradication). </w:t>
      </w:r>
      <w:r w:rsidRPr="00E65AD0">
        <w:rPr>
          <w:rFonts w:ascii="Book Antiqua" w:hAnsi="Book Antiqua"/>
        </w:rPr>
        <w:t xml:space="preserve">Hematoxylin Eosin. Sections </w:t>
      </w:r>
      <w:r w:rsidR="000418A1" w:rsidRPr="00E65AD0">
        <w:rPr>
          <w:rFonts w:ascii="Book Antiqua" w:hAnsi="Book Antiqua"/>
        </w:rPr>
        <w:t>of 3 microns. Magnification: ×</w:t>
      </w:r>
      <w:r w:rsidR="000418A1" w:rsidRPr="00E65AD0">
        <w:rPr>
          <w:rFonts w:ascii="Book Antiqua" w:eastAsia="宋体" w:hAnsi="Book Antiqua"/>
          <w:lang w:eastAsia="zh-CN"/>
        </w:rPr>
        <w:t xml:space="preserve"> </w:t>
      </w:r>
      <w:r w:rsidR="000418A1" w:rsidRPr="00E65AD0">
        <w:rPr>
          <w:rFonts w:ascii="Book Antiqua" w:hAnsi="Book Antiqua"/>
        </w:rPr>
        <w:t>10</w:t>
      </w:r>
      <w:r w:rsidRPr="00E65AD0">
        <w:rPr>
          <w:rFonts w:ascii="Book Antiqua" w:hAnsi="Book Antiqua"/>
        </w:rPr>
        <w:t>.</w:t>
      </w:r>
      <w:r w:rsidR="00C36D14" w:rsidRPr="00E65AD0">
        <w:rPr>
          <w:rFonts w:ascii="Book Antiqua" w:hAnsi="Book Antiqua"/>
          <w:b/>
          <w:bCs/>
          <w:color w:val="000000"/>
        </w:rPr>
        <w:br w:type="page"/>
      </w:r>
    </w:p>
    <w:p w14:paraId="1E1ACDB1" w14:textId="77777777" w:rsidR="009D0DBE" w:rsidRPr="00E65AD0" w:rsidRDefault="00C36D14" w:rsidP="00E65AD0">
      <w:pPr>
        <w:adjustRightInd w:val="0"/>
        <w:snapToGrid w:val="0"/>
        <w:spacing w:after="0" w:line="360" w:lineRule="auto"/>
        <w:rPr>
          <w:rFonts w:ascii="Book Antiqua" w:eastAsia="宋体" w:hAnsi="Book Antiqua"/>
          <w:b/>
          <w:lang w:val="en-GB" w:eastAsia="zh-CN"/>
        </w:rPr>
      </w:pPr>
      <w:r w:rsidRPr="00E65AD0">
        <w:rPr>
          <w:rFonts w:ascii="Book Antiqua" w:hAnsi="Book Antiqua"/>
          <w:b/>
          <w:lang w:val="en-GB"/>
        </w:rPr>
        <w:lastRenderedPageBreak/>
        <w:t>Table 1 Baseline demographic and clinical characteristics of patients who underwent</w:t>
      </w:r>
      <w:r w:rsidRPr="00E65AD0">
        <w:rPr>
          <w:rFonts w:ascii="Book Antiqua" w:hAnsi="Book Antiqua"/>
          <w:b/>
          <w:i/>
          <w:iCs/>
          <w:lang w:val="en-GB"/>
        </w:rPr>
        <w:t xml:space="preserve"> Helicobacter pylori</w:t>
      </w:r>
      <w:r w:rsidRPr="00E65AD0">
        <w:rPr>
          <w:rFonts w:ascii="Book Antiqua" w:eastAsia="宋体" w:hAnsi="Book Antiqua"/>
          <w:b/>
          <w:lang w:val="en-GB" w:eastAsia="zh-CN"/>
        </w:rPr>
        <w:t xml:space="preserve"> </w:t>
      </w:r>
      <w:r w:rsidRPr="00E65AD0">
        <w:rPr>
          <w:rFonts w:ascii="Book Antiqua" w:hAnsi="Book Antiqua"/>
          <w:b/>
          <w:lang w:val="en-GB"/>
        </w:rPr>
        <w:t>eradication</w:t>
      </w:r>
    </w:p>
    <w:tbl>
      <w:tblPr>
        <w:tblW w:w="9078" w:type="dxa"/>
        <w:tblInd w:w="7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971"/>
        <w:gridCol w:w="3107"/>
      </w:tblGrid>
      <w:tr w:rsidR="00C36D14" w:rsidRPr="00E65AD0" w14:paraId="75803579" w14:textId="77777777" w:rsidTr="009006B5">
        <w:trPr>
          <w:trHeight w:val="593"/>
        </w:trPr>
        <w:tc>
          <w:tcPr>
            <w:tcW w:w="5971" w:type="dxa"/>
            <w:tcBorders>
              <w:top w:val="single" w:sz="4" w:space="0" w:color="auto"/>
              <w:bottom w:val="single" w:sz="4" w:space="0" w:color="auto"/>
            </w:tcBorders>
            <w:shd w:val="clear" w:color="000000" w:fill="FFFFFF"/>
            <w:vAlign w:val="center"/>
          </w:tcPr>
          <w:p w14:paraId="0551C669" w14:textId="77777777" w:rsidR="00C36D14" w:rsidRPr="00E65AD0" w:rsidRDefault="00C36D14" w:rsidP="00E65AD0">
            <w:pPr>
              <w:snapToGrid w:val="0"/>
              <w:spacing w:after="0" w:line="360" w:lineRule="auto"/>
              <w:rPr>
                <w:rFonts w:ascii="Book Antiqua" w:hAnsi="Book Antiqua" w:cs="Calibri"/>
                <w:b/>
                <w:lang w:val="it"/>
              </w:rPr>
            </w:pPr>
            <w:r w:rsidRPr="00E65AD0">
              <w:rPr>
                <w:rFonts w:ascii="Book Antiqua" w:hAnsi="Book Antiqua"/>
                <w:b/>
                <w:lang w:val="it"/>
              </w:rPr>
              <w:t>Parameters</w:t>
            </w:r>
          </w:p>
        </w:tc>
        <w:tc>
          <w:tcPr>
            <w:tcW w:w="3107" w:type="dxa"/>
            <w:tcBorders>
              <w:top w:val="single" w:sz="4" w:space="0" w:color="auto"/>
              <w:bottom w:val="single" w:sz="4" w:space="0" w:color="auto"/>
            </w:tcBorders>
            <w:shd w:val="clear" w:color="000000" w:fill="FFFFFF"/>
            <w:vAlign w:val="center"/>
          </w:tcPr>
          <w:p w14:paraId="2D356C15" w14:textId="77777777" w:rsidR="00C36D14" w:rsidRPr="00E65AD0" w:rsidRDefault="00C36D14" w:rsidP="00E65AD0">
            <w:pPr>
              <w:snapToGrid w:val="0"/>
              <w:spacing w:after="0" w:line="360" w:lineRule="auto"/>
              <w:rPr>
                <w:rFonts w:ascii="Book Antiqua" w:hAnsi="Book Antiqua" w:cs="Calibri"/>
                <w:b/>
                <w:lang w:val="it"/>
              </w:rPr>
            </w:pPr>
            <w:r w:rsidRPr="00E65AD0">
              <w:rPr>
                <w:rFonts w:ascii="Book Antiqua" w:hAnsi="Book Antiqua"/>
                <w:b/>
                <w:lang w:val="it"/>
              </w:rPr>
              <w:t>Patients (</w:t>
            </w:r>
            <w:r w:rsidRPr="00E65AD0">
              <w:rPr>
                <w:rFonts w:ascii="Book Antiqua" w:hAnsi="Book Antiqua"/>
                <w:b/>
                <w:i/>
                <w:lang w:val="it"/>
              </w:rPr>
              <w:t>n</w:t>
            </w:r>
            <w:r w:rsidRPr="00E65AD0">
              <w:rPr>
                <w:rFonts w:ascii="Book Antiqua" w:hAnsi="Book Antiqua"/>
                <w:b/>
                <w:lang w:val="it"/>
              </w:rPr>
              <w:t xml:space="preserve"> = 85)</w:t>
            </w:r>
          </w:p>
        </w:tc>
      </w:tr>
      <w:tr w:rsidR="00C36D14" w:rsidRPr="00E65AD0" w14:paraId="6C38D476" w14:textId="77777777" w:rsidTr="009006B5">
        <w:trPr>
          <w:trHeight w:val="453"/>
        </w:trPr>
        <w:tc>
          <w:tcPr>
            <w:tcW w:w="5971" w:type="dxa"/>
            <w:tcBorders>
              <w:top w:val="single" w:sz="4" w:space="0" w:color="auto"/>
            </w:tcBorders>
            <w:shd w:val="clear" w:color="000000" w:fill="FFFFFF"/>
          </w:tcPr>
          <w:p w14:paraId="5290469C" w14:textId="77777777" w:rsidR="00C36D14" w:rsidRPr="00E65AD0" w:rsidRDefault="00C36D14" w:rsidP="00E65AD0">
            <w:pPr>
              <w:snapToGrid w:val="0"/>
              <w:spacing w:after="0" w:line="360" w:lineRule="auto"/>
              <w:rPr>
                <w:rFonts w:ascii="Book Antiqua" w:eastAsia="宋体" w:hAnsi="Book Antiqua" w:cs="Calibri"/>
                <w:lang w:val="it" w:eastAsia="zh-CN"/>
              </w:rPr>
            </w:pPr>
            <w:r w:rsidRPr="00E65AD0">
              <w:rPr>
                <w:rFonts w:ascii="Book Antiqua" w:hAnsi="Book Antiqua"/>
                <w:lang w:val="it"/>
              </w:rPr>
              <w:t>Age, mean (SD), yr</w:t>
            </w:r>
          </w:p>
        </w:tc>
        <w:tc>
          <w:tcPr>
            <w:tcW w:w="3107" w:type="dxa"/>
            <w:tcBorders>
              <w:top w:val="single" w:sz="4" w:space="0" w:color="auto"/>
            </w:tcBorders>
            <w:shd w:val="clear" w:color="000000" w:fill="FFFFFF"/>
          </w:tcPr>
          <w:p w14:paraId="03F1BEF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56.1 (12.3)</w:t>
            </w:r>
          </w:p>
        </w:tc>
      </w:tr>
      <w:tr w:rsidR="00C36D14" w:rsidRPr="00E65AD0" w14:paraId="71CAD937" w14:textId="77777777" w:rsidTr="009006B5">
        <w:trPr>
          <w:trHeight w:val="415"/>
        </w:trPr>
        <w:tc>
          <w:tcPr>
            <w:tcW w:w="5971" w:type="dxa"/>
            <w:shd w:val="clear" w:color="000000" w:fill="FFFFFF"/>
          </w:tcPr>
          <w:p w14:paraId="5B3BA9E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Gender,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1AF2DB11"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7945C952" w14:textId="77777777" w:rsidTr="009006B5">
        <w:trPr>
          <w:trHeight w:val="442"/>
        </w:trPr>
        <w:tc>
          <w:tcPr>
            <w:tcW w:w="5971" w:type="dxa"/>
            <w:shd w:val="clear" w:color="000000" w:fill="FFFFFF"/>
          </w:tcPr>
          <w:p w14:paraId="0DFBFC1C"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Female</w:t>
            </w:r>
          </w:p>
        </w:tc>
        <w:tc>
          <w:tcPr>
            <w:tcW w:w="3107" w:type="dxa"/>
            <w:shd w:val="clear" w:color="000000" w:fill="FFFFFF"/>
          </w:tcPr>
          <w:p w14:paraId="17036BA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53 (62.4)</w:t>
            </w:r>
          </w:p>
        </w:tc>
      </w:tr>
      <w:tr w:rsidR="00C36D14" w:rsidRPr="00E65AD0" w14:paraId="525D7392" w14:textId="77777777" w:rsidTr="009006B5">
        <w:trPr>
          <w:trHeight w:val="415"/>
        </w:trPr>
        <w:tc>
          <w:tcPr>
            <w:tcW w:w="5971" w:type="dxa"/>
            <w:shd w:val="clear" w:color="000000" w:fill="FFFFFF"/>
          </w:tcPr>
          <w:p w14:paraId="05493EF6"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BMI, mean (SD), kg/m</w:t>
            </w:r>
            <w:r w:rsidRPr="00E65AD0">
              <w:rPr>
                <w:rFonts w:ascii="Book Antiqua" w:hAnsi="Book Antiqua"/>
                <w:vertAlign w:val="superscript"/>
                <w:lang w:val="en-GB"/>
              </w:rPr>
              <w:t>2</w:t>
            </w:r>
          </w:p>
        </w:tc>
        <w:tc>
          <w:tcPr>
            <w:tcW w:w="3107" w:type="dxa"/>
            <w:shd w:val="clear" w:color="000000" w:fill="FFFFFF"/>
          </w:tcPr>
          <w:p w14:paraId="660113B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25.1 (2.2)</w:t>
            </w:r>
          </w:p>
        </w:tc>
      </w:tr>
      <w:tr w:rsidR="00C36D14" w:rsidRPr="00E65AD0" w14:paraId="4805878B" w14:textId="77777777" w:rsidTr="009006B5">
        <w:trPr>
          <w:trHeight w:val="471"/>
        </w:trPr>
        <w:tc>
          <w:tcPr>
            <w:tcW w:w="5971" w:type="dxa"/>
            <w:shd w:val="clear" w:color="000000" w:fill="FFFFFF"/>
          </w:tcPr>
          <w:p w14:paraId="6627950F"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 xml:space="preserve">Alcohol users (12-24 g/dL /die), </w:t>
            </w:r>
            <w:r w:rsidRPr="00E65AD0">
              <w:rPr>
                <w:rFonts w:ascii="Book Antiqua" w:hAnsi="Book Antiqua"/>
                <w:i/>
                <w:lang w:val="en-GB"/>
              </w:rPr>
              <w:t>n</w:t>
            </w:r>
            <w:r w:rsidRPr="00E65AD0">
              <w:rPr>
                <w:rFonts w:ascii="Book Antiqua" w:hAnsi="Book Antiqua"/>
                <w:lang w:val="en-GB"/>
              </w:rPr>
              <w:t xml:space="preserve"> (%)</w:t>
            </w:r>
          </w:p>
        </w:tc>
        <w:tc>
          <w:tcPr>
            <w:tcW w:w="3107" w:type="dxa"/>
            <w:shd w:val="clear" w:color="000000" w:fill="FFFFFF"/>
          </w:tcPr>
          <w:p w14:paraId="178E454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27 (31.8)</w:t>
            </w:r>
          </w:p>
        </w:tc>
      </w:tr>
      <w:tr w:rsidR="00C36D14" w:rsidRPr="00E65AD0" w14:paraId="4181565B" w14:textId="77777777" w:rsidTr="009006B5">
        <w:trPr>
          <w:trHeight w:val="457"/>
        </w:trPr>
        <w:tc>
          <w:tcPr>
            <w:tcW w:w="5971" w:type="dxa"/>
            <w:shd w:val="clear" w:color="000000" w:fill="FFFFFF"/>
          </w:tcPr>
          <w:p w14:paraId="172DC0E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Previous smokers,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514E3CDA"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12 (14.1)</w:t>
            </w:r>
          </w:p>
        </w:tc>
      </w:tr>
      <w:tr w:rsidR="00C36D14" w:rsidRPr="00E65AD0" w14:paraId="4598172C" w14:textId="77777777" w:rsidTr="009006B5">
        <w:trPr>
          <w:trHeight w:val="470"/>
        </w:trPr>
        <w:tc>
          <w:tcPr>
            <w:tcW w:w="5971" w:type="dxa"/>
            <w:shd w:val="clear" w:color="000000" w:fill="FFFFFF"/>
          </w:tcPr>
          <w:p w14:paraId="19DAAEC3"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Drug users,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756F302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23 (27.1)</w:t>
            </w:r>
          </w:p>
        </w:tc>
      </w:tr>
      <w:tr w:rsidR="00C36D14" w:rsidRPr="00E65AD0" w14:paraId="79FFF721" w14:textId="77777777" w:rsidTr="009006B5">
        <w:trPr>
          <w:trHeight w:val="498"/>
        </w:trPr>
        <w:tc>
          <w:tcPr>
            <w:tcW w:w="5971" w:type="dxa"/>
            <w:shd w:val="clear" w:color="000000" w:fill="FFFFFF"/>
          </w:tcPr>
          <w:p w14:paraId="76BDD151"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 xml:space="preserve">Family history of gastric cancer, </w:t>
            </w:r>
            <w:r w:rsidRPr="00E65AD0">
              <w:rPr>
                <w:rFonts w:ascii="Book Antiqua" w:hAnsi="Book Antiqua"/>
                <w:i/>
                <w:lang w:val="en-GB"/>
              </w:rPr>
              <w:t>n</w:t>
            </w:r>
            <w:r w:rsidRPr="00E65AD0">
              <w:rPr>
                <w:rFonts w:ascii="Book Antiqua" w:hAnsi="Book Antiqua"/>
                <w:lang w:val="en-GB"/>
              </w:rPr>
              <w:t xml:space="preserve"> (%)</w:t>
            </w:r>
          </w:p>
        </w:tc>
        <w:tc>
          <w:tcPr>
            <w:tcW w:w="3107" w:type="dxa"/>
            <w:shd w:val="clear" w:color="000000" w:fill="FFFFFF"/>
          </w:tcPr>
          <w:p w14:paraId="6B140490"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4 (4.7)</w:t>
            </w:r>
          </w:p>
        </w:tc>
      </w:tr>
      <w:tr w:rsidR="00C36D14" w:rsidRPr="00E65AD0" w14:paraId="64C120F9" w14:textId="77777777" w:rsidTr="009006B5">
        <w:trPr>
          <w:trHeight w:val="498"/>
        </w:trPr>
        <w:tc>
          <w:tcPr>
            <w:tcW w:w="5971" w:type="dxa"/>
            <w:shd w:val="clear" w:color="000000" w:fill="FFFFFF"/>
          </w:tcPr>
          <w:p w14:paraId="6BB89FB3"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 xml:space="preserve">Family history of other cancer, </w:t>
            </w:r>
            <w:r w:rsidRPr="00E65AD0">
              <w:rPr>
                <w:rFonts w:ascii="Book Antiqua" w:hAnsi="Book Antiqua"/>
                <w:i/>
                <w:lang w:val="en-GB"/>
              </w:rPr>
              <w:t>n</w:t>
            </w:r>
            <w:r w:rsidRPr="00E65AD0">
              <w:rPr>
                <w:rFonts w:ascii="Book Antiqua" w:hAnsi="Book Antiqua"/>
                <w:lang w:val="en-GB"/>
              </w:rPr>
              <w:t xml:space="preserve"> (%)</w:t>
            </w:r>
          </w:p>
        </w:tc>
        <w:tc>
          <w:tcPr>
            <w:tcW w:w="3107" w:type="dxa"/>
            <w:shd w:val="clear" w:color="000000" w:fill="FFFFFF"/>
          </w:tcPr>
          <w:p w14:paraId="24D399D4"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9 (10.6)</w:t>
            </w:r>
          </w:p>
        </w:tc>
      </w:tr>
      <w:tr w:rsidR="00C36D14" w:rsidRPr="00E65AD0" w14:paraId="00D863C9" w14:textId="77777777" w:rsidTr="009006B5">
        <w:trPr>
          <w:trHeight w:val="498"/>
        </w:trPr>
        <w:tc>
          <w:tcPr>
            <w:tcW w:w="5971" w:type="dxa"/>
            <w:shd w:val="clear" w:color="000000" w:fill="FFFFFF"/>
          </w:tcPr>
          <w:p w14:paraId="601ACAD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Autoimmune comorbidity</w:t>
            </w:r>
          </w:p>
        </w:tc>
        <w:tc>
          <w:tcPr>
            <w:tcW w:w="3107" w:type="dxa"/>
            <w:shd w:val="clear" w:color="000000" w:fill="FFFFFF"/>
          </w:tcPr>
          <w:p w14:paraId="7EE3B65F"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492CED36" w14:textId="77777777" w:rsidTr="009006B5">
        <w:trPr>
          <w:trHeight w:val="442"/>
        </w:trPr>
        <w:tc>
          <w:tcPr>
            <w:tcW w:w="5971" w:type="dxa"/>
            <w:shd w:val="clear" w:color="000000" w:fill="FFFFFF"/>
          </w:tcPr>
          <w:p w14:paraId="0878C08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Autoimmune atrophic gastritis</w:t>
            </w:r>
          </w:p>
        </w:tc>
        <w:tc>
          <w:tcPr>
            <w:tcW w:w="3107" w:type="dxa"/>
            <w:shd w:val="clear" w:color="000000" w:fill="FFFFFF"/>
          </w:tcPr>
          <w:p w14:paraId="1B7DEE5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12 (14.1)</w:t>
            </w:r>
          </w:p>
        </w:tc>
      </w:tr>
      <w:tr w:rsidR="00C36D14" w:rsidRPr="00E65AD0" w14:paraId="66CB0DFE" w14:textId="77777777" w:rsidTr="009006B5">
        <w:trPr>
          <w:trHeight w:val="442"/>
        </w:trPr>
        <w:tc>
          <w:tcPr>
            <w:tcW w:w="5971" w:type="dxa"/>
            <w:shd w:val="clear" w:color="000000" w:fill="FFFFFF"/>
          </w:tcPr>
          <w:p w14:paraId="5B9506E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Autoimmune thyroiditis</w:t>
            </w:r>
          </w:p>
        </w:tc>
        <w:tc>
          <w:tcPr>
            <w:tcW w:w="3107" w:type="dxa"/>
            <w:shd w:val="clear" w:color="000000" w:fill="FFFFFF"/>
          </w:tcPr>
          <w:p w14:paraId="7F367247"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6 (7.1)</w:t>
            </w:r>
          </w:p>
        </w:tc>
      </w:tr>
      <w:tr w:rsidR="00C36D14" w:rsidRPr="00E65AD0" w14:paraId="66872378" w14:textId="77777777" w:rsidTr="009006B5">
        <w:trPr>
          <w:trHeight w:val="457"/>
        </w:trPr>
        <w:tc>
          <w:tcPr>
            <w:tcW w:w="5971" w:type="dxa"/>
            <w:shd w:val="clear" w:color="000000" w:fill="FFFFFF"/>
          </w:tcPr>
          <w:p w14:paraId="16E4C163"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Type-1/2 diabetes mellitus</w:t>
            </w:r>
          </w:p>
        </w:tc>
        <w:tc>
          <w:tcPr>
            <w:tcW w:w="3107" w:type="dxa"/>
            <w:shd w:val="clear" w:color="000000" w:fill="FFFFFF"/>
          </w:tcPr>
          <w:p w14:paraId="60DBACF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3 (3.5)</w:t>
            </w:r>
          </w:p>
        </w:tc>
      </w:tr>
      <w:tr w:rsidR="00C36D14" w:rsidRPr="00E65AD0" w14:paraId="72E7D90D" w14:textId="77777777" w:rsidTr="009006B5">
        <w:trPr>
          <w:trHeight w:val="484"/>
        </w:trPr>
        <w:tc>
          <w:tcPr>
            <w:tcW w:w="5971" w:type="dxa"/>
            <w:shd w:val="clear" w:color="000000" w:fill="FFFFFF"/>
          </w:tcPr>
          <w:p w14:paraId="6968A51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Skin psoriasis</w:t>
            </w:r>
          </w:p>
        </w:tc>
        <w:tc>
          <w:tcPr>
            <w:tcW w:w="3107" w:type="dxa"/>
            <w:shd w:val="clear" w:color="000000" w:fill="FFFFFF"/>
          </w:tcPr>
          <w:p w14:paraId="6E92057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44B52BA3" w14:textId="77777777" w:rsidTr="009006B5">
        <w:trPr>
          <w:trHeight w:val="442"/>
        </w:trPr>
        <w:tc>
          <w:tcPr>
            <w:tcW w:w="5971" w:type="dxa"/>
            <w:shd w:val="clear" w:color="000000" w:fill="FFFFFF"/>
          </w:tcPr>
          <w:p w14:paraId="437EC4A1" w14:textId="77777777" w:rsidR="00C36D14" w:rsidRPr="00E65AD0" w:rsidRDefault="00CB0693" w:rsidP="00E65AD0">
            <w:pPr>
              <w:snapToGrid w:val="0"/>
              <w:spacing w:after="0" w:line="360" w:lineRule="auto"/>
              <w:rPr>
                <w:rFonts w:ascii="Book Antiqua" w:hAnsi="Book Antiqua" w:cs="Calibri"/>
                <w:lang w:val="it"/>
              </w:rPr>
            </w:pPr>
            <w:r w:rsidRPr="00E65AD0">
              <w:rPr>
                <w:rFonts w:ascii="Book Antiqua" w:hAnsi="Book Antiqua"/>
                <w:lang w:val="it"/>
              </w:rPr>
              <w:t xml:space="preserve">Rheumatoid </w:t>
            </w:r>
            <w:r w:rsidR="00C36D14" w:rsidRPr="00E65AD0">
              <w:rPr>
                <w:rFonts w:ascii="Book Antiqua" w:hAnsi="Book Antiqua"/>
                <w:lang w:val="it"/>
              </w:rPr>
              <w:t>arthritis</w:t>
            </w:r>
          </w:p>
        </w:tc>
        <w:tc>
          <w:tcPr>
            <w:tcW w:w="3107" w:type="dxa"/>
            <w:shd w:val="clear" w:color="000000" w:fill="FFFFFF"/>
          </w:tcPr>
          <w:p w14:paraId="714A268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763D42D4" w14:textId="77777777" w:rsidTr="009006B5">
        <w:trPr>
          <w:trHeight w:val="484"/>
        </w:trPr>
        <w:tc>
          <w:tcPr>
            <w:tcW w:w="5971" w:type="dxa"/>
            <w:shd w:val="clear" w:color="000000" w:fill="FFFFFF"/>
          </w:tcPr>
          <w:p w14:paraId="7557EC5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Sjögren syndrome</w:t>
            </w:r>
          </w:p>
        </w:tc>
        <w:tc>
          <w:tcPr>
            <w:tcW w:w="3107" w:type="dxa"/>
            <w:shd w:val="clear" w:color="000000" w:fill="FFFFFF"/>
          </w:tcPr>
          <w:p w14:paraId="4912EDE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405E8C41" w14:textId="77777777" w:rsidTr="009006B5">
        <w:trPr>
          <w:trHeight w:val="471"/>
        </w:trPr>
        <w:tc>
          <w:tcPr>
            <w:tcW w:w="5971" w:type="dxa"/>
            <w:shd w:val="clear" w:color="000000" w:fill="FFFFFF"/>
          </w:tcPr>
          <w:p w14:paraId="2739BAA6" w14:textId="77777777" w:rsidR="00C36D14" w:rsidRPr="00E65AD0" w:rsidRDefault="00C36D14" w:rsidP="00E65AD0">
            <w:pPr>
              <w:snapToGrid w:val="0"/>
              <w:spacing w:after="0" w:line="360" w:lineRule="auto"/>
              <w:rPr>
                <w:rFonts w:ascii="Book Antiqua" w:eastAsia="宋体" w:hAnsi="Book Antiqua" w:cs="Calibri"/>
                <w:lang w:val="it" w:eastAsia="zh-CN"/>
              </w:rPr>
            </w:pPr>
            <w:r w:rsidRPr="00E65AD0">
              <w:rPr>
                <w:rFonts w:ascii="Book Antiqua" w:hAnsi="Book Antiqua"/>
                <w:lang w:val="it"/>
              </w:rPr>
              <w:t>A. thyroiditis + vitiligo</w:t>
            </w:r>
          </w:p>
        </w:tc>
        <w:tc>
          <w:tcPr>
            <w:tcW w:w="3107" w:type="dxa"/>
            <w:shd w:val="clear" w:color="000000" w:fill="FFFFFF"/>
          </w:tcPr>
          <w:p w14:paraId="6CBA410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6FBFAD12" w14:textId="77777777" w:rsidTr="009006B5">
        <w:trPr>
          <w:trHeight w:val="471"/>
        </w:trPr>
        <w:tc>
          <w:tcPr>
            <w:tcW w:w="5971" w:type="dxa"/>
            <w:shd w:val="clear" w:color="000000" w:fill="FFFFFF"/>
          </w:tcPr>
          <w:p w14:paraId="06376F43"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A. thyroiditis + Crohn’s disease </w:t>
            </w:r>
          </w:p>
        </w:tc>
        <w:tc>
          <w:tcPr>
            <w:tcW w:w="3107" w:type="dxa"/>
            <w:shd w:val="clear" w:color="000000" w:fill="FFFFFF"/>
          </w:tcPr>
          <w:p w14:paraId="17B4020F"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6DF464A2" w14:textId="77777777" w:rsidTr="009006B5">
        <w:trPr>
          <w:trHeight w:val="512"/>
        </w:trPr>
        <w:tc>
          <w:tcPr>
            <w:tcW w:w="5971" w:type="dxa"/>
            <w:shd w:val="clear" w:color="000000" w:fill="FFFFFF"/>
          </w:tcPr>
          <w:p w14:paraId="275F9183"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A. thyroiditis + Sjögren syndrome</w:t>
            </w:r>
          </w:p>
        </w:tc>
        <w:tc>
          <w:tcPr>
            <w:tcW w:w="3107" w:type="dxa"/>
            <w:shd w:val="clear" w:color="000000" w:fill="FFFFFF"/>
          </w:tcPr>
          <w:p w14:paraId="185E1FB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7B58DB91" w14:textId="77777777" w:rsidTr="009006B5">
        <w:trPr>
          <w:trHeight w:val="512"/>
        </w:trPr>
        <w:tc>
          <w:tcPr>
            <w:tcW w:w="5971" w:type="dxa"/>
            <w:shd w:val="clear" w:color="000000" w:fill="FFFFFF"/>
          </w:tcPr>
          <w:p w14:paraId="53C585EC" w14:textId="77777777" w:rsidR="00C36D14" w:rsidRPr="00E65AD0" w:rsidRDefault="00C36D14" w:rsidP="00E65AD0">
            <w:pPr>
              <w:snapToGrid w:val="0"/>
              <w:spacing w:after="0" w:line="360" w:lineRule="auto"/>
              <w:rPr>
                <w:rFonts w:ascii="Book Antiqua" w:hAnsi="Book Antiqua" w:cs="Calibri"/>
                <w:lang w:val="en-GB"/>
              </w:rPr>
            </w:pPr>
            <w:r w:rsidRPr="00E65AD0">
              <w:rPr>
                <w:rFonts w:ascii="Book Antiqua" w:hAnsi="Book Antiqua"/>
                <w:lang w:val="en-GB"/>
              </w:rPr>
              <w:t>APCA and/or AIF antibody positivity</w:t>
            </w:r>
          </w:p>
        </w:tc>
        <w:tc>
          <w:tcPr>
            <w:tcW w:w="3107" w:type="dxa"/>
            <w:shd w:val="clear" w:color="000000" w:fill="FFFFFF"/>
          </w:tcPr>
          <w:p w14:paraId="5BAF9E4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12 (14.1)</w:t>
            </w:r>
          </w:p>
        </w:tc>
      </w:tr>
      <w:tr w:rsidR="00C36D14" w:rsidRPr="00E65AD0" w14:paraId="40ACCC97" w14:textId="77777777" w:rsidTr="009006B5">
        <w:trPr>
          <w:trHeight w:val="484"/>
        </w:trPr>
        <w:tc>
          <w:tcPr>
            <w:tcW w:w="5971" w:type="dxa"/>
            <w:shd w:val="clear" w:color="000000" w:fill="FFFFFF"/>
          </w:tcPr>
          <w:p w14:paraId="1AEC4396"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 xml:space="preserve">Endoscopy indication,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74E99958"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49EB4D50" w14:textId="77777777" w:rsidTr="009006B5">
        <w:trPr>
          <w:trHeight w:val="429"/>
        </w:trPr>
        <w:tc>
          <w:tcPr>
            <w:tcW w:w="5971" w:type="dxa"/>
            <w:shd w:val="clear" w:color="000000" w:fill="FFFFFF"/>
          </w:tcPr>
          <w:p w14:paraId="40318E01"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Gastroesophageal reflux</w:t>
            </w:r>
          </w:p>
        </w:tc>
        <w:tc>
          <w:tcPr>
            <w:tcW w:w="3107" w:type="dxa"/>
            <w:shd w:val="clear" w:color="000000" w:fill="FFFFFF"/>
          </w:tcPr>
          <w:p w14:paraId="48218B56"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17 (20)</w:t>
            </w:r>
          </w:p>
        </w:tc>
      </w:tr>
      <w:tr w:rsidR="00C36D14" w:rsidRPr="00E65AD0" w14:paraId="0694DEA7" w14:textId="77777777" w:rsidTr="009006B5">
        <w:trPr>
          <w:trHeight w:val="429"/>
        </w:trPr>
        <w:tc>
          <w:tcPr>
            <w:tcW w:w="5971" w:type="dxa"/>
            <w:shd w:val="clear" w:color="000000" w:fill="FFFFFF"/>
          </w:tcPr>
          <w:p w14:paraId="6301E58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Recurrent abdominal pain</w:t>
            </w:r>
          </w:p>
        </w:tc>
        <w:tc>
          <w:tcPr>
            <w:tcW w:w="3107" w:type="dxa"/>
            <w:shd w:val="clear" w:color="000000" w:fill="FFFFFF"/>
          </w:tcPr>
          <w:p w14:paraId="5AD05D37"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12 (14.1)</w:t>
            </w:r>
          </w:p>
        </w:tc>
      </w:tr>
      <w:tr w:rsidR="00C36D14" w:rsidRPr="00E65AD0" w14:paraId="0C2A99D3" w14:textId="77777777" w:rsidTr="009006B5">
        <w:trPr>
          <w:trHeight w:val="470"/>
        </w:trPr>
        <w:tc>
          <w:tcPr>
            <w:tcW w:w="5971" w:type="dxa"/>
            <w:shd w:val="clear" w:color="000000" w:fill="FFFFFF"/>
          </w:tcPr>
          <w:p w14:paraId="182E4DB7"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Dyspepsia</w:t>
            </w:r>
          </w:p>
        </w:tc>
        <w:tc>
          <w:tcPr>
            <w:tcW w:w="3107" w:type="dxa"/>
            <w:shd w:val="clear" w:color="000000" w:fill="FFFFFF"/>
          </w:tcPr>
          <w:p w14:paraId="43681CED"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41 (48.2)</w:t>
            </w:r>
          </w:p>
        </w:tc>
      </w:tr>
      <w:tr w:rsidR="00C36D14" w:rsidRPr="00E65AD0" w14:paraId="7AC7D845" w14:textId="77777777" w:rsidTr="009006B5">
        <w:trPr>
          <w:trHeight w:val="484"/>
        </w:trPr>
        <w:tc>
          <w:tcPr>
            <w:tcW w:w="5971" w:type="dxa"/>
            <w:shd w:val="clear" w:color="000000" w:fill="FFFFFF"/>
          </w:tcPr>
          <w:p w14:paraId="595BF271"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Unexplained anemia</w:t>
            </w:r>
          </w:p>
        </w:tc>
        <w:tc>
          <w:tcPr>
            <w:tcW w:w="3107" w:type="dxa"/>
            <w:shd w:val="clear" w:color="000000" w:fill="FFFFFF"/>
          </w:tcPr>
          <w:p w14:paraId="3770BB2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15 (17.7)</w:t>
            </w:r>
          </w:p>
        </w:tc>
      </w:tr>
      <w:tr w:rsidR="00C36D14" w:rsidRPr="00E65AD0" w14:paraId="42EF814C" w14:textId="77777777" w:rsidTr="009006B5">
        <w:trPr>
          <w:trHeight w:val="401"/>
        </w:trPr>
        <w:tc>
          <w:tcPr>
            <w:tcW w:w="5971" w:type="dxa"/>
            <w:shd w:val="clear" w:color="000000" w:fill="FFFFFF"/>
          </w:tcPr>
          <w:p w14:paraId="5FC0D5DC"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i/>
                <w:iCs/>
                <w:lang w:val="it"/>
              </w:rPr>
              <w:t>H. pylori</w:t>
            </w:r>
            <w:r w:rsidRPr="00E65AD0">
              <w:rPr>
                <w:rFonts w:ascii="Book Antiqua" w:hAnsi="Book Antiqua"/>
                <w:lang w:val="it"/>
              </w:rPr>
              <w:t xml:space="preserve"> eradication scheme,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03D95070"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6AC05B04" w14:textId="77777777" w:rsidTr="009006B5">
        <w:trPr>
          <w:trHeight w:val="415"/>
        </w:trPr>
        <w:tc>
          <w:tcPr>
            <w:tcW w:w="5971" w:type="dxa"/>
            <w:shd w:val="clear" w:color="000000" w:fill="FFFFFF"/>
          </w:tcPr>
          <w:p w14:paraId="79402BA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lastRenderedPageBreak/>
              <w:t>Quadruple</w:t>
            </w:r>
            <w:r w:rsidRPr="00E65AD0">
              <w:rPr>
                <w:rFonts w:ascii="Book Antiqua" w:hAnsi="Book Antiqua"/>
                <w:vertAlign w:val="superscript"/>
                <w:lang w:val="it"/>
              </w:rPr>
              <w:t>1</w:t>
            </w:r>
          </w:p>
        </w:tc>
        <w:tc>
          <w:tcPr>
            <w:tcW w:w="3107" w:type="dxa"/>
            <w:shd w:val="clear" w:color="000000" w:fill="FFFFFF"/>
          </w:tcPr>
          <w:p w14:paraId="2DD8A1B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53 (62.4)</w:t>
            </w:r>
          </w:p>
        </w:tc>
      </w:tr>
      <w:tr w:rsidR="00C36D14" w:rsidRPr="00E65AD0" w14:paraId="6A2B0206" w14:textId="77777777" w:rsidTr="009006B5">
        <w:trPr>
          <w:trHeight w:val="414"/>
        </w:trPr>
        <w:tc>
          <w:tcPr>
            <w:tcW w:w="5971" w:type="dxa"/>
            <w:shd w:val="clear" w:color="000000" w:fill="FFFFFF"/>
          </w:tcPr>
          <w:p w14:paraId="7070A67B"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Modified triple</w:t>
            </w:r>
            <w:r w:rsidRPr="00E65AD0">
              <w:rPr>
                <w:rFonts w:ascii="Book Antiqua" w:hAnsi="Book Antiqua"/>
                <w:vertAlign w:val="superscript"/>
                <w:lang w:val="it"/>
              </w:rPr>
              <w:t>2</w:t>
            </w:r>
          </w:p>
        </w:tc>
        <w:tc>
          <w:tcPr>
            <w:tcW w:w="3107" w:type="dxa"/>
            <w:shd w:val="clear" w:color="000000" w:fill="FFFFFF"/>
          </w:tcPr>
          <w:p w14:paraId="2CAFAA74"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28 (32.9)</w:t>
            </w:r>
          </w:p>
        </w:tc>
      </w:tr>
      <w:tr w:rsidR="00C36D14" w:rsidRPr="00E65AD0" w14:paraId="4B6A3474" w14:textId="77777777" w:rsidTr="009006B5">
        <w:trPr>
          <w:trHeight w:val="401"/>
        </w:trPr>
        <w:tc>
          <w:tcPr>
            <w:tcW w:w="5971" w:type="dxa"/>
            <w:shd w:val="clear" w:color="000000" w:fill="FFFFFF"/>
          </w:tcPr>
          <w:p w14:paraId="0EF990E0"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Triple</w:t>
            </w:r>
            <w:r w:rsidRPr="00E65AD0">
              <w:rPr>
                <w:rFonts w:ascii="Book Antiqua" w:hAnsi="Book Antiqua"/>
                <w:vertAlign w:val="superscript"/>
                <w:lang w:val="it"/>
              </w:rPr>
              <w:t>3</w:t>
            </w:r>
          </w:p>
        </w:tc>
        <w:tc>
          <w:tcPr>
            <w:tcW w:w="3107" w:type="dxa"/>
            <w:shd w:val="clear" w:color="000000" w:fill="FFFFFF"/>
          </w:tcPr>
          <w:p w14:paraId="17379C0C"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3 (3.6)</w:t>
            </w:r>
          </w:p>
        </w:tc>
      </w:tr>
      <w:tr w:rsidR="00C36D14" w:rsidRPr="00E65AD0" w14:paraId="66294E19" w14:textId="77777777" w:rsidTr="009006B5">
        <w:trPr>
          <w:trHeight w:val="457"/>
        </w:trPr>
        <w:tc>
          <w:tcPr>
            <w:tcW w:w="5971" w:type="dxa"/>
            <w:shd w:val="clear" w:color="000000" w:fill="FFFFFF"/>
          </w:tcPr>
          <w:p w14:paraId="446B138B"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Sequential</w:t>
            </w:r>
            <w:r w:rsidRPr="00E65AD0">
              <w:rPr>
                <w:rFonts w:ascii="Book Antiqua" w:hAnsi="Book Antiqua"/>
                <w:vertAlign w:val="superscript"/>
                <w:lang w:val="it"/>
              </w:rPr>
              <w:t>4</w:t>
            </w:r>
          </w:p>
        </w:tc>
        <w:tc>
          <w:tcPr>
            <w:tcW w:w="3107" w:type="dxa"/>
            <w:shd w:val="clear" w:color="000000" w:fill="FFFFFF"/>
          </w:tcPr>
          <w:p w14:paraId="5AD98752"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 (1.2)</w:t>
            </w:r>
          </w:p>
        </w:tc>
      </w:tr>
      <w:tr w:rsidR="00C36D14" w:rsidRPr="00E65AD0" w14:paraId="654F81E8" w14:textId="77777777" w:rsidTr="009006B5">
        <w:trPr>
          <w:trHeight w:val="400"/>
        </w:trPr>
        <w:tc>
          <w:tcPr>
            <w:tcW w:w="5971" w:type="dxa"/>
            <w:shd w:val="clear" w:color="000000" w:fill="FFFFFF"/>
          </w:tcPr>
          <w:p w14:paraId="59A5F1D8"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i/>
                <w:iCs/>
                <w:lang w:val="it"/>
              </w:rPr>
              <w:t>H. pylori</w:t>
            </w:r>
            <w:r w:rsidRPr="00E65AD0">
              <w:rPr>
                <w:rFonts w:ascii="Book Antiqua" w:hAnsi="Book Antiqua"/>
                <w:lang w:val="it"/>
              </w:rPr>
              <w:t xml:space="preserve"> eradication cycles, </w:t>
            </w:r>
            <w:r w:rsidRPr="00E65AD0">
              <w:rPr>
                <w:rFonts w:ascii="Book Antiqua" w:hAnsi="Book Antiqua"/>
                <w:i/>
                <w:lang w:val="it"/>
              </w:rPr>
              <w:t>n</w:t>
            </w:r>
            <w:r w:rsidRPr="00E65AD0">
              <w:rPr>
                <w:rFonts w:ascii="Book Antiqua" w:hAnsi="Book Antiqua"/>
                <w:lang w:val="it"/>
              </w:rPr>
              <w:t xml:space="preserve"> (%)</w:t>
            </w:r>
          </w:p>
        </w:tc>
        <w:tc>
          <w:tcPr>
            <w:tcW w:w="3107" w:type="dxa"/>
            <w:shd w:val="clear" w:color="000000" w:fill="FFFFFF"/>
          </w:tcPr>
          <w:p w14:paraId="4E3BC05D" w14:textId="77777777" w:rsidR="00C36D14" w:rsidRPr="00E65AD0" w:rsidRDefault="00C36D14" w:rsidP="00E65AD0">
            <w:pPr>
              <w:snapToGrid w:val="0"/>
              <w:spacing w:after="0" w:line="360" w:lineRule="auto"/>
              <w:rPr>
                <w:rFonts w:ascii="Book Antiqua" w:hAnsi="Book Antiqua" w:cs="Calibri"/>
                <w:lang w:val="it"/>
              </w:rPr>
            </w:pPr>
          </w:p>
        </w:tc>
      </w:tr>
      <w:tr w:rsidR="00C36D14" w:rsidRPr="00E65AD0" w14:paraId="0F6BA6D8" w14:textId="77777777" w:rsidTr="009006B5">
        <w:trPr>
          <w:trHeight w:val="437"/>
        </w:trPr>
        <w:tc>
          <w:tcPr>
            <w:tcW w:w="5971" w:type="dxa"/>
            <w:shd w:val="clear" w:color="000000" w:fill="FFFFFF"/>
          </w:tcPr>
          <w:p w14:paraId="36377E1E"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One-cycle</w:t>
            </w:r>
          </w:p>
        </w:tc>
        <w:tc>
          <w:tcPr>
            <w:tcW w:w="3107" w:type="dxa"/>
            <w:shd w:val="clear" w:color="000000" w:fill="FFFFFF"/>
          </w:tcPr>
          <w:p w14:paraId="09EE20C4"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71 (83.5)</w:t>
            </w:r>
          </w:p>
        </w:tc>
      </w:tr>
      <w:tr w:rsidR="00C36D14" w:rsidRPr="00E65AD0" w14:paraId="2B3028F7" w14:textId="77777777" w:rsidTr="009006B5">
        <w:trPr>
          <w:trHeight w:val="456"/>
        </w:trPr>
        <w:tc>
          <w:tcPr>
            <w:tcW w:w="5971" w:type="dxa"/>
            <w:shd w:val="clear" w:color="000000" w:fill="FFFFFF"/>
          </w:tcPr>
          <w:p w14:paraId="2FEC6351"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Two-cycles</w:t>
            </w:r>
          </w:p>
        </w:tc>
        <w:tc>
          <w:tcPr>
            <w:tcW w:w="3107" w:type="dxa"/>
            <w:shd w:val="clear" w:color="000000" w:fill="FFFFFF"/>
          </w:tcPr>
          <w:p w14:paraId="1AAAF2C5" w14:textId="77777777" w:rsidR="00C36D14" w:rsidRPr="00E65AD0" w:rsidRDefault="00C36D14" w:rsidP="00E65AD0">
            <w:pPr>
              <w:snapToGrid w:val="0"/>
              <w:spacing w:after="0" w:line="360" w:lineRule="auto"/>
              <w:rPr>
                <w:rFonts w:ascii="Book Antiqua" w:hAnsi="Book Antiqua" w:cs="Calibri"/>
                <w:lang w:val="it"/>
              </w:rPr>
            </w:pPr>
            <w:r w:rsidRPr="00E65AD0">
              <w:rPr>
                <w:rFonts w:ascii="Book Antiqua" w:hAnsi="Book Antiqua"/>
                <w:lang w:val="it"/>
              </w:rPr>
              <w:t>14 (16.5)</w:t>
            </w:r>
          </w:p>
        </w:tc>
      </w:tr>
    </w:tbl>
    <w:p w14:paraId="71A04473" w14:textId="77777777" w:rsidR="009006B5" w:rsidRPr="00E65AD0" w:rsidRDefault="00C36D14" w:rsidP="00E65AD0">
      <w:pPr>
        <w:adjustRightInd w:val="0"/>
        <w:snapToGrid w:val="0"/>
        <w:spacing w:after="0" w:line="360" w:lineRule="auto"/>
        <w:rPr>
          <w:rFonts w:ascii="Book Antiqua" w:eastAsia="宋体" w:hAnsi="Book Antiqua"/>
          <w:bCs/>
          <w:color w:val="000000"/>
          <w:lang w:eastAsia="zh-CN"/>
        </w:rPr>
      </w:pPr>
      <w:r w:rsidRPr="00E65AD0">
        <w:rPr>
          <w:rFonts w:ascii="Book Antiqua" w:eastAsia="宋体" w:hAnsi="Book Antiqua"/>
          <w:bCs/>
          <w:color w:val="000000"/>
          <w:lang w:eastAsia="zh-CN"/>
        </w:rPr>
        <w:t xml:space="preserve">Data are expressed as number of patients and percentage (in parenthesis); </w:t>
      </w:r>
      <w:r w:rsidRPr="00E65AD0">
        <w:rPr>
          <w:rFonts w:ascii="Book Antiqua" w:eastAsia="宋体" w:hAnsi="Book Antiqua"/>
          <w:bCs/>
          <w:color w:val="000000"/>
          <w:vertAlign w:val="superscript"/>
          <w:lang w:eastAsia="zh-CN"/>
        </w:rPr>
        <w:t>1</w:t>
      </w:r>
      <w:r w:rsidRPr="00E65AD0">
        <w:rPr>
          <w:rFonts w:ascii="Book Antiqua" w:eastAsia="宋体" w:hAnsi="Book Antiqua"/>
          <w:bCs/>
          <w:color w:val="000000"/>
          <w:lang w:eastAsia="zh-CN"/>
        </w:rPr>
        <w:t xml:space="preserve">Bismuth + Metronidazole + Tetracycline + </w:t>
      </w:r>
      <w:r w:rsidR="009006B5" w:rsidRPr="00E65AD0">
        <w:rPr>
          <w:rFonts w:ascii="Book Antiqua" w:eastAsia="宋体" w:hAnsi="Book Antiqua"/>
          <w:bCs/>
          <w:color w:val="000000"/>
          <w:lang w:eastAsia="zh-CN"/>
        </w:rPr>
        <w:t>Proton pump inhibitor</w:t>
      </w:r>
      <w:r w:rsidR="007C18A0" w:rsidRPr="00E65AD0">
        <w:rPr>
          <w:rFonts w:ascii="Book Antiqua" w:eastAsia="宋体" w:hAnsi="Book Antiqua"/>
          <w:bCs/>
          <w:color w:val="000000"/>
          <w:lang w:eastAsia="zh-CN"/>
        </w:rPr>
        <w:t>;</w:t>
      </w:r>
      <w:r w:rsidRPr="00E65AD0">
        <w:rPr>
          <w:rFonts w:ascii="Book Antiqua" w:eastAsia="宋体" w:hAnsi="Book Antiqua"/>
          <w:bCs/>
          <w:color w:val="000000"/>
          <w:lang w:eastAsia="zh-CN"/>
        </w:rPr>
        <w:t xml:space="preserve"> </w:t>
      </w:r>
      <w:r w:rsidRPr="00E65AD0">
        <w:rPr>
          <w:rFonts w:ascii="Book Antiqua" w:eastAsia="宋体" w:hAnsi="Book Antiqua"/>
          <w:bCs/>
          <w:color w:val="000000"/>
          <w:vertAlign w:val="superscript"/>
          <w:lang w:eastAsia="zh-CN"/>
        </w:rPr>
        <w:t>2</w:t>
      </w:r>
      <w:r w:rsidRPr="00E65AD0">
        <w:rPr>
          <w:rFonts w:ascii="Book Antiqua" w:eastAsia="宋体" w:hAnsi="Book Antiqua"/>
          <w:bCs/>
          <w:color w:val="000000"/>
          <w:lang w:eastAsia="zh-CN"/>
        </w:rPr>
        <w:t xml:space="preserve">Amoxicillin + Levofloxacin + </w:t>
      </w:r>
      <w:r w:rsidR="009006B5" w:rsidRPr="00E65AD0">
        <w:rPr>
          <w:rFonts w:ascii="Book Antiqua" w:eastAsia="宋体" w:hAnsi="Book Antiqua"/>
          <w:bCs/>
          <w:color w:val="000000"/>
          <w:lang w:eastAsia="zh-CN"/>
        </w:rPr>
        <w:t>Proton pump inhibitor</w:t>
      </w:r>
      <w:r w:rsidR="007C18A0" w:rsidRPr="00E65AD0">
        <w:rPr>
          <w:rFonts w:ascii="Book Antiqua" w:eastAsia="宋体" w:hAnsi="Book Antiqua"/>
          <w:bCs/>
          <w:color w:val="000000"/>
          <w:lang w:eastAsia="zh-CN"/>
        </w:rPr>
        <w:t>;</w:t>
      </w:r>
      <w:r w:rsidRPr="00E65AD0">
        <w:rPr>
          <w:rFonts w:ascii="Book Antiqua" w:eastAsia="宋体" w:hAnsi="Book Antiqua"/>
          <w:bCs/>
          <w:color w:val="000000"/>
          <w:lang w:eastAsia="zh-CN"/>
        </w:rPr>
        <w:t xml:space="preserve"> </w:t>
      </w:r>
      <w:r w:rsidRPr="00E65AD0">
        <w:rPr>
          <w:rFonts w:ascii="Book Antiqua" w:eastAsia="宋体" w:hAnsi="Book Antiqua"/>
          <w:bCs/>
          <w:color w:val="000000"/>
          <w:vertAlign w:val="superscript"/>
          <w:lang w:eastAsia="zh-CN"/>
        </w:rPr>
        <w:t>3</w:t>
      </w:r>
      <w:r w:rsidRPr="00E65AD0">
        <w:rPr>
          <w:rFonts w:ascii="Book Antiqua" w:eastAsia="宋体" w:hAnsi="Book Antiqua"/>
          <w:bCs/>
          <w:color w:val="000000"/>
          <w:lang w:eastAsia="zh-CN"/>
        </w:rPr>
        <w:t>Amo</w:t>
      </w:r>
      <w:r w:rsidR="009006B5" w:rsidRPr="00E65AD0">
        <w:rPr>
          <w:rFonts w:ascii="Book Antiqua" w:eastAsia="宋体" w:hAnsi="Book Antiqua"/>
          <w:bCs/>
          <w:color w:val="000000"/>
          <w:lang w:eastAsia="zh-CN"/>
        </w:rPr>
        <w:t>xicillin + Clarith</w:t>
      </w:r>
      <w:r w:rsidR="007C18A0" w:rsidRPr="00E65AD0">
        <w:rPr>
          <w:rFonts w:ascii="Book Antiqua" w:eastAsia="宋体" w:hAnsi="Book Antiqua"/>
          <w:bCs/>
          <w:color w:val="000000"/>
          <w:lang w:eastAsia="zh-CN"/>
        </w:rPr>
        <w:t>romycin + Proton pump inhibitor;</w:t>
      </w:r>
      <w:r w:rsidRPr="00E65AD0">
        <w:rPr>
          <w:rFonts w:ascii="Book Antiqua" w:eastAsia="宋体" w:hAnsi="Book Antiqua"/>
          <w:bCs/>
          <w:color w:val="000000"/>
          <w:lang w:eastAsia="zh-CN"/>
        </w:rPr>
        <w:t xml:space="preserve"> </w:t>
      </w:r>
      <w:r w:rsidR="009006B5" w:rsidRPr="00E65AD0">
        <w:rPr>
          <w:rFonts w:ascii="Book Antiqua" w:eastAsia="宋体" w:hAnsi="Book Antiqua"/>
          <w:bCs/>
          <w:color w:val="000000"/>
          <w:vertAlign w:val="superscript"/>
          <w:lang w:eastAsia="zh-CN"/>
        </w:rPr>
        <w:t>4</w:t>
      </w:r>
      <w:r w:rsidRPr="00E65AD0">
        <w:rPr>
          <w:rFonts w:ascii="Book Antiqua" w:eastAsia="宋体" w:hAnsi="Book Antiqua"/>
          <w:bCs/>
          <w:color w:val="000000"/>
          <w:lang w:eastAsia="zh-CN"/>
        </w:rPr>
        <w:t xml:space="preserve">Amoxicillin + Clarithromycin + </w:t>
      </w:r>
      <w:r w:rsidR="009006B5" w:rsidRPr="00E65AD0">
        <w:rPr>
          <w:rFonts w:ascii="Book Antiqua" w:eastAsia="宋体" w:hAnsi="Book Antiqua"/>
          <w:bCs/>
          <w:color w:val="000000"/>
          <w:lang w:eastAsia="zh-CN"/>
        </w:rPr>
        <w:t>Proton pump inhibitor</w:t>
      </w:r>
      <w:r w:rsidRPr="00E65AD0">
        <w:rPr>
          <w:rFonts w:ascii="Book Antiqua" w:eastAsia="宋体" w:hAnsi="Book Antiqua"/>
          <w:bCs/>
          <w:color w:val="000000"/>
          <w:lang w:eastAsia="zh-CN"/>
        </w:rPr>
        <w:t xml:space="preserve"> Amoxicillin (5 d), then Clarithromycin + Metronidazole (5 d) + </w:t>
      </w:r>
      <w:r w:rsidR="009006B5" w:rsidRPr="00E65AD0">
        <w:rPr>
          <w:rFonts w:ascii="Book Antiqua" w:eastAsia="宋体" w:hAnsi="Book Antiqua"/>
          <w:bCs/>
          <w:color w:val="000000"/>
          <w:lang w:eastAsia="zh-CN"/>
        </w:rPr>
        <w:t>Proton pump inhibitor</w:t>
      </w:r>
      <w:r w:rsidRPr="00E65AD0">
        <w:rPr>
          <w:rFonts w:ascii="Book Antiqua" w:eastAsia="宋体" w:hAnsi="Book Antiqua"/>
          <w:bCs/>
          <w:color w:val="000000"/>
          <w:lang w:eastAsia="zh-CN"/>
        </w:rPr>
        <w:t>.</w:t>
      </w:r>
      <w:r w:rsidR="009006B5" w:rsidRPr="00E65AD0">
        <w:rPr>
          <w:rFonts w:ascii="Book Antiqua" w:eastAsia="宋体" w:hAnsi="Book Antiqua"/>
          <w:bCs/>
          <w:color w:val="000000"/>
          <w:lang w:eastAsia="zh-CN"/>
        </w:rPr>
        <w:t xml:space="preserve"> BMI: Body mass index; SD: Standard deviation; APCA: Anti-parietal cell antibody; AIF: Anti-intrinsic factor; </w:t>
      </w:r>
      <w:r w:rsidR="009006B5" w:rsidRPr="00E65AD0">
        <w:rPr>
          <w:rFonts w:ascii="Book Antiqua" w:hAnsi="Book Antiqua"/>
          <w:i/>
          <w:iCs/>
          <w:lang w:val="it"/>
        </w:rPr>
        <w:t>H. pylori</w:t>
      </w:r>
      <w:r w:rsidR="009006B5" w:rsidRPr="00E65AD0">
        <w:rPr>
          <w:rFonts w:ascii="Book Antiqua" w:eastAsia="宋体" w:hAnsi="Book Antiqua"/>
          <w:i/>
          <w:iCs/>
          <w:lang w:val="it" w:eastAsia="zh-CN"/>
        </w:rPr>
        <w:t>:</w:t>
      </w:r>
      <w:r w:rsidR="009006B5" w:rsidRPr="00E65AD0">
        <w:rPr>
          <w:rFonts w:ascii="Book Antiqua" w:eastAsia="宋体" w:hAnsi="Book Antiqua"/>
          <w:bCs/>
          <w:color w:val="000000"/>
          <w:lang w:eastAsia="zh-CN"/>
        </w:rPr>
        <w:t xml:space="preserve"> </w:t>
      </w:r>
      <w:r w:rsidR="009006B5" w:rsidRPr="00E65AD0">
        <w:rPr>
          <w:rFonts w:ascii="Book Antiqua" w:eastAsia="宋体" w:hAnsi="Book Antiqua"/>
          <w:bCs/>
          <w:i/>
          <w:color w:val="000000"/>
          <w:lang w:eastAsia="zh-CN"/>
        </w:rPr>
        <w:t>Helicobacter pylori</w:t>
      </w:r>
      <w:r w:rsidR="009006B5" w:rsidRPr="00E65AD0">
        <w:rPr>
          <w:rFonts w:ascii="Book Antiqua" w:eastAsia="宋体" w:hAnsi="Book Antiqua"/>
          <w:bCs/>
          <w:color w:val="000000"/>
          <w:lang w:eastAsia="zh-CN"/>
        </w:rPr>
        <w:t>; PPI: Proton pump inhibitor.</w:t>
      </w:r>
    </w:p>
    <w:p w14:paraId="2C6EDCE0" w14:textId="77777777" w:rsidR="009D0DBE" w:rsidRPr="00E65AD0" w:rsidRDefault="00921B00" w:rsidP="00E65AD0">
      <w:pPr>
        <w:snapToGrid w:val="0"/>
        <w:spacing w:after="0" w:line="360" w:lineRule="auto"/>
        <w:rPr>
          <w:rFonts w:ascii="Book Antiqua" w:hAnsi="Book Antiqua"/>
          <w:lang w:val="en-GB"/>
        </w:rPr>
      </w:pPr>
      <w:r w:rsidRPr="00E65AD0">
        <w:rPr>
          <w:rFonts w:ascii="Book Antiqua" w:hAnsi="Book Antiqua"/>
          <w:lang w:val="en-GB"/>
        </w:rPr>
        <w:br w:type="page"/>
      </w:r>
    </w:p>
    <w:p w14:paraId="341C42D6" w14:textId="77777777" w:rsidR="009D0DBE" w:rsidRPr="00E65AD0" w:rsidRDefault="009006B5" w:rsidP="00E65AD0">
      <w:pPr>
        <w:snapToGrid w:val="0"/>
        <w:spacing w:after="0" w:line="360" w:lineRule="auto"/>
        <w:rPr>
          <w:rFonts w:ascii="Book Antiqua" w:hAnsi="Book Antiqua"/>
          <w:b/>
          <w:lang w:val="en-GB"/>
        </w:rPr>
      </w:pPr>
      <w:r w:rsidRPr="00E65AD0">
        <w:rPr>
          <w:rFonts w:ascii="Book Antiqua" w:hAnsi="Book Antiqua"/>
          <w:b/>
          <w:lang w:val="en-GB"/>
        </w:rPr>
        <w:lastRenderedPageBreak/>
        <w:t xml:space="preserve">Table 2 Endoscopic and histological characteristics of patients before and after </w:t>
      </w:r>
      <w:r w:rsidRPr="00E65AD0">
        <w:rPr>
          <w:rFonts w:ascii="Book Antiqua" w:hAnsi="Book Antiqua"/>
          <w:b/>
          <w:i/>
          <w:iCs/>
          <w:lang w:val="en-GB"/>
        </w:rPr>
        <w:t>Helicobacter pylori</w:t>
      </w:r>
      <w:r w:rsidRPr="00E65AD0">
        <w:rPr>
          <w:rFonts w:ascii="Book Antiqua" w:hAnsi="Book Antiqua"/>
          <w:b/>
          <w:lang w:val="en-GB"/>
        </w:rPr>
        <w:t xml:space="preserve"> eradication</w:t>
      </w:r>
    </w:p>
    <w:tbl>
      <w:tblPr>
        <w:tblW w:w="8505" w:type="dxa"/>
        <w:tblInd w:w="7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3119"/>
        <w:gridCol w:w="2126"/>
        <w:gridCol w:w="1985"/>
        <w:gridCol w:w="1275"/>
      </w:tblGrid>
      <w:tr w:rsidR="00C42C07" w:rsidRPr="00E65AD0" w14:paraId="3D600072" w14:textId="77777777" w:rsidTr="00C42C07">
        <w:trPr>
          <w:trHeight w:val="1061"/>
        </w:trPr>
        <w:tc>
          <w:tcPr>
            <w:tcW w:w="3119" w:type="dxa"/>
            <w:tcBorders>
              <w:top w:val="single" w:sz="4" w:space="0" w:color="auto"/>
              <w:bottom w:val="single" w:sz="4" w:space="0" w:color="auto"/>
            </w:tcBorders>
            <w:shd w:val="clear" w:color="000000" w:fill="FFFFFF"/>
            <w:vAlign w:val="center"/>
          </w:tcPr>
          <w:p w14:paraId="3B3CCDD4"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Parameters</w:t>
            </w:r>
          </w:p>
        </w:tc>
        <w:tc>
          <w:tcPr>
            <w:tcW w:w="2126" w:type="dxa"/>
            <w:tcBorders>
              <w:top w:val="single" w:sz="4" w:space="0" w:color="auto"/>
              <w:bottom w:val="single" w:sz="4" w:space="0" w:color="auto"/>
            </w:tcBorders>
            <w:shd w:val="clear" w:color="000000" w:fill="FFFFFF"/>
            <w:vAlign w:val="center"/>
          </w:tcPr>
          <w:p w14:paraId="26B11FCD"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 xml:space="preserve">Before </w:t>
            </w:r>
            <w:r w:rsidR="002D1A0E" w:rsidRPr="00E65AD0">
              <w:rPr>
                <w:rFonts w:ascii="Book Antiqua" w:hAnsi="Book Antiqua"/>
                <w:b/>
                <w:i/>
                <w:iCs/>
                <w:lang w:val="it"/>
              </w:rPr>
              <w:t xml:space="preserve">H. </w:t>
            </w:r>
            <w:r w:rsidR="009006B5" w:rsidRPr="00E65AD0">
              <w:rPr>
                <w:rFonts w:ascii="Book Antiqua" w:hAnsi="Book Antiqua"/>
                <w:b/>
                <w:i/>
                <w:iCs/>
                <w:lang w:val="it"/>
              </w:rPr>
              <w:t>pylori</w:t>
            </w:r>
            <w:r w:rsidR="009006B5" w:rsidRPr="00E65AD0">
              <w:rPr>
                <w:rFonts w:ascii="Book Antiqua" w:hAnsi="Book Antiqua"/>
                <w:b/>
                <w:lang w:val="it"/>
              </w:rPr>
              <w:t xml:space="preserve"> </w:t>
            </w:r>
            <w:r w:rsidR="00CB0693" w:rsidRPr="00E65AD0">
              <w:rPr>
                <w:rFonts w:ascii="Book Antiqua" w:hAnsi="Book Antiqua"/>
                <w:b/>
                <w:lang w:val="it"/>
              </w:rPr>
              <w:t>eradication</w:t>
            </w:r>
            <w:r w:rsidR="00CB0693" w:rsidRPr="00E65AD0">
              <w:rPr>
                <w:rFonts w:ascii="Book Antiqua" w:eastAsia="宋体" w:hAnsi="Book Antiqua"/>
                <w:b/>
                <w:lang w:val="it" w:eastAsia="zh-CN"/>
              </w:rPr>
              <w:t xml:space="preserve"> </w:t>
            </w:r>
            <w:r w:rsidRPr="00E65AD0">
              <w:rPr>
                <w:rFonts w:ascii="Book Antiqua" w:hAnsi="Book Antiqua"/>
                <w:b/>
                <w:lang w:val="it"/>
              </w:rPr>
              <w:t>(</w:t>
            </w:r>
            <w:r w:rsidRPr="00E65AD0">
              <w:rPr>
                <w:rFonts w:ascii="Book Antiqua" w:hAnsi="Book Antiqua"/>
                <w:b/>
                <w:i/>
                <w:lang w:val="it"/>
              </w:rPr>
              <w:t>n</w:t>
            </w:r>
            <w:r w:rsidRPr="00E65AD0">
              <w:rPr>
                <w:rFonts w:ascii="Book Antiqua" w:hAnsi="Book Antiqua"/>
                <w:b/>
                <w:lang w:val="it"/>
              </w:rPr>
              <w:t xml:space="preserve"> = 85)</w:t>
            </w:r>
          </w:p>
        </w:tc>
        <w:tc>
          <w:tcPr>
            <w:tcW w:w="1985" w:type="dxa"/>
            <w:tcBorders>
              <w:top w:val="single" w:sz="4" w:space="0" w:color="auto"/>
              <w:bottom w:val="single" w:sz="4" w:space="0" w:color="auto"/>
            </w:tcBorders>
            <w:shd w:val="clear" w:color="000000" w:fill="FFFFFF"/>
            <w:vAlign w:val="center"/>
          </w:tcPr>
          <w:p w14:paraId="741DB085"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 xml:space="preserve">After </w:t>
            </w:r>
            <w:r w:rsidR="002D1A0E" w:rsidRPr="00E65AD0">
              <w:rPr>
                <w:rFonts w:ascii="Book Antiqua" w:hAnsi="Book Antiqua"/>
                <w:b/>
                <w:i/>
                <w:iCs/>
                <w:lang w:val="it"/>
              </w:rPr>
              <w:t xml:space="preserve">H. </w:t>
            </w:r>
            <w:r w:rsidR="009006B5" w:rsidRPr="00E65AD0">
              <w:rPr>
                <w:rFonts w:ascii="Book Antiqua" w:hAnsi="Book Antiqua"/>
                <w:b/>
                <w:i/>
                <w:iCs/>
                <w:lang w:val="it"/>
              </w:rPr>
              <w:t>pylori</w:t>
            </w:r>
            <w:r w:rsidR="009006B5" w:rsidRPr="00E65AD0">
              <w:rPr>
                <w:rFonts w:ascii="Book Antiqua" w:hAnsi="Book Antiqua"/>
                <w:b/>
                <w:lang w:val="it"/>
              </w:rPr>
              <w:t xml:space="preserve"> </w:t>
            </w:r>
            <w:r w:rsidRPr="00E65AD0">
              <w:rPr>
                <w:rFonts w:ascii="Book Antiqua" w:hAnsi="Book Antiqua"/>
                <w:b/>
                <w:lang w:val="it"/>
              </w:rPr>
              <w:t>eradication (</w:t>
            </w:r>
            <w:r w:rsidRPr="00E65AD0">
              <w:rPr>
                <w:rFonts w:ascii="Book Antiqua" w:hAnsi="Book Antiqua"/>
                <w:b/>
                <w:i/>
                <w:lang w:val="it"/>
              </w:rPr>
              <w:t>n</w:t>
            </w:r>
            <w:r w:rsidRPr="00E65AD0">
              <w:rPr>
                <w:rFonts w:ascii="Book Antiqua" w:hAnsi="Book Antiqua"/>
                <w:b/>
                <w:lang w:val="it"/>
              </w:rPr>
              <w:t xml:space="preserve"> = 85)</w:t>
            </w:r>
          </w:p>
        </w:tc>
        <w:tc>
          <w:tcPr>
            <w:tcW w:w="1275" w:type="dxa"/>
            <w:tcBorders>
              <w:top w:val="single" w:sz="4" w:space="0" w:color="auto"/>
              <w:bottom w:val="single" w:sz="4" w:space="0" w:color="auto"/>
            </w:tcBorders>
            <w:shd w:val="clear" w:color="000000" w:fill="FFFFFF"/>
            <w:vAlign w:val="center"/>
          </w:tcPr>
          <w:p w14:paraId="3209CF3C"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i/>
                <w:iCs/>
                <w:lang w:val="it"/>
              </w:rPr>
              <w:t>P</w:t>
            </w:r>
            <w:r w:rsidR="009006B5" w:rsidRPr="00E65AD0">
              <w:rPr>
                <w:rFonts w:ascii="Book Antiqua" w:eastAsia="宋体" w:hAnsi="Book Antiqua"/>
                <w:b/>
                <w:lang w:val="it" w:eastAsia="zh-CN"/>
              </w:rPr>
              <w:t xml:space="preserve"> </w:t>
            </w:r>
            <w:r w:rsidRPr="00E65AD0">
              <w:rPr>
                <w:rFonts w:ascii="Book Antiqua" w:hAnsi="Book Antiqua"/>
                <w:b/>
                <w:lang w:val="it"/>
              </w:rPr>
              <w:t>value</w:t>
            </w:r>
          </w:p>
        </w:tc>
      </w:tr>
      <w:tr w:rsidR="00C42C07" w:rsidRPr="00E65AD0" w14:paraId="5E8BF6A1" w14:textId="77777777" w:rsidTr="00C42C07">
        <w:trPr>
          <w:trHeight w:val="456"/>
        </w:trPr>
        <w:tc>
          <w:tcPr>
            <w:tcW w:w="3119" w:type="dxa"/>
            <w:tcBorders>
              <w:top w:val="single" w:sz="4" w:space="0" w:color="auto"/>
            </w:tcBorders>
            <w:shd w:val="clear" w:color="000000" w:fill="FFFFFF"/>
          </w:tcPr>
          <w:p w14:paraId="26FDF27A" w14:textId="77777777" w:rsidR="009D0DBE" w:rsidRPr="00E65AD0" w:rsidRDefault="00921B00" w:rsidP="00E65AD0">
            <w:pPr>
              <w:snapToGrid w:val="0"/>
              <w:spacing w:after="0" w:line="360" w:lineRule="auto"/>
              <w:rPr>
                <w:rFonts w:ascii="Book Antiqua" w:hAnsi="Book Antiqua"/>
                <w:lang w:val="it"/>
              </w:rPr>
            </w:pPr>
            <w:r w:rsidRPr="00E65AD0">
              <w:rPr>
                <w:rFonts w:ascii="Book Antiqua" w:hAnsi="Book Antiqua"/>
                <w:lang w:val="it"/>
              </w:rPr>
              <w:t>Endoscopic atrophy</w:t>
            </w:r>
            <w:r w:rsidRPr="00E65AD0">
              <w:rPr>
                <w:rFonts w:ascii="Book Antiqua" w:hAnsi="Book Antiqua"/>
                <w:vertAlign w:val="superscript"/>
                <w:lang w:val="it"/>
              </w:rPr>
              <w:t>1</w:t>
            </w:r>
            <w:r w:rsidRPr="00E65AD0">
              <w:rPr>
                <w:rFonts w:ascii="Book Antiqua" w:hAnsi="Book Antiqua"/>
                <w:lang w:val="it"/>
              </w:rPr>
              <w:t xml:space="preserve">, </w:t>
            </w:r>
            <w:r w:rsidRPr="00E65AD0">
              <w:rPr>
                <w:rFonts w:ascii="Book Antiqua" w:hAnsi="Book Antiqua"/>
                <w:i/>
                <w:lang w:val="it"/>
              </w:rPr>
              <w:t>n</w:t>
            </w:r>
            <w:r w:rsidRPr="00E65AD0">
              <w:rPr>
                <w:rFonts w:ascii="Book Antiqua" w:hAnsi="Book Antiqua"/>
                <w:lang w:val="it"/>
              </w:rPr>
              <w:t xml:space="preserve"> (%)</w:t>
            </w:r>
          </w:p>
        </w:tc>
        <w:tc>
          <w:tcPr>
            <w:tcW w:w="2126" w:type="dxa"/>
            <w:tcBorders>
              <w:top w:val="single" w:sz="4" w:space="0" w:color="auto"/>
            </w:tcBorders>
            <w:shd w:val="clear" w:color="000000" w:fill="FFFFFF"/>
          </w:tcPr>
          <w:p w14:paraId="774BFCB9" w14:textId="77777777" w:rsidR="009D0DBE" w:rsidRPr="00E65AD0" w:rsidRDefault="009D0DBE" w:rsidP="00E65AD0">
            <w:pPr>
              <w:snapToGrid w:val="0"/>
              <w:spacing w:after="0" w:line="360" w:lineRule="auto"/>
              <w:rPr>
                <w:rFonts w:ascii="Book Antiqua" w:hAnsi="Book Antiqua" w:cs="Calibri"/>
                <w:lang w:val="it"/>
              </w:rPr>
            </w:pPr>
          </w:p>
        </w:tc>
        <w:tc>
          <w:tcPr>
            <w:tcW w:w="1985" w:type="dxa"/>
            <w:tcBorders>
              <w:top w:val="single" w:sz="4" w:space="0" w:color="auto"/>
            </w:tcBorders>
            <w:shd w:val="clear" w:color="000000" w:fill="FFFFFF"/>
          </w:tcPr>
          <w:p w14:paraId="392B2D35" w14:textId="77777777" w:rsidR="009D0DBE" w:rsidRPr="00E65AD0" w:rsidRDefault="009D0DBE" w:rsidP="00E65AD0">
            <w:pPr>
              <w:snapToGrid w:val="0"/>
              <w:spacing w:after="0" w:line="360" w:lineRule="auto"/>
              <w:rPr>
                <w:rFonts w:ascii="Book Antiqua" w:hAnsi="Book Antiqua" w:cs="Calibri"/>
                <w:lang w:val="it"/>
              </w:rPr>
            </w:pPr>
          </w:p>
        </w:tc>
        <w:tc>
          <w:tcPr>
            <w:tcW w:w="1275" w:type="dxa"/>
            <w:tcBorders>
              <w:top w:val="single" w:sz="4" w:space="0" w:color="auto"/>
            </w:tcBorders>
            <w:shd w:val="clear" w:color="000000" w:fill="FFFFFF"/>
          </w:tcPr>
          <w:p w14:paraId="48722897"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35A117DC" w14:textId="77777777" w:rsidTr="00C42C07">
        <w:trPr>
          <w:trHeight w:val="401"/>
        </w:trPr>
        <w:tc>
          <w:tcPr>
            <w:tcW w:w="3119" w:type="dxa"/>
            <w:shd w:val="clear" w:color="000000" w:fill="FFFFFF"/>
          </w:tcPr>
          <w:p w14:paraId="3A816D2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Absent </w:t>
            </w:r>
          </w:p>
        </w:tc>
        <w:tc>
          <w:tcPr>
            <w:tcW w:w="2126" w:type="dxa"/>
            <w:shd w:val="clear" w:color="000000" w:fill="FFFFFF"/>
          </w:tcPr>
          <w:p w14:paraId="12457C3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 (5.9)</w:t>
            </w:r>
          </w:p>
        </w:tc>
        <w:tc>
          <w:tcPr>
            <w:tcW w:w="1985" w:type="dxa"/>
            <w:shd w:val="clear" w:color="000000" w:fill="FFFFFF"/>
          </w:tcPr>
          <w:p w14:paraId="0EBBE86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275" w:type="dxa"/>
            <w:shd w:val="clear" w:color="000000" w:fill="FFFFFF"/>
          </w:tcPr>
          <w:p w14:paraId="59D0AD9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3D2C4907" w14:textId="77777777" w:rsidTr="00C42C07">
        <w:trPr>
          <w:trHeight w:val="392"/>
        </w:trPr>
        <w:tc>
          <w:tcPr>
            <w:tcW w:w="3119" w:type="dxa"/>
            <w:shd w:val="clear" w:color="000000" w:fill="FFFFFF"/>
          </w:tcPr>
          <w:p w14:paraId="001D12C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Antrum</w:t>
            </w:r>
          </w:p>
        </w:tc>
        <w:tc>
          <w:tcPr>
            <w:tcW w:w="2126" w:type="dxa"/>
            <w:shd w:val="clear" w:color="000000" w:fill="FFFFFF"/>
          </w:tcPr>
          <w:p w14:paraId="7665936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19 (22.4)</w:t>
            </w:r>
          </w:p>
        </w:tc>
        <w:tc>
          <w:tcPr>
            <w:tcW w:w="1985" w:type="dxa"/>
            <w:shd w:val="clear" w:color="000000" w:fill="FFFFFF"/>
          </w:tcPr>
          <w:p w14:paraId="31D420E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19 (22.4)</w:t>
            </w:r>
          </w:p>
        </w:tc>
        <w:tc>
          <w:tcPr>
            <w:tcW w:w="1275" w:type="dxa"/>
            <w:shd w:val="clear" w:color="000000" w:fill="FFFFFF"/>
          </w:tcPr>
          <w:p w14:paraId="31FFCB7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2D33EC95" w14:textId="77777777" w:rsidTr="00C42C07">
        <w:trPr>
          <w:trHeight w:val="449"/>
        </w:trPr>
        <w:tc>
          <w:tcPr>
            <w:tcW w:w="3119" w:type="dxa"/>
            <w:shd w:val="clear" w:color="000000" w:fill="FFFFFF"/>
          </w:tcPr>
          <w:p w14:paraId="66FA540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Antrum-predominant </w:t>
            </w:r>
          </w:p>
        </w:tc>
        <w:tc>
          <w:tcPr>
            <w:tcW w:w="2126" w:type="dxa"/>
            <w:shd w:val="clear" w:color="000000" w:fill="FFFFFF"/>
          </w:tcPr>
          <w:p w14:paraId="2C7588A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18 (21.2)</w:t>
            </w:r>
          </w:p>
        </w:tc>
        <w:tc>
          <w:tcPr>
            <w:tcW w:w="1985" w:type="dxa"/>
            <w:shd w:val="clear" w:color="000000" w:fill="FFFFFF"/>
          </w:tcPr>
          <w:p w14:paraId="340728E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12 (14.1)</w:t>
            </w:r>
          </w:p>
        </w:tc>
        <w:tc>
          <w:tcPr>
            <w:tcW w:w="1275" w:type="dxa"/>
            <w:shd w:val="clear" w:color="000000" w:fill="FFFFFF"/>
          </w:tcPr>
          <w:p w14:paraId="11BA254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0.23</w:t>
            </w:r>
          </w:p>
        </w:tc>
      </w:tr>
      <w:tr w:rsidR="009D0DBE" w:rsidRPr="00E65AD0" w14:paraId="6AFBBF46" w14:textId="77777777" w:rsidTr="00C42C07">
        <w:trPr>
          <w:trHeight w:val="406"/>
        </w:trPr>
        <w:tc>
          <w:tcPr>
            <w:tcW w:w="3119" w:type="dxa"/>
            <w:shd w:val="clear" w:color="000000" w:fill="FFFFFF"/>
          </w:tcPr>
          <w:p w14:paraId="3C07CBE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Corpus-predominant </w:t>
            </w:r>
          </w:p>
        </w:tc>
        <w:tc>
          <w:tcPr>
            <w:tcW w:w="2126" w:type="dxa"/>
            <w:shd w:val="clear" w:color="000000" w:fill="FFFFFF"/>
          </w:tcPr>
          <w:p w14:paraId="1226F4A1" w14:textId="77777777" w:rsidR="009D0DBE" w:rsidRPr="00E65AD0" w:rsidRDefault="00CB0693" w:rsidP="00E65AD0">
            <w:pPr>
              <w:snapToGrid w:val="0"/>
              <w:spacing w:after="0" w:line="360" w:lineRule="auto"/>
              <w:rPr>
                <w:rFonts w:ascii="Book Antiqua" w:hAnsi="Book Antiqua" w:cs="Calibri"/>
                <w:lang w:val="it"/>
              </w:rPr>
            </w:pPr>
            <w:r w:rsidRPr="00E65AD0">
              <w:rPr>
                <w:rFonts w:ascii="Book Antiqua" w:hAnsi="Book Antiqua"/>
                <w:lang w:val="it"/>
              </w:rPr>
              <w:t>21</w:t>
            </w:r>
            <w:r w:rsidR="00921B00" w:rsidRPr="00E65AD0">
              <w:rPr>
                <w:rFonts w:ascii="Book Antiqua" w:hAnsi="Book Antiqua"/>
                <w:lang w:val="it"/>
              </w:rPr>
              <w:t xml:space="preserve"> (24.7)</w:t>
            </w:r>
          </w:p>
        </w:tc>
        <w:tc>
          <w:tcPr>
            <w:tcW w:w="1985" w:type="dxa"/>
            <w:shd w:val="clear" w:color="000000" w:fill="FFFFFF"/>
          </w:tcPr>
          <w:p w14:paraId="7B837A6F" w14:textId="77777777" w:rsidR="009D0DBE" w:rsidRPr="00E65AD0" w:rsidRDefault="00CB0693" w:rsidP="00E65AD0">
            <w:pPr>
              <w:snapToGrid w:val="0"/>
              <w:spacing w:after="0" w:line="360" w:lineRule="auto"/>
              <w:rPr>
                <w:rFonts w:ascii="Book Antiqua" w:hAnsi="Book Antiqua" w:cs="Calibri"/>
                <w:lang w:val="it"/>
              </w:rPr>
            </w:pPr>
            <w:r w:rsidRPr="00E65AD0">
              <w:rPr>
                <w:rFonts w:ascii="Book Antiqua" w:hAnsi="Book Antiqua"/>
                <w:lang w:val="it"/>
              </w:rPr>
              <w:t>23</w:t>
            </w:r>
            <w:r w:rsidR="00921B00" w:rsidRPr="00E65AD0">
              <w:rPr>
                <w:rFonts w:ascii="Book Antiqua" w:hAnsi="Book Antiqua"/>
                <w:lang w:val="it"/>
              </w:rPr>
              <w:t xml:space="preserve"> (27.1)</w:t>
            </w:r>
          </w:p>
        </w:tc>
        <w:tc>
          <w:tcPr>
            <w:tcW w:w="1275" w:type="dxa"/>
            <w:shd w:val="clear" w:color="000000" w:fill="FFFFFF"/>
          </w:tcPr>
          <w:p w14:paraId="7DFCEC2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0.73</w:t>
            </w:r>
          </w:p>
        </w:tc>
      </w:tr>
      <w:tr w:rsidR="009D0DBE" w:rsidRPr="00E65AD0" w14:paraId="1796F29C" w14:textId="77777777" w:rsidTr="00C42C07">
        <w:trPr>
          <w:trHeight w:val="393"/>
        </w:trPr>
        <w:tc>
          <w:tcPr>
            <w:tcW w:w="3119" w:type="dxa"/>
            <w:shd w:val="clear" w:color="000000" w:fill="FFFFFF"/>
          </w:tcPr>
          <w:p w14:paraId="56E5C20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Pan-atrophy</w:t>
            </w:r>
          </w:p>
        </w:tc>
        <w:tc>
          <w:tcPr>
            <w:tcW w:w="2126" w:type="dxa"/>
            <w:shd w:val="clear" w:color="000000" w:fill="FFFFFF"/>
          </w:tcPr>
          <w:p w14:paraId="4752AD5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22 (25.9)</w:t>
            </w:r>
          </w:p>
        </w:tc>
        <w:tc>
          <w:tcPr>
            <w:tcW w:w="1985" w:type="dxa"/>
            <w:shd w:val="clear" w:color="000000" w:fill="FFFFFF"/>
          </w:tcPr>
          <w:p w14:paraId="49D1A28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27 (31.8)</w:t>
            </w:r>
          </w:p>
        </w:tc>
        <w:tc>
          <w:tcPr>
            <w:tcW w:w="1275" w:type="dxa"/>
          </w:tcPr>
          <w:p w14:paraId="0A55C5E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0.40</w:t>
            </w:r>
          </w:p>
        </w:tc>
      </w:tr>
      <w:tr w:rsidR="009D0DBE" w:rsidRPr="00E65AD0" w14:paraId="3E42379C" w14:textId="77777777" w:rsidTr="00C42C07">
        <w:trPr>
          <w:trHeight w:val="379"/>
        </w:trPr>
        <w:tc>
          <w:tcPr>
            <w:tcW w:w="3119" w:type="dxa"/>
            <w:shd w:val="clear" w:color="000000" w:fill="FFFFFF"/>
          </w:tcPr>
          <w:p w14:paraId="14E6188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OLGA-scale, </w:t>
            </w:r>
            <w:r w:rsidRPr="00E65AD0">
              <w:rPr>
                <w:rFonts w:ascii="Book Antiqua" w:hAnsi="Book Antiqua"/>
                <w:i/>
                <w:lang w:val="it"/>
              </w:rPr>
              <w:t>n</w:t>
            </w:r>
            <w:r w:rsidRPr="00E65AD0">
              <w:rPr>
                <w:rFonts w:ascii="Book Antiqua" w:hAnsi="Book Antiqua"/>
                <w:lang w:val="it"/>
              </w:rPr>
              <w:t xml:space="preserve"> (%)</w:t>
            </w:r>
          </w:p>
        </w:tc>
        <w:tc>
          <w:tcPr>
            <w:tcW w:w="2126" w:type="dxa"/>
          </w:tcPr>
          <w:p w14:paraId="5A479BF4" w14:textId="77777777" w:rsidR="009D0DBE" w:rsidRPr="00E65AD0" w:rsidRDefault="009D0DBE" w:rsidP="00E65AD0">
            <w:pPr>
              <w:snapToGrid w:val="0"/>
              <w:spacing w:after="0" w:line="360" w:lineRule="auto"/>
              <w:rPr>
                <w:rFonts w:ascii="Book Antiqua" w:hAnsi="Book Antiqua" w:cs="Calibri"/>
                <w:lang w:val="it"/>
              </w:rPr>
            </w:pPr>
          </w:p>
        </w:tc>
        <w:tc>
          <w:tcPr>
            <w:tcW w:w="1985" w:type="dxa"/>
          </w:tcPr>
          <w:p w14:paraId="0836C03A"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377929B8"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3DAD2493" w14:textId="77777777" w:rsidTr="00C42C07">
        <w:trPr>
          <w:trHeight w:val="336"/>
        </w:trPr>
        <w:tc>
          <w:tcPr>
            <w:tcW w:w="3119" w:type="dxa"/>
            <w:shd w:val="clear" w:color="000000" w:fill="FFFFFF"/>
          </w:tcPr>
          <w:p w14:paraId="0D5C254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0</w:t>
            </w:r>
          </w:p>
        </w:tc>
        <w:tc>
          <w:tcPr>
            <w:tcW w:w="2126" w:type="dxa"/>
          </w:tcPr>
          <w:p w14:paraId="230DF05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985" w:type="dxa"/>
          </w:tcPr>
          <w:p w14:paraId="68C9857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275" w:type="dxa"/>
            <w:shd w:val="clear" w:color="000000" w:fill="FFFFFF"/>
          </w:tcPr>
          <w:p w14:paraId="1611A32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287AEA7B" w14:textId="77777777" w:rsidTr="00C42C07">
        <w:trPr>
          <w:trHeight w:val="364"/>
        </w:trPr>
        <w:tc>
          <w:tcPr>
            <w:tcW w:w="3119" w:type="dxa"/>
            <w:shd w:val="clear" w:color="000000" w:fill="FFFFFF"/>
          </w:tcPr>
          <w:p w14:paraId="3660FC9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1</w:t>
            </w:r>
          </w:p>
        </w:tc>
        <w:tc>
          <w:tcPr>
            <w:tcW w:w="2126" w:type="dxa"/>
          </w:tcPr>
          <w:p w14:paraId="41C6D08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22 (25.9)</w:t>
            </w:r>
          </w:p>
        </w:tc>
        <w:tc>
          <w:tcPr>
            <w:tcW w:w="1985" w:type="dxa"/>
          </w:tcPr>
          <w:p w14:paraId="033A69D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28 (32.9)</w:t>
            </w:r>
          </w:p>
        </w:tc>
        <w:tc>
          <w:tcPr>
            <w:tcW w:w="1275" w:type="dxa"/>
            <w:shd w:val="clear" w:color="000000" w:fill="FFFFFF"/>
          </w:tcPr>
          <w:p w14:paraId="72FB29A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0.31</w:t>
            </w:r>
          </w:p>
        </w:tc>
      </w:tr>
      <w:tr w:rsidR="009D0DBE" w:rsidRPr="00E65AD0" w14:paraId="404370D2" w14:textId="77777777" w:rsidTr="00C42C07">
        <w:trPr>
          <w:trHeight w:val="336"/>
        </w:trPr>
        <w:tc>
          <w:tcPr>
            <w:tcW w:w="3119" w:type="dxa"/>
            <w:shd w:val="clear" w:color="000000" w:fill="FFFFFF"/>
          </w:tcPr>
          <w:p w14:paraId="0E823B3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2</w:t>
            </w:r>
          </w:p>
        </w:tc>
        <w:tc>
          <w:tcPr>
            <w:tcW w:w="2126" w:type="dxa"/>
          </w:tcPr>
          <w:p w14:paraId="352762B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34 (40)</w:t>
            </w:r>
          </w:p>
        </w:tc>
        <w:tc>
          <w:tcPr>
            <w:tcW w:w="1985" w:type="dxa"/>
          </w:tcPr>
          <w:p w14:paraId="43039C6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23 (27.1)</w:t>
            </w:r>
          </w:p>
        </w:tc>
        <w:tc>
          <w:tcPr>
            <w:tcW w:w="1275" w:type="dxa"/>
            <w:shd w:val="clear" w:color="000000" w:fill="FFFFFF"/>
          </w:tcPr>
          <w:p w14:paraId="7C9376D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0.07</w:t>
            </w:r>
          </w:p>
        </w:tc>
      </w:tr>
      <w:tr w:rsidR="009D0DBE" w:rsidRPr="00E65AD0" w14:paraId="5E450245" w14:textId="77777777" w:rsidTr="00C42C07">
        <w:trPr>
          <w:trHeight w:val="336"/>
        </w:trPr>
        <w:tc>
          <w:tcPr>
            <w:tcW w:w="3119" w:type="dxa"/>
            <w:shd w:val="clear" w:color="000000" w:fill="FFFFFF"/>
          </w:tcPr>
          <w:p w14:paraId="764C0A3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3</w:t>
            </w:r>
          </w:p>
        </w:tc>
        <w:tc>
          <w:tcPr>
            <w:tcW w:w="2126" w:type="dxa"/>
          </w:tcPr>
          <w:p w14:paraId="5E30EFB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20 (23.5)</w:t>
            </w:r>
          </w:p>
        </w:tc>
        <w:tc>
          <w:tcPr>
            <w:tcW w:w="1985" w:type="dxa"/>
          </w:tcPr>
          <w:p w14:paraId="1668422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25 (29.4)</w:t>
            </w:r>
          </w:p>
        </w:tc>
        <w:tc>
          <w:tcPr>
            <w:tcW w:w="1275" w:type="dxa"/>
            <w:shd w:val="clear" w:color="000000" w:fill="FFFFFF"/>
          </w:tcPr>
          <w:p w14:paraId="38BDA3E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0.38</w:t>
            </w:r>
          </w:p>
        </w:tc>
      </w:tr>
      <w:tr w:rsidR="009D0DBE" w:rsidRPr="00E65AD0" w14:paraId="528393FB" w14:textId="77777777" w:rsidTr="00C42C07">
        <w:trPr>
          <w:trHeight w:val="336"/>
        </w:trPr>
        <w:tc>
          <w:tcPr>
            <w:tcW w:w="3119" w:type="dxa"/>
            <w:shd w:val="clear" w:color="000000" w:fill="FFFFFF"/>
          </w:tcPr>
          <w:p w14:paraId="187503D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4</w:t>
            </w:r>
          </w:p>
        </w:tc>
        <w:tc>
          <w:tcPr>
            <w:tcW w:w="2126" w:type="dxa"/>
          </w:tcPr>
          <w:p w14:paraId="5C21CCE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 (5.9)</w:t>
            </w:r>
          </w:p>
        </w:tc>
        <w:tc>
          <w:tcPr>
            <w:tcW w:w="1985" w:type="dxa"/>
          </w:tcPr>
          <w:p w14:paraId="17BE02A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 (5.9)</w:t>
            </w:r>
          </w:p>
        </w:tc>
        <w:tc>
          <w:tcPr>
            <w:tcW w:w="1275" w:type="dxa"/>
            <w:shd w:val="clear" w:color="000000" w:fill="FFFFFF"/>
          </w:tcPr>
          <w:p w14:paraId="6F7765A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1D8FC245" w14:textId="77777777" w:rsidTr="00C42C07">
        <w:trPr>
          <w:trHeight w:val="336"/>
        </w:trPr>
        <w:tc>
          <w:tcPr>
            <w:tcW w:w="3119" w:type="dxa"/>
            <w:shd w:val="clear" w:color="000000" w:fill="FFFFFF"/>
          </w:tcPr>
          <w:p w14:paraId="1CD0D5A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EGGIM-scale, </w:t>
            </w:r>
            <w:r w:rsidRPr="00E65AD0">
              <w:rPr>
                <w:rFonts w:ascii="Book Antiqua" w:hAnsi="Book Antiqua"/>
                <w:i/>
                <w:lang w:val="it"/>
              </w:rPr>
              <w:t>n</w:t>
            </w:r>
            <w:r w:rsidRPr="00E65AD0">
              <w:rPr>
                <w:rFonts w:ascii="Book Antiqua" w:hAnsi="Book Antiqua"/>
                <w:lang w:val="it"/>
              </w:rPr>
              <w:t xml:space="preserve"> (%)</w:t>
            </w:r>
          </w:p>
        </w:tc>
        <w:tc>
          <w:tcPr>
            <w:tcW w:w="2126" w:type="dxa"/>
          </w:tcPr>
          <w:p w14:paraId="12A06C57" w14:textId="77777777" w:rsidR="009D0DBE" w:rsidRPr="00E65AD0" w:rsidRDefault="009D0DBE" w:rsidP="00E65AD0">
            <w:pPr>
              <w:snapToGrid w:val="0"/>
              <w:spacing w:after="0" w:line="360" w:lineRule="auto"/>
              <w:rPr>
                <w:rFonts w:ascii="Book Antiqua" w:hAnsi="Book Antiqua" w:cs="Calibri"/>
                <w:lang w:val="it"/>
              </w:rPr>
            </w:pPr>
          </w:p>
        </w:tc>
        <w:tc>
          <w:tcPr>
            <w:tcW w:w="1985" w:type="dxa"/>
          </w:tcPr>
          <w:p w14:paraId="2F68F9D5"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69452B01"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7886D85B" w14:textId="77777777" w:rsidTr="00C42C07">
        <w:trPr>
          <w:trHeight w:val="350"/>
        </w:trPr>
        <w:tc>
          <w:tcPr>
            <w:tcW w:w="3119" w:type="dxa"/>
            <w:shd w:val="clear" w:color="000000" w:fill="FFFFFF"/>
          </w:tcPr>
          <w:p w14:paraId="2F1CA30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w:t>
            </w:r>
          </w:p>
        </w:tc>
        <w:tc>
          <w:tcPr>
            <w:tcW w:w="2126" w:type="dxa"/>
            <w:shd w:val="clear" w:color="000000" w:fill="FFFFFF"/>
          </w:tcPr>
          <w:p w14:paraId="78A78587"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47 (55.3)</w:t>
            </w:r>
          </w:p>
        </w:tc>
        <w:tc>
          <w:tcPr>
            <w:tcW w:w="1985" w:type="dxa"/>
          </w:tcPr>
          <w:p w14:paraId="4DBA968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45 (52.9)</w:t>
            </w:r>
          </w:p>
        </w:tc>
        <w:tc>
          <w:tcPr>
            <w:tcW w:w="1275" w:type="dxa"/>
            <w:shd w:val="clear" w:color="000000" w:fill="FFFFFF"/>
          </w:tcPr>
          <w:p w14:paraId="0A2CECD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0.76</w:t>
            </w:r>
          </w:p>
        </w:tc>
      </w:tr>
      <w:tr w:rsidR="009D0DBE" w:rsidRPr="00E65AD0" w14:paraId="30B4FA3E" w14:textId="77777777" w:rsidTr="00C42C07">
        <w:trPr>
          <w:trHeight w:val="322"/>
        </w:trPr>
        <w:tc>
          <w:tcPr>
            <w:tcW w:w="3119" w:type="dxa"/>
            <w:shd w:val="clear" w:color="000000" w:fill="FFFFFF"/>
          </w:tcPr>
          <w:p w14:paraId="68271C9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3-4</w:t>
            </w:r>
          </w:p>
        </w:tc>
        <w:tc>
          <w:tcPr>
            <w:tcW w:w="2126" w:type="dxa"/>
            <w:shd w:val="clear" w:color="000000" w:fill="FFFFFF"/>
          </w:tcPr>
          <w:p w14:paraId="3F8168C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21 (24.7)</w:t>
            </w:r>
          </w:p>
        </w:tc>
        <w:tc>
          <w:tcPr>
            <w:tcW w:w="1985" w:type="dxa"/>
          </w:tcPr>
          <w:p w14:paraId="629CBD6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 (11.8)</w:t>
            </w:r>
          </w:p>
        </w:tc>
        <w:tc>
          <w:tcPr>
            <w:tcW w:w="1275" w:type="dxa"/>
            <w:shd w:val="clear" w:color="000000" w:fill="FFFFFF"/>
          </w:tcPr>
          <w:p w14:paraId="321A297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0.03</w:t>
            </w:r>
            <w:r w:rsidRPr="00E65AD0">
              <w:rPr>
                <w:rFonts w:ascii="Book Antiqua" w:hAnsi="Book Antiqua"/>
                <w:vertAlign w:val="superscript"/>
                <w:lang w:val="it"/>
              </w:rPr>
              <w:t>a</w:t>
            </w:r>
          </w:p>
        </w:tc>
      </w:tr>
      <w:tr w:rsidR="009D0DBE" w:rsidRPr="00E65AD0" w14:paraId="6858B2BE" w14:textId="77777777" w:rsidTr="00C42C07">
        <w:trPr>
          <w:trHeight w:val="350"/>
        </w:trPr>
        <w:tc>
          <w:tcPr>
            <w:tcW w:w="3119" w:type="dxa"/>
            <w:shd w:val="clear" w:color="000000" w:fill="FFFFFF"/>
          </w:tcPr>
          <w:p w14:paraId="29F0F1B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5-6</w:t>
            </w:r>
          </w:p>
        </w:tc>
        <w:tc>
          <w:tcPr>
            <w:tcW w:w="2126" w:type="dxa"/>
            <w:shd w:val="clear" w:color="000000" w:fill="FFFFFF"/>
          </w:tcPr>
          <w:p w14:paraId="1B75E77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12 (14.1)</w:t>
            </w:r>
          </w:p>
        </w:tc>
        <w:tc>
          <w:tcPr>
            <w:tcW w:w="1985" w:type="dxa"/>
          </w:tcPr>
          <w:p w14:paraId="153DFFA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21 (24.7)</w:t>
            </w:r>
          </w:p>
        </w:tc>
        <w:tc>
          <w:tcPr>
            <w:tcW w:w="1275" w:type="dxa"/>
            <w:shd w:val="clear" w:color="000000" w:fill="FFFFFF"/>
          </w:tcPr>
          <w:p w14:paraId="068646D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0.08</w:t>
            </w:r>
          </w:p>
        </w:tc>
      </w:tr>
      <w:tr w:rsidR="009D0DBE" w:rsidRPr="00E65AD0" w14:paraId="1C91529D" w14:textId="77777777" w:rsidTr="00C42C07">
        <w:trPr>
          <w:trHeight w:val="350"/>
        </w:trPr>
        <w:tc>
          <w:tcPr>
            <w:tcW w:w="3119" w:type="dxa"/>
            <w:shd w:val="clear" w:color="000000" w:fill="FFFFFF"/>
          </w:tcPr>
          <w:p w14:paraId="2DCE20E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7-8</w:t>
            </w:r>
          </w:p>
        </w:tc>
        <w:tc>
          <w:tcPr>
            <w:tcW w:w="2126" w:type="dxa"/>
            <w:shd w:val="clear" w:color="000000" w:fill="FFFFFF"/>
          </w:tcPr>
          <w:p w14:paraId="57D11DC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985" w:type="dxa"/>
          </w:tcPr>
          <w:p w14:paraId="0C6F34C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275" w:type="dxa"/>
            <w:shd w:val="clear" w:color="000000" w:fill="FFFFFF"/>
          </w:tcPr>
          <w:p w14:paraId="2149857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72103541" w14:textId="77777777" w:rsidTr="00C42C07">
        <w:trPr>
          <w:trHeight w:val="350"/>
        </w:trPr>
        <w:tc>
          <w:tcPr>
            <w:tcW w:w="3119" w:type="dxa"/>
            <w:shd w:val="clear" w:color="000000" w:fill="FFFFFF"/>
          </w:tcPr>
          <w:p w14:paraId="0E1B0F9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9-10</w:t>
            </w:r>
          </w:p>
        </w:tc>
        <w:tc>
          <w:tcPr>
            <w:tcW w:w="2126" w:type="dxa"/>
            <w:shd w:val="clear" w:color="000000" w:fill="FFFFFF"/>
          </w:tcPr>
          <w:p w14:paraId="3F32541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 (1.2)</w:t>
            </w:r>
          </w:p>
        </w:tc>
        <w:tc>
          <w:tcPr>
            <w:tcW w:w="1985" w:type="dxa"/>
          </w:tcPr>
          <w:p w14:paraId="08D2068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 (5.9)</w:t>
            </w:r>
          </w:p>
        </w:tc>
        <w:tc>
          <w:tcPr>
            <w:tcW w:w="1275" w:type="dxa"/>
            <w:shd w:val="clear" w:color="000000" w:fill="FFFFFF"/>
          </w:tcPr>
          <w:p w14:paraId="7C52082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0.21</w:t>
            </w:r>
          </w:p>
        </w:tc>
      </w:tr>
      <w:tr w:rsidR="009D0DBE" w:rsidRPr="00E65AD0" w14:paraId="0E241878" w14:textId="77777777" w:rsidTr="00C42C07">
        <w:trPr>
          <w:trHeight w:val="350"/>
        </w:trPr>
        <w:tc>
          <w:tcPr>
            <w:tcW w:w="3119" w:type="dxa"/>
            <w:shd w:val="clear" w:color="000000" w:fill="FFFFFF"/>
          </w:tcPr>
          <w:p w14:paraId="72D8048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OLGIM-scale, </w:t>
            </w:r>
            <w:r w:rsidRPr="00E65AD0">
              <w:rPr>
                <w:rFonts w:ascii="Book Antiqua" w:hAnsi="Book Antiqua"/>
                <w:i/>
                <w:lang w:val="it"/>
              </w:rPr>
              <w:t>n</w:t>
            </w:r>
            <w:r w:rsidRPr="00E65AD0">
              <w:rPr>
                <w:rFonts w:ascii="Book Antiqua" w:hAnsi="Book Antiqua"/>
                <w:lang w:val="it"/>
              </w:rPr>
              <w:t xml:space="preserve"> (%)</w:t>
            </w:r>
          </w:p>
        </w:tc>
        <w:tc>
          <w:tcPr>
            <w:tcW w:w="2126" w:type="dxa"/>
            <w:shd w:val="clear" w:color="000000" w:fill="FFFFFF"/>
          </w:tcPr>
          <w:p w14:paraId="6431DFD8" w14:textId="77777777" w:rsidR="009D0DBE" w:rsidRPr="00E65AD0" w:rsidRDefault="009D0DBE" w:rsidP="00E65AD0">
            <w:pPr>
              <w:snapToGrid w:val="0"/>
              <w:spacing w:after="0" w:line="360" w:lineRule="auto"/>
              <w:rPr>
                <w:rFonts w:ascii="Book Antiqua" w:hAnsi="Book Antiqua" w:cs="Calibri"/>
                <w:lang w:val="it"/>
              </w:rPr>
            </w:pPr>
          </w:p>
        </w:tc>
        <w:tc>
          <w:tcPr>
            <w:tcW w:w="1985" w:type="dxa"/>
            <w:shd w:val="clear" w:color="000000" w:fill="FFFFFF"/>
          </w:tcPr>
          <w:p w14:paraId="68653B9B"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0EAC96DB"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224A1F95" w14:textId="77777777" w:rsidTr="00C42C07">
        <w:trPr>
          <w:trHeight w:val="364"/>
        </w:trPr>
        <w:tc>
          <w:tcPr>
            <w:tcW w:w="3119" w:type="dxa"/>
            <w:shd w:val="clear" w:color="000000" w:fill="FFFFFF"/>
          </w:tcPr>
          <w:p w14:paraId="19CB5CF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0</w:t>
            </w:r>
          </w:p>
        </w:tc>
        <w:tc>
          <w:tcPr>
            <w:tcW w:w="2126" w:type="dxa"/>
            <w:shd w:val="clear" w:color="000000" w:fill="FFFFFF"/>
          </w:tcPr>
          <w:p w14:paraId="29B9E0A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40 (47.1)</w:t>
            </w:r>
          </w:p>
        </w:tc>
        <w:tc>
          <w:tcPr>
            <w:tcW w:w="1985" w:type="dxa"/>
            <w:shd w:val="clear" w:color="000000" w:fill="FFFFFF"/>
          </w:tcPr>
          <w:p w14:paraId="5AECECC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29 (34.1)</w:t>
            </w:r>
          </w:p>
        </w:tc>
        <w:tc>
          <w:tcPr>
            <w:tcW w:w="1275" w:type="dxa"/>
            <w:shd w:val="clear" w:color="000000" w:fill="FFFFFF"/>
          </w:tcPr>
          <w:p w14:paraId="4E44039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0.08</w:t>
            </w:r>
          </w:p>
        </w:tc>
      </w:tr>
      <w:tr w:rsidR="009D0DBE" w:rsidRPr="00E65AD0" w14:paraId="60026427" w14:textId="77777777" w:rsidTr="00C42C07">
        <w:trPr>
          <w:trHeight w:val="379"/>
        </w:trPr>
        <w:tc>
          <w:tcPr>
            <w:tcW w:w="3119" w:type="dxa"/>
            <w:shd w:val="clear" w:color="000000" w:fill="FFFFFF"/>
          </w:tcPr>
          <w:p w14:paraId="10AA504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1</w:t>
            </w:r>
          </w:p>
        </w:tc>
        <w:tc>
          <w:tcPr>
            <w:tcW w:w="2126" w:type="dxa"/>
            <w:shd w:val="clear" w:color="000000" w:fill="FFFFFF"/>
          </w:tcPr>
          <w:p w14:paraId="70D7642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14 (16.5)</w:t>
            </w:r>
          </w:p>
        </w:tc>
        <w:tc>
          <w:tcPr>
            <w:tcW w:w="1985" w:type="dxa"/>
            <w:shd w:val="clear" w:color="000000" w:fill="FFFFFF"/>
          </w:tcPr>
          <w:p w14:paraId="1229FF4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17 (20)</w:t>
            </w:r>
          </w:p>
        </w:tc>
        <w:tc>
          <w:tcPr>
            <w:tcW w:w="1275" w:type="dxa"/>
            <w:shd w:val="clear" w:color="000000" w:fill="FFFFFF"/>
          </w:tcPr>
          <w:p w14:paraId="7032981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0.55</w:t>
            </w:r>
          </w:p>
        </w:tc>
      </w:tr>
      <w:tr w:rsidR="009D0DBE" w:rsidRPr="00E65AD0" w14:paraId="39D21E84" w14:textId="77777777" w:rsidTr="00C42C07">
        <w:trPr>
          <w:trHeight w:val="392"/>
        </w:trPr>
        <w:tc>
          <w:tcPr>
            <w:tcW w:w="3119" w:type="dxa"/>
            <w:shd w:val="clear" w:color="000000" w:fill="FFFFFF"/>
          </w:tcPr>
          <w:p w14:paraId="56C9214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2</w:t>
            </w:r>
          </w:p>
        </w:tc>
        <w:tc>
          <w:tcPr>
            <w:tcW w:w="2126" w:type="dxa"/>
            <w:shd w:val="clear" w:color="000000" w:fill="FFFFFF"/>
          </w:tcPr>
          <w:p w14:paraId="7D0E9D5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14 (16.5)</w:t>
            </w:r>
          </w:p>
        </w:tc>
        <w:tc>
          <w:tcPr>
            <w:tcW w:w="1985" w:type="dxa"/>
            <w:shd w:val="clear" w:color="000000" w:fill="FFFFFF"/>
          </w:tcPr>
          <w:p w14:paraId="34B64EA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14 (16.5)</w:t>
            </w:r>
          </w:p>
        </w:tc>
        <w:tc>
          <w:tcPr>
            <w:tcW w:w="1275" w:type="dxa"/>
            <w:shd w:val="clear" w:color="000000" w:fill="FFFFFF"/>
          </w:tcPr>
          <w:p w14:paraId="50F3F38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w:t>
            </w:r>
          </w:p>
        </w:tc>
      </w:tr>
      <w:tr w:rsidR="009D0DBE" w:rsidRPr="00E65AD0" w14:paraId="1708F0DC" w14:textId="77777777" w:rsidTr="00C42C07">
        <w:trPr>
          <w:trHeight w:val="379"/>
        </w:trPr>
        <w:tc>
          <w:tcPr>
            <w:tcW w:w="3119" w:type="dxa"/>
            <w:shd w:val="clear" w:color="000000" w:fill="FFFFFF"/>
          </w:tcPr>
          <w:p w14:paraId="4CE988B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3</w:t>
            </w:r>
          </w:p>
        </w:tc>
        <w:tc>
          <w:tcPr>
            <w:tcW w:w="2126" w:type="dxa"/>
            <w:shd w:val="clear" w:color="000000" w:fill="FFFFFF"/>
          </w:tcPr>
          <w:p w14:paraId="362DC6D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13 (15.3)</w:t>
            </w:r>
          </w:p>
        </w:tc>
        <w:tc>
          <w:tcPr>
            <w:tcW w:w="1985" w:type="dxa"/>
            <w:shd w:val="clear" w:color="000000" w:fill="FFFFFF"/>
          </w:tcPr>
          <w:p w14:paraId="153300F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18 (21.2)</w:t>
            </w:r>
          </w:p>
        </w:tc>
        <w:tc>
          <w:tcPr>
            <w:tcW w:w="1275" w:type="dxa"/>
            <w:shd w:val="clear" w:color="000000" w:fill="FFFFFF"/>
          </w:tcPr>
          <w:p w14:paraId="60B83CF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0.32</w:t>
            </w:r>
          </w:p>
        </w:tc>
      </w:tr>
      <w:tr w:rsidR="009D0DBE" w:rsidRPr="00E65AD0" w14:paraId="740CD781" w14:textId="77777777" w:rsidTr="00C42C07">
        <w:trPr>
          <w:trHeight w:val="504"/>
        </w:trPr>
        <w:tc>
          <w:tcPr>
            <w:tcW w:w="3119" w:type="dxa"/>
            <w:shd w:val="clear" w:color="000000" w:fill="FFFFFF"/>
          </w:tcPr>
          <w:p w14:paraId="4D0CE2D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Stage 4</w:t>
            </w:r>
          </w:p>
        </w:tc>
        <w:tc>
          <w:tcPr>
            <w:tcW w:w="2126" w:type="dxa"/>
            <w:shd w:val="clear" w:color="000000" w:fill="FFFFFF"/>
          </w:tcPr>
          <w:p w14:paraId="02663CE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985" w:type="dxa"/>
            <w:shd w:val="clear" w:color="000000" w:fill="FFFFFF"/>
          </w:tcPr>
          <w:p w14:paraId="273C112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7 (8.2)</w:t>
            </w:r>
          </w:p>
        </w:tc>
        <w:tc>
          <w:tcPr>
            <w:tcW w:w="1275" w:type="dxa"/>
            <w:shd w:val="clear" w:color="000000" w:fill="FFFFFF"/>
          </w:tcPr>
          <w:p w14:paraId="466A38A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0.53</w:t>
            </w:r>
          </w:p>
        </w:tc>
      </w:tr>
      <w:tr w:rsidR="009D0DBE" w:rsidRPr="00E65AD0" w14:paraId="502E54D3" w14:textId="77777777" w:rsidTr="00C42C07">
        <w:trPr>
          <w:trHeight w:val="336"/>
        </w:trPr>
        <w:tc>
          <w:tcPr>
            <w:tcW w:w="3119" w:type="dxa"/>
            <w:shd w:val="clear" w:color="000000" w:fill="FFFFFF"/>
          </w:tcPr>
          <w:p w14:paraId="2BB4527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Gastritis at histology</w:t>
            </w:r>
            <w:r w:rsidRPr="00E65AD0">
              <w:rPr>
                <w:rFonts w:ascii="Book Antiqua" w:hAnsi="Book Antiqua"/>
                <w:highlight w:val="white"/>
                <w:vertAlign w:val="superscript"/>
                <w:lang w:val="it"/>
              </w:rPr>
              <w:t>2</w:t>
            </w:r>
            <w:r w:rsidRPr="00E65AD0">
              <w:rPr>
                <w:rFonts w:ascii="Book Antiqua" w:hAnsi="Book Antiqua"/>
                <w:lang w:val="it"/>
              </w:rPr>
              <w:t xml:space="preserve">, </w:t>
            </w:r>
            <w:r w:rsidRPr="00E65AD0">
              <w:rPr>
                <w:rFonts w:ascii="Book Antiqua" w:hAnsi="Book Antiqua"/>
                <w:i/>
                <w:lang w:val="it"/>
              </w:rPr>
              <w:t xml:space="preserve">n </w:t>
            </w:r>
            <w:r w:rsidRPr="00E65AD0">
              <w:rPr>
                <w:rFonts w:ascii="Book Antiqua" w:hAnsi="Book Antiqua"/>
                <w:lang w:val="it"/>
              </w:rPr>
              <w:t>(%)</w:t>
            </w:r>
          </w:p>
        </w:tc>
        <w:tc>
          <w:tcPr>
            <w:tcW w:w="2126" w:type="dxa"/>
            <w:shd w:val="clear" w:color="000000" w:fill="FFFFFF"/>
          </w:tcPr>
          <w:p w14:paraId="3FCCA0EF" w14:textId="77777777" w:rsidR="009D0DBE" w:rsidRPr="00E65AD0" w:rsidRDefault="009D0DBE" w:rsidP="00E65AD0">
            <w:pPr>
              <w:snapToGrid w:val="0"/>
              <w:spacing w:after="0" w:line="360" w:lineRule="auto"/>
              <w:rPr>
                <w:rFonts w:ascii="Book Antiqua" w:hAnsi="Book Antiqua" w:cs="Calibri"/>
                <w:lang w:val="it"/>
              </w:rPr>
            </w:pPr>
          </w:p>
        </w:tc>
        <w:tc>
          <w:tcPr>
            <w:tcW w:w="1985" w:type="dxa"/>
            <w:shd w:val="clear" w:color="000000" w:fill="FFFFFF"/>
          </w:tcPr>
          <w:p w14:paraId="2846B469"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3B83F3D7"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7A19A530" w14:textId="77777777" w:rsidTr="00C42C07">
        <w:trPr>
          <w:trHeight w:val="323"/>
        </w:trPr>
        <w:tc>
          <w:tcPr>
            <w:tcW w:w="3119" w:type="dxa"/>
            <w:shd w:val="clear" w:color="000000" w:fill="FFFFFF"/>
          </w:tcPr>
          <w:p w14:paraId="1C78F4B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Quiescent </w:t>
            </w:r>
          </w:p>
        </w:tc>
        <w:tc>
          <w:tcPr>
            <w:tcW w:w="2126" w:type="dxa"/>
            <w:shd w:val="clear" w:color="000000" w:fill="FFFFFF"/>
          </w:tcPr>
          <w:p w14:paraId="67504CE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985" w:type="dxa"/>
            <w:shd w:val="clear" w:color="000000" w:fill="FFFFFF"/>
          </w:tcPr>
          <w:p w14:paraId="0EA2CD2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81 (95.3)</w:t>
            </w:r>
          </w:p>
        </w:tc>
        <w:tc>
          <w:tcPr>
            <w:tcW w:w="1275" w:type="dxa"/>
            <w:shd w:val="clear" w:color="000000" w:fill="FFFFFF"/>
          </w:tcPr>
          <w:p w14:paraId="16A604F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2653FD3D" w14:textId="77777777" w:rsidTr="00C42C07">
        <w:trPr>
          <w:trHeight w:val="309"/>
        </w:trPr>
        <w:tc>
          <w:tcPr>
            <w:tcW w:w="3119" w:type="dxa"/>
            <w:shd w:val="clear" w:color="000000" w:fill="FFFFFF"/>
          </w:tcPr>
          <w:p w14:paraId="44E30F6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lastRenderedPageBreak/>
              <w:t xml:space="preserve">Mild </w:t>
            </w:r>
          </w:p>
        </w:tc>
        <w:tc>
          <w:tcPr>
            <w:tcW w:w="2126" w:type="dxa"/>
            <w:shd w:val="clear" w:color="000000" w:fill="FFFFFF"/>
          </w:tcPr>
          <w:p w14:paraId="55D200A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19 (22.4)</w:t>
            </w:r>
          </w:p>
        </w:tc>
        <w:tc>
          <w:tcPr>
            <w:tcW w:w="1985" w:type="dxa"/>
            <w:shd w:val="clear" w:color="000000" w:fill="FFFFFF"/>
          </w:tcPr>
          <w:p w14:paraId="746F457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 (4.7)</w:t>
            </w:r>
          </w:p>
        </w:tc>
        <w:tc>
          <w:tcPr>
            <w:tcW w:w="1275" w:type="dxa"/>
            <w:shd w:val="clear" w:color="000000" w:fill="FFFFFF"/>
          </w:tcPr>
          <w:p w14:paraId="6BC9587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0.001</w:t>
            </w:r>
            <w:r w:rsidRPr="00E65AD0">
              <w:rPr>
                <w:rFonts w:ascii="Book Antiqua" w:hAnsi="Book Antiqua"/>
                <w:vertAlign w:val="superscript"/>
                <w:lang w:val="it"/>
              </w:rPr>
              <w:t>b</w:t>
            </w:r>
          </w:p>
        </w:tc>
      </w:tr>
      <w:tr w:rsidR="009D0DBE" w:rsidRPr="00E65AD0" w14:paraId="29BC3E72" w14:textId="77777777" w:rsidTr="00C42C07">
        <w:trPr>
          <w:trHeight w:val="309"/>
        </w:trPr>
        <w:tc>
          <w:tcPr>
            <w:tcW w:w="3119" w:type="dxa"/>
            <w:shd w:val="clear" w:color="000000" w:fill="FFFFFF"/>
          </w:tcPr>
          <w:p w14:paraId="7F26DA8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Moderate </w:t>
            </w:r>
          </w:p>
        </w:tc>
        <w:tc>
          <w:tcPr>
            <w:tcW w:w="2126" w:type="dxa"/>
            <w:shd w:val="clear" w:color="000000" w:fill="FFFFFF"/>
          </w:tcPr>
          <w:p w14:paraId="109B922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46 (54.1)</w:t>
            </w:r>
          </w:p>
        </w:tc>
        <w:tc>
          <w:tcPr>
            <w:tcW w:w="1985" w:type="dxa"/>
            <w:shd w:val="clear" w:color="000000" w:fill="FFFFFF"/>
          </w:tcPr>
          <w:p w14:paraId="3B42420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275" w:type="dxa"/>
            <w:shd w:val="clear" w:color="000000" w:fill="FFFFFF"/>
          </w:tcPr>
          <w:p w14:paraId="77EBBCF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505F6020" w14:textId="77777777" w:rsidTr="00C42C07">
        <w:trPr>
          <w:trHeight w:val="435"/>
        </w:trPr>
        <w:tc>
          <w:tcPr>
            <w:tcW w:w="3119" w:type="dxa"/>
            <w:shd w:val="clear" w:color="000000" w:fill="FFFFFF"/>
          </w:tcPr>
          <w:p w14:paraId="35B46D9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Severe</w:t>
            </w:r>
          </w:p>
        </w:tc>
        <w:tc>
          <w:tcPr>
            <w:tcW w:w="2126" w:type="dxa"/>
            <w:shd w:val="clear" w:color="000000" w:fill="FFFFFF"/>
          </w:tcPr>
          <w:p w14:paraId="65DDDD7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20 (23.5)</w:t>
            </w:r>
          </w:p>
        </w:tc>
        <w:tc>
          <w:tcPr>
            <w:tcW w:w="1985" w:type="dxa"/>
            <w:shd w:val="clear" w:color="000000" w:fill="FFFFFF"/>
          </w:tcPr>
          <w:p w14:paraId="0B86691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275" w:type="dxa"/>
            <w:shd w:val="clear" w:color="000000" w:fill="FFFFFF"/>
          </w:tcPr>
          <w:p w14:paraId="3E79593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25181ED1" w14:textId="77777777" w:rsidTr="00C42C07">
        <w:trPr>
          <w:trHeight w:val="379"/>
        </w:trPr>
        <w:tc>
          <w:tcPr>
            <w:tcW w:w="3119" w:type="dxa"/>
            <w:shd w:val="clear" w:color="000000" w:fill="FFFFFF"/>
          </w:tcPr>
          <w:p w14:paraId="75F795B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MALT-hyperplasia, </w:t>
            </w:r>
            <w:r w:rsidRPr="00E65AD0">
              <w:rPr>
                <w:rFonts w:ascii="Book Antiqua" w:hAnsi="Book Antiqua"/>
                <w:i/>
                <w:lang w:val="it"/>
              </w:rPr>
              <w:t>n</w:t>
            </w:r>
            <w:r w:rsidRPr="00E65AD0">
              <w:rPr>
                <w:rFonts w:ascii="Book Antiqua" w:hAnsi="Book Antiqua"/>
                <w:lang w:val="it"/>
              </w:rPr>
              <w:t xml:space="preserve"> (%)</w:t>
            </w:r>
          </w:p>
        </w:tc>
        <w:tc>
          <w:tcPr>
            <w:tcW w:w="2126" w:type="dxa"/>
            <w:shd w:val="clear" w:color="000000" w:fill="FFFFFF"/>
          </w:tcPr>
          <w:p w14:paraId="3637BBD7" w14:textId="77777777" w:rsidR="009D0DBE" w:rsidRPr="00E65AD0" w:rsidRDefault="009D0DBE" w:rsidP="00E65AD0">
            <w:pPr>
              <w:snapToGrid w:val="0"/>
              <w:spacing w:after="0" w:line="360" w:lineRule="auto"/>
              <w:rPr>
                <w:rFonts w:ascii="Book Antiqua" w:hAnsi="Book Antiqua" w:cs="Calibri"/>
                <w:lang w:val="it"/>
              </w:rPr>
            </w:pPr>
          </w:p>
        </w:tc>
        <w:tc>
          <w:tcPr>
            <w:tcW w:w="1985" w:type="dxa"/>
            <w:shd w:val="clear" w:color="000000" w:fill="FFFFFF"/>
          </w:tcPr>
          <w:p w14:paraId="132DF4A9"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650FAACB"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43F627DE" w14:textId="77777777" w:rsidTr="00C42C07">
        <w:trPr>
          <w:trHeight w:val="392"/>
        </w:trPr>
        <w:tc>
          <w:tcPr>
            <w:tcW w:w="3119" w:type="dxa"/>
            <w:shd w:val="clear" w:color="000000" w:fill="FFFFFF"/>
          </w:tcPr>
          <w:p w14:paraId="2962EF1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Absent</w:t>
            </w:r>
          </w:p>
        </w:tc>
        <w:tc>
          <w:tcPr>
            <w:tcW w:w="2126" w:type="dxa"/>
            <w:shd w:val="clear" w:color="000000" w:fill="FFFFFF"/>
          </w:tcPr>
          <w:p w14:paraId="537A79C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46 (54.1)</w:t>
            </w:r>
          </w:p>
        </w:tc>
        <w:tc>
          <w:tcPr>
            <w:tcW w:w="1985" w:type="dxa"/>
            <w:shd w:val="clear" w:color="000000" w:fill="FFFFFF"/>
          </w:tcPr>
          <w:p w14:paraId="1C9DB06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82 (96.5)</w:t>
            </w:r>
          </w:p>
        </w:tc>
        <w:tc>
          <w:tcPr>
            <w:tcW w:w="1275" w:type="dxa"/>
            <w:shd w:val="clear" w:color="000000" w:fill="FFFFFF"/>
          </w:tcPr>
          <w:p w14:paraId="6884A68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15EF9144" w14:textId="77777777" w:rsidTr="00C42C07">
        <w:trPr>
          <w:trHeight w:val="365"/>
        </w:trPr>
        <w:tc>
          <w:tcPr>
            <w:tcW w:w="3119" w:type="dxa"/>
            <w:shd w:val="clear" w:color="000000" w:fill="FFFFFF"/>
          </w:tcPr>
          <w:p w14:paraId="556455C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Mild </w:t>
            </w:r>
          </w:p>
        </w:tc>
        <w:tc>
          <w:tcPr>
            <w:tcW w:w="2126" w:type="dxa"/>
            <w:shd w:val="clear" w:color="000000" w:fill="FFFFFF"/>
          </w:tcPr>
          <w:p w14:paraId="053B7CE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25 (29.4)</w:t>
            </w:r>
          </w:p>
        </w:tc>
        <w:tc>
          <w:tcPr>
            <w:tcW w:w="1985" w:type="dxa"/>
            <w:shd w:val="clear" w:color="000000" w:fill="FFFFFF"/>
          </w:tcPr>
          <w:p w14:paraId="56325F1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 (3.5)</w:t>
            </w:r>
          </w:p>
        </w:tc>
        <w:tc>
          <w:tcPr>
            <w:tcW w:w="1275" w:type="dxa"/>
            <w:shd w:val="clear" w:color="000000" w:fill="FFFFFF"/>
          </w:tcPr>
          <w:p w14:paraId="6576B44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C42C07" w:rsidRPr="00E65AD0">
              <w:rPr>
                <w:rFonts w:ascii="Book Antiqua" w:eastAsia="宋体" w:hAnsi="Book Antiqua"/>
                <w:lang w:val="it" w:eastAsia="zh-CN"/>
              </w:rPr>
              <w:t xml:space="preserve"> </w:t>
            </w:r>
            <w:r w:rsidRPr="00E65AD0">
              <w:rPr>
                <w:rFonts w:ascii="Book Antiqua" w:hAnsi="Book Antiqua"/>
                <w:lang w:val="it"/>
              </w:rPr>
              <w:t>0.0001</w:t>
            </w:r>
            <w:r w:rsidRPr="00E65AD0">
              <w:rPr>
                <w:rFonts w:ascii="Book Antiqua" w:hAnsi="Book Antiqua"/>
                <w:vertAlign w:val="superscript"/>
                <w:lang w:val="it"/>
              </w:rPr>
              <w:t>b</w:t>
            </w:r>
          </w:p>
        </w:tc>
      </w:tr>
      <w:tr w:rsidR="009D0DBE" w:rsidRPr="00E65AD0" w14:paraId="7FA66CAD" w14:textId="77777777" w:rsidTr="00C42C07">
        <w:trPr>
          <w:trHeight w:val="308"/>
        </w:trPr>
        <w:tc>
          <w:tcPr>
            <w:tcW w:w="3119" w:type="dxa"/>
            <w:shd w:val="clear" w:color="000000" w:fill="FFFFFF"/>
          </w:tcPr>
          <w:p w14:paraId="22A4A66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Moderate </w:t>
            </w:r>
          </w:p>
        </w:tc>
        <w:tc>
          <w:tcPr>
            <w:tcW w:w="2126" w:type="dxa"/>
            <w:shd w:val="clear" w:color="000000" w:fill="FFFFFF"/>
          </w:tcPr>
          <w:p w14:paraId="218FDEC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11 (12.9)</w:t>
            </w:r>
          </w:p>
        </w:tc>
        <w:tc>
          <w:tcPr>
            <w:tcW w:w="1985" w:type="dxa"/>
            <w:shd w:val="clear" w:color="000000" w:fill="FFFFFF"/>
          </w:tcPr>
          <w:p w14:paraId="27628F0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275" w:type="dxa"/>
            <w:shd w:val="clear" w:color="000000" w:fill="FFFFFF"/>
          </w:tcPr>
          <w:p w14:paraId="0B16AAE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0.007</w:t>
            </w:r>
            <w:r w:rsidRPr="00E65AD0">
              <w:rPr>
                <w:rFonts w:ascii="Book Antiqua" w:hAnsi="Book Antiqua"/>
                <w:vertAlign w:val="superscript"/>
                <w:lang w:val="it"/>
              </w:rPr>
              <w:t>b</w:t>
            </w:r>
          </w:p>
        </w:tc>
      </w:tr>
      <w:tr w:rsidR="009D0DBE" w:rsidRPr="00E65AD0" w14:paraId="536DE2E1" w14:textId="77777777" w:rsidTr="00C42C07">
        <w:trPr>
          <w:trHeight w:val="406"/>
        </w:trPr>
        <w:tc>
          <w:tcPr>
            <w:tcW w:w="3119" w:type="dxa"/>
            <w:shd w:val="clear" w:color="000000" w:fill="FFFFFF"/>
          </w:tcPr>
          <w:p w14:paraId="2EA41B1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Severe </w:t>
            </w:r>
          </w:p>
        </w:tc>
        <w:tc>
          <w:tcPr>
            <w:tcW w:w="2126" w:type="dxa"/>
            <w:shd w:val="clear" w:color="000000" w:fill="FFFFFF"/>
          </w:tcPr>
          <w:p w14:paraId="68B1018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 (3.5)</w:t>
            </w:r>
          </w:p>
        </w:tc>
        <w:tc>
          <w:tcPr>
            <w:tcW w:w="1985" w:type="dxa"/>
            <w:shd w:val="clear" w:color="000000" w:fill="FFFFFF"/>
          </w:tcPr>
          <w:p w14:paraId="6994514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275" w:type="dxa"/>
            <w:shd w:val="clear" w:color="000000" w:fill="FFFFFF"/>
          </w:tcPr>
          <w:p w14:paraId="79FF5507"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0.24</w:t>
            </w:r>
          </w:p>
        </w:tc>
      </w:tr>
      <w:tr w:rsidR="009D0DBE" w:rsidRPr="00E65AD0" w14:paraId="76E11C21" w14:textId="77777777" w:rsidTr="00C42C07">
        <w:trPr>
          <w:trHeight w:val="518"/>
        </w:trPr>
        <w:tc>
          <w:tcPr>
            <w:tcW w:w="3119" w:type="dxa"/>
            <w:shd w:val="clear" w:color="000000" w:fill="FFFFFF"/>
          </w:tcPr>
          <w:p w14:paraId="39A5BCF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Histological LGD</w:t>
            </w:r>
            <w:r w:rsidR="00C42C07" w:rsidRPr="00E65AD0">
              <w:rPr>
                <w:rFonts w:ascii="Book Antiqua" w:eastAsia="宋体" w:hAnsi="Book Antiqua"/>
                <w:vertAlign w:val="superscript"/>
                <w:lang w:val="it" w:eastAsia="zh-CN"/>
              </w:rPr>
              <w:t>3</w:t>
            </w:r>
            <w:r w:rsidRPr="00E65AD0">
              <w:rPr>
                <w:rFonts w:ascii="Book Antiqua" w:hAnsi="Book Antiqua"/>
                <w:highlight w:val="white"/>
                <w:lang w:val="it"/>
              </w:rPr>
              <w:t xml:space="preserve">, </w:t>
            </w:r>
            <w:r w:rsidRPr="00E65AD0">
              <w:rPr>
                <w:rFonts w:ascii="Book Antiqua" w:hAnsi="Book Antiqua"/>
                <w:i/>
                <w:highlight w:val="white"/>
                <w:lang w:val="it"/>
              </w:rPr>
              <w:t>n</w:t>
            </w:r>
            <w:r w:rsidRPr="00E65AD0">
              <w:rPr>
                <w:rFonts w:ascii="Book Antiqua" w:hAnsi="Book Antiqua"/>
                <w:highlight w:val="white"/>
                <w:lang w:val="it"/>
              </w:rPr>
              <w:t xml:space="preserve"> (%)</w:t>
            </w:r>
          </w:p>
        </w:tc>
        <w:tc>
          <w:tcPr>
            <w:tcW w:w="2126" w:type="dxa"/>
            <w:shd w:val="clear" w:color="000000" w:fill="FFFFFF"/>
          </w:tcPr>
          <w:p w14:paraId="264F0070" w14:textId="77777777" w:rsidR="009D0DBE" w:rsidRPr="00E65AD0" w:rsidRDefault="009D0DBE" w:rsidP="00E65AD0">
            <w:pPr>
              <w:snapToGrid w:val="0"/>
              <w:spacing w:after="0" w:line="360" w:lineRule="auto"/>
              <w:rPr>
                <w:rFonts w:ascii="Book Antiqua" w:hAnsi="Book Antiqua" w:cs="Calibri"/>
                <w:lang w:val="it"/>
              </w:rPr>
            </w:pPr>
          </w:p>
        </w:tc>
        <w:tc>
          <w:tcPr>
            <w:tcW w:w="1985" w:type="dxa"/>
            <w:shd w:val="clear" w:color="000000" w:fill="FFFFFF"/>
          </w:tcPr>
          <w:p w14:paraId="3FD07EB6" w14:textId="77777777" w:rsidR="009D0DBE" w:rsidRPr="00E65AD0" w:rsidRDefault="009D0DBE" w:rsidP="00E65AD0">
            <w:pPr>
              <w:snapToGrid w:val="0"/>
              <w:spacing w:after="0" w:line="360" w:lineRule="auto"/>
              <w:rPr>
                <w:rFonts w:ascii="Book Antiqua" w:hAnsi="Book Antiqua" w:cs="Calibri"/>
                <w:lang w:val="it"/>
              </w:rPr>
            </w:pPr>
          </w:p>
        </w:tc>
        <w:tc>
          <w:tcPr>
            <w:tcW w:w="1275" w:type="dxa"/>
            <w:shd w:val="clear" w:color="000000" w:fill="FFFFFF"/>
          </w:tcPr>
          <w:p w14:paraId="3C99E488"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3A08EAA5" w14:textId="77777777" w:rsidTr="00C42C07">
        <w:trPr>
          <w:trHeight w:val="365"/>
        </w:trPr>
        <w:tc>
          <w:tcPr>
            <w:tcW w:w="3119" w:type="dxa"/>
            <w:shd w:val="clear" w:color="000000" w:fill="FFFFFF"/>
          </w:tcPr>
          <w:p w14:paraId="35011F5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Absent</w:t>
            </w:r>
          </w:p>
        </w:tc>
        <w:tc>
          <w:tcPr>
            <w:tcW w:w="2126" w:type="dxa"/>
            <w:shd w:val="clear" w:color="000000" w:fill="FFFFFF"/>
          </w:tcPr>
          <w:p w14:paraId="071B2DB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70 (82.4)</w:t>
            </w:r>
          </w:p>
        </w:tc>
        <w:tc>
          <w:tcPr>
            <w:tcW w:w="1985" w:type="dxa"/>
            <w:shd w:val="clear" w:color="000000" w:fill="FFFFFF"/>
          </w:tcPr>
          <w:p w14:paraId="38B4627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57 (67.1)</w:t>
            </w:r>
          </w:p>
        </w:tc>
        <w:tc>
          <w:tcPr>
            <w:tcW w:w="1275" w:type="dxa"/>
            <w:shd w:val="clear" w:color="000000" w:fill="FFFFFF"/>
          </w:tcPr>
          <w:p w14:paraId="7B31A16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0.02</w:t>
            </w:r>
            <w:r w:rsidRPr="00E65AD0">
              <w:rPr>
                <w:rFonts w:ascii="Book Antiqua" w:hAnsi="Book Antiqua"/>
                <w:vertAlign w:val="superscript"/>
                <w:lang w:val="it"/>
              </w:rPr>
              <w:t>a</w:t>
            </w:r>
          </w:p>
        </w:tc>
      </w:tr>
      <w:tr w:rsidR="009D0DBE" w:rsidRPr="00E65AD0" w14:paraId="617F69A0" w14:textId="77777777" w:rsidTr="00C42C07">
        <w:trPr>
          <w:trHeight w:val="419"/>
        </w:trPr>
        <w:tc>
          <w:tcPr>
            <w:tcW w:w="3119" w:type="dxa"/>
            <w:shd w:val="clear" w:color="000000" w:fill="FFFFFF"/>
          </w:tcPr>
          <w:p w14:paraId="031E7EB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On random biopsies</w:t>
            </w:r>
          </w:p>
        </w:tc>
        <w:tc>
          <w:tcPr>
            <w:tcW w:w="2126" w:type="dxa"/>
            <w:shd w:val="clear" w:color="000000" w:fill="FFFFFF"/>
          </w:tcPr>
          <w:p w14:paraId="43EF932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15 (17.6)</w:t>
            </w:r>
          </w:p>
        </w:tc>
        <w:tc>
          <w:tcPr>
            <w:tcW w:w="1985" w:type="dxa"/>
            <w:shd w:val="clear" w:color="000000" w:fill="FFFFFF"/>
          </w:tcPr>
          <w:p w14:paraId="58ED689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9 (10.6)</w:t>
            </w:r>
          </w:p>
        </w:tc>
        <w:tc>
          <w:tcPr>
            <w:tcW w:w="1275" w:type="dxa"/>
            <w:shd w:val="clear" w:color="000000" w:fill="FFFFFF"/>
          </w:tcPr>
          <w:p w14:paraId="26D2010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0.19</w:t>
            </w:r>
          </w:p>
        </w:tc>
      </w:tr>
      <w:tr w:rsidR="009D0DBE" w:rsidRPr="00E65AD0" w14:paraId="2004A454" w14:textId="77777777" w:rsidTr="00C42C07">
        <w:trPr>
          <w:trHeight w:val="378"/>
        </w:trPr>
        <w:tc>
          <w:tcPr>
            <w:tcW w:w="3119" w:type="dxa"/>
            <w:shd w:val="clear" w:color="000000" w:fill="FFFFFF"/>
          </w:tcPr>
          <w:p w14:paraId="7003FC68" w14:textId="77777777" w:rsidR="009D0DBE" w:rsidRPr="00E65AD0" w:rsidRDefault="00921B00" w:rsidP="00E65AD0">
            <w:pPr>
              <w:snapToGrid w:val="0"/>
              <w:spacing w:after="0" w:line="360" w:lineRule="auto"/>
              <w:rPr>
                <w:rFonts w:ascii="Book Antiqua" w:hAnsi="Book Antiqua" w:cs="Calibri"/>
                <w:lang w:val="en-GB"/>
              </w:rPr>
            </w:pPr>
            <w:r w:rsidRPr="00E65AD0">
              <w:rPr>
                <w:rFonts w:ascii="Book Antiqua" w:hAnsi="Book Antiqua"/>
                <w:lang w:val="en-GB"/>
              </w:rPr>
              <w:t>On random + on lesions biopsies</w:t>
            </w:r>
          </w:p>
        </w:tc>
        <w:tc>
          <w:tcPr>
            <w:tcW w:w="2126" w:type="dxa"/>
            <w:shd w:val="clear" w:color="000000" w:fill="FFFFFF"/>
          </w:tcPr>
          <w:p w14:paraId="63F7277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985" w:type="dxa"/>
            <w:shd w:val="clear" w:color="000000" w:fill="FFFFFF"/>
          </w:tcPr>
          <w:p w14:paraId="1BB168C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6 (7)</w:t>
            </w:r>
          </w:p>
        </w:tc>
        <w:tc>
          <w:tcPr>
            <w:tcW w:w="1275" w:type="dxa"/>
            <w:shd w:val="clear" w:color="000000" w:fill="FFFFFF"/>
          </w:tcPr>
          <w:p w14:paraId="000D79C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0.03</w:t>
            </w:r>
            <w:r w:rsidRPr="00E65AD0">
              <w:rPr>
                <w:rFonts w:ascii="Book Antiqua" w:hAnsi="Book Antiqua"/>
                <w:vertAlign w:val="superscript"/>
                <w:lang w:val="it"/>
              </w:rPr>
              <w:t>b</w:t>
            </w:r>
          </w:p>
        </w:tc>
      </w:tr>
      <w:tr w:rsidR="009D0DBE" w:rsidRPr="00E65AD0" w14:paraId="5EC4B9F1" w14:textId="77777777" w:rsidTr="00C42C07">
        <w:trPr>
          <w:trHeight w:val="357"/>
        </w:trPr>
        <w:tc>
          <w:tcPr>
            <w:tcW w:w="3119" w:type="dxa"/>
            <w:shd w:val="clear" w:color="000000" w:fill="FFFFFF"/>
          </w:tcPr>
          <w:p w14:paraId="6D20DB5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Only on visible lesions</w:t>
            </w:r>
          </w:p>
        </w:tc>
        <w:tc>
          <w:tcPr>
            <w:tcW w:w="2126" w:type="dxa"/>
            <w:shd w:val="clear" w:color="000000" w:fill="FFFFFF"/>
          </w:tcPr>
          <w:p w14:paraId="208C9D1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w:t>
            </w:r>
          </w:p>
        </w:tc>
        <w:tc>
          <w:tcPr>
            <w:tcW w:w="1985" w:type="dxa"/>
            <w:shd w:val="clear" w:color="000000" w:fill="FFFFFF"/>
          </w:tcPr>
          <w:p w14:paraId="4D740DA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13 (15.3)</w:t>
            </w:r>
          </w:p>
        </w:tc>
        <w:tc>
          <w:tcPr>
            <w:tcW w:w="1275" w:type="dxa"/>
            <w:shd w:val="clear" w:color="000000" w:fill="FFFFFF"/>
          </w:tcPr>
          <w:p w14:paraId="783D326F"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0.0001</w:t>
            </w:r>
            <w:r w:rsidRPr="00E65AD0">
              <w:rPr>
                <w:rFonts w:ascii="Book Antiqua" w:hAnsi="Book Antiqua"/>
                <w:vertAlign w:val="superscript"/>
                <w:lang w:val="it"/>
              </w:rPr>
              <w:t>b</w:t>
            </w:r>
          </w:p>
        </w:tc>
      </w:tr>
    </w:tbl>
    <w:p w14:paraId="3C1E48DD" w14:textId="77777777" w:rsidR="00C42C07" w:rsidRPr="00E65AD0" w:rsidRDefault="00C42C07" w:rsidP="00E65AD0">
      <w:pPr>
        <w:snapToGrid w:val="0"/>
        <w:spacing w:after="0" w:line="360" w:lineRule="auto"/>
        <w:rPr>
          <w:rFonts w:ascii="Book Antiqua" w:eastAsia="宋体" w:hAnsi="Book Antiqua"/>
          <w:lang w:val="en-GB" w:eastAsia="zh-CN"/>
        </w:rPr>
      </w:pPr>
      <w:r w:rsidRPr="00E65AD0">
        <w:rPr>
          <w:rFonts w:ascii="Book Antiqua" w:hAnsi="Book Antiqua"/>
          <w:lang w:val="en-GB"/>
        </w:rPr>
        <w:t xml:space="preserve">Data are expressed as number of patients and percentage (in parenthesis). </w:t>
      </w:r>
      <w:r w:rsidRPr="00E65AD0">
        <w:rPr>
          <w:rFonts w:ascii="Book Antiqua" w:hAnsi="Book Antiqua" w:cs="Helvetica"/>
          <w:vertAlign w:val="superscript"/>
          <w:lang w:val="en-GB"/>
        </w:rPr>
        <w:t>1</w:t>
      </w:r>
      <w:r w:rsidRPr="00E65AD0">
        <w:rPr>
          <w:rFonts w:ascii="Book Antiqua" w:hAnsi="Book Antiqua"/>
          <w:lang w:val="en-GB"/>
        </w:rPr>
        <w:t xml:space="preserve">By Kimura and </w:t>
      </w:r>
      <w:proofErr w:type="gramStart"/>
      <w:r w:rsidRPr="00E65AD0">
        <w:rPr>
          <w:rFonts w:ascii="Book Antiqua" w:hAnsi="Book Antiqua"/>
          <w:lang w:val="en-GB"/>
        </w:rPr>
        <w:t>Takemoto</w:t>
      </w:r>
      <w:r w:rsidRPr="00E65AD0">
        <w:rPr>
          <w:rFonts w:ascii="Book Antiqua" w:eastAsia="宋体" w:hAnsi="Book Antiqua"/>
          <w:vertAlign w:val="superscript"/>
          <w:lang w:val="en-GB" w:eastAsia="zh-CN"/>
        </w:rPr>
        <w:t>[</w:t>
      </w:r>
      <w:proofErr w:type="gramEnd"/>
      <w:r w:rsidRPr="00E65AD0">
        <w:rPr>
          <w:rFonts w:ascii="Book Antiqua" w:eastAsia="宋体" w:hAnsi="Book Antiqua"/>
          <w:vertAlign w:val="superscript"/>
          <w:lang w:val="en-GB" w:eastAsia="zh-CN"/>
        </w:rPr>
        <w:t>32]</w:t>
      </w:r>
      <w:r w:rsidR="007C18A0" w:rsidRPr="00E65AD0">
        <w:rPr>
          <w:rFonts w:ascii="Book Antiqua" w:eastAsia="宋体" w:hAnsi="Book Antiqua"/>
          <w:lang w:val="en-GB" w:eastAsia="zh-CN"/>
        </w:rPr>
        <w:t>;</w:t>
      </w:r>
      <w:r w:rsidRPr="00E65AD0">
        <w:rPr>
          <w:rFonts w:ascii="Book Antiqua" w:hAnsi="Book Antiqua"/>
          <w:lang w:val="en-GB"/>
        </w:rPr>
        <w:t xml:space="preserve"> </w:t>
      </w:r>
      <w:r w:rsidRPr="00E65AD0">
        <w:rPr>
          <w:rFonts w:ascii="Book Antiqua" w:hAnsi="Book Antiqua" w:cs="Helvetica"/>
          <w:highlight w:val="white"/>
          <w:vertAlign w:val="superscript"/>
          <w:lang w:val="en-GB"/>
        </w:rPr>
        <w:t>2</w:t>
      </w:r>
      <w:r w:rsidRPr="00E65AD0">
        <w:rPr>
          <w:rFonts w:ascii="Book Antiqua" w:hAnsi="Book Antiqua"/>
          <w:highlight w:val="white"/>
          <w:lang w:val="en-GB"/>
        </w:rPr>
        <w:t>By Sydney</w:t>
      </w:r>
      <w:r w:rsidRPr="00E65AD0">
        <w:rPr>
          <w:rFonts w:ascii="Book Antiqua" w:eastAsia="宋体" w:hAnsi="Book Antiqua"/>
          <w:highlight w:val="white"/>
          <w:lang w:val="en-GB" w:eastAsia="zh-CN"/>
        </w:rPr>
        <w:t xml:space="preserve"> </w:t>
      </w:r>
      <w:r w:rsidRPr="00E65AD0">
        <w:rPr>
          <w:rFonts w:ascii="Book Antiqua" w:hAnsi="Book Antiqua"/>
          <w:highlight w:val="white"/>
          <w:lang w:val="en-GB"/>
        </w:rPr>
        <w:t>System</w:t>
      </w:r>
      <w:r w:rsidRPr="00E65AD0">
        <w:rPr>
          <w:rFonts w:ascii="Book Antiqua" w:eastAsia="宋体" w:hAnsi="Book Antiqua"/>
          <w:highlight w:val="white"/>
          <w:lang w:val="en-GB" w:eastAsia="zh-CN"/>
        </w:rPr>
        <w:t>.</w:t>
      </w:r>
      <w:r w:rsidRPr="00E65AD0">
        <w:rPr>
          <w:rFonts w:ascii="Book Antiqua" w:hAnsi="Book Antiqua"/>
          <w:highlight w:val="white"/>
          <w:lang w:val="en-GB"/>
        </w:rPr>
        <w:t xml:space="preserve"> </w:t>
      </w:r>
      <w:r w:rsidRPr="00E65AD0">
        <w:rPr>
          <w:rFonts w:ascii="Book Antiqua" w:eastAsia="宋体" w:hAnsi="Book Antiqua"/>
          <w:highlight w:val="white"/>
          <w:vertAlign w:val="superscript"/>
          <w:lang w:val="en-GB" w:eastAsia="zh-CN"/>
        </w:rPr>
        <w:t>3</w:t>
      </w:r>
      <w:r w:rsidRPr="00E65AD0">
        <w:rPr>
          <w:rFonts w:ascii="Book Antiqua" w:hAnsi="Book Antiqua"/>
          <w:highlight w:val="white"/>
          <w:lang w:val="en-GB"/>
        </w:rPr>
        <w:t>LGD</w:t>
      </w:r>
      <w:r w:rsidRPr="00E65AD0">
        <w:rPr>
          <w:rFonts w:ascii="Book Antiqua" w:eastAsia="宋体" w:hAnsi="Book Antiqua"/>
          <w:highlight w:val="white"/>
          <w:lang w:val="en-GB" w:eastAsia="zh-CN"/>
        </w:rPr>
        <w:t>:</w:t>
      </w:r>
      <w:r w:rsidRPr="00E65AD0">
        <w:rPr>
          <w:rFonts w:ascii="Book Antiqua" w:hAnsi="Book Antiqua"/>
          <w:highlight w:val="white"/>
          <w:lang w:val="en-GB"/>
        </w:rPr>
        <w:t xml:space="preserve"> Low-grade dysplasia according to </w:t>
      </w:r>
      <w:r w:rsidRPr="00E65AD0">
        <w:rPr>
          <w:rFonts w:ascii="Book Antiqua" w:hAnsi="Book Antiqua"/>
          <w:lang w:val="en-GB"/>
        </w:rPr>
        <w:t>World Health Organization</w:t>
      </w:r>
      <w:r w:rsidRPr="00E65AD0">
        <w:rPr>
          <w:rFonts w:ascii="Book Antiqua" w:hAnsi="Book Antiqua"/>
          <w:highlight w:val="white"/>
          <w:lang w:val="en-GB"/>
        </w:rPr>
        <w:t xml:space="preserve"> classification</w:t>
      </w:r>
      <w:r w:rsidRPr="00E65AD0">
        <w:rPr>
          <w:rFonts w:ascii="Book Antiqua" w:eastAsia="宋体" w:hAnsi="Book Antiqua"/>
          <w:lang w:val="en-GB" w:eastAsia="zh-CN"/>
        </w:rPr>
        <w:t>.</w:t>
      </w:r>
      <w:r w:rsidRPr="00E65AD0">
        <w:rPr>
          <w:rFonts w:ascii="Book Antiqua" w:hAnsi="Book Antiqua"/>
          <w:vertAlign w:val="superscript"/>
          <w:lang w:val="en-GB"/>
        </w:rPr>
        <w:t xml:space="preserve"> </w:t>
      </w:r>
      <w:proofErr w:type="spellStart"/>
      <w:r w:rsidRPr="00E65AD0">
        <w:rPr>
          <w:rFonts w:ascii="Book Antiqua" w:hAnsi="Book Antiqua"/>
          <w:vertAlign w:val="superscript"/>
          <w:lang w:val="en-GB"/>
        </w:rPr>
        <w:t>a</w:t>
      </w:r>
      <w:r w:rsidRPr="00E65AD0">
        <w:rPr>
          <w:rFonts w:ascii="Book Antiqua" w:hAnsi="Book Antiqua"/>
          <w:lang w:val="en-GB"/>
        </w:rPr>
        <w:t>By</w:t>
      </w:r>
      <w:proofErr w:type="spellEnd"/>
      <w:r w:rsidRPr="00E65AD0">
        <w:rPr>
          <w:rFonts w:ascii="Book Antiqua" w:hAnsi="Book Antiqua"/>
          <w:lang w:val="en-GB"/>
        </w:rPr>
        <w:t xml:space="preserve"> </w:t>
      </w:r>
      <w:r w:rsidRPr="00E65AD0">
        <w:rPr>
          <w:rFonts w:ascii="Book Antiqua" w:hAnsi="Book Antiqua"/>
          <w:i/>
          <w:iCs/>
          <w:lang w:val="el-GR"/>
        </w:rPr>
        <w:t>χ</w:t>
      </w:r>
      <w:r w:rsidRPr="00E65AD0">
        <w:rPr>
          <w:rFonts w:ascii="Book Antiqua" w:hAnsi="Book Antiqua"/>
          <w:vertAlign w:val="superscript"/>
          <w:lang w:val="el-GR"/>
        </w:rPr>
        <w:t>2</w:t>
      </w:r>
      <w:r w:rsidRPr="00E65AD0">
        <w:rPr>
          <w:rFonts w:ascii="Book Antiqua" w:hAnsi="Book Antiqua"/>
          <w:lang w:val="el-GR"/>
        </w:rPr>
        <w:t xml:space="preserve"> test; </w:t>
      </w:r>
      <w:r w:rsidRPr="00E65AD0">
        <w:rPr>
          <w:rFonts w:ascii="Book Antiqua" w:hAnsi="Book Antiqua"/>
          <w:vertAlign w:val="superscript"/>
          <w:lang w:val="el-GR"/>
        </w:rPr>
        <w:t>b</w:t>
      </w:r>
      <w:r w:rsidRPr="00E65AD0">
        <w:rPr>
          <w:rFonts w:ascii="Book Antiqua" w:hAnsi="Book Antiqua"/>
          <w:lang w:val="el-GR"/>
        </w:rPr>
        <w:t>by Fisher’s exact test.</w:t>
      </w:r>
      <w:r w:rsidRPr="00E65AD0">
        <w:rPr>
          <w:rFonts w:ascii="Book Antiqua" w:eastAsia="宋体" w:hAnsi="Book Antiqua"/>
          <w:lang w:val="el-GR" w:eastAsia="zh-CN"/>
        </w:rPr>
        <w:t xml:space="preserve"> </w:t>
      </w:r>
      <w:r w:rsidRPr="00E65AD0">
        <w:rPr>
          <w:rFonts w:ascii="Book Antiqua" w:hAnsi="Book Antiqua"/>
          <w:i/>
          <w:iCs/>
          <w:lang w:val="en-GB"/>
        </w:rPr>
        <w:t>H. pylori</w:t>
      </w:r>
      <w:r w:rsidRPr="00E65AD0">
        <w:rPr>
          <w:rFonts w:ascii="Book Antiqua" w:eastAsia="宋体" w:hAnsi="Book Antiqua"/>
          <w:lang w:val="en-GB" w:eastAsia="zh-CN"/>
        </w:rPr>
        <w:t>:</w:t>
      </w:r>
      <w:r w:rsidRPr="00E65AD0">
        <w:rPr>
          <w:rFonts w:ascii="Book Antiqua" w:hAnsi="Book Antiqua"/>
          <w:lang w:val="en-GB"/>
        </w:rPr>
        <w:t xml:space="preserve"> </w:t>
      </w:r>
      <w:r w:rsidRPr="00E65AD0">
        <w:rPr>
          <w:rFonts w:ascii="Book Antiqua" w:hAnsi="Book Antiqua"/>
          <w:i/>
          <w:lang w:val="en-GB"/>
        </w:rPr>
        <w:t>Helicobacter</w:t>
      </w:r>
      <w:r w:rsidRPr="00E65AD0">
        <w:rPr>
          <w:rFonts w:ascii="Book Antiqua" w:hAnsi="Book Antiqua"/>
          <w:lang w:val="en-GB"/>
        </w:rPr>
        <w:t xml:space="preserve"> </w:t>
      </w:r>
      <w:r w:rsidRPr="00E65AD0">
        <w:rPr>
          <w:rFonts w:ascii="Book Antiqua" w:hAnsi="Book Antiqua"/>
          <w:i/>
          <w:lang w:val="en-GB"/>
        </w:rPr>
        <w:t>pylori</w:t>
      </w:r>
      <w:r w:rsidRPr="00E65AD0">
        <w:rPr>
          <w:rFonts w:ascii="Book Antiqua" w:hAnsi="Book Antiqua"/>
          <w:lang w:val="en-GB"/>
        </w:rPr>
        <w:t>; EGGIM</w:t>
      </w:r>
      <w:r w:rsidRPr="00E65AD0">
        <w:rPr>
          <w:rFonts w:ascii="Book Antiqua" w:eastAsia="宋体" w:hAnsi="Book Antiqua"/>
          <w:lang w:val="en-GB" w:eastAsia="zh-CN"/>
        </w:rPr>
        <w:t>:</w:t>
      </w:r>
      <w:r w:rsidRPr="00E65AD0">
        <w:rPr>
          <w:rFonts w:ascii="Book Antiqua" w:hAnsi="Book Antiqua"/>
          <w:lang w:val="en-GB"/>
        </w:rPr>
        <w:t xml:space="preserve"> Endoscopic grading of gastric intestinal metaplasia; </w:t>
      </w:r>
      <w:r w:rsidR="00C075C7" w:rsidRPr="00E65AD0">
        <w:rPr>
          <w:rFonts w:ascii="Book Antiqua" w:hAnsi="Book Antiqua"/>
          <w:lang w:val="en-GB"/>
        </w:rPr>
        <w:t>MALT</w:t>
      </w:r>
      <w:r w:rsidR="00C075C7" w:rsidRPr="00E65AD0">
        <w:rPr>
          <w:rFonts w:ascii="Book Antiqua" w:eastAsia="宋体" w:hAnsi="Book Antiqua"/>
          <w:lang w:val="en-GB" w:eastAsia="zh-CN"/>
        </w:rPr>
        <w:t>:</w:t>
      </w:r>
      <w:r w:rsidR="00C075C7" w:rsidRPr="00E65AD0">
        <w:rPr>
          <w:rFonts w:ascii="Book Antiqua" w:hAnsi="Book Antiqua"/>
          <w:lang w:val="en-GB"/>
        </w:rPr>
        <w:t xml:space="preserve"> Mucosa-associated lymphoid tissue</w:t>
      </w:r>
      <w:r w:rsidR="00C075C7" w:rsidRPr="00E65AD0">
        <w:rPr>
          <w:rFonts w:ascii="Book Antiqua" w:eastAsia="宋体" w:hAnsi="Book Antiqua"/>
          <w:lang w:val="en-GB" w:eastAsia="zh-CN"/>
        </w:rPr>
        <w:t>;</w:t>
      </w:r>
      <w:r w:rsidR="00C075C7">
        <w:rPr>
          <w:rFonts w:ascii="Book Antiqua" w:eastAsia="宋体" w:hAnsi="Book Antiqua"/>
          <w:lang w:val="en-GB" w:eastAsia="zh-CN"/>
        </w:rPr>
        <w:t xml:space="preserve"> </w:t>
      </w:r>
      <w:r w:rsidRPr="00E65AD0">
        <w:rPr>
          <w:rFonts w:ascii="Book Antiqua" w:hAnsi="Book Antiqua"/>
          <w:lang w:val="en-GB"/>
        </w:rPr>
        <w:t>OLGA</w:t>
      </w:r>
      <w:r w:rsidRPr="00E65AD0">
        <w:rPr>
          <w:rFonts w:ascii="Book Antiqua" w:eastAsia="宋体" w:hAnsi="Book Antiqua"/>
          <w:lang w:val="en-GB" w:eastAsia="zh-CN"/>
        </w:rPr>
        <w:t>:</w:t>
      </w:r>
      <w:r w:rsidRPr="00E65AD0">
        <w:rPr>
          <w:rFonts w:ascii="Book Antiqua" w:hAnsi="Book Antiqua"/>
          <w:lang w:val="en-GB"/>
        </w:rPr>
        <w:t xml:space="preserve"> Operative Link on Gastritis Assessment; OLGIM</w:t>
      </w:r>
      <w:r w:rsidRPr="00E65AD0">
        <w:rPr>
          <w:rFonts w:ascii="Book Antiqua" w:eastAsia="宋体" w:hAnsi="Book Antiqua"/>
          <w:lang w:val="en-GB" w:eastAsia="zh-CN"/>
        </w:rPr>
        <w:t>:</w:t>
      </w:r>
      <w:r w:rsidRPr="00E65AD0">
        <w:rPr>
          <w:rFonts w:ascii="Book Antiqua" w:hAnsi="Book Antiqua"/>
          <w:lang w:val="en-GB"/>
        </w:rPr>
        <w:t xml:space="preserve"> Operative Link on Gastric Intestinal Metaplasia</w:t>
      </w:r>
      <w:r w:rsidRPr="00E65AD0">
        <w:rPr>
          <w:rFonts w:ascii="Book Antiqua" w:eastAsia="宋体" w:hAnsi="Book Antiqua"/>
          <w:lang w:val="en-GB" w:eastAsia="zh-CN"/>
        </w:rPr>
        <w:t>.</w:t>
      </w:r>
    </w:p>
    <w:p w14:paraId="70DE18DA" w14:textId="77777777" w:rsidR="00C42C07" w:rsidRPr="00E65AD0" w:rsidRDefault="00C42C07" w:rsidP="00E65AD0">
      <w:pPr>
        <w:snapToGrid w:val="0"/>
        <w:spacing w:after="0" w:line="360" w:lineRule="auto"/>
        <w:rPr>
          <w:rFonts w:ascii="Book Antiqua" w:eastAsia="宋体" w:hAnsi="Book Antiqua"/>
          <w:lang w:val="en-GB" w:eastAsia="zh-CN"/>
        </w:rPr>
      </w:pPr>
      <w:r w:rsidRPr="00E65AD0">
        <w:rPr>
          <w:rFonts w:ascii="Book Antiqua" w:eastAsia="宋体" w:hAnsi="Book Antiqua"/>
          <w:lang w:val="en-GB" w:eastAsia="zh-CN"/>
        </w:rPr>
        <w:br w:type="page"/>
      </w:r>
    </w:p>
    <w:p w14:paraId="136C69D8" w14:textId="77777777" w:rsidR="009D0DBE" w:rsidRPr="00E65AD0" w:rsidRDefault="00C42C07" w:rsidP="00E65AD0">
      <w:pPr>
        <w:snapToGrid w:val="0"/>
        <w:spacing w:after="0" w:line="360" w:lineRule="auto"/>
        <w:rPr>
          <w:rFonts w:ascii="Book Antiqua" w:eastAsia="宋体" w:hAnsi="Book Antiqua"/>
          <w:b/>
          <w:lang w:val="en-AU" w:eastAsia="zh-CN"/>
        </w:rPr>
      </w:pPr>
      <w:r w:rsidRPr="00E65AD0">
        <w:rPr>
          <w:rFonts w:ascii="Book Antiqua" w:eastAsia="TimesNewRoman" w:hAnsi="Book Antiqua"/>
          <w:b/>
          <w:lang w:val="en-US" w:eastAsia="en-US"/>
        </w:rPr>
        <w:lastRenderedPageBreak/>
        <w:t xml:space="preserve">Table 3 </w:t>
      </w:r>
      <w:r w:rsidRPr="00E65AD0">
        <w:rPr>
          <w:rFonts w:ascii="Book Antiqua" w:eastAsia="TimesNewRoman" w:hAnsi="Book Antiqua"/>
          <w:b/>
          <w:lang w:val="en-AU" w:eastAsia="en-US"/>
        </w:rPr>
        <w:t xml:space="preserve">Demographic and clinical characteristics of patients with low-grade dysplasia detected on visible gastric lesions or randomly and without low-grade dysplasia, before and after </w:t>
      </w:r>
      <w:r w:rsidRPr="00E65AD0">
        <w:rPr>
          <w:rFonts w:ascii="Book Antiqua" w:eastAsia="TimesNewRoman" w:hAnsi="Book Antiqua"/>
          <w:b/>
          <w:i/>
          <w:lang w:val="en-AU" w:eastAsia="en-US"/>
        </w:rPr>
        <w:t>Helicobacter pylori</w:t>
      </w:r>
      <w:r w:rsidR="007C18A0" w:rsidRPr="00E65AD0">
        <w:rPr>
          <w:rFonts w:ascii="Book Antiqua" w:eastAsia="TimesNewRoman" w:hAnsi="Book Antiqua"/>
          <w:b/>
          <w:lang w:val="en-AU" w:eastAsia="en-US"/>
        </w:rPr>
        <w:t xml:space="preserve"> eradication</w:t>
      </w:r>
    </w:p>
    <w:tbl>
      <w:tblPr>
        <w:tblW w:w="4912"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4181"/>
        <w:gridCol w:w="1418"/>
        <w:gridCol w:w="1559"/>
        <w:gridCol w:w="1133"/>
      </w:tblGrid>
      <w:tr w:rsidR="00E65AD0" w:rsidRPr="00E65AD0" w14:paraId="400233C2" w14:textId="77777777" w:rsidTr="007C18A0">
        <w:trPr>
          <w:trHeight w:hRule="exact" w:val="1522"/>
        </w:trPr>
        <w:tc>
          <w:tcPr>
            <w:tcW w:w="2521" w:type="pct"/>
            <w:tcBorders>
              <w:top w:val="single" w:sz="4" w:space="0" w:color="auto"/>
              <w:bottom w:val="single" w:sz="4" w:space="0" w:color="auto"/>
            </w:tcBorders>
            <w:shd w:val="clear" w:color="000000" w:fill="FFFFFF"/>
            <w:noWrap/>
            <w:vAlign w:val="center"/>
          </w:tcPr>
          <w:p w14:paraId="412546AE" w14:textId="77777777" w:rsidR="007C18A0" w:rsidRPr="00E65AD0" w:rsidRDefault="007C18A0" w:rsidP="00E65AD0">
            <w:pPr>
              <w:snapToGrid w:val="0"/>
              <w:spacing w:after="0" w:line="360" w:lineRule="auto"/>
              <w:rPr>
                <w:rFonts w:ascii="Book Antiqua" w:hAnsi="Book Antiqua"/>
                <w:b/>
                <w:lang w:val="en-US"/>
              </w:rPr>
            </w:pPr>
            <w:r w:rsidRPr="00E65AD0">
              <w:rPr>
                <w:rFonts w:ascii="Book Antiqua" w:hAnsi="Book Antiqua"/>
                <w:b/>
                <w:lang w:val="en-US"/>
              </w:rPr>
              <w:t>Parameters</w:t>
            </w:r>
          </w:p>
        </w:tc>
        <w:tc>
          <w:tcPr>
            <w:tcW w:w="855" w:type="pct"/>
            <w:tcBorders>
              <w:top w:val="single" w:sz="4" w:space="0" w:color="auto"/>
              <w:bottom w:val="single" w:sz="4" w:space="0" w:color="auto"/>
            </w:tcBorders>
            <w:shd w:val="clear" w:color="000000" w:fill="FFFFFF"/>
            <w:vAlign w:val="center"/>
          </w:tcPr>
          <w:p w14:paraId="4E15586D" w14:textId="77777777" w:rsidR="007C18A0" w:rsidRPr="00E65AD0" w:rsidRDefault="007C18A0" w:rsidP="00E65AD0">
            <w:pPr>
              <w:snapToGrid w:val="0"/>
              <w:spacing w:after="0" w:line="360" w:lineRule="auto"/>
              <w:rPr>
                <w:rFonts w:ascii="Book Antiqua" w:hAnsi="Book Antiqua"/>
                <w:b/>
                <w:lang w:val="en-US"/>
              </w:rPr>
            </w:pPr>
            <w:r w:rsidRPr="00E65AD0">
              <w:rPr>
                <w:rFonts w:ascii="Book Antiqua" w:hAnsi="Book Antiqua"/>
                <w:b/>
                <w:lang w:val="en-US"/>
              </w:rPr>
              <w:t>With LGD (</w:t>
            </w:r>
            <w:r w:rsidRPr="00E65AD0">
              <w:rPr>
                <w:rFonts w:ascii="Book Antiqua" w:hAnsi="Book Antiqua"/>
                <w:b/>
                <w:i/>
                <w:lang w:val="en-US"/>
              </w:rPr>
              <w:t>n</w:t>
            </w:r>
            <w:r w:rsidRPr="00E65AD0">
              <w:rPr>
                <w:rFonts w:ascii="Book Antiqua" w:hAnsi="Book Antiqua"/>
                <w:b/>
                <w:lang w:val="en-US"/>
              </w:rPr>
              <w:t xml:space="preserve"> = 28)</w:t>
            </w:r>
          </w:p>
        </w:tc>
        <w:tc>
          <w:tcPr>
            <w:tcW w:w="940" w:type="pct"/>
            <w:tcBorders>
              <w:top w:val="single" w:sz="4" w:space="0" w:color="auto"/>
              <w:bottom w:val="single" w:sz="4" w:space="0" w:color="auto"/>
            </w:tcBorders>
            <w:shd w:val="clear" w:color="000000" w:fill="FFFFFF"/>
            <w:vAlign w:val="center"/>
          </w:tcPr>
          <w:p w14:paraId="23EE37EC" w14:textId="77777777" w:rsidR="007C18A0" w:rsidRPr="00E65AD0" w:rsidRDefault="007C18A0" w:rsidP="00E65AD0">
            <w:pPr>
              <w:snapToGrid w:val="0"/>
              <w:spacing w:after="0" w:line="360" w:lineRule="auto"/>
              <w:rPr>
                <w:rFonts w:ascii="Book Antiqua" w:hAnsi="Book Antiqua"/>
                <w:b/>
                <w:lang w:val="en-US"/>
              </w:rPr>
            </w:pPr>
            <w:r w:rsidRPr="00E65AD0">
              <w:rPr>
                <w:rFonts w:ascii="Book Antiqua" w:hAnsi="Book Antiqua"/>
                <w:b/>
                <w:lang w:val="en-US"/>
              </w:rPr>
              <w:t>Without LGD (</w:t>
            </w:r>
            <w:r w:rsidRPr="00E65AD0">
              <w:rPr>
                <w:rFonts w:ascii="Book Antiqua" w:hAnsi="Book Antiqua"/>
                <w:b/>
                <w:i/>
                <w:lang w:val="en-US"/>
              </w:rPr>
              <w:t>n</w:t>
            </w:r>
            <w:r w:rsidRPr="00E65AD0">
              <w:rPr>
                <w:rFonts w:ascii="Book Antiqua" w:hAnsi="Book Antiqua"/>
                <w:b/>
                <w:lang w:val="en-US"/>
              </w:rPr>
              <w:t xml:space="preserve"> = 57)</w:t>
            </w:r>
          </w:p>
        </w:tc>
        <w:tc>
          <w:tcPr>
            <w:tcW w:w="683" w:type="pct"/>
            <w:tcBorders>
              <w:top w:val="single" w:sz="4" w:space="0" w:color="auto"/>
              <w:bottom w:val="single" w:sz="4" w:space="0" w:color="auto"/>
            </w:tcBorders>
            <w:shd w:val="clear" w:color="000000" w:fill="FFFFFF"/>
            <w:vAlign w:val="center"/>
          </w:tcPr>
          <w:p w14:paraId="04E428E9" w14:textId="77777777" w:rsidR="007C18A0" w:rsidRPr="00E65AD0" w:rsidRDefault="007C18A0" w:rsidP="00E65AD0">
            <w:pPr>
              <w:snapToGrid w:val="0"/>
              <w:spacing w:after="0" w:line="360" w:lineRule="auto"/>
              <w:rPr>
                <w:rFonts w:ascii="Book Antiqua" w:hAnsi="Book Antiqua"/>
                <w:b/>
                <w:lang w:val="en-US"/>
              </w:rPr>
            </w:pPr>
            <w:r w:rsidRPr="00E65AD0">
              <w:rPr>
                <w:rFonts w:ascii="Book Antiqua" w:hAnsi="Book Antiqua"/>
                <w:b/>
                <w:i/>
                <w:lang w:val="en-US"/>
              </w:rPr>
              <w:t>P</w:t>
            </w:r>
            <w:r w:rsidRPr="00E65AD0">
              <w:rPr>
                <w:rFonts w:ascii="Book Antiqua" w:eastAsia="宋体" w:hAnsi="Book Antiqua"/>
                <w:b/>
                <w:lang w:val="en-US" w:eastAsia="zh-CN"/>
              </w:rPr>
              <w:t xml:space="preserve"> </w:t>
            </w:r>
            <w:r w:rsidRPr="00E65AD0">
              <w:rPr>
                <w:rFonts w:ascii="Book Antiqua" w:hAnsi="Book Antiqua"/>
                <w:b/>
                <w:lang w:val="en-US"/>
              </w:rPr>
              <w:t>value</w:t>
            </w:r>
          </w:p>
        </w:tc>
      </w:tr>
      <w:tr w:rsidR="00E65AD0" w:rsidRPr="00E65AD0" w14:paraId="741D94C0" w14:textId="77777777" w:rsidTr="007C18A0">
        <w:trPr>
          <w:trHeight w:hRule="exact" w:val="402"/>
        </w:trPr>
        <w:tc>
          <w:tcPr>
            <w:tcW w:w="2521" w:type="pct"/>
            <w:tcBorders>
              <w:top w:val="single" w:sz="4" w:space="0" w:color="auto"/>
            </w:tcBorders>
            <w:shd w:val="clear" w:color="000000" w:fill="FFFFFF"/>
            <w:noWrap/>
          </w:tcPr>
          <w:p w14:paraId="2F886D66" w14:textId="77777777" w:rsidR="007C18A0" w:rsidRPr="00E65AD0" w:rsidRDefault="007C18A0" w:rsidP="00E65AD0">
            <w:pPr>
              <w:snapToGrid w:val="0"/>
              <w:spacing w:after="0" w:line="360" w:lineRule="auto"/>
              <w:rPr>
                <w:rFonts w:ascii="Book Antiqua" w:eastAsia="宋体" w:hAnsi="Book Antiqua"/>
                <w:lang w:val="en-US" w:eastAsia="zh-CN"/>
              </w:rPr>
            </w:pPr>
            <w:r w:rsidRPr="00E65AD0">
              <w:rPr>
                <w:rFonts w:ascii="Book Antiqua" w:hAnsi="Book Antiqua"/>
                <w:lang w:val="en-US"/>
              </w:rPr>
              <w:t xml:space="preserve">Age, mean (SD), </w:t>
            </w:r>
            <w:proofErr w:type="spellStart"/>
            <w:r w:rsidRPr="00E65AD0">
              <w:rPr>
                <w:rFonts w:ascii="Book Antiqua" w:hAnsi="Book Antiqua"/>
                <w:lang w:val="en-US"/>
              </w:rPr>
              <w:t>yr</w:t>
            </w:r>
            <w:proofErr w:type="spellEnd"/>
          </w:p>
        </w:tc>
        <w:tc>
          <w:tcPr>
            <w:tcW w:w="855" w:type="pct"/>
            <w:tcBorders>
              <w:top w:val="single" w:sz="4" w:space="0" w:color="auto"/>
            </w:tcBorders>
            <w:shd w:val="clear" w:color="000000" w:fill="FFFFFF"/>
          </w:tcPr>
          <w:p w14:paraId="1FD9A65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60.9 (8.2)</w:t>
            </w:r>
          </w:p>
        </w:tc>
        <w:tc>
          <w:tcPr>
            <w:tcW w:w="940" w:type="pct"/>
            <w:tcBorders>
              <w:top w:val="single" w:sz="4" w:space="0" w:color="auto"/>
            </w:tcBorders>
            <w:shd w:val="clear" w:color="000000" w:fill="FFFFFF"/>
          </w:tcPr>
          <w:p w14:paraId="7BCE371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53.7 (13.4)</w:t>
            </w:r>
          </w:p>
        </w:tc>
        <w:tc>
          <w:tcPr>
            <w:tcW w:w="683" w:type="pct"/>
            <w:tcBorders>
              <w:top w:val="single" w:sz="4" w:space="0" w:color="auto"/>
            </w:tcBorders>
            <w:shd w:val="clear" w:color="000000" w:fill="FFFFFF"/>
          </w:tcPr>
          <w:p w14:paraId="3125042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w:t>
            </w:r>
            <w:r w:rsidRPr="00E65AD0">
              <w:rPr>
                <w:rFonts w:ascii="Book Antiqua" w:eastAsia="宋体" w:hAnsi="Book Antiqua"/>
                <w:lang w:val="en-US" w:eastAsia="zh-CN"/>
              </w:rPr>
              <w:t>1</w:t>
            </w:r>
            <w:r w:rsidRPr="00E65AD0">
              <w:rPr>
                <w:rFonts w:ascii="Book Antiqua" w:hAnsi="Book Antiqua"/>
                <w:vertAlign w:val="superscript"/>
                <w:lang w:val="en-US"/>
              </w:rPr>
              <w:t>a</w:t>
            </w:r>
          </w:p>
        </w:tc>
      </w:tr>
      <w:tr w:rsidR="00E65AD0" w:rsidRPr="00E65AD0" w14:paraId="1A03E494" w14:textId="77777777" w:rsidTr="007C18A0">
        <w:trPr>
          <w:trHeight w:hRule="exact" w:val="409"/>
        </w:trPr>
        <w:tc>
          <w:tcPr>
            <w:tcW w:w="2521" w:type="pct"/>
            <w:shd w:val="clear" w:color="000000" w:fill="FFFFFF"/>
            <w:noWrap/>
          </w:tcPr>
          <w:p w14:paraId="2DE06D4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Gender, </w:t>
            </w:r>
            <w:r w:rsidRPr="00E65AD0">
              <w:rPr>
                <w:rFonts w:ascii="Book Antiqua" w:hAnsi="Book Antiqua"/>
                <w:i/>
                <w:lang w:val="en-US"/>
              </w:rPr>
              <w:t>n</w:t>
            </w:r>
            <w:r w:rsidRPr="00E65AD0">
              <w:rPr>
                <w:rFonts w:ascii="Book Antiqua" w:hAnsi="Book Antiqua"/>
                <w:lang w:val="en-US"/>
              </w:rPr>
              <w:t xml:space="preserve"> (%)</w:t>
            </w:r>
          </w:p>
        </w:tc>
        <w:tc>
          <w:tcPr>
            <w:tcW w:w="855" w:type="pct"/>
            <w:shd w:val="clear" w:color="000000" w:fill="FFFFFF"/>
          </w:tcPr>
          <w:p w14:paraId="15CC38D9"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56AD9554"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5C468FB4"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794FA6BB" w14:textId="77777777" w:rsidTr="007C18A0">
        <w:trPr>
          <w:trHeight w:hRule="exact" w:val="388"/>
        </w:trPr>
        <w:tc>
          <w:tcPr>
            <w:tcW w:w="2521" w:type="pct"/>
            <w:shd w:val="clear" w:color="000000" w:fill="FFFFFF"/>
            <w:noWrap/>
          </w:tcPr>
          <w:p w14:paraId="2264C2B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Female</w:t>
            </w:r>
          </w:p>
        </w:tc>
        <w:tc>
          <w:tcPr>
            <w:tcW w:w="855" w:type="pct"/>
            <w:shd w:val="clear" w:color="000000" w:fill="FFFFFF"/>
          </w:tcPr>
          <w:p w14:paraId="0E8F45E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15 (53.6)</w:t>
            </w:r>
          </w:p>
        </w:tc>
        <w:tc>
          <w:tcPr>
            <w:tcW w:w="940" w:type="pct"/>
            <w:shd w:val="clear" w:color="000000" w:fill="FFFFFF"/>
          </w:tcPr>
          <w:p w14:paraId="297A14E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38 (66.7)</w:t>
            </w:r>
          </w:p>
        </w:tc>
        <w:tc>
          <w:tcPr>
            <w:tcW w:w="683" w:type="pct"/>
            <w:shd w:val="clear" w:color="000000" w:fill="FFFFFF"/>
          </w:tcPr>
          <w:p w14:paraId="4B7F9A4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0.24</w:t>
            </w:r>
          </w:p>
        </w:tc>
      </w:tr>
      <w:tr w:rsidR="00E65AD0" w:rsidRPr="00E65AD0" w14:paraId="767F53B0" w14:textId="77777777" w:rsidTr="007C18A0">
        <w:trPr>
          <w:trHeight w:hRule="exact" w:val="429"/>
        </w:trPr>
        <w:tc>
          <w:tcPr>
            <w:tcW w:w="2521" w:type="pct"/>
            <w:shd w:val="clear" w:color="000000" w:fill="FFFFFF"/>
            <w:noWrap/>
          </w:tcPr>
          <w:p w14:paraId="7FBC528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AU"/>
              </w:rPr>
              <w:t>BMI, mean (SD), kg/m</w:t>
            </w:r>
            <w:r w:rsidRPr="00E65AD0">
              <w:rPr>
                <w:rFonts w:ascii="Book Antiqua" w:hAnsi="Book Antiqua"/>
                <w:vertAlign w:val="superscript"/>
                <w:lang w:val="en-AU"/>
              </w:rPr>
              <w:t>2</w:t>
            </w:r>
          </w:p>
        </w:tc>
        <w:tc>
          <w:tcPr>
            <w:tcW w:w="855" w:type="pct"/>
            <w:shd w:val="clear" w:color="000000" w:fill="FFFFFF"/>
          </w:tcPr>
          <w:p w14:paraId="76B8374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25 (2.4)</w:t>
            </w:r>
          </w:p>
        </w:tc>
        <w:tc>
          <w:tcPr>
            <w:tcW w:w="940" w:type="pct"/>
            <w:shd w:val="clear" w:color="000000" w:fill="FFFFFF"/>
          </w:tcPr>
          <w:p w14:paraId="142C837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25 (2.3)</w:t>
            </w:r>
          </w:p>
        </w:tc>
        <w:tc>
          <w:tcPr>
            <w:tcW w:w="683" w:type="pct"/>
            <w:shd w:val="clear" w:color="000000" w:fill="FFFFFF"/>
          </w:tcPr>
          <w:p w14:paraId="0ABC57C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6AEBF4A8" w14:textId="77777777" w:rsidTr="007C18A0">
        <w:trPr>
          <w:trHeight w:hRule="exact" w:val="388"/>
        </w:trPr>
        <w:tc>
          <w:tcPr>
            <w:tcW w:w="2521" w:type="pct"/>
            <w:shd w:val="clear" w:color="000000" w:fill="FFFFFF"/>
            <w:noWrap/>
          </w:tcPr>
          <w:p w14:paraId="0DBA793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Alcohol users (12-24 g/dL/die),</w:t>
            </w:r>
            <w:r w:rsidRPr="00E65AD0">
              <w:rPr>
                <w:rFonts w:ascii="Book Antiqua" w:hAnsi="Book Antiqua" w:cs="Courier New"/>
                <w:lang w:val="en-AU" w:eastAsia="en-US"/>
              </w:rPr>
              <w:t xml:space="preserve"> </w:t>
            </w:r>
            <w:r w:rsidRPr="00E65AD0">
              <w:rPr>
                <w:rFonts w:ascii="Book Antiqua" w:hAnsi="Book Antiqua"/>
                <w:i/>
                <w:lang w:val="en-AU"/>
              </w:rPr>
              <w:t xml:space="preserve">n </w:t>
            </w:r>
            <w:r w:rsidRPr="00E65AD0">
              <w:rPr>
                <w:rFonts w:ascii="Book Antiqua" w:hAnsi="Book Antiqua"/>
                <w:lang w:val="en-AU"/>
              </w:rPr>
              <w:t>(%)</w:t>
            </w:r>
          </w:p>
        </w:tc>
        <w:tc>
          <w:tcPr>
            <w:tcW w:w="855" w:type="pct"/>
            <w:shd w:val="clear" w:color="000000" w:fill="FFFFFF"/>
          </w:tcPr>
          <w:p w14:paraId="45C899E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15 (53.6)</w:t>
            </w:r>
          </w:p>
        </w:tc>
        <w:tc>
          <w:tcPr>
            <w:tcW w:w="940" w:type="pct"/>
            <w:shd w:val="clear" w:color="000000" w:fill="FFFFFF"/>
          </w:tcPr>
          <w:p w14:paraId="3BC42C5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12 (21.1)</w:t>
            </w:r>
          </w:p>
        </w:tc>
        <w:tc>
          <w:tcPr>
            <w:tcW w:w="683" w:type="pct"/>
            <w:shd w:val="clear" w:color="000000" w:fill="FFFFFF"/>
          </w:tcPr>
          <w:p w14:paraId="6FE6237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0.002</w:t>
            </w:r>
            <w:r w:rsidRPr="00E65AD0">
              <w:rPr>
                <w:rFonts w:ascii="Book Antiqua" w:hAnsi="Book Antiqua"/>
                <w:shd w:val="clear" w:color="auto" w:fill="FFFFFF"/>
                <w:vertAlign w:val="superscript"/>
              </w:rPr>
              <w:t>b</w:t>
            </w:r>
          </w:p>
        </w:tc>
      </w:tr>
      <w:tr w:rsidR="00E65AD0" w:rsidRPr="00E65AD0" w14:paraId="597A6F75" w14:textId="77777777" w:rsidTr="007C18A0">
        <w:trPr>
          <w:trHeight w:hRule="exact" w:val="402"/>
        </w:trPr>
        <w:tc>
          <w:tcPr>
            <w:tcW w:w="2521" w:type="pct"/>
            <w:shd w:val="clear" w:color="000000" w:fill="FFFFFF"/>
            <w:noWrap/>
          </w:tcPr>
          <w:p w14:paraId="7915BC4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Previous smokers,</w:t>
            </w:r>
            <w:r w:rsidRPr="00E65AD0">
              <w:rPr>
                <w:rFonts w:ascii="Book Antiqua" w:hAnsi="Book Antiqua" w:cs="Courier New"/>
                <w:lang w:val="en-AU" w:eastAsia="en-US"/>
              </w:rPr>
              <w:t xml:space="preserve"> </w:t>
            </w:r>
            <w:r w:rsidRPr="00E65AD0">
              <w:rPr>
                <w:rFonts w:ascii="Book Antiqua" w:hAnsi="Book Antiqua" w:cs="Courier New"/>
                <w:i/>
                <w:lang w:val="en-AU" w:eastAsia="en-US"/>
              </w:rPr>
              <w:t>n</w:t>
            </w:r>
            <w:r w:rsidRPr="00E65AD0">
              <w:rPr>
                <w:rFonts w:ascii="Book Antiqua" w:hAnsi="Book Antiqua" w:cs="Courier New"/>
                <w:lang w:val="en-AU" w:eastAsia="en-US"/>
              </w:rPr>
              <w:t xml:space="preserve"> (%)</w:t>
            </w:r>
          </w:p>
        </w:tc>
        <w:tc>
          <w:tcPr>
            <w:tcW w:w="855" w:type="pct"/>
            <w:shd w:val="clear" w:color="000000" w:fill="FFFFFF"/>
          </w:tcPr>
          <w:p w14:paraId="51E3E0C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 (35.7)</w:t>
            </w:r>
          </w:p>
        </w:tc>
        <w:tc>
          <w:tcPr>
            <w:tcW w:w="940" w:type="pct"/>
            <w:shd w:val="clear" w:color="000000" w:fill="FFFFFF"/>
          </w:tcPr>
          <w:p w14:paraId="2E322F8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(3.5)</w:t>
            </w:r>
          </w:p>
        </w:tc>
        <w:tc>
          <w:tcPr>
            <w:tcW w:w="683" w:type="pct"/>
            <w:shd w:val="clear" w:color="000000" w:fill="FFFFFF"/>
          </w:tcPr>
          <w:p w14:paraId="5656C2C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339FCC52" w14:textId="77777777" w:rsidTr="007C18A0">
        <w:trPr>
          <w:trHeight w:hRule="exact" w:val="402"/>
        </w:trPr>
        <w:tc>
          <w:tcPr>
            <w:tcW w:w="2521" w:type="pct"/>
            <w:shd w:val="clear" w:color="000000" w:fill="FFFFFF"/>
            <w:noWrap/>
          </w:tcPr>
          <w:p w14:paraId="4912B35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GB"/>
              </w:rPr>
              <w:t xml:space="preserve">Family history of gastric cancer, </w:t>
            </w:r>
            <w:r w:rsidRPr="00E65AD0">
              <w:rPr>
                <w:rFonts w:ascii="Book Antiqua" w:hAnsi="Book Antiqua"/>
                <w:i/>
                <w:lang w:val="en-GB"/>
              </w:rPr>
              <w:t>n</w:t>
            </w:r>
            <w:r w:rsidRPr="00E65AD0">
              <w:rPr>
                <w:rFonts w:ascii="Book Antiqua" w:hAnsi="Book Antiqua"/>
                <w:lang w:val="en-GB"/>
              </w:rPr>
              <w:t xml:space="preserve"> (%)</w:t>
            </w:r>
          </w:p>
        </w:tc>
        <w:tc>
          <w:tcPr>
            <w:tcW w:w="855" w:type="pct"/>
            <w:shd w:val="clear" w:color="000000" w:fill="FFFFFF"/>
          </w:tcPr>
          <w:p w14:paraId="6D76262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(14.3)</w:t>
            </w:r>
          </w:p>
        </w:tc>
        <w:tc>
          <w:tcPr>
            <w:tcW w:w="940" w:type="pct"/>
            <w:shd w:val="clear" w:color="000000" w:fill="FFFFFF"/>
          </w:tcPr>
          <w:p w14:paraId="68A1BBE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1FB310F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0.001</w:t>
            </w:r>
            <w:r w:rsidRPr="00E65AD0">
              <w:rPr>
                <w:rFonts w:ascii="Book Antiqua" w:hAnsi="Book Antiqua"/>
                <w:shd w:val="clear" w:color="auto" w:fill="FFFFFF"/>
                <w:vertAlign w:val="superscript"/>
              </w:rPr>
              <w:t>c</w:t>
            </w:r>
          </w:p>
        </w:tc>
      </w:tr>
      <w:tr w:rsidR="00E65AD0" w:rsidRPr="00E65AD0" w14:paraId="0AB0101F" w14:textId="77777777" w:rsidTr="007C18A0">
        <w:trPr>
          <w:trHeight w:hRule="exact" w:val="430"/>
        </w:trPr>
        <w:tc>
          <w:tcPr>
            <w:tcW w:w="2521" w:type="pct"/>
            <w:shd w:val="clear" w:color="000000" w:fill="FFFFFF"/>
            <w:noWrap/>
          </w:tcPr>
          <w:p w14:paraId="146E3CC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GB"/>
              </w:rPr>
              <w:t xml:space="preserve">Family history of other cancer, </w:t>
            </w:r>
            <w:r w:rsidRPr="00E65AD0">
              <w:rPr>
                <w:rFonts w:ascii="Book Antiqua" w:hAnsi="Book Antiqua"/>
                <w:i/>
                <w:lang w:val="en-GB"/>
              </w:rPr>
              <w:t>n</w:t>
            </w:r>
            <w:r w:rsidRPr="00E65AD0">
              <w:rPr>
                <w:rFonts w:ascii="Book Antiqua" w:hAnsi="Book Antiqua"/>
                <w:lang w:val="en-GB"/>
              </w:rPr>
              <w:t xml:space="preserve"> (%)</w:t>
            </w:r>
          </w:p>
        </w:tc>
        <w:tc>
          <w:tcPr>
            <w:tcW w:w="855" w:type="pct"/>
            <w:shd w:val="clear" w:color="000000" w:fill="FFFFFF"/>
          </w:tcPr>
          <w:p w14:paraId="641E9A1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6 (21.4)</w:t>
            </w:r>
          </w:p>
        </w:tc>
        <w:tc>
          <w:tcPr>
            <w:tcW w:w="940" w:type="pct"/>
            <w:shd w:val="clear" w:color="000000" w:fill="FFFFFF"/>
          </w:tcPr>
          <w:p w14:paraId="0509A77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 (5.3)</w:t>
            </w:r>
          </w:p>
        </w:tc>
        <w:tc>
          <w:tcPr>
            <w:tcW w:w="683" w:type="pct"/>
            <w:shd w:val="clear" w:color="000000" w:fill="FFFFFF"/>
          </w:tcPr>
          <w:p w14:paraId="5E695A0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0.001</w:t>
            </w:r>
            <w:r w:rsidRPr="00E65AD0">
              <w:rPr>
                <w:rFonts w:ascii="Book Antiqua" w:hAnsi="Book Antiqua"/>
                <w:shd w:val="clear" w:color="auto" w:fill="FFFFFF"/>
                <w:vertAlign w:val="superscript"/>
              </w:rPr>
              <w:t>c</w:t>
            </w:r>
          </w:p>
        </w:tc>
      </w:tr>
      <w:tr w:rsidR="00E65AD0" w:rsidRPr="00E65AD0" w14:paraId="18C5A43B" w14:textId="77777777" w:rsidTr="007C18A0">
        <w:trPr>
          <w:trHeight w:hRule="exact" w:val="472"/>
        </w:trPr>
        <w:tc>
          <w:tcPr>
            <w:tcW w:w="2521" w:type="pct"/>
            <w:shd w:val="clear" w:color="000000" w:fill="FFFFFF"/>
            <w:noWrap/>
          </w:tcPr>
          <w:p w14:paraId="1F672A9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Autoimmune comorbidity</w:t>
            </w:r>
          </w:p>
        </w:tc>
        <w:tc>
          <w:tcPr>
            <w:tcW w:w="855" w:type="pct"/>
            <w:shd w:val="clear" w:color="000000" w:fill="FFFFFF"/>
          </w:tcPr>
          <w:p w14:paraId="53DA8919"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01CA698A"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4D3F845C"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082C1906" w14:textId="77777777" w:rsidTr="007C18A0">
        <w:trPr>
          <w:trHeight w:hRule="exact" w:val="443"/>
        </w:trPr>
        <w:tc>
          <w:tcPr>
            <w:tcW w:w="2521" w:type="pct"/>
            <w:shd w:val="clear" w:color="000000" w:fill="FFFFFF"/>
            <w:noWrap/>
          </w:tcPr>
          <w:p w14:paraId="713A17A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Autoimmune atrophic gastritis</w:t>
            </w:r>
          </w:p>
        </w:tc>
        <w:tc>
          <w:tcPr>
            <w:tcW w:w="855" w:type="pct"/>
            <w:shd w:val="clear" w:color="000000" w:fill="FFFFFF"/>
          </w:tcPr>
          <w:p w14:paraId="5CA9CED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8 (28.6)</w:t>
            </w:r>
          </w:p>
        </w:tc>
        <w:tc>
          <w:tcPr>
            <w:tcW w:w="940" w:type="pct"/>
            <w:shd w:val="clear" w:color="000000" w:fill="FFFFFF"/>
          </w:tcPr>
          <w:p w14:paraId="7971B77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1A995A5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c</w:t>
            </w:r>
          </w:p>
        </w:tc>
      </w:tr>
      <w:tr w:rsidR="00E65AD0" w:rsidRPr="00E65AD0" w14:paraId="1263F742" w14:textId="77777777" w:rsidTr="007C18A0">
        <w:trPr>
          <w:trHeight w:hRule="exact" w:val="415"/>
        </w:trPr>
        <w:tc>
          <w:tcPr>
            <w:tcW w:w="2521" w:type="pct"/>
            <w:shd w:val="clear" w:color="000000" w:fill="FFFFFF"/>
            <w:noWrap/>
          </w:tcPr>
          <w:p w14:paraId="1EC8A4F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Autoimmune thyroiditis</w:t>
            </w:r>
          </w:p>
        </w:tc>
        <w:tc>
          <w:tcPr>
            <w:tcW w:w="855" w:type="pct"/>
            <w:shd w:val="clear" w:color="000000" w:fill="FFFFFF"/>
          </w:tcPr>
          <w:p w14:paraId="126E656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 (10.7)</w:t>
            </w:r>
          </w:p>
        </w:tc>
        <w:tc>
          <w:tcPr>
            <w:tcW w:w="940" w:type="pct"/>
            <w:shd w:val="clear" w:color="000000" w:fill="FFFFFF"/>
          </w:tcPr>
          <w:p w14:paraId="30345AE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 (5.3)</w:t>
            </w:r>
          </w:p>
        </w:tc>
        <w:tc>
          <w:tcPr>
            <w:tcW w:w="683" w:type="pct"/>
            <w:shd w:val="clear" w:color="000000" w:fill="FFFFFF"/>
          </w:tcPr>
          <w:p w14:paraId="638F7AB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0.39</w:t>
            </w:r>
          </w:p>
        </w:tc>
      </w:tr>
      <w:tr w:rsidR="00E65AD0" w:rsidRPr="00E65AD0" w14:paraId="33455361" w14:textId="77777777" w:rsidTr="007C18A0">
        <w:trPr>
          <w:trHeight w:hRule="exact" w:val="415"/>
        </w:trPr>
        <w:tc>
          <w:tcPr>
            <w:tcW w:w="2521" w:type="pct"/>
            <w:shd w:val="clear" w:color="000000" w:fill="FFFFFF"/>
            <w:noWrap/>
          </w:tcPr>
          <w:p w14:paraId="20114F9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A. thyroiditis + vitiligo </w:t>
            </w:r>
          </w:p>
        </w:tc>
        <w:tc>
          <w:tcPr>
            <w:tcW w:w="855" w:type="pct"/>
            <w:shd w:val="clear" w:color="000000" w:fill="FFFFFF"/>
          </w:tcPr>
          <w:p w14:paraId="5327C2B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3766361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6736902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0.33</w:t>
            </w:r>
          </w:p>
        </w:tc>
      </w:tr>
      <w:tr w:rsidR="00E65AD0" w:rsidRPr="00E65AD0" w14:paraId="02E41D54" w14:textId="77777777" w:rsidTr="007C18A0">
        <w:trPr>
          <w:trHeight w:hRule="exact" w:val="415"/>
        </w:trPr>
        <w:tc>
          <w:tcPr>
            <w:tcW w:w="2521" w:type="pct"/>
            <w:shd w:val="clear" w:color="000000" w:fill="FFFFFF"/>
            <w:noWrap/>
          </w:tcPr>
          <w:p w14:paraId="059C8BF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 thyroiditis + Crohn’s disease</w:t>
            </w:r>
          </w:p>
        </w:tc>
        <w:tc>
          <w:tcPr>
            <w:tcW w:w="855" w:type="pct"/>
            <w:shd w:val="clear" w:color="000000" w:fill="FFFFFF"/>
          </w:tcPr>
          <w:p w14:paraId="61B1CFB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7D7A11D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4F0B630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0.33</w:t>
            </w:r>
          </w:p>
        </w:tc>
      </w:tr>
      <w:tr w:rsidR="00E65AD0" w:rsidRPr="00E65AD0" w14:paraId="48EB0A71" w14:textId="77777777" w:rsidTr="007C18A0">
        <w:trPr>
          <w:trHeight w:hRule="exact" w:val="415"/>
        </w:trPr>
        <w:tc>
          <w:tcPr>
            <w:tcW w:w="2521" w:type="pct"/>
            <w:shd w:val="clear" w:color="000000" w:fill="FFFFFF"/>
            <w:noWrap/>
          </w:tcPr>
          <w:p w14:paraId="0445E20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A. thyroiditis + </w:t>
            </w:r>
            <w:proofErr w:type="spellStart"/>
            <w:r w:rsidRPr="00E65AD0">
              <w:rPr>
                <w:rFonts w:ascii="Book Antiqua" w:hAnsi="Book Antiqua"/>
                <w:lang w:val="en-US"/>
              </w:rPr>
              <w:t>Sjögren</w:t>
            </w:r>
            <w:proofErr w:type="spellEnd"/>
            <w:r w:rsidRPr="00E65AD0">
              <w:rPr>
                <w:rFonts w:ascii="Book Antiqua" w:hAnsi="Book Antiqua"/>
                <w:lang w:val="en-US"/>
              </w:rPr>
              <w:t xml:space="preserve"> syndrome </w:t>
            </w:r>
          </w:p>
        </w:tc>
        <w:tc>
          <w:tcPr>
            <w:tcW w:w="855" w:type="pct"/>
            <w:shd w:val="clear" w:color="000000" w:fill="FFFFFF"/>
          </w:tcPr>
          <w:p w14:paraId="07FDF1F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3437F75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(1.7)</w:t>
            </w:r>
          </w:p>
        </w:tc>
        <w:tc>
          <w:tcPr>
            <w:tcW w:w="683" w:type="pct"/>
            <w:shd w:val="clear" w:color="000000" w:fill="FFFFFF"/>
          </w:tcPr>
          <w:p w14:paraId="6217DFA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71F1E865" w14:textId="77777777" w:rsidTr="007C18A0">
        <w:trPr>
          <w:trHeight w:hRule="exact" w:val="415"/>
        </w:trPr>
        <w:tc>
          <w:tcPr>
            <w:tcW w:w="2521" w:type="pct"/>
            <w:shd w:val="clear" w:color="000000" w:fill="FFFFFF"/>
            <w:noWrap/>
          </w:tcPr>
          <w:p w14:paraId="7BFC5A8D" w14:textId="77777777" w:rsidR="007C18A0" w:rsidRPr="00E65AD0" w:rsidRDefault="007C18A0" w:rsidP="00E65AD0">
            <w:pPr>
              <w:snapToGrid w:val="0"/>
              <w:spacing w:after="0" w:line="360" w:lineRule="auto"/>
              <w:rPr>
                <w:rFonts w:ascii="Book Antiqua" w:hAnsi="Book Antiqua"/>
                <w:lang w:val="en-US"/>
              </w:rPr>
            </w:pPr>
            <w:proofErr w:type="spellStart"/>
            <w:r w:rsidRPr="00E65AD0">
              <w:rPr>
                <w:rFonts w:ascii="Book Antiqua" w:hAnsi="Book Antiqua"/>
                <w:lang w:val="en-US"/>
              </w:rPr>
              <w:t>Sjögren</w:t>
            </w:r>
            <w:proofErr w:type="spellEnd"/>
            <w:r w:rsidRPr="00E65AD0">
              <w:rPr>
                <w:rFonts w:ascii="Book Antiqua" w:hAnsi="Book Antiqua"/>
                <w:lang w:val="en-US"/>
              </w:rPr>
              <w:t xml:space="preserve"> syndrome</w:t>
            </w:r>
          </w:p>
        </w:tc>
        <w:tc>
          <w:tcPr>
            <w:tcW w:w="855" w:type="pct"/>
            <w:shd w:val="clear" w:color="000000" w:fill="FFFFFF"/>
          </w:tcPr>
          <w:p w14:paraId="1B2ADAB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5614A1B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(1.7)</w:t>
            </w:r>
          </w:p>
        </w:tc>
        <w:tc>
          <w:tcPr>
            <w:tcW w:w="683" w:type="pct"/>
            <w:shd w:val="clear" w:color="000000" w:fill="FFFFFF"/>
          </w:tcPr>
          <w:p w14:paraId="708D25D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1F62EDF0" w14:textId="77777777" w:rsidTr="007C18A0">
        <w:trPr>
          <w:trHeight w:hRule="exact" w:val="415"/>
        </w:trPr>
        <w:tc>
          <w:tcPr>
            <w:tcW w:w="2521" w:type="pct"/>
            <w:shd w:val="clear" w:color="000000" w:fill="FFFFFF"/>
            <w:noWrap/>
          </w:tcPr>
          <w:p w14:paraId="686D608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Type-1/2 diabetes mellitus</w:t>
            </w:r>
          </w:p>
        </w:tc>
        <w:tc>
          <w:tcPr>
            <w:tcW w:w="855" w:type="pct"/>
            <w:shd w:val="clear" w:color="000000" w:fill="FFFFFF"/>
          </w:tcPr>
          <w:p w14:paraId="471DF6C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639156A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(3.5)</w:t>
            </w:r>
          </w:p>
        </w:tc>
        <w:tc>
          <w:tcPr>
            <w:tcW w:w="683" w:type="pct"/>
            <w:shd w:val="clear" w:color="000000" w:fill="FFFFFF"/>
          </w:tcPr>
          <w:p w14:paraId="59B567F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277B2AAF" w14:textId="77777777" w:rsidTr="007C18A0">
        <w:trPr>
          <w:trHeight w:hRule="exact" w:val="415"/>
        </w:trPr>
        <w:tc>
          <w:tcPr>
            <w:tcW w:w="2521" w:type="pct"/>
            <w:shd w:val="clear" w:color="000000" w:fill="FFFFFF"/>
            <w:noWrap/>
          </w:tcPr>
          <w:p w14:paraId="314EDD4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Skin psoriasis</w:t>
            </w:r>
          </w:p>
        </w:tc>
        <w:tc>
          <w:tcPr>
            <w:tcW w:w="855" w:type="pct"/>
            <w:shd w:val="clear" w:color="000000" w:fill="FFFFFF"/>
          </w:tcPr>
          <w:p w14:paraId="398C363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530825F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7AA5034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0.33</w:t>
            </w:r>
          </w:p>
        </w:tc>
      </w:tr>
      <w:tr w:rsidR="00E65AD0" w:rsidRPr="00E65AD0" w14:paraId="75D2D0CA" w14:textId="77777777" w:rsidTr="007C18A0">
        <w:trPr>
          <w:trHeight w:hRule="exact" w:val="415"/>
        </w:trPr>
        <w:tc>
          <w:tcPr>
            <w:tcW w:w="2521" w:type="pct"/>
            <w:shd w:val="clear" w:color="000000" w:fill="FFFFFF"/>
            <w:noWrap/>
          </w:tcPr>
          <w:p w14:paraId="3B21537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Rheumatoid arthritis</w:t>
            </w:r>
          </w:p>
        </w:tc>
        <w:tc>
          <w:tcPr>
            <w:tcW w:w="855" w:type="pct"/>
            <w:shd w:val="clear" w:color="000000" w:fill="FFFFFF"/>
          </w:tcPr>
          <w:p w14:paraId="088BD88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77FF1DF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(1.7)</w:t>
            </w:r>
          </w:p>
        </w:tc>
        <w:tc>
          <w:tcPr>
            <w:tcW w:w="683" w:type="pct"/>
            <w:shd w:val="clear" w:color="000000" w:fill="FFFFFF"/>
          </w:tcPr>
          <w:p w14:paraId="112C916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203C5B4B" w14:textId="77777777" w:rsidTr="007C18A0">
        <w:trPr>
          <w:trHeight w:hRule="exact" w:val="471"/>
        </w:trPr>
        <w:tc>
          <w:tcPr>
            <w:tcW w:w="2521" w:type="pct"/>
            <w:shd w:val="clear" w:color="000000" w:fill="FFFFFF"/>
            <w:noWrap/>
          </w:tcPr>
          <w:p w14:paraId="33A0D45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APCA and/or AIF antibody positivity</w:t>
            </w:r>
          </w:p>
        </w:tc>
        <w:tc>
          <w:tcPr>
            <w:tcW w:w="855" w:type="pct"/>
            <w:shd w:val="clear" w:color="000000" w:fill="FFFFFF"/>
          </w:tcPr>
          <w:p w14:paraId="3BFDCF8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8 (28.6)</w:t>
            </w:r>
          </w:p>
        </w:tc>
        <w:tc>
          <w:tcPr>
            <w:tcW w:w="940" w:type="pct"/>
            <w:shd w:val="clear" w:color="000000" w:fill="FFFFFF"/>
          </w:tcPr>
          <w:p w14:paraId="130EB54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364C17D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c</w:t>
            </w:r>
          </w:p>
        </w:tc>
      </w:tr>
      <w:tr w:rsidR="00E65AD0" w:rsidRPr="00E65AD0" w14:paraId="758AE66E" w14:textId="77777777" w:rsidTr="007C18A0">
        <w:trPr>
          <w:trHeight w:hRule="exact" w:val="401"/>
        </w:trPr>
        <w:tc>
          <w:tcPr>
            <w:tcW w:w="2521" w:type="pct"/>
            <w:shd w:val="clear" w:color="000000" w:fill="FFFFFF"/>
            <w:noWrap/>
          </w:tcPr>
          <w:p w14:paraId="4687163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i/>
                <w:lang w:val="en-US"/>
              </w:rPr>
              <w:t xml:space="preserve">H. pylori </w:t>
            </w:r>
            <w:r w:rsidRPr="00E65AD0">
              <w:rPr>
                <w:rFonts w:ascii="Book Antiqua" w:hAnsi="Book Antiqua"/>
                <w:lang w:val="en-US"/>
              </w:rPr>
              <w:t>eradication scheme,</w:t>
            </w:r>
            <w:r w:rsidRPr="00E65AD0">
              <w:rPr>
                <w:rFonts w:ascii="Book Antiqua" w:hAnsi="Book Antiqua" w:cs="Courier New"/>
                <w:lang w:val="en-AU" w:eastAsia="en-US"/>
              </w:rPr>
              <w:t xml:space="preserve"> </w:t>
            </w:r>
            <w:r w:rsidRPr="00E65AD0">
              <w:rPr>
                <w:rFonts w:ascii="Book Antiqua" w:hAnsi="Book Antiqua"/>
                <w:i/>
                <w:lang w:val="en-AU"/>
              </w:rPr>
              <w:t>n</w:t>
            </w:r>
            <w:r w:rsidRPr="00E65AD0">
              <w:rPr>
                <w:rFonts w:ascii="Book Antiqua" w:hAnsi="Book Antiqua"/>
                <w:lang w:val="en-AU"/>
              </w:rPr>
              <w:t xml:space="preserve"> (%)</w:t>
            </w:r>
          </w:p>
        </w:tc>
        <w:tc>
          <w:tcPr>
            <w:tcW w:w="855" w:type="pct"/>
            <w:shd w:val="clear" w:color="000000" w:fill="FFFFFF"/>
          </w:tcPr>
          <w:p w14:paraId="476B8715"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032A0155"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7D81BF0A"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289AA902" w14:textId="77777777" w:rsidTr="007C18A0">
        <w:trPr>
          <w:trHeight w:hRule="exact" w:val="423"/>
        </w:trPr>
        <w:tc>
          <w:tcPr>
            <w:tcW w:w="2521" w:type="pct"/>
            <w:shd w:val="clear" w:color="000000" w:fill="FFFFFF"/>
            <w:noWrap/>
          </w:tcPr>
          <w:p w14:paraId="6CB70E3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Quadruple</w:t>
            </w:r>
            <w:r w:rsidRPr="00E65AD0">
              <w:rPr>
                <w:rFonts w:ascii="Book Antiqua" w:hAnsi="Book Antiqua"/>
                <w:shd w:val="clear" w:color="auto" w:fill="FFFFFF"/>
                <w:vertAlign w:val="superscript"/>
              </w:rPr>
              <w:t>1</w:t>
            </w:r>
          </w:p>
        </w:tc>
        <w:tc>
          <w:tcPr>
            <w:tcW w:w="855" w:type="pct"/>
            <w:shd w:val="clear" w:color="000000" w:fill="FFFFFF"/>
          </w:tcPr>
          <w:p w14:paraId="45A8F80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17 (60.7)</w:t>
            </w:r>
          </w:p>
        </w:tc>
        <w:tc>
          <w:tcPr>
            <w:tcW w:w="940" w:type="pct"/>
            <w:shd w:val="clear" w:color="000000" w:fill="FFFFFF"/>
          </w:tcPr>
          <w:p w14:paraId="7E3FBFE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36 (63.2)</w:t>
            </w:r>
          </w:p>
        </w:tc>
        <w:tc>
          <w:tcPr>
            <w:tcW w:w="683" w:type="pct"/>
            <w:shd w:val="clear" w:color="000000" w:fill="FFFFFF"/>
          </w:tcPr>
          <w:p w14:paraId="6EB1732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0.82</w:t>
            </w:r>
          </w:p>
        </w:tc>
      </w:tr>
      <w:tr w:rsidR="00E65AD0" w:rsidRPr="00E65AD0" w14:paraId="553FC6F2" w14:textId="77777777" w:rsidTr="007C18A0">
        <w:trPr>
          <w:trHeight w:hRule="exact" w:val="458"/>
        </w:trPr>
        <w:tc>
          <w:tcPr>
            <w:tcW w:w="2521" w:type="pct"/>
            <w:shd w:val="clear" w:color="000000" w:fill="FFFFFF"/>
            <w:noWrap/>
          </w:tcPr>
          <w:p w14:paraId="50527A7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Modified triple</w:t>
            </w:r>
            <w:r w:rsidRPr="00E65AD0">
              <w:rPr>
                <w:rFonts w:ascii="Book Antiqua" w:hAnsi="Book Antiqua"/>
                <w:shd w:val="clear" w:color="auto" w:fill="FFFFFF"/>
                <w:vertAlign w:val="superscript"/>
              </w:rPr>
              <w:t>2</w:t>
            </w:r>
          </w:p>
        </w:tc>
        <w:tc>
          <w:tcPr>
            <w:tcW w:w="855" w:type="pct"/>
            <w:shd w:val="clear" w:color="000000" w:fill="FFFFFF"/>
          </w:tcPr>
          <w:p w14:paraId="0731A8D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9 (32.1)</w:t>
            </w:r>
          </w:p>
        </w:tc>
        <w:tc>
          <w:tcPr>
            <w:tcW w:w="940" w:type="pct"/>
            <w:shd w:val="clear" w:color="000000" w:fill="FFFFFF"/>
          </w:tcPr>
          <w:p w14:paraId="1726DFA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19 (33.3)</w:t>
            </w:r>
          </w:p>
        </w:tc>
        <w:tc>
          <w:tcPr>
            <w:tcW w:w="683" w:type="pct"/>
            <w:shd w:val="clear" w:color="000000" w:fill="FFFFFF"/>
          </w:tcPr>
          <w:p w14:paraId="495ECF3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0.91</w:t>
            </w:r>
          </w:p>
        </w:tc>
      </w:tr>
      <w:tr w:rsidR="00E65AD0" w:rsidRPr="00E65AD0" w14:paraId="6E837615" w14:textId="77777777" w:rsidTr="007C18A0">
        <w:trPr>
          <w:trHeight w:hRule="exact" w:val="430"/>
        </w:trPr>
        <w:tc>
          <w:tcPr>
            <w:tcW w:w="2521" w:type="pct"/>
            <w:shd w:val="clear" w:color="000000" w:fill="FFFFFF"/>
            <w:noWrap/>
          </w:tcPr>
          <w:p w14:paraId="0AC00F9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Triple</w:t>
            </w:r>
            <w:r w:rsidRPr="00E65AD0">
              <w:rPr>
                <w:rFonts w:ascii="Book Antiqua" w:hAnsi="Book Antiqua"/>
                <w:shd w:val="clear" w:color="auto" w:fill="FFFFFF"/>
                <w:vertAlign w:val="superscript"/>
              </w:rPr>
              <w:t>3</w:t>
            </w:r>
          </w:p>
        </w:tc>
        <w:tc>
          <w:tcPr>
            <w:tcW w:w="855" w:type="pct"/>
            <w:shd w:val="clear" w:color="000000" w:fill="FFFFFF"/>
          </w:tcPr>
          <w:p w14:paraId="0522563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11515CD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(3.5)</w:t>
            </w:r>
          </w:p>
        </w:tc>
        <w:tc>
          <w:tcPr>
            <w:tcW w:w="683" w:type="pct"/>
            <w:shd w:val="clear" w:color="000000" w:fill="FFFFFF"/>
          </w:tcPr>
          <w:p w14:paraId="796338B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75416519" w14:textId="77777777" w:rsidTr="007C18A0">
        <w:trPr>
          <w:trHeight w:hRule="exact" w:val="373"/>
        </w:trPr>
        <w:tc>
          <w:tcPr>
            <w:tcW w:w="2521" w:type="pct"/>
            <w:shd w:val="clear" w:color="000000" w:fill="FFFFFF"/>
            <w:noWrap/>
          </w:tcPr>
          <w:p w14:paraId="4455E70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Sequential</w:t>
            </w:r>
            <w:r w:rsidRPr="00E65AD0">
              <w:rPr>
                <w:rFonts w:ascii="Book Antiqua" w:hAnsi="Book Antiqua"/>
                <w:shd w:val="clear" w:color="auto" w:fill="FFFFFF"/>
                <w:vertAlign w:val="superscript"/>
              </w:rPr>
              <w:t>4</w:t>
            </w:r>
          </w:p>
        </w:tc>
        <w:tc>
          <w:tcPr>
            <w:tcW w:w="855" w:type="pct"/>
            <w:shd w:val="clear" w:color="000000" w:fill="FFFFFF"/>
          </w:tcPr>
          <w:p w14:paraId="2E8E05C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(3.6)</w:t>
            </w:r>
          </w:p>
        </w:tc>
        <w:tc>
          <w:tcPr>
            <w:tcW w:w="940" w:type="pct"/>
            <w:shd w:val="clear" w:color="000000" w:fill="FFFFFF"/>
          </w:tcPr>
          <w:p w14:paraId="1980D9F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7F36D2C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0.33</w:t>
            </w:r>
          </w:p>
        </w:tc>
      </w:tr>
      <w:tr w:rsidR="00E65AD0" w:rsidRPr="00E65AD0" w14:paraId="67422B32" w14:textId="77777777" w:rsidTr="007C18A0">
        <w:trPr>
          <w:trHeight w:hRule="exact" w:val="353"/>
        </w:trPr>
        <w:tc>
          <w:tcPr>
            <w:tcW w:w="2521" w:type="pct"/>
            <w:shd w:val="clear" w:color="000000" w:fill="FFFFFF"/>
            <w:noWrap/>
          </w:tcPr>
          <w:p w14:paraId="68D0687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eastAsia="TimesNewRoman" w:hAnsi="Book Antiqua"/>
                <w:i/>
                <w:lang w:val="en-AU" w:eastAsia="en-US"/>
              </w:rPr>
              <w:t>H. pylori</w:t>
            </w:r>
            <w:r w:rsidRPr="00E65AD0">
              <w:rPr>
                <w:rFonts w:ascii="Book Antiqua" w:eastAsia="TimesNewRoman" w:hAnsi="Book Antiqua"/>
                <w:lang w:val="en-AU" w:eastAsia="en-US"/>
              </w:rPr>
              <w:t xml:space="preserve"> </w:t>
            </w:r>
            <w:r w:rsidRPr="00E65AD0">
              <w:rPr>
                <w:rFonts w:ascii="Book Antiqua" w:hAnsi="Book Antiqua"/>
                <w:lang w:val="en-US"/>
              </w:rPr>
              <w:t>eradication cycles,</w:t>
            </w:r>
            <w:r w:rsidRPr="00E65AD0">
              <w:rPr>
                <w:rFonts w:ascii="Book Antiqua" w:hAnsi="Book Antiqua" w:cs="Courier New"/>
                <w:lang w:val="en-AU" w:eastAsia="en-US"/>
              </w:rPr>
              <w:t xml:space="preserve"> </w:t>
            </w:r>
            <w:r w:rsidRPr="00E65AD0">
              <w:rPr>
                <w:rFonts w:ascii="Book Antiqua" w:hAnsi="Book Antiqua"/>
                <w:i/>
                <w:lang w:val="en-AU"/>
              </w:rPr>
              <w:t>n</w:t>
            </w:r>
            <w:r w:rsidRPr="00E65AD0">
              <w:rPr>
                <w:rFonts w:ascii="Book Antiqua" w:hAnsi="Book Antiqua"/>
                <w:lang w:val="en-AU"/>
              </w:rPr>
              <w:t xml:space="preserve"> (%)</w:t>
            </w:r>
          </w:p>
        </w:tc>
        <w:tc>
          <w:tcPr>
            <w:tcW w:w="855" w:type="pct"/>
            <w:shd w:val="clear" w:color="000000" w:fill="FFFFFF"/>
          </w:tcPr>
          <w:p w14:paraId="1E457FB8"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6B41766E"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496949D4"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2734E158" w14:textId="77777777" w:rsidTr="007C18A0">
        <w:trPr>
          <w:trHeight w:hRule="exact" w:val="416"/>
        </w:trPr>
        <w:tc>
          <w:tcPr>
            <w:tcW w:w="2521" w:type="pct"/>
            <w:shd w:val="clear" w:color="000000" w:fill="FFFFFF"/>
            <w:noWrap/>
          </w:tcPr>
          <w:p w14:paraId="70800D8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One cycle</w:t>
            </w:r>
          </w:p>
        </w:tc>
        <w:tc>
          <w:tcPr>
            <w:tcW w:w="855" w:type="pct"/>
            <w:shd w:val="clear" w:color="000000" w:fill="FFFFFF"/>
          </w:tcPr>
          <w:p w14:paraId="7B94EC1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22 (78.6)</w:t>
            </w:r>
          </w:p>
        </w:tc>
        <w:tc>
          <w:tcPr>
            <w:tcW w:w="940" w:type="pct"/>
            <w:shd w:val="clear" w:color="000000" w:fill="FFFFFF"/>
          </w:tcPr>
          <w:p w14:paraId="1B32BAD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46 (86)</w:t>
            </w:r>
          </w:p>
        </w:tc>
        <w:tc>
          <w:tcPr>
            <w:tcW w:w="683" w:type="pct"/>
            <w:shd w:val="clear" w:color="000000" w:fill="FFFFFF"/>
          </w:tcPr>
          <w:p w14:paraId="0436039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0.82</w:t>
            </w:r>
          </w:p>
        </w:tc>
      </w:tr>
      <w:tr w:rsidR="00E65AD0" w:rsidRPr="00E65AD0" w14:paraId="1DA17758" w14:textId="77777777" w:rsidTr="007C18A0">
        <w:trPr>
          <w:trHeight w:hRule="exact" w:val="416"/>
        </w:trPr>
        <w:tc>
          <w:tcPr>
            <w:tcW w:w="2521" w:type="pct"/>
            <w:shd w:val="clear" w:color="000000" w:fill="FFFFFF"/>
            <w:noWrap/>
          </w:tcPr>
          <w:p w14:paraId="32B5C1D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lastRenderedPageBreak/>
              <w:t>Two cycles</w:t>
            </w:r>
          </w:p>
        </w:tc>
        <w:tc>
          <w:tcPr>
            <w:tcW w:w="855" w:type="pct"/>
            <w:shd w:val="clear" w:color="000000" w:fill="FFFFFF"/>
          </w:tcPr>
          <w:p w14:paraId="01DB0D6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6 (21.4)</w:t>
            </w:r>
          </w:p>
        </w:tc>
        <w:tc>
          <w:tcPr>
            <w:tcW w:w="940" w:type="pct"/>
            <w:shd w:val="clear" w:color="000000" w:fill="FFFFFF"/>
          </w:tcPr>
          <w:p w14:paraId="4B9E2B9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8 (14)</w:t>
            </w:r>
          </w:p>
        </w:tc>
        <w:tc>
          <w:tcPr>
            <w:tcW w:w="683" w:type="pct"/>
            <w:shd w:val="clear" w:color="000000" w:fill="FFFFFF"/>
          </w:tcPr>
          <w:p w14:paraId="0DFC284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0.82</w:t>
            </w:r>
          </w:p>
        </w:tc>
      </w:tr>
      <w:tr w:rsidR="00E65AD0" w:rsidRPr="00E65AD0" w14:paraId="3007D4A7" w14:textId="77777777" w:rsidTr="007C18A0">
        <w:trPr>
          <w:trHeight w:hRule="exact" w:val="416"/>
        </w:trPr>
        <w:tc>
          <w:tcPr>
            <w:tcW w:w="2521" w:type="pct"/>
            <w:shd w:val="clear" w:color="000000" w:fill="FFFFFF"/>
            <w:noWrap/>
          </w:tcPr>
          <w:p w14:paraId="566C3F1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OLGA scale before</w:t>
            </w:r>
            <w:r w:rsidRPr="00E65AD0">
              <w:rPr>
                <w:rFonts w:ascii="Book Antiqua" w:hAnsi="Book Antiqua"/>
                <w:vertAlign w:val="superscript"/>
                <w:lang w:val="en-US"/>
              </w:rPr>
              <w:t>5</w:t>
            </w:r>
          </w:p>
        </w:tc>
        <w:tc>
          <w:tcPr>
            <w:tcW w:w="855" w:type="pct"/>
            <w:shd w:val="clear" w:color="000000" w:fill="FFFFFF"/>
          </w:tcPr>
          <w:p w14:paraId="11BE14B4"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442CF6B6"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0C017C3D"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2BBB219F" w14:textId="77777777" w:rsidTr="007C18A0">
        <w:trPr>
          <w:trHeight w:hRule="exact" w:val="395"/>
        </w:trPr>
        <w:tc>
          <w:tcPr>
            <w:tcW w:w="2521" w:type="pct"/>
            <w:shd w:val="clear" w:color="000000" w:fill="FFFFFF"/>
            <w:noWrap/>
          </w:tcPr>
          <w:p w14:paraId="3775CFC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0</w:t>
            </w:r>
          </w:p>
        </w:tc>
        <w:tc>
          <w:tcPr>
            <w:tcW w:w="855" w:type="pct"/>
            <w:shd w:val="clear" w:color="000000" w:fill="FFFFFF"/>
          </w:tcPr>
          <w:p w14:paraId="3DAFE4B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1FE65D3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639379F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w:t>
            </w:r>
          </w:p>
        </w:tc>
      </w:tr>
      <w:tr w:rsidR="00E65AD0" w:rsidRPr="00E65AD0" w14:paraId="1A9DEF78" w14:textId="77777777" w:rsidTr="007C18A0">
        <w:trPr>
          <w:trHeight w:hRule="exact" w:val="395"/>
        </w:trPr>
        <w:tc>
          <w:tcPr>
            <w:tcW w:w="2521" w:type="pct"/>
            <w:shd w:val="clear" w:color="000000" w:fill="FFFFFF"/>
            <w:noWrap/>
          </w:tcPr>
          <w:p w14:paraId="4505944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1-2</w:t>
            </w:r>
          </w:p>
        </w:tc>
        <w:tc>
          <w:tcPr>
            <w:tcW w:w="855" w:type="pct"/>
            <w:shd w:val="clear" w:color="000000" w:fill="FFFFFF"/>
          </w:tcPr>
          <w:p w14:paraId="02160E2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8 (28.6)</w:t>
            </w:r>
          </w:p>
        </w:tc>
        <w:tc>
          <w:tcPr>
            <w:tcW w:w="940" w:type="pct"/>
            <w:shd w:val="clear" w:color="000000" w:fill="FFFFFF"/>
          </w:tcPr>
          <w:p w14:paraId="2329EE5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48 (84.2)</w:t>
            </w:r>
          </w:p>
        </w:tc>
        <w:tc>
          <w:tcPr>
            <w:tcW w:w="683" w:type="pct"/>
            <w:shd w:val="clear" w:color="000000" w:fill="FFFFFF"/>
          </w:tcPr>
          <w:p w14:paraId="1AAA843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b</w:t>
            </w:r>
          </w:p>
        </w:tc>
      </w:tr>
      <w:tr w:rsidR="00E65AD0" w:rsidRPr="00E65AD0" w14:paraId="66124879" w14:textId="77777777" w:rsidTr="007C18A0">
        <w:trPr>
          <w:trHeight w:hRule="exact" w:val="395"/>
        </w:trPr>
        <w:tc>
          <w:tcPr>
            <w:tcW w:w="2521" w:type="pct"/>
            <w:shd w:val="clear" w:color="000000" w:fill="FFFFFF"/>
            <w:noWrap/>
          </w:tcPr>
          <w:p w14:paraId="37F893C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3-4</w:t>
            </w:r>
          </w:p>
        </w:tc>
        <w:tc>
          <w:tcPr>
            <w:tcW w:w="855" w:type="pct"/>
            <w:shd w:val="clear" w:color="000000" w:fill="FFFFFF"/>
          </w:tcPr>
          <w:p w14:paraId="56491FB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20 (71.4)</w:t>
            </w:r>
          </w:p>
        </w:tc>
        <w:tc>
          <w:tcPr>
            <w:tcW w:w="940" w:type="pct"/>
            <w:shd w:val="clear" w:color="000000" w:fill="FFFFFF"/>
          </w:tcPr>
          <w:p w14:paraId="4E51953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5 (8.8)</w:t>
            </w:r>
          </w:p>
        </w:tc>
        <w:tc>
          <w:tcPr>
            <w:tcW w:w="683" w:type="pct"/>
            <w:shd w:val="clear" w:color="000000" w:fill="FFFFFF"/>
          </w:tcPr>
          <w:p w14:paraId="2AD5C5C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449707A9" w14:textId="77777777" w:rsidTr="007C18A0">
        <w:trPr>
          <w:trHeight w:hRule="exact" w:val="395"/>
        </w:trPr>
        <w:tc>
          <w:tcPr>
            <w:tcW w:w="2521" w:type="pct"/>
            <w:shd w:val="clear" w:color="000000" w:fill="FFFFFF"/>
            <w:noWrap/>
          </w:tcPr>
          <w:p w14:paraId="6673459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OLGA scale after</w:t>
            </w:r>
            <w:r w:rsidRPr="00E65AD0">
              <w:rPr>
                <w:rFonts w:ascii="Book Antiqua" w:hAnsi="Book Antiqua"/>
                <w:vertAlign w:val="superscript"/>
                <w:lang w:val="en-US"/>
              </w:rPr>
              <w:t>6</w:t>
            </w:r>
          </w:p>
        </w:tc>
        <w:tc>
          <w:tcPr>
            <w:tcW w:w="855" w:type="pct"/>
            <w:shd w:val="clear" w:color="000000" w:fill="FFFFFF"/>
          </w:tcPr>
          <w:p w14:paraId="6F418074"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3EE9D0BC"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2AF99A09"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0C9529B3" w14:textId="77777777" w:rsidTr="007C18A0">
        <w:trPr>
          <w:trHeight w:hRule="exact" w:val="395"/>
        </w:trPr>
        <w:tc>
          <w:tcPr>
            <w:tcW w:w="2521" w:type="pct"/>
            <w:shd w:val="clear" w:color="000000" w:fill="FFFFFF"/>
            <w:noWrap/>
          </w:tcPr>
          <w:p w14:paraId="710DC7A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0</w:t>
            </w:r>
          </w:p>
        </w:tc>
        <w:tc>
          <w:tcPr>
            <w:tcW w:w="855" w:type="pct"/>
            <w:shd w:val="clear" w:color="000000" w:fill="FFFFFF"/>
          </w:tcPr>
          <w:p w14:paraId="38B1CCD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180BB57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143D3E8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w:t>
            </w:r>
          </w:p>
        </w:tc>
      </w:tr>
      <w:tr w:rsidR="00E65AD0" w:rsidRPr="00E65AD0" w14:paraId="55AD33B9" w14:textId="77777777" w:rsidTr="007C18A0">
        <w:trPr>
          <w:trHeight w:hRule="exact" w:val="395"/>
        </w:trPr>
        <w:tc>
          <w:tcPr>
            <w:tcW w:w="2521" w:type="pct"/>
            <w:shd w:val="clear" w:color="000000" w:fill="FFFFFF"/>
            <w:noWrap/>
          </w:tcPr>
          <w:p w14:paraId="516D6B4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1-2</w:t>
            </w:r>
          </w:p>
        </w:tc>
        <w:tc>
          <w:tcPr>
            <w:tcW w:w="855" w:type="pct"/>
            <w:shd w:val="clear" w:color="000000" w:fill="FFFFFF"/>
          </w:tcPr>
          <w:p w14:paraId="6DB965E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7 (25)</w:t>
            </w:r>
          </w:p>
        </w:tc>
        <w:tc>
          <w:tcPr>
            <w:tcW w:w="940" w:type="pct"/>
            <w:shd w:val="clear" w:color="000000" w:fill="FFFFFF"/>
          </w:tcPr>
          <w:p w14:paraId="7C87F47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44 (77.2)</w:t>
            </w:r>
          </w:p>
        </w:tc>
        <w:tc>
          <w:tcPr>
            <w:tcW w:w="683" w:type="pct"/>
            <w:shd w:val="clear" w:color="000000" w:fill="FFFFFF"/>
          </w:tcPr>
          <w:p w14:paraId="06BB2CA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b</w:t>
            </w:r>
          </w:p>
        </w:tc>
      </w:tr>
      <w:tr w:rsidR="00E65AD0" w:rsidRPr="00E65AD0" w14:paraId="21EE3259" w14:textId="77777777" w:rsidTr="007C18A0">
        <w:trPr>
          <w:trHeight w:hRule="exact" w:val="395"/>
        </w:trPr>
        <w:tc>
          <w:tcPr>
            <w:tcW w:w="2521" w:type="pct"/>
            <w:shd w:val="clear" w:color="000000" w:fill="FFFFFF"/>
            <w:noWrap/>
          </w:tcPr>
          <w:p w14:paraId="70A6225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3-4</w:t>
            </w:r>
          </w:p>
        </w:tc>
        <w:tc>
          <w:tcPr>
            <w:tcW w:w="855" w:type="pct"/>
            <w:shd w:val="clear" w:color="000000" w:fill="FFFFFF"/>
          </w:tcPr>
          <w:p w14:paraId="308121A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21 (75)</w:t>
            </w:r>
          </w:p>
        </w:tc>
        <w:tc>
          <w:tcPr>
            <w:tcW w:w="940" w:type="pct"/>
            <w:shd w:val="clear" w:color="000000" w:fill="FFFFFF"/>
          </w:tcPr>
          <w:p w14:paraId="64F5C63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9 (15.8)</w:t>
            </w:r>
          </w:p>
        </w:tc>
        <w:tc>
          <w:tcPr>
            <w:tcW w:w="683" w:type="pct"/>
            <w:shd w:val="clear" w:color="000000" w:fill="FFFFFF"/>
          </w:tcPr>
          <w:p w14:paraId="43C2C43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b</w:t>
            </w:r>
          </w:p>
        </w:tc>
      </w:tr>
      <w:tr w:rsidR="00E65AD0" w:rsidRPr="00E65AD0" w14:paraId="7991823A" w14:textId="77777777" w:rsidTr="007C18A0">
        <w:trPr>
          <w:trHeight w:hRule="exact" w:val="395"/>
        </w:trPr>
        <w:tc>
          <w:tcPr>
            <w:tcW w:w="2521" w:type="pct"/>
            <w:shd w:val="clear" w:color="000000" w:fill="FFFFFF"/>
            <w:noWrap/>
          </w:tcPr>
          <w:p w14:paraId="4A0E34E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OLGIM scale before</w:t>
            </w:r>
          </w:p>
        </w:tc>
        <w:tc>
          <w:tcPr>
            <w:tcW w:w="855" w:type="pct"/>
            <w:shd w:val="clear" w:color="000000" w:fill="FFFFFF"/>
          </w:tcPr>
          <w:p w14:paraId="1E117BEF"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1FCC41C3"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7A03A9AE"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1C6482D3" w14:textId="77777777" w:rsidTr="007C18A0">
        <w:trPr>
          <w:trHeight w:hRule="exact" w:val="395"/>
        </w:trPr>
        <w:tc>
          <w:tcPr>
            <w:tcW w:w="2521" w:type="pct"/>
            <w:shd w:val="clear" w:color="000000" w:fill="FFFFFF"/>
            <w:noWrap/>
          </w:tcPr>
          <w:p w14:paraId="5E3DDB6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0</w:t>
            </w:r>
          </w:p>
        </w:tc>
        <w:tc>
          <w:tcPr>
            <w:tcW w:w="855" w:type="pct"/>
            <w:shd w:val="clear" w:color="000000" w:fill="FFFFFF"/>
          </w:tcPr>
          <w:p w14:paraId="0616499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201223E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40 (70.1)</w:t>
            </w:r>
          </w:p>
        </w:tc>
        <w:tc>
          <w:tcPr>
            <w:tcW w:w="683" w:type="pct"/>
            <w:shd w:val="clear" w:color="000000" w:fill="FFFFFF"/>
          </w:tcPr>
          <w:p w14:paraId="72F782D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02E556DF" w14:textId="77777777" w:rsidTr="007C18A0">
        <w:trPr>
          <w:trHeight w:hRule="exact" w:val="395"/>
        </w:trPr>
        <w:tc>
          <w:tcPr>
            <w:tcW w:w="2521" w:type="pct"/>
            <w:shd w:val="clear" w:color="000000" w:fill="FFFFFF"/>
            <w:noWrap/>
          </w:tcPr>
          <w:p w14:paraId="56FB9C0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1-2</w:t>
            </w:r>
          </w:p>
        </w:tc>
        <w:tc>
          <w:tcPr>
            <w:tcW w:w="855" w:type="pct"/>
            <w:shd w:val="clear" w:color="000000" w:fill="FFFFFF"/>
          </w:tcPr>
          <w:p w14:paraId="0D9D043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12 (42.8)</w:t>
            </w:r>
          </w:p>
        </w:tc>
        <w:tc>
          <w:tcPr>
            <w:tcW w:w="940" w:type="pct"/>
            <w:shd w:val="clear" w:color="000000" w:fill="FFFFFF"/>
          </w:tcPr>
          <w:p w14:paraId="5BB8A09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16 (28.1)</w:t>
            </w:r>
          </w:p>
        </w:tc>
        <w:tc>
          <w:tcPr>
            <w:tcW w:w="683" w:type="pct"/>
            <w:shd w:val="clear" w:color="000000" w:fill="FFFFFF"/>
          </w:tcPr>
          <w:p w14:paraId="54F62B3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0.17</w:t>
            </w:r>
          </w:p>
        </w:tc>
      </w:tr>
      <w:tr w:rsidR="00E65AD0" w:rsidRPr="00E65AD0" w14:paraId="69C6AA02" w14:textId="77777777" w:rsidTr="007C18A0">
        <w:trPr>
          <w:trHeight w:hRule="exact" w:val="395"/>
        </w:trPr>
        <w:tc>
          <w:tcPr>
            <w:tcW w:w="2521" w:type="pct"/>
            <w:shd w:val="clear" w:color="000000" w:fill="FFFFFF"/>
            <w:noWrap/>
          </w:tcPr>
          <w:p w14:paraId="334253B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3-4</w:t>
            </w:r>
          </w:p>
        </w:tc>
        <w:tc>
          <w:tcPr>
            <w:tcW w:w="855" w:type="pct"/>
            <w:shd w:val="clear" w:color="000000" w:fill="FFFFFF"/>
          </w:tcPr>
          <w:p w14:paraId="1292A83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16 (57.1)</w:t>
            </w:r>
          </w:p>
        </w:tc>
        <w:tc>
          <w:tcPr>
            <w:tcW w:w="940" w:type="pct"/>
            <w:shd w:val="clear" w:color="000000" w:fill="FFFFFF"/>
          </w:tcPr>
          <w:p w14:paraId="1F4C25D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(1.8)</w:t>
            </w:r>
          </w:p>
        </w:tc>
        <w:tc>
          <w:tcPr>
            <w:tcW w:w="683" w:type="pct"/>
            <w:shd w:val="clear" w:color="000000" w:fill="FFFFFF"/>
          </w:tcPr>
          <w:p w14:paraId="4753829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68EC6138" w14:textId="77777777" w:rsidTr="007C18A0">
        <w:trPr>
          <w:trHeight w:hRule="exact" w:val="395"/>
        </w:trPr>
        <w:tc>
          <w:tcPr>
            <w:tcW w:w="2521" w:type="pct"/>
            <w:shd w:val="clear" w:color="000000" w:fill="FFFFFF"/>
            <w:noWrap/>
          </w:tcPr>
          <w:p w14:paraId="0574FAE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OLGIM scale after</w:t>
            </w:r>
          </w:p>
        </w:tc>
        <w:tc>
          <w:tcPr>
            <w:tcW w:w="855" w:type="pct"/>
            <w:shd w:val="clear" w:color="000000" w:fill="FFFFFF"/>
          </w:tcPr>
          <w:p w14:paraId="73CB14A9"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50E48AEF"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6AB2D042"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3DC92C43" w14:textId="77777777" w:rsidTr="007C18A0">
        <w:trPr>
          <w:trHeight w:hRule="exact" w:val="395"/>
        </w:trPr>
        <w:tc>
          <w:tcPr>
            <w:tcW w:w="2521" w:type="pct"/>
            <w:shd w:val="clear" w:color="000000" w:fill="FFFFFF"/>
            <w:noWrap/>
          </w:tcPr>
          <w:p w14:paraId="4F5A9B1A"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0</w:t>
            </w:r>
          </w:p>
        </w:tc>
        <w:tc>
          <w:tcPr>
            <w:tcW w:w="855" w:type="pct"/>
            <w:shd w:val="clear" w:color="000000" w:fill="FFFFFF"/>
          </w:tcPr>
          <w:p w14:paraId="61FD14A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450E2D3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29 (50.9)</w:t>
            </w:r>
          </w:p>
        </w:tc>
        <w:tc>
          <w:tcPr>
            <w:tcW w:w="683" w:type="pct"/>
            <w:shd w:val="clear" w:color="000000" w:fill="FFFFFF"/>
          </w:tcPr>
          <w:p w14:paraId="4BE8D1E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7777A526" w14:textId="77777777" w:rsidTr="007C18A0">
        <w:trPr>
          <w:trHeight w:hRule="exact" w:val="395"/>
        </w:trPr>
        <w:tc>
          <w:tcPr>
            <w:tcW w:w="2521" w:type="pct"/>
            <w:shd w:val="clear" w:color="000000" w:fill="FFFFFF"/>
            <w:noWrap/>
          </w:tcPr>
          <w:p w14:paraId="69B3D9A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1-2</w:t>
            </w:r>
          </w:p>
        </w:tc>
        <w:tc>
          <w:tcPr>
            <w:tcW w:w="855" w:type="pct"/>
            <w:shd w:val="clear" w:color="000000" w:fill="FFFFFF"/>
          </w:tcPr>
          <w:p w14:paraId="33B201A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7 (25)</w:t>
            </w:r>
          </w:p>
        </w:tc>
        <w:tc>
          <w:tcPr>
            <w:tcW w:w="940" w:type="pct"/>
            <w:shd w:val="clear" w:color="000000" w:fill="FFFFFF"/>
          </w:tcPr>
          <w:p w14:paraId="4EF58A8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24 (42.1)</w:t>
            </w:r>
          </w:p>
        </w:tc>
        <w:tc>
          <w:tcPr>
            <w:tcW w:w="683" w:type="pct"/>
            <w:shd w:val="clear" w:color="000000" w:fill="FFFFFF"/>
          </w:tcPr>
          <w:p w14:paraId="3CCF4AD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0.12</w:t>
            </w:r>
          </w:p>
        </w:tc>
      </w:tr>
      <w:tr w:rsidR="00E65AD0" w:rsidRPr="00E65AD0" w14:paraId="6E27ADCB" w14:textId="77777777" w:rsidTr="007C18A0">
        <w:trPr>
          <w:trHeight w:hRule="exact" w:val="490"/>
        </w:trPr>
        <w:tc>
          <w:tcPr>
            <w:tcW w:w="2521" w:type="pct"/>
            <w:shd w:val="clear" w:color="000000" w:fill="FFFFFF"/>
            <w:noWrap/>
          </w:tcPr>
          <w:p w14:paraId="44078AB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Stage 3-4</w:t>
            </w:r>
          </w:p>
        </w:tc>
        <w:tc>
          <w:tcPr>
            <w:tcW w:w="855" w:type="pct"/>
            <w:shd w:val="clear" w:color="000000" w:fill="FFFFFF"/>
          </w:tcPr>
          <w:p w14:paraId="7061FF5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21 (75)</w:t>
            </w:r>
          </w:p>
        </w:tc>
        <w:tc>
          <w:tcPr>
            <w:tcW w:w="940" w:type="pct"/>
            <w:shd w:val="clear" w:color="000000" w:fill="FFFFFF"/>
          </w:tcPr>
          <w:p w14:paraId="7A8EDEB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 (7)</w:t>
            </w:r>
          </w:p>
        </w:tc>
        <w:tc>
          <w:tcPr>
            <w:tcW w:w="683" w:type="pct"/>
            <w:shd w:val="clear" w:color="000000" w:fill="FFFFFF"/>
          </w:tcPr>
          <w:p w14:paraId="5603E2F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&lt;</w:t>
            </w:r>
            <w:r w:rsidR="009271CF" w:rsidRPr="00E65AD0">
              <w:rPr>
                <w:rFonts w:ascii="Book Antiqua" w:eastAsia="宋体" w:hAnsi="Book Antiqua"/>
                <w:lang w:val="en-US" w:eastAsia="zh-CN"/>
              </w:rPr>
              <w:t xml:space="preserve"> </w:t>
            </w:r>
            <w:r w:rsidRPr="00E65AD0">
              <w:rPr>
                <w:rFonts w:ascii="Book Antiqua" w:hAnsi="Book Antiqua"/>
                <w:lang w:val="en-US"/>
              </w:rPr>
              <w:t>0.0001</w:t>
            </w:r>
            <w:r w:rsidRPr="00E65AD0">
              <w:rPr>
                <w:rFonts w:ascii="Book Antiqua" w:hAnsi="Book Antiqua"/>
                <w:shd w:val="clear" w:color="auto" w:fill="FFFFFF"/>
                <w:vertAlign w:val="superscript"/>
              </w:rPr>
              <w:t>c</w:t>
            </w:r>
          </w:p>
        </w:tc>
      </w:tr>
      <w:tr w:rsidR="00E65AD0" w:rsidRPr="00E65AD0" w14:paraId="22011456" w14:textId="77777777" w:rsidTr="007C18A0">
        <w:trPr>
          <w:trHeight w:hRule="exact" w:val="395"/>
        </w:trPr>
        <w:tc>
          <w:tcPr>
            <w:tcW w:w="2521" w:type="pct"/>
            <w:shd w:val="clear" w:color="000000" w:fill="FFFFFF"/>
            <w:noWrap/>
          </w:tcPr>
          <w:p w14:paraId="0343333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Gastritis at histology before, </w:t>
            </w:r>
            <w:r w:rsidRPr="00E65AD0">
              <w:rPr>
                <w:rFonts w:ascii="Book Antiqua" w:hAnsi="Book Antiqua"/>
                <w:i/>
                <w:lang w:val="en-US"/>
              </w:rPr>
              <w:t>n</w:t>
            </w:r>
            <w:r w:rsidRPr="00E65AD0">
              <w:rPr>
                <w:rFonts w:ascii="Book Antiqua" w:hAnsi="Book Antiqua"/>
                <w:lang w:val="en-US"/>
              </w:rPr>
              <w:t xml:space="preserve"> (%)</w:t>
            </w:r>
          </w:p>
        </w:tc>
        <w:tc>
          <w:tcPr>
            <w:tcW w:w="855" w:type="pct"/>
            <w:shd w:val="clear" w:color="000000" w:fill="FFFFFF"/>
          </w:tcPr>
          <w:p w14:paraId="440FAEC0"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28AFCE53"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7B8B1712"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1D590D0B" w14:textId="77777777" w:rsidTr="007C18A0">
        <w:trPr>
          <w:trHeight w:hRule="exact" w:val="395"/>
        </w:trPr>
        <w:tc>
          <w:tcPr>
            <w:tcW w:w="2521" w:type="pct"/>
            <w:shd w:val="clear" w:color="000000" w:fill="FFFFFF"/>
            <w:noWrap/>
          </w:tcPr>
          <w:p w14:paraId="1E75F86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Quiescent</w:t>
            </w:r>
          </w:p>
        </w:tc>
        <w:tc>
          <w:tcPr>
            <w:tcW w:w="855" w:type="pct"/>
            <w:shd w:val="clear" w:color="000000" w:fill="FFFFFF"/>
          </w:tcPr>
          <w:p w14:paraId="2EC6E34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1F0AEC0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010E517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471B62BE" w14:textId="77777777" w:rsidTr="007C18A0">
        <w:trPr>
          <w:trHeight w:hRule="exact" w:val="395"/>
        </w:trPr>
        <w:tc>
          <w:tcPr>
            <w:tcW w:w="2521" w:type="pct"/>
            <w:shd w:val="clear" w:color="000000" w:fill="FFFFFF"/>
            <w:noWrap/>
          </w:tcPr>
          <w:p w14:paraId="7C56104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Mild</w:t>
            </w:r>
          </w:p>
        </w:tc>
        <w:tc>
          <w:tcPr>
            <w:tcW w:w="855" w:type="pct"/>
            <w:shd w:val="clear" w:color="000000" w:fill="FFFFFF"/>
          </w:tcPr>
          <w:p w14:paraId="0CBC2CE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 (10.7)</w:t>
            </w:r>
          </w:p>
        </w:tc>
        <w:tc>
          <w:tcPr>
            <w:tcW w:w="940" w:type="pct"/>
            <w:shd w:val="clear" w:color="000000" w:fill="FFFFFF"/>
          </w:tcPr>
          <w:p w14:paraId="2A12A05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16 (28.1)</w:t>
            </w:r>
          </w:p>
        </w:tc>
        <w:tc>
          <w:tcPr>
            <w:tcW w:w="683" w:type="pct"/>
            <w:shd w:val="clear" w:color="000000" w:fill="FFFFFF"/>
          </w:tcPr>
          <w:p w14:paraId="279CD81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0.10</w:t>
            </w:r>
          </w:p>
        </w:tc>
      </w:tr>
      <w:tr w:rsidR="00E65AD0" w:rsidRPr="00E65AD0" w14:paraId="542D2189" w14:textId="77777777" w:rsidTr="007C18A0">
        <w:trPr>
          <w:trHeight w:hRule="exact" w:val="432"/>
        </w:trPr>
        <w:tc>
          <w:tcPr>
            <w:tcW w:w="2521" w:type="pct"/>
            <w:shd w:val="clear" w:color="000000" w:fill="FFFFFF"/>
            <w:noWrap/>
          </w:tcPr>
          <w:p w14:paraId="00A7F23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Moderate-severe</w:t>
            </w:r>
          </w:p>
        </w:tc>
        <w:tc>
          <w:tcPr>
            <w:tcW w:w="855" w:type="pct"/>
            <w:shd w:val="clear" w:color="000000" w:fill="FFFFFF"/>
          </w:tcPr>
          <w:p w14:paraId="4602C2C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25 (89.3)</w:t>
            </w:r>
          </w:p>
        </w:tc>
        <w:tc>
          <w:tcPr>
            <w:tcW w:w="940" w:type="pct"/>
            <w:shd w:val="clear" w:color="000000" w:fill="FFFFFF"/>
          </w:tcPr>
          <w:p w14:paraId="72F70DA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41 (71.9)</w:t>
            </w:r>
          </w:p>
        </w:tc>
        <w:tc>
          <w:tcPr>
            <w:tcW w:w="683" w:type="pct"/>
            <w:shd w:val="clear" w:color="000000" w:fill="FFFFFF"/>
          </w:tcPr>
          <w:p w14:paraId="0AD2CDC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0.10</w:t>
            </w:r>
          </w:p>
        </w:tc>
      </w:tr>
      <w:tr w:rsidR="00E65AD0" w:rsidRPr="00E65AD0" w14:paraId="3E5BC1F9" w14:textId="77777777" w:rsidTr="007C18A0">
        <w:trPr>
          <w:trHeight w:hRule="exact" w:val="447"/>
        </w:trPr>
        <w:tc>
          <w:tcPr>
            <w:tcW w:w="2521" w:type="pct"/>
            <w:shd w:val="clear" w:color="000000" w:fill="FFFFFF"/>
            <w:noWrap/>
          </w:tcPr>
          <w:p w14:paraId="626C613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Gastritis at histology after, </w:t>
            </w:r>
            <w:r w:rsidRPr="00E65AD0">
              <w:rPr>
                <w:rFonts w:ascii="Book Antiqua" w:hAnsi="Book Antiqua"/>
                <w:i/>
                <w:lang w:val="en-US"/>
              </w:rPr>
              <w:t xml:space="preserve">n </w:t>
            </w:r>
            <w:r w:rsidRPr="00E65AD0">
              <w:rPr>
                <w:rFonts w:ascii="Book Antiqua" w:hAnsi="Book Antiqua"/>
                <w:lang w:val="en-US"/>
              </w:rPr>
              <w:t>(%)</w:t>
            </w:r>
          </w:p>
        </w:tc>
        <w:tc>
          <w:tcPr>
            <w:tcW w:w="855" w:type="pct"/>
            <w:shd w:val="clear" w:color="000000" w:fill="FFFFFF"/>
          </w:tcPr>
          <w:p w14:paraId="72DAF3D1"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54C87B88"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2A37EBBF"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3DF61BA3" w14:textId="77777777" w:rsidTr="007C18A0">
        <w:trPr>
          <w:trHeight w:hRule="exact" w:val="447"/>
        </w:trPr>
        <w:tc>
          <w:tcPr>
            <w:tcW w:w="2521" w:type="pct"/>
            <w:shd w:val="clear" w:color="000000" w:fill="FFFFFF"/>
            <w:noWrap/>
          </w:tcPr>
          <w:p w14:paraId="612D412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Quiescent</w:t>
            </w:r>
          </w:p>
        </w:tc>
        <w:tc>
          <w:tcPr>
            <w:tcW w:w="855" w:type="pct"/>
            <w:shd w:val="clear" w:color="000000" w:fill="FFFFFF"/>
          </w:tcPr>
          <w:p w14:paraId="20294AE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26 (92.9)</w:t>
            </w:r>
          </w:p>
        </w:tc>
        <w:tc>
          <w:tcPr>
            <w:tcW w:w="940" w:type="pct"/>
            <w:shd w:val="clear" w:color="000000" w:fill="FFFFFF"/>
          </w:tcPr>
          <w:p w14:paraId="6B2AB88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55 (96.5)</w:t>
            </w:r>
          </w:p>
        </w:tc>
        <w:tc>
          <w:tcPr>
            <w:tcW w:w="683" w:type="pct"/>
            <w:shd w:val="clear" w:color="000000" w:fill="FFFFFF"/>
          </w:tcPr>
          <w:p w14:paraId="60F54F7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0.59</w:t>
            </w:r>
          </w:p>
        </w:tc>
      </w:tr>
      <w:tr w:rsidR="00E65AD0" w:rsidRPr="00E65AD0" w14:paraId="0D384B9E" w14:textId="77777777" w:rsidTr="007C18A0">
        <w:trPr>
          <w:trHeight w:hRule="exact" w:val="447"/>
        </w:trPr>
        <w:tc>
          <w:tcPr>
            <w:tcW w:w="2521" w:type="pct"/>
            <w:shd w:val="clear" w:color="000000" w:fill="FFFFFF"/>
            <w:noWrap/>
          </w:tcPr>
          <w:p w14:paraId="258F17C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Mild</w:t>
            </w:r>
          </w:p>
        </w:tc>
        <w:tc>
          <w:tcPr>
            <w:tcW w:w="855" w:type="pct"/>
            <w:shd w:val="clear" w:color="000000" w:fill="FFFFFF"/>
          </w:tcPr>
          <w:p w14:paraId="7D9005C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(7.1)</w:t>
            </w:r>
          </w:p>
        </w:tc>
        <w:tc>
          <w:tcPr>
            <w:tcW w:w="940" w:type="pct"/>
            <w:shd w:val="clear" w:color="000000" w:fill="FFFFFF"/>
          </w:tcPr>
          <w:p w14:paraId="193AB75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(3.5)</w:t>
            </w:r>
          </w:p>
        </w:tc>
        <w:tc>
          <w:tcPr>
            <w:tcW w:w="683" w:type="pct"/>
            <w:shd w:val="clear" w:color="000000" w:fill="FFFFFF"/>
          </w:tcPr>
          <w:p w14:paraId="7C98CE8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0.50</w:t>
            </w:r>
          </w:p>
        </w:tc>
      </w:tr>
      <w:tr w:rsidR="00E65AD0" w:rsidRPr="00E65AD0" w14:paraId="5B2F772F" w14:textId="77777777" w:rsidTr="007C18A0">
        <w:trPr>
          <w:trHeight w:hRule="exact" w:val="447"/>
        </w:trPr>
        <w:tc>
          <w:tcPr>
            <w:tcW w:w="2521" w:type="pct"/>
            <w:shd w:val="clear" w:color="000000" w:fill="FFFFFF"/>
            <w:noWrap/>
          </w:tcPr>
          <w:p w14:paraId="43B9AAF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Moderate-severe</w:t>
            </w:r>
          </w:p>
        </w:tc>
        <w:tc>
          <w:tcPr>
            <w:tcW w:w="855" w:type="pct"/>
            <w:shd w:val="clear" w:color="000000" w:fill="FFFFFF"/>
          </w:tcPr>
          <w:p w14:paraId="44E092E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7670AB9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5B72B8F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58609B69" w14:textId="77777777" w:rsidTr="007C18A0">
        <w:trPr>
          <w:trHeight w:hRule="exact" w:val="395"/>
        </w:trPr>
        <w:tc>
          <w:tcPr>
            <w:tcW w:w="2521" w:type="pct"/>
            <w:shd w:val="clear" w:color="000000" w:fill="FFFFFF"/>
            <w:noWrap/>
          </w:tcPr>
          <w:p w14:paraId="46FC258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MALT hyperplasia before,</w:t>
            </w:r>
            <w:r w:rsidRPr="00E65AD0">
              <w:rPr>
                <w:rFonts w:ascii="Book Antiqua" w:hAnsi="Book Antiqua" w:cs="Courier New"/>
                <w:lang w:val="en-AU" w:eastAsia="en-US"/>
              </w:rPr>
              <w:t xml:space="preserve"> </w:t>
            </w:r>
            <w:r w:rsidRPr="00E65AD0">
              <w:rPr>
                <w:rFonts w:ascii="Book Antiqua" w:hAnsi="Book Antiqua"/>
                <w:i/>
                <w:lang w:val="en-AU"/>
              </w:rPr>
              <w:t>n</w:t>
            </w:r>
            <w:r w:rsidRPr="00E65AD0">
              <w:rPr>
                <w:rFonts w:ascii="Book Antiqua" w:hAnsi="Book Antiqua"/>
                <w:lang w:val="en-AU"/>
              </w:rPr>
              <w:t xml:space="preserve"> (%) </w:t>
            </w:r>
          </w:p>
        </w:tc>
        <w:tc>
          <w:tcPr>
            <w:tcW w:w="855" w:type="pct"/>
            <w:shd w:val="clear" w:color="000000" w:fill="FFFFFF"/>
          </w:tcPr>
          <w:p w14:paraId="5238BBFB"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65906366"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6F422A60"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01617055" w14:textId="77777777" w:rsidTr="007C18A0">
        <w:trPr>
          <w:trHeight w:hRule="exact" w:val="395"/>
        </w:trPr>
        <w:tc>
          <w:tcPr>
            <w:tcW w:w="2521" w:type="pct"/>
            <w:shd w:val="clear" w:color="000000" w:fill="FFFFFF"/>
            <w:noWrap/>
          </w:tcPr>
          <w:p w14:paraId="0D36F2C6"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Absent</w:t>
            </w:r>
          </w:p>
        </w:tc>
        <w:tc>
          <w:tcPr>
            <w:tcW w:w="855" w:type="pct"/>
            <w:shd w:val="clear" w:color="000000" w:fill="FFFFFF"/>
          </w:tcPr>
          <w:p w14:paraId="100C516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 (35.7)</w:t>
            </w:r>
          </w:p>
        </w:tc>
        <w:tc>
          <w:tcPr>
            <w:tcW w:w="940" w:type="pct"/>
            <w:shd w:val="clear" w:color="000000" w:fill="FFFFFF"/>
          </w:tcPr>
          <w:p w14:paraId="439C7E9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36 (63.2)</w:t>
            </w:r>
          </w:p>
        </w:tc>
        <w:tc>
          <w:tcPr>
            <w:tcW w:w="683" w:type="pct"/>
            <w:shd w:val="clear" w:color="000000" w:fill="FFFFFF"/>
          </w:tcPr>
          <w:p w14:paraId="65B239D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b</w:t>
            </w:r>
          </w:p>
        </w:tc>
      </w:tr>
      <w:tr w:rsidR="00E65AD0" w:rsidRPr="00E65AD0" w14:paraId="4EE7C97B" w14:textId="77777777" w:rsidTr="007C18A0">
        <w:trPr>
          <w:trHeight w:hRule="exact" w:val="423"/>
        </w:trPr>
        <w:tc>
          <w:tcPr>
            <w:tcW w:w="2521" w:type="pct"/>
            <w:shd w:val="clear" w:color="000000" w:fill="FFFFFF"/>
            <w:noWrap/>
          </w:tcPr>
          <w:p w14:paraId="121F191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Mild </w:t>
            </w:r>
          </w:p>
        </w:tc>
        <w:tc>
          <w:tcPr>
            <w:tcW w:w="855" w:type="pct"/>
            <w:shd w:val="clear" w:color="000000" w:fill="FFFFFF"/>
          </w:tcPr>
          <w:p w14:paraId="4E12414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 (35.7)</w:t>
            </w:r>
          </w:p>
        </w:tc>
        <w:tc>
          <w:tcPr>
            <w:tcW w:w="940" w:type="pct"/>
            <w:shd w:val="clear" w:color="000000" w:fill="FFFFFF"/>
          </w:tcPr>
          <w:p w14:paraId="2D5F0F6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15 (26.3)</w:t>
            </w:r>
          </w:p>
        </w:tc>
        <w:tc>
          <w:tcPr>
            <w:tcW w:w="683" w:type="pct"/>
            <w:shd w:val="clear" w:color="000000" w:fill="FFFFFF"/>
          </w:tcPr>
          <w:p w14:paraId="32DFCDD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0.37</w:t>
            </w:r>
          </w:p>
        </w:tc>
      </w:tr>
      <w:tr w:rsidR="00E65AD0" w:rsidRPr="00E65AD0" w14:paraId="5BC37E9D" w14:textId="77777777" w:rsidTr="007C18A0">
        <w:trPr>
          <w:trHeight w:hRule="exact" w:val="404"/>
        </w:trPr>
        <w:tc>
          <w:tcPr>
            <w:tcW w:w="2521" w:type="pct"/>
            <w:shd w:val="clear" w:color="000000" w:fill="FFFFFF"/>
            <w:noWrap/>
          </w:tcPr>
          <w:p w14:paraId="2D29458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Moderate</w:t>
            </w:r>
          </w:p>
        </w:tc>
        <w:tc>
          <w:tcPr>
            <w:tcW w:w="855" w:type="pct"/>
            <w:shd w:val="clear" w:color="000000" w:fill="FFFFFF"/>
          </w:tcPr>
          <w:p w14:paraId="235C4D3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6 (21.4)</w:t>
            </w:r>
          </w:p>
        </w:tc>
        <w:tc>
          <w:tcPr>
            <w:tcW w:w="940" w:type="pct"/>
            <w:shd w:val="clear" w:color="000000" w:fill="FFFFFF"/>
          </w:tcPr>
          <w:p w14:paraId="270A16C9"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5 (8.8)</w:t>
            </w:r>
          </w:p>
        </w:tc>
        <w:tc>
          <w:tcPr>
            <w:tcW w:w="683" w:type="pct"/>
            <w:shd w:val="clear" w:color="000000" w:fill="FFFFFF"/>
          </w:tcPr>
          <w:p w14:paraId="4918E985"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0.17</w:t>
            </w:r>
          </w:p>
        </w:tc>
      </w:tr>
      <w:tr w:rsidR="00E65AD0" w:rsidRPr="00E65AD0" w14:paraId="70411C04" w14:textId="77777777" w:rsidTr="007C18A0">
        <w:trPr>
          <w:trHeight w:hRule="exact" w:val="390"/>
        </w:trPr>
        <w:tc>
          <w:tcPr>
            <w:tcW w:w="2521" w:type="pct"/>
            <w:shd w:val="clear" w:color="000000" w:fill="FFFFFF"/>
            <w:noWrap/>
          </w:tcPr>
          <w:p w14:paraId="75DD2B1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Severe</w:t>
            </w:r>
          </w:p>
        </w:tc>
        <w:tc>
          <w:tcPr>
            <w:tcW w:w="855" w:type="pct"/>
            <w:shd w:val="clear" w:color="000000" w:fill="FFFFFF"/>
          </w:tcPr>
          <w:p w14:paraId="40CA29CE"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 (7.2)</w:t>
            </w:r>
          </w:p>
        </w:tc>
        <w:tc>
          <w:tcPr>
            <w:tcW w:w="940" w:type="pct"/>
            <w:shd w:val="clear" w:color="000000" w:fill="FFFFFF"/>
          </w:tcPr>
          <w:p w14:paraId="26B29CC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 (1.8)</w:t>
            </w:r>
          </w:p>
        </w:tc>
        <w:tc>
          <w:tcPr>
            <w:tcW w:w="683" w:type="pct"/>
            <w:shd w:val="clear" w:color="000000" w:fill="FFFFFF"/>
          </w:tcPr>
          <w:p w14:paraId="2D354913"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0.25</w:t>
            </w:r>
          </w:p>
        </w:tc>
      </w:tr>
      <w:tr w:rsidR="00E65AD0" w:rsidRPr="00E65AD0" w14:paraId="2C036486" w14:textId="77777777" w:rsidTr="007C18A0">
        <w:trPr>
          <w:trHeight w:hRule="exact" w:val="390"/>
        </w:trPr>
        <w:tc>
          <w:tcPr>
            <w:tcW w:w="2521" w:type="pct"/>
            <w:shd w:val="clear" w:color="000000" w:fill="FFFFFF"/>
            <w:noWrap/>
          </w:tcPr>
          <w:p w14:paraId="0CDCB58D"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MALT hyperplasia after,</w:t>
            </w:r>
            <w:r w:rsidRPr="00E65AD0">
              <w:rPr>
                <w:rFonts w:ascii="Book Antiqua" w:hAnsi="Book Antiqua" w:cs="Courier New"/>
                <w:lang w:val="en-AU" w:eastAsia="en-US"/>
              </w:rPr>
              <w:t xml:space="preserve"> </w:t>
            </w:r>
            <w:r w:rsidRPr="00E65AD0">
              <w:rPr>
                <w:rFonts w:ascii="Book Antiqua" w:hAnsi="Book Antiqua"/>
                <w:i/>
                <w:lang w:val="en-AU"/>
              </w:rPr>
              <w:t>n</w:t>
            </w:r>
            <w:r w:rsidRPr="00E65AD0">
              <w:rPr>
                <w:rFonts w:ascii="Book Antiqua" w:hAnsi="Book Antiqua"/>
                <w:lang w:val="en-AU"/>
              </w:rPr>
              <w:t xml:space="preserve"> (%) </w:t>
            </w:r>
          </w:p>
        </w:tc>
        <w:tc>
          <w:tcPr>
            <w:tcW w:w="855" w:type="pct"/>
            <w:shd w:val="clear" w:color="000000" w:fill="FFFFFF"/>
          </w:tcPr>
          <w:p w14:paraId="0A2D8B83" w14:textId="77777777" w:rsidR="007C18A0" w:rsidRPr="00E65AD0" w:rsidRDefault="007C18A0" w:rsidP="00E65AD0">
            <w:pPr>
              <w:snapToGrid w:val="0"/>
              <w:spacing w:after="0" w:line="360" w:lineRule="auto"/>
              <w:rPr>
                <w:rFonts w:ascii="Book Antiqua" w:hAnsi="Book Antiqua"/>
                <w:lang w:val="en-US"/>
              </w:rPr>
            </w:pPr>
          </w:p>
        </w:tc>
        <w:tc>
          <w:tcPr>
            <w:tcW w:w="940" w:type="pct"/>
            <w:shd w:val="clear" w:color="000000" w:fill="FFFFFF"/>
          </w:tcPr>
          <w:p w14:paraId="104DD74A" w14:textId="77777777" w:rsidR="007C18A0" w:rsidRPr="00E65AD0" w:rsidRDefault="007C18A0" w:rsidP="00E65AD0">
            <w:pPr>
              <w:snapToGrid w:val="0"/>
              <w:spacing w:after="0" w:line="360" w:lineRule="auto"/>
              <w:rPr>
                <w:rFonts w:ascii="Book Antiqua" w:hAnsi="Book Antiqua"/>
                <w:lang w:val="en-US"/>
              </w:rPr>
            </w:pPr>
          </w:p>
        </w:tc>
        <w:tc>
          <w:tcPr>
            <w:tcW w:w="683" w:type="pct"/>
            <w:shd w:val="clear" w:color="000000" w:fill="FFFFFF"/>
          </w:tcPr>
          <w:p w14:paraId="1548FC4A" w14:textId="77777777" w:rsidR="007C18A0" w:rsidRPr="00E65AD0" w:rsidRDefault="007C18A0" w:rsidP="00E65AD0">
            <w:pPr>
              <w:snapToGrid w:val="0"/>
              <w:spacing w:after="0" w:line="360" w:lineRule="auto"/>
              <w:rPr>
                <w:rFonts w:ascii="Book Antiqua" w:hAnsi="Book Antiqua"/>
                <w:lang w:val="en-US"/>
              </w:rPr>
            </w:pPr>
          </w:p>
        </w:tc>
      </w:tr>
      <w:tr w:rsidR="00E65AD0" w:rsidRPr="00E65AD0" w14:paraId="11E8BD5E" w14:textId="77777777" w:rsidTr="007C18A0">
        <w:trPr>
          <w:trHeight w:hRule="exact" w:val="390"/>
        </w:trPr>
        <w:tc>
          <w:tcPr>
            <w:tcW w:w="2521" w:type="pct"/>
            <w:shd w:val="clear" w:color="000000" w:fill="FFFFFF"/>
            <w:noWrap/>
          </w:tcPr>
          <w:p w14:paraId="193420A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Absent</w:t>
            </w:r>
          </w:p>
        </w:tc>
        <w:tc>
          <w:tcPr>
            <w:tcW w:w="855" w:type="pct"/>
            <w:shd w:val="clear" w:color="000000" w:fill="FFFFFF"/>
          </w:tcPr>
          <w:p w14:paraId="7FD5747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 (35.7)</w:t>
            </w:r>
          </w:p>
        </w:tc>
        <w:tc>
          <w:tcPr>
            <w:tcW w:w="940" w:type="pct"/>
            <w:shd w:val="clear" w:color="000000" w:fill="FFFFFF"/>
          </w:tcPr>
          <w:p w14:paraId="3AE101B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36 (63.2)</w:t>
            </w:r>
          </w:p>
        </w:tc>
        <w:tc>
          <w:tcPr>
            <w:tcW w:w="683" w:type="pct"/>
            <w:shd w:val="clear" w:color="000000" w:fill="FFFFFF"/>
          </w:tcPr>
          <w:p w14:paraId="650BD49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b</w:t>
            </w:r>
          </w:p>
        </w:tc>
      </w:tr>
      <w:tr w:rsidR="00E65AD0" w:rsidRPr="00E65AD0" w14:paraId="0B9880E4" w14:textId="77777777" w:rsidTr="007C18A0">
        <w:trPr>
          <w:trHeight w:hRule="exact" w:val="390"/>
        </w:trPr>
        <w:tc>
          <w:tcPr>
            <w:tcW w:w="2521" w:type="pct"/>
            <w:shd w:val="clear" w:color="000000" w:fill="FFFFFF"/>
            <w:noWrap/>
          </w:tcPr>
          <w:p w14:paraId="28B57E5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 xml:space="preserve">Mild </w:t>
            </w:r>
          </w:p>
        </w:tc>
        <w:tc>
          <w:tcPr>
            <w:tcW w:w="855" w:type="pct"/>
            <w:shd w:val="clear" w:color="000000" w:fill="FFFFFF"/>
          </w:tcPr>
          <w:p w14:paraId="55BBA19F"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18 (64.3)</w:t>
            </w:r>
          </w:p>
        </w:tc>
        <w:tc>
          <w:tcPr>
            <w:tcW w:w="940" w:type="pct"/>
            <w:shd w:val="clear" w:color="000000" w:fill="FFFFFF"/>
          </w:tcPr>
          <w:p w14:paraId="1A34337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21 (36.8)</w:t>
            </w:r>
          </w:p>
        </w:tc>
        <w:tc>
          <w:tcPr>
            <w:tcW w:w="683" w:type="pct"/>
            <w:shd w:val="clear" w:color="000000" w:fill="FFFFFF"/>
          </w:tcPr>
          <w:p w14:paraId="5FA6585B"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0.02</w:t>
            </w:r>
            <w:r w:rsidRPr="00E65AD0">
              <w:rPr>
                <w:rFonts w:ascii="Book Antiqua" w:hAnsi="Book Antiqua"/>
                <w:shd w:val="clear" w:color="auto" w:fill="FFFFFF"/>
                <w:vertAlign w:val="superscript"/>
              </w:rPr>
              <w:t>b</w:t>
            </w:r>
          </w:p>
        </w:tc>
      </w:tr>
      <w:tr w:rsidR="00E65AD0" w:rsidRPr="00E65AD0" w14:paraId="17DD50DC" w14:textId="77777777" w:rsidTr="007C18A0">
        <w:trPr>
          <w:trHeight w:hRule="exact" w:val="390"/>
        </w:trPr>
        <w:tc>
          <w:tcPr>
            <w:tcW w:w="2521" w:type="pct"/>
            <w:shd w:val="clear" w:color="000000" w:fill="FFFFFF"/>
            <w:noWrap/>
          </w:tcPr>
          <w:p w14:paraId="7495588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Moderate</w:t>
            </w:r>
          </w:p>
        </w:tc>
        <w:tc>
          <w:tcPr>
            <w:tcW w:w="855" w:type="pct"/>
            <w:shd w:val="clear" w:color="000000" w:fill="FFFFFF"/>
          </w:tcPr>
          <w:p w14:paraId="207251F8"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5CBF549C"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331DC362"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r w:rsidR="00E65AD0" w:rsidRPr="00E65AD0" w14:paraId="72D8DD13" w14:textId="77777777" w:rsidTr="007C18A0">
        <w:trPr>
          <w:trHeight w:hRule="exact" w:val="390"/>
        </w:trPr>
        <w:tc>
          <w:tcPr>
            <w:tcW w:w="2521" w:type="pct"/>
            <w:shd w:val="clear" w:color="000000" w:fill="FFFFFF"/>
            <w:noWrap/>
          </w:tcPr>
          <w:p w14:paraId="2073BBA0"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lastRenderedPageBreak/>
              <w:t>Severe</w:t>
            </w:r>
          </w:p>
        </w:tc>
        <w:tc>
          <w:tcPr>
            <w:tcW w:w="855" w:type="pct"/>
            <w:shd w:val="clear" w:color="000000" w:fill="FFFFFF"/>
          </w:tcPr>
          <w:p w14:paraId="12F1A957"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940" w:type="pct"/>
            <w:shd w:val="clear" w:color="000000" w:fill="FFFFFF"/>
          </w:tcPr>
          <w:p w14:paraId="5BFA3BA1"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0</w:t>
            </w:r>
          </w:p>
        </w:tc>
        <w:tc>
          <w:tcPr>
            <w:tcW w:w="683" w:type="pct"/>
            <w:shd w:val="clear" w:color="000000" w:fill="FFFFFF"/>
          </w:tcPr>
          <w:p w14:paraId="29CE8534" w14:textId="77777777" w:rsidR="007C18A0" w:rsidRPr="00E65AD0" w:rsidRDefault="007C18A0" w:rsidP="00E65AD0">
            <w:pPr>
              <w:snapToGrid w:val="0"/>
              <w:spacing w:after="0" w:line="360" w:lineRule="auto"/>
              <w:rPr>
                <w:rFonts w:ascii="Book Antiqua" w:hAnsi="Book Antiqua"/>
                <w:lang w:val="en-US"/>
              </w:rPr>
            </w:pPr>
            <w:r w:rsidRPr="00E65AD0">
              <w:rPr>
                <w:rFonts w:ascii="Book Antiqua" w:hAnsi="Book Antiqua"/>
                <w:lang w:val="en-US"/>
              </w:rPr>
              <w:t>1.0</w:t>
            </w:r>
          </w:p>
        </w:tc>
      </w:tr>
    </w:tbl>
    <w:p w14:paraId="04A62328" w14:textId="77777777" w:rsidR="007C18A0" w:rsidRPr="00E65AD0" w:rsidRDefault="007C18A0" w:rsidP="00E65AD0">
      <w:pPr>
        <w:pBdr>
          <w:top w:val="single" w:sz="4" w:space="1" w:color="auto"/>
        </w:pBdr>
        <w:snapToGrid w:val="0"/>
        <w:spacing w:after="0" w:line="360" w:lineRule="auto"/>
        <w:rPr>
          <w:rFonts w:ascii="Book Antiqua" w:eastAsia="宋体" w:hAnsi="Book Antiqua"/>
          <w:color w:val="000000"/>
          <w:vertAlign w:val="superscript"/>
          <w:lang w:eastAsia="zh-CN"/>
        </w:rPr>
      </w:pPr>
      <w:r w:rsidRPr="00E65AD0">
        <w:rPr>
          <w:rFonts w:ascii="Book Antiqua" w:hAnsi="Book Antiqua"/>
          <w:color w:val="000000"/>
        </w:rPr>
        <w:t xml:space="preserve">Data are expressed as number of patients and percentage (in parenthesis); </w:t>
      </w:r>
      <w:r w:rsidRPr="00E65AD0">
        <w:rPr>
          <w:rFonts w:ascii="Book Antiqua" w:eastAsia="宋体" w:hAnsi="Book Antiqua"/>
          <w:color w:val="000000"/>
          <w:shd w:val="clear" w:color="auto" w:fill="FFFFFF"/>
          <w:vertAlign w:val="superscript"/>
          <w:lang w:eastAsia="zh-CN"/>
        </w:rPr>
        <w:t>1</w:t>
      </w:r>
      <w:r w:rsidRPr="00E65AD0">
        <w:rPr>
          <w:rFonts w:ascii="Book Antiqua" w:hAnsi="Book Antiqua"/>
          <w:color w:val="000000"/>
        </w:rPr>
        <w:t>Bismuth + Metronidazole + Tetracycline +</w:t>
      </w:r>
      <w:r w:rsidR="009271CF" w:rsidRPr="00E65AD0">
        <w:rPr>
          <w:rFonts w:ascii="Book Antiqua" w:hAnsi="Book Antiqua"/>
          <w:color w:val="000000"/>
        </w:rPr>
        <w:t xml:space="preserve"> Proton pump inhibitor</w:t>
      </w:r>
      <w:r w:rsidRPr="00E65AD0">
        <w:rPr>
          <w:rFonts w:ascii="Book Antiqua" w:hAnsi="Book Antiqua"/>
          <w:color w:val="000000"/>
        </w:rPr>
        <w:t xml:space="preserve">; </w:t>
      </w:r>
      <w:r w:rsidRPr="00E65AD0">
        <w:rPr>
          <w:rFonts w:ascii="Book Antiqua" w:eastAsia="宋体" w:hAnsi="Book Antiqua"/>
          <w:color w:val="000000"/>
          <w:shd w:val="clear" w:color="auto" w:fill="FFFFFF"/>
          <w:vertAlign w:val="superscript"/>
          <w:lang w:eastAsia="zh-CN"/>
        </w:rPr>
        <w:t>2</w:t>
      </w:r>
      <w:r w:rsidRPr="00E65AD0">
        <w:rPr>
          <w:rFonts w:ascii="Book Antiqua" w:hAnsi="Book Antiqua"/>
          <w:color w:val="000000"/>
        </w:rPr>
        <w:t xml:space="preserve">Amoxicillin + Levofloxacin + </w:t>
      </w:r>
      <w:r w:rsidR="009271CF" w:rsidRPr="00E65AD0">
        <w:rPr>
          <w:rFonts w:ascii="Book Antiqua" w:hAnsi="Book Antiqua"/>
          <w:color w:val="000000"/>
        </w:rPr>
        <w:t>Proton pump inhibitor</w:t>
      </w:r>
      <w:r w:rsidRPr="00E65AD0">
        <w:rPr>
          <w:rFonts w:ascii="Book Antiqua" w:hAnsi="Book Antiqua"/>
          <w:color w:val="000000"/>
        </w:rPr>
        <w:t xml:space="preserve">; </w:t>
      </w:r>
      <w:r w:rsidRPr="00E65AD0">
        <w:rPr>
          <w:rFonts w:ascii="Book Antiqua" w:eastAsia="宋体" w:hAnsi="Book Antiqua"/>
          <w:color w:val="000000"/>
          <w:shd w:val="clear" w:color="auto" w:fill="FFFFFF"/>
          <w:vertAlign w:val="superscript"/>
          <w:lang w:eastAsia="zh-CN"/>
        </w:rPr>
        <w:t>3</w:t>
      </w:r>
      <w:r w:rsidRPr="00E65AD0">
        <w:rPr>
          <w:rFonts w:ascii="Book Antiqua" w:hAnsi="Book Antiqua"/>
          <w:color w:val="000000"/>
        </w:rPr>
        <w:t xml:space="preserve">Amoxicillin + Clarithromycin + </w:t>
      </w:r>
      <w:r w:rsidR="009271CF" w:rsidRPr="00E65AD0">
        <w:rPr>
          <w:rFonts w:ascii="Book Antiqua" w:hAnsi="Book Antiqua"/>
          <w:color w:val="000000"/>
        </w:rPr>
        <w:t>Proton pump inhibitor</w:t>
      </w:r>
      <w:r w:rsidRPr="00E65AD0">
        <w:rPr>
          <w:rFonts w:ascii="Book Antiqua" w:hAnsi="Book Antiqua"/>
          <w:color w:val="000000"/>
        </w:rPr>
        <w:t xml:space="preserve">; </w:t>
      </w:r>
      <w:r w:rsidRPr="00E65AD0">
        <w:rPr>
          <w:rFonts w:ascii="Book Antiqua" w:eastAsia="宋体" w:hAnsi="Book Antiqua"/>
          <w:color w:val="000000"/>
          <w:shd w:val="clear" w:color="auto" w:fill="FFFFFF"/>
          <w:vertAlign w:val="superscript"/>
          <w:lang w:eastAsia="zh-CN"/>
        </w:rPr>
        <w:t>4</w:t>
      </w:r>
      <w:r w:rsidRPr="00E65AD0">
        <w:rPr>
          <w:rFonts w:ascii="Book Antiqua" w:hAnsi="Book Antiqua"/>
          <w:color w:val="000000"/>
          <w:shd w:val="clear" w:color="auto" w:fill="FFFFFF"/>
        </w:rPr>
        <w:t xml:space="preserve">Amoxicillin + Clarithromycin + </w:t>
      </w:r>
      <w:r w:rsidR="009271CF" w:rsidRPr="00E65AD0">
        <w:rPr>
          <w:rFonts w:ascii="Book Antiqua" w:hAnsi="Book Antiqua"/>
          <w:color w:val="000000"/>
        </w:rPr>
        <w:t>Proton pump inhibitor</w:t>
      </w:r>
      <w:r w:rsidRPr="00E65AD0">
        <w:rPr>
          <w:rFonts w:ascii="Book Antiqua" w:hAnsi="Book Antiqua"/>
          <w:color w:val="000000"/>
          <w:shd w:val="clear" w:color="auto" w:fill="FFFFFF"/>
        </w:rPr>
        <w:t xml:space="preserve"> Amoxicillin (5 d), then Clarithromycin + Metronidazole (5 d) + </w:t>
      </w:r>
      <w:r w:rsidR="009271CF" w:rsidRPr="00E65AD0">
        <w:rPr>
          <w:rFonts w:ascii="Book Antiqua" w:hAnsi="Book Antiqua"/>
          <w:color w:val="000000"/>
        </w:rPr>
        <w:t>Proton pump inhibitor</w:t>
      </w:r>
      <w:r w:rsidRPr="00E65AD0">
        <w:rPr>
          <w:rFonts w:ascii="Book Antiqua" w:eastAsia="宋体" w:hAnsi="Book Antiqua"/>
          <w:color w:val="000000"/>
          <w:shd w:val="clear" w:color="auto" w:fill="FFFFFF"/>
          <w:lang w:eastAsia="zh-CN"/>
        </w:rPr>
        <w:t xml:space="preserve">; </w:t>
      </w:r>
      <w:r w:rsidRPr="00E65AD0">
        <w:rPr>
          <w:rFonts w:ascii="Book Antiqua" w:eastAsia="宋体" w:hAnsi="Book Antiqua"/>
          <w:color w:val="000000"/>
          <w:vertAlign w:val="superscript"/>
          <w:lang w:eastAsia="zh-CN"/>
        </w:rPr>
        <w:t>5</w:t>
      </w:r>
      <w:r w:rsidRPr="00E65AD0">
        <w:rPr>
          <w:rFonts w:ascii="Book Antiqua" w:hAnsi="Book Antiqua"/>
          <w:color w:val="000000"/>
        </w:rPr>
        <w:t xml:space="preserve">Before </w:t>
      </w:r>
      <w:r w:rsidR="009271CF" w:rsidRPr="00E65AD0">
        <w:rPr>
          <w:rFonts w:ascii="Book Antiqua" w:hAnsi="Book Antiqua"/>
          <w:i/>
          <w:color w:val="000000"/>
        </w:rPr>
        <w:t>Helicobacter pylori</w:t>
      </w:r>
      <w:r w:rsidRPr="00E65AD0">
        <w:rPr>
          <w:rFonts w:ascii="Book Antiqua" w:hAnsi="Book Antiqua"/>
          <w:color w:val="000000"/>
        </w:rPr>
        <w:t xml:space="preserve"> eradication (</w:t>
      </w:r>
      <w:r w:rsidRPr="00E65AD0">
        <w:rPr>
          <w:rFonts w:ascii="Book Antiqua" w:hAnsi="Book Antiqua"/>
          <w:color w:val="000000"/>
          <w:shd w:val="clear" w:color="auto" w:fill="FFFFFF"/>
        </w:rPr>
        <w:t>by Sydney System</w:t>
      </w:r>
      <w:r w:rsidRPr="00E65AD0">
        <w:rPr>
          <w:rFonts w:ascii="Book Antiqua" w:hAnsi="Book Antiqua"/>
          <w:color w:val="000000"/>
        </w:rPr>
        <w:t xml:space="preserve">); </w:t>
      </w:r>
      <w:r w:rsidRPr="00E65AD0">
        <w:rPr>
          <w:rFonts w:ascii="Book Antiqua" w:eastAsia="宋体" w:hAnsi="Book Antiqua"/>
          <w:color w:val="000000"/>
          <w:vertAlign w:val="superscript"/>
          <w:lang w:eastAsia="zh-CN"/>
        </w:rPr>
        <w:t>6</w:t>
      </w:r>
      <w:r w:rsidR="00CB0693" w:rsidRPr="00E65AD0">
        <w:rPr>
          <w:rFonts w:ascii="Book Antiqua" w:hAnsi="Book Antiqua"/>
          <w:color w:val="000000"/>
        </w:rPr>
        <w:t xml:space="preserve">After </w:t>
      </w:r>
      <w:r w:rsidRPr="00E65AD0">
        <w:rPr>
          <w:rFonts w:ascii="Book Antiqua" w:hAnsi="Book Antiqua"/>
          <w:i/>
          <w:color w:val="000000"/>
        </w:rPr>
        <w:t>Helicobacter pylori</w:t>
      </w:r>
      <w:r w:rsidRPr="00E65AD0">
        <w:rPr>
          <w:rFonts w:ascii="Book Antiqua" w:hAnsi="Book Antiqua"/>
          <w:color w:val="000000"/>
        </w:rPr>
        <w:t xml:space="preserve"> eradication</w:t>
      </w:r>
      <w:r w:rsidRPr="00E65AD0">
        <w:rPr>
          <w:rFonts w:ascii="Book Antiqua" w:eastAsia="宋体" w:hAnsi="Book Antiqua"/>
          <w:color w:val="000000"/>
          <w:lang w:eastAsia="zh-CN"/>
        </w:rPr>
        <w:t xml:space="preserve">. </w:t>
      </w:r>
      <w:r w:rsidRPr="00E65AD0">
        <w:rPr>
          <w:rFonts w:ascii="Book Antiqua" w:hAnsi="Book Antiqua"/>
          <w:color w:val="000000"/>
          <w:vertAlign w:val="superscript"/>
        </w:rPr>
        <w:t>a</w:t>
      </w:r>
      <w:r w:rsidRPr="00E65AD0">
        <w:rPr>
          <w:rFonts w:ascii="Book Antiqua" w:hAnsi="Book Antiqua"/>
          <w:color w:val="000000"/>
          <w:shd w:val="clear" w:color="auto" w:fill="FFFFFF"/>
        </w:rPr>
        <w:t xml:space="preserve">By </w:t>
      </w:r>
      <w:r w:rsidRPr="00E65AD0">
        <w:rPr>
          <w:rFonts w:ascii="Book Antiqua" w:hAnsi="Book Antiqua"/>
          <w:i/>
          <w:iCs/>
          <w:color w:val="000000"/>
          <w:shd w:val="clear" w:color="auto" w:fill="FFFFFF"/>
        </w:rPr>
        <w:t>t</w:t>
      </w:r>
      <w:r w:rsidRPr="00E65AD0">
        <w:rPr>
          <w:rFonts w:ascii="Book Antiqua" w:hAnsi="Book Antiqua"/>
          <w:color w:val="000000"/>
          <w:shd w:val="clear" w:color="auto" w:fill="FFFFFF"/>
        </w:rPr>
        <w:t xml:space="preserve">-test; </w:t>
      </w:r>
      <w:r w:rsidRPr="00E65AD0">
        <w:rPr>
          <w:rFonts w:ascii="Book Antiqua" w:hAnsi="Book Antiqua"/>
          <w:color w:val="000000"/>
          <w:shd w:val="clear" w:color="auto" w:fill="FFFFFF"/>
          <w:vertAlign w:val="superscript"/>
        </w:rPr>
        <w:t>b</w:t>
      </w:r>
      <w:r w:rsidRPr="00E65AD0">
        <w:rPr>
          <w:rFonts w:ascii="Book Antiqua" w:hAnsi="Book Antiqua"/>
          <w:color w:val="000000"/>
          <w:shd w:val="clear" w:color="auto" w:fill="FFFFFF"/>
        </w:rPr>
        <w:t xml:space="preserve">By </w:t>
      </w:r>
      <w:r w:rsidRPr="00F969B7">
        <w:rPr>
          <w:rFonts w:ascii="Book Antiqua" w:hAnsi="Book Antiqua"/>
          <w:i/>
          <w:color w:val="000000"/>
          <w:shd w:val="clear" w:color="auto" w:fill="FFFFFF"/>
        </w:rPr>
        <w:t>χ</w:t>
      </w:r>
      <w:r w:rsidRPr="00F969B7">
        <w:rPr>
          <w:rFonts w:ascii="Book Antiqua" w:hAnsi="Book Antiqua"/>
          <w:i/>
          <w:color w:val="000000"/>
          <w:shd w:val="clear" w:color="auto" w:fill="FFFFFF"/>
          <w:vertAlign w:val="superscript"/>
        </w:rPr>
        <w:t>2</w:t>
      </w:r>
      <w:r w:rsidRPr="00E65AD0">
        <w:rPr>
          <w:rFonts w:ascii="Book Antiqua" w:hAnsi="Book Antiqua"/>
          <w:color w:val="000000"/>
          <w:shd w:val="clear" w:color="auto" w:fill="FFFFFF"/>
        </w:rPr>
        <w:t xml:space="preserve"> test; </w:t>
      </w:r>
      <w:r w:rsidRPr="00E65AD0">
        <w:rPr>
          <w:rFonts w:ascii="Book Antiqua" w:hAnsi="Book Antiqua"/>
          <w:color w:val="000000"/>
          <w:shd w:val="clear" w:color="auto" w:fill="FFFFFF"/>
          <w:vertAlign w:val="superscript"/>
        </w:rPr>
        <w:t>c</w:t>
      </w:r>
      <w:r w:rsidRPr="00E65AD0">
        <w:rPr>
          <w:rFonts w:ascii="Book Antiqua" w:hAnsi="Book Antiqua"/>
          <w:color w:val="000000"/>
          <w:shd w:val="clear" w:color="auto" w:fill="FFFFFF"/>
        </w:rPr>
        <w:t>By Fisher’s exact test.</w:t>
      </w:r>
      <w:r w:rsidRPr="00E65AD0">
        <w:rPr>
          <w:rFonts w:ascii="Book Antiqua" w:eastAsia="宋体" w:hAnsi="Book Antiqua"/>
          <w:color w:val="000000"/>
          <w:shd w:val="clear" w:color="auto" w:fill="FFFFFF"/>
          <w:lang w:eastAsia="zh-CN"/>
        </w:rPr>
        <w:t xml:space="preserve"> </w:t>
      </w:r>
      <w:r w:rsidRPr="00E65AD0">
        <w:rPr>
          <w:rFonts w:ascii="Book Antiqua" w:hAnsi="Book Antiqua"/>
          <w:color w:val="000000"/>
        </w:rPr>
        <w:t>BMI</w:t>
      </w:r>
      <w:r w:rsidRPr="00E65AD0">
        <w:rPr>
          <w:rFonts w:ascii="Book Antiqua" w:eastAsia="宋体" w:hAnsi="Book Antiqua"/>
          <w:color w:val="000000"/>
          <w:lang w:eastAsia="zh-CN"/>
        </w:rPr>
        <w:t>:</w:t>
      </w:r>
      <w:r w:rsidRPr="00E65AD0">
        <w:rPr>
          <w:rFonts w:ascii="Book Antiqua" w:hAnsi="Book Antiqua"/>
          <w:color w:val="000000"/>
        </w:rPr>
        <w:t xml:space="preserve"> Body mass index; SD</w:t>
      </w:r>
      <w:r w:rsidRPr="00E65AD0">
        <w:rPr>
          <w:rFonts w:ascii="Book Antiqua" w:eastAsia="宋体" w:hAnsi="Book Antiqua"/>
          <w:color w:val="000000"/>
          <w:lang w:eastAsia="zh-CN"/>
        </w:rPr>
        <w:t>:</w:t>
      </w:r>
      <w:r w:rsidRPr="00E65AD0">
        <w:rPr>
          <w:rFonts w:ascii="Book Antiqua" w:hAnsi="Book Antiqua"/>
          <w:color w:val="000000"/>
        </w:rPr>
        <w:t xml:space="preserve"> Standard deviation; APCA</w:t>
      </w:r>
      <w:r w:rsidRPr="00E65AD0">
        <w:rPr>
          <w:rFonts w:ascii="Book Antiqua" w:eastAsia="宋体" w:hAnsi="Book Antiqua"/>
          <w:color w:val="000000"/>
          <w:lang w:eastAsia="zh-CN"/>
        </w:rPr>
        <w:t>:</w:t>
      </w:r>
      <w:r w:rsidRPr="00E65AD0">
        <w:rPr>
          <w:rFonts w:ascii="Book Antiqua" w:hAnsi="Book Antiqua"/>
          <w:color w:val="000000"/>
        </w:rPr>
        <w:t xml:space="preserve"> Anti-parietal cell antibody; AIF</w:t>
      </w:r>
      <w:r w:rsidRPr="00E65AD0">
        <w:rPr>
          <w:rFonts w:ascii="Book Antiqua" w:eastAsia="宋体" w:hAnsi="Book Antiqua"/>
          <w:color w:val="000000"/>
          <w:lang w:eastAsia="zh-CN"/>
        </w:rPr>
        <w:t>:</w:t>
      </w:r>
      <w:r w:rsidRPr="00E65AD0">
        <w:rPr>
          <w:rFonts w:ascii="Book Antiqua" w:hAnsi="Book Antiqua"/>
          <w:color w:val="000000"/>
        </w:rPr>
        <w:t xml:space="preserve"> Anti-intrinsic factor; </w:t>
      </w:r>
      <w:r w:rsidRPr="00E65AD0">
        <w:rPr>
          <w:rFonts w:ascii="Book Antiqua" w:eastAsia="TimesNewRoman" w:hAnsi="Book Antiqua"/>
          <w:i/>
          <w:lang w:val="en-AU" w:eastAsia="en-US"/>
        </w:rPr>
        <w:t>H. pylori</w:t>
      </w:r>
      <w:r w:rsidRPr="00E65AD0">
        <w:rPr>
          <w:rFonts w:ascii="Book Antiqua" w:eastAsia="宋体" w:hAnsi="Book Antiqua"/>
          <w:i/>
          <w:lang w:val="en-AU" w:eastAsia="zh-CN"/>
        </w:rPr>
        <w:t>:</w:t>
      </w:r>
      <w:r w:rsidRPr="00E65AD0">
        <w:rPr>
          <w:rFonts w:ascii="Book Antiqua" w:hAnsi="Book Antiqua"/>
          <w:color w:val="000000"/>
        </w:rPr>
        <w:t xml:space="preserve"> </w:t>
      </w:r>
      <w:r w:rsidRPr="00E65AD0">
        <w:rPr>
          <w:rFonts w:ascii="Book Antiqua" w:hAnsi="Book Antiqua"/>
          <w:i/>
          <w:color w:val="000000"/>
        </w:rPr>
        <w:t>Helicobacter pylori</w:t>
      </w:r>
      <w:r w:rsidRPr="00E65AD0">
        <w:rPr>
          <w:rFonts w:ascii="Book Antiqua" w:hAnsi="Book Antiqua"/>
          <w:color w:val="000000"/>
        </w:rPr>
        <w:t>; PPI</w:t>
      </w:r>
      <w:r w:rsidRPr="00E65AD0">
        <w:rPr>
          <w:rFonts w:ascii="Book Antiqua" w:eastAsia="宋体" w:hAnsi="Book Antiqua"/>
          <w:color w:val="000000"/>
          <w:lang w:eastAsia="zh-CN"/>
        </w:rPr>
        <w:t>:</w:t>
      </w:r>
      <w:r w:rsidRPr="00E65AD0">
        <w:rPr>
          <w:rFonts w:ascii="Book Antiqua" w:hAnsi="Book Antiqua"/>
          <w:color w:val="000000"/>
        </w:rPr>
        <w:t xml:space="preserve"> Proton pump inhibitor;</w:t>
      </w:r>
      <w:r w:rsidRPr="00E65AD0">
        <w:rPr>
          <w:rFonts w:ascii="Book Antiqua" w:hAnsi="Book Antiqua"/>
          <w:color w:val="000000"/>
          <w:shd w:val="clear" w:color="auto" w:fill="FFFFFF"/>
          <w:vertAlign w:val="superscript"/>
        </w:rPr>
        <w:t xml:space="preserve"> </w:t>
      </w:r>
      <w:r w:rsidRPr="00E65AD0">
        <w:rPr>
          <w:rFonts w:ascii="Book Antiqua" w:hAnsi="Book Antiqua"/>
          <w:color w:val="000000"/>
          <w:shd w:val="clear" w:color="auto" w:fill="FFFFFF"/>
        </w:rPr>
        <w:t>OLGA</w:t>
      </w:r>
      <w:r w:rsidRPr="00E65AD0">
        <w:rPr>
          <w:rFonts w:ascii="Book Antiqua" w:eastAsia="宋体" w:hAnsi="Book Antiqua"/>
          <w:color w:val="000000"/>
          <w:shd w:val="clear" w:color="auto" w:fill="FFFFFF"/>
          <w:lang w:eastAsia="zh-CN"/>
        </w:rPr>
        <w:t>:</w:t>
      </w:r>
      <w:r w:rsidRPr="00E65AD0">
        <w:rPr>
          <w:rFonts w:ascii="Book Antiqua" w:hAnsi="Book Antiqua"/>
          <w:color w:val="000000"/>
          <w:shd w:val="clear" w:color="auto" w:fill="FFFFFF"/>
        </w:rPr>
        <w:t xml:space="preserve"> Operative Link on Gastritis Assessment; OLGIM</w:t>
      </w:r>
      <w:r w:rsidRPr="00E65AD0">
        <w:rPr>
          <w:rFonts w:ascii="Book Antiqua" w:eastAsia="宋体" w:hAnsi="Book Antiqua"/>
          <w:color w:val="000000"/>
          <w:shd w:val="clear" w:color="auto" w:fill="FFFFFF"/>
          <w:lang w:eastAsia="zh-CN"/>
        </w:rPr>
        <w:t>:</w:t>
      </w:r>
      <w:r w:rsidRPr="00E65AD0">
        <w:rPr>
          <w:rFonts w:ascii="Book Antiqua" w:hAnsi="Book Antiqua"/>
          <w:color w:val="000000"/>
          <w:shd w:val="clear" w:color="auto" w:fill="FFFFFF"/>
        </w:rPr>
        <w:t xml:space="preserve"> Operative Link on Gastric Intestinal Metaplasia; MALT</w:t>
      </w:r>
      <w:r w:rsidRPr="00E65AD0">
        <w:rPr>
          <w:rFonts w:ascii="Book Antiqua" w:eastAsia="宋体" w:hAnsi="Book Antiqua"/>
          <w:color w:val="000000"/>
          <w:shd w:val="clear" w:color="auto" w:fill="FFFFFF"/>
          <w:lang w:eastAsia="zh-CN"/>
        </w:rPr>
        <w:t>:</w:t>
      </w:r>
      <w:r w:rsidRPr="00E65AD0">
        <w:rPr>
          <w:rFonts w:ascii="Book Antiqua" w:hAnsi="Book Antiqua"/>
          <w:color w:val="000000"/>
          <w:shd w:val="clear" w:color="auto" w:fill="FFFFFF"/>
        </w:rPr>
        <w:t xml:space="preserve"> Mucosa-associated lymphoid tissue</w:t>
      </w:r>
      <w:r w:rsidRPr="00E65AD0">
        <w:rPr>
          <w:rFonts w:ascii="Book Antiqua" w:eastAsia="宋体" w:hAnsi="Book Antiqua"/>
          <w:color w:val="000000"/>
          <w:shd w:val="clear" w:color="auto" w:fill="FFFFFF"/>
          <w:lang w:eastAsia="zh-CN"/>
        </w:rPr>
        <w:t>.</w:t>
      </w:r>
    </w:p>
    <w:p w14:paraId="749F75BE" w14:textId="77777777" w:rsidR="009271CF" w:rsidRPr="00E65AD0" w:rsidRDefault="009271CF" w:rsidP="00E65AD0">
      <w:pPr>
        <w:snapToGrid w:val="0"/>
        <w:spacing w:after="0" w:line="360" w:lineRule="auto"/>
        <w:rPr>
          <w:rFonts w:ascii="Book Antiqua" w:eastAsia="宋体" w:hAnsi="Book Antiqua"/>
          <w:color w:val="000000"/>
          <w:vertAlign w:val="superscript"/>
          <w:lang w:eastAsia="zh-CN"/>
        </w:rPr>
      </w:pPr>
      <w:r w:rsidRPr="00E65AD0">
        <w:rPr>
          <w:rFonts w:ascii="Book Antiqua" w:eastAsia="宋体" w:hAnsi="Book Antiqua"/>
          <w:color w:val="000000"/>
          <w:vertAlign w:val="superscript"/>
          <w:lang w:eastAsia="zh-CN"/>
        </w:rPr>
        <w:br w:type="page"/>
      </w:r>
    </w:p>
    <w:p w14:paraId="2474ED6A" w14:textId="77777777" w:rsidR="009D0DBE" w:rsidRPr="00E65AD0" w:rsidRDefault="009271CF" w:rsidP="00E65AD0">
      <w:pPr>
        <w:snapToGrid w:val="0"/>
        <w:spacing w:after="0" w:line="360" w:lineRule="auto"/>
        <w:rPr>
          <w:rFonts w:ascii="Book Antiqua" w:eastAsia="宋体" w:hAnsi="Book Antiqua"/>
          <w:b/>
          <w:lang w:val="en-GB" w:eastAsia="zh-CN"/>
        </w:rPr>
      </w:pPr>
      <w:r w:rsidRPr="00E65AD0">
        <w:rPr>
          <w:rFonts w:ascii="Book Antiqua" w:hAnsi="Book Antiqua"/>
          <w:b/>
          <w:highlight w:val="white"/>
          <w:lang w:val="en-GB"/>
        </w:rPr>
        <w:lastRenderedPageBreak/>
        <w:t>Table 4</w:t>
      </w:r>
      <w:r w:rsidR="00921B00" w:rsidRPr="00E65AD0">
        <w:rPr>
          <w:rFonts w:ascii="Book Antiqua" w:hAnsi="Book Antiqua"/>
          <w:b/>
          <w:highlight w:val="white"/>
          <w:lang w:val="en-GB"/>
        </w:rPr>
        <w:t xml:space="preserve"> Probability of detecting </w:t>
      </w:r>
      <w:r w:rsidRPr="00E65AD0">
        <w:rPr>
          <w:rFonts w:ascii="Book Antiqua" w:hAnsi="Book Antiqua"/>
          <w:b/>
          <w:highlight w:val="white"/>
          <w:lang w:val="en-GB"/>
        </w:rPr>
        <w:t>low-grade dysplasia</w:t>
      </w:r>
      <w:r w:rsidR="00921B00" w:rsidRPr="00E65AD0">
        <w:rPr>
          <w:rFonts w:ascii="Book Antiqua" w:hAnsi="Book Antiqua"/>
          <w:b/>
          <w:highlight w:val="white"/>
          <w:lang w:val="en-GB"/>
        </w:rPr>
        <w:t xml:space="preserve"> randomly or on visible lesions after </w:t>
      </w:r>
      <w:r w:rsidR="00921B00" w:rsidRPr="00E65AD0">
        <w:rPr>
          <w:rFonts w:ascii="Book Antiqua" w:hAnsi="Book Antiqua"/>
          <w:b/>
          <w:i/>
          <w:iCs/>
          <w:highlight w:val="white"/>
          <w:lang w:val="en-GB"/>
        </w:rPr>
        <w:t xml:space="preserve">Helicobacter </w:t>
      </w:r>
      <w:r w:rsidR="002D1A0E" w:rsidRPr="00E65AD0">
        <w:rPr>
          <w:rFonts w:ascii="Book Antiqua" w:hAnsi="Book Antiqua"/>
          <w:b/>
          <w:i/>
          <w:iCs/>
          <w:highlight w:val="white"/>
          <w:lang w:val="en-GB"/>
        </w:rPr>
        <w:t>pylori</w:t>
      </w:r>
      <w:r w:rsidR="00921B00" w:rsidRPr="00E65AD0">
        <w:rPr>
          <w:rFonts w:ascii="Book Antiqua" w:hAnsi="Book Antiqua"/>
          <w:b/>
          <w:i/>
          <w:iCs/>
          <w:highlight w:val="white"/>
          <w:lang w:val="en-GB"/>
        </w:rPr>
        <w:t xml:space="preserve"> </w:t>
      </w:r>
      <w:r w:rsidRPr="00E65AD0">
        <w:rPr>
          <w:rFonts w:ascii="Book Antiqua" w:hAnsi="Book Antiqua"/>
          <w:b/>
          <w:highlight w:val="white"/>
          <w:lang w:val="en-GB"/>
        </w:rPr>
        <w:t>eradication</w:t>
      </w:r>
    </w:p>
    <w:tbl>
      <w:tblPr>
        <w:tblW w:w="0" w:type="auto"/>
        <w:tblInd w:w="7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478"/>
        <w:gridCol w:w="2126"/>
        <w:gridCol w:w="1132"/>
        <w:gridCol w:w="2237"/>
        <w:gridCol w:w="1025"/>
      </w:tblGrid>
      <w:tr w:rsidR="009D0DBE" w:rsidRPr="00E65AD0" w14:paraId="5B521206" w14:textId="77777777" w:rsidTr="009271CF">
        <w:trPr>
          <w:trHeight w:val="528"/>
        </w:trPr>
        <w:tc>
          <w:tcPr>
            <w:tcW w:w="2478" w:type="dxa"/>
            <w:tcBorders>
              <w:bottom w:val="single" w:sz="4" w:space="0" w:color="auto"/>
            </w:tcBorders>
          </w:tcPr>
          <w:p w14:paraId="34C4CADC" w14:textId="77777777" w:rsidR="009D0DBE" w:rsidRPr="00E65AD0" w:rsidRDefault="009D0DBE" w:rsidP="00E65AD0">
            <w:pPr>
              <w:snapToGrid w:val="0"/>
              <w:spacing w:after="0" w:line="360" w:lineRule="auto"/>
              <w:rPr>
                <w:rFonts w:ascii="Book Antiqua" w:hAnsi="Book Antiqua" w:cs="Calibri"/>
                <w:b/>
                <w:lang w:val="en-GB"/>
              </w:rPr>
            </w:pPr>
          </w:p>
        </w:tc>
        <w:tc>
          <w:tcPr>
            <w:tcW w:w="3258" w:type="dxa"/>
            <w:gridSpan w:val="2"/>
            <w:tcBorders>
              <w:bottom w:val="single" w:sz="4" w:space="0" w:color="auto"/>
            </w:tcBorders>
            <w:shd w:val="clear" w:color="000000" w:fill="FFFFFF"/>
          </w:tcPr>
          <w:p w14:paraId="7CA71B1B"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Univariate</w:t>
            </w:r>
          </w:p>
        </w:tc>
        <w:tc>
          <w:tcPr>
            <w:tcW w:w="3262" w:type="dxa"/>
            <w:gridSpan w:val="2"/>
            <w:tcBorders>
              <w:bottom w:val="single" w:sz="4" w:space="0" w:color="auto"/>
            </w:tcBorders>
            <w:shd w:val="clear" w:color="000000" w:fill="FFFFFF"/>
          </w:tcPr>
          <w:p w14:paraId="31C7DC10"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Multivariate</w:t>
            </w:r>
          </w:p>
        </w:tc>
      </w:tr>
      <w:tr w:rsidR="009D0DBE" w:rsidRPr="00E65AD0" w14:paraId="31A796EF" w14:textId="77777777" w:rsidTr="009271CF">
        <w:trPr>
          <w:trHeight w:val="558"/>
        </w:trPr>
        <w:tc>
          <w:tcPr>
            <w:tcW w:w="2478" w:type="dxa"/>
            <w:tcBorders>
              <w:top w:val="single" w:sz="4" w:space="0" w:color="auto"/>
              <w:bottom w:val="single" w:sz="4" w:space="0" w:color="auto"/>
            </w:tcBorders>
          </w:tcPr>
          <w:p w14:paraId="768A6391"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 xml:space="preserve"> Variable</w:t>
            </w:r>
          </w:p>
        </w:tc>
        <w:tc>
          <w:tcPr>
            <w:tcW w:w="2126" w:type="dxa"/>
            <w:tcBorders>
              <w:top w:val="single" w:sz="4" w:space="0" w:color="auto"/>
              <w:bottom w:val="single" w:sz="4" w:space="0" w:color="auto"/>
            </w:tcBorders>
            <w:shd w:val="clear" w:color="000000" w:fill="FFFFFF"/>
            <w:vAlign w:val="center"/>
          </w:tcPr>
          <w:p w14:paraId="361AA764"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OR (95% CI)</w:t>
            </w:r>
          </w:p>
        </w:tc>
        <w:tc>
          <w:tcPr>
            <w:tcW w:w="1132" w:type="dxa"/>
            <w:tcBorders>
              <w:top w:val="single" w:sz="4" w:space="0" w:color="auto"/>
              <w:bottom w:val="single" w:sz="4" w:space="0" w:color="auto"/>
            </w:tcBorders>
            <w:shd w:val="clear" w:color="000000" w:fill="FFFFFF"/>
            <w:vAlign w:val="center"/>
          </w:tcPr>
          <w:p w14:paraId="37946897"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i/>
                <w:iCs/>
                <w:lang w:val="it"/>
              </w:rPr>
              <w:t>P</w:t>
            </w:r>
            <w:r w:rsidR="009271CF" w:rsidRPr="00E65AD0">
              <w:rPr>
                <w:rFonts w:ascii="Book Antiqua" w:eastAsia="宋体" w:hAnsi="Book Antiqua"/>
                <w:b/>
                <w:lang w:val="it" w:eastAsia="zh-CN"/>
              </w:rPr>
              <w:t xml:space="preserve"> </w:t>
            </w:r>
            <w:r w:rsidRPr="00E65AD0">
              <w:rPr>
                <w:rFonts w:ascii="Book Antiqua" w:hAnsi="Book Antiqua"/>
                <w:b/>
                <w:lang w:val="it"/>
              </w:rPr>
              <w:t>value</w:t>
            </w:r>
          </w:p>
        </w:tc>
        <w:tc>
          <w:tcPr>
            <w:tcW w:w="2237" w:type="dxa"/>
            <w:tcBorders>
              <w:top w:val="single" w:sz="4" w:space="0" w:color="auto"/>
              <w:bottom w:val="single" w:sz="4" w:space="0" w:color="auto"/>
            </w:tcBorders>
            <w:shd w:val="clear" w:color="000000" w:fill="FFFFFF"/>
            <w:vAlign w:val="center"/>
          </w:tcPr>
          <w:p w14:paraId="537D4AB6"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lang w:val="it"/>
              </w:rPr>
              <w:t>OR</w:t>
            </w:r>
            <w:r w:rsidR="00F969B7" w:rsidRPr="00F969B7">
              <w:rPr>
                <w:rFonts w:ascii="Book Antiqua" w:hAnsi="Book Antiqua"/>
                <w:b/>
                <w:vertAlign w:val="superscript"/>
                <w:lang w:val="it"/>
              </w:rPr>
              <w:t>1</w:t>
            </w:r>
            <w:r w:rsidR="009271CF" w:rsidRPr="00E65AD0">
              <w:rPr>
                <w:rFonts w:ascii="Book Antiqua" w:hAnsi="Book Antiqua"/>
                <w:b/>
                <w:lang w:val="it"/>
              </w:rPr>
              <w:t xml:space="preserve"> (95</w:t>
            </w:r>
            <w:r w:rsidR="009271CF" w:rsidRPr="00E65AD0">
              <w:rPr>
                <w:rFonts w:ascii="Book Antiqua" w:eastAsia="宋体" w:hAnsi="Book Antiqua"/>
                <w:b/>
                <w:lang w:val="it" w:eastAsia="zh-CN"/>
              </w:rPr>
              <w:t>%</w:t>
            </w:r>
            <w:r w:rsidRPr="00E65AD0">
              <w:rPr>
                <w:rFonts w:ascii="Book Antiqua" w:hAnsi="Book Antiqua"/>
                <w:b/>
                <w:lang w:val="it"/>
              </w:rPr>
              <w:t>CI)</w:t>
            </w:r>
          </w:p>
        </w:tc>
        <w:tc>
          <w:tcPr>
            <w:tcW w:w="1025" w:type="dxa"/>
            <w:tcBorders>
              <w:top w:val="single" w:sz="4" w:space="0" w:color="auto"/>
              <w:bottom w:val="single" w:sz="4" w:space="0" w:color="auto"/>
            </w:tcBorders>
            <w:shd w:val="clear" w:color="000000" w:fill="FFFFFF"/>
          </w:tcPr>
          <w:p w14:paraId="08A80A80" w14:textId="77777777" w:rsidR="009D0DBE" w:rsidRPr="00E65AD0" w:rsidRDefault="00921B00" w:rsidP="00E65AD0">
            <w:pPr>
              <w:snapToGrid w:val="0"/>
              <w:spacing w:after="0" w:line="360" w:lineRule="auto"/>
              <w:rPr>
                <w:rFonts w:ascii="Book Antiqua" w:hAnsi="Book Antiqua" w:cs="Calibri"/>
                <w:b/>
                <w:lang w:val="it"/>
              </w:rPr>
            </w:pPr>
            <w:r w:rsidRPr="00E65AD0">
              <w:rPr>
                <w:rFonts w:ascii="Book Antiqua" w:hAnsi="Book Antiqua"/>
                <w:b/>
                <w:i/>
                <w:iCs/>
                <w:lang w:val="it"/>
              </w:rPr>
              <w:t>P</w:t>
            </w:r>
            <w:r w:rsidR="009271CF" w:rsidRPr="00E65AD0">
              <w:rPr>
                <w:rFonts w:ascii="Book Antiqua" w:eastAsia="宋体" w:hAnsi="Book Antiqua"/>
                <w:b/>
                <w:lang w:val="it" w:eastAsia="zh-CN"/>
              </w:rPr>
              <w:t xml:space="preserve"> </w:t>
            </w:r>
            <w:r w:rsidRPr="00E65AD0">
              <w:rPr>
                <w:rFonts w:ascii="Book Antiqua" w:hAnsi="Book Antiqua"/>
                <w:b/>
                <w:lang w:val="it"/>
              </w:rPr>
              <w:t>value</w:t>
            </w:r>
          </w:p>
        </w:tc>
      </w:tr>
      <w:tr w:rsidR="009D0DBE" w:rsidRPr="00E65AD0" w14:paraId="0CCDF2BE" w14:textId="77777777" w:rsidTr="009271CF">
        <w:trPr>
          <w:trHeight w:val="624"/>
        </w:trPr>
        <w:tc>
          <w:tcPr>
            <w:tcW w:w="2478" w:type="dxa"/>
            <w:tcBorders>
              <w:top w:val="single" w:sz="4" w:space="0" w:color="auto"/>
            </w:tcBorders>
            <w:shd w:val="clear" w:color="000000" w:fill="FFFFFF"/>
            <w:vAlign w:val="center"/>
          </w:tcPr>
          <w:p w14:paraId="05561EC7" w14:textId="77777777" w:rsidR="009D0DBE" w:rsidRPr="00E65AD0" w:rsidRDefault="009271CF" w:rsidP="00E65AD0">
            <w:pPr>
              <w:snapToGrid w:val="0"/>
              <w:spacing w:after="0" w:line="360" w:lineRule="auto"/>
              <w:rPr>
                <w:rFonts w:ascii="Book Antiqua" w:eastAsia="宋体" w:hAnsi="Book Antiqua" w:cs="Calibri"/>
                <w:lang w:val="it" w:eastAsia="zh-CN"/>
              </w:rPr>
            </w:pPr>
            <w:r w:rsidRPr="00E65AD0">
              <w:rPr>
                <w:rFonts w:ascii="Book Antiqua" w:hAnsi="Book Antiqua"/>
                <w:lang w:val="it"/>
              </w:rPr>
              <w:t>Age, yr</w:t>
            </w:r>
          </w:p>
        </w:tc>
        <w:tc>
          <w:tcPr>
            <w:tcW w:w="2126" w:type="dxa"/>
            <w:tcBorders>
              <w:top w:val="single" w:sz="4" w:space="0" w:color="auto"/>
            </w:tcBorders>
            <w:shd w:val="clear" w:color="000000" w:fill="FFFFFF"/>
            <w:vAlign w:val="center"/>
          </w:tcPr>
          <w:p w14:paraId="53E7648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1.05 (1.01-1.11)</w:t>
            </w:r>
          </w:p>
        </w:tc>
        <w:tc>
          <w:tcPr>
            <w:tcW w:w="1132" w:type="dxa"/>
            <w:tcBorders>
              <w:top w:val="single" w:sz="4" w:space="0" w:color="auto"/>
            </w:tcBorders>
            <w:shd w:val="clear" w:color="000000" w:fill="FFFFFF"/>
            <w:vAlign w:val="center"/>
          </w:tcPr>
          <w:p w14:paraId="6F0762C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9271CF" w:rsidRPr="00E65AD0">
              <w:rPr>
                <w:rFonts w:ascii="Book Antiqua" w:eastAsia="宋体" w:hAnsi="Book Antiqua"/>
                <w:lang w:val="it" w:eastAsia="zh-CN"/>
              </w:rPr>
              <w:t xml:space="preserve"> </w:t>
            </w:r>
            <w:r w:rsidRPr="00E65AD0">
              <w:rPr>
                <w:rFonts w:ascii="Book Antiqua" w:hAnsi="Book Antiqua"/>
                <w:lang w:val="it"/>
              </w:rPr>
              <w:t>0.02</w:t>
            </w:r>
          </w:p>
        </w:tc>
        <w:tc>
          <w:tcPr>
            <w:tcW w:w="2237" w:type="dxa"/>
            <w:tcBorders>
              <w:top w:val="single" w:sz="4" w:space="0" w:color="auto"/>
            </w:tcBorders>
            <w:shd w:val="clear" w:color="000000" w:fill="FFFFFF"/>
            <w:vAlign w:val="center"/>
          </w:tcPr>
          <w:p w14:paraId="09657C2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1.05 (1.00-1.10)</w:t>
            </w:r>
          </w:p>
        </w:tc>
        <w:tc>
          <w:tcPr>
            <w:tcW w:w="1025" w:type="dxa"/>
            <w:tcBorders>
              <w:top w:val="single" w:sz="4" w:space="0" w:color="auto"/>
            </w:tcBorders>
            <w:shd w:val="clear" w:color="000000" w:fill="FFFFFF"/>
            <w:vAlign w:val="center"/>
          </w:tcPr>
          <w:p w14:paraId="1558DAC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0.07</w:t>
            </w:r>
          </w:p>
        </w:tc>
      </w:tr>
      <w:tr w:rsidR="009D0DBE" w:rsidRPr="00E65AD0" w14:paraId="675DC40A" w14:textId="77777777" w:rsidTr="009271CF">
        <w:trPr>
          <w:trHeight w:val="301"/>
        </w:trPr>
        <w:tc>
          <w:tcPr>
            <w:tcW w:w="2478" w:type="dxa"/>
            <w:shd w:val="clear" w:color="000000" w:fill="FFFFFF"/>
            <w:vAlign w:val="center"/>
          </w:tcPr>
          <w:p w14:paraId="53E60C7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Gender</w:t>
            </w:r>
          </w:p>
        </w:tc>
        <w:tc>
          <w:tcPr>
            <w:tcW w:w="2126" w:type="dxa"/>
            <w:shd w:val="clear" w:color="000000" w:fill="FFFFFF"/>
            <w:vAlign w:val="center"/>
          </w:tcPr>
          <w:p w14:paraId="3B78CF81" w14:textId="77777777" w:rsidR="009D0DBE" w:rsidRPr="00E65AD0" w:rsidRDefault="009D0DBE" w:rsidP="00E65AD0">
            <w:pPr>
              <w:snapToGrid w:val="0"/>
              <w:spacing w:after="0" w:line="360" w:lineRule="auto"/>
              <w:rPr>
                <w:rFonts w:ascii="Book Antiqua" w:hAnsi="Book Antiqua" w:cs="Calibri"/>
                <w:lang w:val="it"/>
              </w:rPr>
            </w:pPr>
          </w:p>
        </w:tc>
        <w:tc>
          <w:tcPr>
            <w:tcW w:w="1132" w:type="dxa"/>
            <w:shd w:val="clear" w:color="000000" w:fill="FFFFFF"/>
            <w:vAlign w:val="center"/>
          </w:tcPr>
          <w:p w14:paraId="24BD4A07"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0CCDB0EF"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4A0971C1"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5B058356" w14:textId="77777777" w:rsidTr="009271CF">
        <w:trPr>
          <w:trHeight w:val="301"/>
        </w:trPr>
        <w:tc>
          <w:tcPr>
            <w:tcW w:w="2478" w:type="dxa"/>
            <w:shd w:val="clear" w:color="000000" w:fill="FFFFFF"/>
            <w:vAlign w:val="center"/>
          </w:tcPr>
          <w:p w14:paraId="1336A60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Female</w:t>
            </w:r>
          </w:p>
        </w:tc>
        <w:tc>
          <w:tcPr>
            <w:tcW w:w="2126" w:type="dxa"/>
            <w:shd w:val="clear" w:color="000000" w:fill="FFFFFF"/>
            <w:vAlign w:val="center"/>
          </w:tcPr>
          <w:p w14:paraId="328D0236"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669AA203"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5546497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047D6E84"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7A09E0E6" w14:textId="77777777" w:rsidTr="009271CF">
        <w:trPr>
          <w:trHeight w:val="581"/>
        </w:trPr>
        <w:tc>
          <w:tcPr>
            <w:tcW w:w="2478" w:type="dxa"/>
            <w:shd w:val="clear" w:color="000000" w:fill="FFFFFF"/>
            <w:vAlign w:val="center"/>
          </w:tcPr>
          <w:p w14:paraId="7D8C5BB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Male</w:t>
            </w:r>
          </w:p>
        </w:tc>
        <w:tc>
          <w:tcPr>
            <w:tcW w:w="2126" w:type="dxa"/>
            <w:shd w:val="clear" w:color="000000" w:fill="FFFFFF"/>
            <w:vAlign w:val="center"/>
          </w:tcPr>
          <w:p w14:paraId="0CA7AE1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1.73 (0.69-4.37)</w:t>
            </w:r>
          </w:p>
        </w:tc>
        <w:tc>
          <w:tcPr>
            <w:tcW w:w="1132" w:type="dxa"/>
            <w:shd w:val="clear" w:color="000000" w:fill="FFFFFF"/>
            <w:vAlign w:val="center"/>
          </w:tcPr>
          <w:p w14:paraId="17CF433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0.24</w:t>
            </w:r>
          </w:p>
        </w:tc>
        <w:tc>
          <w:tcPr>
            <w:tcW w:w="2237" w:type="dxa"/>
            <w:shd w:val="clear" w:color="000000" w:fill="FFFFFF"/>
            <w:vAlign w:val="center"/>
          </w:tcPr>
          <w:p w14:paraId="05523CB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3EEF367B"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r>
      <w:tr w:rsidR="009D0DBE" w:rsidRPr="00E65AD0" w14:paraId="2541F71E" w14:textId="77777777" w:rsidTr="009271CF">
        <w:trPr>
          <w:trHeight w:val="540"/>
        </w:trPr>
        <w:tc>
          <w:tcPr>
            <w:tcW w:w="2478" w:type="dxa"/>
            <w:shd w:val="clear" w:color="000000" w:fill="FFFFFF"/>
            <w:vAlign w:val="center"/>
          </w:tcPr>
          <w:p w14:paraId="6805DE0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 xml:space="preserve">BMI, </w:t>
            </w:r>
            <w:r w:rsidR="009271CF" w:rsidRPr="00E65AD0">
              <w:rPr>
                <w:rFonts w:ascii="Book Antiqua" w:hAnsi="Book Antiqua"/>
                <w:lang w:val="it"/>
              </w:rPr>
              <w:t>kg</w:t>
            </w:r>
            <w:r w:rsidRPr="00E65AD0">
              <w:rPr>
                <w:rFonts w:ascii="Book Antiqua" w:hAnsi="Book Antiqua"/>
                <w:lang w:val="it"/>
              </w:rPr>
              <w:t>/m</w:t>
            </w:r>
            <w:r w:rsidRPr="00E65AD0">
              <w:rPr>
                <w:rFonts w:ascii="Book Antiqua" w:hAnsi="Book Antiqua"/>
                <w:vertAlign w:val="superscript"/>
                <w:lang w:val="it"/>
              </w:rPr>
              <w:t>2</w:t>
            </w:r>
          </w:p>
        </w:tc>
        <w:tc>
          <w:tcPr>
            <w:tcW w:w="2126" w:type="dxa"/>
            <w:shd w:val="clear" w:color="000000" w:fill="FFFFFF"/>
            <w:vAlign w:val="center"/>
          </w:tcPr>
          <w:p w14:paraId="4424745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0.93 (0.75-1.15)</w:t>
            </w:r>
          </w:p>
        </w:tc>
        <w:tc>
          <w:tcPr>
            <w:tcW w:w="1132" w:type="dxa"/>
            <w:shd w:val="clear" w:color="000000" w:fill="FFFFFF"/>
            <w:vAlign w:val="center"/>
          </w:tcPr>
          <w:p w14:paraId="4590CCE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0.49</w:t>
            </w:r>
          </w:p>
        </w:tc>
        <w:tc>
          <w:tcPr>
            <w:tcW w:w="2237" w:type="dxa"/>
            <w:shd w:val="clear" w:color="000000" w:fill="FFFFFF"/>
            <w:vAlign w:val="center"/>
          </w:tcPr>
          <w:p w14:paraId="5F10BD5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203B7D48"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r>
      <w:tr w:rsidR="009D0DBE" w:rsidRPr="00E65AD0" w14:paraId="0DF1A041" w14:textId="77777777" w:rsidTr="009271CF">
        <w:trPr>
          <w:trHeight w:val="420"/>
        </w:trPr>
        <w:tc>
          <w:tcPr>
            <w:tcW w:w="2478" w:type="dxa"/>
            <w:shd w:val="clear" w:color="000000" w:fill="FFFFFF"/>
            <w:vAlign w:val="center"/>
          </w:tcPr>
          <w:p w14:paraId="6EB20A1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Alcohol use</w:t>
            </w:r>
          </w:p>
        </w:tc>
        <w:tc>
          <w:tcPr>
            <w:tcW w:w="2126" w:type="dxa"/>
            <w:shd w:val="clear" w:color="000000" w:fill="FFFFFF"/>
            <w:vAlign w:val="center"/>
          </w:tcPr>
          <w:p w14:paraId="3F393C04" w14:textId="77777777" w:rsidR="009D0DBE" w:rsidRPr="00E65AD0" w:rsidRDefault="009D0DBE" w:rsidP="00E65AD0">
            <w:pPr>
              <w:snapToGrid w:val="0"/>
              <w:spacing w:after="0" w:line="360" w:lineRule="auto"/>
              <w:rPr>
                <w:rFonts w:ascii="Book Antiqua" w:hAnsi="Book Antiqua" w:cs="Calibri"/>
                <w:lang w:val="it"/>
              </w:rPr>
            </w:pPr>
          </w:p>
        </w:tc>
        <w:tc>
          <w:tcPr>
            <w:tcW w:w="1132" w:type="dxa"/>
            <w:shd w:val="clear" w:color="000000" w:fill="FFFFFF"/>
            <w:vAlign w:val="center"/>
          </w:tcPr>
          <w:p w14:paraId="11C03973"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1668BC02"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4B015A4A"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6358E141" w14:textId="77777777" w:rsidTr="009271CF">
        <w:trPr>
          <w:trHeight w:val="484"/>
        </w:trPr>
        <w:tc>
          <w:tcPr>
            <w:tcW w:w="2478" w:type="dxa"/>
            <w:shd w:val="clear" w:color="000000" w:fill="FFFFFF"/>
            <w:vAlign w:val="center"/>
          </w:tcPr>
          <w:p w14:paraId="099D892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No</w:t>
            </w:r>
          </w:p>
        </w:tc>
        <w:tc>
          <w:tcPr>
            <w:tcW w:w="2126" w:type="dxa"/>
            <w:shd w:val="clear" w:color="000000" w:fill="FFFFFF"/>
            <w:vAlign w:val="center"/>
          </w:tcPr>
          <w:p w14:paraId="7BA33EBC"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40AA9A86"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6BF6D3A1" w14:textId="77777777" w:rsidR="009D0DBE" w:rsidRPr="00E65AD0" w:rsidRDefault="00921B00" w:rsidP="00FC5E60">
            <w:pPr>
              <w:snapToGrid w:val="0"/>
              <w:spacing w:after="0" w:line="360" w:lineRule="auto"/>
              <w:rPr>
                <w:rFonts w:ascii="Book Antiqua" w:hAnsi="Book Antiqua" w:cs="Calibri"/>
                <w:lang w:val="it"/>
              </w:rPr>
            </w:pPr>
            <w:r w:rsidRPr="00E65AD0">
              <w:rPr>
                <w:rFonts w:ascii="Book Antiqua" w:hAnsi="Book Antiqua"/>
                <w:lang w:val="it"/>
              </w:rPr>
              <w:t>1.00</w:t>
            </w:r>
            <w:r w:rsidR="00FC5E60">
              <w:rPr>
                <w:rFonts w:ascii="Book Antiqua" w:hAnsi="Book Antiqua"/>
                <w:vertAlign w:val="superscript"/>
                <w:lang w:val="it"/>
              </w:rPr>
              <w:t>2</w:t>
            </w:r>
          </w:p>
        </w:tc>
        <w:tc>
          <w:tcPr>
            <w:tcW w:w="1025" w:type="dxa"/>
            <w:shd w:val="clear" w:color="000000" w:fill="FFFFFF"/>
            <w:vAlign w:val="center"/>
          </w:tcPr>
          <w:p w14:paraId="7721B63B"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2B208E0F" w14:textId="77777777" w:rsidTr="009271CF">
        <w:trPr>
          <w:trHeight w:val="497"/>
        </w:trPr>
        <w:tc>
          <w:tcPr>
            <w:tcW w:w="2478" w:type="dxa"/>
            <w:shd w:val="clear" w:color="000000" w:fill="FFFFFF"/>
            <w:vAlign w:val="center"/>
          </w:tcPr>
          <w:p w14:paraId="63C6632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Yes</w:t>
            </w:r>
          </w:p>
        </w:tc>
        <w:tc>
          <w:tcPr>
            <w:tcW w:w="2126" w:type="dxa"/>
            <w:shd w:val="clear" w:color="000000" w:fill="FFFFFF"/>
            <w:vAlign w:val="center"/>
          </w:tcPr>
          <w:p w14:paraId="4CD61E77"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4.33 (1.63-11.51)</w:t>
            </w:r>
          </w:p>
        </w:tc>
        <w:tc>
          <w:tcPr>
            <w:tcW w:w="1132" w:type="dxa"/>
            <w:shd w:val="clear" w:color="000000" w:fill="FFFFFF"/>
            <w:vAlign w:val="center"/>
          </w:tcPr>
          <w:p w14:paraId="4D5B928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9271CF" w:rsidRPr="00E65AD0">
              <w:rPr>
                <w:rFonts w:ascii="Book Antiqua" w:eastAsia="宋体" w:hAnsi="Book Antiqua"/>
                <w:lang w:val="it" w:eastAsia="zh-CN"/>
              </w:rPr>
              <w:t xml:space="preserve"> </w:t>
            </w:r>
            <w:r w:rsidRPr="00E65AD0">
              <w:rPr>
                <w:rFonts w:ascii="Book Antiqua" w:hAnsi="Book Antiqua"/>
                <w:lang w:val="it"/>
              </w:rPr>
              <w:t>0.01</w:t>
            </w:r>
          </w:p>
        </w:tc>
        <w:tc>
          <w:tcPr>
            <w:tcW w:w="2237" w:type="dxa"/>
            <w:shd w:val="clear" w:color="000000" w:fill="FFFFFF"/>
            <w:vAlign w:val="center"/>
          </w:tcPr>
          <w:p w14:paraId="4D10E99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3.88 (1.31-11.49)</w:t>
            </w:r>
          </w:p>
        </w:tc>
        <w:tc>
          <w:tcPr>
            <w:tcW w:w="1025" w:type="dxa"/>
            <w:shd w:val="clear" w:color="000000" w:fill="FFFFFF"/>
            <w:vAlign w:val="center"/>
          </w:tcPr>
          <w:p w14:paraId="1CDED1B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0.01</w:t>
            </w:r>
          </w:p>
        </w:tc>
      </w:tr>
      <w:tr w:rsidR="009D0DBE" w:rsidRPr="00E65AD0" w14:paraId="4BE01E99" w14:textId="77777777" w:rsidTr="009271CF">
        <w:trPr>
          <w:trHeight w:val="360"/>
        </w:trPr>
        <w:tc>
          <w:tcPr>
            <w:tcW w:w="2478" w:type="dxa"/>
            <w:shd w:val="clear" w:color="000000" w:fill="FFFFFF"/>
            <w:vAlign w:val="center"/>
          </w:tcPr>
          <w:p w14:paraId="1AF6A5D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Drug use</w:t>
            </w:r>
          </w:p>
        </w:tc>
        <w:tc>
          <w:tcPr>
            <w:tcW w:w="2126" w:type="dxa"/>
            <w:shd w:val="clear" w:color="000000" w:fill="FFFFFF"/>
            <w:vAlign w:val="center"/>
          </w:tcPr>
          <w:p w14:paraId="03454BDB" w14:textId="77777777" w:rsidR="009D0DBE" w:rsidRPr="00E65AD0" w:rsidRDefault="009D0DBE" w:rsidP="00E65AD0">
            <w:pPr>
              <w:snapToGrid w:val="0"/>
              <w:spacing w:after="0" w:line="360" w:lineRule="auto"/>
              <w:rPr>
                <w:rFonts w:ascii="Book Antiqua" w:hAnsi="Book Antiqua" w:cs="Calibri"/>
                <w:lang w:val="it"/>
              </w:rPr>
            </w:pPr>
          </w:p>
        </w:tc>
        <w:tc>
          <w:tcPr>
            <w:tcW w:w="1132" w:type="dxa"/>
            <w:shd w:val="clear" w:color="000000" w:fill="FFFFFF"/>
            <w:vAlign w:val="center"/>
          </w:tcPr>
          <w:p w14:paraId="147BB1C1"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685EFE7F"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1F5646A0"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78AF30BD" w14:textId="77777777" w:rsidTr="009271CF">
        <w:trPr>
          <w:trHeight w:val="484"/>
        </w:trPr>
        <w:tc>
          <w:tcPr>
            <w:tcW w:w="2478" w:type="dxa"/>
            <w:shd w:val="clear" w:color="000000" w:fill="FFFFFF"/>
            <w:vAlign w:val="center"/>
          </w:tcPr>
          <w:p w14:paraId="7002AF7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No</w:t>
            </w:r>
          </w:p>
        </w:tc>
        <w:tc>
          <w:tcPr>
            <w:tcW w:w="2126" w:type="dxa"/>
            <w:shd w:val="clear" w:color="000000" w:fill="FFFFFF"/>
            <w:vAlign w:val="center"/>
          </w:tcPr>
          <w:p w14:paraId="3211766A"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62F89DCB"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76CA540D"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4B0778B9"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5194435B" w14:textId="77777777" w:rsidTr="009271CF">
        <w:trPr>
          <w:trHeight w:val="511"/>
        </w:trPr>
        <w:tc>
          <w:tcPr>
            <w:tcW w:w="2478" w:type="dxa"/>
            <w:shd w:val="clear" w:color="000000" w:fill="FFFFFF"/>
            <w:vAlign w:val="center"/>
          </w:tcPr>
          <w:p w14:paraId="73EDB33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Yes</w:t>
            </w:r>
          </w:p>
        </w:tc>
        <w:tc>
          <w:tcPr>
            <w:tcW w:w="2126" w:type="dxa"/>
            <w:shd w:val="clear" w:color="000000" w:fill="FFFFFF"/>
            <w:vAlign w:val="center"/>
          </w:tcPr>
          <w:p w14:paraId="0100A524"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1.45 (0.54-3.94)</w:t>
            </w:r>
          </w:p>
        </w:tc>
        <w:tc>
          <w:tcPr>
            <w:tcW w:w="1132" w:type="dxa"/>
            <w:shd w:val="clear" w:color="000000" w:fill="FFFFFF"/>
            <w:vAlign w:val="center"/>
          </w:tcPr>
          <w:p w14:paraId="10CC021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0.46</w:t>
            </w:r>
          </w:p>
        </w:tc>
        <w:tc>
          <w:tcPr>
            <w:tcW w:w="2237" w:type="dxa"/>
            <w:shd w:val="clear" w:color="000000" w:fill="FFFFFF"/>
            <w:vAlign w:val="center"/>
          </w:tcPr>
          <w:p w14:paraId="7D77EB3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7C8691CC"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r>
      <w:tr w:rsidR="009D0DBE" w:rsidRPr="00E65AD0" w14:paraId="7A15024D" w14:textId="77777777" w:rsidTr="009271CF">
        <w:trPr>
          <w:trHeight w:val="397"/>
        </w:trPr>
        <w:tc>
          <w:tcPr>
            <w:tcW w:w="2478" w:type="dxa"/>
            <w:shd w:val="clear" w:color="000000" w:fill="FFFFFF"/>
            <w:vAlign w:val="center"/>
          </w:tcPr>
          <w:p w14:paraId="3FE8EAD3"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MALT hyperplasia regression/reduction</w:t>
            </w:r>
          </w:p>
        </w:tc>
        <w:tc>
          <w:tcPr>
            <w:tcW w:w="2126" w:type="dxa"/>
            <w:shd w:val="clear" w:color="000000" w:fill="FFFFFF"/>
            <w:vAlign w:val="center"/>
          </w:tcPr>
          <w:p w14:paraId="658588A7" w14:textId="77777777" w:rsidR="009D0DBE" w:rsidRPr="00E65AD0" w:rsidRDefault="009D0DBE" w:rsidP="00E65AD0">
            <w:pPr>
              <w:snapToGrid w:val="0"/>
              <w:spacing w:after="0" w:line="360" w:lineRule="auto"/>
              <w:rPr>
                <w:rFonts w:ascii="Book Antiqua" w:hAnsi="Book Antiqua" w:cs="Calibri"/>
                <w:lang w:val="it"/>
              </w:rPr>
            </w:pPr>
          </w:p>
        </w:tc>
        <w:tc>
          <w:tcPr>
            <w:tcW w:w="1132" w:type="dxa"/>
            <w:shd w:val="clear" w:color="000000" w:fill="FFFFFF"/>
            <w:vAlign w:val="center"/>
          </w:tcPr>
          <w:p w14:paraId="4ED84D01"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vAlign w:val="center"/>
          </w:tcPr>
          <w:p w14:paraId="5B0EED23"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66AC4662"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548E83D4" w14:textId="77777777" w:rsidTr="009271CF">
        <w:trPr>
          <w:trHeight w:val="553"/>
        </w:trPr>
        <w:tc>
          <w:tcPr>
            <w:tcW w:w="2478" w:type="dxa"/>
            <w:shd w:val="clear" w:color="000000" w:fill="FFFFFF"/>
            <w:vAlign w:val="center"/>
          </w:tcPr>
          <w:p w14:paraId="130648F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No</w:t>
            </w:r>
          </w:p>
        </w:tc>
        <w:tc>
          <w:tcPr>
            <w:tcW w:w="2126" w:type="dxa"/>
            <w:shd w:val="clear" w:color="000000" w:fill="FFFFFF"/>
            <w:vAlign w:val="center"/>
          </w:tcPr>
          <w:p w14:paraId="732A3BD1"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3645A614"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tcPr>
          <w:p w14:paraId="29012F8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w:t>
            </w:r>
          </w:p>
        </w:tc>
        <w:tc>
          <w:tcPr>
            <w:tcW w:w="1025" w:type="dxa"/>
            <w:shd w:val="clear" w:color="000000" w:fill="FFFFFF"/>
            <w:vAlign w:val="center"/>
          </w:tcPr>
          <w:p w14:paraId="2D87F9FF"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285D67DB" w14:textId="77777777" w:rsidTr="009271CF">
        <w:trPr>
          <w:trHeight w:val="74"/>
        </w:trPr>
        <w:tc>
          <w:tcPr>
            <w:tcW w:w="2478" w:type="dxa"/>
            <w:shd w:val="clear" w:color="000000" w:fill="FFFFFF"/>
            <w:vAlign w:val="center"/>
          </w:tcPr>
          <w:p w14:paraId="7A642DD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Yes</w:t>
            </w:r>
          </w:p>
        </w:tc>
        <w:tc>
          <w:tcPr>
            <w:tcW w:w="2126" w:type="dxa"/>
            <w:shd w:val="clear" w:color="000000" w:fill="FFFFFF"/>
            <w:vAlign w:val="center"/>
          </w:tcPr>
          <w:p w14:paraId="703F5211"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3.90 (1.20-7.91)</w:t>
            </w:r>
          </w:p>
        </w:tc>
        <w:tc>
          <w:tcPr>
            <w:tcW w:w="1132" w:type="dxa"/>
            <w:shd w:val="clear" w:color="000000" w:fill="FFFFFF"/>
            <w:vAlign w:val="center"/>
          </w:tcPr>
          <w:p w14:paraId="483C4299"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9271CF" w:rsidRPr="00E65AD0">
              <w:rPr>
                <w:rFonts w:ascii="Book Antiqua" w:eastAsia="宋体" w:hAnsi="Book Antiqua"/>
                <w:lang w:val="it" w:eastAsia="zh-CN"/>
              </w:rPr>
              <w:t xml:space="preserve"> </w:t>
            </w:r>
            <w:r w:rsidRPr="00E65AD0">
              <w:rPr>
                <w:rFonts w:ascii="Book Antiqua" w:hAnsi="Book Antiqua"/>
                <w:lang w:val="it"/>
              </w:rPr>
              <w:t>0.02</w:t>
            </w:r>
          </w:p>
        </w:tc>
        <w:tc>
          <w:tcPr>
            <w:tcW w:w="2237" w:type="dxa"/>
            <w:shd w:val="clear" w:color="000000" w:fill="FFFFFF"/>
          </w:tcPr>
          <w:p w14:paraId="4AD3BB20"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3.10 (1.05-9.12)</w:t>
            </w:r>
          </w:p>
        </w:tc>
        <w:tc>
          <w:tcPr>
            <w:tcW w:w="1025" w:type="dxa"/>
            <w:shd w:val="clear" w:color="000000" w:fill="FFFFFF"/>
            <w:vAlign w:val="center"/>
          </w:tcPr>
          <w:p w14:paraId="37BEA8C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0.04</w:t>
            </w:r>
          </w:p>
        </w:tc>
      </w:tr>
      <w:tr w:rsidR="009D0DBE" w:rsidRPr="00E65AD0" w14:paraId="7C7B2253" w14:textId="77777777" w:rsidTr="009271CF">
        <w:trPr>
          <w:trHeight w:val="1098"/>
        </w:trPr>
        <w:tc>
          <w:tcPr>
            <w:tcW w:w="2478" w:type="dxa"/>
            <w:shd w:val="clear" w:color="000000" w:fill="FFFFFF"/>
            <w:vAlign w:val="center"/>
          </w:tcPr>
          <w:p w14:paraId="226611AE" w14:textId="77777777" w:rsidR="009D0DBE" w:rsidRPr="00E65AD0" w:rsidRDefault="00921B00" w:rsidP="00E65AD0">
            <w:pPr>
              <w:snapToGrid w:val="0"/>
              <w:spacing w:after="0" w:line="360" w:lineRule="auto"/>
              <w:rPr>
                <w:rFonts w:ascii="Book Antiqua" w:hAnsi="Book Antiqua" w:cs="Calibri"/>
                <w:lang w:val="en-GB"/>
              </w:rPr>
            </w:pPr>
            <w:r w:rsidRPr="00E65AD0">
              <w:rPr>
                <w:rFonts w:ascii="Book Antiqua" w:hAnsi="Book Antiqua"/>
                <w:lang w:val="en-GB"/>
              </w:rPr>
              <w:t>APCA and/or AIF antibody positivity</w:t>
            </w:r>
          </w:p>
        </w:tc>
        <w:tc>
          <w:tcPr>
            <w:tcW w:w="2126" w:type="dxa"/>
            <w:shd w:val="clear" w:color="000000" w:fill="FFFFFF"/>
            <w:vAlign w:val="center"/>
          </w:tcPr>
          <w:p w14:paraId="40C100E0" w14:textId="77777777" w:rsidR="009D0DBE" w:rsidRPr="00E65AD0" w:rsidRDefault="009D0DBE" w:rsidP="00E65AD0">
            <w:pPr>
              <w:snapToGrid w:val="0"/>
              <w:spacing w:after="0" w:line="360" w:lineRule="auto"/>
              <w:rPr>
                <w:rFonts w:ascii="Book Antiqua" w:hAnsi="Book Antiqua" w:cs="Calibri"/>
                <w:lang w:val="en-GB"/>
              </w:rPr>
            </w:pPr>
          </w:p>
        </w:tc>
        <w:tc>
          <w:tcPr>
            <w:tcW w:w="1132" w:type="dxa"/>
            <w:shd w:val="clear" w:color="000000" w:fill="FFFFFF"/>
            <w:vAlign w:val="center"/>
          </w:tcPr>
          <w:p w14:paraId="474B61D9" w14:textId="77777777" w:rsidR="009D0DBE" w:rsidRPr="00E65AD0" w:rsidRDefault="009D0DBE" w:rsidP="00E65AD0">
            <w:pPr>
              <w:snapToGrid w:val="0"/>
              <w:spacing w:after="0" w:line="360" w:lineRule="auto"/>
              <w:rPr>
                <w:rFonts w:ascii="Book Antiqua" w:hAnsi="Book Antiqua" w:cs="Calibri"/>
                <w:lang w:val="en-GB"/>
              </w:rPr>
            </w:pPr>
          </w:p>
        </w:tc>
        <w:tc>
          <w:tcPr>
            <w:tcW w:w="2237" w:type="dxa"/>
            <w:shd w:val="clear" w:color="000000" w:fill="FFFFFF"/>
          </w:tcPr>
          <w:p w14:paraId="31F59ED2" w14:textId="77777777" w:rsidR="009D0DBE" w:rsidRPr="00E65AD0" w:rsidRDefault="009D0DBE" w:rsidP="00E65AD0">
            <w:pPr>
              <w:snapToGrid w:val="0"/>
              <w:spacing w:after="0" w:line="360" w:lineRule="auto"/>
              <w:rPr>
                <w:rFonts w:ascii="Book Antiqua" w:hAnsi="Book Antiqua" w:cs="Calibri"/>
                <w:lang w:val="en-GB"/>
              </w:rPr>
            </w:pPr>
          </w:p>
        </w:tc>
        <w:tc>
          <w:tcPr>
            <w:tcW w:w="1025" w:type="dxa"/>
            <w:shd w:val="clear" w:color="000000" w:fill="FFFFFF"/>
            <w:vAlign w:val="center"/>
          </w:tcPr>
          <w:p w14:paraId="36DAA1BA" w14:textId="77777777" w:rsidR="009D0DBE" w:rsidRPr="00E65AD0" w:rsidRDefault="009D0DBE" w:rsidP="00E65AD0">
            <w:pPr>
              <w:snapToGrid w:val="0"/>
              <w:spacing w:after="0" w:line="360" w:lineRule="auto"/>
              <w:rPr>
                <w:rFonts w:ascii="Book Antiqua" w:hAnsi="Book Antiqua" w:cs="Calibri"/>
                <w:lang w:val="en-GB"/>
              </w:rPr>
            </w:pPr>
          </w:p>
        </w:tc>
      </w:tr>
      <w:tr w:rsidR="009D0DBE" w:rsidRPr="00E65AD0" w14:paraId="14262DD9" w14:textId="77777777" w:rsidTr="009271CF">
        <w:trPr>
          <w:trHeight w:val="483"/>
        </w:trPr>
        <w:tc>
          <w:tcPr>
            <w:tcW w:w="2478" w:type="dxa"/>
            <w:shd w:val="clear" w:color="000000" w:fill="FFFFFF"/>
            <w:vAlign w:val="center"/>
          </w:tcPr>
          <w:p w14:paraId="1AE0CE7A"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No</w:t>
            </w:r>
          </w:p>
        </w:tc>
        <w:tc>
          <w:tcPr>
            <w:tcW w:w="2126" w:type="dxa"/>
            <w:shd w:val="clear" w:color="000000" w:fill="FFFFFF"/>
            <w:vAlign w:val="center"/>
          </w:tcPr>
          <w:p w14:paraId="3D5DEFC5" w14:textId="77777777" w:rsidR="009D0DBE" w:rsidRPr="00E65AD0" w:rsidRDefault="00921B00" w:rsidP="00D354D9">
            <w:pPr>
              <w:snapToGrid w:val="0"/>
              <w:spacing w:after="0" w:line="360" w:lineRule="auto"/>
              <w:rPr>
                <w:rFonts w:ascii="Book Antiqua" w:hAnsi="Book Antiqua" w:cs="Calibri"/>
                <w:lang w:val="it"/>
              </w:rPr>
            </w:pPr>
            <w:r w:rsidRPr="00E65AD0">
              <w:rPr>
                <w:rFonts w:ascii="Book Antiqua" w:hAnsi="Book Antiqua"/>
                <w:lang w:val="it"/>
              </w:rPr>
              <w:t>1.00</w:t>
            </w:r>
            <w:r w:rsidR="00D354D9">
              <w:rPr>
                <w:rFonts w:ascii="Book Antiqua" w:hAnsi="Book Antiqua"/>
                <w:vertAlign w:val="superscript"/>
                <w:lang w:val="it"/>
              </w:rPr>
              <w:t>2</w:t>
            </w:r>
          </w:p>
        </w:tc>
        <w:tc>
          <w:tcPr>
            <w:tcW w:w="1132" w:type="dxa"/>
            <w:shd w:val="clear" w:color="000000" w:fill="FFFFFF"/>
            <w:vAlign w:val="center"/>
          </w:tcPr>
          <w:p w14:paraId="57C41D0D" w14:textId="77777777" w:rsidR="009D0DBE" w:rsidRPr="00E65AD0" w:rsidRDefault="009D0DBE" w:rsidP="00E65AD0">
            <w:pPr>
              <w:snapToGrid w:val="0"/>
              <w:spacing w:after="0" w:line="360" w:lineRule="auto"/>
              <w:rPr>
                <w:rFonts w:ascii="Book Antiqua" w:hAnsi="Book Antiqua" w:cs="Calibri"/>
                <w:lang w:val="it"/>
              </w:rPr>
            </w:pPr>
          </w:p>
        </w:tc>
        <w:tc>
          <w:tcPr>
            <w:tcW w:w="2237" w:type="dxa"/>
            <w:shd w:val="clear" w:color="000000" w:fill="FFFFFF"/>
          </w:tcPr>
          <w:p w14:paraId="199B5650" w14:textId="77777777" w:rsidR="009D0DBE" w:rsidRPr="00E65AD0" w:rsidRDefault="009D0DBE" w:rsidP="00E65AD0">
            <w:pPr>
              <w:snapToGrid w:val="0"/>
              <w:spacing w:after="0" w:line="360" w:lineRule="auto"/>
              <w:rPr>
                <w:rFonts w:ascii="Book Antiqua" w:hAnsi="Book Antiqua" w:cs="Calibri"/>
                <w:lang w:val="it"/>
              </w:rPr>
            </w:pPr>
          </w:p>
        </w:tc>
        <w:tc>
          <w:tcPr>
            <w:tcW w:w="1025" w:type="dxa"/>
            <w:shd w:val="clear" w:color="000000" w:fill="FFFFFF"/>
            <w:vAlign w:val="center"/>
          </w:tcPr>
          <w:p w14:paraId="774B05B0" w14:textId="77777777" w:rsidR="009D0DBE" w:rsidRPr="00E65AD0" w:rsidRDefault="009D0DBE" w:rsidP="00E65AD0">
            <w:pPr>
              <w:snapToGrid w:val="0"/>
              <w:spacing w:after="0" w:line="360" w:lineRule="auto"/>
              <w:rPr>
                <w:rFonts w:ascii="Book Antiqua" w:hAnsi="Book Antiqua" w:cs="Calibri"/>
                <w:lang w:val="it"/>
              </w:rPr>
            </w:pPr>
          </w:p>
        </w:tc>
      </w:tr>
      <w:tr w:rsidR="009D0DBE" w:rsidRPr="00E65AD0" w14:paraId="040450E0" w14:textId="77777777" w:rsidTr="009271CF">
        <w:trPr>
          <w:trHeight w:val="74"/>
        </w:trPr>
        <w:tc>
          <w:tcPr>
            <w:tcW w:w="2478" w:type="dxa"/>
            <w:shd w:val="clear" w:color="000000" w:fill="FFFFFF"/>
            <w:vAlign w:val="center"/>
          </w:tcPr>
          <w:p w14:paraId="17B98985"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Yes</w:t>
            </w:r>
          </w:p>
        </w:tc>
        <w:tc>
          <w:tcPr>
            <w:tcW w:w="2126" w:type="dxa"/>
            <w:shd w:val="clear" w:color="000000" w:fill="FFFFFF"/>
            <w:vAlign w:val="center"/>
          </w:tcPr>
          <w:p w14:paraId="43DD62D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5.30 (1.44-19.56)</w:t>
            </w:r>
          </w:p>
        </w:tc>
        <w:tc>
          <w:tcPr>
            <w:tcW w:w="1132" w:type="dxa"/>
            <w:shd w:val="clear" w:color="000000" w:fill="FFFFFF"/>
            <w:vAlign w:val="center"/>
          </w:tcPr>
          <w:p w14:paraId="1F24F246"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0.01</w:t>
            </w:r>
          </w:p>
        </w:tc>
        <w:tc>
          <w:tcPr>
            <w:tcW w:w="2237" w:type="dxa"/>
            <w:shd w:val="clear" w:color="000000" w:fill="FFFFFF"/>
            <w:vAlign w:val="center"/>
          </w:tcPr>
          <w:p w14:paraId="676F350E"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5.47 (1.33-22.39)</w:t>
            </w:r>
          </w:p>
        </w:tc>
        <w:tc>
          <w:tcPr>
            <w:tcW w:w="1025" w:type="dxa"/>
            <w:shd w:val="clear" w:color="000000" w:fill="FFFFFF"/>
            <w:vAlign w:val="center"/>
          </w:tcPr>
          <w:p w14:paraId="30533AD2" w14:textId="77777777" w:rsidR="009D0DBE" w:rsidRPr="00E65AD0" w:rsidRDefault="00921B00" w:rsidP="00E65AD0">
            <w:pPr>
              <w:snapToGrid w:val="0"/>
              <w:spacing w:after="0" w:line="360" w:lineRule="auto"/>
              <w:rPr>
                <w:rFonts w:ascii="Book Antiqua" w:hAnsi="Book Antiqua" w:cs="Calibri"/>
                <w:lang w:val="it"/>
              </w:rPr>
            </w:pPr>
            <w:r w:rsidRPr="00E65AD0">
              <w:rPr>
                <w:rFonts w:ascii="Book Antiqua" w:hAnsi="Book Antiqua"/>
                <w:lang w:val="it"/>
              </w:rPr>
              <w:t>&lt;</w:t>
            </w:r>
            <w:r w:rsidR="009271CF" w:rsidRPr="00E65AD0">
              <w:rPr>
                <w:rFonts w:ascii="Book Antiqua" w:eastAsia="宋体" w:hAnsi="Book Antiqua"/>
                <w:lang w:val="it" w:eastAsia="zh-CN"/>
              </w:rPr>
              <w:t xml:space="preserve"> </w:t>
            </w:r>
            <w:r w:rsidRPr="00E65AD0">
              <w:rPr>
                <w:rFonts w:ascii="Book Antiqua" w:hAnsi="Book Antiqua"/>
                <w:lang w:val="it"/>
              </w:rPr>
              <w:t>0.02</w:t>
            </w:r>
          </w:p>
        </w:tc>
      </w:tr>
    </w:tbl>
    <w:p w14:paraId="349F58E6" w14:textId="77777777" w:rsidR="009D0DBE" w:rsidRPr="00E65AD0" w:rsidRDefault="00F969B7" w:rsidP="00E65AD0">
      <w:pPr>
        <w:snapToGrid w:val="0"/>
        <w:spacing w:after="0" w:line="360" w:lineRule="auto"/>
        <w:rPr>
          <w:rFonts w:ascii="Book Antiqua" w:eastAsia="宋体" w:hAnsi="Book Antiqua"/>
          <w:lang w:val="en-GB" w:eastAsia="zh-CN"/>
        </w:rPr>
      </w:pPr>
      <w:r>
        <w:rPr>
          <w:rFonts w:ascii="Book Antiqua" w:hAnsi="Book Antiqua"/>
          <w:vertAlign w:val="superscript"/>
          <w:lang w:val="en-GB"/>
        </w:rPr>
        <w:t>1</w:t>
      </w:r>
      <w:r w:rsidR="00921B00" w:rsidRPr="00E65AD0">
        <w:rPr>
          <w:rFonts w:ascii="Book Antiqua" w:hAnsi="Book Antiqua"/>
          <w:highlight w:val="white"/>
          <w:lang w:val="en-GB"/>
        </w:rPr>
        <w:t xml:space="preserve">Ajusted for age, alcohol use, </w:t>
      </w:r>
      <w:r w:rsidR="009271CF" w:rsidRPr="00E65AD0">
        <w:rPr>
          <w:rFonts w:ascii="Book Antiqua" w:hAnsi="Book Antiqua"/>
          <w:lang w:val="en-GB"/>
        </w:rPr>
        <w:t>Mucosa-associated lymphoid tissue</w:t>
      </w:r>
      <w:r w:rsidR="00921B00" w:rsidRPr="00E65AD0">
        <w:rPr>
          <w:rFonts w:ascii="Book Antiqua" w:hAnsi="Book Antiqua"/>
          <w:highlight w:val="white"/>
          <w:lang w:val="en-GB"/>
        </w:rPr>
        <w:t xml:space="preserve"> hyperplasia reduction/regression and </w:t>
      </w:r>
      <w:r w:rsidR="009271CF" w:rsidRPr="00E65AD0">
        <w:rPr>
          <w:rFonts w:ascii="Book Antiqua" w:hAnsi="Book Antiqua"/>
          <w:lang w:val="en-GB"/>
        </w:rPr>
        <w:t>anti-parietal cell antibody</w:t>
      </w:r>
      <w:r w:rsidR="00921B00" w:rsidRPr="00E65AD0">
        <w:rPr>
          <w:rFonts w:ascii="Book Antiqua" w:hAnsi="Book Antiqua"/>
          <w:highlight w:val="white"/>
          <w:lang w:val="en-GB"/>
        </w:rPr>
        <w:t xml:space="preserve"> and/or </w:t>
      </w:r>
      <w:r w:rsidR="009271CF" w:rsidRPr="00E65AD0">
        <w:rPr>
          <w:rFonts w:ascii="Book Antiqua" w:hAnsi="Book Antiqua"/>
          <w:lang w:val="en-GB"/>
        </w:rPr>
        <w:t>anti-intrinsic factor</w:t>
      </w:r>
      <w:r w:rsidR="00921B00" w:rsidRPr="00E65AD0">
        <w:rPr>
          <w:rFonts w:ascii="Book Antiqua" w:hAnsi="Book Antiqua"/>
          <w:highlight w:val="white"/>
          <w:lang w:val="en-GB"/>
        </w:rPr>
        <w:t xml:space="preserve"> antibody positivity</w:t>
      </w:r>
      <w:r w:rsidR="002C41EC">
        <w:rPr>
          <w:rFonts w:ascii="Book Antiqua" w:hAnsi="Book Antiqua"/>
          <w:highlight w:val="white"/>
          <w:lang w:val="en-GB"/>
        </w:rPr>
        <w:t>.</w:t>
      </w:r>
      <w:r w:rsidR="00921B00" w:rsidRPr="00E65AD0">
        <w:rPr>
          <w:rFonts w:ascii="Book Antiqua" w:hAnsi="Book Antiqua"/>
          <w:highlight w:val="white"/>
          <w:lang w:val="en-GB"/>
        </w:rPr>
        <w:t xml:space="preserve"> </w:t>
      </w:r>
      <w:r w:rsidR="002C41EC">
        <w:rPr>
          <w:rFonts w:ascii="Book Antiqua" w:hAnsi="Book Antiqua"/>
          <w:highlight w:val="white"/>
          <w:vertAlign w:val="superscript"/>
          <w:lang w:val="en-GB"/>
        </w:rPr>
        <w:t>2</w:t>
      </w:r>
      <w:r w:rsidR="009271CF" w:rsidRPr="00E65AD0">
        <w:rPr>
          <w:rFonts w:ascii="Book Antiqua" w:hAnsi="Book Antiqua"/>
          <w:highlight w:val="white"/>
          <w:lang w:val="en-GB"/>
        </w:rPr>
        <w:t>Reference group</w:t>
      </w:r>
      <w:r w:rsidR="009271CF" w:rsidRPr="00E65AD0">
        <w:rPr>
          <w:rFonts w:ascii="Book Antiqua" w:eastAsia="宋体" w:hAnsi="Book Antiqua"/>
          <w:highlight w:val="white"/>
          <w:lang w:val="en-GB" w:eastAsia="zh-CN"/>
        </w:rPr>
        <w:t>.</w:t>
      </w:r>
      <w:r w:rsidR="009271CF" w:rsidRPr="00E65AD0">
        <w:rPr>
          <w:rFonts w:ascii="Book Antiqua" w:hAnsi="Book Antiqua"/>
          <w:highlight w:val="white"/>
          <w:lang w:val="en-GB"/>
        </w:rPr>
        <w:t xml:space="preserve"> LGD</w:t>
      </w:r>
      <w:r w:rsidR="009271CF" w:rsidRPr="00E65AD0">
        <w:rPr>
          <w:rFonts w:ascii="Book Antiqua" w:eastAsia="宋体" w:hAnsi="Book Antiqua"/>
          <w:highlight w:val="white"/>
          <w:lang w:val="en-GB" w:eastAsia="zh-CN"/>
        </w:rPr>
        <w:t>:</w:t>
      </w:r>
      <w:r w:rsidR="00921B00" w:rsidRPr="00E65AD0">
        <w:rPr>
          <w:rFonts w:ascii="Book Antiqua" w:hAnsi="Book Antiqua"/>
          <w:highlight w:val="white"/>
          <w:lang w:val="en-GB"/>
        </w:rPr>
        <w:t xml:space="preserve"> Low-</w:t>
      </w:r>
      <w:r w:rsidR="009271CF" w:rsidRPr="00E65AD0">
        <w:rPr>
          <w:rFonts w:ascii="Book Antiqua" w:hAnsi="Book Antiqua"/>
          <w:highlight w:val="white"/>
          <w:lang w:val="en-GB"/>
        </w:rPr>
        <w:t>grade dysplasia</w:t>
      </w:r>
      <w:r w:rsidR="00921B00" w:rsidRPr="00E65AD0">
        <w:rPr>
          <w:rFonts w:ascii="Book Antiqua" w:hAnsi="Book Antiqua"/>
          <w:highlight w:val="white"/>
          <w:lang w:val="en-GB"/>
        </w:rPr>
        <w:t xml:space="preserve">; </w:t>
      </w:r>
      <w:r w:rsidR="002D1A0E" w:rsidRPr="00E65AD0">
        <w:rPr>
          <w:rFonts w:ascii="Book Antiqua" w:hAnsi="Book Antiqua"/>
          <w:i/>
          <w:lang w:val="en-US" w:eastAsia="en-US"/>
        </w:rPr>
        <w:t xml:space="preserve">H. </w:t>
      </w:r>
      <w:r w:rsidR="009271CF" w:rsidRPr="00E65AD0">
        <w:rPr>
          <w:rFonts w:ascii="Book Antiqua" w:hAnsi="Book Antiqua"/>
          <w:i/>
          <w:lang w:val="en-US" w:eastAsia="en-US"/>
        </w:rPr>
        <w:t>pylori</w:t>
      </w:r>
      <w:r w:rsidR="009271CF" w:rsidRPr="00E65AD0">
        <w:rPr>
          <w:rFonts w:ascii="Book Antiqua" w:eastAsia="宋体" w:hAnsi="Book Antiqua"/>
          <w:lang w:val="en-US" w:eastAsia="zh-CN"/>
        </w:rPr>
        <w:t>:</w:t>
      </w:r>
      <w:r w:rsidR="00921B00" w:rsidRPr="00E65AD0">
        <w:rPr>
          <w:rFonts w:ascii="Book Antiqua" w:hAnsi="Book Antiqua"/>
          <w:lang w:val="en-US" w:eastAsia="en-US"/>
        </w:rPr>
        <w:t xml:space="preserve"> </w:t>
      </w:r>
      <w:r w:rsidR="00921B00" w:rsidRPr="00E65AD0">
        <w:rPr>
          <w:rFonts w:ascii="Book Antiqua" w:hAnsi="Book Antiqua"/>
          <w:i/>
          <w:lang w:val="en-US" w:eastAsia="en-US"/>
        </w:rPr>
        <w:t>Helicobacter</w:t>
      </w:r>
      <w:r w:rsidR="00921B00" w:rsidRPr="00E65AD0">
        <w:rPr>
          <w:rFonts w:ascii="Book Antiqua" w:hAnsi="Book Antiqua"/>
          <w:lang w:val="en-US" w:eastAsia="en-US"/>
        </w:rPr>
        <w:t xml:space="preserve"> </w:t>
      </w:r>
      <w:r w:rsidR="002D1A0E" w:rsidRPr="00E65AD0">
        <w:rPr>
          <w:rFonts w:ascii="Book Antiqua" w:hAnsi="Book Antiqua"/>
          <w:i/>
          <w:lang w:val="en-US" w:eastAsia="en-US"/>
        </w:rPr>
        <w:t>pylori</w:t>
      </w:r>
      <w:r w:rsidR="009271CF" w:rsidRPr="00E65AD0">
        <w:rPr>
          <w:rFonts w:ascii="Book Antiqua" w:hAnsi="Book Antiqua"/>
          <w:lang w:val="en-US" w:eastAsia="en-US"/>
        </w:rPr>
        <w:t>; OR</w:t>
      </w:r>
      <w:r w:rsidR="009271CF" w:rsidRPr="00E65AD0">
        <w:rPr>
          <w:rFonts w:ascii="Book Antiqua" w:eastAsia="宋体" w:hAnsi="Book Antiqua"/>
          <w:lang w:val="en-US" w:eastAsia="zh-CN"/>
        </w:rPr>
        <w:t>:</w:t>
      </w:r>
      <w:r w:rsidR="00921B00" w:rsidRPr="00E65AD0">
        <w:rPr>
          <w:rFonts w:ascii="Book Antiqua" w:hAnsi="Book Antiqua"/>
          <w:lang w:val="en-US" w:eastAsia="en-US"/>
        </w:rPr>
        <w:t xml:space="preserve"> Odds </w:t>
      </w:r>
      <w:r w:rsidR="009271CF" w:rsidRPr="00E65AD0">
        <w:rPr>
          <w:rFonts w:ascii="Book Antiqua" w:hAnsi="Book Antiqua"/>
          <w:lang w:val="en-US" w:eastAsia="en-US"/>
        </w:rPr>
        <w:t>ratio</w:t>
      </w:r>
      <w:r w:rsidR="00921B00" w:rsidRPr="00E65AD0">
        <w:rPr>
          <w:rFonts w:ascii="Book Antiqua" w:hAnsi="Book Antiqua"/>
          <w:lang w:val="en-US" w:eastAsia="en-US"/>
        </w:rPr>
        <w:t xml:space="preserve">; </w:t>
      </w:r>
      <w:r w:rsidR="009271CF" w:rsidRPr="00E65AD0">
        <w:rPr>
          <w:rFonts w:ascii="Book Antiqua" w:hAnsi="Book Antiqua"/>
          <w:highlight w:val="white"/>
          <w:lang w:val="en-GB"/>
        </w:rPr>
        <w:t>BMI</w:t>
      </w:r>
      <w:r w:rsidR="009271CF" w:rsidRPr="00E65AD0">
        <w:rPr>
          <w:rFonts w:ascii="Book Antiqua" w:eastAsia="宋体" w:hAnsi="Book Antiqua"/>
          <w:highlight w:val="white"/>
          <w:lang w:val="en-GB" w:eastAsia="zh-CN"/>
        </w:rPr>
        <w:t>:</w:t>
      </w:r>
      <w:r w:rsidR="00921B00" w:rsidRPr="00E65AD0">
        <w:rPr>
          <w:rFonts w:ascii="Book Antiqua" w:hAnsi="Book Antiqua"/>
          <w:highlight w:val="white"/>
          <w:lang w:val="en-GB"/>
        </w:rPr>
        <w:t xml:space="preserve"> Body </w:t>
      </w:r>
      <w:r w:rsidR="009271CF" w:rsidRPr="00E65AD0">
        <w:rPr>
          <w:rFonts w:ascii="Book Antiqua" w:hAnsi="Book Antiqua"/>
          <w:highlight w:val="white"/>
          <w:lang w:val="en-GB"/>
        </w:rPr>
        <w:t>mass index</w:t>
      </w:r>
      <w:r w:rsidR="00921B00" w:rsidRPr="00E65AD0">
        <w:rPr>
          <w:rFonts w:ascii="Book Antiqua" w:hAnsi="Book Antiqua"/>
          <w:highlight w:val="white"/>
          <w:lang w:val="en-GB"/>
        </w:rPr>
        <w:t xml:space="preserve">; </w:t>
      </w:r>
      <w:r w:rsidR="009271CF" w:rsidRPr="00E65AD0">
        <w:rPr>
          <w:rFonts w:ascii="Book Antiqua" w:hAnsi="Book Antiqua"/>
          <w:lang w:val="en-GB"/>
        </w:rPr>
        <w:t>MALT</w:t>
      </w:r>
      <w:r w:rsidR="009271CF" w:rsidRPr="00E65AD0">
        <w:rPr>
          <w:rFonts w:ascii="Book Antiqua" w:eastAsia="宋体" w:hAnsi="Book Antiqua"/>
          <w:lang w:val="en-GB" w:eastAsia="zh-CN"/>
        </w:rPr>
        <w:t>:</w:t>
      </w:r>
      <w:r w:rsidR="00921B00" w:rsidRPr="00E65AD0">
        <w:rPr>
          <w:rFonts w:ascii="Book Antiqua" w:hAnsi="Book Antiqua"/>
          <w:lang w:val="en-GB"/>
        </w:rPr>
        <w:t xml:space="preserve"> </w:t>
      </w:r>
      <w:r w:rsidR="00921B00" w:rsidRPr="00E65AD0">
        <w:rPr>
          <w:rFonts w:ascii="Book Antiqua" w:hAnsi="Book Antiqua"/>
          <w:lang w:val="en-GB"/>
        </w:rPr>
        <w:lastRenderedPageBreak/>
        <w:t>Mucosa-</w:t>
      </w:r>
      <w:r w:rsidR="009271CF" w:rsidRPr="00E65AD0">
        <w:rPr>
          <w:rFonts w:ascii="Book Antiqua" w:hAnsi="Book Antiqua"/>
          <w:lang w:val="en-GB"/>
        </w:rPr>
        <w:t>associated lymphoid tissue; APCA</w:t>
      </w:r>
      <w:r w:rsidR="009271CF" w:rsidRPr="00E65AD0">
        <w:rPr>
          <w:rFonts w:ascii="Book Antiqua" w:eastAsia="宋体" w:hAnsi="Book Antiqua"/>
          <w:lang w:val="en-GB" w:eastAsia="zh-CN"/>
        </w:rPr>
        <w:t>:</w:t>
      </w:r>
      <w:r w:rsidR="00921B00" w:rsidRPr="00E65AD0">
        <w:rPr>
          <w:rFonts w:ascii="Book Antiqua" w:hAnsi="Book Antiqua"/>
          <w:lang w:val="en-GB"/>
        </w:rPr>
        <w:t xml:space="preserve"> </w:t>
      </w:r>
      <w:r w:rsidR="009271CF" w:rsidRPr="00E65AD0">
        <w:rPr>
          <w:rFonts w:ascii="Book Antiqua" w:hAnsi="Book Antiqua"/>
          <w:lang w:val="en-GB"/>
        </w:rPr>
        <w:t>Anti</w:t>
      </w:r>
      <w:r w:rsidR="0079038B" w:rsidRPr="00E65AD0">
        <w:rPr>
          <w:rFonts w:ascii="Book Antiqua" w:hAnsi="Book Antiqua"/>
          <w:lang w:val="en-GB"/>
        </w:rPr>
        <w:t>-parietal cell antibody</w:t>
      </w:r>
      <w:r w:rsidR="009271CF" w:rsidRPr="00E65AD0">
        <w:rPr>
          <w:rFonts w:ascii="Book Antiqua" w:hAnsi="Book Antiqua"/>
          <w:lang w:val="en-GB"/>
        </w:rPr>
        <w:t>; AIF</w:t>
      </w:r>
      <w:r w:rsidR="009271CF" w:rsidRPr="00E65AD0">
        <w:rPr>
          <w:rFonts w:ascii="Book Antiqua" w:eastAsia="宋体" w:hAnsi="Book Antiqua"/>
          <w:lang w:val="en-GB" w:eastAsia="zh-CN"/>
        </w:rPr>
        <w:t>:</w:t>
      </w:r>
      <w:r w:rsidR="00921B00" w:rsidRPr="00E65AD0">
        <w:rPr>
          <w:rFonts w:ascii="Book Antiqua" w:hAnsi="Book Antiqua"/>
          <w:lang w:val="en-GB"/>
        </w:rPr>
        <w:t xml:space="preserve"> </w:t>
      </w:r>
      <w:r w:rsidR="009271CF" w:rsidRPr="00E65AD0">
        <w:rPr>
          <w:rFonts w:ascii="Book Antiqua" w:hAnsi="Book Antiqua"/>
          <w:lang w:val="en-GB"/>
        </w:rPr>
        <w:t>Anti</w:t>
      </w:r>
      <w:r w:rsidR="00921B00" w:rsidRPr="00E65AD0">
        <w:rPr>
          <w:rFonts w:ascii="Book Antiqua" w:hAnsi="Book Antiqua"/>
          <w:lang w:val="en-GB"/>
        </w:rPr>
        <w:t>-</w:t>
      </w:r>
      <w:r w:rsidR="009271CF" w:rsidRPr="00E65AD0">
        <w:rPr>
          <w:rFonts w:ascii="Book Antiqua" w:hAnsi="Book Antiqua"/>
          <w:lang w:val="en-GB"/>
        </w:rPr>
        <w:t>intrinsic factor</w:t>
      </w:r>
      <w:r w:rsidR="00921B00" w:rsidRPr="00E65AD0">
        <w:rPr>
          <w:rFonts w:ascii="Book Antiqua" w:hAnsi="Book Antiqua"/>
          <w:lang w:val="en-GB"/>
        </w:rPr>
        <w:t>.</w:t>
      </w:r>
    </w:p>
    <w:sectPr w:rsidR="009D0DBE" w:rsidRPr="00E65AD0">
      <w:footerReference w:type="default" r:id="rId15"/>
      <w:pgSz w:w="11900" w:h="16840"/>
      <w:pgMar w:top="1440" w:right="1800" w:bottom="1440" w:left="1800" w:header="708" w:footer="708" w:gutter="0"/>
      <w:pgNumType w:start="1"/>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B95DE" w14:textId="77777777" w:rsidR="009E547E" w:rsidRDefault="009E547E">
      <w:pPr>
        <w:spacing w:after="0" w:line="240" w:lineRule="auto"/>
      </w:pPr>
      <w:r>
        <w:separator/>
      </w:r>
    </w:p>
  </w:endnote>
  <w:endnote w:type="continuationSeparator" w:id="0">
    <w:p w14:paraId="3496A2C7" w14:textId="77777777" w:rsidR="009E547E" w:rsidRDefault="009E5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ngXi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Light">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TimesNewRoman">
    <w:altName w:val="Yu Gothic"/>
    <w:charset w:val="80"/>
    <w:family w:val="auto"/>
    <w:pitch w:val="default"/>
    <w:sig w:usb0="00000000" w:usb1="0000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792549"/>
      <w:docPartObj>
        <w:docPartGallery w:val="AutoText"/>
      </w:docPartObj>
    </w:sdtPr>
    <w:sdtEndPr/>
    <w:sdtContent>
      <w:sdt>
        <w:sdtPr>
          <w:id w:val="-1669238322"/>
          <w:docPartObj>
            <w:docPartGallery w:val="AutoText"/>
          </w:docPartObj>
        </w:sdtPr>
        <w:sdtEndPr/>
        <w:sdtContent>
          <w:p w14:paraId="04E1E953" w14:textId="77777777" w:rsidR="00C42C07" w:rsidRDefault="00C42C07" w:rsidP="00E12444">
            <w:pPr>
              <w:pStyle w:val="a8"/>
              <w:jc w:val="right"/>
            </w:pPr>
            <w:r w:rsidRPr="00E12444">
              <w:rPr>
                <w:lang w:val="zh-CN" w:eastAsia="zh-CN"/>
              </w:rPr>
              <w:t xml:space="preserve"> </w:t>
            </w:r>
            <w:r w:rsidRPr="00E12444">
              <w:rPr>
                <w:bCs/>
              </w:rPr>
              <w:fldChar w:fldCharType="begin"/>
            </w:r>
            <w:r w:rsidRPr="00E12444">
              <w:rPr>
                <w:bCs/>
              </w:rPr>
              <w:instrText>PAGE</w:instrText>
            </w:r>
            <w:r w:rsidRPr="00E12444">
              <w:rPr>
                <w:bCs/>
              </w:rPr>
              <w:fldChar w:fldCharType="separate"/>
            </w:r>
            <w:r w:rsidR="007A4A5B">
              <w:rPr>
                <w:bCs/>
                <w:noProof/>
              </w:rPr>
              <w:t>28</w:t>
            </w:r>
            <w:r w:rsidRPr="00E12444">
              <w:rPr>
                <w:bCs/>
              </w:rPr>
              <w:fldChar w:fldCharType="end"/>
            </w:r>
            <w:r w:rsidRPr="00E12444">
              <w:rPr>
                <w:lang w:val="zh-CN" w:eastAsia="zh-CN"/>
              </w:rPr>
              <w:t xml:space="preserve"> / </w:t>
            </w:r>
            <w:r w:rsidRPr="00E12444">
              <w:rPr>
                <w:bCs/>
              </w:rPr>
              <w:fldChar w:fldCharType="begin"/>
            </w:r>
            <w:r w:rsidRPr="00E12444">
              <w:rPr>
                <w:bCs/>
              </w:rPr>
              <w:instrText>NUMPAGES</w:instrText>
            </w:r>
            <w:r w:rsidRPr="00E12444">
              <w:rPr>
                <w:bCs/>
              </w:rPr>
              <w:fldChar w:fldCharType="separate"/>
            </w:r>
            <w:r w:rsidR="007A4A5B">
              <w:rPr>
                <w:bCs/>
                <w:noProof/>
              </w:rPr>
              <w:t>41</w:t>
            </w:r>
            <w:r w:rsidRPr="00E12444">
              <w:rPr>
                <w:bCs/>
              </w:rPr>
              <w:fldChar w:fldCharType="end"/>
            </w:r>
          </w:p>
        </w:sdtContent>
      </w:sdt>
    </w:sdtContent>
  </w:sdt>
  <w:p w14:paraId="69C0C062" w14:textId="77777777" w:rsidR="00C42C07" w:rsidRDefault="00C42C07">
    <w:pPr>
      <w:pStyle w:val="a8"/>
      <w:ind w:right="360"/>
      <w:rPr>
        <w:rFonts w:ascii="Book Antiqua" w:hAnsi="Book Antiqua" w:cs="Book Antiqua"/>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162E8" w14:textId="77777777" w:rsidR="009E547E" w:rsidRDefault="009E547E">
      <w:pPr>
        <w:spacing w:after="0" w:line="240" w:lineRule="auto"/>
      </w:pPr>
      <w:r>
        <w:separator/>
      </w:r>
    </w:p>
  </w:footnote>
  <w:footnote w:type="continuationSeparator" w:id="0">
    <w:p w14:paraId="077F7199" w14:textId="77777777" w:rsidR="009E547E" w:rsidRDefault="009E54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E133FC"/>
    <w:multiLevelType w:val="hybridMultilevel"/>
    <w:tmpl w:val="C44C3CF4"/>
    <w:lvl w:ilvl="0" w:tplc="77AC8398">
      <w:start w:val="1"/>
      <w:numFmt w:val="upperLetter"/>
      <w:lvlText w:val="%1-"/>
      <w:lvlJc w:val="left"/>
      <w:pPr>
        <w:ind w:left="500" w:hanging="5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defaultTabStop w:val="720"/>
  <w:hyphenationZone w:val="283"/>
  <w:drawingGridHorizontalSpacing w:val="190"/>
  <w:drawingGridVerticalSpacing w:val="3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C70"/>
    <w:rsid w:val="00005530"/>
    <w:rsid w:val="00013D6A"/>
    <w:rsid w:val="00014010"/>
    <w:rsid w:val="00015763"/>
    <w:rsid w:val="000169A0"/>
    <w:rsid w:val="000226C7"/>
    <w:rsid w:val="00023893"/>
    <w:rsid w:val="00025539"/>
    <w:rsid w:val="00026A53"/>
    <w:rsid w:val="0003019A"/>
    <w:rsid w:val="00033E1D"/>
    <w:rsid w:val="0003480F"/>
    <w:rsid w:val="0003685A"/>
    <w:rsid w:val="000418A1"/>
    <w:rsid w:val="000425C1"/>
    <w:rsid w:val="000551C8"/>
    <w:rsid w:val="0005774B"/>
    <w:rsid w:val="00060B4D"/>
    <w:rsid w:val="00066561"/>
    <w:rsid w:val="000677B9"/>
    <w:rsid w:val="00073F86"/>
    <w:rsid w:val="00077616"/>
    <w:rsid w:val="00077CF8"/>
    <w:rsid w:val="0008119B"/>
    <w:rsid w:val="0008358A"/>
    <w:rsid w:val="000841FB"/>
    <w:rsid w:val="00085ED6"/>
    <w:rsid w:val="00086979"/>
    <w:rsid w:val="000934B6"/>
    <w:rsid w:val="00093B99"/>
    <w:rsid w:val="00094FF0"/>
    <w:rsid w:val="00095555"/>
    <w:rsid w:val="000A1928"/>
    <w:rsid w:val="000A1C61"/>
    <w:rsid w:val="000A5958"/>
    <w:rsid w:val="000A68B5"/>
    <w:rsid w:val="000B716B"/>
    <w:rsid w:val="000C0FC3"/>
    <w:rsid w:val="000C1682"/>
    <w:rsid w:val="000C194B"/>
    <w:rsid w:val="000C702D"/>
    <w:rsid w:val="000D224E"/>
    <w:rsid w:val="000D2C2C"/>
    <w:rsid w:val="000D5623"/>
    <w:rsid w:val="000E068B"/>
    <w:rsid w:val="000E3CE4"/>
    <w:rsid w:val="000E508E"/>
    <w:rsid w:val="000F13D0"/>
    <w:rsid w:val="000F13D8"/>
    <w:rsid w:val="000F3607"/>
    <w:rsid w:val="000F5BA2"/>
    <w:rsid w:val="000F5E7E"/>
    <w:rsid w:val="000F66E8"/>
    <w:rsid w:val="00102641"/>
    <w:rsid w:val="00104553"/>
    <w:rsid w:val="001068CF"/>
    <w:rsid w:val="00114676"/>
    <w:rsid w:val="00116C13"/>
    <w:rsid w:val="00123185"/>
    <w:rsid w:val="0012611B"/>
    <w:rsid w:val="0012699C"/>
    <w:rsid w:val="001339EC"/>
    <w:rsid w:val="00141E07"/>
    <w:rsid w:val="001479F5"/>
    <w:rsid w:val="00150C70"/>
    <w:rsid w:val="00151E58"/>
    <w:rsid w:val="001536D0"/>
    <w:rsid w:val="00153C4E"/>
    <w:rsid w:val="001548F9"/>
    <w:rsid w:val="00160910"/>
    <w:rsid w:val="001622E4"/>
    <w:rsid w:val="0016301A"/>
    <w:rsid w:val="001656B6"/>
    <w:rsid w:val="001734CD"/>
    <w:rsid w:val="001747D7"/>
    <w:rsid w:val="001750C6"/>
    <w:rsid w:val="001756A3"/>
    <w:rsid w:val="00177CCF"/>
    <w:rsid w:val="00181835"/>
    <w:rsid w:val="00182DF7"/>
    <w:rsid w:val="00187459"/>
    <w:rsid w:val="00187A39"/>
    <w:rsid w:val="00195DB6"/>
    <w:rsid w:val="001A20EA"/>
    <w:rsid w:val="001A367A"/>
    <w:rsid w:val="001B3580"/>
    <w:rsid w:val="001B36E8"/>
    <w:rsid w:val="001B6540"/>
    <w:rsid w:val="001B667D"/>
    <w:rsid w:val="001C076A"/>
    <w:rsid w:val="001C2E4F"/>
    <w:rsid w:val="001C7C14"/>
    <w:rsid w:val="001D3C11"/>
    <w:rsid w:val="001E0441"/>
    <w:rsid w:val="001E0C95"/>
    <w:rsid w:val="001E1202"/>
    <w:rsid w:val="001E4009"/>
    <w:rsid w:val="001F3AB7"/>
    <w:rsid w:val="001F3B9F"/>
    <w:rsid w:val="001F463C"/>
    <w:rsid w:val="001F5FE9"/>
    <w:rsid w:val="001F6CFA"/>
    <w:rsid w:val="0020394D"/>
    <w:rsid w:val="00203993"/>
    <w:rsid w:val="002045CF"/>
    <w:rsid w:val="00206E27"/>
    <w:rsid w:val="002109BC"/>
    <w:rsid w:val="00212F3A"/>
    <w:rsid w:val="00217F82"/>
    <w:rsid w:val="00230B90"/>
    <w:rsid w:val="00230C59"/>
    <w:rsid w:val="00232085"/>
    <w:rsid w:val="00233440"/>
    <w:rsid w:val="00242B5F"/>
    <w:rsid w:val="00243DB0"/>
    <w:rsid w:val="00247E88"/>
    <w:rsid w:val="00251387"/>
    <w:rsid w:val="00251F93"/>
    <w:rsid w:val="00254DF7"/>
    <w:rsid w:val="00257FB9"/>
    <w:rsid w:val="00263452"/>
    <w:rsid w:val="00264D08"/>
    <w:rsid w:val="0026503D"/>
    <w:rsid w:val="00265F48"/>
    <w:rsid w:val="00270F05"/>
    <w:rsid w:val="00272402"/>
    <w:rsid w:val="0027290E"/>
    <w:rsid w:val="00272ABF"/>
    <w:rsid w:val="00276BE0"/>
    <w:rsid w:val="00281CB2"/>
    <w:rsid w:val="002860DE"/>
    <w:rsid w:val="002979F0"/>
    <w:rsid w:val="002A0104"/>
    <w:rsid w:val="002A2D65"/>
    <w:rsid w:val="002A3230"/>
    <w:rsid w:val="002A49EA"/>
    <w:rsid w:val="002B3C31"/>
    <w:rsid w:val="002B4CB1"/>
    <w:rsid w:val="002B6D24"/>
    <w:rsid w:val="002C41EC"/>
    <w:rsid w:val="002D04AB"/>
    <w:rsid w:val="002D1A0E"/>
    <w:rsid w:val="002D1C57"/>
    <w:rsid w:val="002D6A02"/>
    <w:rsid w:val="002E53EE"/>
    <w:rsid w:val="002F10EE"/>
    <w:rsid w:val="002F2870"/>
    <w:rsid w:val="002F4B85"/>
    <w:rsid w:val="002F5B86"/>
    <w:rsid w:val="002F71ED"/>
    <w:rsid w:val="0030004C"/>
    <w:rsid w:val="0030354C"/>
    <w:rsid w:val="00305252"/>
    <w:rsid w:val="00312B9D"/>
    <w:rsid w:val="0031434B"/>
    <w:rsid w:val="00322D45"/>
    <w:rsid w:val="00322DDA"/>
    <w:rsid w:val="0032571D"/>
    <w:rsid w:val="0033750D"/>
    <w:rsid w:val="003443E5"/>
    <w:rsid w:val="00345D9C"/>
    <w:rsid w:val="0035065B"/>
    <w:rsid w:val="00351108"/>
    <w:rsid w:val="00354388"/>
    <w:rsid w:val="00355C97"/>
    <w:rsid w:val="00360E2A"/>
    <w:rsid w:val="00362281"/>
    <w:rsid w:val="00374905"/>
    <w:rsid w:val="0037571B"/>
    <w:rsid w:val="00376E2F"/>
    <w:rsid w:val="00380827"/>
    <w:rsid w:val="00383ED2"/>
    <w:rsid w:val="003874B8"/>
    <w:rsid w:val="003957FB"/>
    <w:rsid w:val="003A1B49"/>
    <w:rsid w:val="003A570A"/>
    <w:rsid w:val="003B154A"/>
    <w:rsid w:val="003B1F3F"/>
    <w:rsid w:val="003B5298"/>
    <w:rsid w:val="003B784E"/>
    <w:rsid w:val="003C2CC7"/>
    <w:rsid w:val="003C4BBC"/>
    <w:rsid w:val="003C6762"/>
    <w:rsid w:val="003E09B3"/>
    <w:rsid w:val="003E0F4D"/>
    <w:rsid w:val="003E0FEC"/>
    <w:rsid w:val="003E5BF7"/>
    <w:rsid w:val="003F06D5"/>
    <w:rsid w:val="003F4118"/>
    <w:rsid w:val="00412FC5"/>
    <w:rsid w:val="0041344E"/>
    <w:rsid w:val="0041536D"/>
    <w:rsid w:val="0042793E"/>
    <w:rsid w:val="00431CE0"/>
    <w:rsid w:val="004428ED"/>
    <w:rsid w:val="00443534"/>
    <w:rsid w:val="00443652"/>
    <w:rsid w:val="004446CC"/>
    <w:rsid w:val="00447830"/>
    <w:rsid w:val="00466192"/>
    <w:rsid w:val="00470B0E"/>
    <w:rsid w:val="004757E0"/>
    <w:rsid w:val="004769E5"/>
    <w:rsid w:val="00486E51"/>
    <w:rsid w:val="00493FA3"/>
    <w:rsid w:val="00497C94"/>
    <w:rsid w:val="004A5217"/>
    <w:rsid w:val="004C3DA4"/>
    <w:rsid w:val="004C5B23"/>
    <w:rsid w:val="004C5FCA"/>
    <w:rsid w:val="004D29B5"/>
    <w:rsid w:val="004D31E3"/>
    <w:rsid w:val="004D7C56"/>
    <w:rsid w:val="004E11AB"/>
    <w:rsid w:val="004E3BD2"/>
    <w:rsid w:val="004E5420"/>
    <w:rsid w:val="004F1F99"/>
    <w:rsid w:val="004F2B2E"/>
    <w:rsid w:val="004F351D"/>
    <w:rsid w:val="004F4143"/>
    <w:rsid w:val="004F5604"/>
    <w:rsid w:val="00502B21"/>
    <w:rsid w:val="005119D9"/>
    <w:rsid w:val="005168B0"/>
    <w:rsid w:val="00524605"/>
    <w:rsid w:val="00542A8C"/>
    <w:rsid w:val="00543188"/>
    <w:rsid w:val="0054466E"/>
    <w:rsid w:val="00552C34"/>
    <w:rsid w:val="005546D8"/>
    <w:rsid w:val="0056263F"/>
    <w:rsid w:val="00562678"/>
    <w:rsid w:val="005672CA"/>
    <w:rsid w:val="00571E95"/>
    <w:rsid w:val="00577765"/>
    <w:rsid w:val="00577F54"/>
    <w:rsid w:val="0058134D"/>
    <w:rsid w:val="0058346B"/>
    <w:rsid w:val="00584C5F"/>
    <w:rsid w:val="00585CAC"/>
    <w:rsid w:val="00593EEC"/>
    <w:rsid w:val="00595017"/>
    <w:rsid w:val="005A1139"/>
    <w:rsid w:val="005A7847"/>
    <w:rsid w:val="005B31FD"/>
    <w:rsid w:val="005B4F15"/>
    <w:rsid w:val="005B61C3"/>
    <w:rsid w:val="005C0276"/>
    <w:rsid w:val="005C776C"/>
    <w:rsid w:val="005C7824"/>
    <w:rsid w:val="005C7B3F"/>
    <w:rsid w:val="005D4A36"/>
    <w:rsid w:val="005D64D6"/>
    <w:rsid w:val="005E5516"/>
    <w:rsid w:val="005F0BB9"/>
    <w:rsid w:val="006036F4"/>
    <w:rsid w:val="00607227"/>
    <w:rsid w:val="00610AA9"/>
    <w:rsid w:val="0061238B"/>
    <w:rsid w:val="00612668"/>
    <w:rsid w:val="006217F5"/>
    <w:rsid w:val="006223F7"/>
    <w:rsid w:val="006253EE"/>
    <w:rsid w:val="00625760"/>
    <w:rsid w:val="00626B95"/>
    <w:rsid w:val="00627A6D"/>
    <w:rsid w:val="0063236F"/>
    <w:rsid w:val="00635FCC"/>
    <w:rsid w:val="00642043"/>
    <w:rsid w:val="006443F3"/>
    <w:rsid w:val="00645286"/>
    <w:rsid w:val="00646FE5"/>
    <w:rsid w:val="00650AA6"/>
    <w:rsid w:val="00650ABA"/>
    <w:rsid w:val="006518C3"/>
    <w:rsid w:val="006524C3"/>
    <w:rsid w:val="00653C0B"/>
    <w:rsid w:val="006557E4"/>
    <w:rsid w:val="0067016F"/>
    <w:rsid w:val="00670D16"/>
    <w:rsid w:val="00674C62"/>
    <w:rsid w:val="0068223F"/>
    <w:rsid w:val="0068467C"/>
    <w:rsid w:val="00687906"/>
    <w:rsid w:val="006934EE"/>
    <w:rsid w:val="006950DF"/>
    <w:rsid w:val="006963E1"/>
    <w:rsid w:val="00697CE0"/>
    <w:rsid w:val="006A091F"/>
    <w:rsid w:val="006A1B98"/>
    <w:rsid w:val="006A59EE"/>
    <w:rsid w:val="006A7306"/>
    <w:rsid w:val="006B1857"/>
    <w:rsid w:val="006B1FC1"/>
    <w:rsid w:val="006B5D65"/>
    <w:rsid w:val="006C4417"/>
    <w:rsid w:val="006D6EF6"/>
    <w:rsid w:val="006E24A3"/>
    <w:rsid w:val="006E49C7"/>
    <w:rsid w:val="006F0CD0"/>
    <w:rsid w:val="006F1759"/>
    <w:rsid w:val="006F1D36"/>
    <w:rsid w:val="006F63BC"/>
    <w:rsid w:val="006F7057"/>
    <w:rsid w:val="00700D3F"/>
    <w:rsid w:val="00701093"/>
    <w:rsid w:val="00702BEC"/>
    <w:rsid w:val="007046BB"/>
    <w:rsid w:val="007154D9"/>
    <w:rsid w:val="0072626A"/>
    <w:rsid w:val="00727D18"/>
    <w:rsid w:val="00727ED3"/>
    <w:rsid w:val="0073187A"/>
    <w:rsid w:val="00731C5F"/>
    <w:rsid w:val="007358F2"/>
    <w:rsid w:val="00741B71"/>
    <w:rsid w:val="00742415"/>
    <w:rsid w:val="00750C2C"/>
    <w:rsid w:val="00751872"/>
    <w:rsid w:val="00754BF0"/>
    <w:rsid w:val="00754E4B"/>
    <w:rsid w:val="00754EC2"/>
    <w:rsid w:val="00757CB5"/>
    <w:rsid w:val="0076611D"/>
    <w:rsid w:val="00766D54"/>
    <w:rsid w:val="00773BE7"/>
    <w:rsid w:val="0079038B"/>
    <w:rsid w:val="007A0C2B"/>
    <w:rsid w:val="007A20E8"/>
    <w:rsid w:val="007A3114"/>
    <w:rsid w:val="007A4A5B"/>
    <w:rsid w:val="007A4D87"/>
    <w:rsid w:val="007A7085"/>
    <w:rsid w:val="007A764C"/>
    <w:rsid w:val="007B1206"/>
    <w:rsid w:val="007B44A8"/>
    <w:rsid w:val="007C18A0"/>
    <w:rsid w:val="007C2BA3"/>
    <w:rsid w:val="007C37D6"/>
    <w:rsid w:val="007C4CE9"/>
    <w:rsid w:val="007C62EA"/>
    <w:rsid w:val="007D7715"/>
    <w:rsid w:val="007E3A6C"/>
    <w:rsid w:val="007F4811"/>
    <w:rsid w:val="00801548"/>
    <w:rsid w:val="00801CC1"/>
    <w:rsid w:val="00803D46"/>
    <w:rsid w:val="00804134"/>
    <w:rsid w:val="00804CB1"/>
    <w:rsid w:val="00817630"/>
    <w:rsid w:val="00820839"/>
    <w:rsid w:val="00820D7F"/>
    <w:rsid w:val="00824E2E"/>
    <w:rsid w:val="00834F23"/>
    <w:rsid w:val="008422D3"/>
    <w:rsid w:val="008457FA"/>
    <w:rsid w:val="00846204"/>
    <w:rsid w:val="00851FD7"/>
    <w:rsid w:val="00856746"/>
    <w:rsid w:val="00856885"/>
    <w:rsid w:val="00861121"/>
    <w:rsid w:val="00861A29"/>
    <w:rsid w:val="00864EE3"/>
    <w:rsid w:val="00866569"/>
    <w:rsid w:val="00874208"/>
    <w:rsid w:val="008807B2"/>
    <w:rsid w:val="00882FC7"/>
    <w:rsid w:val="00884A24"/>
    <w:rsid w:val="00893ECE"/>
    <w:rsid w:val="008A3EB5"/>
    <w:rsid w:val="008A4626"/>
    <w:rsid w:val="008A4761"/>
    <w:rsid w:val="008A4938"/>
    <w:rsid w:val="008B1234"/>
    <w:rsid w:val="008B4D09"/>
    <w:rsid w:val="008C0A48"/>
    <w:rsid w:val="008C1AB9"/>
    <w:rsid w:val="008C49D3"/>
    <w:rsid w:val="008D1EEE"/>
    <w:rsid w:val="008D38C3"/>
    <w:rsid w:val="008D7A63"/>
    <w:rsid w:val="008D7CAA"/>
    <w:rsid w:val="008E3D18"/>
    <w:rsid w:val="008E6701"/>
    <w:rsid w:val="008E76F8"/>
    <w:rsid w:val="008F0198"/>
    <w:rsid w:val="0090005D"/>
    <w:rsid w:val="009002C7"/>
    <w:rsid w:val="009006B5"/>
    <w:rsid w:val="00902A9C"/>
    <w:rsid w:val="00906B53"/>
    <w:rsid w:val="00907A84"/>
    <w:rsid w:val="00910FC4"/>
    <w:rsid w:val="00911E91"/>
    <w:rsid w:val="00915CC3"/>
    <w:rsid w:val="00921426"/>
    <w:rsid w:val="00921B00"/>
    <w:rsid w:val="00922E59"/>
    <w:rsid w:val="0092595D"/>
    <w:rsid w:val="009271CF"/>
    <w:rsid w:val="00927BAF"/>
    <w:rsid w:val="00935CE1"/>
    <w:rsid w:val="00944F83"/>
    <w:rsid w:val="00946D30"/>
    <w:rsid w:val="00947A27"/>
    <w:rsid w:val="00951B16"/>
    <w:rsid w:val="00952FC3"/>
    <w:rsid w:val="009531B9"/>
    <w:rsid w:val="00954DBD"/>
    <w:rsid w:val="00964DC3"/>
    <w:rsid w:val="0097240A"/>
    <w:rsid w:val="009724FC"/>
    <w:rsid w:val="00972F48"/>
    <w:rsid w:val="00974911"/>
    <w:rsid w:val="009803C1"/>
    <w:rsid w:val="00981A24"/>
    <w:rsid w:val="00981E20"/>
    <w:rsid w:val="0098421A"/>
    <w:rsid w:val="0099006A"/>
    <w:rsid w:val="00993161"/>
    <w:rsid w:val="009938DB"/>
    <w:rsid w:val="009A37AB"/>
    <w:rsid w:val="009A391F"/>
    <w:rsid w:val="009A7C6F"/>
    <w:rsid w:val="009B3B62"/>
    <w:rsid w:val="009B4DA2"/>
    <w:rsid w:val="009C0D58"/>
    <w:rsid w:val="009D0DBE"/>
    <w:rsid w:val="009D40A1"/>
    <w:rsid w:val="009D6C9D"/>
    <w:rsid w:val="009E020B"/>
    <w:rsid w:val="009E0F2A"/>
    <w:rsid w:val="009E4DA0"/>
    <w:rsid w:val="009E547E"/>
    <w:rsid w:val="009F0F49"/>
    <w:rsid w:val="009F5B6F"/>
    <w:rsid w:val="00A00A51"/>
    <w:rsid w:val="00A031FD"/>
    <w:rsid w:val="00A07669"/>
    <w:rsid w:val="00A07B14"/>
    <w:rsid w:val="00A146AD"/>
    <w:rsid w:val="00A16DF6"/>
    <w:rsid w:val="00A23062"/>
    <w:rsid w:val="00A234B5"/>
    <w:rsid w:val="00A27345"/>
    <w:rsid w:val="00A371AB"/>
    <w:rsid w:val="00A37A1B"/>
    <w:rsid w:val="00A41779"/>
    <w:rsid w:val="00A42946"/>
    <w:rsid w:val="00A4570D"/>
    <w:rsid w:val="00A50493"/>
    <w:rsid w:val="00A51DC6"/>
    <w:rsid w:val="00A53B63"/>
    <w:rsid w:val="00A54737"/>
    <w:rsid w:val="00A57273"/>
    <w:rsid w:val="00A7544C"/>
    <w:rsid w:val="00A84686"/>
    <w:rsid w:val="00A84DB2"/>
    <w:rsid w:val="00A85BCC"/>
    <w:rsid w:val="00A91F8C"/>
    <w:rsid w:val="00A95A51"/>
    <w:rsid w:val="00A9692E"/>
    <w:rsid w:val="00A976B5"/>
    <w:rsid w:val="00AA321A"/>
    <w:rsid w:val="00AA624F"/>
    <w:rsid w:val="00AB422C"/>
    <w:rsid w:val="00AB5000"/>
    <w:rsid w:val="00AB6238"/>
    <w:rsid w:val="00AC25F8"/>
    <w:rsid w:val="00AC47ED"/>
    <w:rsid w:val="00AC4BC5"/>
    <w:rsid w:val="00AD0AEC"/>
    <w:rsid w:val="00AE0787"/>
    <w:rsid w:val="00AE4B9E"/>
    <w:rsid w:val="00AE4F08"/>
    <w:rsid w:val="00AF19F1"/>
    <w:rsid w:val="00AF4432"/>
    <w:rsid w:val="00AF5EC2"/>
    <w:rsid w:val="00AF66DE"/>
    <w:rsid w:val="00B047CF"/>
    <w:rsid w:val="00B06DC5"/>
    <w:rsid w:val="00B072E0"/>
    <w:rsid w:val="00B12C75"/>
    <w:rsid w:val="00B149D9"/>
    <w:rsid w:val="00B16FF3"/>
    <w:rsid w:val="00B20519"/>
    <w:rsid w:val="00B20A48"/>
    <w:rsid w:val="00B23B0D"/>
    <w:rsid w:val="00B24903"/>
    <w:rsid w:val="00B26DA0"/>
    <w:rsid w:val="00B30252"/>
    <w:rsid w:val="00B31AE7"/>
    <w:rsid w:val="00B367AB"/>
    <w:rsid w:val="00B42242"/>
    <w:rsid w:val="00B5194C"/>
    <w:rsid w:val="00B53DE7"/>
    <w:rsid w:val="00B548D8"/>
    <w:rsid w:val="00B60F86"/>
    <w:rsid w:val="00B62551"/>
    <w:rsid w:val="00B6668E"/>
    <w:rsid w:val="00B75632"/>
    <w:rsid w:val="00B75F04"/>
    <w:rsid w:val="00B76C2B"/>
    <w:rsid w:val="00B807CC"/>
    <w:rsid w:val="00B80EF0"/>
    <w:rsid w:val="00B82163"/>
    <w:rsid w:val="00B97D5C"/>
    <w:rsid w:val="00BA080A"/>
    <w:rsid w:val="00BA28C4"/>
    <w:rsid w:val="00BB56AC"/>
    <w:rsid w:val="00BB6E3B"/>
    <w:rsid w:val="00BB70B2"/>
    <w:rsid w:val="00BC36E6"/>
    <w:rsid w:val="00BC5B5F"/>
    <w:rsid w:val="00BC5C3B"/>
    <w:rsid w:val="00BC67A9"/>
    <w:rsid w:val="00BD00CF"/>
    <w:rsid w:val="00BD13F7"/>
    <w:rsid w:val="00BD1510"/>
    <w:rsid w:val="00BD2CC9"/>
    <w:rsid w:val="00BD38D4"/>
    <w:rsid w:val="00BD469A"/>
    <w:rsid w:val="00BD5CF4"/>
    <w:rsid w:val="00BE051D"/>
    <w:rsid w:val="00BE0B9E"/>
    <w:rsid w:val="00BE305F"/>
    <w:rsid w:val="00BF2C46"/>
    <w:rsid w:val="00BF3515"/>
    <w:rsid w:val="00BF393B"/>
    <w:rsid w:val="00BF7697"/>
    <w:rsid w:val="00C00928"/>
    <w:rsid w:val="00C01DDB"/>
    <w:rsid w:val="00C0710C"/>
    <w:rsid w:val="00C075C7"/>
    <w:rsid w:val="00C07980"/>
    <w:rsid w:val="00C1004B"/>
    <w:rsid w:val="00C1544A"/>
    <w:rsid w:val="00C20DF5"/>
    <w:rsid w:val="00C2128C"/>
    <w:rsid w:val="00C24665"/>
    <w:rsid w:val="00C27522"/>
    <w:rsid w:val="00C3083F"/>
    <w:rsid w:val="00C3096C"/>
    <w:rsid w:val="00C34BFE"/>
    <w:rsid w:val="00C36D14"/>
    <w:rsid w:val="00C37898"/>
    <w:rsid w:val="00C42C07"/>
    <w:rsid w:val="00C434A3"/>
    <w:rsid w:val="00C45A8A"/>
    <w:rsid w:val="00C50215"/>
    <w:rsid w:val="00C52524"/>
    <w:rsid w:val="00C5327F"/>
    <w:rsid w:val="00C57392"/>
    <w:rsid w:val="00C6338A"/>
    <w:rsid w:val="00C77503"/>
    <w:rsid w:val="00C82627"/>
    <w:rsid w:val="00C85894"/>
    <w:rsid w:val="00C8661D"/>
    <w:rsid w:val="00C93EFC"/>
    <w:rsid w:val="00C9536A"/>
    <w:rsid w:val="00C9635A"/>
    <w:rsid w:val="00CA6278"/>
    <w:rsid w:val="00CA72F7"/>
    <w:rsid w:val="00CB0478"/>
    <w:rsid w:val="00CB0693"/>
    <w:rsid w:val="00CB44D7"/>
    <w:rsid w:val="00CC542B"/>
    <w:rsid w:val="00CC5DE6"/>
    <w:rsid w:val="00CD085D"/>
    <w:rsid w:val="00CD0DC4"/>
    <w:rsid w:val="00CD367F"/>
    <w:rsid w:val="00CD79E5"/>
    <w:rsid w:val="00CF5E8B"/>
    <w:rsid w:val="00D00174"/>
    <w:rsid w:val="00D03BBF"/>
    <w:rsid w:val="00D0479A"/>
    <w:rsid w:val="00D11C70"/>
    <w:rsid w:val="00D20781"/>
    <w:rsid w:val="00D25EB8"/>
    <w:rsid w:val="00D3382D"/>
    <w:rsid w:val="00D34AF6"/>
    <w:rsid w:val="00D354D9"/>
    <w:rsid w:val="00D3781C"/>
    <w:rsid w:val="00D41B50"/>
    <w:rsid w:val="00D445AB"/>
    <w:rsid w:val="00D45766"/>
    <w:rsid w:val="00D66CC5"/>
    <w:rsid w:val="00D74060"/>
    <w:rsid w:val="00D763E9"/>
    <w:rsid w:val="00D80340"/>
    <w:rsid w:val="00D8427C"/>
    <w:rsid w:val="00D91506"/>
    <w:rsid w:val="00DA1C12"/>
    <w:rsid w:val="00DA21F0"/>
    <w:rsid w:val="00DA2384"/>
    <w:rsid w:val="00DA3DA9"/>
    <w:rsid w:val="00DA5728"/>
    <w:rsid w:val="00DA58FE"/>
    <w:rsid w:val="00DA7D28"/>
    <w:rsid w:val="00DB319A"/>
    <w:rsid w:val="00DB7517"/>
    <w:rsid w:val="00DC1A2B"/>
    <w:rsid w:val="00DC2DAA"/>
    <w:rsid w:val="00DD0FFB"/>
    <w:rsid w:val="00DD67EC"/>
    <w:rsid w:val="00DD7A1F"/>
    <w:rsid w:val="00DE50B1"/>
    <w:rsid w:val="00DE7502"/>
    <w:rsid w:val="00DF4994"/>
    <w:rsid w:val="00E03F8D"/>
    <w:rsid w:val="00E041C9"/>
    <w:rsid w:val="00E12444"/>
    <w:rsid w:val="00E21870"/>
    <w:rsid w:val="00E22A8F"/>
    <w:rsid w:val="00E26009"/>
    <w:rsid w:val="00E26CF0"/>
    <w:rsid w:val="00E26F80"/>
    <w:rsid w:val="00E2729A"/>
    <w:rsid w:val="00E34A9C"/>
    <w:rsid w:val="00E34E72"/>
    <w:rsid w:val="00E35CA0"/>
    <w:rsid w:val="00E373C1"/>
    <w:rsid w:val="00E41B03"/>
    <w:rsid w:val="00E42B4B"/>
    <w:rsid w:val="00E608C7"/>
    <w:rsid w:val="00E65241"/>
    <w:rsid w:val="00E65AD0"/>
    <w:rsid w:val="00E709A2"/>
    <w:rsid w:val="00E76E5B"/>
    <w:rsid w:val="00E7792F"/>
    <w:rsid w:val="00E77ECF"/>
    <w:rsid w:val="00E80959"/>
    <w:rsid w:val="00E83E39"/>
    <w:rsid w:val="00E8765C"/>
    <w:rsid w:val="00E91B5E"/>
    <w:rsid w:val="00E92289"/>
    <w:rsid w:val="00E96F30"/>
    <w:rsid w:val="00EA1E93"/>
    <w:rsid w:val="00EA4854"/>
    <w:rsid w:val="00EA75D5"/>
    <w:rsid w:val="00EC38F5"/>
    <w:rsid w:val="00EC7488"/>
    <w:rsid w:val="00ED2A19"/>
    <w:rsid w:val="00ED5EC0"/>
    <w:rsid w:val="00ED6228"/>
    <w:rsid w:val="00ED72FB"/>
    <w:rsid w:val="00EE1F69"/>
    <w:rsid w:val="00EE34CA"/>
    <w:rsid w:val="00EE3CE2"/>
    <w:rsid w:val="00EE66A7"/>
    <w:rsid w:val="00EE74B1"/>
    <w:rsid w:val="00EF0557"/>
    <w:rsid w:val="00EF103A"/>
    <w:rsid w:val="00EF1E6C"/>
    <w:rsid w:val="00EF4986"/>
    <w:rsid w:val="00EF7140"/>
    <w:rsid w:val="00F03EC3"/>
    <w:rsid w:val="00F04E21"/>
    <w:rsid w:val="00F075B3"/>
    <w:rsid w:val="00F13460"/>
    <w:rsid w:val="00F14B52"/>
    <w:rsid w:val="00F24E4B"/>
    <w:rsid w:val="00F26285"/>
    <w:rsid w:val="00F30760"/>
    <w:rsid w:val="00F33322"/>
    <w:rsid w:val="00F40354"/>
    <w:rsid w:val="00F41745"/>
    <w:rsid w:val="00F41EBE"/>
    <w:rsid w:val="00F47841"/>
    <w:rsid w:val="00F5112E"/>
    <w:rsid w:val="00F51398"/>
    <w:rsid w:val="00F5428C"/>
    <w:rsid w:val="00F55576"/>
    <w:rsid w:val="00F60B9F"/>
    <w:rsid w:val="00F61ADC"/>
    <w:rsid w:val="00F66055"/>
    <w:rsid w:val="00F6614B"/>
    <w:rsid w:val="00F66A84"/>
    <w:rsid w:val="00F67F84"/>
    <w:rsid w:val="00F74005"/>
    <w:rsid w:val="00F80B9B"/>
    <w:rsid w:val="00F82AE9"/>
    <w:rsid w:val="00F8524A"/>
    <w:rsid w:val="00F90613"/>
    <w:rsid w:val="00F93C5B"/>
    <w:rsid w:val="00F969B7"/>
    <w:rsid w:val="00FA23DE"/>
    <w:rsid w:val="00FA561B"/>
    <w:rsid w:val="00FA6566"/>
    <w:rsid w:val="00FB2BD9"/>
    <w:rsid w:val="00FB52EA"/>
    <w:rsid w:val="00FB7400"/>
    <w:rsid w:val="00FC023C"/>
    <w:rsid w:val="00FC5E60"/>
    <w:rsid w:val="00FC703C"/>
    <w:rsid w:val="00FC7EA0"/>
    <w:rsid w:val="00FD2F9B"/>
    <w:rsid w:val="00FD5D62"/>
    <w:rsid w:val="00FD7CD2"/>
    <w:rsid w:val="00FE25DF"/>
    <w:rsid w:val="00FF0552"/>
    <w:rsid w:val="00FF2EF3"/>
    <w:rsid w:val="00FF518F"/>
    <w:rsid w:val="00FF64E7"/>
    <w:rsid w:val="00FF6D79"/>
    <w:rsid w:val="00FF6E28"/>
    <w:rsid w:val="00FF7569"/>
    <w:rsid w:val="21C5573A"/>
    <w:rsid w:val="73D2721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AF4568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uiPriority="35" w:qFormat="1"/>
    <w:lsdException w:name="page number" w:semiHidden="0" w:uiPriority="0" w:unhideWhenUsed="0"/>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iPriority="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Normal (Web)" w:semiHidden="0" w:unhideWhenUsed="0"/>
    <w:lsdException w:name="HTML Preformatted" w:semiHidden="0" w:uiPriority="0" w:unhideWhenUsed="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jc w:val="both"/>
    </w:pPr>
    <w:rPr>
      <w:sz w:val="24"/>
      <w:szCs w:val="24"/>
      <w:lang w:val="it-IT" w:eastAsia="it-IT"/>
    </w:rPr>
  </w:style>
  <w:style w:type="paragraph" w:styleId="1">
    <w:name w:val="heading 1"/>
    <w:basedOn w:val="a"/>
    <w:next w:val="a"/>
    <w:link w:val="1Char"/>
    <w:uiPriority w:val="9"/>
    <w:qFormat/>
    <w:pPr>
      <w:spacing w:before="300" w:after="40"/>
      <w:jc w:val="left"/>
      <w:outlineLvl w:val="0"/>
    </w:pPr>
    <w:rPr>
      <w:smallCaps/>
      <w:spacing w:val="5"/>
      <w:sz w:val="32"/>
      <w:szCs w:val="32"/>
    </w:rPr>
  </w:style>
  <w:style w:type="paragraph" w:styleId="2">
    <w:name w:val="heading 2"/>
    <w:basedOn w:val="a"/>
    <w:next w:val="a"/>
    <w:link w:val="2Char"/>
    <w:uiPriority w:val="9"/>
    <w:semiHidden/>
    <w:unhideWhenUsed/>
    <w:qFormat/>
    <w:pPr>
      <w:spacing w:before="240" w:after="80"/>
      <w:jc w:val="left"/>
      <w:outlineLvl w:val="1"/>
    </w:pPr>
    <w:rPr>
      <w:smallCaps/>
      <w:spacing w:val="5"/>
      <w:sz w:val="28"/>
      <w:szCs w:val="28"/>
    </w:rPr>
  </w:style>
  <w:style w:type="paragraph" w:styleId="3">
    <w:name w:val="heading 3"/>
    <w:basedOn w:val="a"/>
    <w:next w:val="a"/>
    <w:link w:val="3Char"/>
    <w:uiPriority w:val="9"/>
    <w:semiHidden/>
    <w:unhideWhenUsed/>
    <w:qFormat/>
    <w:pPr>
      <w:spacing w:after="0"/>
      <w:jc w:val="left"/>
      <w:outlineLvl w:val="2"/>
    </w:pPr>
    <w:rPr>
      <w:smallCaps/>
      <w:spacing w:val="5"/>
    </w:rPr>
  </w:style>
  <w:style w:type="paragraph" w:styleId="4">
    <w:name w:val="heading 4"/>
    <w:basedOn w:val="a"/>
    <w:next w:val="a"/>
    <w:link w:val="4Char"/>
    <w:uiPriority w:val="9"/>
    <w:semiHidden/>
    <w:unhideWhenUsed/>
    <w:qFormat/>
    <w:pPr>
      <w:spacing w:before="240" w:after="0"/>
      <w:jc w:val="left"/>
      <w:outlineLvl w:val="3"/>
    </w:pPr>
    <w:rPr>
      <w:smallCaps/>
      <w:spacing w:val="10"/>
      <w:sz w:val="22"/>
      <w:szCs w:val="22"/>
    </w:rPr>
  </w:style>
  <w:style w:type="paragraph" w:styleId="5">
    <w:name w:val="heading 5"/>
    <w:basedOn w:val="a"/>
    <w:next w:val="a"/>
    <w:link w:val="5Char"/>
    <w:uiPriority w:val="9"/>
    <w:semiHidden/>
    <w:unhideWhenUsed/>
    <w:qFormat/>
    <w:pPr>
      <w:spacing w:before="200" w:after="0"/>
      <w:jc w:val="left"/>
      <w:outlineLvl w:val="4"/>
    </w:pPr>
    <w:rPr>
      <w:smallCaps/>
      <w:color w:val="C45911" w:themeColor="accent2" w:themeShade="BF"/>
      <w:spacing w:val="10"/>
      <w:sz w:val="22"/>
      <w:szCs w:val="26"/>
    </w:rPr>
  </w:style>
  <w:style w:type="paragraph" w:styleId="6">
    <w:name w:val="heading 6"/>
    <w:basedOn w:val="a"/>
    <w:next w:val="a"/>
    <w:link w:val="6Char"/>
    <w:uiPriority w:val="9"/>
    <w:semiHidden/>
    <w:unhideWhenUsed/>
    <w:qFormat/>
    <w:pPr>
      <w:spacing w:after="0"/>
      <w:jc w:val="left"/>
      <w:outlineLvl w:val="5"/>
    </w:pPr>
    <w:rPr>
      <w:smallCaps/>
      <w:color w:val="ED7D31" w:themeColor="accent2"/>
      <w:spacing w:val="5"/>
      <w:sz w:val="22"/>
    </w:rPr>
  </w:style>
  <w:style w:type="paragraph" w:styleId="7">
    <w:name w:val="heading 7"/>
    <w:basedOn w:val="a"/>
    <w:next w:val="a"/>
    <w:link w:val="7Char"/>
    <w:uiPriority w:val="9"/>
    <w:semiHidden/>
    <w:unhideWhenUsed/>
    <w:qFormat/>
    <w:pPr>
      <w:spacing w:after="0"/>
      <w:jc w:val="left"/>
      <w:outlineLvl w:val="6"/>
    </w:pPr>
    <w:rPr>
      <w:b/>
      <w:smallCaps/>
      <w:color w:val="ED7D31" w:themeColor="accent2"/>
      <w:spacing w:val="10"/>
    </w:rPr>
  </w:style>
  <w:style w:type="paragraph" w:styleId="8">
    <w:name w:val="heading 8"/>
    <w:basedOn w:val="a"/>
    <w:next w:val="a"/>
    <w:link w:val="8Char"/>
    <w:uiPriority w:val="9"/>
    <w:semiHidden/>
    <w:unhideWhenUsed/>
    <w:qFormat/>
    <w:pPr>
      <w:spacing w:after="0"/>
      <w:jc w:val="left"/>
      <w:outlineLvl w:val="7"/>
    </w:pPr>
    <w:rPr>
      <w:b/>
      <w:i/>
      <w:smallCaps/>
      <w:color w:val="C45911" w:themeColor="accent2" w:themeShade="BF"/>
    </w:rPr>
  </w:style>
  <w:style w:type="paragraph" w:styleId="9">
    <w:name w:val="heading 9"/>
    <w:basedOn w:val="a"/>
    <w:next w:val="a"/>
    <w:link w:val="9Char"/>
    <w:uiPriority w:val="9"/>
    <w:semiHidden/>
    <w:unhideWhenUsed/>
    <w:qFormat/>
    <w:pPr>
      <w:spacing w:after="0"/>
      <w:jc w:val="left"/>
      <w:outlineLvl w:val="8"/>
    </w:pPr>
    <w:rPr>
      <w:b/>
      <w:i/>
      <w:smallCaps/>
      <w:color w:val="833C0B" w:themeColor="accent2"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b/>
      <w:bCs/>
      <w:caps/>
      <w:sz w:val="16"/>
      <w:szCs w:val="18"/>
    </w:rPr>
  </w:style>
  <w:style w:type="paragraph" w:styleId="a4">
    <w:name w:val="Document Map"/>
    <w:basedOn w:val="a"/>
    <w:link w:val="Char"/>
    <w:uiPriority w:val="99"/>
    <w:semiHidden/>
    <w:unhideWhenUsed/>
  </w:style>
  <w:style w:type="paragraph" w:styleId="a5">
    <w:name w:val="annotation text"/>
    <w:basedOn w:val="a"/>
    <w:link w:val="Char0"/>
    <w:uiPriority w:val="99"/>
    <w:semiHidden/>
    <w:unhideWhenUsed/>
  </w:style>
  <w:style w:type="paragraph" w:styleId="a6">
    <w:name w:val="Body Text"/>
    <w:basedOn w:val="a"/>
    <w:pPr>
      <w:spacing w:after="120"/>
    </w:pPr>
  </w:style>
  <w:style w:type="paragraph" w:styleId="a7">
    <w:name w:val="Balloon Text"/>
    <w:basedOn w:val="a"/>
    <w:pPr>
      <w:spacing w:after="0" w:line="240" w:lineRule="auto"/>
    </w:pPr>
  </w:style>
  <w:style w:type="paragraph" w:styleId="a8">
    <w:name w:val="footer"/>
    <w:basedOn w:val="a"/>
    <w:link w:val="Char1"/>
    <w:uiPriority w:val="99"/>
    <w:pPr>
      <w:spacing w:after="0" w:line="240" w:lineRule="auto"/>
    </w:pPr>
  </w:style>
  <w:style w:type="paragraph" w:styleId="a9">
    <w:name w:val="header"/>
    <w:basedOn w:val="a"/>
    <w:pPr>
      <w:spacing w:after="0" w:line="240" w:lineRule="auto"/>
    </w:pPr>
  </w:style>
  <w:style w:type="paragraph" w:styleId="aa">
    <w:name w:val="Subtitle"/>
    <w:basedOn w:val="a"/>
    <w:next w:val="a"/>
    <w:link w:val="Char2"/>
    <w:uiPriority w:val="11"/>
    <w:qFormat/>
    <w:pPr>
      <w:spacing w:after="720" w:line="240" w:lineRule="auto"/>
      <w:jc w:val="right"/>
    </w:pPr>
    <w:rPr>
      <w:rFonts w:asciiTheme="majorHAnsi" w:eastAsiaTheme="majorEastAsia" w:hAnsiTheme="majorHAnsi" w:cstheme="majorBidi"/>
      <w:szCs w:val="22"/>
    </w:rPr>
  </w:style>
  <w:style w:type="paragraph" w:styleId="ab">
    <w:name w:val="List"/>
    <w:basedOn w:val="a6"/>
    <w:rPr>
      <w:rFonts w:cs="Lucida San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style>
  <w:style w:type="paragraph" w:styleId="ac">
    <w:name w:val="Normal (Web)"/>
    <w:basedOn w:val="a"/>
    <w:uiPriority w:val="99"/>
    <w:pPr>
      <w:spacing w:before="280" w:after="280" w:line="240" w:lineRule="auto"/>
    </w:pPr>
  </w:style>
  <w:style w:type="paragraph" w:styleId="ad">
    <w:name w:val="Title"/>
    <w:basedOn w:val="a"/>
    <w:next w:val="a"/>
    <w:link w:val="Char3"/>
    <w:uiPriority w:val="10"/>
    <w:qFormat/>
    <w:pPr>
      <w:pBdr>
        <w:top w:val="single" w:sz="12" w:space="1" w:color="ED7D31" w:themeColor="accent2"/>
      </w:pBdr>
      <w:spacing w:line="240" w:lineRule="auto"/>
      <w:jc w:val="right"/>
    </w:pPr>
    <w:rPr>
      <w:smallCaps/>
      <w:sz w:val="48"/>
      <w:szCs w:val="48"/>
    </w:rPr>
  </w:style>
  <w:style w:type="paragraph" w:styleId="ae">
    <w:name w:val="annotation subject"/>
    <w:basedOn w:val="Testocommento1"/>
    <w:next w:val="Testocommento1"/>
    <w:rPr>
      <w:b/>
      <w:bCs/>
    </w:rPr>
  </w:style>
  <w:style w:type="paragraph" w:customStyle="1" w:styleId="Testocommento1">
    <w:name w:val="Testo commento1"/>
    <w:basedOn w:val="a"/>
  </w:style>
  <w:style w:type="character" w:styleId="af">
    <w:name w:val="Strong"/>
    <w:uiPriority w:val="22"/>
    <w:qFormat/>
    <w:rPr>
      <w:b/>
      <w:color w:val="ED7D31" w:themeColor="accent2"/>
    </w:rPr>
  </w:style>
  <w:style w:type="character" w:styleId="af0">
    <w:name w:val="page number"/>
  </w:style>
  <w:style w:type="character" w:styleId="af1">
    <w:name w:val="FollowedHyperlink"/>
  </w:style>
  <w:style w:type="character" w:styleId="af2">
    <w:name w:val="Emphasis"/>
    <w:uiPriority w:val="20"/>
    <w:qFormat/>
    <w:rPr>
      <w:b/>
      <w:i/>
      <w:spacing w:val="10"/>
    </w:rPr>
  </w:style>
  <w:style w:type="character" w:styleId="af3">
    <w:name w:val="Hyperlink"/>
  </w:style>
  <w:style w:type="character" w:styleId="af4">
    <w:name w:val="annotation reference"/>
    <w:uiPriority w:val="99"/>
    <w:semiHidden/>
    <w:unhideWhenUsed/>
    <w:rPr>
      <w:sz w:val="16"/>
      <w:szCs w:val="16"/>
    </w:rPr>
  </w:style>
  <w:style w:type="character" w:customStyle="1" w:styleId="WW8Num1z0">
    <w:name w:val="WW8Num1z0"/>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qFormat/>
    <w:rPr>
      <w:rFonts w:ascii="Wingdings" w:hAnsi="Wingdings" w:cs="Wingdings" w:hint="default"/>
    </w:rPr>
  </w:style>
  <w:style w:type="character" w:customStyle="1" w:styleId="WW8Num2z3">
    <w:name w:val="WW8Num2z3"/>
    <w:qFormat/>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hAnsi="Times New Roman" w:cs="Times New Roman"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qFormat/>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Carpredefinitoparagrafo1">
    <w:name w:val="Car. predefinito paragrafo1"/>
  </w:style>
  <w:style w:type="character" w:customStyle="1" w:styleId="TestofumettoCarattere">
    <w:name w:val="Testo fumetto Carattere"/>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customStyle="1" w:styleId="MappadocumentoCarattere">
    <w:name w:val="Mappa documento Carattere"/>
  </w:style>
  <w:style w:type="character" w:customStyle="1" w:styleId="Rimandocommento1">
    <w:name w:val="Rimando commento1"/>
    <w:rPr>
      <w:sz w:val="16"/>
      <w:szCs w:val="16"/>
    </w:rPr>
  </w:style>
  <w:style w:type="character" w:customStyle="1" w:styleId="TestocommentoCarattere">
    <w:name w:val="Testo commento Carattere"/>
    <w:rPr>
      <w:lang w:val="en-US"/>
    </w:rPr>
  </w:style>
  <w:style w:type="character" w:customStyle="1" w:styleId="SoggettocommentoCarattere">
    <w:name w:val="Soggetto commento Carattere"/>
  </w:style>
  <w:style w:type="character" w:customStyle="1" w:styleId="PreformattatoHTMLCarattere">
    <w:name w:val="Preformattato HTML Carattere"/>
  </w:style>
  <w:style w:type="paragraph" w:customStyle="1" w:styleId="Intestazione1">
    <w:name w:val="Intestazione1"/>
    <w:basedOn w:val="a"/>
    <w:next w:val="a6"/>
    <w:pPr>
      <w:keepNext/>
      <w:spacing w:before="240" w:after="120"/>
    </w:pPr>
  </w:style>
  <w:style w:type="paragraph" w:customStyle="1" w:styleId="Didascalia1">
    <w:name w:val="Didascalia1"/>
    <w:basedOn w:val="a"/>
    <w:pPr>
      <w:suppressLineNumbers/>
      <w:spacing w:before="120" w:after="120"/>
    </w:pPr>
  </w:style>
  <w:style w:type="paragraph" w:customStyle="1" w:styleId="Indice">
    <w:name w:val="Indice"/>
    <w:basedOn w:val="a"/>
    <w:pPr>
      <w:suppressLineNumbers/>
    </w:pPr>
    <w:rPr>
      <w:rFonts w:cs="Lucida Sans"/>
    </w:rPr>
  </w:style>
  <w:style w:type="paragraph" w:customStyle="1" w:styleId="Elencomedio2-Colore41">
    <w:name w:val="Elenco medio 2 - Colore 41"/>
    <w:basedOn w:val="a"/>
    <w:pPr>
      <w:ind w:left="720"/>
    </w:pPr>
  </w:style>
  <w:style w:type="paragraph" w:customStyle="1" w:styleId="Elencomedio1-Colore41">
    <w:name w:val="Elenco medio 1 - Colore 41"/>
    <w:pPr>
      <w:suppressAutoHyphens/>
      <w:spacing w:after="200" w:line="276" w:lineRule="auto"/>
      <w:jc w:val="both"/>
    </w:pPr>
    <w:rPr>
      <w:sz w:val="24"/>
      <w:szCs w:val="24"/>
      <w:lang w:val="it-IT" w:eastAsia="it-IT"/>
    </w:rPr>
  </w:style>
  <w:style w:type="paragraph" w:customStyle="1" w:styleId="Standard">
    <w:name w:val="Standard"/>
    <w:pPr>
      <w:suppressAutoHyphens/>
      <w:spacing w:after="160" w:line="242" w:lineRule="auto"/>
      <w:jc w:val="both"/>
      <w:textAlignment w:val="baseline"/>
    </w:pPr>
    <w:rPr>
      <w:sz w:val="24"/>
      <w:szCs w:val="24"/>
      <w:lang w:val="it-IT" w:eastAsia="it-IT"/>
    </w:rPr>
  </w:style>
  <w:style w:type="paragraph" w:customStyle="1" w:styleId="Mappadocumento1">
    <w:name w:val="Mappa documento1"/>
    <w:basedOn w:val="a"/>
    <w:pPr>
      <w:spacing w:after="0" w:line="240" w:lineRule="auto"/>
    </w:pPr>
  </w:style>
  <w:style w:type="paragraph" w:customStyle="1" w:styleId="Elencomedio2-Colore21">
    <w:name w:val="Elenco medio 2 - Colore 21"/>
    <w:pPr>
      <w:suppressAutoHyphens/>
      <w:spacing w:after="200" w:line="276" w:lineRule="auto"/>
      <w:jc w:val="both"/>
    </w:pPr>
    <w:rPr>
      <w:sz w:val="24"/>
      <w:szCs w:val="24"/>
      <w:lang w:val="it-IT" w:eastAsia="it-IT"/>
    </w:rPr>
  </w:style>
  <w:style w:type="paragraph" w:customStyle="1" w:styleId="Elencoacolori-Colore11">
    <w:name w:val="Elenco a colori - Colore 11"/>
    <w:basedOn w:val="a"/>
    <w:pPr>
      <w:spacing w:after="0" w:line="240" w:lineRule="auto"/>
      <w:ind w:left="720"/>
    </w:pPr>
  </w:style>
  <w:style w:type="paragraph" w:customStyle="1" w:styleId="Contenutocornice">
    <w:name w:val="Contenuto cornice"/>
    <w:basedOn w:val="a6"/>
  </w:style>
  <w:style w:type="paragraph" w:customStyle="1" w:styleId="Elencochiaro-Colore31">
    <w:name w:val="Elenco chiaro - Colore 31"/>
    <w:hidden/>
    <w:uiPriority w:val="99"/>
    <w:semiHidden/>
    <w:pPr>
      <w:spacing w:after="200" w:line="276" w:lineRule="auto"/>
      <w:jc w:val="both"/>
    </w:pPr>
    <w:rPr>
      <w:sz w:val="24"/>
      <w:szCs w:val="24"/>
      <w:lang w:val="it-IT" w:eastAsia="it-IT"/>
    </w:rPr>
  </w:style>
  <w:style w:type="character" w:customStyle="1" w:styleId="Char0">
    <w:name w:val="批注文字 Char"/>
    <w:basedOn w:val="a0"/>
    <w:link w:val="a5"/>
    <w:uiPriority w:val="99"/>
    <w:semiHidden/>
  </w:style>
  <w:style w:type="character" w:customStyle="1" w:styleId="Char">
    <w:name w:val="文档结构图 Char"/>
    <w:link w:val="a4"/>
    <w:uiPriority w:val="99"/>
    <w:semiHidden/>
    <w:rPr>
      <w:sz w:val="24"/>
      <w:szCs w:val="24"/>
    </w:rPr>
  </w:style>
  <w:style w:type="character" w:customStyle="1" w:styleId="1Char">
    <w:name w:val="标题 1 Char"/>
    <w:basedOn w:val="a0"/>
    <w:link w:val="1"/>
    <w:uiPriority w:val="9"/>
    <w:rPr>
      <w:smallCaps/>
      <w:spacing w:val="5"/>
      <w:sz w:val="32"/>
      <w:szCs w:val="32"/>
    </w:rPr>
  </w:style>
  <w:style w:type="character" w:customStyle="1" w:styleId="2Char">
    <w:name w:val="标题 2 Char"/>
    <w:basedOn w:val="a0"/>
    <w:link w:val="2"/>
    <w:uiPriority w:val="9"/>
    <w:semiHidden/>
    <w:rPr>
      <w:smallCaps/>
      <w:spacing w:val="5"/>
      <w:sz w:val="28"/>
      <w:szCs w:val="28"/>
    </w:rPr>
  </w:style>
  <w:style w:type="character" w:customStyle="1" w:styleId="3Char">
    <w:name w:val="标题 3 Char"/>
    <w:basedOn w:val="a0"/>
    <w:link w:val="3"/>
    <w:uiPriority w:val="9"/>
    <w:semiHidden/>
    <w:rPr>
      <w:smallCaps/>
      <w:spacing w:val="5"/>
      <w:sz w:val="24"/>
      <w:szCs w:val="24"/>
    </w:rPr>
  </w:style>
  <w:style w:type="character" w:customStyle="1" w:styleId="4Char">
    <w:name w:val="标题 4 Char"/>
    <w:basedOn w:val="a0"/>
    <w:link w:val="4"/>
    <w:uiPriority w:val="9"/>
    <w:semiHidden/>
    <w:rPr>
      <w:smallCaps/>
      <w:spacing w:val="10"/>
      <w:sz w:val="22"/>
      <w:szCs w:val="22"/>
    </w:rPr>
  </w:style>
  <w:style w:type="character" w:customStyle="1" w:styleId="5Char">
    <w:name w:val="标题 5 Char"/>
    <w:basedOn w:val="a0"/>
    <w:link w:val="5"/>
    <w:uiPriority w:val="9"/>
    <w:semiHidden/>
    <w:rPr>
      <w:smallCaps/>
      <w:color w:val="C45911" w:themeColor="accent2" w:themeShade="BF"/>
      <w:spacing w:val="10"/>
      <w:sz w:val="22"/>
      <w:szCs w:val="26"/>
    </w:rPr>
  </w:style>
  <w:style w:type="character" w:customStyle="1" w:styleId="6Char">
    <w:name w:val="标题 6 Char"/>
    <w:basedOn w:val="a0"/>
    <w:link w:val="6"/>
    <w:uiPriority w:val="9"/>
    <w:semiHidden/>
    <w:rPr>
      <w:smallCaps/>
      <w:color w:val="ED7D31" w:themeColor="accent2"/>
      <w:spacing w:val="5"/>
      <w:sz w:val="22"/>
    </w:rPr>
  </w:style>
  <w:style w:type="character" w:customStyle="1" w:styleId="7Char">
    <w:name w:val="标题 7 Char"/>
    <w:basedOn w:val="a0"/>
    <w:link w:val="7"/>
    <w:uiPriority w:val="9"/>
    <w:semiHidden/>
    <w:rPr>
      <w:b/>
      <w:smallCaps/>
      <w:color w:val="ED7D31" w:themeColor="accent2"/>
      <w:spacing w:val="10"/>
    </w:rPr>
  </w:style>
  <w:style w:type="character" w:customStyle="1" w:styleId="8Char">
    <w:name w:val="标题 8 Char"/>
    <w:basedOn w:val="a0"/>
    <w:link w:val="8"/>
    <w:uiPriority w:val="9"/>
    <w:semiHidden/>
    <w:rPr>
      <w:b/>
      <w:i/>
      <w:smallCaps/>
      <w:color w:val="C45911" w:themeColor="accent2" w:themeShade="BF"/>
    </w:rPr>
  </w:style>
  <w:style w:type="character" w:customStyle="1" w:styleId="9Char">
    <w:name w:val="标题 9 Char"/>
    <w:basedOn w:val="a0"/>
    <w:link w:val="9"/>
    <w:uiPriority w:val="9"/>
    <w:semiHidden/>
    <w:rPr>
      <w:b/>
      <w:i/>
      <w:smallCaps/>
      <w:color w:val="833C0B" w:themeColor="accent2" w:themeShade="80"/>
    </w:rPr>
  </w:style>
  <w:style w:type="character" w:customStyle="1" w:styleId="Char3">
    <w:name w:val="标题 Char"/>
    <w:basedOn w:val="a0"/>
    <w:link w:val="ad"/>
    <w:uiPriority w:val="10"/>
    <w:rPr>
      <w:smallCaps/>
      <w:sz w:val="48"/>
      <w:szCs w:val="48"/>
    </w:rPr>
  </w:style>
  <w:style w:type="character" w:customStyle="1" w:styleId="Char2">
    <w:name w:val="副标题 Char"/>
    <w:basedOn w:val="a0"/>
    <w:link w:val="aa"/>
    <w:uiPriority w:val="11"/>
    <w:rPr>
      <w:rFonts w:asciiTheme="majorHAnsi" w:eastAsiaTheme="majorEastAsia" w:hAnsiTheme="majorHAnsi" w:cstheme="majorBidi"/>
      <w:szCs w:val="22"/>
    </w:rPr>
  </w:style>
  <w:style w:type="paragraph" w:styleId="af5">
    <w:name w:val="No Spacing"/>
    <w:basedOn w:val="a"/>
    <w:link w:val="Char4"/>
    <w:uiPriority w:val="1"/>
    <w:qFormat/>
    <w:pPr>
      <w:spacing w:after="0" w:line="240" w:lineRule="auto"/>
    </w:pPr>
  </w:style>
  <w:style w:type="character" w:customStyle="1" w:styleId="Char4">
    <w:name w:val="无间隔 Char"/>
    <w:basedOn w:val="a0"/>
    <w:link w:val="af5"/>
    <w:uiPriority w:val="1"/>
  </w:style>
  <w:style w:type="paragraph" w:styleId="af6">
    <w:name w:val="List Paragraph"/>
    <w:basedOn w:val="a"/>
    <w:uiPriority w:val="34"/>
    <w:qFormat/>
    <w:pPr>
      <w:ind w:left="720"/>
      <w:contextualSpacing/>
    </w:pPr>
  </w:style>
  <w:style w:type="paragraph" w:styleId="af7">
    <w:name w:val="Quote"/>
    <w:basedOn w:val="a"/>
    <w:next w:val="a"/>
    <w:link w:val="Char5"/>
    <w:uiPriority w:val="29"/>
    <w:qFormat/>
    <w:rPr>
      <w:i/>
    </w:rPr>
  </w:style>
  <w:style w:type="character" w:customStyle="1" w:styleId="Char5">
    <w:name w:val="引用 Char"/>
    <w:basedOn w:val="a0"/>
    <w:link w:val="af7"/>
    <w:uiPriority w:val="29"/>
    <w:rPr>
      <w:i/>
    </w:rPr>
  </w:style>
  <w:style w:type="paragraph" w:styleId="af8">
    <w:name w:val="Intense Quote"/>
    <w:basedOn w:val="a"/>
    <w:next w:val="a"/>
    <w:link w:val="Char6"/>
    <w:uiPriority w:val="30"/>
    <w:qFormat/>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CCE8CF" w:themeColor="background1"/>
    </w:rPr>
  </w:style>
  <w:style w:type="character" w:customStyle="1" w:styleId="Char6">
    <w:name w:val="明显引用 Char"/>
    <w:basedOn w:val="a0"/>
    <w:link w:val="af8"/>
    <w:uiPriority w:val="30"/>
    <w:rPr>
      <w:b/>
      <w:i/>
      <w:color w:val="CCE8CF" w:themeColor="background1"/>
      <w:shd w:val="clear" w:color="auto" w:fill="ED7D31" w:themeFill="accent2"/>
    </w:rPr>
  </w:style>
  <w:style w:type="character" w:customStyle="1" w:styleId="10">
    <w:name w:val="不明显强调1"/>
    <w:uiPriority w:val="19"/>
    <w:qFormat/>
    <w:rPr>
      <w:i/>
    </w:rPr>
  </w:style>
  <w:style w:type="character" w:customStyle="1" w:styleId="11">
    <w:name w:val="明显强调1"/>
    <w:uiPriority w:val="21"/>
    <w:qFormat/>
    <w:rPr>
      <w:b/>
      <w:i/>
      <w:color w:val="ED7D31" w:themeColor="accent2"/>
      <w:spacing w:val="10"/>
    </w:rPr>
  </w:style>
  <w:style w:type="character" w:customStyle="1" w:styleId="12">
    <w:name w:val="不明显参考1"/>
    <w:uiPriority w:val="31"/>
    <w:qFormat/>
    <w:rPr>
      <w:b/>
    </w:rPr>
  </w:style>
  <w:style w:type="character" w:customStyle="1" w:styleId="13">
    <w:name w:val="明显参考1"/>
    <w:uiPriority w:val="32"/>
    <w:qFormat/>
    <w:rPr>
      <w:b/>
      <w:bCs/>
      <w:smallCaps/>
      <w:spacing w:val="5"/>
      <w:sz w:val="22"/>
      <w:szCs w:val="22"/>
      <w:u w:val="single"/>
    </w:rPr>
  </w:style>
  <w:style w:type="character" w:customStyle="1" w:styleId="14">
    <w:name w:val="书籍标题1"/>
    <w:uiPriority w:val="33"/>
    <w:qFormat/>
    <w:rPr>
      <w:rFonts w:asciiTheme="majorHAnsi" w:eastAsiaTheme="majorEastAsia" w:hAnsiTheme="majorHAnsi" w:cstheme="majorBidi"/>
      <w:i/>
      <w:iCs/>
      <w:sz w:val="20"/>
      <w:szCs w:val="20"/>
    </w:rPr>
  </w:style>
  <w:style w:type="paragraph" w:customStyle="1" w:styleId="TOC1">
    <w:name w:val="TOC 标题1"/>
    <w:basedOn w:val="1"/>
    <w:next w:val="a"/>
    <w:uiPriority w:val="39"/>
    <w:semiHidden/>
    <w:unhideWhenUsed/>
    <w:qFormat/>
    <w:pPr>
      <w:outlineLvl w:val="9"/>
    </w:pPr>
  </w:style>
  <w:style w:type="paragraph" w:customStyle="1" w:styleId="15">
    <w:name w:val="修订1"/>
    <w:hidden/>
    <w:uiPriority w:val="62"/>
    <w:unhideWhenUsed/>
    <w:rPr>
      <w:sz w:val="24"/>
      <w:szCs w:val="24"/>
      <w:lang w:val="it-IT" w:eastAsia="it-IT"/>
    </w:rPr>
  </w:style>
  <w:style w:type="character" w:customStyle="1" w:styleId="Char1">
    <w:name w:val="页脚 Char"/>
    <w:basedOn w:val="a0"/>
    <w:link w:val="a8"/>
    <w:uiPriority w:val="99"/>
    <w:rPr>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uiPriority="35" w:qFormat="1"/>
    <w:lsdException w:name="page number" w:semiHidden="0" w:uiPriority="0" w:unhideWhenUsed="0"/>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iPriority="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Normal (Web)" w:semiHidden="0" w:unhideWhenUsed="0"/>
    <w:lsdException w:name="HTML Preformatted" w:semiHidden="0" w:uiPriority="0" w:unhideWhenUsed="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jc w:val="both"/>
    </w:pPr>
    <w:rPr>
      <w:sz w:val="24"/>
      <w:szCs w:val="24"/>
      <w:lang w:val="it-IT" w:eastAsia="it-IT"/>
    </w:rPr>
  </w:style>
  <w:style w:type="paragraph" w:styleId="1">
    <w:name w:val="heading 1"/>
    <w:basedOn w:val="a"/>
    <w:next w:val="a"/>
    <w:link w:val="1Char"/>
    <w:uiPriority w:val="9"/>
    <w:qFormat/>
    <w:pPr>
      <w:spacing w:before="300" w:after="40"/>
      <w:jc w:val="left"/>
      <w:outlineLvl w:val="0"/>
    </w:pPr>
    <w:rPr>
      <w:smallCaps/>
      <w:spacing w:val="5"/>
      <w:sz w:val="32"/>
      <w:szCs w:val="32"/>
    </w:rPr>
  </w:style>
  <w:style w:type="paragraph" w:styleId="2">
    <w:name w:val="heading 2"/>
    <w:basedOn w:val="a"/>
    <w:next w:val="a"/>
    <w:link w:val="2Char"/>
    <w:uiPriority w:val="9"/>
    <w:semiHidden/>
    <w:unhideWhenUsed/>
    <w:qFormat/>
    <w:pPr>
      <w:spacing w:before="240" w:after="80"/>
      <w:jc w:val="left"/>
      <w:outlineLvl w:val="1"/>
    </w:pPr>
    <w:rPr>
      <w:smallCaps/>
      <w:spacing w:val="5"/>
      <w:sz w:val="28"/>
      <w:szCs w:val="28"/>
    </w:rPr>
  </w:style>
  <w:style w:type="paragraph" w:styleId="3">
    <w:name w:val="heading 3"/>
    <w:basedOn w:val="a"/>
    <w:next w:val="a"/>
    <w:link w:val="3Char"/>
    <w:uiPriority w:val="9"/>
    <w:semiHidden/>
    <w:unhideWhenUsed/>
    <w:qFormat/>
    <w:pPr>
      <w:spacing w:after="0"/>
      <w:jc w:val="left"/>
      <w:outlineLvl w:val="2"/>
    </w:pPr>
    <w:rPr>
      <w:smallCaps/>
      <w:spacing w:val="5"/>
    </w:rPr>
  </w:style>
  <w:style w:type="paragraph" w:styleId="4">
    <w:name w:val="heading 4"/>
    <w:basedOn w:val="a"/>
    <w:next w:val="a"/>
    <w:link w:val="4Char"/>
    <w:uiPriority w:val="9"/>
    <w:semiHidden/>
    <w:unhideWhenUsed/>
    <w:qFormat/>
    <w:pPr>
      <w:spacing w:before="240" w:after="0"/>
      <w:jc w:val="left"/>
      <w:outlineLvl w:val="3"/>
    </w:pPr>
    <w:rPr>
      <w:smallCaps/>
      <w:spacing w:val="10"/>
      <w:sz w:val="22"/>
      <w:szCs w:val="22"/>
    </w:rPr>
  </w:style>
  <w:style w:type="paragraph" w:styleId="5">
    <w:name w:val="heading 5"/>
    <w:basedOn w:val="a"/>
    <w:next w:val="a"/>
    <w:link w:val="5Char"/>
    <w:uiPriority w:val="9"/>
    <w:semiHidden/>
    <w:unhideWhenUsed/>
    <w:qFormat/>
    <w:pPr>
      <w:spacing w:before="200" w:after="0"/>
      <w:jc w:val="left"/>
      <w:outlineLvl w:val="4"/>
    </w:pPr>
    <w:rPr>
      <w:smallCaps/>
      <w:color w:val="C45911" w:themeColor="accent2" w:themeShade="BF"/>
      <w:spacing w:val="10"/>
      <w:sz w:val="22"/>
      <w:szCs w:val="26"/>
    </w:rPr>
  </w:style>
  <w:style w:type="paragraph" w:styleId="6">
    <w:name w:val="heading 6"/>
    <w:basedOn w:val="a"/>
    <w:next w:val="a"/>
    <w:link w:val="6Char"/>
    <w:uiPriority w:val="9"/>
    <w:semiHidden/>
    <w:unhideWhenUsed/>
    <w:qFormat/>
    <w:pPr>
      <w:spacing w:after="0"/>
      <w:jc w:val="left"/>
      <w:outlineLvl w:val="5"/>
    </w:pPr>
    <w:rPr>
      <w:smallCaps/>
      <w:color w:val="ED7D31" w:themeColor="accent2"/>
      <w:spacing w:val="5"/>
      <w:sz w:val="22"/>
    </w:rPr>
  </w:style>
  <w:style w:type="paragraph" w:styleId="7">
    <w:name w:val="heading 7"/>
    <w:basedOn w:val="a"/>
    <w:next w:val="a"/>
    <w:link w:val="7Char"/>
    <w:uiPriority w:val="9"/>
    <w:semiHidden/>
    <w:unhideWhenUsed/>
    <w:qFormat/>
    <w:pPr>
      <w:spacing w:after="0"/>
      <w:jc w:val="left"/>
      <w:outlineLvl w:val="6"/>
    </w:pPr>
    <w:rPr>
      <w:b/>
      <w:smallCaps/>
      <w:color w:val="ED7D31" w:themeColor="accent2"/>
      <w:spacing w:val="10"/>
    </w:rPr>
  </w:style>
  <w:style w:type="paragraph" w:styleId="8">
    <w:name w:val="heading 8"/>
    <w:basedOn w:val="a"/>
    <w:next w:val="a"/>
    <w:link w:val="8Char"/>
    <w:uiPriority w:val="9"/>
    <w:semiHidden/>
    <w:unhideWhenUsed/>
    <w:qFormat/>
    <w:pPr>
      <w:spacing w:after="0"/>
      <w:jc w:val="left"/>
      <w:outlineLvl w:val="7"/>
    </w:pPr>
    <w:rPr>
      <w:b/>
      <w:i/>
      <w:smallCaps/>
      <w:color w:val="C45911" w:themeColor="accent2" w:themeShade="BF"/>
    </w:rPr>
  </w:style>
  <w:style w:type="paragraph" w:styleId="9">
    <w:name w:val="heading 9"/>
    <w:basedOn w:val="a"/>
    <w:next w:val="a"/>
    <w:link w:val="9Char"/>
    <w:uiPriority w:val="9"/>
    <w:semiHidden/>
    <w:unhideWhenUsed/>
    <w:qFormat/>
    <w:pPr>
      <w:spacing w:after="0"/>
      <w:jc w:val="left"/>
      <w:outlineLvl w:val="8"/>
    </w:pPr>
    <w:rPr>
      <w:b/>
      <w:i/>
      <w:smallCaps/>
      <w:color w:val="833C0B" w:themeColor="accent2"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b/>
      <w:bCs/>
      <w:caps/>
      <w:sz w:val="16"/>
      <w:szCs w:val="18"/>
    </w:rPr>
  </w:style>
  <w:style w:type="paragraph" w:styleId="a4">
    <w:name w:val="Document Map"/>
    <w:basedOn w:val="a"/>
    <w:link w:val="Char"/>
    <w:uiPriority w:val="99"/>
    <w:semiHidden/>
    <w:unhideWhenUsed/>
  </w:style>
  <w:style w:type="paragraph" w:styleId="a5">
    <w:name w:val="annotation text"/>
    <w:basedOn w:val="a"/>
    <w:link w:val="Char0"/>
    <w:uiPriority w:val="99"/>
    <w:semiHidden/>
    <w:unhideWhenUsed/>
  </w:style>
  <w:style w:type="paragraph" w:styleId="a6">
    <w:name w:val="Body Text"/>
    <w:basedOn w:val="a"/>
    <w:pPr>
      <w:spacing w:after="120"/>
    </w:pPr>
  </w:style>
  <w:style w:type="paragraph" w:styleId="a7">
    <w:name w:val="Balloon Text"/>
    <w:basedOn w:val="a"/>
    <w:pPr>
      <w:spacing w:after="0" w:line="240" w:lineRule="auto"/>
    </w:pPr>
  </w:style>
  <w:style w:type="paragraph" w:styleId="a8">
    <w:name w:val="footer"/>
    <w:basedOn w:val="a"/>
    <w:link w:val="Char1"/>
    <w:uiPriority w:val="99"/>
    <w:pPr>
      <w:spacing w:after="0" w:line="240" w:lineRule="auto"/>
    </w:pPr>
  </w:style>
  <w:style w:type="paragraph" w:styleId="a9">
    <w:name w:val="header"/>
    <w:basedOn w:val="a"/>
    <w:pPr>
      <w:spacing w:after="0" w:line="240" w:lineRule="auto"/>
    </w:pPr>
  </w:style>
  <w:style w:type="paragraph" w:styleId="aa">
    <w:name w:val="Subtitle"/>
    <w:basedOn w:val="a"/>
    <w:next w:val="a"/>
    <w:link w:val="Char2"/>
    <w:uiPriority w:val="11"/>
    <w:qFormat/>
    <w:pPr>
      <w:spacing w:after="720" w:line="240" w:lineRule="auto"/>
      <w:jc w:val="right"/>
    </w:pPr>
    <w:rPr>
      <w:rFonts w:asciiTheme="majorHAnsi" w:eastAsiaTheme="majorEastAsia" w:hAnsiTheme="majorHAnsi" w:cstheme="majorBidi"/>
      <w:szCs w:val="22"/>
    </w:rPr>
  </w:style>
  <w:style w:type="paragraph" w:styleId="ab">
    <w:name w:val="List"/>
    <w:basedOn w:val="a6"/>
    <w:rPr>
      <w:rFonts w:cs="Lucida San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style>
  <w:style w:type="paragraph" w:styleId="ac">
    <w:name w:val="Normal (Web)"/>
    <w:basedOn w:val="a"/>
    <w:uiPriority w:val="99"/>
    <w:pPr>
      <w:spacing w:before="280" w:after="280" w:line="240" w:lineRule="auto"/>
    </w:pPr>
  </w:style>
  <w:style w:type="paragraph" w:styleId="ad">
    <w:name w:val="Title"/>
    <w:basedOn w:val="a"/>
    <w:next w:val="a"/>
    <w:link w:val="Char3"/>
    <w:uiPriority w:val="10"/>
    <w:qFormat/>
    <w:pPr>
      <w:pBdr>
        <w:top w:val="single" w:sz="12" w:space="1" w:color="ED7D31" w:themeColor="accent2"/>
      </w:pBdr>
      <w:spacing w:line="240" w:lineRule="auto"/>
      <w:jc w:val="right"/>
    </w:pPr>
    <w:rPr>
      <w:smallCaps/>
      <w:sz w:val="48"/>
      <w:szCs w:val="48"/>
    </w:rPr>
  </w:style>
  <w:style w:type="paragraph" w:styleId="ae">
    <w:name w:val="annotation subject"/>
    <w:basedOn w:val="Testocommento1"/>
    <w:next w:val="Testocommento1"/>
    <w:rPr>
      <w:b/>
      <w:bCs/>
    </w:rPr>
  </w:style>
  <w:style w:type="paragraph" w:customStyle="1" w:styleId="Testocommento1">
    <w:name w:val="Testo commento1"/>
    <w:basedOn w:val="a"/>
  </w:style>
  <w:style w:type="character" w:styleId="af">
    <w:name w:val="Strong"/>
    <w:uiPriority w:val="22"/>
    <w:qFormat/>
    <w:rPr>
      <w:b/>
      <w:color w:val="ED7D31" w:themeColor="accent2"/>
    </w:rPr>
  </w:style>
  <w:style w:type="character" w:styleId="af0">
    <w:name w:val="page number"/>
  </w:style>
  <w:style w:type="character" w:styleId="af1">
    <w:name w:val="FollowedHyperlink"/>
  </w:style>
  <w:style w:type="character" w:styleId="af2">
    <w:name w:val="Emphasis"/>
    <w:uiPriority w:val="20"/>
    <w:qFormat/>
    <w:rPr>
      <w:b/>
      <w:i/>
      <w:spacing w:val="10"/>
    </w:rPr>
  </w:style>
  <w:style w:type="character" w:styleId="af3">
    <w:name w:val="Hyperlink"/>
  </w:style>
  <w:style w:type="character" w:styleId="af4">
    <w:name w:val="annotation reference"/>
    <w:uiPriority w:val="99"/>
    <w:semiHidden/>
    <w:unhideWhenUsed/>
    <w:rPr>
      <w:sz w:val="16"/>
      <w:szCs w:val="16"/>
    </w:rPr>
  </w:style>
  <w:style w:type="character" w:customStyle="1" w:styleId="WW8Num1z0">
    <w:name w:val="WW8Num1z0"/>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qFormat/>
    <w:rPr>
      <w:rFonts w:ascii="Wingdings" w:hAnsi="Wingdings" w:cs="Wingdings" w:hint="default"/>
    </w:rPr>
  </w:style>
  <w:style w:type="character" w:customStyle="1" w:styleId="WW8Num2z3">
    <w:name w:val="WW8Num2z3"/>
    <w:qFormat/>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hAnsi="Times New Roman" w:cs="Times New Roman"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qFormat/>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Carpredefinitoparagrafo1">
    <w:name w:val="Car. predefinito paragrafo1"/>
  </w:style>
  <w:style w:type="character" w:customStyle="1" w:styleId="TestofumettoCarattere">
    <w:name w:val="Testo fumetto Carattere"/>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customStyle="1" w:styleId="MappadocumentoCarattere">
    <w:name w:val="Mappa documento Carattere"/>
  </w:style>
  <w:style w:type="character" w:customStyle="1" w:styleId="Rimandocommento1">
    <w:name w:val="Rimando commento1"/>
    <w:rPr>
      <w:sz w:val="16"/>
      <w:szCs w:val="16"/>
    </w:rPr>
  </w:style>
  <w:style w:type="character" w:customStyle="1" w:styleId="TestocommentoCarattere">
    <w:name w:val="Testo commento Carattere"/>
    <w:rPr>
      <w:lang w:val="en-US"/>
    </w:rPr>
  </w:style>
  <w:style w:type="character" w:customStyle="1" w:styleId="SoggettocommentoCarattere">
    <w:name w:val="Soggetto commento Carattere"/>
  </w:style>
  <w:style w:type="character" w:customStyle="1" w:styleId="PreformattatoHTMLCarattere">
    <w:name w:val="Preformattato HTML Carattere"/>
  </w:style>
  <w:style w:type="paragraph" w:customStyle="1" w:styleId="Intestazione1">
    <w:name w:val="Intestazione1"/>
    <w:basedOn w:val="a"/>
    <w:next w:val="a6"/>
    <w:pPr>
      <w:keepNext/>
      <w:spacing w:before="240" w:after="120"/>
    </w:pPr>
  </w:style>
  <w:style w:type="paragraph" w:customStyle="1" w:styleId="Didascalia1">
    <w:name w:val="Didascalia1"/>
    <w:basedOn w:val="a"/>
    <w:pPr>
      <w:suppressLineNumbers/>
      <w:spacing w:before="120" w:after="120"/>
    </w:pPr>
  </w:style>
  <w:style w:type="paragraph" w:customStyle="1" w:styleId="Indice">
    <w:name w:val="Indice"/>
    <w:basedOn w:val="a"/>
    <w:pPr>
      <w:suppressLineNumbers/>
    </w:pPr>
    <w:rPr>
      <w:rFonts w:cs="Lucida Sans"/>
    </w:rPr>
  </w:style>
  <w:style w:type="paragraph" w:customStyle="1" w:styleId="Elencomedio2-Colore41">
    <w:name w:val="Elenco medio 2 - Colore 41"/>
    <w:basedOn w:val="a"/>
    <w:pPr>
      <w:ind w:left="720"/>
    </w:pPr>
  </w:style>
  <w:style w:type="paragraph" w:customStyle="1" w:styleId="Elencomedio1-Colore41">
    <w:name w:val="Elenco medio 1 - Colore 41"/>
    <w:pPr>
      <w:suppressAutoHyphens/>
      <w:spacing w:after="200" w:line="276" w:lineRule="auto"/>
      <w:jc w:val="both"/>
    </w:pPr>
    <w:rPr>
      <w:sz w:val="24"/>
      <w:szCs w:val="24"/>
      <w:lang w:val="it-IT" w:eastAsia="it-IT"/>
    </w:rPr>
  </w:style>
  <w:style w:type="paragraph" w:customStyle="1" w:styleId="Standard">
    <w:name w:val="Standard"/>
    <w:pPr>
      <w:suppressAutoHyphens/>
      <w:spacing w:after="160" w:line="242" w:lineRule="auto"/>
      <w:jc w:val="both"/>
      <w:textAlignment w:val="baseline"/>
    </w:pPr>
    <w:rPr>
      <w:sz w:val="24"/>
      <w:szCs w:val="24"/>
      <w:lang w:val="it-IT" w:eastAsia="it-IT"/>
    </w:rPr>
  </w:style>
  <w:style w:type="paragraph" w:customStyle="1" w:styleId="Mappadocumento1">
    <w:name w:val="Mappa documento1"/>
    <w:basedOn w:val="a"/>
    <w:pPr>
      <w:spacing w:after="0" w:line="240" w:lineRule="auto"/>
    </w:pPr>
  </w:style>
  <w:style w:type="paragraph" w:customStyle="1" w:styleId="Elencomedio2-Colore21">
    <w:name w:val="Elenco medio 2 - Colore 21"/>
    <w:pPr>
      <w:suppressAutoHyphens/>
      <w:spacing w:after="200" w:line="276" w:lineRule="auto"/>
      <w:jc w:val="both"/>
    </w:pPr>
    <w:rPr>
      <w:sz w:val="24"/>
      <w:szCs w:val="24"/>
      <w:lang w:val="it-IT" w:eastAsia="it-IT"/>
    </w:rPr>
  </w:style>
  <w:style w:type="paragraph" w:customStyle="1" w:styleId="Elencoacolori-Colore11">
    <w:name w:val="Elenco a colori - Colore 11"/>
    <w:basedOn w:val="a"/>
    <w:pPr>
      <w:spacing w:after="0" w:line="240" w:lineRule="auto"/>
      <w:ind w:left="720"/>
    </w:pPr>
  </w:style>
  <w:style w:type="paragraph" w:customStyle="1" w:styleId="Contenutocornice">
    <w:name w:val="Contenuto cornice"/>
    <w:basedOn w:val="a6"/>
  </w:style>
  <w:style w:type="paragraph" w:customStyle="1" w:styleId="Elencochiaro-Colore31">
    <w:name w:val="Elenco chiaro - Colore 31"/>
    <w:hidden/>
    <w:uiPriority w:val="99"/>
    <w:semiHidden/>
    <w:pPr>
      <w:spacing w:after="200" w:line="276" w:lineRule="auto"/>
      <w:jc w:val="both"/>
    </w:pPr>
    <w:rPr>
      <w:sz w:val="24"/>
      <w:szCs w:val="24"/>
      <w:lang w:val="it-IT" w:eastAsia="it-IT"/>
    </w:rPr>
  </w:style>
  <w:style w:type="character" w:customStyle="1" w:styleId="Char0">
    <w:name w:val="批注文字 Char"/>
    <w:basedOn w:val="a0"/>
    <w:link w:val="a5"/>
    <w:uiPriority w:val="99"/>
    <w:semiHidden/>
  </w:style>
  <w:style w:type="character" w:customStyle="1" w:styleId="Char">
    <w:name w:val="文档结构图 Char"/>
    <w:link w:val="a4"/>
    <w:uiPriority w:val="99"/>
    <w:semiHidden/>
    <w:rPr>
      <w:sz w:val="24"/>
      <w:szCs w:val="24"/>
    </w:rPr>
  </w:style>
  <w:style w:type="character" w:customStyle="1" w:styleId="1Char">
    <w:name w:val="标题 1 Char"/>
    <w:basedOn w:val="a0"/>
    <w:link w:val="1"/>
    <w:uiPriority w:val="9"/>
    <w:rPr>
      <w:smallCaps/>
      <w:spacing w:val="5"/>
      <w:sz w:val="32"/>
      <w:szCs w:val="32"/>
    </w:rPr>
  </w:style>
  <w:style w:type="character" w:customStyle="1" w:styleId="2Char">
    <w:name w:val="标题 2 Char"/>
    <w:basedOn w:val="a0"/>
    <w:link w:val="2"/>
    <w:uiPriority w:val="9"/>
    <w:semiHidden/>
    <w:rPr>
      <w:smallCaps/>
      <w:spacing w:val="5"/>
      <w:sz w:val="28"/>
      <w:szCs w:val="28"/>
    </w:rPr>
  </w:style>
  <w:style w:type="character" w:customStyle="1" w:styleId="3Char">
    <w:name w:val="标题 3 Char"/>
    <w:basedOn w:val="a0"/>
    <w:link w:val="3"/>
    <w:uiPriority w:val="9"/>
    <w:semiHidden/>
    <w:rPr>
      <w:smallCaps/>
      <w:spacing w:val="5"/>
      <w:sz w:val="24"/>
      <w:szCs w:val="24"/>
    </w:rPr>
  </w:style>
  <w:style w:type="character" w:customStyle="1" w:styleId="4Char">
    <w:name w:val="标题 4 Char"/>
    <w:basedOn w:val="a0"/>
    <w:link w:val="4"/>
    <w:uiPriority w:val="9"/>
    <w:semiHidden/>
    <w:rPr>
      <w:smallCaps/>
      <w:spacing w:val="10"/>
      <w:sz w:val="22"/>
      <w:szCs w:val="22"/>
    </w:rPr>
  </w:style>
  <w:style w:type="character" w:customStyle="1" w:styleId="5Char">
    <w:name w:val="标题 5 Char"/>
    <w:basedOn w:val="a0"/>
    <w:link w:val="5"/>
    <w:uiPriority w:val="9"/>
    <w:semiHidden/>
    <w:rPr>
      <w:smallCaps/>
      <w:color w:val="C45911" w:themeColor="accent2" w:themeShade="BF"/>
      <w:spacing w:val="10"/>
      <w:sz w:val="22"/>
      <w:szCs w:val="26"/>
    </w:rPr>
  </w:style>
  <w:style w:type="character" w:customStyle="1" w:styleId="6Char">
    <w:name w:val="标题 6 Char"/>
    <w:basedOn w:val="a0"/>
    <w:link w:val="6"/>
    <w:uiPriority w:val="9"/>
    <w:semiHidden/>
    <w:rPr>
      <w:smallCaps/>
      <w:color w:val="ED7D31" w:themeColor="accent2"/>
      <w:spacing w:val="5"/>
      <w:sz w:val="22"/>
    </w:rPr>
  </w:style>
  <w:style w:type="character" w:customStyle="1" w:styleId="7Char">
    <w:name w:val="标题 7 Char"/>
    <w:basedOn w:val="a0"/>
    <w:link w:val="7"/>
    <w:uiPriority w:val="9"/>
    <w:semiHidden/>
    <w:rPr>
      <w:b/>
      <w:smallCaps/>
      <w:color w:val="ED7D31" w:themeColor="accent2"/>
      <w:spacing w:val="10"/>
    </w:rPr>
  </w:style>
  <w:style w:type="character" w:customStyle="1" w:styleId="8Char">
    <w:name w:val="标题 8 Char"/>
    <w:basedOn w:val="a0"/>
    <w:link w:val="8"/>
    <w:uiPriority w:val="9"/>
    <w:semiHidden/>
    <w:rPr>
      <w:b/>
      <w:i/>
      <w:smallCaps/>
      <w:color w:val="C45911" w:themeColor="accent2" w:themeShade="BF"/>
    </w:rPr>
  </w:style>
  <w:style w:type="character" w:customStyle="1" w:styleId="9Char">
    <w:name w:val="标题 9 Char"/>
    <w:basedOn w:val="a0"/>
    <w:link w:val="9"/>
    <w:uiPriority w:val="9"/>
    <w:semiHidden/>
    <w:rPr>
      <w:b/>
      <w:i/>
      <w:smallCaps/>
      <w:color w:val="833C0B" w:themeColor="accent2" w:themeShade="80"/>
    </w:rPr>
  </w:style>
  <w:style w:type="character" w:customStyle="1" w:styleId="Char3">
    <w:name w:val="标题 Char"/>
    <w:basedOn w:val="a0"/>
    <w:link w:val="ad"/>
    <w:uiPriority w:val="10"/>
    <w:rPr>
      <w:smallCaps/>
      <w:sz w:val="48"/>
      <w:szCs w:val="48"/>
    </w:rPr>
  </w:style>
  <w:style w:type="character" w:customStyle="1" w:styleId="Char2">
    <w:name w:val="副标题 Char"/>
    <w:basedOn w:val="a0"/>
    <w:link w:val="aa"/>
    <w:uiPriority w:val="11"/>
    <w:rPr>
      <w:rFonts w:asciiTheme="majorHAnsi" w:eastAsiaTheme="majorEastAsia" w:hAnsiTheme="majorHAnsi" w:cstheme="majorBidi"/>
      <w:szCs w:val="22"/>
    </w:rPr>
  </w:style>
  <w:style w:type="paragraph" w:styleId="af5">
    <w:name w:val="No Spacing"/>
    <w:basedOn w:val="a"/>
    <w:link w:val="Char4"/>
    <w:uiPriority w:val="1"/>
    <w:qFormat/>
    <w:pPr>
      <w:spacing w:after="0" w:line="240" w:lineRule="auto"/>
    </w:pPr>
  </w:style>
  <w:style w:type="character" w:customStyle="1" w:styleId="Char4">
    <w:name w:val="无间隔 Char"/>
    <w:basedOn w:val="a0"/>
    <w:link w:val="af5"/>
    <w:uiPriority w:val="1"/>
  </w:style>
  <w:style w:type="paragraph" w:styleId="af6">
    <w:name w:val="List Paragraph"/>
    <w:basedOn w:val="a"/>
    <w:uiPriority w:val="34"/>
    <w:qFormat/>
    <w:pPr>
      <w:ind w:left="720"/>
      <w:contextualSpacing/>
    </w:pPr>
  </w:style>
  <w:style w:type="paragraph" w:styleId="af7">
    <w:name w:val="Quote"/>
    <w:basedOn w:val="a"/>
    <w:next w:val="a"/>
    <w:link w:val="Char5"/>
    <w:uiPriority w:val="29"/>
    <w:qFormat/>
    <w:rPr>
      <w:i/>
    </w:rPr>
  </w:style>
  <w:style w:type="character" w:customStyle="1" w:styleId="Char5">
    <w:name w:val="引用 Char"/>
    <w:basedOn w:val="a0"/>
    <w:link w:val="af7"/>
    <w:uiPriority w:val="29"/>
    <w:rPr>
      <w:i/>
    </w:rPr>
  </w:style>
  <w:style w:type="paragraph" w:styleId="af8">
    <w:name w:val="Intense Quote"/>
    <w:basedOn w:val="a"/>
    <w:next w:val="a"/>
    <w:link w:val="Char6"/>
    <w:uiPriority w:val="30"/>
    <w:qFormat/>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CCE8CF" w:themeColor="background1"/>
    </w:rPr>
  </w:style>
  <w:style w:type="character" w:customStyle="1" w:styleId="Char6">
    <w:name w:val="明显引用 Char"/>
    <w:basedOn w:val="a0"/>
    <w:link w:val="af8"/>
    <w:uiPriority w:val="30"/>
    <w:rPr>
      <w:b/>
      <w:i/>
      <w:color w:val="CCE8CF" w:themeColor="background1"/>
      <w:shd w:val="clear" w:color="auto" w:fill="ED7D31" w:themeFill="accent2"/>
    </w:rPr>
  </w:style>
  <w:style w:type="character" w:customStyle="1" w:styleId="10">
    <w:name w:val="不明显强调1"/>
    <w:uiPriority w:val="19"/>
    <w:qFormat/>
    <w:rPr>
      <w:i/>
    </w:rPr>
  </w:style>
  <w:style w:type="character" w:customStyle="1" w:styleId="11">
    <w:name w:val="明显强调1"/>
    <w:uiPriority w:val="21"/>
    <w:qFormat/>
    <w:rPr>
      <w:b/>
      <w:i/>
      <w:color w:val="ED7D31" w:themeColor="accent2"/>
      <w:spacing w:val="10"/>
    </w:rPr>
  </w:style>
  <w:style w:type="character" w:customStyle="1" w:styleId="12">
    <w:name w:val="不明显参考1"/>
    <w:uiPriority w:val="31"/>
    <w:qFormat/>
    <w:rPr>
      <w:b/>
    </w:rPr>
  </w:style>
  <w:style w:type="character" w:customStyle="1" w:styleId="13">
    <w:name w:val="明显参考1"/>
    <w:uiPriority w:val="32"/>
    <w:qFormat/>
    <w:rPr>
      <w:b/>
      <w:bCs/>
      <w:smallCaps/>
      <w:spacing w:val="5"/>
      <w:sz w:val="22"/>
      <w:szCs w:val="22"/>
      <w:u w:val="single"/>
    </w:rPr>
  </w:style>
  <w:style w:type="character" w:customStyle="1" w:styleId="14">
    <w:name w:val="书籍标题1"/>
    <w:uiPriority w:val="33"/>
    <w:qFormat/>
    <w:rPr>
      <w:rFonts w:asciiTheme="majorHAnsi" w:eastAsiaTheme="majorEastAsia" w:hAnsiTheme="majorHAnsi" w:cstheme="majorBidi"/>
      <w:i/>
      <w:iCs/>
      <w:sz w:val="20"/>
      <w:szCs w:val="20"/>
    </w:rPr>
  </w:style>
  <w:style w:type="paragraph" w:customStyle="1" w:styleId="TOC1">
    <w:name w:val="TOC 标题1"/>
    <w:basedOn w:val="1"/>
    <w:next w:val="a"/>
    <w:uiPriority w:val="39"/>
    <w:semiHidden/>
    <w:unhideWhenUsed/>
    <w:qFormat/>
    <w:pPr>
      <w:outlineLvl w:val="9"/>
    </w:pPr>
  </w:style>
  <w:style w:type="paragraph" w:customStyle="1" w:styleId="15">
    <w:name w:val="修订1"/>
    <w:hidden/>
    <w:uiPriority w:val="62"/>
    <w:unhideWhenUsed/>
    <w:rPr>
      <w:sz w:val="24"/>
      <w:szCs w:val="24"/>
      <w:lang w:val="it-IT" w:eastAsia="it-IT"/>
    </w:rPr>
  </w:style>
  <w:style w:type="character" w:customStyle="1" w:styleId="Char1">
    <w:name w:val="页脚 Char"/>
    <w:basedOn w:val="a0"/>
    <w:link w:val="a8"/>
    <w:uiPriority w:val="99"/>
    <w:rPr>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91754">
      <w:bodyDiv w:val="1"/>
      <w:marLeft w:val="0"/>
      <w:marRight w:val="0"/>
      <w:marTop w:val="0"/>
      <w:marBottom w:val="0"/>
      <w:divBdr>
        <w:top w:val="none" w:sz="0" w:space="0" w:color="auto"/>
        <w:left w:val="none" w:sz="0" w:space="0" w:color="auto"/>
        <w:bottom w:val="none" w:sz="0" w:space="0" w:color="auto"/>
        <w:right w:val="none" w:sz="0" w:space="0" w:color="auto"/>
      </w:divBdr>
    </w:div>
    <w:div w:id="226065342">
      <w:bodyDiv w:val="1"/>
      <w:marLeft w:val="0"/>
      <w:marRight w:val="0"/>
      <w:marTop w:val="0"/>
      <w:marBottom w:val="0"/>
      <w:divBdr>
        <w:top w:val="none" w:sz="0" w:space="0" w:color="auto"/>
        <w:left w:val="none" w:sz="0" w:space="0" w:color="auto"/>
        <w:bottom w:val="none" w:sz="0" w:space="0" w:color="auto"/>
        <w:right w:val="none" w:sz="0" w:space="0" w:color="auto"/>
      </w:divBdr>
    </w:div>
    <w:div w:id="530463407">
      <w:bodyDiv w:val="1"/>
      <w:marLeft w:val="0"/>
      <w:marRight w:val="0"/>
      <w:marTop w:val="0"/>
      <w:marBottom w:val="0"/>
      <w:divBdr>
        <w:top w:val="none" w:sz="0" w:space="0" w:color="auto"/>
        <w:left w:val="none" w:sz="0" w:space="0" w:color="auto"/>
        <w:bottom w:val="none" w:sz="0" w:space="0" w:color="auto"/>
        <w:right w:val="none" w:sz="0" w:space="0" w:color="auto"/>
      </w:divBdr>
    </w:div>
    <w:div w:id="608436689">
      <w:bodyDiv w:val="1"/>
      <w:marLeft w:val="0"/>
      <w:marRight w:val="0"/>
      <w:marTop w:val="0"/>
      <w:marBottom w:val="0"/>
      <w:divBdr>
        <w:top w:val="none" w:sz="0" w:space="0" w:color="auto"/>
        <w:left w:val="none" w:sz="0" w:space="0" w:color="auto"/>
        <w:bottom w:val="none" w:sz="0" w:space="0" w:color="auto"/>
        <w:right w:val="none" w:sz="0" w:space="0" w:color="auto"/>
      </w:divBdr>
    </w:div>
    <w:div w:id="650064336">
      <w:bodyDiv w:val="1"/>
      <w:marLeft w:val="0"/>
      <w:marRight w:val="0"/>
      <w:marTop w:val="0"/>
      <w:marBottom w:val="0"/>
      <w:divBdr>
        <w:top w:val="none" w:sz="0" w:space="0" w:color="auto"/>
        <w:left w:val="none" w:sz="0" w:space="0" w:color="auto"/>
        <w:bottom w:val="none" w:sz="0" w:space="0" w:color="auto"/>
        <w:right w:val="none" w:sz="0" w:space="0" w:color="auto"/>
      </w:divBdr>
    </w:div>
    <w:div w:id="734007558">
      <w:bodyDiv w:val="1"/>
      <w:marLeft w:val="0"/>
      <w:marRight w:val="0"/>
      <w:marTop w:val="0"/>
      <w:marBottom w:val="0"/>
      <w:divBdr>
        <w:top w:val="none" w:sz="0" w:space="0" w:color="auto"/>
        <w:left w:val="none" w:sz="0" w:space="0" w:color="auto"/>
        <w:bottom w:val="none" w:sz="0" w:space="0" w:color="auto"/>
        <w:right w:val="none" w:sz="0" w:space="0" w:color="auto"/>
      </w:divBdr>
    </w:div>
    <w:div w:id="740757378">
      <w:bodyDiv w:val="1"/>
      <w:marLeft w:val="0"/>
      <w:marRight w:val="0"/>
      <w:marTop w:val="0"/>
      <w:marBottom w:val="0"/>
      <w:divBdr>
        <w:top w:val="none" w:sz="0" w:space="0" w:color="auto"/>
        <w:left w:val="none" w:sz="0" w:space="0" w:color="auto"/>
        <w:bottom w:val="none" w:sz="0" w:space="0" w:color="auto"/>
        <w:right w:val="none" w:sz="0" w:space="0" w:color="auto"/>
      </w:divBdr>
    </w:div>
    <w:div w:id="899948062">
      <w:bodyDiv w:val="1"/>
      <w:marLeft w:val="0"/>
      <w:marRight w:val="0"/>
      <w:marTop w:val="0"/>
      <w:marBottom w:val="0"/>
      <w:divBdr>
        <w:top w:val="none" w:sz="0" w:space="0" w:color="auto"/>
        <w:left w:val="none" w:sz="0" w:space="0" w:color="auto"/>
        <w:bottom w:val="none" w:sz="0" w:space="0" w:color="auto"/>
        <w:right w:val="none" w:sz="0" w:space="0" w:color="auto"/>
      </w:divBdr>
    </w:div>
    <w:div w:id="901983868">
      <w:bodyDiv w:val="1"/>
      <w:marLeft w:val="0"/>
      <w:marRight w:val="0"/>
      <w:marTop w:val="0"/>
      <w:marBottom w:val="0"/>
      <w:divBdr>
        <w:top w:val="none" w:sz="0" w:space="0" w:color="auto"/>
        <w:left w:val="none" w:sz="0" w:space="0" w:color="auto"/>
        <w:bottom w:val="none" w:sz="0" w:space="0" w:color="auto"/>
        <w:right w:val="none" w:sz="0" w:space="0" w:color="auto"/>
      </w:divBdr>
    </w:div>
    <w:div w:id="981426793">
      <w:bodyDiv w:val="1"/>
      <w:marLeft w:val="0"/>
      <w:marRight w:val="0"/>
      <w:marTop w:val="0"/>
      <w:marBottom w:val="0"/>
      <w:divBdr>
        <w:top w:val="none" w:sz="0" w:space="0" w:color="auto"/>
        <w:left w:val="none" w:sz="0" w:space="0" w:color="auto"/>
        <w:bottom w:val="none" w:sz="0" w:space="0" w:color="auto"/>
        <w:right w:val="none" w:sz="0" w:space="0" w:color="auto"/>
      </w:divBdr>
    </w:div>
    <w:div w:id="1292784911">
      <w:bodyDiv w:val="1"/>
      <w:marLeft w:val="0"/>
      <w:marRight w:val="0"/>
      <w:marTop w:val="0"/>
      <w:marBottom w:val="0"/>
      <w:divBdr>
        <w:top w:val="none" w:sz="0" w:space="0" w:color="auto"/>
        <w:left w:val="none" w:sz="0" w:space="0" w:color="auto"/>
        <w:bottom w:val="none" w:sz="0" w:space="0" w:color="auto"/>
        <w:right w:val="none" w:sz="0" w:space="0" w:color="auto"/>
      </w:divBdr>
    </w:div>
    <w:div w:id="1355957060">
      <w:bodyDiv w:val="1"/>
      <w:marLeft w:val="0"/>
      <w:marRight w:val="0"/>
      <w:marTop w:val="0"/>
      <w:marBottom w:val="0"/>
      <w:divBdr>
        <w:top w:val="none" w:sz="0" w:space="0" w:color="auto"/>
        <w:left w:val="none" w:sz="0" w:space="0" w:color="auto"/>
        <w:bottom w:val="none" w:sz="0" w:space="0" w:color="auto"/>
        <w:right w:val="none" w:sz="0" w:space="0" w:color="auto"/>
      </w:divBdr>
    </w:div>
    <w:div w:id="1492939507">
      <w:bodyDiv w:val="1"/>
      <w:marLeft w:val="0"/>
      <w:marRight w:val="0"/>
      <w:marTop w:val="0"/>
      <w:marBottom w:val="0"/>
      <w:divBdr>
        <w:top w:val="none" w:sz="0" w:space="0" w:color="auto"/>
        <w:left w:val="none" w:sz="0" w:space="0" w:color="auto"/>
        <w:bottom w:val="none" w:sz="0" w:space="0" w:color="auto"/>
        <w:right w:val="none" w:sz="0" w:space="0" w:color="auto"/>
      </w:divBdr>
    </w:div>
    <w:div w:id="1601134091">
      <w:bodyDiv w:val="1"/>
      <w:marLeft w:val="0"/>
      <w:marRight w:val="0"/>
      <w:marTop w:val="0"/>
      <w:marBottom w:val="0"/>
      <w:divBdr>
        <w:top w:val="none" w:sz="0" w:space="0" w:color="auto"/>
        <w:left w:val="none" w:sz="0" w:space="0" w:color="auto"/>
        <w:bottom w:val="none" w:sz="0" w:space="0" w:color="auto"/>
        <w:right w:val="none" w:sz="0" w:space="0" w:color="auto"/>
      </w:divBdr>
    </w:div>
    <w:div w:id="1697465465">
      <w:bodyDiv w:val="1"/>
      <w:marLeft w:val="0"/>
      <w:marRight w:val="0"/>
      <w:marTop w:val="0"/>
      <w:marBottom w:val="0"/>
      <w:divBdr>
        <w:top w:val="none" w:sz="0" w:space="0" w:color="auto"/>
        <w:left w:val="none" w:sz="0" w:space="0" w:color="auto"/>
        <w:bottom w:val="none" w:sz="0" w:space="0" w:color="auto"/>
        <w:right w:val="none" w:sz="0" w:space="0" w:color="auto"/>
      </w:divBdr>
    </w:div>
    <w:div w:id="1868979861">
      <w:bodyDiv w:val="1"/>
      <w:marLeft w:val="0"/>
      <w:marRight w:val="0"/>
      <w:marTop w:val="0"/>
      <w:marBottom w:val="0"/>
      <w:divBdr>
        <w:top w:val="none" w:sz="0" w:space="0" w:color="auto"/>
        <w:left w:val="none" w:sz="0" w:space="0" w:color="auto"/>
        <w:bottom w:val="none" w:sz="0" w:space="0" w:color="auto"/>
        <w:right w:val="none" w:sz="0" w:space="0" w:color="auto"/>
      </w:divBdr>
    </w:div>
    <w:div w:id="1928463962">
      <w:bodyDiv w:val="1"/>
      <w:marLeft w:val="0"/>
      <w:marRight w:val="0"/>
      <w:marTop w:val="0"/>
      <w:marBottom w:val="0"/>
      <w:divBdr>
        <w:top w:val="none" w:sz="0" w:space="0" w:color="auto"/>
        <w:left w:val="none" w:sz="0" w:space="0" w:color="auto"/>
        <w:bottom w:val="none" w:sz="0" w:space="0" w:color="auto"/>
        <w:right w:val="none" w:sz="0" w:space="0" w:color="auto"/>
      </w:divBdr>
    </w:div>
    <w:div w:id="2010714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mailto:alba.panarese@irccsdebellis.i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15696C-CBC8-4AFC-87AF-CACFA85A7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8814</Words>
  <Characters>50242</Characters>
  <Application>Microsoft Office Word</Application>
  <DocSecurity>0</DocSecurity>
  <Lines>418</Lines>
  <Paragraphs>117</Paragraphs>
  <ScaleCrop>false</ScaleCrop>
  <Company>Hewlett-Packard Company</Company>
  <LinksUpToDate>false</LinksUpToDate>
  <CharactersWithSpaces>58939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User</cp:lastModifiedBy>
  <cp:revision>3</cp:revision>
  <cp:lastPrinted>1900-12-31T16:00:00Z</cp:lastPrinted>
  <dcterms:created xsi:type="dcterms:W3CDTF">2020-06-29T22:12:00Z</dcterms:created>
  <dcterms:modified xsi:type="dcterms:W3CDTF">2020-07-14T03:15:00Z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