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EFF94" w14:textId="41A3A70F" w:rsidR="00C65C62" w:rsidRPr="00936C72" w:rsidRDefault="00C65C62" w:rsidP="00D63ED9">
      <w:pPr>
        <w:autoSpaceDE w:val="0"/>
        <w:autoSpaceDN w:val="0"/>
        <w:adjustRightInd w:val="0"/>
        <w:snapToGrid w:val="0"/>
        <w:spacing w:line="360" w:lineRule="auto"/>
        <w:jc w:val="both"/>
        <w:rPr>
          <w:rFonts w:ascii="Book Antiqua" w:hAnsi="Book Antiqua" w:cs="Times"/>
          <w:i/>
          <w:iCs/>
          <w:color w:val="000000" w:themeColor="text1"/>
        </w:rPr>
      </w:pPr>
      <w:r w:rsidRPr="00936C72">
        <w:rPr>
          <w:rFonts w:ascii="Book Antiqua" w:hAnsi="Book Antiqua" w:cs="Times"/>
          <w:b/>
          <w:bCs/>
          <w:color w:val="000000" w:themeColor="text1"/>
        </w:rPr>
        <w:t xml:space="preserve">Name of Journal: </w:t>
      </w:r>
      <w:r w:rsidR="006827B7" w:rsidRPr="00936C72">
        <w:rPr>
          <w:rFonts w:ascii="Book Antiqua" w:hAnsi="Book Antiqua" w:cs="Times"/>
          <w:i/>
          <w:iCs/>
          <w:color w:val="000000" w:themeColor="text1"/>
        </w:rPr>
        <w:t>World Journal of Gastroenterology</w:t>
      </w:r>
    </w:p>
    <w:p w14:paraId="5EBFA535" w14:textId="77777777" w:rsidR="00C65C62" w:rsidRPr="00936C72" w:rsidRDefault="00C65C62" w:rsidP="00D63ED9">
      <w:pPr>
        <w:autoSpaceDE w:val="0"/>
        <w:autoSpaceDN w:val="0"/>
        <w:adjustRightInd w:val="0"/>
        <w:snapToGrid w:val="0"/>
        <w:spacing w:line="360" w:lineRule="auto"/>
        <w:jc w:val="both"/>
        <w:rPr>
          <w:rFonts w:ascii="Book Antiqua" w:hAnsi="Book Antiqua" w:cs="Times"/>
          <w:color w:val="000000" w:themeColor="text1"/>
        </w:rPr>
      </w:pPr>
      <w:r w:rsidRPr="00936C72">
        <w:rPr>
          <w:rFonts w:ascii="Book Antiqua" w:hAnsi="Book Antiqua" w:cs="Times"/>
          <w:b/>
          <w:bCs/>
          <w:color w:val="000000" w:themeColor="text1"/>
        </w:rPr>
        <w:t xml:space="preserve">Manuscript NO: </w:t>
      </w:r>
      <w:r w:rsidRPr="00936C72">
        <w:rPr>
          <w:rFonts w:ascii="Book Antiqua" w:hAnsi="Book Antiqua" w:cs="Times"/>
          <w:color w:val="000000" w:themeColor="text1"/>
        </w:rPr>
        <w:t>55493</w:t>
      </w:r>
    </w:p>
    <w:p w14:paraId="09125BDC" w14:textId="77777777" w:rsidR="004475F0" w:rsidRPr="00936C72" w:rsidRDefault="00C65C62" w:rsidP="00D63ED9">
      <w:pPr>
        <w:autoSpaceDE w:val="0"/>
        <w:autoSpaceDN w:val="0"/>
        <w:adjustRightInd w:val="0"/>
        <w:snapToGrid w:val="0"/>
        <w:spacing w:line="360" w:lineRule="auto"/>
        <w:jc w:val="both"/>
        <w:rPr>
          <w:rFonts w:ascii="Book Antiqua" w:hAnsi="Book Antiqua" w:cs="Times"/>
          <w:color w:val="000000" w:themeColor="text1"/>
        </w:rPr>
      </w:pPr>
      <w:r w:rsidRPr="00936C72">
        <w:rPr>
          <w:rFonts w:ascii="Book Antiqua" w:hAnsi="Book Antiqua" w:cs="Times"/>
          <w:b/>
          <w:bCs/>
          <w:color w:val="000000" w:themeColor="text1"/>
        </w:rPr>
        <w:t xml:space="preserve">Manuscript Type: </w:t>
      </w:r>
      <w:r w:rsidR="00D032E2" w:rsidRPr="00936C72">
        <w:rPr>
          <w:rFonts w:ascii="Book Antiqua" w:hAnsi="Book Antiqua" w:cs="Times"/>
          <w:color w:val="000000" w:themeColor="text1"/>
        </w:rPr>
        <w:t>FIELD OF VISION</w:t>
      </w:r>
    </w:p>
    <w:p w14:paraId="533D91C5" w14:textId="77777777" w:rsidR="004475F0" w:rsidRPr="00936C72" w:rsidRDefault="004475F0" w:rsidP="00D63ED9">
      <w:pPr>
        <w:autoSpaceDE w:val="0"/>
        <w:autoSpaceDN w:val="0"/>
        <w:adjustRightInd w:val="0"/>
        <w:snapToGrid w:val="0"/>
        <w:spacing w:line="360" w:lineRule="auto"/>
        <w:jc w:val="both"/>
        <w:rPr>
          <w:rFonts w:ascii="Book Antiqua" w:hAnsi="Book Antiqua" w:cs="Times"/>
          <w:color w:val="000000" w:themeColor="text1"/>
        </w:rPr>
      </w:pPr>
    </w:p>
    <w:p w14:paraId="617F1A1A" w14:textId="37C5771F" w:rsidR="00C65C62" w:rsidRPr="00936C72" w:rsidRDefault="00473157" w:rsidP="00D63ED9">
      <w:pPr>
        <w:autoSpaceDE w:val="0"/>
        <w:autoSpaceDN w:val="0"/>
        <w:adjustRightInd w:val="0"/>
        <w:snapToGrid w:val="0"/>
        <w:spacing w:line="360" w:lineRule="auto"/>
        <w:jc w:val="both"/>
        <w:rPr>
          <w:rFonts w:ascii="Book Antiqua" w:hAnsi="Book Antiqua" w:cs="Times"/>
          <w:color w:val="000000" w:themeColor="text1"/>
        </w:rPr>
      </w:pPr>
      <w:r w:rsidRPr="00936C72">
        <w:rPr>
          <w:rFonts w:ascii="Book Antiqua" w:hAnsi="Book Antiqua" w:cs="Times"/>
          <w:b/>
          <w:bCs/>
          <w:caps/>
          <w:color w:val="000000" w:themeColor="text1"/>
        </w:rPr>
        <w:t>SARS-CoV-2</w:t>
      </w:r>
      <w:r w:rsidR="003F0341" w:rsidRPr="00936C72">
        <w:rPr>
          <w:rFonts w:ascii="Book Antiqua" w:hAnsi="Book Antiqua" w:cs="Times"/>
          <w:b/>
          <w:bCs/>
          <w:color w:val="000000" w:themeColor="text1"/>
        </w:rPr>
        <w:t xml:space="preserve"> </w:t>
      </w:r>
      <w:r w:rsidR="00D63ED9" w:rsidRPr="00936C72">
        <w:rPr>
          <w:rFonts w:ascii="Book Antiqua" w:hAnsi="Book Antiqua" w:cs="Times"/>
          <w:b/>
          <w:bCs/>
          <w:color w:val="000000" w:themeColor="text1"/>
        </w:rPr>
        <w:t xml:space="preserve">infection (coronavirus disease 2019) </w:t>
      </w:r>
      <w:r w:rsidR="00C65C62" w:rsidRPr="00936C72">
        <w:rPr>
          <w:rFonts w:ascii="Book Antiqua" w:hAnsi="Book Antiqua" w:cs="Times"/>
          <w:b/>
          <w:bCs/>
          <w:color w:val="000000" w:themeColor="text1"/>
        </w:rPr>
        <w:t xml:space="preserve">for the </w:t>
      </w:r>
      <w:r w:rsidR="00D032E2" w:rsidRPr="00936C72">
        <w:rPr>
          <w:rFonts w:ascii="Book Antiqua" w:hAnsi="Book Antiqua" w:cs="Times"/>
          <w:b/>
          <w:bCs/>
          <w:color w:val="000000" w:themeColor="text1"/>
        </w:rPr>
        <w:t xml:space="preserve">gastrointestinal </w:t>
      </w:r>
      <w:r w:rsidR="00C65C62" w:rsidRPr="00936C72">
        <w:rPr>
          <w:rFonts w:ascii="Book Antiqua" w:hAnsi="Book Antiqua" w:cs="Times"/>
          <w:b/>
          <w:bCs/>
          <w:color w:val="000000" w:themeColor="text1"/>
        </w:rPr>
        <w:t>consultant</w:t>
      </w:r>
    </w:p>
    <w:p w14:paraId="6419418B" w14:textId="77777777" w:rsidR="00C65C62" w:rsidRPr="00936C72" w:rsidRDefault="00C65C62" w:rsidP="00D63ED9">
      <w:pPr>
        <w:autoSpaceDE w:val="0"/>
        <w:autoSpaceDN w:val="0"/>
        <w:adjustRightInd w:val="0"/>
        <w:snapToGrid w:val="0"/>
        <w:spacing w:line="360" w:lineRule="auto"/>
        <w:jc w:val="both"/>
        <w:rPr>
          <w:rFonts w:ascii="Book Antiqua" w:hAnsi="Book Antiqua" w:cs="Times"/>
          <w:b/>
          <w:bCs/>
          <w:color w:val="000000" w:themeColor="text1"/>
        </w:rPr>
      </w:pPr>
    </w:p>
    <w:p w14:paraId="37F45321" w14:textId="77777777" w:rsidR="00C65C62" w:rsidRPr="00936C72" w:rsidRDefault="00C65C62" w:rsidP="00D63ED9">
      <w:pPr>
        <w:autoSpaceDE w:val="0"/>
        <w:autoSpaceDN w:val="0"/>
        <w:adjustRightInd w:val="0"/>
        <w:snapToGrid w:val="0"/>
        <w:spacing w:line="360" w:lineRule="auto"/>
        <w:jc w:val="both"/>
        <w:rPr>
          <w:rFonts w:ascii="Book Antiqua" w:hAnsi="Book Antiqua" w:cs="Times"/>
          <w:color w:val="000000" w:themeColor="text1"/>
        </w:rPr>
      </w:pPr>
      <w:proofErr w:type="spellStart"/>
      <w:r w:rsidRPr="00936C72">
        <w:rPr>
          <w:rFonts w:ascii="Book Antiqua" w:hAnsi="Book Antiqua" w:cs="Times"/>
          <w:color w:val="000000" w:themeColor="text1"/>
        </w:rPr>
        <w:t>Hajifathalian</w:t>
      </w:r>
      <w:proofErr w:type="spellEnd"/>
      <w:r w:rsidRPr="00936C72">
        <w:rPr>
          <w:rFonts w:ascii="Book Antiqua" w:hAnsi="Book Antiqua" w:cs="Times"/>
          <w:color w:val="000000" w:themeColor="text1"/>
        </w:rPr>
        <w:t xml:space="preserve"> K </w:t>
      </w:r>
      <w:r w:rsidRPr="00936C72">
        <w:rPr>
          <w:rFonts w:ascii="Book Antiqua" w:hAnsi="Book Antiqua" w:cs="Times"/>
          <w:i/>
          <w:iCs/>
          <w:color w:val="000000" w:themeColor="text1"/>
        </w:rPr>
        <w:t>et al</w:t>
      </w:r>
      <w:r w:rsidRPr="00936C72">
        <w:rPr>
          <w:rFonts w:ascii="Book Antiqua" w:hAnsi="Book Antiqua" w:cs="Times"/>
          <w:color w:val="000000" w:themeColor="text1"/>
        </w:rPr>
        <w:t>. SARS-CoV-2 infection for the GI consultant</w:t>
      </w:r>
    </w:p>
    <w:p w14:paraId="3325E677" w14:textId="77777777" w:rsidR="00C65C62" w:rsidRPr="00936C72" w:rsidRDefault="00C65C62" w:rsidP="00D63ED9">
      <w:pPr>
        <w:autoSpaceDE w:val="0"/>
        <w:autoSpaceDN w:val="0"/>
        <w:adjustRightInd w:val="0"/>
        <w:snapToGrid w:val="0"/>
        <w:spacing w:line="360" w:lineRule="auto"/>
        <w:jc w:val="both"/>
        <w:rPr>
          <w:rFonts w:ascii="Book Antiqua" w:hAnsi="Book Antiqua" w:cs="Times"/>
          <w:b/>
          <w:bCs/>
          <w:color w:val="000000" w:themeColor="text1"/>
        </w:rPr>
      </w:pPr>
    </w:p>
    <w:p w14:paraId="50073607" w14:textId="405A31CE" w:rsidR="00C65C62" w:rsidRPr="00936C72" w:rsidRDefault="00C65C62" w:rsidP="00D63ED9">
      <w:pPr>
        <w:autoSpaceDE w:val="0"/>
        <w:autoSpaceDN w:val="0"/>
        <w:adjustRightInd w:val="0"/>
        <w:snapToGrid w:val="0"/>
        <w:spacing w:line="360" w:lineRule="auto"/>
        <w:jc w:val="both"/>
        <w:rPr>
          <w:rFonts w:ascii="Book Antiqua" w:hAnsi="Book Antiqua" w:cs="Times"/>
          <w:color w:val="000000" w:themeColor="text1"/>
        </w:rPr>
      </w:pPr>
      <w:proofErr w:type="spellStart"/>
      <w:r w:rsidRPr="00936C72">
        <w:rPr>
          <w:rFonts w:ascii="Book Antiqua" w:hAnsi="Book Antiqua" w:cs="Times"/>
          <w:color w:val="000000" w:themeColor="text1"/>
        </w:rPr>
        <w:t>Kaveh</w:t>
      </w:r>
      <w:proofErr w:type="spellEnd"/>
      <w:r w:rsidRPr="00936C72">
        <w:rPr>
          <w:rFonts w:ascii="Book Antiqua" w:hAnsi="Book Antiqua" w:cs="Times"/>
          <w:color w:val="000000" w:themeColor="text1"/>
        </w:rPr>
        <w:t xml:space="preserve"> </w:t>
      </w:r>
      <w:proofErr w:type="spellStart"/>
      <w:r w:rsidRPr="00936C72">
        <w:rPr>
          <w:rFonts w:ascii="Book Antiqua" w:hAnsi="Book Antiqua" w:cs="Times"/>
          <w:color w:val="000000" w:themeColor="text1"/>
        </w:rPr>
        <w:t>Hajifathalian</w:t>
      </w:r>
      <w:proofErr w:type="spellEnd"/>
      <w:r w:rsidRPr="00936C72">
        <w:rPr>
          <w:rFonts w:ascii="Book Antiqua" w:hAnsi="Book Antiqua" w:cs="Times"/>
          <w:color w:val="000000" w:themeColor="text1"/>
        </w:rPr>
        <w:t xml:space="preserve">, </w:t>
      </w:r>
      <w:proofErr w:type="spellStart"/>
      <w:r w:rsidRPr="00936C72">
        <w:rPr>
          <w:rFonts w:ascii="Book Antiqua" w:hAnsi="Book Antiqua" w:cs="Times"/>
          <w:color w:val="000000" w:themeColor="text1"/>
        </w:rPr>
        <w:t>Srihari</w:t>
      </w:r>
      <w:proofErr w:type="spellEnd"/>
      <w:r w:rsidRPr="00936C72">
        <w:rPr>
          <w:rFonts w:ascii="Book Antiqua" w:hAnsi="Book Antiqua" w:cs="Times"/>
          <w:color w:val="000000" w:themeColor="text1"/>
        </w:rPr>
        <w:t xml:space="preserve"> </w:t>
      </w:r>
      <w:proofErr w:type="spellStart"/>
      <w:r w:rsidRPr="00936C72">
        <w:rPr>
          <w:rFonts w:ascii="Book Antiqua" w:hAnsi="Book Antiqua" w:cs="Times"/>
          <w:color w:val="000000" w:themeColor="text1"/>
        </w:rPr>
        <w:t>Mahadev</w:t>
      </w:r>
      <w:proofErr w:type="spellEnd"/>
      <w:r w:rsidRPr="00936C72">
        <w:rPr>
          <w:rFonts w:ascii="Book Antiqua" w:hAnsi="Book Antiqua" w:cs="Times"/>
          <w:color w:val="000000" w:themeColor="text1"/>
        </w:rPr>
        <w:t xml:space="preserve">, Robert Schwartz, Shawn Shah, </w:t>
      </w:r>
      <w:proofErr w:type="spellStart"/>
      <w:r w:rsidRPr="00936C72">
        <w:rPr>
          <w:rFonts w:ascii="Book Antiqua" w:hAnsi="Book Antiqua" w:cs="Times"/>
          <w:color w:val="000000" w:themeColor="text1"/>
        </w:rPr>
        <w:t>Kartik</w:t>
      </w:r>
      <w:proofErr w:type="spellEnd"/>
      <w:r w:rsidRPr="00936C72">
        <w:rPr>
          <w:rFonts w:ascii="Book Antiqua" w:hAnsi="Book Antiqua" w:cs="Times"/>
          <w:color w:val="000000" w:themeColor="text1"/>
        </w:rPr>
        <w:t xml:space="preserve"> </w:t>
      </w:r>
      <w:proofErr w:type="spellStart"/>
      <w:r w:rsidRPr="00936C72">
        <w:rPr>
          <w:rFonts w:ascii="Book Antiqua" w:hAnsi="Book Antiqua" w:cs="Times"/>
          <w:color w:val="000000" w:themeColor="text1"/>
        </w:rPr>
        <w:t>Sampath</w:t>
      </w:r>
      <w:proofErr w:type="spellEnd"/>
      <w:r w:rsidRPr="00936C72">
        <w:rPr>
          <w:rFonts w:ascii="Book Antiqua" w:hAnsi="Book Antiqua" w:cs="Times"/>
          <w:color w:val="000000" w:themeColor="text1"/>
        </w:rPr>
        <w:t xml:space="preserve">, </w:t>
      </w:r>
      <w:proofErr w:type="spellStart"/>
      <w:r w:rsidRPr="00936C72">
        <w:rPr>
          <w:rFonts w:ascii="Book Antiqua" w:hAnsi="Book Antiqua" w:cs="Times"/>
          <w:color w:val="000000" w:themeColor="text1"/>
        </w:rPr>
        <w:t>Felice</w:t>
      </w:r>
      <w:proofErr w:type="spellEnd"/>
      <w:r w:rsidRPr="00936C72">
        <w:rPr>
          <w:rFonts w:ascii="Book Antiqua" w:hAnsi="Book Antiqua" w:cs="Times"/>
          <w:color w:val="000000" w:themeColor="text1"/>
        </w:rPr>
        <w:t xml:space="preserve"> </w:t>
      </w:r>
      <w:proofErr w:type="spellStart"/>
      <w:r w:rsidRPr="00936C72">
        <w:rPr>
          <w:rFonts w:ascii="Book Antiqua" w:hAnsi="Book Antiqua" w:cs="Times"/>
          <w:color w:val="000000" w:themeColor="text1"/>
        </w:rPr>
        <w:t>Schnoll-Sussman</w:t>
      </w:r>
      <w:proofErr w:type="spellEnd"/>
      <w:r w:rsidRPr="00936C72">
        <w:rPr>
          <w:rFonts w:ascii="Book Antiqua" w:hAnsi="Book Antiqua" w:cs="Times"/>
          <w:color w:val="000000" w:themeColor="text1"/>
        </w:rPr>
        <w:t xml:space="preserve">, Robert </w:t>
      </w:r>
      <w:r w:rsidR="00B40FF3" w:rsidRPr="00936C72">
        <w:rPr>
          <w:rFonts w:ascii="Book Antiqua" w:hAnsi="Book Antiqua" w:cs="Times"/>
          <w:color w:val="000000" w:themeColor="text1"/>
        </w:rPr>
        <w:t xml:space="preserve">S </w:t>
      </w:r>
      <w:r w:rsidRPr="00936C72">
        <w:rPr>
          <w:rFonts w:ascii="Book Antiqua" w:hAnsi="Book Antiqua" w:cs="Times"/>
          <w:color w:val="000000" w:themeColor="text1"/>
        </w:rPr>
        <w:t>Brown</w:t>
      </w:r>
      <w:r w:rsidR="00B40FF3" w:rsidRPr="00936C72">
        <w:rPr>
          <w:rFonts w:ascii="Book Antiqua" w:hAnsi="Book Antiqua" w:cs="Times"/>
          <w:color w:val="000000" w:themeColor="text1"/>
        </w:rPr>
        <w:t xml:space="preserve"> </w:t>
      </w:r>
      <w:proofErr w:type="spellStart"/>
      <w:r w:rsidR="00B40FF3" w:rsidRPr="00936C72">
        <w:rPr>
          <w:rFonts w:ascii="Book Antiqua" w:hAnsi="Book Antiqua" w:cs="Times"/>
          <w:color w:val="000000" w:themeColor="text1"/>
        </w:rPr>
        <w:t>Jr</w:t>
      </w:r>
      <w:proofErr w:type="spellEnd"/>
      <w:r w:rsidRPr="00936C72">
        <w:rPr>
          <w:rFonts w:ascii="Book Antiqua" w:hAnsi="Book Antiqua" w:cs="Times"/>
          <w:color w:val="000000" w:themeColor="text1"/>
        </w:rPr>
        <w:t xml:space="preserve">, David Carr-Locke, David E Cohen, </w:t>
      </w:r>
      <w:proofErr w:type="spellStart"/>
      <w:r w:rsidRPr="00936C72">
        <w:rPr>
          <w:rFonts w:ascii="Book Antiqua" w:hAnsi="Book Antiqua" w:cs="Times"/>
          <w:color w:val="000000" w:themeColor="text1"/>
        </w:rPr>
        <w:t>Reem</w:t>
      </w:r>
      <w:proofErr w:type="spellEnd"/>
      <w:r w:rsidRPr="00936C72">
        <w:rPr>
          <w:rFonts w:ascii="Book Antiqua" w:hAnsi="Book Antiqua" w:cs="Times"/>
          <w:color w:val="000000" w:themeColor="text1"/>
        </w:rPr>
        <w:t xml:space="preserve"> Z </w:t>
      </w:r>
      <w:proofErr w:type="spellStart"/>
      <w:r w:rsidRPr="00936C72">
        <w:rPr>
          <w:rFonts w:ascii="Book Antiqua" w:hAnsi="Book Antiqua" w:cs="Times"/>
          <w:color w:val="000000" w:themeColor="text1"/>
        </w:rPr>
        <w:t>Sharaiha</w:t>
      </w:r>
      <w:proofErr w:type="spellEnd"/>
    </w:p>
    <w:p w14:paraId="3FB0795E" w14:textId="77777777" w:rsidR="00C65C62" w:rsidRPr="00936C72" w:rsidRDefault="00C65C62" w:rsidP="00D63ED9">
      <w:pPr>
        <w:autoSpaceDE w:val="0"/>
        <w:autoSpaceDN w:val="0"/>
        <w:adjustRightInd w:val="0"/>
        <w:snapToGrid w:val="0"/>
        <w:spacing w:line="360" w:lineRule="auto"/>
        <w:jc w:val="both"/>
        <w:rPr>
          <w:rFonts w:ascii="Book Antiqua" w:hAnsi="Book Antiqua" w:cs="Times"/>
          <w:color w:val="000000" w:themeColor="text1"/>
        </w:rPr>
      </w:pPr>
    </w:p>
    <w:p w14:paraId="2F2C27F2" w14:textId="215A48C2" w:rsidR="006827B7" w:rsidRPr="00936C72" w:rsidRDefault="00C65C62" w:rsidP="00D63ED9">
      <w:pPr>
        <w:autoSpaceDE w:val="0"/>
        <w:autoSpaceDN w:val="0"/>
        <w:adjustRightInd w:val="0"/>
        <w:snapToGrid w:val="0"/>
        <w:spacing w:line="360" w:lineRule="auto"/>
        <w:jc w:val="both"/>
        <w:rPr>
          <w:rFonts w:ascii="Book Antiqua" w:hAnsi="Book Antiqua" w:cs="Times"/>
          <w:color w:val="000000" w:themeColor="text1"/>
        </w:rPr>
      </w:pPr>
      <w:proofErr w:type="spellStart"/>
      <w:r w:rsidRPr="00936C72">
        <w:rPr>
          <w:rFonts w:ascii="Book Antiqua" w:hAnsi="Book Antiqua" w:cs="Times"/>
          <w:b/>
          <w:bCs/>
          <w:color w:val="000000" w:themeColor="text1"/>
        </w:rPr>
        <w:t>Kaveh</w:t>
      </w:r>
      <w:proofErr w:type="spellEnd"/>
      <w:r w:rsidRPr="00936C72">
        <w:rPr>
          <w:rFonts w:ascii="Book Antiqua" w:hAnsi="Book Antiqua" w:cs="Times"/>
          <w:b/>
          <w:bCs/>
          <w:color w:val="000000" w:themeColor="text1"/>
        </w:rPr>
        <w:t xml:space="preserve"> </w:t>
      </w:r>
      <w:proofErr w:type="spellStart"/>
      <w:r w:rsidRPr="00936C72">
        <w:rPr>
          <w:rFonts w:ascii="Book Antiqua" w:hAnsi="Book Antiqua" w:cs="Times"/>
          <w:b/>
          <w:bCs/>
          <w:color w:val="000000" w:themeColor="text1"/>
        </w:rPr>
        <w:t>Hajifathalian</w:t>
      </w:r>
      <w:proofErr w:type="spellEnd"/>
      <w:r w:rsidRPr="00936C72">
        <w:rPr>
          <w:rFonts w:ascii="Book Antiqua" w:hAnsi="Book Antiqua" w:cs="Times"/>
          <w:b/>
          <w:bCs/>
          <w:color w:val="000000" w:themeColor="text1"/>
        </w:rPr>
        <w:t xml:space="preserve">, </w:t>
      </w:r>
      <w:proofErr w:type="spellStart"/>
      <w:r w:rsidRPr="00936C72">
        <w:rPr>
          <w:rFonts w:ascii="Book Antiqua" w:hAnsi="Book Antiqua" w:cs="Times"/>
          <w:b/>
          <w:bCs/>
          <w:color w:val="000000" w:themeColor="text1"/>
        </w:rPr>
        <w:t>Srihari</w:t>
      </w:r>
      <w:proofErr w:type="spellEnd"/>
      <w:r w:rsidRPr="00936C72">
        <w:rPr>
          <w:rFonts w:ascii="Book Antiqua" w:hAnsi="Book Antiqua" w:cs="Times"/>
          <w:b/>
          <w:bCs/>
          <w:color w:val="000000" w:themeColor="text1"/>
        </w:rPr>
        <w:t xml:space="preserve"> </w:t>
      </w:r>
      <w:proofErr w:type="spellStart"/>
      <w:r w:rsidRPr="00936C72">
        <w:rPr>
          <w:rFonts w:ascii="Book Antiqua" w:hAnsi="Book Antiqua" w:cs="Times"/>
          <w:b/>
          <w:bCs/>
          <w:color w:val="000000" w:themeColor="text1"/>
        </w:rPr>
        <w:t>Mahadev</w:t>
      </w:r>
      <w:proofErr w:type="spellEnd"/>
      <w:r w:rsidRPr="00936C72">
        <w:rPr>
          <w:rFonts w:ascii="Book Antiqua" w:hAnsi="Book Antiqua" w:cs="Times"/>
          <w:b/>
          <w:bCs/>
          <w:color w:val="000000" w:themeColor="text1"/>
        </w:rPr>
        <w:t xml:space="preserve">, Robert Schwartz, Shawn Shah, </w:t>
      </w:r>
      <w:proofErr w:type="spellStart"/>
      <w:r w:rsidRPr="00936C72">
        <w:rPr>
          <w:rFonts w:ascii="Book Antiqua" w:hAnsi="Book Antiqua" w:cs="Times"/>
          <w:b/>
          <w:bCs/>
          <w:color w:val="000000" w:themeColor="text1"/>
        </w:rPr>
        <w:t>Kartik</w:t>
      </w:r>
      <w:proofErr w:type="spellEnd"/>
      <w:r w:rsidRPr="00936C72">
        <w:rPr>
          <w:rFonts w:ascii="Book Antiqua" w:hAnsi="Book Antiqua" w:cs="Times"/>
          <w:b/>
          <w:bCs/>
          <w:color w:val="000000" w:themeColor="text1"/>
        </w:rPr>
        <w:t xml:space="preserve"> </w:t>
      </w:r>
      <w:proofErr w:type="spellStart"/>
      <w:r w:rsidRPr="00936C72">
        <w:rPr>
          <w:rFonts w:ascii="Book Antiqua" w:hAnsi="Book Antiqua" w:cs="Times"/>
          <w:b/>
          <w:bCs/>
          <w:color w:val="000000" w:themeColor="text1"/>
        </w:rPr>
        <w:t>Sampath</w:t>
      </w:r>
      <w:proofErr w:type="spellEnd"/>
      <w:r w:rsidRPr="00936C72">
        <w:rPr>
          <w:rFonts w:ascii="Book Antiqua" w:hAnsi="Book Antiqua" w:cs="Times"/>
          <w:b/>
          <w:bCs/>
          <w:color w:val="000000" w:themeColor="text1"/>
        </w:rPr>
        <w:t xml:space="preserve">, </w:t>
      </w:r>
      <w:proofErr w:type="spellStart"/>
      <w:r w:rsidRPr="00936C72">
        <w:rPr>
          <w:rFonts w:ascii="Book Antiqua" w:hAnsi="Book Antiqua" w:cs="Times"/>
          <w:b/>
          <w:bCs/>
          <w:color w:val="000000" w:themeColor="text1"/>
        </w:rPr>
        <w:t>Felice</w:t>
      </w:r>
      <w:proofErr w:type="spellEnd"/>
      <w:r w:rsidRPr="00936C72">
        <w:rPr>
          <w:rFonts w:ascii="Book Antiqua" w:hAnsi="Book Antiqua" w:cs="Times"/>
          <w:b/>
          <w:bCs/>
          <w:color w:val="000000" w:themeColor="text1"/>
        </w:rPr>
        <w:t xml:space="preserve"> </w:t>
      </w:r>
      <w:proofErr w:type="spellStart"/>
      <w:r w:rsidRPr="00936C72">
        <w:rPr>
          <w:rFonts w:ascii="Book Antiqua" w:hAnsi="Book Antiqua" w:cs="Times"/>
          <w:b/>
          <w:bCs/>
          <w:color w:val="000000" w:themeColor="text1"/>
        </w:rPr>
        <w:t>Schnoll-Sussman</w:t>
      </w:r>
      <w:proofErr w:type="spellEnd"/>
      <w:r w:rsidRPr="00936C72">
        <w:rPr>
          <w:rFonts w:ascii="Book Antiqua" w:hAnsi="Book Antiqua" w:cs="Times"/>
          <w:b/>
          <w:bCs/>
          <w:color w:val="000000" w:themeColor="text1"/>
        </w:rPr>
        <w:t xml:space="preserve">, Robert </w:t>
      </w:r>
      <w:r w:rsidR="00B40FF3" w:rsidRPr="00936C72">
        <w:rPr>
          <w:rFonts w:ascii="Book Antiqua" w:hAnsi="Book Antiqua" w:cs="Times" w:hint="eastAsia"/>
          <w:b/>
          <w:bCs/>
          <w:color w:val="000000" w:themeColor="text1"/>
        </w:rPr>
        <w:t>S</w:t>
      </w:r>
      <w:r w:rsidR="00B40FF3" w:rsidRPr="00936C72">
        <w:rPr>
          <w:rFonts w:ascii="Book Antiqua" w:hAnsi="Book Antiqua" w:cs="Times"/>
          <w:b/>
          <w:bCs/>
          <w:color w:val="000000" w:themeColor="text1"/>
        </w:rPr>
        <w:t xml:space="preserve"> </w:t>
      </w:r>
      <w:r w:rsidRPr="00936C72">
        <w:rPr>
          <w:rFonts w:ascii="Book Antiqua" w:hAnsi="Book Antiqua" w:cs="Times"/>
          <w:b/>
          <w:bCs/>
          <w:color w:val="000000" w:themeColor="text1"/>
        </w:rPr>
        <w:t>Brown</w:t>
      </w:r>
      <w:r w:rsidR="00B40FF3" w:rsidRPr="00936C72">
        <w:rPr>
          <w:rFonts w:ascii="Book Antiqua" w:hAnsi="Book Antiqua" w:cs="Times"/>
          <w:b/>
          <w:bCs/>
          <w:color w:val="000000" w:themeColor="text1"/>
        </w:rPr>
        <w:t xml:space="preserve"> </w:t>
      </w:r>
      <w:proofErr w:type="spellStart"/>
      <w:r w:rsidR="00B40FF3" w:rsidRPr="00936C72">
        <w:rPr>
          <w:rFonts w:ascii="Book Antiqua" w:hAnsi="Book Antiqua" w:cs="Times"/>
          <w:b/>
          <w:bCs/>
          <w:color w:val="000000" w:themeColor="text1"/>
        </w:rPr>
        <w:t>Jr</w:t>
      </w:r>
      <w:proofErr w:type="spellEnd"/>
      <w:r w:rsidRPr="00936C72">
        <w:rPr>
          <w:rFonts w:ascii="Book Antiqua" w:hAnsi="Book Antiqua" w:cs="Times"/>
          <w:b/>
          <w:bCs/>
          <w:color w:val="000000" w:themeColor="text1"/>
        </w:rPr>
        <w:t xml:space="preserve">, David Carr-Locke, David E Cohen, </w:t>
      </w:r>
      <w:proofErr w:type="spellStart"/>
      <w:r w:rsidRPr="00936C72">
        <w:rPr>
          <w:rFonts w:ascii="Book Antiqua" w:hAnsi="Book Antiqua" w:cs="Times"/>
          <w:b/>
          <w:bCs/>
          <w:color w:val="000000" w:themeColor="text1"/>
        </w:rPr>
        <w:t>Reem</w:t>
      </w:r>
      <w:proofErr w:type="spellEnd"/>
      <w:r w:rsidRPr="00936C72">
        <w:rPr>
          <w:rFonts w:ascii="Book Antiqua" w:hAnsi="Book Antiqua" w:cs="Times"/>
          <w:b/>
          <w:bCs/>
          <w:color w:val="000000" w:themeColor="text1"/>
        </w:rPr>
        <w:t xml:space="preserve"> Z </w:t>
      </w:r>
      <w:proofErr w:type="spellStart"/>
      <w:r w:rsidRPr="00936C72">
        <w:rPr>
          <w:rFonts w:ascii="Book Antiqua" w:hAnsi="Book Antiqua" w:cs="Times"/>
          <w:b/>
          <w:bCs/>
          <w:color w:val="000000" w:themeColor="text1"/>
        </w:rPr>
        <w:t>Sharaiha</w:t>
      </w:r>
      <w:proofErr w:type="spellEnd"/>
      <w:r w:rsidRPr="00936C72">
        <w:rPr>
          <w:rFonts w:ascii="Book Antiqua" w:hAnsi="Book Antiqua" w:cs="Times"/>
          <w:b/>
          <w:bCs/>
          <w:color w:val="000000" w:themeColor="text1"/>
        </w:rPr>
        <w:t>,</w:t>
      </w:r>
      <w:r w:rsidRPr="00936C72">
        <w:rPr>
          <w:rFonts w:ascii="Book Antiqua" w:hAnsi="Book Antiqua" w:cs="Times"/>
          <w:color w:val="000000" w:themeColor="text1"/>
        </w:rPr>
        <w:t xml:space="preserve"> Division of Gastroenterology and Hepatology, Weill Cornell Medicine, New York-Presbyterian Hospital, New York, NY 10021, United States</w:t>
      </w:r>
    </w:p>
    <w:p w14:paraId="017D0906" w14:textId="77777777" w:rsidR="006827B7" w:rsidRPr="00936C72" w:rsidRDefault="006827B7" w:rsidP="00D63ED9">
      <w:pPr>
        <w:autoSpaceDE w:val="0"/>
        <w:autoSpaceDN w:val="0"/>
        <w:adjustRightInd w:val="0"/>
        <w:snapToGrid w:val="0"/>
        <w:spacing w:line="360" w:lineRule="auto"/>
        <w:jc w:val="both"/>
        <w:rPr>
          <w:rFonts w:ascii="Book Antiqua" w:hAnsi="Book Antiqua" w:cs="Times"/>
          <w:color w:val="000000" w:themeColor="text1"/>
        </w:rPr>
      </w:pPr>
    </w:p>
    <w:p w14:paraId="3BD55E8B" w14:textId="554FF7A3" w:rsidR="006827B7" w:rsidRPr="00936C72" w:rsidRDefault="006827B7" w:rsidP="00D63ED9">
      <w:pPr>
        <w:autoSpaceDE w:val="0"/>
        <w:autoSpaceDN w:val="0"/>
        <w:adjustRightInd w:val="0"/>
        <w:snapToGrid w:val="0"/>
        <w:spacing w:line="360" w:lineRule="auto"/>
        <w:jc w:val="both"/>
        <w:rPr>
          <w:rFonts w:ascii="Book Antiqua" w:hAnsi="Book Antiqua"/>
          <w:color w:val="000000" w:themeColor="text1"/>
        </w:rPr>
      </w:pPr>
      <w:r w:rsidRPr="00936C72">
        <w:rPr>
          <w:rFonts w:ascii="Book Antiqua" w:hAnsi="Book Antiqua"/>
          <w:b/>
          <w:color w:val="000000" w:themeColor="text1"/>
          <w:lang w:val="en-GB"/>
        </w:rPr>
        <w:t>Author contributions:</w:t>
      </w:r>
      <w:r w:rsidR="00C65C62" w:rsidRPr="00936C72">
        <w:rPr>
          <w:rFonts w:ascii="Book Antiqua" w:hAnsi="Book Antiqua" w:cs="Times"/>
          <w:color w:val="000000" w:themeColor="text1"/>
        </w:rPr>
        <w:t xml:space="preserve"> </w:t>
      </w:r>
      <w:proofErr w:type="spellStart"/>
      <w:r w:rsidR="00D032E2" w:rsidRPr="00936C72">
        <w:rPr>
          <w:rFonts w:ascii="Book Antiqua" w:hAnsi="Book Antiqua" w:cs="Times"/>
          <w:color w:val="000000" w:themeColor="text1"/>
        </w:rPr>
        <w:t>Hajifathalian</w:t>
      </w:r>
      <w:proofErr w:type="spellEnd"/>
      <w:r w:rsidR="00D032E2" w:rsidRPr="00936C72">
        <w:rPr>
          <w:rFonts w:ascii="Book Antiqua" w:hAnsi="Book Antiqua"/>
          <w:color w:val="000000" w:themeColor="text1"/>
        </w:rPr>
        <w:t xml:space="preserve"> K, </w:t>
      </w:r>
      <w:proofErr w:type="spellStart"/>
      <w:r w:rsidR="00D032E2" w:rsidRPr="00936C72">
        <w:rPr>
          <w:rFonts w:ascii="Book Antiqua" w:hAnsi="Book Antiqua" w:cs="Times"/>
          <w:color w:val="000000" w:themeColor="text1"/>
        </w:rPr>
        <w:t>Mahadev</w:t>
      </w:r>
      <w:proofErr w:type="spellEnd"/>
      <w:r w:rsidR="00D032E2" w:rsidRPr="00936C72">
        <w:rPr>
          <w:rFonts w:ascii="Book Antiqua" w:hAnsi="Book Antiqua"/>
          <w:color w:val="000000" w:themeColor="text1"/>
        </w:rPr>
        <w:t xml:space="preserve"> S, </w:t>
      </w:r>
      <w:r w:rsidR="00D032E2" w:rsidRPr="00936C72">
        <w:rPr>
          <w:rFonts w:ascii="Book Antiqua" w:hAnsi="Book Antiqua" w:cs="Times"/>
          <w:color w:val="000000" w:themeColor="text1"/>
        </w:rPr>
        <w:t>Schwartz</w:t>
      </w:r>
      <w:r w:rsidR="00D032E2" w:rsidRPr="00936C72">
        <w:rPr>
          <w:rFonts w:ascii="Book Antiqua" w:hAnsi="Book Antiqua"/>
          <w:color w:val="000000" w:themeColor="text1"/>
        </w:rPr>
        <w:t xml:space="preserve"> R, </w:t>
      </w:r>
      <w:r w:rsidR="00D032E2" w:rsidRPr="00936C72">
        <w:rPr>
          <w:rFonts w:ascii="Book Antiqua" w:hAnsi="Book Antiqua" w:cs="Times"/>
          <w:color w:val="000000" w:themeColor="text1"/>
        </w:rPr>
        <w:t>Shah</w:t>
      </w:r>
      <w:r w:rsidR="00D032E2" w:rsidRPr="00936C72">
        <w:rPr>
          <w:rFonts w:ascii="Book Antiqua" w:hAnsi="Book Antiqua"/>
          <w:color w:val="000000" w:themeColor="text1"/>
        </w:rPr>
        <w:t xml:space="preserve"> S and </w:t>
      </w:r>
      <w:proofErr w:type="spellStart"/>
      <w:r w:rsidR="00D032E2" w:rsidRPr="00936C72">
        <w:rPr>
          <w:rFonts w:ascii="Book Antiqua" w:hAnsi="Book Antiqua" w:cs="Times"/>
          <w:color w:val="000000" w:themeColor="text1"/>
        </w:rPr>
        <w:t>Sharaiha</w:t>
      </w:r>
      <w:proofErr w:type="spellEnd"/>
      <w:r w:rsidR="00D032E2" w:rsidRPr="00936C72">
        <w:rPr>
          <w:rFonts w:ascii="Book Antiqua" w:hAnsi="Book Antiqua"/>
          <w:color w:val="000000" w:themeColor="text1"/>
        </w:rPr>
        <w:t xml:space="preserve"> RZ performed the review of literature; </w:t>
      </w:r>
      <w:proofErr w:type="spellStart"/>
      <w:r w:rsidR="00D032E2" w:rsidRPr="00936C72">
        <w:rPr>
          <w:rFonts w:ascii="Book Antiqua" w:hAnsi="Book Antiqua" w:cs="Times"/>
          <w:color w:val="000000" w:themeColor="text1"/>
        </w:rPr>
        <w:t>Hajifathalian</w:t>
      </w:r>
      <w:proofErr w:type="spellEnd"/>
      <w:r w:rsidR="00D032E2" w:rsidRPr="00936C72">
        <w:rPr>
          <w:rFonts w:ascii="Book Antiqua" w:hAnsi="Book Antiqua"/>
          <w:color w:val="000000" w:themeColor="text1"/>
        </w:rPr>
        <w:t xml:space="preserve"> K, </w:t>
      </w:r>
      <w:proofErr w:type="spellStart"/>
      <w:r w:rsidR="00D032E2" w:rsidRPr="00936C72">
        <w:rPr>
          <w:rFonts w:ascii="Book Antiqua" w:hAnsi="Book Antiqua" w:cs="Times"/>
          <w:color w:val="000000" w:themeColor="text1"/>
        </w:rPr>
        <w:t>Sharaiha</w:t>
      </w:r>
      <w:proofErr w:type="spellEnd"/>
      <w:r w:rsidR="00D032E2" w:rsidRPr="00936C72">
        <w:rPr>
          <w:rFonts w:ascii="Book Antiqua" w:hAnsi="Book Antiqua"/>
          <w:color w:val="000000" w:themeColor="text1"/>
        </w:rPr>
        <w:t xml:space="preserve"> RZ, </w:t>
      </w:r>
      <w:proofErr w:type="spellStart"/>
      <w:r w:rsidR="00D032E2" w:rsidRPr="00936C72">
        <w:rPr>
          <w:rFonts w:ascii="Book Antiqua" w:hAnsi="Book Antiqua" w:cs="Times"/>
          <w:color w:val="000000" w:themeColor="text1"/>
        </w:rPr>
        <w:t>Sampath</w:t>
      </w:r>
      <w:proofErr w:type="spellEnd"/>
      <w:r w:rsidR="00D032E2" w:rsidRPr="00936C72">
        <w:rPr>
          <w:rFonts w:ascii="Book Antiqua" w:hAnsi="Book Antiqua"/>
          <w:color w:val="000000" w:themeColor="text1"/>
        </w:rPr>
        <w:t xml:space="preserve"> K, </w:t>
      </w:r>
      <w:proofErr w:type="spellStart"/>
      <w:r w:rsidR="00D032E2" w:rsidRPr="00936C72">
        <w:rPr>
          <w:rFonts w:ascii="Book Antiqua" w:hAnsi="Book Antiqua" w:cs="Times"/>
          <w:color w:val="000000" w:themeColor="text1"/>
        </w:rPr>
        <w:t>Schnoll-Sussman</w:t>
      </w:r>
      <w:proofErr w:type="spellEnd"/>
      <w:r w:rsidR="00D032E2" w:rsidRPr="00936C72">
        <w:rPr>
          <w:rFonts w:ascii="Book Antiqua" w:hAnsi="Book Antiqua"/>
          <w:color w:val="000000" w:themeColor="text1"/>
        </w:rPr>
        <w:t xml:space="preserve"> F, </w:t>
      </w:r>
      <w:r w:rsidR="00D032E2" w:rsidRPr="00936C72">
        <w:rPr>
          <w:rFonts w:ascii="Book Antiqua" w:hAnsi="Book Antiqua" w:cs="Times"/>
          <w:color w:val="000000" w:themeColor="text1"/>
        </w:rPr>
        <w:t>Brown</w:t>
      </w:r>
      <w:r w:rsidR="00D032E2" w:rsidRPr="00936C72">
        <w:rPr>
          <w:rFonts w:ascii="Book Antiqua" w:hAnsi="Book Antiqua"/>
          <w:color w:val="000000" w:themeColor="text1"/>
        </w:rPr>
        <w:t xml:space="preserve"> </w:t>
      </w:r>
      <w:proofErr w:type="spellStart"/>
      <w:r w:rsidR="00B40FF3" w:rsidRPr="00936C72">
        <w:rPr>
          <w:rFonts w:ascii="Book Antiqua" w:hAnsi="Book Antiqua"/>
          <w:color w:val="000000" w:themeColor="text1"/>
        </w:rPr>
        <w:t>Jr</w:t>
      </w:r>
      <w:proofErr w:type="spellEnd"/>
      <w:r w:rsidR="00B40FF3" w:rsidRPr="00936C72">
        <w:rPr>
          <w:rFonts w:ascii="Book Antiqua" w:hAnsi="Book Antiqua"/>
          <w:color w:val="000000" w:themeColor="text1"/>
        </w:rPr>
        <w:t xml:space="preserve"> </w:t>
      </w:r>
      <w:r w:rsidR="00D032E2" w:rsidRPr="00936C72">
        <w:rPr>
          <w:rFonts w:ascii="Book Antiqua" w:hAnsi="Book Antiqua"/>
          <w:color w:val="000000" w:themeColor="text1"/>
        </w:rPr>
        <w:t>R</w:t>
      </w:r>
      <w:r w:rsidR="00B40FF3" w:rsidRPr="00936C72">
        <w:rPr>
          <w:rFonts w:ascii="Book Antiqua" w:hAnsi="Book Antiqua"/>
          <w:color w:val="000000" w:themeColor="text1"/>
        </w:rPr>
        <w:t>S</w:t>
      </w:r>
      <w:r w:rsidR="00D032E2" w:rsidRPr="00936C72">
        <w:rPr>
          <w:rFonts w:ascii="Book Antiqua" w:hAnsi="Book Antiqua"/>
          <w:color w:val="000000" w:themeColor="text1"/>
        </w:rPr>
        <w:t xml:space="preserve">, </w:t>
      </w:r>
      <w:r w:rsidR="00D032E2" w:rsidRPr="00936C72">
        <w:rPr>
          <w:rFonts w:ascii="Book Antiqua" w:hAnsi="Book Antiqua" w:cs="Times"/>
          <w:color w:val="000000" w:themeColor="text1"/>
        </w:rPr>
        <w:t>Carr-Locke</w:t>
      </w:r>
      <w:r w:rsidR="00D032E2" w:rsidRPr="00936C72">
        <w:rPr>
          <w:rFonts w:ascii="Book Antiqua" w:hAnsi="Book Antiqua"/>
          <w:color w:val="000000" w:themeColor="text1"/>
        </w:rPr>
        <w:t xml:space="preserve"> D, and </w:t>
      </w:r>
      <w:r w:rsidR="00D032E2" w:rsidRPr="00936C72">
        <w:rPr>
          <w:rFonts w:ascii="Book Antiqua" w:hAnsi="Book Antiqua" w:cs="Times"/>
          <w:color w:val="000000" w:themeColor="text1"/>
        </w:rPr>
        <w:t>Cohen</w:t>
      </w:r>
      <w:r w:rsidR="00D032E2" w:rsidRPr="00936C72">
        <w:rPr>
          <w:rFonts w:ascii="Book Antiqua" w:hAnsi="Book Antiqua"/>
          <w:color w:val="000000" w:themeColor="text1"/>
        </w:rPr>
        <w:t xml:space="preserve"> DE wrote the manuscript; </w:t>
      </w:r>
      <w:proofErr w:type="spellStart"/>
      <w:r w:rsidR="00D032E2" w:rsidRPr="00936C72">
        <w:rPr>
          <w:rFonts w:ascii="Book Antiqua" w:hAnsi="Book Antiqua" w:cs="Times"/>
          <w:color w:val="000000" w:themeColor="text1"/>
        </w:rPr>
        <w:t>Sharaiha</w:t>
      </w:r>
      <w:proofErr w:type="spellEnd"/>
      <w:r w:rsidR="00D032E2" w:rsidRPr="00936C72">
        <w:rPr>
          <w:rFonts w:ascii="Book Antiqua" w:hAnsi="Book Antiqua"/>
          <w:color w:val="000000" w:themeColor="text1"/>
        </w:rPr>
        <w:t xml:space="preserve"> RZ developed the idea for the manuscript.</w:t>
      </w:r>
    </w:p>
    <w:p w14:paraId="15EAAD7D" w14:textId="77777777" w:rsidR="006827B7" w:rsidRPr="00936C72" w:rsidRDefault="006827B7" w:rsidP="00D63ED9">
      <w:pPr>
        <w:autoSpaceDE w:val="0"/>
        <w:autoSpaceDN w:val="0"/>
        <w:adjustRightInd w:val="0"/>
        <w:snapToGrid w:val="0"/>
        <w:spacing w:line="360" w:lineRule="auto"/>
        <w:jc w:val="both"/>
        <w:rPr>
          <w:rFonts w:ascii="Book Antiqua" w:hAnsi="Book Antiqua"/>
          <w:color w:val="000000" w:themeColor="text1"/>
        </w:rPr>
      </w:pPr>
    </w:p>
    <w:p w14:paraId="1B6EE445" w14:textId="3BAA0DA4" w:rsidR="00C65C62" w:rsidRPr="00936C72" w:rsidRDefault="006827B7" w:rsidP="00D63ED9">
      <w:pPr>
        <w:autoSpaceDE w:val="0"/>
        <w:autoSpaceDN w:val="0"/>
        <w:adjustRightInd w:val="0"/>
        <w:snapToGrid w:val="0"/>
        <w:spacing w:line="360" w:lineRule="auto"/>
        <w:jc w:val="both"/>
        <w:rPr>
          <w:rFonts w:ascii="Book Antiqua" w:hAnsi="Book Antiqua" w:cs="Times"/>
          <w:color w:val="000000" w:themeColor="text1"/>
        </w:rPr>
      </w:pPr>
      <w:r w:rsidRPr="00936C72">
        <w:rPr>
          <w:rFonts w:ascii="Book Antiqua" w:hAnsi="Book Antiqua" w:cstheme="minorHAnsi"/>
          <w:b/>
          <w:color w:val="000000" w:themeColor="text1"/>
          <w:lang w:val="hu-HU"/>
        </w:rPr>
        <w:t>Corresponding author:</w:t>
      </w:r>
      <w:r w:rsidR="00C65C62" w:rsidRPr="00936C72">
        <w:rPr>
          <w:rFonts w:ascii="Book Antiqua" w:hAnsi="Book Antiqua" w:cs="Times"/>
          <w:color w:val="000000" w:themeColor="text1"/>
        </w:rPr>
        <w:t xml:space="preserve"> </w:t>
      </w:r>
      <w:proofErr w:type="spellStart"/>
      <w:r w:rsidR="00C65C62" w:rsidRPr="00936C72">
        <w:rPr>
          <w:rFonts w:ascii="Book Antiqua" w:hAnsi="Book Antiqua" w:cs="Times"/>
          <w:b/>
          <w:bCs/>
          <w:color w:val="000000" w:themeColor="text1"/>
        </w:rPr>
        <w:t>Reem</w:t>
      </w:r>
      <w:proofErr w:type="spellEnd"/>
      <w:r w:rsidR="00C65C62" w:rsidRPr="00936C72">
        <w:rPr>
          <w:rFonts w:ascii="Book Antiqua" w:hAnsi="Book Antiqua" w:cs="Times"/>
          <w:b/>
          <w:bCs/>
          <w:color w:val="000000" w:themeColor="text1"/>
        </w:rPr>
        <w:t xml:space="preserve"> Z </w:t>
      </w:r>
      <w:proofErr w:type="spellStart"/>
      <w:r w:rsidR="00C65C62" w:rsidRPr="00936C72">
        <w:rPr>
          <w:rFonts w:ascii="Book Antiqua" w:hAnsi="Book Antiqua" w:cs="Times"/>
          <w:b/>
          <w:bCs/>
          <w:color w:val="000000" w:themeColor="text1"/>
        </w:rPr>
        <w:t>Sharaiha</w:t>
      </w:r>
      <w:proofErr w:type="spellEnd"/>
      <w:r w:rsidR="00C65C62" w:rsidRPr="00936C72">
        <w:rPr>
          <w:rFonts w:ascii="Book Antiqua" w:hAnsi="Book Antiqua" w:cs="Times"/>
          <w:b/>
          <w:bCs/>
          <w:color w:val="000000" w:themeColor="text1"/>
        </w:rPr>
        <w:t xml:space="preserve">, </w:t>
      </w:r>
      <w:r w:rsidR="00B40FF3" w:rsidRPr="00936C72">
        <w:rPr>
          <w:rFonts w:ascii="Book Antiqua" w:hAnsi="Book Antiqua" w:cs="Times"/>
          <w:b/>
          <w:bCs/>
          <w:color w:val="000000" w:themeColor="text1"/>
        </w:rPr>
        <w:t xml:space="preserve">MD, Associate Professor, </w:t>
      </w:r>
      <w:r w:rsidR="00C65C62" w:rsidRPr="00936C72">
        <w:rPr>
          <w:rFonts w:ascii="Book Antiqua" w:hAnsi="Book Antiqua" w:cs="Times"/>
          <w:color w:val="000000" w:themeColor="text1"/>
        </w:rPr>
        <w:t>Division of Gastroenterology and Hepatology, Weill Cornell Medicine, New York-Presbyterian Hospital, 1283 York Avenue, 9</w:t>
      </w:r>
      <w:r w:rsidR="00C65C62" w:rsidRPr="00936C72">
        <w:rPr>
          <w:rFonts w:ascii="Book Antiqua" w:hAnsi="Book Antiqua" w:cs="Times"/>
          <w:color w:val="000000" w:themeColor="text1"/>
          <w:vertAlign w:val="superscript"/>
        </w:rPr>
        <w:t>th</w:t>
      </w:r>
      <w:r w:rsidR="00C65C62" w:rsidRPr="00936C72">
        <w:rPr>
          <w:rFonts w:ascii="Book Antiqua" w:hAnsi="Book Antiqua" w:cs="Times"/>
          <w:color w:val="000000" w:themeColor="text1"/>
        </w:rPr>
        <w:t xml:space="preserve"> floor, New York, NY 10021, United States. </w:t>
      </w:r>
      <w:r w:rsidR="00C65C62" w:rsidRPr="00936C72">
        <w:rPr>
          <w:rFonts w:ascii="Book Antiqua" w:hAnsi="Book Antiqua" w:cs="Times"/>
          <w:color w:val="000000" w:themeColor="text1"/>
          <w:u w:val="single"/>
        </w:rPr>
        <w:t>rzs9001@med.cornell.edu</w:t>
      </w:r>
    </w:p>
    <w:p w14:paraId="2EFCA728" w14:textId="77777777" w:rsidR="00D032E2" w:rsidRPr="00936C72" w:rsidRDefault="00D032E2" w:rsidP="00D63ED9">
      <w:pPr>
        <w:snapToGrid w:val="0"/>
        <w:spacing w:line="360" w:lineRule="auto"/>
        <w:jc w:val="both"/>
        <w:rPr>
          <w:rFonts w:ascii="Book Antiqua" w:hAnsi="Book Antiqua" w:cs="Times"/>
          <w:color w:val="000000" w:themeColor="text1"/>
        </w:rPr>
      </w:pPr>
    </w:p>
    <w:p w14:paraId="05884BE2" w14:textId="6B92379D" w:rsidR="00B40FF3" w:rsidRPr="00936C72" w:rsidRDefault="00B40FF3" w:rsidP="00D63ED9">
      <w:pPr>
        <w:spacing w:line="360" w:lineRule="auto"/>
        <w:jc w:val="both"/>
        <w:rPr>
          <w:rFonts w:ascii="Book Antiqua" w:hAnsi="Book Antiqua"/>
          <w:b/>
          <w:color w:val="000000" w:themeColor="text1"/>
          <w:lang w:val="en-GB"/>
        </w:rPr>
      </w:pPr>
      <w:r w:rsidRPr="00936C72">
        <w:rPr>
          <w:rFonts w:ascii="Book Antiqua" w:hAnsi="Book Antiqua"/>
          <w:b/>
          <w:color w:val="000000" w:themeColor="text1"/>
          <w:lang w:val="en-GB"/>
        </w:rPr>
        <w:lastRenderedPageBreak/>
        <w:t xml:space="preserve">Received: </w:t>
      </w:r>
      <w:r w:rsidRPr="00936C72">
        <w:rPr>
          <w:rFonts w:ascii="Book Antiqua" w:hAnsi="Book Antiqua"/>
          <w:color w:val="000000" w:themeColor="text1"/>
          <w:lang w:val="en-GB"/>
        </w:rPr>
        <w:t>March 23, 2020</w:t>
      </w:r>
    </w:p>
    <w:p w14:paraId="58D3E388" w14:textId="09E2DF32" w:rsidR="00B40FF3" w:rsidRPr="00936C72" w:rsidRDefault="00B40FF3" w:rsidP="00D63ED9">
      <w:pPr>
        <w:spacing w:line="360" w:lineRule="auto"/>
        <w:jc w:val="both"/>
        <w:rPr>
          <w:rFonts w:ascii="Book Antiqua" w:hAnsi="Book Antiqua"/>
          <w:b/>
          <w:color w:val="000000" w:themeColor="text1"/>
          <w:lang w:val="en-GB"/>
        </w:rPr>
      </w:pPr>
      <w:r w:rsidRPr="00936C72">
        <w:rPr>
          <w:rFonts w:ascii="Book Antiqua" w:hAnsi="Book Antiqua"/>
          <w:b/>
          <w:color w:val="000000" w:themeColor="text1"/>
          <w:lang w:val="en-GB"/>
        </w:rPr>
        <w:t xml:space="preserve">Revised: </w:t>
      </w:r>
      <w:r w:rsidRPr="00936C72">
        <w:rPr>
          <w:rFonts w:ascii="Book Antiqua" w:hAnsi="Book Antiqua"/>
          <w:color w:val="000000" w:themeColor="text1"/>
          <w:lang w:val="en-GB"/>
        </w:rPr>
        <w:t>April 8, 2020</w:t>
      </w:r>
    </w:p>
    <w:p w14:paraId="53CCCEB8" w14:textId="72FF13B9" w:rsidR="00B40FF3" w:rsidRPr="00936C72" w:rsidRDefault="00B40FF3" w:rsidP="00D63ED9">
      <w:pPr>
        <w:spacing w:line="360" w:lineRule="auto"/>
        <w:jc w:val="both"/>
        <w:rPr>
          <w:rFonts w:ascii="Book Antiqua" w:hAnsi="Book Antiqua"/>
          <w:b/>
          <w:color w:val="000000" w:themeColor="text1"/>
          <w:lang w:val="en-GB"/>
        </w:rPr>
      </w:pPr>
      <w:r w:rsidRPr="00936C72">
        <w:rPr>
          <w:rFonts w:ascii="Book Antiqua" w:hAnsi="Book Antiqua"/>
          <w:b/>
          <w:color w:val="000000" w:themeColor="text1"/>
          <w:lang w:val="en-GB"/>
        </w:rPr>
        <w:t>Accepted:</w:t>
      </w:r>
      <w:r w:rsidR="00800781" w:rsidRPr="00936C72">
        <w:t xml:space="preserve"> </w:t>
      </w:r>
      <w:r w:rsidR="00800781" w:rsidRPr="00936C72">
        <w:rPr>
          <w:rFonts w:ascii="Book Antiqua" w:hAnsi="Book Antiqua"/>
          <w:bCs/>
          <w:color w:val="000000" w:themeColor="text1"/>
          <w:lang w:val="en-GB"/>
        </w:rPr>
        <w:t>April 11, 2020</w:t>
      </w:r>
      <w:r w:rsidRPr="00936C72">
        <w:rPr>
          <w:bCs/>
          <w:color w:val="000000" w:themeColor="text1"/>
        </w:rPr>
        <w:t xml:space="preserve"> </w:t>
      </w:r>
    </w:p>
    <w:p w14:paraId="73233B69" w14:textId="7A2A60C7" w:rsidR="00B40FF3" w:rsidRPr="00936C72" w:rsidRDefault="00B40FF3" w:rsidP="00D63ED9">
      <w:pPr>
        <w:spacing w:line="360" w:lineRule="auto"/>
        <w:jc w:val="both"/>
        <w:rPr>
          <w:rFonts w:ascii="Book Antiqua" w:hAnsi="Book Antiqua"/>
          <w:b/>
          <w:color w:val="000000" w:themeColor="text1"/>
          <w:lang w:val="en-GB"/>
        </w:rPr>
      </w:pPr>
      <w:r w:rsidRPr="00936C72">
        <w:rPr>
          <w:rFonts w:ascii="Book Antiqua" w:hAnsi="Book Antiqua"/>
          <w:b/>
          <w:color w:val="000000" w:themeColor="text1"/>
          <w:lang w:val="en-GB"/>
        </w:rPr>
        <w:t xml:space="preserve">Published online: </w:t>
      </w:r>
      <w:r w:rsidR="00936C72" w:rsidRPr="00936C72">
        <w:rPr>
          <w:rFonts w:ascii="Book Antiqua" w:hAnsi="Book Antiqua"/>
          <w:color w:val="000000" w:themeColor="text1"/>
          <w:lang w:val="en-GB"/>
        </w:rPr>
        <w:t>April 14, 2020</w:t>
      </w:r>
    </w:p>
    <w:p w14:paraId="57978D5D" w14:textId="465DBF0D" w:rsidR="00D032E2" w:rsidRPr="00936C72" w:rsidRDefault="00C65C62" w:rsidP="00D63ED9">
      <w:pPr>
        <w:widowControl w:val="0"/>
        <w:autoSpaceDE w:val="0"/>
        <w:autoSpaceDN w:val="0"/>
        <w:adjustRightInd w:val="0"/>
        <w:spacing w:line="360" w:lineRule="auto"/>
        <w:jc w:val="both"/>
        <w:rPr>
          <w:rStyle w:val="bkciteavail"/>
          <w:rFonts w:ascii="Book Antiqua" w:hAnsi="Book Antiqua" w:cstheme="minorHAnsi"/>
          <w:b/>
          <w:color w:val="000000" w:themeColor="text1"/>
          <w:kern w:val="2"/>
        </w:rPr>
      </w:pPr>
      <w:r w:rsidRPr="00936C72">
        <w:rPr>
          <w:rFonts w:ascii="Book Antiqua" w:hAnsi="Book Antiqua" w:cs="Times"/>
          <w:color w:val="000000" w:themeColor="text1"/>
        </w:rPr>
        <w:br w:type="page"/>
      </w:r>
      <w:r w:rsidR="00B40FF3" w:rsidRPr="00936C72">
        <w:rPr>
          <w:rFonts w:ascii="Book Antiqua" w:hAnsi="Book Antiqua" w:cstheme="minorHAnsi"/>
          <w:b/>
          <w:color w:val="000000" w:themeColor="text1"/>
        </w:rPr>
        <w:lastRenderedPageBreak/>
        <w:t>Abstract</w:t>
      </w:r>
    </w:p>
    <w:p w14:paraId="124B26D4" w14:textId="3FB9D3B7" w:rsidR="004475F0" w:rsidRPr="00936C72" w:rsidRDefault="00D032E2" w:rsidP="00D63ED9">
      <w:pPr>
        <w:snapToGrid w:val="0"/>
        <w:spacing w:line="360" w:lineRule="auto"/>
        <w:jc w:val="both"/>
        <w:rPr>
          <w:rFonts w:ascii="Book Antiqua" w:eastAsia="Times New Roman" w:hAnsi="Book Antiqua"/>
          <w:color w:val="000000" w:themeColor="text1"/>
        </w:rPr>
      </w:pPr>
      <w:r w:rsidRPr="00936C72">
        <w:rPr>
          <w:rFonts w:ascii="Book Antiqua" w:eastAsia="Times New Roman" w:hAnsi="Book Antiqua"/>
          <w:color w:val="000000" w:themeColor="text1"/>
        </w:rPr>
        <w:t xml:space="preserve">The current pandemic due to the </w:t>
      </w:r>
      <w:r w:rsidR="004475F0" w:rsidRPr="00936C72">
        <w:rPr>
          <w:rFonts w:ascii="Book Antiqua" w:hAnsi="Book Antiqua" w:cs="Times"/>
          <w:color w:val="000000" w:themeColor="text1"/>
        </w:rPr>
        <w:t>severe acute respiratory syndrome coronavirus 2</w:t>
      </w:r>
      <w:r w:rsidRPr="00936C72">
        <w:rPr>
          <w:rFonts w:ascii="Book Antiqua" w:eastAsia="Times New Roman" w:hAnsi="Book Antiqua"/>
          <w:color w:val="000000" w:themeColor="text1"/>
        </w:rPr>
        <w:t xml:space="preserve"> has caused an extreme burden for health care systems globally, and the number of cases is expected to continue to increase, at least in the immediate future. The virus is estimated to have infected more than 1.5 million individuals. The available reports suggest that gastrointestinal</w:t>
      </w:r>
      <w:r w:rsidR="001253B1" w:rsidRPr="00936C72">
        <w:rPr>
          <w:rFonts w:ascii="Book Antiqua" w:eastAsia="Times New Roman" w:hAnsi="Book Antiqua"/>
          <w:color w:val="000000" w:themeColor="text1"/>
        </w:rPr>
        <w:t xml:space="preserve"> (GI)</w:t>
      </w:r>
      <w:r w:rsidRPr="00936C72">
        <w:rPr>
          <w:rFonts w:ascii="Book Antiqua" w:eastAsia="Times New Roman" w:hAnsi="Book Antiqua"/>
          <w:color w:val="000000" w:themeColor="text1"/>
        </w:rPr>
        <w:t xml:space="preserve"> involvement in </w:t>
      </w:r>
      <w:r w:rsidR="00D63ED9" w:rsidRPr="00936C72">
        <w:rPr>
          <w:rFonts w:ascii="Book Antiqua" w:hAnsi="Book Antiqua" w:cs="Times"/>
          <w:color w:val="000000" w:themeColor="text1"/>
        </w:rPr>
        <w:t>coronavirus disease</w:t>
      </w:r>
      <w:r w:rsidR="00C12270" w:rsidRPr="00936C72">
        <w:rPr>
          <w:rFonts w:ascii="Book Antiqua" w:hAnsi="Book Antiqua" w:cs="Times"/>
          <w:color w:val="000000" w:themeColor="text1"/>
        </w:rPr>
        <w:t xml:space="preserve"> </w:t>
      </w:r>
      <w:r w:rsidR="00D63ED9" w:rsidRPr="00936C72">
        <w:rPr>
          <w:rFonts w:ascii="Book Antiqua" w:hAnsi="Book Antiqua" w:cs="Times"/>
          <w:color w:val="000000" w:themeColor="text1"/>
        </w:rPr>
        <w:t>2019</w:t>
      </w:r>
      <w:r w:rsidR="004475F0" w:rsidRPr="00936C72">
        <w:rPr>
          <w:rFonts w:ascii="Book Antiqua" w:eastAsia="Times New Roman" w:hAnsi="Book Antiqua"/>
          <w:color w:val="000000" w:themeColor="text1"/>
        </w:rPr>
        <w:t xml:space="preserve"> (</w:t>
      </w:r>
      <w:r w:rsidRPr="00936C72">
        <w:rPr>
          <w:rFonts w:ascii="Book Antiqua" w:eastAsia="Times New Roman" w:hAnsi="Book Antiqua"/>
          <w:color w:val="000000" w:themeColor="text1"/>
        </w:rPr>
        <w:t>COVID-19</w:t>
      </w:r>
      <w:r w:rsidR="004475F0" w:rsidRPr="00936C72">
        <w:rPr>
          <w:rFonts w:ascii="Book Antiqua" w:eastAsia="Times New Roman" w:hAnsi="Book Antiqua"/>
          <w:color w:val="000000" w:themeColor="text1"/>
        </w:rPr>
        <w:t>)</w:t>
      </w:r>
      <w:r w:rsidRPr="00936C72">
        <w:rPr>
          <w:rFonts w:ascii="Book Antiqua" w:eastAsia="Times New Roman" w:hAnsi="Book Antiqua"/>
          <w:color w:val="000000" w:themeColor="text1"/>
        </w:rPr>
        <w:t xml:space="preserve"> is common and in some cases the GI symptoms may precede the respiratory symptoms. In addition to direct effects of </w:t>
      </w:r>
      <w:r w:rsidR="00E87234" w:rsidRPr="00936C72">
        <w:rPr>
          <w:rFonts w:ascii="Book Antiqua" w:hAnsi="Book Antiqua" w:cs="Times"/>
          <w:color w:val="000000" w:themeColor="text1"/>
        </w:rPr>
        <w:t>severe acute respiratory syndrome coronavirus 2</w:t>
      </w:r>
      <w:r w:rsidRPr="00936C72">
        <w:rPr>
          <w:rFonts w:ascii="Book Antiqua" w:eastAsia="Times New Roman" w:hAnsi="Book Antiqua"/>
          <w:color w:val="000000" w:themeColor="text1"/>
        </w:rPr>
        <w:t xml:space="preserve">, the infected patients remain at risk for the complications commonly managed by gastroenterology and hepatology consultants. The most commonly reported </w:t>
      </w:r>
      <w:r w:rsidR="001253B1" w:rsidRPr="00936C72">
        <w:rPr>
          <w:rFonts w:ascii="Book Antiqua" w:eastAsia="Times New Roman" w:hAnsi="Book Antiqua"/>
          <w:color w:val="000000" w:themeColor="text1"/>
        </w:rPr>
        <w:t xml:space="preserve">GI </w:t>
      </w:r>
      <w:r w:rsidRPr="00936C72">
        <w:rPr>
          <w:rFonts w:ascii="Book Antiqua" w:eastAsia="Times New Roman" w:hAnsi="Book Antiqua"/>
          <w:color w:val="000000" w:themeColor="text1"/>
        </w:rPr>
        <w:t xml:space="preserve">manifestation of COVID-19 is diarrhea, which is reported in a third to up to more than half of the patients. Mild to moderate elevation of the liver enzymes are also common, although no case of acute liver failure has been reported so far. Many of the medications used for treatment of COVID-19 can also be associated with </w:t>
      </w:r>
      <w:r w:rsidR="001253B1" w:rsidRPr="00936C72">
        <w:rPr>
          <w:rFonts w:ascii="Book Antiqua" w:eastAsia="Times New Roman" w:hAnsi="Book Antiqua"/>
          <w:color w:val="000000" w:themeColor="text1"/>
        </w:rPr>
        <w:t xml:space="preserve">GI </w:t>
      </w:r>
      <w:r w:rsidRPr="00936C72">
        <w:rPr>
          <w:rFonts w:ascii="Book Antiqua" w:eastAsia="Times New Roman" w:hAnsi="Book Antiqua"/>
          <w:color w:val="000000" w:themeColor="text1"/>
        </w:rPr>
        <w:t>symptoms or liver injury and can be included in the differential diagnosis in these patients. Although the diagnosis of the infection is currently based on RNA analysis in respiratory samples, the available literature on fecal shedding of this virus suggests that fecal RNA testing might prove to be a useful diagnostic test. It is reasonable to delay all non-urgent endoscopic procedures during the peak of the pandemic and use additional protective equipment such as N95 respirators during endoscopy while most patients can be considered high risk for having been exposed to the virus.</w:t>
      </w:r>
    </w:p>
    <w:p w14:paraId="49BB1831" w14:textId="77777777" w:rsidR="004475F0" w:rsidRPr="00936C72" w:rsidRDefault="004475F0" w:rsidP="00D63ED9">
      <w:pPr>
        <w:snapToGrid w:val="0"/>
        <w:spacing w:line="360" w:lineRule="auto"/>
        <w:jc w:val="both"/>
        <w:rPr>
          <w:rFonts w:ascii="Book Antiqua" w:eastAsia="Times New Roman" w:hAnsi="Book Antiqua"/>
          <w:color w:val="000000" w:themeColor="text1"/>
        </w:rPr>
      </w:pPr>
    </w:p>
    <w:p w14:paraId="4585DAFA" w14:textId="2E6BE0BD" w:rsidR="00C65C62" w:rsidRPr="00936C72" w:rsidRDefault="00B40FF3" w:rsidP="00D63ED9">
      <w:pPr>
        <w:snapToGrid w:val="0"/>
        <w:spacing w:line="360" w:lineRule="auto"/>
        <w:jc w:val="both"/>
        <w:rPr>
          <w:rFonts w:ascii="Book Antiqua" w:eastAsia="Times New Roman" w:hAnsi="Book Antiqua" w:cstheme="minorBidi"/>
          <w:color w:val="000000" w:themeColor="text1"/>
          <w:kern w:val="2"/>
        </w:rPr>
      </w:pPr>
      <w:r w:rsidRPr="00936C72">
        <w:rPr>
          <w:rFonts w:ascii="Book Antiqua" w:hAnsi="Book Antiqua" w:cstheme="minorHAnsi"/>
          <w:b/>
          <w:color w:val="000000" w:themeColor="text1"/>
        </w:rPr>
        <w:t>Key words:</w:t>
      </w:r>
      <w:r w:rsidR="00C65C62" w:rsidRPr="00936C72">
        <w:rPr>
          <w:rFonts w:ascii="Book Antiqua" w:hAnsi="Book Antiqua" w:cs="Times"/>
          <w:b/>
          <w:bCs/>
          <w:color w:val="000000" w:themeColor="text1"/>
        </w:rPr>
        <w:t xml:space="preserve"> </w:t>
      </w:r>
      <w:r w:rsidR="00C47C13" w:rsidRPr="00936C72">
        <w:rPr>
          <w:rFonts w:ascii="Book Antiqua" w:hAnsi="Book Antiqua" w:cs="Times"/>
          <w:color w:val="000000" w:themeColor="text1"/>
        </w:rPr>
        <w:t>SARS-CoV-2</w:t>
      </w:r>
      <w:r w:rsidR="006D0F74" w:rsidRPr="00936C72">
        <w:rPr>
          <w:rFonts w:ascii="Book Antiqua" w:hAnsi="Book Antiqua" w:cs="Times"/>
          <w:color w:val="000000" w:themeColor="text1"/>
        </w:rPr>
        <w:t>;</w:t>
      </w:r>
      <w:r w:rsidR="00AE142C" w:rsidRPr="00936C72">
        <w:rPr>
          <w:rFonts w:ascii="Book Antiqua" w:eastAsia="Times New Roman" w:hAnsi="Book Antiqua"/>
          <w:color w:val="000000" w:themeColor="text1"/>
        </w:rPr>
        <w:t xml:space="preserve"> </w:t>
      </w:r>
      <w:r w:rsidR="00021494" w:rsidRPr="00936C72">
        <w:rPr>
          <w:rFonts w:ascii="Book Antiqua" w:hAnsi="Book Antiqua" w:cs="Times"/>
          <w:caps/>
          <w:color w:val="000000" w:themeColor="text1"/>
        </w:rPr>
        <w:t>COVID-19</w:t>
      </w:r>
      <w:r w:rsidR="00D032E2" w:rsidRPr="00936C72">
        <w:rPr>
          <w:rFonts w:ascii="Book Antiqua" w:hAnsi="Book Antiqua" w:cs="Times"/>
          <w:color w:val="000000" w:themeColor="text1"/>
        </w:rPr>
        <w:t>;</w:t>
      </w:r>
      <w:r w:rsidR="00C65C62" w:rsidRPr="00936C72">
        <w:rPr>
          <w:rFonts w:ascii="Book Antiqua" w:hAnsi="Book Antiqua" w:cs="Times"/>
          <w:color w:val="000000" w:themeColor="text1"/>
        </w:rPr>
        <w:t xml:space="preserve"> Gastroenterology</w:t>
      </w:r>
      <w:r w:rsidR="00D032E2" w:rsidRPr="00936C72">
        <w:rPr>
          <w:rFonts w:ascii="Book Antiqua" w:hAnsi="Book Antiqua" w:cs="Times"/>
          <w:color w:val="000000" w:themeColor="text1"/>
        </w:rPr>
        <w:t>;</w:t>
      </w:r>
      <w:r w:rsidR="00C65C62" w:rsidRPr="00936C72">
        <w:rPr>
          <w:rFonts w:ascii="Book Antiqua" w:hAnsi="Book Antiqua" w:cs="Times"/>
          <w:color w:val="000000" w:themeColor="text1"/>
        </w:rPr>
        <w:t xml:space="preserve"> </w:t>
      </w:r>
      <w:r w:rsidR="00D032E2" w:rsidRPr="00936C72">
        <w:rPr>
          <w:rFonts w:ascii="Book Antiqua" w:hAnsi="Book Antiqua" w:cs="Times"/>
          <w:color w:val="000000" w:themeColor="text1"/>
        </w:rPr>
        <w:t>Hepatology;</w:t>
      </w:r>
      <w:r w:rsidR="006827B7" w:rsidRPr="00936C72">
        <w:rPr>
          <w:rFonts w:ascii="Book Antiqua" w:hAnsi="Book Antiqua" w:cs="Times"/>
          <w:color w:val="000000" w:themeColor="text1"/>
        </w:rPr>
        <w:t xml:space="preserve"> </w:t>
      </w:r>
      <w:r w:rsidR="006D0F74" w:rsidRPr="00936C72">
        <w:rPr>
          <w:rFonts w:ascii="Book Antiqua" w:hAnsi="Book Antiqua" w:cs="Times" w:hint="eastAsia"/>
          <w:color w:val="000000" w:themeColor="text1"/>
        </w:rPr>
        <w:t>Liver</w:t>
      </w:r>
    </w:p>
    <w:p w14:paraId="3B2E7579" w14:textId="77777777" w:rsidR="00C65C62" w:rsidRPr="00936C72" w:rsidRDefault="00C65C62" w:rsidP="00D63ED9">
      <w:pPr>
        <w:autoSpaceDE w:val="0"/>
        <w:autoSpaceDN w:val="0"/>
        <w:adjustRightInd w:val="0"/>
        <w:snapToGrid w:val="0"/>
        <w:spacing w:line="360" w:lineRule="auto"/>
        <w:ind w:right="-720"/>
        <w:jc w:val="both"/>
        <w:rPr>
          <w:rFonts w:ascii="Book Antiqua" w:hAnsi="Book Antiqua" w:cs="Times"/>
          <w:color w:val="000000" w:themeColor="text1"/>
        </w:rPr>
      </w:pPr>
    </w:p>
    <w:p w14:paraId="7774AAFA" w14:textId="47D9F477" w:rsidR="00936C72" w:rsidRPr="00936C72" w:rsidRDefault="006827B7" w:rsidP="00936C72">
      <w:pPr>
        <w:spacing w:line="360" w:lineRule="auto"/>
        <w:rPr>
          <w:rFonts w:ascii="Book Antiqua" w:hAnsi="Book Antiqua" w:hint="eastAsia"/>
          <w:bCs/>
        </w:rPr>
      </w:pPr>
      <w:bookmarkStart w:id="0" w:name="_Hlk15548538"/>
      <w:proofErr w:type="spellStart"/>
      <w:r w:rsidRPr="00936C72">
        <w:rPr>
          <w:rFonts w:ascii="Book Antiqua" w:hAnsi="Book Antiqua" w:cs="Times"/>
          <w:color w:val="000000" w:themeColor="text1"/>
        </w:rPr>
        <w:t>Hajifathalian</w:t>
      </w:r>
      <w:proofErr w:type="spellEnd"/>
      <w:r w:rsidRPr="00936C72">
        <w:rPr>
          <w:rFonts w:ascii="Book Antiqua" w:hAnsi="Book Antiqua" w:cs="Times"/>
          <w:color w:val="000000" w:themeColor="text1"/>
        </w:rPr>
        <w:t xml:space="preserve"> </w:t>
      </w:r>
      <w:r w:rsidRPr="00936C72">
        <w:rPr>
          <w:rFonts w:ascii="Book Antiqua" w:hAnsi="Book Antiqua" w:cs="Times" w:hint="eastAsia"/>
          <w:color w:val="000000" w:themeColor="text1"/>
        </w:rPr>
        <w:t>K</w:t>
      </w:r>
      <w:r w:rsidRPr="00936C72">
        <w:rPr>
          <w:rFonts w:ascii="Book Antiqua" w:hAnsi="Book Antiqua" w:cs="Times"/>
          <w:color w:val="000000" w:themeColor="text1"/>
        </w:rPr>
        <w:t xml:space="preserve">, </w:t>
      </w:r>
      <w:proofErr w:type="spellStart"/>
      <w:r w:rsidRPr="00936C72">
        <w:rPr>
          <w:rFonts w:ascii="Book Antiqua" w:hAnsi="Book Antiqua" w:cs="Times"/>
          <w:color w:val="000000" w:themeColor="text1"/>
        </w:rPr>
        <w:t>Mahadev</w:t>
      </w:r>
      <w:proofErr w:type="spellEnd"/>
      <w:r w:rsidRPr="00936C72">
        <w:rPr>
          <w:rFonts w:ascii="Book Antiqua" w:hAnsi="Book Antiqua" w:cs="Times"/>
          <w:color w:val="000000" w:themeColor="text1"/>
        </w:rPr>
        <w:t xml:space="preserve"> S, Schwartz R, Shah S, </w:t>
      </w:r>
      <w:proofErr w:type="spellStart"/>
      <w:r w:rsidRPr="00936C72">
        <w:rPr>
          <w:rFonts w:ascii="Book Antiqua" w:hAnsi="Book Antiqua" w:cs="Times"/>
          <w:color w:val="000000" w:themeColor="text1"/>
        </w:rPr>
        <w:t>Sampath</w:t>
      </w:r>
      <w:proofErr w:type="spellEnd"/>
      <w:r w:rsidRPr="00936C72">
        <w:rPr>
          <w:rFonts w:ascii="Book Antiqua" w:hAnsi="Book Antiqua" w:cs="Times"/>
          <w:color w:val="000000" w:themeColor="text1"/>
        </w:rPr>
        <w:t xml:space="preserve"> K, </w:t>
      </w:r>
      <w:proofErr w:type="spellStart"/>
      <w:r w:rsidRPr="00936C72">
        <w:rPr>
          <w:rFonts w:ascii="Book Antiqua" w:hAnsi="Book Antiqua" w:cs="Times"/>
          <w:color w:val="000000" w:themeColor="text1"/>
        </w:rPr>
        <w:t>Schnoll-Sussman</w:t>
      </w:r>
      <w:proofErr w:type="spellEnd"/>
      <w:r w:rsidRPr="00936C72">
        <w:rPr>
          <w:rFonts w:ascii="Book Antiqua" w:hAnsi="Book Antiqua" w:cs="Times"/>
          <w:color w:val="000000" w:themeColor="text1"/>
        </w:rPr>
        <w:t xml:space="preserve"> F, Brown </w:t>
      </w:r>
      <w:proofErr w:type="spellStart"/>
      <w:r w:rsidR="00B40FF3" w:rsidRPr="00936C72">
        <w:rPr>
          <w:rFonts w:ascii="Book Antiqua" w:hAnsi="Book Antiqua" w:cs="Times"/>
          <w:color w:val="000000" w:themeColor="text1"/>
        </w:rPr>
        <w:t>Jr</w:t>
      </w:r>
      <w:proofErr w:type="spellEnd"/>
      <w:r w:rsidR="00B40FF3" w:rsidRPr="00936C72">
        <w:rPr>
          <w:rFonts w:ascii="Book Antiqua" w:hAnsi="Book Antiqua" w:cs="Times"/>
          <w:color w:val="000000" w:themeColor="text1"/>
        </w:rPr>
        <w:t xml:space="preserve"> </w:t>
      </w:r>
      <w:r w:rsidRPr="00936C72">
        <w:rPr>
          <w:rFonts w:ascii="Book Antiqua" w:hAnsi="Book Antiqua" w:cs="Times"/>
          <w:color w:val="000000" w:themeColor="text1"/>
        </w:rPr>
        <w:t>R</w:t>
      </w:r>
      <w:r w:rsidR="00B40FF3" w:rsidRPr="00936C72">
        <w:rPr>
          <w:rFonts w:ascii="Book Antiqua" w:hAnsi="Book Antiqua" w:cs="Times"/>
          <w:color w:val="000000" w:themeColor="text1"/>
        </w:rPr>
        <w:t>S</w:t>
      </w:r>
      <w:r w:rsidRPr="00936C72">
        <w:rPr>
          <w:rFonts w:ascii="Book Antiqua" w:hAnsi="Book Antiqua" w:cs="Times"/>
          <w:color w:val="000000" w:themeColor="text1"/>
        </w:rPr>
        <w:t xml:space="preserve">, Carr-Locke D, Cohen DE, </w:t>
      </w:r>
      <w:proofErr w:type="spellStart"/>
      <w:r w:rsidRPr="00936C72">
        <w:rPr>
          <w:rFonts w:ascii="Book Antiqua" w:hAnsi="Book Antiqua" w:cs="Times"/>
          <w:color w:val="000000" w:themeColor="text1"/>
        </w:rPr>
        <w:t>Sharaiha</w:t>
      </w:r>
      <w:proofErr w:type="spellEnd"/>
      <w:r w:rsidRPr="00936C72">
        <w:rPr>
          <w:rFonts w:ascii="Book Antiqua" w:hAnsi="Book Antiqua" w:cs="Times"/>
          <w:color w:val="000000" w:themeColor="text1"/>
        </w:rPr>
        <w:t xml:space="preserve"> RZ. </w:t>
      </w:r>
      <w:r w:rsidR="00A813AB" w:rsidRPr="00936C72">
        <w:rPr>
          <w:rFonts w:ascii="Book Antiqua" w:eastAsia="Times New Roman" w:hAnsi="Book Antiqua"/>
          <w:color w:val="000000" w:themeColor="text1"/>
        </w:rPr>
        <w:t>SARS-CoV-2</w:t>
      </w:r>
      <w:r w:rsidR="00E371E0" w:rsidRPr="00936C72">
        <w:rPr>
          <w:rFonts w:ascii="Book Antiqua" w:eastAsia="Times New Roman" w:hAnsi="Book Antiqua"/>
          <w:color w:val="000000" w:themeColor="text1"/>
        </w:rPr>
        <w:t xml:space="preserve"> infection (coronavirus disease 2019) for the gastrointestinal consultant</w:t>
      </w:r>
      <w:r w:rsidRPr="00936C72">
        <w:rPr>
          <w:rFonts w:ascii="Book Antiqua" w:hAnsi="Book Antiqua" w:cs="Times"/>
          <w:color w:val="000000" w:themeColor="text1"/>
        </w:rPr>
        <w:t>.</w:t>
      </w:r>
      <w:r w:rsidR="00E371E0" w:rsidRPr="00936C72">
        <w:rPr>
          <w:rFonts w:ascii="Book Antiqua" w:hAnsi="Book Antiqua" w:cs="Times"/>
          <w:color w:val="000000" w:themeColor="text1"/>
        </w:rPr>
        <w:t xml:space="preserve"> </w:t>
      </w:r>
      <w:r w:rsidRPr="00936C72">
        <w:rPr>
          <w:rFonts w:ascii="Book Antiqua" w:hAnsi="Book Antiqua"/>
          <w:i/>
          <w:iCs/>
          <w:color w:val="000000" w:themeColor="text1"/>
        </w:rPr>
        <w:t xml:space="preserve">World J </w:t>
      </w:r>
      <w:proofErr w:type="spellStart"/>
      <w:r w:rsidRPr="00936C72">
        <w:rPr>
          <w:rFonts w:ascii="Book Antiqua" w:hAnsi="Book Antiqua"/>
          <w:i/>
          <w:iCs/>
          <w:color w:val="000000" w:themeColor="text1"/>
        </w:rPr>
        <w:t>Gastroenterol</w:t>
      </w:r>
      <w:proofErr w:type="spellEnd"/>
      <w:r w:rsidRPr="00936C72">
        <w:rPr>
          <w:rFonts w:ascii="Book Antiqua" w:hAnsi="Book Antiqua"/>
          <w:i/>
          <w:iCs/>
          <w:color w:val="000000" w:themeColor="text1"/>
        </w:rPr>
        <w:t xml:space="preserve"> </w:t>
      </w:r>
      <w:r w:rsidR="00936C72" w:rsidRPr="00936C72">
        <w:rPr>
          <w:rFonts w:ascii="Book Antiqua" w:hAnsi="Book Antiqua"/>
          <w:bCs/>
        </w:rPr>
        <w:t xml:space="preserve">2020; 26(14): </w:t>
      </w:r>
      <w:r w:rsidR="00936C72" w:rsidRPr="00936C72">
        <w:rPr>
          <w:rFonts w:ascii="Book Antiqua" w:hAnsi="Book Antiqua" w:hint="eastAsia"/>
          <w:bCs/>
        </w:rPr>
        <w:t>1</w:t>
      </w:r>
      <w:r w:rsidR="00936C72" w:rsidRPr="00936C72">
        <w:rPr>
          <w:rFonts w:ascii="Book Antiqua" w:hAnsi="Book Antiqua" w:hint="eastAsia"/>
          <w:bCs/>
        </w:rPr>
        <w:t>546</w:t>
      </w:r>
      <w:r w:rsidR="00936C72" w:rsidRPr="00936C72">
        <w:rPr>
          <w:rFonts w:ascii="Book Antiqua" w:hAnsi="Book Antiqua"/>
          <w:bCs/>
        </w:rPr>
        <w:t>-</w:t>
      </w:r>
      <w:r w:rsidR="00936C72" w:rsidRPr="00936C72">
        <w:rPr>
          <w:rFonts w:ascii="Book Antiqua" w:hAnsi="Book Antiqua" w:hint="eastAsia"/>
          <w:bCs/>
        </w:rPr>
        <w:t>1</w:t>
      </w:r>
      <w:r w:rsidR="00936C72" w:rsidRPr="00936C72">
        <w:rPr>
          <w:rFonts w:ascii="Book Antiqua" w:hAnsi="Book Antiqua" w:hint="eastAsia"/>
          <w:bCs/>
        </w:rPr>
        <w:t>553</w:t>
      </w:r>
    </w:p>
    <w:p w14:paraId="51D04071" w14:textId="2DEF3C3A" w:rsidR="00936C72" w:rsidRPr="00936C72" w:rsidRDefault="00936C72" w:rsidP="00936C72">
      <w:pPr>
        <w:spacing w:line="360" w:lineRule="auto"/>
        <w:rPr>
          <w:rFonts w:ascii="Book Antiqua" w:hAnsi="Book Antiqua" w:hint="eastAsia"/>
          <w:bCs/>
        </w:rPr>
      </w:pPr>
      <w:r w:rsidRPr="00936C72">
        <w:rPr>
          <w:rFonts w:ascii="Book Antiqua" w:hAnsi="Book Antiqua"/>
          <w:b/>
          <w:bCs/>
        </w:rPr>
        <w:lastRenderedPageBreak/>
        <w:t>URL:</w:t>
      </w:r>
      <w:r w:rsidRPr="00936C72">
        <w:rPr>
          <w:rFonts w:ascii="Book Antiqua" w:hAnsi="Book Antiqua"/>
          <w:bCs/>
        </w:rPr>
        <w:t xml:space="preserve"> https://www.wjgnet.com/1007-9327/full/v26/i14/</w:t>
      </w:r>
      <w:r w:rsidRPr="00936C72">
        <w:rPr>
          <w:rFonts w:ascii="Book Antiqua" w:hAnsi="Book Antiqua" w:hint="eastAsia"/>
          <w:bCs/>
        </w:rPr>
        <w:t>1</w:t>
      </w:r>
      <w:r w:rsidRPr="00936C72">
        <w:rPr>
          <w:rFonts w:ascii="Book Antiqua" w:hAnsi="Book Antiqua" w:hint="eastAsia"/>
          <w:bCs/>
        </w:rPr>
        <w:t>546</w:t>
      </w:r>
      <w:r w:rsidRPr="00936C72">
        <w:rPr>
          <w:rFonts w:ascii="Book Antiqua" w:hAnsi="Book Antiqua"/>
          <w:bCs/>
        </w:rPr>
        <w:t>.htm</w:t>
      </w:r>
    </w:p>
    <w:p w14:paraId="326E166F" w14:textId="5F4D8EDB" w:rsidR="00B40FF3" w:rsidRPr="00936C72" w:rsidRDefault="00936C72" w:rsidP="00936C72">
      <w:pPr>
        <w:adjustRightInd w:val="0"/>
        <w:snapToGrid w:val="0"/>
        <w:spacing w:line="360" w:lineRule="auto"/>
        <w:jc w:val="both"/>
        <w:rPr>
          <w:rFonts w:ascii="Book Antiqua" w:hAnsi="Book Antiqua"/>
          <w:bCs/>
          <w:color w:val="000000" w:themeColor="text1"/>
        </w:rPr>
      </w:pPr>
      <w:r w:rsidRPr="00936C72">
        <w:rPr>
          <w:rFonts w:ascii="Book Antiqua" w:hAnsi="Book Antiqua"/>
          <w:b/>
          <w:bCs/>
        </w:rPr>
        <w:t>DOI:</w:t>
      </w:r>
      <w:r w:rsidRPr="00936C72">
        <w:rPr>
          <w:rFonts w:ascii="Book Antiqua" w:hAnsi="Book Antiqua"/>
          <w:bCs/>
        </w:rPr>
        <w:t xml:space="preserve"> https://dx.doi.org/10.3748/wjg.v26.i14.</w:t>
      </w:r>
      <w:r w:rsidRPr="00936C72">
        <w:rPr>
          <w:rFonts w:ascii="Book Antiqua" w:hAnsi="Book Antiqua" w:hint="eastAsia"/>
          <w:bCs/>
        </w:rPr>
        <w:t>1</w:t>
      </w:r>
      <w:r w:rsidRPr="00936C72">
        <w:rPr>
          <w:rFonts w:ascii="Book Antiqua" w:hAnsi="Book Antiqua" w:hint="eastAsia"/>
          <w:bCs/>
        </w:rPr>
        <w:t>546</w:t>
      </w:r>
    </w:p>
    <w:p w14:paraId="1C7FBEB6" w14:textId="77777777" w:rsidR="00B40FF3" w:rsidRPr="00936C72" w:rsidRDefault="00B40FF3" w:rsidP="00D63ED9">
      <w:pPr>
        <w:adjustRightInd w:val="0"/>
        <w:snapToGrid w:val="0"/>
        <w:spacing w:line="360" w:lineRule="auto"/>
        <w:jc w:val="both"/>
        <w:rPr>
          <w:rFonts w:ascii="Book Antiqua" w:hAnsi="Book Antiqua"/>
          <w:bCs/>
          <w:color w:val="000000" w:themeColor="text1"/>
        </w:rPr>
      </w:pPr>
    </w:p>
    <w:p w14:paraId="2CFDAD38" w14:textId="4056F581" w:rsidR="00C65C62" w:rsidRPr="00936C72" w:rsidRDefault="00B40FF3" w:rsidP="00D63ED9">
      <w:pPr>
        <w:adjustRightInd w:val="0"/>
        <w:snapToGrid w:val="0"/>
        <w:spacing w:line="360" w:lineRule="auto"/>
        <w:jc w:val="both"/>
        <w:rPr>
          <w:rFonts w:ascii="Book Antiqua" w:hAnsi="Book Antiqua"/>
          <w:bCs/>
          <w:color w:val="000000" w:themeColor="text1"/>
        </w:rPr>
      </w:pPr>
      <w:r w:rsidRPr="00936C72">
        <w:rPr>
          <w:rFonts w:ascii="Book Antiqua" w:hAnsi="Book Antiqua"/>
          <w:b/>
          <w:color w:val="000000" w:themeColor="text1"/>
        </w:rPr>
        <w:t>Core tip:</w:t>
      </w:r>
      <w:r w:rsidR="00C65C62" w:rsidRPr="00936C72">
        <w:rPr>
          <w:rFonts w:ascii="Book Antiqua" w:hAnsi="Book Antiqua"/>
          <w:b/>
          <w:color w:val="000000" w:themeColor="text1"/>
        </w:rPr>
        <w:t xml:space="preserve"> </w:t>
      </w:r>
      <w:r w:rsidR="00D032E2" w:rsidRPr="00936C72">
        <w:rPr>
          <w:rStyle w:val="bkciteavail"/>
          <w:rFonts w:ascii="Book Antiqua" w:hAnsi="Book Antiqua"/>
          <w:color w:val="000000" w:themeColor="text1"/>
        </w:rPr>
        <w:t xml:space="preserve">The </w:t>
      </w:r>
      <w:r w:rsidR="00D63ED9" w:rsidRPr="00936C72">
        <w:rPr>
          <w:rStyle w:val="bkciteavail"/>
          <w:rFonts w:ascii="Book Antiqua" w:hAnsi="Book Antiqua"/>
          <w:color w:val="000000" w:themeColor="text1"/>
        </w:rPr>
        <w:t>coronavirus disease</w:t>
      </w:r>
      <w:r w:rsidR="00C12270" w:rsidRPr="00936C72">
        <w:rPr>
          <w:rStyle w:val="bkciteavail"/>
          <w:rFonts w:ascii="Book Antiqua" w:hAnsi="Book Antiqua"/>
          <w:color w:val="000000" w:themeColor="text1"/>
        </w:rPr>
        <w:t xml:space="preserve"> </w:t>
      </w:r>
      <w:r w:rsidR="00D63ED9" w:rsidRPr="00936C72">
        <w:rPr>
          <w:rStyle w:val="bkciteavail"/>
          <w:rFonts w:ascii="Book Antiqua" w:hAnsi="Book Antiqua"/>
          <w:color w:val="000000" w:themeColor="text1"/>
        </w:rPr>
        <w:t>2019</w:t>
      </w:r>
      <w:r w:rsidR="00D032E2" w:rsidRPr="00936C72">
        <w:rPr>
          <w:rStyle w:val="bkciteavail"/>
          <w:rFonts w:ascii="Book Antiqua" w:hAnsi="Book Antiqua"/>
          <w:color w:val="000000" w:themeColor="text1"/>
        </w:rPr>
        <w:t xml:space="preserve"> (COVID-19) has become the first pandemic of the 21</w:t>
      </w:r>
      <w:r w:rsidR="00D032E2" w:rsidRPr="00936C72">
        <w:rPr>
          <w:rStyle w:val="bkciteavail"/>
          <w:rFonts w:ascii="Book Antiqua" w:hAnsi="Book Antiqua"/>
          <w:color w:val="000000" w:themeColor="text1"/>
          <w:vertAlign w:val="superscript"/>
        </w:rPr>
        <w:t>st</w:t>
      </w:r>
      <w:r w:rsidR="00D032E2" w:rsidRPr="00936C72">
        <w:rPr>
          <w:rStyle w:val="bkciteavail"/>
          <w:rFonts w:ascii="Book Antiqua" w:hAnsi="Book Antiqua"/>
          <w:color w:val="000000" w:themeColor="text1"/>
        </w:rPr>
        <w:t xml:space="preserve"> century, engaging the health care providers in almost all countries around the world. Similar to previous coronavirus infections such as severe acute respiratory syndrome coronavirus, the COVID-19 is associated with a high prevalence of gastrointestinal </w:t>
      </w:r>
      <w:r w:rsidR="001253B1" w:rsidRPr="00936C72">
        <w:rPr>
          <w:rStyle w:val="bkciteavail"/>
          <w:rFonts w:ascii="Book Antiqua" w:hAnsi="Book Antiqua"/>
          <w:color w:val="000000" w:themeColor="text1"/>
        </w:rPr>
        <w:t xml:space="preserve">(GI) </w:t>
      </w:r>
      <w:r w:rsidR="00D032E2" w:rsidRPr="00936C72">
        <w:rPr>
          <w:rStyle w:val="bkciteavail"/>
          <w:rFonts w:ascii="Book Antiqua" w:hAnsi="Book Antiqua"/>
          <w:color w:val="000000" w:themeColor="text1"/>
        </w:rPr>
        <w:t xml:space="preserve">and liver manifestations and abnormalities. Here we present a comprehensive summary of the available evidence on </w:t>
      </w:r>
      <w:r w:rsidR="001253B1" w:rsidRPr="00936C72">
        <w:rPr>
          <w:rStyle w:val="bkciteavail"/>
          <w:rFonts w:ascii="Book Antiqua" w:hAnsi="Book Antiqua"/>
          <w:color w:val="000000" w:themeColor="text1"/>
        </w:rPr>
        <w:t xml:space="preserve">GI </w:t>
      </w:r>
      <w:r w:rsidR="00D032E2" w:rsidRPr="00936C72">
        <w:rPr>
          <w:rStyle w:val="bkciteavail"/>
          <w:rFonts w:ascii="Book Antiqua" w:hAnsi="Book Antiqua"/>
          <w:color w:val="000000" w:themeColor="text1"/>
        </w:rPr>
        <w:t xml:space="preserve">involvement of COVID-19 and its implications for the </w:t>
      </w:r>
      <w:r w:rsidR="001253B1" w:rsidRPr="00936C72">
        <w:rPr>
          <w:rFonts w:ascii="Book Antiqua" w:hAnsi="Book Antiqua" w:cs="Times"/>
          <w:color w:val="000000" w:themeColor="text1"/>
        </w:rPr>
        <w:t xml:space="preserve">GI </w:t>
      </w:r>
      <w:r w:rsidR="00D032E2" w:rsidRPr="00936C72">
        <w:rPr>
          <w:rStyle w:val="bkciteavail"/>
          <w:rFonts w:ascii="Book Antiqua" w:hAnsi="Book Antiqua"/>
          <w:color w:val="000000" w:themeColor="text1"/>
        </w:rPr>
        <w:t>consultants.</w:t>
      </w:r>
      <w:bookmarkEnd w:id="0"/>
    </w:p>
    <w:p w14:paraId="1AEAF71E" w14:textId="77777777" w:rsidR="00C65C62" w:rsidRPr="00936C72" w:rsidRDefault="00C65C62" w:rsidP="00D63ED9">
      <w:pPr>
        <w:snapToGrid w:val="0"/>
        <w:spacing w:line="360" w:lineRule="auto"/>
        <w:jc w:val="both"/>
        <w:rPr>
          <w:rFonts w:ascii="Book Antiqua" w:hAnsi="Book Antiqua" w:cs="Times"/>
          <w:color w:val="000000" w:themeColor="text1"/>
        </w:rPr>
      </w:pPr>
      <w:r w:rsidRPr="00936C72">
        <w:rPr>
          <w:rFonts w:ascii="Book Antiqua" w:hAnsi="Book Antiqua" w:cs="Times"/>
          <w:color w:val="000000" w:themeColor="text1"/>
        </w:rPr>
        <w:br w:type="page"/>
      </w:r>
    </w:p>
    <w:p w14:paraId="4316EF19" w14:textId="77777777" w:rsidR="00C65C62" w:rsidRPr="00936C72" w:rsidRDefault="00C65C62" w:rsidP="00D63ED9">
      <w:pPr>
        <w:autoSpaceDE w:val="0"/>
        <w:autoSpaceDN w:val="0"/>
        <w:adjustRightInd w:val="0"/>
        <w:snapToGrid w:val="0"/>
        <w:spacing w:line="360" w:lineRule="auto"/>
        <w:ind w:right="-720"/>
        <w:jc w:val="both"/>
        <w:rPr>
          <w:rFonts w:ascii="Book Antiqua" w:hAnsi="Book Antiqua" w:cs="Times"/>
          <w:b/>
          <w:bCs/>
          <w:color w:val="000000" w:themeColor="text1"/>
          <w:u w:val="single"/>
        </w:rPr>
      </w:pPr>
      <w:r w:rsidRPr="00936C72">
        <w:rPr>
          <w:rFonts w:ascii="Book Antiqua" w:hAnsi="Book Antiqua" w:cs="Times"/>
          <w:b/>
          <w:bCs/>
          <w:color w:val="000000" w:themeColor="text1"/>
          <w:u w:val="single"/>
        </w:rPr>
        <w:lastRenderedPageBreak/>
        <w:t>INTRODUCTION</w:t>
      </w:r>
    </w:p>
    <w:p w14:paraId="406DD016" w14:textId="3D18E00C" w:rsidR="00D032E2" w:rsidRPr="00936C72" w:rsidRDefault="00D032E2" w:rsidP="00D63ED9">
      <w:pPr>
        <w:autoSpaceDE w:val="0"/>
        <w:autoSpaceDN w:val="0"/>
        <w:adjustRightInd w:val="0"/>
        <w:snapToGrid w:val="0"/>
        <w:spacing w:line="360" w:lineRule="auto"/>
        <w:jc w:val="both"/>
        <w:rPr>
          <w:rFonts w:ascii="Book Antiqua" w:hAnsi="Book Antiqua" w:cs="Times"/>
          <w:color w:val="000000" w:themeColor="text1"/>
        </w:rPr>
      </w:pPr>
      <w:r w:rsidRPr="00936C72">
        <w:rPr>
          <w:rFonts w:ascii="Book Antiqua" w:hAnsi="Book Antiqua" w:cs="Times"/>
          <w:color w:val="000000" w:themeColor="text1"/>
        </w:rPr>
        <w:t xml:space="preserve">Since its emergence in December 2019, the </w:t>
      </w:r>
      <w:r w:rsidR="00D63ED9" w:rsidRPr="00936C72">
        <w:rPr>
          <w:rFonts w:ascii="Book Antiqua" w:hAnsi="Book Antiqua" w:cs="Times"/>
          <w:color w:val="000000" w:themeColor="text1"/>
        </w:rPr>
        <w:t>coronavirus disease</w:t>
      </w:r>
      <w:r w:rsidR="00F436E0" w:rsidRPr="00936C72">
        <w:rPr>
          <w:rFonts w:ascii="Book Antiqua" w:hAnsi="Book Antiqua" w:cs="Times"/>
          <w:color w:val="000000" w:themeColor="text1"/>
        </w:rPr>
        <w:t xml:space="preserve"> </w:t>
      </w:r>
      <w:r w:rsidR="00D63ED9" w:rsidRPr="00936C72">
        <w:rPr>
          <w:rFonts w:ascii="Book Antiqua" w:hAnsi="Book Antiqua" w:cs="Times"/>
          <w:color w:val="000000" w:themeColor="text1"/>
        </w:rPr>
        <w:t>2019</w:t>
      </w:r>
      <w:r w:rsidRPr="00936C72">
        <w:rPr>
          <w:rFonts w:ascii="Book Antiqua" w:hAnsi="Book Antiqua" w:cs="Times"/>
          <w:color w:val="000000" w:themeColor="text1"/>
        </w:rPr>
        <w:t xml:space="preserve"> (COVID-19) has spread to over 146 countries and has been declared a pandemic by the World Health Organization (WHO). The virus that causes COVID-19, designated the severe acute respiratory syndrome coronavirus 2 (SARS-CoV-2), is estimated to have infected more than one million individuals and has resulted in more than 59000 deaths to </w:t>
      </w:r>
      <w:proofErr w:type="gramStart"/>
      <w:r w:rsidRPr="00936C72">
        <w:rPr>
          <w:rFonts w:ascii="Book Antiqua" w:hAnsi="Book Antiqua" w:cs="Times"/>
          <w:color w:val="000000" w:themeColor="text1"/>
        </w:rPr>
        <w:t>date</w:t>
      </w:r>
      <w:r w:rsidRPr="00936C72">
        <w:rPr>
          <w:rFonts w:ascii="Book Antiqua" w:hAnsi="Book Antiqua" w:cs="Times"/>
          <w:color w:val="000000" w:themeColor="text1"/>
          <w:vertAlign w:val="superscript"/>
        </w:rPr>
        <w:t>[</w:t>
      </w:r>
      <w:proofErr w:type="gramEnd"/>
      <w:r w:rsidRPr="00936C72">
        <w:rPr>
          <w:rFonts w:ascii="Book Antiqua" w:hAnsi="Book Antiqua" w:cs="Times"/>
          <w:color w:val="000000" w:themeColor="text1"/>
          <w:vertAlign w:val="superscript"/>
        </w:rPr>
        <w:t>1]</w:t>
      </w:r>
      <w:r w:rsidRPr="00936C72">
        <w:rPr>
          <w:rFonts w:ascii="Book Antiqua" w:hAnsi="Book Antiqua" w:cs="Times"/>
          <w:color w:val="000000" w:themeColor="text1"/>
        </w:rPr>
        <w:t>. Community transmission of the virus has now been confirmed across all inhabited continents and emergency measures have been taken to further curb the transmission of the disease.</w:t>
      </w:r>
    </w:p>
    <w:p w14:paraId="4FD4A532" w14:textId="04AF13DF" w:rsidR="00D032E2" w:rsidRPr="00936C72" w:rsidRDefault="00D032E2" w:rsidP="00D63ED9">
      <w:pPr>
        <w:autoSpaceDE w:val="0"/>
        <w:autoSpaceDN w:val="0"/>
        <w:adjustRightInd w:val="0"/>
        <w:snapToGrid w:val="0"/>
        <w:spacing w:line="360" w:lineRule="auto"/>
        <w:ind w:firstLineChars="100" w:firstLine="240"/>
        <w:jc w:val="both"/>
        <w:rPr>
          <w:rFonts w:ascii="Book Antiqua" w:hAnsi="Book Antiqua" w:cs="Times"/>
          <w:color w:val="000000" w:themeColor="text1"/>
        </w:rPr>
      </w:pPr>
      <w:r w:rsidRPr="00936C72">
        <w:rPr>
          <w:rFonts w:ascii="Book Antiqua" w:hAnsi="Book Antiqua" w:cs="Times"/>
          <w:color w:val="000000" w:themeColor="text1"/>
        </w:rPr>
        <w:t xml:space="preserve">SARS-CoV-2 is a positive-sense single-stranded RNA </w:t>
      </w:r>
      <w:proofErr w:type="spellStart"/>
      <w:r w:rsidRPr="00936C72">
        <w:rPr>
          <w:rFonts w:ascii="Book Antiqua" w:hAnsi="Book Antiqua" w:cs="Times"/>
          <w:color w:val="000000" w:themeColor="text1"/>
        </w:rPr>
        <w:t>betacoronavirus</w:t>
      </w:r>
      <w:proofErr w:type="spellEnd"/>
      <w:r w:rsidRPr="00936C72">
        <w:rPr>
          <w:rFonts w:ascii="Book Antiqua" w:hAnsi="Book Antiqua" w:cs="Times"/>
          <w:color w:val="000000" w:themeColor="text1"/>
        </w:rPr>
        <w:t xml:space="preserve"> sharing sequence homology with other pathogenic coronaviruses including Middle East respiratory syndrome coronavirus (MERS-</w:t>
      </w:r>
      <w:proofErr w:type="spellStart"/>
      <w:r w:rsidRPr="00936C72">
        <w:rPr>
          <w:rFonts w:ascii="Book Antiqua" w:hAnsi="Book Antiqua" w:cs="Times"/>
          <w:color w:val="000000" w:themeColor="text1"/>
        </w:rPr>
        <w:t>CoV</w:t>
      </w:r>
      <w:proofErr w:type="spellEnd"/>
      <w:r w:rsidRPr="00936C72">
        <w:rPr>
          <w:rFonts w:ascii="Book Antiqua" w:hAnsi="Book Antiqua" w:cs="Times"/>
          <w:color w:val="000000" w:themeColor="text1"/>
        </w:rPr>
        <w:t>, 2012), and severe acute respiratory syndrome coronavirus (SARS-Cov-1, 2003). The virus is thought to have emerged from animal reservoirs, namely horseshoe bats. The COVID-19 infection varies widely in severity, but primarily manifests as pneumonia. The median age of COVID-19 patients is reported to be in the fifth decade of life, with male predominance, less than 1% of cases occurring in patients younger than 10 to 15 years of age, and higher risk of severe disease in elderly or those with underlying medical comorbidities</w:t>
      </w:r>
      <w:r w:rsidRPr="00936C72">
        <w:rPr>
          <w:rFonts w:ascii="Book Antiqua" w:hAnsi="Book Antiqua" w:cs="Times"/>
          <w:color w:val="000000" w:themeColor="text1"/>
          <w:vertAlign w:val="superscript"/>
        </w:rPr>
        <w:t>[2]</w:t>
      </w:r>
      <w:r w:rsidRPr="00936C72">
        <w:rPr>
          <w:rFonts w:ascii="Book Antiqua" w:hAnsi="Book Antiqua" w:cs="Times"/>
          <w:color w:val="000000" w:themeColor="text1"/>
        </w:rPr>
        <w:t xml:space="preserve">. SARS-CoV-2 is thought to be transmitted mainly through contact with respiratory droplets and potentially airborne route; however presence of the virus in the stool of infected patients has suggested the fecal-oral route as a possible mode of </w:t>
      </w:r>
      <w:proofErr w:type="gramStart"/>
      <w:r w:rsidRPr="00936C72">
        <w:rPr>
          <w:rFonts w:ascii="Book Antiqua" w:hAnsi="Book Antiqua" w:cs="Times"/>
          <w:color w:val="000000" w:themeColor="text1"/>
        </w:rPr>
        <w:t>transmission</w:t>
      </w:r>
      <w:r w:rsidRPr="00936C72">
        <w:rPr>
          <w:rFonts w:ascii="Book Antiqua" w:hAnsi="Book Antiqua" w:cs="Times"/>
          <w:color w:val="000000" w:themeColor="text1"/>
          <w:vertAlign w:val="superscript"/>
        </w:rPr>
        <w:t>[</w:t>
      </w:r>
      <w:proofErr w:type="gramEnd"/>
      <w:r w:rsidRPr="00936C72">
        <w:rPr>
          <w:rFonts w:ascii="Book Antiqua" w:hAnsi="Book Antiqua" w:cs="Times"/>
          <w:color w:val="000000" w:themeColor="text1"/>
          <w:vertAlign w:val="superscript"/>
        </w:rPr>
        <w:t>3,4]</w:t>
      </w:r>
      <w:r w:rsidRPr="00936C72">
        <w:rPr>
          <w:rFonts w:ascii="Book Antiqua" w:hAnsi="Book Antiqua" w:cs="Times"/>
          <w:color w:val="000000" w:themeColor="text1"/>
        </w:rPr>
        <w:t>.</w:t>
      </w:r>
    </w:p>
    <w:p w14:paraId="2BD25AC3" w14:textId="349DC6FE" w:rsidR="00D032E2" w:rsidRPr="00936C72" w:rsidRDefault="00D032E2" w:rsidP="00D63ED9">
      <w:pPr>
        <w:autoSpaceDE w:val="0"/>
        <w:autoSpaceDN w:val="0"/>
        <w:adjustRightInd w:val="0"/>
        <w:snapToGrid w:val="0"/>
        <w:spacing w:line="360" w:lineRule="auto"/>
        <w:ind w:firstLineChars="100" w:firstLine="240"/>
        <w:jc w:val="both"/>
        <w:rPr>
          <w:rFonts w:ascii="Book Antiqua" w:hAnsi="Book Antiqua" w:cs="Times"/>
          <w:color w:val="000000" w:themeColor="text1"/>
        </w:rPr>
      </w:pPr>
      <w:r w:rsidRPr="00936C72">
        <w:rPr>
          <w:rFonts w:ascii="Book Antiqua" w:hAnsi="Book Antiqua" w:cs="Times"/>
          <w:color w:val="000000" w:themeColor="text1"/>
        </w:rPr>
        <w:t>The first case of COVID-19 was detected in Wuhan, Hubei Province, China, in early December 2019, and the first cohort of patients have been linked to a local live animal market, suggesting the emergence of this virus from animal reservoir. Unlike MERS-</w:t>
      </w:r>
      <w:proofErr w:type="spellStart"/>
      <w:r w:rsidRPr="00936C72">
        <w:rPr>
          <w:rFonts w:ascii="Book Antiqua" w:hAnsi="Book Antiqua" w:cs="Times"/>
          <w:color w:val="000000" w:themeColor="text1"/>
        </w:rPr>
        <w:t>CoV</w:t>
      </w:r>
      <w:proofErr w:type="spellEnd"/>
      <w:r w:rsidRPr="00936C72">
        <w:rPr>
          <w:rFonts w:ascii="Book Antiqua" w:hAnsi="Book Antiqua" w:cs="Times"/>
          <w:color w:val="000000" w:themeColor="text1"/>
        </w:rPr>
        <w:t xml:space="preserve"> and SARS-</w:t>
      </w:r>
      <w:proofErr w:type="spellStart"/>
      <w:r w:rsidRPr="00936C72">
        <w:rPr>
          <w:rFonts w:ascii="Book Antiqua" w:hAnsi="Book Antiqua" w:cs="Times"/>
          <w:color w:val="000000" w:themeColor="text1"/>
        </w:rPr>
        <w:t>CoV</w:t>
      </w:r>
      <w:proofErr w:type="spellEnd"/>
      <w:r w:rsidRPr="00936C72">
        <w:rPr>
          <w:rFonts w:ascii="Book Antiqua" w:hAnsi="Book Antiqua" w:cs="Times"/>
          <w:color w:val="000000" w:themeColor="text1"/>
        </w:rPr>
        <w:t xml:space="preserve"> where widespread international transmission was limited by high case fatality rates and more limited person-to-person transmission (in some instances happening to a large extent in health-care and research facilities), SARS-CoV-2 has shown a relatively lower case fatality rate </w:t>
      </w:r>
      <w:r w:rsidRPr="00936C72">
        <w:rPr>
          <w:rFonts w:ascii="Book Antiqua" w:hAnsi="Book Antiqua" w:cs="Times"/>
          <w:color w:val="000000" w:themeColor="text1"/>
        </w:rPr>
        <w:lastRenderedPageBreak/>
        <w:t>and easy person-to-person transmission, potentially even during the asymptomatic phase of the disease, leading to a rapid global spread and causing the first known coronavirus pandemic</w:t>
      </w:r>
      <w:r w:rsidRPr="00936C72">
        <w:rPr>
          <w:rFonts w:ascii="Book Antiqua" w:hAnsi="Book Antiqua" w:cs="Times"/>
          <w:color w:val="000000" w:themeColor="text1"/>
          <w:vertAlign w:val="superscript"/>
        </w:rPr>
        <w:t>[5]</w:t>
      </w:r>
      <w:r w:rsidRPr="00936C72">
        <w:rPr>
          <w:rFonts w:ascii="Book Antiqua" w:hAnsi="Book Antiqua" w:cs="Times"/>
          <w:color w:val="000000" w:themeColor="text1"/>
        </w:rPr>
        <w:t>.</w:t>
      </w:r>
    </w:p>
    <w:p w14:paraId="3FF0BE63" w14:textId="23E7D8A4" w:rsidR="00D032E2" w:rsidRPr="00936C72" w:rsidRDefault="00D032E2" w:rsidP="00D63ED9">
      <w:pPr>
        <w:autoSpaceDE w:val="0"/>
        <w:autoSpaceDN w:val="0"/>
        <w:adjustRightInd w:val="0"/>
        <w:snapToGrid w:val="0"/>
        <w:spacing w:line="360" w:lineRule="auto"/>
        <w:ind w:firstLineChars="100" w:firstLine="240"/>
        <w:jc w:val="both"/>
        <w:rPr>
          <w:rFonts w:ascii="Book Antiqua" w:hAnsi="Book Antiqua" w:cs="Times"/>
          <w:color w:val="000000" w:themeColor="text1"/>
        </w:rPr>
      </w:pPr>
      <w:r w:rsidRPr="00936C72">
        <w:rPr>
          <w:rFonts w:ascii="Book Antiqua" w:hAnsi="Book Antiqua" w:cs="Times"/>
          <w:color w:val="000000" w:themeColor="text1"/>
        </w:rPr>
        <w:t>Although the available information on transmission, pathogenesis, clinical presentations, and management of COVID-19 is limited by the novelty of this new pandemic, it is still important to review the available literature in preparation for an ongoing increase in the number of infected patients over the next several weeks, and potentially months. Here we present a narrative review of the available literature regarding the involvement of the liver and digestive system in patients infected with SARS-CoV-2 infection.</w:t>
      </w:r>
    </w:p>
    <w:p w14:paraId="106EC14E" w14:textId="77777777" w:rsidR="00D032E2" w:rsidRPr="00936C72" w:rsidRDefault="00D032E2" w:rsidP="00D63ED9">
      <w:pPr>
        <w:autoSpaceDE w:val="0"/>
        <w:autoSpaceDN w:val="0"/>
        <w:adjustRightInd w:val="0"/>
        <w:snapToGrid w:val="0"/>
        <w:spacing w:line="360" w:lineRule="auto"/>
        <w:ind w:firstLineChars="100" w:firstLine="240"/>
        <w:jc w:val="both"/>
        <w:rPr>
          <w:rFonts w:ascii="Book Antiqua" w:hAnsi="Book Antiqua" w:cs="Times"/>
          <w:color w:val="000000" w:themeColor="text1"/>
        </w:rPr>
      </w:pPr>
    </w:p>
    <w:p w14:paraId="31154CF5" w14:textId="77777777" w:rsidR="00D032E2" w:rsidRPr="00936C72" w:rsidRDefault="00D032E2" w:rsidP="00D63ED9">
      <w:pPr>
        <w:autoSpaceDE w:val="0"/>
        <w:autoSpaceDN w:val="0"/>
        <w:adjustRightInd w:val="0"/>
        <w:snapToGrid w:val="0"/>
        <w:spacing w:line="360" w:lineRule="auto"/>
        <w:ind w:right="-720"/>
        <w:jc w:val="both"/>
        <w:rPr>
          <w:rFonts w:ascii="Book Antiqua" w:hAnsi="Book Antiqua" w:cs="Times"/>
          <w:b/>
          <w:bCs/>
          <w:color w:val="000000" w:themeColor="text1"/>
          <w:u w:val="single"/>
        </w:rPr>
      </w:pPr>
      <w:r w:rsidRPr="00936C72">
        <w:rPr>
          <w:rFonts w:ascii="Book Antiqua" w:hAnsi="Book Antiqua" w:cs="Times"/>
          <w:b/>
          <w:bCs/>
          <w:color w:val="000000" w:themeColor="text1"/>
          <w:u w:val="single"/>
        </w:rPr>
        <w:t>LITERATURE SEARCH</w:t>
      </w:r>
    </w:p>
    <w:p w14:paraId="3FCAB0AD" w14:textId="18196D57" w:rsidR="00D032E2" w:rsidRPr="00936C72" w:rsidRDefault="00D032E2" w:rsidP="00D63ED9">
      <w:pPr>
        <w:autoSpaceDE w:val="0"/>
        <w:autoSpaceDN w:val="0"/>
        <w:adjustRightInd w:val="0"/>
        <w:snapToGrid w:val="0"/>
        <w:spacing w:line="360" w:lineRule="auto"/>
        <w:jc w:val="both"/>
        <w:rPr>
          <w:rFonts w:ascii="Book Antiqua" w:hAnsi="Book Antiqua" w:cs="Times"/>
          <w:color w:val="000000" w:themeColor="text1"/>
        </w:rPr>
      </w:pPr>
      <w:r w:rsidRPr="00936C72">
        <w:rPr>
          <w:rFonts w:ascii="Book Antiqua" w:hAnsi="Book Antiqua" w:cs="Times"/>
          <w:color w:val="000000" w:themeColor="text1"/>
        </w:rPr>
        <w:t>The MEDLINE database was searched through PubMed using a search query constructed with the following medical subject heading (</w:t>
      </w:r>
      <w:proofErr w:type="spellStart"/>
      <w:r w:rsidRPr="00936C72">
        <w:rPr>
          <w:rFonts w:ascii="Book Antiqua" w:hAnsi="Book Antiqua" w:cs="Times"/>
          <w:color w:val="000000" w:themeColor="text1"/>
        </w:rPr>
        <w:t>MeSH</w:t>
      </w:r>
      <w:proofErr w:type="spellEnd"/>
      <w:r w:rsidRPr="00936C72">
        <w:rPr>
          <w:rFonts w:ascii="Book Antiqua" w:hAnsi="Book Antiqua" w:cs="Times"/>
          <w:color w:val="000000" w:themeColor="text1"/>
        </w:rPr>
        <w:t>) terms: (("severe acute respiratory syndrome coronavirus 2" [Supplementary Concept]) OR "COVID-19"[Supplementary Concept]) OR "coronavirus 2019"[Title/Abstract] OR "sars-cov-2"[Title/Abstract]) AND ("Gastroenterology"[Mesh])) as well as with addition of different keywords to increase the sensitivity and specificity of the search (</w:t>
      </w:r>
      <w:r w:rsidRPr="00936C72">
        <w:rPr>
          <w:rFonts w:ascii="Book Antiqua" w:hAnsi="Book Antiqua" w:cs="Times"/>
          <w:i/>
          <w:iCs/>
          <w:color w:val="000000" w:themeColor="text1"/>
        </w:rPr>
        <w:t>e.g.</w:t>
      </w:r>
      <w:r w:rsidR="00A5477D" w:rsidRPr="00936C72">
        <w:rPr>
          <w:rFonts w:ascii="Book Antiqua" w:hAnsi="Book Antiqua" w:cs="Times"/>
          <w:color w:val="000000" w:themeColor="text1"/>
        </w:rPr>
        <w:t>,</w:t>
      </w:r>
      <w:r w:rsidRPr="00936C72">
        <w:rPr>
          <w:rFonts w:ascii="Book Antiqua" w:hAnsi="Book Antiqua" w:cs="Times"/>
          <w:color w:val="000000" w:themeColor="text1"/>
        </w:rPr>
        <w:t xml:space="preserve"> "Signs and Symptoms, Digestive"[Mesh] OR "GI" OR "gastro*" OR "liver" OR "</w:t>
      </w:r>
      <w:proofErr w:type="spellStart"/>
      <w:r w:rsidRPr="00936C72">
        <w:rPr>
          <w:rFonts w:ascii="Book Antiqua" w:hAnsi="Book Antiqua" w:cs="Times"/>
          <w:color w:val="000000" w:themeColor="text1"/>
        </w:rPr>
        <w:t>hepat</w:t>
      </w:r>
      <w:proofErr w:type="spellEnd"/>
      <w:r w:rsidRPr="00936C72">
        <w:rPr>
          <w:rFonts w:ascii="Book Antiqua" w:hAnsi="Book Antiqua" w:cs="Times"/>
          <w:color w:val="000000" w:themeColor="text1"/>
        </w:rPr>
        <w:t>*" OR "digestive" OR "diarrhea" OR "</w:t>
      </w:r>
      <w:proofErr w:type="spellStart"/>
      <w:r w:rsidRPr="00936C72">
        <w:rPr>
          <w:rFonts w:ascii="Book Antiqua" w:hAnsi="Book Antiqua" w:cs="Times"/>
          <w:color w:val="000000" w:themeColor="text1"/>
        </w:rPr>
        <w:t>nause</w:t>
      </w:r>
      <w:proofErr w:type="spellEnd"/>
      <w:r w:rsidRPr="00936C72">
        <w:rPr>
          <w:rFonts w:ascii="Book Antiqua" w:hAnsi="Book Antiqua" w:cs="Times"/>
          <w:color w:val="000000" w:themeColor="text1"/>
        </w:rPr>
        <w:t>*" OR "vomit*" OR "abdomen*" OR "bowel" OR "colon" OR "bile" OR "</w:t>
      </w:r>
      <w:proofErr w:type="spellStart"/>
      <w:r w:rsidRPr="00936C72">
        <w:rPr>
          <w:rFonts w:ascii="Book Antiqua" w:hAnsi="Book Antiqua" w:cs="Times"/>
          <w:color w:val="000000" w:themeColor="text1"/>
        </w:rPr>
        <w:t>bilia</w:t>
      </w:r>
      <w:proofErr w:type="spellEnd"/>
      <w:r w:rsidRPr="00936C72">
        <w:rPr>
          <w:rFonts w:ascii="Book Antiqua" w:hAnsi="Book Antiqua" w:cs="Times"/>
          <w:color w:val="000000" w:themeColor="text1"/>
        </w:rPr>
        <w:t>*" OR "</w:t>
      </w:r>
      <w:proofErr w:type="spellStart"/>
      <w:r w:rsidRPr="00936C72">
        <w:rPr>
          <w:rFonts w:ascii="Book Antiqua" w:hAnsi="Book Antiqua" w:cs="Times"/>
          <w:color w:val="000000" w:themeColor="text1"/>
        </w:rPr>
        <w:t>dyspep</w:t>
      </w:r>
      <w:proofErr w:type="spellEnd"/>
      <w:r w:rsidRPr="00936C72">
        <w:rPr>
          <w:rFonts w:ascii="Book Antiqua" w:hAnsi="Book Antiqua" w:cs="Times"/>
          <w:color w:val="000000" w:themeColor="text1"/>
        </w:rPr>
        <w:t>*" OR "stomach" OR "</w:t>
      </w:r>
      <w:proofErr w:type="spellStart"/>
      <w:r w:rsidRPr="00936C72">
        <w:rPr>
          <w:rFonts w:ascii="Book Antiqua" w:hAnsi="Book Antiqua" w:cs="Times"/>
          <w:color w:val="000000" w:themeColor="text1"/>
        </w:rPr>
        <w:t>gastr</w:t>
      </w:r>
      <w:proofErr w:type="spellEnd"/>
      <w:r w:rsidRPr="00936C72">
        <w:rPr>
          <w:rFonts w:ascii="Book Antiqua" w:hAnsi="Book Antiqua" w:cs="Times"/>
          <w:color w:val="000000" w:themeColor="text1"/>
        </w:rPr>
        <w:t>*" OR "</w:t>
      </w:r>
      <w:proofErr w:type="spellStart"/>
      <w:r w:rsidRPr="00936C72">
        <w:rPr>
          <w:rFonts w:ascii="Book Antiqua" w:hAnsi="Book Antiqua" w:cs="Times"/>
          <w:color w:val="000000" w:themeColor="text1"/>
        </w:rPr>
        <w:t>esophag</w:t>
      </w:r>
      <w:proofErr w:type="spellEnd"/>
      <w:r w:rsidRPr="00936C72">
        <w:rPr>
          <w:rFonts w:ascii="Book Antiqua" w:hAnsi="Book Antiqua" w:cs="Times"/>
          <w:color w:val="000000" w:themeColor="text1"/>
        </w:rPr>
        <w:t>*" OR "</w:t>
      </w:r>
      <w:proofErr w:type="spellStart"/>
      <w:r w:rsidRPr="00936C72">
        <w:rPr>
          <w:rFonts w:ascii="Book Antiqua" w:hAnsi="Book Antiqua" w:cs="Times"/>
          <w:color w:val="000000" w:themeColor="text1"/>
        </w:rPr>
        <w:t>duoden</w:t>
      </w:r>
      <w:proofErr w:type="spellEnd"/>
      <w:r w:rsidRPr="00936C72">
        <w:rPr>
          <w:rFonts w:ascii="Book Antiqua" w:hAnsi="Book Antiqua" w:cs="Times"/>
          <w:color w:val="000000" w:themeColor="text1"/>
        </w:rPr>
        <w:t>*" OR "</w:t>
      </w:r>
      <w:proofErr w:type="spellStart"/>
      <w:r w:rsidRPr="00936C72">
        <w:rPr>
          <w:rFonts w:ascii="Book Antiqua" w:hAnsi="Book Antiqua" w:cs="Times"/>
          <w:color w:val="000000" w:themeColor="text1"/>
        </w:rPr>
        <w:t>jejun</w:t>
      </w:r>
      <w:proofErr w:type="spellEnd"/>
      <w:r w:rsidRPr="00936C72">
        <w:rPr>
          <w:rFonts w:ascii="Book Antiqua" w:hAnsi="Book Antiqua" w:cs="Times"/>
          <w:color w:val="000000" w:themeColor="text1"/>
        </w:rPr>
        <w:t>*" OR "</w:t>
      </w:r>
      <w:proofErr w:type="spellStart"/>
      <w:r w:rsidRPr="00936C72">
        <w:rPr>
          <w:rFonts w:ascii="Book Antiqua" w:hAnsi="Book Antiqua" w:cs="Times"/>
          <w:color w:val="000000" w:themeColor="text1"/>
        </w:rPr>
        <w:t>ile</w:t>
      </w:r>
      <w:proofErr w:type="spellEnd"/>
      <w:r w:rsidRPr="00936C72">
        <w:rPr>
          <w:rFonts w:ascii="Book Antiqua" w:hAnsi="Book Antiqua" w:cs="Times"/>
          <w:color w:val="000000" w:themeColor="text1"/>
        </w:rPr>
        <w:t>*" OR "</w:t>
      </w:r>
      <w:proofErr w:type="spellStart"/>
      <w:r w:rsidRPr="00936C72">
        <w:rPr>
          <w:rFonts w:ascii="Book Antiqua" w:hAnsi="Book Antiqua" w:cs="Times"/>
          <w:color w:val="000000" w:themeColor="text1"/>
        </w:rPr>
        <w:t>transamin</w:t>
      </w:r>
      <w:proofErr w:type="spellEnd"/>
      <w:r w:rsidRPr="00936C72">
        <w:rPr>
          <w:rFonts w:ascii="Book Antiqua" w:hAnsi="Book Antiqua" w:cs="Times"/>
          <w:color w:val="000000" w:themeColor="text1"/>
        </w:rPr>
        <w:t xml:space="preserve">*"). A similar search was performed in Google Scholar engine. The reference list of the papers, Websites of leading gastroenterology and hepatology journals, as well as WHO, and Center for Disease Control and Prevention publications were reviewed manually by the authors. The </w:t>
      </w:r>
      <w:r w:rsidR="00A5477D" w:rsidRPr="00936C72">
        <w:rPr>
          <w:rFonts w:ascii="Book Antiqua" w:hAnsi="Book Antiqua" w:cs="Times"/>
          <w:color w:val="000000" w:themeColor="text1"/>
        </w:rPr>
        <w:t>full texts</w:t>
      </w:r>
      <w:r w:rsidRPr="00936C72">
        <w:rPr>
          <w:rFonts w:ascii="Book Antiqua" w:hAnsi="Book Antiqua" w:cs="Times"/>
          <w:color w:val="000000" w:themeColor="text1"/>
        </w:rPr>
        <w:t xml:space="preserve"> of articles were reviewed by the authors to extract the relevant </w:t>
      </w:r>
      <w:r w:rsidR="00A5477D" w:rsidRPr="00936C72">
        <w:rPr>
          <w:rFonts w:ascii="Book Antiqua" w:hAnsi="Book Antiqua" w:cs="Times"/>
          <w:color w:val="000000" w:themeColor="text1"/>
        </w:rPr>
        <w:t>information and</w:t>
      </w:r>
      <w:r w:rsidRPr="00936C72">
        <w:rPr>
          <w:rFonts w:ascii="Book Antiqua" w:hAnsi="Book Antiqua" w:cs="Times"/>
          <w:color w:val="000000" w:themeColor="text1"/>
        </w:rPr>
        <w:t xml:space="preserve"> was constructed into a narrative review. Literature review was limited to the sources </w:t>
      </w:r>
      <w:r w:rsidRPr="00936C72">
        <w:rPr>
          <w:rFonts w:ascii="Book Antiqua" w:hAnsi="Book Antiqua" w:cs="Times"/>
          <w:color w:val="000000" w:themeColor="text1"/>
        </w:rPr>
        <w:lastRenderedPageBreak/>
        <w:t>available in English. Fifty-five studies were selected for full-text review by the authors.</w:t>
      </w:r>
    </w:p>
    <w:p w14:paraId="228458DB" w14:textId="77777777" w:rsidR="00A5477D" w:rsidRPr="00936C72" w:rsidRDefault="00A5477D" w:rsidP="00D63ED9">
      <w:pPr>
        <w:autoSpaceDE w:val="0"/>
        <w:autoSpaceDN w:val="0"/>
        <w:adjustRightInd w:val="0"/>
        <w:snapToGrid w:val="0"/>
        <w:spacing w:line="360" w:lineRule="auto"/>
        <w:jc w:val="both"/>
        <w:rPr>
          <w:rFonts w:ascii="Book Antiqua" w:hAnsi="Book Antiqua" w:cs="Times"/>
          <w:color w:val="000000" w:themeColor="text1"/>
        </w:rPr>
      </w:pPr>
    </w:p>
    <w:p w14:paraId="5DE8B1F7" w14:textId="3621F251" w:rsidR="00D032E2" w:rsidRPr="00936C72" w:rsidRDefault="00A5477D" w:rsidP="00D63ED9">
      <w:pPr>
        <w:autoSpaceDE w:val="0"/>
        <w:autoSpaceDN w:val="0"/>
        <w:adjustRightInd w:val="0"/>
        <w:snapToGrid w:val="0"/>
        <w:spacing w:line="360" w:lineRule="auto"/>
        <w:jc w:val="both"/>
        <w:rPr>
          <w:rFonts w:ascii="Book Antiqua" w:hAnsi="Book Antiqua" w:cs="Times"/>
          <w:b/>
          <w:bCs/>
          <w:color w:val="000000" w:themeColor="text1"/>
          <w:u w:val="single"/>
        </w:rPr>
      </w:pPr>
      <w:r w:rsidRPr="00936C72">
        <w:rPr>
          <w:rFonts w:ascii="Book Antiqua" w:hAnsi="Book Antiqua" w:cs="Times"/>
          <w:b/>
          <w:bCs/>
          <w:color w:val="000000" w:themeColor="text1"/>
          <w:u w:val="single"/>
        </w:rPr>
        <w:t>RESULTS</w:t>
      </w:r>
    </w:p>
    <w:p w14:paraId="430037C2" w14:textId="77777777" w:rsidR="00D032E2" w:rsidRPr="00936C72" w:rsidRDefault="00D032E2" w:rsidP="00D63ED9">
      <w:pPr>
        <w:autoSpaceDE w:val="0"/>
        <w:autoSpaceDN w:val="0"/>
        <w:adjustRightInd w:val="0"/>
        <w:snapToGrid w:val="0"/>
        <w:spacing w:line="360" w:lineRule="auto"/>
        <w:jc w:val="both"/>
        <w:rPr>
          <w:rFonts w:ascii="Book Antiqua" w:hAnsi="Book Antiqua" w:cs="Times"/>
          <w:b/>
          <w:bCs/>
          <w:i/>
          <w:iCs/>
          <w:color w:val="000000" w:themeColor="text1"/>
        </w:rPr>
      </w:pPr>
      <w:r w:rsidRPr="00936C72">
        <w:rPr>
          <w:rFonts w:ascii="Book Antiqua" w:hAnsi="Book Antiqua" w:cs="Times"/>
          <w:b/>
          <w:bCs/>
          <w:i/>
          <w:iCs/>
          <w:color w:val="000000" w:themeColor="text1"/>
        </w:rPr>
        <w:t>Clinical manifestation and complications</w:t>
      </w:r>
    </w:p>
    <w:p w14:paraId="7A67DDF2" w14:textId="25E003DA" w:rsidR="00D032E2" w:rsidRPr="00936C72" w:rsidRDefault="00D032E2" w:rsidP="00D63ED9">
      <w:pPr>
        <w:autoSpaceDE w:val="0"/>
        <w:autoSpaceDN w:val="0"/>
        <w:adjustRightInd w:val="0"/>
        <w:snapToGrid w:val="0"/>
        <w:spacing w:line="360" w:lineRule="auto"/>
        <w:jc w:val="both"/>
        <w:rPr>
          <w:rFonts w:ascii="Book Antiqua" w:hAnsi="Book Antiqua" w:cs="Times"/>
          <w:color w:val="000000" w:themeColor="text1"/>
        </w:rPr>
      </w:pPr>
      <w:r w:rsidRPr="00936C72">
        <w:rPr>
          <w:rFonts w:ascii="Book Antiqua" w:hAnsi="Book Antiqua" w:cs="Times"/>
          <w:color w:val="000000" w:themeColor="text1"/>
        </w:rPr>
        <w:t xml:space="preserve">Pneumonia is the most common serious clinical manifestation of COVID-19, with fever, fatigue, myalgia, and dry cough being the most common </w:t>
      </w:r>
      <w:proofErr w:type="gramStart"/>
      <w:r w:rsidRPr="00936C72">
        <w:rPr>
          <w:rFonts w:ascii="Book Antiqua" w:hAnsi="Book Antiqua" w:cs="Times"/>
          <w:color w:val="000000" w:themeColor="text1"/>
        </w:rPr>
        <w:t>features</w:t>
      </w:r>
      <w:r w:rsidRPr="00936C72">
        <w:rPr>
          <w:rFonts w:ascii="Book Antiqua" w:hAnsi="Book Antiqua" w:cs="Times"/>
          <w:color w:val="000000" w:themeColor="text1"/>
          <w:vertAlign w:val="superscript"/>
        </w:rPr>
        <w:t>[</w:t>
      </w:r>
      <w:proofErr w:type="gramEnd"/>
      <w:r w:rsidRPr="00936C72">
        <w:rPr>
          <w:rFonts w:ascii="Book Antiqua" w:hAnsi="Book Antiqua" w:cs="Times"/>
          <w:color w:val="000000" w:themeColor="text1"/>
          <w:vertAlign w:val="superscript"/>
        </w:rPr>
        <w:t>6]</w:t>
      </w:r>
      <w:r w:rsidRPr="00936C72">
        <w:rPr>
          <w:rFonts w:ascii="Book Antiqua" w:hAnsi="Book Antiqua" w:cs="Times"/>
          <w:color w:val="000000" w:themeColor="text1"/>
        </w:rPr>
        <w:t xml:space="preserve">. Other common symptoms include the anorexia, headache, dyspnea, as well as sore throat and rhinorrhea. Gastrointestinal </w:t>
      </w:r>
      <w:r w:rsidR="001253B1" w:rsidRPr="00936C72">
        <w:rPr>
          <w:rFonts w:ascii="Book Antiqua" w:hAnsi="Book Antiqua" w:cs="Times"/>
          <w:color w:val="000000" w:themeColor="text1"/>
        </w:rPr>
        <w:t xml:space="preserve">(GI) </w:t>
      </w:r>
      <w:r w:rsidRPr="00936C72">
        <w:rPr>
          <w:rFonts w:ascii="Book Antiqua" w:hAnsi="Book Antiqua" w:cs="Times"/>
          <w:color w:val="000000" w:themeColor="text1"/>
        </w:rPr>
        <w:t>symptoms present less commonly, and include diarrhea, liver test abnormalities, nausea, and abdominal pain.</w:t>
      </w:r>
    </w:p>
    <w:p w14:paraId="7DBA9043" w14:textId="77777777" w:rsidR="00D032E2" w:rsidRPr="00936C72" w:rsidRDefault="00D032E2" w:rsidP="00D63ED9">
      <w:pPr>
        <w:autoSpaceDE w:val="0"/>
        <w:autoSpaceDN w:val="0"/>
        <w:adjustRightInd w:val="0"/>
        <w:snapToGrid w:val="0"/>
        <w:spacing w:line="360" w:lineRule="auto"/>
        <w:jc w:val="both"/>
        <w:rPr>
          <w:rFonts w:ascii="Book Antiqua" w:hAnsi="Book Antiqua" w:cs="Times"/>
          <w:color w:val="000000" w:themeColor="text1"/>
        </w:rPr>
      </w:pPr>
    </w:p>
    <w:p w14:paraId="793D4436" w14:textId="77777777" w:rsidR="00D032E2" w:rsidRPr="00936C72" w:rsidRDefault="00D032E2" w:rsidP="00D63ED9">
      <w:pPr>
        <w:autoSpaceDE w:val="0"/>
        <w:autoSpaceDN w:val="0"/>
        <w:adjustRightInd w:val="0"/>
        <w:snapToGrid w:val="0"/>
        <w:spacing w:line="360" w:lineRule="auto"/>
        <w:jc w:val="both"/>
        <w:rPr>
          <w:rFonts w:ascii="Book Antiqua" w:hAnsi="Book Antiqua" w:cs="Times"/>
          <w:b/>
          <w:bCs/>
          <w:i/>
          <w:iCs/>
          <w:color w:val="000000" w:themeColor="text1"/>
        </w:rPr>
      </w:pPr>
      <w:r w:rsidRPr="00936C72">
        <w:rPr>
          <w:rFonts w:ascii="Book Antiqua" w:hAnsi="Book Antiqua" w:cs="Times"/>
          <w:b/>
          <w:bCs/>
          <w:i/>
          <w:iCs/>
          <w:color w:val="000000" w:themeColor="text1"/>
        </w:rPr>
        <w:t>Diarrhea</w:t>
      </w:r>
    </w:p>
    <w:p w14:paraId="3E6EBEC8" w14:textId="2EABAF88" w:rsidR="00D032E2" w:rsidRPr="00936C72" w:rsidRDefault="00D032E2" w:rsidP="00D63ED9">
      <w:pPr>
        <w:autoSpaceDE w:val="0"/>
        <w:autoSpaceDN w:val="0"/>
        <w:adjustRightInd w:val="0"/>
        <w:snapToGrid w:val="0"/>
        <w:spacing w:line="360" w:lineRule="auto"/>
        <w:jc w:val="both"/>
        <w:rPr>
          <w:rFonts w:ascii="Book Antiqua" w:hAnsi="Book Antiqua" w:cs="Times"/>
          <w:color w:val="000000" w:themeColor="text1"/>
        </w:rPr>
      </w:pPr>
      <w:r w:rsidRPr="00936C72">
        <w:rPr>
          <w:rFonts w:ascii="Book Antiqua" w:hAnsi="Book Antiqua" w:cs="Times"/>
          <w:color w:val="000000" w:themeColor="text1"/>
        </w:rPr>
        <w:t xml:space="preserve">In a report of 41 patients from Wuhan hospitalized with COVID-19, diarrhea was present in 3% of </w:t>
      </w:r>
      <w:proofErr w:type="gramStart"/>
      <w:r w:rsidRPr="00936C72">
        <w:rPr>
          <w:rFonts w:ascii="Book Antiqua" w:hAnsi="Book Antiqua" w:cs="Times"/>
          <w:color w:val="000000" w:themeColor="text1"/>
        </w:rPr>
        <w:t>cases</w:t>
      </w:r>
      <w:r w:rsidRPr="00936C72">
        <w:rPr>
          <w:rFonts w:ascii="Book Antiqua" w:hAnsi="Book Antiqua" w:cs="Times"/>
          <w:color w:val="000000" w:themeColor="text1"/>
          <w:vertAlign w:val="superscript"/>
        </w:rPr>
        <w:t>[</w:t>
      </w:r>
      <w:proofErr w:type="gramEnd"/>
      <w:r w:rsidRPr="00936C72">
        <w:rPr>
          <w:rFonts w:ascii="Book Antiqua" w:hAnsi="Book Antiqua" w:cs="Times"/>
          <w:color w:val="000000" w:themeColor="text1"/>
          <w:vertAlign w:val="superscript"/>
        </w:rPr>
        <w:t>7]</w:t>
      </w:r>
      <w:r w:rsidRPr="00936C72">
        <w:rPr>
          <w:rFonts w:ascii="Book Antiqua" w:hAnsi="Book Antiqua" w:cs="Times"/>
          <w:color w:val="000000" w:themeColor="text1"/>
        </w:rPr>
        <w:t xml:space="preserve">. Interestingly, none of the patients with severe disease needing intensive care unit (ICU) care had diarrhea and all the cases of diarrhea happened in patient with less severe disease in this study. A study of 18 COVID-19 cases in Singapore similarly reported diarrhea in 25% of patients who did not need supplemental oxygen, but none of the cases who required oxygen </w:t>
      </w:r>
      <w:proofErr w:type="gramStart"/>
      <w:r w:rsidRPr="00936C72">
        <w:rPr>
          <w:rFonts w:ascii="Book Antiqua" w:hAnsi="Book Antiqua" w:cs="Times"/>
          <w:color w:val="000000" w:themeColor="text1"/>
        </w:rPr>
        <w:t>supplementation</w:t>
      </w:r>
      <w:r w:rsidRPr="00936C72">
        <w:rPr>
          <w:rFonts w:ascii="Book Antiqua" w:hAnsi="Book Antiqua" w:cs="Times"/>
          <w:color w:val="000000" w:themeColor="text1"/>
          <w:vertAlign w:val="superscript"/>
        </w:rPr>
        <w:t>[</w:t>
      </w:r>
      <w:proofErr w:type="gramEnd"/>
      <w:r w:rsidRPr="00936C72">
        <w:rPr>
          <w:rFonts w:ascii="Book Antiqua" w:hAnsi="Book Antiqua" w:cs="Times"/>
          <w:color w:val="000000" w:themeColor="text1"/>
          <w:vertAlign w:val="superscript"/>
        </w:rPr>
        <w:t>8]</w:t>
      </w:r>
      <w:r w:rsidRPr="00936C72">
        <w:rPr>
          <w:rFonts w:ascii="Book Antiqua" w:hAnsi="Book Antiqua" w:cs="Times"/>
          <w:color w:val="000000" w:themeColor="text1"/>
        </w:rPr>
        <w:t>. However, a second report from 138 patients hospitalized with COVID-19 in Wuhan showed a higher prevalence of diarrhea with 10% of patients having diarrhea, and a higher prevalence of diarrhea among ICU patients (17%) compared to non-ICU patients (8%, difference not statistically significant)</w:t>
      </w:r>
      <w:r w:rsidRPr="00936C72">
        <w:rPr>
          <w:rFonts w:ascii="Book Antiqua" w:hAnsi="Book Antiqua" w:cs="Times"/>
          <w:color w:val="000000" w:themeColor="text1"/>
          <w:vertAlign w:val="superscript"/>
        </w:rPr>
        <w:t>[6]</w:t>
      </w:r>
      <w:r w:rsidRPr="00936C72">
        <w:rPr>
          <w:rFonts w:ascii="Book Antiqua" w:hAnsi="Book Antiqua" w:cs="Times"/>
          <w:color w:val="000000" w:themeColor="text1"/>
        </w:rPr>
        <w:t xml:space="preserve">. Authors reported nausea in 10% of cases, vomiting in 4%, and abdominal pain in 2% of cases. Interestingly, ICU patients were significantly more likely to have abdominal pain compared to non-ICU patients (8% </w:t>
      </w:r>
      <w:r w:rsidRPr="00936C72">
        <w:rPr>
          <w:rFonts w:ascii="Book Antiqua" w:hAnsi="Book Antiqua" w:cs="Times"/>
          <w:i/>
          <w:iCs/>
          <w:color w:val="000000" w:themeColor="text1"/>
        </w:rPr>
        <w:t>vs</w:t>
      </w:r>
      <w:r w:rsidRPr="00936C72">
        <w:rPr>
          <w:rFonts w:ascii="Book Antiqua" w:hAnsi="Book Antiqua" w:cs="Times"/>
          <w:color w:val="000000" w:themeColor="text1"/>
        </w:rPr>
        <w:t xml:space="preserve"> 0%, </w:t>
      </w:r>
      <w:r w:rsidR="00A5477D" w:rsidRPr="00936C72">
        <w:rPr>
          <w:rFonts w:ascii="Book Antiqua" w:hAnsi="Book Antiqua" w:cs="Times"/>
          <w:i/>
          <w:iCs/>
          <w:color w:val="000000" w:themeColor="text1"/>
        </w:rPr>
        <w:t>P</w:t>
      </w:r>
      <w:r w:rsidR="00A5477D" w:rsidRPr="00936C72">
        <w:rPr>
          <w:rFonts w:ascii="Book Antiqua" w:hAnsi="Book Antiqua" w:cs="Times"/>
          <w:color w:val="000000" w:themeColor="text1"/>
        </w:rPr>
        <w:t xml:space="preserve"> </w:t>
      </w:r>
      <w:r w:rsidRPr="00936C72">
        <w:rPr>
          <w:rFonts w:ascii="Book Antiqua" w:hAnsi="Book Antiqua" w:cs="Times"/>
          <w:color w:val="000000" w:themeColor="text1"/>
        </w:rPr>
        <w:t>=</w:t>
      </w:r>
      <w:r w:rsidR="00A5477D" w:rsidRPr="00936C72">
        <w:rPr>
          <w:rFonts w:ascii="Book Antiqua" w:hAnsi="Book Antiqua" w:cs="Times"/>
          <w:color w:val="000000" w:themeColor="text1"/>
        </w:rPr>
        <w:t xml:space="preserve"> </w:t>
      </w:r>
      <w:r w:rsidRPr="00936C72">
        <w:rPr>
          <w:rFonts w:ascii="Book Antiqua" w:hAnsi="Book Antiqua" w:cs="Times"/>
          <w:color w:val="000000" w:themeColor="text1"/>
        </w:rPr>
        <w:t>0.02).</w:t>
      </w:r>
    </w:p>
    <w:p w14:paraId="3999DF8A" w14:textId="77777777" w:rsidR="00D032E2" w:rsidRPr="00936C72" w:rsidRDefault="00D032E2" w:rsidP="00D63ED9">
      <w:pPr>
        <w:autoSpaceDE w:val="0"/>
        <w:autoSpaceDN w:val="0"/>
        <w:adjustRightInd w:val="0"/>
        <w:snapToGrid w:val="0"/>
        <w:spacing w:line="360" w:lineRule="auto"/>
        <w:jc w:val="both"/>
        <w:rPr>
          <w:rFonts w:ascii="Book Antiqua" w:hAnsi="Book Antiqua" w:cs="Times"/>
          <w:color w:val="000000" w:themeColor="text1"/>
        </w:rPr>
      </w:pPr>
    </w:p>
    <w:p w14:paraId="5F2185A6" w14:textId="77777777" w:rsidR="00D032E2" w:rsidRPr="00936C72" w:rsidRDefault="00D032E2" w:rsidP="00D63ED9">
      <w:pPr>
        <w:autoSpaceDE w:val="0"/>
        <w:autoSpaceDN w:val="0"/>
        <w:adjustRightInd w:val="0"/>
        <w:snapToGrid w:val="0"/>
        <w:spacing w:line="360" w:lineRule="auto"/>
        <w:jc w:val="both"/>
        <w:rPr>
          <w:rFonts w:ascii="Book Antiqua" w:hAnsi="Book Antiqua" w:cs="Times"/>
          <w:b/>
          <w:bCs/>
          <w:i/>
          <w:iCs/>
          <w:color w:val="000000" w:themeColor="text1"/>
        </w:rPr>
      </w:pPr>
      <w:r w:rsidRPr="00936C72">
        <w:rPr>
          <w:rFonts w:ascii="Book Antiqua" w:hAnsi="Book Antiqua" w:cs="Times"/>
          <w:b/>
          <w:bCs/>
          <w:i/>
          <w:iCs/>
          <w:color w:val="000000" w:themeColor="text1"/>
        </w:rPr>
        <w:t>Liver test abnormalities</w:t>
      </w:r>
    </w:p>
    <w:p w14:paraId="24112D50" w14:textId="32ADD4DF" w:rsidR="00D032E2" w:rsidRPr="00936C72" w:rsidRDefault="00D032E2" w:rsidP="00D63ED9">
      <w:pPr>
        <w:autoSpaceDE w:val="0"/>
        <w:autoSpaceDN w:val="0"/>
        <w:adjustRightInd w:val="0"/>
        <w:snapToGrid w:val="0"/>
        <w:spacing w:line="360" w:lineRule="auto"/>
        <w:jc w:val="both"/>
        <w:rPr>
          <w:rFonts w:ascii="Book Antiqua" w:hAnsi="Book Antiqua" w:cs="Times"/>
          <w:color w:val="000000" w:themeColor="text1"/>
        </w:rPr>
      </w:pPr>
      <w:r w:rsidRPr="00936C72">
        <w:rPr>
          <w:rFonts w:ascii="Book Antiqua" w:hAnsi="Book Antiqua" w:cs="Times"/>
          <w:color w:val="000000" w:themeColor="text1"/>
        </w:rPr>
        <w:lastRenderedPageBreak/>
        <w:t xml:space="preserve">The same report of 41 patients mentioned above showed elevated levels of aspartate aminotransferase (AST) in 37% of patients, including 62% of ICU patients and 25% of non-ICU patients. The study of 138 patients </w:t>
      </w:r>
      <w:r w:rsidR="00A5477D" w:rsidRPr="00936C72">
        <w:rPr>
          <w:rFonts w:ascii="Book Antiqua" w:hAnsi="Book Antiqua" w:cs="Times"/>
          <w:color w:val="000000" w:themeColor="text1"/>
        </w:rPr>
        <w:t>hospitalized</w:t>
      </w:r>
      <w:r w:rsidRPr="00936C72">
        <w:rPr>
          <w:rFonts w:ascii="Book Antiqua" w:hAnsi="Book Antiqua" w:cs="Times"/>
          <w:color w:val="000000" w:themeColor="text1"/>
        </w:rPr>
        <w:t xml:space="preserve"> in Wuhan showed that although 3% of cases had pre-existing chronic liver disease, none of these needed ICU care in this </w:t>
      </w:r>
      <w:proofErr w:type="gramStart"/>
      <w:r w:rsidRPr="00936C72">
        <w:rPr>
          <w:rFonts w:ascii="Book Antiqua" w:hAnsi="Book Antiqua" w:cs="Times"/>
          <w:color w:val="000000" w:themeColor="text1"/>
        </w:rPr>
        <w:t>cohort</w:t>
      </w:r>
      <w:r w:rsidRPr="00936C72">
        <w:rPr>
          <w:rFonts w:ascii="Book Antiqua" w:hAnsi="Book Antiqua" w:cs="Times"/>
          <w:color w:val="000000" w:themeColor="text1"/>
          <w:vertAlign w:val="superscript"/>
        </w:rPr>
        <w:t>[</w:t>
      </w:r>
      <w:proofErr w:type="gramEnd"/>
      <w:r w:rsidRPr="00936C72">
        <w:rPr>
          <w:rFonts w:ascii="Book Antiqua" w:hAnsi="Book Antiqua" w:cs="Times"/>
          <w:color w:val="000000" w:themeColor="text1"/>
          <w:vertAlign w:val="superscript"/>
        </w:rPr>
        <w:t>6]</w:t>
      </w:r>
      <w:r w:rsidRPr="00936C72">
        <w:rPr>
          <w:rFonts w:ascii="Book Antiqua" w:hAnsi="Book Antiqua" w:cs="Times"/>
          <w:color w:val="000000" w:themeColor="text1"/>
        </w:rPr>
        <w:t xml:space="preserve">. Mean AST and </w:t>
      </w:r>
      <w:r w:rsidR="004475F0" w:rsidRPr="00936C72">
        <w:rPr>
          <w:rFonts w:ascii="Book Antiqua" w:hAnsi="Book Antiqua" w:cs="Times"/>
          <w:color w:val="000000" w:themeColor="text1"/>
        </w:rPr>
        <w:t>alanine aminotransferase (</w:t>
      </w:r>
      <w:r w:rsidRPr="00936C72">
        <w:rPr>
          <w:rFonts w:ascii="Book Antiqua" w:hAnsi="Book Antiqua" w:cs="Times"/>
          <w:color w:val="000000" w:themeColor="text1"/>
        </w:rPr>
        <w:t>ALT</w:t>
      </w:r>
      <w:r w:rsidR="004475F0" w:rsidRPr="00936C72">
        <w:rPr>
          <w:rFonts w:ascii="Book Antiqua" w:hAnsi="Book Antiqua" w:cs="Times"/>
          <w:color w:val="000000" w:themeColor="text1"/>
        </w:rPr>
        <w:t>)</w:t>
      </w:r>
      <w:r w:rsidRPr="00936C72">
        <w:rPr>
          <w:rFonts w:ascii="Book Antiqua" w:hAnsi="Book Antiqua" w:cs="Times"/>
          <w:color w:val="000000" w:themeColor="text1"/>
        </w:rPr>
        <w:t xml:space="preserve"> were both mildly elevated in ICU patients (52 and 35 U/L, respectively), but not in non-ICU patients (29 and 23 U/L), with the AST/ALT ratio of 1.5. A meta-analysis of 10 studies on COVID-19 reported the prevalence of aminotransferase elevation to be between 17</w:t>
      </w:r>
      <w:r w:rsidR="00A5477D" w:rsidRPr="00936C72">
        <w:rPr>
          <w:rFonts w:ascii="Book Antiqua" w:hAnsi="Book Antiqua" w:cs="Times"/>
          <w:color w:val="000000" w:themeColor="text1"/>
        </w:rPr>
        <w:t>%</w:t>
      </w:r>
      <w:r w:rsidRPr="00936C72">
        <w:rPr>
          <w:rFonts w:ascii="Book Antiqua" w:hAnsi="Book Antiqua" w:cs="Times"/>
          <w:color w:val="000000" w:themeColor="text1"/>
        </w:rPr>
        <w:t xml:space="preserve"> and 37% of patients from different </w:t>
      </w:r>
      <w:proofErr w:type="gramStart"/>
      <w:r w:rsidRPr="00936C72">
        <w:rPr>
          <w:rFonts w:ascii="Book Antiqua" w:hAnsi="Book Antiqua" w:cs="Times"/>
          <w:color w:val="000000" w:themeColor="text1"/>
        </w:rPr>
        <w:t>studies</w:t>
      </w:r>
      <w:r w:rsidRPr="00936C72">
        <w:rPr>
          <w:rFonts w:ascii="Book Antiqua" w:hAnsi="Book Antiqua" w:cs="Times"/>
          <w:color w:val="000000" w:themeColor="text1"/>
          <w:vertAlign w:val="superscript"/>
        </w:rPr>
        <w:t>[</w:t>
      </w:r>
      <w:proofErr w:type="gramEnd"/>
      <w:r w:rsidRPr="00936C72">
        <w:rPr>
          <w:rFonts w:ascii="Book Antiqua" w:hAnsi="Book Antiqua" w:cs="Times"/>
          <w:color w:val="000000" w:themeColor="text1"/>
          <w:vertAlign w:val="superscript"/>
        </w:rPr>
        <w:t>9]</w:t>
      </w:r>
      <w:r w:rsidRPr="00936C72">
        <w:rPr>
          <w:rFonts w:ascii="Book Antiqua" w:hAnsi="Book Antiqua" w:cs="Times"/>
          <w:color w:val="000000" w:themeColor="text1"/>
        </w:rPr>
        <w:t>. A study on 1099 patients with COVID-19 in China reported an 11% prevalence of elevated total bilirubin (&gt;</w:t>
      </w:r>
      <w:r w:rsidR="00A5477D" w:rsidRPr="00936C72">
        <w:rPr>
          <w:rFonts w:ascii="Book Antiqua" w:hAnsi="Book Antiqua" w:cs="Times"/>
          <w:color w:val="000000" w:themeColor="text1"/>
        </w:rPr>
        <w:t xml:space="preserve"> </w:t>
      </w:r>
      <w:r w:rsidRPr="00936C72">
        <w:rPr>
          <w:rFonts w:ascii="Book Antiqua" w:hAnsi="Book Antiqua" w:cs="Times"/>
          <w:color w:val="000000" w:themeColor="text1"/>
        </w:rPr>
        <w:t xml:space="preserve">1 mg/dL) with both elevated aminotransferase levels and total bilirubin being more common among patients who experienced a composite outcome of ICU admission, mechanical ventilation or </w:t>
      </w:r>
      <w:proofErr w:type="gramStart"/>
      <w:r w:rsidRPr="00936C72">
        <w:rPr>
          <w:rFonts w:ascii="Book Antiqua" w:hAnsi="Book Antiqua" w:cs="Times"/>
          <w:color w:val="000000" w:themeColor="text1"/>
        </w:rPr>
        <w:t>death</w:t>
      </w:r>
      <w:r w:rsidRPr="00936C72">
        <w:rPr>
          <w:rFonts w:ascii="Book Antiqua" w:hAnsi="Book Antiqua" w:cs="Times"/>
          <w:color w:val="000000" w:themeColor="text1"/>
          <w:vertAlign w:val="superscript"/>
        </w:rPr>
        <w:t>[</w:t>
      </w:r>
      <w:proofErr w:type="gramEnd"/>
      <w:r w:rsidRPr="00936C72">
        <w:rPr>
          <w:rFonts w:ascii="Book Antiqua" w:hAnsi="Book Antiqua" w:cs="Times"/>
          <w:color w:val="000000" w:themeColor="text1"/>
          <w:vertAlign w:val="superscript"/>
        </w:rPr>
        <w:t>2]</w:t>
      </w:r>
      <w:r w:rsidRPr="00936C72">
        <w:rPr>
          <w:rFonts w:ascii="Book Antiqua" w:hAnsi="Book Antiqua" w:cs="Times"/>
          <w:color w:val="000000" w:themeColor="text1"/>
        </w:rPr>
        <w:t xml:space="preserve">. Elevation of </w:t>
      </w:r>
      <w:proofErr w:type="spellStart"/>
      <w:r w:rsidRPr="00936C72">
        <w:rPr>
          <w:rFonts w:ascii="Book Antiqua" w:hAnsi="Book Antiqua" w:cs="Times"/>
          <w:color w:val="000000" w:themeColor="text1"/>
        </w:rPr>
        <w:t>alakaline</w:t>
      </w:r>
      <w:proofErr w:type="spellEnd"/>
      <w:r w:rsidRPr="00936C72">
        <w:rPr>
          <w:rFonts w:ascii="Book Antiqua" w:hAnsi="Book Antiqua" w:cs="Times"/>
          <w:color w:val="000000" w:themeColor="text1"/>
        </w:rPr>
        <w:t xml:space="preserve"> phosphatase does not seem to be common in patients with COVID-19 and has been reported to happen in 1</w:t>
      </w:r>
      <w:r w:rsidR="00A5477D" w:rsidRPr="00936C72">
        <w:rPr>
          <w:rFonts w:ascii="Book Antiqua" w:hAnsi="Book Antiqua" w:cs="Times"/>
          <w:color w:val="000000" w:themeColor="text1"/>
        </w:rPr>
        <w:t>%</w:t>
      </w:r>
      <w:r w:rsidRPr="00936C72">
        <w:rPr>
          <w:rFonts w:ascii="Book Antiqua" w:hAnsi="Book Antiqua" w:cs="Times"/>
          <w:color w:val="000000" w:themeColor="text1"/>
        </w:rPr>
        <w:t xml:space="preserve">-2% of </w:t>
      </w:r>
      <w:proofErr w:type="gramStart"/>
      <w:r w:rsidRPr="00936C72">
        <w:rPr>
          <w:rFonts w:ascii="Book Antiqua" w:hAnsi="Book Antiqua" w:cs="Times"/>
          <w:color w:val="000000" w:themeColor="text1"/>
        </w:rPr>
        <w:t>cases</w:t>
      </w:r>
      <w:r w:rsidRPr="00936C72">
        <w:rPr>
          <w:rFonts w:ascii="Book Antiqua" w:hAnsi="Book Antiqua" w:cs="Times"/>
          <w:color w:val="000000" w:themeColor="text1"/>
          <w:vertAlign w:val="superscript"/>
        </w:rPr>
        <w:t>[</w:t>
      </w:r>
      <w:proofErr w:type="gramEnd"/>
      <w:r w:rsidRPr="00936C72">
        <w:rPr>
          <w:rFonts w:ascii="Book Antiqua" w:hAnsi="Book Antiqua" w:cs="Times"/>
          <w:color w:val="000000" w:themeColor="text1"/>
          <w:vertAlign w:val="superscript"/>
        </w:rPr>
        <w:t>10]</w:t>
      </w:r>
      <w:r w:rsidRPr="00936C72">
        <w:rPr>
          <w:rFonts w:ascii="Book Antiqua" w:hAnsi="Book Antiqua" w:cs="Times"/>
          <w:color w:val="000000" w:themeColor="text1"/>
        </w:rPr>
        <w:t>. Neither of these studies report acute fulminant liver injury or acute liver failure as a complication of COVID-19. However, given that up to a third of ICU cases can be complicated by shock, it is expected to see varying degrees of ischemic liver injury in these patients. One study has found that an ALT level of &gt;</w:t>
      </w:r>
      <w:r w:rsidR="00A5477D" w:rsidRPr="00936C72">
        <w:rPr>
          <w:rFonts w:ascii="Book Antiqua" w:hAnsi="Book Antiqua" w:cs="Times"/>
          <w:color w:val="000000" w:themeColor="text1"/>
        </w:rPr>
        <w:t xml:space="preserve"> </w:t>
      </w:r>
      <w:r w:rsidRPr="00936C72">
        <w:rPr>
          <w:rFonts w:ascii="Book Antiqua" w:hAnsi="Book Antiqua" w:cs="Times"/>
          <w:color w:val="000000" w:themeColor="text1"/>
        </w:rPr>
        <w:t xml:space="preserve">40 IU/L is associated with inpatient </w:t>
      </w:r>
      <w:proofErr w:type="gramStart"/>
      <w:r w:rsidRPr="00936C72">
        <w:rPr>
          <w:rFonts w:ascii="Book Antiqua" w:hAnsi="Book Antiqua" w:cs="Times"/>
          <w:color w:val="000000" w:themeColor="text1"/>
        </w:rPr>
        <w:t>mortality</w:t>
      </w:r>
      <w:r w:rsidRPr="00936C72">
        <w:rPr>
          <w:rFonts w:ascii="Book Antiqua" w:hAnsi="Book Antiqua" w:cs="Times"/>
          <w:color w:val="000000" w:themeColor="text1"/>
          <w:vertAlign w:val="superscript"/>
        </w:rPr>
        <w:t>[</w:t>
      </w:r>
      <w:proofErr w:type="gramEnd"/>
      <w:r w:rsidRPr="00936C72">
        <w:rPr>
          <w:rFonts w:ascii="Book Antiqua" w:hAnsi="Book Antiqua" w:cs="Times"/>
          <w:color w:val="000000" w:themeColor="text1"/>
          <w:vertAlign w:val="superscript"/>
        </w:rPr>
        <w:t>11]</w:t>
      </w:r>
      <w:r w:rsidRPr="00936C72">
        <w:rPr>
          <w:rFonts w:ascii="Book Antiqua" w:hAnsi="Book Antiqua" w:cs="Times"/>
          <w:color w:val="000000" w:themeColor="text1"/>
        </w:rPr>
        <w:t>, and another study has shown that elevated AST and bilirubin levels can be associated with higher risk of progression to respiratory failure and death</w:t>
      </w:r>
      <w:r w:rsidRPr="00936C72">
        <w:rPr>
          <w:rFonts w:ascii="Book Antiqua" w:hAnsi="Book Antiqua" w:cs="Times"/>
          <w:color w:val="000000" w:themeColor="text1"/>
          <w:vertAlign w:val="superscript"/>
        </w:rPr>
        <w:t>[12]</w:t>
      </w:r>
      <w:r w:rsidRPr="00936C72">
        <w:rPr>
          <w:rFonts w:ascii="Book Antiqua" w:hAnsi="Book Antiqua" w:cs="Times"/>
          <w:color w:val="000000" w:themeColor="text1"/>
        </w:rPr>
        <w:t>. Although it is unclear from the available evidence whether elevation of liver enzymes is an "independent" predictor of poor prognosis, these abnormalities (similar to other indicators of end-organ damage) are encountered more frequently in patients with severe disease and need for ICU care and mechanical ventilation.</w:t>
      </w:r>
    </w:p>
    <w:p w14:paraId="42042124" w14:textId="77777777" w:rsidR="00D032E2" w:rsidRPr="00936C72" w:rsidRDefault="00D032E2" w:rsidP="00D63ED9">
      <w:pPr>
        <w:autoSpaceDE w:val="0"/>
        <w:autoSpaceDN w:val="0"/>
        <w:adjustRightInd w:val="0"/>
        <w:snapToGrid w:val="0"/>
        <w:spacing w:line="360" w:lineRule="auto"/>
        <w:jc w:val="both"/>
        <w:rPr>
          <w:rFonts w:ascii="Book Antiqua" w:hAnsi="Book Antiqua" w:cs="Times"/>
          <w:color w:val="000000" w:themeColor="text1"/>
        </w:rPr>
      </w:pPr>
    </w:p>
    <w:p w14:paraId="26A537C9" w14:textId="05B8FC09" w:rsidR="00D032E2" w:rsidRPr="00936C72" w:rsidRDefault="00D032E2" w:rsidP="00D63ED9">
      <w:pPr>
        <w:autoSpaceDE w:val="0"/>
        <w:autoSpaceDN w:val="0"/>
        <w:adjustRightInd w:val="0"/>
        <w:snapToGrid w:val="0"/>
        <w:spacing w:line="360" w:lineRule="auto"/>
        <w:jc w:val="both"/>
        <w:rPr>
          <w:rFonts w:ascii="Book Antiqua" w:hAnsi="Book Antiqua" w:cs="Times"/>
          <w:b/>
          <w:bCs/>
          <w:i/>
          <w:iCs/>
          <w:color w:val="000000" w:themeColor="text1"/>
        </w:rPr>
      </w:pPr>
      <w:r w:rsidRPr="00936C72">
        <w:rPr>
          <w:rFonts w:ascii="Book Antiqua" w:hAnsi="Book Antiqua" w:cs="Times"/>
          <w:b/>
          <w:bCs/>
          <w:i/>
          <w:iCs/>
          <w:color w:val="000000" w:themeColor="text1"/>
        </w:rPr>
        <w:t xml:space="preserve">Summary of </w:t>
      </w:r>
      <w:r w:rsidR="001253B1" w:rsidRPr="00936C72">
        <w:rPr>
          <w:rFonts w:ascii="Book Antiqua" w:hAnsi="Book Antiqua" w:cs="Times"/>
          <w:b/>
          <w:bCs/>
          <w:i/>
          <w:iCs/>
          <w:color w:val="000000" w:themeColor="text1"/>
        </w:rPr>
        <w:t>GI</w:t>
      </w:r>
      <w:r w:rsidRPr="00936C72">
        <w:rPr>
          <w:rFonts w:ascii="Book Antiqua" w:hAnsi="Book Antiqua" w:cs="Times"/>
          <w:b/>
          <w:bCs/>
          <w:i/>
          <w:iCs/>
          <w:color w:val="000000" w:themeColor="text1"/>
        </w:rPr>
        <w:t xml:space="preserve"> manifestations</w:t>
      </w:r>
    </w:p>
    <w:p w14:paraId="2B59EB2B" w14:textId="3FA56810" w:rsidR="00D032E2" w:rsidRPr="00936C72" w:rsidRDefault="00D032E2" w:rsidP="00D63ED9">
      <w:pPr>
        <w:autoSpaceDE w:val="0"/>
        <w:autoSpaceDN w:val="0"/>
        <w:adjustRightInd w:val="0"/>
        <w:snapToGrid w:val="0"/>
        <w:spacing w:line="360" w:lineRule="auto"/>
        <w:jc w:val="both"/>
        <w:rPr>
          <w:rFonts w:ascii="Book Antiqua" w:hAnsi="Book Antiqua" w:cs="Times"/>
          <w:color w:val="000000" w:themeColor="text1"/>
        </w:rPr>
      </w:pPr>
      <w:r w:rsidRPr="00936C72">
        <w:rPr>
          <w:rFonts w:ascii="Book Antiqua" w:hAnsi="Book Antiqua" w:cs="Times"/>
          <w:color w:val="000000" w:themeColor="text1"/>
        </w:rPr>
        <w:lastRenderedPageBreak/>
        <w:t xml:space="preserve">Considering these findings, it seems that diarrhea is the most common </w:t>
      </w:r>
      <w:r w:rsidR="004475F0" w:rsidRPr="00936C72">
        <w:rPr>
          <w:rFonts w:ascii="Book Antiqua" w:hAnsi="Book Antiqua" w:cs="Times"/>
          <w:color w:val="000000" w:themeColor="text1"/>
        </w:rPr>
        <w:t xml:space="preserve">GI </w:t>
      </w:r>
      <w:r w:rsidRPr="00936C72">
        <w:rPr>
          <w:rFonts w:ascii="Book Antiqua" w:hAnsi="Book Antiqua" w:cs="Times"/>
          <w:color w:val="000000" w:themeColor="text1"/>
        </w:rPr>
        <w:t>manifestation of SARS-Cov2, with nausea and vomiting, abdominal pain, and mild elevation of AST and ALT as the other presentations (Table 1). Previous studies have shown a higher prevalence of diarrhea (20</w:t>
      </w:r>
      <w:r w:rsidR="00A5477D" w:rsidRPr="00936C72">
        <w:rPr>
          <w:rFonts w:ascii="Book Antiqua" w:hAnsi="Book Antiqua" w:cs="Times"/>
          <w:color w:val="000000" w:themeColor="text1"/>
        </w:rPr>
        <w:t>%</w:t>
      </w:r>
      <w:r w:rsidRPr="00936C72">
        <w:rPr>
          <w:rFonts w:ascii="Book Antiqua" w:hAnsi="Book Antiqua" w:cs="Times"/>
          <w:color w:val="000000" w:themeColor="text1"/>
        </w:rPr>
        <w:t xml:space="preserve"> to 26%) and other </w:t>
      </w:r>
      <w:r w:rsidR="004475F0" w:rsidRPr="00936C72">
        <w:rPr>
          <w:rFonts w:ascii="Book Antiqua" w:hAnsi="Book Antiqua" w:cs="Times"/>
          <w:color w:val="000000" w:themeColor="text1"/>
        </w:rPr>
        <w:t xml:space="preserve">GI </w:t>
      </w:r>
      <w:r w:rsidRPr="00936C72">
        <w:rPr>
          <w:rFonts w:ascii="Book Antiqua" w:hAnsi="Book Antiqua" w:cs="Times"/>
          <w:color w:val="000000" w:themeColor="text1"/>
        </w:rPr>
        <w:t>symptoms in patients with SARS-</w:t>
      </w:r>
      <w:proofErr w:type="spellStart"/>
      <w:r w:rsidRPr="00936C72">
        <w:rPr>
          <w:rFonts w:ascii="Book Antiqua" w:hAnsi="Book Antiqua" w:cs="Times"/>
          <w:color w:val="000000" w:themeColor="text1"/>
        </w:rPr>
        <w:t>Cov</w:t>
      </w:r>
      <w:proofErr w:type="spellEnd"/>
      <w:r w:rsidRPr="00936C72">
        <w:rPr>
          <w:rFonts w:ascii="Book Antiqua" w:hAnsi="Book Antiqua" w:cs="Times"/>
          <w:color w:val="000000" w:themeColor="text1"/>
        </w:rPr>
        <w:t xml:space="preserve"> and MERS-</w:t>
      </w:r>
      <w:proofErr w:type="spellStart"/>
      <w:r w:rsidRPr="00936C72">
        <w:rPr>
          <w:rFonts w:ascii="Book Antiqua" w:hAnsi="Book Antiqua" w:cs="Times"/>
          <w:color w:val="000000" w:themeColor="text1"/>
        </w:rPr>
        <w:t>Cov</w:t>
      </w:r>
      <w:proofErr w:type="spellEnd"/>
      <w:r w:rsidRPr="00936C72">
        <w:rPr>
          <w:rFonts w:ascii="Book Antiqua" w:hAnsi="Book Antiqua" w:cs="Times"/>
          <w:color w:val="000000" w:themeColor="text1"/>
          <w:vertAlign w:val="superscript"/>
        </w:rPr>
        <w:t>[13,14]</w:t>
      </w:r>
      <w:r w:rsidRPr="00936C72">
        <w:rPr>
          <w:rFonts w:ascii="Book Antiqua" w:hAnsi="Book Antiqua" w:cs="Times"/>
          <w:color w:val="000000" w:themeColor="text1"/>
        </w:rPr>
        <w:t xml:space="preserve">, suggesting a different tropism compared to SARS-CoV-2, although there might be significant variability in the definition used and reporting of </w:t>
      </w:r>
      <w:r w:rsidR="004475F0" w:rsidRPr="00936C72">
        <w:rPr>
          <w:rFonts w:ascii="Book Antiqua" w:hAnsi="Book Antiqua" w:cs="Times"/>
          <w:color w:val="000000" w:themeColor="text1"/>
        </w:rPr>
        <w:t xml:space="preserve">GI </w:t>
      </w:r>
      <w:r w:rsidRPr="00936C72">
        <w:rPr>
          <w:rFonts w:ascii="Book Antiqua" w:hAnsi="Book Antiqua" w:cs="Times"/>
          <w:color w:val="000000" w:themeColor="text1"/>
        </w:rPr>
        <w:t>symptoms for COVID-19 from different hospitals</w:t>
      </w:r>
      <w:r w:rsidRPr="00936C72">
        <w:rPr>
          <w:rFonts w:ascii="Book Antiqua" w:hAnsi="Book Antiqua" w:cs="Times"/>
          <w:color w:val="000000" w:themeColor="text1"/>
          <w:vertAlign w:val="superscript"/>
        </w:rPr>
        <w:t>[2,15]</w:t>
      </w:r>
      <w:r w:rsidRPr="00936C72">
        <w:rPr>
          <w:rFonts w:ascii="Book Antiqua" w:hAnsi="Book Antiqua" w:cs="Times"/>
          <w:color w:val="000000" w:themeColor="text1"/>
        </w:rPr>
        <w:t>. The latest available evidence from a paper focusing on digestive system symptoms in 204 COVID-19 cases from Hubei, China, reports diarrhea in up to 29% of cases, but vomiting and abdominal pain in only 0.8</w:t>
      </w:r>
      <w:r w:rsidR="00A5477D" w:rsidRPr="00936C72">
        <w:rPr>
          <w:rFonts w:ascii="Book Antiqua" w:hAnsi="Book Antiqua" w:cs="Times"/>
          <w:color w:val="000000" w:themeColor="text1"/>
        </w:rPr>
        <w:t>%</w:t>
      </w:r>
      <w:r w:rsidRPr="00936C72">
        <w:rPr>
          <w:rFonts w:ascii="Book Antiqua" w:hAnsi="Book Antiqua" w:cs="Times"/>
          <w:color w:val="000000" w:themeColor="text1"/>
        </w:rPr>
        <w:t xml:space="preserve"> and 0.4%, respectively, again showing some degree of variability in </w:t>
      </w:r>
      <w:r w:rsidR="004475F0" w:rsidRPr="00936C72">
        <w:rPr>
          <w:rFonts w:ascii="Book Antiqua" w:hAnsi="Book Antiqua" w:cs="Times"/>
          <w:color w:val="000000" w:themeColor="text1"/>
        </w:rPr>
        <w:t xml:space="preserve">GI </w:t>
      </w:r>
      <w:r w:rsidRPr="00936C72">
        <w:rPr>
          <w:rFonts w:ascii="Book Antiqua" w:hAnsi="Book Antiqua" w:cs="Times"/>
          <w:color w:val="000000" w:themeColor="text1"/>
        </w:rPr>
        <w:t>presentations of the disease</w:t>
      </w:r>
      <w:r w:rsidRPr="00936C72">
        <w:rPr>
          <w:rFonts w:ascii="Book Antiqua" w:hAnsi="Book Antiqua" w:cs="Times"/>
          <w:color w:val="000000" w:themeColor="text1"/>
          <w:vertAlign w:val="superscript"/>
        </w:rPr>
        <w:t>[16]</w:t>
      </w:r>
      <w:r w:rsidRPr="00936C72">
        <w:rPr>
          <w:rFonts w:ascii="Book Antiqua" w:hAnsi="Book Antiqua" w:cs="Times"/>
          <w:color w:val="000000" w:themeColor="text1"/>
        </w:rPr>
        <w:t xml:space="preserve">. Interestingly, in our experience at our hospital in New York we have observed that mild diarrhea can be present in a much larger proportion of patients, reaching a prevalence of more than 50% in patients admitted with COVID-19, suggesting a possible different clinical manifestation in the North American population. Finally, there is now at least one report of bloody inflammatory diarrhea possibly caused by SARS-CoV-2 virus associated colitis suggesting that this virus can cause a wider variety of luminal presentations as currently </w:t>
      </w:r>
      <w:proofErr w:type="gramStart"/>
      <w:r w:rsidRPr="00936C72">
        <w:rPr>
          <w:rFonts w:ascii="Book Antiqua" w:hAnsi="Book Antiqua" w:cs="Times"/>
          <w:color w:val="000000" w:themeColor="text1"/>
        </w:rPr>
        <w:t>reported</w:t>
      </w:r>
      <w:r w:rsidRPr="00936C72">
        <w:rPr>
          <w:rFonts w:ascii="Book Antiqua" w:hAnsi="Book Antiqua" w:cs="Times"/>
          <w:color w:val="000000" w:themeColor="text1"/>
          <w:vertAlign w:val="superscript"/>
        </w:rPr>
        <w:t>[</w:t>
      </w:r>
      <w:proofErr w:type="gramEnd"/>
      <w:r w:rsidRPr="00936C72">
        <w:rPr>
          <w:rFonts w:ascii="Book Antiqua" w:hAnsi="Book Antiqua" w:cs="Times"/>
          <w:color w:val="000000" w:themeColor="text1"/>
          <w:vertAlign w:val="superscript"/>
        </w:rPr>
        <w:t>17]</w:t>
      </w:r>
      <w:r w:rsidRPr="00936C72">
        <w:rPr>
          <w:rFonts w:ascii="Book Antiqua" w:hAnsi="Book Antiqua" w:cs="Times"/>
          <w:color w:val="000000" w:themeColor="text1"/>
        </w:rPr>
        <w:t xml:space="preserve">. Importantly, 7 patients in the </w:t>
      </w:r>
      <w:r w:rsidR="00A5477D" w:rsidRPr="00936C72">
        <w:rPr>
          <w:rFonts w:ascii="Book Antiqua" w:hAnsi="Book Antiqua" w:cs="Times"/>
          <w:color w:val="000000" w:themeColor="text1"/>
        </w:rPr>
        <w:t>above-mentioned</w:t>
      </w:r>
      <w:r w:rsidRPr="00936C72">
        <w:rPr>
          <w:rFonts w:ascii="Book Antiqua" w:hAnsi="Book Antiqua" w:cs="Times"/>
          <w:color w:val="000000" w:themeColor="text1"/>
        </w:rPr>
        <w:t xml:space="preserve"> study (3%) presented only with the digestive complaints mentioned above, and without any respiratory symptoms, in addition to 20% of cases who presented with a combination of respiratory and </w:t>
      </w:r>
      <w:r w:rsidR="004475F0" w:rsidRPr="00936C72">
        <w:rPr>
          <w:rFonts w:ascii="Book Antiqua" w:hAnsi="Book Antiqua" w:cs="Times"/>
          <w:color w:val="000000" w:themeColor="text1"/>
        </w:rPr>
        <w:t xml:space="preserve">GI </w:t>
      </w:r>
      <w:r w:rsidRPr="00936C72">
        <w:rPr>
          <w:rFonts w:ascii="Book Antiqua" w:hAnsi="Book Antiqua" w:cs="Times"/>
          <w:color w:val="000000" w:themeColor="text1"/>
        </w:rPr>
        <w:t xml:space="preserve">symptoms. Interestingly, patients presenting with GI symptoms had a longer time from the onset of disease to hospital admission compared with patients without digestive symptoms (9.0 d </w:t>
      </w:r>
      <w:r w:rsidRPr="00936C72">
        <w:rPr>
          <w:rFonts w:ascii="Book Antiqua" w:hAnsi="Book Antiqua" w:cs="Times"/>
          <w:i/>
          <w:iCs/>
          <w:color w:val="000000" w:themeColor="text1"/>
        </w:rPr>
        <w:t>vs</w:t>
      </w:r>
      <w:r w:rsidRPr="00936C72">
        <w:rPr>
          <w:rFonts w:ascii="Book Antiqua" w:hAnsi="Book Antiqua" w:cs="Times"/>
          <w:color w:val="000000" w:themeColor="text1"/>
        </w:rPr>
        <w:t xml:space="preserve"> 7.3 d, </w:t>
      </w:r>
      <w:r w:rsidR="00A5477D" w:rsidRPr="00936C72">
        <w:rPr>
          <w:rFonts w:ascii="Book Antiqua" w:hAnsi="Book Antiqua" w:cs="Times"/>
          <w:i/>
          <w:iCs/>
          <w:color w:val="000000" w:themeColor="text1"/>
        </w:rPr>
        <w:t>P</w:t>
      </w:r>
      <w:r w:rsidR="00A5477D" w:rsidRPr="00936C72">
        <w:rPr>
          <w:rFonts w:ascii="Book Antiqua" w:hAnsi="Book Antiqua" w:cs="Times"/>
          <w:color w:val="000000" w:themeColor="text1"/>
        </w:rPr>
        <w:t xml:space="preserve"> </w:t>
      </w:r>
      <w:r w:rsidRPr="00936C72">
        <w:rPr>
          <w:rFonts w:ascii="Book Antiqua" w:hAnsi="Book Antiqua" w:cs="Times"/>
          <w:color w:val="000000" w:themeColor="text1"/>
        </w:rPr>
        <w:t>=</w:t>
      </w:r>
      <w:r w:rsidR="00A5477D" w:rsidRPr="00936C72">
        <w:rPr>
          <w:rFonts w:ascii="Book Antiqua" w:hAnsi="Book Antiqua" w:cs="Times"/>
          <w:color w:val="000000" w:themeColor="text1"/>
        </w:rPr>
        <w:t xml:space="preserve"> </w:t>
      </w:r>
      <w:r w:rsidRPr="00936C72">
        <w:rPr>
          <w:rFonts w:ascii="Book Antiqua" w:hAnsi="Book Antiqua" w:cs="Times"/>
          <w:color w:val="000000" w:themeColor="text1"/>
        </w:rPr>
        <w:t>0.02), and GI symptoms were observed to increase with severity and duration of COVID-19</w:t>
      </w:r>
      <w:r w:rsidRPr="00936C72">
        <w:rPr>
          <w:rFonts w:ascii="Book Antiqua" w:hAnsi="Book Antiqua" w:cs="Times"/>
          <w:color w:val="000000" w:themeColor="text1"/>
          <w:vertAlign w:val="superscript"/>
        </w:rPr>
        <w:t>[16]</w:t>
      </w:r>
      <w:r w:rsidRPr="00936C72">
        <w:rPr>
          <w:rFonts w:ascii="Book Antiqua" w:hAnsi="Book Antiqua" w:cs="Times"/>
          <w:color w:val="000000" w:themeColor="text1"/>
        </w:rPr>
        <w:t xml:space="preserve">. A separate study has also suggested that while COVID-19 shows a male predominance, GI symptoms of the disease are more likely to be present in female </w:t>
      </w:r>
      <w:proofErr w:type="gramStart"/>
      <w:r w:rsidRPr="00936C72">
        <w:rPr>
          <w:rFonts w:ascii="Book Antiqua" w:hAnsi="Book Antiqua" w:cs="Times"/>
          <w:color w:val="000000" w:themeColor="text1"/>
        </w:rPr>
        <w:t>patients</w:t>
      </w:r>
      <w:r w:rsidRPr="00936C72">
        <w:rPr>
          <w:rFonts w:ascii="Book Antiqua" w:hAnsi="Book Antiqua" w:cs="Times"/>
          <w:color w:val="000000" w:themeColor="text1"/>
          <w:vertAlign w:val="superscript"/>
        </w:rPr>
        <w:t>[</w:t>
      </w:r>
      <w:proofErr w:type="gramEnd"/>
      <w:r w:rsidRPr="00936C72">
        <w:rPr>
          <w:rFonts w:ascii="Book Antiqua" w:hAnsi="Book Antiqua" w:cs="Times"/>
          <w:color w:val="000000" w:themeColor="text1"/>
          <w:vertAlign w:val="superscript"/>
        </w:rPr>
        <w:t>18]</w:t>
      </w:r>
      <w:r w:rsidRPr="00936C72">
        <w:rPr>
          <w:rFonts w:ascii="Book Antiqua" w:hAnsi="Book Antiqua" w:cs="Times"/>
          <w:color w:val="000000" w:themeColor="text1"/>
        </w:rPr>
        <w:t>.</w:t>
      </w:r>
      <w:r w:rsidR="00A5477D" w:rsidRPr="00936C72">
        <w:rPr>
          <w:rFonts w:ascii="Book Antiqua" w:hAnsi="Book Antiqua" w:cs="Times"/>
          <w:color w:val="000000" w:themeColor="text1"/>
        </w:rPr>
        <w:t xml:space="preserve"> </w:t>
      </w:r>
      <w:r w:rsidRPr="00936C72">
        <w:rPr>
          <w:rFonts w:ascii="Book Antiqua" w:hAnsi="Book Antiqua" w:cs="Times"/>
          <w:color w:val="000000" w:themeColor="text1"/>
        </w:rPr>
        <w:t xml:space="preserve">These findings suggest that </w:t>
      </w:r>
      <w:r w:rsidRPr="00936C72">
        <w:rPr>
          <w:rFonts w:ascii="Book Antiqua" w:hAnsi="Book Antiqua" w:cs="Times"/>
          <w:color w:val="000000" w:themeColor="text1"/>
        </w:rPr>
        <w:lastRenderedPageBreak/>
        <w:t>while a small group of patients might present initially with only GI symptoms, most of cases develop these symptoms later on during the course of their disease.</w:t>
      </w:r>
    </w:p>
    <w:p w14:paraId="339F9F99" w14:textId="7399E924" w:rsidR="00D032E2" w:rsidRPr="00936C72" w:rsidRDefault="00D032E2" w:rsidP="00D63ED9">
      <w:pPr>
        <w:autoSpaceDE w:val="0"/>
        <w:autoSpaceDN w:val="0"/>
        <w:adjustRightInd w:val="0"/>
        <w:snapToGrid w:val="0"/>
        <w:spacing w:line="360" w:lineRule="auto"/>
        <w:ind w:firstLineChars="100" w:firstLine="240"/>
        <w:jc w:val="both"/>
        <w:rPr>
          <w:rFonts w:ascii="Book Antiqua" w:hAnsi="Book Antiqua" w:cs="Times"/>
          <w:color w:val="000000" w:themeColor="text1"/>
        </w:rPr>
      </w:pPr>
      <w:r w:rsidRPr="00936C72">
        <w:rPr>
          <w:rFonts w:ascii="Book Antiqua" w:hAnsi="Book Antiqua" w:cs="Times"/>
          <w:color w:val="000000" w:themeColor="text1"/>
        </w:rPr>
        <w:t xml:space="preserve">There might be a potential explanation for relatively high prevalence of diarrhea and risk of small bowel involvement with SARS-CoV-2 compared with other </w:t>
      </w:r>
      <w:r w:rsidR="004475F0" w:rsidRPr="00936C72">
        <w:rPr>
          <w:rFonts w:ascii="Book Antiqua" w:hAnsi="Book Antiqua" w:cs="Times"/>
          <w:color w:val="000000" w:themeColor="text1"/>
        </w:rPr>
        <w:t xml:space="preserve">GI </w:t>
      </w:r>
      <w:r w:rsidRPr="00936C72">
        <w:rPr>
          <w:rFonts w:ascii="Book Antiqua" w:hAnsi="Book Antiqua" w:cs="Times"/>
          <w:color w:val="000000" w:themeColor="text1"/>
        </w:rPr>
        <w:t>symptoms, as both SARS-</w:t>
      </w:r>
      <w:proofErr w:type="spellStart"/>
      <w:r w:rsidRPr="00936C72">
        <w:rPr>
          <w:rFonts w:ascii="Book Antiqua" w:hAnsi="Book Antiqua" w:cs="Times"/>
          <w:color w:val="000000" w:themeColor="text1"/>
        </w:rPr>
        <w:t>CoV</w:t>
      </w:r>
      <w:proofErr w:type="spellEnd"/>
      <w:r w:rsidRPr="00936C72">
        <w:rPr>
          <w:rFonts w:ascii="Book Antiqua" w:hAnsi="Book Antiqua" w:cs="Times"/>
          <w:color w:val="000000" w:themeColor="text1"/>
        </w:rPr>
        <w:t xml:space="preserve"> and SARS-CoV-2 are thought to have a high affinity for angiotensin-converting enzyme 2 (ACE2) receptor potentially permitting virus entry into cells, and ileal epithelial cells have a significantly high ACE2 expression, while </w:t>
      </w:r>
      <w:proofErr w:type="spellStart"/>
      <w:r w:rsidRPr="00936C72">
        <w:rPr>
          <w:rFonts w:ascii="Book Antiqua" w:hAnsi="Book Antiqua" w:cs="Times"/>
          <w:color w:val="000000" w:themeColor="text1"/>
        </w:rPr>
        <w:t>cholangiocytes</w:t>
      </w:r>
      <w:proofErr w:type="spellEnd"/>
      <w:r w:rsidRPr="00936C72">
        <w:rPr>
          <w:rFonts w:ascii="Book Antiqua" w:hAnsi="Book Antiqua" w:cs="Times"/>
          <w:color w:val="000000" w:themeColor="text1"/>
        </w:rPr>
        <w:t xml:space="preserve"> and esophageal epithelial cells also express this receptor as a potential target for the virus</w:t>
      </w:r>
      <w:r w:rsidRPr="00936C72">
        <w:rPr>
          <w:rFonts w:ascii="Book Antiqua" w:hAnsi="Book Antiqua" w:cs="Times"/>
          <w:color w:val="000000" w:themeColor="text1"/>
          <w:vertAlign w:val="superscript"/>
        </w:rPr>
        <w:t>[3,19,20]</w:t>
      </w:r>
      <w:r w:rsidRPr="00936C72">
        <w:rPr>
          <w:rFonts w:ascii="Book Antiqua" w:hAnsi="Book Antiqua" w:cs="Times"/>
          <w:color w:val="000000" w:themeColor="text1"/>
        </w:rPr>
        <w:t xml:space="preserve">. An available report of elevated gamma-glutamyl transferase, a diagnostic biomarker for </w:t>
      </w:r>
      <w:proofErr w:type="spellStart"/>
      <w:r w:rsidRPr="00936C72">
        <w:rPr>
          <w:rFonts w:ascii="Book Antiqua" w:hAnsi="Book Antiqua" w:cs="Times"/>
          <w:color w:val="000000" w:themeColor="text1"/>
        </w:rPr>
        <w:t>cholangiocyte</w:t>
      </w:r>
      <w:proofErr w:type="spellEnd"/>
      <w:r w:rsidRPr="00936C72">
        <w:rPr>
          <w:rFonts w:ascii="Book Antiqua" w:hAnsi="Book Antiqua" w:cs="Times"/>
          <w:color w:val="000000" w:themeColor="text1"/>
        </w:rPr>
        <w:t xml:space="preserve"> injury, in patients with COVID-19 (up to half of cases in a cohort from China) provides further evidence regarding </w:t>
      </w:r>
      <w:proofErr w:type="spellStart"/>
      <w:r w:rsidRPr="00936C72">
        <w:rPr>
          <w:rFonts w:ascii="Book Antiqua" w:hAnsi="Book Antiqua" w:cs="Times"/>
          <w:color w:val="000000" w:themeColor="text1"/>
        </w:rPr>
        <w:t>cholangiocyte</w:t>
      </w:r>
      <w:proofErr w:type="spellEnd"/>
      <w:r w:rsidRPr="00936C72">
        <w:rPr>
          <w:rFonts w:ascii="Book Antiqua" w:hAnsi="Book Antiqua" w:cs="Times"/>
          <w:color w:val="000000" w:themeColor="text1"/>
        </w:rPr>
        <w:t xml:space="preserve"> </w:t>
      </w:r>
      <w:proofErr w:type="gramStart"/>
      <w:r w:rsidRPr="00936C72">
        <w:rPr>
          <w:rFonts w:ascii="Book Antiqua" w:hAnsi="Book Antiqua" w:cs="Times"/>
          <w:color w:val="000000" w:themeColor="text1"/>
        </w:rPr>
        <w:t>injury</w:t>
      </w:r>
      <w:r w:rsidRPr="00936C72">
        <w:rPr>
          <w:rFonts w:ascii="Book Antiqua" w:hAnsi="Book Antiqua" w:cs="Times"/>
          <w:color w:val="000000" w:themeColor="text1"/>
          <w:vertAlign w:val="superscript"/>
        </w:rPr>
        <w:t>[</w:t>
      </w:r>
      <w:proofErr w:type="gramEnd"/>
      <w:r w:rsidRPr="00936C72">
        <w:rPr>
          <w:rFonts w:ascii="Book Antiqua" w:hAnsi="Book Antiqua" w:cs="Times"/>
          <w:color w:val="000000" w:themeColor="text1"/>
          <w:vertAlign w:val="superscript"/>
        </w:rPr>
        <w:t>10]</w:t>
      </w:r>
      <w:r w:rsidRPr="00936C72">
        <w:rPr>
          <w:rFonts w:ascii="Book Antiqua" w:hAnsi="Book Antiqua" w:cs="Times"/>
          <w:color w:val="000000" w:themeColor="text1"/>
        </w:rPr>
        <w:t xml:space="preserve">. Although ACE2 expression in hepatocytes is relatively lower than </w:t>
      </w:r>
      <w:proofErr w:type="spellStart"/>
      <w:r w:rsidRPr="00936C72">
        <w:rPr>
          <w:rFonts w:ascii="Book Antiqua" w:hAnsi="Book Antiqua" w:cs="Times"/>
          <w:color w:val="000000" w:themeColor="text1"/>
        </w:rPr>
        <w:t>cholangiocytes</w:t>
      </w:r>
      <w:proofErr w:type="spellEnd"/>
      <w:r w:rsidRPr="00936C72">
        <w:rPr>
          <w:rFonts w:ascii="Book Antiqua" w:hAnsi="Book Antiqua" w:cs="Times"/>
          <w:color w:val="000000" w:themeColor="text1"/>
        </w:rPr>
        <w:t>, it is worth noting that previous autopsy and liver biopsy studies from SARS-</w:t>
      </w:r>
      <w:proofErr w:type="spellStart"/>
      <w:r w:rsidRPr="00936C72">
        <w:rPr>
          <w:rFonts w:ascii="Book Antiqua" w:hAnsi="Book Antiqua" w:cs="Times"/>
          <w:color w:val="000000" w:themeColor="text1"/>
        </w:rPr>
        <w:t>CoV</w:t>
      </w:r>
      <w:proofErr w:type="spellEnd"/>
      <w:r w:rsidRPr="00936C72">
        <w:rPr>
          <w:rFonts w:ascii="Book Antiqua" w:hAnsi="Book Antiqua" w:cs="Times"/>
          <w:color w:val="000000" w:themeColor="text1"/>
        </w:rPr>
        <w:t xml:space="preserve"> patients have found viral particles in hepatic parenchyma as well as eosinophilic bodies and ballooning, suggesting hepatocyte </w:t>
      </w:r>
      <w:proofErr w:type="gramStart"/>
      <w:r w:rsidRPr="00936C72">
        <w:rPr>
          <w:rFonts w:ascii="Book Antiqua" w:hAnsi="Book Antiqua" w:cs="Times"/>
          <w:color w:val="000000" w:themeColor="text1"/>
        </w:rPr>
        <w:t>injury</w:t>
      </w:r>
      <w:r w:rsidRPr="00936C72">
        <w:rPr>
          <w:rFonts w:ascii="Book Antiqua" w:hAnsi="Book Antiqua" w:cs="Times"/>
          <w:color w:val="000000" w:themeColor="text1"/>
          <w:vertAlign w:val="superscript"/>
        </w:rPr>
        <w:t>[</w:t>
      </w:r>
      <w:proofErr w:type="gramEnd"/>
      <w:r w:rsidRPr="00936C72">
        <w:rPr>
          <w:rFonts w:ascii="Book Antiqua" w:hAnsi="Book Antiqua" w:cs="Times"/>
          <w:color w:val="000000" w:themeColor="text1"/>
          <w:vertAlign w:val="superscript"/>
        </w:rPr>
        <w:t>21,22]</w:t>
      </w:r>
      <w:r w:rsidRPr="00936C72">
        <w:rPr>
          <w:rFonts w:ascii="Book Antiqua" w:hAnsi="Book Antiqua" w:cs="Times"/>
          <w:color w:val="000000" w:themeColor="text1"/>
        </w:rPr>
        <w:t>. It should be noted that the observed GI manifestations including elevated liver enzymes can be confounded by adverse reactions due to different pharmacotherapy agents in COVID-19 patients (discussed below), as well as associated ischemia and hypoxia in severe cases.</w:t>
      </w:r>
    </w:p>
    <w:p w14:paraId="0DBA754B" w14:textId="77777777" w:rsidR="00D032E2" w:rsidRPr="00936C72" w:rsidRDefault="00D032E2" w:rsidP="00D63ED9">
      <w:pPr>
        <w:autoSpaceDE w:val="0"/>
        <w:autoSpaceDN w:val="0"/>
        <w:adjustRightInd w:val="0"/>
        <w:snapToGrid w:val="0"/>
        <w:spacing w:line="360" w:lineRule="auto"/>
        <w:jc w:val="both"/>
        <w:rPr>
          <w:rFonts w:ascii="Book Antiqua" w:hAnsi="Book Antiqua" w:cs="Times"/>
          <w:color w:val="000000" w:themeColor="text1"/>
        </w:rPr>
      </w:pPr>
    </w:p>
    <w:p w14:paraId="45328760" w14:textId="77777777" w:rsidR="00D032E2" w:rsidRPr="00936C72" w:rsidRDefault="00D032E2" w:rsidP="00D63ED9">
      <w:pPr>
        <w:autoSpaceDE w:val="0"/>
        <w:autoSpaceDN w:val="0"/>
        <w:adjustRightInd w:val="0"/>
        <w:snapToGrid w:val="0"/>
        <w:spacing w:line="360" w:lineRule="auto"/>
        <w:jc w:val="both"/>
        <w:rPr>
          <w:rFonts w:ascii="Book Antiqua" w:hAnsi="Book Antiqua" w:cs="Times"/>
          <w:b/>
          <w:bCs/>
          <w:i/>
          <w:iCs/>
          <w:color w:val="000000" w:themeColor="text1"/>
        </w:rPr>
      </w:pPr>
      <w:r w:rsidRPr="00936C72">
        <w:rPr>
          <w:rFonts w:ascii="Book Antiqua" w:hAnsi="Book Antiqua" w:cs="Times"/>
          <w:b/>
          <w:bCs/>
          <w:i/>
          <w:iCs/>
          <w:color w:val="000000" w:themeColor="text1"/>
        </w:rPr>
        <w:t>Pharmacotherapy</w:t>
      </w:r>
    </w:p>
    <w:p w14:paraId="3E805281" w14:textId="64E3DD75" w:rsidR="00D032E2" w:rsidRPr="00936C72" w:rsidRDefault="00D032E2" w:rsidP="00D63ED9">
      <w:pPr>
        <w:autoSpaceDE w:val="0"/>
        <w:autoSpaceDN w:val="0"/>
        <w:adjustRightInd w:val="0"/>
        <w:snapToGrid w:val="0"/>
        <w:spacing w:line="360" w:lineRule="auto"/>
        <w:jc w:val="both"/>
        <w:rPr>
          <w:rFonts w:ascii="Book Antiqua" w:hAnsi="Book Antiqua" w:cs="Times"/>
          <w:color w:val="000000" w:themeColor="text1"/>
        </w:rPr>
      </w:pPr>
      <w:r w:rsidRPr="00936C72">
        <w:rPr>
          <w:rFonts w:ascii="Book Antiqua" w:hAnsi="Book Antiqua" w:cs="Times"/>
          <w:color w:val="000000" w:themeColor="text1"/>
        </w:rPr>
        <w:t xml:space="preserve">Thus far there is no proven specific treatment for COVID-19, and the mainstay of management remains to be supportive care. However, the available pre-clinical evidence shows </w:t>
      </w:r>
      <w:r w:rsidRPr="00936C72">
        <w:rPr>
          <w:rFonts w:ascii="Book Antiqua" w:hAnsi="Book Antiqua" w:cs="Times"/>
          <w:i/>
          <w:iCs/>
          <w:color w:val="000000" w:themeColor="text1"/>
        </w:rPr>
        <w:t>in-vitro</w:t>
      </w:r>
      <w:r w:rsidRPr="00936C72">
        <w:rPr>
          <w:rFonts w:ascii="Book Antiqua" w:hAnsi="Book Antiqua" w:cs="Times"/>
          <w:color w:val="000000" w:themeColor="text1"/>
        </w:rPr>
        <w:t xml:space="preserve"> efficacy of both chloroquine and hydroxychloroquine against SARS-CoV-2 infection potentially through increasing </w:t>
      </w:r>
      <w:proofErr w:type="spellStart"/>
      <w:r w:rsidRPr="00936C72">
        <w:rPr>
          <w:rFonts w:ascii="Book Antiqua" w:hAnsi="Book Antiqua" w:cs="Times"/>
          <w:color w:val="000000" w:themeColor="text1"/>
        </w:rPr>
        <w:t>endosomial</w:t>
      </w:r>
      <w:proofErr w:type="spellEnd"/>
      <w:r w:rsidRPr="00936C72">
        <w:rPr>
          <w:rFonts w:ascii="Book Antiqua" w:hAnsi="Book Antiqua" w:cs="Times"/>
          <w:color w:val="000000" w:themeColor="text1"/>
        </w:rPr>
        <w:t xml:space="preserve"> pH and interfering with the glycosylation of cellular receptor of SARS-</w:t>
      </w:r>
      <w:proofErr w:type="spellStart"/>
      <w:proofErr w:type="gramStart"/>
      <w:r w:rsidRPr="00936C72">
        <w:rPr>
          <w:rFonts w:ascii="Book Antiqua" w:hAnsi="Book Antiqua" w:cs="Times"/>
          <w:color w:val="000000" w:themeColor="text1"/>
        </w:rPr>
        <w:t>CoV</w:t>
      </w:r>
      <w:proofErr w:type="spellEnd"/>
      <w:r w:rsidRPr="00936C72">
        <w:rPr>
          <w:rFonts w:ascii="Book Antiqua" w:hAnsi="Book Antiqua" w:cs="Times"/>
          <w:color w:val="000000" w:themeColor="text1"/>
          <w:vertAlign w:val="superscript"/>
        </w:rPr>
        <w:t>[</w:t>
      </w:r>
      <w:proofErr w:type="gramEnd"/>
      <w:r w:rsidRPr="00936C72">
        <w:rPr>
          <w:rFonts w:ascii="Book Antiqua" w:hAnsi="Book Antiqua" w:cs="Times"/>
          <w:color w:val="000000" w:themeColor="text1"/>
          <w:vertAlign w:val="superscript"/>
        </w:rPr>
        <w:t>23,24]</w:t>
      </w:r>
      <w:r w:rsidRPr="00936C72">
        <w:rPr>
          <w:rFonts w:ascii="Book Antiqua" w:hAnsi="Book Antiqua" w:cs="Times"/>
          <w:color w:val="000000" w:themeColor="text1"/>
        </w:rPr>
        <w:t xml:space="preserve">. This has led to clinical use of these drugs in COVID-19, while the results of ongoing clinical trials are pending. It is important to note that although chloroquine and </w:t>
      </w:r>
      <w:r w:rsidRPr="00936C72">
        <w:rPr>
          <w:rFonts w:ascii="Book Antiqua" w:hAnsi="Book Antiqua" w:cs="Times"/>
          <w:color w:val="000000" w:themeColor="text1"/>
        </w:rPr>
        <w:lastRenderedPageBreak/>
        <w:t xml:space="preserve">hydroxychloroquine rarely result in clinically significant acute liver injury (except in patients with porphyria </w:t>
      </w:r>
      <w:proofErr w:type="spellStart"/>
      <w:r w:rsidRPr="00936C72">
        <w:rPr>
          <w:rFonts w:ascii="Book Antiqua" w:hAnsi="Book Antiqua" w:cs="Times"/>
          <w:color w:val="000000" w:themeColor="text1"/>
        </w:rPr>
        <w:t>cutanea</w:t>
      </w:r>
      <w:proofErr w:type="spellEnd"/>
      <w:r w:rsidRPr="00936C72">
        <w:rPr>
          <w:rFonts w:ascii="Book Antiqua" w:hAnsi="Book Antiqua" w:cs="Times"/>
          <w:color w:val="000000" w:themeColor="text1"/>
        </w:rPr>
        <w:t xml:space="preserve"> </w:t>
      </w:r>
      <w:proofErr w:type="spellStart"/>
      <w:r w:rsidRPr="00936C72">
        <w:rPr>
          <w:rFonts w:ascii="Book Antiqua" w:hAnsi="Book Antiqua" w:cs="Times"/>
          <w:color w:val="000000" w:themeColor="text1"/>
        </w:rPr>
        <w:t>tarda</w:t>
      </w:r>
      <w:proofErr w:type="spellEnd"/>
      <w:r w:rsidRPr="00936C72">
        <w:rPr>
          <w:rFonts w:ascii="Book Antiqua" w:hAnsi="Book Antiqua" w:cs="Times"/>
          <w:color w:val="000000" w:themeColor="text1"/>
        </w:rPr>
        <w:t xml:space="preserve">), they should be used with caution in patients with hepatic impairment, or those taking concurrent hepatotoxic </w:t>
      </w:r>
      <w:proofErr w:type="gramStart"/>
      <w:r w:rsidRPr="00936C72">
        <w:rPr>
          <w:rFonts w:ascii="Book Antiqua" w:hAnsi="Book Antiqua" w:cs="Times"/>
          <w:color w:val="000000" w:themeColor="text1"/>
        </w:rPr>
        <w:t>medications</w:t>
      </w:r>
      <w:r w:rsidRPr="00936C72">
        <w:rPr>
          <w:rFonts w:ascii="Book Antiqua" w:hAnsi="Book Antiqua" w:cs="Times"/>
          <w:color w:val="000000" w:themeColor="text1"/>
          <w:vertAlign w:val="superscript"/>
        </w:rPr>
        <w:t>[</w:t>
      </w:r>
      <w:proofErr w:type="gramEnd"/>
      <w:r w:rsidRPr="00936C72">
        <w:rPr>
          <w:rFonts w:ascii="Book Antiqua" w:hAnsi="Book Antiqua" w:cs="Times"/>
          <w:color w:val="000000" w:themeColor="text1"/>
          <w:vertAlign w:val="superscript"/>
        </w:rPr>
        <w:t>25]</w:t>
      </w:r>
      <w:r w:rsidRPr="00936C72">
        <w:rPr>
          <w:rFonts w:ascii="Book Antiqua" w:hAnsi="Book Antiqua" w:cs="Times"/>
          <w:color w:val="000000" w:themeColor="text1"/>
        </w:rPr>
        <w:t xml:space="preserve">. Other experimental agents include </w:t>
      </w:r>
      <w:hyperlink r:id="rId7" w:history="1">
        <w:r w:rsidRPr="00936C72">
          <w:rPr>
            <w:rFonts w:ascii="Book Antiqua" w:hAnsi="Book Antiqua" w:cs="Times"/>
            <w:color w:val="000000" w:themeColor="text1"/>
          </w:rPr>
          <w:t>Lopinavir-Ritonavir</w:t>
        </w:r>
      </w:hyperlink>
      <w:r w:rsidRPr="00936C72">
        <w:rPr>
          <w:rFonts w:ascii="Book Antiqua" w:hAnsi="Book Antiqua" w:cs="Times"/>
          <w:color w:val="000000" w:themeColor="text1"/>
        </w:rPr>
        <w:t xml:space="preserve">, </w:t>
      </w:r>
      <w:proofErr w:type="spellStart"/>
      <w:r w:rsidRPr="00936C72">
        <w:rPr>
          <w:rFonts w:ascii="Book Antiqua" w:hAnsi="Book Antiqua" w:cs="Times"/>
          <w:color w:val="000000" w:themeColor="text1"/>
        </w:rPr>
        <w:t>Remdesivir</w:t>
      </w:r>
      <w:proofErr w:type="spellEnd"/>
      <w:r w:rsidRPr="00936C72">
        <w:rPr>
          <w:rFonts w:ascii="Book Antiqua" w:hAnsi="Book Antiqua" w:cs="Times"/>
          <w:color w:val="000000" w:themeColor="text1"/>
        </w:rPr>
        <w:t xml:space="preserve">, </w:t>
      </w:r>
      <w:proofErr w:type="spellStart"/>
      <w:r w:rsidRPr="00936C72">
        <w:rPr>
          <w:rFonts w:ascii="Book Antiqua" w:hAnsi="Book Antiqua" w:cs="Times"/>
          <w:color w:val="000000" w:themeColor="text1"/>
        </w:rPr>
        <w:t>Favipiravir</w:t>
      </w:r>
      <w:proofErr w:type="spellEnd"/>
      <w:r w:rsidRPr="00936C72">
        <w:rPr>
          <w:rFonts w:ascii="Book Antiqua" w:hAnsi="Book Antiqua" w:cs="Times"/>
          <w:color w:val="000000" w:themeColor="text1"/>
        </w:rPr>
        <w:t xml:space="preserve">, </w:t>
      </w:r>
      <w:proofErr w:type="spellStart"/>
      <w:r w:rsidRPr="00936C72">
        <w:rPr>
          <w:rFonts w:ascii="Book Antiqua" w:hAnsi="Book Antiqua" w:cs="Times"/>
          <w:color w:val="000000" w:themeColor="text1"/>
        </w:rPr>
        <w:t>Tocilizumab</w:t>
      </w:r>
      <w:proofErr w:type="spellEnd"/>
      <w:r w:rsidRPr="00936C72">
        <w:rPr>
          <w:rFonts w:ascii="Book Antiqua" w:hAnsi="Book Antiqua" w:cs="Times"/>
          <w:color w:val="000000" w:themeColor="text1"/>
        </w:rPr>
        <w:t xml:space="preserve">, </w:t>
      </w:r>
      <w:proofErr w:type="spellStart"/>
      <w:r w:rsidRPr="00936C72">
        <w:rPr>
          <w:rFonts w:ascii="Book Antiqua" w:hAnsi="Book Antiqua" w:cs="Times"/>
          <w:color w:val="000000" w:themeColor="text1"/>
        </w:rPr>
        <w:t>Sarilumab</w:t>
      </w:r>
      <w:proofErr w:type="spellEnd"/>
      <w:r w:rsidRPr="00936C72">
        <w:rPr>
          <w:rFonts w:ascii="Book Antiqua" w:hAnsi="Book Antiqua" w:cs="Times"/>
          <w:color w:val="000000" w:themeColor="text1"/>
        </w:rPr>
        <w:t xml:space="preserve">, and </w:t>
      </w:r>
      <w:proofErr w:type="spellStart"/>
      <w:r w:rsidRPr="00936C72">
        <w:rPr>
          <w:rFonts w:ascii="Book Antiqua" w:hAnsi="Book Antiqua" w:cs="Times"/>
          <w:color w:val="000000" w:themeColor="text1"/>
        </w:rPr>
        <w:t>Siltuximab</w:t>
      </w:r>
      <w:proofErr w:type="spellEnd"/>
      <w:r w:rsidRPr="00936C72">
        <w:rPr>
          <w:rFonts w:ascii="Book Antiqua" w:hAnsi="Book Antiqua" w:cs="Times"/>
          <w:color w:val="000000" w:themeColor="text1"/>
        </w:rPr>
        <w:t xml:space="preserve">, all with unproven efficacy. Use of </w:t>
      </w:r>
      <w:hyperlink r:id="rId8" w:history="1">
        <w:r w:rsidRPr="00936C72">
          <w:rPr>
            <w:rFonts w:ascii="Book Antiqua" w:hAnsi="Book Antiqua" w:cs="Times"/>
            <w:color w:val="000000" w:themeColor="text1"/>
          </w:rPr>
          <w:t>Lopinavir-Ritonavir</w:t>
        </w:r>
      </w:hyperlink>
      <w:r w:rsidRPr="00936C72">
        <w:rPr>
          <w:rFonts w:ascii="Book Antiqua" w:hAnsi="Book Antiqua" w:cs="Times"/>
          <w:color w:val="000000" w:themeColor="text1"/>
        </w:rPr>
        <w:t xml:space="preserve"> can be associated with </w:t>
      </w:r>
      <w:r w:rsidR="004475F0" w:rsidRPr="00936C72">
        <w:rPr>
          <w:rFonts w:ascii="Book Antiqua" w:hAnsi="Book Antiqua" w:cs="Times"/>
          <w:color w:val="000000" w:themeColor="text1"/>
        </w:rPr>
        <w:t xml:space="preserve">GI </w:t>
      </w:r>
      <w:r w:rsidRPr="00936C72">
        <w:rPr>
          <w:rFonts w:ascii="Book Antiqua" w:hAnsi="Book Antiqua" w:cs="Times"/>
          <w:color w:val="000000" w:themeColor="text1"/>
        </w:rPr>
        <w:t xml:space="preserve">adverse reactions such as diarrhea, nausea and vomiting, abdominal pain, and increased serum aminotransferase, amylase and lipase levels, as well as risk of hepatitis and exacerbating underlying chronic liver disease, for example in patients with chronic viral hepatitis. For example, Four out of five patients treated with </w:t>
      </w:r>
      <w:hyperlink r:id="rId9" w:history="1">
        <w:r w:rsidRPr="00936C72">
          <w:rPr>
            <w:rFonts w:ascii="Book Antiqua" w:hAnsi="Book Antiqua" w:cs="Times"/>
            <w:color w:val="000000" w:themeColor="text1"/>
          </w:rPr>
          <w:t>Lopinavir-Ritonavir</w:t>
        </w:r>
      </w:hyperlink>
      <w:r w:rsidRPr="00936C72">
        <w:rPr>
          <w:rFonts w:ascii="Book Antiqua" w:hAnsi="Book Antiqua" w:cs="Times"/>
          <w:color w:val="000000" w:themeColor="text1"/>
        </w:rPr>
        <w:t xml:space="preserve"> in an abovementioned study from Singapore developed Nausea, vomiting, and/or diarrhea, and three developed abnormal liver tests</w:t>
      </w:r>
      <w:r w:rsidRPr="00936C72">
        <w:rPr>
          <w:rFonts w:ascii="Book Antiqua" w:hAnsi="Book Antiqua" w:cs="Times"/>
          <w:color w:val="000000" w:themeColor="text1"/>
          <w:vertAlign w:val="superscript"/>
        </w:rPr>
        <w:t>[8]</w:t>
      </w:r>
      <w:r w:rsidRPr="00936C72">
        <w:rPr>
          <w:rFonts w:ascii="Book Antiqua" w:hAnsi="Book Antiqua" w:cs="Times"/>
          <w:color w:val="000000" w:themeColor="text1"/>
        </w:rPr>
        <w:t>. However, after publication of a trial failing to show a significant benefit for Lopinavir-Ritonavir, its use has declined for the treatment of COVID-19</w:t>
      </w:r>
      <w:r w:rsidRPr="00936C72">
        <w:rPr>
          <w:rFonts w:ascii="Book Antiqua" w:hAnsi="Book Antiqua" w:cs="Times"/>
          <w:color w:val="000000" w:themeColor="text1"/>
          <w:vertAlign w:val="superscript"/>
        </w:rPr>
        <w:t>[26]</w:t>
      </w:r>
      <w:r w:rsidRPr="00936C72">
        <w:rPr>
          <w:rFonts w:ascii="Book Antiqua" w:hAnsi="Book Antiqua" w:cs="Times"/>
          <w:color w:val="000000" w:themeColor="text1"/>
        </w:rPr>
        <w:t xml:space="preserve">. </w:t>
      </w:r>
      <w:r w:rsidR="00AA0589" w:rsidRPr="00936C72">
        <w:rPr>
          <w:rFonts w:ascii="Book Antiqua" w:hAnsi="Book Antiqua" w:cs="Times"/>
          <w:color w:val="000000" w:themeColor="text1"/>
        </w:rPr>
        <w:t>Similarly,</w:t>
      </w:r>
      <w:r w:rsidRPr="00936C72">
        <w:rPr>
          <w:rFonts w:ascii="Book Antiqua" w:hAnsi="Book Antiqua" w:cs="Times"/>
          <w:color w:val="000000" w:themeColor="text1"/>
        </w:rPr>
        <w:t xml:space="preserve"> Tocilizumab and similar medications such as </w:t>
      </w:r>
      <w:proofErr w:type="spellStart"/>
      <w:r w:rsidRPr="00936C72">
        <w:rPr>
          <w:rFonts w:ascii="Book Antiqua" w:hAnsi="Book Antiqua" w:cs="Times"/>
          <w:color w:val="000000" w:themeColor="text1"/>
        </w:rPr>
        <w:t>Sarilumab</w:t>
      </w:r>
      <w:proofErr w:type="spellEnd"/>
      <w:r w:rsidRPr="00936C72">
        <w:rPr>
          <w:rFonts w:ascii="Book Antiqua" w:hAnsi="Book Antiqua" w:cs="Times"/>
          <w:color w:val="000000" w:themeColor="text1"/>
        </w:rPr>
        <w:t xml:space="preserve"> can be associated with increased aminotransferase levels as well as risk of acute liver injury and failure. The full extent of GI adverse events of the antiviral treatments for COVID-19, such as </w:t>
      </w:r>
      <w:proofErr w:type="spellStart"/>
      <w:r w:rsidRPr="00936C72">
        <w:rPr>
          <w:rFonts w:ascii="Book Antiqua" w:hAnsi="Book Antiqua" w:cs="Times"/>
          <w:color w:val="000000" w:themeColor="text1"/>
        </w:rPr>
        <w:t>Remdesivir</w:t>
      </w:r>
      <w:proofErr w:type="spellEnd"/>
      <w:r w:rsidRPr="00936C72">
        <w:rPr>
          <w:rFonts w:ascii="Book Antiqua" w:hAnsi="Book Antiqua" w:cs="Times"/>
          <w:color w:val="000000" w:themeColor="text1"/>
        </w:rPr>
        <w:t xml:space="preserve"> and </w:t>
      </w:r>
      <w:proofErr w:type="spellStart"/>
      <w:r w:rsidRPr="00936C72">
        <w:rPr>
          <w:rFonts w:ascii="Book Antiqua" w:hAnsi="Book Antiqua" w:cs="Times"/>
          <w:color w:val="000000" w:themeColor="text1"/>
        </w:rPr>
        <w:t>Favipiravir</w:t>
      </w:r>
      <w:proofErr w:type="spellEnd"/>
      <w:r w:rsidRPr="00936C72">
        <w:rPr>
          <w:rFonts w:ascii="Book Antiqua" w:hAnsi="Book Antiqua" w:cs="Times"/>
          <w:color w:val="000000" w:themeColor="text1"/>
        </w:rPr>
        <w:t>, is not yet clear; however, the existing reports suggest nausea and vomiting and varying degrees of liver test abnormalities as potential side effects. It is reasonable to obtain baseline liver function tests before using the abovementioned pharmacologic agents for management of COVID-</w:t>
      </w:r>
      <w:r w:rsidR="00AA0589" w:rsidRPr="00936C72">
        <w:rPr>
          <w:rFonts w:ascii="Book Antiqua" w:hAnsi="Book Antiqua" w:cs="Times"/>
          <w:color w:val="000000" w:themeColor="text1"/>
        </w:rPr>
        <w:t>19 and</w:t>
      </w:r>
      <w:r w:rsidRPr="00936C72">
        <w:rPr>
          <w:rFonts w:ascii="Book Antiqua" w:hAnsi="Book Antiqua" w:cs="Times"/>
          <w:color w:val="000000" w:themeColor="text1"/>
        </w:rPr>
        <w:t xml:space="preserve"> continue to monitor them during treatment. Regarding immunosuppressive medication used in patients with inflammatory bowel disease and autoimmune hepatitis, the current guidance from a multi-society task force recommends continuation of medication given that risk of disease flare and associated complications currently outweighs the risk of contracting COVID-19</w:t>
      </w:r>
      <w:r w:rsidRPr="00936C72">
        <w:rPr>
          <w:rFonts w:ascii="Book Antiqua" w:hAnsi="Book Antiqua" w:cs="Times"/>
          <w:color w:val="000000" w:themeColor="text1"/>
          <w:vertAlign w:val="superscript"/>
        </w:rPr>
        <w:t>[27]</w:t>
      </w:r>
      <w:r w:rsidRPr="00936C72">
        <w:rPr>
          <w:rFonts w:ascii="Book Antiqua" w:hAnsi="Book Antiqua" w:cs="Times"/>
          <w:color w:val="000000" w:themeColor="text1"/>
        </w:rPr>
        <w:t xml:space="preserve">. These patients, as well as patients with chronic liver disease and cirrhosis, should be counseled to remain cautious and follow guidelines for at-risk group with optimal hand hygiene and social </w:t>
      </w:r>
      <w:r w:rsidRPr="00936C72">
        <w:rPr>
          <w:rFonts w:ascii="Book Antiqua" w:hAnsi="Book Antiqua" w:cs="Times"/>
          <w:color w:val="000000" w:themeColor="text1"/>
        </w:rPr>
        <w:lastRenderedPageBreak/>
        <w:t xml:space="preserve">isolation to minimize their risk during the pandemic. As an example, a report from China has suggested that a simple intervention by sending messages to patients with cirrhosis regarding precautions to take against COVID-19 can significantly decrease the risk of contracting the </w:t>
      </w:r>
      <w:proofErr w:type="gramStart"/>
      <w:r w:rsidRPr="00936C72">
        <w:rPr>
          <w:rFonts w:ascii="Book Antiqua" w:hAnsi="Book Antiqua" w:cs="Times"/>
          <w:color w:val="000000" w:themeColor="text1"/>
        </w:rPr>
        <w:t>disease</w:t>
      </w:r>
      <w:r w:rsidRPr="00936C72">
        <w:rPr>
          <w:rFonts w:ascii="Book Antiqua" w:hAnsi="Book Antiqua" w:cs="Times"/>
          <w:color w:val="000000" w:themeColor="text1"/>
          <w:vertAlign w:val="superscript"/>
        </w:rPr>
        <w:t>[</w:t>
      </w:r>
      <w:proofErr w:type="gramEnd"/>
      <w:r w:rsidRPr="00936C72">
        <w:rPr>
          <w:rFonts w:ascii="Book Antiqua" w:hAnsi="Book Antiqua" w:cs="Times"/>
          <w:color w:val="000000" w:themeColor="text1"/>
          <w:vertAlign w:val="superscript"/>
        </w:rPr>
        <w:t>28]</w:t>
      </w:r>
      <w:r w:rsidRPr="00936C72">
        <w:rPr>
          <w:rFonts w:ascii="Book Antiqua" w:hAnsi="Book Antiqua" w:cs="Times"/>
          <w:color w:val="000000" w:themeColor="text1"/>
        </w:rPr>
        <w:t>.</w:t>
      </w:r>
    </w:p>
    <w:p w14:paraId="0E92235D" w14:textId="77777777" w:rsidR="00AA0589" w:rsidRPr="00936C72" w:rsidRDefault="00AA0589" w:rsidP="00D63ED9">
      <w:pPr>
        <w:autoSpaceDE w:val="0"/>
        <w:autoSpaceDN w:val="0"/>
        <w:adjustRightInd w:val="0"/>
        <w:snapToGrid w:val="0"/>
        <w:spacing w:line="360" w:lineRule="auto"/>
        <w:jc w:val="both"/>
        <w:rPr>
          <w:rFonts w:ascii="Book Antiqua" w:hAnsi="Book Antiqua" w:cs="Times"/>
          <w:color w:val="000000" w:themeColor="text1"/>
        </w:rPr>
      </w:pPr>
    </w:p>
    <w:p w14:paraId="5BE9F687" w14:textId="77777777" w:rsidR="00D032E2" w:rsidRPr="00936C72" w:rsidRDefault="00D032E2" w:rsidP="00D63ED9">
      <w:pPr>
        <w:autoSpaceDE w:val="0"/>
        <w:autoSpaceDN w:val="0"/>
        <w:adjustRightInd w:val="0"/>
        <w:snapToGrid w:val="0"/>
        <w:spacing w:line="360" w:lineRule="auto"/>
        <w:jc w:val="both"/>
        <w:rPr>
          <w:rFonts w:ascii="Book Antiqua" w:hAnsi="Book Antiqua" w:cs="Times"/>
          <w:b/>
          <w:bCs/>
          <w:i/>
          <w:iCs/>
          <w:color w:val="000000" w:themeColor="text1"/>
        </w:rPr>
      </w:pPr>
      <w:r w:rsidRPr="00936C72">
        <w:rPr>
          <w:rFonts w:ascii="Book Antiqua" w:hAnsi="Book Antiqua" w:cs="Times"/>
          <w:b/>
          <w:bCs/>
          <w:i/>
          <w:iCs/>
          <w:color w:val="000000" w:themeColor="text1"/>
        </w:rPr>
        <w:t>Testing and fecal shedding</w:t>
      </w:r>
    </w:p>
    <w:p w14:paraId="39A386D0" w14:textId="2D93980C" w:rsidR="00D032E2" w:rsidRPr="00936C72" w:rsidRDefault="00D032E2" w:rsidP="00D63ED9">
      <w:pPr>
        <w:autoSpaceDE w:val="0"/>
        <w:autoSpaceDN w:val="0"/>
        <w:adjustRightInd w:val="0"/>
        <w:snapToGrid w:val="0"/>
        <w:spacing w:line="360" w:lineRule="auto"/>
        <w:jc w:val="both"/>
        <w:rPr>
          <w:rFonts w:ascii="Book Antiqua" w:hAnsi="Book Antiqua" w:cs="Times"/>
          <w:color w:val="000000" w:themeColor="text1"/>
        </w:rPr>
      </w:pPr>
      <w:r w:rsidRPr="00936C72">
        <w:rPr>
          <w:rFonts w:ascii="Book Antiqua" w:hAnsi="Book Antiqua" w:cs="Times"/>
          <w:color w:val="000000" w:themeColor="text1"/>
        </w:rPr>
        <w:t xml:space="preserve">Current guidelines from the WHO and </w:t>
      </w:r>
      <w:r w:rsidR="00A5477D" w:rsidRPr="00936C72">
        <w:rPr>
          <w:rFonts w:ascii="Book Antiqua" w:hAnsi="Book Antiqua" w:cs="Times"/>
          <w:color w:val="000000" w:themeColor="text1"/>
        </w:rPr>
        <w:t xml:space="preserve">Center for Disease Control and Prevention </w:t>
      </w:r>
      <w:r w:rsidRPr="00936C72">
        <w:rPr>
          <w:rFonts w:ascii="Book Antiqua" w:hAnsi="Book Antiqua" w:cs="Times"/>
          <w:color w:val="000000" w:themeColor="text1"/>
        </w:rPr>
        <w:t>recommend nasopharyngeal swabs for testing for SARS-CoV-2, with additional oropharyngeal swabs as an option</w:t>
      </w:r>
      <w:r w:rsidRPr="00936C72">
        <w:rPr>
          <w:rFonts w:ascii="Book Antiqua" w:hAnsi="Book Antiqua" w:cs="Times"/>
          <w:color w:val="000000" w:themeColor="text1"/>
          <w:vertAlign w:val="superscript"/>
        </w:rPr>
        <w:t>[29]</w:t>
      </w:r>
      <w:r w:rsidRPr="00936C72">
        <w:rPr>
          <w:rFonts w:ascii="Book Antiqua" w:hAnsi="Book Antiqua" w:cs="Times"/>
          <w:color w:val="000000" w:themeColor="text1"/>
        </w:rPr>
        <w:t>. The presence of SARS-Cov-2 is then verified using reverse-transcription polymerase chain reaction. A positive result confirms the presence of SARS-CoV-2, but due to the potential for false negative results, the WHO recommends re-sampling and repeat testing in case of negative results with clinical suspicion for COVID-19</w:t>
      </w:r>
      <w:r w:rsidRPr="00936C72">
        <w:rPr>
          <w:rFonts w:ascii="Book Antiqua" w:hAnsi="Book Antiqua" w:cs="Times"/>
          <w:color w:val="000000" w:themeColor="text1"/>
          <w:vertAlign w:val="superscript"/>
        </w:rPr>
        <w:t>[30]</w:t>
      </w:r>
      <w:r w:rsidRPr="00936C72">
        <w:rPr>
          <w:rFonts w:ascii="Book Antiqua" w:hAnsi="Book Antiqua" w:cs="Times"/>
          <w:color w:val="000000" w:themeColor="text1"/>
        </w:rPr>
        <w:t xml:space="preserve">. As mentioned earlier, SARS-CoV-2 RNA is present in </w:t>
      </w:r>
      <w:r w:rsidR="00AA0589" w:rsidRPr="00936C72">
        <w:rPr>
          <w:rFonts w:ascii="Book Antiqua" w:hAnsi="Book Antiqua" w:cs="Times"/>
          <w:color w:val="000000" w:themeColor="text1"/>
        </w:rPr>
        <w:t>patients’</w:t>
      </w:r>
      <w:r w:rsidRPr="00936C72">
        <w:rPr>
          <w:rFonts w:ascii="Book Antiqua" w:hAnsi="Book Antiqua" w:cs="Times"/>
          <w:color w:val="000000" w:themeColor="text1"/>
        </w:rPr>
        <w:t xml:space="preserve"> stool. A study of 292 cases from China reported the presence of viral RNA in stool to be persistent in 17% of convalescent cases, with 78% of cases having longer duration for stool specimens staying positive for viral RNA compared to viral RNA from throat swabs, with a median delay of 2.0 </w:t>
      </w:r>
      <w:proofErr w:type="gramStart"/>
      <w:r w:rsidRPr="00936C72">
        <w:rPr>
          <w:rFonts w:ascii="Book Antiqua" w:hAnsi="Book Antiqua" w:cs="Times"/>
          <w:color w:val="000000" w:themeColor="text1"/>
        </w:rPr>
        <w:t>d</w:t>
      </w:r>
      <w:r w:rsidRPr="00936C72">
        <w:rPr>
          <w:rFonts w:ascii="Book Antiqua" w:hAnsi="Book Antiqua" w:cs="Times"/>
          <w:color w:val="000000" w:themeColor="text1"/>
          <w:vertAlign w:val="superscript"/>
        </w:rPr>
        <w:t>[</w:t>
      </w:r>
      <w:proofErr w:type="gramEnd"/>
      <w:r w:rsidRPr="00936C72">
        <w:rPr>
          <w:rFonts w:ascii="Book Antiqua" w:hAnsi="Book Antiqua" w:cs="Times"/>
          <w:color w:val="000000" w:themeColor="text1"/>
          <w:vertAlign w:val="superscript"/>
        </w:rPr>
        <w:t>4]</w:t>
      </w:r>
      <w:r w:rsidRPr="00936C72">
        <w:rPr>
          <w:rFonts w:ascii="Book Antiqua" w:hAnsi="Book Antiqua" w:cs="Times"/>
          <w:color w:val="000000" w:themeColor="text1"/>
        </w:rPr>
        <w:t xml:space="preserve">. A separate study on 74 patients with confirmed COVID-19 and both fecal and respiratory sample testing reported that while viral RNA is not positive in all cases (it was negative in 45% of cases), the fecal RNA remains positive during convalescence and for a longer period compared to respiratory samples (mean 28 d </w:t>
      </w:r>
      <w:r w:rsidRPr="00936C72">
        <w:rPr>
          <w:rFonts w:ascii="Book Antiqua" w:hAnsi="Book Antiqua" w:cs="Times"/>
          <w:i/>
          <w:iCs/>
          <w:color w:val="000000" w:themeColor="text1"/>
        </w:rPr>
        <w:t>vs</w:t>
      </w:r>
      <w:r w:rsidRPr="00936C72">
        <w:rPr>
          <w:rFonts w:ascii="Book Antiqua" w:hAnsi="Book Antiqua" w:cs="Times"/>
          <w:color w:val="000000" w:themeColor="text1"/>
        </w:rPr>
        <w:t xml:space="preserve"> 17 d after first symptoms) and can stay positive for up to 5 </w:t>
      </w:r>
      <w:proofErr w:type="spellStart"/>
      <w:r w:rsidRPr="00936C72">
        <w:rPr>
          <w:rFonts w:ascii="Book Antiqua" w:hAnsi="Book Antiqua" w:cs="Times"/>
          <w:color w:val="000000" w:themeColor="text1"/>
        </w:rPr>
        <w:t>wk</w:t>
      </w:r>
      <w:proofErr w:type="spellEnd"/>
      <w:r w:rsidRPr="00936C72">
        <w:rPr>
          <w:rFonts w:ascii="Book Antiqua" w:hAnsi="Book Antiqua" w:cs="Times"/>
          <w:color w:val="000000" w:themeColor="text1"/>
        </w:rPr>
        <w:t xml:space="preserve"> after the initial presentation</w:t>
      </w:r>
      <w:r w:rsidRPr="00936C72">
        <w:rPr>
          <w:rFonts w:ascii="Book Antiqua" w:hAnsi="Book Antiqua" w:cs="Times"/>
          <w:color w:val="000000" w:themeColor="text1"/>
          <w:vertAlign w:val="superscript"/>
        </w:rPr>
        <w:t>[31]</w:t>
      </w:r>
      <w:r w:rsidRPr="00936C72">
        <w:rPr>
          <w:rFonts w:ascii="Book Antiqua" w:hAnsi="Book Antiqua" w:cs="Times"/>
          <w:color w:val="000000" w:themeColor="text1"/>
        </w:rPr>
        <w:t xml:space="preserve">. Although stool samples are not currently used for diagnosis of COVID-19, these findings suggest a potential role for stool samples to be used both for diagnosis and for evaluation of risk of transmission and need for isolation during convalescence, as well as a potential risk for fecal-oral transmission of this disease. Interestingly, there is now a report of a patient with COVID-19 and positive fecal viral test but with several negative pharyngeal and sputum </w:t>
      </w:r>
      <w:r w:rsidR="00AA0589" w:rsidRPr="00936C72">
        <w:rPr>
          <w:rFonts w:ascii="Book Antiqua" w:hAnsi="Book Antiqua" w:cs="Times"/>
          <w:color w:val="000000" w:themeColor="text1"/>
        </w:rPr>
        <w:t xml:space="preserve">polymerase chain reaction </w:t>
      </w:r>
      <w:r w:rsidRPr="00936C72">
        <w:rPr>
          <w:rFonts w:ascii="Book Antiqua" w:hAnsi="Book Antiqua" w:cs="Times"/>
          <w:color w:val="000000" w:themeColor="text1"/>
        </w:rPr>
        <w:t xml:space="preserve">tests over </w:t>
      </w:r>
      <w:r w:rsidRPr="00936C72">
        <w:rPr>
          <w:rFonts w:ascii="Book Antiqua" w:hAnsi="Book Antiqua" w:cs="Times"/>
          <w:color w:val="000000" w:themeColor="text1"/>
        </w:rPr>
        <w:lastRenderedPageBreak/>
        <w:t>time, suggesting that fecal testing can potentially play a role in the diagnosis of COVID-19</w:t>
      </w:r>
      <w:r w:rsidRPr="00936C72">
        <w:rPr>
          <w:rFonts w:ascii="Book Antiqua" w:hAnsi="Book Antiqua" w:cs="Times"/>
          <w:color w:val="000000" w:themeColor="text1"/>
          <w:vertAlign w:val="superscript"/>
        </w:rPr>
        <w:t>[32]</w:t>
      </w:r>
      <w:r w:rsidRPr="00936C72">
        <w:rPr>
          <w:rFonts w:ascii="Book Antiqua" w:hAnsi="Book Antiqua" w:cs="Times"/>
          <w:color w:val="000000" w:themeColor="text1"/>
        </w:rPr>
        <w:t xml:space="preserve">. Fecal </w:t>
      </w:r>
      <w:proofErr w:type="spellStart"/>
      <w:r w:rsidRPr="00936C72">
        <w:rPr>
          <w:rFonts w:ascii="Book Antiqua" w:hAnsi="Book Antiqua" w:cs="Times"/>
          <w:color w:val="000000" w:themeColor="text1"/>
        </w:rPr>
        <w:t>microbiata</w:t>
      </w:r>
      <w:proofErr w:type="spellEnd"/>
      <w:r w:rsidRPr="00936C72">
        <w:rPr>
          <w:rFonts w:ascii="Book Antiqua" w:hAnsi="Book Antiqua" w:cs="Times"/>
          <w:color w:val="000000" w:themeColor="text1"/>
        </w:rPr>
        <w:t xml:space="preserve"> transplant donors are a special group with potential for widespread transmission of the disease, and testing for viral RNA in their stool samples should be seriously considered, especially if they have a history of typical COVID-19 symptoms over the past 4 to 6 </w:t>
      </w:r>
      <w:proofErr w:type="spellStart"/>
      <w:proofErr w:type="gramStart"/>
      <w:r w:rsidRPr="00936C72">
        <w:rPr>
          <w:rFonts w:ascii="Book Antiqua" w:hAnsi="Book Antiqua" w:cs="Times"/>
          <w:color w:val="000000" w:themeColor="text1"/>
        </w:rPr>
        <w:t>wk</w:t>
      </w:r>
      <w:proofErr w:type="spellEnd"/>
      <w:r w:rsidRPr="00936C72">
        <w:rPr>
          <w:rFonts w:ascii="Book Antiqua" w:hAnsi="Book Antiqua" w:cs="Times"/>
          <w:color w:val="000000" w:themeColor="text1"/>
          <w:vertAlign w:val="superscript"/>
        </w:rPr>
        <w:t>[</w:t>
      </w:r>
      <w:proofErr w:type="gramEnd"/>
      <w:r w:rsidRPr="00936C72">
        <w:rPr>
          <w:rFonts w:ascii="Book Antiqua" w:hAnsi="Book Antiqua" w:cs="Times"/>
          <w:color w:val="000000" w:themeColor="text1"/>
          <w:vertAlign w:val="superscript"/>
        </w:rPr>
        <w:t>33]</w:t>
      </w:r>
      <w:r w:rsidRPr="00936C72">
        <w:rPr>
          <w:rFonts w:ascii="Book Antiqua" w:hAnsi="Book Antiqua" w:cs="Times"/>
          <w:color w:val="000000" w:themeColor="text1"/>
        </w:rPr>
        <w:t xml:space="preserve">. Finally, it is reasonable to consider the donors and recipients of liver transplantation as a special population and recommend universal testing for SARS-CoV-2 before liver </w:t>
      </w:r>
      <w:proofErr w:type="gramStart"/>
      <w:r w:rsidRPr="00936C72">
        <w:rPr>
          <w:rFonts w:ascii="Book Antiqua" w:hAnsi="Book Antiqua" w:cs="Times"/>
          <w:color w:val="000000" w:themeColor="text1"/>
        </w:rPr>
        <w:t>transplantation</w:t>
      </w:r>
      <w:r w:rsidRPr="00936C72">
        <w:rPr>
          <w:rFonts w:ascii="Book Antiqua" w:hAnsi="Book Antiqua" w:cs="Times"/>
          <w:color w:val="000000" w:themeColor="text1"/>
          <w:vertAlign w:val="superscript"/>
        </w:rPr>
        <w:t>[</w:t>
      </w:r>
      <w:proofErr w:type="gramEnd"/>
      <w:r w:rsidRPr="00936C72">
        <w:rPr>
          <w:rFonts w:ascii="Book Antiqua" w:hAnsi="Book Antiqua" w:cs="Times"/>
          <w:color w:val="000000" w:themeColor="text1"/>
          <w:vertAlign w:val="superscript"/>
        </w:rPr>
        <w:t>34]</w:t>
      </w:r>
      <w:r w:rsidRPr="00936C72">
        <w:rPr>
          <w:rFonts w:ascii="Book Antiqua" w:hAnsi="Book Antiqua" w:cs="Times"/>
          <w:color w:val="000000" w:themeColor="text1"/>
        </w:rPr>
        <w:t>. As mentioned above, given reports of a small minority of patients initially presenting exclusively with GI symptoms, it is important for GI consultants to remain vigilant and include COVID-19 in their differential diagnosis even in the absence of respiratory symptoms, especially in febrile patients.</w:t>
      </w:r>
    </w:p>
    <w:p w14:paraId="123CC194" w14:textId="77777777" w:rsidR="00AA0589" w:rsidRPr="00936C72" w:rsidRDefault="00AA0589" w:rsidP="00D63ED9">
      <w:pPr>
        <w:autoSpaceDE w:val="0"/>
        <w:autoSpaceDN w:val="0"/>
        <w:adjustRightInd w:val="0"/>
        <w:snapToGrid w:val="0"/>
        <w:spacing w:line="360" w:lineRule="auto"/>
        <w:jc w:val="both"/>
        <w:rPr>
          <w:rFonts w:ascii="Book Antiqua" w:hAnsi="Book Antiqua" w:cs="Times"/>
          <w:color w:val="000000" w:themeColor="text1"/>
        </w:rPr>
      </w:pPr>
    </w:p>
    <w:p w14:paraId="5177B75F" w14:textId="77777777" w:rsidR="00D032E2" w:rsidRPr="00936C72" w:rsidRDefault="00D032E2" w:rsidP="00D63ED9">
      <w:pPr>
        <w:autoSpaceDE w:val="0"/>
        <w:autoSpaceDN w:val="0"/>
        <w:adjustRightInd w:val="0"/>
        <w:snapToGrid w:val="0"/>
        <w:spacing w:line="360" w:lineRule="auto"/>
        <w:jc w:val="both"/>
        <w:rPr>
          <w:rFonts w:ascii="Book Antiqua" w:hAnsi="Book Antiqua" w:cs="Times"/>
          <w:b/>
          <w:bCs/>
          <w:i/>
          <w:iCs/>
          <w:color w:val="000000" w:themeColor="text1"/>
        </w:rPr>
      </w:pPr>
      <w:r w:rsidRPr="00936C72">
        <w:rPr>
          <w:rFonts w:ascii="Book Antiqua" w:hAnsi="Book Antiqua" w:cs="Times"/>
          <w:b/>
          <w:bCs/>
          <w:i/>
          <w:iCs/>
          <w:color w:val="000000" w:themeColor="text1"/>
        </w:rPr>
        <w:t>Endoscopy during SARS-CoV-2 pandemic</w:t>
      </w:r>
    </w:p>
    <w:p w14:paraId="78C2A13B" w14:textId="7B81BC0F" w:rsidR="00D032E2" w:rsidRPr="00936C72" w:rsidRDefault="00D032E2" w:rsidP="00D63ED9">
      <w:pPr>
        <w:autoSpaceDE w:val="0"/>
        <w:autoSpaceDN w:val="0"/>
        <w:adjustRightInd w:val="0"/>
        <w:snapToGrid w:val="0"/>
        <w:spacing w:line="360" w:lineRule="auto"/>
        <w:jc w:val="both"/>
        <w:rPr>
          <w:rFonts w:ascii="Book Antiqua" w:hAnsi="Book Antiqua" w:cs="Times"/>
          <w:color w:val="000000" w:themeColor="text1"/>
        </w:rPr>
      </w:pPr>
      <w:r w:rsidRPr="00936C72">
        <w:rPr>
          <w:rFonts w:ascii="Book Antiqua" w:hAnsi="Book Antiqua" w:cs="Times"/>
          <w:color w:val="000000" w:themeColor="text1"/>
        </w:rPr>
        <w:t xml:space="preserve">A multi-society guideline published on March 15, 2020 by the AASLD, ACG, AGA and ASGE has recommended postponing non-urgent endoscopic procedures during the </w:t>
      </w:r>
      <w:proofErr w:type="gramStart"/>
      <w:r w:rsidRPr="00936C72">
        <w:rPr>
          <w:rFonts w:ascii="Book Antiqua" w:hAnsi="Book Antiqua" w:cs="Times"/>
          <w:color w:val="000000" w:themeColor="text1"/>
        </w:rPr>
        <w:t>pandemic</w:t>
      </w:r>
      <w:r w:rsidRPr="00936C72">
        <w:rPr>
          <w:rFonts w:ascii="Book Antiqua" w:hAnsi="Book Antiqua" w:cs="Times"/>
          <w:color w:val="000000" w:themeColor="text1"/>
          <w:vertAlign w:val="superscript"/>
        </w:rPr>
        <w:t>[</w:t>
      </w:r>
      <w:proofErr w:type="gramEnd"/>
      <w:r w:rsidRPr="00936C72">
        <w:rPr>
          <w:rFonts w:ascii="Book Antiqua" w:hAnsi="Book Antiqua" w:cs="Times"/>
          <w:color w:val="000000" w:themeColor="text1"/>
          <w:vertAlign w:val="superscript"/>
        </w:rPr>
        <w:t>27]</w:t>
      </w:r>
      <w:r w:rsidRPr="00936C72">
        <w:rPr>
          <w:rFonts w:ascii="Book Antiqua" w:hAnsi="Book Antiqua" w:cs="Times"/>
          <w:color w:val="000000" w:themeColor="text1"/>
        </w:rPr>
        <w:t xml:space="preserve">. Examples of these procedures include screening and surveillance endoscopic procedures in asymptomatic patients (such as colon cancer screening or Barrett's esophagus surveillance), esophageal pH testing, motility studies (such as esophageal and anorectal manometry), and diagnostic procedures where results are not urgently needed (such as endoscopic ultrasound exam for pancreatic cyst with intermediate risk of malignancy). Naturally, endoscopists will have to continue to perform procedures for urgent cases such as food impactions or severe dysphagia, </w:t>
      </w:r>
      <w:r w:rsidR="004475F0" w:rsidRPr="00936C72">
        <w:rPr>
          <w:rFonts w:ascii="Book Antiqua" w:hAnsi="Book Antiqua" w:cs="Times"/>
          <w:color w:val="000000" w:themeColor="text1"/>
        </w:rPr>
        <w:t xml:space="preserve">GI </w:t>
      </w:r>
      <w:r w:rsidRPr="00936C72">
        <w:rPr>
          <w:rFonts w:ascii="Book Antiqua" w:hAnsi="Book Antiqua" w:cs="Times"/>
          <w:color w:val="000000" w:themeColor="text1"/>
        </w:rPr>
        <w:t xml:space="preserve">bleeding, cholangitis or acute biliary obstruction, or time-sensitive endoscopic examinations such as evaluation of malignancies and endoscopic or </w:t>
      </w:r>
      <w:proofErr w:type="spellStart"/>
      <w:r w:rsidRPr="00936C72">
        <w:rPr>
          <w:rFonts w:ascii="Book Antiqua" w:hAnsi="Book Antiqua" w:cs="Times"/>
          <w:color w:val="000000" w:themeColor="text1"/>
        </w:rPr>
        <w:t>echoendoscopic</w:t>
      </w:r>
      <w:proofErr w:type="spellEnd"/>
      <w:r w:rsidRPr="00936C72">
        <w:rPr>
          <w:rFonts w:ascii="Book Antiqua" w:hAnsi="Book Antiqua" w:cs="Times"/>
          <w:color w:val="000000" w:themeColor="text1"/>
        </w:rPr>
        <w:t xml:space="preserve"> staging. Multiple guidelines published by different GI and endoscopic societies provides further details regarding endoscopy during the COVID-19 </w:t>
      </w:r>
      <w:proofErr w:type="gramStart"/>
      <w:r w:rsidRPr="00936C72">
        <w:rPr>
          <w:rFonts w:ascii="Book Antiqua" w:hAnsi="Book Antiqua" w:cs="Times"/>
          <w:color w:val="000000" w:themeColor="text1"/>
        </w:rPr>
        <w:t>pandemic</w:t>
      </w:r>
      <w:r w:rsidRPr="00936C72">
        <w:rPr>
          <w:rFonts w:ascii="Book Antiqua" w:hAnsi="Book Antiqua" w:cs="Times"/>
          <w:color w:val="000000" w:themeColor="text1"/>
          <w:vertAlign w:val="superscript"/>
        </w:rPr>
        <w:t>[</w:t>
      </w:r>
      <w:proofErr w:type="gramEnd"/>
      <w:r w:rsidRPr="00936C72">
        <w:rPr>
          <w:rFonts w:ascii="Book Antiqua" w:hAnsi="Book Antiqua" w:cs="Times"/>
          <w:color w:val="000000" w:themeColor="text1"/>
          <w:vertAlign w:val="superscript"/>
        </w:rPr>
        <w:t>35-37]</w:t>
      </w:r>
      <w:r w:rsidRPr="00936C72">
        <w:rPr>
          <w:rFonts w:ascii="Book Antiqua" w:hAnsi="Book Antiqua" w:cs="Times"/>
          <w:color w:val="000000" w:themeColor="text1"/>
        </w:rPr>
        <w:t xml:space="preserve">. Patients should be screened for presence of fever and clinical symptoms compatible with </w:t>
      </w:r>
      <w:r w:rsidRPr="00936C72">
        <w:rPr>
          <w:rFonts w:ascii="Book Antiqua" w:hAnsi="Book Antiqua" w:cs="Times"/>
          <w:color w:val="000000" w:themeColor="text1"/>
        </w:rPr>
        <w:lastRenderedPageBreak/>
        <w:t xml:space="preserve">COVID-19 according to institutional protocols prior to admission to endoscopy suite, and the number of people present in the endoscopy suite should be minimized to decrease the risk of exposure and transmission and usage of personal protective equipment (PPE). Given the presence of viral DNA in pharyngeal and </w:t>
      </w:r>
      <w:r w:rsidR="004475F0" w:rsidRPr="00936C72">
        <w:rPr>
          <w:rFonts w:ascii="Book Antiqua" w:hAnsi="Book Antiqua" w:cs="Times"/>
          <w:color w:val="000000" w:themeColor="text1"/>
        </w:rPr>
        <w:t xml:space="preserve">GI </w:t>
      </w:r>
      <w:r w:rsidRPr="00936C72">
        <w:rPr>
          <w:rFonts w:ascii="Book Antiqua" w:hAnsi="Book Antiqua" w:cs="Times"/>
          <w:color w:val="000000" w:themeColor="text1"/>
        </w:rPr>
        <w:t xml:space="preserve">secretion, risk of aerosolization should be minimized by efficient intubation (when needed) with experienced anesthesiology providers, and minimizing the length of the endoscopic procedures and use of </w:t>
      </w:r>
      <w:proofErr w:type="gramStart"/>
      <w:r w:rsidRPr="00936C72">
        <w:rPr>
          <w:rFonts w:ascii="Book Antiqua" w:hAnsi="Book Antiqua" w:cs="Times"/>
          <w:color w:val="000000" w:themeColor="text1"/>
        </w:rPr>
        <w:t>CO</w:t>
      </w:r>
      <w:r w:rsidRPr="00936C72">
        <w:rPr>
          <w:rFonts w:ascii="Book Antiqua" w:hAnsi="Book Antiqua" w:cs="Times"/>
          <w:color w:val="000000" w:themeColor="text1"/>
          <w:vertAlign w:val="subscript"/>
        </w:rPr>
        <w:t>2</w:t>
      </w:r>
      <w:r w:rsidRPr="00936C72">
        <w:rPr>
          <w:rFonts w:ascii="Book Antiqua" w:hAnsi="Book Antiqua" w:cs="Times"/>
          <w:color w:val="000000" w:themeColor="text1"/>
          <w:vertAlign w:val="superscript"/>
        </w:rPr>
        <w:t>[</w:t>
      </w:r>
      <w:proofErr w:type="gramEnd"/>
      <w:r w:rsidRPr="00936C72">
        <w:rPr>
          <w:rFonts w:ascii="Book Antiqua" w:hAnsi="Book Antiqua" w:cs="Times"/>
          <w:color w:val="000000" w:themeColor="text1"/>
          <w:vertAlign w:val="superscript"/>
        </w:rPr>
        <w:t>38]</w:t>
      </w:r>
      <w:r w:rsidRPr="00936C72">
        <w:rPr>
          <w:rFonts w:ascii="Book Antiqua" w:hAnsi="Book Antiqua" w:cs="Times"/>
          <w:color w:val="000000" w:themeColor="text1"/>
        </w:rPr>
        <w:t>. In addition to standard PPE including disposable hairnet, gowns, gloves, surgical mask and face shield, providers should consider using N95 respirators (or equivalent, such as FFP2 or FFP3) while providing care for all patients during the COVID-19 pandemic. While some authors have suggested using N95 respirators only for confirmed or high risk cases and during upper endoscopy in intermediate risk patients, it should be noted that near universal spread of the virus across communities will qualify almost all patients as "high-risk" according to the current guidelines with a need for using N95 respirators for all endoscopic procedures</w:t>
      </w:r>
      <w:r w:rsidRPr="00936C72">
        <w:rPr>
          <w:rFonts w:ascii="Book Antiqua" w:hAnsi="Book Antiqua" w:cs="Times"/>
          <w:color w:val="000000" w:themeColor="text1"/>
          <w:vertAlign w:val="superscript"/>
        </w:rPr>
        <w:t>[37,39]</w:t>
      </w:r>
      <w:r w:rsidRPr="00936C72">
        <w:rPr>
          <w:rFonts w:ascii="Book Antiqua" w:hAnsi="Book Antiqua" w:cs="Times"/>
          <w:color w:val="000000" w:themeColor="text1"/>
        </w:rPr>
        <w:t>. Finally, it is reasonable to change gastroenterology and hepatology clinic visits to telehealth care using phone calls and video visits (according to availability and institutional protocols) in patients who do not have an absolute need for physical examination.</w:t>
      </w:r>
    </w:p>
    <w:p w14:paraId="5DB05FF3" w14:textId="1F6811B2" w:rsidR="00D032E2" w:rsidRPr="00936C72" w:rsidRDefault="00D032E2" w:rsidP="00D63ED9">
      <w:pPr>
        <w:autoSpaceDE w:val="0"/>
        <w:autoSpaceDN w:val="0"/>
        <w:adjustRightInd w:val="0"/>
        <w:snapToGrid w:val="0"/>
        <w:spacing w:line="360" w:lineRule="auto"/>
        <w:jc w:val="both"/>
        <w:rPr>
          <w:rFonts w:ascii="Book Antiqua" w:hAnsi="Book Antiqua" w:cs="Times"/>
          <w:color w:val="000000" w:themeColor="text1"/>
        </w:rPr>
      </w:pPr>
    </w:p>
    <w:p w14:paraId="525DCF82" w14:textId="23A7299C" w:rsidR="00D032E2" w:rsidRPr="00936C72" w:rsidRDefault="00AA0589" w:rsidP="00D63ED9">
      <w:pPr>
        <w:autoSpaceDE w:val="0"/>
        <w:autoSpaceDN w:val="0"/>
        <w:adjustRightInd w:val="0"/>
        <w:snapToGrid w:val="0"/>
        <w:spacing w:line="360" w:lineRule="auto"/>
        <w:jc w:val="both"/>
        <w:rPr>
          <w:rFonts w:ascii="Book Antiqua" w:hAnsi="Book Antiqua" w:cs="Times"/>
          <w:b/>
          <w:bCs/>
          <w:color w:val="000000" w:themeColor="text1"/>
          <w:u w:val="single"/>
        </w:rPr>
      </w:pPr>
      <w:r w:rsidRPr="00936C72">
        <w:rPr>
          <w:rFonts w:ascii="Book Antiqua" w:hAnsi="Book Antiqua" w:cs="Times"/>
          <w:b/>
          <w:bCs/>
          <w:color w:val="000000" w:themeColor="text1"/>
          <w:u w:val="single"/>
        </w:rPr>
        <w:t>DISCUSSION</w:t>
      </w:r>
    </w:p>
    <w:p w14:paraId="73EE8D15" w14:textId="6946A331" w:rsidR="00D032E2" w:rsidRPr="00936C72" w:rsidRDefault="00D032E2" w:rsidP="00D63ED9">
      <w:pPr>
        <w:autoSpaceDE w:val="0"/>
        <w:autoSpaceDN w:val="0"/>
        <w:adjustRightInd w:val="0"/>
        <w:snapToGrid w:val="0"/>
        <w:spacing w:line="360" w:lineRule="auto"/>
        <w:jc w:val="both"/>
        <w:rPr>
          <w:rFonts w:ascii="Book Antiqua" w:hAnsi="Book Antiqua" w:cs="Times"/>
          <w:color w:val="000000" w:themeColor="text1"/>
        </w:rPr>
      </w:pPr>
      <w:r w:rsidRPr="00936C72">
        <w:rPr>
          <w:rFonts w:ascii="Book Antiqua" w:hAnsi="Book Antiqua" w:cs="Times"/>
          <w:color w:val="000000" w:themeColor="text1"/>
        </w:rPr>
        <w:t xml:space="preserve">The current pandemic due to SARS-CoV-2 virus has caused an extreme burden for health care systems globally, and the number of cases is expected to continue to increase, at least in the immediate future. Familiarity of health care providers with this virus and its clinical manifestations can significantly help with efficient and timely management of patients with COVID-19. The review of the available literature with a focus on </w:t>
      </w:r>
      <w:r w:rsidR="004475F0" w:rsidRPr="00936C72">
        <w:rPr>
          <w:rFonts w:ascii="Book Antiqua" w:hAnsi="Book Antiqua" w:cs="Times"/>
          <w:color w:val="000000" w:themeColor="text1"/>
        </w:rPr>
        <w:t xml:space="preserve">GI </w:t>
      </w:r>
      <w:r w:rsidRPr="00936C72">
        <w:rPr>
          <w:rFonts w:ascii="Book Antiqua" w:hAnsi="Book Antiqua" w:cs="Times"/>
          <w:color w:val="000000" w:themeColor="text1"/>
        </w:rPr>
        <w:t xml:space="preserve">manifestations of COVID-19 is presented here. The available reports suggest that </w:t>
      </w:r>
      <w:r w:rsidR="004475F0" w:rsidRPr="00936C72">
        <w:rPr>
          <w:rFonts w:ascii="Book Antiqua" w:hAnsi="Book Antiqua" w:cs="Times"/>
          <w:color w:val="000000" w:themeColor="text1"/>
        </w:rPr>
        <w:t xml:space="preserve">GI </w:t>
      </w:r>
      <w:r w:rsidRPr="00936C72">
        <w:rPr>
          <w:rFonts w:ascii="Book Antiqua" w:hAnsi="Book Antiqua" w:cs="Times"/>
          <w:color w:val="000000" w:themeColor="text1"/>
        </w:rPr>
        <w:t>involvement in COVID-19 is less common compared with previous Coronavirus outbreaks, namely SARS-</w:t>
      </w:r>
      <w:proofErr w:type="spellStart"/>
      <w:r w:rsidRPr="00936C72">
        <w:rPr>
          <w:rFonts w:ascii="Book Antiqua" w:hAnsi="Book Antiqua" w:cs="Times"/>
          <w:color w:val="000000" w:themeColor="text1"/>
        </w:rPr>
        <w:t>CoV</w:t>
      </w:r>
      <w:proofErr w:type="spellEnd"/>
      <w:r w:rsidRPr="00936C72">
        <w:rPr>
          <w:rFonts w:ascii="Book Antiqua" w:hAnsi="Book Antiqua" w:cs="Times"/>
          <w:color w:val="000000" w:themeColor="text1"/>
        </w:rPr>
        <w:t xml:space="preserve">, and </w:t>
      </w:r>
      <w:r w:rsidRPr="00936C72">
        <w:rPr>
          <w:rFonts w:ascii="Book Antiqua" w:hAnsi="Book Antiqua" w:cs="Times"/>
          <w:color w:val="000000" w:themeColor="text1"/>
        </w:rPr>
        <w:lastRenderedPageBreak/>
        <w:t>MERS-</w:t>
      </w:r>
      <w:proofErr w:type="spellStart"/>
      <w:r w:rsidRPr="00936C72">
        <w:rPr>
          <w:rFonts w:ascii="Book Antiqua" w:hAnsi="Book Antiqua" w:cs="Times"/>
          <w:color w:val="000000" w:themeColor="text1"/>
        </w:rPr>
        <w:t>CoV</w:t>
      </w:r>
      <w:proofErr w:type="spellEnd"/>
      <w:r w:rsidRPr="00936C72">
        <w:rPr>
          <w:rFonts w:ascii="Book Antiqua" w:hAnsi="Book Antiqua" w:cs="Times"/>
          <w:color w:val="000000" w:themeColor="text1"/>
        </w:rPr>
        <w:t xml:space="preserve">. Nonetheless, a significant proportion of patients present with </w:t>
      </w:r>
      <w:r w:rsidR="004475F0" w:rsidRPr="00936C72">
        <w:rPr>
          <w:rFonts w:ascii="Book Antiqua" w:hAnsi="Book Antiqua" w:cs="Times"/>
          <w:color w:val="000000" w:themeColor="text1"/>
        </w:rPr>
        <w:t xml:space="preserve">GI </w:t>
      </w:r>
      <w:r w:rsidRPr="00936C72">
        <w:rPr>
          <w:rFonts w:ascii="Book Antiqua" w:hAnsi="Book Antiqua" w:cs="Times"/>
          <w:color w:val="000000" w:themeColor="text1"/>
        </w:rPr>
        <w:t xml:space="preserve">symptoms and signs in addition to the cardinal manifestations of lower respiratory tract involvement and pneumonia. In some cases the GI symptoms may precede any respiratory </w:t>
      </w:r>
      <w:proofErr w:type="gramStart"/>
      <w:r w:rsidRPr="00936C72">
        <w:rPr>
          <w:rFonts w:ascii="Book Antiqua" w:hAnsi="Book Antiqua" w:cs="Times"/>
          <w:color w:val="000000" w:themeColor="text1"/>
        </w:rPr>
        <w:t>symptoms</w:t>
      </w:r>
      <w:r w:rsidRPr="00936C72">
        <w:rPr>
          <w:rFonts w:ascii="Book Antiqua" w:hAnsi="Book Antiqua" w:cs="Times"/>
          <w:color w:val="000000" w:themeColor="text1"/>
          <w:vertAlign w:val="superscript"/>
        </w:rPr>
        <w:t>[</w:t>
      </w:r>
      <w:proofErr w:type="gramEnd"/>
      <w:r w:rsidRPr="00936C72">
        <w:rPr>
          <w:rFonts w:ascii="Book Antiqua" w:hAnsi="Book Antiqua" w:cs="Times"/>
          <w:color w:val="000000" w:themeColor="text1"/>
          <w:vertAlign w:val="superscript"/>
        </w:rPr>
        <w:t>16]</w:t>
      </w:r>
      <w:r w:rsidRPr="00936C72">
        <w:rPr>
          <w:rFonts w:ascii="Book Antiqua" w:hAnsi="Book Antiqua" w:cs="Times"/>
          <w:color w:val="000000" w:themeColor="text1"/>
        </w:rPr>
        <w:t>. The most common luminal manifestation of the disease is diarrhea reported in up to 17% of the cases, but the available literature is limited regarding the severity of diarrhea.</w:t>
      </w:r>
    </w:p>
    <w:p w14:paraId="21A75D2F" w14:textId="605F8147" w:rsidR="00D032E2" w:rsidRPr="00936C72" w:rsidRDefault="00D032E2" w:rsidP="00D63ED9">
      <w:pPr>
        <w:autoSpaceDE w:val="0"/>
        <w:autoSpaceDN w:val="0"/>
        <w:adjustRightInd w:val="0"/>
        <w:snapToGrid w:val="0"/>
        <w:spacing w:line="360" w:lineRule="auto"/>
        <w:ind w:firstLineChars="100" w:firstLine="240"/>
        <w:jc w:val="both"/>
        <w:rPr>
          <w:rFonts w:ascii="Book Antiqua" w:hAnsi="Book Antiqua" w:cs="Times"/>
          <w:color w:val="000000" w:themeColor="text1"/>
        </w:rPr>
      </w:pPr>
      <w:r w:rsidRPr="00936C72">
        <w:rPr>
          <w:rFonts w:ascii="Book Antiqua" w:hAnsi="Book Antiqua" w:cs="Times"/>
          <w:color w:val="000000" w:themeColor="text1"/>
        </w:rPr>
        <w:t>The high expression of ACE2 in the ileum suggests it as a potential target of the virus in the GI tract. Additionally, mild to moderate elevation of aminotransferases has been reported in 20</w:t>
      </w:r>
      <w:r w:rsidR="00AA0589" w:rsidRPr="00936C72">
        <w:rPr>
          <w:rFonts w:ascii="Book Antiqua" w:hAnsi="Book Antiqua" w:cs="Times"/>
          <w:color w:val="000000" w:themeColor="text1"/>
        </w:rPr>
        <w:t>%</w:t>
      </w:r>
      <w:r w:rsidRPr="00936C72">
        <w:rPr>
          <w:rFonts w:ascii="Book Antiqua" w:hAnsi="Book Antiqua" w:cs="Times"/>
          <w:color w:val="000000" w:themeColor="text1"/>
        </w:rPr>
        <w:t xml:space="preserve"> to 50% of the cases. Although acute liver failure has not been reported as a direct consequence of severe COVID-19, the extent of abnormal liver tests seems to be associated with disease severity and worse outcomes. It is important to note that medications used for management of COVID-19, such as chloroquine or </w:t>
      </w:r>
      <w:hyperlink r:id="rId10" w:history="1">
        <w:r w:rsidRPr="00936C72">
          <w:rPr>
            <w:rFonts w:ascii="Book Antiqua" w:hAnsi="Book Antiqua" w:cs="Times"/>
            <w:color w:val="000000" w:themeColor="text1"/>
          </w:rPr>
          <w:t>Lopinavir-Ritonavir</w:t>
        </w:r>
      </w:hyperlink>
      <w:r w:rsidRPr="00936C72">
        <w:rPr>
          <w:rFonts w:ascii="Book Antiqua" w:hAnsi="Book Antiqua" w:cs="Times"/>
          <w:color w:val="000000" w:themeColor="text1"/>
        </w:rPr>
        <w:t xml:space="preserve"> can be associated with varying degrees of liver test abnormalities and </w:t>
      </w:r>
      <w:r w:rsidR="004475F0" w:rsidRPr="00936C72">
        <w:rPr>
          <w:rFonts w:ascii="Book Antiqua" w:hAnsi="Book Antiqua" w:cs="Times"/>
          <w:color w:val="000000" w:themeColor="text1"/>
        </w:rPr>
        <w:t xml:space="preserve">GI </w:t>
      </w:r>
      <w:r w:rsidRPr="00936C72">
        <w:rPr>
          <w:rFonts w:ascii="Book Antiqua" w:hAnsi="Book Antiqua" w:cs="Times"/>
          <w:color w:val="000000" w:themeColor="text1"/>
        </w:rPr>
        <w:t xml:space="preserve">adverse reactions. It is important to obtain a baseline evaluation of </w:t>
      </w:r>
      <w:r w:rsidR="00AA0589" w:rsidRPr="00936C72">
        <w:rPr>
          <w:rFonts w:ascii="Book Antiqua" w:hAnsi="Book Antiqua" w:cs="Times"/>
          <w:color w:val="000000" w:themeColor="text1"/>
        </w:rPr>
        <w:t>patients’</w:t>
      </w:r>
      <w:r w:rsidRPr="00936C72">
        <w:rPr>
          <w:rFonts w:ascii="Book Antiqua" w:hAnsi="Book Antiqua" w:cs="Times"/>
          <w:color w:val="000000" w:themeColor="text1"/>
        </w:rPr>
        <w:t xml:space="preserve"> liver function before initiation of treatment and continue to monitor liver function tests during the treatment. It is also important to check patients for presence of chronic viral hepatitis (HBV, and HCV), as well as risk factors for chronic liver disease especially alcohol use before starting the treatment with these agents. In addition to direct effects of SARS-CoV-2 and similar to any other patients with severe illness, these patients remain at risk for the complications commonly managed by gastroenterology and hepatology consultants such as C. difficile infection in context of frequent antibiotic use, and ischemic liver injury or cholestasis of critical illness. As detailed above, delaying endoscopic procedures in non-urgent cases, and strict adherence to hand hygiene, contact precautions, and correct use of PPE will help minimize the risk of exposure and transmission during COVID-19 pandemic and conserve health-care resources.</w:t>
      </w:r>
    </w:p>
    <w:p w14:paraId="2CAEA5F9" w14:textId="77777777" w:rsidR="00D032E2" w:rsidRPr="00936C72" w:rsidRDefault="00D032E2" w:rsidP="00D63ED9">
      <w:pPr>
        <w:autoSpaceDE w:val="0"/>
        <w:autoSpaceDN w:val="0"/>
        <w:adjustRightInd w:val="0"/>
        <w:snapToGrid w:val="0"/>
        <w:spacing w:line="360" w:lineRule="auto"/>
        <w:jc w:val="both"/>
        <w:rPr>
          <w:rFonts w:ascii="Book Antiqua" w:hAnsi="Book Antiqua" w:cs="Times"/>
          <w:color w:val="000000" w:themeColor="text1"/>
        </w:rPr>
      </w:pPr>
    </w:p>
    <w:p w14:paraId="43220963" w14:textId="6CFC5F61" w:rsidR="00D032E2" w:rsidRPr="00936C72" w:rsidRDefault="00AA0589" w:rsidP="00D63ED9">
      <w:pPr>
        <w:autoSpaceDE w:val="0"/>
        <w:autoSpaceDN w:val="0"/>
        <w:adjustRightInd w:val="0"/>
        <w:snapToGrid w:val="0"/>
        <w:spacing w:line="360" w:lineRule="auto"/>
        <w:jc w:val="both"/>
        <w:rPr>
          <w:rFonts w:ascii="Book Antiqua" w:hAnsi="Book Antiqua" w:cs="Times"/>
          <w:b/>
          <w:bCs/>
          <w:color w:val="000000" w:themeColor="text1"/>
        </w:rPr>
      </w:pPr>
      <w:r w:rsidRPr="00936C72">
        <w:rPr>
          <w:rFonts w:ascii="Book Antiqua" w:hAnsi="Book Antiqua" w:cs="Times"/>
          <w:b/>
          <w:bCs/>
          <w:color w:val="000000" w:themeColor="text1"/>
        </w:rPr>
        <w:t>REFERENCES</w:t>
      </w:r>
    </w:p>
    <w:p w14:paraId="4F5494FA" w14:textId="67AC98A4"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lastRenderedPageBreak/>
        <w:t xml:space="preserve">1 </w:t>
      </w:r>
      <w:r w:rsidRPr="00936C72">
        <w:rPr>
          <w:rFonts w:ascii="Book Antiqua" w:hAnsi="Book Antiqua"/>
          <w:b/>
          <w:color w:val="000000" w:themeColor="text1"/>
        </w:rPr>
        <w:t>Dong E</w:t>
      </w:r>
      <w:r w:rsidRPr="00936C72">
        <w:rPr>
          <w:rFonts w:ascii="Book Antiqua" w:hAnsi="Book Antiqua"/>
          <w:color w:val="000000" w:themeColor="text1"/>
        </w:rPr>
        <w:t xml:space="preserve">, Du H, Gardner L. An interactive web-based dashboard to track COVID-19 in real time. </w:t>
      </w:r>
      <w:r w:rsidRPr="00936C72">
        <w:rPr>
          <w:rFonts w:ascii="Book Antiqua" w:hAnsi="Book Antiqua"/>
          <w:i/>
          <w:color w:val="000000" w:themeColor="text1"/>
        </w:rPr>
        <w:t>Lancet Infect Dis</w:t>
      </w:r>
      <w:r w:rsidRPr="00936C72">
        <w:rPr>
          <w:rFonts w:ascii="Book Antiqua" w:hAnsi="Book Antiqua"/>
          <w:color w:val="000000" w:themeColor="text1"/>
        </w:rPr>
        <w:t xml:space="preserve"> 2020 [PMID: 32087114 DOI: 10.1016/S1473-3099(20)30120-1]</w:t>
      </w:r>
    </w:p>
    <w:p w14:paraId="7AE40D17" w14:textId="5AD5553C"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2 </w:t>
      </w:r>
      <w:r w:rsidRPr="00936C72">
        <w:rPr>
          <w:rFonts w:ascii="Book Antiqua" w:hAnsi="Book Antiqua"/>
          <w:b/>
          <w:color w:val="000000" w:themeColor="text1"/>
        </w:rPr>
        <w:t>Guan WJ</w:t>
      </w:r>
      <w:r w:rsidRPr="00936C72">
        <w:rPr>
          <w:rFonts w:ascii="Book Antiqua" w:hAnsi="Book Antiqua"/>
          <w:color w:val="000000" w:themeColor="text1"/>
        </w:rPr>
        <w:t xml:space="preserve">, Ni ZY, Hu Y, Liang WH, </w:t>
      </w:r>
      <w:proofErr w:type="spellStart"/>
      <w:r w:rsidRPr="00936C72">
        <w:rPr>
          <w:rFonts w:ascii="Book Antiqua" w:hAnsi="Book Antiqua"/>
          <w:color w:val="000000" w:themeColor="text1"/>
        </w:rPr>
        <w:t>Ou</w:t>
      </w:r>
      <w:proofErr w:type="spellEnd"/>
      <w:r w:rsidRPr="00936C72">
        <w:rPr>
          <w:rFonts w:ascii="Book Antiqua" w:hAnsi="Book Antiqua"/>
          <w:color w:val="000000" w:themeColor="text1"/>
        </w:rPr>
        <w:t xml:space="preserve"> CQ, He JX, Liu L, Shan H, Lei CL, Hui DSC, Du B, Li LJ, Zeng G, Yuen KY, Chen RC, Tang CL, Wang T, Chen PY, Xiang J, Li SY, Wang JL, Liang ZJ, Peng YX, Wei L, Liu Y, Hu YH, Peng P, Wang JM, Liu JY, Chen Z, Li G, </w:t>
      </w:r>
      <w:proofErr w:type="spellStart"/>
      <w:r w:rsidRPr="00936C72">
        <w:rPr>
          <w:rFonts w:ascii="Book Antiqua" w:hAnsi="Book Antiqua"/>
          <w:color w:val="000000" w:themeColor="text1"/>
        </w:rPr>
        <w:t>Zheng</w:t>
      </w:r>
      <w:proofErr w:type="spellEnd"/>
      <w:r w:rsidRPr="00936C72">
        <w:rPr>
          <w:rFonts w:ascii="Book Antiqua" w:hAnsi="Book Antiqua"/>
          <w:color w:val="000000" w:themeColor="text1"/>
        </w:rPr>
        <w:t xml:space="preserve"> ZJ, </w:t>
      </w:r>
      <w:proofErr w:type="spellStart"/>
      <w:r w:rsidRPr="00936C72">
        <w:rPr>
          <w:rFonts w:ascii="Book Antiqua" w:hAnsi="Book Antiqua"/>
          <w:color w:val="000000" w:themeColor="text1"/>
        </w:rPr>
        <w:t>Qiu</w:t>
      </w:r>
      <w:proofErr w:type="spellEnd"/>
      <w:r w:rsidRPr="00936C72">
        <w:rPr>
          <w:rFonts w:ascii="Book Antiqua" w:hAnsi="Book Antiqua"/>
          <w:color w:val="000000" w:themeColor="text1"/>
        </w:rPr>
        <w:t xml:space="preserve"> SQ, </w:t>
      </w:r>
      <w:proofErr w:type="spellStart"/>
      <w:r w:rsidRPr="00936C72">
        <w:rPr>
          <w:rFonts w:ascii="Book Antiqua" w:hAnsi="Book Antiqua"/>
          <w:color w:val="000000" w:themeColor="text1"/>
        </w:rPr>
        <w:t>Luo</w:t>
      </w:r>
      <w:proofErr w:type="spellEnd"/>
      <w:r w:rsidRPr="00936C72">
        <w:rPr>
          <w:rFonts w:ascii="Book Antiqua" w:hAnsi="Book Antiqua"/>
          <w:color w:val="000000" w:themeColor="text1"/>
        </w:rPr>
        <w:t xml:space="preserve"> J, Ye CJ, Zhu SY, Zhong NS; China Medical Treatment Expert Group for Covid-19. Clinical Characteristics of Coronavirus Disease 2019 in China. </w:t>
      </w:r>
      <w:r w:rsidRPr="00936C72">
        <w:rPr>
          <w:rFonts w:ascii="Book Antiqua" w:hAnsi="Book Antiqua"/>
          <w:i/>
          <w:color w:val="000000" w:themeColor="text1"/>
        </w:rPr>
        <w:t xml:space="preserve">N </w:t>
      </w:r>
      <w:proofErr w:type="spellStart"/>
      <w:r w:rsidRPr="00936C72">
        <w:rPr>
          <w:rFonts w:ascii="Book Antiqua" w:hAnsi="Book Antiqua"/>
          <w:i/>
          <w:color w:val="000000" w:themeColor="text1"/>
        </w:rPr>
        <w:t>Engl</w:t>
      </w:r>
      <w:proofErr w:type="spellEnd"/>
      <w:r w:rsidRPr="00936C72">
        <w:rPr>
          <w:rFonts w:ascii="Book Antiqua" w:hAnsi="Book Antiqua"/>
          <w:i/>
          <w:color w:val="000000" w:themeColor="text1"/>
        </w:rPr>
        <w:t xml:space="preserve"> J Med</w:t>
      </w:r>
      <w:r w:rsidRPr="00936C72">
        <w:rPr>
          <w:rFonts w:ascii="Book Antiqua" w:hAnsi="Book Antiqua"/>
          <w:color w:val="000000" w:themeColor="text1"/>
        </w:rPr>
        <w:t xml:space="preserve"> 2020 [PMID: 32109013 DOI: 10.1056/NEJMoa2002032]</w:t>
      </w:r>
    </w:p>
    <w:p w14:paraId="19D71622" w14:textId="048A78A7"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3 </w:t>
      </w:r>
      <w:r w:rsidRPr="00936C72">
        <w:rPr>
          <w:rFonts w:ascii="Book Antiqua" w:hAnsi="Book Antiqua"/>
          <w:b/>
          <w:color w:val="000000" w:themeColor="text1"/>
        </w:rPr>
        <w:t>Gao QY</w:t>
      </w:r>
      <w:r w:rsidRPr="00936C72">
        <w:rPr>
          <w:rFonts w:ascii="Book Antiqua" w:hAnsi="Book Antiqua"/>
          <w:color w:val="000000" w:themeColor="text1"/>
        </w:rPr>
        <w:t xml:space="preserve">, Chen YX, Fang JY. 2019 Novel coronavirus infection and gastrointestinal tract. </w:t>
      </w:r>
      <w:r w:rsidRPr="00936C72">
        <w:rPr>
          <w:rFonts w:ascii="Book Antiqua" w:hAnsi="Book Antiqua"/>
          <w:i/>
          <w:color w:val="000000" w:themeColor="text1"/>
        </w:rPr>
        <w:t>J Dig Dis</w:t>
      </w:r>
      <w:r w:rsidRPr="00936C72">
        <w:rPr>
          <w:rFonts w:ascii="Book Antiqua" w:hAnsi="Book Antiqua"/>
          <w:color w:val="000000" w:themeColor="text1"/>
        </w:rPr>
        <w:t xml:space="preserve"> 2020 [PMID: 32096611 DOI: 10.1111/1751-2980.12851]</w:t>
      </w:r>
    </w:p>
    <w:p w14:paraId="6B78C3AE" w14:textId="6350AE1A"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4 </w:t>
      </w:r>
      <w:r w:rsidRPr="00936C72">
        <w:rPr>
          <w:rFonts w:ascii="Book Antiqua" w:hAnsi="Book Antiqua"/>
          <w:b/>
          <w:color w:val="000000" w:themeColor="text1"/>
        </w:rPr>
        <w:t>Ling Y</w:t>
      </w:r>
      <w:r w:rsidRPr="00936C72">
        <w:rPr>
          <w:rFonts w:ascii="Book Antiqua" w:hAnsi="Book Antiqua"/>
          <w:color w:val="000000" w:themeColor="text1"/>
        </w:rPr>
        <w:t xml:space="preserve">, Xu SB, Lin YX, Tian D, Zhu ZQ, Dai FH, Wu F, Song ZG, Huang W, Chen J, Hu BJ, Wang S, Mao EQ, Zhu L, Zhang WH, Lu HZ. Persistence and clearance of viral RNA in 2019 novel coronavirus disease rehabilitation patients. </w:t>
      </w:r>
      <w:r w:rsidRPr="00936C72">
        <w:rPr>
          <w:rFonts w:ascii="Book Antiqua" w:hAnsi="Book Antiqua"/>
          <w:i/>
          <w:color w:val="000000" w:themeColor="text1"/>
        </w:rPr>
        <w:t>Chin Med J (</w:t>
      </w:r>
      <w:proofErr w:type="spellStart"/>
      <w:r w:rsidRPr="00936C72">
        <w:rPr>
          <w:rFonts w:ascii="Book Antiqua" w:hAnsi="Book Antiqua"/>
          <w:i/>
          <w:color w:val="000000" w:themeColor="text1"/>
        </w:rPr>
        <w:t>Engl</w:t>
      </w:r>
      <w:proofErr w:type="spellEnd"/>
      <w:r w:rsidRPr="00936C72">
        <w:rPr>
          <w:rFonts w:ascii="Book Antiqua" w:hAnsi="Book Antiqua"/>
          <w:i/>
          <w:color w:val="000000" w:themeColor="text1"/>
        </w:rPr>
        <w:t>)</w:t>
      </w:r>
      <w:r w:rsidRPr="00936C72">
        <w:rPr>
          <w:rFonts w:ascii="Book Antiqua" w:hAnsi="Book Antiqua"/>
          <w:color w:val="000000" w:themeColor="text1"/>
        </w:rPr>
        <w:t xml:space="preserve"> 2020 [PMID: 32118639 DOI: 10.1097/CM9.0000000000000774]</w:t>
      </w:r>
    </w:p>
    <w:p w14:paraId="12F7E64C" w14:textId="77777777"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5 </w:t>
      </w:r>
      <w:proofErr w:type="spellStart"/>
      <w:r w:rsidRPr="00936C72">
        <w:rPr>
          <w:rFonts w:ascii="Book Antiqua" w:hAnsi="Book Antiqua"/>
          <w:b/>
          <w:color w:val="000000" w:themeColor="text1"/>
        </w:rPr>
        <w:t>Meo</w:t>
      </w:r>
      <w:proofErr w:type="spellEnd"/>
      <w:r w:rsidRPr="00936C72">
        <w:rPr>
          <w:rFonts w:ascii="Book Antiqua" w:hAnsi="Book Antiqua"/>
          <w:b/>
          <w:color w:val="000000" w:themeColor="text1"/>
        </w:rPr>
        <w:t xml:space="preserve"> SA</w:t>
      </w:r>
      <w:r w:rsidRPr="00936C72">
        <w:rPr>
          <w:rFonts w:ascii="Book Antiqua" w:hAnsi="Book Antiqua"/>
          <w:color w:val="000000" w:themeColor="text1"/>
        </w:rPr>
        <w:t xml:space="preserve">, </w:t>
      </w:r>
      <w:proofErr w:type="spellStart"/>
      <w:r w:rsidRPr="00936C72">
        <w:rPr>
          <w:rFonts w:ascii="Book Antiqua" w:hAnsi="Book Antiqua"/>
          <w:color w:val="000000" w:themeColor="text1"/>
        </w:rPr>
        <w:t>Alhowikan</w:t>
      </w:r>
      <w:proofErr w:type="spellEnd"/>
      <w:r w:rsidRPr="00936C72">
        <w:rPr>
          <w:rFonts w:ascii="Book Antiqua" w:hAnsi="Book Antiqua"/>
          <w:color w:val="000000" w:themeColor="text1"/>
        </w:rPr>
        <w:t xml:space="preserve"> AM, Al-</w:t>
      </w:r>
      <w:proofErr w:type="spellStart"/>
      <w:r w:rsidRPr="00936C72">
        <w:rPr>
          <w:rFonts w:ascii="Book Antiqua" w:hAnsi="Book Antiqua"/>
          <w:color w:val="000000" w:themeColor="text1"/>
        </w:rPr>
        <w:t>Khlaiwi</w:t>
      </w:r>
      <w:proofErr w:type="spellEnd"/>
      <w:r w:rsidRPr="00936C72">
        <w:rPr>
          <w:rFonts w:ascii="Book Antiqua" w:hAnsi="Book Antiqua"/>
          <w:color w:val="000000" w:themeColor="text1"/>
        </w:rPr>
        <w:t xml:space="preserve"> T, </w:t>
      </w:r>
      <w:proofErr w:type="spellStart"/>
      <w:r w:rsidRPr="00936C72">
        <w:rPr>
          <w:rFonts w:ascii="Book Antiqua" w:hAnsi="Book Antiqua"/>
          <w:color w:val="000000" w:themeColor="text1"/>
        </w:rPr>
        <w:t>Meo</w:t>
      </w:r>
      <w:proofErr w:type="spellEnd"/>
      <w:r w:rsidRPr="00936C72">
        <w:rPr>
          <w:rFonts w:ascii="Book Antiqua" w:hAnsi="Book Antiqua"/>
          <w:color w:val="000000" w:themeColor="text1"/>
        </w:rPr>
        <w:t xml:space="preserve"> IM, </w:t>
      </w:r>
      <w:proofErr w:type="spellStart"/>
      <w:r w:rsidRPr="00936C72">
        <w:rPr>
          <w:rFonts w:ascii="Book Antiqua" w:hAnsi="Book Antiqua"/>
          <w:color w:val="000000" w:themeColor="text1"/>
        </w:rPr>
        <w:t>Halepoto</w:t>
      </w:r>
      <w:proofErr w:type="spellEnd"/>
      <w:r w:rsidRPr="00936C72">
        <w:rPr>
          <w:rFonts w:ascii="Book Antiqua" w:hAnsi="Book Antiqua"/>
          <w:color w:val="000000" w:themeColor="text1"/>
        </w:rPr>
        <w:t xml:space="preserve"> DM, </w:t>
      </w:r>
      <w:proofErr w:type="spellStart"/>
      <w:r w:rsidRPr="00936C72">
        <w:rPr>
          <w:rFonts w:ascii="Book Antiqua" w:hAnsi="Book Antiqua"/>
          <w:color w:val="000000" w:themeColor="text1"/>
        </w:rPr>
        <w:t>Iqbal</w:t>
      </w:r>
      <w:proofErr w:type="spellEnd"/>
      <w:r w:rsidRPr="00936C72">
        <w:rPr>
          <w:rFonts w:ascii="Book Antiqua" w:hAnsi="Book Antiqua"/>
          <w:color w:val="000000" w:themeColor="text1"/>
        </w:rPr>
        <w:t xml:space="preserve"> M, </w:t>
      </w:r>
      <w:proofErr w:type="spellStart"/>
      <w:r w:rsidRPr="00936C72">
        <w:rPr>
          <w:rFonts w:ascii="Book Antiqua" w:hAnsi="Book Antiqua"/>
          <w:color w:val="000000" w:themeColor="text1"/>
        </w:rPr>
        <w:t>Usmani</w:t>
      </w:r>
      <w:proofErr w:type="spellEnd"/>
      <w:r w:rsidRPr="00936C72">
        <w:rPr>
          <w:rFonts w:ascii="Book Antiqua" w:hAnsi="Book Antiqua"/>
          <w:color w:val="000000" w:themeColor="text1"/>
        </w:rPr>
        <w:t xml:space="preserve"> AM, </w:t>
      </w:r>
      <w:proofErr w:type="spellStart"/>
      <w:r w:rsidRPr="00936C72">
        <w:rPr>
          <w:rFonts w:ascii="Book Antiqua" w:hAnsi="Book Antiqua"/>
          <w:color w:val="000000" w:themeColor="text1"/>
        </w:rPr>
        <w:t>Hajjar</w:t>
      </w:r>
      <w:proofErr w:type="spellEnd"/>
      <w:r w:rsidRPr="00936C72">
        <w:rPr>
          <w:rFonts w:ascii="Book Antiqua" w:hAnsi="Book Antiqua"/>
          <w:color w:val="000000" w:themeColor="text1"/>
        </w:rPr>
        <w:t xml:space="preserve"> W, Ahmed N. Novel coronavirus 2019-nCoV: prevalence, biological and clinical characteristics comparison with SARS-</w:t>
      </w:r>
      <w:proofErr w:type="spellStart"/>
      <w:r w:rsidRPr="00936C72">
        <w:rPr>
          <w:rFonts w:ascii="Book Antiqua" w:hAnsi="Book Antiqua"/>
          <w:color w:val="000000" w:themeColor="text1"/>
        </w:rPr>
        <w:t>CoV</w:t>
      </w:r>
      <w:proofErr w:type="spellEnd"/>
      <w:r w:rsidRPr="00936C72">
        <w:rPr>
          <w:rFonts w:ascii="Book Antiqua" w:hAnsi="Book Antiqua"/>
          <w:color w:val="000000" w:themeColor="text1"/>
        </w:rPr>
        <w:t xml:space="preserve"> and MERS-</w:t>
      </w:r>
      <w:proofErr w:type="spellStart"/>
      <w:r w:rsidRPr="00936C72">
        <w:rPr>
          <w:rFonts w:ascii="Book Antiqua" w:hAnsi="Book Antiqua"/>
          <w:color w:val="000000" w:themeColor="text1"/>
        </w:rPr>
        <w:t>CoV</w:t>
      </w:r>
      <w:proofErr w:type="spellEnd"/>
      <w:r w:rsidRPr="00936C72">
        <w:rPr>
          <w:rFonts w:ascii="Book Antiqua" w:hAnsi="Book Antiqua"/>
          <w:color w:val="000000" w:themeColor="text1"/>
        </w:rPr>
        <w:t xml:space="preserve">. </w:t>
      </w:r>
      <w:proofErr w:type="spellStart"/>
      <w:r w:rsidRPr="00936C72">
        <w:rPr>
          <w:rFonts w:ascii="Book Antiqua" w:hAnsi="Book Antiqua"/>
          <w:i/>
          <w:color w:val="000000" w:themeColor="text1"/>
        </w:rPr>
        <w:t>Eur</w:t>
      </w:r>
      <w:proofErr w:type="spellEnd"/>
      <w:r w:rsidRPr="00936C72">
        <w:rPr>
          <w:rFonts w:ascii="Book Antiqua" w:hAnsi="Book Antiqua"/>
          <w:i/>
          <w:color w:val="000000" w:themeColor="text1"/>
        </w:rPr>
        <w:t xml:space="preserve"> Rev Med </w:t>
      </w:r>
      <w:proofErr w:type="spellStart"/>
      <w:r w:rsidRPr="00936C72">
        <w:rPr>
          <w:rFonts w:ascii="Book Antiqua" w:hAnsi="Book Antiqua"/>
          <w:i/>
          <w:color w:val="000000" w:themeColor="text1"/>
        </w:rPr>
        <w:t>Pharmacol</w:t>
      </w:r>
      <w:proofErr w:type="spellEnd"/>
      <w:r w:rsidRPr="00936C72">
        <w:rPr>
          <w:rFonts w:ascii="Book Antiqua" w:hAnsi="Book Antiqua"/>
          <w:i/>
          <w:color w:val="000000" w:themeColor="text1"/>
        </w:rPr>
        <w:t xml:space="preserve"> </w:t>
      </w:r>
      <w:proofErr w:type="spellStart"/>
      <w:r w:rsidRPr="00936C72">
        <w:rPr>
          <w:rFonts w:ascii="Book Antiqua" w:hAnsi="Book Antiqua"/>
          <w:i/>
          <w:color w:val="000000" w:themeColor="text1"/>
        </w:rPr>
        <w:t>Sci</w:t>
      </w:r>
      <w:proofErr w:type="spellEnd"/>
      <w:r w:rsidRPr="00936C72">
        <w:rPr>
          <w:rFonts w:ascii="Book Antiqua" w:hAnsi="Book Antiqua"/>
          <w:color w:val="000000" w:themeColor="text1"/>
        </w:rPr>
        <w:t xml:space="preserve"> 2020; </w:t>
      </w:r>
      <w:r w:rsidRPr="00936C72">
        <w:rPr>
          <w:rFonts w:ascii="Book Antiqua" w:hAnsi="Book Antiqua"/>
          <w:b/>
          <w:color w:val="000000" w:themeColor="text1"/>
        </w:rPr>
        <w:t>24</w:t>
      </w:r>
      <w:r w:rsidRPr="00936C72">
        <w:rPr>
          <w:rFonts w:ascii="Book Antiqua" w:hAnsi="Book Antiqua"/>
          <w:color w:val="000000" w:themeColor="text1"/>
        </w:rPr>
        <w:t>: 2012-2019 [PMID: 32141570 DOI: 10.26355/eurrev_202002_20379]</w:t>
      </w:r>
    </w:p>
    <w:p w14:paraId="4B4A9D4B" w14:textId="2B694B98"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6 </w:t>
      </w:r>
      <w:r w:rsidRPr="00936C72">
        <w:rPr>
          <w:rFonts w:ascii="Book Antiqua" w:hAnsi="Book Antiqua"/>
          <w:b/>
          <w:color w:val="000000" w:themeColor="text1"/>
        </w:rPr>
        <w:t>Wang D</w:t>
      </w:r>
      <w:r w:rsidRPr="00936C72">
        <w:rPr>
          <w:rFonts w:ascii="Book Antiqua" w:hAnsi="Book Antiqua"/>
          <w:color w:val="000000" w:themeColor="text1"/>
        </w:rPr>
        <w:t xml:space="preserve">, Hu B, Hu C, Zhu F, Liu X, Zhang J, Wang B, Xiang H, Cheng Z, </w:t>
      </w:r>
      <w:proofErr w:type="spellStart"/>
      <w:r w:rsidRPr="00936C72">
        <w:rPr>
          <w:rFonts w:ascii="Book Antiqua" w:hAnsi="Book Antiqua"/>
          <w:color w:val="000000" w:themeColor="text1"/>
        </w:rPr>
        <w:t>Xiong</w:t>
      </w:r>
      <w:proofErr w:type="spellEnd"/>
      <w:r w:rsidRPr="00936C72">
        <w:rPr>
          <w:rFonts w:ascii="Book Antiqua" w:hAnsi="Book Antiqua"/>
          <w:color w:val="000000" w:themeColor="text1"/>
        </w:rPr>
        <w:t xml:space="preserve"> Y, Zhao Y, Li Y, Wang X, Peng Z. Clinical Characteristics of 138 Hospitalized Patients With 2019 Novel Coronavirus-Infected Pneumonia in Wuhan, China. </w:t>
      </w:r>
      <w:r w:rsidRPr="00936C72">
        <w:rPr>
          <w:rFonts w:ascii="Book Antiqua" w:hAnsi="Book Antiqua"/>
          <w:i/>
          <w:color w:val="000000" w:themeColor="text1"/>
        </w:rPr>
        <w:t>JAMA</w:t>
      </w:r>
      <w:r w:rsidRPr="00936C72">
        <w:rPr>
          <w:rFonts w:ascii="Book Antiqua" w:hAnsi="Book Antiqua"/>
          <w:color w:val="000000" w:themeColor="text1"/>
        </w:rPr>
        <w:t xml:space="preserve"> 2020 [PMID: 32031570 DOI: 10.1001/jama.2020.1585]</w:t>
      </w:r>
    </w:p>
    <w:p w14:paraId="08811C1E" w14:textId="77777777"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7 </w:t>
      </w:r>
      <w:r w:rsidRPr="00936C72">
        <w:rPr>
          <w:rFonts w:ascii="Book Antiqua" w:hAnsi="Book Antiqua"/>
          <w:b/>
          <w:color w:val="000000" w:themeColor="text1"/>
        </w:rPr>
        <w:t>Huang C</w:t>
      </w:r>
      <w:r w:rsidRPr="00936C72">
        <w:rPr>
          <w:rFonts w:ascii="Book Antiqua" w:hAnsi="Book Antiqua"/>
          <w:color w:val="000000" w:themeColor="text1"/>
        </w:rPr>
        <w:t xml:space="preserve">, Wang Y, Li X, Ren L, Zhao J, Hu Y, Zhang L, Fan G, Xu J, Gu X, Cheng Z, Yu T, Xia J, Wei Y, Wu W, </w:t>
      </w:r>
      <w:proofErr w:type="spellStart"/>
      <w:r w:rsidRPr="00936C72">
        <w:rPr>
          <w:rFonts w:ascii="Book Antiqua" w:hAnsi="Book Antiqua"/>
          <w:color w:val="000000" w:themeColor="text1"/>
        </w:rPr>
        <w:t>Xie</w:t>
      </w:r>
      <w:proofErr w:type="spellEnd"/>
      <w:r w:rsidRPr="00936C72">
        <w:rPr>
          <w:rFonts w:ascii="Book Antiqua" w:hAnsi="Book Antiqua"/>
          <w:color w:val="000000" w:themeColor="text1"/>
        </w:rPr>
        <w:t xml:space="preserve"> X, Yin W, Li H, Liu M, Xiao Y, Gao H, </w:t>
      </w:r>
      <w:proofErr w:type="spellStart"/>
      <w:r w:rsidRPr="00936C72">
        <w:rPr>
          <w:rFonts w:ascii="Book Antiqua" w:hAnsi="Book Antiqua"/>
          <w:color w:val="000000" w:themeColor="text1"/>
        </w:rPr>
        <w:t>Guo</w:t>
      </w:r>
      <w:proofErr w:type="spellEnd"/>
      <w:r w:rsidRPr="00936C72">
        <w:rPr>
          <w:rFonts w:ascii="Book Antiqua" w:hAnsi="Book Antiqua"/>
          <w:color w:val="000000" w:themeColor="text1"/>
        </w:rPr>
        <w:t xml:space="preserve"> L, </w:t>
      </w:r>
      <w:proofErr w:type="spellStart"/>
      <w:r w:rsidRPr="00936C72">
        <w:rPr>
          <w:rFonts w:ascii="Book Antiqua" w:hAnsi="Book Antiqua"/>
          <w:color w:val="000000" w:themeColor="text1"/>
        </w:rPr>
        <w:t>Xie</w:t>
      </w:r>
      <w:proofErr w:type="spellEnd"/>
      <w:r w:rsidRPr="00936C72">
        <w:rPr>
          <w:rFonts w:ascii="Book Antiqua" w:hAnsi="Book Antiqua"/>
          <w:color w:val="000000" w:themeColor="text1"/>
        </w:rPr>
        <w:t xml:space="preserve"> J, Wang G, Jiang R, </w:t>
      </w:r>
      <w:proofErr w:type="spellStart"/>
      <w:r w:rsidRPr="00936C72">
        <w:rPr>
          <w:rFonts w:ascii="Book Antiqua" w:hAnsi="Book Antiqua"/>
          <w:color w:val="000000" w:themeColor="text1"/>
        </w:rPr>
        <w:t>Gao</w:t>
      </w:r>
      <w:proofErr w:type="spellEnd"/>
      <w:r w:rsidRPr="00936C72">
        <w:rPr>
          <w:rFonts w:ascii="Book Antiqua" w:hAnsi="Book Antiqua"/>
          <w:color w:val="000000" w:themeColor="text1"/>
        </w:rPr>
        <w:t xml:space="preserve"> Z, Jin Q, Wang J, Cao B. Clinical features of </w:t>
      </w:r>
      <w:r w:rsidRPr="00936C72">
        <w:rPr>
          <w:rFonts w:ascii="Book Antiqua" w:hAnsi="Book Antiqua"/>
          <w:color w:val="000000" w:themeColor="text1"/>
        </w:rPr>
        <w:lastRenderedPageBreak/>
        <w:t xml:space="preserve">patients infected with 2019 novel coronavirus in Wuhan, China. </w:t>
      </w:r>
      <w:r w:rsidRPr="00936C72">
        <w:rPr>
          <w:rFonts w:ascii="Book Antiqua" w:hAnsi="Book Antiqua"/>
          <w:i/>
          <w:color w:val="000000" w:themeColor="text1"/>
        </w:rPr>
        <w:t>Lancet</w:t>
      </w:r>
      <w:r w:rsidRPr="00936C72">
        <w:rPr>
          <w:rFonts w:ascii="Book Antiqua" w:hAnsi="Book Antiqua"/>
          <w:color w:val="000000" w:themeColor="text1"/>
        </w:rPr>
        <w:t xml:space="preserve"> 2020; </w:t>
      </w:r>
      <w:r w:rsidRPr="00936C72">
        <w:rPr>
          <w:rFonts w:ascii="Book Antiqua" w:hAnsi="Book Antiqua"/>
          <w:b/>
          <w:color w:val="000000" w:themeColor="text1"/>
        </w:rPr>
        <w:t>395</w:t>
      </w:r>
      <w:r w:rsidRPr="00936C72">
        <w:rPr>
          <w:rFonts w:ascii="Book Antiqua" w:hAnsi="Book Antiqua"/>
          <w:color w:val="000000" w:themeColor="text1"/>
        </w:rPr>
        <w:t>: 497-506 [PMID: 31986264 DOI: 10.1016/S0140-6736(20)30183-5]</w:t>
      </w:r>
    </w:p>
    <w:p w14:paraId="5C206484" w14:textId="14A8C3D1"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8 </w:t>
      </w:r>
      <w:r w:rsidRPr="00936C72">
        <w:rPr>
          <w:rFonts w:ascii="Book Antiqua" w:hAnsi="Book Antiqua"/>
          <w:b/>
          <w:color w:val="000000" w:themeColor="text1"/>
        </w:rPr>
        <w:t>Young BE</w:t>
      </w:r>
      <w:r w:rsidRPr="00936C72">
        <w:rPr>
          <w:rFonts w:ascii="Book Antiqua" w:hAnsi="Book Antiqua"/>
          <w:color w:val="000000" w:themeColor="text1"/>
        </w:rPr>
        <w:t xml:space="preserve">, </w:t>
      </w:r>
      <w:proofErr w:type="spellStart"/>
      <w:r w:rsidRPr="00936C72">
        <w:rPr>
          <w:rFonts w:ascii="Book Antiqua" w:hAnsi="Book Antiqua"/>
          <w:color w:val="000000" w:themeColor="text1"/>
        </w:rPr>
        <w:t>Ong</w:t>
      </w:r>
      <w:proofErr w:type="spellEnd"/>
      <w:r w:rsidRPr="00936C72">
        <w:rPr>
          <w:rFonts w:ascii="Book Antiqua" w:hAnsi="Book Antiqua"/>
          <w:color w:val="000000" w:themeColor="text1"/>
        </w:rPr>
        <w:t xml:space="preserve"> SWX, </w:t>
      </w:r>
      <w:proofErr w:type="spellStart"/>
      <w:r w:rsidRPr="00936C72">
        <w:rPr>
          <w:rFonts w:ascii="Book Antiqua" w:hAnsi="Book Antiqua"/>
          <w:color w:val="000000" w:themeColor="text1"/>
        </w:rPr>
        <w:t>Kalimuddin</w:t>
      </w:r>
      <w:proofErr w:type="spellEnd"/>
      <w:r w:rsidRPr="00936C72">
        <w:rPr>
          <w:rFonts w:ascii="Book Antiqua" w:hAnsi="Book Antiqua"/>
          <w:color w:val="000000" w:themeColor="text1"/>
        </w:rPr>
        <w:t xml:space="preserve"> S, Low JG, Tan SY, </w:t>
      </w:r>
      <w:proofErr w:type="spellStart"/>
      <w:r w:rsidRPr="00936C72">
        <w:rPr>
          <w:rFonts w:ascii="Book Antiqua" w:hAnsi="Book Antiqua"/>
          <w:color w:val="000000" w:themeColor="text1"/>
        </w:rPr>
        <w:t>Loh</w:t>
      </w:r>
      <w:proofErr w:type="spellEnd"/>
      <w:r w:rsidRPr="00936C72">
        <w:rPr>
          <w:rFonts w:ascii="Book Antiqua" w:hAnsi="Book Antiqua"/>
          <w:color w:val="000000" w:themeColor="text1"/>
        </w:rPr>
        <w:t xml:space="preserve"> J, Ng OT, </w:t>
      </w:r>
      <w:proofErr w:type="spellStart"/>
      <w:r w:rsidRPr="00936C72">
        <w:rPr>
          <w:rFonts w:ascii="Book Antiqua" w:hAnsi="Book Antiqua"/>
          <w:color w:val="000000" w:themeColor="text1"/>
        </w:rPr>
        <w:t>Marimuthu</w:t>
      </w:r>
      <w:proofErr w:type="spellEnd"/>
      <w:r w:rsidRPr="00936C72">
        <w:rPr>
          <w:rFonts w:ascii="Book Antiqua" w:hAnsi="Book Antiqua"/>
          <w:color w:val="000000" w:themeColor="text1"/>
        </w:rPr>
        <w:t xml:space="preserve"> K, </w:t>
      </w:r>
      <w:proofErr w:type="spellStart"/>
      <w:r w:rsidRPr="00936C72">
        <w:rPr>
          <w:rFonts w:ascii="Book Antiqua" w:hAnsi="Book Antiqua"/>
          <w:color w:val="000000" w:themeColor="text1"/>
        </w:rPr>
        <w:t>Ang</w:t>
      </w:r>
      <w:proofErr w:type="spellEnd"/>
      <w:r w:rsidRPr="00936C72">
        <w:rPr>
          <w:rFonts w:ascii="Book Antiqua" w:hAnsi="Book Antiqua"/>
          <w:color w:val="000000" w:themeColor="text1"/>
        </w:rPr>
        <w:t xml:space="preserve"> LW, </w:t>
      </w:r>
      <w:proofErr w:type="spellStart"/>
      <w:r w:rsidRPr="00936C72">
        <w:rPr>
          <w:rFonts w:ascii="Book Antiqua" w:hAnsi="Book Antiqua"/>
          <w:color w:val="000000" w:themeColor="text1"/>
        </w:rPr>
        <w:t>Mak</w:t>
      </w:r>
      <w:proofErr w:type="spellEnd"/>
      <w:r w:rsidRPr="00936C72">
        <w:rPr>
          <w:rFonts w:ascii="Book Antiqua" w:hAnsi="Book Antiqua"/>
          <w:color w:val="000000" w:themeColor="text1"/>
        </w:rPr>
        <w:t xml:space="preserve"> TM, Lau SK, Anderson DE, Chan KS, Tan TY, Ng TY, Cui L, Said Z, </w:t>
      </w:r>
      <w:proofErr w:type="spellStart"/>
      <w:r w:rsidRPr="00936C72">
        <w:rPr>
          <w:rFonts w:ascii="Book Antiqua" w:hAnsi="Book Antiqua"/>
          <w:color w:val="000000" w:themeColor="text1"/>
        </w:rPr>
        <w:t>Kurupatham</w:t>
      </w:r>
      <w:proofErr w:type="spellEnd"/>
      <w:r w:rsidRPr="00936C72">
        <w:rPr>
          <w:rFonts w:ascii="Book Antiqua" w:hAnsi="Book Antiqua"/>
          <w:color w:val="000000" w:themeColor="text1"/>
        </w:rPr>
        <w:t xml:space="preserve"> L, Chen MI, Chan M, </w:t>
      </w:r>
      <w:proofErr w:type="spellStart"/>
      <w:r w:rsidRPr="00936C72">
        <w:rPr>
          <w:rFonts w:ascii="Book Antiqua" w:hAnsi="Book Antiqua"/>
          <w:color w:val="000000" w:themeColor="text1"/>
        </w:rPr>
        <w:t>Vasoo</w:t>
      </w:r>
      <w:proofErr w:type="spellEnd"/>
      <w:r w:rsidRPr="00936C72">
        <w:rPr>
          <w:rFonts w:ascii="Book Antiqua" w:hAnsi="Book Antiqua"/>
          <w:color w:val="000000" w:themeColor="text1"/>
        </w:rPr>
        <w:t xml:space="preserve"> S, Wang LF, Tan BH, Lin RTP, Lee VJM, Leo YS, Lye DC; Singapore 2019 Novel Coronavirus Outbreak Research Team. Epidemiologic Features and Clinical Course of Patients Infected With SARS-CoV-2 in Singapore. </w:t>
      </w:r>
      <w:r w:rsidRPr="00936C72">
        <w:rPr>
          <w:rFonts w:ascii="Book Antiqua" w:hAnsi="Book Antiqua"/>
          <w:i/>
          <w:color w:val="000000" w:themeColor="text1"/>
        </w:rPr>
        <w:t>JAMA</w:t>
      </w:r>
      <w:r w:rsidRPr="00936C72">
        <w:rPr>
          <w:rFonts w:ascii="Book Antiqua" w:hAnsi="Book Antiqua"/>
          <w:color w:val="000000" w:themeColor="text1"/>
        </w:rPr>
        <w:t xml:space="preserve"> 2020 [PMID: 32125362 DOI: 10.1001/jama.2020.3204]</w:t>
      </w:r>
    </w:p>
    <w:p w14:paraId="61BD0FF1" w14:textId="2A4B40D7"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9 </w:t>
      </w:r>
      <w:r w:rsidRPr="00936C72">
        <w:rPr>
          <w:rFonts w:ascii="Book Antiqua" w:hAnsi="Book Antiqua"/>
          <w:b/>
          <w:color w:val="000000" w:themeColor="text1"/>
        </w:rPr>
        <w:t>Li LQ</w:t>
      </w:r>
      <w:r w:rsidRPr="00936C72">
        <w:rPr>
          <w:rFonts w:ascii="Book Antiqua" w:hAnsi="Book Antiqua"/>
          <w:color w:val="000000" w:themeColor="text1"/>
        </w:rPr>
        <w:t xml:space="preserve">, Huang T, Wang YQ, Wang ZP, Liang Y, Huang TB, Zhang HY, Sun W, Wang Y. COVID-19 patients' clinical characteristics, discharge rate, and fatality rate of meta-analysis. </w:t>
      </w:r>
      <w:r w:rsidRPr="00936C72">
        <w:rPr>
          <w:rFonts w:ascii="Book Antiqua" w:hAnsi="Book Antiqua"/>
          <w:i/>
          <w:color w:val="000000" w:themeColor="text1"/>
        </w:rPr>
        <w:t xml:space="preserve">J Med </w:t>
      </w:r>
      <w:proofErr w:type="spellStart"/>
      <w:r w:rsidRPr="00936C72">
        <w:rPr>
          <w:rFonts w:ascii="Book Antiqua" w:hAnsi="Book Antiqua"/>
          <w:i/>
          <w:color w:val="000000" w:themeColor="text1"/>
        </w:rPr>
        <w:t>Virol</w:t>
      </w:r>
      <w:proofErr w:type="spellEnd"/>
      <w:r w:rsidRPr="00936C72">
        <w:rPr>
          <w:rFonts w:ascii="Book Antiqua" w:hAnsi="Book Antiqua"/>
          <w:color w:val="000000" w:themeColor="text1"/>
        </w:rPr>
        <w:t xml:space="preserve"> 2020 [PMID: 32162702 DOI: 10.1002/jmv.25757]</w:t>
      </w:r>
    </w:p>
    <w:p w14:paraId="2D197149" w14:textId="2016ED34"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10 </w:t>
      </w:r>
      <w:r w:rsidRPr="00936C72">
        <w:rPr>
          <w:rFonts w:ascii="Book Antiqua" w:hAnsi="Book Antiqua"/>
          <w:b/>
          <w:color w:val="000000" w:themeColor="text1"/>
        </w:rPr>
        <w:t>Zhang C,</w:t>
      </w:r>
      <w:r w:rsidRPr="00936C72">
        <w:rPr>
          <w:rFonts w:ascii="Book Antiqua" w:hAnsi="Book Antiqua"/>
          <w:color w:val="000000" w:themeColor="text1"/>
        </w:rPr>
        <w:t xml:space="preserve"> Shi L, Wang FS. Liver injury in COVID-19: management and challenges. </w:t>
      </w:r>
      <w:r w:rsidRPr="00936C72">
        <w:rPr>
          <w:rFonts w:ascii="Book Antiqua" w:hAnsi="Book Antiqua"/>
          <w:i/>
          <w:iCs/>
          <w:color w:val="000000" w:themeColor="text1"/>
        </w:rPr>
        <w:t>Lancet Gastroenterol Hepatol</w:t>
      </w:r>
      <w:r w:rsidRPr="00936C72">
        <w:rPr>
          <w:rFonts w:ascii="Book Antiqua" w:hAnsi="Book Antiqua"/>
          <w:color w:val="000000" w:themeColor="text1"/>
        </w:rPr>
        <w:t xml:space="preserve"> 2020 [</w:t>
      </w:r>
      <w:r w:rsidR="00B94D18" w:rsidRPr="00936C72">
        <w:rPr>
          <w:rFonts w:ascii="Book Antiqua" w:hAnsi="Book Antiqua"/>
          <w:color w:val="000000" w:themeColor="text1"/>
        </w:rPr>
        <w:t xml:space="preserve">PMID: 32145190 </w:t>
      </w:r>
      <w:r w:rsidRPr="00936C72">
        <w:rPr>
          <w:rFonts w:ascii="Book Antiqua" w:hAnsi="Book Antiqua"/>
          <w:color w:val="000000" w:themeColor="text1"/>
        </w:rPr>
        <w:t>DOI: 10.1016/S2468-1253(20)30057-1]</w:t>
      </w:r>
    </w:p>
    <w:p w14:paraId="441BC41A" w14:textId="77777777"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11 </w:t>
      </w:r>
      <w:r w:rsidRPr="00936C72">
        <w:rPr>
          <w:rFonts w:ascii="Book Antiqua" w:hAnsi="Book Antiqua"/>
          <w:b/>
          <w:color w:val="000000" w:themeColor="text1"/>
        </w:rPr>
        <w:t>Zhou F</w:t>
      </w:r>
      <w:r w:rsidRPr="00936C72">
        <w:rPr>
          <w:rFonts w:ascii="Book Antiqua" w:hAnsi="Book Antiqua"/>
          <w:color w:val="000000" w:themeColor="text1"/>
        </w:rPr>
        <w:t xml:space="preserve">, Yu T, Du R, Fan G, Liu Y, Liu Z, Xiang J, Wang Y, Song B, Gu X, Guan L, Wei Y, Li H, Wu X, Xu J, Tu S, Zhang Y, Chen H, Cao B. Clinical course and risk factors for mortality of adult inpatients with COVID-19 in Wuhan, China: a retrospective cohort study. </w:t>
      </w:r>
      <w:r w:rsidRPr="00936C72">
        <w:rPr>
          <w:rFonts w:ascii="Book Antiqua" w:hAnsi="Book Antiqua"/>
          <w:i/>
          <w:color w:val="000000" w:themeColor="text1"/>
        </w:rPr>
        <w:t>Lancet</w:t>
      </w:r>
      <w:r w:rsidRPr="00936C72">
        <w:rPr>
          <w:rFonts w:ascii="Book Antiqua" w:hAnsi="Book Antiqua"/>
          <w:color w:val="000000" w:themeColor="text1"/>
        </w:rPr>
        <w:t xml:space="preserve"> 2020; </w:t>
      </w:r>
      <w:r w:rsidRPr="00936C72">
        <w:rPr>
          <w:rFonts w:ascii="Book Antiqua" w:hAnsi="Book Antiqua"/>
          <w:b/>
          <w:color w:val="000000" w:themeColor="text1"/>
        </w:rPr>
        <w:t>395</w:t>
      </w:r>
      <w:r w:rsidRPr="00936C72">
        <w:rPr>
          <w:rFonts w:ascii="Book Antiqua" w:hAnsi="Book Antiqua"/>
          <w:color w:val="000000" w:themeColor="text1"/>
        </w:rPr>
        <w:t>: 1054-1062 [PMID: 32171076 DOI: 10.1016/S0140-6736(20)30566-3]</w:t>
      </w:r>
    </w:p>
    <w:p w14:paraId="783EF754" w14:textId="6CB8E982"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12 </w:t>
      </w:r>
      <w:r w:rsidRPr="00936C72">
        <w:rPr>
          <w:rFonts w:ascii="Book Antiqua" w:hAnsi="Book Antiqua"/>
          <w:b/>
          <w:color w:val="000000" w:themeColor="text1"/>
        </w:rPr>
        <w:t>Wu C</w:t>
      </w:r>
      <w:r w:rsidRPr="00936C72">
        <w:rPr>
          <w:rFonts w:ascii="Book Antiqua" w:hAnsi="Book Antiqua"/>
          <w:color w:val="000000" w:themeColor="text1"/>
        </w:rPr>
        <w:t xml:space="preserve">, Chen X, Cai Y, Xia J, Zhou X, Xu S, Huang H, Zhang L, Zhou X, Du C, Zhang Y, Song J, Wang S, Chao Y, Yang Z, Xu J, Zhou X, Chen D, </w:t>
      </w:r>
      <w:proofErr w:type="spellStart"/>
      <w:r w:rsidRPr="00936C72">
        <w:rPr>
          <w:rFonts w:ascii="Book Antiqua" w:hAnsi="Book Antiqua"/>
          <w:color w:val="000000" w:themeColor="text1"/>
        </w:rPr>
        <w:t>Xiong</w:t>
      </w:r>
      <w:proofErr w:type="spellEnd"/>
      <w:r w:rsidRPr="00936C72">
        <w:rPr>
          <w:rFonts w:ascii="Book Antiqua" w:hAnsi="Book Antiqua"/>
          <w:color w:val="000000" w:themeColor="text1"/>
        </w:rPr>
        <w:t xml:space="preserve"> W, </w:t>
      </w:r>
      <w:proofErr w:type="spellStart"/>
      <w:r w:rsidRPr="00936C72">
        <w:rPr>
          <w:rFonts w:ascii="Book Antiqua" w:hAnsi="Book Antiqua"/>
          <w:color w:val="000000" w:themeColor="text1"/>
        </w:rPr>
        <w:t>Xu</w:t>
      </w:r>
      <w:proofErr w:type="spellEnd"/>
      <w:r w:rsidRPr="00936C72">
        <w:rPr>
          <w:rFonts w:ascii="Book Antiqua" w:hAnsi="Book Antiqua"/>
          <w:color w:val="000000" w:themeColor="text1"/>
        </w:rPr>
        <w:t xml:space="preserve"> L, Zhou F, Jiang J, Bai C, Zheng J, Song Y. Risk Factors Associated With Acute Respiratory Distress Syndrome and Death in Patients With Coronavirus Disease 2019 Pneumonia in Wuhan, China. </w:t>
      </w:r>
      <w:r w:rsidRPr="00936C72">
        <w:rPr>
          <w:rFonts w:ascii="Book Antiqua" w:hAnsi="Book Antiqua"/>
          <w:i/>
          <w:color w:val="000000" w:themeColor="text1"/>
        </w:rPr>
        <w:t>JAMA Intern Med</w:t>
      </w:r>
      <w:r w:rsidRPr="00936C72">
        <w:rPr>
          <w:rFonts w:ascii="Book Antiqua" w:hAnsi="Book Antiqua"/>
          <w:color w:val="000000" w:themeColor="text1"/>
        </w:rPr>
        <w:t xml:space="preserve"> 2020 [PMID: 32167524 DOI: 10.1001/jamainternmed.2020.0994]</w:t>
      </w:r>
    </w:p>
    <w:p w14:paraId="22A34236" w14:textId="77777777"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13 </w:t>
      </w:r>
      <w:r w:rsidRPr="00936C72">
        <w:rPr>
          <w:rFonts w:ascii="Book Antiqua" w:hAnsi="Book Antiqua"/>
          <w:b/>
          <w:color w:val="000000" w:themeColor="text1"/>
        </w:rPr>
        <w:t>Booth CM</w:t>
      </w:r>
      <w:r w:rsidRPr="00936C72">
        <w:rPr>
          <w:rFonts w:ascii="Book Antiqua" w:hAnsi="Book Antiqua"/>
          <w:color w:val="000000" w:themeColor="text1"/>
        </w:rPr>
        <w:t xml:space="preserve">, </w:t>
      </w:r>
      <w:proofErr w:type="spellStart"/>
      <w:r w:rsidRPr="00936C72">
        <w:rPr>
          <w:rFonts w:ascii="Book Antiqua" w:hAnsi="Book Antiqua"/>
          <w:color w:val="000000" w:themeColor="text1"/>
        </w:rPr>
        <w:t>Matukas</w:t>
      </w:r>
      <w:proofErr w:type="spellEnd"/>
      <w:r w:rsidRPr="00936C72">
        <w:rPr>
          <w:rFonts w:ascii="Book Antiqua" w:hAnsi="Book Antiqua"/>
          <w:color w:val="000000" w:themeColor="text1"/>
        </w:rPr>
        <w:t xml:space="preserve"> LM, Tomlinson GA, </w:t>
      </w:r>
      <w:proofErr w:type="spellStart"/>
      <w:r w:rsidRPr="00936C72">
        <w:rPr>
          <w:rFonts w:ascii="Book Antiqua" w:hAnsi="Book Antiqua"/>
          <w:color w:val="000000" w:themeColor="text1"/>
        </w:rPr>
        <w:t>Rachlis</w:t>
      </w:r>
      <w:proofErr w:type="spellEnd"/>
      <w:r w:rsidRPr="00936C72">
        <w:rPr>
          <w:rFonts w:ascii="Book Antiqua" w:hAnsi="Book Antiqua"/>
          <w:color w:val="000000" w:themeColor="text1"/>
        </w:rPr>
        <w:t xml:space="preserve"> AR, Rose DB, </w:t>
      </w:r>
      <w:proofErr w:type="spellStart"/>
      <w:r w:rsidRPr="00936C72">
        <w:rPr>
          <w:rFonts w:ascii="Book Antiqua" w:hAnsi="Book Antiqua"/>
          <w:color w:val="000000" w:themeColor="text1"/>
        </w:rPr>
        <w:t>Dwosh</w:t>
      </w:r>
      <w:proofErr w:type="spellEnd"/>
      <w:r w:rsidRPr="00936C72">
        <w:rPr>
          <w:rFonts w:ascii="Book Antiqua" w:hAnsi="Book Antiqua"/>
          <w:color w:val="000000" w:themeColor="text1"/>
        </w:rPr>
        <w:t xml:space="preserve"> HA, </w:t>
      </w:r>
      <w:proofErr w:type="spellStart"/>
      <w:r w:rsidRPr="00936C72">
        <w:rPr>
          <w:rFonts w:ascii="Book Antiqua" w:hAnsi="Book Antiqua"/>
          <w:color w:val="000000" w:themeColor="text1"/>
        </w:rPr>
        <w:t>Walmsley</w:t>
      </w:r>
      <w:proofErr w:type="spellEnd"/>
      <w:r w:rsidRPr="00936C72">
        <w:rPr>
          <w:rFonts w:ascii="Book Antiqua" w:hAnsi="Book Antiqua"/>
          <w:color w:val="000000" w:themeColor="text1"/>
        </w:rPr>
        <w:t xml:space="preserve"> SL, </w:t>
      </w:r>
      <w:proofErr w:type="spellStart"/>
      <w:r w:rsidRPr="00936C72">
        <w:rPr>
          <w:rFonts w:ascii="Book Antiqua" w:hAnsi="Book Antiqua"/>
          <w:color w:val="000000" w:themeColor="text1"/>
        </w:rPr>
        <w:t>Mazzulli</w:t>
      </w:r>
      <w:proofErr w:type="spellEnd"/>
      <w:r w:rsidRPr="00936C72">
        <w:rPr>
          <w:rFonts w:ascii="Book Antiqua" w:hAnsi="Book Antiqua"/>
          <w:color w:val="000000" w:themeColor="text1"/>
        </w:rPr>
        <w:t xml:space="preserve"> T, </w:t>
      </w:r>
      <w:proofErr w:type="spellStart"/>
      <w:r w:rsidRPr="00936C72">
        <w:rPr>
          <w:rFonts w:ascii="Book Antiqua" w:hAnsi="Book Antiqua"/>
          <w:color w:val="000000" w:themeColor="text1"/>
        </w:rPr>
        <w:t>Avendano</w:t>
      </w:r>
      <w:proofErr w:type="spellEnd"/>
      <w:r w:rsidRPr="00936C72">
        <w:rPr>
          <w:rFonts w:ascii="Book Antiqua" w:hAnsi="Book Antiqua"/>
          <w:color w:val="000000" w:themeColor="text1"/>
        </w:rPr>
        <w:t xml:space="preserve"> M, </w:t>
      </w:r>
      <w:proofErr w:type="spellStart"/>
      <w:r w:rsidRPr="00936C72">
        <w:rPr>
          <w:rFonts w:ascii="Book Antiqua" w:hAnsi="Book Antiqua"/>
          <w:color w:val="000000" w:themeColor="text1"/>
        </w:rPr>
        <w:t>Derkach</w:t>
      </w:r>
      <w:proofErr w:type="spellEnd"/>
      <w:r w:rsidRPr="00936C72">
        <w:rPr>
          <w:rFonts w:ascii="Book Antiqua" w:hAnsi="Book Antiqua"/>
          <w:color w:val="000000" w:themeColor="text1"/>
        </w:rPr>
        <w:t xml:space="preserve"> P, </w:t>
      </w:r>
      <w:proofErr w:type="spellStart"/>
      <w:r w:rsidRPr="00936C72">
        <w:rPr>
          <w:rFonts w:ascii="Book Antiqua" w:hAnsi="Book Antiqua"/>
          <w:color w:val="000000" w:themeColor="text1"/>
        </w:rPr>
        <w:t>Ephtimios</w:t>
      </w:r>
      <w:proofErr w:type="spellEnd"/>
      <w:r w:rsidRPr="00936C72">
        <w:rPr>
          <w:rFonts w:ascii="Book Antiqua" w:hAnsi="Book Antiqua"/>
          <w:color w:val="000000" w:themeColor="text1"/>
        </w:rPr>
        <w:t xml:space="preserve"> IE, </w:t>
      </w:r>
      <w:proofErr w:type="spellStart"/>
      <w:r w:rsidRPr="00936C72">
        <w:rPr>
          <w:rFonts w:ascii="Book Antiqua" w:hAnsi="Book Antiqua"/>
          <w:color w:val="000000" w:themeColor="text1"/>
        </w:rPr>
        <w:t>Kitai</w:t>
      </w:r>
      <w:proofErr w:type="spellEnd"/>
      <w:r w:rsidRPr="00936C72">
        <w:rPr>
          <w:rFonts w:ascii="Book Antiqua" w:hAnsi="Book Antiqua"/>
          <w:color w:val="000000" w:themeColor="text1"/>
        </w:rPr>
        <w:t xml:space="preserve"> I, </w:t>
      </w:r>
      <w:proofErr w:type="spellStart"/>
      <w:r w:rsidRPr="00936C72">
        <w:rPr>
          <w:rFonts w:ascii="Book Antiqua" w:hAnsi="Book Antiqua"/>
          <w:color w:val="000000" w:themeColor="text1"/>
        </w:rPr>
        <w:t>Mederski</w:t>
      </w:r>
      <w:proofErr w:type="spellEnd"/>
      <w:r w:rsidRPr="00936C72">
        <w:rPr>
          <w:rFonts w:ascii="Book Antiqua" w:hAnsi="Book Antiqua"/>
          <w:color w:val="000000" w:themeColor="text1"/>
        </w:rPr>
        <w:t xml:space="preserve"> BD, </w:t>
      </w:r>
      <w:proofErr w:type="spellStart"/>
      <w:r w:rsidRPr="00936C72">
        <w:rPr>
          <w:rFonts w:ascii="Book Antiqua" w:hAnsi="Book Antiqua"/>
          <w:color w:val="000000" w:themeColor="text1"/>
        </w:rPr>
        <w:t>Shadowitz</w:t>
      </w:r>
      <w:proofErr w:type="spellEnd"/>
      <w:r w:rsidRPr="00936C72">
        <w:rPr>
          <w:rFonts w:ascii="Book Antiqua" w:hAnsi="Book Antiqua"/>
          <w:color w:val="000000" w:themeColor="text1"/>
        </w:rPr>
        <w:t xml:space="preserve"> SB, Gold WL, </w:t>
      </w:r>
      <w:proofErr w:type="spellStart"/>
      <w:r w:rsidRPr="00936C72">
        <w:rPr>
          <w:rFonts w:ascii="Book Antiqua" w:hAnsi="Book Antiqua"/>
          <w:color w:val="000000" w:themeColor="text1"/>
        </w:rPr>
        <w:t>Hawryluck</w:t>
      </w:r>
      <w:proofErr w:type="spellEnd"/>
      <w:r w:rsidRPr="00936C72">
        <w:rPr>
          <w:rFonts w:ascii="Book Antiqua" w:hAnsi="Book Antiqua"/>
          <w:color w:val="000000" w:themeColor="text1"/>
        </w:rPr>
        <w:t xml:space="preserve"> LA, Rea E, </w:t>
      </w:r>
      <w:proofErr w:type="spellStart"/>
      <w:r w:rsidRPr="00936C72">
        <w:rPr>
          <w:rFonts w:ascii="Book Antiqua" w:hAnsi="Book Antiqua"/>
          <w:color w:val="000000" w:themeColor="text1"/>
        </w:rPr>
        <w:t>Chenkin</w:t>
      </w:r>
      <w:proofErr w:type="spellEnd"/>
      <w:r w:rsidRPr="00936C72">
        <w:rPr>
          <w:rFonts w:ascii="Book Antiqua" w:hAnsi="Book Antiqua"/>
          <w:color w:val="000000" w:themeColor="text1"/>
        </w:rPr>
        <w:t xml:space="preserve"> JS, </w:t>
      </w:r>
      <w:proofErr w:type="spellStart"/>
      <w:r w:rsidRPr="00936C72">
        <w:rPr>
          <w:rFonts w:ascii="Book Antiqua" w:hAnsi="Book Antiqua"/>
          <w:color w:val="000000" w:themeColor="text1"/>
        </w:rPr>
        <w:lastRenderedPageBreak/>
        <w:t>Cescon</w:t>
      </w:r>
      <w:proofErr w:type="spellEnd"/>
      <w:r w:rsidRPr="00936C72">
        <w:rPr>
          <w:rFonts w:ascii="Book Antiqua" w:hAnsi="Book Antiqua"/>
          <w:color w:val="000000" w:themeColor="text1"/>
        </w:rPr>
        <w:t xml:space="preserve"> DW, </w:t>
      </w:r>
      <w:proofErr w:type="spellStart"/>
      <w:r w:rsidRPr="00936C72">
        <w:rPr>
          <w:rFonts w:ascii="Book Antiqua" w:hAnsi="Book Antiqua"/>
          <w:color w:val="000000" w:themeColor="text1"/>
        </w:rPr>
        <w:t>Poutanen</w:t>
      </w:r>
      <w:proofErr w:type="spellEnd"/>
      <w:r w:rsidRPr="00936C72">
        <w:rPr>
          <w:rFonts w:ascii="Book Antiqua" w:hAnsi="Book Antiqua"/>
          <w:color w:val="000000" w:themeColor="text1"/>
        </w:rPr>
        <w:t xml:space="preserve"> SM, </w:t>
      </w:r>
      <w:proofErr w:type="spellStart"/>
      <w:r w:rsidRPr="00936C72">
        <w:rPr>
          <w:rFonts w:ascii="Book Antiqua" w:hAnsi="Book Antiqua"/>
          <w:color w:val="000000" w:themeColor="text1"/>
        </w:rPr>
        <w:t>Detsky</w:t>
      </w:r>
      <w:proofErr w:type="spellEnd"/>
      <w:r w:rsidRPr="00936C72">
        <w:rPr>
          <w:rFonts w:ascii="Book Antiqua" w:hAnsi="Book Antiqua"/>
          <w:color w:val="000000" w:themeColor="text1"/>
        </w:rPr>
        <w:t xml:space="preserve"> AS. Clinical features and short-term outcomes of 144 patients with SARS in the greater Toronto area. </w:t>
      </w:r>
      <w:r w:rsidRPr="00936C72">
        <w:rPr>
          <w:rFonts w:ascii="Book Antiqua" w:hAnsi="Book Antiqua"/>
          <w:i/>
          <w:color w:val="000000" w:themeColor="text1"/>
        </w:rPr>
        <w:t>JAMA</w:t>
      </w:r>
      <w:r w:rsidRPr="00936C72">
        <w:rPr>
          <w:rFonts w:ascii="Book Antiqua" w:hAnsi="Book Antiqua"/>
          <w:color w:val="000000" w:themeColor="text1"/>
        </w:rPr>
        <w:t xml:space="preserve"> 2003; </w:t>
      </w:r>
      <w:r w:rsidRPr="00936C72">
        <w:rPr>
          <w:rFonts w:ascii="Book Antiqua" w:hAnsi="Book Antiqua"/>
          <w:b/>
          <w:color w:val="000000" w:themeColor="text1"/>
        </w:rPr>
        <w:t>289</w:t>
      </w:r>
      <w:r w:rsidRPr="00936C72">
        <w:rPr>
          <w:rFonts w:ascii="Book Antiqua" w:hAnsi="Book Antiqua"/>
          <w:color w:val="000000" w:themeColor="text1"/>
        </w:rPr>
        <w:t>: 2801-2809 [PMID: 12734147 DOI: 10.1001/jama.289.21.JOC30885]</w:t>
      </w:r>
    </w:p>
    <w:p w14:paraId="6C2FCC49" w14:textId="77777777"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14 </w:t>
      </w:r>
      <w:proofErr w:type="spellStart"/>
      <w:r w:rsidRPr="00936C72">
        <w:rPr>
          <w:rFonts w:ascii="Book Antiqua" w:hAnsi="Book Antiqua"/>
          <w:b/>
          <w:color w:val="000000" w:themeColor="text1"/>
        </w:rPr>
        <w:t>Assiri</w:t>
      </w:r>
      <w:proofErr w:type="spellEnd"/>
      <w:r w:rsidRPr="00936C72">
        <w:rPr>
          <w:rFonts w:ascii="Book Antiqua" w:hAnsi="Book Antiqua"/>
          <w:b/>
          <w:color w:val="000000" w:themeColor="text1"/>
        </w:rPr>
        <w:t xml:space="preserve"> A</w:t>
      </w:r>
      <w:r w:rsidRPr="00936C72">
        <w:rPr>
          <w:rFonts w:ascii="Book Antiqua" w:hAnsi="Book Antiqua"/>
          <w:color w:val="000000" w:themeColor="text1"/>
        </w:rPr>
        <w:t>, Al-</w:t>
      </w:r>
      <w:proofErr w:type="spellStart"/>
      <w:r w:rsidRPr="00936C72">
        <w:rPr>
          <w:rFonts w:ascii="Book Antiqua" w:hAnsi="Book Antiqua"/>
          <w:color w:val="000000" w:themeColor="text1"/>
        </w:rPr>
        <w:t>Tawfiq</w:t>
      </w:r>
      <w:proofErr w:type="spellEnd"/>
      <w:r w:rsidRPr="00936C72">
        <w:rPr>
          <w:rFonts w:ascii="Book Antiqua" w:hAnsi="Book Antiqua"/>
          <w:color w:val="000000" w:themeColor="text1"/>
        </w:rPr>
        <w:t xml:space="preserve"> JA, Al-</w:t>
      </w:r>
      <w:proofErr w:type="spellStart"/>
      <w:r w:rsidRPr="00936C72">
        <w:rPr>
          <w:rFonts w:ascii="Book Antiqua" w:hAnsi="Book Antiqua"/>
          <w:color w:val="000000" w:themeColor="text1"/>
        </w:rPr>
        <w:t>Rabeeah</w:t>
      </w:r>
      <w:proofErr w:type="spellEnd"/>
      <w:r w:rsidRPr="00936C72">
        <w:rPr>
          <w:rFonts w:ascii="Book Antiqua" w:hAnsi="Book Antiqua"/>
          <w:color w:val="000000" w:themeColor="text1"/>
        </w:rPr>
        <w:t xml:space="preserve"> AA, Al-</w:t>
      </w:r>
      <w:proofErr w:type="spellStart"/>
      <w:r w:rsidRPr="00936C72">
        <w:rPr>
          <w:rFonts w:ascii="Book Antiqua" w:hAnsi="Book Antiqua"/>
          <w:color w:val="000000" w:themeColor="text1"/>
        </w:rPr>
        <w:t>Rabiah</w:t>
      </w:r>
      <w:proofErr w:type="spellEnd"/>
      <w:r w:rsidRPr="00936C72">
        <w:rPr>
          <w:rFonts w:ascii="Book Antiqua" w:hAnsi="Book Antiqua"/>
          <w:color w:val="000000" w:themeColor="text1"/>
        </w:rPr>
        <w:t xml:space="preserve"> FA, Al-</w:t>
      </w:r>
      <w:proofErr w:type="spellStart"/>
      <w:r w:rsidRPr="00936C72">
        <w:rPr>
          <w:rFonts w:ascii="Book Antiqua" w:hAnsi="Book Antiqua"/>
          <w:color w:val="000000" w:themeColor="text1"/>
        </w:rPr>
        <w:t>Hajjar</w:t>
      </w:r>
      <w:proofErr w:type="spellEnd"/>
      <w:r w:rsidRPr="00936C72">
        <w:rPr>
          <w:rFonts w:ascii="Book Antiqua" w:hAnsi="Book Antiqua"/>
          <w:color w:val="000000" w:themeColor="text1"/>
        </w:rPr>
        <w:t xml:space="preserve"> S, Al-</w:t>
      </w:r>
      <w:proofErr w:type="spellStart"/>
      <w:r w:rsidRPr="00936C72">
        <w:rPr>
          <w:rFonts w:ascii="Book Antiqua" w:hAnsi="Book Antiqua"/>
          <w:color w:val="000000" w:themeColor="text1"/>
        </w:rPr>
        <w:t>Barrak</w:t>
      </w:r>
      <w:proofErr w:type="spellEnd"/>
      <w:r w:rsidRPr="00936C72">
        <w:rPr>
          <w:rFonts w:ascii="Book Antiqua" w:hAnsi="Book Antiqua"/>
          <w:color w:val="000000" w:themeColor="text1"/>
        </w:rPr>
        <w:t xml:space="preserve"> A, </w:t>
      </w:r>
      <w:proofErr w:type="spellStart"/>
      <w:r w:rsidRPr="00936C72">
        <w:rPr>
          <w:rFonts w:ascii="Book Antiqua" w:hAnsi="Book Antiqua"/>
          <w:color w:val="000000" w:themeColor="text1"/>
        </w:rPr>
        <w:t>Flemban</w:t>
      </w:r>
      <w:proofErr w:type="spellEnd"/>
      <w:r w:rsidRPr="00936C72">
        <w:rPr>
          <w:rFonts w:ascii="Book Antiqua" w:hAnsi="Book Antiqua"/>
          <w:color w:val="000000" w:themeColor="text1"/>
        </w:rPr>
        <w:t xml:space="preserve"> H, Al-Nassir WN, </w:t>
      </w:r>
      <w:proofErr w:type="spellStart"/>
      <w:r w:rsidRPr="00936C72">
        <w:rPr>
          <w:rFonts w:ascii="Book Antiqua" w:hAnsi="Book Antiqua"/>
          <w:color w:val="000000" w:themeColor="text1"/>
        </w:rPr>
        <w:t>Balkhy</w:t>
      </w:r>
      <w:proofErr w:type="spellEnd"/>
      <w:r w:rsidRPr="00936C72">
        <w:rPr>
          <w:rFonts w:ascii="Book Antiqua" w:hAnsi="Book Antiqua"/>
          <w:color w:val="000000" w:themeColor="text1"/>
        </w:rPr>
        <w:t xml:space="preserve"> HH, Al-Hakeem RF, </w:t>
      </w:r>
      <w:proofErr w:type="spellStart"/>
      <w:r w:rsidRPr="00936C72">
        <w:rPr>
          <w:rFonts w:ascii="Book Antiqua" w:hAnsi="Book Antiqua"/>
          <w:color w:val="000000" w:themeColor="text1"/>
        </w:rPr>
        <w:t>Makhdoom</w:t>
      </w:r>
      <w:proofErr w:type="spellEnd"/>
      <w:r w:rsidRPr="00936C72">
        <w:rPr>
          <w:rFonts w:ascii="Book Antiqua" w:hAnsi="Book Antiqua"/>
          <w:color w:val="000000" w:themeColor="text1"/>
        </w:rPr>
        <w:t xml:space="preserve"> HQ, </w:t>
      </w:r>
      <w:proofErr w:type="spellStart"/>
      <w:r w:rsidRPr="00936C72">
        <w:rPr>
          <w:rFonts w:ascii="Book Antiqua" w:hAnsi="Book Antiqua"/>
          <w:color w:val="000000" w:themeColor="text1"/>
        </w:rPr>
        <w:t>Zumla</w:t>
      </w:r>
      <w:proofErr w:type="spellEnd"/>
      <w:r w:rsidRPr="00936C72">
        <w:rPr>
          <w:rFonts w:ascii="Book Antiqua" w:hAnsi="Book Antiqua"/>
          <w:color w:val="000000" w:themeColor="text1"/>
        </w:rPr>
        <w:t xml:space="preserve"> AI, </w:t>
      </w:r>
      <w:proofErr w:type="spellStart"/>
      <w:r w:rsidRPr="00936C72">
        <w:rPr>
          <w:rFonts w:ascii="Book Antiqua" w:hAnsi="Book Antiqua"/>
          <w:color w:val="000000" w:themeColor="text1"/>
        </w:rPr>
        <w:t>Memish</w:t>
      </w:r>
      <w:proofErr w:type="spellEnd"/>
      <w:r w:rsidRPr="00936C72">
        <w:rPr>
          <w:rFonts w:ascii="Book Antiqua" w:hAnsi="Book Antiqua"/>
          <w:color w:val="000000" w:themeColor="text1"/>
        </w:rPr>
        <w:t xml:space="preserve"> ZA. Epidemiological, demographic, and clinical characteristics of 47 cases of Middle East respiratory syndrome coronavirus disease from Saudi Arabia: a descriptive study. </w:t>
      </w:r>
      <w:r w:rsidRPr="00936C72">
        <w:rPr>
          <w:rFonts w:ascii="Book Antiqua" w:hAnsi="Book Antiqua"/>
          <w:i/>
          <w:color w:val="000000" w:themeColor="text1"/>
        </w:rPr>
        <w:t>Lancet Infect Dis</w:t>
      </w:r>
      <w:r w:rsidRPr="00936C72">
        <w:rPr>
          <w:rFonts w:ascii="Book Antiqua" w:hAnsi="Book Antiqua"/>
          <w:color w:val="000000" w:themeColor="text1"/>
        </w:rPr>
        <w:t xml:space="preserve"> 2013; </w:t>
      </w:r>
      <w:r w:rsidRPr="00936C72">
        <w:rPr>
          <w:rFonts w:ascii="Book Antiqua" w:hAnsi="Book Antiqua"/>
          <w:b/>
          <w:color w:val="000000" w:themeColor="text1"/>
        </w:rPr>
        <w:t>13</w:t>
      </w:r>
      <w:r w:rsidRPr="00936C72">
        <w:rPr>
          <w:rFonts w:ascii="Book Antiqua" w:hAnsi="Book Antiqua"/>
          <w:color w:val="000000" w:themeColor="text1"/>
        </w:rPr>
        <w:t>: 752-761 [PMID: 23891402 DOI: 10.1016/S1473-3099(13)70204-4]</w:t>
      </w:r>
    </w:p>
    <w:p w14:paraId="00BCEEFB" w14:textId="19C444B2"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15 </w:t>
      </w:r>
      <w:r w:rsidRPr="00936C72">
        <w:rPr>
          <w:rFonts w:ascii="Book Antiqua" w:hAnsi="Book Antiqua"/>
          <w:b/>
          <w:color w:val="000000" w:themeColor="text1"/>
        </w:rPr>
        <w:t>Liang W</w:t>
      </w:r>
      <w:r w:rsidRPr="00936C72">
        <w:rPr>
          <w:rFonts w:ascii="Book Antiqua" w:hAnsi="Book Antiqua"/>
          <w:color w:val="000000" w:themeColor="text1"/>
        </w:rPr>
        <w:t xml:space="preserve">, Feng Z, Rao S, Xiao C, </w:t>
      </w:r>
      <w:proofErr w:type="spellStart"/>
      <w:r w:rsidRPr="00936C72">
        <w:rPr>
          <w:rFonts w:ascii="Book Antiqua" w:hAnsi="Book Antiqua"/>
          <w:color w:val="000000" w:themeColor="text1"/>
        </w:rPr>
        <w:t>Xue</w:t>
      </w:r>
      <w:proofErr w:type="spellEnd"/>
      <w:r w:rsidRPr="00936C72">
        <w:rPr>
          <w:rFonts w:ascii="Book Antiqua" w:hAnsi="Book Antiqua"/>
          <w:color w:val="000000" w:themeColor="text1"/>
        </w:rPr>
        <w:t xml:space="preserve"> X, Lin Z, Zhang Q, Qi W. </w:t>
      </w:r>
      <w:proofErr w:type="spellStart"/>
      <w:r w:rsidRPr="00936C72">
        <w:rPr>
          <w:rFonts w:ascii="Book Antiqua" w:hAnsi="Book Antiqua"/>
          <w:color w:val="000000" w:themeColor="text1"/>
        </w:rPr>
        <w:t>Diarrhoea</w:t>
      </w:r>
      <w:proofErr w:type="spellEnd"/>
      <w:r w:rsidRPr="00936C72">
        <w:rPr>
          <w:rFonts w:ascii="Book Antiqua" w:hAnsi="Book Antiqua"/>
          <w:color w:val="000000" w:themeColor="text1"/>
        </w:rPr>
        <w:t xml:space="preserve"> may be underestimated: a missing link in 2019 novel coronavirus. </w:t>
      </w:r>
      <w:r w:rsidRPr="00936C72">
        <w:rPr>
          <w:rFonts w:ascii="Book Antiqua" w:hAnsi="Book Antiqua"/>
          <w:i/>
          <w:color w:val="000000" w:themeColor="text1"/>
        </w:rPr>
        <w:t>Gut</w:t>
      </w:r>
      <w:r w:rsidRPr="00936C72">
        <w:rPr>
          <w:rFonts w:ascii="Book Antiqua" w:hAnsi="Book Antiqua"/>
          <w:color w:val="000000" w:themeColor="text1"/>
        </w:rPr>
        <w:t xml:space="preserve"> 2020 [PMID: 32102928 DOI: 10.1136/gutjnl-2020-320832]</w:t>
      </w:r>
    </w:p>
    <w:p w14:paraId="6B28BA5E" w14:textId="02BC5176"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16 </w:t>
      </w:r>
      <w:r w:rsidRPr="00936C72">
        <w:rPr>
          <w:rFonts w:ascii="Book Antiqua" w:hAnsi="Book Antiqua"/>
          <w:b/>
          <w:color w:val="000000" w:themeColor="text1"/>
        </w:rPr>
        <w:t>Pan L,</w:t>
      </w:r>
      <w:r w:rsidRPr="00936C72">
        <w:rPr>
          <w:rFonts w:ascii="Book Antiqua" w:hAnsi="Book Antiqua"/>
          <w:color w:val="000000" w:themeColor="text1"/>
        </w:rPr>
        <w:t xml:space="preserve"> Mu M, </w:t>
      </w:r>
      <w:r w:rsidR="00295208" w:rsidRPr="00936C72">
        <w:rPr>
          <w:rFonts w:ascii="Book Antiqua" w:hAnsi="Book Antiqua"/>
          <w:color w:val="000000" w:themeColor="text1"/>
        </w:rPr>
        <w:t>Yang P, Sun Y, Wang R, Yan J, Li P, Hu B, Wang J</w:t>
      </w:r>
      <w:r w:rsidRPr="00936C72">
        <w:rPr>
          <w:rFonts w:ascii="Book Antiqua" w:hAnsi="Book Antiqua"/>
          <w:color w:val="000000" w:themeColor="text1"/>
        </w:rPr>
        <w:t>,</w:t>
      </w:r>
      <w:r w:rsidR="00295208" w:rsidRPr="00936C72">
        <w:rPr>
          <w:rFonts w:ascii="Book Antiqua" w:hAnsi="Book Antiqua"/>
          <w:color w:val="000000" w:themeColor="text1"/>
        </w:rPr>
        <w:t xml:space="preserve"> Hu C,</w:t>
      </w:r>
      <w:r w:rsidRPr="00936C72">
        <w:rPr>
          <w:rFonts w:ascii="Book Antiqua" w:hAnsi="Book Antiqua"/>
          <w:color w:val="000000" w:themeColor="text1"/>
        </w:rPr>
        <w:t xml:space="preserve"> Jin Y, </w:t>
      </w:r>
      <w:proofErr w:type="spellStart"/>
      <w:r w:rsidRPr="00936C72">
        <w:rPr>
          <w:rFonts w:ascii="Book Antiqua" w:hAnsi="Book Antiqua"/>
          <w:color w:val="000000" w:themeColor="text1"/>
        </w:rPr>
        <w:t>Niu</w:t>
      </w:r>
      <w:proofErr w:type="spellEnd"/>
      <w:r w:rsidRPr="00936C72">
        <w:rPr>
          <w:rFonts w:ascii="Book Antiqua" w:hAnsi="Book Antiqua"/>
          <w:color w:val="000000" w:themeColor="text1"/>
        </w:rPr>
        <w:t xml:space="preserve"> X, Ping R, Du Y, Li T, Xu G, Hu Q, Tu L. Clinical characteristics of COVID-19 patients with digestive symptoms in Hubei, China: a descriptive, cross-sectional, multicenter study. </w:t>
      </w:r>
      <w:r w:rsidRPr="00936C72">
        <w:rPr>
          <w:rFonts w:ascii="Book Antiqua" w:hAnsi="Book Antiqua"/>
          <w:i/>
          <w:iCs/>
          <w:color w:val="000000" w:themeColor="text1"/>
        </w:rPr>
        <w:t>American J Gastroenterol</w:t>
      </w:r>
      <w:r w:rsidR="00EE0AC5" w:rsidRPr="00936C72">
        <w:rPr>
          <w:rFonts w:ascii="Book Antiqua" w:hAnsi="Book Antiqua"/>
          <w:color w:val="000000" w:themeColor="text1"/>
        </w:rPr>
        <w:t xml:space="preserve"> 2020</w:t>
      </w:r>
    </w:p>
    <w:p w14:paraId="1482A848" w14:textId="2CD3E449"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17 </w:t>
      </w:r>
      <w:proofErr w:type="spellStart"/>
      <w:r w:rsidRPr="00936C72">
        <w:rPr>
          <w:rFonts w:ascii="Book Antiqua" w:hAnsi="Book Antiqua"/>
          <w:b/>
          <w:color w:val="000000" w:themeColor="text1"/>
        </w:rPr>
        <w:t>Carvalho</w:t>
      </w:r>
      <w:proofErr w:type="spellEnd"/>
      <w:r w:rsidRPr="00936C72">
        <w:rPr>
          <w:rFonts w:ascii="Book Antiqua" w:hAnsi="Book Antiqua"/>
          <w:b/>
          <w:color w:val="000000" w:themeColor="text1"/>
        </w:rPr>
        <w:t xml:space="preserve"> A,</w:t>
      </w:r>
      <w:r w:rsidRPr="00936C72">
        <w:rPr>
          <w:rFonts w:ascii="Book Antiqua" w:hAnsi="Book Antiqua"/>
          <w:color w:val="000000" w:themeColor="text1"/>
        </w:rPr>
        <w:t xml:space="preserve"> </w:t>
      </w:r>
      <w:proofErr w:type="spellStart"/>
      <w:r w:rsidRPr="00936C72">
        <w:rPr>
          <w:rFonts w:ascii="Book Antiqua" w:hAnsi="Book Antiqua"/>
          <w:color w:val="000000" w:themeColor="text1"/>
        </w:rPr>
        <w:t>Alqusairi</w:t>
      </w:r>
      <w:proofErr w:type="spellEnd"/>
      <w:r w:rsidRPr="00936C72">
        <w:rPr>
          <w:rFonts w:ascii="Book Antiqua" w:hAnsi="Book Antiqua"/>
          <w:color w:val="000000" w:themeColor="text1"/>
        </w:rPr>
        <w:t xml:space="preserve"> R, Anna Adams, Paul M, Kothari N, Peters S, </w:t>
      </w:r>
      <w:proofErr w:type="spellStart"/>
      <w:r w:rsidRPr="00936C72">
        <w:rPr>
          <w:rFonts w:ascii="Book Antiqua" w:hAnsi="Book Antiqua"/>
          <w:color w:val="000000" w:themeColor="text1"/>
        </w:rPr>
        <w:t>DeBenedet</w:t>
      </w:r>
      <w:proofErr w:type="spellEnd"/>
      <w:r w:rsidRPr="00936C72">
        <w:rPr>
          <w:rFonts w:ascii="Book Antiqua" w:hAnsi="Book Antiqua"/>
          <w:color w:val="000000" w:themeColor="text1"/>
        </w:rPr>
        <w:t xml:space="preserve"> AT. SARS-CoV-2 Gastrointestinal Infection Causing Hemorrhagic Colitis: Implications for Detection and Transmission of COVID-19 Disease. </w:t>
      </w:r>
      <w:r w:rsidR="00EE0AC5" w:rsidRPr="00936C72">
        <w:rPr>
          <w:rFonts w:ascii="Book Antiqua" w:hAnsi="Book Antiqua"/>
          <w:i/>
          <w:iCs/>
          <w:color w:val="000000" w:themeColor="text1"/>
        </w:rPr>
        <w:t>American J Gastroenterol</w:t>
      </w:r>
      <w:r w:rsidRPr="00936C72">
        <w:rPr>
          <w:rFonts w:ascii="Book Antiqua" w:hAnsi="Book Antiqua"/>
          <w:color w:val="000000" w:themeColor="text1"/>
        </w:rPr>
        <w:t xml:space="preserve"> 2020</w:t>
      </w:r>
    </w:p>
    <w:p w14:paraId="737E8208" w14:textId="3A9B2ED6"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18 </w:t>
      </w:r>
      <w:r w:rsidRPr="00936C72">
        <w:rPr>
          <w:rFonts w:ascii="Book Antiqua" w:hAnsi="Book Antiqua"/>
          <w:b/>
          <w:color w:val="000000" w:themeColor="text1"/>
        </w:rPr>
        <w:t>Zhou Z,</w:t>
      </w:r>
      <w:r w:rsidRPr="00936C72">
        <w:rPr>
          <w:rFonts w:ascii="Book Antiqua" w:hAnsi="Book Antiqua"/>
          <w:color w:val="000000" w:themeColor="text1"/>
        </w:rPr>
        <w:t xml:space="preserve"> Zhao N, Shu Y, Han S, Chen B, Shu X. Effect of gastrointestinal symptoms on patients infected with COVID-19. </w:t>
      </w:r>
      <w:r w:rsidRPr="00936C72">
        <w:rPr>
          <w:rFonts w:ascii="Book Antiqua" w:hAnsi="Book Antiqua"/>
          <w:i/>
          <w:iCs/>
          <w:color w:val="000000" w:themeColor="text1"/>
        </w:rPr>
        <w:t>Gastroenterology</w:t>
      </w:r>
      <w:r w:rsidRPr="00936C72">
        <w:rPr>
          <w:rFonts w:ascii="Book Antiqua" w:hAnsi="Book Antiqua"/>
          <w:color w:val="000000" w:themeColor="text1"/>
        </w:rPr>
        <w:t xml:space="preserve"> 2020 [</w:t>
      </w:r>
      <w:r w:rsidR="00EE0AC5" w:rsidRPr="00936C72">
        <w:rPr>
          <w:rFonts w:ascii="Book Antiqua" w:hAnsi="Book Antiqua"/>
          <w:color w:val="000000" w:themeColor="text1"/>
        </w:rPr>
        <w:t xml:space="preserve">PMID: 32199880 </w:t>
      </w:r>
      <w:r w:rsidRPr="00936C72">
        <w:rPr>
          <w:rFonts w:ascii="Book Antiqua" w:hAnsi="Book Antiqua"/>
          <w:color w:val="000000" w:themeColor="text1"/>
        </w:rPr>
        <w:t>DOI: 10.1053/j.gastro.2020.03.020]</w:t>
      </w:r>
    </w:p>
    <w:p w14:paraId="574F6FBB" w14:textId="079A0414"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19 </w:t>
      </w:r>
      <w:r w:rsidRPr="00936C72">
        <w:rPr>
          <w:rFonts w:ascii="Book Antiqua" w:hAnsi="Book Antiqua"/>
          <w:b/>
          <w:color w:val="000000" w:themeColor="text1"/>
        </w:rPr>
        <w:t>Zou X</w:t>
      </w:r>
      <w:r w:rsidRPr="00936C72">
        <w:rPr>
          <w:rFonts w:ascii="Book Antiqua" w:hAnsi="Book Antiqua"/>
          <w:color w:val="000000" w:themeColor="text1"/>
        </w:rPr>
        <w:t xml:space="preserve">, Chen K, Zou J, Han P, Hao J, Han Z. Single-cell RNA-seq data analysis on the receptor ACE2 expression reveals the potential risk of different human organs vulnerable to 2019-nCoV infection. </w:t>
      </w:r>
      <w:r w:rsidRPr="00936C72">
        <w:rPr>
          <w:rFonts w:ascii="Book Antiqua" w:hAnsi="Book Antiqua"/>
          <w:i/>
          <w:color w:val="000000" w:themeColor="text1"/>
        </w:rPr>
        <w:t>Front Med</w:t>
      </w:r>
      <w:r w:rsidRPr="00936C72">
        <w:rPr>
          <w:rFonts w:ascii="Book Antiqua" w:hAnsi="Book Antiqua"/>
          <w:color w:val="000000" w:themeColor="text1"/>
        </w:rPr>
        <w:t xml:space="preserve"> 2020 [PMID: 32170560 DOI: 10.1007/s11684-020-0754-0]</w:t>
      </w:r>
    </w:p>
    <w:p w14:paraId="1D7E3878" w14:textId="77777777"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20 </w:t>
      </w:r>
      <w:r w:rsidRPr="00936C72">
        <w:rPr>
          <w:rFonts w:ascii="Book Antiqua" w:hAnsi="Book Antiqua"/>
          <w:b/>
          <w:color w:val="000000" w:themeColor="text1"/>
        </w:rPr>
        <w:t>Guan GW</w:t>
      </w:r>
      <w:r w:rsidRPr="00936C72">
        <w:rPr>
          <w:rFonts w:ascii="Book Antiqua" w:hAnsi="Book Antiqua"/>
          <w:color w:val="000000" w:themeColor="text1"/>
        </w:rPr>
        <w:t xml:space="preserve">, Gao L, Wang JW, Wen XJ, Mao TH, Peng SW, Zhang T, Chen XM, Lu FM. [Exploring the mechanism of liver enzyme abnormalities in patients with </w:t>
      </w:r>
      <w:r w:rsidRPr="00936C72">
        <w:rPr>
          <w:rFonts w:ascii="Book Antiqua" w:hAnsi="Book Antiqua"/>
          <w:color w:val="000000" w:themeColor="text1"/>
        </w:rPr>
        <w:lastRenderedPageBreak/>
        <w:t xml:space="preserve">novel coronavirus-infected pneumonia]. </w:t>
      </w:r>
      <w:proofErr w:type="spellStart"/>
      <w:r w:rsidRPr="00936C72">
        <w:rPr>
          <w:rFonts w:ascii="Book Antiqua" w:hAnsi="Book Antiqua"/>
          <w:i/>
          <w:color w:val="000000" w:themeColor="text1"/>
        </w:rPr>
        <w:t>Zhonghua</w:t>
      </w:r>
      <w:proofErr w:type="spellEnd"/>
      <w:r w:rsidRPr="00936C72">
        <w:rPr>
          <w:rFonts w:ascii="Book Antiqua" w:hAnsi="Book Antiqua"/>
          <w:i/>
          <w:color w:val="000000" w:themeColor="text1"/>
        </w:rPr>
        <w:t xml:space="preserve"> </w:t>
      </w:r>
      <w:proofErr w:type="spellStart"/>
      <w:r w:rsidRPr="00936C72">
        <w:rPr>
          <w:rFonts w:ascii="Book Antiqua" w:hAnsi="Book Antiqua"/>
          <w:i/>
          <w:color w:val="000000" w:themeColor="text1"/>
        </w:rPr>
        <w:t>Gan</w:t>
      </w:r>
      <w:proofErr w:type="spellEnd"/>
      <w:r w:rsidRPr="00936C72">
        <w:rPr>
          <w:rFonts w:ascii="Book Antiqua" w:hAnsi="Book Antiqua"/>
          <w:i/>
          <w:color w:val="000000" w:themeColor="text1"/>
        </w:rPr>
        <w:t xml:space="preserve"> </w:t>
      </w:r>
      <w:proofErr w:type="spellStart"/>
      <w:r w:rsidRPr="00936C72">
        <w:rPr>
          <w:rFonts w:ascii="Book Antiqua" w:hAnsi="Book Antiqua"/>
          <w:i/>
          <w:color w:val="000000" w:themeColor="text1"/>
        </w:rPr>
        <w:t>Zang</w:t>
      </w:r>
      <w:proofErr w:type="spellEnd"/>
      <w:r w:rsidRPr="00936C72">
        <w:rPr>
          <w:rFonts w:ascii="Book Antiqua" w:hAnsi="Book Antiqua"/>
          <w:i/>
          <w:color w:val="000000" w:themeColor="text1"/>
        </w:rPr>
        <w:t xml:space="preserve"> Bing </w:t>
      </w:r>
      <w:proofErr w:type="spellStart"/>
      <w:r w:rsidRPr="00936C72">
        <w:rPr>
          <w:rFonts w:ascii="Book Antiqua" w:hAnsi="Book Antiqua"/>
          <w:i/>
          <w:color w:val="000000" w:themeColor="text1"/>
        </w:rPr>
        <w:t>Za</w:t>
      </w:r>
      <w:proofErr w:type="spellEnd"/>
      <w:r w:rsidRPr="00936C72">
        <w:rPr>
          <w:rFonts w:ascii="Book Antiqua" w:hAnsi="Book Antiqua"/>
          <w:i/>
          <w:color w:val="000000" w:themeColor="text1"/>
        </w:rPr>
        <w:t xml:space="preserve"> </w:t>
      </w:r>
      <w:proofErr w:type="spellStart"/>
      <w:r w:rsidRPr="00936C72">
        <w:rPr>
          <w:rFonts w:ascii="Book Antiqua" w:hAnsi="Book Antiqua"/>
          <w:i/>
          <w:color w:val="000000" w:themeColor="text1"/>
        </w:rPr>
        <w:t>Zhi</w:t>
      </w:r>
      <w:proofErr w:type="spellEnd"/>
      <w:r w:rsidRPr="00936C72">
        <w:rPr>
          <w:rFonts w:ascii="Book Antiqua" w:hAnsi="Book Antiqua"/>
          <w:color w:val="000000" w:themeColor="text1"/>
        </w:rPr>
        <w:t xml:space="preserve"> 2020; </w:t>
      </w:r>
      <w:r w:rsidRPr="00936C72">
        <w:rPr>
          <w:rFonts w:ascii="Book Antiqua" w:hAnsi="Book Antiqua"/>
          <w:b/>
          <w:color w:val="000000" w:themeColor="text1"/>
        </w:rPr>
        <w:t>28</w:t>
      </w:r>
      <w:r w:rsidRPr="00936C72">
        <w:rPr>
          <w:rFonts w:ascii="Book Antiqua" w:hAnsi="Book Antiqua"/>
          <w:color w:val="000000" w:themeColor="text1"/>
        </w:rPr>
        <w:t>: E002 [PMID: 32077659 DOI: 10.3760/cma.j.issn.1007-3418.2020.02.002]</w:t>
      </w:r>
    </w:p>
    <w:p w14:paraId="0E491DC7" w14:textId="38331D8A"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21 </w:t>
      </w:r>
      <w:r w:rsidRPr="00936C72">
        <w:rPr>
          <w:rFonts w:ascii="Book Antiqua" w:hAnsi="Book Antiqua"/>
          <w:b/>
          <w:color w:val="000000" w:themeColor="text1"/>
        </w:rPr>
        <w:t>Xu L</w:t>
      </w:r>
      <w:r w:rsidRPr="00936C72">
        <w:rPr>
          <w:rFonts w:ascii="Book Antiqua" w:hAnsi="Book Antiqua"/>
          <w:color w:val="000000" w:themeColor="text1"/>
        </w:rPr>
        <w:t xml:space="preserve">, Liu J, Lu M, Yang D, Zheng X. Liver injury during highly pathogenic human coronavirus infections. </w:t>
      </w:r>
      <w:r w:rsidRPr="00936C72">
        <w:rPr>
          <w:rFonts w:ascii="Book Antiqua" w:hAnsi="Book Antiqua"/>
          <w:i/>
          <w:color w:val="000000" w:themeColor="text1"/>
        </w:rPr>
        <w:t>Liver Int</w:t>
      </w:r>
      <w:r w:rsidRPr="00936C72">
        <w:rPr>
          <w:rFonts w:ascii="Book Antiqua" w:hAnsi="Book Antiqua"/>
          <w:color w:val="000000" w:themeColor="text1"/>
        </w:rPr>
        <w:t xml:space="preserve"> 2020 [PMID: 32170806 DOI: 10.1111/liv.14435]</w:t>
      </w:r>
    </w:p>
    <w:p w14:paraId="26080807" w14:textId="6D3791AF"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22 </w:t>
      </w:r>
      <w:proofErr w:type="spellStart"/>
      <w:r w:rsidRPr="00936C72">
        <w:rPr>
          <w:rFonts w:ascii="Book Antiqua" w:hAnsi="Book Antiqua"/>
          <w:b/>
          <w:color w:val="000000" w:themeColor="text1"/>
        </w:rPr>
        <w:t>Duan</w:t>
      </w:r>
      <w:proofErr w:type="spellEnd"/>
      <w:r w:rsidRPr="00936C72">
        <w:rPr>
          <w:rFonts w:ascii="Book Antiqua" w:hAnsi="Book Antiqua"/>
          <w:b/>
          <w:color w:val="000000" w:themeColor="text1"/>
        </w:rPr>
        <w:t xml:space="preserve"> ZP</w:t>
      </w:r>
      <w:r w:rsidRPr="00936C72">
        <w:rPr>
          <w:rFonts w:ascii="Book Antiqua" w:hAnsi="Book Antiqua"/>
          <w:color w:val="000000" w:themeColor="text1"/>
        </w:rPr>
        <w:t xml:space="preserve">, Chen Y, Zhang J, Zhao J, Lang ZW, Meng FK, Bao XL. Clinical characteristics and mechanism of liver injury in patients with severe acute respiratory syndrome. </w:t>
      </w:r>
      <w:proofErr w:type="spellStart"/>
      <w:r w:rsidRPr="00936C72">
        <w:rPr>
          <w:rFonts w:ascii="Book Antiqua" w:hAnsi="Book Antiqua"/>
          <w:i/>
          <w:color w:val="000000" w:themeColor="text1"/>
        </w:rPr>
        <w:t>Zhonghua</w:t>
      </w:r>
      <w:proofErr w:type="spellEnd"/>
      <w:r w:rsidRPr="00936C72">
        <w:rPr>
          <w:rFonts w:ascii="Book Antiqua" w:hAnsi="Book Antiqua"/>
          <w:i/>
          <w:color w:val="000000" w:themeColor="text1"/>
        </w:rPr>
        <w:t xml:space="preserve"> </w:t>
      </w:r>
      <w:proofErr w:type="spellStart"/>
      <w:r w:rsidRPr="00936C72">
        <w:rPr>
          <w:rFonts w:ascii="Book Antiqua" w:hAnsi="Book Antiqua"/>
          <w:i/>
          <w:color w:val="000000" w:themeColor="text1"/>
        </w:rPr>
        <w:t>Gan</w:t>
      </w:r>
      <w:proofErr w:type="spellEnd"/>
      <w:r w:rsidRPr="00936C72">
        <w:rPr>
          <w:rFonts w:ascii="Book Antiqua" w:hAnsi="Book Antiqua"/>
          <w:i/>
          <w:color w:val="000000" w:themeColor="text1"/>
        </w:rPr>
        <w:t xml:space="preserve"> </w:t>
      </w:r>
      <w:proofErr w:type="spellStart"/>
      <w:r w:rsidRPr="00936C72">
        <w:rPr>
          <w:rFonts w:ascii="Book Antiqua" w:hAnsi="Book Antiqua"/>
          <w:i/>
          <w:color w:val="000000" w:themeColor="text1"/>
        </w:rPr>
        <w:t>Zang</w:t>
      </w:r>
      <w:proofErr w:type="spellEnd"/>
      <w:r w:rsidRPr="00936C72">
        <w:rPr>
          <w:rFonts w:ascii="Book Antiqua" w:hAnsi="Book Antiqua"/>
          <w:i/>
          <w:color w:val="000000" w:themeColor="text1"/>
        </w:rPr>
        <w:t xml:space="preserve"> Bing </w:t>
      </w:r>
      <w:proofErr w:type="spellStart"/>
      <w:r w:rsidRPr="00936C72">
        <w:rPr>
          <w:rFonts w:ascii="Book Antiqua" w:hAnsi="Book Antiqua"/>
          <w:i/>
          <w:color w:val="000000" w:themeColor="text1"/>
        </w:rPr>
        <w:t>Za</w:t>
      </w:r>
      <w:proofErr w:type="spellEnd"/>
      <w:r w:rsidRPr="00936C72">
        <w:rPr>
          <w:rFonts w:ascii="Book Antiqua" w:hAnsi="Book Antiqua"/>
          <w:i/>
          <w:color w:val="000000" w:themeColor="text1"/>
        </w:rPr>
        <w:t xml:space="preserve"> </w:t>
      </w:r>
      <w:proofErr w:type="spellStart"/>
      <w:r w:rsidRPr="00936C72">
        <w:rPr>
          <w:rFonts w:ascii="Book Antiqua" w:hAnsi="Book Antiqua"/>
          <w:i/>
          <w:color w:val="000000" w:themeColor="text1"/>
        </w:rPr>
        <w:t>Zhi</w:t>
      </w:r>
      <w:proofErr w:type="spellEnd"/>
      <w:r w:rsidRPr="00936C72">
        <w:rPr>
          <w:rFonts w:ascii="Book Antiqua" w:hAnsi="Book Antiqua"/>
          <w:color w:val="000000" w:themeColor="text1"/>
        </w:rPr>
        <w:t xml:space="preserve"> 2003; </w:t>
      </w:r>
      <w:r w:rsidRPr="00936C72">
        <w:rPr>
          <w:rFonts w:ascii="Book Antiqua" w:hAnsi="Book Antiqua"/>
          <w:b/>
          <w:color w:val="000000" w:themeColor="text1"/>
        </w:rPr>
        <w:t>11</w:t>
      </w:r>
      <w:r w:rsidRPr="00936C72">
        <w:rPr>
          <w:rFonts w:ascii="Book Antiqua" w:hAnsi="Book Antiqua"/>
          <w:color w:val="000000" w:themeColor="text1"/>
        </w:rPr>
        <w:t>: 493-496 [PMID: 12939186]</w:t>
      </w:r>
    </w:p>
    <w:p w14:paraId="1D28B8E1" w14:textId="41DC2C3E"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23 </w:t>
      </w:r>
      <w:proofErr w:type="spellStart"/>
      <w:r w:rsidRPr="00936C72">
        <w:rPr>
          <w:rFonts w:ascii="Book Antiqua" w:hAnsi="Book Antiqua"/>
          <w:b/>
          <w:color w:val="000000" w:themeColor="text1"/>
        </w:rPr>
        <w:t>Cortegiani</w:t>
      </w:r>
      <w:proofErr w:type="spellEnd"/>
      <w:r w:rsidRPr="00936C72">
        <w:rPr>
          <w:rFonts w:ascii="Book Antiqua" w:hAnsi="Book Antiqua"/>
          <w:b/>
          <w:color w:val="000000" w:themeColor="text1"/>
        </w:rPr>
        <w:t xml:space="preserve"> A</w:t>
      </w:r>
      <w:r w:rsidRPr="00936C72">
        <w:rPr>
          <w:rFonts w:ascii="Book Antiqua" w:hAnsi="Book Antiqua"/>
          <w:color w:val="000000" w:themeColor="text1"/>
        </w:rPr>
        <w:t xml:space="preserve">, </w:t>
      </w:r>
      <w:proofErr w:type="spellStart"/>
      <w:r w:rsidRPr="00936C72">
        <w:rPr>
          <w:rFonts w:ascii="Book Antiqua" w:hAnsi="Book Antiqua"/>
          <w:color w:val="000000" w:themeColor="text1"/>
        </w:rPr>
        <w:t>Ingoglia</w:t>
      </w:r>
      <w:proofErr w:type="spellEnd"/>
      <w:r w:rsidRPr="00936C72">
        <w:rPr>
          <w:rFonts w:ascii="Book Antiqua" w:hAnsi="Book Antiqua"/>
          <w:color w:val="000000" w:themeColor="text1"/>
        </w:rPr>
        <w:t xml:space="preserve"> G, </w:t>
      </w:r>
      <w:proofErr w:type="spellStart"/>
      <w:r w:rsidRPr="00936C72">
        <w:rPr>
          <w:rFonts w:ascii="Book Antiqua" w:hAnsi="Book Antiqua"/>
          <w:color w:val="000000" w:themeColor="text1"/>
        </w:rPr>
        <w:t>Ippolito</w:t>
      </w:r>
      <w:proofErr w:type="spellEnd"/>
      <w:r w:rsidRPr="00936C72">
        <w:rPr>
          <w:rFonts w:ascii="Book Antiqua" w:hAnsi="Book Antiqua"/>
          <w:color w:val="000000" w:themeColor="text1"/>
        </w:rPr>
        <w:t xml:space="preserve"> M, </w:t>
      </w:r>
      <w:proofErr w:type="spellStart"/>
      <w:r w:rsidRPr="00936C72">
        <w:rPr>
          <w:rFonts w:ascii="Book Antiqua" w:hAnsi="Book Antiqua"/>
          <w:color w:val="000000" w:themeColor="text1"/>
        </w:rPr>
        <w:t>Giarratano</w:t>
      </w:r>
      <w:proofErr w:type="spellEnd"/>
      <w:r w:rsidRPr="00936C72">
        <w:rPr>
          <w:rFonts w:ascii="Book Antiqua" w:hAnsi="Book Antiqua"/>
          <w:color w:val="000000" w:themeColor="text1"/>
        </w:rPr>
        <w:t xml:space="preserve"> A, </w:t>
      </w:r>
      <w:proofErr w:type="spellStart"/>
      <w:r w:rsidRPr="00936C72">
        <w:rPr>
          <w:rFonts w:ascii="Book Antiqua" w:hAnsi="Book Antiqua"/>
          <w:color w:val="000000" w:themeColor="text1"/>
        </w:rPr>
        <w:t>Einav</w:t>
      </w:r>
      <w:proofErr w:type="spellEnd"/>
      <w:r w:rsidRPr="00936C72">
        <w:rPr>
          <w:rFonts w:ascii="Book Antiqua" w:hAnsi="Book Antiqua"/>
          <w:color w:val="000000" w:themeColor="text1"/>
        </w:rPr>
        <w:t xml:space="preserve"> S. A systematic review on the efficacy and safety of chloroquine for the treatment of COVID-19. </w:t>
      </w:r>
      <w:r w:rsidRPr="00936C72">
        <w:rPr>
          <w:rFonts w:ascii="Book Antiqua" w:hAnsi="Book Antiqua"/>
          <w:i/>
          <w:color w:val="000000" w:themeColor="text1"/>
        </w:rPr>
        <w:t xml:space="preserve">J </w:t>
      </w:r>
      <w:proofErr w:type="spellStart"/>
      <w:r w:rsidRPr="00936C72">
        <w:rPr>
          <w:rFonts w:ascii="Book Antiqua" w:hAnsi="Book Antiqua"/>
          <w:i/>
          <w:color w:val="000000" w:themeColor="text1"/>
        </w:rPr>
        <w:t>Crit</w:t>
      </w:r>
      <w:proofErr w:type="spellEnd"/>
      <w:r w:rsidRPr="00936C72">
        <w:rPr>
          <w:rFonts w:ascii="Book Antiqua" w:hAnsi="Book Antiqua"/>
          <w:i/>
          <w:color w:val="000000" w:themeColor="text1"/>
        </w:rPr>
        <w:t xml:space="preserve"> Care</w:t>
      </w:r>
      <w:r w:rsidRPr="00936C72">
        <w:rPr>
          <w:rFonts w:ascii="Book Antiqua" w:hAnsi="Book Antiqua"/>
          <w:color w:val="000000" w:themeColor="text1"/>
        </w:rPr>
        <w:t xml:space="preserve"> 2020 [PMID: 32173110 DOI: 10.1016/j.jcrc.2020.03.005]</w:t>
      </w:r>
    </w:p>
    <w:p w14:paraId="3E495C64" w14:textId="30C0526A"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24 </w:t>
      </w:r>
      <w:r w:rsidRPr="00936C72">
        <w:rPr>
          <w:rFonts w:ascii="Book Antiqua" w:hAnsi="Book Antiqua"/>
          <w:b/>
          <w:color w:val="000000" w:themeColor="text1"/>
        </w:rPr>
        <w:t>Yao X</w:t>
      </w:r>
      <w:r w:rsidRPr="00936C72">
        <w:rPr>
          <w:rFonts w:ascii="Book Antiqua" w:hAnsi="Book Antiqua"/>
          <w:color w:val="000000" w:themeColor="text1"/>
        </w:rPr>
        <w:t xml:space="preserve">, Ye F, Zhang M, Cui C, Huang B, </w:t>
      </w:r>
      <w:proofErr w:type="spellStart"/>
      <w:r w:rsidRPr="00936C72">
        <w:rPr>
          <w:rFonts w:ascii="Book Antiqua" w:hAnsi="Book Antiqua"/>
          <w:color w:val="000000" w:themeColor="text1"/>
        </w:rPr>
        <w:t>Niu</w:t>
      </w:r>
      <w:proofErr w:type="spellEnd"/>
      <w:r w:rsidRPr="00936C72">
        <w:rPr>
          <w:rFonts w:ascii="Book Antiqua" w:hAnsi="Book Antiqua"/>
          <w:color w:val="000000" w:themeColor="text1"/>
        </w:rPr>
        <w:t xml:space="preserve"> P, Liu X, Zhao L, Dong E, Song C, Zhan S, Lu R, Li H, Tan W, Liu D. In Vitro Antiviral Activity and Projection of Optimized Dosing Design of Hydroxychloroquine for the Treatment of Severe Acute Respiratory Syndrome Coronavirus 2 (SARS-CoV-2). </w:t>
      </w:r>
      <w:r w:rsidRPr="00936C72">
        <w:rPr>
          <w:rFonts w:ascii="Book Antiqua" w:hAnsi="Book Antiqua"/>
          <w:i/>
          <w:color w:val="000000" w:themeColor="text1"/>
        </w:rPr>
        <w:t>Clin Infect Dis</w:t>
      </w:r>
      <w:r w:rsidRPr="00936C72">
        <w:rPr>
          <w:rFonts w:ascii="Book Antiqua" w:hAnsi="Book Antiqua"/>
          <w:color w:val="000000" w:themeColor="text1"/>
        </w:rPr>
        <w:t xml:space="preserve"> 2020 [PMID: 32150618 DOI: 10.1093/</w:t>
      </w:r>
      <w:proofErr w:type="spellStart"/>
      <w:r w:rsidRPr="00936C72">
        <w:rPr>
          <w:rFonts w:ascii="Book Antiqua" w:hAnsi="Book Antiqua"/>
          <w:color w:val="000000" w:themeColor="text1"/>
        </w:rPr>
        <w:t>cid</w:t>
      </w:r>
      <w:proofErr w:type="spellEnd"/>
      <w:r w:rsidRPr="00936C72">
        <w:rPr>
          <w:rFonts w:ascii="Book Antiqua" w:hAnsi="Book Antiqua"/>
          <w:color w:val="000000" w:themeColor="text1"/>
        </w:rPr>
        <w:t>/ciaa237]</w:t>
      </w:r>
    </w:p>
    <w:p w14:paraId="1F6A3B33" w14:textId="32EF9688"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25 </w:t>
      </w:r>
      <w:proofErr w:type="spellStart"/>
      <w:r w:rsidRPr="00936C72">
        <w:rPr>
          <w:rFonts w:ascii="Book Antiqua" w:hAnsi="Book Antiqua"/>
          <w:color w:val="000000" w:themeColor="text1"/>
        </w:rPr>
        <w:t>LiverTox</w:t>
      </w:r>
      <w:proofErr w:type="spellEnd"/>
      <w:r w:rsidRPr="00936C72">
        <w:rPr>
          <w:rFonts w:ascii="Book Antiqua" w:hAnsi="Book Antiqua"/>
          <w:color w:val="000000" w:themeColor="text1"/>
        </w:rPr>
        <w:t>: Clinical and Research Information on Drug-Induced Liver Injury [Internet]</w:t>
      </w:r>
      <w:r w:rsidR="00EE0AC5" w:rsidRPr="00936C72">
        <w:rPr>
          <w:rFonts w:ascii="Book Antiqua" w:hAnsi="Book Antiqua"/>
          <w:color w:val="000000" w:themeColor="text1"/>
        </w:rPr>
        <w:t>.</w:t>
      </w:r>
      <w:r w:rsidRPr="00936C72">
        <w:rPr>
          <w:rFonts w:ascii="Book Antiqua" w:hAnsi="Book Antiqua"/>
          <w:color w:val="000000" w:themeColor="text1"/>
        </w:rPr>
        <w:t xml:space="preserve"> </w:t>
      </w:r>
      <w:r w:rsidR="00EE0AC5" w:rsidRPr="00936C72">
        <w:rPr>
          <w:rFonts w:ascii="Book Antiqua" w:hAnsi="Book Antiqua"/>
          <w:color w:val="000000" w:themeColor="text1"/>
        </w:rPr>
        <w:t xml:space="preserve">Bethesda (MD): National Institute of Diabetes and Digestive and Kidney Diseases, </w:t>
      </w:r>
      <w:r w:rsidRPr="00936C72">
        <w:rPr>
          <w:rFonts w:ascii="Book Antiqua" w:hAnsi="Book Antiqua"/>
          <w:color w:val="000000" w:themeColor="text1"/>
        </w:rPr>
        <w:t xml:space="preserve">2012 </w:t>
      </w:r>
      <w:r w:rsidR="00EE0AC5" w:rsidRPr="00936C72">
        <w:rPr>
          <w:rFonts w:ascii="Book Antiqua" w:hAnsi="Book Antiqua"/>
          <w:color w:val="000000" w:themeColor="text1"/>
        </w:rPr>
        <w:t>[PMID: 31643176]</w:t>
      </w:r>
    </w:p>
    <w:p w14:paraId="496DE952" w14:textId="5146211D"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26 </w:t>
      </w:r>
      <w:r w:rsidRPr="00936C72">
        <w:rPr>
          <w:rFonts w:ascii="Book Antiqua" w:hAnsi="Book Antiqua"/>
          <w:b/>
          <w:color w:val="000000" w:themeColor="text1"/>
        </w:rPr>
        <w:t>Cao B</w:t>
      </w:r>
      <w:r w:rsidRPr="00936C72">
        <w:rPr>
          <w:rFonts w:ascii="Book Antiqua" w:hAnsi="Book Antiqua"/>
          <w:color w:val="000000" w:themeColor="text1"/>
        </w:rPr>
        <w:t xml:space="preserve">, Wang Y, Wen D, Liu W, Wang J, Fan G, </w:t>
      </w:r>
      <w:proofErr w:type="spellStart"/>
      <w:r w:rsidRPr="00936C72">
        <w:rPr>
          <w:rFonts w:ascii="Book Antiqua" w:hAnsi="Book Antiqua"/>
          <w:color w:val="000000" w:themeColor="text1"/>
        </w:rPr>
        <w:t>Ruan</w:t>
      </w:r>
      <w:proofErr w:type="spellEnd"/>
      <w:r w:rsidRPr="00936C72">
        <w:rPr>
          <w:rFonts w:ascii="Book Antiqua" w:hAnsi="Book Antiqua"/>
          <w:color w:val="000000" w:themeColor="text1"/>
        </w:rPr>
        <w:t xml:space="preserve"> L, Song B, Cai Y, Wei M, Li X, Xia J, Chen N, Xiang J, Yu T, </w:t>
      </w:r>
      <w:proofErr w:type="spellStart"/>
      <w:r w:rsidRPr="00936C72">
        <w:rPr>
          <w:rFonts w:ascii="Book Antiqua" w:hAnsi="Book Antiqua"/>
          <w:color w:val="000000" w:themeColor="text1"/>
        </w:rPr>
        <w:t>Bai</w:t>
      </w:r>
      <w:proofErr w:type="spellEnd"/>
      <w:r w:rsidRPr="00936C72">
        <w:rPr>
          <w:rFonts w:ascii="Book Antiqua" w:hAnsi="Book Antiqua"/>
          <w:color w:val="000000" w:themeColor="text1"/>
        </w:rPr>
        <w:t xml:space="preserve"> T, </w:t>
      </w:r>
      <w:proofErr w:type="spellStart"/>
      <w:r w:rsidRPr="00936C72">
        <w:rPr>
          <w:rFonts w:ascii="Book Antiqua" w:hAnsi="Book Antiqua"/>
          <w:color w:val="000000" w:themeColor="text1"/>
        </w:rPr>
        <w:t>Xie</w:t>
      </w:r>
      <w:proofErr w:type="spellEnd"/>
      <w:r w:rsidRPr="00936C72">
        <w:rPr>
          <w:rFonts w:ascii="Book Antiqua" w:hAnsi="Book Antiqua"/>
          <w:color w:val="000000" w:themeColor="text1"/>
        </w:rPr>
        <w:t xml:space="preserve"> X, Zhang L, Li C, Yuan Y, Chen H, Li H, Huang H, Tu S, Gong F, Liu Y, Wei Y, Dong C, Zhou F, Gu X, Xu J, Liu Z, Zhang Y, Li H, Shang L, Wang K, Li K, Zhou X, Dong X, Qu Z, Lu S, Hu X, </w:t>
      </w:r>
      <w:proofErr w:type="spellStart"/>
      <w:r w:rsidRPr="00936C72">
        <w:rPr>
          <w:rFonts w:ascii="Book Antiqua" w:hAnsi="Book Antiqua"/>
          <w:color w:val="000000" w:themeColor="text1"/>
        </w:rPr>
        <w:t>Ruan</w:t>
      </w:r>
      <w:proofErr w:type="spellEnd"/>
      <w:r w:rsidRPr="00936C72">
        <w:rPr>
          <w:rFonts w:ascii="Book Antiqua" w:hAnsi="Book Antiqua"/>
          <w:color w:val="000000" w:themeColor="text1"/>
        </w:rPr>
        <w:t xml:space="preserve"> S, </w:t>
      </w:r>
      <w:proofErr w:type="spellStart"/>
      <w:r w:rsidRPr="00936C72">
        <w:rPr>
          <w:rFonts w:ascii="Book Antiqua" w:hAnsi="Book Antiqua"/>
          <w:color w:val="000000" w:themeColor="text1"/>
        </w:rPr>
        <w:t>Luo</w:t>
      </w:r>
      <w:proofErr w:type="spellEnd"/>
      <w:r w:rsidRPr="00936C72">
        <w:rPr>
          <w:rFonts w:ascii="Book Antiqua" w:hAnsi="Book Antiqua"/>
          <w:color w:val="000000" w:themeColor="text1"/>
        </w:rPr>
        <w:t xml:space="preserve"> S, Wu J, Peng L, Cheng F, Pan L, Zou J, Jia C, Wang J, Liu X, Wang S, Wu X, Ge Q, He J, Zhan H, </w:t>
      </w:r>
      <w:proofErr w:type="spellStart"/>
      <w:r w:rsidRPr="00936C72">
        <w:rPr>
          <w:rFonts w:ascii="Book Antiqua" w:hAnsi="Book Antiqua"/>
          <w:color w:val="000000" w:themeColor="text1"/>
        </w:rPr>
        <w:t>Qiu</w:t>
      </w:r>
      <w:proofErr w:type="spellEnd"/>
      <w:r w:rsidRPr="00936C72">
        <w:rPr>
          <w:rFonts w:ascii="Book Antiqua" w:hAnsi="Book Antiqua"/>
          <w:color w:val="000000" w:themeColor="text1"/>
        </w:rPr>
        <w:t xml:space="preserve"> F, </w:t>
      </w:r>
      <w:proofErr w:type="spellStart"/>
      <w:r w:rsidRPr="00936C72">
        <w:rPr>
          <w:rFonts w:ascii="Book Antiqua" w:hAnsi="Book Antiqua"/>
          <w:color w:val="000000" w:themeColor="text1"/>
        </w:rPr>
        <w:t>Guo</w:t>
      </w:r>
      <w:proofErr w:type="spellEnd"/>
      <w:r w:rsidRPr="00936C72">
        <w:rPr>
          <w:rFonts w:ascii="Book Antiqua" w:hAnsi="Book Antiqua"/>
          <w:color w:val="000000" w:themeColor="text1"/>
        </w:rPr>
        <w:t xml:space="preserve"> L, Huang C, Jaki T, Hayden FG, </w:t>
      </w:r>
      <w:proofErr w:type="spellStart"/>
      <w:r w:rsidRPr="00936C72">
        <w:rPr>
          <w:rFonts w:ascii="Book Antiqua" w:hAnsi="Book Antiqua"/>
          <w:color w:val="000000" w:themeColor="text1"/>
        </w:rPr>
        <w:t>Horby</w:t>
      </w:r>
      <w:proofErr w:type="spellEnd"/>
      <w:r w:rsidRPr="00936C72">
        <w:rPr>
          <w:rFonts w:ascii="Book Antiqua" w:hAnsi="Book Antiqua"/>
          <w:color w:val="000000" w:themeColor="text1"/>
        </w:rPr>
        <w:t xml:space="preserve"> PW, Zhang D, Wang C. A Trial of Lopinavir-Ritonavir in Adults Hospitalized with Severe Covid-19. </w:t>
      </w:r>
      <w:r w:rsidRPr="00936C72">
        <w:rPr>
          <w:rFonts w:ascii="Book Antiqua" w:hAnsi="Book Antiqua"/>
          <w:i/>
          <w:color w:val="000000" w:themeColor="text1"/>
        </w:rPr>
        <w:t xml:space="preserve">N </w:t>
      </w:r>
      <w:proofErr w:type="spellStart"/>
      <w:r w:rsidRPr="00936C72">
        <w:rPr>
          <w:rFonts w:ascii="Book Antiqua" w:hAnsi="Book Antiqua"/>
          <w:i/>
          <w:color w:val="000000" w:themeColor="text1"/>
        </w:rPr>
        <w:t>Engl</w:t>
      </w:r>
      <w:proofErr w:type="spellEnd"/>
      <w:r w:rsidRPr="00936C72">
        <w:rPr>
          <w:rFonts w:ascii="Book Antiqua" w:hAnsi="Book Antiqua"/>
          <w:i/>
          <w:color w:val="000000" w:themeColor="text1"/>
        </w:rPr>
        <w:t xml:space="preserve"> J Med</w:t>
      </w:r>
      <w:r w:rsidRPr="00936C72">
        <w:rPr>
          <w:rFonts w:ascii="Book Antiqua" w:hAnsi="Book Antiqua"/>
          <w:color w:val="000000" w:themeColor="text1"/>
        </w:rPr>
        <w:t xml:space="preserve"> 2020 [PMID: 32187464 DOI: 10.1056/NEJMoa2001282]</w:t>
      </w:r>
    </w:p>
    <w:p w14:paraId="189CC7CE" w14:textId="69A10570"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lastRenderedPageBreak/>
        <w:t xml:space="preserve">27 </w:t>
      </w:r>
      <w:r w:rsidR="00B94D18" w:rsidRPr="00936C72">
        <w:rPr>
          <w:rFonts w:ascii="Book Antiqua" w:hAnsi="Book Antiqua"/>
          <w:b/>
          <w:bCs/>
          <w:color w:val="000000" w:themeColor="text1"/>
        </w:rPr>
        <w:t>America Society for Gastrointestinal Endoscopy</w:t>
      </w:r>
      <w:r w:rsidR="00B94D18" w:rsidRPr="00936C72">
        <w:rPr>
          <w:rFonts w:ascii="Book Antiqua" w:hAnsi="Book Antiqua"/>
          <w:bCs/>
          <w:color w:val="000000" w:themeColor="text1"/>
        </w:rPr>
        <w:t>.</w:t>
      </w:r>
      <w:r w:rsidR="00B94D18" w:rsidRPr="00936C72">
        <w:rPr>
          <w:rFonts w:ascii="Book Antiqua" w:hAnsi="Book Antiqua"/>
          <w:color w:val="000000" w:themeColor="text1"/>
        </w:rPr>
        <w:t xml:space="preserve"> Joint </w:t>
      </w:r>
      <w:r w:rsidRPr="00936C72">
        <w:rPr>
          <w:rFonts w:ascii="Book Antiqua" w:hAnsi="Book Antiqua"/>
          <w:color w:val="000000" w:themeColor="text1"/>
        </w:rPr>
        <w:t xml:space="preserve">GI </w:t>
      </w:r>
      <w:r w:rsidR="00B94D18" w:rsidRPr="00936C72">
        <w:rPr>
          <w:rFonts w:ascii="Book Antiqua" w:hAnsi="Book Antiqua"/>
          <w:color w:val="000000" w:themeColor="text1"/>
        </w:rPr>
        <w:t>Society Message</w:t>
      </w:r>
      <w:r w:rsidRPr="00936C72">
        <w:rPr>
          <w:rFonts w:ascii="Book Antiqua" w:hAnsi="Book Antiqua"/>
          <w:color w:val="000000" w:themeColor="text1"/>
        </w:rPr>
        <w:t xml:space="preserve">: COVID-19 Clinical Insights for Our Community of Gastroenterologists and Gastroenterology Care Providers. </w:t>
      </w:r>
      <w:r w:rsidR="00B94D18" w:rsidRPr="00936C72">
        <w:rPr>
          <w:rFonts w:ascii="Book Antiqua" w:hAnsi="Book Antiqua"/>
          <w:color w:val="000000" w:themeColor="text1"/>
        </w:rPr>
        <w:t xml:space="preserve">2020. Available from: </w:t>
      </w:r>
      <w:hyperlink r:id="rId11" w:history="1">
        <w:r w:rsidR="008C1A01" w:rsidRPr="00936C72">
          <w:rPr>
            <w:rStyle w:val="a7"/>
            <w:rFonts w:ascii="Book Antiqua" w:hAnsi="Book Antiqua"/>
          </w:rPr>
          <w:t>https://www.asge.org/home/joint-gi-society-message-covid-19</w:t>
        </w:r>
      </w:hyperlink>
      <w:r w:rsidR="008C1A01" w:rsidRPr="00936C72">
        <w:rPr>
          <w:rFonts w:ascii="Book Antiqua" w:hAnsi="Book Antiqua"/>
          <w:color w:val="000000" w:themeColor="text1"/>
        </w:rPr>
        <w:t xml:space="preserve"> </w:t>
      </w:r>
    </w:p>
    <w:p w14:paraId="51A9FB95" w14:textId="676633AC"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28 </w:t>
      </w:r>
      <w:r w:rsidRPr="00936C72">
        <w:rPr>
          <w:rFonts w:ascii="Book Antiqua" w:hAnsi="Book Antiqua"/>
          <w:b/>
          <w:color w:val="000000" w:themeColor="text1"/>
        </w:rPr>
        <w:t>Xiao Y,</w:t>
      </w:r>
      <w:r w:rsidRPr="00936C72">
        <w:rPr>
          <w:rFonts w:ascii="Book Antiqua" w:hAnsi="Book Antiqua"/>
          <w:color w:val="000000" w:themeColor="text1"/>
        </w:rPr>
        <w:t xml:space="preserve"> Pan H, She Q, Wang F, Chen M. Prevention of SARS-CoV-2 infection in patients with decompensated cirrhosis. </w:t>
      </w:r>
      <w:r w:rsidRPr="00936C72">
        <w:rPr>
          <w:rFonts w:ascii="Book Antiqua" w:hAnsi="Book Antiqua"/>
          <w:i/>
          <w:iCs/>
          <w:color w:val="000000" w:themeColor="text1"/>
        </w:rPr>
        <w:t>Lancet Gastroenterol Hepatol</w:t>
      </w:r>
      <w:r w:rsidRPr="00936C72">
        <w:rPr>
          <w:rFonts w:ascii="Book Antiqua" w:hAnsi="Book Antiqua"/>
          <w:color w:val="000000" w:themeColor="text1"/>
        </w:rPr>
        <w:t xml:space="preserve"> 2020 [</w:t>
      </w:r>
      <w:r w:rsidR="00B94D18" w:rsidRPr="00936C72">
        <w:rPr>
          <w:rFonts w:ascii="Book Antiqua" w:hAnsi="Book Antiqua"/>
          <w:color w:val="000000" w:themeColor="text1"/>
        </w:rPr>
        <w:t xml:space="preserve">PMID: 32197093 </w:t>
      </w:r>
      <w:r w:rsidRPr="00936C72">
        <w:rPr>
          <w:rFonts w:ascii="Book Antiqua" w:hAnsi="Book Antiqua"/>
          <w:color w:val="000000" w:themeColor="text1"/>
        </w:rPr>
        <w:t>DOI: 10.1016/S2468-1253(20)30080-7]</w:t>
      </w:r>
    </w:p>
    <w:p w14:paraId="0125637E" w14:textId="010A455A"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29 </w:t>
      </w:r>
      <w:r w:rsidRPr="00936C72">
        <w:rPr>
          <w:rFonts w:ascii="Book Antiqua" w:hAnsi="Book Antiqua"/>
          <w:b/>
          <w:color w:val="000000" w:themeColor="text1"/>
        </w:rPr>
        <w:t xml:space="preserve">Center for Disease Control and Prevention. </w:t>
      </w:r>
      <w:r w:rsidRPr="00936C72">
        <w:rPr>
          <w:rFonts w:ascii="Book Antiqua" w:hAnsi="Book Antiqua"/>
          <w:bCs/>
          <w:color w:val="000000" w:themeColor="text1"/>
        </w:rPr>
        <w:t xml:space="preserve">Interim Guidelines for Collecting, </w:t>
      </w:r>
      <w:r w:rsidRPr="00936C72">
        <w:rPr>
          <w:rFonts w:ascii="Book Antiqua" w:hAnsi="Book Antiqua"/>
          <w:color w:val="000000" w:themeColor="text1"/>
        </w:rPr>
        <w:t xml:space="preserve">Handling, and Testing Clinical Specimens from Persons Under Investigation (PUIs) for Coronavirus Disease 2019 (COVID-19). </w:t>
      </w:r>
      <w:r w:rsidR="00B94D18" w:rsidRPr="00936C72">
        <w:rPr>
          <w:rFonts w:ascii="Book Antiqua" w:hAnsi="Book Antiqua"/>
          <w:color w:val="000000" w:themeColor="text1"/>
        </w:rPr>
        <w:t xml:space="preserve">Available from: </w:t>
      </w:r>
      <w:hyperlink r:id="rId12" w:history="1">
        <w:r w:rsidR="008C1A01" w:rsidRPr="00936C72">
          <w:rPr>
            <w:rStyle w:val="a7"/>
            <w:rFonts w:ascii="Book Antiqua" w:hAnsi="Book Antiqua"/>
          </w:rPr>
          <w:t>https://www.cdc.gov/coronavirus/2019-nCoV/lab/guidelines-clinical-specimens.html</w:t>
        </w:r>
      </w:hyperlink>
      <w:r w:rsidR="008C1A01" w:rsidRPr="00936C72">
        <w:rPr>
          <w:rFonts w:ascii="Book Antiqua" w:hAnsi="Book Antiqua"/>
          <w:color w:val="000000" w:themeColor="text1"/>
        </w:rPr>
        <w:t xml:space="preserve"> </w:t>
      </w:r>
    </w:p>
    <w:p w14:paraId="12667C84" w14:textId="35ADB5DD" w:rsidR="00AA0589" w:rsidRPr="00936C72" w:rsidRDefault="00AA0589" w:rsidP="00D63ED9">
      <w:pPr>
        <w:spacing w:line="360" w:lineRule="auto"/>
        <w:jc w:val="both"/>
        <w:rPr>
          <w:rFonts w:ascii="Book Antiqua" w:hAnsi="Book Antiqua"/>
          <w:bCs/>
          <w:color w:val="000000" w:themeColor="text1"/>
        </w:rPr>
      </w:pPr>
      <w:r w:rsidRPr="00936C72">
        <w:rPr>
          <w:rFonts w:ascii="Book Antiqua" w:hAnsi="Book Antiqua"/>
          <w:color w:val="000000" w:themeColor="text1"/>
        </w:rPr>
        <w:t xml:space="preserve">30 </w:t>
      </w:r>
      <w:r w:rsidRPr="00936C72">
        <w:rPr>
          <w:rFonts w:ascii="Book Antiqua" w:hAnsi="Book Antiqua"/>
          <w:b/>
          <w:color w:val="000000" w:themeColor="text1"/>
        </w:rPr>
        <w:t>W</w:t>
      </w:r>
      <w:r w:rsidR="00B94D18" w:rsidRPr="00936C72">
        <w:rPr>
          <w:rFonts w:ascii="Book Antiqua" w:hAnsi="Book Antiqua"/>
          <w:b/>
          <w:color w:val="000000" w:themeColor="text1"/>
        </w:rPr>
        <w:t xml:space="preserve">orld </w:t>
      </w:r>
      <w:r w:rsidRPr="00936C72">
        <w:rPr>
          <w:rFonts w:ascii="Book Antiqua" w:hAnsi="Book Antiqua"/>
          <w:b/>
          <w:color w:val="000000" w:themeColor="text1"/>
        </w:rPr>
        <w:t>H</w:t>
      </w:r>
      <w:r w:rsidR="00B94D18" w:rsidRPr="00936C72">
        <w:rPr>
          <w:rFonts w:ascii="Book Antiqua" w:hAnsi="Book Antiqua"/>
          <w:b/>
          <w:color w:val="000000" w:themeColor="text1"/>
        </w:rPr>
        <w:t xml:space="preserve">ealth </w:t>
      </w:r>
      <w:r w:rsidRPr="00936C72">
        <w:rPr>
          <w:rFonts w:ascii="Book Antiqua" w:hAnsi="Book Antiqua"/>
          <w:b/>
          <w:color w:val="000000" w:themeColor="text1"/>
        </w:rPr>
        <w:t>O</w:t>
      </w:r>
      <w:r w:rsidR="00B94D18" w:rsidRPr="00936C72">
        <w:rPr>
          <w:rFonts w:ascii="Book Antiqua" w:hAnsi="Book Antiqua"/>
          <w:b/>
          <w:color w:val="000000" w:themeColor="text1"/>
        </w:rPr>
        <w:t>rganization</w:t>
      </w:r>
      <w:r w:rsidRPr="00936C72">
        <w:rPr>
          <w:rFonts w:ascii="Book Antiqua" w:hAnsi="Book Antiqua"/>
          <w:b/>
          <w:color w:val="000000" w:themeColor="text1"/>
        </w:rPr>
        <w:t xml:space="preserve">. </w:t>
      </w:r>
      <w:r w:rsidRPr="00936C72">
        <w:rPr>
          <w:rFonts w:ascii="Book Antiqua" w:hAnsi="Book Antiqua"/>
          <w:bCs/>
          <w:color w:val="000000" w:themeColor="text1"/>
        </w:rPr>
        <w:t xml:space="preserve">Coronavirus disease (COVID-19) technical guidance: Surveillance and case definitions. </w:t>
      </w:r>
      <w:r w:rsidR="00B94D18" w:rsidRPr="00936C72">
        <w:rPr>
          <w:rFonts w:ascii="Book Antiqua" w:hAnsi="Book Antiqua"/>
          <w:color w:val="000000" w:themeColor="text1"/>
        </w:rPr>
        <w:t xml:space="preserve">Available from: </w:t>
      </w:r>
      <w:hyperlink r:id="rId13" w:history="1">
        <w:r w:rsidR="008C1A01" w:rsidRPr="00936C72">
          <w:rPr>
            <w:rStyle w:val="a7"/>
            <w:rFonts w:ascii="Book Antiqua" w:hAnsi="Book Antiqua"/>
            <w:bCs/>
          </w:rPr>
          <w:t>https://www.who.int/emergencies/diseases/novel-coronavirus-2019/technical-guidance/surveillance-and-case-definitions</w:t>
        </w:r>
      </w:hyperlink>
      <w:r w:rsidR="008C1A01" w:rsidRPr="00936C72">
        <w:rPr>
          <w:rFonts w:ascii="Book Antiqua" w:hAnsi="Book Antiqua"/>
          <w:bCs/>
          <w:color w:val="000000" w:themeColor="text1"/>
        </w:rPr>
        <w:t xml:space="preserve"> </w:t>
      </w:r>
    </w:p>
    <w:p w14:paraId="00C3A016" w14:textId="718EF84B"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31 </w:t>
      </w:r>
      <w:r w:rsidRPr="00936C72">
        <w:rPr>
          <w:rFonts w:ascii="Book Antiqua" w:hAnsi="Book Antiqua"/>
          <w:b/>
          <w:color w:val="000000" w:themeColor="text1"/>
        </w:rPr>
        <w:t>Wu Y,</w:t>
      </w:r>
      <w:r w:rsidRPr="00936C72">
        <w:rPr>
          <w:rFonts w:ascii="Book Antiqua" w:hAnsi="Book Antiqua"/>
          <w:color w:val="000000" w:themeColor="text1"/>
        </w:rPr>
        <w:t xml:space="preserve"> Guo C, Tang L, Hong Z, Zhou J, Dong X, Yin H, Xiao Q, Tang Y, </w:t>
      </w:r>
      <w:proofErr w:type="spellStart"/>
      <w:r w:rsidRPr="00936C72">
        <w:rPr>
          <w:rFonts w:ascii="Book Antiqua" w:hAnsi="Book Antiqua"/>
          <w:color w:val="000000" w:themeColor="text1"/>
        </w:rPr>
        <w:t>Qu</w:t>
      </w:r>
      <w:proofErr w:type="spellEnd"/>
      <w:r w:rsidRPr="00936C72">
        <w:rPr>
          <w:rFonts w:ascii="Book Antiqua" w:hAnsi="Book Antiqua"/>
          <w:color w:val="000000" w:themeColor="text1"/>
        </w:rPr>
        <w:t xml:space="preserve"> X, </w:t>
      </w:r>
      <w:proofErr w:type="spellStart"/>
      <w:r w:rsidRPr="00936C72">
        <w:rPr>
          <w:rFonts w:ascii="Book Antiqua" w:hAnsi="Book Antiqua"/>
          <w:color w:val="000000" w:themeColor="text1"/>
        </w:rPr>
        <w:t>Kuang</w:t>
      </w:r>
      <w:proofErr w:type="spellEnd"/>
      <w:r w:rsidRPr="00936C72">
        <w:rPr>
          <w:rFonts w:ascii="Book Antiqua" w:hAnsi="Book Antiqua"/>
          <w:color w:val="000000" w:themeColor="text1"/>
        </w:rPr>
        <w:t xml:space="preserve"> L, Fang X, Mishra N, Lu J, Shan H, Jiang G, Huang X. Prolonged presence of SARS-CoV-2 viral RNA in </w:t>
      </w:r>
      <w:proofErr w:type="spellStart"/>
      <w:r w:rsidRPr="00936C72">
        <w:rPr>
          <w:rFonts w:ascii="Book Antiqua" w:hAnsi="Book Antiqua"/>
          <w:color w:val="000000" w:themeColor="text1"/>
        </w:rPr>
        <w:t>faecal</w:t>
      </w:r>
      <w:proofErr w:type="spellEnd"/>
      <w:r w:rsidRPr="00936C72">
        <w:rPr>
          <w:rFonts w:ascii="Book Antiqua" w:hAnsi="Book Antiqua"/>
          <w:color w:val="000000" w:themeColor="text1"/>
        </w:rPr>
        <w:t xml:space="preserve"> samples. </w:t>
      </w:r>
      <w:r w:rsidRPr="00936C72">
        <w:rPr>
          <w:rFonts w:ascii="Book Antiqua" w:hAnsi="Book Antiqua"/>
          <w:i/>
          <w:iCs/>
          <w:color w:val="000000" w:themeColor="text1"/>
        </w:rPr>
        <w:t>Lancet Gastroenterol Hepatol</w:t>
      </w:r>
      <w:r w:rsidRPr="00936C72">
        <w:rPr>
          <w:rFonts w:ascii="Book Antiqua" w:hAnsi="Book Antiqua"/>
          <w:color w:val="000000" w:themeColor="text1"/>
        </w:rPr>
        <w:t xml:space="preserve"> 2020 [</w:t>
      </w:r>
      <w:r w:rsidR="00B94D18" w:rsidRPr="00936C72">
        <w:rPr>
          <w:rFonts w:ascii="Book Antiqua" w:hAnsi="Book Antiqua"/>
          <w:color w:val="000000" w:themeColor="text1"/>
        </w:rPr>
        <w:t xml:space="preserve">PMID: 32199469 </w:t>
      </w:r>
      <w:r w:rsidRPr="00936C72">
        <w:rPr>
          <w:rFonts w:ascii="Book Antiqua" w:hAnsi="Book Antiqua"/>
          <w:color w:val="000000" w:themeColor="text1"/>
        </w:rPr>
        <w:t>DOI: 10.1016/S2468-1253(20)30083-2]</w:t>
      </w:r>
    </w:p>
    <w:p w14:paraId="6BE11995" w14:textId="4A1D7E86"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32 </w:t>
      </w:r>
      <w:r w:rsidRPr="00936C72">
        <w:rPr>
          <w:rFonts w:ascii="Book Antiqua" w:hAnsi="Book Antiqua"/>
          <w:b/>
          <w:color w:val="000000" w:themeColor="text1"/>
        </w:rPr>
        <w:t>Chen L</w:t>
      </w:r>
      <w:r w:rsidRPr="00936C72">
        <w:rPr>
          <w:rFonts w:ascii="Book Antiqua" w:hAnsi="Book Antiqua"/>
          <w:color w:val="000000" w:themeColor="text1"/>
        </w:rPr>
        <w:t xml:space="preserve">, Lou J, Bai Y, Wang M. COVID-19 Disease </w:t>
      </w:r>
      <w:proofErr w:type="gramStart"/>
      <w:r w:rsidRPr="00936C72">
        <w:rPr>
          <w:rFonts w:ascii="Book Antiqua" w:hAnsi="Book Antiqua"/>
          <w:color w:val="000000" w:themeColor="text1"/>
        </w:rPr>
        <w:t>With</w:t>
      </w:r>
      <w:proofErr w:type="gramEnd"/>
      <w:r w:rsidRPr="00936C72">
        <w:rPr>
          <w:rFonts w:ascii="Book Antiqua" w:hAnsi="Book Antiqua"/>
          <w:color w:val="000000" w:themeColor="text1"/>
        </w:rPr>
        <w:t xml:space="preserve"> Positive Fecal and Negative Pharyngeal and Sputum Viral Tests. </w:t>
      </w:r>
      <w:r w:rsidRPr="00936C72">
        <w:rPr>
          <w:rFonts w:ascii="Book Antiqua" w:hAnsi="Book Antiqua"/>
          <w:i/>
          <w:color w:val="000000" w:themeColor="text1"/>
        </w:rPr>
        <w:t>Am J Gastroenterol</w:t>
      </w:r>
      <w:r w:rsidRPr="00936C72">
        <w:rPr>
          <w:rFonts w:ascii="Book Antiqua" w:hAnsi="Book Antiqua"/>
          <w:color w:val="000000" w:themeColor="text1"/>
        </w:rPr>
        <w:t xml:space="preserve"> 2020 [PMID: 32205644 DOI: 10.14309/ajg.0000000000000610]</w:t>
      </w:r>
    </w:p>
    <w:p w14:paraId="359F6A6B" w14:textId="4AA27494"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33 </w:t>
      </w:r>
      <w:proofErr w:type="spellStart"/>
      <w:r w:rsidRPr="00936C72">
        <w:rPr>
          <w:rFonts w:ascii="Book Antiqua" w:hAnsi="Book Antiqua"/>
          <w:b/>
          <w:color w:val="000000" w:themeColor="text1"/>
        </w:rPr>
        <w:t>Ianiro</w:t>
      </w:r>
      <w:proofErr w:type="spellEnd"/>
      <w:r w:rsidRPr="00936C72">
        <w:rPr>
          <w:rFonts w:ascii="Book Antiqua" w:hAnsi="Book Antiqua"/>
          <w:b/>
          <w:color w:val="000000" w:themeColor="text1"/>
        </w:rPr>
        <w:t xml:space="preserve"> G,</w:t>
      </w:r>
      <w:r w:rsidRPr="00936C72">
        <w:rPr>
          <w:rFonts w:ascii="Book Antiqua" w:hAnsi="Book Antiqua"/>
          <w:color w:val="000000" w:themeColor="text1"/>
        </w:rPr>
        <w:t xml:space="preserve"> </w:t>
      </w:r>
      <w:proofErr w:type="spellStart"/>
      <w:r w:rsidRPr="00936C72">
        <w:rPr>
          <w:rFonts w:ascii="Book Antiqua" w:hAnsi="Book Antiqua"/>
          <w:color w:val="000000" w:themeColor="text1"/>
        </w:rPr>
        <w:t>Mullish</w:t>
      </w:r>
      <w:proofErr w:type="spellEnd"/>
      <w:r w:rsidRPr="00936C72">
        <w:rPr>
          <w:rFonts w:ascii="Book Antiqua" w:hAnsi="Book Antiqua"/>
          <w:color w:val="000000" w:themeColor="text1"/>
        </w:rPr>
        <w:t xml:space="preserve"> BH, Kelly CR, Sokol H, Kassam Z, Ng S, Fischer M, </w:t>
      </w:r>
      <w:proofErr w:type="spellStart"/>
      <w:r w:rsidRPr="00936C72">
        <w:rPr>
          <w:rFonts w:ascii="Book Antiqua" w:hAnsi="Book Antiqua"/>
          <w:color w:val="000000" w:themeColor="text1"/>
        </w:rPr>
        <w:t>Allegretti</w:t>
      </w:r>
      <w:proofErr w:type="spellEnd"/>
      <w:r w:rsidRPr="00936C72">
        <w:rPr>
          <w:rFonts w:ascii="Book Antiqua" w:hAnsi="Book Antiqua"/>
          <w:color w:val="000000" w:themeColor="text1"/>
        </w:rPr>
        <w:t xml:space="preserve"> JR, </w:t>
      </w:r>
      <w:proofErr w:type="spellStart"/>
      <w:r w:rsidRPr="00936C72">
        <w:rPr>
          <w:rFonts w:ascii="Book Antiqua" w:hAnsi="Book Antiqua"/>
          <w:color w:val="000000" w:themeColor="text1"/>
        </w:rPr>
        <w:t>Masucci</w:t>
      </w:r>
      <w:proofErr w:type="spellEnd"/>
      <w:r w:rsidRPr="00936C72">
        <w:rPr>
          <w:rFonts w:ascii="Book Antiqua" w:hAnsi="Book Antiqua"/>
          <w:color w:val="000000" w:themeColor="text1"/>
        </w:rPr>
        <w:t xml:space="preserve"> L, Zhang F, Keller J, Sanguinetti M, Costello SP, </w:t>
      </w:r>
      <w:proofErr w:type="spellStart"/>
      <w:r w:rsidRPr="00936C72">
        <w:rPr>
          <w:rFonts w:ascii="Book Antiqua" w:hAnsi="Book Antiqua"/>
          <w:color w:val="000000" w:themeColor="text1"/>
        </w:rPr>
        <w:t>Tilg</w:t>
      </w:r>
      <w:proofErr w:type="spellEnd"/>
      <w:r w:rsidRPr="00936C72">
        <w:rPr>
          <w:rFonts w:ascii="Book Antiqua" w:hAnsi="Book Antiqua"/>
          <w:color w:val="000000" w:themeColor="text1"/>
        </w:rPr>
        <w:t xml:space="preserve"> H, </w:t>
      </w:r>
      <w:proofErr w:type="spellStart"/>
      <w:r w:rsidRPr="00936C72">
        <w:rPr>
          <w:rFonts w:ascii="Book Antiqua" w:hAnsi="Book Antiqua"/>
          <w:color w:val="000000" w:themeColor="text1"/>
        </w:rPr>
        <w:t>Gasbarrini</w:t>
      </w:r>
      <w:proofErr w:type="spellEnd"/>
      <w:r w:rsidRPr="00936C72">
        <w:rPr>
          <w:rFonts w:ascii="Book Antiqua" w:hAnsi="Book Antiqua"/>
          <w:color w:val="000000" w:themeColor="text1"/>
        </w:rPr>
        <w:t xml:space="preserve"> A, </w:t>
      </w:r>
      <w:proofErr w:type="spellStart"/>
      <w:r w:rsidRPr="00936C72">
        <w:rPr>
          <w:rFonts w:ascii="Book Antiqua" w:hAnsi="Book Antiqua"/>
          <w:color w:val="000000" w:themeColor="text1"/>
        </w:rPr>
        <w:t>Cammarota</w:t>
      </w:r>
      <w:proofErr w:type="spellEnd"/>
      <w:r w:rsidRPr="00936C72">
        <w:rPr>
          <w:rFonts w:ascii="Book Antiqua" w:hAnsi="Book Antiqua"/>
          <w:color w:val="000000" w:themeColor="text1"/>
        </w:rPr>
        <w:t xml:space="preserve"> G. Screening of </w:t>
      </w:r>
      <w:proofErr w:type="spellStart"/>
      <w:r w:rsidRPr="00936C72">
        <w:rPr>
          <w:rFonts w:ascii="Book Antiqua" w:hAnsi="Book Antiqua"/>
          <w:color w:val="000000" w:themeColor="text1"/>
        </w:rPr>
        <w:t>faecal</w:t>
      </w:r>
      <w:proofErr w:type="spellEnd"/>
      <w:r w:rsidRPr="00936C72">
        <w:rPr>
          <w:rFonts w:ascii="Book Antiqua" w:hAnsi="Book Antiqua"/>
          <w:color w:val="000000" w:themeColor="text1"/>
        </w:rPr>
        <w:t xml:space="preserve"> </w:t>
      </w:r>
      <w:proofErr w:type="spellStart"/>
      <w:r w:rsidRPr="00936C72">
        <w:rPr>
          <w:rFonts w:ascii="Book Antiqua" w:hAnsi="Book Antiqua"/>
          <w:color w:val="000000" w:themeColor="text1"/>
        </w:rPr>
        <w:t>microbiota</w:t>
      </w:r>
      <w:proofErr w:type="spellEnd"/>
      <w:r w:rsidRPr="00936C72">
        <w:rPr>
          <w:rFonts w:ascii="Book Antiqua" w:hAnsi="Book Antiqua"/>
          <w:color w:val="000000" w:themeColor="text1"/>
        </w:rPr>
        <w:t xml:space="preserve"> transplant donors during the COVID-19 outbreak: suggestions for urgent updates from an international expert panel. </w:t>
      </w:r>
      <w:r w:rsidRPr="00936C72">
        <w:rPr>
          <w:rFonts w:ascii="Book Antiqua" w:hAnsi="Book Antiqua"/>
          <w:i/>
          <w:iCs/>
          <w:color w:val="000000" w:themeColor="text1"/>
        </w:rPr>
        <w:t xml:space="preserve">Lancet Gastroenterol Hepatol </w:t>
      </w:r>
      <w:r w:rsidRPr="00936C72">
        <w:rPr>
          <w:rFonts w:ascii="Book Antiqua" w:hAnsi="Book Antiqua"/>
          <w:color w:val="000000" w:themeColor="text1"/>
        </w:rPr>
        <w:t>2020 [</w:t>
      </w:r>
      <w:r w:rsidR="00B94D18" w:rsidRPr="00936C72">
        <w:rPr>
          <w:rFonts w:ascii="Book Antiqua" w:hAnsi="Book Antiqua"/>
          <w:color w:val="000000" w:themeColor="text1"/>
        </w:rPr>
        <w:t xml:space="preserve">PMID: 32192627 </w:t>
      </w:r>
      <w:r w:rsidRPr="00936C72">
        <w:rPr>
          <w:rFonts w:ascii="Book Antiqua" w:hAnsi="Book Antiqua"/>
          <w:color w:val="000000" w:themeColor="text1"/>
        </w:rPr>
        <w:t>DOI: 10.1016/S2468-1253(20)30082-0]</w:t>
      </w:r>
    </w:p>
    <w:p w14:paraId="3FC26D41" w14:textId="7C0D9631"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lastRenderedPageBreak/>
        <w:t xml:space="preserve">34 </w:t>
      </w:r>
      <w:r w:rsidRPr="00936C72">
        <w:rPr>
          <w:rFonts w:ascii="Book Antiqua" w:hAnsi="Book Antiqua"/>
          <w:b/>
          <w:color w:val="000000" w:themeColor="text1"/>
        </w:rPr>
        <w:t>Mao R,</w:t>
      </w:r>
      <w:r w:rsidRPr="00936C72">
        <w:rPr>
          <w:rFonts w:ascii="Book Antiqua" w:hAnsi="Book Antiqua"/>
          <w:color w:val="000000" w:themeColor="text1"/>
        </w:rPr>
        <w:t xml:space="preserve"> Liang J, Shen J, Ghosh S, Zhu LR, Yang H, Wu KC, Chen MH</w:t>
      </w:r>
      <w:r w:rsidR="008842D5" w:rsidRPr="00936C72">
        <w:rPr>
          <w:rFonts w:ascii="Book Antiqua" w:hAnsi="Book Antiqua"/>
          <w:color w:val="000000" w:themeColor="text1"/>
        </w:rPr>
        <w:t>;</w:t>
      </w:r>
      <w:r w:rsidRPr="00936C72">
        <w:rPr>
          <w:rFonts w:ascii="Book Antiqua" w:hAnsi="Book Antiqua"/>
          <w:color w:val="000000" w:themeColor="text1"/>
        </w:rPr>
        <w:t xml:space="preserve"> </w:t>
      </w:r>
      <w:r w:rsidR="008842D5" w:rsidRPr="00936C72">
        <w:rPr>
          <w:rFonts w:ascii="Book Antiqua" w:hAnsi="Book Antiqua"/>
          <w:color w:val="000000" w:themeColor="text1"/>
        </w:rPr>
        <w:t>Chinese Society of IBD, Chinese Elite IBD Union; Chinese IBD Quality Care Evaluation Center Committee</w:t>
      </w:r>
      <w:r w:rsidRPr="00936C72">
        <w:rPr>
          <w:rFonts w:ascii="Book Antiqua" w:hAnsi="Book Antiqua"/>
          <w:color w:val="000000" w:themeColor="text1"/>
        </w:rPr>
        <w:t xml:space="preserve">. Implications of COVID-19 for patients with pre-existing digestive diseases. </w:t>
      </w:r>
      <w:r w:rsidRPr="00936C72">
        <w:rPr>
          <w:rFonts w:ascii="Book Antiqua" w:hAnsi="Book Antiqua"/>
          <w:i/>
          <w:iCs/>
          <w:color w:val="000000" w:themeColor="text1"/>
        </w:rPr>
        <w:t xml:space="preserve">Lancet Gastroenterol Hepatol </w:t>
      </w:r>
      <w:r w:rsidRPr="00936C72">
        <w:rPr>
          <w:rFonts w:ascii="Book Antiqua" w:hAnsi="Book Antiqua"/>
          <w:color w:val="000000" w:themeColor="text1"/>
        </w:rPr>
        <w:t>2020 [</w:t>
      </w:r>
      <w:r w:rsidR="00B94D18" w:rsidRPr="00936C72">
        <w:rPr>
          <w:rFonts w:ascii="Book Antiqua" w:hAnsi="Book Antiqua"/>
          <w:color w:val="000000" w:themeColor="text1"/>
        </w:rPr>
        <w:t xml:space="preserve">PMID: 32171057 </w:t>
      </w:r>
      <w:r w:rsidRPr="00936C72">
        <w:rPr>
          <w:rFonts w:ascii="Book Antiqua" w:hAnsi="Book Antiqua"/>
          <w:color w:val="000000" w:themeColor="text1"/>
        </w:rPr>
        <w:t>DOI: 10.1016/S2468-1253(20)30076-5]</w:t>
      </w:r>
    </w:p>
    <w:p w14:paraId="20E61D0C" w14:textId="40401C7B"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35 </w:t>
      </w:r>
      <w:r w:rsidRPr="00936C72">
        <w:rPr>
          <w:rFonts w:ascii="Book Antiqua" w:hAnsi="Book Antiqua"/>
          <w:b/>
          <w:color w:val="000000" w:themeColor="text1"/>
        </w:rPr>
        <w:t>New York Society for Gastrointestinal Endoscopy</w:t>
      </w:r>
      <w:r w:rsidR="00B94D18" w:rsidRPr="00936C72">
        <w:rPr>
          <w:rFonts w:ascii="Book Antiqua" w:hAnsi="Book Antiqua"/>
          <w:b/>
          <w:color w:val="000000" w:themeColor="text1"/>
        </w:rPr>
        <w:t>.</w:t>
      </w:r>
      <w:r w:rsidRPr="00936C72">
        <w:rPr>
          <w:rFonts w:ascii="Book Antiqua" w:hAnsi="Book Antiqua"/>
          <w:b/>
          <w:color w:val="000000" w:themeColor="text1"/>
        </w:rPr>
        <w:t xml:space="preserve"> </w:t>
      </w:r>
      <w:r w:rsidRPr="00936C72">
        <w:rPr>
          <w:rFonts w:ascii="Book Antiqua" w:hAnsi="Book Antiqua"/>
          <w:bCs/>
          <w:color w:val="000000" w:themeColor="text1"/>
        </w:rPr>
        <w:t>Guidelines for Endoscopy Units during the COVID-19 Pandemic</w:t>
      </w:r>
      <w:r w:rsidR="00B94D18" w:rsidRPr="00936C72">
        <w:rPr>
          <w:rFonts w:ascii="Book Antiqua" w:hAnsi="Book Antiqua"/>
          <w:bCs/>
          <w:color w:val="000000" w:themeColor="text1"/>
        </w:rPr>
        <w:t>.</w:t>
      </w:r>
      <w:r w:rsidRPr="00936C72">
        <w:rPr>
          <w:rFonts w:ascii="Book Antiqua" w:hAnsi="Book Antiqua"/>
          <w:bCs/>
          <w:color w:val="000000" w:themeColor="text1"/>
        </w:rPr>
        <w:t xml:space="preserve"> </w:t>
      </w:r>
      <w:r w:rsidRPr="00936C72">
        <w:rPr>
          <w:rFonts w:ascii="Book Antiqua" w:hAnsi="Book Antiqua"/>
          <w:color w:val="000000" w:themeColor="text1"/>
        </w:rPr>
        <w:t>2020</w:t>
      </w:r>
      <w:r w:rsidR="00B94D18" w:rsidRPr="00936C72">
        <w:rPr>
          <w:rFonts w:ascii="Book Antiqua" w:hAnsi="Book Antiqua"/>
          <w:color w:val="000000" w:themeColor="text1"/>
        </w:rPr>
        <w:t>. Available from:</w:t>
      </w:r>
      <w:r w:rsidRPr="00936C72">
        <w:rPr>
          <w:rFonts w:ascii="Book Antiqua" w:hAnsi="Book Antiqua"/>
          <w:color w:val="000000" w:themeColor="text1"/>
        </w:rPr>
        <w:t xml:space="preserve"> </w:t>
      </w:r>
      <w:hyperlink r:id="rId14" w:history="1">
        <w:r w:rsidR="00837B94" w:rsidRPr="00936C72">
          <w:rPr>
            <w:rStyle w:val="a7"/>
            <w:rFonts w:ascii="Book Antiqua" w:hAnsi="Book Antiqua"/>
          </w:rPr>
          <w:t>https://www.nysge.org/Files/NYSGE%20Guidelines%20for%20Endoscopy%20Units%20During%20the%20COVID-19%20Pandemic.pdf</w:t>
        </w:r>
      </w:hyperlink>
      <w:r w:rsidR="00837B94" w:rsidRPr="00936C72">
        <w:rPr>
          <w:rFonts w:ascii="Book Antiqua" w:hAnsi="Book Antiqua"/>
          <w:color w:val="000000" w:themeColor="text1"/>
        </w:rPr>
        <w:t xml:space="preserve"> </w:t>
      </w:r>
    </w:p>
    <w:p w14:paraId="36F5254F" w14:textId="60252D8A"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36 </w:t>
      </w:r>
      <w:proofErr w:type="spellStart"/>
      <w:r w:rsidRPr="00936C72">
        <w:rPr>
          <w:rFonts w:ascii="Book Antiqua" w:hAnsi="Book Antiqua"/>
          <w:b/>
          <w:color w:val="000000" w:themeColor="text1"/>
        </w:rPr>
        <w:t>Tse</w:t>
      </w:r>
      <w:proofErr w:type="spellEnd"/>
      <w:r w:rsidRPr="00936C72">
        <w:rPr>
          <w:rFonts w:ascii="Book Antiqua" w:hAnsi="Book Antiqua"/>
          <w:b/>
          <w:color w:val="000000" w:themeColor="text1"/>
        </w:rPr>
        <w:t xml:space="preserve"> F,</w:t>
      </w:r>
      <w:r w:rsidRPr="00936C72">
        <w:rPr>
          <w:rFonts w:ascii="Book Antiqua" w:hAnsi="Book Antiqua"/>
          <w:color w:val="000000" w:themeColor="text1"/>
        </w:rPr>
        <w:t xml:space="preserve"> </w:t>
      </w:r>
      <w:proofErr w:type="spellStart"/>
      <w:r w:rsidRPr="00936C72">
        <w:rPr>
          <w:rFonts w:ascii="Book Antiqua" w:hAnsi="Book Antiqua"/>
          <w:color w:val="000000" w:themeColor="text1"/>
        </w:rPr>
        <w:t>Borgaonkar</w:t>
      </w:r>
      <w:proofErr w:type="spellEnd"/>
      <w:r w:rsidRPr="00936C72">
        <w:rPr>
          <w:rFonts w:ascii="Book Antiqua" w:hAnsi="Book Antiqua"/>
          <w:color w:val="000000" w:themeColor="text1"/>
        </w:rPr>
        <w:t xml:space="preserve"> M, </w:t>
      </w:r>
      <w:proofErr w:type="spellStart"/>
      <w:r w:rsidRPr="00936C72">
        <w:rPr>
          <w:rFonts w:ascii="Book Antiqua" w:hAnsi="Book Antiqua"/>
          <w:color w:val="000000" w:themeColor="text1"/>
        </w:rPr>
        <w:t>Leontiadis</w:t>
      </w:r>
      <w:proofErr w:type="spellEnd"/>
      <w:r w:rsidRPr="00936C72">
        <w:rPr>
          <w:rFonts w:ascii="Book Antiqua" w:hAnsi="Book Antiqua"/>
          <w:color w:val="000000" w:themeColor="text1"/>
        </w:rPr>
        <w:t xml:space="preserve"> GI. COVID-19: Advice from the Canadian Association of Gastroenterology for Endoscopy Facilities, as of March 16, 2020.</w:t>
      </w:r>
      <w:r w:rsidRPr="00936C72">
        <w:rPr>
          <w:rFonts w:ascii="Book Antiqua" w:hAnsi="Book Antiqua"/>
          <w:i/>
          <w:iCs/>
          <w:color w:val="000000" w:themeColor="text1"/>
        </w:rPr>
        <w:t xml:space="preserve"> </w:t>
      </w:r>
      <w:r w:rsidR="008842D5" w:rsidRPr="00936C72">
        <w:rPr>
          <w:rFonts w:ascii="Book Antiqua" w:hAnsi="Book Antiqua"/>
          <w:i/>
          <w:iCs/>
          <w:color w:val="000000" w:themeColor="text1"/>
        </w:rPr>
        <w:t xml:space="preserve">J Can Assoc </w:t>
      </w:r>
      <w:proofErr w:type="spellStart"/>
      <w:r w:rsidR="008842D5" w:rsidRPr="00936C72">
        <w:rPr>
          <w:rFonts w:ascii="Book Antiqua" w:hAnsi="Book Antiqua"/>
          <w:i/>
          <w:iCs/>
          <w:color w:val="000000" w:themeColor="text1"/>
        </w:rPr>
        <w:t>Gastroenterol</w:t>
      </w:r>
      <w:proofErr w:type="spellEnd"/>
      <w:r w:rsidR="008842D5" w:rsidRPr="00936C72">
        <w:rPr>
          <w:rFonts w:ascii="Book Antiqua" w:hAnsi="Book Antiqua"/>
          <w:i/>
          <w:iCs/>
          <w:color w:val="000000" w:themeColor="text1"/>
        </w:rPr>
        <w:t xml:space="preserve"> </w:t>
      </w:r>
      <w:r w:rsidR="008842D5" w:rsidRPr="00936C72">
        <w:rPr>
          <w:rFonts w:ascii="Book Antiqua" w:hAnsi="Book Antiqua"/>
          <w:color w:val="000000" w:themeColor="text1"/>
        </w:rPr>
        <w:t xml:space="preserve">2020 </w:t>
      </w:r>
      <w:r w:rsidRPr="00936C72">
        <w:rPr>
          <w:rFonts w:ascii="Book Antiqua" w:hAnsi="Book Antiqua"/>
          <w:color w:val="000000" w:themeColor="text1"/>
        </w:rPr>
        <w:t>[DOI: 10.1093/</w:t>
      </w:r>
      <w:proofErr w:type="spellStart"/>
      <w:r w:rsidRPr="00936C72">
        <w:rPr>
          <w:rFonts w:ascii="Book Antiqua" w:hAnsi="Book Antiqua"/>
          <w:color w:val="000000" w:themeColor="text1"/>
        </w:rPr>
        <w:t>jcag</w:t>
      </w:r>
      <w:proofErr w:type="spellEnd"/>
      <w:r w:rsidRPr="00936C72">
        <w:rPr>
          <w:rFonts w:ascii="Book Antiqua" w:hAnsi="Book Antiqua"/>
          <w:color w:val="000000" w:themeColor="text1"/>
        </w:rPr>
        <w:t>/gwaa012]</w:t>
      </w:r>
    </w:p>
    <w:p w14:paraId="75A51A44" w14:textId="7633B911"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37 </w:t>
      </w:r>
      <w:r w:rsidRPr="00936C72">
        <w:rPr>
          <w:rFonts w:ascii="Book Antiqua" w:hAnsi="Book Antiqua"/>
          <w:b/>
          <w:bCs/>
          <w:color w:val="000000" w:themeColor="text1"/>
        </w:rPr>
        <w:t>ESGE.</w:t>
      </w:r>
      <w:r w:rsidRPr="00936C72">
        <w:rPr>
          <w:rFonts w:ascii="Book Antiqua" w:hAnsi="Book Antiqua"/>
          <w:color w:val="000000" w:themeColor="text1"/>
        </w:rPr>
        <w:t xml:space="preserve"> ESGE and ESGENA Position Statement on gastrointestinal endoscopy and the COVID-19 pandemic. Update 1 (18.03.2020).</w:t>
      </w:r>
      <w:r w:rsidR="008842D5" w:rsidRPr="00936C72">
        <w:rPr>
          <w:rFonts w:ascii="Book Antiqua" w:hAnsi="Book Antiqua"/>
          <w:color w:val="000000" w:themeColor="text1"/>
        </w:rPr>
        <w:t xml:space="preserve"> Available from: </w:t>
      </w:r>
      <w:hyperlink r:id="rId15" w:history="1">
        <w:r w:rsidR="00837B94" w:rsidRPr="00936C72">
          <w:rPr>
            <w:rStyle w:val="a7"/>
            <w:rFonts w:ascii="Book Antiqua" w:hAnsi="Book Antiqua"/>
          </w:rPr>
          <w:t>https://www.esge.com/assets/downloads/pdfs/general/ESGE_ESGENA_Position_Statement_gastrointestinal_endoscopy_COVID_19_pandemic.pdf</w:t>
        </w:r>
      </w:hyperlink>
      <w:r w:rsidR="00837B94" w:rsidRPr="00936C72">
        <w:rPr>
          <w:rFonts w:ascii="Book Antiqua" w:hAnsi="Book Antiqua"/>
          <w:color w:val="000000" w:themeColor="text1"/>
        </w:rPr>
        <w:t xml:space="preserve"> </w:t>
      </w:r>
    </w:p>
    <w:p w14:paraId="59EDA959" w14:textId="77777777" w:rsidR="00AA0589" w:rsidRPr="00936C72" w:rsidRDefault="00AA0589" w:rsidP="00D63ED9">
      <w:pPr>
        <w:spacing w:line="360" w:lineRule="auto"/>
        <w:jc w:val="both"/>
        <w:rPr>
          <w:rFonts w:ascii="Book Antiqua" w:hAnsi="Book Antiqua"/>
          <w:color w:val="000000" w:themeColor="text1"/>
        </w:rPr>
      </w:pPr>
      <w:r w:rsidRPr="00936C72">
        <w:rPr>
          <w:rFonts w:ascii="Book Antiqua" w:hAnsi="Book Antiqua"/>
          <w:color w:val="000000" w:themeColor="text1"/>
        </w:rPr>
        <w:t xml:space="preserve">38 </w:t>
      </w:r>
      <w:r w:rsidRPr="00936C72">
        <w:rPr>
          <w:rFonts w:ascii="Book Antiqua" w:hAnsi="Book Antiqua"/>
          <w:b/>
          <w:color w:val="000000" w:themeColor="text1"/>
        </w:rPr>
        <w:t>Johnston ER</w:t>
      </w:r>
      <w:r w:rsidRPr="00936C72">
        <w:rPr>
          <w:rFonts w:ascii="Book Antiqua" w:hAnsi="Book Antiqua"/>
          <w:color w:val="000000" w:themeColor="text1"/>
        </w:rPr>
        <w:t xml:space="preserve">, </w:t>
      </w:r>
      <w:proofErr w:type="spellStart"/>
      <w:r w:rsidRPr="00936C72">
        <w:rPr>
          <w:rFonts w:ascii="Book Antiqua" w:hAnsi="Book Antiqua"/>
          <w:color w:val="000000" w:themeColor="text1"/>
        </w:rPr>
        <w:t>Habib-Bein</w:t>
      </w:r>
      <w:proofErr w:type="spellEnd"/>
      <w:r w:rsidRPr="00936C72">
        <w:rPr>
          <w:rFonts w:ascii="Book Antiqua" w:hAnsi="Book Antiqua"/>
          <w:color w:val="000000" w:themeColor="text1"/>
        </w:rPr>
        <w:t xml:space="preserve"> N, </w:t>
      </w:r>
      <w:proofErr w:type="spellStart"/>
      <w:r w:rsidRPr="00936C72">
        <w:rPr>
          <w:rFonts w:ascii="Book Antiqua" w:hAnsi="Book Antiqua"/>
          <w:color w:val="000000" w:themeColor="text1"/>
        </w:rPr>
        <w:t>Dueker</w:t>
      </w:r>
      <w:proofErr w:type="spellEnd"/>
      <w:r w:rsidRPr="00936C72">
        <w:rPr>
          <w:rFonts w:ascii="Book Antiqua" w:hAnsi="Book Antiqua"/>
          <w:color w:val="000000" w:themeColor="text1"/>
        </w:rPr>
        <w:t xml:space="preserve"> JM, Quiroz B, </w:t>
      </w:r>
      <w:proofErr w:type="spellStart"/>
      <w:r w:rsidRPr="00936C72">
        <w:rPr>
          <w:rFonts w:ascii="Book Antiqua" w:hAnsi="Book Antiqua"/>
          <w:color w:val="000000" w:themeColor="text1"/>
        </w:rPr>
        <w:t>Corsaro</w:t>
      </w:r>
      <w:proofErr w:type="spellEnd"/>
      <w:r w:rsidRPr="00936C72">
        <w:rPr>
          <w:rFonts w:ascii="Book Antiqua" w:hAnsi="Book Antiqua"/>
          <w:color w:val="000000" w:themeColor="text1"/>
        </w:rPr>
        <w:t xml:space="preserve"> E, </w:t>
      </w:r>
      <w:proofErr w:type="spellStart"/>
      <w:r w:rsidRPr="00936C72">
        <w:rPr>
          <w:rFonts w:ascii="Book Antiqua" w:hAnsi="Book Antiqua"/>
          <w:color w:val="000000" w:themeColor="text1"/>
        </w:rPr>
        <w:t>Ambrogio</w:t>
      </w:r>
      <w:proofErr w:type="spellEnd"/>
      <w:r w:rsidRPr="00936C72">
        <w:rPr>
          <w:rFonts w:ascii="Book Antiqua" w:hAnsi="Book Antiqua"/>
          <w:color w:val="000000" w:themeColor="text1"/>
        </w:rPr>
        <w:t xml:space="preserve"> M, Kingsley M, </w:t>
      </w:r>
      <w:proofErr w:type="spellStart"/>
      <w:r w:rsidRPr="00936C72">
        <w:rPr>
          <w:rFonts w:ascii="Book Antiqua" w:hAnsi="Book Antiqua"/>
          <w:color w:val="000000" w:themeColor="text1"/>
        </w:rPr>
        <w:t>Papachristou</w:t>
      </w:r>
      <w:proofErr w:type="spellEnd"/>
      <w:r w:rsidRPr="00936C72">
        <w:rPr>
          <w:rFonts w:ascii="Book Antiqua" w:hAnsi="Book Antiqua"/>
          <w:color w:val="000000" w:themeColor="text1"/>
        </w:rPr>
        <w:t xml:space="preserve"> GI, </w:t>
      </w:r>
      <w:proofErr w:type="spellStart"/>
      <w:r w:rsidRPr="00936C72">
        <w:rPr>
          <w:rFonts w:ascii="Book Antiqua" w:hAnsi="Book Antiqua"/>
          <w:color w:val="000000" w:themeColor="text1"/>
        </w:rPr>
        <w:t>Kreiss</w:t>
      </w:r>
      <w:proofErr w:type="spellEnd"/>
      <w:r w:rsidRPr="00936C72">
        <w:rPr>
          <w:rFonts w:ascii="Book Antiqua" w:hAnsi="Book Antiqua"/>
          <w:color w:val="000000" w:themeColor="text1"/>
        </w:rPr>
        <w:t xml:space="preserve"> C, Khalid A. Risk of bacterial exposure to the endoscopist's face during endoscopy. </w:t>
      </w:r>
      <w:proofErr w:type="spellStart"/>
      <w:r w:rsidRPr="00936C72">
        <w:rPr>
          <w:rFonts w:ascii="Book Antiqua" w:hAnsi="Book Antiqua"/>
          <w:i/>
          <w:color w:val="000000" w:themeColor="text1"/>
        </w:rPr>
        <w:t>Gastrointest</w:t>
      </w:r>
      <w:proofErr w:type="spellEnd"/>
      <w:r w:rsidRPr="00936C72">
        <w:rPr>
          <w:rFonts w:ascii="Book Antiqua" w:hAnsi="Book Antiqua"/>
          <w:i/>
          <w:color w:val="000000" w:themeColor="text1"/>
        </w:rPr>
        <w:t xml:space="preserve"> </w:t>
      </w:r>
      <w:proofErr w:type="spellStart"/>
      <w:r w:rsidRPr="00936C72">
        <w:rPr>
          <w:rFonts w:ascii="Book Antiqua" w:hAnsi="Book Antiqua"/>
          <w:i/>
          <w:color w:val="000000" w:themeColor="text1"/>
        </w:rPr>
        <w:t>Endosc</w:t>
      </w:r>
      <w:proofErr w:type="spellEnd"/>
      <w:r w:rsidRPr="00936C72">
        <w:rPr>
          <w:rFonts w:ascii="Book Antiqua" w:hAnsi="Book Antiqua"/>
          <w:color w:val="000000" w:themeColor="text1"/>
        </w:rPr>
        <w:t xml:space="preserve"> 2019; </w:t>
      </w:r>
      <w:r w:rsidRPr="00936C72">
        <w:rPr>
          <w:rFonts w:ascii="Book Antiqua" w:hAnsi="Book Antiqua"/>
          <w:b/>
          <w:color w:val="000000" w:themeColor="text1"/>
        </w:rPr>
        <w:t>89</w:t>
      </w:r>
      <w:r w:rsidRPr="00936C72">
        <w:rPr>
          <w:rFonts w:ascii="Book Antiqua" w:hAnsi="Book Antiqua"/>
          <w:color w:val="000000" w:themeColor="text1"/>
        </w:rPr>
        <w:t>: 818-824 [PMID: 30391253 DOI: 10.1016/j.gie.2018.10.034]</w:t>
      </w:r>
    </w:p>
    <w:p w14:paraId="0BCF0332" w14:textId="18BED8F6" w:rsidR="00D032E2" w:rsidRPr="00936C72" w:rsidRDefault="00AA0589" w:rsidP="00D63ED9">
      <w:pPr>
        <w:spacing w:line="360" w:lineRule="auto"/>
        <w:jc w:val="both"/>
        <w:rPr>
          <w:rFonts w:ascii="Book Antiqua" w:hAnsi="Book Antiqua" w:cstheme="minorBidi"/>
          <w:color w:val="000000" w:themeColor="text1"/>
          <w:kern w:val="2"/>
        </w:rPr>
      </w:pPr>
      <w:r w:rsidRPr="00936C72">
        <w:rPr>
          <w:rFonts w:ascii="Book Antiqua" w:hAnsi="Book Antiqua"/>
          <w:color w:val="000000" w:themeColor="text1"/>
        </w:rPr>
        <w:t xml:space="preserve">39 </w:t>
      </w:r>
      <w:proofErr w:type="spellStart"/>
      <w:r w:rsidRPr="00936C72">
        <w:rPr>
          <w:rFonts w:ascii="Book Antiqua" w:hAnsi="Book Antiqua"/>
          <w:b/>
          <w:color w:val="000000" w:themeColor="text1"/>
        </w:rPr>
        <w:t>Repici</w:t>
      </w:r>
      <w:proofErr w:type="spellEnd"/>
      <w:r w:rsidRPr="00936C72">
        <w:rPr>
          <w:rFonts w:ascii="Book Antiqua" w:hAnsi="Book Antiqua"/>
          <w:b/>
          <w:color w:val="000000" w:themeColor="text1"/>
        </w:rPr>
        <w:t xml:space="preserve"> A</w:t>
      </w:r>
      <w:r w:rsidRPr="00936C72">
        <w:rPr>
          <w:rFonts w:ascii="Book Antiqua" w:hAnsi="Book Antiqua"/>
          <w:color w:val="000000" w:themeColor="text1"/>
        </w:rPr>
        <w:t xml:space="preserve">, </w:t>
      </w:r>
      <w:proofErr w:type="spellStart"/>
      <w:r w:rsidRPr="00936C72">
        <w:rPr>
          <w:rFonts w:ascii="Book Antiqua" w:hAnsi="Book Antiqua"/>
          <w:color w:val="000000" w:themeColor="text1"/>
        </w:rPr>
        <w:t>Maselli</w:t>
      </w:r>
      <w:proofErr w:type="spellEnd"/>
      <w:r w:rsidRPr="00936C72">
        <w:rPr>
          <w:rFonts w:ascii="Book Antiqua" w:hAnsi="Book Antiqua"/>
          <w:color w:val="000000" w:themeColor="text1"/>
        </w:rPr>
        <w:t xml:space="preserve"> R, Colombo M, </w:t>
      </w:r>
      <w:proofErr w:type="spellStart"/>
      <w:r w:rsidRPr="00936C72">
        <w:rPr>
          <w:rFonts w:ascii="Book Antiqua" w:hAnsi="Book Antiqua"/>
          <w:color w:val="000000" w:themeColor="text1"/>
        </w:rPr>
        <w:t>Gabbiadini</w:t>
      </w:r>
      <w:proofErr w:type="spellEnd"/>
      <w:r w:rsidRPr="00936C72">
        <w:rPr>
          <w:rFonts w:ascii="Book Antiqua" w:hAnsi="Book Antiqua"/>
          <w:color w:val="000000" w:themeColor="text1"/>
        </w:rPr>
        <w:t xml:space="preserve"> R, </w:t>
      </w:r>
      <w:proofErr w:type="spellStart"/>
      <w:r w:rsidRPr="00936C72">
        <w:rPr>
          <w:rFonts w:ascii="Book Antiqua" w:hAnsi="Book Antiqua"/>
          <w:color w:val="000000" w:themeColor="text1"/>
        </w:rPr>
        <w:t>Spadaccini</w:t>
      </w:r>
      <w:proofErr w:type="spellEnd"/>
      <w:r w:rsidRPr="00936C72">
        <w:rPr>
          <w:rFonts w:ascii="Book Antiqua" w:hAnsi="Book Antiqua"/>
          <w:color w:val="000000" w:themeColor="text1"/>
        </w:rPr>
        <w:t xml:space="preserve"> M, </w:t>
      </w:r>
      <w:proofErr w:type="spellStart"/>
      <w:r w:rsidRPr="00936C72">
        <w:rPr>
          <w:rFonts w:ascii="Book Antiqua" w:hAnsi="Book Antiqua"/>
          <w:color w:val="000000" w:themeColor="text1"/>
        </w:rPr>
        <w:t>Anderloni</w:t>
      </w:r>
      <w:proofErr w:type="spellEnd"/>
      <w:r w:rsidRPr="00936C72">
        <w:rPr>
          <w:rFonts w:ascii="Book Antiqua" w:hAnsi="Book Antiqua"/>
          <w:color w:val="000000" w:themeColor="text1"/>
        </w:rPr>
        <w:t xml:space="preserve"> A, </w:t>
      </w:r>
      <w:proofErr w:type="spellStart"/>
      <w:r w:rsidRPr="00936C72">
        <w:rPr>
          <w:rFonts w:ascii="Book Antiqua" w:hAnsi="Book Antiqua"/>
          <w:color w:val="000000" w:themeColor="text1"/>
        </w:rPr>
        <w:t>Carrara</w:t>
      </w:r>
      <w:proofErr w:type="spellEnd"/>
      <w:r w:rsidRPr="00936C72">
        <w:rPr>
          <w:rFonts w:ascii="Book Antiqua" w:hAnsi="Book Antiqua"/>
          <w:color w:val="000000" w:themeColor="text1"/>
        </w:rPr>
        <w:t xml:space="preserve"> S, </w:t>
      </w:r>
      <w:proofErr w:type="spellStart"/>
      <w:r w:rsidRPr="00936C72">
        <w:rPr>
          <w:rFonts w:ascii="Book Antiqua" w:hAnsi="Book Antiqua"/>
          <w:color w:val="000000" w:themeColor="text1"/>
        </w:rPr>
        <w:t>Fugazza</w:t>
      </w:r>
      <w:proofErr w:type="spellEnd"/>
      <w:r w:rsidRPr="00936C72">
        <w:rPr>
          <w:rFonts w:ascii="Book Antiqua" w:hAnsi="Book Antiqua"/>
          <w:color w:val="000000" w:themeColor="text1"/>
        </w:rPr>
        <w:t xml:space="preserve"> A, Di Leo M, </w:t>
      </w:r>
      <w:proofErr w:type="spellStart"/>
      <w:r w:rsidRPr="00936C72">
        <w:rPr>
          <w:rFonts w:ascii="Book Antiqua" w:hAnsi="Book Antiqua"/>
          <w:color w:val="000000" w:themeColor="text1"/>
        </w:rPr>
        <w:t>Galtieri</w:t>
      </w:r>
      <w:proofErr w:type="spellEnd"/>
      <w:r w:rsidRPr="00936C72">
        <w:rPr>
          <w:rFonts w:ascii="Book Antiqua" w:hAnsi="Book Antiqua"/>
          <w:color w:val="000000" w:themeColor="text1"/>
        </w:rPr>
        <w:t xml:space="preserve"> PA, </w:t>
      </w:r>
      <w:proofErr w:type="spellStart"/>
      <w:r w:rsidRPr="00936C72">
        <w:rPr>
          <w:rFonts w:ascii="Book Antiqua" w:hAnsi="Book Antiqua"/>
          <w:color w:val="000000" w:themeColor="text1"/>
        </w:rPr>
        <w:t>Pellegatta</w:t>
      </w:r>
      <w:proofErr w:type="spellEnd"/>
      <w:r w:rsidRPr="00936C72">
        <w:rPr>
          <w:rFonts w:ascii="Book Antiqua" w:hAnsi="Book Antiqua"/>
          <w:color w:val="000000" w:themeColor="text1"/>
        </w:rPr>
        <w:t xml:space="preserve"> G, Ferrara EC, </w:t>
      </w:r>
      <w:proofErr w:type="spellStart"/>
      <w:r w:rsidRPr="00936C72">
        <w:rPr>
          <w:rFonts w:ascii="Book Antiqua" w:hAnsi="Book Antiqua"/>
          <w:color w:val="000000" w:themeColor="text1"/>
        </w:rPr>
        <w:t>Azzolini</w:t>
      </w:r>
      <w:proofErr w:type="spellEnd"/>
      <w:r w:rsidRPr="00936C72">
        <w:rPr>
          <w:rFonts w:ascii="Book Antiqua" w:hAnsi="Book Antiqua"/>
          <w:color w:val="000000" w:themeColor="text1"/>
        </w:rPr>
        <w:t xml:space="preserve"> E, </w:t>
      </w:r>
      <w:proofErr w:type="spellStart"/>
      <w:r w:rsidRPr="00936C72">
        <w:rPr>
          <w:rFonts w:ascii="Book Antiqua" w:hAnsi="Book Antiqua"/>
          <w:color w:val="000000" w:themeColor="text1"/>
        </w:rPr>
        <w:t>Lagioia</w:t>
      </w:r>
      <w:proofErr w:type="spellEnd"/>
      <w:r w:rsidRPr="00936C72">
        <w:rPr>
          <w:rFonts w:ascii="Book Antiqua" w:hAnsi="Book Antiqua"/>
          <w:color w:val="000000" w:themeColor="text1"/>
        </w:rPr>
        <w:t xml:space="preserve"> M. Coronavirus (COVID-19) outbreak: what the department of endoscopy should know. </w:t>
      </w:r>
      <w:proofErr w:type="spellStart"/>
      <w:r w:rsidRPr="00936C72">
        <w:rPr>
          <w:rFonts w:ascii="Book Antiqua" w:hAnsi="Book Antiqua"/>
          <w:i/>
          <w:color w:val="000000" w:themeColor="text1"/>
        </w:rPr>
        <w:t>Gastrointest</w:t>
      </w:r>
      <w:proofErr w:type="spellEnd"/>
      <w:r w:rsidRPr="00936C72">
        <w:rPr>
          <w:rFonts w:ascii="Book Antiqua" w:hAnsi="Book Antiqua"/>
          <w:i/>
          <w:color w:val="000000" w:themeColor="text1"/>
        </w:rPr>
        <w:t xml:space="preserve"> </w:t>
      </w:r>
      <w:proofErr w:type="spellStart"/>
      <w:r w:rsidRPr="00936C72">
        <w:rPr>
          <w:rFonts w:ascii="Book Antiqua" w:hAnsi="Book Antiqua"/>
          <w:i/>
          <w:color w:val="000000" w:themeColor="text1"/>
        </w:rPr>
        <w:t>Endosc</w:t>
      </w:r>
      <w:proofErr w:type="spellEnd"/>
      <w:r w:rsidRPr="00936C72">
        <w:rPr>
          <w:rFonts w:ascii="Book Antiqua" w:hAnsi="Book Antiqua"/>
          <w:color w:val="000000" w:themeColor="text1"/>
        </w:rPr>
        <w:t xml:space="preserve"> 2020 [PMID: 32179106 DOI: 10.1016/j.gie.2020.03.019]</w:t>
      </w:r>
    </w:p>
    <w:p w14:paraId="6E380575" w14:textId="77777777" w:rsidR="00AA0589" w:rsidRPr="00936C72" w:rsidRDefault="00AA0589" w:rsidP="00D63ED9">
      <w:pPr>
        <w:spacing w:line="360" w:lineRule="auto"/>
        <w:jc w:val="both"/>
        <w:rPr>
          <w:rFonts w:ascii="Book Antiqua" w:hAnsi="Book Antiqua" w:cs="Times"/>
          <w:color w:val="000000" w:themeColor="text1"/>
        </w:rPr>
      </w:pPr>
      <w:r w:rsidRPr="00936C72">
        <w:rPr>
          <w:rFonts w:ascii="Book Antiqua" w:hAnsi="Book Antiqua" w:cs="Times"/>
          <w:color w:val="000000" w:themeColor="text1"/>
        </w:rPr>
        <w:br w:type="page"/>
      </w:r>
    </w:p>
    <w:p w14:paraId="7C9E2073" w14:textId="77777777" w:rsidR="00B40FF3" w:rsidRPr="00936C72" w:rsidRDefault="00B40FF3" w:rsidP="00D63ED9">
      <w:pPr>
        <w:adjustRightInd w:val="0"/>
        <w:snapToGrid w:val="0"/>
        <w:spacing w:line="360" w:lineRule="auto"/>
        <w:jc w:val="both"/>
        <w:rPr>
          <w:rFonts w:ascii="Book Antiqua" w:hAnsi="Book Antiqua"/>
          <w:b/>
          <w:color w:val="000000" w:themeColor="text1"/>
        </w:rPr>
      </w:pPr>
      <w:r w:rsidRPr="00936C72">
        <w:rPr>
          <w:rFonts w:ascii="Book Antiqua" w:hAnsi="Book Antiqua"/>
          <w:b/>
          <w:color w:val="000000" w:themeColor="text1"/>
        </w:rPr>
        <w:lastRenderedPageBreak/>
        <w:t>Footnotes</w:t>
      </w:r>
    </w:p>
    <w:p w14:paraId="6FF7184D" w14:textId="77777777" w:rsidR="00B40FF3" w:rsidRPr="00936C72" w:rsidRDefault="00B40FF3" w:rsidP="00D63ED9">
      <w:pPr>
        <w:autoSpaceDE w:val="0"/>
        <w:autoSpaceDN w:val="0"/>
        <w:adjustRightInd w:val="0"/>
        <w:spacing w:line="360" w:lineRule="auto"/>
        <w:jc w:val="both"/>
        <w:rPr>
          <w:rFonts w:ascii="Book Antiqua" w:hAnsi="Book Antiqua" w:cs="TimesNewRomanPSMT"/>
          <w:color w:val="000000" w:themeColor="text1"/>
          <w:lang w:val="en-GB"/>
        </w:rPr>
      </w:pPr>
      <w:r w:rsidRPr="00936C72">
        <w:rPr>
          <w:rFonts w:ascii="Book Antiqua" w:hAnsi="Book Antiqua" w:cs="Tahoma"/>
          <w:b/>
          <w:color w:val="000000" w:themeColor="text1"/>
          <w:lang w:val="en-GB"/>
        </w:rPr>
        <w:t>Conflict-of-interest statement:</w:t>
      </w:r>
      <w:r w:rsidRPr="00936C72">
        <w:rPr>
          <w:rFonts w:ascii="Book Antiqua" w:hAnsi="Book Antiqua" w:cs="Tahoma"/>
          <w:color w:val="000000" w:themeColor="text1"/>
          <w:lang w:val="en-GB"/>
        </w:rPr>
        <w:t xml:space="preserve"> </w:t>
      </w:r>
      <w:r w:rsidRPr="00936C72">
        <w:rPr>
          <w:rFonts w:ascii="Book Antiqua" w:hAnsi="Book Antiqua" w:cs="TimesNewRomanPSMT"/>
          <w:color w:val="000000" w:themeColor="text1"/>
          <w:lang w:val="en-GB"/>
        </w:rPr>
        <w:t>The authors declare that they have no conflict of interest.</w:t>
      </w:r>
    </w:p>
    <w:p w14:paraId="756C4385" w14:textId="77777777" w:rsidR="00B40FF3" w:rsidRPr="00936C72" w:rsidRDefault="00B40FF3" w:rsidP="00D63ED9">
      <w:pPr>
        <w:autoSpaceDE w:val="0"/>
        <w:autoSpaceDN w:val="0"/>
        <w:adjustRightInd w:val="0"/>
        <w:spacing w:line="360" w:lineRule="auto"/>
        <w:jc w:val="both"/>
        <w:rPr>
          <w:rFonts w:ascii="Book Antiqua" w:hAnsi="Book Antiqua" w:cs="Tahoma"/>
          <w:color w:val="000000" w:themeColor="text1"/>
          <w:lang w:val="en-GB"/>
        </w:rPr>
      </w:pPr>
    </w:p>
    <w:p w14:paraId="1A78FF8E" w14:textId="77777777" w:rsidR="00B40FF3" w:rsidRPr="00936C72" w:rsidRDefault="00B40FF3" w:rsidP="00D63ED9">
      <w:pPr>
        <w:adjustRightInd w:val="0"/>
        <w:snapToGrid w:val="0"/>
        <w:spacing w:line="360" w:lineRule="auto"/>
        <w:jc w:val="both"/>
        <w:rPr>
          <w:rFonts w:ascii="Book Antiqua" w:hAnsi="Book Antiqua"/>
          <w:color w:val="000000" w:themeColor="text1"/>
          <w:lang w:val="en-GB"/>
        </w:rPr>
      </w:pPr>
      <w:r w:rsidRPr="00936C72">
        <w:rPr>
          <w:rFonts w:ascii="Book Antiqua" w:hAnsi="Book Antiqua"/>
          <w:b/>
          <w:color w:val="000000" w:themeColor="text1"/>
        </w:rPr>
        <w:t>Open-Access:</w:t>
      </w:r>
      <w:r w:rsidRPr="00936C72">
        <w:rPr>
          <w:rFonts w:ascii="Book Antiqua" w:hAnsi="Book Antiqua"/>
          <w:color w:val="000000" w:themeColor="text1"/>
        </w:rPr>
        <w:t xml:space="preserve"> This article is an open-access article that was selected by an in-house editor and fully peer-reviewed by external reviewers. It is distributed in accordance with the Creative Commons Attribution </w:t>
      </w:r>
      <w:proofErr w:type="spellStart"/>
      <w:r w:rsidRPr="00936C72">
        <w:rPr>
          <w:rFonts w:ascii="Book Antiqua" w:hAnsi="Book Antiqua"/>
          <w:color w:val="000000" w:themeColor="text1"/>
        </w:rPr>
        <w:t>NonCommercial</w:t>
      </w:r>
      <w:proofErr w:type="spellEnd"/>
      <w:r w:rsidRPr="00936C72">
        <w:rPr>
          <w:rFonts w:ascii="Book Antiqua" w:hAnsi="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EF0996B" w14:textId="77777777" w:rsidR="00B40FF3" w:rsidRPr="00936C72" w:rsidRDefault="00B40FF3" w:rsidP="00D63ED9">
      <w:pPr>
        <w:widowControl w:val="0"/>
        <w:adjustRightInd w:val="0"/>
        <w:snapToGrid w:val="0"/>
        <w:spacing w:line="360" w:lineRule="auto"/>
        <w:jc w:val="both"/>
        <w:rPr>
          <w:rFonts w:ascii="Book Antiqua" w:hAnsi="Book Antiqua" w:cstheme="minorHAnsi"/>
          <w:b/>
          <w:bCs/>
          <w:color w:val="000000" w:themeColor="text1"/>
          <w:lang w:val="en-GB"/>
        </w:rPr>
      </w:pPr>
    </w:p>
    <w:p w14:paraId="5F3A6580" w14:textId="07849C99" w:rsidR="00B40FF3" w:rsidRPr="00936C72" w:rsidRDefault="00B40FF3" w:rsidP="00D63ED9">
      <w:pPr>
        <w:widowControl w:val="0"/>
        <w:adjustRightInd w:val="0"/>
        <w:snapToGrid w:val="0"/>
        <w:spacing w:line="360" w:lineRule="auto"/>
        <w:jc w:val="both"/>
        <w:rPr>
          <w:rFonts w:ascii="Book Antiqua" w:hAnsi="Book Antiqua"/>
          <w:color w:val="000000" w:themeColor="text1"/>
          <w:lang w:val="en-GB"/>
        </w:rPr>
      </w:pPr>
      <w:r w:rsidRPr="00936C72">
        <w:rPr>
          <w:rFonts w:ascii="Book Antiqua" w:hAnsi="Book Antiqua"/>
          <w:b/>
          <w:color w:val="000000" w:themeColor="text1"/>
          <w:lang w:val="en-GB"/>
        </w:rPr>
        <w:t>Manuscript source:</w:t>
      </w:r>
      <w:r w:rsidRPr="00936C72">
        <w:rPr>
          <w:rFonts w:ascii="Book Antiqua" w:hAnsi="Book Antiqua"/>
          <w:color w:val="000000" w:themeColor="text1"/>
          <w:lang w:val="en-GB"/>
        </w:rPr>
        <w:t> Unsolicited manuscript</w:t>
      </w:r>
    </w:p>
    <w:p w14:paraId="5E54D237" w14:textId="77777777" w:rsidR="00B40FF3" w:rsidRPr="00936C72" w:rsidRDefault="00B40FF3" w:rsidP="00D63ED9">
      <w:pPr>
        <w:widowControl w:val="0"/>
        <w:adjustRightInd w:val="0"/>
        <w:snapToGrid w:val="0"/>
        <w:spacing w:line="360" w:lineRule="auto"/>
        <w:jc w:val="both"/>
        <w:rPr>
          <w:rFonts w:ascii="Book Antiqua" w:hAnsi="Book Antiqua"/>
          <w:color w:val="000000" w:themeColor="text1"/>
          <w:lang w:val="en-GB"/>
        </w:rPr>
      </w:pPr>
    </w:p>
    <w:p w14:paraId="7C4DD5B0" w14:textId="779CD2DD" w:rsidR="00B40FF3" w:rsidRPr="00936C72" w:rsidRDefault="00B40FF3" w:rsidP="00D63ED9">
      <w:pPr>
        <w:spacing w:line="360" w:lineRule="auto"/>
        <w:jc w:val="both"/>
        <w:rPr>
          <w:rFonts w:ascii="Book Antiqua" w:hAnsi="Book Antiqua"/>
          <w:b/>
          <w:color w:val="000000" w:themeColor="text1"/>
          <w:lang w:val="en-GB"/>
        </w:rPr>
      </w:pPr>
      <w:r w:rsidRPr="00936C72">
        <w:rPr>
          <w:rFonts w:ascii="Book Antiqua" w:hAnsi="Book Antiqua"/>
          <w:b/>
          <w:color w:val="000000" w:themeColor="text1"/>
          <w:lang w:val="en-GB"/>
        </w:rPr>
        <w:t>Peer-review started:</w:t>
      </w:r>
      <w:r w:rsidRPr="00936C72">
        <w:rPr>
          <w:rFonts w:ascii="Book Antiqua" w:hAnsi="Book Antiqua"/>
          <w:color w:val="000000" w:themeColor="text1"/>
          <w:lang w:val="en-GB"/>
        </w:rPr>
        <w:t xml:space="preserve"> </w:t>
      </w:r>
      <w:r w:rsidR="00D63ED9" w:rsidRPr="00936C72">
        <w:rPr>
          <w:rFonts w:ascii="Book Antiqua" w:hAnsi="Book Antiqua"/>
          <w:color w:val="000000" w:themeColor="text1"/>
          <w:lang w:val="en-GB"/>
        </w:rPr>
        <w:t>March</w:t>
      </w:r>
      <w:r w:rsidRPr="00936C72">
        <w:rPr>
          <w:rFonts w:ascii="Book Antiqua" w:hAnsi="Book Antiqua"/>
          <w:color w:val="000000" w:themeColor="text1"/>
          <w:lang w:val="en-GB"/>
        </w:rPr>
        <w:t xml:space="preserve"> </w:t>
      </w:r>
      <w:r w:rsidR="00D63ED9" w:rsidRPr="00936C72">
        <w:rPr>
          <w:rFonts w:ascii="Book Antiqua" w:hAnsi="Book Antiqua"/>
          <w:color w:val="000000" w:themeColor="text1"/>
          <w:lang w:val="en-GB"/>
        </w:rPr>
        <w:t>23</w:t>
      </w:r>
      <w:r w:rsidRPr="00936C72">
        <w:rPr>
          <w:rFonts w:ascii="Book Antiqua" w:hAnsi="Book Antiqua"/>
          <w:color w:val="000000" w:themeColor="text1"/>
          <w:lang w:val="en-GB"/>
        </w:rPr>
        <w:t>, 20</w:t>
      </w:r>
      <w:r w:rsidR="00D63ED9" w:rsidRPr="00936C72">
        <w:rPr>
          <w:rFonts w:ascii="Book Antiqua" w:hAnsi="Book Antiqua"/>
          <w:color w:val="000000" w:themeColor="text1"/>
          <w:lang w:val="en-GB"/>
        </w:rPr>
        <w:t>20</w:t>
      </w:r>
    </w:p>
    <w:p w14:paraId="510BCE2D" w14:textId="2ADFB337" w:rsidR="00B40FF3" w:rsidRPr="00936C72" w:rsidRDefault="00B40FF3" w:rsidP="00D63ED9">
      <w:pPr>
        <w:spacing w:line="360" w:lineRule="auto"/>
        <w:jc w:val="both"/>
        <w:rPr>
          <w:rFonts w:ascii="Book Antiqua" w:hAnsi="Book Antiqua"/>
          <w:b/>
          <w:color w:val="000000" w:themeColor="text1"/>
          <w:lang w:val="en-GB"/>
        </w:rPr>
      </w:pPr>
      <w:r w:rsidRPr="00936C72">
        <w:rPr>
          <w:rFonts w:ascii="Book Antiqua" w:hAnsi="Book Antiqua"/>
          <w:b/>
          <w:color w:val="000000" w:themeColor="text1"/>
          <w:lang w:val="en-GB"/>
        </w:rPr>
        <w:t>First decision:</w:t>
      </w:r>
      <w:r w:rsidRPr="00936C72">
        <w:rPr>
          <w:rFonts w:ascii="Book Antiqua" w:hAnsi="Book Antiqua"/>
          <w:color w:val="000000" w:themeColor="text1"/>
          <w:lang w:val="en-GB"/>
        </w:rPr>
        <w:t xml:space="preserve"> </w:t>
      </w:r>
      <w:r w:rsidR="00D63ED9" w:rsidRPr="00936C72">
        <w:rPr>
          <w:rFonts w:ascii="Book Antiqua" w:hAnsi="Book Antiqua"/>
          <w:color w:val="000000" w:themeColor="text1"/>
          <w:lang w:val="en-GB"/>
        </w:rPr>
        <w:t>March 31</w:t>
      </w:r>
      <w:r w:rsidRPr="00936C72">
        <w:rPr>
          <w:rFonts w:ascii="Book Antiqua" w:hAnsi="Book Antiqua"/>
          <w:color w:val="000000" w:themeColor="text1"/>
          <w:lang w:val="en-GB"/>
        </w:rPr>
        <w:t>, 20</w:t>
      </w:r>
      <w:r w:rsidR="00D63ED9" w:rsidRPr="00936C72">
        <w:rPr>
          <w:rFonts w:ascii="Book Antiqua" w:hAnsi="Book Antiqua"/>
          <w:color w:val="000000" w:themeColor="text1"/>
          <w:lang w:val="en-GB"/>
        </w:rPr>
        <w:t>20</w:t>
      </w:r>
    </w:p>
    <w:p w14:paraId="4CF17D52" w14:textId="34E26726" w:rsidR="00B40FF3" w:rsidRPr="00936C72" w:rsidRDefault="00B40FF3" w:rsidP="00D63ED9">
      <w:pPr>
        <w:spacing w:line="360" w:lineRule="auto"/>
        <w:jc w:val="both"/>
        <w:rPr>
          <w:rFonts w:ascii="Book Antiqua" w:hAnsi="Book Antiqua"/>
          <w:color w:val="000000" w:themeColor="text1"/>
          <w:lang w:val="en-GB"/>
        </w:rPr>
      </w:pPr>
      <w:r w:rsidRPr="00936C72">
        <w:rPr>
          <w:rFonts w:ascii="Book Antiqua" w:hAnsi="Book Antiqua"/>
          <w:b/>
          <w:color w:val="000000" w:themeColor="text1"/>
          <w:lang w:val="en-GB"/>
        </w:rPr>
        <w:t>Article in press:</w:t>
      </w:r>
      <w:r w:rsidRPr="00936C72">
        <w:rPr>
          <w:rFonts w:ascii="Book Antiqua" w:hAnsi="Book Antiqua"/>
          <w:color w:val="000000" w:themeColor="text1"/>
          <w:lang w:val="en-GB"/>
        </w:rPr>
        <w:t xml:space="preserve"> </w:t>
      </w:r>
      <w:r w:rsidR="00936C72" w:rsidRPr="00936C72">
        <w:rPr>
          <w:rFonts w:ascii="Book Antiqua" w:hAnsi="Book Antiqua"/>
          <w:color w:val="000000" w:themeColor="text1"/>
          <w:lang w:val="en-GB"/>
        </w:rPr>
        <w:t>April 11, 2020</w:t>
      </w:r>
    </w:p>
    <w:p w14:paraId="67619EFC" w14:textId="77777777" w:rsidR="00B40FF3" w:rsidRPr="00936C72" w:rsidRDefault="00B40FF3" w:rsidP="00D63ED9">
      <w:pPr>
        <w:spacing w:line="360" w:lineRule="auto"/>
        <w:jc w:val="both"/>
        <w:rPr>
          <w:rFonts w:ascii="Book Antiqua" w:hAnsi="Book Antiqua"/>
          <w:color w:val="000000" w:themeColor="text1"/>
          <w:lang w:val="en-GB"/>
        </w:rPr>
      </w:pPr>
    </w:p>
    <w:p w14:paraId="271D0E7A" w14:textId="77777777" w:rsidR="00B40FF3" w:rsidRPr="00936C72" w:rsidRDefault="00B40FF3" w:rsidP="00D63ED9">
      <w:pPr>
        <w:snapToGrid w:val="0"/>
        <w:spacing w:line="360" w:lineRule="auto"/>
        <w:jc w:val="both"/>
        <w:rPr>
          <w:rFonts w:ascii="Book Antiqua" w:hAnsi="Book Antiqua" w:cs="Helvetica"/>
          <w:b/>
          <w:color w:val="000000" w:themeColor="text1"/>
        </w:rPr>
      </w:pPr>
      <w:r w:rsidRPr="00936C72">
        <w:rPr>
          <w:rFonts w:ascii="Book Antiqua" w:hAnsi="Book Antiqua" w:cs="Helvetica"/>
          <w:b/>
          <w:color w:val="000000" w:themeColor="text1"/>
        </w:rPr>
        <w:t xml:space="preserve">Specialty type: </w:t>
      </w:r>
      <w:r w:rsidRPr="00936C72">
        <w:rPr>
          <w:rFonts w:ascii="Book Antiqua" w:eastAsia="微软雅黑" w:hAnsi="Book Antiqua"/>
          <w:color w:val="000000" w:themeColor="text1"/>
        </w:rPr>
        <w:t>Medicine, research and experimental</w:t>
      </w:r>
    </w:p>
    <w:p w14:paraId="20C12B80" w14:textId="32CB9EC4" w:rsidR="00B40FF3" w:rsidRPr="00936C72" w:rsidRDefault="00D63ED9" w:rsidP="00D63ED9">
      <w:pPr>
        <w:spacing w:line="360" w:lineRule="auto"/>
        <w:jc w:val="both"/>
        <w:rPr>
          <w:color w:val="000000" w:themeColor="text1"/>
        </w:rPr>
      </w:pPr>
      <w:r w:rsidRPr="00936C72">
        <w:rPr>
          <w:rFonts w:ascii="Book Antiqua" w:hAnsi="Book Antiqua" w:cs="Calibri"/>
          <w:b/>
          <w:bCs/>
          <w:color w:val="000000" w:themeColor="text1"/>
        </w:rPr>
        <w:t>Country</w:t>
      </w:r>
      <w:r w:rsidRPr="00936C72">
        <w:rPr>
          <w:rFonts w:ascii="Book Antiqua" w:eastAsia="Microsoft YaHei UI" w:hAnsi="Book Antiqua" w:hint="eastAsia"/>
          <w:b/>
          <w:bCs/>
          <w:color w:val="000000" w:themeColor="text1"/>
        </w:rPr>
        <w:t>/Territory</w:t>
      </w:r>
      <w:r w:rsidRPr="00936C72">
        <w:rPr>
          <w:rFonts w:hint="eastAsia"/>
          <w:color w:val="000000" w:themeColor="text1"/>
        </w:rPr>
        <w:t xml:space="preserve"> </w:t>
      </w:r>
      <w:r w:rsidR="00B40FF3" w:rsidRPr="00936C72">
        <w:rPr>
          <w:rFonts w:ascii="Book Antiqua" w:hAnsi="Book Antiqua" w:cs="Helvetica"/>
          <w:b/>
          <w:color w:val="000000" w:themeColor="text1"/>
        </w:rPr>
        <w:t xml:space="preserve">of origin: </w:t>
      </w:r>
      <w:r w:rsidRPr="00936C72">
        <w:rPr>
          <w:rFonts w:ascii="Book Antiqua" w:hAnsi="Book Antiqua"/>
          <w:color w:val="000000" w:themeColor="text1"/>
        </w:rPr>
        <w:t>United States</w:t>
      </w:r>
    </w:p>
    <w:p w14:paraId="43DC160E" w14:textId="77777777" w:rsidR="00D63ED9" w:rsidRPr="00936C72" w:rsidRDefault="00D63ED9" w:rsidP="00D63ED9">
      <w:pPr>
        <w:spacing w:line="360" w:lineRule="auto"/>
        <w:jc w:val="both"/>
        <w:rPr>
          <w:color w:val="000000" w:themeColor="text1"/>
        </w:rPr>
      </w:pPr>
      <w:r w:rsidRPr="00936C72">
        <w:rPr>
          <w:rFonts w:ascii="Book Antiqua" w:hAnsi="Book Antiqua"/>
          <w:b/>
          <w:bCs/>
          <w:color w:val="000000" w:themeColor="text1"/>
        </w:rPr>
        <w:t>Peer-review report’s scientific quality classification</w:t>
      </w:r>
    </w:p>
    <w:p w14:paraId="1B1B028C" w14:textId="55780F1D" w:rsidR="00B40FF3" w:rsidRPr="00936C72" w:rsidRDefault="00B40FF3" w:rsidP="00D63ED9">
      <w:pPr>
        <w:snapToGrid w:val="0"/>
        <w:spacing w:line="360" w:lineRule="auto"/>
        <w:jc w:val="both"/>
        <w:rPr>
          <w:rFonts w:ascii="Book Antiqua" w:hAnsi="Book Antiqua" w:cs="Helvetica"/>
          <w:color w:val="000000" w:themeColor="text1"/>
        </w:rPr>
      </w:pPr>
      <w:r w:rsidRPr="00936C72">
        <w:rPr>
          <w:rFonts w:ascii="Book Antiqua" w:hAnsi="Book Antiqua" w:cs="Helvetica"/>
          <w:color w:val="000000" w:themeColor="text1"/>
        </w:rPr>
        <w:t>Grade A (Excellent): 0</w:t>
      </w:r>
    </w:p>
    <w:p w14:paraId="763D6A21" w14:textId="77777777" w:rsidR="00B40FF3" w:rsidRPr="00936C72" w:rsidRDefault="00B40FF3" w:rsidP="00D63ED9">
      <w:pPr>
        <w:snapToGrid w:val="0"/>
        <w:spacing w:line="360" w:lineRule="auto"/>
        <w:jc w:val="both"/>
        <w:rPr>
          <w:rFonts w:ascii="Book Antiqua" w:hAnsi="Book Antiqua" w:cs="Helvetica"/>
          <w:color w:val="000000" w:themeColor="text1"/>
        </w:rPr>
      </w:pPr>
      <w:r w:rsidRPr="00936C72">
        <w:rPr>
          <w:rFonts w:ascii="Book Antiqua" w:hAnsi="Book Antiqua" w:cs="Helvetica"/>
          <w:color w:val="000000" w:themeColor="text1"/>
        </w:rPr>
        <w:t>Grade B (Very good): B</w:t>
      </w:r>
    </w:p>
    <w:p w14:paraId="2D1D79D0" w14:textId="55CD75C1" w:rsidR="00B40FF3" w:rsidRPr="00936C72" w:rsidRDefault="00B40FF3" w:rsidP="00D63ED9">
      <w:pPr>
        <w:snapToGrid w:val="0"/>
        <w:spacing w:line="360" w:lineRule="auto"/>
        <w:jc w:val="both"/>
        <w:rPr>
          <w:rFonts w:ascii="Book Antiqua" w:hAnsi="Book Antiqua" w:cs="Helvetica"/>
          <w:color w:val="000000" w:themeColor="text1"/>
        </w:rPr>
      </w:pPr>
      <w:r w:rsidRPr="00936C72">
        <w:rPr>
          <w:rFonts w:ascii="Book Antiqua" w:hAnsi="Book Antiqua" w:cs="Helvetica"/>
          <w:color w:val="000000" w:themeColor="text1"/>
        </w:rPr>
        <w:t xml:space="preserve">Grade C (Good): </w:t>
      </w:r>
      <w:r w:rsidR="00D63ED9" w:rsidRPr="00936C72">
        <w:rPr>
          <w:rFonts w:ascii="Book Antiqua" w:hAnsi="Book Antiqua" w:cs="Helvetica"/>
          <w:color w:val="000000" w:themeColor="text1"/>
        </w:rPr>
        <w:t>0</w:t>
      </w:r>
    </w:p>
    <w:p w14:paraId="5ED6E3EC" w14:textId="77777777" w:rsidR="00B40FF3" w:rsidRPr="00936C72" w:rsidRDefault="00B40FF3" w:rsidP="00D63ED9">
      <w:pPr>
        <w:snapToGrid w:val="0"/>
        <w:spacing w:line="360" w:lineRule="auto"/>
        <w:jc w:val="both"/>
        <w:rPr>
          <w:rFonts w:ascii="Book Antiqua" w:hAnsi="Book Antiqua" w:cs="Helvetica"/>
          <w:color w:val="000000" w:themeColor="text1"/>
        </w:rPr>
      </w:pPr>
      <w:r w:rsidRPr="00936C72">
        <w:rPr>
          <w:rFonts w:ascii="Book Antiqua" w:hAnsi="Book Antiqua" w:cs="Helvetica"/>
          <w:color w:val="000000" w:themeColor="text1"/>
        </w:rPr>
        <w:t xml:space="preserve">Grade D (Fair): 0 </w:t>
      </w:r>
    </w:p>
    <w:p w14:paraId="74F2B9E2" w14:textId="77777777" w:rsidR="00B40FF3" w:rsidRPr="00936C72" w:rsidRDefault="00B40FF3" w:rsidP="00D63ED9">
      <w:pPr>
        <w:spacing w:line="360" w:lineRule="auto"/>
        <w:jc w:val="both"/>
        <w:rPr>
          <w:rFonts w:ascii="Book Antiqua" w:hAnsi="Book Antiqua" w:cs="Calibri"/>
          <w:noProof/>
          <w:color w:val="000000" w:themeColor="text1"/>
        </w:rPr>
      </w:pPr>
      <w:r w:rsidRPr="00936C72">
        <w:rPr>
          <w:rFonts w:ascii="Book Antiqua" w:hAnsi="Book Antiqua" w:cs="Helvetica"/>
          <w:color w:val="000000" w:themeColor="text1"/>
        </w:rPr>
        <w:t>Grade E (Poor): 0</w:t>
      </w:r>
    </w:p>
    <w:p w14:paraId="1ED21B8C" w14:textId="77777777" w:rsidR="00B40FF3" w:rsidRPr="00936C72" w:rsidRDefault="00B40FF3" w:rsidP="00D63ED9">
      <w:pPr>
        <w:pStyle w:val="a8"/>
        <w:spacing w:after="0" w:line="360" w:lineRule="auto"/>
        <w:ind w:left="0"/>
        <w:jc w:val="both"/>
        <w:rPr>
          <w:rFonts w:ascii="Book Antiqua" w:hAnsi="Book Antiqua" w:cs="Calibri"/>
          <w:noProof/>
          <w:color w:val="000000" w:themeColor="text1"/>
          <w:sz w:val="24"/>
          <w:szCs w:val="24"/>
          <w:lang w:val="en-GB" w:eastAsia="zh-CN"/>
        </w:rPr>
      </w:pPr>
    </w:p>
    <w:p w14:paraId="7D779ADA" w14:textId="614F849F" w:rsidR="00B40FF3" w:rsidRPr="00936C72" w:rsidRDefault="00B40FF3" w:rsidP="00D63ED9">
      <w:pPr>
        <w:pStyle w:val="a9"/>
        <w:spacing w:line="360" w:lineRule="auto"/>
        <w:ind w:right="120"/>
        <w:rPr>
          <w:rFonts w:ascii="Book Antiqua" w:hAnsi="Book Antiqua"/>
          <w:b/>
          <w:color w:val="000000" w:themeColor="text1"/>
          <w:sz w:val="24"/>
          <w:szCs w:val="24"/>
        </w:rPr>
      </w:pPr>
      <w:r w:rsidRPr="00936C72">
        <w:rPr>
          <w:rFonts w:ascii="Book Antiqua" w:hAnsi="Book Antiqua"/>
          <w:b/>
          <w:color w:val="000000" w:themeColor="text1"/>
          <w:sz w:val="24"/>
          <w:szCs w:val="24"/>
        </w:rPr>
        <w:t xml:space="preserve">P-Reviewer: </w:t>
      </w:r>
      <w:r w:rsidR="00D63ED9" w:rsidRPr="00936C72">
        <w:rPr>
          <w:rFonts w:ascii="Book Antiqua" w:hAnsi="Book Antiqua"/>
          <w:color w:val="000000" w:themeColor="text1"/>
          <w:sz w:val="24"/>
          <w:szCs w:val="24"/>
        </w:rPr>
        <w:t>Khan KJ</w:t>
      </w:r>
      <w:r w:rsidRPr="00936C72">
        <w:rPr>
          <w:rFonts w:ascii="Book Antiqua" w:hAnsi="Book Antiqua"/>
          <w:color w:val="000000" w:themeColor="text1"/>
          <w:sz w:val="24"/>
          <w:szCs w:val="24"/>
        </w:rPr>
        <w:t xml:space="preserve"> </w:t>
      </w:r>
      <w:r w:rsidRPr="00936C72">
        <w:rPr>
          <w:rFonts w:ascii="Book Antiqua" w:hAnsi="Book Antiqua"/>
          <w:b/>
          <w:color w:val="000000" w:themeColor="text1"/>
          <w:sz w:val="24"/>
          <w:szCs w:val="24"/>
        </w:rPr>
        <w:t xml:space="preserve">S-Editor: </w:t>
      </w:r>
      <w:r w:rsidR="00D63ED9" w:rsidRPr="00936C72">
        <w:rPr>
          <w:rFonts w:ascii="Book Antiqua" w:hAnsi="Book Antiqua"/>
          <w:color w:val="000000" w:themeColor="text1"/>
          <w:sz w:val="24"/>
          <w:szCs w:val="24"/>
        </w:rPr>
        <w:t>Dou Y</w:t>
      </w:r>
      <w:r w:rsidRPr="00936C72">
        <w:rPr>
          <w:rFonts w:ascii="Book Antiqua" w:hAnsi="Book Antiqua"/>
          <w:b/>
          <w:color w:val="000000" w:themeColor="text1"/>
          <w:sz w:val="24"/>
          <w:szCs w:val="24"/>
        </w:rPr>
        <w:t xml:space="preserve"> L-Editor:</w:t>
      </w:r>
      <w:r w:rsidR="00936C72">
        <w:rPr>
          <w:rFonts w:ascii="Book Antiqua" w:hAnsi="Book Antiqua" w:hint="eastAsia"/>
          <w:b/>
          <w:color w:val="000000" w:themeColor="text1"/>
          <w:sz w:val="24"/>
          <w:szCs w:val="24"/>
        </w:rPr>
        <w:t xml:space="preserve"> </w:t>
      </w:r>
      <w:r w:rsidR="00936C72" w:rsidRPr="00936C72">
        <w:rPr>
          <w:rFonts w:ascii="Book Antiqua" w:hAnsi="Book Antiqua" w:hint="eastAsia"/>
          <w:color w:val="000000" w:themeColor="text1"/>
          <w:sz w:val="24"/>
          <w:szCs w:val="24"/>
        </w:rPr>
        <w:t>A</w:t>
      </w:r>
      <w:r w:rsidRPr="00936C72">
        <w:rPr>
          <w:rFonts w:ascii="Book Antiqua" w:hAnsi="Book Antiqua"/>
          <w:b/>
          <w:color w:val="000000" w:themeColor="text1"/>
          <w:sz w:val="24"/>
          <w:szCs w:val="24"/>
        </w:rPr>
        <w:t xml:space="preserve"> E-Editor: </w:t>
      </w:r>
      <w:r w:rsidR="00936C72" w:rsidRPr="00936C72">
        <w:rPr>
          <w:rFonts w:ascii="Book Antiqua" w:hAnsi="Book Antiqua"/>
          <w:color w:val="000000" w:themeColor="text1"/>
          <w:sz w:val="24"/>
          <w:szCs w:val="24"/>
        </w:rPr>
        <w:t>Ma YJ</w:t>
      </w:r>
    </w:p>
    <w:p w14:paraId="707CAAF5" w14:textId="77777777" w:rsidR="00B40FF3" w:rsidRPr="00936C72" w:rsidRDefault="00B40FF3" w:rsidP="00D63ED9">
      <w:pPr>
        <w:spacing w:line="360" w:lineRule="auto"/>
        <w:jc w:val="both"/>
        <w:rPr>
          <w:rFonts w:ascii="Book Antiqua" w:hAnsi="Book Antiqua" w:cs="Courier New"/>
          <w:b/>
          <w:color w:val="000000" w:themeColor="text1"/>
          <w:kern w:val="2"/>
        </w:rPr>
      </w:pPr>
      <w:r w:rsidRPr="00936C72">
        <w:rPr>
          <w:rFonts w:ascii="Book Antiqua" w:hAnsi="Book Antiqua"/>
          <w:b/>
          <w:color w:val="000000" w:themeColor="text1"/>
        </w:rPr>
        <w:br w:type="page"/>
      </w:r>
      <w:bookmarkStart w:id="1" w:name="_GoBack"/>
      <w:bookmarkEnd w:id="1"/>
    </w:p>
    <w:p w14:paraId="4875BEEA" w14:textId="323057B9" w:rsidR="00D032E2" w:rsidRPr="00936C72" w:rsidRDefault="00D032E2" w:rsidP="00D63ED9">
      <w:pPr>
        <w:autoSpaceDE w:val="0"/>
        <w:autoSpaceDN w:val="0"/>
        <w:adjustRightInd w:val="0"/>
        <w:snapToGrid w:val="0"/>
        <w:spacing w:line="360" w:lineRule="auto"/>
        <w:jc w:val="both"/>
        <w:rPr>
          <w:rFonts w:ascii="Book Antiqua" w:hAnsi="Book Antiqua" w:cs="Times"/>
          <w:b/>
          <w:bCs/>
          <w:color w:val="000000" w:themeColor="text1"/>
        </w:rPr>
      </w:pPr>
      <w:r w:rsidRPr="00936C72">
        <w:rPr>
          <w:rFonts w:ascii="Book Antiqua" w:hAnsi="Book Antiqua" w:cs="Times"/>
          <w:b/>
          <w:bCs/>
          <w:color w:val="000000" w:themeColor="text1"/>
        </w:rPr>
        <w:lastRenderedPageBreak/>
        <w:t xml:space="preserve">Table 1 Gastrointestinal manifestations of </w:t>
      </w:r>
      <w:r w:rsidR="00D63ED9" w:rsidRPr="00936C72">
        <w:rPr>
          <w:rFonts w:ascii="Book Antiqua" w:hAnsi="Book Antiqua" w:cs="Times"/>
          <w:b/>
          <w:bCs/>
          <w:color w:val="000000" w:themeColor="text1"/>
        </w:rPr>
        <w:t>coronavirus disease</w:t>
      </w:r>
      <w:r w:rsidR="00E81782" w:rsidRPr="00936C72">
        <w:rPr>
          <w:rFonts w:ascii="Book Antiqua" w:hAnsi="Book Antiqua" w:cs="Times"/>
          <w:b/>
          <w:bCs/>
          <w:color w:val="000000" w:themeColor="text1"/>
        </w:rPr>
        <w:t xml:space="preserve"> </w:t>
      </w:r>
      <w:r w:rsidR="00D63ED9" w:rsidRPr="00936C72">
        <w:rPr>
          <w:rFonts w:ascii="Book Antiqua" w:hAnsi="Book Antiqua" w:cs="Times"/>
          <w:b/>
          <w:bCs/>
          <w:color w:val="000000" w:themeColor="text1"/>
        </w:rPr>
        <w:t>2019</w:t>
      </w:r>
    </w:p>
    <w:tbl>
      <w:tblPr>
        <w:tblW w:w="10368" w:type="dxa"/>
        <w:tblInd w:w="-113" w:type="dxa"/>
        <w:tblBorders>
          <w:top w:val="single" w:sz="4" w:space="0" w:color="000000" w:themeColor="text1"/>
          <w:bottom w:val="single" w:sz="4" w:space="0" w:color="000000" w:themeColor="text1"/>
        </w:tblBorders>
        <w:tblLayout w:type="fixed"/>
        <w:tblLook w:val="0000" w:firstRow="0" w:lastRow="0" w:firstColumn="0" w:lastColumn="0" w:noHBand="0" w:noVBand="0"/>
      </w:tblPr>
      <w:tblGrid>
        <w:gridCol w:w="5070"/>
        <w:gridCol w:w="2268"/>
        <w:gridCol w:w="3030"/>
      </w:tblGrid>
      <w:tr w:rsidR="00D63ED9" w:rsidRPr="00936C72" w14:paraId="33049531" w14:textId="77777777" w:rsidTr="00AA0589">
        <w:tc>
          <w:tcPr>
            <w:tcW w:w="5070" w:type="dxa"/>
            <w:tcBorders>
              <w:top w:val="single" w:sz="4" w:space="0" w:color="000000" w:themeColor="text1"/>
              <w:bottom w:val="single" w:sz="4" w:space="0" w:color="000000" w:themeColor="text1"/>
            </w:tcBorders>
            <w:shd w:val="clear" w:color="auto" w:fill="auto"/>
            <w:tcMar>
              <w:top w:w="100" w:type="nil"/>
              <w:right w:w="100" w:type="nil"/>
            </w:tcMar>
          </w:tcPr>
          <w:p w14:paraId="7FEFB9C3" w14:textId="77777777" w:rsidR="00AA0589" w:rsidRPr="00936C72" w:rsidRDefault="00AA0589" w:rsidP="00D63ED9">
            <w:pPr>
              <w:autoSpaceDE w:val="0"/>
              <w:autoSpaceDN w:val="0"/>
              <w:adjustRightInd w:val="0"/>
              <w:snapToGrid w:val="0"/>
              <w:spacing w:line="360" w:lineRule="auto"/>
              <w:ind w:right="-720"/>
              <w:jc w:val="both"/>
              <w:rPr>
                <w:rFonts w:ascii="Book Antiqua" w:hAnsi="Book Antiqua" w:cs="Times"/>
                <w:b/>
                <w:bCs/>
                <w:color w:val="000000" w:themeColor="text1"/>
              </w:rPr>
            </w:pPr>
            <w:r w:rsidRPr="00936C72">
              <w:rPr>
                <w:rFonts w:ascii="Book Antiqua" w:hAnsi="Book Antiqua" w:cs="Times"/>
                <w:b/>
                <w:bCs/>
                <w:color w:val="000000" w:themeColor="text1"/>
              </w:rPr>
              <w:t>Manifestation</w:t>
            </w:r>
          </w:p>
        </w:tc>
        <w:tc>
          <w:tcPr>
            <w:tcW w:w="5298" w:type="dxa"/>
            <w:gridSpan w:val="2"/>
            <w:tcBorders>
              <w:top w:val="single" w:sz="4" w:space="0" w:color="000000" w:themeColor="text1"/>
              <w:bottom w:val="single" w:sz="4" w:space="0" w:color="000000" w:themeColor="text1"/>
            </w:tcBorders>
            <w:shd w:val="clear" w:color="auto" w:fill="auto"/>
            <w:tcMar>
              <w:top w:w="100" w:type="nil"/>
              <w:right w:w="100" w:type="nil"/>
            </w:tcMar>
          </w:tcPr>
          <w:p w14:paraId="2AB669C6" w14:textId="77777777" w:rsidR="00AA0589" w:rsidRPr="00936C72" w:rsidRDefault="00AA0589" w:rsidP="00D63ED9">
            <w:pPr>
              <w:autoSpaceDE w:val="0"/>
              <w:autoSpaceDN w:val="0"/>
              <w:adjustRightInd w:val="0"/>
              <w:snapToGrid w:val="0"/>
              <w:spacing w:line="360" w:lineRule="auto"/>
              <w:jc w:val="both"/>
              <w:rPr>
                <w:rFonts w:ascii="Book Antiqua" w:hAnsi="Book Antiqua" w:cs="Times"/>
                <w:b/>
                <w:bCs/>
                <w:color w:val="000000" w:themeColor="text1"/>
              </w:rPr>
            </w:pPr>
            <w:r w:rsidRPr="00936C72">
              <w:rPr>
                <w:rFonts w:ascii="Book Antiqua" w:hAnsi="Book Antiqua" w:cs="Times"/>
                <w:b/>
                <w:bCs/>
                <w:color w:val="000000" w:themeColor="text1"/>
              </w:rPr>
              <w:t>Reported prevalence</w:t>
            </w:r>
          </w:p>
        </w:tc>
      </w:tr>
      <w:tr w:rsidR="00D63ED9" w:rsidRPr="00936C72" w14:paraId="0955F20B" w14:textId="77777777" w:rsidTr="00AA0589">
        <w:tc>
          <w:tcPr>
            <w:tcW w:w="10368" w:type="dxa"/>
            <w:gridSpan w:val="3"/>
            <w:tcBorders>
              <w:top w:val="single" w:sz="4" w:space="0" w:color="000000" w:themeColor="text1"/>
            </w:tcBorders>
            <w:shd w:val="clear" w:color="auto" w:fill="auto"/>
            <w:tcMar>
              <w:top w:w="100" w:type="nil"/>
              <w:right w:w="100" w:type="nil"/>
            </w:tcMar>
            <w:vAlign w:val="center"/>
          </w:tcPr>
          <w:p w14:paraId="51DC3E7C" w14:textId="77777777" w:rsidR="00AA0589" w:rsidRPr="00936C72" w:rsidRDefault="00AA0589" w:rsidP="00D63ED9">
            <w:pPr>
              <w:autoSpaceDE w:val="0"/>
              <w:autoSpaceDN w:val="0"/>
              <w:adjustRightInd w:val="0"/>
              <w:snapToGrid w:val="0"/>
              <w:spacing w:line="360" w:lineRule="auto"/>
              <w:jc w:val="both"/>
              <w:rPr>
                <w:rFonts w:ascii="Book Antiqua" w:hAnsi="Book Antiqua" w:cs="Times"/>
                <w:color w:val="000000" w:themeColor="text1"/>
              </w:rPr>
            </w:pPr>
            <w:r w:rsidRPr="00936C72">
              <w:rPr>
                <w:rFonts w:ascii="Book Antiqua" w:hAnsi="Book Antiqua" w:cs="Times"/>
                <w:color w:val="000000" w:themeColor="text1"/>
              </w:rPr>
              <w:t>Luminal</w:t>
            </w:r>
          </w:p>
        </w:tc>
      </w:tr>
      <w:tr w:rsidR="00D63ED9" w:rsidRPr="00936C72" w14:paraId="2F089900" w14:textId="77777777" w:rsidTr="00AA0589">
        <w:tc>
          <w:tcPr>
            <w:tcW w:w="5070" w:type="dxa"/>
            <w:shd w:val="clear" w:color="auto" w:fill="auto"/>
            <w:tcMar>
              <w:top w:w="100" w:type="nil"/>
              <w:right w:w="100" w:type="nil"/>
            </w:tcMar>
          </w:tcPr>
          <w:p w14:paraId="41333F0D" w14:textId="77777777" w:rsidR="00AA0589" w:rsidRPr="00936C72" w:rsidRDefault="00AA0589" w:rsidP="00D63ED9">
            <w:pPr>
              <w:autoSpaceDE w:val="0"/>
              <w:autoSpaceDN w:val="0"/>
              <w:adjustRightInd w:val="0"/>
              <w:snapToGrid w:val="0"/>
              <w:spacing w:line="360" w:lineRule="auto"/>
              <w:ind w:right="-720" w:firstLineChars="100" w:firstLine="240"/>
              <w:jc w:val="both"/>
              <w:rPr>
                <w:rFonts w:ascii="Book Antiqua" w:hAnsi="Book Antiqua" w:cs="Times"/>
                <w:color w:val="000000" w:themeColor="text1"/>
              </w:rPr>
            </w:pPr>
            <w:r w:rsidRPr="00936C72">
              <w:rPr>
                <w:rFonts w:ascii="Book Antiqua" w:hAnsi="Book Antiqua" w:cs="Times"/>
                <w:color w:val="000000" w:themeColor="text1"/>
              </w:rPr>
              <w:t>Diarrhea</w:t>
            </w:r>
          </w:p>
        </w:tc>
        <w:tc>
          <w:tcPr>
            <w:tcW w:w="2268" w:type="dxa"/>
            <w:shd w:val="clear" w:color="auto" w:fill="auto"/>
            <w:tcMar>
              <w:top w:w="100" w:type="nil"/>
              <w:right w:w="100" w:type="nil"/>
            </w:tcMar>
          </w:tcPr>
          <w:p w14:paraId="6606B242" w14:textId="77777777" w:rsidR="00AA0589" w:rsidRPr="00936C72"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936C72">
              <w:rPr>
                <w:rFonts w:ascii="Book Antiqua" w:hAnsi="Book Antiqua" w:cs="Times"/>
                <w:color w:val="000000" w:themeColor="text1"/>
              </w:rPr>
              <w:t>Very common</w:t>
            </w:r>
          </w:p>
        </w:tc>
        <w:tc>
          <w:tcPr>
            <w:tcW w:w="3030" w:type="dxa"/>
            <w:shd w:val="clear" w:color="auto" w:fill="auto"/>
            <w:tcMar>
              <w:top w:w="100" w:type="nil"/>
              <w:right w:w="100" w:type="nil"/>
            </w:tcMar>
          </w:tcPr>
          <w:p w14:paraId="29F17455" w14:textId="4AEF6C77" w:rsidR="00AA0589" w:rsidRPr="00936C72"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936C72">
              <w:rPr>
                <w:rFonts w:ascii="Book Antiqua" w:hAnsi="Book Antiqua" w:cs="Times"/>
                <w:color w:val="000000" w:themeColor="text1"/>
              </w:rPr>
              <w:t>10</w:t>
            </w:r>
            <w:r w:rsidR="004475F0" w:rsidRPr="00936C72">
              <w:rPr>
                <w:rFonts w:ascii="Book Antiqua" w:hAnsi="Book Antiqua" w:cs="Times"/>
                <w:color w:val="000000" w:themeColor="text1"/>
              </w:rPr>
              <w:t>%</w:t>
            </w:r>
            <w:r w:rsidRPr="00936C72">
              <w:rPr>
                <w:rFonts w:ascii="Book Antiqua" w:hAnsi="Book Antiqua" w:cs="Times"/>
                <w:color w:val="000000" w:themeColor="text1"/>
              </w:rPr>
              <w:t>-29%, potentially 50% in North America</w:t>
            </w:r>
          </w:p>
        </w:tc>
      </w:tr>
      <w:tr w:rsidR="00D63ED9" w:rsidRPr="00936C72" w14:paraId="55DD12BD" w14:textId="77777777" w:rsidTr="00AA0589">
        <w:tc>
          <w:tcPr>
            <w:tcW w:w="5070" w:type="dxa"/>
            <w:shd w:val="clear" w:color="auto" w:fill="auto"/>
            <w:tcMar>
              <w:top w:w="100" w:type="nil"/>
              <w:right w:w="100" w:type="nil"/>
            </w:tcMar>
          </w:tcPr>
          <w:p w14:paraId="77E270B6" w14:textId="77777777" w:rsidR="00AA0589" w:rsidRPr="00936C72" w:rsidRDefault="00AA0589" w:rsidP="00D63ED9">
            <w:pPr>
              <w:autoSpaceDE w:val="0"/>
              <w:autoSpaceDN w:val="0"/>
              <w:adjustRightInd w:val="0"/>
              <w:snapToGrid w:val="0"/>
              <w:spacing w:line="360" w:lineRule="auto"/>
              <w:ind w:right="-720" w:firstLineChars="100" w:firstLine="240"/>
              <w:jc w:val="both"/>
              <w:rPr>
                <w:rFonts w:ascii="Book Antiqua" w:hAnsi="Book Antiqua" w:cs="Times"/>
                <w:color w:val="000000" w:themeColor="text1"/>
              </w:rPr>
            </w:pPr>
            <w:r w:rsidRPr="00936C72">
              <w:rPr>
                <w:rFonts w:ascii="Book Antiqua" w:hAnsi="Book Antiqua" w:cs="Times"/>
                <w:color w:val="000000" w:themeColor="text1"/>
              </w:rPr>
              <w:t>Abdominal pain</w:t>
            </w:r>
          </w:p>
        </w:tc>
        <w:tc>
          <w:tcPr>
            <w:tcW w:w="2268" w:type="dxa"/>
            <w:shd w:val="clear" w:color="auto" w:fill="auto"/>
            <w:tcMar>
              <w:top w:w="100" w:type="nil"/>
              <w:right w:w="100" w:type="nil"/>
            </w:tcMar>
          </w:tcPr>
          <w:p w14:paraId="450ADC8B" w14:textId="77777777" w:rsidR="00AA0589" w:rsidRPr="00936C72"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936C72">
              <w:rPr>
                <w:rFonts w:ascii="Book Antiqua" w:hAnsi="Book Antiqua" w:cs="Times"/>
                <w:color w:val="000000" w:themeColor="text1"/>
              </w:rPr>
              <w:t>Common</w:t>
            </w:r>
          </w:p>
        </w:tc>
        <w:tc>
          <w:tcPr>
            <w:tcW w:w="3030" w:type="dxa"/>
            <w:shd w:val="clear" w:color="auto" w:fill="auto"/>
            <w:tcMar>
              <w:top w:w="100" w:type="nil"/>
              <w:right w:w="100" w:type="nil"/>
            </w:tcMar>
          </w:tcPr>
          <w:p w14:paraId="4CBBA606" w14:textId="5E20EBBE" w:rsidR="00AA0589" w:rsidRPr="00936C72"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936C72">
              <w:rPr>
                <w:rFonts w:ascii="Book Antiqua" w:hAnsi="Book Antiqua" w:cs="Times"/>
                <w:color w:val="000000" w:themeColor="text1"/>
              </w:rPr>
              <w:t>1</w:t>
            </w:r>
            <w:r w:rsidR="004475F0" w:rsidRPr="00936C72">
              <w:rPr>
                <w:rFonts w:ascii="Book Antiqua" w:hAnsi="Book Antiqua" w:cs="Times"/>
                <w:color w:val="000000" w:themeColor="text1"/>
              </w:rPr>
              <w:t>%</w:t>
            </w:r>
            <w:r w:rsidRPr="00936C72">
              <w:rPr>
                <w:rFonts w:ascii="Book Antiqua" w:hAnsi="Book Antiqua" w:cs="Times"/>
                <w:color w:val="000000" w:themeColor="text1"/>
              </w:rPr>
              <w:t>-29%</w:t>
            </w:r>
          </w:p>
        </w:tc>
      </w:tr>
      <w:tr w:rsidR="00D63ED9" w:rsidRPr="00936C72" w14:paraId="0725C408" w14:textId="77777777" w:rsidTr="00AA0589">
        <w:tc>
          <w:tcPr>
            <w:tcW w:w="5070" w:type="dxa"/>
            <w:shd w:val="clear" w:color="auto" w:fill="auto"/>
            <w:tcMar>
              <w:top w:w="100" w:type="nil"/>
              <w:right w:w="100" w:type="nil"/>
            </w:tcMar>
          </w:tcPr>
          <w:p w14:paraId="1D24BF58" w14:textId="77777777" w:rsidR="00AA0589" w:rsidRPr="00936C72" w:rsidRDefault="00AA0589" w:rsidP="00D63ED9">
            <w:pPr>
              <w:autoSpaceDE w:val="0"/>
              <w:autoSpaceDN w:val="0"/>
              <w:adjustRightInd w:val="0"/>
              <w:snapToGrid w:val="0"/>
              <w:spacing w:line="360" w:lineRule="auto"/>
              <w:ind w:right="-720" w:firstLineChars="100" w:firstLine="240"/>
              <w:jc w:val="both"/>
              <w:rPr>
                <w:rFonts w:ascii="Book Antiqua" w:hAnsi="Book Antiqua" w:cs="Times"/>
                <w:color w:val="000000" w:themeColor="text1"/>
              </w:rPr>
            </w:pPr>
            <w:r w:rsidRPr="00936C72">
              <w:rPr>
                <w:rFonts w:ascii="Book Antiqua" w:hAnsi="Book Antiqua" w:cs="Times"/>
                <w:color w:val="000000" w:themeColor="text1"/>
              </w:rPr>
              <w:t>Nausea and vomiting</w:t>
            </w:r>
          </w:p>
        </w:tc>
        <w:tc>
          <w:tcPr>
            <w:tcW w:w="2268" w:type="dxa"/>
            <w:shd w:val="clear" w:color="auto" w:fill="auto"/>
            <w:tcMar>
              <w:top w:w="100" w:type="nil"/>
              <w:right w:w="100" w:type="nil"/>
            </w:tcMar>
          </w:tcPr>
          <w:p w14:paraId="25CD4EEA" w14:textId="77777777" w:rsidR="00AA0589" w:rsidRPr="00936C72"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936C72">
              <w:rPr>
                <w:rFonts w:ascii="Book Antiqua" w:hAnsi="Book Antiqua" w:cs="Times"/>
                <w:color w:val="000000" w:themeColor="text1"/>
              </w:rPr>
              <w:t>Common</w:t>
            </w:r>
          </w:p>
        </w:tc>
        <w:tc>
          <w:tcPr>
            <w:tcW w:w="3030" w:type="dxa"/>
            <w:shd w:val="clear" w:color="auto" w:fill="auto"/>
            <w:tcMar>
              <w:top w:w="100" w:type="nil"/>
              <w:right w:w="100" w:type="nil"/>
            </w:tcMar>
          </w:tcPr>
          <w:p w14:paraId="50592679" w14:textId="3000C20C" w:rsidR="00AA0589" w:rsidRPr="00936C72"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936C72">
              <w:rPr>
                <w:rFonts w:ascii="Book Antiqua" w:hAnsi="Book Antiqua" w:cs="Times"/>
                <w:color w:val="000000" w:themeColor="text1"/>
              </w:rPr>
              <w:t>1</w:t>
            </w:r>
            <w:r w:rsidR="004475F0" w:rsidRPr="00936C72">
              <w:rPr>
                <w:rFonts w:ascii="Book Antiqua" w:hAnsi="Book Antiqua" w:cs="Times"/>
                <w:color w:val="000000" w:themeColor="text1"/>
              </w:rPr>
              <w:t>%</w:t>
            </w:r>
            <w:r w:rsidRPr="00936C72">
              <w:rPr>
                <w:rFonts w:ascii="Book Antiqua" w:hAnsi="Book Antiqua" w:cs="Times"/>
                <w:color w:val="000000" w:themeColor="text1"/>
              </w:rPr>
              <w:t>-29%</w:t>
            </w:r>
          </w:p>
        </w:tc>
      </w:tr>
      <w:tr w:rsidR="00D63ED9" w:rsidRPr="00936C72" w14:paraId="6B7E5AD4" w14:textId="77777777" w:rsidTr="00AA0589">
        <w:tc>
          <w:tcPr>
            <w:tcW w:w="5070" w:type="dxa"/>
            <w:shd w:val="clear" w:color="auto" w:fill="auto"/>
            <w:tcMar>
              <w:top w:w="100" w:type="nil"/>
              <w:right w:w="100" w:type="nil"/>
            </w:tcMar>
          </w:tcPr>
          <w:p w14:paraId="4EDE12BD" w14:textId="77777777" w:rsidR="00AA0589" w:rsidRPr="00936C72" w:rsidRDefault="00AA0589" w:rsidP="00D63ED9">
            <w:pPr>
              <w:autoSpaceDE w:val="0"/>
              <w:autoSpaceDN w:val="0"/>
              <w:adjustRightInd w:val="0"/>
              <w:snapToGrid w:val="0"/>
              <w:spacing w:line="360" w:lineRule="auto"/>
              <w:ind w:right="-720" w:firstLineChars="100" w:firstLine="240"/>
              <w:jc w:val="both"/>
              <w:rPr>
                <w:rFonts w:ascii="Book Antiqua" w:hAnsi="Book Antiqua" w:cs="Times"/>
                <w:color w:val="000000" w:themeColor="text1"/>
              </w:rPr>
            </w:pPr>
            <w:r w:rsidRPr="00936C72">
              <w:rPr>
                <w:rFonts w:ascii="Book Antiqua" w:hAnsi="Book Antiqua" w:cs="Times"/>
                <w:color w:val="000000" w:themeColor="text1"/>
              </w:rPr>
              <w:t>Hemorrhagic enterocolitis</w:t>
            </w:r>
          </w:p>
        </w:tc>
        <w:tc>
          <w:tcPr>
            <w:tcW w:w="2268" w:type="dxa"/>
            <w:shd w:val="clear" w:color="auto" w:fill="auto"/>
            <w:tcMar>
              <w:top w:w="100" w:type="nil"/>
              <w:right w:w="100" w:type="nil"/>
            </w:tcMar>
          </w:tcPr>
          <w:p w14:paraId="3881C077" w14:textId="77777777" w:rsidR="00AA0589" w:rsidRPr="00936C72"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936C72">
              <w:rPr>
                <w:rFonts w:ascii="Book Antiqua" w:hAnsi="Book Antiqua" w:cs="Times"/>
                <w:color w:val="000000" w:themeColor="text1"/>
              </w:rPr>
              <w:t>Rare</w:t>
            </w:r>
          </w:p>
        </w:tc>
        <w:tc>
          <w:tcPr>
            <w:tcW w:w="3030" w:type="dxa"/>
            <w:shd w:val="clear" w:color="auto" w:fill="auto"/>
            <w:tcMar>
              <w:top w:w="100" w:type="nil"/>
              <w:right w:w="100" w:type="nil"/>
            </w:tcMar>
          </w:tcPr>
          <w:p w14:paraId="64C16CF8" w14:textId="77777777" w:rsidR="00AA0589" w:rsidRPr="00936C72"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936C72">
              <w:rPr>
                <w:rFonts w:ascii="Book Antiqua" w:hAnsi="Book Antiqua" w:cs="Times"/>
                <w:color w:val="000000" w:themeColor="text1"/>
              </w:rPr>
              <w:t>Case report</w:t>
            </w:r>
          </w:p>
        </w:tc>
      </w:tr>
      <w:tr w:rsidR="00D63ED9" w:rsidRPr="00936C72" w14:paraId="7437B159" w14:textId="77777777" w:rsidTr="00AA0589">
        <w:tc>
          <w:tcPr>
            <w:tcW w:w="10368" w:type="dxa"/>
            <w:gridSpan w:val="3"/>
            <w:shd w:val="clear" w:color="auto" w:fill="auto"/>
            <w:tcMar>
              <w:top w:w="100" w:type="nil"/>
              <w:right w:w="100" w:type="nil"/>
            </w:tcMar>
            <w:vAlign w:val="center"/>
          </w:tcPr>
          <w:p w14:paraId="696F7711" w14:textId="77777777" w:rsidR="00AA0589" w:rsidRPr="00936C72" w:rsidRDefault="00AA0589" w:rsidP="00D63ED9">
            <w:pPr>
              <w:autoSpaceDE w:val="0"/>
              <w:autoSpaceDN w:val="0"/>
              <w:adjustRightInd w:val="0"/>
              <w:snapToGrid w:val="0"/>
              <w:spacing w:line="360" w:lineRule="auto"/>
              <w:jc w:val="both"/>
              <w:rPr>
                <w:rFonts w:ascii="Book Antiqua" w:hAnsi="Book Antiqua" w:cs="Times"/>
                <w:color w:val="000000" w:themeColor="text1"/>
              </w:rPr>
            </w:pPr>
            <w:r w:rsidRPr="00936C72">
              <w:rPr>
                <w:rFonts w:ascii="Book Antiqua" w:hAnsi="Book Antiqua" w:cs="Times"/>
                <w:color w:val="000000" w:themeColor="text1"/>
              </w:rPr>
              <w:t>Liver</w:t>
            </w:r>
          </w:p>
        </w:tc>
      </w:tr>
      <w:tr w:rsidR="00D63ED9" w:rsidRPr="00936C72" w14:paraId="0AFEC568" w14:textId="77777777" w:rsidTr="00AA0589">
        <w:tc>
          <w:tcPr>
            <w:tcW w:w="5070" w:type="dxa"/>
            <w:shd w:val="clear" w:color="auto" w:fill="auto"/>
            <w:tcMar>
              <w:top w:w="100" w:type="nil"/>
              <w:right w:w="100" w:type="nil"/>
            </w:tcMar>
          </w:tcPr>
          <w:p w14:paraId="179B8BEF" w14:textId="77777777" w:rsidR="00AA0589" w:rsidRPr="00936C72" w:rsidRDefault="00AA0589" w:rsidP="00D63ED9">
            <w:pPr>
              <w:autoSpaceDE w:val="0"/>
              <w:autoSpaceDN w:val="0"/>
              <w:adjustRightInd w:val="0"/>
              <w:snapToGrid w:val="0"/>
              <w:spacing w:line="360" w:lineRule="auto"/>
              <w:ind w:right="-720" w:firstLineChars="100" w:firstLine="240"/>
              <w:jc w:val="both"/>
              <w:rPr>
                <w:rFonts w:ascii="Book Antiqua" w:hAnsi="Book Antiqua" w:cs="Times"/>
                <w:color w:val="000000" w:themeColor="text1"/>
              </w:rPr>
            </w:pPr>
            <w:r w:rsidRPr="00936C72">
              <w:rPr>
                <w:rFonts w:ascii="Book Antiqua" w:hAnsi="Book Antiqua" w:cs="Times"/>
                <w:color w:val="000000" w:themeColor="text1"/>
              </w:rPr>
              <w:t>Acute liver failure</w:t>
            </w:r>
          </w:p>
        </w:tc>
        <w:tc>
          <w:tcPr>
            <w:tcW w:w="2268" w:type="dxa"/>
            <w:shd w:val="clear" w:color="auto" w:fill="auto"/>
            <w:tcMar>
              <w:top w:w="100" w:type="nil"/>
              <w:right w:w="100" w:type="nil"/>
            </w:tcMar>
          </w:tcPr>
          <w:p w14:paraId="4554192E" w14:textId="77777777" w:rsidR="00AA0589" w:rsidRPr="00936C72"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936C72">
              <w:rPr>
                <w:rFonts w:ascii="Book Antiqua" w:hAnsi="Book Antiqua" w:cs="Times"/>
                <w:color w:val="000000" w:themeColor="text1"/>
              </w:rPr>
              <w:t>So far not reported</w:t>
            </w:r>
          </w:p>
        </w:tc>
        <w:tc>
          <w:tcPr>
            <w:tcW w:w="3030" w:type="dxa"/>
            <w:shd w:val="clear" w:color="auto" w:fill="auto"/>
            <w:tcMar>
              <w:top w:w="100" w:type="nil"/>
              <w:right w:w="100" w:type="nil"/>
            </w:tcMar>
          </w:tcPr>
          <w:p w14:paraId="4656CCE2" w14:textId="77777777" w:rsidR="00AA0589" w:rsidRPr="00936C72"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p>
        </w:tc>
      </w:tr>
      <w:tr w:rsidR="00D63ED9" w:rsidRPr="00936C72" w14:paraId="2A64F7BD" w14:textId="77777777" w:rsidTr="00AA0589">
        <w:tc>
          <w:tcPr>
            <w:tcW w:w="5070" w:type="dxa"/>
            <w:shd w:val="clear" w:color="auto" w:fill="auto"/>
            <w:tcMar>
              <w:top w:w="100" w:type="nil"/>
              <w:right w:w="100" w:type="nil"/>
            </w:tcMar>
          </w:tcPr>
          <w:p w14:paraId="6AE7EF4F" w14:textId="6A6F38A7" w:rsidR="00AA0589" w:rsidRPr="00936C72" w:rsidRDefault="00AA0589" w:rsidP="00D63ED9">
            <w:pPr>
              <w:autoSpaceDE w:val="0"/>
              <w:autoSpaceDN w:val="0"/>
              <w:adjustRightInd w:val="0"/>
              <w:snapToGrid w:val="0"/>
              <w:spacing w:line="360" w:lineRule="auto"/>
              <w:ind w:right="-720" w:firstLineChars="100" w:firstLine="240"/>
              <w:jc w:val="both"/>
              <w:rPr>
                <w:rFonts w:ascii="Book Antiqua" w:hAnsi="Book Antiqua" w:cs="Times"/>
                <w:color w:val="000000" w:themeColor="text1"/>
              </w:rPr>
            </w:pPr>
            <w:r w:rsidRPr="00936C72">
              <w:rPr>
                <w:rFonts w:ascii="Book Antiqua" w:hAnsi="Book Antiqua" w:cs="Times"/>
                <w:color w:val="000000" w:themeColor="text1"/>
              </w:rPr>
              <w:t xml:space="preserve">Mild to </w:t>
            </w:r>
            <w:r w:rsidR="00433934" w:rsidRPr="00936C72">
              <w:rPr>
                <w:rFonts w:ascii="Book Antiqua" w:hAnsi="Book Antiqua" w:cs="Times"/>
                <w:color w:val="000000" w:themeColor="text1"/>
              </w:rPr>
              <w:t xml:space="preserve">moderately </w:t>
            </w:r>
            <w:r w:rsidRPr="00936C72">
              <w:rPr>
                <w:rFonts w:ascii="Book Antiqua" w:hAnsi="Book Antiqua" w:cs="Times"/>
                <w:color w:val="000000" w:themeColor="text1"/>
              </w:rPr>
              <w:t>elevated AST and ALT</w:t>
            </w:r>
          </w:p>
        </w:tc>
        <w:tc>
          <w:tcPr>
            <w:tcW w:w="2268" w:type="dxa"/>
            <w:shd w:val="clear" w:color="auto" w:fill="auto"/>
            <w:tcMar>
              <w:top w:w="100" w:type="nil"/>
              <w:right w:w="100" w:type="nil"/>
            </w:tcMar>
          </w:tcPr>
          <w:p w14:paraId="5ED4A34E" w14:textId="77777777" w:rsidR="00AA0589" w:rsidRPr="00936C72"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936C72">
              <w:rPr>
                <w:rFonts w:ascii="Book Antiqua" w:hAnsi="Book Antiqua" w:cs="Times"/>
                <w:color w:val="000000" w:themeColor="text1"/>
              </w:rPr>
              <w:t>Very Common</w:t>
            </w:r>
          </w:p>
        </w:tc>
        <w:tc>
          <w:tcPr>
            <w:tcW w:w="3030" w:type="dxa"/>
            <w:shd w:val="clear" w:color="auto" w:fill="auto"/>
            <w:tcMar>
              <w:top w:w="100" w:type="nil"/>
              <w:right w:w="100" w:type="nil"/>
            </w:tcMar>
          </w:tcPr>
          <w:p w14:paraId="1E89E00C" w14:textId="28212106" w:rsidR="00AA0589" w:rsidRPr="00936C72"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936C72">
              <w:rPr>
                <w:rFonts w:ascii="Book Antiqua" w:hAnsi="Book Antiqua" w:cs="Times"/>
                <w:color w:val="000000" w:themeColor="text1"/>
              </w:rPr>
              <w:t>17</w:t>
            </w:r>
            <w:r w:rsidR="004475F0" w:rsidRPr="00936C72">
              <w:rPr>
                <w:rFonts w:ascii="Book Antiqua" w:hAnsi="Book Antiqua" w:cs="Times"/>
                <w:color w:val="000000" w:themeColor="text1"/>
              </w:rPr>
              <w:t>%</w:t>
            </w:r>
            <w:r w:rsidRPr="00936C72">
              <w:rPr>
                <w:rFonts w:ascii="Book Antiqua" w:hAnsi="Book Antiqua" w:cs="Times"/>
                <w:color w:val="000000" w:themeColor="text1"/>
              </w:rPr>
              <w:t>-62%</w:t>
            </w:r>
          </w:p>
        </w:tc>
      </w:tr>
      <w:tr w:rsidR="00D63ED9" w:rsidRPr="00936C72" w14:paraId="0AEA851F" w14:textId="77777777" w:rsidTr="00AA0589">
        <w:tc>
          <w:tcPr>
            <w:tcW w:w="5070" w:type="dxa"/>
            <w:shd w:val="clear" w:color="auto" w:fill="auto"/>
            <w:tcMar>
              <w:top w:w="100" w:type="nil"/>
              <w:right w:w="100" w:type="nil"/>
            </w:tcMar>
          </w:tcPr>
          <w:p w14:paraId="7E80DD28" w14:textId="77777777" w:rsidR="00AA0589" w:rsidRPr="00936C72" w:rsidRDefault="00AA0589" w:rsidP="00D63ED9">
            <w:pPr>
              <w:autoSpaceDE w:val="0"/>
              <w:autoSpaceDN w:val="0"/>
              <w:adjustRightInd w:val="0"/>
              <w:snapToGrid w:val="0"/>
              <w:spacing w:line="360" w:lineRule="auto"/>
              <w:ind w:right="-720" w:firstLineChars="100" w:firstLine="240"/>
              <w:jc w:val="both"/>
              <w:rPr>
                <w:rFonts w:ascii="Book Antiqua" w:hAnsi="Book Antiqua" w:cs="Times"/>
                <w:color w:val="000000" w:themeColor="text1"/>
              </w:rPr>
            </w:pPr>
            <w:r w:rsidRPr="00936C72">
              <w:rPr>
                <w:rFonts w:ascii="Book Antiqua" w:hAnsi="Book Antiqua" w:cs="Times"/>
                <w:color w:val="000000" w:themeColor="text1"/>
              </w:rPr>
              <w:t>Elevated bilirubin</w:t>
            </w:r>
          </w:p>
        </w:tc>
        <w:tc>
          <w:tcPr>
            <w:tcW w:w="2268" w:type="dxa"/>
            <w:shd w:val="clear" w:color="auto" w:fill="auto"/>
            <w:tcMar>
              <w:top w:w="100" w:type="nil"/>
              <w:right w:w="100" w:type="nil"/>
            </w:tcMar>
          </w:tcPr>
          <w:p w14:paraId="30B13D05" w14:textId="77777777" w:rsidR="00AA0589" w:rsidRPr="00936C72"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936C72">
              <w:rPr>
                <w:rFonts w:ascii="Book Antiqua" w:hAnsi="Book Antiqua" w:cs="Times"/>
                <w:color w:val="000000" w:themeColor="text1"/>
              </w:rPr>
              <w:t>Uncommon</w:t>
            </w:r>
          </w:p>
        </w:tc>
        <w:tc>
          <w:tcPr>
            <w:tcW w:w="3030" w:type="dxa"/>
            <w:shd w:val="clear" w:color="auto" w:fill="auto"/>
            <w:tcMar>
              <w:top w:w="100" w:type="nil"/>
              <w:right w:w="100" w:type="nil"/>
            </w:tcMar>
          </w:tcPr>
          <w:p w14:paraId="1A7EBB77" w14:textId="77777777" w:rsidR="00AA0589" w:rsidRPr="00936C72"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936C72">
              <w:rPr>
                <w:rFonts w:ascii="Book Antiqua" w:hAnsi="Book Antiqua" w:cs="Times"/>
                <w:color w:val="000000" w:themeColor="text1"/>
              </w:rPr>
              <w:t>Up to 11%</w:t>
            </w:r>
          </w:p>
        </w:tc>
      </w:tr>
      <w:tr w:rsidR="00D63ED9" w:rsidRPr="00936C72" w14:paraId="4B807398" w14:textId="77777777" w:rsidTr="00AA0589">
        <w:tc>
          <w:tcPr>
            <w:tcW w:w="5070" w:type="dxa"/>
            <w:shd w:val="clear" w:color="auto" w:fill="auto"/>
            <w:tcMar>
              <w:top w:w="100" w:type="nil"/>
              <w:right w:w="100" w:type="nil"/>
            </w:tcMar>
          </w:tcPr>
          <w:p w14:paraId="6201B546" w14:textId="0FC564B2" w:rsidR="00AA0589" w:rsidRPr="00936C72" w:rsidRDefault="00AA0589" w:rsidP="00D63ED9">
            <w:pPr>
              <w:autoSpaceDE w:val="0"/>
              <w:autoSpaceDN w:val="0"/>
              <w:adjustRightInd w:val="0"/>
              <w:snapToGrid w:val="0"/>
              <w:spacing w:line="360" w:lineRule="auto"/>
              <w:ind w:right="-720" w:firstLineChars="100" w:firstLine="240"/>
              <w:jc w:val="both"/>
              <w:rPr>
                <w:rFonts w:ascii="Book Antiqua" w:hAnsi="Book Antiqua" w:cs="Times"/>
                <w:color w:val="000000" w:themeColor="text1"/>
              </w:rPr>
            </w:pPr>
            <w:r w:rsidRPr="00936C72">
              <w:rPr>
                <w:rFonts w:ascii="Book Antiqua" w:hAnsi="Book Antiqua" w:cs="Times"/>
                <w:color w:val="000000" w:themeColor="text1"/>
              </w:rPr>
              <w:t xml:space="preserve">Elevated </w:t>
            </w:r>
            <w:r w:rsidR="00433934" w:rsidRPr="00936C72">
              <w:rPr>
                <w:rFonts w:ascii="Book Antiqua" w:hAnsi="Book Antiqua" w:cs="Times"/>
                <w:color w:val="000000" w:themeColor="text1"/>
              </w:rPr>
              <w:t>alkaline phosphatase</w:t>
            </w:r>
          </w:p>
        </w:tc>
        <w:tc>
          <w:tcPr>
            <w:tcW w:w="2268" w:type="dxa"/>
            <w:shd w:val="clear" w:color="auto" w:fill="auto"/>
            <w:tcMar>
              <w:top w:w="100" w:type="nil"/>
              <w:right w:w="100" w:type="nil"/>
            </w:tcMar>
          </w:tcPr>
          <w:p w14:paraId="7694356A" w14:textId="77777777" w:rsidR="00AA0589" w:rsidRPr="00936C72"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936C72">
              <w:rPr>
                <w:rFonts w:ascii="Book Antiqua" w:hAnsi="Book Antiqua" w:cs="Times"/>
                <w:color w:val="000000" w:themeColor="text1"/>
              </w:rPr>
              <w:t>Uncommon</w:t>
            </w:r>
          </w:p>
        </w:tc>
        <w:tc>
          <w:tcPr>
            <w:tcW w:w="3030" w:type="dxa"/>
            <w:shd w:val="clear" w:color="auto" w:fill="auto"/>
            <w:tcMar>
              <w:top w:w="100" w:type="nil"/>
              <w:right w:w="100" w:type="nil"/>
            </w:tcMar>
          </w:tcPr>
          <w:p w14:paraId="2ED20E6F" w14:textId="77777777" w:rsidR="00AA0589" w:rsidRPr="00936C72"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936C72">
              <w:rPr>
                <w:rFonts w:ascii="Book Antiqua" w:hAnsi="Book Antiqua" w:cs="Times"/>
                <w:color w:val="000000" w:themeColor="text1"/>
              </w:rPr>
              <w:t>&lt; 5%</w:t>
            </w:r>
          </w:p>
        </w:tc>
      </w:tr>
      <w:tr w:rsidR="00D63ED9" w:rsidRPr="00936C72" w14:paraId="39034A70" w14:textId="77777777" w:rsidTr="00AA0589">
        <w:tc>
          <w:tcPr>
            <w:tcW w:w="5070" w:type="dxa"/>
            <w:shd w:val="clear" w:color="auto" w:fill="auto"/>
            <w:tcMar>
              <w:top w:w="100" w:type="nil"/>
              <w:right w:w="100" w:type="nil"/>
            </w:tcMar>
          </w:tcPr>
          <w:p w14:paraId="19DF5BB2" w14:textId="77777777" w:rsidR="00AA0589" w:rsidRPr="00936C72" w:rsidRDefault="00AA0589" w:rsidP="00D63ED9">
            <w:pPr>
              <w:autoSpaceDE w:val="0"/>
              <w:autoSpaceDN w:val="0"/>
              <w:adjustRightInd w:val="0"/>
              <w:snapToGrid w:val="0"/>
              <w:spacing w:line="360" w:lineRule="auto"/>
              <w:ind w:right="-720" w:firstLineChars="100" w:firstLine="240"/>
              <w:jc w:val="both"/>
              <w:rPr>
                <w:rFonts w:ascii="Book Antiqua" w:hAnsi="Book Antiqua" w:cs="Times"/>
                <w:color w:val="000000" w:themeColor="text1"/>
              </w:rPr>
            </w:pPr>
            <w:r w:rsidRPr="00936C72">
              <w:rPr>
                <w:rFonts w:ascii="Book Antiqua" w:hAnsi="Book Antiqua" w:cs="Times"/>
                <w:color w:val="000000" w:themeColor="text1"/>
              </w:rPr>
              <w:t>Elevated GGT</w:t>
            </w:r>
          </w:p>
        </w:tc>
        <w:tc>
          <w:tcPr>
            <w:tcW w:w="2268" w:type="dxa"/>
            <w:shd w:val="clear" w:color="auto" w:fill="auto"/>
            <w:tcMar>
              <w:top w:w="100" w:type="nil"/>
              <w:right w:w="100" w:type="nil"/>
            </w:tcMar>
          </w:tcPr>
          <w:p w14:paraId="28CD8E76" w14:textId="77777777" w:rsidR="00AA0589" w:rsidRPr="00936C72"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936C72">
              <w:rPr>
                <w:rFonts w:ascii="Book Antiqua" w:hAnsi="Book Antiqua" w:cs="Times"/>
                <w:color w:val="000000" w:themeColor="text1"/>
              </w:rPr>
              <w:t>Common</w:t>
            </w:r>
          </w:p>
        </w:tc>
        <w:tc>
          <w:tcPr>
            <w:tcW w:w="3030" w:type="dxa"/>
            <w:shd w:val="clear" w:color="auto" w:fill="auto"/>
            <w:tcMar>
              <w:top w:w="100" w:type="nil"/>
              <w:right w:w="100" w:type="nil"/>
            </w:tcMar>
          </w:tcPr>
          <w:p w14:paraId="70DF13B0" w14:textId="77777777" w:rsidR="00AA0589" w:rsidRPr="00936C72" w:rsidRDefault="00AA0589" w:rsidP="00D63ED9">
            <w:pPr>
              <w:autoSpaceDE w:val="0"/>
              <w:autoSpaceDN w:val="0"/>
              <w:adjustRightInd w:val="0"/>
              <w:snapToGrid w:val="0"/>
              <w:spacing w:line="360" w:lineRule="auto"/>
              <w:ind w:right="-720"/>
              <w:jc w:val="both"/>
              <w:rPr>
                <w:rFonts w:ascii="Book Antiqua" w:hAnsi="Book Antiqua" w:cs="Times"/>
                <w:color w:val="000000" w:themeColor="text1"/>
              </w:rPr>
            </w:pPr>
            <w:r w:rsidRPr="00936C72">
              <w:rPr>
                <w:rFonts w:ascii="Book Antiqua" w:hAnsi="Book Antiqua" w:cs="Times"/>
                <w:color w:val="000000" w:themeColor="text1"/>
              </w:rPr>
              <w:t>Up to 54%</w:t>
            </w:r>
          </w:p>
        </w:tc>
      </w:tr>
    </w:tbl>
    <w:p w14:paraId="680EE382" w14:textId="4ADD1B2B" w:rsidR="00C65C62" w:rsidRPr="00D63ED9" w:rsidRDefault="00AA0589" w:rsidP="00D63ED9">
      <w:pPr>
        <w:autoSpaceDE w:val="0"/>
        <w:autoSpaceDN w:val="0"/>
        <w:adjustRightInd w:val="0"/>
        <w:snapToGrid w:val="0"/>
        <w:spacing w:line="360" w:lineRule="auto"/>
        <w:jc w:val="both"/>
        <w:rPr>
          <w:rFonts w:ascii="Book Antiqua" w:hAnsi="Book Antiqua" w:cs="Times"/>
          <w:color w:val="000000" w:themeColor="text1"/>
        </w:rPr>
      </w:pPr>
      <w:r w:rsidRPr="00936C72">
        <w:rPr>
          <w:rFonts w:ascii="Book Antiqua" w:hAnsi="Book Antiqua" w:cs="Times"/>
          <w:color w:val="000000" w:themeColor="text1"/>
        </w:rPr>
        <w:t xml:space="preserve">GGT: Gamma-glutamyl transferase; ALT: </w:t>
      </w:r>
      <w:r w:rsidR="004475F0" w:rsidRPr="00936C72">
        <w:rPr>
          <w:rFonts w:ascii="Book Antiqua" w:hAnsi="Book Antiqua" w:cs="Times"/>
          <w:color w:val="000000" w:themeColor="text1"/>
        </w:rPr>
        <w:t xml:space="preserve">Alanine aminotransferase; </w:t>
      </w:r>
      <w:r w:rsidRPr="00936C72">
        <w:rPr>
          <w:rFonts w:ascii="Book Antiqua" w:hAnsi="Book Antiqua" w:cs="Times"/>
          <w:color w:val="000000" w:themeColor="text1"/>
        </w:rPr>
        <w:t>AST:</w:t>
      </w:r>
      <w:r w:rsidR="004475F0" w:rsidRPr="00936C72">
        <w:rPr>
          <w:rFonts w:ascii="Book Antiqua" w:hAnsi="Book Antiqua" w:cs="Times"/>
          <w:color w:val="000000" w:themeColor="text1"/>
        </w:rPr>
        <w:t xml:space="preserve"> Aspartate aminotransferase.</w:t>
      </w:r>
    </w:p>
    <w:sectPr w:rsidR="00C65C62" w:rsidRPr="00D63ED9" w:rsidSect="00D032E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60CAF" w14:textId="77777777" w:rsidR="00411298" w:rsidRDefault="00411298" w:rsidP="00326802">
      <w:r>
        <w:separator/>
      </w:r>
    </w:p>
  </w:endnote>
  <w:endnote w:type="continuationSeparator" w:id="0">
    <w:p w14:paraId="5EFAF377" w14:textId="77777777" w:rsidR="00411298" w:rsidRDefault="00411298" w:rsidP="0032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Microsoft YaHei UI">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9BD92" w14:textId="77777777" w:rsidR="00411298" w:rsidRDefault="00411298" w:rsidP="00326802">
      <w:r>
        <w:separator/>
      </w:r>
    </w:p>
  </w:footnote>
  <w:footnote w:type="continuationSeparator" w:id="0">
    <w:p w14:paraId="48E3648D" w14:textId="77777777" w:rsidR="00411298" w:rsidRDefault="00411298" w:rsidP="00326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62"/>
    <w:rsid w:val="00021494"/>
    <w:rsid w:val="000E404A"/>
    <w:rsid w:val="001253B1"/>
    <w:rsid w:val="001B692C"/>
    <w:rsid w:val="00295208"/>
    <w:rsid w:val="00326802"/>
    <w:rsid w:val="003A092C"/>
    <w:rsid w:val="003F0341"/>
    <w:rsid w:val="003F4E68"/>
    <w:rsid w:val="00411298"/>
    <w:rsid w:val="00433934"/>
    <w:rsid w:val="004475F0"/>
    <w:rsid w:val="00473157"/>
    <w:rsid w:val="005671A0"/>
    <w:rsid w:val="006827B7"/>
    <w:rsid w:val="006D0F74"/>
    <w:rsid w:val="006E38C8"/>
    <w:rsid w:val="00800781"/>
    <w:rsid w:val="00837B94"/>
    <w:rsid w:val="008842D5"/>
    <w:rsid w:val="008C1A01"/>
    <w:rsid w:val="008F3F8E"/>
    <w:rsid w:val="00936C72"/>
    <w:rsid w:val="009E1D3D"/>
    <w:rsid w:val="00A5477D"/>
    <w:rsid w:val="00A813AB"/>
    <w:rsid w:val="00AA0589"/>
    <w:rsid w:val="00AE142C"/>
    <w:rsid w:val="00B40FF3"/>
    <w:rsid w:val="00B7106A"/>
    <w:rsid w:val="00B92A95"/>
    <w:rsid w:val="00B94D18"/>
    <w:rsid w:val="00C12270"/>
    <w:rsid w:val="00C34382"/>
    <w:rsid w:val="00C47C13"/>
    <w:rsid w:val="00C64858"/>
    <w:rsid w:val="00C65C62"/>
    <w:rsid w:val="00CD67E7"/>
    <w:rsid w:val="00D032E2"/>
    <w:rsid w:val="00D63ED9"/>
    <w:rsid w:val="00E371E0"/>
    <w:rsid w:val="00E81782"/>
    <w:rsid w:val="00E87234"/>
    <w:rsid w:val="00EE0AC5"/>
    <w:rsid w:val="00F41F7A"/>
    <w:rsid w:val="00F436E0"/>
    <w:rsid w:val="00FD0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3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D9"/>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65C62"/>
    <w:pPr>
      <w:widowControl w:val="0"/>
      <w:jc w:val="both"/>
    </w:pPr>
    <w:rPr>
      <w:rFonts w:hAnsiTheme="minorHAnsi" w:cstheme="minorBidi"/>
      <w:kern w:val="2"/>
      <w:sz w:val="18"/>
      <w:szCs w:val="18"/>
    </w:rPr>
  </w:style>
  <w:style w:type="character" w:customStyle="1" w:styleId="Char">
    <w:name w:val="批注框文本 Char"/>
    <w:basedOn w:val="a0"/>
    <w:link w:val="a3"/>
    <w:uiPriority w:val="99"/>
    <w:semiHidden/>
    <w:rsid w:val="00C65C62"/>
    <w:rPr>
      <w:rFonts w:ascii="宋体" w:eastAsia="宋体"/>
      <w:sz w:val="18"/>
      <w:szCs w:val="18"/>
    </w:rPr>
  </w:style>
  <w:style w:type="character" w:styleId="a4">
    <w:name w:val="annotation reference"/>
    <w:basedOn w:val="a0"/>
    <w:uiPriority w:val="99"/>
    <w:unhideWhenUsed/>
    <w:qFormat/>
    <w:rsid w:val="00C65C62"/>
    <w:rPr>
      <w:sz w:val="21"/>
      <w:szCs w:val="21"/>
    </w:rPr>
  </w:style>
  <w:style w:type="paragraph" w:styleId="a5">
    <w:name w:val="annotation text"/>
    <w:basedOn w:val="a"/>
    <w:link w:val="Char0"/>
    <w:uiPriority w:val="99"/>
    <w:unhideWhenUsed/>
    <w:qFormat/>
    <w:rsid w:val="00C65C62"/>
    <w:pPr>
      <w:widowControl w:val="0"/>
    </w:pPr>
    <w:rPr>
      <w:rFonts w:asciiTheme="minorHAnsi" w:eastAsiaTheme="minorEastAsia" w:hAnsiTheme="minorHAnsi" w:cstheme="minorBidi"/>
      <w:kern w:val="2"/>
      <w:sz w:val="21"/>
    </w:rPr>
  </w:style>
  <w:style w:type="character" w:customStyle="1" w:styleId="Char0">
    <w:name w:val="批注文字 Char"/>
    <w:basedOn w:val="a0"/>
    <w:link w:val="a5"/>
    <w:uiPriority w:val="99"/>
    <w:rsid w:val="00C65C62"/>
  </w:style>
  <w:style w:type="paragraph" w:styleId="a6">
    <w:name w:val="annotation subject"/>
    <w:basedOn w:val="a5"/>
    <w:next w:val="a5"/>
    <w:link w:val="Char1"/>
    <w:uiPriority w:val="99"/>
    <w:semiHidden/>
    <w:unhideWhenUsed/>
    <w:rsid w:val="00C65C62"/>
    <w:rPr>
      <w:b/>
      <w:bCs/>
    </w:rPr>
  </w:style>
  <w:style w:type="character" w:customStyle="1" w:styleId="Char1">
    <w:name w:val="批注主题 Char"/>
    <w:basedOn w:val="Char0"/>
    <w:link w:val="a6"/>
    <w:uiPriority w:val="99"/>
    <w:semiHidden/>
    <w:rsid w:val="00C65C62"/>
    <w:rPr>
      <w:b/>
      <w:bCs/>
    </w:rPr>
  </w:style>
  <w:style w:type="character" w:customStyle="1" w:styleId="1">
    <w:name w:val="批注文字 字符1"/>
    <w:basedOn w:val="a0"/>
    <w:uiPriority w:val="99"/>
    <w:qFormat/>
    <w:rsid w:val="00C65C62"/>
    <w:rPr>
      <w:rFonts w:eastAsiaTheme="minorEastAsia"/>
      <w:kern w:val="2"/>
      <w:sz w:val="21"/>
    </w:rPr>
  </w:style>
  <w:style w:type="character" w:styleId="a7">
    <w:name w:val="Hyperlink"/>
    <w:unhideWhenUsed/>
    <w:qFormat/>
    <w:rsid w:val="003F4E68"/>
    <w:rPr>
      <w:color w:val="0000FF"/>
      <w:u w:val="single"/>
    </w:rPr>
  </w:style>
  <w:style w:type="paragraph" w:customStyle="1" w:styleId="Body">
    <w:name w:val="Body"/>
    <w:rsid w:val="00D032E2"/>
    <w:pPr>
      <w:pBdr>
        <w:top w:val="nil"/>
        <w:left w:val="nil"/>
        <w:bottom w:val="nil"/>
        <w:right w:val="nil"/>
        <w:between w:val="nil"/>
        <w:bar w:val="nil"/>
      </w:pBdr>
      <w:spacing w:after="200" w:line="276" w:lineRule="auto"/>
    </w:pPr>
    <w:rPr>
      <w:rFonts w:ascii="Calibri" w:eastAsia="Arial Unicode MS" w:hAnsi="Calibri" w:cs="Arial Unicode MS"/>
      <w:color w:val="000000"/>
      <w:kern w:val="0"/>
      <w:sz w:val="22"/>
      <w:szCs w:val="22"/>
      <w:u w:color="000000"/>
      <w:bdr w:val="nil"/>
      <w:lang w:eastAsia="en-US"/>
    </w:rPr>
  </w:style>
  <w:style w:type="character" w:customStyle="1" w:styleId="bkciteavail">
    <w:name w:val="bk_cite_avail"/>
    <w:rsid w:val="00D032E2"/>
    <w:rPr>
      <w:lang w:val="en-US"/>
    </w:rPr>
  </w:style>
  <w:style w:type="character" w:customStyle="1" w:styleId="10">
    <w:name w:val="未处理的提及1"/>
    <w:basedOn w:val="a0"/>
    <w:uiPriority w:val="99"/>
    <w:semiHidden/>
    <w:unhideWhenUsed/>
    <w:rsid w:val="00EE0AC5"/>
    <w:rPr>
      <w:color w:val="605E5C"/>
      <w:shd w:val="clear" w:color="auto" w:fill="E1DFDD"/>
    </w:rPr>
  </w:style>
  <w:style w:type="paragraph" w:styleId="a8">
    <w:name w:val="List Paragraph"/>
    <w:basedOn w:val="a"/>
    <w:uiPriority w:val="34"/>
    <w:qFormat/>
    <w:rsid w:val="00B40FF3"/>
    <w:pPr>
      <w:spacing w:after="160" w:line="259" w:lineRule="auto"/>
      <w:ind w:left="720"/>
      <w:contextualSpacing/>
    </w:pPr>
    <w:rPr>
      <w:rFonts w:asciiTheme="minorHAnsi" w:eastAsiaTheme="minorEastAsia" w:hAnsiTheme="minorHAnsi" w:cstheme="minorBidi"/>
      <w:sz w:val="22"/>
      <w:szCs w:val="22"/>
      <w:lang w:val="el-GR" w:eastAsia="en-US"/>
    </w:rPr>
  </w:style>
  <w:style w:type="paragraph" w:styleId="a9">
    <w:name w:val="Plain Text"/>
    <w:basedOn w:val="a"/>
    <w:link w:val="Char2"/>
    <w:rsid w:val="00B40FF3"/>
    <w:pPr>
      <w:widowControl w:val="0"/>
      <w:jc w:val="both"/>
    </w:pPr>
    <w:rPr>
      <w:rFonts w:hAnsi="Courier New" w:cs="Courier New"/>
      <w:kern w:val="2"/>
      <w:sz w:val="21"/>
      <w:szCs w:val="21"/>
    </w:rPr>
  </w:style>
  <w:style w:type="character" w:customStyle="1" w:styleId="Char2">
    <w:name w:val="纯文本 Char"/>
    <w:basedOn w:val="a0"/>
    <w:link w:val="a9"/>
    <w:rsid w:val="00B40FF3"/>
    <w:rPr>
      <w:rFonts w:ascii="宋体" w:eastAsia="宋体" w:hAnsi="Courier New" w:cs="Courier New"/>
      <w:szCs w:val="21"/>
    </w:rPr>
  </w:style>
  <w:style w:type="paragraph" w:styleId="aa">
    <w:name w:val="header"/>
    <w:basedOn w:val="a"/>
    <w:link w:val="Char3"/>
    <w:uiPriority w:val="99"/>
    <w:unhideWhenUsed/>
    <w:rsid w:val="0032680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326802"/>
    <w:rPr>
      <w:rFonts w:ascii="宋体" w:eastAsia="宋体" w:hAnsi="宋体" w:cs="宋体"/>
      <w:kern w:val="0"/>
      <w:sz w:val="18"/>
      <w:szCs w:val="18"/>
    </w:rPr>
  </w:style>
  <w:style w:type="paragraph" w:styleId="ab">
    <w:name w:val="footer"/>
    <w:basedOn w:val="a"/>
    <w:link w:val="Char4"/>
    <w:uiPriority w:val="99"/>
    <w:unhideWhenUsed/>
    <w:rsid w:val="00326802"/>
    <w:pPr>
      <w:tabs>
        <w:tab w:val="center" w:pos="4153"/>
        <w:tab w:val="right" w:pos="8306"/>
      </w:tabs>
      <w:snapToGrid w:val="0"/>
    </w:pPr>
    <w:rPr>
      <w:sz w:val="18"/>
      <w:szCs w:val="18"/>
    </w:rPr>
  </w:style>
  <w:style w:type="character" w:customStyle="1" w:styleId="Char4">
    <w:name w:val="页脚 Char"/>
    <w:basedOn w:val="a0"/>
    <w:link w:val="ab"/>
    <w:uiPriority w:val="99"/>
    <w:rsid w:val="00326802"/>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D9"/>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65C62"/>
    <w:pPr>
      <w:widowControl w:val="0"/>
      <w:jc w:val="both"/>
    </w:pPr>
    <w:rPr>
      <w:rFonts w:hAnsiTheme="minorHAnsi" w:cstheme="minorBidi"/>
      <w:kern w:val="2"/>
      <w:sz w:val="18"/>
      <w:szCs w:val="18"/>
    </w:rPr>
  </w:style>
  <w:style w:type="character" w:customStyle="1" w:styleId="Char">
    <w:name w:val="批注框文本 Char"/>
    <w:basedOn w:val="a0"/>
    <w:link w:val="a3"/>
    <w:uiPriority w:val="99"/>
    <w:semiHidden/>
    <w:rsid w:val="00C65C62"/>
    <w:rPr>
      <w:rFonts w:ascii="宋体" w:eastAsia="宋体"/>
      <w:sz w:val="18"/>
      <w:szCs w:val="18"/>
    </w:rPr>
  </w:style>
  <w:style w:type="character" w:styleId="a4">
    <w:name w:val="annotation reference"/>
    <w:basedOn w:val="a0"/>
    <w:uiPriority w:val="99"/>
    <w:unhideWhenUsed/>
    <w:qFormat/>
    <w:rsid w:val="00C65C62"/>
    <w:rPr>
      <w:sz w:val="21"/>
      <w:szCs w:val="21"/>
    </w:rPr>
  </w:style>
  <w:style w:type="paragraph" w:styleId="a5">
    <w:name w:val="annotation text"/>
    <w:basedOn w:val="a"/>
    <w:link w:val="Char0"/>
    <w:uiPriority w:val="99"/>
    <w:unhideWhenUsed/>
    <w:qFormat/>
    <w:rsid w:val="00C65C62"/>
    <w:pPr>
      <w:widowControl w:val="0"/>
    </w:pPr>
    <w:rPr>
      <w:rFonts w:asciiTheme="minorHAnsi" w:eastAsiaTheme="minorEastAsia" w:hAnsiTheme="minorHAnsi" w:cstheme="minorBidi"/>
      <w:kern w:val="2"/>
      <w:sz w:val="21"/>
    </w:rPr>
  </w:style>
  <w:style w:type="character" w:customStyle="1" w:styleId="Char0">
    <w:name w:val="批注文字 Char"/>
    <w:basedOn w:val="a0"/>
    <w:link w:val="a5"/>
    <w:uiPriority w:val="99"/>
    <w:rsid w:val="00C65C62"/>
  </w:style>
  <w:style w:type="paragraph" w:styleId="a6">
    <w:name w:val="annotation subject"/>
    <w:basedOn w:val="a5"/>
    <w:next w:val="a5"/>
    <w:link w:val="Char1"/>
    <w:uiPriority w:val="99"/>
    <w:semiHidden/>
    <w:unhideWhenUsed/>
    <w:rsid w:val="00C65C62"/>
    <w:rPr>
      <w:b/>
      <w:bCs/>
    </w:rPr>
  </w:style>
  <w:style w:type="character" w:customStyle="1" w:styleId="Char1">
    <w:name w:val="批注主题 Char"/>
    <w:basedOn w:val="Char0"/>
    <w:link w:val="a6"/>
    <w:uiPriority w:val="99"/>
    <w:semiHidden/>
    <w:rsid w:val="00C65C62"/>
    <w:rPr>
      <w:b/>
      <w:bCs/>
    </w:rPr>
  </w:style>
  <w:style w:type="character" w:customStyle="1" w:styleId="1">
    <w:name w:val="批注文字 字符1"/>
    <w:basedOn w:val="a0"/>
    <w:uiPriority w:val="99"/>
    <w:qFormat/>
    <w:rsid w:val="00C65C62"/>
    <w:rPr>
      <w:rFonts w:eastAsiaTheme="minorEastAsia"/>
      <w:kern w:val="2"/>
      <w:sz w:val="21"/>
    </w:rPr>
  </w:style>
  <w:style w:type="character" w:styleId="a7">
    <w:name w:val="Hyperlink"/>
    <w:unhideWhenUsed/>
    <w:qFormat/>
    <w:rsid w:val="003F4E68"/>
    <w:rPr>
      <w:color w:val="0000FF"/>
      <w:u w:val="single"/>
    </w:rPr>
  </w:style>
  <w:style w:type="paragraph" w:customStyle="1" w:styleId="Body">
    <w:name w:val="Body"/>
    <w:rsid w:val="00D032E2"/>
    <w:pPr>
      <w:pBdr>
        <w:top w:val="nil"/>
        <w:left w:val="nil"/>
        <w:bottom w:val="nil"/>
        <w:right w:val="nil"/>
        <w:between w:val="nil"/>
        <w:bar w:val="nil"/>
      </w:pBdr>
      <w:spacing w:after="200" w:line="276" w:lineRule="auto"/>
    </w:pPr>
    <w:rPr>
      <w:rFonts w:ascii="Calibri" w:eastAsia="Arial Unicode MS" w:hAnsi="Calibri" w:cs="Arial Unicode MS"/>
      <w:color w:val="000000"/>
      <w:kern w:val="0"/>
      <w:sz w:val="22"/>
      <w:szCs w:val="22"/>
      <w:u w:color="000000"/>
      <w:bdr w:val="nil"/>
      <w:lang w:eastAsia="en-US"/>
    </w:rPr>
  </w:style>
  <w:style w:type="character" w:customStyle="1" w:styleId="bkciteavail">
    <w:name w:val="bk_cite_avail"/>
    <w:rsid w:val="00D032E2"/>
    <w:rPr>
      <w:lang w:val="en-US"/>
    </w:rPr>
  </w:style>
  <w:style w:type="character" w:customStyle="1" w:styleId="10">
    <w:name w:val="未处理的提及1"/>
    <w:basedOn w:val="a0"/>
    <w:uiPriority w:val="99"/>
    <w:semiHidden/>
    <w:unhideWhenUsed/>
    <w:rsid w:val="00EE0AC5"/>
    <w:rPr>
      <w:color w:val="605E5C"/>
      <w:shd w:val="clear" w:color="auto" w:fill="E1DFDD"/>
    </w:rPr>
  </w:style>
  <w:style w:type="paragraph" w:styleId="a8">
    <w:name w:val="List Paragraph"/>
    <w:basedOn w:val="a"/>
    <w:uiPriority w:val="34"/>
    <w:qFormat/>
    <w:rsid w:val="00B40FF3"/>
    <w:pPr>
      <w:spacing w:after="160" w:line="259" w:lineRule="auto"/>
      <w:ind w:left="720"/>
      <w:contextualSpacing/>
    </w:pPr>
    <w:rPr>
      <w:rFonts w:asciiTheme="minorHAnsi" w:eastAsiaTheme="minorEastAsia" w:hAnsiTheme="minorHAnsi" w:cstheme="minorBidi"/>
      <w:sz w:val="22"/>
      <w:szCs w:val="22"/>
      <w:lang w:val="el-GR" w:eastAsia="en-US"/>
    </w:rPr>
  </w:style>
  <w:style w:type="paragraph" w:styleId="a9">
    <w:name w:val="Plain Text"/>
    <w:basedOn w:val="a"/>
    <w:link w:val="Char2"/>
    <w:rsid w:val="00B40FF3"/>
    <w:pPr>
      <w:widowControl w:val="0"/>
      <w:jc w:val="both"/>
    </w:pPr>
    <w:rPr>
      <w:rFonts w:hAnsi="Courier New" w:cs="Courier New"/>
      <w:kern w:val="2"/>
      <w:sz w:val="21"/>
      <w:szCs w:val="21"/>
    </w:rPr>
  </w:style>
  <w:style w:type="character" w:customStyle="1" w:styleId="Char2">
    <w:name w:val="纯文本 Char"/>
    <w:basedOn w:val="a0"/>
    <w:link w:val="a9"/>
    <w:rsid w:val="00B40FF3"/>
    <w:rPr>
      <w:rFonts w:ascii="宋体" w:eastAsia="宋体" w:hAnsi="Courier New" w:cs="Courier New"/>
      <w:szCs w:val="21"/>
    </w:rPr>
  </w:style>
  <w:style w:type="paragraph" w:styleId="aa">
    <w:name w:val="header"/>
    <w:basedOn w:val="a"/>
    <w:link w:val="Char3"/>
    <w:uiPriority w:val="99"/>
    <w:unhideWhenUsed/>
    <w:rsid w:val="0032680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326802"/>
    <w:rPr>
      <w:rFonts w:ascii="宋体" w:eastAsia="宋体" w:hAnsi="宋体" w:cs="宋体"/>
      <w:kern w:val="0"/>
      <w:sz w:val="18"/>
      <w:szCs w:val="18"/>
    </w:rPr>
  </w:style>
  <w:style w:type="paragraph" w:styleId="ab">
    <w:name w:val="footer"/>
    <w:basedOn w:val="a"/>
    <w:link w:val="Char4"/>
    <w:uiPriority w:val="99"/>
    <w:unhideWhenUsed/>
    <w:rsid w:val="00326802"/>
    <w:pPr>
      <w:tabs>
        <w:tab w:val="center" w:pos="4153"/>
        <w:tab w:val="right" w:pos="8306"/>
      </w:tabs>
      <w:snapToGrid w:val="0"/>
    </w:pPr>
    <w:rPr>
      <w:sz w:val="18"/>
      <w:szCs w:val="18"/>
    </w:rPr>
  </w:style>
  <w:style w:type="character" w:customStyle="1" w:styleId="Char4">
    <w:name w:val="页脚 Char"/>
    <w:basedOn w:val="a0"/>
    <w:link w:val="ab"/>
    <w:uiPriority w:val="99"/>
    <w:rsid w:val="00326802"/>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15741">
      <w:bodyDiv w:val="1"/>
      <w:marLeft w:val="0"/>
      <w:marRight w:val="0"/>
      <w:marTop w:val="0"/>
      <w:marBottom w:val="0"/>
      <w:divBdr>
        <w:top w:val="none" w:sz="0" w:space="0" w:color="auto"/>
        <w:left w:val="none" w:sz="0" w:space="0" w:color="auto"/>
        <w:bottom w:val="none" w:sz="0" w:space="0" w:color="auto"/>
        <w:right w:val="none" w:sz="0" w:space="0" w:color="auto"/>
      </w:divBdr>
    </w:div>
    <w:div w:id="56907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todate.com/contents/lopinavir-and-ritonavir-drug-information?search=covid-19&amp;topicRef=126981&amp;source=see_link" TargetMode="External"/><Relationship Id="rId13" Type="http://schemas.openxmlformats.org/officeDocument/2006/relationships/hyperlink" Target="https://www.who.int/emergencies/diseases/novel-coronavirus-2019/technical-guidance/surveillance-and-case-definitions" TargetMode="External"/><Relationship Id="rId3" Type="http://schemas.openxmlformats.org/officeDocument/2006/relationships/settings" Target="settings.xml"/><Relationship Id="rId7" Type="http://schemas.openxmlformats.org/officeDocument/2006/relationships/hyperlink" Target="https://www.uptodate.com/contents/" TargetMode="External"/><Relationship Id="rId12" Type="http://schemas.openxmlformats.org/officeDocument/2006/relationships/hyperlink" Target="https://www.cdc.gov/coronavirus/2019-nCoV/lab/guidelines-clinical-specimens.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asge.org/home/joint-gi-society-message-covid-19" TargetMode="External"/><Relationship Id="rId5" Type="http://schemas.openxmlformats.org/officeDocument/2006/relationships/footnotes" Target="footnotes.xml"/><Relationship Id="rId15" Type="http://schemas.openxmlformats.org/officeDocument/2006/relationships/hyperlink" Target="https://www.esge.com/assets/downloads/pdfs/general/ESGE_ESGENA_Position_Statement_gastrointestinal_endoscopy_COVID_19_pandemic.pdf" TargetMode="External"/><Relationship Id="rId10" Type="http://schemas.openxmlformats.org/officeDocument/2006/relationships/hyperlink" Target="https://www.uptodate.com/contents/lopinavir-and-ritonavir-drug-informa" TargetMode="External"/><Relationship Id="rId4" Type="http://schemas.openxmlformats.org/officeDocument/2006/relationships/webSettings" Target="webSettings.xml"/><Relationship Id="rId9" Type="http://schemas.openxmlformats.org/officeDocument/2006/relationships/hyperlink" Target="https://www.uptodate.com/contents/lopinavir-and-ritonavir-drug-information?search=covid-19&amp;topicRef=126981&amp;source=see_link" TargetMode="External"/><Relationship Id="rId14" Type="http://schemas.openxmlformats.org/officeDocument/2006/relationships/hyperlink" Target="https://www.nysge.org/Files/NYSGE%20Guidelines%20for%20Endoscopy%20Units%20During%20the%20COVID-19%20Pandemic.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6054</Words>
  <Characters>34514</Characters>
  <Application>Microsoft Office Word</Application>
  <DocSecurity>0</DocSecurity>
  <Lines>287</Lines>
  <Paragraphs>80</Paragraphs>
  <ScaleCrop>false</ScaleCrop>
  <Company/>
  <LinksUpToDate>false</LinksUpToDate>
  <CharactersWithSpaces>40488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vg519</dc:creator>
  <cp:keywords/>
  <dc:description/>
  <cp:lastModifiedBy>User</cp:lastModifiedBy>
  <cp:revision>3</cp:revision>
  <dcterms:created xsi:type="dcterms:W3CDTF">2020-04-10T23:54:00Z</dcterms:created>
  <dcterms:modified xsi:type="dcterms:W3CDTF">2020-04-14T02:26:00Z</dcterms:modified>
</cp:coreProperties>
</file>